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cs="宋体"/>
          <w:sz w:val="44"/>
          <w:szCs w:val="44"/>
          <w:highlight w:val="none"/>
        </w:rPr>
      </w:pPr>
      <w:bookmarkStart w:id="0" w:name="_Toc197843635"/>
      <w:bookmarkStart w:id="1" w:name="_Toc288578279"/>
      <w:bookmarkStart w:id="2" w:name="_Toc251569647"/>
    </w:p>
    <w:p>
      <w:pPr>
        <w:spacing w:line="360" w:lineRule="auto"/>
        <w:jc w:val="center"/>
        <w:rPr>
          <w:rFonts w:hint="eastAsia" w:ascii="宋体" w:hAnsi="宋体" w:eastAsia="宋体" w:cs="宋体"/>
          <w:sz w:val="32"/>
          <w:szCs w:val="32"/>
          <w:highlight w:val="none"/>
          <w:lang w:eastAsia="zh-CN"/>
        </w:rPr>
      </w:pPr>
      <w:r>
        <w:rPr>
          <w:rFonts w:hint="eastAsia" w:ascii="宋体" w:hAnsi="宋体" w:cs="宋体"/>
          <w:b/>
          <w:sz w:val="52"/>
          <w:szCs w:val="52"/>
          <w:highlight w:val="none"/>
        </w:rPr>
        <w:t>明珠工业园明珠片区新开发地块市政基础设施工程</w:t>
      </w:r>
      <w:r>
        <w:rPr>
          <w:rFonts w:hint="eastAsia" w:ascii="宋体" w:hAnsi="宋体" w:cs="宋体"/>
          <w:b/>
          <w:sz w:val="52"/>
          <w:szCs w:val="52"/>
          <w:highlight w:val="none"/>
          <w:lang w:eastAsia="zh-CN"/>
        </w:rPr>
        <w:t>检验检测</w:t>
      </w:r>
    </w:p>
    <w:p>
      <w:pPr>
        <w:spacing w:line="360" w:lineRule="auto"/>
        <w:jc w:val="center"/>
        <w:rPr>
          <w:rFonts w:ascii="宋体" w:hAnsi="宋体" w:cs="宋体"/>
          <w:sz w:val="32"/>
          <w:szCs w:val="32"/>
          <w:highlight w:val="none"/>
        </w:rPr>
      </w:pPr>
    </w:p>
    <w:p>
      <w:pPr>
        <w:spacing w:line="360" w:lineRule="auto"/>
        <w:jc w:val="center"/>
        <w:rPr>
          <w:rFonts w:ascii="宋体" w:hAnsi="宋体" w:cs="宋体"/>
          <w:sz w:val="32"/>
          <w:szCs w:val="32"/>
          <w:highlight w:val="none"/>
          <w:u w:val="single"/>
        </w:rPr>
      </w:pPr>
    </w:p>
    <w:p>
      <w:pPr>
        <w:spacing w:line="360" w:lineRule="auto"/>
        <w:jc w:val="center"/>
        <w:rPr>
          <w:rFonts w:ascii="宋体" w:hAnsi="宋体" w:cs="宋体"/>
          <w:sz w:val="32"/>
          <w:szCs w:val="32"/>
          <w:highlight w:val="none"/>
          <w:u w:val="single"/>
        </w:rPr>
      </w:pPr>
    </w:p>
    <w:p>
      <w:pPr>
        <w:spacing w:line="360" w:lineRule="auto"/>
        <w:jc w:val="center"/>
        <w:rPr>
          <w:rFonts w:ascii="宋体" w:hAnsi="宋体" w:cs="宋体"/>
          <w:sz w:val="32"/>
          <w:szCs w:val="32"/>
          <w:highlight w:val="none"/>
          <w:u w:val="single"/>
        </w:rPr>
      </w:pPr>
    </w:p>
    <w:p>
      <w:pPr>
        <w:spacing w:line="360" w:lineRule="auto"/>
        <w:jc w:val="center"/>
        <w:rPr>
          <w:rFonts w:ascii="宋体" w:hAnsi="宋体" w:cs="宋体"/>
          <w:sz w:val="72"/>
          <w:szCs w:val="72"/>
          <w:highlight w:val="none"/>
        </w:rPr>
      </w:pPr>
      <w:r>
        <w:rPr>
          <w:rFonts w:hint="eastAsia" w:ascii="宋体" w:hAnsi="宋体" w:cs="宋体"/>
          <w:sz w:val="72"/>
          <w:szCs w:val="72"/>
          <w:highlight w:val="none"/>
        </w:rPr>
        <w:t>招标文件</w:t>
      </w:r>
    </w:p>
    <w:p>
      <w:pPr>
        <w:spacing w:line="360" w:lineRule="auto"/>
        <w:jc w:val="center"/>
        <w:rPr>
          <w:rFonts w:ascii="宋体" w:hAnsi="宋体" w:cs="宋体"/>
          <w:sz w:val="32"/>
          <w:szCs w:val="32"/>
          <w:highlight w:val="none"/>
          <w:u w:val="single"/>
        </w:rPr>
      </w:pPr>
    </w:p>
    <w:p>
      <w:pPr>
        <w:spacing w:line="360" w:lineRule="auto"/>
        <w:jc w:val="center"/>
        <w:rPr>
          <w:rFonts w:ascii="宋体" w:hAnsi="宋体" w:cs="宋体"/>
          <w:sz w:val="32"/>
          <w:szCs w:val="32"/>
          <w:highlight w:val="none"/>
          <w:u w:val="single"/>
        </w:rPr>
      </w:pPr>
    </w:p>
    <w:p>
      <w:pPr>
        <w:spacing w:line="360" w:lineRule="auto"/>
        <w:jc w:val="center"/>
        <w:rPr>
          <w:rFonts w:ascii="宋体" w:hAnsi="宋体" w:cs="宋体"/>
          <w:sz w:val="32"/>
          <w:szCs w:val="32"/>
          <w:highlight w:val="none"/>
          <w:u w:val="single"/>
        </w:rPr>
      </w:pPr>
    </w:p>
    <w:p>
      <w:pPr>
        <w:spacing w:line="360" w:lineRule="auto"/>
        <w:jc w:val="center"/>
        <w:rPr>
          <w:rFonts w:ascii="宋体" w:hAnsi="宋体" w:cs="宋体"/>
          <w:sz w:val="32"/>
          <w:szCs w:val="32"/>
          <w:highlight w:val="none"/>
          <w:u w:val="single"/>
        </w:rPr>
      </w:pPr>
    </w:p>
    <w:p>
      <w:pPr>
        <w:spacing w:line="360" w:lineRule="auto"/>
        <w:rPr>
          <w:rFonts w:ascii="宋体" w:hAnsi="宋体" w:cs="宋体"/>
          <w:sz w:val="32"/>
          <w:szCs w:val="32"/>
          <w:highlight w:val="none"/>
          <w:u w:val="single"/>
        </w:rPr>
      </w:pPr>
    </w:p>
    <w:p>
      <w:pPr>
        <w:spacing w:line="360" w:lineRule="auto"/>
        <w:rPr>
          <w:rFonts w:ascii="宋体" w:hAnsi="宋体" w:cs="宋体"/>
          <w:sz w:val="32"/>
          <w:szCs w:val="32"/>
          <w:highlight w:val="none"/>
          <w:u w:val="single"/>
        </w:rPr>
      </w:pPr>
    </w:p>
    <w:p>
      <w:pPr>
        <w:spacing w:line="360" w:lineRule="auto"/>
        <w:jc w:val="center"/>
        <w:rPr>
          <w:rFonts w:ascii="宋体" w:hAnsi="宋体" w:cs="宋体"/>
          <w:sz w:val="32"/>
          <w:szCs w:val="32"/>
          <w:highlight w:val="none"/>
          <w:u w:val="single"/>
        </w:rPr>
      </w:pPr>
    </w:p>
    <w:p>
      <w:pPr>
        <w:tabs>
          <w:tab w:val="left" w:pos="1050"/>
        </w:tabs>
        <w:snapToGrid w:val="0"/>
        <w:spacing w:line="360" w:lineRule="auto"/>
        <w:jc w:val="center"/>
        <w:rPr>
          <w:rFonts w:ascii="宋体" w:hAnsi="宋体" w:cs="宋体"/>
          <w:b/>
          <w:sz w:val="28"/>
          <w:szCs w:val="24"/>
          <w:highlight w:val="none"/>
          <w:u w:val="single"/>
        </w:rPr>
      </w:pPr>
      <w:r>
        <w:rPr>
          <w:rFonts w:hint="eastAsia" w:ascii="宋体" w:hAnsi="宋体" w:cs="宋体"/>
          <w:b/>
          <w:sz w:val="28"/>
          <w:szCs w:val="24"/>
          <w:highlight w:val="none"/>
        </w:rPr>
        <w:t>招标人：</w:t>
      </w:r>
      <w:r>
        <w:rPr>
          <w:rFonts w:hint="eastAsia" w:ascii="宋体" w:hAnsi="宋体" w:cs="宋体"/>
          <w:b/>
          <w:sz w:val="28"/>
          <w:szCs w:val="24"/>
          <w:highlight w:val="none"/>
          <w:u w:val="single"/>
        </w:rPr>
        <w:t>广东从化经济开发区管理委员会</w:t>
      </w:r>
      <w:r>
        <w:rPr>
          <w:rFonts w:hint="eastAsia" w:ascii="宋体" w:hAnsi="宋体" w:cs="宋体"/>
          <w:b/>
          <w:sz w:val="28"/>
          <w:szCs w:val="24"/>
          <w:highlight w:val="none"/>
        </w:rPr>
        <w:t>（盖单位章）</w:t>
      </w:r>
    </w:p>
    <w:p>
      <w:pPr>
        <w:tabs>
          <w:tab w:val="left" w:pos="1050"/>
        </w:tabs>
        <w:snapToGrid w:val="0"/>
        <w:spacing w:line="360" w:lineRule="auto"/>
        <w:ind w:firstLine="1063" w:firstLineChars="378"/>
        <w:jc w:val="left"/>
        <w:rPr>
          <w:rFonts w:ascii="宋体" w:hAnsi="宋体" w:cs="宋体"/>
          <w:b/>
          <w:sz w:val="28"/>
          <w:szCs w:val="24"/>
          <w:highlight w:val="none"/>
        </w:rPr>
      </w:pPr>
      <w:r>
        <w:rPr>
          <w:rFonts w:hint="eastAsia" w:ascii="宋体" w:hAnsi="宋体" w:cs="宋体"/>
          <w:b/>
          <w:sz w:val="28"/>
          <w:szCs w:val="24"/>
          <w:highlight w:val="none"/>
        </w:rPr>
        <w:t>招标代理机构：</w:t>
      </w:r>
      <w:r>
        <w:rPr>
          <w:rFonts w:hint="eastAsia" w:ascii="宋体" w:hAnsi="宋体" w:cs="宋体"/>
          <w:b/>
          <w:sz w:val="28"/>
          <w:szCs w:val="24"/>
          <w:highlight w:val="none"/>
          <w:u w:val="single"/>
        </w:rPr>
        <w:t>广州万安建设监理有限公司</w:t>
      </w:r>
      <w:r>
        <w:rPr>
          <w:rFonts w:hint="eastAsia" w:ascii="宋体" w:hAnsi="宋体" w:cs="宋体"/>
          <w:b/>
          <w:sz w:val="28"/>
          <w:szCs w:val="24"/>
          <w:highlight w:val="none"/>
        </w:rPr>
        <w:t>（盖单位章）</w:t>
      </w:r>
    </w:p>
    <w:p>
      <w:pPr>
        <w:snapToGrid w:val="0"/>
        <w:spacing w:line="360" w:lineRule="auto"/>
        <w:jc w:val="center"/>
        <w:rPr>
          <w:rFonts w:ascii="宋体" w:hAnsi="宋体" w:cs="宋体"/>
          <w:b/>
          <w:sz w:val="28"/>
          <w:szCs w:val="24"/>
          <w:highlight w:val="none"/>
        </w:rPr>
      </w:pPr>
      <w:r>
        <w:rPr>
          <w:rFonts w:hint="eastAsia" w:ascii="宋体" w:hAnsi="宋体" w:cs="宋体"/>
          <w:b/>
          <w:sz w:val="28"/>
          <w:szCs w:val="24"/>
          <w:highlight w:val="none"/>
          <w:u w:val="single"/>
        </w:rPr>
        <w:t>2024</w:t>
      </w:r>
      <w:r>
        <w:rPr>
          <w:rFonts w:hint="eastAsia" w:ascii="宋体" w:hAnsi="宋体" w:cs="宋体"/>
          <w:b/>
          <w:sz w:val="28"/>
          <w:szCs w:val="24"/>
          <w:highlight w:val="none"/>
        </w:rPr>
        <w:t>年</w:t>
      </w:r>
      <w:r>
        <w:rPr>
          <w:rFonts w:hint="eastAsia" w:ascii="宋体" w:hAnsi="宋体" w:cs="宋体"/>
          <w:b/>
          <w:sz w:val="28"/>
          <w:szCs w:val="24"/>
          <w:highlight w:val="none"/>
          <w:u w:val="single"/>
        </w:rPr>
        <w:t>4</w:t>
      </w:r>
      <w:r>
        <w:rPr>
          <w:rFonts w:hint="eastAsia" w:ascii="宋体" w:hAnsi="宋体" w:cs="宋体"/>
          <w:b/>
          <w:sz w:val="28"/>
          <w:szCs w:val="24"/>
          <w:highlight w:val="none"/>
        </w:rPr>
        <w:t>月</w:t>
      </w:r>
    </w:p>
    <w:p>
      <w:pPr>
        <w:spacing w:line="360" w:lineRule="auto"/>
        <w:jc w:val="center"/>
        <w:rPr>
          <w:rFonts w:ascii="宋体" w:hAnsi="宋体" w:cs="宋体"/>
          <w:b/>
          <w:sz w:val="28"/>
          <w:highlight w:val="none"/>
        </w:rPr>
        <w:sectPr>
          <w:footerReference r:id="rId3" w:type="even"/>
          <w:pgSz w:w="11906" w:h="16838"/>
          <w:pgMar w:top="1440" w:right="1440" w:bottom="1440" w:left="1440" w:header="851" w:footer="1020" w:gutter="0"/>
          <w:pgNumType w:start="0"/>
          <w:cols w:space="720" w:num="1"/>
          <w:titlePg/>
          <w:docGrid w:type="lines" w:linePitch="312" w:charSpace="0"/>
        </w:sectPr>
      </w:pPr>
    </w:p>
    <w:p>
      <w:pPr>
        <w:spacing w:line="360" w:lineRule="auto"/>
        <w:jc w:val="center"/>
        <w:rPr>
          <w:rFonts w:ascii="宋体" w:hAnsi="宋体" w:cs="宋体"/>
          <w:bCs/>
          <w:sz w:val="52"/>
          <w:highlight w:val="none"/>
        </w:rPr>
      </w:pPr>
      <w:r>
        <w:rPr>
          <w:rFonts w:hint="eastAsia" w:ascii="宋体" w:hAnsi="宋体" w:cs="宋体"/>
          <w:bCs/>
          <w:sz w:val="52"/>
          <w:highlight w:val="none"/>
        </w:rPr>
        <w:t>重要提示</w:t>
      </w:r>
    </w:p>
    <w:p>
      <w:pPr>
        <w:spacing w:line="360" w:lineRule="auto"/>
        <w:ind w:firstLine="537" w:firstLineChars="224"/>
        <w:jc w:val="center"/>
        <w:rPr>
          <w:rFonts w:ascii="宋体" w:hAnsi="宋体" w:cs="宋体"/>
          <w:bCs/>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本项目实施电子招投标，投标人应先认真阅读</w:t>
      </w:r>
      <w:r>
        <w:rPr>
          <w:rFonts w:hint="eastAsia" w:ascii="宋体" w:hAnsi="宋体" w:cs="宋体"/>
          <w:sz w:val="24"/>
          <w:szCs w:val="24"/>
          <w:highlight w:val="none"/>
        </w:rPr>
        <w:t>最新指引</w:t>
      </w:r>
      <w:r>
        <w:rPr>
          <w:rFonts w:hint="eastAsia" w:ascii="宋体" w:hAnsi="宋体" w:cs="宋体"/>
          <w:sz w:val="24"/>
          <w:highlight w:val="none"/>
        </w:rPr>
        <w:t>。</w:t>
      </w:r>
    </w:p>
    <w:p>
      <w:pPr>
        <w:spacing w:line="360" w:lineRule="auto"/>
        <w:jc w:val="center"/>
        <w:rPr>
          <w:rFonts w:ascii="宋体" w:hAnsi="宋体" w:cs="宋体"/>
          <w:b/>
          <w:sz w:val="28"/>
          <w:szCs w:val="28"/>
          <w:highlight w:val="none"/>
        </w:rPr>
      </w:pPr>
    </w:p>
    <w:p>
      <w:pPr>
        <w:spacing w:line="360" w:lineRule="auto"/>
        <w:ind w:firstLine="1164" w:firstLineChars="224"/>
        <w:jc w:val="center"/>
        <w:rPr>
          <w:rFonts w:ascii="宋体" w:hAnsi="宋体" w:cs="宋体"/>
          <w:bCs/>
          <w:sz w:val="52"/>
          <w:highlight w:val="none"/>
        </w:rPr>
        <w:sectPr>
          <w:footerReference r:id="rId4" w:type="default"/>
          <w:pgSz w:w="11906" w:h="16838"/>
          <w:pgMar w:top="1440" w:right="1440" w:bottom="1440" w:left="1440" w:header="851" w:footer="1020" w:gutter="0"/>
          <w:pgNumType w:start="1"/>
          <w:cols w:space="720" w:num="1"/>
          <w:docGrid w:type="lines" w:linePitch="312" w:charSpace="0"/>
        </w:sectPr>
      </w:pPr>
    </w:p>
    <w:p>
      <w:pPr>
        <w:spacing w:line="360" w:lineRule="auto"/>
        <w:jc w:val="center"/>
        <w:rPr>
          <w:rFonts w:ascii="宋体" w:hAnsi="宋体" w:cs="宋体"/>
          <w:b/>
          <w:bCs/>
          <w:sz w:val="48"/>
          <w:szCs w:val="48"/>
          <w:highlight w:val="none"/>
        </w:rPr>
      </w:pPr>
      <w:r>
        <w:rPr>
          <w:rFonts w:hint="eastAsia" w:ascii="宋体" w:hAnsi="宋体" w:cs="宋体"/>
          <w:b/>
          <w:bCs/>
          <w:sz w:val="48"/>
          <w:szCs w:val="48"/>
          <w:highlight w:val="none"/>
        </w:rPr>
        <w:t>目录</w:t>
      </w:r>
    </w:p>
    <w:p>
      <w:pPr>
        <w:pStyle w:val="24"/>
        <w:tabs>
          <w:tab w:val="right" w:leader="dot" w:pos="9026"/>
        </w:tabs>
        <w:spacing w:line="360" w:lineRule="auto"/>
        <w:rPr>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TOC \o "1-3" \h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"_Toc30985" </w:instrText>
      </w:r>
      <w:r>
        <w:rPr>
          <w:highlight w:val="none"/>
        </w:rPr>
        <w:fldChar w:fldCharType="separate"/>
      </w:r>
      <w:r>
        <w:rPr>
          <w:rFonts w:hint="eastAsia" w:ascii="宋体" w:hAnsi="宋体" w:cs="宋体"/>
          <w:highlight w:val="none"/>
        </w:rPr>
        <w:t>第一卷</w:t>
      </w:r>
      <w:r>
        <w:rPr>
          <w:highlight w:val="none"/>
        </w:rPr>
        <w:tab/>
      </w:r>
      <w:r>
        <w:rPr>
          <w:highlight w:val="none"/>
        </w:rPr>
        <w:fldChar w:fldCharType="begin"/>
      </w:r>
      <w:r>
        <w:rPr>
          <w:highlight w:val="none"/>
        </w:rPr>
        <w:instrText xml:space="preserve"> PAGEREF _Toc30985 \h </w:instrText>
      </w:r>
      <w:r>
        <w:rPr>
          <w:highlight w:val="none"/>
        </w:rPr>
        <w:fldChar w:fldCharType="separate"/>
      </w:r>
      <w:r>
        <w:rPr>
          <w:highlight w:val="none"/>
        </w:rPr>
        <w:t>3</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"_Toc2661" </w:instrText>
      </w:r>
      <w:r>
        <w:rPr>
          <w:highlight w:val="none"/>
        </w:rPr>
        <w:fldChar w:fldCharType="separate"/>
      </w:r>
      <w:r>
        <w:rPr>
          <w:rFonts w:hint="eastAsia" w:ascii="宋体" w:hAnsi="宋体" w:cs="宋体"/>
          <w:highlight w:val="none"/>
        </w:rPr>
        <w:t>第一章  招标公告</w:t>
      </w:r>
      <w:r>
        <w:rPr>
          <w:highlight w:val="none"/>
        </w:rPr>
        <w:tab/>
      </w:r>
      <w:r>
        <w:rPr>
          <w:highlight w:val="none"/>
        </w:rPr>
        <w:fldChar w:fldCharType="begin"/>
      </w:r>
      <w:r>
        <w:rPr>
          <w:highlight w:val="none"/>
        </w:rPr>
        <w:instrText xml:space="preserve"> PAGEREF _Toc2661 \h </w:instrText>
      </w:r>
      <w:r>
        <w:rPr>
          <w:highlight w:val="none"/>
        </w:rPr>
        <w:fldChar w:fldCharType="separate"/>
      </w:r>
      <w:r>
        <w:rPr>
          <w:highlight w:val="none"/>
        </w:rPr>
        <w:t>3</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"_Toc3241" </w:instrText>
      </w:r>
      <w:r>
        <w:rPr>
          <w:highlight w:val="none"/>
        </w:rPr>
        <w:fldChar w:fldCharType="separate"/>
      </w:r>
      <w:r>
        <w:rPr>
          <w:rFonts w:hint="eastAsia" w:ascii="宋体" w:hAnsi="宋体" w:cs="宋体"/>
          <w:highlight w:val="none"/>
        </w:rPr>
        <w:t>第二章  投标人须知</w:t>
      </w:r>
      <w:r>
        <w:rPr>
          <w:highlight w:val="none"/>
        </w:rPr>
        <w:tab/>
      </w:r>
      <w:r>
        <w:rPr>
          <w:highlight w:val="none"/>
        </w:rPr>
        <w:fldChar w:fldCharType="begin"/>
      </w:r>
      <w:r>
        <w:rPr>
          <w:highlight w:val="none"/>
        </w:rPr>
        <w:instrText xml:space="preserve"> PAGEREF _Toc3241 \h </w:instrText>
      </w:r>
      <w:r>
        <w:rPr>
          <w:highlight w:val="none"/>
        </w:rPr>
        <w:fldChar w:fldCharType="separate"/>
      </w:r>
      <w:r>
        <w:rPr>
          <w:highlight w:val="none"/>
        </w:rPr>
        <w:t>4</w:t>
      </w:r>
      <w:r>
        <w:rPr>
          <w:highlight w:val="none"/>
        </w:rPr>
        <w:fldChar w:fldCharType="end"/>
      </w:r>
      <w:r>
        <w:rPr>
          <w:highlight w:val="none"/>
        </w:rPr>
        <w:fldChar w:fldCharType="end"/>
      </w:r>
    </w:p>
    <w:p>
      <w:pPr>
        <w:pStyle w:val="25"/>
        <w:tabs>
          <w:tab w:val="right" w:leader="dot" w:pos="9026"/>
        </w:tabs>
        <w:spacing w:line="360" w:lineRule="auto"/>
        <w:rPr>
          <w:highlight w:val="none"/>
        </w:rPr>
      </w:pPr>
      <w:r>
        <w:rPr>
          <w:highlight w:val="none"/>
        </w:rPr>
        <w:fldChar w:fldCharType="begin"/>
      </w:r>
      <w:r>
        <w:rPr>
          <w:highlight w:val="none"/>
        </w:rPr>
        <w:instrText xml:space="preserve"> HYPERLINK \l "_Toc22469" </w:instrText>
      </w:r>
      <w:r>
        <w:rPr>
          <w:highlight w:val="none"/>
        </w:rPr>
        <w:fldChar w:fldCharType="separate"/>
      </w:r>
      <w:r>
        <w:rPr>
          <w:rFonts w:hint="eastAsia" w:ascii="宋体" w:hAnsi="宋体" w:cs="宋体"/>
          <w:highlight w:val="none"/>
        </w:rPr>
        <w:t>投标人须知前附表</w:t>
      </w:r>
      <w:r>
        <w:rPr>
          <w:highlight w:val="none"/>
        </w:rPr>
        <w:tab/>
      </w:r>
      <w:r>
        <w:rPr>
          <w:highlight w:val="none"/>
        </w:rPr>
        <w:fldChar w:fldCharType="begin"/>
      </w:r>
      <w:r>
        <w:rPr>
          <w:highlight w:val="none"/>
        </w:rPr>
        <w:instrText xml:space="preserve"> PAGEREF _Toc22469 \h </w:instrText>
      </w:r>
      <w:r>
        <w:rPr>
          <w:highlight w:val="none"/>
        </w:rPr>
        <w:fldChar w:fldCharType="separate"/>
      </w:r>
      <w:r>
        <w:rPr>
          <w:highlight w:val="none"/>
        </w:rPr>
        <w:t>4</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"_Toc29999" </w:instrText>
      </w:r>
      <w:r>
        <w:rPr>
          <w:highlight w:val="none"/>
        </w:rPr>
        <w:fldChar w:fldCharType="separate"/>
      </w:r>
      <w:r>
        <w:rPr>
          <w:rFonts w:hint="eastAsia" w:ascii="宋体" w:hAnsi="宋体" w:cs="宋体"/>
          <w:highlight w:val="none"/>
        </w:rPr>
        <w:t>第三章  评标办法（综合评估法）</w:t>
      </w:r>
      <w:r>
        <w:rPr>
          <w:highlight w:val="none"/>
        </w:rPr>
        <w:tab/>
      </w:r>
      <w:r>
        <w:rPr>
          <w:highlight w:val="none"/>
        </w:rPr>
        <w:fldChar w:fldCharType="begin"/>
      </w:r>
      <w:r>
        <w:rPr>
          <w:highlight w:val="none"/>
        </w:rPr>
        <w:instrText xml:space="preserve"> PAGEREF _Toc29999 \h </w:instrText>
      </w:r>
      <w:r>
        <w:rPr>
          <w:highlight w:val="none"/>
        </w:rPr>
        <w:fldChar w:fldCharType="separate"/>
      </w:r>
      <w:r>
        <w:rPr>
          <w:highlight w:val="none"/>
        </w:rPr>
        <w:t>26</w:t>
      </w:r>
      <w:r>
        <w:rPr>
          <w:highlight w:val="none"/>
        </w:rPr>
        <w:fldChar w:fldCharType="end"/>
      </w:r>
      <w:r>
        <w:rPr>
          <w:highlight w:val="none"/>
        </w:rPr>
        <w:fldChar w:fldCharType="end"/>
      </w:r>
    </w:p>
    <w:p>
      <w:pPr>
        <w:pStyle w:val="25"/>
        <w:tabs>
          <w:tab w:val="right" w:leader="dot" w:pos="9026"/>
        </w:tabs>
        <w:spacing w:line="360" w:lineRule="auto"/>
        <w:rPr>
          <w:highlight w:val="none"/>
        </w:rPr>
      </w:pPr>
      <w:r>
        <w:rPr>
          <w:highlight w:val="none"/>
        </w:rPr>
        <w:fldChar w:fldCharType="begin"/>
      </w:r>
      <w:r>
        <w:rPr>
          <w:highlight w:val="none"/>
        </w:rPr>
        <w:instrText xml:space="preserve"> HYPERLINK \l "_Toc7039" </w:instrText>
      </w:r>
      <w:r>
        <w:rPr>
          <w:highlight w:val="none"/>
        </w:rPr>
        <w:fldChar w:fldCharType="separate"/>
      </w:r>
      <w:r>
        <w:rPr>
          <w:rFonts w:hint="eastAsia" w:ascii="宋体" w:hAnsi="宋体" w:cs="宋体"/>
          <w:highlight w:val="none"/>
        </w:rPr>
        <w:t>评标办法前附表</w:t>
      </w:r>
      <w:r>
        <w:rPr>
          <w:highlight w:val="none"/>
        </w:rPr>
        <w:tab/>
      </w:r>
      <w:r>
        <w:rPr>
          <w:highlight w:val="none"/>
        </w:rPr>
        <w:fldChar w:fldCharType="begin"/>
      </w:r>
      <w:r>
        <w:rPr>
          <w:highlight w:val="none"/>
        </w:rPr>
        <w:instrText xml:space="preserve"> PAGEREF _Toc7039 \h </w:instrText>
      </w:r>
      <w:r>
        <w:rPr>
          <w:highlight w:val="none"/>
        </w:rPr>
        <w:fldChar w:fldCharType="separate"/>
      </w:r>
      <w:r>
        <w:rPr>
          <w:highlight w:val="none"/>
        </w:rPr>
        <w:t>26</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"_Toc26302" </w:instrText>
      </w:r>
      <w:r>
        <w:rPr>
          <w:highlight w:val="none"/>
        </w:rPr>
        <w:fldChar w:fldCharType="separate"/>
      </w:r>
      <w:r>
        <w:rPr>
          <w:rFonts w:hint="eastAsia" w:ascii="宋体" w:hAnsi="宋体" w:cs="宋体"/>
          <w:kern w:val="44"/>
          <w:szCs w:val="20"/>
          <w:highlight w:val="none"/>
        </w:rPr>
        <w:t>第四章  合同条款及格式</w:t>
      </w:r>
      <w:r>
        <w:rPr>
          <w:highlight w:val="none"/>
        </w:rPr>
        <w:tab/>
      </w:r>
      <w:r>
        <w:rPr>
          <w:highlight w:val="none"/>
        </w:rPr>
        <w:fldChar w:fldCharType="begin"/>
      </w:r>
      <w:r>
        <w:rPr>
          <w:highlight w:val="none"/>
        </w:rPr>
        <w:instrText xml:space="preserve"> PAGEREF _Toc26302 \h </w:instrText>
      </w:r>
      <w:r>
        <w:rPr>
          <w:highlight w:val="none"/>
        </w:rPr>
        <w:fldChar w:fldCharType="separate"/>
      </w:r>
      <w:r>
        <w:rPr>
          <w:highlight w:val="none"/>
        </w:rPr>
        <w:t>35</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"_Toc25142" </w:instrText>
      </w:r>
      <w:r>
        <w:rPr>
          <w:highlight w:val="none"/>
        </w:rPr>
        <w:fldChar w:fldCharType="separate"/>
      </w:r>
      <w:r>
        <w:rPr>
          <w:rFonts w:hint="eastAsia" w:ascii="宋体" w:hAnsi="宋体" w:cs="宋体"/>
          <w:highlight w:val="none"/>
        </w:rPr>
        <w:t>第二卷</w:t>
      </w:r>
      <w:r>
        <w:rPr>
          <w:highlight w:val="none"/>
        </w:rPr>
        <w:tab/>
      </w:r>
      <w:r>
        <w:rPr>
          <w:highlight w:val="none"/>
        </w:rPr>
        <w:fldChar w:fldCharType="begin"/>
      </w:r>
      <w:r>
        <w:rPr>
          <w:highlight w:val="none"/>
        </w:rPr>
        <w:instrText xml:space="preserve"> PAGEREF _Toc25142 \h </w:instrText>
      </w:r>
      <w:r>
        <w:rPr>
          <w:highlight w:val="none"/>
        </w:rPr>
        <w:fldChar w:fldCharType="separate"/>
      </w:r>
      <w:r>
        <w:rPr>
          <w:highlight w:val="none"/>
        </w:rPr>
        <w:t>49</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"_Toc28886" </w:instrText>
      </w:r>
      <w:r>
        <w:rPr>
          <w:highlight w:val="none"/>
        </w:rPr>
        <w:fldChar w:fldCharType="separate"/>
      </w:r>
      <w:r>
        <w:rPr>
          <w:rFonts w:hint="eastAsia" w:ascii="宋体" w:hAnsi="宋体" w:cs="宋体"/>
          <w:highlight w:val="none"/>
        </w:rPr>
        <w:t>第五章 委托人要求</w:t>
      </w:r>
      <w:r>
        <w:rPr>
          <w:highlight w:val="none"/>
        </w:rPr>
        <w:tab/>
      </w:r>
      <w:r>
        <w:rPr>
          <w:highlight w:val="none"/>
        </w:rPr>
        <w:fldChar w:fldCharType="begin"/>
      </w:r>
      <w:r>
        <w:rPr>
          <w:highlight w:val="none"/>
        </w:rPr>
        <w:instrText xml:space="preserve"> PAGEREF _Toc28886 \h </w:instrText>
      </w:r>
      <w:r>
        <w:rPr>
          <w:highlight w:val="none"/>
        </w:rPr>
        <w:fldChar w:fldCharType="separate"/>
      </w:r>
      <w:r>
        <w:rPr>
          <w:highlight w:val="none"/>
        </w:rPr>
        <w:t>49</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"_Toc25401" </w:instrText>
      </w:r>
      <w:r>
        <w:rPr>
          <w:highlight w:val="none"/>
        </w:rPr>
        <w:fldChar w:fldCharType="separate"/>
      </w:r>
      <w:r>
        <w:rPr>
          <w:rFonts w:hint="eastAsia" w:ascii="宋体" w:hAnsi="宋体" w:cs="宋体"/>
          <w:highlight w:val="none"/>
        </w:rPr>
        <w:t>第三卷</w:t>
      </w:r>
      <w:r>
        <w:rPr>
          <w:highlight w:val="none"/>
        </w:rPr>
        <w:tab/>
      </w:r>
      <w:r>
        <w:rPr>
          <w:highlight w:val="none"/>
        </w:rPr>
        <w:fldChar w:fldCharType="begin"/>
      </w:r>
      <w:r>
        <w:rPr>
          <w:highlight w:val="none"/>
        </w:rPr>
        <w:instrText xml:space="preserve"> PAGEREF _Toc25401 \h </w:instrText>
      </w:r>
      <w:r>
        <w:rPr>
          <w:highlight w:val="none"/>
        </w:rPr>
        <w:fldChar w:fldCharType="separate"/>
      </w:r>
      <w:r>
        <w:rPr>
          <w:highlight w:val="none"/>
        </w:rPr>
        <w:t>54</w:t>
      </w:r>
      <w:r>
        <w:rPr>
          <w:highlight w:val="none"/>
        </w:rPr>
        <w:fldChar w:fldCharType="end"/>
      </w:r>
      <w:r>
        <w:rPr>
          <w:highlight w:val="none"/>
        </w:rPr>
        <w:fldChar w:fldCharType="end"/>
      </w:r>
    </w:p>
    <w:p>
      <w:pPr>
        <w:pStyle w:val="24"/>
        <w:tabs>
          <w:tab w:val="right" w:leader="dot" w:pos="9026"/>
        </w:tabs>
        <w:spacing w:line="360" w:lineRule="auto"/>
        <w:rPr>
          <w:highlight w:val="none"/>
        </w:rPr>
      </w:pPr>
      <w:r>
        <w:rPr>
          <w:highlight w:val="none"/>
        </w:rPr>
        <w:fldChar w:fldCharType="begin"/>
      </w:r>
      <w:r>
        <w:rPr>
          <w:highlight w:val="none"/>
        </w:rPr>
        <w:instrText xml:space="preserve"> HYPERLINK \l "_Toc9978" </w:instrText>
      </w:r>
      <w:r>
        <w:rPr>
          <w:highlight w:val="none"/>
        </w:rPr>
        <w:fldChar w:fldCharType="separate"/>
      </w:r>
      <w:r>
        <w:rPr>
          <w:rFonts w:hint="eastAsia" w:ascii="宋体" w:hAnsi="宋体" w:cs="宋体"/>
          <w:highlight w:val="none"/>
        </w:rPr>
        <w:t>第六章  投标文件格式</w:t>
      </w:r>
      <w:r>
        <w:rPr>
          <w:highlight w:val="none"/>
        </w:rPr>
        <w:tab/>
      </w:r>
      <w:r>
        <w:rPr>
          <w:highlight w:val="none"/>
        </w:rPr>
        <w:fldChar w:fldCharType="begin"/>
      </w:r>
      <w:r>
        <w:rPr>
          <w:highlight w:val="none"/>
        </w:rPr>
        <w:instrText xml:space="preserve"> PAGEREF _Toc9978 \h </w:instrText>
      </w:r>
      <w:r>
        <w:rPr>
          <w:highlight w:val="none"/>
        </w:rPr>
        <w:fldChar w:fldCharType="separate"/>
      </w:r>
      <w:r>
        <w:rPr>
          <w:highlight w:val="none"/>
        </w:rPr>
        <w:t>54</w:t>
      </w:r>
      <w:r>
        <w:rPr>
          <w:highlight w:val="none"/>
        </w:rPr>
        <w:fldChar w:fldCharType="end"/>
      </w:r>
      <w:r>
        <w:rPr>
          <w:highlight w:val="none"/>
        </w:rPr>
        <w:fldChar w:fldCharType="end"/>
      </w:r>
    </w:p>
    <w:p>
      <w:pPr>
        <w:pStyle w:val="15"/>
        <w:tabs>
          <w:tab w:val="right" w:leader="dot" w:pos="9026"/>
        </w:tabs>
        <w:spacing w:line="360" w:lineRule="auto"/>
        <w:rPr>
          <w:rFonts w:ascii="宋体" w:hAnsi="宋体" w:cs="宋体"/>
          <w:szCs w:val="28"/>
          <w:highlight w:val="none"/>
        </w:rPr>
      </w:pPr>
      <w:r>
        <w:rPr>
          <w:highlight w:val="none"/>
        </w:rPr>
        <w:fldChar w:fldCharType="begin"/>
      </w:r>
      <w:r>
        <w:rPr>
          <w:highlight w:val="none"/>
        </w:rPr>
        <w:instrText xml:space="preserve"> HYPERLINK \l "_Toc27111" </w:instrText>
      </w:r>
      <w:r>
        <w:rPr>
          <w:highlight w:val="none"/>
        </w:rPr>
        <w:fldChar w:fldCharType="separate"/>
      </w:r>
      <w:r>
        <w:rPr>
          <w:rFonts w:hint="eastAsia" w:ascii="宋体" w:hAnsi="宋体" w:cs="宋体"/>
          <w:szCs w:val="28"/>
          <w:highlight w:val="none"/>
        </w:rPr>
        <w:t>一、投标函及其附表</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_Toc27111 \h </w:instrText>
      </w:r>
      <w:r>
        <w:rPr>
          <w:rFonts w:hint="eastAsia" w:ascii="宋体" w:hAnsi="宋体" w:cs="宋体"/>
          <w:szCs w:val="28"/>
          <w:highlight w:val="none"/>
        </w:rPr>
        <w:fldChar w:fldCharType="separate"/>
      </w:r>
      <w:r>
        <w:rPr>
          <w:rFonts w:hint="eastAsia" w:ascii="宋体" w:hAnsi="宋体" w:cs="宋体"/>
          <w:szCs w:val="28"/>
          <w:highlight w:val="none"/>
        </w:rPr>
        <w:t>55</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pStyle w:val="15"/>
        <w:tabs>
          <w:tab w:val="right" w:leader="dot" w:pos="9026"/>
        </w:tabs>
        <w:spacing w:line="360" w:lineRule="auto"/>
        <w:rPr>
          <w:rFonts w:ascii="宋体" w:hAnsi="宋体" w:cs="宋体"/>
          <w:szCs w:val="28"/>
          <w:highlight w:val="none"/>
        </w:rPr>
      </w:pPr>
      <w:r>
        <w:rPr>
          <w:highlight w:val="none"/>
        </w:rPr>
        <w:fldChar w:fldCharType="begin"/>
      </w:r>
      <w:r>
        <w:rPr>
          <w:highlight w:val="none"/>
        </w:rPr>
        <w:instrText xml:space="preserve"> HYPERLINK \l "_Toc6596" </w:instrText>
      </w:r>
      <w:r>
        <w:rPr>
          <w:highlight w:val="none"/>
        </w:rPr>
        <w:fldChar w:fldCharType="separate"/>
      </w:r>
      <w:r>
        <w:rPr>
          <w:rFonts w:hint="eastAsia" w:ascii="宋体" w:hAnsi="宋体" w:cs="宋体"/>
          <w:szCs w:val="28"/>
          <w:highlight w:val="none"/>
        </w:rPr>
        <w:t>二、法定代表人身份证明或授权委托书（格式可自定）</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_Toc6596 \h </w:instrText>
      </w:r>
      <w:r>
        <w:rPr>
          <w:rFonts w:hint="eastAsia" w:ascii="宋体" w:hAnsi="宋体" w:cs="宋体"/>
          <w:szCs w:val="28"/>
          <w:highlight w:val="none"/>
        </w:rPr>
        <w:fldChar w:fldCharType="separate"/>
      </w:r>
      <w:r>
        <w:rPr>
          <w:rFonts w:hint="eastAsia" w:ascii="宋体" w:hAnsi="宋体" w:cs="宋体"/>
          <w:szCs w:val="28"/>
          <w:highlight w:val="none"/>
        </w:rPr>
        <w:t>57</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pStyle w:val="15"/>
        <w:tabs>
          <w:tab w:val="right" w:leader="dot" w:pos="9026"/>
        </w:tabs>
        <w:spacing w:line="360" w:lineRule="auto"/>
        <w:rPr>
          <w:rFonts w:ascii="宋体" w:hAnsi="宋体" w:cs="宋体"/>
          <w:szCs w:val="28"/>
          <w:highlight w:val="none"/>
        </w:rPr>
      </w:pPr>
      <w:r>
        <w:rPr>
          <w:highlight w:val="none"/>
        </w:rPr>
        <w:fldChar w:fldCharType="begin"/>
      </w:r>
      <w:r>
        <w:rPr>
          <w:highlight w:val="none"/>
        </w:rPr>
        <w:instrText xml:space="preserve"> HYPERLINK \l "_Toc30389" </w:instrText>
      </w:r>
      <w:r>
        <w:rPr>
          <w:highlight w:val="none"/>
        </w:rPr>
        <w:fldChar w:fldCharType="separate"/>
      </w:r>
      <w:r>
        <w:rPr>
          <w:rFonts w:hint="eastAsia" w:ascii="宋体" w:hAnsi="宋体" w:cs="宋体"/>
          <w:szCs w:val="28"/>
          <w:highlight w:val="none"/>
        </w:rPr>
        <w:t>三、投标报价书</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_Toc30389 \h </w:instrText>
      </w:r>
      <w:r>
        <w:rPr>
          <w:rFonts w:hint="eastAsia" w:ascii="宋体" w:hAnsi="宋体" w:cs="宋体"/>
          <w:szCs w:val="28"/>
          <w:highlight w:val="none"/>
        </w:rPr>
        <w:fldChar w:fldCharType="separate"/>
      </w:r>
      <w:r>
        <w:rPr>
          <w:rFonts w:hint="eastAsia" w:ascii="宋体" w:hAnsi="宋体" w:cs="宋体"/>
          <w:szCs w:val="28"/>
          <w:highlight w:val="none"/>
        </w:rPr>
        <w:t>58</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pStyle w:val="15"/>
        <w:tabs>
          <w:tab w:val="right" w:leader="dot" w:pos="9026"/>
        </w:tabs>
        <w:spacing w:line="360" w:lineRule="auto"/>
        <w:rPr>
          <w:rFonts w:ascii="宋体" w:hAnsi="宋体" w:cs="宋体"/>
          <w:szCs w:val="28"/>
          <w:highlight w:val="none"/>
        </w:rPr>
      </w:pPr>
      <w:r>
        <w:rPr>
          <w:highlight w:val="none"/>
        </w:rPr>
        <w:fldChar w:fldCharType="begin"/>
      </w:r>
      <w:r>
        <w:rPr>
          <w:highlight w:val="none"/>
        </w:rPr>
        <w:instrText xml:space="preserve"> HYPERLINK \l "_Toc22267" </w:instrText>
      </w:r>
      <w:r>
        <w:rPr>
          <w:highlight w:val="none"/>
        </w:rPr>
        <w:fldChar w:fldCharType="separate"/>
      </w:r>
      <w:r>
        <w:rPr>
          <w:rFonts w:hint="eastAsia" w:ascii="宋体" w:hAnsi="宋体" w:cs="宋体"/>
          <w:szCs w:val="28"/>
          <w:highlight w:val="none"/>
        </w:rPr>
        <w:t>四、投标承诺书</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_Toc22267 \h </w:instrText>
      </w:r>
      <w:r>
        <w:rPr>
          <w:rFonts w:hint="eastAsia" w:ascii="宋体" w:hAnsi="宋体" w:cs="宋体"/>
          <w:szCs w:val="28"/>
          <w:highlight w:val="none"/>
        </w:rPr>
        <w:fldChar w:fldCharType="separate"/>
      </w:r>
      <w:r>
        <w:rPr>
          <w:rFonts w:hint="eastAsia" w:ascii="宋体" w:hAnsi="宋体" w:cs="宋体"/>
          <w:szCs w:val="28"/>
          <w:highlight w:val="none"/>
        </w:rPr>
        <w:t>60</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pStyle w:val="15"/>
        <w:tabs>
          <w:tab w:val="right" w:leader="dot" w:pos="9026"/>
        </w:tabs>
        <w:spacing w:line="360" w:lineRule="auto"/>
        <w:rPr>
          <w:rFonts w:ascii="宋体" w:hAnsi="宋体" w:cs="宋体"/>
          <w:szCs w:val="28"/>
          <w:highlight w:val="none"/>
        </w:rPr>
      </w:pPr>
      <w:r>
        <w:rPr>
          <w:highlight w:val="none"/>
        </w:rPr>
        <w:fldChar w:fldCharType="begin"/>
      </w:r>
      <w:r>
        <w:rPr>
          <w:highlight w:val="none"/>
        </w:rPr>
        <w:instrText xml:space="preserve"> HYPERLINK \l "_Toc23243" </w:instrText>
      </w:r>
      <w:r>
        <w:rPr>
          <w:highlight w:val="none"/>
        </w:rPr>
        <w:fldChar w:fldCharType="separate"/>
      </w:r>
      <w:r>
        <w:rPr>
          <w:rFonts w:hint="eastAsia" w:ascii="宋体" w:hAnsi="宋体" w:cs="宋体"/>
          <w:szCs w:val="28"/>
          <w:highlight w:val="none"/>
        </w:rPr>
        <w:t>五、资格审查资料</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_Toc23243 \h </w:instrText>
      </w:r>
      <w:r>
        <w:rPr>
          <w:rFonts w:hint="eastAsia" w:ascii="宋体" w:hAnsi="宋体" w:cs="宋体"/>
          <w:szCs w:val="28"/>
          <w:highlight w:val="none"/>
        </w:rPr>
        <w:fldChar w:fldCharType="separate"/>
      </w:r>
      <w:r>
        <w:rPr>
          <w:rFonts w:hint="eastAsia" w:ascii="宋体" w:hAnsi="宋体" w:cs="宋体"/>
          <w:szCs w:val="28"/>
          <w:highlight w:val="none"/>
        </w:rPr>
        <w:t>61</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pStyle w:val="15"/>
        <w:tabs>
          <w:tab w:val="right" w:leader="dot" w:pos="9026"/>
        </w:tabs>
        <w:spacing w:line="360" w:lineRule="auto"/>
        <w:rPr>
          <w:rFonts w:ascii="宋体" w:hAnsi="宋体" w:cs="宋体"/>
          <w:szCs w:val="28"/>
          <w:highlight w:val="none"/>
        </w:rPr>
      </w:pPr>
      <w:r>
        <w:rPr>
          <w:highlight w:val="none"/>
        </w:rPr>
        <w:fldChar w:fldCharType="begin"/>
      </w:r>
      <w:r>
        <w:rPr>
          <w:highlight w:val="none"/>
        </w:rPr>
        <w:instrText xml:space="preserve"> HYPERLINK \l "_Toc931" </w:instrText>
      </w:r>
      <w:r>
        <w:rPr>
          <w:highlight w:val="none"/>
        </w:rPr>
        <w:fldChar w:fldCharType="separate"/>
      </w:r>
      <w:r>
        <w:rPr>
          <w:rFonts w:hint="eastAsia" w:ascii="宋体" w:hAnsi="宋体" w:cs="宋体"/>
          <w:szCs w:val="28"/>
          <w:highlight w:val="none"/>
        </w:rPr>
        <w:t>六、资信业绩</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_Toc931 \h </w:instrText>
      </w:r>
      <w:r>
        <w:rPr>
          <w:rFonts w:hint="eastAsia" w:ascii="宋体" w:hAnsi="宋体" w:cs="宋体"/>
          <w:szCs w:val="28"/>
          <w:highlight w:val="none"/>
        </w:rPr>
        <w:fldChar w:fldCharType="separate"/>
      </w:r>
      <w:r>
        <w:rPr>
          <w:rFonts w:hint="eastAsia" w:ascii="宋体" w:hAnsi="宋体" w:cs="宋体"/>
          <w:szCs w:val="28"/>
          <w:highlight w:val="none"/>
        </w:rPr>
        <w:t>66</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pStyle w:val="15"/>
        <w:tabs>
          <w:tab w:val="right" w:leader="dot" w:pos="9026"/>
        </w:tabs>
        <w:spacing w:line="360" w:lineRule="auto"/>
        <w:rPr>
          <w:rFonts w:ascii="宋体" w:hAnsi="宋体" w:cs="宋体"/>
          <w:szCs w:val="28"/>
          <w:highlight w:val="none"/>
        </w:rPr>
      </w:pPr>
      <w:r>
        <w:rPr>
          <w:highlight w:val="none"/>
        </w:rPr>
        <w:fldChar w:fldCharType="begin"/>
      </w:r>
      <w:r>
        <w:rPr>
          <w:highlight w:val="none"/>
        </w:rPr>
        <w:instrText xml:space="preserve"> HYPERLINK \l "_Toc17844" </w:instrText>
      </w:r>
      <w:r>
        <w:rPr>
          <w:highlight w:val="none"/>
        </w:rPr>
        <w:fldChar w:fldCharType="separate"/>
      </w:r>
      <w:r>
        <w:rPr>
          <w:rFonts w:hint="eastAsia" w:ascii="宋体" w:hAnsi="宋体" w:cs="宋体"/>
          <w:szCs w:val="28"/>
          <w:highlight w:val="none"/>
        </w:rPr>
        <w:t>七、检测技术方案</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_Toc17844 \h </w:instrText>
      </w:r>
      <w:r>
        <w:rPr>
          <w:rFonts w:hint="eastAsia" w:ascii="宋体" w:hAnsi="宋体" w:cs="宋体"/>
          <w:szCs w:val="28"/>
          <w:highlight w:val="none"/>
        </w:rPr>
        <w:fldChar w:fldCharType="separate"/>
      </w:r>
      <w:r>
        <w:rPr>
          <w:rFonts w:hint="eastAsia" w:ascii="宋体" w:hAnsi="宋体" w:cs="宋体"/>
          <w:szCs w:val="28"/>
          <w:highlight w:val="none"/>
        </w:rPr>
        <w:t>67</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pStyle w:val="15"/>
        <w:tabs>
          <w:tab w:val="right" w:leader="dot" w:pos="9026"/>
        </w:tabs>
        <w:spacing w:line="360" w:lineRule="auto"/>
        <w:rPr>
          <w:highlight w:val="none"/>
        </w:rPr>
      </w:pPr>
      <w:r>
        <w:rPr>
          <w:highlight w:val="none"/>
        </w:rPr>
        <w:fldChar w:fldCharType="begin"/>
      </w:r>
      <w:r>
        <w:rPr>
          <w:highlight w:val="none"/>
        </w:rPr>
        <w:instrText xml:space="preserve"> HYPERLINK \l "_Toc32102" </w:instrText>
      </w:r>
      <w:r>
        <w:rPr>
          <w:highlight w:val="none"/>
        </w:rPr>
        <w:fldChar w:fldCharType="separate"/>
      </w:r>
      <w:r>
        <w:rPr>
          <w:rFonts w:hint="eastAsia" w:ascii="宋体" w:hAnsi="宋体" w:cs="宋体"/>
          <w:szCs w:val="28"/>
          <w:highlight w:val="none"/>
        </w:rPr>
        <w:t>八、其他资料</w:t>
      </w:r>
      <w:r>
        <w:rPr>
          <w:rFonts w:hint="eastAsia" w:ascii="宋体" w:hAnsi="宋体" w:cs="宋体"/>
          <w:szCs w:val="28"/>
          <w:highlight w:val="none"/>
        </w:rPr>
        <w:tab/>
      </w:r>
      <w:r>
        <w:rPr>
          <w:rFonts w:hint="eastAsia" w:ascii="宋体" w:hAnsi="宋体" w:cs="宋体"/>
          <w:szCs w:val="28"/>
          <w:highlight w:val="none"/>
        </w:rPr>
        <w:fldChar w:fldCharType="begin"/>
      </w:r>
      <w:r>
        <w:rPr>
          <w:rFonts w:hint="eastAsia" w:ascii="宋体" w:hAnsi="宋体" w:cs="宋体"/>
          <w:szCs w:val="28"/>
          <w:highlight w:val="none"/>
        </w:rPr>
        <w:instrText xml:space="preserve"> PAGEREF _Toc32102 \h </w:instrText>
      </w:r>
      <w:r>
        <w:rPr>
          <w:rFonts w:hint="eastAsia" w:ascii="宋体" w:hAnsi="宋体" w:cs="宋体"/>
          <w:szCs w:val="28"/>
          <w:highlight w:val="none"/>
        </w:rPr>
        <w:fldChar w:fldCharType="separate"/>
      </w:r>
      <w:r>
        <w:rPr>
          <w:rFonts w:hint="eastAsia" w:ascii="宋体" w:hAnsi="宋体" w:cs="宋体"/>
          <w:szCs w:val="28"/>
          <w:highlight w:val="none"/>
        </w:rPr>
        <w:t>68</w:t>
      </w:r>
      <w:r>
        <w:rPr>
          <w:rFonts w:hint="eastAsia" w:ascii="宋体" w:hAnsi="宋体" w:cs="宋体"/>
          <w:szCs w:val="28"/>
          <w:highlight w:val="none"/>
        </w:rPr>
        <w:fldChar w:fldCharType="end"/>
      </w:r>
      <w:r>
        <w:rPr>
          <w:rFonts w:hint="eastAsia" w:ascii="宋体" w:hAnsi="宋体" w:cs="宋体"/>
          <w:szCs w:val="28"/>
          <w:highlight w:val="none"/>
        </w:rPr>
        <w:fldChar w:fldCharType="end"/>
      </w:r>
    </w:p>
    <w:p>
      <w:pPr>
        <w:spacing w:line="360" w:lineRule="auto"/>
        <w:ind w:firstLine="420" w:firstLineChars="200"/>
        <w:rPr>
          <w:rFonts w:ascii="宋体" w:hAnsi="宋体" w:cs="宋体"/>
          <w:highlight w:val="none"/>
        </w:rPr>
      </w:pPr>
      <w:r>
        <w:rPr>
          <w:rFonts w:hint="eastAsia" w:ascii="宋体" w:hAnsi="宋体" w:cs="宋体"/>
          <w:szCs w:val="28"/>
          <w:highlight w:val="none"/>
        </w:rPr>
        <w:fldChar w:fldCharType="end"/>
      </w:r>
      <w:r>
        <w:rPr>
          <w:rFonts w:hint="eastAsia" w:ascii="宋体" w:hAnsi="宋体" w:cs="宋体"/>
          <w:highlight w:val="none"/>
        </w:rPr>
        <w:br w:type="page"/>
      </w:r>
    </w:p>
    <w:p>
      <w:pPr>
        <w:pStyle w:val="2"/>
        <w:spacing w:line="360" w:lineRule="auto"/>
        <w:ind w:firstLine="470"/>
        <w:rPr>
          <w:rFonts w:cs="宋体"/>
          <w:highlight w:val="none"/>
        </w:rPr>
      </w:pPr>
      <w:bookmarkStart w:id="3" w:name="_Toc30985"/>
      <w:r>
        <w:rPr>
          <w:rFonts w:hint="eastAsia" w:cs="宋体"/>
          <w:highlight w:val="none"/>
        </w:rPr>
        <w:t>第一卷</w:t>
      </w:r>
      <w:bookmarkEnd w:id="3"/>
    </w:p>
    <w:p>
      <w:pPr>
        <w:pStyle w:val="2"/>
        <w:spacing w:line="360" w:lineRule="auto"/>
        <w:rPr>
          <w:rFonts w:cs="宋体"/>
          <w:sz w:val="28"/>
          <w:highlight w:val="none"/>
        </w:rPr>
      </w:pPr>
      <w:bookmarkStart w:id="4" w:name="_Toc2661"/>
      <w:bookmarkStart w:id="5" w:name="_Toc533357306"/>
      <w:r>
        <w:rPr>
          <w:rFonts w:hint="eastAsia" w:cs="宋体"/>
          <w:highlight w:val="none"/>
        </w:rPr>
        <w:t>第一章  招标公告</w:t>
      </w:r>
      <w:bookmarkEnd w:id="4"/>
    </w:p>
    <w:p>
      <w:pPr>
        <w:spacing w:line="360" w:lineRule="auto"/>
        <w:jc w:val="center"/>
        <w:rPr>
          <w:rFonts w:ascii="宋体" w:hAnsi="宋体" w:cs="宋体"/>
          <w:b/>
          <w:bCs/>
          <w:sz w:val="40"/>
          <w:szCs w:val="52"/>
          <w:highlight w:val="none"/>
        </w:rPr>
      </w:pPr>
      <w:r>
        <w:rPr>
          <w:rFonts w:hint="eastAsia" w:ascii="宋体" w:hAnsi="宋体" w:cs="宋体"/>
          <w:b/>
          <w:bCs/>
          <w:sz w:val="40"/>
          <w:szCs w:val="52"/>
          <w:highlight w:val="none"/>
        </w:rPr>
        <w:t>明珠工业园明珠片区新开发地块市政基础设施工程</w:t>
      </w:r>
      <w:r>
        <w:rPr>
          <w:rFonts w:hint="eastAsia" w:ascii="宋体" w:hAnsi="宋体" w:cs="宋体"/>
          <w:b/>
          <w:bCs/>
          <w:sz w:val="40"/>
          <w:szCs w:val="52"/>
          <w:highlight w:val="none"/>
          <w:lang w:eastAsia="zh-CN"/>
        </w:rPr>
        <w:t>检验检测</w:t>
      </w:r>
      <w:r>
        <w:rPr>
          <w:rFonts w:hint="eastAsia" w:ascii="宋体" w:hAnsi="宋体" w:cs="宋体"/>
          <w:b/>
          <w:bCs/>
          <w:sz w:val="40"/>
          <w:szCs w:val="52"/>
          <w:highlight w:val="none"/>
        </w:rPr>
        <w:t>招标公告</w:t>
      </w:r>
    </w:p>
    <w:p>
      <w:pPr>
        <w:spacing w:line="360" w:lineRule="auto"/>
        <w:jc w:val="center"/>
        <w:rPr>
          <w:rFonts w:ascii="宋体" w:hAnsi="宋体" w:cs="宋体"/>
          <w:b/>
          <w:bCs/>
          <w:sz w:val="40"/>
          <w:szCs w:val="52"/>
          <w:highlight w:val="none"/>
        </w:rPr>
      </w:pPr>
      <w:r>
        <w:rPr>
          <w:rFonts w:hint="eastAsia" w:ascii="宋体" w:hAnsi="宋体" w:cs="宋体"/>
          <w:b/>
          <w:bCs/>
          <w:sz w:val="40"/>
          <w:szCs w:val="52"/>
          <w:highlight w:val="none"/>
        </w:rPr>
        <w:t>（另册）</w:t>
      </w:r>
    </w:p>
    <w:p>
      <w:pPr>
        <w:spacing w:line="360" w:lineRule="auto"/>
        <w:ind w:left="3986" w:firstLine="421"/>
        <w:rPr>
          <w:rFonts w:ascii="宋体" w:hAnsi="宋体" w:cs="宋体"/>
          <w:highlight w:val="none"/>
        </w:rPr>
      </w:pPr>
    </w:p>
    <w:p>
      <w:pPr>
        <w:pStyle w:val="2"/>
        <w:spacing w:line="360" w:lineRule="auto"/>
        <w:rPr>
          <w:rFonts w:cs="宋体"/>
          <w:sz w:val="28"/>
          <w:highlight w:val="none"/>
        </w:rPr>
      </w:pPr>
      <w:bookmarkStart w:id="6" w:name="_Toc511557031"/>
      <w:bookmarkStart w:id="7" w:name="_Toc514099629"/>
      <w:r>
        <w:rPr>
          <w:rFonts w:hint="eastAsia" w:cs="宋体"/>
          <w:highlight w:val="none"/>
        </w:rPr>
        <w:br w:type="page"/>
      </w:r>
      <w:bookmarkEnd w:id="5"/>
      <w:bookmarkEnd w:id="6"/>
      <w:bookmarkEnd w:id="7"/>
      <w:bookmarkStart w:id="8" w:name="_Toc369531495"/>
      <w:bookmarkEnd w:id="8"/>
      <w:bookmarkStart w:id="9" w:name="_Toc17972"/>
      <w:bookmarkEnd w:id="9"/>
      <w:bookmarkStart w:id="10" w:name="_Toc361508563"/>
      <w:bookmarkEnd w:id="10"/>
      <w:bookmarkStart w:id="11" w:name="_Toc300834929"/>
      <w:bookmarkEnd w:id="11"/>
      <w:bookmarkStart w:id="12" w:name="_Toc144974481"/>
      <w:bookmarkEnd w:id="12"/>
      <w:bookmarkStart w:id="13" w:name="_Toc369531497"/>
      <w:bookmarkEnd w:id="13"/>
      <w:bookmarkStart w:id="14" w:name="_Toc247527536"/>
      <w:bookmarkEnd w:id="14"/>
      <w:bookmarkStart w:id="15" w:name="_Toc369531498"/>
      <w:bookmarkEnd w:id="15"/>
      <w:bookmarkStart w:id="16" w:name="_Toc361508560"/>
      <w:bookmarkEnd w:id="16"/>
      <w:bookmarkStart w:id="17" w:name="_Toc247513934"/>
      <w:bookmarkEnd w:id="17"/>
      <w:bookmarkStart w:id="18" w:name="_Toc352691455"/>
      <w:bookmarkEnd w:id="18"/>
      <w:bookmarkStart w:id="19" w:name="_Toc247513935"/>
      <w:bookmarkEnd w:id="19"/>
      <w:bookmarkStart w:id="20" w:name="_Toc152045513"/>
      <w:bookmarkEnd w:id="20"/>
      <w:bookmarkStart w:id="21" w:name="_Toc144974480"/>
      <w:bookmarkEnd w:id="21"/>
      <w:bookmarkStart w:id="22" w:name="_Toc152042289"/>
      <w:bookmarkEnd w:id="22"/>
      <w:bookmarkStart w:id="23" w:name="_Toc152045512"/>
      <w:bookmarkEnd w:id="23"/>
      <w:bookmarkStart w:id="24" w:name="_Toc384308187"/>
      <w:bookmarkEnd w:id="24"/>
      <w:bookmarkStart w:id="25" w:name="_Toc300834930"/>
      <w:bookmarkEnd w:id="25"/>
      <w:bookmarkStart w:id="26" w:name="_Toc152042288"/>
      <w:bookmarkEnd w:id="26"/>
      <w:bookmarkStart w:id="27" w:name="_Toc300834927"/>
      <w:bookmarkEnd w:id="27"/>
      <w:bookmarkStart w:id="28" w:name="_Toc352691456"/>
      <w:bookmarkEnd w:id="28"/>
      <w:bookmarkStart w:id="29" w:name="_Toc384308188"/>
      <w:bookmarkEnd w:id="29"/>
      <w:bookmarkStart w:id="30" w:name="_Toc384308185"/>
      <w:bookmarkEnd w:id="30"/>
      <w:bookmarkStart w:id="31" w:name="_Toc30817"/>
      <w:bookmarkEnd w:id="31"/>
      <w:bookmarkStart w:id="32" w:name="_Toc352691453"/>
      <w:bookmarkEnd w:id="32"/>
      <w:bookmarkStart w:id="33" w:name="_Toc361508562"/>
      <w:bookmarkEnd w:id="33"/>
      <w:bookmarkStart w:id="34" w:name="_Toc247527535"/>
      <w:bookmarkEnd w:id="34"/>
      <w:bookmarkStart w:id="35" w:name="_Toc10785"/>
      <w:bookmarkEnd w:id="35"/>
      <w:bookmarkStart w:id="36" w:name="_Toc3241"/>
      <w:r>
        <w:rPr>
          <w:rFonts w:hint="eastAsia" w:cs="宋体"/>
          <w:highlight w:val="none"/>
        </w:rPr>
        <w:t>第二章  投标人须知</w:t>
      </w:r>
      <w:bookmarkEnd w:id="36"/>
    </w:p>
    <w:p>
      <w:pPr>
        <w:pStyle w:val="3"/>
        <w:spacing w:line="360" w:lineRule="auto"/>
        <w:rPr>
          <w:rFonts w:ascii="宋体" w:hAnsi="宋体" w:cs="宋体"/>
          <w:highlight w:val="none"/>
        </w:rPr>
      </w:pPr>
      <w:bookmarkStart w:id="37" w:name="_Toc22469"/>
      <w:bookmarkStart w:id="38" w:name="_Toc533357307"/>
      <w:r>
        <w:rPr>
          <w:rFonts w:hint="eastAsia" w:ascii="宋体" w:hAnsi="宋体" w:cs="宋体"/>
          <w:highlight w:val="none"/>
        </w:rPr>
        <w:t>投标人须知前附表</w:t>
      </w:r>
      <w:bookmarkEnd w:id="37"/>
      <w:bookmarkEnd w:id="38"/>
    </w:p>
    <w:tbl>
      <w:tblPr>
        <w:tblStyle w:val="29"/>
        <w:tblW w:w="4997"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1912"/>
        <w:gridCol w:w="64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457" w:type="pct"/>
            <w:tcBorders>
              <w:top w:val="single" w:color="auto" w:sz="4" w:space="0"/>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条款号</w:t>
            </w:r>
          </w:p>
        </w:tc>
        <w:tc>
          <w:tcPr>
            <w:tcW w:w="1035" w:type="pct"/>
            <w:tcBorders>
              <w:top w:val="single" w:color="auto" w:sz="4" w:space="0"/>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条款名称</w:t>
            </w:r>
          </w:p>
        </w:tc>
        <w:tc>
          <w:tcPr>
            <w:tcW w:w="3506" w:type="pct"/>
            <w:tcBorders>
              <w:top w:val="single" w:color="auto" w:sz="4" w:space="0"/>
            </w:tcBorders>
            <w:vAlign w:val="center"/>
          </w:tcPr>
          <w:p>
            <w:pPr>
              <w:snapToGrid w:val="0"/>
              <w:spacing w:line="360" w:lineRule="auto"/>
              <w:jc w:val="center"/>
              <w:rPr>
                <w:rFonts w:ascii="宋体" w:hAnsi="宋体" w:cs="宋体"/>
                <w:b/>
                <w:szCs w:val="21"/>
                <w:highlight w:val="none"/>
              </w:rPr>
            </w:pPr>
            <w:r>
              <w:rPr>
                <w:rFonts w:hint="eastAsia" w:ascii="宋体" w:hAnsi="宋体" w:cs="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招标人</w:t>
            </w:r>
          </w:p>
        </w:tc>
        <w:tc>
          <w:tcPr>
            <w:tcW w:w="3506" w:type="pct"/>
            <w:vAlign w:val="center"/>
          </w:tcPr>
          <w:p>
            <w:pPr>
              <w:spacing w:line="360" w:lineRule="auto"/>
              <w:rPr>
                <w:rFonts w:ascii="宋体" w:hAnsi="宋体" w:cs="宋体"/>
                <w:szCs w:val="21"/>
                <w:highlight w:val="none"/>
                <w:u w:val="single"/>
              </w:rPr>
            </w:pPr>
            <w:r>
              <w:rPr>
                <w:rFonts w:hint="eastAsia" w:ascii="宋体" w:hAnsi="宋体" w:cs="宋体"/>
                <w:szCs w:val="21"/>
                <w:highlight w:val="none"/>
              </w:rPr>
              <w:t>名称：</w:t>
            </w:r>
            <w:r>
              <w:rPr>
                <w:rFonts w:hint="eastAsia" w:ascii="宋体" w:hAnsi="宋体" w:cs="宋体"/>
                <w:szCs w:val="21"/>
                <w:highlight w:val="none"/>
                <w:u w:val="single"/>
              </w:rPr>
              <w:t>广东从化经济开发区管理委员会</w:t>
            </w:r>
          </w:p>
          <w:p>
            <w:pPr>
              <w:spacing w:line="360" w:lineRule="auto"/>
              <w:rPr>
                <w:rFonts w:ascii="宋体" w:hAnsi="宋体" w:cs="宋体"/>
                <w:szCs w:val="21"/>
                <w:highlight w:val="none"/>
                <w:u w:val="single"/>
              </w:rPr>
            </w:pPr>
            <w:r>
              <w:rPr>
                <w:rFonts w:hint="eastAsia" w:ascii="宋体" w:hAnsi="宋体" w:cs="宋体"/>
                <w:szCs w:val="21"/>
                <w:highlight w:val="none"/>
              </w:rPr>
              <w:t>地址：</w:t>
            </w:r>
            <w:r>
              <w:rPr>
                <w:rFonts w:hint="eastAsia" w:ascii="宋体" w:hAnsi="宋体" w:cs="宋体"/>
                <w:szCs w:val="21"/>
                <w:highlight w:val="none"/>
                <w:u w:val="single"/>
              </w:rPr>
              <w:t>广州市从化区明珠工业园广场路8号</w:t>
            </w:r>
          </w:p>
          <w:p>
            <w:pPr>
              <w:spacing w:line="360" w:lineRule="auto"/>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u w:val="single"/>
              </w:rPr>
              <w:t>李工</w:t>
            </w:r>
          </w:p>
          <w:p>
            <w:pPr>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rPr>
              <w:t>电话：</w:t>
            </w:r>
            <w:r>
              <w:rPr>
                <w:rFonts w:hint="eastAsia" w:ascii="宋体" w:hAnsi="宋体" w:cs="宋体"/>
                <w:szCs w:val="21"/>
                <w:highlight w:val="none"/>
                <w:u w:val="single"/>
              </w:rPr>
              <w:t>020-</w:t>
            </w:r>
            <w:r>
              <w:rPr>
                <w:rFonts w:hint="eastAsia" w:ascii="宋体" w:hAnsi="宋体" w:cs="宋体"/>
                <w:szCs w:val="21"/>
                <w:highlight w:val="none"/>
                <w:u w:val="single"/>
                <w:lang w:eastAsia="zh-CN"/>
              </w:rPr>
              <w:t>87866718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招标代理机构</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名称：</w:t>
            </w:r>
            <w:r>
              <w:rPr>
                <w:rFonts w:hint="eastAsia" w:ascii="宋体" w:hAnsi="宋体" w:cs="宋体"/>
                <w:szCs w:val="21"/>
                <w:highlight w:val="none"/>
                <w:u w:val="single"/>
              </w:rPr>
              <w:t>广州万安建设监理有限公司</w:t>
            </w:r>
            <w:r>
              <w:rPr>
                <w:rFonts w:hint="eastAsia" w:ascii="宋体" w:hAnsi="宋体" w:cs="宋体"/>
                <w:szCs w:val="21"/>
                <w:highlight w:val="none"/>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u w:val="single"/>
              </w:rPr>
              <w:t>广州市天河区建中路66号西501</w:t>
            </w:r>
          </w:p>
          <w:p>
            <w:pPr>
              <w:snapToGrid w:val="0"/>
              <w:spacing w:line="360" w:lineRule="auto"/>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u w:val="single"/>
              </w:rPr>
              <w:t xml:space="preserve">肖工、曾工 </w:t>
            </w:r>
          </w:p>
          <w:p>
            <w:pPr>
              <w:snapToGrid w:val="0"/>
              <w:spacing w:line="360" w:lineRule="auto"/>
              <w:rPr>
                <w:rFonts w:ascii="宋体" w:hAnsi="宋体" w:cs="宋体"/>
                <w:szCs w:val="21"/>
                <w:highlight w:val="none"/>
              </w:rPr>
            </w:pPr>
            <w:r>
              <w:rPr>
                <w:rFonts w:hint="eastAsia" w:ascii="宋体" w:hAnsi="宋体" w:cs="宋体"/>
                <w:szCs w:val="21"/>
                <w:highlight w:val="none"/>
              </w:rPr>
              <w:t>电话：</w:t>
            </w:r>
            <w:r>
              <w:rPr>
                <w:rFonts w:hint="eastAsia" w:ascii="宋体" w:hAnsi="宋体" w:cs="宋体"/>
                <w:szCs w:val="21"/>
                <w:highlight w:val="none"/>
                <w:u w:val="single"/>
              </w:rPr>
              <w:t>020-85683007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1.1.4</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招标项目名称</w:t>
            </w:r>
          </w:p>
        </w:tc>
        <w:tc>
          <w:tcPr>
            <w:tcW w:w="3506" w:type="pct"/>
            <w:vAlign w:val="center"/>
          </w:tcPr>
          <w:p>
            <w:pPr>
              <w:snapToGrid w:val="0"/>
              <w:spacing w:line="360" w:lineRule="auto"/>
              <w:jc w:val="left"/>
              <w:rPr>
                <w:rFonts w:hint="eastAsia" w:ascii="宋体" w:hAnsi="宋体" w:eastAsia="宋体" w:cs="宋体"/>
                <w:szCs w:val="21"/>
                <w:highlight w:val="none"/>
                <w:u w:val="single"/>
                <w:lang w:eastAsia="zh-CN"/>
              </w:rPr>
            </w:pPr>
            <w:r>
              <w:rPr>
                <w:rFonts w:hint="eastAsia" w:ascii="宋体" w:hAnsi="宋体" w:cs="宋体"/>
                <w:szCs w:val="21"/>
                <w:highlight w:val="none"/>
                <w:u w:val="single"/>
              </w:rPr>
              <w:t>明珠工业园明珠片区新开发地块市政基础设施工程</w:t>
            </w:r>
            <w:r>
              <w:rPr>
                <w:rFonts w:hint="eastAsia" w:ascii="宋体" w:hAnsi="宋体" w:cs="宋体"/>
                <w:szCs w:val="21"/>
                <w:highlight w:val="none"/>
                <w:u w:val="single"/>
                <w:lang w:eastAsia="zh-CN"/>
              </w:rPr>
              <w:t>检验检测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1.1.5</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项目建设地点</w:t>
            </w:r>
          </w:p>
        </w:tc>
        <w:tc>
          <w:tcPr>
            <w:tcW w:w="3506" w:type="pct"/>
            <w:vAlign w:val="center"/>
          </w:tcPr>
          <w:p>
            <w:pPr>
              <w:snapToGrid w:val="0"/>
              <w:spacing w:line="360" w:lineRule="auto"/>
              <w:jc w:val="left"/>
              <w:rPr>
                <w:rFonts w:ascii="宋体" w:hAnsi="宋体" w:cs="宋体"/>
                <w:szCs w:val="21"/>
                <w:highlight w:val="none"/>
              </w:rPr>
            </w:pPr>
            <w:r>
              <w:rPr>
                <w:rFonts w:hint="eastAsia" w:ascii="宋体" w:hAnsi="宋体" w:cs="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1.1.6</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项目建设规模</w:t>
            </w:r>
          </w:p>
        </w:tc>
        <w:tc>
          <w:tcPr>
            <w:tcW w:w="3506" w:type="pct"/>
            <w:vAlign w:val="center"/>
          </w:tcPr>
          <w:p>
            <w:pPr>
              <w:snapToGrid w:val="0"/>
              <w:spacing w:line="360" w:lineRule="auto"/>
              <w:ind w:right="106"/>
              <w:jc w:val="left"/>
              <w:rPr>
                <w:rFonts w:ascii="宋体" w:hAnsi="宋体" w:cs="宋体"/>
                <w:szCs w:val="21"/>
                <w:highlight w:val="none"/>
              </w:rPr>
            </w:pPr>
            <w:r>
              <w:rPr>
                <w:rFonts w:hint="eastAsia" w:ascii="宋体" w:hAnsi="宋体" w:cs="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1.1.7</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工程项目施工预计开工日期和建设周期</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1.1.8</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建筑安装工程费/工程概算</w:t>
            </w:r>
          </w:p>
        </w:tc>
        <w:tc>
          <w:tcPr>
            <w:tcW w:w="3506" w:type="pct"/>
            <w:vAlign w:val="center"/>
          </w:tcPr>
          <w:p>
            <w:pPr>
              <w:snapToGrid w:val="0"/>
              <w:spacing w:line="360" w:lineRule="auto"/>
              <w:jc w:val="left"/>
              <w:rPr>
                <w:rFonts w:ascii="宋体" w:hAnsi="宋体" w:cs="宋体"/>
                <w:szCs w:val="21"/>
                <w:highlight w:val="none"/>
              </w:rPr>
            </w:pPr>
            <w:r>
              <w:rPr>
                <w:rFonts w:hint="eastAsia" w:ascii="宋体" w:hAnsi="宋体" w:cs="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1.2.1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资金来源及比例</w:t>
            </w:r>
          </w:p>
        </w:tc>
        <w:tc>
          <w:tcPr>
            <w:tcW w:w="3506" w:type="pct"/>
            <w:vAlign w:val="center"/>
          </w:tcPr>
          <w:p>
            <w:pPr>
              <w:snapToGrid w:val="0"/>
              <w:spacing w:line="360" w:lineRule="auto"/>
              <w:jc w:val="left"/>
              <w:rPr>
                <w:rFonts w:ascii="宋体" w:hAnsi="宋体" w:cs="宋体"/>
                <w:szCs w:val="21"/>
                <w:highlight w:val="none"/>
              </w:rPr>
            </w:pPr>
            <w:r>
              <w:rPr>
                <w:rFonts w:hint="eastAsia" w:ascii="宋体" w:hAnsi="宋体" w:cs="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1.2.2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资金落实情况</w:t>
            </w:r>
          </w:p>
        </w:tc>
        <w:tc>
          <w:tcPr>
            <w:tcW w:w="3506" w:type="pct"/>
            <w:vAlign w:val="center"/>
          </w:tcPr>
          <w:p>
            <w:pPr>
              <w:snapToGrid w:val="0"/>
              <w:spacing w:line="360" w:lineRule="auto"/>
              <w:jc w:val="left"/>
              <w:rPr>
                <w:rFonts w:ascii="宋体" w:hAnsi="宋体" w:cs="宋体"/>
                <w:szCs w:val="21"/>
                <w:highlight w:val="none"/>
              </w:rPr>
            </w:pPr>
            <w:r>
              <w:rPr>
                <w:rFonts w:hint="eastAsia" w:ascii="宋体" w:hAnsi="宋体" w:cs="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1.3.1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招标范围</w:t>
            </w:r>
          </w:p>
        </w:tc>
        <w:tc>
          <w:tcPr>
            <w:tcW w:w="3506" w:type="pct"/>
            <w:vAlign w:val="center"/>
          </w:tcPr>
          <w:p>
            <w:pPr>
              <w:snapToGrid w:val="0"/>
              <w:spacing w:line="360" w:lineRule="auto"/>
              <w:ind w:right="106"/>
              <w:jc w:val="left"/>
              <w:rPr>
                <w:rFonts w:ascii="宋体" w:hAnsi="宋体" w:cs="宋体"/>
                <w:szCs w:val="21"/>
                <w:highlight w:val="none"/>
              </w:rPr>
            </w:pPr>
            <w:r>
              <w:rPr>
                <w:rFonts w:hint="eastAsia" w:ascii="宋体" w:hAnsi="宋体" w:cs="宋体"/>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1.3.2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服务期</w:t>
            </w:r>
          </w:p>
        </w:tc>
        <w:tc>
          <w:tcPr>
            <w:tcW w:w="3506" w:type="pct"/>
            <w:vAlign w:val="center"/>
          </w:tcPr>
          <w:p>
            <w:pPr>
              <w:snapToGrid w:val="0"/>
              <w:spacing w:line="360" w:lineRule="auto"/>
              <w:ind w:right="106"/>
              <w:jc w:val="left"/>
              <w:rPr>
                <w:rFonts w:ascii="宋体" w:hAnsi="宋体" w:cs="宋体"/>
                <w:szCs w:val="21"/>
                <w:highlight w:val="none"/>
                <w:u w:val="single"/>
              </w:rPr>
            </w:pPr>
            <w:r>
              <w:rPr>
                <w:rFonts w:hint="eastAsia" w:ascii="宋体" w:hAnsi="宋体" w:cs="宋体"/>
                <w:szCs w:val="21"/>
                <w:highlight w:val="none"/>
                <w:u w:val="single"/>
              </w:rPr>
              <w:t>从中标单位进场至所有服务项目完成，服务周期必须满足实际施工及竣工验收要求。进场日期以发包人通知时间为准。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1.3.3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质量标准</w:t>
            </w:r>
          </w:p>
        </w:tc>
        <w:tc>
          <w:tcPr>
            <w:tcW w:w="3506" w:type="pct"/>
            <w:vAlign w:val="center"/>
          </w:tcPr>
          <w:p>
            <w:pPr>
              <w:pStyle w:val="27"/>
              <w:snapToGrid w:val="0"/>
              <w:spacing w:line="360" w:lineRule="auto"/>
              <w:ind w:firstLine="0"/>
              <w:rPr>
                <w:rFonts w:ascii="宋体" w:hAnsi="宋体" w:cs="宋体"/>
                <w:szCs w:val="21"/>
                <w:highlight w:val="none"/>
              </w:rPr>
            </w:pPr>
            <w:r>
              <w:rPr>
                <w:rFonts w:hint="eastAsia" w:ascii="宋体" w:hAnsi="宋体" w:cs="宋体"/>
                <w:szCs w:val="21"/>
                <w:highlight w:val="none"/>
              </w:rPr>
              <w:t>符合国家及省、市有关检测标准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1.4.1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投标人资质条件、能力、信誉</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（1）资质要求：见招标公告投标人资格要求。</w:t>
            </w:r>
          </w:p>
          <w:p>
            <w:pPr>
              <w:snapToGrid w:val="0"/>
              <w:spacing w:line="360" w:lineRule="auto"/>
              <w:rPr>
                <w:rFonts w:ascii="宋体" w:hAnsi="宋体" w:cs="宋体"/>
                <w:szCs w:val="21"/>
                <w:highlight w:val="none"/>
              </w:rPr>
            </w:pPr>
            <w:r>
              <w:rPr>
                <w:rFonts w:hint="eastAsia" w:ascii="宋体" w:hAnsi="宋体" w:cs="宋体"/>
                <w:szCs w:val="21"/>
                <w:highlight w:val="none"/>
              </w:rPr>
              <w:t>（2）财务要求：/</w:t>
            </w:r>
          </w:p>
          <w:p>
            <w:pPr>
              <w:snapToGrid w:val="0"/>
              <w:spacing w:line="360" w:lineRule="auto"/>
              <w:rPr>
                <w:rFonts w:ascii="宋体" w:hAnsi="宋体" w:cs="宋体"/>
                <w:szCs w:val="21"/>
                <w:highlight w:val="none"/>
              </w:rPr>
            </w:pPr>
            <w:r>
              <w:rPr>
                <w:rFonts w:hint="eastAsia" w:ascii="宋体" w:hAnsi="宋体" w:cs="宋体"/>
                <w:szCs w:val="21"/>
                <w:highlight w:val="none"/>
              </w:rPr>
              <w:t>（3）业绩要求：/</w:t>
            </w:r>
          </w:p>
          <w:p>
            <w:pPr>
              <w:snapToGrid w:val="0"/>
              <w:spacing w:line="360" w:lineRule="auto"/>
              <w:rPr>
                <w:rFonts w:ascii="宋体" w:hAnsi="宋体" w:cs="宋体"/>
                <w:szCs w:val="21"/>
                <w:highlight w:val="none"/>
              </w:rPr>
            </w:pPr>
            <w:r>
              <w:rPr>
                <w:rFonts w:hint="eastAsia" w:ascii="宋体" w:hAnsi="宋体" w:cs="宋体"/>
                <w:szCs w:val="21"/>
                <w:highlight w:val="none"/>
              </w:rPr>
              <w:t>（4）信誉要求：见招标公告投标人资格要求。</w:t>
            </w:r>
          </w:p>
          <w:p>
            <w:pPr>
              <w:snapToGrid w:val="0"/>
              <w:spacing w:line="360" w:lineRule="auto"/>
              <w:rPr>
                <w:rFonts w:ascii="宋体" w:hAnsi="宋体" w:cs="宋体"/>
                <w:szCs w:val="21"/>
                <w:highlight w:val="none"/>
              </w:rPr>
            </w:pPr>
            <w:r>
              <w:rPr>
                <w:rFonts w:hint="eastAsia" w:ascii="宋体" w:hAnsi="宋体" w:cs="宋体"/>
                <w:szCs w:val="21"/>
                <w:highlight w:val="none"/>
              </w:rPr>
              <w:t>（5）项目负责人的资格要求：见招标公告投标人资格要求。</w:t>
            </w:r>
          </w:p>
          <w:p>
            <w:pPr>
              <w:snapToGrid w:val="0"/>
              <w:spacing w:line="360" w:lineRule="auto"/>
              <w:rPr>
                <w:rFonts w:ascii="宋体" w:hAnsi="宋体" w:cs="宋体"/>
                <w:szCs w:val="21"/>
                <w:highlight w:val="none"/>
              </w:rPr>
            </w:pPr>
            <w:r>
              <w:rPr>
                <w:rFonts w:hint="eastAsia" w:ascii="宋体" w:hAnsi="宋体" w:cs="宋体"/>
                <w:szCs w:val="21"/>
                <w:highlight w:val="none"/>
              </w:rPr>
              <w:t>（6）其他主要人员要求：/</w:t>
            </w:r>
          </w:p>
          <w:p>
            <w:pPr>
              <w:snapToGrid w:val="0"/>
              <w:spacing w:line="360" w:lineRule="auto"/>
              <w:rPr>
                <w:rFonts w:ascii="宋体" w:hAnsi="宋体" w:cs="宋体"/>
                <w:szCs w:val="21"/>
                <w:highlight w:val="none"/>
              </w:rPr>
            </w:pPr>
            <w:r>
              <w:rPr>
                <w:rFonts w:hint="eastAsia" w:ascii="宋体" w:hAnsi="宋体" w:cs="宋体"/>
                <w:szCs w:val="21"/>
                <w:highlight w:val="none"/>
              </w:rPr>
              <w:t>（7）试验检测仪器设备要求：/</w:t>
            </w:r>
          </w:p>
          <w:p>
            <w:pPr>
              <w:snapToGrid w:val="0"/>
              <w:spacing w:line="360" w:lineRule="auto"/>
              <w:rPr>
                <w:rFonts w:ascii="宋体" w:hAnsi="宋体" w:cs="宋体"/>
                <w:szCs w:val="21"/>
                <w:highlight w:val="none"/>
              </w:rPr>
            </w:pPr>
            <w:r>
              <w:rPr>
                <w:rFonts w:hint="eastAsia" w:ascii="宋体" w:hAnsi="宋体" w:cs="宋体"/>
                <w:szCs w:val="21"/>
                <w:highlight w:val="none"/>
              </w:rPr>
              <w:t>（8）其他要求：见招标公告投标人资格要求。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1.4.2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是否接受联合体投标</w:t>
            </w:r>
          </w:p>
        </w:tc>
        <w:tc>
          <w:tcPr>
            <w:tcW w:w="3506" w:type="pct"/>
            <w:vAlign w:val="center"/>
          </w:tcPr>
          <w:p>
            <w:pPr>
              <w:snapToGrid w:val="0"/>
              <w:spacing w:line="360" w:lineRule="auto"/>
              <w:ind w:right="-238"/>
              <w:rPr>
                <w:rFonts w:ascii="宋体" w:hAnsi="宋体" w:cs="宋体"/>
                <w:szCs w:val="21"/>
                <w:highlight w:val="none"/>
              </w:rPr>
            </w:pPr>
            <w:r>
              <w:rPr>
                <w:rFonts w:hint="eastAsia" w:ascii="宋体" w:hAnsi="宋体" w:cs="宋体"/>
                <w:szCs w:val="21"/>
                <w:highlight w:val="none"/>
              </w:rPr>
              <w:t>□</w:t>
            </w:r>
            <w:r>
              <w:rPr>
                <w:rFonts w:hint="eastAsia" w:ascii="宋体" w:hAnsi="宋体" w:cs="宋体"/>
                <w:position w:val="3"/>
                <w:szCs w:val="21"/>
                <w:highlight w:val="none"/>
              </w:rPr>
              <w:t>不接受</w:t>
            </w:r>
          </w:p>
          <w:p>
            <w:pPr>
              <w:spacing w:line="360" w:lineRule="auto"/>
              <w:rPr>
                <w:rFonts w:ascii="宋体" w:hAnsi="宋体" w:cs="宋体"/>
                <w:szCs w:val="21"/>
                <w:highlight w:val="none"/>
              </w:rPr>
            </w:pPr>
            <w:r>
              <w:rPr>
                <w:rFonts w:hint="eastAsia" w:ascii="宋体" w:hAnsi="宋体" w:cs="宋体"/>
                <w:spacing w:val="-1"/>
                <w:szCs w:val="21"/>
                <w:highlight w:val="none"/>
              </w:rPr>
              <w:t>■</w:t>
            </w:r>
            <w:r>
              <w:rPr>
                <w:rFonts w:hint="eastAsia" w:ascii="宋体" w:hAnsi="宋体" w:cs="宋体"/>
                <w:szCs w:val="21"/>
                <w:highlight w:val="none"/>
              </w:rPr>
              <w:t>接受，应满足下列要求：详见招标公告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1.4.3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投标人不得存在的其他情形</w:t>
            </w:r>
          </w:p>
        </w:tc>
        <w:tc>
          <w:tcPr>
            <w:tcW w:w="3506" w:type="pct"/>
            <w:vAlign w:val="center"/>
          </w:tcPr>
          <w:p>
            <w:pPr>
              <w:topLinePunct/>
              <w:snapToGrid w:val="0"/>
              <w:spacing w:line="360" w:lineRule="auto"/>
              <w:rPr>
                <w:rFonts w:ascii="宋体" w:hAnsi="宋体" w:cs="宋体"/>
                <w:szCs w:val="21"/>
                <w:highlight w:val="none"/>
                <w:u w:val="single"/>
              </w:rPr>
            </w:pPr>
            <w:r>
              <w:rPr>
                <w:rFonts w:hint="eastAsia" w:ascii="宋体" w:hAnsi="宋体" w:cs="宋体"/>
                <w:szCs w:val="21"/>
                <w:highlight w:val="none"/>
                <w:u w:val="single"/>
              </w:rPr>
              <w:t>在近三年内投标人或其法定代表人、拟委任的项目负责人有行贿犯罪行为的。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1.9.1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踏勘现场</w:t>
            </w:r>
          </w:p>
        </w:tc>
        <w:tc>
          <w:tcPr>
            <w:tcW w:w="3506" w:type="pct"/>
            <w:vAlign w:val="center"/>
          </w:tcPr>
          <w:p>
            <w:pPr>
              <w:pStyle w:val="12"/>
              <w:topLinePunct/>
              <w:snapToGrid w:val="0"/>
              <w:spacing w:line="360" w:lineRule="auto"/>
              <w:rPr>
                <w:rFonts w:hAnsi="宋体" w:cs="宋体"/>
                <w:sz w:val="21"/>
                <w:szCs w:val="21"/>
                <w:highlight w:val="none"/>
              </w:rPr>
            </w:pPr>
            <w:r>
              <w:rPr>
                <w:rFonts w:hint="eastAsia" w:hAnsi="宋体" w:cs="宋体"/>
                <w:spacing w:val="-1"/>
                <w:sz w:val="21"/>
                <w:szCs w:val="21"/>
                <w:highlight w:val="none"/>
              </w:rPr>
              <w:t>■</w:t>
            </w:r>
            <w:r>
              <w:rPr>
                <w:rFonts w:hint="eastAsia" w:hAnsi="宋体" w:cs="宋体"/>
                <w:sz w:val="21"/>
                <w:szCs w:val="21"/>
                <w:highlight w:val="none"/>
              </w:rPr>
              <w:t>不组织，</w:t>
            </w:r>
            <w:r>
              <w:rPr>
                <w:rFonts w:hint="eastAsia" w:hAnsi="宋体" w:cs="宋体"/>
                <w:sz w:val="21"/>
                <w:szCs w:val="21"/>
                <w:highlight w:val="none"/>
                <w:u w:val="single"/>
              </w:rPr>
              <w:t>由投标人自行现场考察。</w:t>
            </w:r>
          </w:p>
          <w:p>
            <w:pPr>
              <w:pStyle w:val="12"/>
              <w:topLinePunct/>
              <w:snapToGrid w:val="0"/>
              <w:spacing w:line="360" w:lineRule="auto"/>
              <w:rPr>
                <w:rFonts w:hAnsi="宋体" w:cs="宋体"/>
                <w:sz w:val="21"/>
                <w:szCs w:val="21"/>
                <w:highlight w:val="none"/>
              </w:rPr>
            </w:pPr>
            <w:r>
              <w:rPr>
                <w:rFonts w:hint="eastAsia" w:hAnsi="宋体" w:cs="宋体"/>
                <w:sz w:val="21"/>
                <w:szCs w:val="21"/>
                <w:highlight w:val="none"/>
              </w:rPr>
              <w:t>□组织，踏勘时间：/</w:t>
            </w:r>
          </w:p>
          <w:p>
            <w:pPr>
              <w:pStyle w:val="12"/>
              <w:topLinePunct/>
              <w:snapToGrid w:val="0"/>
              <w:spacing w:line="360" w:lineRule="auto"/>
              <w:ind w:firstLine="840" w:firstLineChars="400"/>
              <w:rPr>
                <w:rFonts w:hAnsi="宋体" w:cs="宋体"/>
                <w:sz w:val="21"/>
                <w:szCs w:val="21"/>
                <w:highlight w:val="none"/>
              </w:rPr>
            </w:pPr>
            <w:r>
              <w:rPr>
                <w:rFonts w:hint="eastAsia" w:hAnsi="宋体" w:cs="宋体"/>
                <w:sz w:val="21"/>
                <w:szCs w:val="21"/>
                <w:highlight w:val="none"/>
              </w:rPr>
              <w:t>踏勘集中地点：/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1.10.1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投标预备会</w:t>
            </w:r>
          </w:p>
        </w:tc>
        <w:tc>
          <w:tcPr>
            <w:tcW w:w="3506" w:type="pct"/>
            <w:vAlign w:val="center"/>
          </w:tcPr>
          <w:p>
            <w:pPr>
              <w:pStyle w:val="12"/>
              <w:topLinePunct/>
              <w:snapToGrid w:val="0"/>
              <w:spacing w:line="360" w:lineRule="auto"/>
              <w:rPr>
                <w:rFonts w:hAnsi="宋体" w:cs="宋体"/>
                <w:sz w:val="21"/>
                <w:szCs w:val="21"/>
                <w:highlight w:val="none"/>
              </w:rPr>
            </w:pPr>
            <w:r>
              <w:rPr>
                <w:rFonts w:hint="eastAsia" w:hAnsi="宋体" w:cs="宋体"/>
                <w:spacing w:val="-1"/>
                <w:sz w:val="21"/>
                <w:szCs w:val="21"/>
                <w:highlight w:val="none"/>
              </w:rPr>
              <w:t>■</w:t>
            </w:r>
            <w:r>
              <w:rPr>
                <w:rFonts w:hint="eastAsia" w:hAnsi="宋体" w:cs="宋体"/>
                <w:sz w:val="21"/>
                <w:szCs w:val="21"/>
                <w:highlight w:val="none"/>
              </w:rPr>
              <w:t>不召开</w:t>
            </w:r>
          </w:p>
          <w:p>
            <w:pPr>
              <w:snapToGrid w:val="0"/>
              <w:spacing w:line="360" w:lineRule="auto"/>
              <w:rPr>
                <w:rFonts w:ascii="宋体" w:hAnsi="宋体" w:cs="宋体"/>
                <w:szCs w:val="21"/>
                <w:highlight w:val="none"/>
              </w:rPr>
            </w:pPr>
            <w:r>
              <w:rPr>
                <w:rFonts w:hint="eastAsia" w:ascii="宋体" w:hAnsi="宋体" w:cs="宋体"/>
                <w:szCs w:val="21"/>
                <w:highlight w:val="none"/>
              </w:rPr>
              <w:t>□召开，召开时间：</w:t>
            </w:r>
            <w:r>
              <w:rPr>
                <w:rFonts w:hint="eastAsia" w:ascii="宋体" w:hAnsi="宋体" w:cs="宋体"/>
                <w:szCs w:val="21"/>
                <w:highlight w:val="none"/>
                <w:u w:val="single"/>
              </w:rPr>
              <w:t xml:space="preserve"> / </w:t>
            </w:r>
          </w:p>
          <w:p>
            <w:pPr>
              <w:snapToGrid w:val="0"/>
              <w:spacing w:line="360" w:lineRule="auto"/>
              <w:ind w:firstLine="840" w:firstLineChars="400"/>
              <w:rPr>
                <w:rFonts w:ascii="宋体" w:hAnsi="宋体" w:cs="宋体"/>
                <w:szCs w:val="21"/>
                <w:highlight w:val="none"/>
              </w:rPr>
            </w:pPr>
            <w:r>
              <w:rPr>
                <w:rFonts w:hint="eastAsia" w:ascii="宋体" w:hAnsi="宋体" w:cs="宋体"/>
                <w:szCs w:val="21"/>
                <w:highlight w:val="none"/>
              </w:rPr>
              <w:t>召开地点：</w:t>
            </w:r>
            <w:r>
              <w:rPr>
                <w:rFonts w:hint="eastAsia" w:ascii="宋体" w:hAnsi="宋体" w:cs="宋体"/>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1.10.2</w:t>
            </w:r>
          </w:p>
        </w:tc>
        <w:tc>
          <w:tcPr>
            <w:tcW w:w="1035"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投标人在投标预备会前提出问题</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时间：</w:t>
            </w:r>
            <w:r>
              <w:rPr>
                <w:rFonts w:hint="eastAsia" w:ascii="宋体" w:hAnsi="宋体" w:cs="宋体"/>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continue"/>
            <w:vAlign w:val="center"/>
          </w:tcPr>
          <w:p>
            <w:pPr>
              <w:snapToGrid w:val="0"/>
              <w:spacing w:line="360" w:lineRule="auto"/>
              <w:jc w:val="center"/>
              <w:rPr>
                <w:rFonts w:ascii="宋体" w:hAnsi="宋体" w:cs="宋体"/>
                <w:szCs w:val="21"/>
                <w:highlight w:val="none"/>
              </w:rPr>
            </w:pPr>
          </w:p>
        </w:tc>
        <w:tc>
          <w:tcPr>
            <w:tcW w:w="1035" w:type="pct"/>
            <w:vMerge w:val="continue"/>
            <w:vAlign w:val="center"/>
          </w:tcPr>
          <w:p>
            <w:pPr>
              <w:snapToGrid w:val="0"/>
              <w:spacing w:line="360" w:lineRule="auto"/>
              <w:jc w:val="center"/>
              <w:rPr>
                <w:rFonts w:ascii="宋体" w:hAnsi="宋体" w:cs="宋体"/>
                <w:szCs w:val="21"/>
                <w:highlight w:val="none"/>
              </w:rPr>
            </w:pP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形式：</w:t>
            </w:r>
            <w:r>
              <w:rPr>
                <w:rFonts w:hint="eastAsia" w:ascii="宋体" w:hAnsi="宋体" w:cs="宋体"/>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1.10.3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招标文件澄清发出的形式</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 xml:space="preserve"> （此为投标预备会的答疑澄清）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1.12.1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实质性要求和条件</w:t>
            </w:r>
          </w:p>
        </w:tc>
        <w:tc>
          <w:tcPr>
            <w:tcW w:w="3506" w:type="pct"/>
            <w:vAlign w:val="center"/>
          </w:tcPr>
          <w:p>
            <w:pPr>
              <w:pStyle w:val="12"/>
              <w:topLinePunct/>
              <w:snapToGrid w:val="0"/>
              <w:spacing w:line="360" w:lineRule="auto"/>
              <w:rPr>
                <w:rFonts w:hAnsi="宋体" w:cs="宋体"/>
                <w:sz w:val="21"/>
                <w:szCs w:val="21"/>
                <w:highlight w:val="none"/>
              </w:rPr>
            </w:pPr>
            <w:r>
              <w:rPr>
                <w:rFonts w:hint="eastAsia"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1.12.3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偏差</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pacing w:val="-1"/>
                <w:szCs w:val="21"/>
                <w:highlight w:val="none"/>
              </w:rPr>
              <w:t>■</w:t>
            </w:r>
            <w:r>
              <w:rPr>
                <w:rFonts w:hint="eastAsia" w:ascii="宋体" w:hAnsi="宋体" w:cs="宋体"/>
                <w:szCs w:val="21"/>
                <w:highlight w:val="none"/>
              </w:rPr>
              <w:t>不允许</w:t>
            </w:r>
          </w:p>
          <w:p>
            <w:pPr>
              <w:pStyle w:val="12"/>
              <w:topLinePunct/>
              <w:snapToGrid w:val="0"/>
              <w:spacing w:line="360" w:lineRule="auto"/>
              <w:rPr>
                <w:rFonts w:hAnsi="宋体" w:cs="宋体"/>
                <w:sz w:val="21"/>
                <w:szCs w:val="21"/>
                <w:highlight w:val="none"/>
              </w:rPr>
            </w:pPr>
            <w:r>
              <w:rPr>
                <w:rFonts w:hint="eastAsia" w:hAnsi="宋体" w:cs="宋体"/>
                <w:sz w:val="21"/>
                <w:szCs w:val="21"/>
                <w:highlight w:val="none"/>
              </w:rPr>
              <w:t>□允许，偏差范围：/</w:t>
            </w:r>
          </w:p>
          <w:p>
            <w:pPr>
              <w:pStyle w:val="12"/>
              <w:topLinePunct/>
              <w:snapToGrid w:val="0"/>
              <w:spacing w:line="360" w:lineRule="auto"/>
              <w:ind w:firstLine="840" w:firstLineChars="400"/>
              <w:rPr>
                <w:rFonts w:hAnsi="宋体" w:cs="宋体"/>
                <w:sz w:val="21"/>
                <w:szCs w:val="21"/>
                <w:highlight w:val="none"/>
              </w:rPr>
            </w:pPr>
            <w:r>
              <w:rPr>
                <w:rFonts w:hint="eastAsia" w:hAnsi="宋体" w:cs="宋体"/>
                <w:sz w:val="21"/>
                <w:szCs w:val="21"/>
                <w:highlight w:val="none"/>
              </w:rPr>
              <w:t>偏差幅度：/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构成招标文件的其他资料</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2.2.1</w:t>
            </w:r>
          </w:p>
        </w:tc>
        <w:tc>
          <w:tcPr>
            <w:tcW w:w="1035"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投标人要求澄清招标文件</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时间：投标人在递交投标文件截止时间18天前提出；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continue"/>
            <w:vAlign w:val="center"/>
          </w:tcPr>
          <w:p>
            <w:pPr>
              <w:snapToGrid w:val="0"/>
              <w:spacing w:line="360" w:lineRule="auto"/>
              <w:jc w:val="center"/>
              <w:rPr>
                <w:rFonts w:ascii="宋体" w:hAnsi="宋体" w:cs="宋体"/>
                <w:szCs w:val="21"/>
                <w:highlight w:val="none"/>
              </w:rPr>
            </w:pPr>
          </w:p>
        </w:tc>
        <w:tc>
          <w:tcPr>
            <w:tcW w:w="1035" w:type="pct"/>
            <w:vMerge w:val="continue"/>
            <w:vAlign w:val="center"/>
          </w:tcPr>
          <w:p>
            <w:pPr>
              <w:snapToGrid w:val="0"/>
              <w:spacing w:line="360" w:lineRule="auto"/>
              <w:jc w:val="center"/>
              <w:rPr>
                <w:rFonts w:ascii="宋体" w:hAnsi="宋体" w:cs="宋体"/>
                <w:szCs w:val="21"/>
                <w:highlight w:val="none"/>
              </w:rPr>
            </w:pPr>
          </w:p>
        </w:tc>
        <w:tc>
          <w:tcPr>
            <w:tcW w:w="3506" w:type="pct"/>
            <w:vAlign w:val="center"/>
          </w:tcPr>
          <w:p>
            <w:pPr>
              <w:pStyle w:val="27"/>
              <w:snapToGrid w:val="0"/>
              <w:spacing w:line="360" w:lineRule="auto"/>
              <w:ind w:right="174" w:rightChars="83" w:firstLine="0"/>
              <w:rPr>
                <w:rFonts w:ascii="宋体" w:hAnsi="宋体" w:cs="宋体"/>
                <w:szCs w:val="21"/>
                <w:highlight w:val="none"/>
              </w:rPr>
            </w:pPr>
            <w:r>
              <w:rPr>
                <w:rFonts w:hint="eastAsia" w:ascii="宋体" w:hAnsi="宋体" w:cs="宋体"/>
                <w:szCs w:val="21"/>
                <w:highlight w:val="none"/>
              </w:rPr>
              <w:t>形式：招标答疑采用网上答疑方式进行。投标人若对招标文件（包括图纸、合同版本、最高投标限价等）有疑问的，可在规定的时间内通过广州交易集团有限公司（广州公共资源交易中心）网站将问题提交给招标人或招标代理人。</w:t>
            </w:r>
          </w:p>
          <w:p>
            <w:pPr>
              <w:pStyle w:val="27"/>
              <w:snapToGrid w:val="0"/>
              <w:spacing w:line="360" w:lineRule="auto"/>
              <w:ind w:right="174" w:rightChars="83" w:firstLine="0"/>
              <w:rPr>
                <w:rFonts w:ascii="宋体" w:hAnsi="宋体" w:cs="宋体"/>
                <w:szCs w:val="21"/>
                <w:highlight w:val="none"/>
              </w:rPr>
            </w:pPr>
            <w:r>
              <w:rPr>
                <w:rFonts w:hint="eastAsia" w:ascii="宋体" w:hAnsi="宋体" w:cs="宋体"/>
                <w:szCs w:val="21"/>
                <w:highlight w:val="none"/>
              </w:rPr>
              <w:t>网上答疑的操作指南为：登陆广州交易集团有限公司（广州公共资源交易中心）网站-&gt;进入“我是投标人（供应商）”-&gt;“我的投标”-&gt;“招标答疑提问”查询项目并提问。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2.2.2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招标文件澄清发出的形式</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在递交投标文件截止时间15天前；在广州交易集团有限公司（广州公共资源交易中心）网站通过项目答疑专区网上公开发布。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2.2.3</w:t>
            </w:r>
          </w:p>
        </w:tc>
        <w:tc>
          <w:tcPr>
            <w:tcW w:w="1035"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投标人确认收到招标文件澄清</w:t>
            </w:r>
          </w:p>
        </w:tc>
        <w:tc>
          <w:tcPr>
            <w:tcW w:w="3506" w:type="pct"/>
            <w:vAlign w:val="center"/>
          </w:tcPr>
          <w:p>
            <w:pPr>
              <w:spacing w:line="360" w:lineRule="auto"/>
              <w:rPr>
                <w:rFonts w:ascii="宋体" w:hAnsi="宋体" w:cs="宋体"/>
                <w:szCs w:val="21"/>
                <w:highlight w:val="none"/>
              </w:rPr>
            </w:pPr>
            <w:r>
              <w:rPr>
                <w:rFonts w:hint="eastAsia" w:ascii="宋体" w:hAnsi="宋体" w:cs="宋体"/>
                <w:szCs w:val="21"/>
                <w:highlight w:val="none"/>
              </w:rPr>
              <w:t>时间：发出即视作收到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continue"/>
            <w:vAlign w:val="center"/>
          </w:tcPr>
          <w:p>
            <w:pPr>
              <w:snapToGrid w:val="0"/>
              <w:spacing w:line="360" w:lineRule="auto"/>
              <w:jc w:val="center"/>
              <w:rPr>
                <w:rFonts w:ascii="宋体" w:hAnsi="宋体" w:cs="宋体"/>
                <w:szCs w:val="21"/>
                <w:highlight w:val="none"/>
              </w:rPr>
            </w:pPr>
          </w:p>
        </w:tc>
        <w:tc>
          <w:tcPr>
            <w:tcW w:w="1035" w:type="pct"/>
            <w:vMerge w:val="continue"/>
            <w:vAlign w:val="center"/>
          </w:tcPr>
          <w:p>
            <w:pPr>
              <w:snapToGrid w:val="0"/>
              <w:spacing w:line="360" w:lineRule="auto"/>
              <w:jc w:val="center"/>
              <w:rPr>
                <w:rFonts w:ascii="宋体" w:hAnsi="宋体" w:cs="宋体"/>
                <w:szCs w:val="21"/>
                <w:highlight w:val="none"/>
              </w:rPr>
            </w:pPr>
          </w:p>
        </w:tc>
        <w:tc>
          <w:tcPr>
            <w:tcW w:w="3506" w:type="pct"/>
            <w:vAlign w:val="center"/>
          </w:tcPr>
          <w:p>
            <w:pPr>
              <w:spacing w:line="360" w:lineRule="auto"/>
              <w:rPr>
                <w:rFonts w:ascii="宋体" w:hAnsi="宋体" w:cs="宋体"/>
                <w:szCs w:val="21"/>
                <w:highlight w:val="none"/>
              </w:rPr>
            </w:pPr>
            <w:r>
              <w:rPr>
                <w:rFonts w:hint="eastAsia" w:ascii="宋体" w:hAnsi="宋体" w:cs="宋体"/>
                <w:szCs w:val="21"/>
                <w:highlight w:val="none"/>
              </w:rPr>
              <w:t>形式：招标文件澄清（招标答疑纪要）一经在广州交易集团有限公司（广州公共资源交易中心）网站发布，视作已发放给所有投标人。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2.3.1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招标文件修改发出的形式</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以补充公告或项目答疑澄清的方式在广州交易集团有限公司（广州公共资源交易中心）网站发布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2.3.2</w:t>
            </w:r>
          </w:p>
        </w:tc>
        <w:tc>
          <w:tcPr>
            <w:tcW w:w="1035"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投标人确认收到招标文件修改</w:t>
            </w:r>
          </w:p>
        </w:tc>
        <w:tc>
          <w:tcPr>
            <w:tcW w:w="3506" w:type="pct"/>
            <w:vAlign w:val="center"/>
          </w:tcPr>
          <w:p>
            <w:pPr>
              <w:spacing w:line="360" w:lineRule="auto"/>
              <w:rPr>
                <w:rFonts w:ascii="宋体" w:hAnsi="宋体" w:cs="宋体"/>
                <w:szCs w:val="21"/>
                <w:highlight w:val="none"/>
              </w:rPr>
            </w:pPr>
            <w:r>
              <w:rPr>
                <w:rFonts w:hint="eastAsia" w:ascii="宋体" w:hAnsi="宋体" w:cs="宋体"/>
                <w:szCs w:val="21"/>
                <w:highlight w:val="none"/>
              </w:rPr>
              <w:t>时间：发出即视作收到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continue"/>
            <w:vAlign w:val="center"/>
          </w:tcPr>
          <w:p>
            <w:pPr>
              <w:snapToGrid w:val="0"/>
              <w:spacing w:line="360" w:lineRule="auto"/>
              <w:jc w:val="center"/>
              <w:rPr>
                <w:rFonts w:ascii="宋体" w:hAnsi="宋体" w:cs="宋体"/>
                <w:szCs w:val="21"/>
                <w:highlight w:val="none"/>
              </w:rPr>
            </w:pPr>
          </w:p>
        </w:tc>
        <w:tc>
          <w:tcPr>
            <w:tcW w:w="1035" w:type="pct"/>
            <w:vMerge w:val="continue"/>
            <w:vAlign w:val="center"/>
          </w:tcPr>
          <w:p>
            <w:pPr>
              <w:snapToGrid w:val="0"/>
              <w:spacing w:line="360" w:lineRule="auto"/>
              <w:jc w:val="center"/>
              <w:rPr>
                <w:rFonts w:ascii="宋体" w:hAnsi="宋体" w:cs="宋体"/>
                <w:szCs w:val="21"/>
                <w:highlight w:val="none"/>
              </w:rPr>
            </w:pPr>
          </w:p>
        </w:tc>
        <w:tc>
          <w:tcPr>
            <w:tcW w:w="3506" w:type="pct"/>
            <w:vAlign w:val="center"/>
          </w:tcPr>
          <w:p>
            <w:pPr>
              <w:spacing w:line="360" w:lineRule="auto"/>
              <w:rPr>
                <w:rFonts w:ascii="宋体" w:hAnsi="宋体" w:cs="宋体"/>
                <w:szCs w:val="21"/>
                <w:highlight w:val="none"/>
              </w:rPr>
            </w:pPr>
            <w:r>
              <w:rPr>
                <w:rFonts w:hint="eastAsia" w:ascii="宋体" w:hAnsi="宋体" w:cs="宋体"/>
                <w:szCs w:val="21"/>
                <w:highlight w:val="none"/>
              </w:rPr>
              <w:t>形式：招标文件修改一经在广州交易集团有限公司（广州公共资源交易中心）网站发布，视作已发放给所有投标人，无需确认。潜在投标人应自行关注招标公告公布的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3.1.1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构成投标文件的其他资料</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3.2.1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增值税税金的计算方法</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3.2.3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报价方式</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采用固定下浮率报价方式报价。并依据所报下浮率列明投标报价。（以元为单位，精确到小数点后2位）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3.2.4</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最高投标限价</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□无</w:t>
            </w:r>
          </w:p>
          <w:p>
            <w:pPr>
              <w:spacing w:line="360" w:lineRule="auto"/>
              <w:rPr>
                <w:rFonts w:ascii="宋体" w:hAnsi="宋体" w:cs="宋体"/>
                <w:szCs w:val="21"/>
                <w:highlight w:val="none"/>
              </w:rPr>
            </w:pPr>
            <w:r>
              <w:rPr>
                <w:rFonts w:hint="eastAsia" w:ascii="宋体" w:hAnsi="宋体" w:cs="宋体"/>
                <w:spacing w:val="-1"/>
                <w:szCs w:val="21"/>
                <w:highlight w:val="none"/>
              </w:rPr>
              <w:t>■</w:t>
            </w:r>
            <w:r>
              <w:rPr>
                <w:rFonts w:hint="eastAsia" w:ascii="宋体" w:hAnsi="宋体" w:cs="宋体"/>
                <w:szCs w:val="21"/>
                <w:highlight w:val="none"/>
              </w:rPr>
              <w:t>有，最高投标限价：</w:t>
            </w:r>
            <w:r>
              <w:rPr>
                <w:rFonts w:hint="eastAsia" w:ascii="宋体" w:hAnsi="宋体" w:cs="宋体"/>
                <w:szCs w:val="21"/>
                <w:highlight w:val="none"/>
                <w:u w:val="single"/>
              </w:rPr>
              <w:t>人民币314.493333万元。</w:t>
            </w:r>
          </w:p>
          <w:p>
            <w:pPr>
              <w:tabs>
                <w:tab w:val="left" w:pos="7513"/>
              </w:tabs>
              <w:spacing w:line="360" w:lineRule="auto"/>
              <w:rPr>
                <w:rFonts w:ascii="宋体" w:hAnsi="宋体" w:cs="宋体"/>
                <w:szCs w:val="21"/>
                <w:highlight w:val="none"/>
              </w:rPr>
            </w:pPr>
            <w:r>
              <w:rPr>
                <w:rFonts w:hint="eastAsia" w:ascii="宋体" w:hAnsi="宋体" w:cs="宋体"/>
                <w:szCs w:val="21"/>
                <w:highlight w:val="none"/>
              </w:rPr>
              <w:t>本项目最高投标限价只作为招标的依据，投标金额及下浮率（%）作为签订合同的依据。中标价不作为竣工结算的依据。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3.2.5</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投标报价的其他要求</w:t>
            </w:r>
          </w:p>
        </w:tc>
        <w:tc>
          <w:tcPr>
            <w:tcW w:w="3506" w:type="pct"/>
            <w:vAlign w:val="center"/>
          </w:tcPr>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投标人必须详细审阅全部招标文件，充分考虑职责和义务，全面地理解招标文件对投标报价的要求，并按招标人提出的条件及内容进行报价。</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一、各投标人自行报价，投标报价超过最高投标限价的，一律视为废标。</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二、本项目最高投标限价只作为招标的依据，投标下浮率（%）作为签订合同的依据。</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三、投标报价及费用计算方式：</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1.招标不提供检测清单，各投标人应根据工程实际编制检测方案，投标综合单价包干。工程量按经发包人核定的实际发生量计取（如超出检测规范或相关文件规定的工程量，不予结算）。最终合同结算价以财政部门审核的结算价并结合所报投标下浮率（%）结算（结算价最终不得超过财政概算评审价）</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2.综合单价已包括了为完成设计文件及有关规范要求的所有材料设备检测项目所发生的劳务(含技术人员)、材料、机械(含各种车辆、仪器设备、软件等使用费、进出场费)、差旅交通费、临时设施费、检测试验费、报告编写费、各项管理费、就餐费、住宿费、管理费、利润、规费、税金、保险费、相关协调费及其他实物和技术工作收费等全部相关费用，以及合同明示或暗示的所有责任、义务和风险。请投标人自行综合考虑，不予另行计算。工程量按经发包人核定的实际发生量计取（如超出检测规范或相关文件规定的工程量，不予结算）。最终检测综合单价和结算总价以广州开发区财政局或其授权委托单位审定为准。</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3.投标项目总报价=最高投标限价×（1－投标下浮率）。</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4.投标下浮率=（1－投标报价/最高投标限价）×100%</w:t>
            </w:r>
          </w:p>
          <w:p>
            <w:pPr>
              <w:pStyle w:val="28"/>
              <w:spacing w:after="0" w:line="360" w:lineRule="auto"/>
              <w:ind w:left="0" w:leftChars="0" w:firstLine="375" w:firstLineChars="179"/>
              <w:rPr>
                <w:rFonts w:ascii="宋体" w:hAnsi="宋体" w:cs="宋体"/>
                <w:szCs w:val="21"/>
                <w:highlight w:val="none"/>
                <w:u w:val="single"/>
              </w:rPr>
            </w:pPr>
            <w:r>
              <w:rPr>
                <w:rFonts w:hint="eastAsia" w:ascii="宋体" w:hAnsi="宋体" w:cs="宋体"/>
                <w:szCs w:val="21"/>
                <w:highlight w:val="none"/>
                <w:u w:val="single"/>
              </w:rPr>
              <w:t>四、成本警戒价为251.594666万元。（按暂定金额的80%设置）。对低于该警戒价的投标报价，投标人必须提供详细的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3.3.1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投标有效期</w:t>
            </w:r>
          </w:p>
        </w:tc>
        <w:tc>
          <w:tcPr>
            <w:tcW w:w="3506" w:type="pct"/>
            <w:vAlign w:val="center"/>
          </w:tcPr>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90日历天（从提交投标截止之日起计算。如出现异议或投诉，则投标有效期自动延长至异议或投诉处理结束）。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3.4.1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投标保证金</w:t>
            </w:r>
          </w:p>
        </w:tc>
        <w:tc>
          <w:tcPr>
            <w:tcW w:w="3506" w:type="pct"/>
            <w:vAlign w:val="center"/>
          </w:tcPr>
          <w:p>
            <w:pPr>
              <w:pStyle w:val="12"/>
              <w:spacing w:line="360" w:lineRule="auto"/>
              <w:rPr>
                <w:rFonts w:hAnsi="宋体" w:cs="宋体"/>
                <w:sz w:val="21"/>
                <w:szCs w:val="21"/>
                <w:highlight w:val="none"/>
                <w:u w:val="single"/>
              </w:rPr>
            </w:pPr>
            <w:r>
              <w:rPr>
                <w:rFonts w:hint="eastAsia" w:hAnsi="宋体" w:cs="宋体"/>
                <w:sz w:val="21"/>
                <w:szCs w:val="21"/>
                <w:highlight w:val="none"/>
                <w:u w:val="single"/>
              </w:rPr>
              <w:t>是否要求投标人递交投标保证金：</w:t>
            </w:r>
          </w:p>
          <w:p>
            <w:pPr>
              <w:pStyle w:val="12"/>
              <w:spacing w:line="360" w:lineRule="auto"/>
              <w:rPr>
                <w:rFonts w:hAnsi="宋体" w:cs="宋体"/>
                <w:szCs w:val="21"/>
                <w:highlight w:val="none"/>
                <w:u w:val="single"/>
              </w:rPr>
            </w:pPr>
            <w:r>
              <w:rPr>
                <w:rFonts w:hint="eastAsia" w:hAnsi="宋体" w:cs="宋体"/>
                <w:sz w:val="21"/>
                <w:szCs w:val="21"/>
                <w:highlight w:val="none"/>
                <w:u w:val="single"/>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3.5</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资格审查资料的特殊要求</w:t>
            </w:r>
          </w:p>
        </w:tc>
        <w:tc>
          <w:tcPr>
            <w:tcW w:w="3506" w:type="pct"/>
            <w:vAlign w:val="center"/>
          </w:tcPr>
          <w:p>
            <w:pPr>
              <w:pStyle w:val="12"/>
              <w:topLinePunct/>
              <w:snapToGrid w:val="0"/>
              <w:spacing w:line="360" w:lineRule="auto"/>
              <w:rPr>
                <w:rFonts w:hAnsi="宋体" w:cs="宋体"/>
                <w:spacing w:val="-1"/>
                <w:sz w:val="21"/>
                <w:szCs w:val="21"/>
                <w:highlight w:val="none"/>
              </w:rPr>
            </w:pPr>
            <w:r>
              <w:rPr>
                <w:rFonts w:hint="eastAsia" w:hAnsi="宋体" w:cs="宋体"/>
                <w:spacing w:val="-1"/>
                <w:sz w:val="21"/>
                <w:szCs w:val="21"/>
                <w:highlight w:val="none"/>
              </w:rPr>
              <w:t>■无</w:t>
            </w:r>
          </w:p>
          <w:p>
            <w:pPr>
              <w:pStyle w:val="12"/>
              <w:topLinePunct/>
              <w:snapToGrid w:val="0"/>
              <w:spacing w:line="360" w:lineRule="auto"/>
              <w:rPr>
                <w:rFonts w:hAnsi="宋体" w:cs="宋体"/>
                <w:sz w:val="21"/>
                <w:szCs w:val="21"/>
                <w:highlight w:val="none"/>
              </w:rPr>
            </w:pPr>
            <w:r>
              <w:rPr>
                <w:rFonts w:hint="eastAsia" w:hAnsi="宋体" w:cs="宋体"/>
                <w:spacing w:val="-1"/>
                <w:sz w:val="21"/>
                <w:szCs w:val="21"/>
                <w:highlight w:val="none"/>
              </w:rPr>
              <w:t>□有，具体要求：/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3.5.2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近年财务状况的年份要求</w:t>
            </w:r>
          </w:p>
        </w:tc>
        <w:tc>
          <w:tcPr>
            <w:tcW w:w="3506" w:type="pct"/>
            <w:vAlign w:val="center"/>
          </w:tcPr>
          <w:p>
            <w:pPr>
              <w:spacing w:line="360" w:lineRule="auto"/>
              <w:ind w:firstLine="105" w:firstLineChars="50"/>
              <w:rPr>
                <w:rFonts w:ascii="宋体" w:hAnsi="宋体" w:cs="宋体"/>
                <w:szCs w:val="21"/>
                <w:highlight w:val="none"/>
                <w:u w:val="single"/>
              </w:rPr>
            </w:pPr>
            <w:r>
              <w:rPr>
                <w:rFonts w:hint="eastAsia" w:ascii="宋体" w:hAnsi="宋体" w:cs="宋体"/>
                <w:szCs w:val="21"/>
                <w:highlight w:val="none"/>
                <w:u w:val="single"/>
              </w:rPr>
              <w:t>/</w:t>
            </w:r>
            <w:r>
              <w:rPr>
                <w:rFonts w:hint="eastAsia" w:ascii="宋体" w:hAnsi="宋体" w:cs="宋体"/>
                <w:szCs w:val="21"/>
                <w:highlight w:val="none"/>
              </w:rPr>
              <w:t>年至</w:t>
            </w:r>
            <w:r>
              <w:rPr>
                <w:rFonts w:hint="eastAsia" w:ascii="宋体" w:hAnsi="宋体" w:cs="宋体"/>
                <w:szCs w:val="21"/>
                <w:highlight w:val="none"/>
                <w:u w:val="single"/>
              </w:rPr>
              <w:t>/</w:t>
            </w:r>
            <w:r>
              <w:rPr>
                <w:rFonts w:hint="eastAsia" w:ascii="宋体" w:hAnsi="宋体" w:cs="宋体"/>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3.5.3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近年完成的类似项目情况的时间要求</w:t>
            </w:r>
          </w:p>
        </w:tc>
        <w:tc>
          <w:tcPr>
            <w:tcW w:w="3506" w:type="pct"/>
            <w:vAlign w:val="center"/>
          </w:tcPr>
          <w:p>
            <w:pPr>
              <w:spacing w:line="360" w:lineRule="auto"/>
              <w:ind w:firstLine="105" w:firstLineChars="50"/>
              <w:rPr>
                <w:rFonts w:ascii="宋体" w:hAnsi="宋体" w:cs="宋体"/>
                <w:szCs w:val="21"/>
                <w:highlight w:val="none"/>
              </w:rPr>
            </w:pPr>
            <w:r>
              <w:rPr>
                <w:rFonts w:hint="eastAsia" w:ascii="宋体" w:hAnsi="宋体" w:cs="宋体"/>
                <w:szCs w:val="21"/>
                <w:highlight w:val="none"/>
                <w:u w:val="single"/>
              </w:rPr>
              <w:t>/</w:t>
            </w:r>
            <w:r>
              <w:rPr>
                <w:rFonts w:hint="eastAsia" w:ascii="宋体" w:hAnsi="宋体" w:cs="宋体"/>
                <w:szCs w:val="21"/>
                <w:highlight w:val="none"/>
              </w:rPr>
              <w:t>年</w:t>
            </w:r>
            <w:r>
              <w:rPr>
                <w:rFonts w:hint="eastAsia" w:ascii="宋体" w:hAnsi="宋体" w:cs="宋体"/>
                <w:szCs w:val="21"/>
                <w:highlight w:val="none"/>
                <w:u w:val="single"/>
              </w:rPr>
              <w:t>/</w:t>
            </w:r>
            <w:r>
              <w:rPr>
                <w:rFonts w:hint="eastAsia" w:ascii="宋体" w:hAnsi="宋体" w:cs="宋体"/>
                <w:szCs w:val="21"/>
                <w:highlight w:val="none"/>
              </w:rPr>
              <w:t>月</w:t>
            </w:r>
            <w:r>
              <w:rPr>
                <w:rFonts w:hint="eastAsia" w:ascii="宋体" w:hAnsi="宋体" w:cs="宋体"/>
                <w:szCs w:val="21"/>
                <w:highlight w:val="none"/>
                <w:u w:val="single"/>
              </w:rPr>
              <w:t>/</w:t>
            </w:r>
            <w:r>
              <w:rPr>
                <w:rFonts w:hint="eastAsia" w:ascii="宋体" w:hAnsi="宋体" w:cs="宋体"/>
                <w:szCs w:val="21"/>
                <w:highlight w:val="none"/>
              </w:rPr>
              <w:t>日至今（完成时间以检测报告为准）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3.5.5</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近年发生的诉讼及仲裁情况的时间要求</w:t>
            </w:r>
          </w:p>
        </w:tc>
        <w:tc>
          <w:tcPr>
            <w:tcW w:w="3506" w:type="pct"/>
            <w:vAlign w:val="center"/>
          </w:tcPr>
          <w:p>
            <w:pPr>
              <w:snapToGrid w:val="0"/>
              <w:spacing w:line="360" w:lineRule="auto"/>
              <w:ind w:firstLine="105" w:firstLineChars="50"/>
              <w:rPr>
                <w:rFonts w:ascii="宋体" w:hAnsi="宋体" w:cs="宋体"/>
                <w:szCs w:val="21"/>
                <w:highlight w:val="none"/>
              </w:rPr>
            </w:pPr>
            <w:r>
              <w:rPr>
                <w:rFonts w:hint="eastAsia" w:ascii="宋体" w:hAnsi="宋体" w:cs="宋体"/>
                <w:szCs w:val="21"/>
                <w:highlight w:val="none"/>
                <w:u w:val="single"/>
              </w:rPr>
              <w:t>/</w:t>
            </w:r>
            <w:r>
              <w:rPr>
                <w:rFonts w:hint="eastAsia" w:ascii="宋体" w:hAnsi="宋体" w:cs="宋体"/>
                <w:szCs w:val="21"/>
                <w:highlight w:val="none"/>
              </w:rPr>
              <w:t>年</w:t>
            </w:r>
            <w:r>
              <w:rPr>
                <w:rFonts w:hint="eastAsia" w:ascii="宋体" w:hAnsi="宋体" w:cs="宋体"/>
                <w:szCs w:val="21"/>
                <w:highlight w:val="none"/>
                <w:u w:val="single"/>
              </w:rPr>
              <w:t>/</w:t>
            </w:r>
            <w:r>
              <w:rPr>
                <w:rFonts w:hint="eastAsia" w:ascii="宋体" w:hAnsi="宋体" w:cs="宋体"/>
                <w:szCs w:val="21"/>
                <w:highlight w:val="none"/>
              </w:rPr>
              <w:t>月</w:t>
            </w:r>
            <w:r>
              <w:rPr>
                <w:rFonts w:hint="eastAsia" w:ascii="宋体" w:hAnsi="宋体" w:cs="宋体"/>
                <w:szCs w:val="21"/>
                <w:highlight w:val="none"/>
                <w:u w:val="single"/>
              </w:rPr>
              <w:t>/</w:t>
            </w:r>
            <w:r>
              <w:rPr>
                <w:rFonts w:hint="eastAsia" w:ascii="宋体" w:hAnsi="宋体" w:cs="宋体"/>
                <w:szCs w:val="21"/>
                <w:highlight w:val="none"/>
              </w:rPr>
              <w:t>日至</w:t>
            </w:r>
            <w:r>
              <w:rPr>
                <w:rFonts w:hint="eastAsia" w:ascii="宋体" w:hAnsi="宋体" w:cs="宋体"/>
                <w:szCs w:val="21"/>
                <w:highlight w:val="none"/>
                <w:u w:val="single"/>
              </w:rPr>
              <w:t>/</w:t>
            </w:r>
            <w:r>
              <w:rPr>
                <w:rFonts w:hint="eastAsia" w:ascii="宋体" w:hAnsi="宋体" w:cs="宋体"/>
                <w:szCs w:val="21"/>
                <w:highlight w:val="none"/>
              </w:rPr>
              <w:t>年</w:t>
            </w:r>
            <w:r>
              <w:rPr>
                <w:rFonts w:hint="eastAsia" w:ascii="宋体" w:hAnsi="宋体" w:cs="宋体"/>
                <w:szCs w:val="21"/>
                <w:highlight w:val="none"/>
                <w:u w:val="single"/>
              </w:rPr>
              <w:t>/</w:t>
            </w:r>
            <w:r>
              <w:rPr>
                <w:rFonts w:hint="eastAsia" w:ascii="宋体" w:hAnsi="宋体" w:cs="宋体"/>
                <w:szCs w:val="21"/>
                <w:highlight w:val="none"/>
              </w:rPr>
              <w:t>月</w:t>
            </w:r>
            <w:r>
              <w:rPr>
                <w:rFonts w:hint="eastAsia" w:ascii="宋体" w:hAnsi="宋体" w:cs="宋体"/>
                <w:szCs w:val="21"/>
                <w:highlight w:val="none"/>
                <w:u w:val="single"/>
              </w:rPr>
              <w:t>/</w:t>
            </w:r>
            <w:r>
              <w:rPr>
                <w:rFonts w:hint="eastAsia" w:ascii="宋体" w:hAnsi="宋体" w:cs="宋体"/>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3.6.1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是否允许递交备选投标方案</w:t>
            </w:r>
          </w:p>
        </w:tc>
        <w:tc>
          <w:tcPr>
            <w:tcW w:w="3506" w:type="pct"/>
            <w:vAlign w:val="center"/>
          </w:tcPr>
          <w:p>
            <w:pPr>
              <w:pStyle w:val="12"/>
              <w:topLinePunct/>
              <w:snapToGrid w:val="0"/>
              <w:spacing w:line="360" w:lineRule="auto"/>
              <w:rPr>
                <w:rFonts w:hAnsi="宋体" w:cs="宋体"/>
                <w:sz w:val="21"/>
                <w:szCs w:val="21"/>
                <w:highlight w:val="none"/>
              </w:rPr>
            </w:pPr>
            <w:r>
              <w:rPr>
                <w:rFonts w:hint="eastAsia" w:hAnsi="宋体" w:cs="宋体"/>
                <w:spacing w:val="-1"/>
                <w:sz w:val="21"/>
                <w:szCs w:val="21"/>
                <w:highlight w:val="none"/>
              </w:rPr>
              <w:t>■</w:t>
            </w:r>
            <w:r>
              <w:rPr>
                <w:rFonts w:hint="eastAsia" w:hAnsi="宋体" w:cs="宋体"/>
                <w:sz w:val="21"/>
                <w:szCs w:val="21"/>
                <w:highlight w:val="none"/>
              </w:rPr>
              <w:t>不允许</w:t>
            </w:r>
          </w:p>
          <w:p>
            <w:pPr>
              <w:snapToGrid w:val="0"/>
              <w:spacing w:line="360" w:lineRule="auto"/>
              <w:rPr>
                <w:rFonts w:ascii="宋体" w:hAnsi="宋体" w:cs="宋体"/>
                <w:szCs w:val="21"/>
                <w:highlight w:val="none"/>
              </w:rPr>
            </w:pPr>
            <w:r>
              <w:rPr>
                <w:rFonts w:hint="eastAsia" w:ascii="宋体" w:hAnsi="宋体" w:cs="宋体"/>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3.7.3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投标文件所附证书证件要求</w:t>
            </w:r>
          </w:p>
        </w:tc>
        <w:tc>
          <w:tcPr>
            <w:tcW w:w="3506" w:type="pct"/>
            <w:vAlign w:val="center"/>
          </w:tcPr>
          <w:p>
            <w:pPr>
              <w:snapToGrid w:val="0"/>
              <w:spacing w:line="360" w:lineRule="auto"/>
              <w:rPr>
                <w:rFonts w:ascii="宋体" w:hAnsi="宋体" w:cs="宋体"/>
                <w:szCs w:val="21"/>
                <w:highlight w:val="none"/>
                <w:u w:val="single"/>
              </w:rPr>
            </w:pPr>
            <w:r>
              <w:rPr>
                <w:rFonts w:hint="eastAsia" w:ascii="宋体" w:hAnsi="宋体" w:cs="宋体"/>
                <w:szCs w:val="21"/>
                <w:highlight w:val="none"/>
              </w:rPr>
              <w:t>证书证件需为</w:t>
            </w:r>
            <w:r>
              <w:rPr>
                <w:rFonts w:hint="eastAsia" w:ascii="宋体" w:hAnsi="宋体" w:cs="宋体"/>
                <w:b/>
                <w:szCs w:val="21"/>
                <w:highlight w:val="none"/>
              </w:rPr>
              <w:t>原件清晰彩色扫描件</w:t>
            </w:r>
            <w:r>
              <w:rPr>
                <w:rFonts w:hint="eastAsia" w:ascii="宋体" w:hAnsi="宋体" w:cs="宋体"/>
                <w:szCs w:val="21"/>
                <w:highlight w:val="none"/>
              </w:rPr>
              <w:t>，并采用单位数字证书，按照招标文件要求在相应位置加盖电子印章。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3.7.3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投标文件签字或盖章要求</w:t>
            </w:r>
          </w:p>
        </w:tc>
        <w:tc>
          <w:tcPr>
            <w:tcW w:w="3506" w:type="pct"/>
            <w:vAlign w:val="center"/>
          </w:tcPr>
          <w:p>
            <w:pPr>
              <w:pStyle w:val="12"/>
              <w:topLinePunct/>
              <w:snapToGrid w:val="0"/>
              <w:spacing w:line="360" w:lineRule="auto"/>
              <w:ind w:right="174" w:rightChars="83"/>
              <w:rPr>
                <w:rFonts w:hAnsi="宋体" w:cs="宋体"/>
                <w:sz w:val="21"/>
                <w:szCs w:val="21"/>
                <w:highlight w:val="none"/>
                <w:u w:val="single"/>
              </w:rPr>
            </w:pPr>
            <w:r>
              <w:rPr>
                <w:rFonts w:hint="eastAsia" w:hAnsi="宋体" w:cs="宋体"/>
                <w:sz w:val="21"/>
                <w:szCs w:val="21"/>
                <w:highlight w:val="none"/>
                <w:u w:val="single"/>
              </w:rPr>
              <w:t>取消在招标文件中采用个人数字证书和加盖个人电子印章要求，投标文件中需法定代表人、代理人签字或加盖电子印章的，应手签后扫描上传，对加盖个人电子印章不做要求。投标文件按招标文件要求加盖单位电子印章。相关操作详见广州交易集团有限公司（广州公共资源交易中心）网站最新发布的最新指引。</w:t>
            </w:r>
          </w:p>
          <w:p>
            <w:pPr>
              <w:pStyle w:val="12"/>
              <w:topLinePunct/>
              <w:snapToGrid w:val="0"/>
              <w:spacing w:line="360" w:lineRule="auto"/>
              <w:ind w:right="174" w:rightChars="83"/>
              <w:rPr>
                <w:rFonts w:hAnsi="宋体" w:cs="宋体"/>
                <w:sz w:val="21"/>
                <w:szCs w:val="21"/>
                <w:highlight w:val="none"/>
                <w:u w:val="single"/>
              </w:rPr>
            </w:pPr>
            <w:r>
              <w:rPr>
                <w:rFonts w:hint="eastAsia" w:hAnsi="宋体" w:cs="宋体"/>
                <w:b/>
                <w:bCs/>
                <w:sz w:val="21"/>
                <w:szCs w:val="21"/>
                <w:highlight w:val="none"/>
                <w:u w:val="single"/>
              </w:rPr>
              <w:t>联合体投标时，除“联合体协议书”需由联合体各成员分别按要求进行签字或盖章外，其他资料若需要签字或盖章的均可由联合体牵头人（主办方）签字或盖章即可；投标资料封面及其他内容及落款中的“投标人”应填写联合体各成员的单位全称【格式示例为：（主）单位全称（成）单位全称】，由联合体主办方按要求签字或盖章即可。电子签章由主办方进行签章即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4.1.1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投标文件加密要求</w:t>
            </w:r>
          </w:p>
        </w:tc>
        <w:tc>
          <w:tcPr>
            <w:tcW w:w="3506" w:type="pct"/>
            <w:vAlign w:val="center"/>
          </w:tcPr>
          <w:p>
            <w:pPr>
              <w:pStyle w:val="12"/>
              <w:topLinePunct/>
              <w:snapToGrid w:val="0"/>
              <w:spacing w:line="360" w:lineRule="auto"/>
              <w:rPr>
                <w:rFonts w:hAnsi="宋体" w:cs="宋体"/>
                <w:sz w:val="21"/>
                <w:szCs w:val="21"/>
                <w:highlight w:val="none"/>
                <w:u w:val="single"/>
              </w:rPr>
            </w:pPr>
            <w:r>
              <w:rPr>
                <w:rFonts w:hint="eastAsia" w:hAnsi="宋体" w:cs="宋体"/>
                <w:sz w:val="21"/>
                <w:szCs w:val="21"/>
                <w:highlight w:val="none"/>
              </w:rPr>
              <w:t>网上递交的电子投标文件须进行加密。具体操作</w:t>
            </w:r>
            <w:r>
              <w:rPr>
                <w:rFonts w:hint="eastAsia" w:hAnsi="宋体" w:cs="宋体"/>
                <w:sz w:val="21"/>
                <w:szCs w:val="21"/>
                <w:highlight w:val="none"/>
                <w:u w:val="single"/>
              </w:rPr>
              <w:t>详见广州交易集团有限公司（广州公共资源交易中心）网站最新发布的最新指引。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4.1.2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封套上应载明的信息</w:t>
            </w:r>
          </w:p>
        </w:tc>
        <w:tc>
          <w:tcPr>
            <w:tcW w:w="3506" w:type="pct"/>
            <w:vAlign w:val="center"/>
          </w:tcPr>
          <w:p>
            <w:pPr>
              <w:pStyle w:val="12"/>
              <w:topLinePunct/>
              <w:snapToGrid w:val="0"/>
              <w:spacing w:line="360" w:lineRule="auto"/>
              <w:rPr>
                <w:rFonts w:hAnsi="宋体" w:cs="宋体"/>
                <w:sz w:val="21"/>
                <w:szCs w:val="21"/>
                <w:highlight w:val="none"/>
              </w:rPr>
            </w:pPr>
            <w:r>
              <w:rPr>
                <w:rFonts w:hint="eastAsia" w:hAnsi="宋体" w:cs="宋体"/>
                <w:sz w:val="21"/>
                <w:szCs w:val="21"/>
                <w:highlight w:val="none"/>
              </w:rPr>
              <w:t>如有提交投标文件光盘备用，封套上应注明如下信息：</w:t>
            </w:r>
          </w:p>
          <w:p>
            <w:pPr>
              <w:pStyle w:val="12"/>
              <w:topLinePunct/>
              <w:spacing w:line="360" w:lineRule="auto"/>
              <w:rPr>
                <w:rFonts w:hAnsi="宋体" w:cs="宋体"/>
                <w:sz w:val="21"/>
                <w:szCs w:val="21"/>
                <w:highlight w:val="none"/>
              </w:rPr>
            </w:pPr>
            <w:r>
              <w:rPr>
                <w:rFonts w:hint="eastAsia" w:hAnsi="宋体" w:cs="宋体"/>
                <w:sz w:val="21"/>
                <w:szCs w:val="21"/>
                <w:highlight w:val="none"/>
              </w:rPr>
              <w:t>招标人名称：</w:t>
            </w:r>
            <w:r>
              <w:rPr>
                <w:rFonts w:hint="eastAsia" w:hAnsi="宋体" w:cs="宋体"/>
                <w:sz w:val="21"/>
                <w:szCs w:val="21"/>
                <w:highlight w:val="none"/>
                <w:u w:val="single"/>
              </w:rPr>
              <w:t>广东从化经济开发区管理委员会</w:t>
            </w:r>
          </w:p>
          <w:p>
            <w:pPr>
              <w:pStyle w:val="12"/>
              <w:topLinePunct/>
              <w:spacing w:line="360" w:lineRule="auto"/>
              <w:rPr>
                <w:rFonts w:hAnsi="宋体" w:cs="宋体"/>
                <w:sz w:val="21"/>
                <w:szCs w:val="21"/>
                <w:highlight w:val="none"/>
              </w:rPr>
            </w:pPr>
            <w:r>
              <w:rPr>
                <w:rFonts w:hint="eastAsia" w:hAnsi="宋体" w:cs="宋体"/>
                <w:sz w:val="21"/>
                <w:szCs w:val="21"/>
                <w:highlight w:val="none"/>
              </w:rPr>
              <w:t>招标人地址：</w:t>
            </w:r>
            <w:r>
              <w:rPr>
                <w:rFonts w:hint="eastAsia" w:hAnsi="宋体" w:cs="宋体"/>
                <w:sz w:val="21"/>
                <w:szCs w:val="21"/>
                <w:highlight w:val="none"/>
                <w:u w:val="single"/>
              </w:rPr>
              <w:t>广州市从化区明珠工业园广场路8号</w:t>
            </w:r>
          </w:p>
          <w:p>
            <w:pPr>
              <w:pStyle w:val="12"/>
              <w:topLinePunct/>
              <w:spacing w:line="360" w:lineRule="auto"/>
              <w:rPr>
                <w:rFonts w:hAnsi="宋体" w:cs="宋体"/>
                <w:sz w:val="21"/>
                <w:szCs w:val="21"/>
                <w:highlight w:val="none"/>
              </w:rPr>
            </w:pPr>
            <w:r>
              <w:rPr>
                <w:rFonts w:hint="eastAsia" w:hAnsi="宋体" w:cs="宋体"/>
                <w:sz w:val="21"/>
                <w:szCs w:val="21"/>
                <w:highlight w:val="none"/>
                <w:u w:val="single"/>
              </w:rPr>
              <w:t>（项目名称）</w:t>
            </w:r>
            <w:r>
              <w:rPr>
                <w:rFonts w:hint="eastAsia" w:hAnsi="宋体" w:cs="宋体"/>
                <w:sz w:val="21"/>
                <w:szCs w:val="21"/>
                <w:highlight w:val="none"/>
              </w:rPr>
              <w:t>招标项目投标文件</w:t>
            </w:r>
          </w:p>
          <w:p>
            <w:pPr>
              <w:pStyle w:val="12"/>
              <w:topLinePunct/>
              <w:spacing w:line="360" w:lineRule="auto"/>
              <w:rPr>
                <w:rFonts w:hAnsi="宋体" w:cs="宋体"/>
                <w:sz w:val="21"/>
                <w:szCs w:val="21"/>
                <w:highlight w:val="none"/>
              </w:rPr>
            </w:pPr>
            <w:r>
              <w:rPr>
                <w:rFonts w:hint="eastAsia" w:hAnsi="宋体" w:cs="宋体"/>
                <w:sz w:val="21"/>
                <w:szCs w:val="21"/>
                <w:highlight w:val="none"/>
              </w:rPr>
              <w:t>招标项目编号：</w:t>
            </w:r>
          </w:p>
          <w:p>
            <w:pPr>
              <w:pStyle w:val="12"/>
              <w:topLinePunct/>
              <w:snapToGrid w:val="0"/>
              <w:spacing w:line="360" w:lineRule="auto"/>
              <w:rPr>
                <w:rFonts w:hAnsi="宋体" w:cs="宋体"/>
                <w:sz w:val="21"/>
                <w:szCs w:val="21"/>
                <w:highlight w:val="none"/>
              </w:rPr>
            </w:pPr>
            <w:r>
              <w:rPr>
                <w:rFonts w:hint="eastAsia" w:hAnsi="宋体" w:cs="宋体"/>
                <w:sz w:val="21"/>
                <w:szCs w:val="21"/>
                <w:highlight w:val="none"/>
              </w:rPr>
              <w:t>在</w:t>
            </w:r>
            <w:r>
              <w:rPr>
                <w:rFonts w:hint="eastAsia" w:hAnsi="宋体" w:cs="宋体"/>
                <w:sz w:val="21"/>
                <w:szCs w:val="21"/>
                <w:highlight w:val="none"/>
                <w:u w:val="single"/>
              </w:rPr>
              <w:t xml:space="preserve">     </w:t>
            </w:r>
            <w:r>
              <w:rPr>
                <w:rFonts w:hint="eastAsia" w:hAnsi="宋体" w:cs="宋体"/>
                <w:sz w:val="21"/>
                <w:szCs w:val="21"/>
                <w:highlight w:val="none"/>
              </w:rPr>
              <w:t>年</w:t>
            </w:r>
            <w:r>
              <w:rPr>
                <w:rFonts w:hint="eastAsia" w:hAnsi="宋体" w:cs="宋体"/>
                <w:sz w:val="21"/>
                <w:szCs w:val="21"/>
                <w:highlight w:val="none"/>
                <w:u w:val="single"/>
              </w:rPr>
              <w:t xml:space="preserve">  </w:t>
            </w:r>
            <w:r>
              <w:rPr>
                <w:rFonts w:hint="eastAsia" w:hAnsi="宋体" w:cs="宋体"/>
                <w:sz w:val="21"/>
                <w:szCs w:val="21"/>
                <w:highlight w:val="none"/>
              </w:rPr>
              <w:t>月</w:t>
            </w:r>
            <w:r>
              <w:rPr>
                <w:rFonts w:hint="eastAsia" w:hAnsi="宋体" w:cs="宋体"/>
                <w:sz w:val="21"/>
                <w:szCs w:val="21"/>
                <w:highlight w:val="none"/>
                <w:u w:val="single"/>
              </w:rPr>
              <w:t xml:space="preserve">   </w:t>
            </w:r>
            <w:r>
              <w:rPr>
                <w:rFonts w:hint="eastAsia" w:hAnsi="宋体" w:cs="宋体"/>
                <w:sz w:val="21"/>
                <w:szCs w:val="21"/>
                <w:highlight w:val="none"/>
              </w:rPr>
              <w:t>日</w:t>
            </w:r>
            <w:r>
              <w:rPr>
                <w:rFonts w:hint="eastAsia" w:hAnsi="宋体" w:cs="宋体"/>
                <w:sz w:val="21"/>
                <w:szCs w:val="21"/>
                <w:highlight w:val="none"/>
                <w:u w:val="single"/>
              </w:rPr>
              <w:t xml:space="preserve">     </w:t>
            </w:r>
            <w:r>
              <w:rPr>
                <w:rFonts w:hint="eastAsia" w:hAnsi="宋体" w:cs="宋体"/>
                <w:sz w:val="21"/>
                <w:szCs w:val="21"/>
                <w:highlight w:val="none"/>
              </w:rPr>
              <w:t>时前不得开启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4.2.1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投标截止时间</w:t>
            </w:r>
          </w:p>
        </w:tc>
        <w:tc>
          <w:tcPr>
            <w:tcW w:w="3506" w:type="pct"/>
            <w:vAlign w:val="center"/>
          </w:tcPr>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时  分（北京时间）</w:t>
            </w:r>
          </w:p>
          <w:p>
            <w:pPr>
              <w:snapToGrid w:val="0"/>
              <w:spacing w:line="360" w:lineRule="auto"/>
              <w:rPr>
                <w:rFonts w:ascii="宋体" w:hAnsi="宋体" w:cs="宋体"/>
                <w:szCs w:val="21"/>
                <w:highlight w:val="none"/>
              </w:rPr>
            </w:pPr>
            <w:r>
              <w:rPr>
                <w:rFonts w:hint="eastAsia" w:ascii="宋体" w:hAnsi="宋体" w:cs="宋体"/>
                <w:szCs w:val="21"/>
                <w:highlight w:val="none"/>
                <w:u w:val="single"/>
              </w:rPr>
              <w:t>（详见广州交易集团有限公司（广州公共资源交易中心）网站信息）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4.2.2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递交电子投标文件交易平台</w:t>
            </w:r>
          </w:p>
        </w:tc>
        <w:tc>
          <w:tcPr>
            <w:tcW w:w="3506" w:type="pct"/>
            <w:vAlign w:val="center"/>
          </w:tcPr>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 xml:space="preserve">1.递交方式：网上递交投标文件 </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2.递交投标文件的起始时间：（详见广州交易集团有限公司（广州公共资源交易中心）网站信息）。</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截止时间：（详见广州交易集团有限公司（广州公共资源交易中心）网站信息）</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3.地点：广州交易集团有限公司（广州公共资源交易中心）网站。</w:t>
            </w:r>
          </w:p>
          <w:p>
            <w:pPr>
              <w:snapToGrid w:val="0"/>
              <w:spacing w:line="360" w:lineRule="auto"/>
              <w:rPr>
                <w:rFonts w:ascii="宋体" w:hAnsi="宋体" w:cs="宋体"/>
                <w:szCs w:val="21"/>
                <w:highlight w:val="none"/>
              </w:rPr>
            </w:pPr>
            <w:r>
              <w:rPr>
                <w:rFonts w:hint="eastAsia" w:ascii="宋体" w:hAnsi="宋体" w:cs="宋体"/>
                <w:szCs w:val="21"/>
                <w:highlight w:val="none"/>
                <w:u w:val="single"/>
              </w:rPr>
              <w:t>4.上述时间及地点是否有改变， 请密切留意招标答疑纪要的相关信息。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4.2.3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投标文件是否退还</w:t>
            </w:r>
          </w:p>
        </w:tc>
        <w:tc>
          <w:tcPr>
            <w:tcW w:w="3506" w:type="pct"/>
            <w:vAlign w:val="center"/>
          </w:tcPr>
          <w:p>
            <w:pPr>
              <w:pStyle w:val="12"/>
              <w:topLinePunct/>
              <w:snapToGrid w:val="0"/>
              <w:spacing w:line="360" w:lineRule="auto"/>
              <w:rPr>
                <w:rFonts w:hAnsi="宋体" w:cs="宋体"/>
                <w:sz w:val="21"/>
                <w:szCs w:val="21"/>
                <w:highlight w:val="none"/>
              </w:rPr>
            </w:pPr>
            <w:r>
              <w:rPr>
                <w:rFonts w:hint="eastAsia" w:hAnsi="宋体" w:cs="宋体"/>
                <w:spacing w:val="-1"/>
                <w:sz w:val="21"/>
                <w:szCs w:val="21"/>
                <w:highlight w:val="none"/>
              </w:rPr>
              <w:t>■</w:t>
            </w:r>
            <w:r>
              <w:rPr>
                <w:rFonts w:hint="eastAsia" w:hAnsi="宋体" w:cs="宋体"/>
                <w:sz w:val="21"/>
                <w:szCs w:val="21"/>
                <w:highlight w:val="none"/>
              </w:rPr>
              <w:t>否</w:t>
            </w:r>
          </w:p>
          <w:p>
            <w:pPr>
              <w:pStyle w:val="12"/>
              <w:topLinePunct/>
              <w:snapToGrid w:val="0"/>
              <w:spacing w:line="360" w:lineRule="auto"/>
              <w:rPr>
                <w:rFonts w:hAnsi="宋体" w:cs="宋体"/>
                <w:sz w:val="21"/>
                <w:szCs w:val="21"/>
                <w:highlight w:val="none"/>
              </w:rPr>
            </w:pPr>
            <w:r>
              <w:rPr>
                <w:rFonts w:hint="eastAsia" w:hAnsi="宋体" w:cs="宋体"/>
                <w:sz w:val="21"/>
                <w:szCs w:val="21"/>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5.1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开标时间和地点</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详见本工程招标公告。</w:t>
            </w:r>
          </w:p>
          <w:p>
            <w:pPr>
              <w:snapToGrid w:val="0"/>
              <w:spacing w:line="360" w:lineRule="auto"/>
              <w:rPr>
                <w:rFonts w:ascii="宋体" w:hAnsi="宋体" w:cs="宋体"/>
                <w:szCs w:val="21"/>
                <w:highlight w:val="none"/>
              </w:rPr>
            </w:pPr>
            <w:r>
              <w:rPr>
                <w:rFonts w:hint="eastAsia" w:ascii="宋体" w:hAnsi="宋体" w:cs="宋体"/>
                <w:szCs w:val="21"/>
                <w:highlight w:val="none"/>
                <w:u w:val="single"/>
              </w:rPr>
              <w:t>开标时，投标人代表有权参加现场开标或在线开标，也可以自主决定不参加开标，在线开标具体按照交易平台相关指南进行操作。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5.2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开标程序</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电子招投标项目开标按下列程序进行：</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5.2.1主持人按下列程序进行开标：</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（1）宣布开标纪律；</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（2）公布在投标截止时间前递交投标文件的投标人名称；</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（3）宣布开标人、唱标人、记录人、监标人等有关人员姓名；</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（4）投标人通过电子招标投标交易平台对已递交的电子投标文件进行解密，公布招标项目名称、投标人名称、投标报价及其他内容，并记录在案；</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（5）投标人代表、招标人代表、监标人、记录人等有关人员在开标记录上签字确认；若有关人员不签字的，不影响开标程序；</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（6）开标结束。</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5.2.2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napToGrid w:val="0"/>
              <w:spacing w:line="360" w:lineRule="auto"/>
              <w:rPr>
                <w:rFonts w:ascii="宋体" w:hAnsi="宋体" w:cs="宋体"/>
                <w:szCs w:val="21"/>
                <w:highlight w:val="none"/>
                <w:u w:val="single"/>
              </w:rPr>
            </w:pPr>
            <w:r>
              <w:rPr>
                <w:rFonts w:hint="eastAsia" w:ascii="宋体" w:hAnsi="宋体" w:cs="宋体"/>
                <w:szCs w:val="21"/>
                <w:highlight w:val="none"/>
                <w:u w:val="single"/>
              </w:rPr>
              <w:t>5.2.3开标时，两个（含两个）以上的投标人加密打包投标文件电脑机器特征码一致的，不参与下一程序，并由评标委员会否决其投标。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5.3</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开标异议</w:t>
            </w:r>
          </w:p>
        </w:tc>
        <w:tc>
          <w:tcPr>
            <w:tcW w:w="3506" w:type="pct"/>
            <w:vAlign w:val="center"/>
          </w:tcPr>
          <w:p>
            <w:pPr>
              <w:pStyle w:val="13"/>
              <w:kinsoku w:val="0"/>
              <w:overflowPunct w:val="0"/>
              <w:snapToGrid w:val="0"/>
              <w:spacing w:line="360" w:lineRule="auto"/>
              <w:rPr>
                <w:rFonts w:ascii="宋体" w:hAnsi="宋体" w:cs="宋体"/>
                <w:szCs w:val="21"/>
                <w:highlight w:val="none"/>
                <w:u w:val="single"/>
              </w:rPr>
            </w:pPr>
            <w:r>
              <w:rPr>
                <w:rFonts w:hint="eastAsia" w:ascii="宋体" w:hAnsi="宋体" w:cs="宋体"/>
                <w:b/>
                <w:bCs/>
                <w:szCs w:val="21"/>
                <w:highlight w:val="none"/>
              </w:rPr>
              <w:t>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6.1.1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评标委员会的组建</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评标委员会构成，由招标人依法组建。</w:t>
            </w:r>
          </w:p>
          <w:p>
            <w:pPr>
              <w:snapToGrid w:val="0"/>
              <w:spacing w:line="360" w:lineRule="auto"/>
              <w:rPr>
                <w:rFonts w:ascii="宋体" w:hAnsi="宋体" w:cs="宋体"/>
                <w:szCs w:val="21"/>
                <w:highlight w:val="none"/>
              </w:rPr>
            </w:pPr>
            <w:r>
              <w:rPr>
                <w:rFonts w:hint="eastAsia" w:ascii="宋体" w:hAnsi="宋体" w:cs="宋体"/>
                <w:szCs w:val="21"/>
                <w:highlight w:val="none"/>
              </w:rPr>
              <w:t>评标专家确定方式：</w:t>
            </w:r>
            <w:r>
              <w:rPr>
                <w:rFonts w:hint="eastAsia" w:ascii="宋体" w:hAnsi="宋体" w:cs="宋体"/>
                <w:szCs w:val="21"/>
                <w:highlight w:val="none"/>
                <w:u w:val="single"/>
              </w:rPr>
              <w:t>广东省综合评标评审专家库中随机抽取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6.3.2</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评标委员会推荐中标候选人的人数</w:t>
            </w:r>
          </w:p>
        </w:tc>
        <w:tc>
          <w:tcPr>
            <w:tcW w:w="3506" w:type="pct"/>
            <w:vAlign w:val="center"/>
          </w:tcPr>
          <w:p>
            <w:pPr>
              <w:snapToGrid w:val="0"/>
              <w:spacing w:line="360" w:lineRule="auto"/>
              <w:rPr>
                <w:rFonts w:ascii="宋体" w:hAnsi="宋体" w:cs="宋体"/>
                <w:szCs w:val="21"/>
                <w:highlight w:val="none"/>
              </w:rPr>
            </w:pPr>
            <w:r>
              <w:rPr>
                <w:rFonts w:hint="eastAsia" w:ascii="宋体" w:hAnsi="宋体" w:cs="宋体"/>
                <w:szCs w:val="21"/>
                <w:highlight w:val="none"/>
              </w:rPr>
              <w:t>推荐中标候选人：</w:t>
            </w:r>
            <w:r>
              <w:rPr>
                <w:rFonts w:hint="eastAsia" w:ascii="宋体" w:hAnsi="宋体" w:cs="宋体"/>
                <w:szCs w:val="21"/>
                <w:highlight w:val="none"/>
                <w:u w:val="single"/>
              </w:rPr>
              <w:t xml:space="preserve"> 3人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7.1</w:t>
            </w:r>
          </w:p>
        </w:tc>
        <w:tc>
          <w:tcPr>
            <w:tcW w:w="1035" w:type="pct"/>
            <w:vMerge w:val="restar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中标候选人公示媒介及期限</w:t>
            </w:r>
          </w:p>
        </w:tc>
        <w:tc>
          <w:tcPr>
            <w:tcW w:w="3506" w:type="pct"/>
            <w:vAlign w:val="center"/>
          </w:tcPr>
          <w:p>
            <w:pPr>
              <w:spacing w:line="360" w:lineRule="auto"/>
              <w:rPr>
                <w:rFonts w:ascii="宋体" w:hAnsi="宋体" w:cs="宋体"/>
                <w:szCs w:val="21"/>
                <w:highlight w:val="none"/>
              </w:rPr>
            </w:pPr>
            <w:r>
              <w:rPr>
                <w:rFonts w:hint="eastAsia" w:ascii="宋体" w:hAnsi="宋体" w:cs="宋体"/>
                <w:szCs w:val="21"/>
                <w:highlight w:val="none"/>
              </w:rPr>
              <w:t>公示媒介：中国招标投标公共服务平台、广东省招标投标监管网、广州交易集团有限公司（广州公共资源交易中心）网站公示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Merge w:val="continue"/>
            <w:vAlign w:val="center"/>
          </w:tcPr>
          <w:p>
            <w:pPr>
              <w:snapToGrid w:val="0"/>
              <w:spacing w:line="360" w:lineRule="auto"/>
              <w:ind w:right="106"/>
              <w:rPr>
                <w:rFonts w:ascii="宋体" w:hAnsi="宋体" w:cs="宋体"/>
                <w:highlight w:val="none"/>
              </w:rPr>
            </w:pPr>
          </w:p>
        </w:tc>
        <w:tc>
          <w:tcPr>
            <w:tcW w:w="1035" w:type="pct"/>
            <w:vMerge w:val="continue"/>
            <w:vAlign w:val="center"/>
          </w:tcPr>
          <w:p>
            <w:pPr>
              <w:snapToGrid w:val="0"/>
              <w:spacing w:line="360" w:lineRule="auto"/>
              <w:ind w:right="106"/>
              <w:rPr>
                <w:rFonts w:ascii="宋体" w:hAnsi="宋体" w:cs="宋体"/>
                <w:highlight w:val="none"/>
              </w:rPr>
            </w:pPr>
          </w:p>
        </w:tc>
        <w:tc>
          <w:tcPr>
            <w:tcW w:w="3506" w:type="pct"/>
            <w:vAlign w:val="center"/>
          </w:tcPr>
          <w:p>
            <w:pPr>
              <w:snapToGrid w:val="0"/>
              <w:spacing w:line="360" w:lineRule="auto"/>
              <w:ind w:right="106"/>
              <w:rPr>
                <w:rFonts w:ascii="宋体" w:hAnsi="宋体" w:cs="宋体"/>
                <w:szCs w:val="21"/>
                <w:highlight w:val="none"/>
              </w:rPr>
            </w:pPr>
            <w:r>
              <w:rPr>
                <w:rFonts w:hint="eastAsia" w:ascii="宋体" w:hAnsi="宋体" w:cs="宋体"/>
                <w:szCs w:val="21"/>
                <w:highlight w:val="none"/>
              </w:rPr>
              <w:t>公示期限：不少于3日。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7.4</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是否授权评标委员会确定中标人</w:t>
            </w:r>
          </w:p>
        </w:tc>
        <w:tc>
          <w:tcPr>
            <w:tcW w:w="3506" w:type="pct"/>
            <w:vAlign w:val="center"/>
          </w:tcPr>
          <w:p>
            <w:pPr>
              <w:spacing w:line="360" w:lineRule="auto"/>
              <w:rPr>
                <w:rFonts w:ascii="宋体" w:hAnsi="宋体" w:cs="宋体"/>
                <w:szCs w:val="21"/>
                <w:highlight w:val="none"/>
              </w:rPr>
            </w:pPr>
            <w:r>
              <w:rPr>
                <w:rFonts w:hint="eastAsia" w:ascii="宋体" w:hAnsi="宋体" w:cs="宋体"/>
                <w:szCs w:val="21"/>
                <w:highlight w:val="none"/>
              </w:rPr>
              <w:t>□是</w:t>
            </w:r>
          </w:p>
          <w:p>
            <w:pPr>
              <w:spacing w:line="360" w:lineRule="auto"/>
              <w:rPr>
                <w:rFonts w:ascii="宋体" w:hAnsi="宋体" w:cs="宋体"/>
                <w:szCs w:val="21"/>
                <w:highlight w:val="none"/>
              </w:rPr>
            </w:pPr>
            <w:r>
              <w:rPr>
                <w:rFonts w:hint="eastAsia" w:ascii="宋体" w:hAnsi="宋体" w:cs="宋体"/>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7.6.1</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履约保证金</w:t>
            </w:r>
          </w:p>
        </w:tc>
        <w:tc>
          <w:tcPr>
            <w:tcW w:w="3506" w:type="pct"/>
            <w:vAlign w:val="center"/>
          </w:tcPr>
          <w:p>
            <w:pPr>
              <w:pStyle w:val="12"/>
              <w:topLinePunct/>
              <w:spacing w:line="360" w:lineRule="auto"/>
              <w:rPr>
                <w:rFonts w:hAnsi="宋体" w:cs="宋体"/>
                <w:b/>
                <w:sz w:val="21"/>
                <w:szCs w:val="21"/>
                <w:highlight w:val="none"/>
              </w:rPr>
            </w:pPr>
            <w:r>
              <w:rPr>
                <w:rFonts w:hint="eastAsia" w:hAnsi="宋体" w:cs="宋体"/>
                <w:b/>
                <w:sz w:val="21"/>
                <w:szCs w:val="21"/>
                <w:highlight w:val="none"/>
              </w:rPr>
              <w:t>是否要求中标人提交履约保证金：</w:t>
            </w:r>
          </w:p>
          <w:p>
            <w:pPr>
              <w:pStyle w:val="12"/>
              <w:topLinePunct/>
              <w:spacing w:line="360" w:lineRule="auto"/>
              <w:rPr>
                <w:rFonts w:hAnsi="宋体" w:cs="宋体"/>
                <w:sz w:val="21"/>
                <w:szCs w:val="21"/>
                <w:highlight w:val="none"/>
              </w:rPr>
            </w:pPr>
            <w:r>
              <w:rPr>
                <w:rFonts w:hint="eastAsia" w:hAnsi="宋体" w:cs="宋体"/>
                <w:szCs w:val="21"/>
                <w:highlight w:val="none"/>
              </w:rPr>
              <w:t>□</w:t>
            </w:r>
            <w:r>
              <w:rPr>
                <w:rFonts w:hint="eastAsia" w:hAnsi="宋体" w:cs="宋体"/>
                <w:b/>
                <w:sz w:val="21"/>
                <w:szCs w:val="21"/>
                <w:highlight w:val="none"/>
              </w:rPr>
              <w:t>要求，履约保证金的形式：</w:t>
            </w:r>
            <w:r>
              <w:rPr>
                <w:rFonts w:hint="eastAsia" w:hAnsi="宋体" w:cs="宋体"/>
                <w:sz w:val="21"/>
                <w:szCs w:val="21"/>
                <w:highlight w:val="none"/>
                <w:u w:val="single"/>
              </w:rPr>
              <w:t>《履约银行保函》</w:t>
            </w:r>
          </w:p>
          <w:p>
            <w:pPr>
              <w:spacing w:line="360" w:lineRule="auto"/>
              <w:ind w:firstLine="843" w:firstLineChars="400"/>
              <w:rPr>
                <w:rFonts w:ascii="宋体" w:hAnsi="宋体" w:cs="宋体"/>
                <w:szCs w:val="21"/>
                <w:highlight w:val="none"/>
                <w:u w:val="single"/>
              </w:rPr>
            </w:pPr>
            <w:r>
              <w:rPr>
                <w:rFonts w:hint="eastAsia" w:ascii="宋体" w:hAnsi="宋体" w:cs="宋体"/>
                <w:b/>
                <w:szCs w:val="21"/>
                <w:highlight w:val="none"/>
              </w:rPr>
              <w:t>履约保证金的金额：</w:t>
            </w:r>
            <w:r>
              <w:rPr>
                <w:rFonts w:hint="eastAsia" w:ascii="宋体" w:hAnsi="宋体" w:cs="宋体"/>
                <w:szCs w:val="21"/>
                <w:highlight w:val="none"/>
                <w:u w:val="single"/>
              </w:rPr>
              <w:t>中标价款的10％</w:t>
            </w:r>
          </w:p>
          <w:p>
            <w:pPr>
              <w:pStyle w:val="12"/>
              <w:topLinePunct/>
              <w:spacing w:line="360" w:lineRule="auto"/>
              <w:rPr>
                <w:rFonts w:hAnsi="宋体" w:cs="宋体"/>
                <w:sz w:val="21"/>
                <w:szCs w:val="21"/>
                <w:highlight w:val="none"/>
              </w:rPr>
            </w:pPr>
            <w:r>
              <w:rPr>
                <w:rFonts w:hint="eastAsia" w:hAnsi="宋体" w:cs="宋体"/>
                <w:b/>
                <w:sz w:val="21"/>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9</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是否采用电子招标投标</w:t>
            </w:r>
          </w:p>
        </w:tc>
        <w:tc>
          <w:tcPr>
            <w:tcW w:w="3506" w:type="pct"/>
            <w:vAlign w:val="center"/>
          </w:tcPr>
          <w:p>
            <w:pPr>
              <w:spacing w:line="360" w:lineRule="auto"/>
              <w:rPr>
                <w:rFonts w:ascii="宋体" w:hAnsi="宋体" w:cs="宋体"/>
                <w:szCs w:val="21"/>
                <w:highlight w:val="none"/>
              </w:rPr>
            </w:pPr>
            <w:r>
              <w:rPr>
                <w:rFonts w:hint="eastAsia" w:ascii="宋体" w:hAnsi="宋体" w:cs="宋体"/>
                <w:szCs w:val="21"/>
                <w:highlight w:val="none"/>
              </w:rPr>
              <w:t>□否</w:t>
            </w:r>
          </w:p>
          <w:p>
            <w:pPr>
              <w:spacing w:line="360" w:lineRule="auto"/>
              <w:ind w:left="2099" w:leftChars="3" w:hanging="2093" w:hangingChars="997"/>
              <w:rPr>
                <w:rFonts w:ascii="宋体" w:hAnsi="宋体" w:cs="宋体"/>
                <w:szCs w:val="21"/>
                <w:highlight w:val="none"/>
              </w:rPr>
            </w:pPr>
            <w:r>
              <w:rPr>
                <w:rFonts w:hint="eastAsia" w:ascii="宋体" w:hAnsi="宋体" w:cs="宋体"/>
                <w:szCs w:val="21"/>
                <w:highlight w:val="none"/>
              </w:rPr>
              <w:t>■是，具体要求：</w:t>
            </w:r>
          </w:p>
          <w:p>
            <w:pPr>
              <w:spacing w:line="360" w:lineRule="auto"/>
              <w:jc w:val="left"/>
              <w:rPr>
                <w:rFonts w:ascii="宋体" w:hAnsi="宋体" w:cs="宋体"/>
                <w:szCs w:val="21"/>
                <w:highlight w:val="none"/>
                <w:u w:val="single"/>
              </w:rPr>
            </w:pPr>
            <w:r>
              <w:rPr>
                <w:rFonts w:hint="eastAsia" w:ascii="宋体" w:hAnsi="宋体" w:cs="宋体"/>
                <w:szCs w:val="21"/>
                <w:highlight w:val="none"/>
                <w:u w:val="single"/>
              </w:rPr>
              <w:t>1.具体操作详见广州交易集团有限公司（广州公共资源交易中心）网站最新发布的最新指引。</w:t>
            </w:r>
          </w:p>
          <w:p>
            <w:pPr>
              <w:spacing w:line="360" w:lineRule="auto"/>
              <w:rPr>
                <w:rFonts w:ascii="宋体" w:hAnsi="宋体" w:cs="宋体"/>
                <w:szCs w:val="21"/>
                <w:highlight w:val="none"/>
                <w:u w:val="single"/>
              </w:rPr>
            </w:pPr>
            <w:r>
              <w:rPr>
                <w:rFonts w:hint="eastAsia" w:ascii="宋体" w:hAnsi="宋体" w:cs="宋体"/>
                <w:szCs w:val="21"/>
                <w:highlight w:val="none"/>
                <w:u w:val="single"/>
              </w:rPr>
              <w:t>2.提交投标文件光盘备用</w:t>
            </w:r>
          </w:p>
          <w:p>
            <w:pPr>
              <w:spacing w:line="360" w:lineRule="auto"/>
              <w:rPr>
                <w:rFonts w:ascii="宋体" w:hAnsi="宋体" w:cs="宋体"/>
                <w:szCs w:val="21"/>
                <w:highlight w:val="none"/>
                <w:u w:val="single"/>
              </w:rPr>
            </w:pPr>
            <w:r>
              <w:rPr>
                <w:rFonts w:hint="eastAsia" w:ascii="宋体" w:hAnsi="宋体" w:cs="宋体"/>
                <w:szCs w:val="21"/>
                <w:highlight w:val="none"/>
                <w:u w:val="single"/>
              </w:rPr>
              <w:t>投标人将按广州交易集团有限公司（广州公共资源交易中心）网站最新指引的操作方法制作的非加密的电子投标文件刻入光盘（1份），在开标现场（投标截止时间前）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接受现场提交的光盘。投标人也可不提交备用光盘。</w:t>
            </w:r>
          </w:p>
          <w:p>
            <w:pPr>
              <w:spacing w:line="360" w:lineRule="auto"/>
              <w:rPr>
                <w:rFonts w:ascii="宋体" w:hAnsi="宋体" w:cs="宋体"/>
                <w:szCs w:val="21"/>
                <w:highlight w:val="none"/>
                <w:u w:val="single"/>
              </w:rPr>
            </w:pPr>
            <w:r>
              <w:rPr>
                <w:rFonts w:hint="eastAsia" w:ascii="宋体" w:hAnsi="宋体" w:cs="宋体"/>
                <w:szCs w:val="21"/>
                <w:highlight w:val="none"/>
                <w:u w:val="single"/>
              </w:rPr>
              <w:t>3.补救方案</w:t>
            </w:r>
          </w:p>
          <w:p>
            <w:pPr>
              <w:spacing w:line="360" w:lineRule="auto"/>
              <w:rPr>
                <w:rFonts w:ascii="宋体" w:hAnsi="宋体" w:cs="宋体"/>
                <w:szCs w:val="21"/>
                <w:highlight w:val="none"/>
                <w:u w:val="single"/>
              </w:rPr>
            </w:pPr>
            <w:r>
              <w:rPr>
                <w:rFonts w:hint="eastAsia" w:ascii="宋体" w:hAnsi="宋体" w:cs="宋体"/>
                <w:szCs w:val="21"/>
                <w:highlight w:val="none"/>
                <w:u w:val="single"/>
              </w:rPr>
              <w:t>（1）投标文件解密失败的补救方案：</w:t>
            </w:r>
          </w:p>
          <w:p>
            <w:pPr>
              <w:spacing w:line="360" w:lineRule="auto"/>
              <w:rPr>
                <w:rFonts w:ascii="宋体" w:hAnsi="宋体" w:cs="宋体"/>
                <w:szCs w:val="21"/>
                <w:highlight w:val="none"/>
                <w:u w:val="single"/>
              </w:rPr>
            </w:pPr>
            <w:r>
              <w:rPr>
                <w:rFonts w:hint="eastAsia" w:ascii="宋体" w:hAnsi="宋体" w:cs="宋体"/>
                <w:szCs w:val="21"/>
                <w:highlight w:val="none"/>
                <w:u w:val="single"/>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之外原因解密失败且未递交电子光盘或递交的电子光盘不能读取的，视为撤回投标文件。</w:t>
            </w:r>
          </w:p>
          <w:p>
            <w:pPr>
              <w:spacing w:line="360" w:lineRule="auto"/>
              <w:rPr>
                <w:rFonts w:ascii="宋体" w:hAnsi="宋体" w:cs="宋体"/>
                <w:szCs w:val="21"/>
                <w:highlight w:val="none"/>
                <w:u w:val="single"/>
              </w:rPr>
            </w:pPr>
            <w:r>
              <w:rPr>
                <w:rFonts w:hint="eastAsia" w:ascii="宋体" w:hAnsi="宋体" w:cs="宋体"/>
                <w:szCs w:val="21"/>
                <w:highlight w:val="none"/>
                <w:u w:val="single"/>
              </w:rPr>
              <w:t>（2）评标时突发情况的补救方案</w:t>
            </w:r>
          </w:p>
          <w:p>
            <w:pPr>
              <w:spacing w:line="360" w:lineRule="auto"/>
              <w:rPr>
                <w:rFonts w:ascii="宋体" w:hAnsi="宋体" w:cs="宋体"/>
                <w:szCs w:val="21"/>
                <w:highlight w:val="none"/>
                <w:u w:val="single"/>
              </w:rPr>
            </w:pPr>
            <w:r>
              <w:rPr>
                <w:rFonts w:hint="eastAsia" w:ascii="宋体" w:hAnsi="宋体" w:cs="宋体"/>
                <w:szCs w:val="21"/>
                <w:highlight w:val="none"/>
                <w:u w:val="single"/>
              </w:rPr>
              <w:t>若遇不可抗力发生（如：网络瘫痪、服务器损坏、交易系统故障短期无法恢复等因素），由评标委员会开启递交的全部投标文件光盘，并按光盘内容进行评审。</w:t>
            </w:r>
          </w:p>
          <w:p>
            <w:pPr>
              <w:spacing w:line="360" w:lineRule="auto"/>
              <w:rPr>
                <w:rFonts w:ascii="宋体" w:hAnsi="宋体" w:cs="宋体"/>
                <w:szCs w:val="21"/>
                <w:highlight w:val="none"/>
                <w:u w:val="single"/>
              </w:rPr>
            </w:pPr>
            <w:r>
              <w:rPr>
                <w:rFonts w:hint="eastAsia" w:ascii="宋体" w:hAnsi="宋体" w:cs="宋体"/>
                <w:szCs w:val="21"/>
                <w:highlight w:val="none"/>
                <w:u w:val="single"/>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w:t>
            </w:r>
          </w:p>
        </w:tc>
        <w:tc>
          <w:tcPr>
            <w:tcW w:w="103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需要补充的其他内容</w:t>
            </w:r>
          </w:p>
        </w:tc>
        <w:tc>
          <w:tcPr>
            <w:tcW w:w="3506" w:type="pct"/>
            <w:vAlign w:val="center"/>
          </w:tcPr>
          <w:p>
            <w:pPr>
              <w:snapToGrid w:val="0"/>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10.1</w:t>
            </w:r>
          </w:p>
        </w:tc>
        <w:tc>
          <w:tcPr>
            <w:tcW w:w="1035" w:type="pct"/>
            <w:vAlign w:val="center"/>
          </w:tcPr>
          <w:p>
            <w:pPr>
              <w:spacing w:line="360" w:lineRule="auto"/>
              <w:jc w:val="center"/>
              <w:rPr>
                <w:rFonts w:ascii="宋体" w:hAnsi="宋体" w:cs="宋体"/>
                <w:szCs w:val="21"/>
                <w:highlight w:val="none"/>
              </w:rPr>
            </w:pPr>
            <w:r>
              <w:rPr>
                <w:rFonts w:hint="eastAsia" w:ascii="宋体" w:hAnsi="宋体" w:cs="宋体"/>
                <w:szCs w:val="21"/>
                <w:highlight w:val="none"/>
              </w:rPr>
              <w:t>特别提示</w:t>
            </w:r>
          </w:p>
        </w:tc>
        <w:tc>
          <w:tcPr>
            <w:tcW w:w="3506" w:type="pct"/>
            <w:vAlign w:val="center"/>
          </w:tcPr>
          <w:p>
            <w:pPr>
              <w:widowControl/>
              <w:spacing w:line="360" w:lineRule="auto"/>
              <w:ind w:left="1" w:hanging="1"/>
              <w:jc w:val="left"/>
              <w:rPr>
                <w:rFonts w:ascii="宋体" w:hAnsi="宋体" w:cs="宋体"/>
                <w:szCs w:val="21"/>
                <w:highlight w:val="none"/>
              </w:rPr>
            </w:pPr>
            <w:r>
              <w:rPr>
                <w:rFonts w:hint="eastAsia" w:ascii="宋体" w:hAnsi="宋体" w:cs="宋体"/>
                <w:szCs w:val="21"/>
                <w:highlight w:val="none"/>
              </w:rPr>
              <w:t>投标人在本项目招标人的工程项目中存在下列行为的，将被拒绝一年内参与我单位后续工程投标。（注：拒绝投标时限由招标人视严重程度确定，最低三个月起，自招标人发出通知之日起计）：</w:t>
            </w:r>
          </w:p>
          <w:p>
            <w:pPr>
              <w:widowControl/>
              <w:spacing w:line="360" w:lineRule="auto"/>
              <w:ind w:left="1" w:hanging="1"/>
              <w:jc w:val="left"/>
              <w:rPr>
                <w:rFonts w:ascii="宋体" w:hAnsi="宋体" w:cs="宋体"/>
                <w:szCs w:val="21"/>
                <w:highlight w:val="none"/>
              </w:rPr>
            </w:pPr>
            <w:r>
              <w:rPr>
                <w:rFonts w:hint="eastAsia" w:ascii="宋体" w:hAnsi="宋体" w:cs="宋体"/>
                <w:szCs w:val="21"/>
                <w:highlight w:val="none"/>
              </w:rPr>
              <w:t>1.将中标工程转包或者违法分包的；</w:t>
            </w:r>
          </w:p>
          <w:p>
            <w:pPr>
              <w:widowControl/>
              <w:spacing w:line="360" w:lineRule="auto"/>
              <w:ind w:left="1" w:hanging="1"/>
              <w:jc w:val="left"/>
              <w:rPr>
                <w:rFonts w:ascii="宋体" w:hAnsi="宋体" w:cs="宋体"/>
                <w:szCs w:val="21"/>
                <w:highlight w:val="none"/>
              </w:rPr>
            </w:pPr>
            <w:r>
              <w:rPr>
                <w:rFonts w:hint="eastAsia" w:ascii="宋体" w:hAnsi="宋体" w:cs="宋体"/>
                <w:szCs w:val="21"/>
                <w:highlight w:val="none"/>
              </w:rPr>
              <w:t>2.在中标工程中不执行质量、安全生产相关规定的，造成质量或安全事故的；</w:t>
            </w:r>
          </w:p>
          <w:p>
            <w:pPr>
              <w:widowControl/>
              <w:spacing w:line="360" w:lineRule="auto"/>
              <w:ind w:left="1" w:hanging="1"/>
              <w:jc w:val="left"/>
              <w:rPr>
                <w:rFonts w:ascii="宋体" w:hAnsi="宋体" w:cs="宋体"/>
                <w:szCs w:val="21"/>
                <w:highlight w:val="none"/>
              </w:rPr>
            </w:pPr>
            <w:r>
              <w:rPr>
                <w:rFonts w:hint="eastAsia" w:ascii="宋体" w:hAnsi="宋体" w:cs="宋体"/>
                <w:szCs w:val="21"/>
                <w:highlight w:val="none"/>
              </w:rPr>
              <w:t>3.存在围标或串标情形的；</w:t>
            </w:r>
          </w:p>
          <w:p>
            <w:pPr>
              <w:spacing w:line="360" w:lineRule="auto"/>
              <w:ind w:left="1" w:hanging="1"/>
              <w:jc w:val="left"/>
              <w:rPr>
                <w:rFonts w:ascii="宋体" w:hAnsi="宋体" w:cs="宋体"/>
                <w:szCs w:val="21"/>
                <w:highlight w:val="none"/>
              </w:rPr>
            </w:pPr>
            <w:r>
              <w:rPr>
                <w:rFonts w:hint="eastAsia" w:ascii="宋体" w:hAnsi="宋体" w:cs="宋体"/>
                <w:szCs w:val="21"/>
                <w:highlight w:val="none"/>
              </w:rPr>
              <w:t>4.存在弄虚作假骗取中标情形的；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10.2</w:t>
            </w:r>
          </w:p>
        </w:tc>
        <w:tc>
          <w:tcPr>
            <w:tcW w:w="1035" w:type="pct"/>
            <w:vAlign w:val="center"/>
          </w:tcPr>
          <w:p>
            <w:pPr>
              <w:widowControl/>
              <w:spacing w:line="360" w:lineRule="auto"/>
              <w:jc w:val="center"/>
              <w:rPr>
                <w:rFonts w:ascii="宋体" w:hAnsi="宋体" w:cs="宋体"/>
                <w:szCs w:val="21"/>
                <w:highlight w:val="none"/>
              </w:rPr>
            </w:pPr>
            <w:r>
              <w:rPr>
                <w:rFonts w:hint="eastAsia" w:ascii="宋体" w:hAnsi="宋体" w:cs="宋体"/>
                <w:szCs w:val="21"/>
                <w:highlight w:val="none"/>
              </w:rPr>
              <w:t>招标失败情形</w:t>
            </w:r>
          </w:p>
        </w:tc>
        <w:tc>
          <w:tcPr>
            <w:tcW w:w="3506" w:type="pct"/>
            <w:vAlign w:val="center"/>
          </w:tcPr>
          <w:p>
            <w:pPr>
              <w:spacing w:line="360" w:lineRule="auto"/>
              <w:ind w:left="1" w:hanging="1"/>
              <w:rPr>
                <w:rFonts w:ascii="宋体" w:hAnsi="宋体" w:cs="宋体"/>
                <w:szCs w:val="21"/>
                <w:highlight w:val="none"/>
              </w:rPr>
            </w:pPr>
            <w:r>
              <w:rPr>
                <w:rFonts w:hint="eastAsia" w:ascii="宋体" w:hAnsi="宋体" w:cs="宋体"/>
                <w:szCs w:val="21"/>
                <w:highlight w:val="none"/>
              </w:rPr>
              <w:t>本项目采用资格后审方式。若投标登记或递交投标文件或通过初步评审（含形式评审、资格评审、响应性评审）的合格投标人不足3家的，</w:t>
            </w:r>
            <w:r>
              <w:rPr>
                <w:rFonts w:hint="eastAsia" w:ascii="宋体" w:hAnsi="宋体" w:cs="宋体"/>
                <w:szCs w:val="21"/>
                <w:highlight w:val="none"/>
                <w:u w:val="single"/>
              </w:rPr>
              <w:t>则该项目招标失败</w:t>
            </w:r>
            <w:r>
              <w:rPr>
                <w:rFonts w:hint="eastAsia" w:ascii="宋体" w:hAnsi="宋体" w:cs="宋体"/>
                <w:szCs w:val="21"/>
                <w:highlight w:val="none"/>
              </w:rPr>
              <w:t>。招标人分析招标失败原因，修正招标方案，重新组织招标。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10.3</w:t>
            </w:r>
          </w:p>
        </w:tc>
        <w:tc>
          <w:tcPr>
            <w:tcW w:w="1035" w:type="pct"/>
            <w:tcBorders>
              <w:bottom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其他费用</w:t>
            </w:r>
          </w:p>
        </w:tc>
        <w:tc>
          <w:tcPr>
            <w:tcW w:w="3506" w:type="pct"/>
            <w:tcBorders>
              <w:bottom w:val="single" w:color="auto" w:sz="4" w:space="0"/>
            </w:tcBorders>
            <w:vAlign w:val="center"/>
          </w:tcPr>
          <w:p>
            <w:pPr>
              <w:spacing w:line="360" w:lineRule="auto"/>
              <w:jc w:val="left"/>
              <w:rPr>
                <w:rFonts w:ascii="宋体" w:hAnsi="宋体" w:cs="宋体"/>
                <w:szCs w:val="21"/>
                <w:highlight w:val="none"/>
              </w:rPr>
            </w:pPr>
            <w:r>
              <w:rPr>
                <w:rFonts w:hint="eastAsia" w:ascii="宋体" w:hAnsi="宋体" w:cs="宋体"/>
                <w:szCs w:val="21"/>
                <w:highlight w:val="none"/>
              </w:rPr>
              <w:t>交易服务费：中标人按规定，向广州交易集团有限公司（广州公共资源交易中心）缴纳交易服务费，其费用包含在中标人投标报价中，招标人不另行支付。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10.4</w:t>
            </w:r>
          </w:p>
        </w:tc>
        <w:tc>
          <w:tcPr>
            <w:tcW w:w="1035" w:type="pct"/>
            <w:tcBorders>
              <w:bottom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u w:val="single"/>
              </w:rPr>
              <w:t>其他要求</w:t>
            </w:r>
          </w:p>
        </w:tc>
        <w:tc>
          <w:tcPr>
            <w:tcW w:w="3506" w:type="pct"/>
            <w:tcBorders>
              <w:bottom w:val="single" w:color="auto" w:sz="4" w:space="0"/>
            </w:tcBorders>
            <w:vAlign w:val="center"/>
          </w:tcPr>
          <w:p>
            <w:pPr>
              <w:spacing w:line="360" w:lineRule="auto"/>
              <w:rPr>
                <w:rFonts w:ascii="宋体" w:hAnsi="宋体" w:cs="宋体"/>
                <w:szCs w:val="21"/>
                <w:highlight w:val="none"/>
              </w:rPr>
            </w:pPr>
            <w:r>
              <w:rPr>
                <w:rFonts w:hint="eastAsia" w:ascii="宋体" w:hAnsi="宋体" w:cs="宋体"/>
                <w:szCs w:val="21"/>
                <w:highlight w:val="none"/>
                <w:u w:val="single"/>
              </w:rPr>
              <w:t>各投标人递交投标资料参与投标，均视为接受及认同招标合同及招标人（业主单位）制发的各项相关建设管理办法。如中标人不按合同履约及未遵守招标人（业主单位）制发的各项相关建设管理办法，业主方有权依据相关管理办法要求中标人承担相应责任，中标人应无条件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10.5</w:t>
            </w:r>
          </w:p>
        </w:tc>
        <w:tc>
          <w:tcPr>
            <w:tcW w:w="1035" w:type="pct"/>
            <w:tcBorders>
              <w:bottom w:val="single" w:color="auto" w:sz="4" w:space="0"/>
            </w:tcBorders>
            <w:vAlign w:val="center"/>
          </w:tcPr>
          <w:p>
            <w:pPr>
              <w:spacing w:line="360" w:lineRule="auto"/>
              <w:jc w:val="center"/>
              <w:rPr>
                <w:rFonts w:ascii="宋体" w:hAnsi="宋体" w:cs="宋体"/>
                <w:szCs w:val="21"/>
                <w:highlight w:val="none"/>
                <w:u w:val="single"/>
              </w:rPr>
            </w:pPr>
            <w:r>
              <w:rPr>
                <w:rFonts w:hint="eastAsia" w:ascii="宋体" w:hAnsi="宋体" w:cs="宋体"/>
                <w:szCs w:val="21"/>
                <w:highlight w:val="none"/>
                <w:u w:val="single"/>
              </w:rPr>
              <w:t>投标文件公开</w:t>
            </w:r>
          </w:p>
        </w:tc>
        <w:tc>
          <w:tcPr>
            <w:tcW w:w="3506" w:type="pct"/>
            <w:tcBorders>
              <w:bottom w:val="single" w:color="auto" w:sz="4" w:space="0"/>
            </w:tcBorders>
            <w:vAlign w:val="center"/>
          </w:tcPr>
          <w:p>
            <w:pPr>
              <w:spacing w:line="360" w:lineRule="auto"/>
              <w:rPr>
                <w:rFonts w:ascii="宋体" w:hAnsi="宋体" w:cs="宋体"/>
                <w:szCs w:val="21"/>
                <w:highlight w:val="none"/>
                <w:u w:val="single"/>
              </w:rPr>
            </w:pPr>
            <w:r>
              <w:rPr>
                <w:rFonts w:hint="eastAsia" w:ascii="宋体" w:hAnsi="宋体" w:cs="宋体"/>
                <w:szCs w:val="21"/>
                <w:highlight w:val="none"/>
              </w:rPr>
              <w:t>在产生中标候选人后，招标人将中标候选人的投标文件商务部分的电子版（报价清单、方案等涉及商业秘密的内容除外）在广州交易集团有限公司（广州公共资源交易中心）网站公开。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10.6</w:t>
            </w:r>
          </w:p>
        </w:tc>
        <w:tc>
          <w:tcPr>
            <w:tcW w:w="1035" w:type="pct"/>
            <w:tcBorders>
              <w:bottom w:val="single" w:color="auto" w:sz="4" w:space="0"/>
            </w:tcBorders>
            <w:vAlign w:val="center"/>
          </w:tcPr>
          <w:p>
            <w:pPr>
              <w:spacing w:line="360" w:lineRule="auto"/>
              <w:jc w:val="center"/>
              <w:rPr>
                <w:rFonts w:ascii="宋体" w:hAnsi="宋体" w:cs="宋体"/>
                <w:szCs w:val="21"/>
                <w:highlight w:val="none"/>
                <w:u w:val="single"/>
              </w:rPr>
            </w:pPr>
            <w:r>
              <w:rPr>
                <w:rFonts w:hint="eastAsia" w:ascii="宋体" w:hAnsi="宋体" w:cs="宋体"/>
                <w:szCs w:val="21"/>
                <w:highlight w:val="none"/>
                <w:u w:val="single"/>
              </w:rPr>
              <w:t>投标文件份数及其他要求</w:t>
            </w:r>
          </w:p>
        </w:tc>
        <w:tc>
          <w:tcPr>
            <w:tcW w:w="3506" w:type="pct"/>
            <w:tcBorders>
              <w:bottom w:val="single" w:color="auto" w:sz="4" w:space="0"/>
            </w:tcBorders>
            <w:vAlign w:val="center"/>
          </w:tcPr>
          <w:p>
            <w:pPr>
              <w:pStyle w:val="36"/>
              <w:rPr>
                <w:rFonts w:ascii="宋体" w:hAnsi="宋体" w:cs="宋体"/>
                <w:szCs w:val="21"/>
                <w:highlight w:val="none"/>
                <w:u w:val="single"/>
              </w:rPr>
            </w:pPr>
            <w:r>
              <w:rPr>
                <w:rFonts w:hint="eastAsia" w:ascii="宋体" w:hAnsi="宋体" w:cs="宋体"/>
                <w:szCs w:val="21"/>
                <w:highlight w:val="none"/>
                <w:u w:val="single"/>
              </w:rPr>
              <w:t>1、中标单位领取中标通知书时，补送二正二副正式书面投标文件（加盖公章）及一份“Microsoft Word ”制作的电子文件（U盘）给招标人。</w:t>
            </w:r>
          </w:p>
          <w:p>
            <w:pPr>
              <w:pStyle w:val="36"/>
              <w:rPr>
                <w:rFonts w:ascii="宋体" w:hAnsi="宋体" w:cs="宋体"/>
                <w:szCs w:val="21"/>
                <w:highlight w:val="none"/>
              </w:rPr>
            </w:pPr>
            <w:r>
              <w:rPr>
                <w:rFonts w:hint="eastAsia" w:ascii="宋体" w:hAnsi="宋体" w:cs="宋体"/>
                <w:szCs w:val="21"/>
                <w:highlight w:val="none"/>
                <w:u w:val="single"/>
              </w:rPr>
              <w:t>2、中标后，合同签订时，合同中视需要增加项目管理单位。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10.7</w:t>
            </w:r>
          </w:p>
        </w:tc>
        <w:tc>
          <w:tcPr>
            <w:tcW w:w="1035" w:type="pct"/>
            <w:tcBorders>
              <w:bottom w:val="single" w:color="auto" w:sz="4" w:space="0"/>
            </w:tcBorders>
            <w:vAlign w:val="center"/>
          </w:tcPr>
          <w:p>
            <w:pPr>
              <w:spacing w:line="360" w:lineRule="auto"/>
              <w:jc w:val="center"/>
              <w:rPr>
                <w:rFonts w:ascii="宋体" w:hAnsi="宋体" w:cs="宋体"/>
                <w:szCs w:val="21"/>
                <w:highlight w:val="none"/>
                <w:u w:val="single"/>
              </w:rPr>
            </w:pPr>
            <w:r>
              <w:rPr>
                <w:rFonts w:hint="eastAsia" w:ascii="宋体" w:hAnsi="宋体" w:cs="宋体"/>
                <w:szCs w:val="21"/>
                <w:highlight w:val="none"/>
                <w:u w:val="single"/>
              </w:rPr>
              <w:t>定标及中标原则</w:t>
            </w:r>
          </w:p>
        </w:tc>
        <w:tc>
          <w:tcPr>
            <w:tcW w:w="3506" w:type="pct"/>
            <w:tcBorders>
              <w:bottom w:val="single" w:color="auto" w:sz="4" w:space="0"/>
            </w:tcBorders>
            <w:vAlign w:val="center"/>
          </w:tcPr>
          <w:p>
            <w:pPr>
              <w:spacing w:line="360" w:lineRule="auto"/>
              <w:rPr>
                <w:rFonts w:ascii="宋体" w:hAnsi="宋体" w:cs="宋体"/>
                <w:szCs w:val="21"/>
                <w:highlight w:val="none"/>
                <w:u w:val="single"/>
              </w:rPr>
            </w:pPr>
            <w:r>
              <w:rPr>
                <w:rFonts w:hint="eastAsia" w:ascii="宋体" w:hAnsi="宋体" w:cs="宋体"/>
                <w:szCs w:val="21"/>
                <w:highlight w:val="none"/>
                <w:u w:val="single"/>
              </w:rPr>
              <w:t>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10.8</w:t>
            </w:r>
          </w:p>
        </w:tc>
        <w:tc>
          <w:tcPr>
            <w:tcW w:w="1035" w:type="pct"/>
            <w:tcBorders>
              <w:bottom w:val="single" w:color="auto" w:sz="4" w:space="0"/>
            </w:tcBorders>
            <w:vAlign w:val="center"/>
          </w:tcPr>
          <w:p>
            <w:pPr>
              <w:spacing w:line="360" w:lineRule="auto"/>
              <w:jc w:val="center"/>
              <w:rPr>
                <w:rFonts w:ascii="宋体" w:hAnsi="宋体" w:cs="宋体"/>
                <w:szCs w:val="21"/>
                <w:highlight w:val="none"/>
                <w:u w:val="single"/>
              </w:rPr>
            </w:pPr>
            <w:r>
              <w:rPr>
                <w:rFonts w:hint="eastAsia" w:ascii="宋体" w:hAnsi="宋体" w:cs="宋体"/>
                <w:szCs w:val="21"/>
                <w:highlight w:val="none"/>
                <w:u w:val="single"/>
              </w:rPr>
              <w:t>投标人是否参加开标</w:t>
            </w:r>
          </w:p>
        </w:tc>
        <w:tc>
          <w:tcPr>
            <w:tcW w:w="3506" w:type="pct"/>
            <w:tcBorders>
              <w:bottom w:val="single" w:color="auto" w:sz="4" w:space="0"/>
            </w:tcBorders>
            <w:vAlign w:val="center"/>
          </w:tcPr>
          <w:p>
            <w:pPr>
              <w:spacing w:line="360" w:lineRule="auto"/>
              <w:rPr>
                <w:rFonts w:ascii="宋体" w:hAnsi="宋体" w:cs="宋体"/>
                <w:szCs w:val="21"/>
                <w:highlight w:val="none"/>
                <w:u w:val="single"/>
              </w:rPr>
            </w:pPr>
            <w:r>
              <w:rPr>
                <w:rFonts w:hint="eastAsia" w:ascii="宋体" w:hAnsi="宋体" w:cs="宋体"/>
                <w:szCs w:val="21"/>
                <w:highlight w:val="none"/>
                <w:u w:val="single"/>
              </w:rPr>
              <w:t>开标时，投标人代表有权出席开标会，也可以自主决定不参加开标会，若投标人代表对开标过程提出异议，该投标人代表须同时出示本人身份证原件、法定代表人证明书及其授权委托书。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10.9</w:t>
            </w:r>
          </w:p>
        </w:tc>
        <w:tc>
          <w:tcPr>
            <w:tcW w:w="1035" w:type="pct"/>
            <w:tcBorders>
              <w:bottom w:val="single" w:color="auto" w:sz="4" w:space="0"/>
            </w:tcBorders>
            <w:vAlign w:val="center"/>
          </w:tcPr>
          <w:p>
            <w:pPr>
              <w:spacing w:line="360" w:lineRule="auto"/>
              <w:jc w:val="center"/>
              <w:rPr>
                <w:rFonts w:ascii="宋体" w:hAnsi="宋体" w:cs="宋体"/>
                <w:szCs w:val="21"/>
                <w:highlight w:val="none"/>
                <w:u w:val="single"/>
              </w:rPr>
            </w:pPr>
            <w:r>
              <w:rPr>
                <w:rFonts w:hint="eastAsia" w:ascii="宋体" w:hAnsi="宋体" w:cs="宋体"/>
                <w:highlight w:val="none"/>
                <w:u w:val="single"/>
              </w:rPr>
              <w:t>全流程电子化异议</w:t>
            </w:r>
          </w:p>
        </w:tc>
        <w:tc>
          <w:tcPr>
            <w:tcW w:w="3506" w:type="pct"/>
            <w:tcBorders>
              <w:bottom w:val="single" w:color="auto" w:sz="4" w:space="0"/>
            </w:tcBorders>
            <w:vAlign w:val="center"/>
          </w:tcPr>
          <w:p>
            <w:pPr>
              <w:snapToGrid w:val="0"/>
              <w:spacing w:line="360" w:lineRule="auto"/>
              <w:jc w:val="left"/>
              <w:rPr>
                <w:rFonts w:ascii="宋体" w:hAnsi="宋体" w:cs="宋体"/>
                <w:highlight w:val="none"/>
                <w:u w:val="single"/>
              </w:rPr>
            </w:pPr>
            <w:r>
              <w:rPr>
                <w:rFonts w:hint="eastAsia" w:ascii="宋体" w:hAnsi="宋体" w:cs="宋体"/>
                <w:highlight w:val="none"/>
                <w:u w:val="single"/>
              </w:rPr>
              <w:t>1、本项目采用全流程在线异议，潜在投标人、投标人或者其他利害关系人依法对招标文件、开标、评标结果等有异议的，在招标投标相关法律法规规定的时间内可以通过广州公共资源交易中心电子交易系统提出。</w:t>
            </w:r>
          </w:p>
          <w:p>
            <w:pPr>
              <w:snapToGrid w:val="0"/>
              <w:spacing w:line="360" w:lineRule="auto"/>
              <w:jc w:val="left"/>
              <w:rPr>
                <w:rFonts w:ascii="宋体" w:hAnsi="宋体" w:cs="宋体"/>
                <w:highlight w:val="none"/>
                <w:u w:val="single"/>
              </w:rPr>
            </w:pPr>
            <w:r>
              <w:rPr>
                <w:rFonts w:hint="eastAsia" w:ascii="宋体" w:hAnsi="宋体" w:cs="宋体"/>
                <w:highlight w:val="none"/>
                <w:u w:val="single"/>
              </w:rPr>
              <w:t>2、具体操作详见“广州交易集团有限公司（广州公共资源交易中心）门户网站首页-&gt;服务指南-&gt;系统帮助-&gt;操作手册-&gt;发起及受理异议操作指引”。</w:t>
            </w:r>
          </w:p>
          <w:p>
            <w:pPr>
              <w:snapToGrid w:val="0"/>
              <w:spacing w:line="360" w:lineRule="auto"/>
              <w:jc w:val="left"/>
              <w:rPr>
                <w:rFonts w:ascii="宋体" w:hAnsi="宋体" w:cs="宋体"/>
                <w:szCs w:val="21"/>
                <w:highlight w:val="none"/>
                <w:u w:val="single"/>
              </w:rPr>
            </w:pPr>
            <w:r>
              <w:rPr>
                <w:rFonts w:hint="eastAsia" w:ascii="宋体" w:hAnsi="宋体" w:cs="宋体"/>
                <w:highlight w:val="none"/>
                <w:u w:val="single"/>
              </w:rPr>
              <w:t>3、招标人应当在规定的异议答复期限内作出答复。作出答复前，应当暂停招标投标活动。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457" w:type="pct"/>
            <w:tcBorders>
              <w:bottom w:val="single" w:color="auto" w:sz="4" w:space="0"/>
            </w:tcBorders>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10.10</w:t>
            </w:r>
          </w:p>
        </w:tc>
        <w:tc>
          <w:tcPr>
            <w:tcW w:w="1035" w:type="pct"/>
            <w:tcBorders>
              <w:bottom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招标人拒绝接收其投标文件备用光盘情况</w:t>
            </w:r>
          </w:p>
        </w:tc>
        <w:tc>
          <w:tcPr>
            <w:tcW w:w="3506" w:type="pct"/>
            <w:tcBorders>
              <w:bottom w:val="single" w:color="auto" w:sz="4" w:space="0"/>
            </w:tcBorders>
            <w:vAlign w:val="center"/>
          </w:tcPr>
          <w:p>
            <w:pPr>
              <w:pStyle w:val="27"/>
              <w:spacing w:line="360" w:lineRule="auto"/>
              <w:ind w:hanging="5"/>
              <w:rPr>
                <w:rFonts w:ascii="宋体" w:hAnsi="宋体" w:cs="宋体"/>
                <w:szCs w:val="21"/>
                <w:highlight w:val="none"/>
              </w:rPr>
            </w:pPr>
            <w:r>
              <w:rPr>
                <w:rFonts w:hint="eastAsia" w:ascii="宋体" w:hAnsi="宋体" w:cs="宋体"/>
                <w:szCs w:val="21"/>
                <w:highlight w:val="none"/>
              </w:rPr>
              <w:t>1、投标人在投标截止期后逾期或未在指定地点递交备用投标文件电子光盘的；</w:t>
            </w:r>
          </w:p>
          <w:p>
            <w:pPr>
              <w:pStyle w:val="27"/>
              <w:spacing w:line="360" w:lineRule="auto"/>
              <w:ind w:hanging="5"/>
              <w:rPr>
                <w:rFonts w:ascii="宋体" w:hAnsi="宋体" w:cs="宋体"/>
                <w:szCs w:val="21"/>
                <w:highlight w:val="none"/>
              </w:rPr>
            </w:pPr>
            <w:r>
              <w:rPr>
                <w:rFonts w:hint="eastAsia" w:ascii="宋体" w:hAnsi="宋体" w:cs="宋体"/>
                <w:szCs w:val="21"/>
                <w:highlight w:val="none"/>
              </w:rPr>
              <w:t>2、投标人递交的备用投标文件电子光盘未按招标文件要求密封或未在密封处盖章的；</w:t>
            </w:r>
          </w:p>
        </w:tc>
      </w:tr>
    </w:tbl>
    <w:p>
      <w:pPr>
        <w:spacing w:line="360" w:lineRule="auto"/>
        <w:rPr>
          <w:rFonts w:ascii="宋体" w:hAnsi="宋体" w:cs="宋体"/>
          <w:highlight w:val="none"/>
        </w:rPr>
      </w:pPr>
    </w:p>
    <w:p>
      <w:pPr>
        <w:pStyle w:val="4"/>
        <w:rPr>
          <w:rFonts w:cs="宋体"/>
          <w:highlight w:val="none"/>
        </w:rPr>
      </w:pPr>
      <w:bookmarkStart w:id="39" w:name="_Toc533357308"/>
      <w:r>
        <w:rPr>
          <w:rFonts w:hint="eastAsia" w:cs="宋体"/>
          <w:highlight w:val="none"/>
        </w:rPr>
        <w:br w:type="page"/>
      </w:r>
      <w:bookmarkStart w:id="40" w:name="_Toc25068"/>
      <w:r>
        <w:rPr>
          <w:rFonts w:hint="eastAsia" w:cs="宋体"/>
          <w:highlight w:val="none"/>
        </w:rPr>
        <w:t>1. 总则</w:t>
      </w:r>
      <w:bookmarkEnd w:id="39"/>
      <w:bookmarkEnd w:id="40"/>
    </w:p>
    <w:p>
      <w:pPr>
        <w:pStyle w:val="6"/>
        <w:spacing w:line="360" w:lineRule="auto"/>
        <w:rPr>
          <w:rFonts w:ascii="宋体" w:hAnsi="宋体" w:cs="宋体"/>
          <w:highlight w:val="none"/>
        </w:rPr>
      </w:pPr>
      <w:r>
        <w:rPr>
          <w:rFonts w:hint="eastAsia" w:ascii="宋体" w:hAnsi="宋体" w:cs="宋体"/>
          <w:highlight w:val="none"/>
        </w:rPr>
        <w:t>1.1 招标项目概况</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1.1.1根据《中华人民共和国招标投标法》、《中华人民共和国招标投标法实施条例》等有关法律、法规和规章的规定，本招标项目已具备招标条件，现对检测服务进行招标。</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1.1.2招标人：见投标人须知前附表。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1.1.3招标代理机构：见投标人须知前附表。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1.1.4招标项目名称：见投标人须知前附表。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1.1.5项目建设地点：见投标人须知前附表。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1.1.6项目建设规模：见投标人须知前附表。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1.1.7工程项目施工预计开工日期和建设周期：见投标人须知前附表。</w:t>
      </w:r>
    </w:p>
    <w:p>
      <w:pPr>
        <w:pStyle w:val="27"/>
        <w:spacing w:line="360" w:lineRule="auto"/>
        <w:ind w:firstLineChars="200"/>
        <w:rPr>
          <w:rFonts w:ascii="宋体" w:hAnsi="宋体" w:cs="宋体"/>
          <w:szCs w:val="21"/>
          <w:highlight w:val="none"/>
        </w:rPr>
      </w:pPr>
      <w:r>
        <w:rPr>
          <w:rFonts w:hint="eastAsia" w:ascii="宋体" w:hAnsi="宋体" w:cs="宋体"/>
          <w:szCs w:val="21"/>
          <w:highlight w:val="none"/>
        </w:rPr>
        <w:t>1.1.8建筑安装工程费/工程概算：见投标人须知前附表。</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r>
        <w:rPr>
          <w:rFonts w:hint="eastAsia" w:ascii="宋体" w:hAnsi="宋体" w:cs="宋体"/>
          <w:highlight w:val="none"/>
        </w:rPr>
        <w:t>1.2 招标项目的资金来源和落实情况</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1.2.1资金来源及比例：见投标人须知前附表。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1.2.2资金落实情况：见投标人须知前附表。</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r>
        <w:rPr>
          <w:rFonts w:hint="eastAsia" w:ascii="宋体" w:hAnsi="宋体" w:cs="宋体"/>
          <w:highlight w:val="none"/>
        </w:rPr>
        <w:t>1.3 招标范围、服务期限和质量标准</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1.3.1招标范围：见投标人须知前附表。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1.3.2服务期：见投标人须知前附表。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1.3.3</w:t>
      </w:r>
      <w:r>
        <w:rPr>
          <w:rFonts w:hint="eastAsia" w:ascii="宋体" w:hAnsi="宋体" w:cs="宋体"/>
          <w:highlight w:val="none"/>
        </w:rPr>
        <w:t>质量标准</w:t>
      </w:r>
      <w:r>
        <w:rPr>
          <w:rFonts w:hint="eastAsia" w:ascii="宋体" w:hAnsi="宋体" w:cs="宋体"/>
          <w:szCs w:val="21"/>
          <w:highlight w:val="none"/>
        </w:rPr>
        <w:t>：见投标人须知前附表。</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r>
        <w:rPr>
          <w:rFonts w:hint="eastAsia" w:ascii="宋体" w:hAnsi="宋体" w:cs="宋体"/>
          <w:highlight w:val="none"/>
        </w:rPr>
        <w:t>1.4 投标人资格要求</w:t>
      </w:r>
    </w:p>
    <w:p>
      <w:pPr>
        <w:pStyle w:val="13"/>
        <w:kinsoku w:val="0"/>
        <w:overflowPunct w:val="0"/>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1.4.1投标人应具备承担本招标项目资质条件、能力和信誉：</w:t>
      </w:r>
      <w:r>
        <w:rPr>
          <w:rFonts w:hint="eastAsia" w:ascii="宋体" w:hAnsi="宋体" w:cs="宋体"/>
          <w:szCs w:val="21"/>
          <w:highlight w:val="none"/>
          <w:u w:val="single"/>
        </w:rPr>
        <w:t>详见招标公告。</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1.4.2投标人须知前附表规定接受联合体投标的，联合体除应符合本章第1.4.2项和投标人须知前附表的要求外，还应遵守以下规定：</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（1）联合体各方应按招标文件提供的格式签订联合体协议书，明确联合体牵头人和各方权利义务，并承诺就中标项目向招标人承担连带责任；</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（2）联合体各方不得再以自己名义单独或参加其他联合体在本招标项目中投标，否则各相关投标均无效。</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1.4.3投标人不得存在下列情形之一：</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（1）为招标人不具有独立法人资格的附属机构（单位）；</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（2）与招标人存在利害关系且可能影响招标公正性；</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（3）与本招标项目的其他投标人为同一个单位负责人；</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（4）与本招标项目的其他投标人存在控股、管理关系；</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（5）为本招标项目的代建人；</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（6）为本招标项目的招标代理机构；</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（7）与本招标项目的代建人或招标代理机构同为一个法定代表人；</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（8）与本招标项目的代建人或招标代理机构存在控股或参股关系；</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（9）与本招标项目的施工承包人以及建筑材料、建筑构配件和设备供应商有隶属关系或者其他利害关系；</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（10）被依法暂停或者取消投标资格；</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（11）被责令停产停业、暂扣或者吊销许可证、暂扣或者吊销执照；</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（12）进入清算程序，或被宣告破产，或其他丧失履约能力的情形；</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（13）在最近三年内发生重大检测质量问题（以相关行业主管部门的行政处罚决定或司法机关出具的有关法律文书为准）；</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（14）被工商行政管理机关在全国企业信用信息公示系统中列入严重违法失信企业名单；</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（15）被最高人民法院在“信用中国”网站（www.creditchina.gov.cn）或各级信用信息共享平台中列入失信被执行人名单；</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（16）法律法规或投标人须知前附表规定的其他情形。</w:t>
      </w:r>
    </w:p>
    <w:p>
      <w:pPr>
        <w:pStyle w:val="6"/>
        <w:spacing w:line="360" w:lineRule="auto"/>
        <w:rPr>
          <w:rFonts w:ascii="宋体" w:hAnsi="宋体" w:cs="宋体"/>
          <w:highlight w:val="none"/>
        </w:rPr>
      </w:pPr>
      <w:r>
        <w:rPr>
          <w:rFonts w:hint="eastAsia" w:ascii="宋体" w:hAnsi="宋体" w:cs="宋体"/>
          <w:highlight w:val="none"/>
        </w:rPr>
        <w:t>1.5 费用承担</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投标人准备和参加投标活动发生的费用自理。</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41" w:name="bookmark26"/>
      <w:bookmarkEnd w:id="41"/>
      <w:r>
        <w:rPr>
          <w:rFonts w:hint="eastAsia" w:ascii="宋体" w:hAnsi="宋体" w:cs="宋体"/>
          <w:highlight w:val="none"/>
        </w:rPr>
        <w:t>1.6 保密</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参与招标投标活动的各方应对招标文件和投标文件中的商业和技术等秘密保密，否则应承担相应的法律责任。</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42" w:name="bookmark27"/>
      <w:bookmarkEnd w:id="42"/>
      <w:r>
        <w:rPr>
          <w:rFonts w:hint="eastAsia" w:ascii="宋体" w:hAnsi="宋体" w:cs="宋体"/>
          <w:highlight w:val="none"/>
        </w:rPr>
        <w:t>1.7 语言文字</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招标投标文件使用的语言文字为中文。专用术语使用外文的，应附有中文注释。</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43" w:name="bookmark28"/>
      <w:bookmarkEnd w:id="43"/>
      <w:r>
        <w:rPr>
          <w:rFonts w:hint="eastAsia" w:ascii="宋体" w:hAnsi="宋体" w:cs="宋体"/>
          <w:highlight w:val="none"/>
        </w:rPr>
        <w:t>1.8 计量单位</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所有计量均采用中华人民共和国法定计量单位。</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44" w:name="bookmark29"/>
      <w:bookmarkEnd w:id="44"/>
      <w:r>
        <w:rPr>
          <w:rFonts w:hint="eastAsia" w:ascii="宋体" w:hAnsi="宋体" w:cs="宋体"/>
          <w:highlight w:val="none"/>
        </w:rPr>
        <w:t>1.9 踏勘现场</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1.9.1投标人须知前附表规定组织踏勘现场的，招标人按投标人须知前附表规定的时间、地点组织投标人踏勘项目现场。部分投标人未按时参加踏勘现场的，不影响踏勘现场的正常进行。</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1.9.2投标人踏勘现场发生的费用自理。</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1.9.3除招标人的原因外，投标人自行负责在踏勘现场中所发生的人员伤亡和财产损失。</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1.9.4招标人在踏勘现场中介绍的工程场地和相关的周边环境情况，供投标人在编制投标文件时参考，招标人不对投标人据此作出的判断和决策负责。</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45" w:name="bookmark30"/>
      <w:bookmarkEnd w:id="45"/>
      <w:r>
        <w:rPr>
          <w:rFonts w:hint="eastAsia" w:ascii="宋体" w:hAnsi="宋体" w:cs="宋体"/>
          <w:highlight w:val="none"/>
        </w:rPr>
        <w:t>1.10 投标预备会</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1.10.1投标人须知前附表规定召开投标预备会的，招标人按投标人须知前附表规定的时间和地点召开投标预备会，澄清投标人提出的问题。</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1.10.2投标人应按投标人须知前附表规定的时间和形式将提出的问题送达招标人，以便招标人在会议期间澄清。</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1.10.3投标预备会后，招标人将对投标人所提问题的澄清，以投标人须知前附表规定的形式通知所有潜在投标人。该澄清内容为招标文件的组成部分。</w:t>
      </w:r>
      <w:bookmarkStart w:id="46" w:name="bookmark31"/>
      <w:bookmarkEnd w:id="46"/>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r>
        <w:rPr>
          <w:rFonts w:hint="eastAsia" w:ascii="宋体" w:hAnsi="宋体" w:cs="宋体"/>
          <w:highlight w:val="none"/>
        </w:rPr>
        <w:t>1.11 分包</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u w:val="single"/>
        </w:rPr>
        <w:t>1.11.1对于非主要检测工作，中标人不具备资质的，经招标人同意后可依法分包给具备相关资质的检测单位，分包的检测工作不得再次分包。</w:t>
      </w:r>
    </w:p>
    <w:p>
      <w:pPr>
        <w:pStyle w:val="13"/>
        <w:kinsoku w:val="0"/>
        <w:overflowPunct w:val="0"/>
        <w:spacing w:line="360" w:lineRule="auto"/>
        <w:ind w:firstLine="420" w:firstLineChars="200"/>
        <w:rPr>
          <w:rFonts w:ascii="宋体" w:hAnsi="宋体" w:cs="宋体"/>
          <w:szCs w:val="21"/>
          <w:highlight w:val="none"/>
        </w:rPr>
      </w:pPr>
      <w:bookmarkStart w:id="47" w:name="bookmark32"/>
      <w:bookmarkEnd w:id="47"/>
    </w:p>
    <w:p>
      <w:pPr>
        <w:pStyle w:val="6"/>
        <w:spacing w:line="360" w:lineRule="auto"/>
        <w:rPr>
          <w:rFonts w:ascii="宋体" w:hAnsi="宋体" w:cs="宋体"/>
          <w:highlight w:val="none"/>
        </w:rPr>
      </w:pPr>
      <w:r>
        <w:rPr>
          <w:rFonts w:hint="eastAsia" w:ascii="宋体" w:hAnsi="宋体" w:cs="宋体"/>
          <w:highlight w:val="none"/>
        </w:rPr>
        <w:t>1.12 响应和偏差</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1.12.1投标文件应当对招标文件的实质性要求和条件作出满足性或更有利于招标人的响应，否则，投标人的投标将被否决。实质性要求和条件见投标人须知前附表。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1.12.2投标人应根据招标文件的要求提供技术方案等内容以对招标文件作出响应。</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1.12.3投标人须知前附表允许投标文件偏离招标文件某些要求的，偏差应当符合招标文件规定的偏差范围和幅度。</w:t>
      </w:r>
    </w:p>
    <w:p>
      <w:pPr>
        <w:pStyle w:val="4"/>
        <w:rPr>
          <w:rFonts w:cs="宋体"/>
          <w:highlight w:val="none"/>
        </w:rPr>
      </w:pPr>
      <w:bookmarkStart w:id="48" w:name="_Toc533357309"/>
    </w:p>
    <w:p>
      <w:pPr>
        <w:pStyle w:val="4"/>
        <w:rPr>
          <w:rFonts w:cs="宋体"/>
          <w:highlight w:val="none"/>
        </w:rPr>
      </w:pPr>
      <w:bookmarkStart w:id="49" w:name="_Toc7539"/>
      <w:r>
        <w:rPr>
          <w:rFonts w:hint="eastAsia" w:cs="宋体"/>
          <w:highlight w:val="none"/>
        </w:rPr>
        <w:t>2. 招标文件</w:t>
      </w:r>
      <w:bookmarkEnd w:id="48"/>
      <w:bookmarkEnd w:id="49"/>
    </w:p>
    <w:p>
      <w:pPr>
        <w:pStyle w:val="6"/>
        <w:spacing w:line="360" w:lineRule="auto"/>
        <w:rPr>
          <w:rFonts w:ascii="宋体" w:hAnsi="宋体" w:cs="宋体"/>
          <w:highlight w:val="none"/>
        </w:rPr>
      </w:pPr>
      <w:bookmarkStart w:id="50" w:name="bookmark34"/>
      <w:bookmarkEnd w:id="50"/>
      <w:r>
        <w:rPr>
          <w:rFonts w:hint="eastAsia" w:ascii="宋体" w:hAnsi="宋体" w:cs="宋体"/>
          <w:highlight w:val="none"/>
        </w:rPr>
        <w:t>2.1 招标文件的组成</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本招标文件包括：</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（1）招标公告；</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（2）投标人须知；</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（3）评标办法；</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（4）合同条款及格式；</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（5）委托人要求；</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（6）投标文件格式；</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（7）投标人须知前附表规定的其他资料。</w:t>
      </w:r>
    </w:p>
    <w:p>
      <w:pPr>
        <w:pStyle w:val="13"/>
        <w:kinsoku w:val="0"/>
        <w:overflowPunct w:val="0"/>
        <w:spacing w:line="360" w:lineRule="auto"/>
        <w:rPr>
          <w:rFonts w:ascii="宋体" w:hAnsi="宋体" w:cs="宋体"/>
          <w:szCs w:val="21"/>
          <w:highlight w:val="none"/>
        </w:rPr>
      </w:pPr>
      <w:r>
        <w:rPr>
          <w:rFonts w:hint="eastAsia" w:ascii="宋体" w:hAnsi="宋体" w:cs="宋体"/>
          <w:szCs w:val="21"/>
          <w:highlight w:val="none"/>
        </w:rPr>
        <w:t>根据本章第1.10款、第2.2款和第2.3款对招标文件所作的澄清、修改，构成招标文件的组成部分。</w:t>
      </w:r>
    </w:p>
    <w:p>
      <w:pPr>
        <w:pStyle w:val="6"/>
        <w:spacing w:line="360" w:lineRule="auto"/>
        <w:rPr>
          <w:rFonts w:ascii="宋体" w:hAnsi="宋体" w:cs="宋体"/>
          <w:highlight w:val="none"/>
        </w:rPr>
      </w:pPr>
      <w:bookmarkStart w:id="51" w:name="bookmark35"/>
      <w:bookmarkEnd w:id="51"/>
      <w:r>
        <w:rPr>
          <w:rFonts w:hint="eastAsia" w:ascii="宋体" w:hAnsi="宋体" w:cs="宋体"/>
          <w:highlight w:val="none"/>
        </w:rPr>
        <w:t>2.2 招标文件的澄清</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2.2.2招标文件的澄清以投标人须知前附表规定的形式发给所有潜在投标人，但不指明澄清问题的来源。澄清发出的时间距本章第4.2.1项规定的投标截止时间不足15日的，并且澄清内容可能影响投标文件编制的，将相应延长投标截止时间。</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2.2.3 投标人在收到澄清后，应按投标人须知前附表规定的时间和形式通知</w:t>
      </w:r>
      <w:r>
        <w:rPr>
          <w:rFonts w:hint="eastAsia" w:ascii="宋体" w:hAnsi="宋体" w:cs="宋体"/>
          <w:sz w:val="24"/>
          <w:szCs w:val="24"/>
          <w:highlight w:val="none"/>
        </w:rPr>
        <w:t>招标人，</w:t>
      </w:r>
      <w:r>
        <w:rPr>
          <w:rFonts w:hint="eastAsia" w:ascii="宋体" w:hAnsi="宋体" w:cs="宋体"/>
          <w:szCs w:val="21"/>
          <w:highlight w:val="none"/>
        </w:rPr>
        <w:t>确认已收到该澄清。</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2.2.4除非招标人认为确有必要答复，否则，招标人有权拒绝回复投标人在本章第2.2.1项规定的时间后的任何澄清要求。</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52" w:name="bookmark36"/>
      <w:bookmarkEnd w:id="52"/>
      <w:r>
        <w:rPr>
          <w:rFonts w:hint="eastAsia" w:ascii="宋体" w:hAnsi="宋体" w:cs="宋体"/>
          <w:highlight w:val="none"/>
        </w:rPr>
        <w:t>2.3 招标文件的修改</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2.3.1招标人以投标人须知前附表规定的形式修改招标文件，并通知所有潜在投标人。修改招标文件的时间距本章第4.2.1项规定的投标截止时间不足15日的，并且修改内容可能影响投标文件编制的，将相应延长投标截止时间。</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2.3.2投标人收到修改内容后，应按投标人须知前附表规定的时间和形式通知招标人，确认已收到该修改。</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53" w:name="bookmark37"/>
      <w:bookmarkEnd w:id="53"/>
      <w:r>
        <w:rPr>
          <w:rFonts w:hint="eastAsia" w:ascii="宋体" w:hAnsi="宋体" w:cs="宋体"/>
          <w:highlight w:val="none"/>
        </w:rPr>
        <w:t>2.4 招标文件的异议</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投标人或者其他利害关系人对招标文件有异议的，应当在投标截止时间10日前以书面形式提出。招标人将在收到异议之日起3日内作出答复;作出答复前,将暂停招标投标活动。</w:t>
      </w:r>
    </w:p>
    <w:p>
      <w:pPr>
        <w:pStyle w:val="13"/>
        <w:kinsoku w:val="0"/>
        <w:overflowPunct w:val="0"/>
        <w:spacing w:line="360" w:lineRule="auto"/>
        <w:ind w:firstLine="420" w:firstLineChars="200"/>
        <w:rPr>
          <w:rFonts w:ascii="宋体" w:hAnsi="宋体" w:cs="宋体"/>
          <w:szCs w:val="21"/>
          <w:highlight w:val="none"/>
        </w:rPr>
      </w:pPr>
    </w:p>
    <w:p>
      <w:pPr>
        <w:pStyle w:val="4"/>
        <w:rPr>
          <w:rFonts w:cs="宋体"/>
          <w:highlight w:val="none"/>
        </w:rPr>
      </w:pPr>
      <w:bookmarkStart w:id="54" w:name="_Toc18332"/>
      <w:bookmarkStart w:id="55" w:name="_Toc533357310"/>
      <w:r>
        <w:rPr>
          <w:rFonts w:hint="eastAsia" w:cs="宋体"/>
          <w:highlight w:val="none"/>
        </w:rPr>
        <w:t>3. 投标文件</w:t>
      </w:r>
      <w:bookmarkEnd w:id="54"/>
      <w:bookmarkEnd w:id="55"/>
    </w:p>
    <w:p>
      <w:pPr>
        <w:pStyle w:val="6"/>
        <w:spacing w:line="360" w:lineRule="auto"/>
        <w:ind w:firstLine="420"/>
        <w:rPr>
          <w:rFonts w:ascii="宋体" w:hAnsi="宋体" w:cs="宋体"/>
          <w:highlight w:val="none"/>
        </w:rPr>
      </w:pPr>
      <w:bookmarkStart w:id="56" w:name="bookmark39"/>
      <w:bookmarkEnd w:id="56"/>
      <w:r>
        <w:rPr>
          <w:rFonts w:hint="eastAsia" w:ascii="宋体" w:hAnsi="宋体" w:cs="宋体"/>
          <w:highlight w:val="none"/>
        </w:rPr>
        <w:t>3.1 投标文件的组成</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3.1.1投标文件应包括下列内容：</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投标函及其附表</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法定代表人身份证明（适用于无委托代理人的情况）、授权委托书（适用于有委托代理人的情况）</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投标报价书</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投标承诺书</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资格审查资料</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资信业绩</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检测方案</w:t>
      </w:r>
    </w:p>
    <w:p>
      <w:pPr>
        <w:pStyle w:val="13"/>
        <w:numPr>
          <w:ilvl w:val="0"/>
          <w:numId w:val="1"/>
        </w:numPr>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其他资料。投标人须知前附表规定的其他资料，投标人认为有必要提交的其他资料。投标人在评标过程中作出的符合法律法规和招标文件规定的澄清确认，构成投标文件的组成部分。</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3.1.2投标人须知前附表规定不接受联合体投标的，或投标人没有组成联合体的，投标文件不包括本章第3.1.1所指的联合体协议书。</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3.1.3投标人须知前附表未要求提交投标保证金的，投标文件不包括本章第3.1.1（3）所指的投标保证金。</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57" w:name="bookmark40"/>
      <w:bookmarkEnd w:id="57"/>
      <w:r>
        <w:rPr>
          <w:rFonts w:hint="eastAsia" w:ascii="宋体" w:hAnsi="宋体" w:cs="宋体"/>
          <w:highlight w:val="none"/>
        </w:rPr>
        <w:t>3.2 投标报价</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3.2.1投标报价应包括国家规定的增值税税金，除投标人须知前附表另有规定外，增值税税金按一般计税方法计算。投标人应按第六章“投标文件格式”的要求在投标函中进行报价并填写报价书。</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3.2.2投标人应充分了解该项目的总体情况以及影响投标报价的其他要素。</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3.2.3本项目的报价方式见投标人须知前附表。投标人在投标截止时间前修改投标函中的投标报价总额，应同时修改投标文件“报价书”中的相应报价。此修改须符合本章第4.3款的有关要求。</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3.2.4招标人设有最高投标限价的，投标人的投标报价不得超过最高投标限价，最高投标限价在投标人须知前附表中载明。</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3.2.5投标报价的其他要求见投标人须知前附表。</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58" w:name="bookmark41"/>
      <w:bookmarkEnd w:id="58"/>
      <w:r>
        <w:rPr>
          <w:rFonts w:hint="eastAsia" w:ascii="宋体" w:hAnsi="宋体" w:cs="宋体"/>
          <w:highlight w:val="none"/>
        </w:rPr>
        <w:t>3.3 投标有效期</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3.3.1除投标人须知前附表另有规定外，投标有效期为90天。</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3.3.2在投标有效期内，投标人撤销投标文件的，应承担招标文件和法律规定的责任。</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59" w:name="bookmark42"/>
      <w:bookmarkEnd w:id="59"/>
      <w:r>
        <w:rPr>
          <w:rFonts w:hint="eastAsia" w:ascii="宋体" w:hAnsi="宋体" w:cs="宋体"/>
          <w:highlight w:val="none"/>
        </w:rPr>
        <w:t>3.4 投标保证金</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3.4.1</w:t>
      </w:r>
      <w:bookmarkStart w:id="60" w:name="bookmark43"/>
      <w:bookmarkEnd w:id="60"/>
      <w:r>
        <w:rPr>
          <w:rFonts w:hint="eastAsia" w:ascii="宋体" w:hAnsi="宋体" w:cs="宋体"/>
          <w:szCs w:val="21"/>
          <w:highlight w:val="none"/>
        </w:rPr>
        <w:t xml:space="preserve"> 不要求投标人递交投标保证金</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61" w:name="bookmark44"/>
      <w:bookmarkEnd w:id="61"/>
      <w:r>
        <w:rPr>
          <w:rFonts w:hint="eastAsia" w:ascii="宋体" w:hAnsi="宋体" w:cs="宋体"/>
          <w:highlight w:val="none"/>
        </w:rPr>
        <w:t>3.5 资格审查资料</w:t>
      </w:r>
    </w:p>
    <w:p>
      <w:pPr>
        <w:pStyle w:val="13"/>
        <w:kinsoku w:val="0"/>
        <w:overflowPunct w:val="0"/>
        <w:spacing w:line="360" w:lineRule="auto"/>
        <w:ind w:firstLine="420" w:firstLineChars="200"/>
        <w:rPr>
          <w:rFonts w:ascii="宋体" w:hAnsi="宋体" w:cs="宋体"/>
          <w:szCs w:val="21"/>
          <w:highlight w:val="none"/>
        </w:rPr>
      </w:pPr>
      <w:bookmarkStart w:id="62" w:name="bookmark45"/>
      <w:bookmarkEnd w:id="62"/>
      <w:r>
        <w:rPr>
          <w:rFonts w:hint="eastAsia" w:ascii="宋体" w:hAnsi="宋体" w:cs="宋体"/>
          <w:szCs w:val="21"/>
          <w:highlight w:val="none"/>
        </w:rPr>
        <w:t>除投标人须知前附表另有规定外，投标人应按下列规定提供资格审查资料，以证明其满足本章第1.4款规定的资质、财务、业绩、信誉等要求。</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3.5.1“投标人基本情况表”应附检测投标单位的营业执照副本或事业单位法人证书副本、建设行政主管部门颁发的建设工程质量检测机构资质证书或根据《住房和城乡建设部关于印发《建设工程质量检测机构资质标准》的通知》（建质规[2023]1号，以下简称新标准）具有有效的建设行政主管部门颁发的建设工程质量检测机构综合资质证书或专项资质证书、CMA计量认证合格证书以及其他相关资料。</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3.5.2其他满足本章第1.4.1项规定的要求的相关资料。</w:t>
      </w:r>
    </w:p>
    <w:p>
      <w:pPr>
        <w:spacing w:line="360" w:lineRule="auto"/>
        <w:rPr>
          <w:rFonts w:ascii="宋体" w:hAnsi="宋体" w:cs="宋体"/>
          <w:highlight w:val="none"/>
        </w:rPr>
      </w:pPr>
    </w:p>
    <w:p>
      <w:pPr>
        <w:pStyle w:val="6"/>
        <w:spacing w:line="360" w:lineRule="auto"/>
        <w:rPr>
          <w:rFonts w:ascii="宋体" w:hAnsi="宋体" w:cs="宋体"/>
          <w:highlight w:val="none"/>
        </w:rPr>
      </w:pPr>
      <w:r>
        <w:rPr>
          <w:rFonts w:hint="eastAsia" w:ascii="宋体" w:hAnsi="宋体" w:cs="宋体"/>
          <w:highlight w:val="none"/>
        </w:rPr>
        <w:t>3.6 备选投标方案</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3.6.1除投标人须知前附表规定允许外，投标人不得递交备选投标方案，否则其投标将被否决。</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3.6.3投标人提供两个或两个以上投标报价，或者在投标文件中提供一个报价，但同时提供两个或两个以上服务方案的，视为提供备选方案。</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63" w:name="bookmark46"/>
      <w:bookmarkEnd w:id="63"/>
      <w:r>
        <w:rPr>
          <w:rFonts w:hint="eastAsia" w:ascii="宋体" w:hAnsi="宋体" w:cs="宋体"/>
          <w:highlight w:val="none"/>
        </w:rPr>
        <w:t>3.7 投标文件的编制</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3.7.1投标文件应按第六章“投标文件格式”进行编写，如有必要，可以增加附页，作为投标文件的组成部分。</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3.7.2投标文件应当对招标文件有关服务期限、投标有效期、委托人要求、招标范围等实质性内容作出响应。</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3.7.3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4"/>
        <w:rPr>
          <w:rFonts w:cs="宋体"/>
          <w:highlight w:val="none"/>
        </w:rPr>
      </w:pPr>
      <w:bookmarkStart w:id="64" w:name="_Toc533357311"/>
    </w:p>
    <w:p>
      <w:pPr>
        <w:pStyle w:val="4"/>
        <w:rPr>
          <w:rFonts w:cs="宋体"/>
          <w:highlight w:val="none"/>
        </w:rPr>
      </w:pPr>
      <w:bookmarkStart w:id="65" w:name="_Toc13011"/>
      <w:r>
        <w:rPr>
          <w:rFonts w:hint="eastAsia" w:cs="宋体"/>
          <w:highlight w:val="none"/>
        </w:rPr>
        <w:t>4. 投标</w:t>
      </w:r>
      <w:bookmarkEnd w:id="64"/>
      <w:bookmarkEnd w:id="65"/>
    </w:p>
    <w:p>
      <w:pPr>
        <w:pStyle w:val="6"/>
        <w:spacing w:line="360" w:lineRule="auto"/>
        <w:ind w:firstLine="420"/>
        <w:rPr>
          <w:rFonts w:ascii="宋体" w:hAnsi="宋体" w:cs="宋体"/>
          <w:highlight w:val="none"/>
        </w:rPr>
      </w:pPr>
      <w:bookmarkStart w:id="66" w:name="bookmark48"/>
      <w:bookmarkEnd w:id="66"/>
      <w:r>
        <w:rPr>
          <w:rFonts w:hint="eastAsia" w:ascii="宋体" w:hAnsi="宋体" w:cs="宋体"/>
          <w:highlight w:val="none"/>
        </w:rPr>
        <w:t>4.1 投标文件的密封和标记</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4.1.1投标人应当按照招标文件和电子招标投标交易平台的要求加密投标文件，具体要求见投标人须知前附表。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4.1.2投标文件封套上应写明的内容见投标人须知前附表。</w:t>
      </w:r>
    </w:p>
    <w:p>
      <w:pPr>
        <w:pStyle w:val="13"/>
        <w:kinsoku w:val="0"/>
        <w:overflowPunct w:val="0"/>
        <w:spacing w:line="360" w:lineRule="auto"/>
        <w:ind w:firstLine="420" w:firstLineChars="200"/>
        <w:rPr>
          <w:rFonts w:ascii="宋体" w:hAnsi="宋体" w:cs="宋体"/>
          <w:strike/>
          <w:szCs w:val="21"/>
          <w:highlight w:val="none"/>
        </w:rPr>
      </w:pPr>
      <w:r>
        <w:rPr>
          <w:rFonts w:hint="eastAsia" w:ascii="宋体" w:hAnsi="宋体" w:cs="宋体"/>
          <w:strike/>
          <w:szCs w:val="21"/>
          <w:highlight w:val="none"/>
        </w:rPr>
        <w:t>4.1.3未按本章第4.1.1项要求密封的投标文件，招标人将予以拒收。</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67" w:name="bookmark49"/>
      <w:bookmarkEnd w:id="67"/>
      <w:r>
        <w:rPr>
          <w:rFonts w:hint="eastAsia" w:ascii="宋体" w:hAnsi="宋体" w:cs="宋体"/>
          <w:highlight w:val="none"/>
        </w:rPr>
        <w:t>4.2 投标文件的递交</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4.2.1投标人应在投标人须知前附表规定的投标截止时间前递交投标文件。</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4.2.2投标人通过下载招标文件的电子招标投标交易平台递交电子投标文件。</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4.2.3除投标人须知前附表另有规定外，投标人所递交的投标文件不予退还。</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4.2.4投标人完成电子投标文件上传后，电子招标投标交易平台即时向投标人发出递交回执通知。递交时间以递交回执通知载明的传输完成时间为准。</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4.2.5逾期送达的投标文件，电子招标投标交易平台将予以拒收。</w:t>
      </w:r>
      <w:bookmarkStart w:id="68" w:name="bookmark50"/>
      <w:bookmarkEnd w:id="68"/>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r>
        <w:rPr>
          <w:rFonts w:hint="eastAsia" w:ascii="宋体" w:hAnsi="宋体" w:cs="宋体"/>
          <w:highlight w:val="none"/>
        </w:rPr>
        <w:t>4.3 投标文件的修改与撤回</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4.3.1在本章第4.2.1项规定的投标截止时间前，投标人可以修改或撤回已递交的投标文件，但应以书面形式通知招标人。</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4.3.2投标人修改或撤回已递交投标文件的通知，应按照本章第3.7.3项的要求加盖电子印章。电子招标投标交易平台收到通知后，即时向投标人发出确认回执通知。</w:t>
      </w:r>
    </w:p>
    <w:p>
      <w:pPr>
        <w:pStyle w:val="13"/>
        <w:kinsoku w:val="0"/>
        <w:overflowPunct w:val="0"/>
        <w:spacing w:line="360" w:lineRule="auto"/>
        <w:ind w:firstLine="420" w:firstLineChars="200"/>
        <w:rPr>
          <w:rFonts w:ascii="宋体" w:hAnsi="宋体" w:cs="宋体"/>
          <w:strike/>
          <w:szCs w:val="21"/>
          <w:highlight w:val="none"/>
        </w:rPr>
      </w:pPr>
      <w:r>
        <w:rPr>
          <w:rFonts w:hint="eastAsia" w:ascii="宋体" w:hAnsi="宋体" w:cs="宋体"/>
          <w:strike/>
          <w:szCs w:val="21"/>
          <w:highlight w:val="none"/>
        </w:rPr>
        <w:t>4.3.3投标人撤回投标文件的，招标人自收到投标人书面撤回通知之日起5日内退还已收取的投标保证金。</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4.3.4修改的内容为投标文件的组成部分。修改的投标文件应按照本章第3条、第4条的规定进行编制、密封、标记和递交，并标明“修改”字样。</w:t>
      </w:r>
    </w:p>
    <w:p>
      <w:pPr>
        <w:pStyle w:val="4"/>
        <w:rPr>
          <w:rFonts w:cs="宋体"/>
          <w:highlight w:val="none"/>
        </w:rPr>
      </w:pPr>
      <w:bookmarkStart w:id="69" w:name="_Toc533357312"/>
    </w:p>
    <w:p>
      <w:pPr>
        <w:pStyle w:val="4"/>
        <w:rPr>
          <w:rFonts w:cs="宋体"/>
          <w:highlight w:val="none"/>
        </w:rPr>
      </w:pPr>
      <w:bookmarkStart w:id="70" w:name="_Toc29769"/>
      <w:r>
        <w:rPr>
          <w:rFonts w:hint="eastAsia" w:cs="宋体"/>
          <w:highlight w:val="none"/>
        </w:rPr>
        <w:t>5. 开标</w:t>
      </w:r>
      <w:bookmarkEnd w:id="69"/>
      <w:bookmarkEnd w:id="70"/>
    </w:p>
    <w:p>
      <w:pPr>
        <w:pStyle w:val="6"/>
        <w:spacing w:line="360" w:lineRule="auto"/>
        <w:ind w:firstLine="420"/>
        <w:rPr>
          <w:rFonts w:ascii="宋体" w:hAnsi="宋体" w:cs="宋体"/>
          <w:highlight w:val="none"/>
        </w:rPr>
      </w:pPr>
      <w:bookmarkStart w:id="71" w:name="bookmark53"/>
      <w:bookmarkEnd w:id="71"/>
      <w:bookmarkStart w:id="72" w:name="bookmark52"/>
      <w:bookmarkEnd w:id="72"/>
      <w:r>
        <w:rPr>
          <w:rFonts w:hint="eastAsia" w:ascii="宋体" w:hAnsi="宋体" w:cs="宋体"/>
          <w:highlight w:val="none"/>
        </w:rPr>
        <w:t>5.1 开标时间和地点</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招标人在本章第4.2.1项规定的投标截止时间（开标时间）,通过电子招标投标交易平台公开开标。开标时，投标人代表有权出席开标会，也可以自主决定不参加开标会。</w:t>
      </w:r>
    </w:p>
    <w:p>
      <w:pPr>
        <w:spacing w:line="360" w:lineRule="auto"/>
        <w:rPr>
          <w:rFonts w:ascii="宋体" w:hAnsi="宋体" w:cs="宋体"/>
          <w:highlight w:val="none"/>
        </w:rPr>
      </w:pPr>
    </w:p>
    <w:p>
      <w:pPr>
        <w:pStyle w:val="6"/>
        <w:spacing w:line="360" w:lineRule="auto"/>
        <w:rPr>
          <w:rFonts w:ascii="宋体" w:hAnsi="宋体" w:cs="宋体"/>
          <w:highlight w:val="none"/>
        </w:rPr>
      </w:pPr>
      <w:bookmarkStart w:id="73" w:name="bookmark54"/>
      <w:bookmarkEnd w:id="73"/>
      <w:r>
        <w:rPr>
          <w:rFonts w:hint="eastAsia" w:ascii="宋体" w:hAnsi="宋体" w:cs="宋体"/>
          <w:highlight w:val="none"/>
        </w:rPr>
        <w:t>5.2 开标程序</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5.2.1主持人按下列程序进行开标：</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（1）宣布开标纪律；</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（2）公布在投标截止时间前递交投标文件的投标人名称；</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（3）宣布开标人、唱标人、记录人、监标人等有关人员姓名；</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（4）投标人通过电子招标投标交易平台对已递交的电子投标文件进行解密，公布招标项目名称、投标人名称、投标报价及其他内容，并记录在案；</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（5）投标人代表、招标人代表、监标人、记录人等有关人员在开标记录上签字确认；若有关人员不签字的，不影响开标程序；</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（6）开标结束。</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5.2.2</w:t>
      </w:r>
      <w:r>
        <w:rPr>
          <w:rFonts w:hint="eastAsia" w:ascii="宋体" w:hAnsi="宋体" w:cs="宋体"/>
          <w:szCs w:val="21"/>
          <w:highlight w:val="none"/>
          <w:u w:val="single"/>
        </w:rPr>
        <w:t>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5.2.3开标时，两个（含两个）以上的投标人加密打包投标文件电脑机器特征码一致的，不参与下一程序，并由评标委员会否决其投标。</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74" w:name="bookmark55"/>
      <w:bookmarkEnd w:id="74"/>
      <w:r>
        <w:rPr>
          <w:rFonts w:hint="eastAsia" w:ascii="宋体" w:hAnsi="宋体" w:cs="宋体"/>
          <w:highlight w:val="none"/>
        </w:rPr>
        <w:t>5.3 开标异议</w:t>
      </w:r>
    </w:p>
    <w:p>
      <w:pPr>
        <w:pStyle w:val="13"/>
        <w:kinsoku w:val="0"/>
        <w:overflowPunct w:val="0"/>
        <w:spacing w:line="360" w:lineRule="auto"/>
        <w:ind w:firstLine="422" w:firstLineChars="200"/>
        <w:rPr>
          <w:rFonts w:ascii="宋体" w:hAnsi="宋体" w:cs="宋体"/>
          <w:szCs w:val="21"/>
          <w:highlight w:val="none"/>
        </w:rPr>
      </w:pPr>
      <w:r>
        <w:rPr>
          <w:rFonts w:hint="eastAsia" w:ascii="宋体" w:hAnsi="宋体" w:cs="宋体"/>
          <w:b/>
          <w:bCs/>
          <w:szCs w:val="21"/>
          <w:highlight w:val="none"/>
        </w:rPr>
        <w:t>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pStyle w:val="4"/>
        <w:rPr>
          <w:rFonts w:cs="宋体"/>
          <w:highlight w:val="none"/>
        </w:rPr>
      </w:pPr>
      <w:bookmarkStart w:id="75" w:name="_Toc533357313"/>
    </w:p>
    <w:p>
      <w:pPr>
        <w:pStyle w:val="4"/>
        <w:rPr>
          <w:rFonts w:cs="宋体"/>
          <w:highlight w:val="none"/>
        </w:rPr>
      </w:pPr>
      <w:bookmarkStart w:id="76" w:name="_Toc9739"/>
      <w:r>
        <w:rPr>
          <w:rFonts w:hint="eastAsia" w:cs="宋体"/>
          <w:highlight w:val="none"/>
        </w:rPr>
        <w:t>6. 评标</w:t>
      </w:r>
      <w:bookmarkEnd w:id="75"/>
      <w:bookmarkEnd w:id="76"/>
    </w:p>
    <w:p>
      <w:pPr>
        <w:pStyle w:val="6"/>
        <w:spacing w:line="360" w:lineRule="auto"/>
        <w:ind w:firstLine="420"/>
        <w:rPr>
          <w:rFonts w:ascii="宋体" w:hAnsi="宋体" w:cs="宋体"/>
          <w:highlight w:val="none"/>
        </w:rPr>
      </w:pPr>
      <w:bookmarkStart w:id="77" w:name="bookmark57"/>
      <w:bookmarkEnd w:id="77"/>
      <w:r>
        <w:rPr>
          <w:rFonts w:hint="eastAsia" w:ascii="宋体" w:hAnsi="宋体" w:cs="宋体"/>
          <w:highlight w:val="none"/>
        </w:rPr>
        <w:t>6.1 评标委员会</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6.1.2评标委员会成员有下列情形之一的，应当回避：</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（1）投标人或投标人主要负责人的近亲属；</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（2）项目主管部门或者行政监督部门的人员；</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（3）与投标人有经济利益关系，可能影响对投标公正评审的；</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（4）曾因在招标、评标以及其他与招标投标有关活动中从事违法行为而受过行政处罚或刑事处罚的</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（5）与投标人有其他利害关系。</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6.1.3评标过程中，评标委员会成员有回避事由、擅离职守或者因健康等原因不能继续评标的，招标人有权更换。被更换的评标委员会成员作出的评审结论无效，由更换后的评标委员会成员重新进行评审。</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78" w:name="bookmark58"/>
      <w:bookmarkEnd w:id="78"/>
      <w:r>
        <w:rPr>
          <w:rFonts w:hint="eastAsia" w:ascii="宋体" w:hAnsi="宋体" w:cs="宋体"/>
          <w:highlight w:val="none"/>
        </w:rPr>
        <w:t>6.2 评标原则</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评标活动遵循公平、公正、科学和择优的原则。</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79" w:name="bookmark59"/>
      <w:bookmarkEnd w:id="79"/>
      <w:r>
        <w:rPr>
          <w:rFonts w:hint="eastAsia" w:ascii="宋体" w:hAnsi="宋体" w:cs="宋体"/>
          <w:highlight w:val="none"/>
        </w:rPr>
        <w:t>6.3 评标</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6.3.1评标委员会按照第三章“评标办法”规定的方法、评审因素、标准和程序对投标文件进行评审。第三章“评标办法”没有规定的方法、评审因素和标准，不作为评标依据。</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6.3.2评标完成后，评标委员会应当向招标人提交书面评标报告和中标候选人名单。评标委员会推荐中标候选人的人数见投标人须知前附表。</w:t>
      </w:r>
    </w:p>
    <w:p>
      <w:pPr>
        <w:pStyle w:val="4"/>
        <w:rPr>
          <w:rFonts w:cs="宋体"/>
          <w:highlight w:val="none"/>
        </w:rPr>
      </w:pPr>
      <w:bookmarkStart w:id="80" w:name="bookmark60"/>
      <w:bookmarkEnd w:id="80"/>
      <w:bookmarkStart w:id="81" w:name="_Toc533357314"/>
    </w:p>
    <w:p>
      <w:pPr>
        <w:pStyle w:val="4"/>
        <w:rPr>
          <w:rFonts w:cs="宋体"/>
          <w:highlight w:val="none"/>
        </w:rPr>
      </w:pPr>
      <w:bookmarkStart w:id="82" w:name="_Toc28678"/>
      <w:r>
        <w:rPr>
          <w:rFonts w:hint="eastAsia" w:cs="宋体"/>
          <w:highlight w:val="none"/>
        </w:rPr>
        <w:t>7. 合同授予</w:t>
      </w:r>
      <w:bookmarkEnd w:id="81"/>
      <w:bookmarkEnd w:id="82"/>
    </w:p>
    <w:p>
      <w:pPr>
        <w:pStyle w:val="6"/>
        <w:spacing w:line="360" w:lineRule="auto"/>
        <w:ind w:firstLine="420"/>
        <w:rPr>
          <w:rFonts w:ascii="宋体" w:hAnsi="宋体" w:cs="宋体"/>
          <w:highlight w:val="none"/>
        </w:rPr>
      </w:pPr>
      <w:bookmarkStart w:id="83" w:name="bookmark61"/>
      <w:bookmarkEnd w:id="83"/>
      <w:r>
        <w:rPr>
          <w:rFonts w:hint="eastAsia" w:ascii="宋体" w:hAnsi="宋体" w:cs="宋体"/>
          <w:highlight w:val="none"/>
        </w:rPr>
        <w:t>7.1 中标候选人公示</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招标人在收到评标报告之日起3日内，按照投标人须知前附表规定的公示媒介和期限公示中标候选人，公示期不得少于3天。</w:t>
      </w:r>
    </w:p>
    <w:p>
      <w:pPr>
        <w:pStyle w:val="6"/>
        <w:spacing w:line="360" w:lineRule="auto"/>
        <w:rPr>
          <w:rFonts w:ascii="宋体" w:hAnsi="宋体" w:cs="宋体"/>
          <w:highlight w:val="none"/>
        </w:rPr>
      </w:pPr>
      <w:bookmarkStart w:id="84" w:name="bookmark62"/>
      <w:bookmarkEnd w:id="84"/>
      <w:r>
        <w:rPr>
          <w:rFonts w:hint="eastAsia" w:ascii="宋体" w:hAnsi="宋体" w:cs="宋体"/>
          <w:highlight w:val="none"/>
        </w:rPr>
        <w:t>7.2 评标结果异议</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投标人或者其他利害关系人对评标结果有异议的，应当在中标候选人公示期间提出。招标人将在收到异议之日起3日内作出答复；作出答复前，将暂停招标投标活动。</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85" w:name="bookmark63"/>
      <w:bookmarkEnd w:id="85"/>
      <w:r>
        <w:rPr>
          <w:rFonts w:hint="eastAsia" w:ascii="宋体" w:hAnsi="宋体" w:cs="宋体"/>
          <w:highlight w:val="none"/>
        </w:rPr>
        <w:t>7.3 中标候选人履约能力审查</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86" w:name="bookmark64"/>
      <w:bookmarkEnd w:id="86"/>
      <w:r>
        <w:rPr>
          <w:rFonts w:hint="eastAsia" w:ascii="宋体" w:hAnsi="宋体" w:cs="宋体"/>
          <w:highlight w:val="none"/>
        </w:rPr>
        <w:t>7.4 定标</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按照投标人须知前附表的规定，招标人或招标人授权的评标委员会依法确定中标人。</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87" w:name="bookmark65"/>
      <w:bookmarkEnd w:id="87"/>
      <w:r>
        <w:rPr>
          <w:rFonts w:hint="eastAsia" w:ascii="宋体" w:hAnsi="宋体" w:cs="宋体"/>
          <w:highlight w:val="none"/>
        </w:rPr>
        <w:t>7.5 中标通知</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在本章第3.3款规定的投标有效期内，招标人以书面形式向中标人发出中标通知书，同时将中标结果通知未中标的投标人。</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strike/>
          <w:highlight w:val="none"/>
        </w:rPr>
      </w:pPr>
      <w:bookmarkStart w:id="88" w:name="bookmark66"/>
      <w:bookmarkEnd w:id="88"/>
      <w:r>
        <w:rPr>
          <w:rFonts w:hint="eastAsia" w:ascii="宋体" w:hAnsi="宋体" w:cs="宋体"/>
          <w:strike/>
          <w:highlight w:val="none"/>
        </w:rPr>
        <w:t>7.6 履约保证金</w:t>
      </w:r>
    </w:p>
    <w:p>
      <w:pPr>
        <w:pStyle w:val="13"/>
        <w:kinsoku w:val="0"/>
        <w:overflowPunct w:val="0"/>
        <w:spacing w:line="360" w:lineRule="auto"/>
        <w:ind w:firstLine="420" w:firstLineChars="200"/>
        <w:rPr>
          <w:rFonts w:ascii="宋体" w:hAnsi="宋体" w:cs="宋体"/>
          <w:strike/>
          <w:szCs w:val="21"/>
          <w:highlight w:val="none"/>
        </w:rPr>
      </w:pPr>
      <w:r>
        <w:rPr>
          <w:rFonts w:hint="eastAsia" w:ascii="宋体" w:hAnsi="宋体" w:cs="宋体"/>
          <w:strike/>
          <w:szCs w:val="21"/>
          <w:highlight w:val="none"/>
        </w:rPr>
        <w:t>7.6.1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pStyle w:val="13"/>
        <w:kinsoku w:val="0"/>
        <w:overflowPunct w:val="0"/>
        <w:spacing w:line="360" w:lineRule="auto"/>
        <w:ind w:firstLine="420" w:firstLineChars="200"/>
        <w:rPr>
          <w:rFonts w:ascii="宋体" w:hAnsi="宋体" w:cs="宋体"/>
          <w:strike/>
          <w:szCs w:val="21"/>
          <w:highlight w:val="none"/>
        </w:rPr>
      </w:pPr>
      <w:r>
        <w:rPr>
          <w:rFonts w:hint="eastAsia" w:ascii="宋体" w:hAnsi="宋体" w:cs="宋体"/>
          <w:strike/>
          <w:szCs w:val="21"/>
          <w:highlight w:val="none"/>
        </w:rPr>
        <w:t>7.6.2中标人不能按本章第7.6.1项要求提交履约保证金的，视为放弃中标，其投标保证金不予退还，给招标人造成的损失超过投标保证金数额的，中标人还应当对超过部分予以赔偿。</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89" w:name="bookmark67"/>
      <w:bookmarkEnd w:id="89"/>
      <w:r>
        <w:rPr>
          <w:rFonts w:hint="eastAsia" w:ascii="宋体" w:hAnsi="宋体" w:cs="宋体"/>
          <w:highlight w:val="none"/>
        </w:rPr>
        <w:t>7.7 签订合同</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7.7.1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w:t>
      </w:r>
      <w:r>
        <w:rPr>
          <w:rFonts w:hint="eastAsia" w:ascii="宋体" w:hAnsi="宋体" w:cs="宋体"/>
          <w:strike/>
          <w:szCs w:val="21"/>
          <w:highlight w:val="none"/>
        </w:rPr>
        <w:t>，其投标保证金不予退还</w:t>
      </w:r>
      <w:r>
        <w:rPr>
          <w:rFonts w:hint="eastAsia" w:ascii="宋体" w:hAnsi="宋体" w:cs="宋体"/>
          <w:szCs w:val="21"/>
          <w:highlight w:val="none"/>
        </w:rPr>
        <w:t>；给招标人造成的损失</w:t>
      </w:r>
      <w:r>
        <w:rPr>
          <w:rFonts w:hint="eastAsia" w:ascii="宋体" w:hAnsi="宋体" w:cs="宋体"/>
          <w:strike/>
          <w:szCs w:val="21"/>
          <w:highlight w:val="none"/>
        </w:rPr>
        <w:t>超过投标保证金数额</w:t>
      </w:r>
      <w:r>
        <w:rPr>
          <w:rFonts w:hint="eastAsia" w:ascii="宋体" w:hAnsi="宋体" w:cs="宋体"/>
          <w:szCs w:val="21"/>
          <w:highlight w:val="none"/>
        </w:rPr>
        <w:t>的，中标人还应当对超过部分予以赔偿。</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7.7.2发出中标通知书后，招标人无正当理由拒签合同，或者在签订合同时向中标人提出附加条件的，</w:t>
      </w:r>
      <w:r>
        <w:rPr>
          <w:rFonts w:hint="eastAsia" w:ascii="宋体" w:hAnsi="宋体" w:cs="宋体"/>
          <w:strike/>
          <w:szCs w:val="21"/>
          <w:highlight w:val="none"/>
        </w:rPr>
        <w:t>招标人向中标人退还投标保证金；</w:t>
      </w:r>
      <w:r>
        <w:rPr>
          <w:rFonts w:hint="eastAsia" w:ascii="宋体" w:hAnsi="宋体" w:cs="宋体"/>
          <w:szCs w:val="21"/>
          <w:highlight w:val="none"/>
        </w:rPr>
        <w:t>给中标人造成损失的，还应当赔偿损失。</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7.7.3联合体中标的，联合体各方应当共同与招标人签订合同，就中标项目向招标人承担连带责任。</w:t>
      </w:r>
    </w:p>
    <w:p>
      <w:pPr>
        <w:pStyle w:val="4"/>
        <w:rPr>
          <w:rFonts w:cs="宋体"/>
          <w:highlight w:val="none"/>
        </w:rPr>
      </w:pPr>
      <w:bookmarkStart w:id="90" w:name="bookmark68"/>
      <w:bookmarkEnd w:id="90"/>
      <w:bookmarkStart w:id="91" w:name="_Toc533357315"/>
    </w:p>
    <w:p>
      <w:pPr>
        <w:pStyle w:val="4"/>
        <w:rPr>
          <w:rFonts w:cs="宋体"/>
          <w:highlight w:val="none"/>
        </w:rPr>
      </w:pPr>
      <w:bookmarkStart w:id="92" w:name="_Toc28481"/>
      <w:r>
        <w:rPr>
          <w:rFonts w:hint="eastAsia" w:cs="宋体"/>
          <w:highlight w:val="none"/>
        </w:rPr>
        <w:t>8. 纪律和监督</w:t>
      </w:r>
      <w:bookmarkEnd w:id="91"/>
      <w:bookmarkEnd w:id="92"/>
    </w:p>
    <w:p>
      <w:pPr>
        <w:pStyle w:val="6"/>
        <w:spacing w:line="360" w:lineRule="auto"/>
        <w:rPr>
          <w:rFonts w:ascii="宋体" w:hAnsi="宋体" w:cs="宋体"/>
          <w:highlight w:val="none"/>
        </w:rPr>
      </w:pPr>
      <w:bookmarkStart w:id="93" w:name="bookmark69"/>
      <w:bookmarkEnd w:id="93"/>
      <w:r>
        <w:rPr>
          <w:rFonts w:hint="eastAsia" w:ascii="宋体" w:hAnsi="宋体" w:cs="宋体"/>
          <w:highlight w:val="none"/>
        </w:rPr>
        <w:t>8.1 对招标人的纪律要求</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招标人不得泄露招标投标活动中应当保密的情况和资料，不得与投标人串通损害国家利益、社会公共利益或者他人合法权益。</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94" w:name="bookmark70"/>
      <w:bookmarkEnd w:id="94"/>
      <w:r>
        <w:rPr>
          <w:rFonts w:hint="eastAsia" w:ascii="宋体" w:hAnsi="宋体" w:cs="宋体"/>
          <w:highlight w:val="none"/>
        </w:rPr>
        <w:t>8.2 对投标人的纪律要求</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95" w:name="bookmark71"/>
      <w:bookmarkEnd w:id="95"/>
      <w:r>
        <w:rPr>
          <w:rFonts w:hint="eastAsia" w:ascii="宋体" w:hAnsi="宋体" w:cs="宋体"/>
          <w:highlight w:val="none"/>
        </w:rPr>
        <w:t>8.3 对评标委员会成员的纪律要求</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96" w:name="bookmark72"/>
      <w:bookmarkEnd w:id="96"/>
      <w:r>
        <w:rPr>
          <w:rFonts w:hint="eastAsia" w:ascii="宋体" w:hAnsi="宋体" w:cs="宋体"/>
          <w:highlight w:val="none"/>
        </w:rPr>
        <w:t>8.4 对与评标活动有关的工作人员的纪律要求</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13"/>
        <w:kinsoku w:val="0"/>
        <w:overflowPunct w:val="0"/>
        <w:spacing w:line="360" w:lineRule="auto"/>
        <w:ind w:firstLine="420" w:firstLineChars="200"/>
        <w:rPr>
          <w:rFonts w:ascii="宋体" w:hAnsi="宋体" w:cs="宋体"/>
          <w:szCs w:val="21"/>
          <w:highlight w:val="none"/>
        </w:rPr>
      </w:pPr>
    </w:p>
    <w:p>
      <w:pPr>
        <w:pStyle w:val="6"/>
        <w:spacing w:line="360" w:lineRule="auto"/>
        <w:rPr>
          <w:rFonts w:ascii="宋体" w:hAnsi="宋体" w:cs="宋体"/>
          <w:highlight w:val="none"/>
        </w:rPr>
      </w:pPr>
      <w:bookmarkStart w:id="97" w:name="bookmark73"/>
      <w:bookmarkEnd w:id="97"/>
      <w:r>
        <w:rPr>
          <w:rFonts w:hint="eastAsia" w:ascii="宋体" w:hAnsi="宋体" w:cs="宋体"/>
          <w:highlight w:val="none"/>
        </w:rPr>
        <w:t>8.5 投诉</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8.5.1投标人或者其他利害关系人认为招标投标活动不符合法律、行政法规规定的，可以自知道或者应当知道之日起10日内向有关行政监督部门投诉。投诉应当有明确的请求和必要的证明材料。</w:t>
      </w:r>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8.5.2投标人或者其他利害关系人对招标文件、开标和评标结果提出投诉的，应当按照投标人须知第2.4款、第5.3款和第7.2款的规定先向招标人提出异议。异议答复期间不计算在第8.5.1项规定的期限内。</w:t>
      </w:r>
    </w:p>
    <w:p>
      <w:pPr>
        <w:pStyle w:val="4"/>
        <w:rPr>
          <w:rFonts w:cs="宋体"/>
          <w:highlight w:val="none"/>
        </w:rPr>
      </w:pPr>
      <w:bookmarkStart w:id="98" w:name="bookmark74"/>
      <w:bookmarkEnd w:id="98"/>
    </w:p>
    <w:p>
      <w:pPr>
        <w:pStyle w:val="4"/>
        <w:rPr>
          <w:rFonts w:cs="宋体"/>
          <w:highlight w:val="none"/>
        </w:rPr>
      </w:pPr>
      <w:bookmarkStart w:id="99" w:name="_Toc10561"/>
      <w:r>
        <w:rPr>
          <w:rFonts w:hint="eastAsia" w:cs="宋体"/>
          <w:highlight w:val="none"/>
        </w:rPr>
        <w:t>9. 是否采用电子招标投标</w:t>
      </w:r>
      <w:bookmarkEnd w:id="99"/>
    </w:p>
    <w:p>
      <w:pPr>
        <w:pStyle w:val="13"/>
        <w:kinsoku w:val="0"/>
        <w:overflowPunct w:val="0"/>
        <w:spacing w:line="360" w:lineRule="auto"/>
        <w:ind w:firstLine="420" w:firstLineChars="200"/>
        <w:rPr>
          <w:rFonts w:ascii="宋体" w:hAnsi="宋体" w:cs="宋体"/>
          <w:szCs w:val="21"/>
          <w:highlight w:val="none"/>
        </w:rPr>
      </w:pPr>
      <w:r>
        <w:rPr>
          <w:rFonts w:hint="eastAsia" w:ascii="宋体" w:hAnsi="宋体" w:cs="宋体"/>
          <w:szCs w:val="21"/>
          <w:highlight w:val="none"/>
        </w:rPr>
        <w:t>本招标项目采用电子招标投标方式，具体要求见投标人须知前附表。</w:t>
      </w:r>
    </w:p>
    <w:p>
      <w:pPr>
        <w:pStyle w:val="4"/>
        <w:rPr>
          <w:rFonts w:cs="宋体"/>
          <w:highlight w:val="none"/>
        </w:rPr>
      </w:pPr>
      <w:bookmarkStart w:id="100" w:name="bookmark75"/>
      <w:bookmarkEnd w:id="100"/>
    </w:p>
    <w:p>
      <w:pPr>
        <w:pStyle w:val="4"/>
        <w:rPr>
          <w:rFonts w:cs="宋体"/>
          <w:highlight w:val="none"/>
        </w:rPr>
      </w:pPr>
      <w:bookmarkStart w:id="101" w:name="_Toc9882"/>
      <w:r>
        <w:rPr>
          <w:rFonts w:hint="eastAsia" w:cs="宋体"/>
          <w:highlight w:val="none"/>
        </w:rPr>
        <w:t>10. 需要补充的其他内容</w:t>
      </w:r>
      <w:bookmarkEnd w:id="101"/>
    </w:p>
    <w:p>
      <w:pPr>
        <w:spacing w:line="360" w:lineRule="auto"/>
        <w:ind w:firstLine="424" w:firstLineChars="202"/>
        <w:rPr>
          <w:rFonts w:ascii="宋体" w:hAnsi="宋体" w:cs="宋体"/>
          <w:highlight w:val="none"/>
        </w:rPr>
      </w:pPr>
      <w:r>
        <w:rPr>
          <w:rFonts w:hint="eastAsia" w:ascii="宋体" w:hAnsi="宋体" w:cs="宋体"/>
          <w:highlight w:val="none"/>
        </w:rPr>
        <w:t>需要补充的其他内容：见投标人须知前附表。</w:t>
      </w:r>
    </w:p>
    <w:p>
      <w:pPr>
        <w:spacing w:line="360" w:lineRule="auto"/>
        <w:ind w:firstLine="424" w:firstLineChars="202"/>
        <w:rPr>
          <w:rFonts w:ascii="宋体" w:hAnsi="宋体" w:cs="宋体"/>
          <w:highlight w:val="none"/>
        </w:rPr>
      </w:pPr>
    </w:p>
    <w:p>
      <w:pPr>
        <w:spacing w:line="360" w:lineRule="auto"/>
        <w:ind w:firstLine="424" w:firstLineChars="202"/>
        <w:rPr>
          <w:rFonts w:ascii="宋体" w:hAnsi="宋体" w:cs="宋体"/>
          <w:highlight w:val="none"/>
        </w:rPr>
      </w:pPr>
    </w:p>
    <w:p>
      <w:pPr>
        <w:pStyle w:val="2"/>
        <w:spacing w:line="360" w:lineRule="auto"/>
        <w:rPr>
          <w:rFonts w:cs="宋体"/>
          <w:highlight w:val="none"/>
        </w:rPr>
      </w:pPr>
      <w:r>
        <w:rPr>
          <w:rFonts w:hint="eastAsia" w:cs="宋体"/>
          <w:szCs w:val="24"/>
          <w:highlight w:val="none"/>
        </w:rPr>
        <w:br w:type="page"/>
      </w:r>
      <w:bookmarkStart w:id="102" w:name="_Toc29999"/>
      <w:bookmarkStart w:id="103" w:name="_Toc533357317"/>
      <w:r>
        <w:rPr>
          <w:rFonts w:hint="eastAsia" w:cs="宋体"/>
          <w:highlight w:val="none"/>
        </w:rPr>
        <w:t xml:space="preserve">第三章  </w:t>
      </w:r>
      <w:bookmarkStart w:id="104" w:name="_Hlk129012851"/>
      <w:r>
        <w:rPr>
          <w:rFonts w:hint="eastAsia" w:cs="宋体"/>
          <w:highlight w:val="none"/>
        </w:rPr>
        <w:t>评标办法</w:t>
      </w:r>
      <w:bookmarkEnd w:id="104"/>
      <w:r>
        <w:rPr>
          <w:rFonts w:hint="eastAsia" w:cs="宋体"/>
          <w:highlight w:val="none"/>
        </w:rPr>
        <w:t>（综合评估法）</w:t>
      </w:r>
      <w:bookmarkEnd w:id="102"/>
      <w:bookmarkEnd w:id="103"/>
    </w:p>
    <w:p>
      <w:pPr>
        <w:pStyle w:val="3"/>
        <w:spacing w:line="360" w:lineRule="auto"/>
        <w:rPr>
          <w:rFonts w:hint="default" w:ascii="宋体" w:hAnsi="宋体" w:eastAsia="宋体" w:cs="宋体"/>
          <w:highlight w:val="none"/>
          <w:lang w:val="en-US" w:eastAsia="zh-CN"/>
        </w:rPr>
      </w:pPr>
      <w:bookmarkStart w:id="105" w:name="_Toc533357318"/>
      <w:bookmarkStart w:id="106" w:name="_Toc7039"/>
      <w:r>
        <w:rPr>
          <w:rFonts w:hint="eastAsia" w:ascii="宋体" w:hAnsi="宋体" w:cs="宋体"/>
          <w:highlight w:val="none"/>
        </w:rPr>
        <w:t>评标办法前附表</w:t>
      </w:r>
      <w:bookmarkEnd w:id="105"/>
      <w:bookmarkEnd w:id="106"/>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740"/>
        <w:gridCol w:w="129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pct"/>
            <w:gridSpan w:val="2"/>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条款号</w:t>
            </w: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评审因素</w:t>
            </w:r>
          </w:p>
        </w:tc>
        <w:tc>
          <w:tcPr>
            <w:tcW w:w="3498"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1</w:t>
            </w:r>
          </w:p>
        </w:tc>
        <w:tc>
          <w:tcPr>
            <w:tcW w:w="4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评标方法</w:t>
            </w: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中标候选人排序方法</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本次评标采用综合评估法。评标委员会对满足招标文件实质性要求的投标文件，按照本章第2.2款规定的评分标准进行打分，并按得分由高到低顺序推荐中标候选人，排序的前一~三名为第一中标候选人、第二中标候选人和第三中标候选人。总得分相等时，以投标报价低的优先；报价也相等的，以检测方案得分高的优先；如果检测方案得分也相等，由评标委员会采用记名投票方式，以得票多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0" w:type="pct"/>
            <w:vMerge w:val="restar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2.1.1</w:t>
            </w:r>
          </w:p>
        </w:tc>
        <w:tc>
          <w:tcPr>
            <w:tcW w:w="400" w:type="pct"/>
            <w:vMerge w:val="restar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形式评审标准</w:t>
            </w: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投标人名称</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投标函及其附表签字盖章</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投标函及其附表格式及签字盖章符合招标文件要求，由法定代表人签字的，应附法定代表人证明书，由代理人签字的，应附法定代表人证明书及授权委托书。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投标文件格式</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备选投标方案</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投标人机器码</w:t>
            </w:r>
          </w:p>
        </w:tc>
        <w:tc>
          <w:tcPr>
            <w:tcW w:w="3498" w:type="pct"/>
            <w:shd w:val="clear" w:color="auto" w:fill="auto"/>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不同投标人机器码相同（以广州交易集团有限公司（广州公共资源交易中心）评标系统的检索信息为准），将被否决。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restar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2.1.2</w:t>
            </w:r>
          </w:p>
        </w:tc>
        <w:tc>
          <w:tcPr>
            <w:tcW w:w="400" w:type="pct"/>
            <w:vMerge w:val="restar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资格评审标准</w:t>
            </w: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营业执照（或事业单位法人证书）</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符合第二章“投标人须知”第3.5.1项规定。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资质要求</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hint="eastAsia" w:ascii="宋体" w:hAnsi="宋体" w:cs="宋体"/>
                <w:b w:val="0"/>
                <w:bCs/>
                <w:szCs w:val="21"/>
                <w:highlight w:val="none"/>
              </w:rPr>
            </w:pPr>
            <w:r>
              <w:rPr>
                <w:rFonts w:hint="eastAsia" w:ascii="宋体" w:hAnsi="宋体" w:cs="宋体"/>
                <w:b w:val="0"/>
                <w:bCs/>
                <w:szCs w:val="21"/>
                <w:highlight w:val="none"/>
              </w:rPr>
              <w:t>业绩要求</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hint="eastAsia" w:ascii="宋体" w:hAnsi="宋体" w:cs="宋体"/>
                <w:b w:val="0"/>
                <w:bCs/>
                <w:szCs w:val="21"/>
                <w:highlight w:val="none"/>
              </w:rPr>
            </w:pPr>
            <w:r>
              <w:rPr>
                <w:rFonts w:hint="eastAsia" w:ascii="宋体" w:hAnsi="宋体" w:cs="宋体"/>
                <w:b w:val="0"/>
                <w:bCs/>
                <w:szCs w:val="21"/>
                <w:highlight w:val="none"/>
              </w:rPr>
              <w:t>项目负责人</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hint="eastAsia" w:ascii="宋体" w:hAnsi="宋体" w:cs="宋体"/>
                <w:b w:val="0"/>
                <w:bCs/>
                <w:szCs w:val="21"/>
                <w:highlight w:val="none"/>
              </w:rPr>
            </w:pPr>
            <w:r>
              <w:rPr>
                <w:rFonts w:hint="eastAsia" w:ascii="宋体" w:hAnsi="宋体" w:cs="宋体"/>
                <w:b w:val="0"/>
                <w:bCs/>
                <w:szCs w:val="21"/>
                <w:highlight w:val="none"/>
              </w:rPr>
              <w:t>其他主要人员</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hint="eastAsia" w:ascii="宋体" w:hAnsi="宋体" w:cs="宋体"/>
                <w:b w:val="0"/>
                <w:bCs/>
                <w:szCs w:val="21"/>
                <w:highlight w:val="none"/>
              </w:rPr>
            </w:pPr>
            <w:r>
              <w:rPr>
                <w:rFonts w:hint="eastAsia" w:ascii="宋体" w:hAnsi="宋体" w:cs="宋体"/>
                <w:b w:val="0"/>
                <w:bCs/>
                <w:szCs w:val="21"/>
                <w:highlight w:val="none"/>
              </w:rPr>
              <w:t>试验检测仪器设备</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w:t>
            </w:r>
            <w:bookmarkStart w:id="297" w:name="_GoBack"/>
            <w:bookmarkEnd w:id="2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其他要求</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联合体投标人</w:t>
            </w:r>
          </w:p>
        </w:tc>
        <w:tc>
          <w:tcPr>
            <w:tcW w:w="3498" w:type="pct"/>
            <w:shd w:val="clear" w:color="auto" w:fill="auto"/>
            <w:vAlign w:val="center"/>
          </w:tcPr>
          <w:p>
            <w:pPr>
              <w:snapToGrid w:val="0"/>
              <w:spacing w:line="360" w:lineRule="auto"/>
              <w:rPr>
                <w:rFonts w:hint="eastAsia" w:ascii="宋体" w:hAnsi="宋体" w:eastAsia="宋体" w:cs="宋体"/>
                <w:b w:val="0"/>
                <w:bCs/>
                <w:szCs w:val="21"/>
                <w:highlight w:val="none"/>
                <w:lang w:eastAsia="zh-CN"/>
              </w:rPr>
            </w:pPr>
            <w:r>
              <w:rPr>
                <w:rFonts w:hint="eastAsia" w:ascii="宋体" w:hAnsi="宋体" w:cs="宋体"/>
                <w:b w:val="0"/>
                <w:bCs/>
                <w:szCs w:val="21"/>
                <w:highlight w:val="none"/>
              </w:rPr>
              <w:t>本项目接受联合体投标。</w:t>
            </w:r>
            <w:r>
              <w:rPr>
                <w:rFonts w:hint="eastAsia" w:ascii="宋体" w:hAnsi="宋体" w:cs="宋体"/>
                <w:b w:val="0"/>
                <w:bCs/>
                <w:szCs w:val="21"/>
                <w:highlight w:val="none"/>
                <w:lang w:eastAsia="zh-CN"/>
              </w:rPr>
              <w:t>具体要求详见招标公告。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不存在禁止投标的情形</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不存在第二章“投标人须知”第 1.4.3 项规定的任何一种情形（以《投标申请人声明》为准）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信誉要求</w:t>
            </w:r>
          </w:p>
        </w:tc>
        <w:tc>
          <w:tcPr>
            <w:tcW w:w="3498" w:type="pct"/>
            <w:shd w:val="clear" w:color="auto" w:fill="auto"/>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未被列入拖欠农民工工资失信联合惩戒对象名单，本项评审投标人无需提供资料，按资格评审时广州交易集团有限公司（广州公共资源交易中心）交易系统比对的结果进行评审。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restar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2.1.3</w:t>
            </w:r>
          </w:p>
        </w:tc>
        <w:tc>
          <w:tcPr>
            <w:tcW w:w="400" w:type="pct"/>
            <w:vMerge w:val="restar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响应性评审标准</w:t>
            </w: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投标报价</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符合第二章“投标人须知”第3.2规定；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投标内容</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符合第二章“投标人须知”第1.3.1规定；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服务期限</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符合第二章“投标人须知”第1.3.2规定；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质量标准</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符合第二章“投标人须知”第1.3.3规定；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投标有效期</w:t>
            </w:r>
          </w:p>
        </w:tc>
        <w:tc>
          <w:tcPr>
            <w:tcW w:w="3498" w:type="pct"/>
            <w:shd w:val="clear" w:color="auto" w:fill="auto"/>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符合第二章“投标人须知”第3.3.1规定；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400" w:type="pct"/>
            <w:vMerge w:val="continue"/>
            <w:shd w:val="clear" w:color="auto" w:fill="auto"/>
            <w:vAlign w:val="center"/>
          </w:tcPr>
          <w:p>
            <w:pPr>
              <w:snapToGrid w:val="0"/>
              <w:spacing w:line="360" w:lineRule="auto"/>
              <w:jc w:val="center"/>
              <w:rPr>
                <w:rFonts w:ascii="宋体" w:hAnsi="宋体" w:cs="宋体"/>
                <w:b w:val="0"/>
                <w:bCs/>
                <w:szCs w:val="21"/>
                <w:highlight w:val="none"/>
              </w:rPr>
            </w:pP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串通投标情形</w:t>
            </w:r>
          </w:p>
        </w:tc>
        <w:tc>
          <w:tcPr>
            <w:tcW w:w="3498" w:type="pct"/>
            <w:shd w:val="clear" w:color="auto" w:fill="auto"/>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801" w:type="pct"/>
            <w:gridSpan w:val="2"/>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2.2.1</w:t>
            </w: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分值构成</w:t>
            </w:r>
          </w:p>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(总分100分)</w:t>
            </w:r>
          </w:p>
        </w:tc>
        <w:tc>
          <w:tcPr>
            <w:tcW w:w="3498" w:type="pct"/>
            <w:shd w:val="clear" w:color="auto" w:fill="auto"/>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A企业综合实力部分：</w:t>
            </w:r>
            <w:r>
              <w:rPr>
                <w:rFonts w:ascii="宋体" w:hAnsi="宋体" w:cs="宋体"/>
                <w:b w:val="0"/>
                <w:bCs/>
                <w:szCs w:val="21"/>
                <w:highlight w:val="none"/>
                <w:u w:val="single"/>
              </w:rPr>
              <w:t>55</w:t>
            </w:r>
            <w:r>
              <w:rPr>
                <w:rFonts w:hint="eastAsia" w:ascii="宋体" w:hAnsi="宋体" w:cs="宋体"/>
                <w:b w:val="0"/>
                <w:bCs/>
                <w:szCs w:val="21"/>
                <w:highlight w:val="none"/>
              </w:rPr>
              <w:t>分</w:t>
            </w:r>
          </w:p>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B技术方案部分：</w:t>
            </w:r>
            <w:r>
              <w:rPr>
                <w:rFonts w:ascii="宋体" w:hAnsi="宋体" w:cs="宋体"/>
                <w:b w:val="0"/>
                <w:bCs/>
                <w:szCs w:val="21"/>
                <w:highlight w:val="none"/>
                <w:u w:val="single"/>
              </w:rPr>
              <w:t>30</w:t>
            </w:r>
            <w:r>
              <w:rPr>
                <w:rFonts w:hint="eastAsia" w:ascii="宋体" w:hAnsi="宋体" w:cs="宋体"/>
                <w:b w:val="0"/>
                <w:bCs/>
                <w:szCs w:val="21"/>
                <w:highlight w:val="none"/>
              </w:rPr>
              <w:t>分</w:t>
            </w:r>
          </w:p>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C投标报价部分：</w:t>
            </w:r>
            <w:r>
              <w:rPr>
                <w:rFonts w:hint="eastAsia" w:ascii="宋体" w:hAnsi="宋体" w:cs="宋体"/>
                <w:b w:val="0"/>
                <w:bCs/>
                <w:szCs w:val="21"/>
                <w:highlight w:val="none"/>
                <w:u w:val="single"/>
              </w:rPr>
              <w:t>1</w:t>
            </w:r>
            <w:r>
              <w:rPr>
                <w:rFonts w:ascii="宋体" w:hAnsi="宋体" w:cs="宋体"/>
                <w:b w:val="0"/>
                <w:bCs/>
                <w:szCs w:val="21"/>
                <w:highlight w:val="none"/>
                <w:u w:val="single"/>
              </w:rPr>
              <w:t>0</w:t>
            </w:r>
            <w:r>
              <w:rPr>
                <w:rFonts w:hint="eastAsia" w:ascii="宋体" w:hAnsi="宋体" w:cs="宋体"/>
                <w:b w:val="0"/>
                <w:bCs/>
                <w:szCs w:val="21"/>
                <w:highlight w:val="none"/>
              </w:rPr>
              <w:t>分</w:t>
            </w:r>
          </w:p>
          <w:p>
            <w:pPr>
              <w:snapToGrid w:val="0"/>
              <w:spacing w:line="360" w:lineRule="auto"/>
              <w:rPr>
                <w:rFonts w:ascii="宋体" w:hAnsi="宋体" w:cs="宋体"/>
                <w:b w:val="0"/>
                <w:bCs/>
                <w:szCs w:val="21"/>
                <w:highlight w:val="none"/>
                <w:u w:val="single"/>
              </w:rPr>
            </w:pPr>
            <w:r>
              <w:rPr>
                <w:rFonts w:hint="eastAsia" w:ascii="宋体" w:hAnsi="宋体" w:cs="宋体"/>
                <w:b w:val="0"/>
                <w:bCs/>
                <w:szCs w:val="21"/>
                <w:highlight w:val="none"/>
              </w:rPr>
              <w:t>D其他因素部分：</w:t>
            </w:r>
            <w:r>
              <w:rPr>
                <w:rFonts w:hint="eastAsia" w:ascii="宋体" w:hAnsi="宋体" w:cs="宋体"/>
                <w:b w:val="0"/>
                <w:bCs/>
                <w:szCs w:val="21"/>
                <w:highlight w:val="none"/>
                <w:u w:val="single"/>
              </w:rPr>
              <w:t>企业诚信综合评价排名得分，</w:t>
            </w:r>
            <w:r>
              <w:rPr>
                <w:rFonts w:ascii="宋体" w:hAnsi="宋体" w:cs="宋体"/>
                <w:b w:val="0"/>
                <w:bCs/>
                <w:szCs w:val="21"/>
                <w:highlight w:val="none"/>
                <w:u w:val="single"/>
              </w:rPr>
              <w:t>5分</w:t>
            </w:r>
          </w:p>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注：1）投标人综合得分为各评委A+B+C的总分去掉一个最高分和一个最低分后计取的算术平均分（分数出现小数点时，保留小数点后二位，第三位小数四舍五入）；</w:t>
            </w:r>
          </w:p>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投标人综合得分权重9</w:t>
            </w:r>
            <w:r>
              <w:rPr>
                <w:rFonts w:ascii="宋体" w:hAnsi="宋体" w:cs="宋体"/>
                <w:b w:val="0"/>
                <w:bCs/>
                <w:szCs w:val="21"/>
                <w:highlight w:val="none"/>
              </w:rPr>
              <w:t>5</w:t>
            </w:r>
            <w:r>
              <w:rPr>
                <w:rFonts w:hint="eastAsia" w:ascii="宋体" w:hAnsi="宋体" w:cs="宋体"/>
                <w:b w:val="0"/>
                <w:bCs/>
                <w:szCs w:val="21"/>
                <w:highlight w:val="none"/>
              </w:rPr>
              <w:t>%；企业诚信综合评价排名得分权重</w:t>
            </w:r>
            <w:r>
              <w:rPr>
                <w:rFonts w:ascii="宋体" w:hAnsi="宋体" w:cs="宋体"/>
                <w:b w:val="0"/>
                <w:bCs/>
                <w:szCs w:val="21"/>
                <w:highlight w:val="none"/>
              </w:rPr>
              <w:t>5</w:t>
            </w:r>
            <w:r>
              <w:rPr>
                <w:rFonts w:hint="eastAsia" w:ascii="宋体" w:hAnsi="宋体" w:cs="宋体"/>
                <w:b w:val="0"/>
                <w:bCs/>
                <w:szCs w:val="21"/>
                <w:highlight w:val="none"/>
              </w:rPr>
              <w:t>%；</w:t>
            </w:r>
          </w:p>
          <w:p>
            <w:pPr>
              <w:snapToGrid w:val="0"/>
              <w:spacing w:line="360" w:lineRule="auto"/>
              <w:jc w:val="left"/>
              <w:rPr>
                <w:rFonts w:ascii="宋体" w:hAnsi="宋体" w:cs="宋体"/>
                <w:b w:val="0"/>
                <w:bCs/>
                <w:szCs w:val="21"/>
                <w:highlight w:val="none"/>
              </w:rPr>
            </w:pPr>
            <w:r>
              <w:rPr>
                <w:rFonts w:hint="eastAsia" w:ascii="宋体" w:hAnsi="宋体" w:cs="宋体"/>
                <w:b w:val="0"/>
                <w:bCs/>
                <w:szCs w:val="21"/>
                <w:highlight w:val="none"/>
              </w:rPr>
              <w:t>投标人总得分=综合得分+企业诚信综合评价排名得分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801" w:type="pct"/>
            <w:gridSpan w:val="2"/>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2.2.2</w:t>
            </w:r>
          </w:p>
        </w:tc>
        <w:tc>
          <w:tcPr>
            <w:tcW w:w="700" w:type="pct"/>
            <w:shd w:val="clear" w:color="auto" w:fill="auto"/>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评标参考价计算方法</w:t>
            </w:r>
          </w:p>
        </w:tc>
        <w:tc>
          <w:tcPr>
            <w:tcW w:w="3498" w:type="pct"/>
            <w:shd w:val="clear" w:color="auto" w:fill="auto"/>
            <w:vAlign w:val="center"/>
          </w:tcPr>
          <w:p>
            <w:pPr>
              <w:snapToGrid w:val="0"/>
              <w:spacing w:line="360" w:lineRule="auto"/>
              <w:jc w:val="left"/>
              <w:rPr>
                <w:rFonts w:ascii="宋体" w:hAnsi="宋体" w:cs="宋体"/>
                <w:b w:val="0"/>
                <w:bCs/>
                <w:szCs w:val="21"/>
                <w:highlight w:val="none"/>
              </w:rPr>
            </w:pPr>
            <w:r>
              <w:rPr>
                <w:rFonts w:hint="eastAsia" w:ascii="宋体" w:hAnsi="宋体" w:cs="宋体"/>
                <w:b w:val="0"/>
                <w:bCs/>
                <w:szCs w:val="21"/>
                <w:highlight w:val="none"/>
              </w:rPr>
              <w:t>当通过初步评审的有效投标人大于5名时，去掉一个最高价和一个最低价，取余下有效投标人的投标报价的算术平均值作为评标参考价；当通过初步评审的有效投标人小于或等于5名时取所有入围的有效投标人的投标报价的算术平均值作为评标参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pct"/>
            <w:gridSpan w:val="2"/>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2.2.3</w:t>
            </w:r>
          </w:p>
        </w:tc>
        <w:tc>
          <w:tcPr>
            <w:tcW w:w="700" w:type="pct"/>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投标报价的偏差率计算公式</w:t>
            </w:r>
          </w:p>
        </w:tc>
        <w:tc>
          <w:tcPr>
            <w:tcW w:w="3498" w:type="pct"/>
            <w:vAlign w:val="center"/>
          </w:tcPr>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投标报价的偏差率=（有效投标报价-评标参考价）/评标参考价×100%（偏差率出现小数点时，保留小数点后4位，第五位小数四舍五入。）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00" w:type="pct"/>
            <w:vMerge w:val="restart"/>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2.2.4（1）</w:t>
            </w:r>
          </w:p>
        </w:tc>
        <w:tc>
          <w:tcPr>
            <w:tcW w:w="400" w:type="pct"/>
            <w:vMerge w:val="restart"/>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资信业绩评分标准</w:t>
            </w:r>
          </w:p>
        </w:tc>
        <w:tc>
          <w:tcPr>
            <w:tcW w:w="700" w:type="pct"/>
            <w:vAlign w:val="center"/>
          </w:tcPr>
          <w:p>
            <w:pPr>
              <w:adjustRightInd w:val="0"/>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类似项目业绩（10分）</w:t>
            </w:r>
          </w:p>
        </w:tc>
        <w:tc>
          <w:tcPr>
            <w:tcW w:w="3498" w:type="pct"/>
            <w:vAlign w:val="center"/>
          </w:tcPr>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2019年1月1日至今承接过类似检测业绩，每个得2分，最多得10分。</w:t>
            </w:r>
          </w:p>
          <w:p>
            <w:pPr>
              <w:pStyle w:val="27"/>
              <w:adjustRightInd w:val="0"/>
              <w:snapToGrid w:val="0"/>
              <w:spacing w:line="360" w:lineRule="auto"/>
              <w:ind w:firstLine="0"/>
              <w:rPr>
                <w:rFonts w:hint="eastAsia" w:ascii="宋体" w:hAnsi="宋体" w:eastAsia="宋体" w:cs="宋体"/>
                <w:b w:val="0"/>
                <w:bCs/>
                <w:szCs w:val="21"/>
                <w:highlight w:val="none"/>
                <w:lang w:eastAsia="zh-CN"/>
              </w:rPr>
            </w:pPr>
            <w:r>
              <w:rPr>
                <w:rFonts w:hint="eastAsia" w:ascii="宋体" w:hAnsi="宋体" w:cs="宋体"/>
                <w:b w:val="0"/>
                <w:bCs/>
                <w:szCs w:val="21"/>
                <w:highlight w:val="none"/>
              </w:rPr>
              <w:t>注：须同时提供中标通知书（或免招标证明）、技术服务合同和检测报告的扫描件并加盖公章。类似项目业绩时间以技术服务合同的时间为准。类似检测业绩指：包含本项目招标内容中的一项或多项内容的建设工程检测业绩。</w:t>
            </w:r>
            <w:r>
              <w:rPr>
                <w:rFonts w:hint="eastAsia" w:ascii="宋体" w:hAnsi="宋体" w:cs="宋体"/>
                <w:b w:val="0"/>
                <w:bCs/>
                <w:szCs w:val="21"/>
                <w:highlight w:val="none"/>
                <w:lang w:eastAsia="zh-CN"/>
              </w:rPr>
              <w:t>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Align w:val="center"/>
          </w:tcPr>
          <w:p>
            <w:pPr>
              <w:widowControl/>
              <w:snapToGrid w:val="0"/>
              <w:spacing w:line="360" w:lineRule="auto"/>
              <w:jc w:val="center"/>
              <w:rPr>
                <w:rFonts w:ascii="宋体" w:hAnsi="宋体" w:cs="宋体"/>
                <w:b w:val="0"/>
                <w:bCs/>
                <w:szCs w:val="21"/>
                <w:highlight w:val="none"/>
                <w:lang w:val="zh-CN"/>
              </w:rPr>
            </w:pPr>
            <w:r>
              <w:rPr>
                <w:rFonts w:hint="eastAsia" w:ascii="宋体" w:hAnsi="宋体" w:cs="宋体"/>
                <w:b w:val="0"/>
                <w:bCs/>
                <w:szCs w:val="21"/>
                <w:highlight w:val="none"/>
                <w:lang w:val="zh-CN"/>
              </w:rPr>
              <w:t>履约能力</w:t>
            </w:r>
          </w:p>
          <w:p>
            <w:pPr>
              <w:widowControl/>
              <w:snapToGrid w:val="0"/>
              <w:spacing w:line="360" w:lineRule="auto"/>
              <w:jc w:val="center"/>
              <w:rPr>
                <w:rFonts w:ascii="宋体" w:hAnsi="宋体" w:cs="宋体"/>
                <w:b w:val="0"/>
                <w:bCs/>
                <w:szCs w:val="21"/>
                <w:highlight w:val="none"/>
                <w:lang w:val="zh-CN"/>
              </w:rPr>
            </w:pPr>
            <w:r>
              <w:rPr>
                <w:rFonts w:hint="eastAsia" w:ascii="宋体" w:hAnsi="宋体" w:cs="宋体"/>
                <w:b w:val="0"/>
                <w:bCs/>
                <w:szCs w:val="21"/>
                <w:highlight w:val="none"/>
                <w:lang w:val="zh-CN"/>
              </w:rPr>
              <w:t>（5分）</w:t>
            </w:r>
          </w:p>
        </w:tc>
        <w:tc>
          <w:tcPr>
            <w:tcW w:w="3498" w:type="pct"/>
            <w:vAlign w:val="center"/>
          </w:tcPr>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投标人具备中国合格评定国家认可委员会检验机构证书或实验室认可证书（CNAS），且在有效期内的，得5分，没有的不得分。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注：须提供相关证书的清晰扫描件。</w:t>
            </w:r>
            <w:r>
              <w:rPr>
                <w:rFonts w:hint="eastAsia" w:ascii="宋体" w:hAnsi="宋体" w:cs="宋体"/>
                <w:b w:val="0"/>
                <w:bCs/>
                <w:szCs w:val="21"/>
                <w:highlight w:val="none"/>
                <w:lang w:eastAsia="zh-CN"/>
              </w:rPr>
              <w:t>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Align w:val="center"/>
          </w:tcPr>
          <w:p>
            <w:pPr>
              <w:widowControl/>
              <w:snapToGrid w:val="0"/>
              <w:spacing w:line="360" w:lineRule="auto"/>
              <w:jc w:val="center"/>
              <w:rPr>
                <w:rFonts w:ascii="宋体" w:hAnsi="宋体" w:cs="宋体"/>
                <w:b w:val="0"/>
                <w:bCs/>
                <w:szCs w:val="21"/>
                <w:highlight w:val="none"/>
                <w:lang w:val="zh-CN"/>
              </w:rPr>
            </w:pPr>
            <w:r>
              <w:rPr>
                <w:rFonts w:hint="eastAsia" w:ascii="宋体" w:hAnsi="宋体" w:cs="宋体"/>
                <w:b w:val="0"/>
                <w:bCs/>
                <w:szCs w:val="21"/>
                <w:highlight w:val="none"/>
                <w:lang w:val="zh-CN"/>
              </w:rPr>
              <w:t>管理体系</w:t>
            </w:r>
          </w:p>
          <w:p>
            <w:pPr>
              <w:widowControl/>
              <w:snapToGrid w:val="0"/>
              <w:spacing w:line="360" w:lineRule="auto"/>
              <w:jc w:val="center"/>
              <w:rPr>
                <w:rFonts w:ascii="宋体" w:hAnsi="宋体" w:cs="宋体"/>
                <w:b w:val="0"/>
                <w:bCs/>
                <w:szCs w:val="21"/>
                <w:highlight w:val="none"/>
                <w:lang w:val="zh-CN"/>
              </w:rPr>
            </w:pPr>
            <w:r>
              <w:rPr>
                <w:rFonts w:hint="eastAsia" w:ascii="宋体" w:hAnsi="宋体" w:cs="宋体"/>
                <w:b w:val="0"/>
                <w:bCs/>
                <w:szCs w:val="21"/>
                <w:highlight w:val="none"/>
                <w:lang w:val="zh-CN"/>
              </w:rPr>
              <w:t>（6分）</w:t>
            </w:r>
          </w:p>
        </w:tc>
        <w:tc>
          <w:tcPr>
            <w:tcW w:w="3498" w:type="pct"/>
            <w:vAlign w:val="center"/>
          </w:tcPr>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 xml:space="preserve">投标人具有质量管理体系、环境管理体系、职业健康安全管理体系；具有其中一项得2分；本项最多得6分，没有不得分。  </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注：须提供</w:t>
            </w:r>
            <w:r>
              <w:rPr>
                <w:rFonts w:hint="eastAsia" w:ascii="宋体" w:hAnsi="宋体" w:cs="宋体"/>
                <w:b w:val="0"/>
                <w:bCs/>
                <w:szCs w:val="21"/>
                <w:highlight w:val="none"/>
                <w:lang w:eastAsia="zh-CN"/>
              </w:rPr>
              <w:t>同时提供认证证书扫描件及</w:t>
            </w:r>
            <w:r>
              <w:rPr>
                <w:rFonts w:hint="eastAsia" w:ascii="宋体" w:hAnsi="宋体" w:cs="宋体"/>
                <w:b w:val="0"/>
                <w:bCs/>
                <w:szCs w:val="21"/>
                <w:highlight w:val="none"/>
              </w:rPr>
              <w:t>全国认证认可信息公告服务平台（http://cx.cnca.cn/）</w:t>
            </w:r>
            <w:r>
              <w:rPr>
                <w:rFonts w:hint="eastAsia" w:ascii="宋体" w:hAnsi="宋体" w:cs="宋体"/>
                <w:b w:val="0"/>
                <w:bCs/>
                <w:szCs w:val="21"/>
                <w:highlight w:val="none"/>
                <w:lang w:eastAsia="zh-CN"/>
              </w:rPr>
              <w:t>【平台名称及网址若有更新，以最新发布的为准】</w:t>
            </w:r>
            <w:r>
              <w:rPr>
                <w:rFonts w:hint="eastAsia" w:ascii="宋体" w:hAnsi="宋体" w:cs="宋体"/>
                <w:b w:val="0"/>
                <w:bCs/>
                <w:szCs w:val="21"/>
                <w:highlight w:val="none"/>
              </w:rPr>
              <w:t>查询</w:t>
            </w:r>
            <w:r>
              <w:rPr>
                <w:rFonts w:hint="eastAsia" w:ascii="宋体" w:hAnsi="宋体" w:cs="宋体"/>
                <w:b w:val="0"/>
                <w:bCs/>
                <w:szCs w:val="21"/>
                <w:highlight w:val="none"/>
                <w:lang w:eastAsia="zh-CN"/>
              </w:rPr>
              <w:t>结果网页</w:t>
            </w:r>
            <w:r>
              <w:rPr>
                <w:rFonts w:hint="eastAsia" w:ascii="宋体" w:hAnsi="宋体" w:cs="宋体"/>
                <w:b w:val="0"/>
                <w:bCs/>
                <w:szCs w:val="21"/>
                <w:highlight w:val="none"/>
              </w:rPr>
              <w:t>截图，</w:t>
            </w:r>
            <w:r>
              <w:rPr>
                <w:rFonts w:hint="eastAsia" w:ascii="宋体" w:hAnsi="宋体" w:cs="宋体"/>
                <w:b w:val="0"/>
                <w:bCs/>
                <w:szCs w:val="21"/>
                <w:highlight w:val="none"/>
                <w:lang w:eastAsia="zh-CN"/>
              </w:rPr>
              <w:t>且证书状态应为“有效，否则不得分”</w:t>
            </w:r>
            <w:r>
              <w:rPr>
                <w:rFonts w:hint="eastAsia" w:ascii="宋体" w:hAnsi="宋体" w:cs="宋体"/>
                <w:b w:val="0"/>
                <w:bCs/>
                <w:szCs w:val="21"/>
                <w:highlight w:val="none"/>
              </w:rPr>
              <w:t>。</w:t>
            </w:r>
            <w:r>
              <w:rPr>
                <w:rFonts w:hint="eastAsia" w:ascii="宋体" w:hAnsi="宋体" w:cs="宋体"/>
                <w:b w:val="0"/>
                <w:bCs/>
                <w:szCs w:val="21"/>
                <w:highlight w:val="none"/>
                <w:lang w:eastAsia="zh-CN"/>
              </w:rPr>
              <w:t>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Align w:val="center"/>
          </w:tcPr>
          <w:p>
            <w:pPr>
              <w:widowControl/>
              <w:snapToGrid w:val="0"/>
              <w:spacing w:line="360" w:lineRule="auto"/>
              <w:jc w:val="center"/>
              <w:rPr>
                <w:rFonts w:ascii="宋体" w:hAnsi="宋体" w:cs="宋体"/>
                <w:b w:val="0"/>
                <w:bCs/>
                <w:szCs w:val="21"/>
                <w:highlight w:val="none"/>
                <w:lang w:val="zh-CN"/>
              </w:rPr>
            </w:pPr>
            <w:r>
              <w:rPr>
                <w:rFonts w:hint="eastAsia" w:ascii="宋体" w:hAnsi="宋体" w:cs="宋体"/>
                <w:b w:val="0"/>
                <w:bCs/>
                <w:szCs w:val="21"/>
                <w:highlight w:val="none"/>
                <w:lang w:val="zh-CN"/>
              </w:rPr>
              <w:t>研发能力</w:t>
            </w:r>
          </w:p>
          <w:p>
            <w:pPr>
              <w:widowControl/>
              <w:snapToGrid w:val="0"/>
              <w:spacing w:line="360" w:lineRule="auto"/>
              <w:jc w:val="center"/>
              <w:rPr>
                <w:rFonts w:ascii="宋体" w:hAnsi="宋体" w:cs="宋体"/>
                <w:b w:val="0"/>
                <w:bCs/>
                <w:szCs w:val="21"/>
                <w:highlight w:val="none"/>
                <w:lang w:val="zh-CN"/>
              </w:rPr>
            </w:pPr>
            <w:r>
              <w:rPr>
                <w:rFonts w:hint="eastAsia" w:ascii="宋体" w:hAnsi="宋体" w:cs="宋体"/>
                <w:b w:val="0"/>
                <w:bCs/>
                <w:szCs w:val="21"/>
                <w:highlight w:val="none"/>
                <w:lang w:val="zh-CN"/>
              </w:rPr>
              <w:t>（5分）</w:t>
            </w:r>
          </w:p>
        </w:tc>
        <w:tc>
          <w:tcPr>
            <w:tcW w:w="3498" w:type="pct"/>
            <w:vAlign w:val="center"/>
          </w:tcPr>
          <w:p>
            <w:pPr>
              <w:pStyle w:val="27"/>
              <w:spacing w:line="360" w:lineRule="auto"/>
              <w:ind w:firstLine="0"/>
              <w:rPr>
                <w:rFonts w:hint="eastAsia" w:ascii="宋体" w:hAnsi="宋体" w:eastAsia="宋体" w:cs="宋体"/>
                <w:b w:val="0"/>
                <w:bCs/>
                <w:szCs w:val="21"/>
                <w:highlight w:val="none"/>
              </w:rPr>
            </w:pPr>
            <w:r>
              <w:rPr>
                <w:rFonts w:hint="eastAsia" w:ascii="宋体" w:hAnsi="宋体" w:cs="宋体"/>
                <w:b w:val="0"/>
                <w:bCs/>
                <w:szCs w:val="21"/>
                <w:highlight w:val="none"/>
                <w:lang w:eastAsia="zh-CN"/>
              </w:rPr>
              <w:t>投标人自</w:t>
            </w:r>
            <w:r>
              <w:rPr>
                <w:rFonts w:hint="eastAsia" w:ascii="宋体" w:hAnsi="宋体" w:cs="宋体"/>
                <w:b w:val="0"/>
                <w:bCs/>
                <w:szCs w:val="21"/>
                <w:highlight w:val="none"/>
              </w:rPr>
              <w:t>201</w:t>
            </w:r>
            <w:r>
              <w:rPr>
                <w:rFonts w:ascii="宋体" w:hAnsi="宋体" w:cs="宋体"/>
                <w:b w:val="0"/>
                <w:bCs/>
                <w:szCs w:val="21"/>
                <w:highlight w:val="none"/>
              </w:rPr>
              <w:t>9</w:t>
            </w:r>
            <w:r>
              <w:rPr>
                <w:rFonts w:hint="eastAsia" w:ascii="宋体" w:hAnsi="宋体" w:cs="宋体"/>
                <w:b w:val="0"/>
                <w:bCs/>
                <w:szCs w:val="21"/>
                <w:highlight w:val="none"/>
              </w:rPr>
              <w:t>年</w:t>
            </w:r>
            <w:r>
              <w:rPr>
                <w:rFonts w:hint="eastAsia" w:ascii="宋体" w:hAnsi="宋体" w:cs="宋体"/>
                <w:b w:val="0"/>
                <w:bCs/>
                <w:szCs w:val="21"/>
                <w:highlight w:val="none"/>
                <w:lang w:val="en-US" w:eastAsia="zh-CN"/>
              </w:rPr>
              <w:t>1月1日</w:t>
            </w:r>
            <w:r>
              <w:rPr>
                <w:rFonts w:hint="eastAsia" w:ascii="宋体" w:hAnsi="宋体" w:cs="宋体"/>
                <w:b w:val="0"/>
                <w:bCs/>
                <w:szCs w:val="21"/>
                <w:highlight w:val="none"/>
              </w:rPr>
              <w:t>至今具有检测技术发明或实用型专利的且为投标人所有的每一项得1分</w:t>
            </w:r>
            <w:r>
              <w:rPr>
                <w:rFonts w:hint="eastAsia" w:ascii="宋体" w:hAnsi="宋体" w:eastAsia="宋体" w:cs="宋体"/>
                <w:b w:val="0"/>
                <w:bCs/>
                <w:szCs w:val="21"/>
                <w:highlight w:val="none"/>
              </w:rPr>
              <w:t>，最高得5分。</w:t>
            </w:r>
          </w:p>
          <w:p>
            <w:pPr>
              <w:snapToGrid w:val="0"/>
              <w:spacing w:line="360" w:lineRule="auto"/>
              <w:rPr>
                <w:rFonts w:ascii="宋体" w:hAnsi="宋体" w:cs="宋体"/>
                <w:b w:val="0"/>
                <w:bCs/>
                <w:szCs w:val="21"/>
                <w:highlight w:val="none"/>
              </w:rPr>
            </w:pPr>
            <w:r>
              <w:rPr>
                <w:rFonts w:hint="eastAsia" w:ascii="宋体" w:hAnsi="宋体" w:eastAsia="宋体" w:cs="宋体"/>
                <w:b w:val="0"/>
                <w:bCs/>
                <w:szCs w:val="21"/>
                <w:highlight w:val="none"/>
              </w:rPr>
              <w:t>注：须</w:t>
            </w:r>
            <w:r>
              <w:rPr>
                <w:rFonts w:hint="eastAsia" w:ascii="宋体" w:hAnsi="宋体" w:eastAsia="宋体" w:cs="宋体"/>
                <w:b w:val="0"/>
                <w:bCs/>
                <w:szCs w:val="21"/>
                <w:highlight w:val="none"/>
                <w:lang w:eastAsia="zh-CN"/>
              </w:rPr>
              <w:t>同时提证书扫描件及</w:t>
            </w:r>
            <w:r>
              <w:rPr>
                <w:rFonts w:hint="eastAsia" w:ascii="宋体" w:hAnsi="宋体" w:eastAsia="宋体" w:cs="宋体"/>
                <w:b w:val="0"/>
                <w:bCs/>
                <w:szCs w:val="21"/>
                <w:highlight w:val="none"/>
              </w:rPr>
              <w:t>国家知识产权局网站</w:t>
            </w:r>
            <w:r>
              <w:rPr>
                <w:rFonts w:hint="eastAsia" w:ascii="宋体" w:hAnsi="宋体" w:eastAsia="宋体" w:cs="宋体"/>
                <w:b w:val="0"/>
                <w:bCs/>
                <w:szCs w:val="21"/>
                <w:highlight w:val="none"/>
                <w:lang w:eastAsia="zh-CN"/>
              </w:rPr>
              <w:t>（</w:t>
            </w:r>
            <w:r>
              <w:rPr>
                <w:rFonts w:hint="eastAsia" w:ascii="宋体" w:hAnsi="宋体" w:eastAsia="宋体" w:cs="宋体"/>
                <w:b w:val="0"/>
                <w:bCs/>
                <w:szCs w:val="21"/>
                <w:highlight w:val="none"/>
              </w:rPr>
              <w:t>http://epub.cnipa.gov.cn/Index</w:t>
            </w:r>
            <w:r>
              <w:rPr>
                <w:rFonts w:hint="eastAsia" w:ascii="宋体" w:hAnsi="宋体" w:eastAsia="宋体" w:cs="宋体"/>
                <w:b w:val="0"/>
                <w:bCs/>
                <w:szCs w:val="21"/>
                <w:highlight w:val="none"/>
                <w:lang w:eastAsia="zh-CN"/>
              </w:rPr>
              <w:t>）</w:t>
            </w:r>
            <w:r>
              <w:rPr>
                <w:rFonts w:hint="eastAsia" w:ascii="宋体" w:hAnsi="宋体" w:eastAsia="宋体" w:cs="宋体"/>
                <w:b w:val="0"/>
                <w:bCs/>
                <w:szCs w:val="21"/>
                <w:highlight w:val="none"/>
              </w:rPr>
              <w:t>中的“中国专利发布公告”-“发明授权或实用新型”查询</w:t>
            </w:r>
            <w:r>
              <w:rPr>
                <w:rFonts w:hint="eastAsia" w:ascii="宋体" w:hAnsi="宋体" w:eastAsia="宋体" w:cs="宋体"/>
                <w:b w:val="0"/>
                <w:bCs/>
                <w:szCs w:val="21"/>
                <w:highlight w:val="none"/>
                <w:lang w:eastAsia="zh-CN"/>
              </w:rPr>
              <w:t>结果</w:t>
            </w:r>
            <w:r>
              <w:rPr>
                <w:rFonts w:hint="eastAsia" w:ascii="宋体" w:hAnsi="宋体" w:cs="宋体"/>
                <w:b w:val="0"/>
                <w:bCs/>
                <w:szCs w:val="21"/>
                <w:highlight w:val="none"/>
                <w:lang w:eastAsia="zh-CN"/>
              </w:rPr>
              <w:t>网页</w:t>
            </w:r>
            <w:r>
              <w:rPr>
                <w:rFonts w:hint="eastAsia" w:ascii="宋体" w:hAnsi="宋体" w:cs="宋体"/>
                <w:b w:val="0"/>
                <w:bCs/>
                <w:szCs w:val="21"/>
                <w:highlight w:val="none"/>
              </w:rPr>
              <w:t>截图。</w:t>
            </w:r>
            <w:r>
              <w:rPr>
                <w:rFonts w:hint="eastAsia" w:ascii="宋体" w:hAnsi="宋体" w:cs="宋体"/>
                <w:b w:val="0"/>
                <w:bCs/>
                <w:szCs w:val="21"/>
                <w:highlight w:val="none"/>
                <w:lang w:eastAsia="zh-CN"/>
              </w:rPr>
              <w:t>网页截图应</w:t>
            </w:r>
            <w:r>
              <w:rPr>
                <w:rFonts w:hint="eastAsia" w:ascii="宋体" w:hAnsi="宋体" w:cs="宋体"/>
                <w:b w:val="0"/>
                <w:bCs/>
                <w:szCs w:val="21"/>
                <w:highlight w:val="none"/>
              </w:rPr>
              <w:t>反映企业申请号、专利权人、授权公告号、授权公告日</w:t>
            </w:r>
            <w:r>
              <w:rPr>
                <w:rFonts w:hint="eastAsia" w:ascii="宋体" w:hAnsi="宋体" w:cs="宋体"/>
                <w:b w:val="0"/>
                <w:bCs/>
                <w:szCs w:val="21"/>
                <w:highlight w:val="none"/>
                <w:lang w:val="en-US" w:eastAsia="zh-CN"/>
              </w:rPr>
              <w:t>，否则不得分</w:t>
            </w:r>
            <w:r>
              <w:rPr>
                <w:rFonts w:hint="eastAsia" w:ascii="宋体" w:hAnsi="宋体" w:cs="宋体"/>
                <w:b w:val="0"/>
                <w:bCs/>
                <w:szCs w:val="21"/>
                <w:highlight w:val="none"/>
              </w:rPr>
              <w:t>。</w:t>
            </w:r>
            <w:r>
              <w:rPr>
                <w:rFonts w:hint="eastAsia" w:ascii="宋体" w:hAnsi="宋体" w:cs="宋体"/>
                <w:b w:val="0"/>
                <w:bCs/>
                <w:szCs w:val="21"/>
                <w:highlight w:val="none"/>
                <w:lang w:eastAsia="zh-CN"/>
              </w:rPr>
              <w:t>只计算</w:t>
            </w:r>
            <w:r>
              <w:rPr>
                <w:rFonts w:hint="eastAsia" w:ascii="宋体" w:hAnsi="宋体" w:cs="宋体"/>
                <w:b w:val="0"/>
                <w:bCs/>
                <w:szCs w:val="21"/>
                <w:highlight w:val="none"/>
              </w:rPr>
              <w:t>投标人自身（不计算投标人的分公司</w:t>
            </w:r>
            <w:r>
              <w:rPr>
                <w:rFonts w:hint="eastAsia" w:ascii="宋体" w:hAnsi="宋体" w:cs="宋体"/>
                <w:b w:val="0"/>
                <w:bCs/>
                <w:szCs w:val="21"/>
                <w:highlight w:val="none"/>
                <w:lang w:eastAsia="zh-CN"/>
              </w:rPr>
              <w:t>、</w:t>
            </w:r>
            <w:r>
              <w:rPr>
                <w:rFonts w:hint="eastAsia" w:ascii="宋体" w:hAnsi="宋体" w:cs="宋体"/>
                <w:b w:val="0"/>
                <w:bCs/>
                <w:szCs w:val="21"/>
                <w:highlight w:val="none"/>
              </w:rPr>
              <w:t>子公司</w:t>
            </w:r>
            <w:r>
              <w:rPr>
                <w:rFonts w:hint="eastAsia" w:ascii="宋体" w:hAnsi="宋体" w:cs="宋体"/>
                <w:b w:val="0"/>
                <w:bCs/>
                <w:szCs w:val="21"/>
                <w:highlight w:val="none"/>
                <w:lang w:eastAsia="zh-CN"/>
              </w:rPr>
              <w:t>和分支机构</w:t>
            </w:r>
            <w:r>
              <w:rPr>
                <w:rFonts w:hint="eastAsia" w:ascii="宋体" w:hAnsi="宋体" w:cs="宋体"/>
                <w:b w:val="0"/>
                <w:bCs/>
                <w:szCs w:val="21"/>
                <w:highlight w:val="none"/>
              </w:rPr>
              <w:t>）。</w:t>
            </w:r>
            <w:r>
              <w:rPr>
                <w:rFonts w:hint="eastAsia" w:ascii="宋体" w:hAnsi="宋体" w:cs="宋体"/>
                <w:b w:val="0"/>
                <w:bCs/>
                <w:szCs w:val="21"/>
                <w:highlight w:val="none"/>
                <w:lang w:eastAsia="zh-CN"/>
              </w:rPr>
              <w:t>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Merge w:val="restart"/>
            <w:vAlign w:val="center"/>
          </w:tcPr>
          <w:p>
            <w:pPr>
              <w:widowControl/>
              <w:snapToGrid w:val="0"/>
              <w:spacing w:line="360" w:lineRule="auto"/>
              <w:jc w:val="center"/>
              <w:rPr>
                <w:rFonts w:ascii="宋体" w:hAnsi="宋体" w:cs="宋体"/>
                <w:b w:val="0"/>
                <w:bCs/>
                <w:szCs w:val="21"/>
                <w:highlight w:val="none"/>
                <w:lang w:val="zh-CN"/>
              </w:rPr>
            </w:pPr>
            <w:r>
              <w:rPr>
                <w:rFonts w:hint="eastAsia" w:ascii="宋体" w:hAnsi="宋体" w:cs="宋体"/>
                <w:b w:val="0"/>
                <w:bCs/>
                <w:szCs w:val="21"/>
                <w:highlight w:val="none"/>
                <w:lang w:val="zh-CN"/>
              </w:rPr>
              <w:t>第三方评价（9分）</w:t>
            </w:r>
          </w:p>
        </w:tc>
        <w:tc>
          <w:tcPr>
            <w:tcW w:w="3498" w:type="pct"/>
            <w:vAlign w:val="center"/>
          </w:tcPr>
          <w:p>
            <w:pPr>
              <w:snapToGrid w:val="0"/>
              <w:spacing w:line="360" w:lineRule="auto"/>
              <w:jc w:val="left"/>
              <w:rPr>
                <w:rFonts w:ascii="宋体" w:hAnsi="宋体" w:cs="宋体"/>
                <w:b w:val="0"/>
                <w:bCs/>
                <w:szCs w:val="21"/>
                <w:highlight w:val="none"/>
              </w:rPr>
            </w:pPr>
            <w:r>
              <w:rPr>
                <w:rFonts w:hint="eastAsia" w:ascii="宋体" w:hAnsi="宋体" w:cs="宋体"/>
                <w:b w:val="0"/>
                <w:bCs/>
                <w:szCs w:val="21"/>
                <w:highlight w:val="none"/>
              </w:rPr>
              <w:t>（1）投标人</w:t>
            </w:r>
            <w:r>
              <w:rPr>
                <w:rFonts w:hint="eastAsia" w:ascii="宋体" w:hAnsi="宋体" w:cs="宋体"/>
                <w:b w:val="0"/>
                <w:bCs/>
                <w:szCs w:val="21"/>
                <w:highlight w:val="none"/>
                <w:lang w:eastAsia="zh-CN"/>
              </w:rPr>
              <w:t>自</w:t>
            </w:r>
            <w:r>
              <w:rPr>
                <w:rFonts w:hint="eastAsia" w:ascii="宋体" w:hAnsi="宋体" w:cs="宋体"/>
                <w:b w:val="0"/>
                <w:bCs/>
                <w:szCs w:val="21"/>
                <w:highlight w:val="none"/>
              </w:rPr>
              <w:t>2</w:t>
            </w:r>
            <w:r>
              <w:rPr>
                <w:rFonts w:ascii="宋体" w:hAnsi="宋体" w:cs="宋体"/>
                <w:b w:val="0"/>
                <w:bCs/>
                <w:szCs w:val="21"/>
                <w:highlight w:val="none"/>
              </w:rPr>
              <w:t>019年</w:t>
            </w:r>
            <w:r>
              <w:rPr>
                <w:rFonts w:hint="eastAsia" w:ascii="宋体" w:hAnsi="宋体" w:cs="宋体"/>
                <w:b w:val="0"/>
                <w:bCs/>
                <w:szCs w:val="21"/>
                <w:highlight w:val="none"/>
                <w:lang w:val="en-US" w:eastAsia="zh-CN"/>
              </w:rPr>
              <w:t>1月1日</w:t>
            </w:r>
            <w:r>
              <w:rPr>
                <w:rFonts w:hint="eastAsia" w:ascii="宋体" w:hAnsi="宋体" w:cs="宋体"/>
                <w:b w:val="0"/>
                <w:bCs/>
                <w:szCs w:val="21"/>
                <w:highlight w:val="none"/>
              </w:rPr>
              <w:t>至今（</w:t>
            </w:r>
            <w:r>
              <w:rPr>
                <w:rFonts w:hint="eastAsia" w:ascii="宋体" w:hAnsi="宋体" w:cs="宋体"/>
                <w:b w:val="0"/>
                <w:bCs/>
                <w:szCs w:val="21"/>
                <w:highlight w:val="none"/>
                <w:lang w:eastAsia="zh-CN"/>
              </w:rPr>
              <w:t>需</w:t>
            </w:r>
            <w:r>
              <w:rPr>
                <w:rFonts w:hint="eastAsia" w:ascii="宋体" w:hAnsi="宋体" w:cs="宋体"/>
                <w:b w:val="0"/>
                <w:bCs/>
                <w:szCs w:val="21"/>
                <w:highlight w:val="none"/>
              </w:rPr>
              <w:t>含评审年</w:t>
            </w:r>
            <w:r>
              <w:rPr>
                <w:rFonts w:hint="eastAsia" w:ascii="宋体" w:hAnsi="宋体" w:cs="宋体"/>
                <w:b w:val="0"/>
                <w:bCs/>
                <w:szCs w:val="21"/>
                <w:highlight w:val="none"/>
                <w:lang w:eastAsia="zh-CN"/>
              </w:rPr>
              <w:t>度</w:t>
            </w:r>
            <w:r>
              <w:rPr>
                <w:rFonts w:hint="eastAsia" w:ascii="宋体" w:hAnsi="宋体" w:cs="宋体"/>
                <w:b w:val="0"/>
                <w:bCs/>
                <w:szCs w:val="21"/>
                <w:highlight w:val="none"/>
                <w:lang w:val="en-US" w:eastAsia="zh-CN"/>
              </w:rPr>
              <w:t>2022年</w:t>
            </w:r>
            <w:r>
              <w:rPr>
                <w:rFonts w:hint="eastAsia" w:ascii="宋体" w:hAnsi="宋体" w:cs="宋体"/>
                <w:b w:val="0"/>
                <w:bCs/>
                <w:szCs w:val="21"/>
                <w:highlight w:val="none"/>
              </w:rPr>
              <w:t>）</w:t>
            </w:r>
            <w:r>
              <w:rPr>
                <w:rFonts w:hint="eastAsia" w:ascii="宋体" w:hAnsi="宋体" w:cs="宋体"/>
                <w:b w:val="0"/>
                <w:bCs/>
                <w:szCs w:val="21"/>
                <w:highlight w:val="none"/>
                <w:lang w:eastAsia="zh-CN"/>
              </w:rPr>
              <w:t>被</w:t>
            </w:r>
            <w:r>
              <w:rPr>
                <w:rFonts w:hint="eastAsia" w:ascii="宋体" w:hAnsi="宋体" w:cs="宋体"/>
                <w:b w:val="0"/>
                <w:bCs/>
                <w:szCs w:val="21"/>
                <w:highlight w:val="none"/>
              </w:rPr>
              <w:t>税务</w:t>
            </w:r>
            <w:r>
              <w:rPr>
                <w:rFonts w:hint="eastAsia" w:ascii="宋体" w:hAnsi="宋体" w:cs="宋体"/>
                <w:b w:val="0"/>
                <w:bCs/>
                <w:szCs w:val="21"/>
                <w:highlight w:val="none"/>
                <w:lang w:eastAsia="zh-CN"/>
              </w:rPr>
              <w:t>机关授予“纳税信用</w:t>
            </w:r>
            <w:r>
              <w:rPr>
                <w:rFonts w:hint="eastAsia" w:ascii="宋体" w:hAnsi="宋体" w:cs="宋体"/>
                <w:b w:val="0"/>
                <w:bCs/>
                <w:szCs w:val="21"/>
                <w:highlight w:val="none"/>
              </w:rPr>
              <w:t>A级纳税人</w:t>
            </w:r>
            <w:r>
              <w:rPr>
                <w:rFonts w:hint="eastAsia" w:ascii="宋体" w:hAnsi="宋体" w:cs="宋体"/>
                <w:b w:val="0"/>
                <w:bCs/>
                <w:szCs w:val="21"/>
                <w:highlight w:val="none"/>
                <w:lang w:eastAsia="zh-CN"/>
              </w:rPr>
              <w:t>”</w:t>
            </w:r>
            <w:r>
              <w:rPr>
                <w:rFonts w:hint="eastAsia" w:ascii="宋体" w:hAnsi="宋体" w:cs="宋体"/>
                <w:b w:val="0"/>
                <w:bCs/>
                <w:szCs w:val="21"/>
                <w:highlight w:val="none"/>
                <w:lang w:val="en-US" w:eastAsia="zh-CN"/>
              </w:rPr>
              <w:t>4次得4分；2-3次的得2分；1次的得1分，</w:t>
            </w:r>
            <w:r>
              <w:rPr>
                <w:rFonts w:hint="eastAsia" w:ascii="宋体" w:hAnsi="宋体" w:cs="宋体"/>
                <w:b w:val="0"/>
                <w:bCs/>
                <w:szCs w:val="21"/>
                <w:highlight w:val="none"/>
              </w:rPr>
              <w:t>没有的不得分。本项最多得</w:t>
            </w:r>
            <w:r>
              <w:rPr>
                <w:rFonts w:ascii="宋体" w:hAnsi="宋体" w:cs="宋体"/>
                <w:b w:val="0"/>
                <w:bCs/>
                <w:szCs w:val="21"/>
                <w:highlight w:val="none"/>
              </w:rPr>
              <w:t>4</w:t>
            </w:r>
            <w:r>
              <w:rPr>
                <w:rFonts w:hint="eastAsia" w:ascii="宋体" w:hAnsi="宋体" w:cs="宋体"/>
                <w:b w:val="0"/>
                <w:bCs/>
                <w:szCs w:val="21"/>
                <w:highlight w:val="none"/>
              </w:rPr>
              <w:t>分。</w:t>
            </w:r>
          </w:p>
          <w:p>
            <w:pPr>
              <w:snapToGrid w:val="0"/>
              <w:spacing w:line="360" w:lineRule="auto"/>
              <w:jc w:val="left"/>
              <w:rPr>
                <w:rFonts w:hint="eastAsia" w:ascii="宋体" w:hAnsi="宋体" w:cs="宋体"/>
                <w:b w:val="0"/>
                <w:bCs/>
                <w:szCs w:val="21"/>
                <w:highlight w:val="none"/>
              </w:rPr>
            </w:pPr>
            <w:r>
              <w:rPr>
                <w:rFonts w:hint="eastAsia" w:ascii="宋体" w:hAnsi="宋体" w:cs="宋体"/>
                <w:b w:val="0"/>
                <w:bCs/>
                <w:szCs w:val="21"/>
                <w:highlight w:val="none"/>
              </w:rPr>
              <w:t>注：须提供税务部门官网</w:t>
            </w:r>
            <w:r>
              <w:rPr>
                <w:rFonts w:hint="eastAsia" w:ascii="宋体" w:hAnsi="宋体" w:cs="宋体"/>
                <w:b w:val="0"/>
                <w:bCs/>
                <w:szCs w:val="21"/>
                <w:highlight w:val="none"/>
                <w:lang w:eastAsia="zh-CN"/>
              </w:rPr>
              <w:t>网页信息</w:t>
            </w:r>
            <w:r>
              <w:rPr>
                <w:rFonts w:hint="eastAsia" w:ascii="宋体" w:hAnsi="宋体" w:cs="宋体"/>
                <w:b w:val="0"/>
                <w:bCs/>
                <w:szCs w:val="21"/>
                <w:highlight w:val="none"/>
              </w:rPr>
              <w:t>截图</w:t>
            </w:r>
            <w:r>
              <w:rPr>
                <w:rFonts w:hint="eastAsia" w:ascii="宋体" w:hAnsi="宋体" w:cs="宋体"/>
                <w:b w:val="0"/>
                <w:bCs/>
                <w:szCs w:val="21"/>
                <w:highlight w:val="none"/>
                <w:lang w:eastAsia="zh-CN"/>
              </w:rPr>
              <w:t>，时间以信用信息查询的网页截图公布的评价年度为准，上述资料显示的企业全名须臾投标单位名称一致，只计算</w:t>
            </w:r>
            <w:r>
              <w:rPr>
                <w:rFonts w:hint="eastAsia" w:ascii="宋体" w:hAnsi="宋体" w:cs="宋体"/>
                <w:b w:val="0"/>
                <w:bCs/>
                <w:szCs w:val="21"/>
                <w:highlight w:val="none"/>
              </w:rPr>
              <w:t>投标人自身（不计算投标人的分公司</w:t>
            </w:r>
            <w:r>
              <w:rPr>
                <w:rFonts w:hint="eastAsia" w:ascii="宋体" w:hAnsi="宋体" w:cs="宋体"/>
                <w:b w:val="0"/>
                <w:bCs/>
                <w:szCs w:val="21"/>
                <w:highlight w:val="none"/>
                <w:lang w:eastAsia="zh-CN"/>
              </w:rPr>
              <w:t>、</w:t>
            </w:r>
            <w:r>
              <w:rPr>
                <w:rFonts w:hint="eastAsia" w:ascii="宋体" w:hAnsi="宋体" w:cs="宋体"/>
                <w:b w:val="0"/>
                <w:bCs/>
                <w:szCs w:val="21"/>
                <w:highlight w:val="none"/>
              </w:rPr>
              <w:t>子公司</w:t>
            </w:r>
            <w:r>
              <w:rPr>
                <w:rFonts w:hint="eastAsia" w:ascii="宋体" w:hAnsi="宋体" w:cs="宋体"/>
                <w:b w:val="0"/>
                <w:bCs/>
                <w:szCs w:val="21"/>
                <w:highlight w:val="none"/>
                <w:lang w:eastAsia="zh-CN"/>
              </w:rPr>
              <w:t>和分支机构</w:t>
            </w:r>
            <w:r>
              <w:rPr>
                <w:rFonts w:hint="eastAsia" w:ascii="宋体" w:hAnsi="宋体" w:cs="宋体"/>
                <w:b w:val="0"/>
                <w:bCs/>
                <w:szCs w:val="21"/>
                <w:highlight w:val="none"/>
              </w:rPr>
              <w:t>）。</w:t>
            </w:r>
            <w:r>
              <w:rPr>
                <w:rFonts w:hint="eastAsia" w:ascii="宋体" w:hAnsi="宋体" w:cs="宋体"/>
                <w:b w:val="0"/>
                <w:bCs/>
                <w:szCs w:val="21"/>
                <w:highlight w:val="none"/>
                <w:lang w:eastAsia="zh-CN"/>
              </w:rPr>
              <w:t>未提供上述资料或不符合要求的不得分。</w:t>
            </w:r>
          </w:p>
          <w:p>
            <w:pPr>
              <w:pStyle w:val="9"/>
              <w:spacing w:line="360" w:lineRule="auto"/>
              <w:ind w:firstLine="0" w:firstLineChars="0"/>
              <w:jc w:val="left"/>
              <w:rPr>
                <w:rFonts w:hint="eastAsia" w:cs="宋体"/>
                <w:b w:val="0"/>
                <w:bCs/>
                <w:sz w:val="21"/>
                <w:szCs w:val="21"/>
                <w:highlight w:val="none"/>
              </w:rPr>
            </w:pPr>
            <w:r>
              <w:rPr>
                <w:rFonts w:hint="eastAsia" w:cs="宋体"/>
                <w:b w:val="0"/>
                <w:bCs/>
                <w:color w:val="auto"/>
                <w:szCs w:val="21"/>
                <w:highlight w:val="none"/>
              </w:rPr>
              <w:t>（2）</w:t>
            </w:r>
            <w:r>
              <w:rPr>
                <w:rFonts w:hint="eastAsia" w:ascii="宋体" w:hAnsi="宋体" w:cs="宋体"/>
                <w:b w:val="0"/>
                <w:bCs/>
                <w:szCs w:val="21"/>
                <w:highlight w:val="none"/>
              </w:rPr>
              <w:t>投标人</w:t>
            </w:r>
            <w:r>
              <w:rPr>
                <w:rFonts w:hint="eastAsia" w:ascii="宋体" w:hAnsi="宋体" w:cs="宋体"/>
                <w:b w:val="0"/>
                <w:bCs/>
                <w:szCs w:val="21"/>
                <w:highlight w:val="none"/>
                <w:lang w:eastAsia="zh-CN"/>
              </w:rPr>
              <w:t>自</w:t>
            </w:r>
            <w:r>
              <w:rPr>
                <w:rFonts w:hint="eastAsia" w:cs="宋体"/>
                <w:b w:val="0"/>
                <w:bCs/>
                <w:color w:val="auto"/>
                <w:sz w:val="21"/>
                <w:szCs w:val="21"/>
                <w:highlight w:val="none"/>
              </w:rPr>
              <w:t>2019年1月1日至今获评省级或以上行业协会颁发的</w:t>
            </w:r>
            <w:r>
              <w:rPr>
                <w:rFonts w:hint="eastAsia" w:cs="宋体"/>
                <w:b w:val="0"/>
                <w:bCs/>
                <w:color w:val="auto"/>
                <w:sz w:val="21"/>
                <w:szCs w:val="21"/>
                <w:highlight w:val="none"/>
                <w:lang w:eastAsia="zh-CN"/>
              </w:rPr>
              <w:t>“</w:t>
            </w:r>
            <w:r>
              <w:rPr>
                <w:rFonts w:hint="eastAsia" w:cs="宋体"/>
                <w:b w:val="0"/>
                <w:bCs/>
                <w:color w:val="auto"/>
                <w:sz w:val="21"/>
                <w:szCs w:val="21"/>
                <w:highlight w:val="none"/>
              </w:rPr>
              <w:t>先进单位</w:t>
            </w:r>
            <w:r>
              <w:rPr>
                <w:rFonts w:hint="eastAsia" w:cs="宋体"/>
                <w:b w:val="0"/>
                <w:bCs/>
                <w:color w:val="auto"/>
                <w:sz w:val="21"/>
                <w:szCs w:val="21"/>
                <w:highlight w:val="none"/>
                <w:lang w:eastAsia="zh-CN"/>
              </w:rPr>
              <w:t>”</w:t>
            </w:r>
            <w:r>
              <w:rPr>
                <w:rFonts w:hint="eastAsia" w:cs="宋体"/>
                <w:b w:val="0"/>
                <w:bCs/>
                <w:color w:val="auto"/>
                <w:sz w:val="21"/>
                <w:szCs w:val="21"/>
                <w:highlight w:val="none"/>
              </w:rPr>
              <w:t>称号的，</w:t>
            </w:r>
            <w:r>
              <w:rPr>
                <w:rFonts w:hint="eastAsia" w:cs="宋体"/>
                <w:b w:val="0"/>
                <w:bCs/>
                <w:color w:val="auto"/>
                <w:sz w:val="21"/>
                <w:szCs w:val="21"/>
                <w:highlight w:val="none"/>
                <w:lang w:eastAsia="zh-CN"/>
              </w:rPr>
              <w:t>每项</w:t>
            </w:r>
            <w:r>
              <w:rPr>
                <w:rFonts w:hint="eastAsia" w:cs="宋体"/>
                <w:b w:val="0"/>
                <w:bCs/>
                <w:color w:val="auto"/>
                <w:sz w:val="21"/>
                <w:szCs w:val="21"/>
                <w:highlight w:val="none"/>
              </w:rPr>
              <w:t>得1分，</w:t>
            </w:r>
            <w:r>
              <w:rPr>
                <w:rFonts w:hint="eastAsia" w:ascii="宋体" w:hAnsi="宋体" w:cs="宋体"/>
                <w:b w:val="0"/>
                <w:bCs/>
                <w:szCs w:val="21"/>
                <w:highlight w:val="none"/>
              </w:rPr>
              <w:t>没有的不得分</w:t>
            </w:r>
            <w:r>
              <w:rPr>
                <w:rFonts w:hint="eastAsia" w:cs="宋体"/>
                <w:b w:val="0"/>
                <w:bCs/>
                <w:szCs w:val="21"/>
                <w:highlight w:val="none"/>
                <w:lang w:eastAsia="zh-CN"/>
              </w:rPr>
              <w:t>，</w:t>
            </w:r>
            <w:r>
              <w:rPr>
                <w:rFonts w:hint="eastAsia" w:cs="宋体"/>
                <w:b w:val="0"/>
                <w:bCs/>
                <w:color w:val="auto"/>
                <w:sz w:val="21"/>
                <w:szCs w:val="21"/>
                <w:highlight w:val="none"/>
              </w:rPr>
              <w:t>最高得5分。</w:t>
            </w:r>
          </w:p>
          <w:p>
            <w:pPr>
              <w:snapToGrid w:val="0"/>
              <w:spacing w:line="360" w:lineRule="auto"/>
              <w:jc w:val="left"/>
              <w:rPr>
                <w:rFonts w:hint="eastAsia" w:ascii="宋体" w:hAnsi="宋体" w:cs="宋体"/>
                <w:b w:val="0"/>
                <w:bCs/>
                <w:szCs w:val="21"/>
                <w:highlight w:val="none"/>
              </w:rPr>
            </w:pPr>
            <w:r>
              <w:rPr>
                <w:rFonts w:hint="eastAsia" w:ascii="宋体" w:hAnsi="宋体" w:cs="宋体"/>
                <w:b w:val="0"/>
                <w:bCs/>
                <w:sz w:val="21"/>
                <w:szCs w:val="21"/>
                <w:highlight w:val="none"/>
              </w:rPr>
              <w:t>注：</w:t>
            </w:r>
            <w:r>
              <w:rPr>
                <w:rFonts w:hint="eastAsia" w:ascii="宋体" w:hAnsi="宋体" w:cs="宋体"/>
                <w:b w:val="0"/>
                <w:bCs/>
                <w:szCs w:val="21"/>
                <w:highlight w:val="none"/>
              </w:rPr>
              <w:t>须</w:t>
            </w:r>
            <w:r>
              <w:rPr>
                <w:rFonts w:hint="eastAsia" w:ascii="宋体" w:hAnsi="宋体" w:cs="宋体"/>
                <w:b w:val="0"/>
                <w:bCs/>
                <w:sz w:val="21"/>
                <w:szCs w:val="21"/>
                <w:highlight w:val="none"/>
              </w:rPr>
              <w:t>提供</w:t>
            </w:r>
            <w:r>
              <w:rPr>
                <w:rFonts w:hint="eastAsia" w:ascii="宋体" w:hAnsi="宋体" w:cs="宋体"/>
                <w:b w:val="0"/>
                <w:bCs/>
                <w:sz w:val="21"/>
                <w:szCs w:val="21"/>
                <w:highlight w:val="none"/>
                <w:lang w:eastAsia="zh-CN"/>
              </w:rPr>
              <w:t>获奖</w:t>
            </w:r>
            <w:r>
              <w:rPr>
                <w:rFonts w:hint="eastAsia" w:ascii="宋体" w:hAnsi="宋体" w:cs="宋体"/>
                <w:b w:val="0"/>
                <w:bCs/>
                <w:sz w:val="21"/>
                <w:szCs w:val="21"/>
                <w:highlight w:val="none"/>
              </w:rPr>
              <w:t>证书扫描件</w:t>
            </w:r>
            <w:r>
              <w:rPr>
                <w:rFonts w:hint="eastAsia" w:ascii="宋体" w:hAnsi="宋体" w:cs="宋体"/>
                <w:b w:val="0"/>
                <w:bCs/>
                <w:sz w:val="21"/>
                <w:szCs w:val="21"/>
                <w:highlight w:val="none"/>
                <w:lang w:eastAsia="zh-CN"/>
              </w:rPr>
              <w:t>，时间以证书为准</w:t>
            </w:r>
            <w:r>
              <w:rPr>
                <w:rFonts w:hint="eastAsia" w:ascii="宋体" w:hAnsi="宋体" w:cs="宋体"/>
                <w:b w:val="0"/>
                <w:bCs/>
                <w:sz w:val="21"/>
                <w:szCs w:val="21"/>
                <w:highlight w:val="none"/>
              </w:rPr>
              <w:t>。</w:t>
            </w:r>
            <w:r>
              <w:rPr>
                <w:rFonts w:hint="eastAsia" w:ascii="宋体" w:hAnsi="宋体" w:cs="宋体"/>
                <w:b w:val="0"/>
                <w:bCs/>
                <w:sz w:val="21"/>
                <w:szCs w:val="21"/>
                <w:highlight w:val="none"/>
                <w:lang w:eastAsia="zh-CN"/>
              </w:rPr>
              <w:t>同一年度获得多次先进单位称号的，按最高级别只计算一次。</w:t>
            </w:r>
            <w:r>
              <w:rPr>
                <w:rFonts w:hint="eastAsia" w:ascii="宋体" w:hAnsi="宋体" w:cs="宋体"/>
                <w:b w:val="0"/>
                <w:bCs/>
                <w:szCs w:val="21"/>
                <w:highlight w:val="none"/>
                <w:lang w:eastAsia="zh-CN"/>
              </w:rPr>
              <w:t>只计算</w:t>
            </w:r>
            <w:r>
              <w:rPr>
                <w:rFonts w:hint="eastAsia" w:ascii="宋体" w:hAnsi="宋体" w:cs="宋体"/>
                <w:b w:val="0"/>
                <w:bCs/>
                <w:szCs w:val="21"/>
                <w:highlight w:val="none"/>
              </w:rPr>
              <w:t>投标人自身（不计算投标人的分公司</w:t>
            </w:r>
            <w:r>
              <w:rPr>
                <w:rFonts w:hint="eastAsia" w:ascii="宋体" w:hAnsi="宋体" w:cs="宋体"/>
                <w:b w:val="0"/>
                <w:bCs/>
                <w:szCs w:val="21"/>
                <w:highlight w:val="none"/>
                <w:lang w:eastAsia="zh-CN"/>
              </w:rPr>
              <w:t>、</w:t>
            </w:r>
            <w:r>
              <w:rPr>
                <w:rFonts w:hint="eastAsia" w:ascii="宋体" w:hAnsi="宋体" w:cs="宋体"/>
                <w:b w:val="0"/>
                <w:bCs/>
                <w:szCs w:val="21"/>
                <w:highlight w:val="none"/>
              </w:rPr>
              <w:t>子公司</w:t>
            </w:r>
            <w:r>
              <w:rPr>
                <w:rFonts w:hint="eastAsia" w:ascii="宋体" w:hAnsi="宋体" w:cs="宋体"/>
                <w:b w:val="0"/>
                <w:bCs/>
                <w:szCs w:val="21"/>
                <w:highlight w:val="none"/>
                <w:lang w:eastAsia="zh-CN"/>
              </w:rPr>
              <w:t>和分支机构</w:t>
            </w:r>
            <w:r>
              <w:rPr>
                <w:rFonts w:hint="eastAsia" w:ascii="宋体" w:hAnsi="宋体" w:cs="宋体"/>
                <w:b w:val="0"/>
                <w:bCs/>
                <w:szCs w:val="21"/>
                <w:highlight w:val="none"/>
              </w:rPr>
              <w:t>）。</w:t>
            </w:r>
            <w:r>
              <w:rPr>
                <w:rFonts w:hint="eastAsia" w:ascii="宋体" w:hAnsi="宋体" w:cs="宋体"/>
                <w:b w:val="0"/>
                <w:bCs/>
                <w:szCs w:val="21"/>
                <w:highlight w:val="none"/>
                <w:lang w:eastAsia="zh-CN"/>
              </w:rPr>
              <w:t>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Align w:val="center"/>
          </w:tcPr>
          <w:p>
            <w:pPr>
              <w:adjustRightInd w:val="0"/>
              <w:snapToGrid w:val="0"/>
              <w:spacing w:line="360" w:lineRule="auto"/>
              <w:ind w:right="0"/>
              <w:jc w:val="center"/>
              <w:rPr>
                <w:rFonts w:ascii="宋体" w:hAnsi="宋体" w:cs="宋体"/>
                <w:b w:val="0"/>
                <w:bCs/>
                <w:szCs w:val="21"/>
                <w:highlight w:val="none"/>
              </w:rPr>
            </w:pPr>
            <w:r>
              <w:rPr>
                <w:rFonts w:hint="eastAsia" w:ascii="宋体" w:hAnsi="宋体" w:cs="宋体"/>
                <w:b w:val="0"/>
                <w:bCs/>
                <w:szCs w:val="21"/>
                <w:highlight w:val="none"/>
              </w:rPr>
              <w:t>项目负责人要求</w:t>
            </w:r>
          </w:p>
          <w:p>
            <w:pPr>
              <w:adjustRightInd w:val="0"/>
              <w:snapToGrid w:val="0"/>
              <w:spacing w:line="360" w:lineRule="auto"/>
              <w:ind w:right="0"/>
              <w:jc w:val="center"/>
              <w:rPr>
                <w:rFonts w:ascii="宋体" w:hAnsi="宋体" w:cs="宋体"/>
                <w:b w:val="0"/>
                <w:bCs/>
                <w:szCs w:val="21"/>
                <w:highlight w:val="none"/>
              </w:rPr>
            </w:pPr>
            <w:r>
              <w:rPr>
                <w:rFonts w:hint="eastAsia" w:ascii="宋体" w:hAnsi="宋体" w:cs="宋体"/>
                <w:b w:val="0"/>
                <w:bCs/>
                <w:szCs w:val="21"/>
                <w:highlight w:val="none"/>
              </w:rPr>
              <w:t>（7分）</w:t>
            </w:r>
          </w:p>
        </w:tc>
        <w:tc>
          <w:tcPr>
            <w:tcW w:w="3498" w:type="pct"/>
            <w:vAlign w:val="center"/>
          </w:tcPr>
          <w:p>
            <w:pPr>
              <w:pStyle w:val="63"/>
              <w:adjustRightInd w:val="0"/>
              <w:snapToGrid w:val="0"/>
              <w:spacing w:line="360" w:lineRule="auto"/>
              <w:ind w:firstLine="0" w:firstLineChars="0"/>
              <w:rPr>
                <w:rFonts w:ascii="宋体" w:hAnsi="宋体" w:cs="宋体"/>
                <w:b w:val="0"/>
                <w:bCs/>
                <w:szCs w:val="21"/>
                <w:highlight w:val="none"/>
              </w:rPr>
            </w:pPr>
            <w:r>
              <w:rPr>
                <w:rFonts w:hint="eastAsia" w:ascii="宋体" w:hAnsi="宋体" w:cs="宋体"/>
                <w:b w:val="0"/>
                <w:bCs/>
                <w:szCs w:val="21"/>
                <w:highlight w:val="none"/>
              </w:rPr>
              <w:t>（1）具有</w:t>
            </w:r>
            <w:r>
              <w:rPr>
                <w:rFonts w:hint="eastAsia" w:ascii="宋体" w:hAnsi="宋体" w:cs="宋体"/>
                <w:b w:val="0"/>
                <w:bCs/>
                <w:szCs w:val="21"/>
                <w:highlight w:val="none"/>
                <w:lang w:eastAsia="zh-CN"/>
              </w:rPr>
              <w:t>工程检测专业</w:t>
            </w:r>
            <w:r>
              <w:rPr>
                <w:rFonts w:hint="eastAsia" w:ascii="宋体" w:hAnsi="宋体" w:cs="宋体"/>
                <w:b w:val="0"/>
                <w:bCs/>
                <w:szCs w:val="21"/>
                <w:highlight w:val="none"/>
              </w:rPr>
              <w:t>高级(或以上)工程师职称的得</w:t>
            </w:r>
            <w:r>
              <w:rPr>
                <w:rFonts w:ascii="宋体" w:hAnsi="宋体" w:cs="宋体"/>
                <w:b w:val="0"/>
                <w:bCs/>
                <w:szCs w:val="21"/>
                <w:highlight w:val="none"/>
              </w:rPr>
              <w:t>2</w:t>
            </w:r>
            <w:r>
              <w:rPr>
                <w:rFonts w:hint="eastAsia" w:ascii="宋体" w:hAnsi="宋体" w:cs="宋体"/>
                <w:b w:val="0"/>
                <w:bCs/>
                <w:szCs w:val="21"/>
                <w:highlight w:val="none"/>
              </w:rPr>
              <w:t>分；具有</w:t>
            </w:r>
            <w:r>
              <w:rPr>
                <w:rFonts w:hint="eastAsia" w:ascii="宋体" w:hAnsi="宋体" w:cs="宋体"/>
                <w:b w:val="0"/>
                <w:bCs/>
                <w:szCs w:val="21"/>
                <w:highlight w:val="none"/>
                <w:lang w:eastAsia="zh-CN"/>
              </w:rPr>
              <w:t>工程检测专业</w:t>
            </w:r>
            <w:r>
              <w:rPr>
                <w:rFonts w:hint="eastAsia" w:ascii="宋体" w:hAnsi="宋体" w:cs="宋体"/>
                <w:b w:val="0"/>
                <w:bCs/>
                <w:szCs w:val="21"/>
                <w:highlight w:val="none"/>
              </w:rPr>
              <w:t>工程师的，得1分，最高得2分。按最高职称计算一次，不累计计分</w:t>
            </w:r>
            <w:r>
              <w:rPr>
                <w:rFonts w:hint="eastAsia" w:ascii="宋体" w:hAnsi="宋体" w:cs="宋体"/>
                <w:b w:val="0"/>
                <w:bCs/>
                <w:szCs w:val="21"/>
                <w:highlight w:val="none"/>
                <w:lang w:eastAsia="zh-CN"/>
              </w:rPr>
              <w:t>。</w:t>
            </w:r>
          </w:p>
          <w:p>
            <w:pPr>
              <w:snapToGrid w:val="0"/>
              <w:spacing w:line="360" w:lineRule="auto"/>
              <w:rPr>
                <w:rFonts w:ascii="宋体" w:hAnsi="宋体" w:cs="宋体"/>
                <w:b w:val="0"/>
                <w:bCs/>
                <w:szCs w:val="21"/>
                <w:highlight w:val="none"/>
              </w:rPr>
            </w:pPr>
            <w:r>
              <w:rPr>
                <w:rFonts w:hint="eastAsia" w:ascii="宋体" w:hAnsi="宋体" w:cs="宋体"/>
                <w:b w:val="0"/>
                <w:bCs/>
                <w:szCs w:val="21"/>
                <w:highlight w:val="none"/>
              </w:rPr>
              <w:t>（</w:t>
            </w:r>
            <w:r>
              <w:rPr>
                <w:rFonts w:ascii="宋体" w:hAnsi="宋体" w:cs="宋体"/>
                <w:b w:val="0"/>
                <w:bCs/>
                <w:szCs w:val="21"/>
                <w:highlight w:val="none"/>
              </w:rPr>
              <w:t>2）</w:t>
            </w:r>
            <w:r>
              <w:rPr>
                <w:rFonts w:hint="eastAsia" w:ascii="宋体" w:hAnsi="宋体" w:cs="宋体"/>
                <w:b w:val="0"/>
                <w:bCs/>
                <w:szCs w:val="21"/>
                <w:highlight w:val="none"/>
              </w:rPr>
              <w:t>具有建设行政主管部门或其委托的机构、行业协会颁发的检测员证或检测鉴定培训合格证的</w:t>
            </w:r>
            <w:r>
              <w:rPr>
                <w:rFonts w:hint="eastAsia" w:ascii="宋体" w:hAnsi="宋体" w:cs="宋体"/>
                <w:b w:val="0"/>
                <w:bCs/>
                <w:szCs w:val="21"/>
                <w:highlight w:val="none"/>
                <w:lang w:eastAsia="zh-CN"/>
              </w:rPr>
              <w:t>，同时该证</w:t>
            </w:r>
            <w:r>
              <w:rPr>
                <w:rFonts w:hint="eastAsia" w:ascii="宋体" w:hAnsi="宋体" w:cs="宋体"/>
                <w:b w:val="0"/>
                <w:bCs/>
                <w:szCs w:val="21"/>
                <w:highlight w:val="none"/>
              </w:rPr>
              <w:t>检测项目（方法）具备20项或以上的得</w:t>
            </w:r>
            <w:r>
              <w:rPr>
                <w:rFonts w:ascii="宋体" w:hAnsi="宋体" w:cs="宋体"/>
                <w:b w:val="0"/>
                <w:bCs/>
                <w:szCs w:val="21"/>
                <w:highlight w:val="none"/>
              </w:rPr>
              <w:t>5</w:t>
            </w:r>
            <w:r>
              <w:rPr>
                <w:rFonts w:hint="eastAsia" w:ascii="宋体" w:hAnsi="宋体" w:cs="宋体"/>
                <w:b w:val="0"/>
                <w:bCs/>
                <w:szCs w:val="21"/>
                <w:highlight w:val="none"/>
              </w:rPr>
              <w:t>分；检测项目（方法）具备11-19项的得3分；检测项目（方法）具备1-</w:t>
            </w:r>
            <w:r>
              <w:rPr>
                <w:rFonts w:hint="eastAsia" w:ascii="宋体" w:hAnsi="宋体" w:cs="宋体"/>
                <w:b w:val="0"/>
                <w:bCs/>
                <w:szCs w:val="21"/>
                <w:highlight w:val="none"/>
                <w:lang w:val="en-US" w:eastAsia="zh-CN"/>
              </w:rPr>
              <w:t>10</w:t>
            </w:r>
            <w:r>
              <w:rPr>
                <w:rFonts w:hint="eastAsia" w:ascii="宋体" w:hAnsi="宋体" w:cs="宋体"/>
                <w:b w:val="0"/>
                <w:bCs/>
                <w:szCs w:val="21"/>
                <w:highlight w:val="none"/>
              </w:rPr>
              <w:t>项的得1分；没有不得分。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注：须提供身份证、职称证书、检测员证或培训合格证</w:t>
            </w:r>
            <w:r>
              <w:rPr>
                <w:rFonts w:hint="eastAsia" w:ascii="宋体" w:hAnsi="宋体" w:cs="宋体"/>
                <w:b w:val="0"/>
                <w:bCs/>
                <w:szCs w:val="21"/>
                <w:highlight w:val="none"/>
                <w:lang w:eastAsia="zh-CN"/>
              </w:rPr>
              <w:t>、及</w:t>
            </w:r>
            <w:r>
              <w:rPr>
                <w:rFonts w:hint="eastAsia" w:ascii="宋体" w:hAnsi="宋体" w:cs="宋体"/>
                <w:b w:val="0"/>
                <w:bCs/>
                <w:szCs w:val="21"/>
                <w:highlight w:val="none"/>
              </w:rPr>
              <w:t>近1月（2024年3月）在本单位的社保缴纳证明</w:t>
            </w:r>
            <w:r>
              <w:rPr>
                <w:rFonts w:hint="eastAsia" w:ascii="宋体" w:hAnsi="宋体" w:cs="宋体"/>
                <w:b w:val="0"/>
                <w:bCs/>
                <w:szCs w:val="21"/>
                <w:highlight w:val="none"/>
                <w:lang w:eastAsia="zh-CN"/>
              </w:rPr>
              <w:t>扫描件</w:t>
            </w:r>
            <w:r>
              <w:rPr>
                <w:rFonts w:hint="eastAsia" w:ascii="宋体" w:hAnsi="宋体" w:cs="宋体"/>
                <w:b w:val="0"/>
                <w:bCs/>
                <w:szCs w:val="21"/>
                <w:highlight w:val="none"/>
              </w:rPr>
              <w:t>。</w:t>
            </w:r>
            <w:r>
              <w:rPr>
                <w:rFonts w:hint="eastAsia" w:ascii="宋体" w:hAnsi="宋体" w:cs="宋体"/>
                <w:b w:val="0"/>
                <w:bCs/>
                <w:szCs w:val="21"/>
                <w:highlight w:val="none"/>
                <w:lang w:eastAsia="zh-CN"/>
              </w:rPr>
              <w:t>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Align w:val="center"/>
          </w:tcPr>
          <w:p>
            <w:pPr>
              <w:widowControl/>
              <w:adjustRightInd w:val="0"/>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技术负责人要求</w:t>
            </w:r>
          </w:p>
          <w:p>
            <w:pPr>
              <w:adjustRightInd w:val="0"/>
              <w:snapToGrid w:val="0"/>
              <w:spacing w:line="360" w:lineRule="auto"/>
              <w:ind w:right="0"/>
              <w:jc w:val="center"/>
              <w:rPr>
                <w:rFonts w:ascii="宋体" w:hAnsi="宋体" w:cs="宋体"/>
                <w:b w:val="0"/>
                <w:bCs/>
                <w:szCs w:val="21"/>
                <w:highlight w:val="none"/>
              </w:rPr>
            </w:pPr>
            <w:r>
              <w:rPr>
                <w:rFonts w:hint="eastAsia" w:ascii="宋体" w:hAnsi="宋体" w:cs="宋体"/>
                <w:b w:val="0"/>
                <w:bCs/>
                <w:szCs w:val="21"/>
                <w:highlight w:val="none"/>
              </w:rPr>
              <w:t>（</w:t>
            </w:r>
            <w:r>
              <w:rPr>
                <w:rFonts w:ascii="宋体" w:hAnsi="宋体" w:cs="宋体"/>
                <w:b w:val="0"/>
                <w:bCs/>
                <w:szCs w:val="21"/>
                <w:highlight w:val="none"/>
              </w:rPr>
              <w:t>7</w:t>
            </w:r>
            <w:r>
              <w:rPr>
                <w:rFonts w:hint="eastAsia" w:ascii="宋体" w:hAnsi="宋体" w:cs="宋体"/>
                <w:b w:val="0"/>
                <w:bCs/>
                <w:szCs w:val="21"/>
                <w:highlight w:val="none"/>
              </w:rPr>
              <w:t>分）</w:t>
            </w:r>
          </w:p>
        </w:tc>
        <w:tc>
          <w:tcPr>
            <w:tcW w:w="3498" w:type="pct"/>
            <w:vAlign w:val="center"/>
          </w:tcPr>
          <w:p>
            <w:pPr>
              <w:adjustRightInd w:val="0"/>
              <w:snapToGrid w:val="0"/>
              <w:spacing w:line="360" w:lineRule="auto"/>
              <w:jc w:val="left"/>
              <w:rPr>
                <w:rFonts w:hint="eastAsia" w:ascii="宋体" w:hAnsi="宋体" w:eastAsia="宋体" w:cs="宋体"/>
                <w:b w:val="0"/>
                <w:bCs/>
                <w:szCs w:val="21"/>
                <w:highlight w:val="none"/>
                <w:lang w:val="en-US" w:eastAsia="zh-CN"/>
              </w:rPr>
            </w:pPr>
            <w:r>
              <w:rPr>
                <w:rFonts w:hint="eastAsia" w:ascii="宋体" w:hAnsi="宋体" w:cs="宋体"/>
                <w:b w:val="0"/>
                <w:bCs/>
                <w:szCs w:val="21"/>
                <w:highlight w:val="none"/>
              </w:rPr>
              <w:t>（1）具有工程类相关</w:t>
            </w:r>
            <w:r>
              <w:rPr>
                <w:rFonts w:hint="eastAsia" w:ascii="宋体" w:hAnsi="宋体" w:cs="宋体"/>
                <w:b w:val="0"/>
                <w:bCs/>
                <w:szCs w:val="21"/>
                <w:highlight w:val="none"/>
                <w:lang w:eastAsia="zh-CN"/>
              </w:rPr>
              <w:t>专业</w:t>
            </w:r>
            <w:r>
              <w:rPr>
                <w:rFonts w:hint="eastAsia" w:ascii="宋体" w:hAnsi="宋体" w:cs="宋体"/>
                <w:b w:val="0"/>
                <w:bCs/>
                <w:szCs w:val="21"/>
                <w:highlight w:val="none"/>
              </w:rPr>
              <w:t>高级(或以上)工程师职称的得2分；具有工程类相关</w:t>
            </w:r>
            <w:r>
              <w:rPr>
                <w:rFonts w:hint="eastAsia" w:ascii="宋体" w:hAnsi="宋体" w:cs="宋体"/>
                <w:b w:val="0"/>
                <w:bCs/>
                <w:szCs w:val="21"/>
                <w:highlight w:val="none"/>
                <w:lang w:eastAsia="zh-CN"/>
              </w:rPr>
              <w:t>专业</w:t>
            </w:r>
            <w:r>
              <w:rPr>
                <w:rFonts w:hint="eastAsia" w:ascii="宋体" w:hAnsi="宋体" w:cs="宋体"/>
                <w:b w:val="0"/>
                <w:bCs/>
                <w:szCs w:val="21"/>
                <w:highlight w:val="none"/>
              </w:rPr>
              <w:t>工程师的得1分，最高得2分。按最高职称计算一次，不累计计分</w:t>
            </w:r>
            <w:r>
              <w:rPr>
                <w:rFonts w:hint="eastAsia" w:ascii="宋体" w:hAnsi="宋体" w:cs="宋体"/>
                <w:b w:val="0"/>
                <w:bCs/>
                <w:szCs w:val="21"/>
                <w:highlight w:val="none"/>
                <w:lang w:eastAsia="zh-CN"/>
              </w:rPr>
              <w:t>。</w:t>
            </w:r>
          </w:p>
          <w:p>
            <w:pPr>
              <w:adjustRightInd w:val="0"/>
              <w:snapToGrid w:val="0"/>
              <w:spacing w:line="360" w:lineRule="auto"/>
              <w:jc w:val="left"/>
              <w:rPr>
                <w:rFonts w:ascii="宋体" w:hAnsi="宋体" w:cs="宋体"/>
                <w:b w:val="0"/>
                <w:bCs/>
                <w:szCs w:val="21"/>
                <w:highlight w:val="none"/>
              </w:rPr>
            </w:pPr>
            <w:r>
              <w:rPr>
                <w:rFonts w:hint="eastAsia" w:ascii="宋体" w:hAnsi="宋体" w:cs="宋体"/>
                <w:b w:val="0"/>
                <w:bCs/>
                <w:szCs w:val="21"/>
                <w:highlight w:val="none"/>
              </w:rPr>
              <w:t>（2）具有注册土木工程师（岩土）执业资格证书，得</w:t>
            </w:r>
            <w:r>
              <w:rPr>
                <w:rFonts w:ascii="宋体" w:hAnsi="宋体" w:cs="宋体"/>
                <w:b w:val="0"/>
                <w:bCs/>
                <w:szCs w:val="21"/>
                <w:highlight w:val="none"/>
              </w:rPr>
              <w:t>2</w:t>
            </w:r>
            <w:r>
              <w:rPr>
                <w:rFonts w:hint="eastAsia" w:ascii="宋体" w:hAnsi="宋体" w:cs="宋体"/>
                <w:b w:val="0"/>
                <w:bCs/>
                <w:szCs w:val="21"/>
                <w:highlight w:val="none"/>
              </w:rPr>
              <w:t>分。</w:t>
            </w:r>
          </w:p>
          <w:p>
            <w:pPr>
              <w:pStyle w:val="9"/>
              <w:adjustRightInd w:val="0"/>
              <w:snapToGrid w:val="0"/>
              <w:spacing w:line="360" w:lineRule="auto"/>
              <w:ind w:firstLine="0" w:firstLineChars="0"/>
              <w:jc w:val="left"/>
              <w:rPr>
                <w:rFonts w:hint="eastAsia" w:eastAsia="宋体" w:cs="宋体"/>
                <w:b w:val="0"/>
                <w:bCs/>
                <w:szCs w:val="21"/>
                <w:highlight w:val="none"/>
                <w:lang w:eastAsia="zh-CN"/>
              </w:rPr>
            </w:pPr>
            <w:r>
              <w:rPr>
                <w:rFonts w:hint="eastAsia" w:cs="宋体"/>
                <w:b w:val="0"/>
                <w:bCs/>
                <w:color w:val="auto"/>
                <w:szCs w:val="21"/>
                <w:highlight w:val="none"/>
              </w:rPr>
              <w:t>（3）一级注册结构工程师执业资格证书，得2分</w:t>
            </w:r>
            <w:r>
              <w:rPr>
                <w:rFonts w:hint="eastAsia" w:cs="宋体"/>
                <w:b w:val="0"/>
                <w:bCs/>
                <w:color w:val="auto"/>
                <w:szCs w:val="21"/>
                <w:highlight w:val="none"/>
                <w:lang w:eastAsia="zh-CN"/>
              </w:rPr>
              <w:t>。</w:t>
            </w:r>
          </w:p>
          <w:p>
            <w:pPr>
              <w:adjustRightInd w:val="0"/>
              <w:snapToGrid w:val="0"/>
              <w:spacing w:line="360" w:lineRule="auto"/>
              <w:jc w:val="left"/>
              <w:rPr>
                <w:rFonts w:ascii="宋体" w:hAnsi="宋体" w:cs="宋体"/>
                <w:b w:val="0"/>
                <w:bCs/>
                <w:szCs w:val="21"/>
                <w:highlight w:val="none"/>
              </w:rPr>
            </w:pPr>
            <w:r>
              <w:rPr>
                <w:rFonts w:hint="eastAsia" w:ascii="宋体" w:hAnsi="宋体" w:cs="宋体"/>
                <w:b w:val="0"/>
                <w:bCs/>
                <w:szCs w:val="21"/>
                <w:highlight w:val="none"/>
              </w:rPr>
              <w:t>（</w:t>
            </w:r>
            <w:r>
              <w:rPr>
                <w:rFonts w:ascii="宋体" w:hAnsi="宋体" w:cs="宋体"/>
                <w:b w:val="0"/>
                <w:bCs/>
                <w:szCs w:val="21"/>
                <w:highlight w:val="none"/>
              </w:rPr>
              <w:t>4</w:t>
            </w:r>
            <w:r>
              <w:rPr>
                <w:rFonts w:hint="eastAsia" w:ascii="宋体" w:hAnsi="宋体" w:cs="宋体"/>
                <w:b w:val="0"/>
                <w:bCs/>
                <w:szCs w:val="21"/>
                <w:highlight w:val="none"/>
              </w:rPr>
              <w:t>）具有建设行政主管部门或其委托的机构、行业协会颁发的检测员证或检测鉴定培训合格证的得1分。</w:t>
            </w:r>
          </w:p>
          <w:p>
            <w:pPr>
              <w:adjustRightInd w:val="0"/>
              <w:snapToGrid w:val="0"/>
              <w:spacing w:line="360" w:lineRule="auto"/>
              <w:rPr>
                <w:rFonts w:ascii="宋体" w:hAnsi="宋体" w:cs="宋体"/>
                <w:b w:val="0"/>
                <w:bCs/>
                <w:szCs w:val="21"/>
                <w:highlight w:val="none"/>
              </w:rPr>
            </w:pPr>
            <w:r>
              <w:rPr>
                <w:rFonts w:hint="eastAsia" w:ascii="宋体" w:hAnsi="宋体" w:cs="宋体"/>
                <w:b w:val="0"/>
                <w:bCs/>
                <w:szCs w:val="21"/>
                <w:highlight w:val="none"/>
              </w:rPr>
              <w:t>注：须提供身份证、职称证书、注册证（</w:t>
            </w:r>
            <w:r>
              <w:rPr>
                <w:rFonts w:hint="eastAsia" w:ascii="宋体" w:hAnsi="宋体" w:cs="宋体"/>
                <w:b w:val="0"/>
                <w:bCs/>
                <w:sz w:val="21"/>
                <w:szCs w:val="21"/>
                <w:highlight w:val="none"/>
              </w:rPr>
              <w:t>注册单位须与投标单位一致）</w:t>
            </w:r>
            <w:r>
              <w:rPr>
                <w:rFonts w:hint="eastAsia" w:ascii="宋体" w:hAnsi="宋体" w:cs="宋体"/>
                <w:b w:val="0"/>
                <w:bCs/>
                <w:szCs w:val="21"/>
                <w:highlight w:val="none"/>
              </w:rPr>
              <w:t>、检测员证或培训合格证</w:t>
            </w:r>
            <w:r>
              <w:rPr>
                <w:rFonts w:hint="eastAsia" w:ascii="宋体" w:hAnsi="宋体" w:cs="宋体"/>
                <w:b w:val="0"/>
                <w:bCs/>
                <w:szCs w:val="21"/>
                <w:highlight w:val="none"/>
                <w:lang w:eastAsia="zh-CN"/>
              </w:rPr>
              <w:t>、及</w:t>
            </w:r>
            <w:r>
              <w:rPr>
                <w:rFonts w:hint="eastAsia" w:ascii="宋体" w:hAnsi="宋体" w:cs="宋体"/>
                <w:b w:val="0"/>
                <w:bCs/>
                <w:szCs w:val="21"/>
                <w:highlight w:val="none"/>
              </w:rPr>
              <w:t>近1月（2024年3月）在本单位参保的社保缴纳证明</w:t>
            </w:r>
            <w:r>
              <w:rPr>
                <w:rFonts w:hint="eastAsia" w:ascii="宋体" w:hAnsi="宋体" w:cs="宋体"/>
                <w:b w:val="0"/>
                <w:bCs/>
                <w:szCs w:val="21"/>
                <w:highlight w:val="none"/>
                <w:lang w:eastAsia="zh-CN"/>
              </w:rPr>
              <w:t>扫描件</w:t>
            </w:r>
            <w:r>
              <w:rPr>
                <w:rFonts w:hint="eastAsia" w:ascii="宋体" w:hAnsi="宋体" w:cs="宋体"/>
                <w:b w:val="0"/>
                <w:bCs/>
                <w:szCs w:val="21"/>
                <w:highlight w:val="none"/>
              </w:rPr>
              <w:t>。</w:t>
            </w:r>
            <w:r>
              <w:rPr>
                <w:rFonts w:hint="eastAsia" w:ascii="宋体" w:hAnsi="宋体" w:cs="宋体"/>
                <w:b w:val="0"/>
                <w:bCs/>
                <w:szCs w:val="21"/>
                <w:highlight w:val="none"/>
                <w:lang w:eastAsia="zh-CN"/>
              </w:rPr>
              <w:t>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Align w:val="center"/>
          </w:tcPr>
          <w:p>
            <w:pPr>
              <w:adjustRightInd w:val="0"/>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主要技术人员要求</w:t>
            </w:r>
          </w:p>
          <w:p>
            <w:pPr>
              <w:adjustRightInd w:val="0"/>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w:t>
            </w:r>
            <w:r>
              <w:rPr>
                <w:rFonts w:ascii="宋体" w:hAnsi="宋体" w:cs="宋体"/>
                <w:b w:val="0"/>
                <w:bCs/>
                <w:szCs w:val="21"/>
                <w:highlight w:val="none"/>
              </w:rPr>
              <w:t>6</w:t>
            </w:r>
            <w:r>
              <w:rPr>
                <w:rFonts w:hint="eastAsia" w:ascii="宋体" w:hAnsi="宋体" w:cs="宋体"/>
                <w:b w:val="0"/>
                <w:bCs/>
                <w:szCs w:val="21"/>
                <w:highlight w:val="none"/>
              </w:rPr>
              <w:t>分）</w:t>
            </w:r>
          </w:p>
        </w:tc>
        <w:tc>
          <w:tcPr>
            <w:tcW w:w="3498" w:type="pct"/>
            <w:vAlign w:val="center"/>
          </w:tcPr>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拟投入本项目技术人员（除项目负责人、技术负责人外）中：</w:t>
            </w:r>
          </w:p>
          <w:p>
            <w:pPr>
              <w:numPr>
                <w:ilvl w:val="0"/>
                <w:numId w:val="2"/>
              </w:numPr>
              <w:adjustRightInd w:val="0"/>
              <w:snapToGrid w:val="0"/>
              <w:spacing w:line="360" w:lineRule="auto"/>
              <w:jc w:val="left"/>
              <w:rPr>
                <w:rFonts w:ascii="宋体" w:hAnsi="宋体" w:cs="宋体"/>
                <w:b w:val="0"/>
                <w:bCs/>
                <w:szCs w:val="21"/>
                <w:highlight w:val="none"/>
              </w:rPr>
            </w:pPr>
            <w:r>
              <w:rPr>
                <w:rFonts w:hint="eastAsia" w:ascii="宋体" w:hAnsi="宋体" w:cs="宋体"/>
                <w:b w:val="0"/>
                <w:bCs/>
                <w:szCs w:val="21"/>
                <w:highlight w:val="none"/>
              </w:rPr>
              <w:t>持有建设行政主管部门或其委托的机构、行业协会颁发的检测员证或检测鉴定培训合格证，每一人得0.5分，最多得</w:t>
            </w:r>
            <w:r>
              <w:rPr>
                <w:rFonts w:ascii="宋体" w:hAnsi="宋体" w:cs="宋体"/>
                <w:b w:val="0"/>
                <w:bCs/>
                <w:szCs w:val="21"/>
                <w:highlight w:val="none"/>
              </w:rPr>
              <w:t>3</w:t>
            </w:r>
            <w:r>
              <w:rPr>
                <w:rFonts w:hint="eastAsia" w:ascii="宋体" w:hAnsi="宋体" w:cs="宋体"/>
                <w:b w:val="0"/>
                <w:bCs/>
                <w:szCs w:val="21"/>
                <w:highlight w:val="none"/>
              </w:rPr>
              <w:t>分；</w:t>
            </w:r>
          </w:p>
          <w:p>
            <w:pPr>
              <w:numPr>
                <w:ilvl w:val="0"/>
                <w:numId w:val="2"/>
              </w:numPr>
              <w:adjustRightInd w:val="0"/>
              <w:snapToGrid w:val="0"/>
              <w:spacing w:line="360" w:lineRule="auto"/>
              <w:ind w:firstLine="0"/>
              <w:jc w:val="left"/>
              <w:rPr>
                <w:rFonts w:ascii="宋体" w:hAnsi="宋体" w:cs="宋体"/>
                <w:b w:val="0"/>
                <w:bCs/>
                <w:szCs w:val="21"/>
                <w:highlight w:val="none"/>
              </w:rPr>
            </w:pPr>
            <w:r>
              <w:rPr>
                <w:rFonts w:hint="eastAsia" w:ascii="宋体" w:hAnsi="宋体" w:cs="宋体"/>
                <w:b w:val="0"/>
                <w:bCs/>
                <w:szCs w:val="21"/>
                <w:highlight w:val="none"/>
                <w:lang w:eastAsia="zh-CN"/>
              </w:rPr>
              <w:t>上述人员</w:t>
            </w:r>
            <w:r>
              <w:rPr>
                <w:rFonts w:hint="eastAsia" w:ascii="宋体" w:hAnsi="宋体" w:cs="宋体"/>
                <w:b w:val="0"/>
                <w:bCs/>
                <w:szCs w:val="21"/>
                <w:highlight w:val="none"/>
              </w:rPr>
              <w:t>具有工程类</w:t>
            </w:r>
            <w:r>
              <w:rPr>
                <w:rFonts w:hint="eastAsia" w:ascii="宋体" w:hAnsi="宋体" w:cs="宋体"/>
                <w:b w:val="0"/>
                <w:bCs/>
                <w:szCs w:val="21"/>
                <w:highlight w:val="none"/>
                <w:lang w:eastAsia="zh-CN"/>
              </w:rPr>
              <w:t>相关专业</w:t>
            </w:r>
            <w:r>
              <w:rPr>
                <w:rFonts w:hint="eastAsia" w:ascii="宋体" w:hAnsi="宋体" w:cs="宋体"/>
                <w:b w:val="0"/>
                <w:bCs/>
                <w:szCs w:val="21"/>
                <w:highlight w:val="none"/>
              </w:rPr>
              <w:t>高级</w:t>
            </w:r>
            <w:r>
              <w:rPr>
                <w:rFonts w:ascii="宋体" w:hAnsi="宋体" w:cs="宋体"/>
                <w:b w:val="0"/>
                <w:bCs/>
                <w:szCs w:val="21"/>
                <w:highlight w:val="none"/>
              </w:rPr>
              <w:t>(或以上)工程师职称的</w:t>
            </w:r>
            <w:r>
              <w:rPr>
                <w:rFonts w:hint="eastAsia" w:ascii="宋体" w:hAnsi="宋体" w:cs="宋体"/>
                <w:b w:val="0"/>
                <w:bCs/>
                <w:szCs w:val="21"/>
                <w:highlight w:val="none"/>
              </w:rPr>
              <w:t>，每人加</w:t>
            </w:r>
            <w:r>
              <w:rPr>
                <w:rFonts w:ascii="宋体" w:hAnsi="宋体" w:cs="宋体"/>
                <w:b w:val="0"/>
                <w:bCs/>
                <w:szCs w:val="21"/>
                <w:highlight w:val="none"/>
              </w:rPr>
              <w:t>1</w:t>
            </w:r>
            <w:r>
              <w:rPr>
                <w:rFonts w:hint="eastAsia" w:ascii="宋体" w:hAnsi="宋体" w:cs="宋体"/>
                <w:b w:val="0"/>
                <w:bCs/>
                <w:szCs w:val="21"/>
                <w:highlight w:val="none"/>
              </w:rPr>
              <w:t>分；具有工程类中级工程师职称的，每人加</w:t>
            </w:r>
            <w:r>
              <w:rPr>
                <w:rFonts w:ascii="宋体" w:hAnsi="宋体" w:cs="宋体"/>
                <w:b w:val="0"/>
                <w:bCs/>
                <w:szCs w:val="21"/>
                <w:highlight w:val="none"/>
              </w:rPr>
              <w:t>0.5分。</w:t>
            </w:r>
            <w:r>
              <w:rPr>
                <w:rFonts w:hint="eastAsia" w:ascii="宋体" w:hAnsi="宋体" w:cs="宋体"/>
                <w:b w:val="0"/>
                <w:bCs/>
                <w:szCs w:val="21"/>
                <w:highlight w:val="none"/>
              </w:rPr>
              <w:t>本项最多得</w:t>
            </w:r>
            <w:r>
              <w:rPr>
                <w:rFonts w:ascii="宋体" w:hAnsi="宋体" w:cs="宋体"/>
                <w:b w:val="0"/>
                <w:bCs/>
                <w:szCs w:val="21"/>
                <w:highlight w:val="none"/>
              </w:rPr>
              <w:t>3</w:t>
            </w:r>
            <w:r>
              <w:rPr>
                <w:rFonts w:hint="eastAsia" w:ascii="宋体" w:hAnsi="宋体" w:cs="宋体"/>
                <w:b w:val="0"/>
                <w:bCs/>
                <w:szCs w:val="21"/>
                <w:highlight w:val="none"/>
              </w:rPr>
              <w:t>分</w:t>
            </w:r>
            <w:r>
              <w:rPr>
                <w:rFonts w:ascii="宋体" w:hAnsi="宋体" w:cs="宋体"/>
                <w:b w:val="0"/>
                <w:bCs/>
                <w:szCs w:val="21"/>
                <w:highlight w:val="none"/>
              </w:rPr>
              <w:t>。</w:t>
            </w:r>
          </w:p>
          <w:p>
            <w:pPr>
              <w:pStyle w:val="27"/>
              <w:adjustRightInd w:val="0"/>
              <w:snapToGrid w:val="0"/>
              <w:spacing w:line="360" w:lineRule="auto"/>
              <w:ind w:firstLine="0"/>
              <w:rPr>
                <w:rFonts w:hint="eastAsia" w:ascii="宋体" w:hAnsi="宋体" w:eastAsia="宋体" w:cs="宋体"/>
                <w:b w:val="0"/>
                <w:bCs/>
                <w:szCs w:val="21"/>
                <w:highlight w:val="none"/>
                <w:lang w:eastAsia="zh-CN"/>
              </w:rPr>
            </w:pPr>
            <w:r>
              <w:rPr>
                <w:rFonts w:hint="eastAsia" w:ascii="宋体" w:hAnsi="宋体" w:cs="宋体"/>
                <w:b w:val="0"/>
                <w:bCs/>
                <w:szCs w:val="21"/>
                <w:highlight w:val="none"/>
              </w:rPr>
              <w:t>注：须提供身份证、职称证书、检测员证或培训合格证</w:t>
            </w:r>
            <w:r>
              <w:rPr>
                <w:rFonts w:hint="eastAsia" w:ascii="宋体" w:hAnsi="宋体" w:cs="宋体"/>
                <w:b w:val="0"/>
                <w:bCs/>
                <w:szCs w:val="21"/>
                <w:highlight w:val="none"/>
                <w:lang w:eastAsia="zh-CN"/>
              </w:rPr>
              <w:t>、及</w:t>
            </w:r>
            <w:r>
              <w:rPr>
                <w:rFonts w:hint="eastAsia" w:ascii="宋体" w:hAnsi="宋体" w:cs="宋体"/>
                <w:b w:val="0"/>
                <w:bCs/>
                <w:szCs w:val="21"/>
                <w:highlight w:val="none"/>
              </w:rPr>
              <w:t>近1月（2024年3月）在本单位参保的社保缴纳证明</w:t>
            </w:r>
            <w:r>
              <w:rPr>
                <w:rFonts w:hint="eastAsia" w:ascii="宋体" w:hAnsi="宋体" w:cs="宋体"/>
                <w:b w:val="0"/>
                <w:bCs/>
                <w:szCs w:val="21"/>
                <w:highlight w:val="none"/>
                <w:lang w:eastAsia="zh-CN"/>
              </w:rPr>
              <w:t>扫描件。未提供上述资料或不符合要求的不得分。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5000" w:type="pct"/>
            <w:gridSpan w:val="4"/>
            <w:vAlign w:val="center"/>
          </w:tcPr>
          <w:p>
            <w:pPr>
              <w:pStyle w:val="27"/>
              <w:numPr>
                <w:ilvl w:val="-1"/>
                <w:numId w:val="0"/>
              </w:numPr>
              <w:snapToGrid w:val="0"/>
              <w:spacing w:line="360" w:lineRule="auto"/>
              <w:ind w:firstLine="0" w:firstLineChars="0"/>
              <w:rPr>
                <w:rFonts w:hint="eastAsia" w:ascii="宋体" w:hAnsi="宋体" w:cs="宋体"/>
                <w:b w:val="0"/>
                <w:bCs/>
                <w:szCs w:val="21"/>
                <w:highlight w:val="none"/>
              </w:rPr>
            </w:pPr>
            <w:r>
              <w:rPr>
                <w:rFonts w:hint="eastAsia" w:ascii="宋体" w:hAnsi="宋体" w:cs="宋体"/>
                <w:b w:val="0"/>
                <w:bCs/>
                <w:szCs w:val="21"/>
                <w:highlight w:val="none"/>
                <w:lang w:val="en-US" w:eastAsia="zh-CN"/>
              </w:rPr>
              <w:t>说明：1.</w:t>
            </w:r>
            <w:r>
              <w:rPr>
                <w:rFonts w:hint="eastAsia" w:ascii="宋体" w:hAnsi="宋体" w:cs="宋体"/>
                <w:b w:val="0"/>
                <w:bCs/>
                <w:szCs w:val="21"/>
                <w:highlight w:val="none"/>
                <w:lang w:eastAsia="zh-CN"/>
              </w:rPr>
              <w:t>未按评审要求提供上述资料或不符合评审要求的，均不得分。</w:t>
            </w:r>
          </w:p>
          <w:p>
            <w:pPr>
              <w:pStyle w:val="27"/>
              <w:adjustRightInd w:val="0"/>
              <w:snapToGrid w:val="0"/>
              <w:spacing w:line="360" w:lineRule="auto"/>
              <w:ind w:firstLine="0"/>
              <w:rPr>
                <w:rFonts w:hint="eastAsia" w:ascii="宋体" w:hAnsi="宋体" w:cs="宋体"/>
                <w:b w:val="0"/>
                <w:bCs/>
                <w:szCs w:val="21"/>
                <w:highlight w:val="none"/>
              </w:rPr>
            </w:pPr>
            <w:r>
              <w:rPr>
                <w:rFonts w:hint="eastAsia" w:ascii="宋体" w:hAnsi="宋体" w:cs="宋体"/>
                <w:b w:val="0"/>
                <w:bCs/>
                <w:szCs w:val="21"/>
                <w:highlight w:val="none"/>
                <w:lang w:val="en-US" w:eastAsia="zh-CN"/>
              </w:rPr>
              <w:t>2.</w:t>
            </w:r>
            <w:r>
              <w:rPr>
                <w:rFonts w:hint="eastAsia" w:ascii="宋体" w:hAnsi="宋体" w:cs="宋体"/>
                <w:b w:val="0"/>
                <w:bCs/>
                <w:szCs w:val="21"/>
                <w:highlight w:val="none"/>
              </w:rPr>
              <w:t>若以联合体方式投标的，本评分内容企业综合实力部分</w:t>
            </w:r>
            <w:r>
              <w:rPr>
                <w:rFonts w:hint="eastAsia" w:ascii="宋体" w:hAnsi="宋体" w:cs="宋体"/>
                <w:b w:val="0"/>
                <w:bCs/>
                <w:szCs w:val="21"/>
                <w:highlight w:val="none"/>
                <w:lang w:eastAsia="zh-CN"/>
              </w:rPr>
              <w:t>均</w:t>
            </w:r>
            <w:r>
              <w:rPr>
                <w:rFonts w:hint="eastAsia" w:ascii="宋体" w:hAnsi="宋体" w:cs="宋体"/>
                <w:b w:val="0"/>
                <w:bCs/>
                <w:szCs w:val="21"/>
                <w:highlight w:val="none"/>
              </w:rPr>
              <w:t>以</w:t>
            </w:r>
            <w:r>
              <w:rPr>
                <w:rFonts w:hint="eastAsia" w:ascii="宋体" w:hAnsi="宋体" w:cs="宋体"/>
                <w:b w:val="0"/>
                <w:bCs/>
                <w:szCs w:val="21"/>
                <w:highlight w:val="none"/>
                <w:lang w:eastAsia="zh-CN"/>
              </w:rPr>
              <w:t>主办方</w:t>
            </w:r>
            <w:r>
              <w:rPr>
                <w:rFonts w:hint="eastAsia" w:ascii="宋体" w:hAnsi="宋体" w:cs="宋体"/>
                <w:b w:val="0"/>
                <w:bCs/>
                <w:szCs w:val="21"/>
                <w:highlight w:val="none"/>
              </w:rPr>
              <w:t>提供资料为准，</w:t>
            </w:r>
            <w:r>
              <w:rPr>
                <w:rFonts w:hint="eastAsia" w:ascii="宋体" w:hAnsi="宋体" w:cs="宋体"/>
                <w:b w:val="0"/>
                <w:bCs/>
                <w:szCs w:val="21"/>
                <w:highlight w:val="none"/>
                <w:lang w:eastAsia="zh-CN"/>
              </w:rPr>
              <w:t>联合</w:t>
            </w:r>
            <w:r>
              <w:rPr>
                <w:rFonts w:hint="eastAsia" w:ascii="宋体" w:hAnsi="宋体" w:cs="宋体"/>
                <w:b w:val="0"/>
                <w:bCs/>
                <w:szCs w:val="21"/>
                <w:highlight w:val="none"/>
              </w:rPr>
              <w:t>成员</w:t>
            </w:r>
            <w:r>
              <w:rPr>
                <w:rFonts w:hint="eastAsia" w:ascii="宋体" w:hAnsi="宋体" w:cs="宋体"/>
                <w:b w:val="0"/>
                <w:bCs/>
                <w:szCs w:val="21"/>
                <w:highlight w:val="none"/>
                <w:lang w:eastAsia="zh-CN"/>
              </w:rPr>
              <w:t>方</w:t>
            </w:r>
            <w:r>
              <w:rPr>
                <w:rFonts w:hint="eastAsia" w:ascii="宋体" w:hAnsi="宋体" w:cs="宋体"/>
                <w:b w:val="0"/>
                <w:bCs/>
                <w:szCs w:val="21"/>
                <w:highlight w:val="none"/>
              </w:rPr>
              <w:t>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restart"/>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2.2.4（2）</w:t>
            </w:r>
          </w:p>
        </w:tc>
        <w:tc>
          <w:tcPr>
            <w:tcW w:w="400" w:type="pct"/>
            <w:vMerge w:val="restart"/>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技术方案评分标准</w:t>
            </w:r>
          </w:p>
        </w:tc>
        <w:tc>
          <w:tcPr>
            <w:tcW w:w="700" w:type="pct"/>
            <w:vAlign w:val="center"/>
          </w:tcPr>
          <w:p>
            <w:pPr>
              <w:adjustRightInd w:val="0"/>
              <w:snapToGrid w:val="0"/>
              <w:spacing w:line="360" w:lineRule="auto"/>
              <w:ind w:right="0"/>
              <w:jc w:val="center"/>
              <w:rPr>
                <w:rFonts w:ascii="宋体" w:hAnsi="宋体" w:cs="宋体"/>
                <w:b w:val="0"/>
                <w:bCs/>
                <w:szCs w:val="21"/>
                <w:highlight w:val="none"/>
              </w:rPr>
            </w:pPr>
            <w:r>
              <w:rPr>
                <w:rFonts w:hint="eastAsia" w:ascii="宋体" w:hAnsi="宋体" w:cs="宋体"/>
                <w:b w:val="0"/>
                <w:bCs/>
                <w:szCs w:val="21"/>
                <w:highlight w:val="none"/>
              </w:rPr>
              <w:t>拟投入机械设备计划（</w:t>
            </w:r>
            <w:r>
              <w:rPr>
                <w:rFonts w:ascii="宋体" w:hAnsi="宋体" w:cs="宋体"/>
                <w:b w:val="0"/>
                <w:bCs/>
                <w:szCs w:val="21"/>
                <w:highlight w:val="none"/>
              </w:rPr>
              <w:t>2</w:t>
            </w:r>
            <w:r>
              <w:rPr>
                <w:rFonts w:hint="eastAsia" w:ascii="宋体" w:hAnsi="宋体" w:cs="宋体"/>
                <w:b w:val="0"/>
                <w:bCs/>
                <w:szCs w:val="21"/>
                <w:highlight w:val="none"/>
              </w:rPr>
              <w:t>0分）</w:t>
            </w:r>
          </w:p>
        </w:tc>
        <w:tc>
          <w:tcPr>
            <w:tcW w:w="3498" w:type="pct"/>
            <w:vAlign w:val="center"/>
          </w:tcPr>
          <w:p>
            <w:pPr>
              <w:pStyle w:val="27"/>
              <w:adjustRightInd w:val="0"/>
              <w:snapToGrid w:val="0"/>
              <w:spacing w:line="360" w:lineRule="auto"/>
              <w:ind w:firstLine="0"/>
              <w:rPr>
                <w:rFonts w:ascii="宋体" w:hAnsi="宋体" w:cs="宋体"/>
                <w:b w:val="0"/>
                <w:bCs/>
                <w:szCs w:val="21"/>
                <w:highlight w:val="none"/>
              </w:rPr>
            </w:pPr>
            <w:r>
              <w:rPr>
                <w:rFonts w:ascii="宋体" w:hAnsi="宋体" w:cs="宋体"/>
                <w:b w:val="0"/>
                <w:bCs/>
                <w:szCs w:val="21"/>
                <w:highlight w:val="none"/>
              </w:rPr>
              <w:t>（1）</w:t>
            </w:r>
            <w:r>
              <w:rPr>
                <w:rFonts w:hint="eastAsia" w:ascii="宋体" w:hAnsi="宋体" w:cs="宋体"/>
                <w:b w:val="0"/>
                <w:bCs/>
                <w:sz w:val="21"/>
                <w:szCs w:val="21"/>
                <w:highlight w:val="none"/>
              </w:rPr>
              <w:t>拟投入本项目检测设备</w:t>
            </w:r>
            <w:r>
              <w:rPr>
                <w:rFonts w:hint="eastAsia" w:ascii="宋体" w:hAnsi="宋体" w:cs="宋体"/>
                <w:b w:val="0"/>
                <w:bCs/>
                <w:szCs w:val="21"/>
                <w:highlight w:val="none"/>
              </w:rPr>
              <w:t>（1</w:t>
            </w:r>
            <w:r>
              <w:rPr>
                <w:rFonts w:ascii="宋体" w:hAnsi="宋体" w:cs="宋体"/>
                <w:b w:val="0"/>
                <w:bCs/>
                <w:szCs w:val="21"/>
                <w:highlight w:val="none"/>
              </w:rPr>
              <w:t>0分</w:t>
            </w:r>
            <w:r>
              <w:rPr>
                <w:rFonts w:hint="eastAsia" w:ascii="宋体" w:hAnsi="宋体" w:cs="宋体"/>
                <w:b w:val="0"/>
                <w:bCs/>
                <w:szCs w:val="21"/>
                <w:highlight w:val="none"/>
              </w:rPr>
              <w:t>）</w:t>
            </w:r>
            <w:r>
              <w:rPr>
                <w:rFonts w:hint="eastAsia" w:ascii="宋体" w:hAnsi="宋体" w:cs="宋体"/>
                <w:b w:val="0"/>
                <w:bCs/>
                <w:sz w:val="21"/>
                <w:szCs w:val="21"/>
                <w:highlight w:val="none"/>
              </w:rPr>
              <w:t>：</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【优】拟投入检测设备先进、配备合理，完全满足检测和服务期要求，得</w:t>
            </w:r>
            <w:r>
              <w:rPr>
                <w:rFonts w:ascii="宋体" w:hAnsi="宋体" w:cs="宋体"/>
                <w:b w:val="0"/>
                <w:bCs/>
                <w:szCs w:val="21"/>
                <w:highlight w:val="none"/>
              </w:rPr>
              <w:t>8-10分；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【良】拟投入检测设备先进、配备合理，能较好满足检测和服务期要求，得</w:t>
            </w:r>
            <w:r>
              <w:rPr>
                <w:rFonts w:ascii="宋体" w:hAnsi="宋体" w:cs="宋体"/>
                <w:b w:val="0"/>
                <w:bCs/>
                <w:szCs w:val="21"/>
                <w:highlight w:val="none"/>
              </w:rPr>
              <w:t>4-7分；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【中】拟投入检测设备先进、配备基本合理，能基本满足检测和服务期要求，得</w:t>
            </w:r>
            <w:r>
              <w:rPr>
                <w:rFonts w:ascii="宋体" w:hAnsi="宋体" w:cs="宋体"/>
                <w:b w:val="0"/>
                <w:bCs/>
                <w:szCs w:val="21"/>
                <w:highlight w:val="none"/>
              </w:rPr>
              <w:t>1-3分；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【差】设备不能满足检测需要和服务期要求，得</w:t>
            </w:r>
            <w:r>
              <w:rPr>
                <w:rFonts w:ascii="宋体" w:hAnsi="宋体" w:cs="宋体"/>
                <w:b w:val="0"/>
                <w:bCs/>
                <w:szCs w:val="21"/>
                <w:highlight w:val="none"/>
              </w:rPr>
              <w:t>0分。</w:t>
            </w:r>
          </w:p>
          <w:p>
            <w:pPr>
              <w:pStyle w:val="27"/>
              <w:snapToGrid w:val="0"/>
              <w:spacing w:line="360" w:lineRule="auto"/>
              <w:ind w:firstLine="0"/>
              <w:rPr>
                <w:rFonts w:ascii="宋体" w:hAnsi="宋体" w:cs="宋体"/>
                <w:b w:val="0"/>
                <w:bCs/>
                <w:sz w:val="21"/>
                <w:szCs w:val="21"/>
                <w:highlight w:val="none"/>
              </w:rPr>
            </w:pPr>
            <w:r>
              <w:rPr>
                <w:rFonts w:hint="eastAsia" w:ascii="宋体" w:hAnsi="宋体" w:cs="宋体"/>
                <w:b w:val="0"/>
                <w:bCs/>
                <w:szCs w:val="21"/>
                <w:highlight w:val="none"/>
              </w:rPr>
              <w:t>（</w:t>
            </w:r>
            <w:r>
              <w:rPr>
                <w:rFonts w:ascii="宋体" w:hAnsi="宋体" w:cs="宋体"/>
                <w:b w:val="0"/>
                <w:bCs/>
                <w:szCs w:val="21"/>
                <w:highlight w:val="none"/>
              </w:rPr>
              <w:t>2）</w:t>
            </w:r>
            <w:r>
              <w:rPr>
                <w:rFonts w:hint="eastAsia" w:ascii="宋体" w:hAnsi="宋体" w:cs="宋体"/>
                <w:b w:val="0"/>
                <w:bCs/>
                <w:sz w:val="21"/>
                <w:szCs w:val="21"/>
                <w:highlight w:val="none"/>
              </w:rPr>
              <w:t>拟投入本项目</w:t>
            </w:r>
            <w:r>
              <w:rPr>
                <w:rFonts w:hint="eastAsia" w:ascii="宋体" w:hAnsi="宋体" w:cs="宋体"/>
                <w:b w:val="0"/>
                <w:bCs/>
                <w:sz w:val="21"/>
                <w:szCs w:val="21"/>
                <w:highlight w:val="none"/>
                <w:lang w:eastAsia="zh-CN"/>
              </w:rPr>
              <w:t>检测车辆</w:t>
            </w:r>
            <w:r>
              <w:rPr>
                <w:rFonts w:hint="eastAsia" w:ascii="宋体" w:hAnsi="宋体" w:cs="宋体"/>
                <w:b w:val="0"/>
                <w:bCs/>
                <w:szCs w:val="21"/>
                <w:highlight w:val="none"/>
              </w:rPr>
              <w:t>（1</w:t>
            </w:r>
            <w:r>
              <w:rPr>
                <w:rFonts w:ascii="宋体" w:hAnsi="宋体" w:cs="宋体"/>
                <w:b w:val="0"/>
                <w:bCs/>
                <w:szCs w:val="21"/>
                <w:highlight w:val="none"/>
              </w:rPr>
              <w:t>0分</w:t>
            </w:r>
            <w:r>
              <w:rPr>
                <w:rFonts w:hint="eastAsia" w:ascii="宋体" w:hAnsi="宋体" w:cs="宋体"/>
                <w:b w:val="0"/>
                <w:bCs/>
                <w:szCs w:val="21"/>
                <w:highlight w:val="none"/>
              </w:rPr>
              <w:t>）</w:t>
            </w:r>
            <w:r>
              <w:rPr>
                <w:rFonts w:hint="eastAsia" w:ascii="宋体" w:hAnsi="宋体" w:cs="宋体"/>
                <w:b w:val="0"/>
                <w:bCs/>
                <w:sz w:val="21"/>
                <w:szCs w:val="21"/>
                <w:highlight w:val="none"/>
              </w:rPr>
              <w:t>：</w:t>
            </w:r>
          </w:p>
          <w:p>
            <w:pPr>
              <w:pStyle w:val="27"/>
              <w:adjustRightInd w:val="0"/>
              <w:snapToGrid w:val="0"/>
              <w:spacing w:line="360" w:lineRule="auto"/>
              <w:ind w:firstLine="0"/>
              <w:rPr>
                <w:rFonts w:ascii="宋体" w:hAnsi="宋体" w:cs="宋体"/>
                <w:b w:val="0"/>
                <w:bCs/>
                <w:sz w:val="21"/>
                <w:szCs w:val="21"/>
                <w:highlight w:val="none"/>
              </w:rPr>
            </w:pPr>
            <w:r>
              <w:rPr>
                <w:rFonts w:hint="eastAsia" w:ascii="宋体" w:hAnsi="宋体" w:cs="宋体"/>
                <w:b w:val="0"/>
                <w:bCs/>
                <w:sz w:val="21"/>
                <w:szCs w:val="21"/>
                <w:highlight w:val="none"/>
              </w:rPr>
              <w:t>每</w:t>
            </w:r>
            <w:r>
              <w:rPr>
                <w:rFonts w:hint="eastAsia" w:ascii="宋体" w:hAnsi="宋体" w:cs="宋体"/>
                <w:b w:val="0"/>
                <w:bCs/>
                <w:sz w:val="21"/>
                <w:szCs w:val="21"/>
                <w:highlight w:val="none"/>
                <w:lang w:eastAsia="zh-CN"/>
              </w:rPr>
              <w:t>投入一台</w:t>
            </w:r>
            <w:r>
              <w:rPr>
                <w:rFonts w:hint="eastAsia" w:ascii="宋体" w:hAnsi="宋体" w:cs="宋体"/>
                <w:b w:val="0"/>
                <w:bCs/>
                <w:sz w:val="21"/>
                <w:szCs w:val="21"/>
                <w:highlight w:val="none"/>
              </w:rPr>
              <w:t>静载试验检测试块运输（重型栏板货车）或静载吊装车辆（重型非载货专项作业车）且权属证明为自有的，得</w:t>
            </w:r>
            <w:r>
              <w:rPr>
                <w:rFonts w:ascii="宋体" w:hAnsi="宋体" w:cs="宋体"/>
                <w:b w:val="0"/>
                <w:bCs/>
                <w:sz w:val="21"/>
                <w:szCs w:val="21"/>
                <w:highlight w:val="none"/>
              </w:rPr>
              <w:t>2分，最多得10分</w:t>
            </w:r>
            <w:r>
              <w:rPr>
                <w:rFonts w:hint="eastAsia" w:ascii="宋体" w:hAnsi="宋体" w:cs="宋体"/>
                <w:b w:val="0"/>
                <w:bCs/>
                <w:szCs w:val="21"/>
                <w:highlight w:val="none"/>
              </w:rPr>
              <w:t>；</w:t>
            </w:r>
            <w:r>
              <w:rPr>
                <w:rFonts w:hint="eastAsia" w:ascii="宋体" w:hAnsi="宋体" w:cs="宋体"/>
                <w:b w:val="0"/>
                <w:bCs/>
                <w:szCs w:val="21"/>
                <w:highlight w:val="none"/>
                <w:lang w:eastAsia="zh-CN"/>
              </w:rPr>
              <w:t>若投入</w:t>
            </w:r>
            <w:r>
              <w:rPr>
                <w:rFonts w:hint="eastAsia" w:ascii="宋体" w:hAnsi="宋体" w:cs="宋体"/>
                <w:b w:val="0"/>
                <w:bCs/>
                <w:szCs w:val="21"/>
                <w:highlight w:val="none"/>
              </w:rPr>
              <w:t>为租赁的，每台得</w:t>
            </w:r>
            <w:r>
              <w:rPr>
                <w:rFonts w:ascii="宋体" w:hAnsi="宋体" w:cs="宋体"/>
                <w:b w:val="0"/>
                <w:bCs/>
                <w:szCs w:val="21"/>
                <w:highlight w:val="none"/>
              </w:rPr>
              <w:t>1分，最多得5分。</w:t>
            </w:r>
          </w:p>
          <w:p>
            <w:pPr>
              <w:pStyle w:val="27"/>
              <w:adjustRightInd w:val="0"/>
              <w:snapToGrid w:val="0"/>
              <w:spacing w:line="360" w:lineRule="auto"/>
              <w:ind w:firstLine="0"/>
              <w:rPr>
                <w:highlight w:val="none"/>
              </w:rPr>
            </w:pPr>
            <w:r>
              <w:rPr>
                <w:rFonts w:hint="eastAsia" w:ascii="宋体" w:hAnsi="宋体" w:cs="宋体"/>
                <w:b w:val="0"/>
                <w:bCs/>
                <w:sz w:val="21"/>
                <w:szCs w:val="21"/>
                <w:highlight w:val="none"/>
              </w:rPr>
              <w:t>注：</w:t>
            </w:r>
            <w:r>
              <w:rPr>
                <w:rFonts w:hint="eastAsia" w:ascii="宋体" w:hAnsi="宋体" w:cs="宋体"/>
                <w:bCs/>
                <w:szCs w:val="21"/>
                <w:highlight w:val="none"/>
              </w:rPr>
              <w:t>须提供拟投入本项目的主要试验检测仪器设备表</w:t>
            </w:r>
            <w:r>
              <w:rPr>
                <w:highlight w:val="none"/>
              </w:rPr>
              <w:t>及相关证明文件</w:t>
            </w:r>
            <w:r>
              <w:rPr>
                <w:rFonts w:hint="eastAsia"/>
                <w:highlight w:val="none"/>
              </w:rPr>
              <w:t>：1.</w:t>
            </w:r>
            <w:r>
              <w:rPr>
                <w:rFonts w:hint="eastAsia" w:ascii="宋体" w:hAnsi="宋体" w:cs="宋体"/>
                <w:bCs/>
                <w:szCs w:val="21"/>
                <w:highlight w:val="none"/>
              </w:rPr>
              <w:t>检测设备：</w:t>
            </w:r>
            <w:r>
              <w:rPr>
                <w:rFonts w:hint="eastAsia" w:ascii="宋体" w:hAnsi="宋体" w:cs="宋体"/>
                <w:szCs w:val="21"/>
                <w:highlight w:val="none"/>
              </w:rPr>
              <w:t>须提购置发票或仪器检定证书或其他证明材料</w:t>
            </w:r>
            <w:r>
              <w:rPr>
                <w:rFonts w:hint="eastAsia" w:ascii="宋体" w:hAnsi="宋体" w:cs="宋体"/>
                <w:bCs/>
                <w:szCs w:val="21"/>
                <w:highlight w:val="none"/>
              </w:rPr>
              <w:t>，且检定证书在有效期内</w:t>
            </w:r>
            <w:r>
              <w:rPr>
                <w:rFonts w:hint="eastAsia" w:ascii="宋体" w:hAnsi="宋体" w:cs="宋体"/>
                <w:szCs w:val="21"/>
                <w:highlight w:val="none"/>
              </w:rPr>
              <w:t xml:space="preserve">。 </w:t>
            </w:r>
          </w:p>
          <w:p>
            <w:pPr>
              <w:pStyle w:val="27"/>
              <w:adjustRightInd w:val="0"/>
              <w:snapToGrid w:val="0"/>
              <w:spacing w:line="360" w:lineRule="auto"/>
              <w:ind w:firstLine="0"/>
              <w:rPr>
                <w:rFonts w:hint="eastAsia" w:ascii="宋体" w:hAnsi="宋体" w:cs="宋体"/>
                <w:b w:val="0"/>
                <w:bCs/>
                <w:sz w:val="21"/>
                <w:szCs w:val="21"/>
                <w:highlight w:val="none"/>
              </w:rPr>
            </w:pPr>
            <w:r>
              <w:rPr>
                <w:rFonts w:hint="eastAsia"/>
                <w:highlight w:val="none"/>
              </w:rPr>
              <w:t>2.自有车辆：须提供车辆购置发票扫描件和有效的车辆行驶证及登记证扫描件，并属投标人名下</w:t>
            </w:r>
            <w:r>
              <w:rPr>
                <w:rFonts w:hint="eastAsia" w:ascii="宋体" w:hAnsi="宋体" w:cs="宋体"/>
                <w:bCs/>
                <w:szCs w:val="21"/>
                <w:highlight w:val="none"/>
              </w:rPr>
              <w:t>（不计算投标人的分公司、子公司和分支机构），</w:t>
            </w:r>
            <w:r>
              <w:rPr>
                <w:rFonts w:hint="eastAsia"/>
                <w:highlight w:val="none"/>
              </w:rPr>
              <w:t>否则不得分；租赁车辆：须同时提供出租方的有效的租赁合同（租赁期不少于本项目服务期）、对应车辆的租赁费发票（租赁费发票必须清晰反映车辆名称）和作业车辆相应有效的车辆行驶证、登记证扫描件，同一台车辆设备不得重复租赁，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400" w:type="pct"/>
            <w:vMerge w:val="continue"/>
            <w:vAlign w:val="center"/>
          </w:tcPr>
          <w:p>
            <w:pPr>
              <w:snapToGrid w:val="0"/>
              <w:spacing w:line="360" w:lineRule="auto"/>
              <w:jc w:val="center"/>
              <w:rPr>
                <w:rFonts w:ascii="宋体" w:hAnsi="宋体" w:cs="宋体"/>
                <w:b w:val="0"/>
                <w:bCs/>
                <w:szCs w:val="21"/>
                <w:highlight w:val="none"/>
              </w:rPr>
            </w:pPr>
          </w:p>
        </w:tc>
        <w:tc>
          <w:tcPr>
            <w:tcW w:w="700" w:type="pct"/>
            <w:vAlign w:val="center"/>
          </w:tcPr>
          <w:p>
            <w:pPr>
              <w:adjustRightInd w:val="0"/>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检测方案（1</w:t>
            </w:r>
            <w:r>
              <w:rPr>
                <w:rFonts w:ascii="宋体" w:hAnsi="宋体" w:cs="宋体"/>
                <w:b w:val="0"/>
                <w:bCs/>
                <w:szCs w:val="21"/>
                <w:highlight w:val="none"/>
              </w:rPr>
              <w:t>0</w:t>
            </w:r>
            <w:r>
              <w:rPr>
                <w:rFonts w:hint="eastAsia" w:ascii="宋体" w:hAnsi="宋体" w:cs="宋体"/>
                <w:b w:val="0"/>
                <w:bCs/>
                <w:szCs w:val="21"/>
                <w:highlight w:val="none"/>
              </w:rPr>
              <w:t>分）</w:t>
            </w:r>
          </w:p>
        </w:tc>
        <w:tc>
          <w:tcPr>
            <w:tcW w:w="3498" w:type="pct"/>
            <w:vAlign w:val="center"/>
          </w:tcPr>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【优】检测工作的程序与方案详细、具体，内容齐全，能满足用户需求，有合理可行的保证通过相关验收、满足工程进度确保措施，得8-10分。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【良】检测工作的程序与方案内容齐全，基本满足要求，检测方法符合检测要求，得4-7分；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【中】检测工作的程序与方案不够全面具体，可行性低，得1-3分。</w:t>
            </w:r>
          </w:p>
          <w:p>
            <w:pPr>
              <w:pStyle w:val="27"/>
              <w:adjustRightInd w:val="0"/>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【差】检测方案内容阐述缺项，检测程序不满足要求，得0分。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2.2.4（3）</w:t>
            </w:r>
          </w:p>
        </w:tc>
        <w:tc>
          <w:tcPr>
            <w:tcW w:w="400" w:type="pct"/>
            <w:vAlign w:val="center"/>
          </w:tcPr>
          <w:p>
            <w:pPr>
              <w:snapToGrid w:val="0"/>
              <w:spacing w:line="360" w:lineRule="auto"/>
              <w:ind w:left="0" w:leftChars="0" w:right="0" w:rightChars="0"/>
              <w:jc w:val="center"/>
              <w:rPr>
                <w:rFonts w:ascii="宋体" w:hAnsi="宋体" w:cs="宋体"/>
                <w:b w:val="0"/>
                <w:bCs/>
                <w:szCs w:val="21"/>
                <w:highlight w:val="none"/>
              </w:rPr>
            </w:pPr>
            <w:r>
              <w:rPr>
                <w:rFonts w:hint="eastAsia" w:ascii="宋体" w:hAnsi="宋体" w:cs="宋体"/>
                <w:b w:val="0"/>
                <w:bCs/>
                <w:szCs w:val="21"/>
                <w:highlight w:val="none"/>
              </w:rPr>
              <w:t>投标报价评分标准</w:t>
            </w:r>
          </w:p>
        </w:tc>
        <w:tc>
          <w:tcPr>
            <w:tcW w:w="4198" w:type="pct"/>
            <w:gridSpan w:val="2"/>
            <w:vAlign w:val="center"/>
          </w:tcPr>
          <w:p>
            <w:pPr>
              <w:widowControl/>
              <w:snapToGrid w:val="0"/>
              <w:spacing w:line="360" w:lineRule="auto"/>
              <w:rPr>
                <w:rFonts w:ascii="宋体" w:hAnsi="宋体" w:cs="宋体"/>
                <w:b w:val="0"/>
                <w:bCs/>
                <w:kern w:val="0"/>
                <w:szCs w:val="21"/>
                <w:highlight w:val="none"/>
              </w:rPr>
            </w:pPr>
            <w:r>
              <w:rPr>
                <w:rFonts w:hint="eastAsia" w:ascii="宋体" w:hAnsi="宋体" w:cs="宋体"/>
                <w:b w:val="0"/>
                <w:bCs/>
                <w:szCs w:val="21"/>
                <w:highlight w:val="none"/>
              </w:rPr>
              <w:t>以评标参考价作为计算各有效投标报价得分的基础，当有效投标报价等于评标参考价时得1</w:t>
            </w:r>
            <w:r>
              <w:rPr>
                <w:rFonts w:ascii="宋体" w:hAnsi="宋体" w:cs="宋体"/>
                <w:b w:val="0"/>
                <w:bCs/>
                <w:szCs w:val="21"/>
                <w:highlight w:val="none"/>
              </w:rPr>
              <w:t>0</w:t>
            </w:r>
            <w:r>
              <w:rPr>
                <w:rFonts w:hint="eastAsia" w:ascii="宋体" w:hAnsi="宋体" w:cs="宋体"/>
                <w:b w:val="0"/>
                <w:bCs/>
                <w:szCs w:val="21"/>
                <w:highlight w:val="none"/>
              </w:rPr>
              <w:t>分；投标有效报价与评标参考价之差，每上偏1%扣1.0分，下偏1%扣0.5分；最多减至0分止。得分精确到小数点后两位。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 w:type="pct"/>
            <w:vAlign w:val="center"/>
          </w:tcPr>
          <w:p>
            <w:pPr>
              <w:snapToGrid w:val="0"/>
              <w:spacing w:line="360" w:lineRule="auto"/>
              <w:jc w:val="center"/>
              <w:rPr>
                <w:rFonts w:ascii="宋体" w:hAnsi="宋体" w:cs="宋体"/>
                <w:b w:val="0"/>
                <w:bCs/>
                <w:szCs w:val="21"/>
                <w:highlight w:val="none"/>
              </w:rPr>
            </w:pPr>
            <w:r>
              <w:rPr>
                <w:rFonts w:hint="eastAsia" w:ascii="宋体" w:hAnsi="宋体" w:cs="宋体"/>
                <w:b w:val="0"/>
                <w:bCs/>
                <w:szCs w:val="21"/>
                <w:highlight w:val="none"/>
              </w:rPr>
              <w:t>2.2.4（4）</w:t>
            </w:r>
          </w:p>
        </w:tc>
        <w:tc>
          <w:tcPr>
            <w:tcW w:w="400" w:type="pct"/>
            <w:vAlign w:val="center"/>
          </w:tcPr>
          <w:p>
            <w:pPr>
              <w:snapToGrid w:val="0"/>
              <w:spacing w:line="360" w:lineRule="auto"/>
              <w:ind w:left="0" w:leftChars="0" w:right="0" w:rightChars="0"/>
              <w:jc w:val="center"/>
              <w:rPr>
                <w:rFonts w:ascii="宋体" w:hAnsi="宋体" w:cs="宋体"/>
                <w:b w:val="0"/>
                <w:bCs/>
                <w:szCs w:val="21"/>
                <w:highlight w:val="none"/>
              </w:rPr>
            </w:pPr>
            <w:r>
              <w:rPr>
                <w:rFonts w:hint="eastAsia" w:ascii="宋体" w:hAnsi="宋体" w:cs="宋体"/>
                <w:b w:val="0"/>
                <w:bCs/>
                <w:szCs w:val="21"/>
                <w:highlight w:val="none"/>
              </w:rPr>
              <w:t>其他因素评分标准</w:t>
            </w:r>
          </w:p>
        </w:tc>
        <w:tc>
          <w:tcPr>
            <w:tcW w:w="4198" w:type="pct"/>
            <w:gridSpan w:val="2"/>
            <w:vAlign w:val="center"/>
          </w:tcPr>
          <w:p>
            <w:pPr>
              <w:widowControl/>
              <w:snapToGrid w:val="0"/>
              <w:spacing w:line="360" w:lineRule="auto"/>
              <w:rPr>
                <w:rFonts w:ascii="宋体" w:hAnsi="宋体" w:cs="宋体"/>
                <w:b w:val="0"/>
                <w:bCs/>
                <w:szCs w:val="21"/>
                <w:highlight w:val="none"/>
              </w:rPr>
            </w:pPr>
            <w:r>
              <w:rPr>
                <w:rFonts w:hint="eastAsia" w:ascii="宋体" w:hAnsi="宋体" w:cs="宋体"/>
                <w:b w:val="0"/>
                <w:bCs/>
                <w:szCs w:val="21"/>
                <w:highlight w:val="none"/>
              </w:rPr>
              <w:t>投标人诚信得分=在广州市检测单位诚信评价中60日诚信分得分×</w:t>
            </w:r>
            <w:r>
              <w:rPr>
                <w:rFonts w:ascii="宋体" w:hAnsi="宋体" w:cs="宋体"/>
                <w:b w:val="0"/>
                <w:bCs/>
                <w:szCs w:val="21"/>
                <w:highlight w:val="none"/>
              </w:rPr>
              <w:t>5</w:t>
            </w:r>
            <w:r>
              <w:rPr>
                <w:rFonts w:hint="eastAsia" w:ascii="宋体" w:hAnsi="宋体" w:cs="宋体"/>
                <w:b w:val="0"/>
                <w:bCs/>
                <w:szCs w:val="21"/>
                <w:highlight w:val="none"/>
              </w:rPr>
              <w:t>%。</w:t>
            </w:r>
          </w:p>
          <w:p>
            <w:pPr>
              <w:widowControl/>
              <w:snapToGrid w:val="0"/>
              <w:spacing w:line="360" w:lineRule="auto"/>
              <w:rPr>
                <w:rFonts w:ascii="宋体" w:hAnsi="宋体" w:cs="宋体"/>
                <w:b w:val="0"/>
                <w:bCs/>
                <w:szCs w:val="21"/>
                <w:highlight w:val="none"/>
              </w:rPr>
            </w:pPr>
            <w:r>
              <w:rPr>
                <w:rFonts w:hint="eastAsia" w:ascii="宋体" w:hAnsi="宋体" w:cs="宋体"/>
                <w:b w:val="0"/>
                <w:bCs/>
                <w:szCs w:val="21"/>
                <w:highlight w:val="none"/>
              </w:rPr>
              <w:t>注：（1）在广州市检测单位诚信评价系统中直接查询。（2）查询地址：https://rhjg.gzcqs.com/evaluationPage。若评标时网址有变化，以最新的网址为准。（3）得分以投标截止当天查询为准。（4）若投标人为联合体，以联合体牵头人（主办方）的企业诚信综合评价排名得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pStyle w:val="27"/>
              <w:numPr>
                <w:ilvl w:val="0"/>
                <w:numId w:val="3"/>
              </w:numPr>
              <w:snapToGrid w:val="0"/>
              <w:spacing w:line="360" w:lineRule="auto"/>
              <w:ind w:firstLine="0"/>
              <w:rPr>
                <w:rFonts w:ascii="宋体" w:hAnsi="宋体" w:cs="宋体"/>
                <w:b w:val="0"/>
                <w:bCs/>
                <w:szCs w:val="21"/>
                <w:highlight w:val="none"/>
              </w:rPr>
            </w:pPr>
            <w:r>
              <w:rPr>
                <w:rFonts w:hint="eastAsia" w:ascii="宋体" w:hAnsi="宋体" w:cs="宋体"/>
                <w:b w:val="0"/>
                <w:bCs/>
                <w:szCs w:val="21"/>
                <w:highlight w:val="none"/>
              </w:rPr>
              <w:t>说明：1、投标人的综合得分为各评委的评分去掉一个最高分和一个最低分后计取的算术平均分（分数出现小数点时，保留小数点后二位，第三位小数四舍五入）。</w:t>
            </w:r>
          </w:p>
          <w:p>
            <w:pPr>
              <w:pStyle w:val="27"/>
              <w:numPr>
                <w:ilvl w:val="0"/>
                <w:numId w:val="3"/>
              </w:numPr>
              <w:snapToGrid w:val="0"/>
              <w:spacing w:line="360" w:lineRule="auto"/>
              <w:ind w:firstLine="0" w:firstLineChars="0"/>
              <w:rPr>
                <w:rFonts w:hint="eastAsia" w:ascii="宋体" w:hAnsi="宋体" w:cs="宋体"/>
                <w:b w:val="0"/>
                <w:bCs/>
                <w:szCs w:val="21"/>
                <w:highlight w:val="none"/>
              </w:rPr>
            </w:pPr>
            <w:r>
              <w:rPr>
                <w:rFonts w:hint="eastAsia" w:ascii="宋体" w:hAnsi="宋体" w:cs="宋体"/>
                <w:b w:val="0"/>
                <w:bCs/>
                <w:szCs w:val="21"/>
                <w:highlight w:val="none"/>
              </w:rPr>
              <w:t>中标单位需准备投标文件涉及的所有原件待查，如原件不齐或与原件不符的，招标人有权取消其中标人资格，并上报建设行政主管部门。</w:t>
            </w:r>
          </w:p>
        </w:tc>
      </w:tr>
    </w:tbl>
    <w:p>
      <w:pPr>
        <w:pStyle w:val="4"/>
        <w:numPr>
          <w:ilvl w:val="0"/>
          <w:numId w:val="4"/>
        </w:numPr>
        <w:rPr>
          <w:rFonts w:cs="宋体"/>
          <w:highlight w:val="none"/>
        </w:rPr>
      </w:pPr>
      <w:r>
        <w:rPr>
          <w:rFonts w:hint="eastAsia" w:cs="宋体"/>
          <w:szCs w:val="21"/>
          <w:highlight w:val="none"/>
        </w:rPr>
        <w:br w:type="page"/>
      </w:r>
      <w:bookmarkStart w:id="107" w:name="_Toc24236"/>
      <w:bookmarkStart w:id="108" w:name="_Toc533357319"/>
      <w:r>
        <w:rPr>
          <w:rFonts w:hint="eastAsia" w:cs="宋体"/>
          <w:highlight w:val="none"/>
        </w:rPr>
        <w:t>评标方法</w:t>
      </w:r>
      <w:bookmarkEnd w:id="107"/>
      <w:bookmarkEnd w:id="108"/>
    </w:p>
    <w:p>
      <w:pPr>
        <w:spacing w:line="360" w:lineRule="auto"/>
        <w:rPr>
          <w:rFonts w:ascii="宋体" w:hAnsi="宋体" w:cs="宋体"/>
          <w:highlight w:val="none"/>
        </w:r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本次评标采用综合评估法。评标委员会对满足招标文件实质性要求的投标文件，按照本章第2.2款规定的评分标准进行打分，并按得分由高到低顺序推荐中标候选人，排序的前一~三名为第一中标候选人、第二中标候选人和第三中标候选人。总得分相等时，以投标报价低的优先；报价也相等的，以检测方案得分高的优先；如果检测方案得分也相等，由评标委员会采用记名投票方式，以得票多的优先。</w:t>
      </w:r>
    </w:p>
    <w:p>
      <w:pPr>
        <w:spacing w:line="360" w:lineRule="auto"/>
        <w:rPr>
          <w:rFonts w:ascii="宋体" w:hAnsi="宋体" w:cs="宋体"/>
          <w:highlight w:val="none"/>
        </w:rPr>
      </w:pPr>
    </w:p>
    <w:p>
      <w:pPr>
        <w:pStyle w:val="4"/>
        <w:rPr>
          <w:rFonts w:cs="宋体"/>
          <w:highlight w:val="none"/>
        </w:rPr>
      </w:pPr>
      <w:bookmarkStart w:id="109" w:name="bookmark85"/>
      <w:bookmarkEnd w:id="109"/>
      <w:bookmarkStart w:id="110" w:name="_Toc7174"/>
      <w:bookmarkStart w:id="111" w:name="_Toc533357320"/>
      <w:r>
        <w:rPr>
          <w:rFonts w:hint="eastAsia" w:cs="宋体"/>
          <w:highlight w:val="none"/>
        </w:rPr>
        <w:t>2. 评审标准</w:t>
      </w:r>
      <w:bookmarkEnd w:id="110"/>
      <w:bookmarkEnd w:id="111"/>
    </w:p>
    <w:p>
      <w:pPr>
        <w:spacing w:line="360" w:lineRule="auto"/>
        <w:rPr>
          <w:rFonts w:ascii="宋体" w:hAnsi="宋体" w:cs="宋体"/>
          <w:highlight w:val="none"/>
        </w:rPr>
      </w:pPr>
    </w:p>
    <w:p>
      <w:pPr>
        <w:pStyle w:val="6"/>
        <w:spacing w:line="360" w:lineRule="auto"/>
        <w:ind w:firstLine="420"/>
        <w:rPr>
          <w:rFonts w:ascii="宋体" w:hAnsi="宋体" w:cs="宋体"/>
          <w:highlight w:val="none"/>
        </w:rPr>
      </w:pPr>
      <w:bookmarkStart w:id="112" w:name="bookmark86"/>
      <w:bookmarkEnd w:id="112"/>
      <w:r>
        <w:rPr>
          <w:rFonts w:hint="eastAsia" w:ascii="宋体" w:hAnsi="宋体" w:cs="宋体"/>
          <w:highlight w:val="none"/>
        </w:rPr>
        <w:t>2.1 初步评审标准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2.1.1形式评审标准：见评标办法前附表。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2.1.2资格评审标准：见评标办法前附表。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2.1.3响应性评审标准：见评标办法前附表。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注：不得将文件顺序、明显的文字错误等列为否决投标的情形。评委发现投标文件中含义不明确、对同类问题表述不一致、有明显文字和计算错误的，应当要求投标人作必要的澄清、说明后再判定投标人是否通过初步评审，不得直接认定其不通过初步评审。</w:t>
      </w:r>
    </w:p>
    <w:p>
      <w:pPr>
        <w:spacing w:line="360" w:lineRule="auto"/>
        <w:rPr>
          <w:rFonts w:ascii="宋体" w:hAnsi="宋体" w:cs="宋体"/>
          <w:highlight w:val="none"/>
        </w:rPr>
      </w:pPr>
    </w:p>
    <w:p>
      <w:pPr>
        <w:pStyle w:val="6"/>
        <w:spacing w:line="360" w:lineRule="auto"/>
        <w:rPr>
          <w:rFonts w:ascii="宋体" w:hAnsi="宋体" w:cs="宋体"/>
          <w:highlight w:val="none"/>
        </w:rPr>
      </w:pPr>
      <w:bookmarkStart w:id="113" w:name="bookmark87"/>
      <w:bookmarkEnd w:id="113"/>
      <w:r>
        <w:rPr>
          <w:rFonts w:hint="eastAsia" w:ascii="宋体" w:hAnsi="宋体" w:cs="宋体"/>
          <w:highlight w:val="none"/>
        </w:rPr>
        <w:t>2.2 分值构成与评分标准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2.2.1分值构成</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w:t>
      </w:r>
      <w:bookmarkStart w:id="114" w:name="_Hlk132124196"/>
      <w:r>
        <w:rPr>
          <w:rFonts w:hint="eastAsia" w:ascii="宋体" w:hAnsi="宋体" w:cs="宋体"/>
          <w:sz w:val="24"/>
          <w:szCs w:val="24"/>
          <w:highlight w:val="none"/>
        </w:rPr>
        <w:t>资信业绩</w:t>
      </w:r>
      <w:bookmarkEnd w:id="114"/>
      <w:r>
        <w:rPr>
          <w:rFonts w:hint="eastAsia" w:ascii="宋体" w:hAnsi="宋体" w:cs="宋体"/>
          <w:sz w:val="24"/>
          <w:szCs w:val="24"/>
          <w:highlight w:val="none"/>
        </w:rPr>
        <w:t>部分：见评标办法前附表；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（2）技术方案部分：见评标办法前附表；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（3）投标报价部分：见评标办法前附表；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（4）其他因素部分：见评标办法前附表。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2.2.2评标参考价计算</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评标参考价计算方法：见评标办法前附表。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2.2.3投标报价的计算</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投标报价的偏差率计算公式：见评标办法前附表。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2.2.4评分标准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（1）资信业绩评分标准：见评标办法前附表；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（2）技术方案评分标准：见评标办法前附表；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（3）投标报价评分标准：见评标办法前附表；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（4）其他因素评分标准：见评标办法前附表。</w:t>
      </w:r>
    </w:p>
    <w:p>
      <w:pPr>
        <w:pStyle w:val="4"/>
        <w:rPr>
          <w:rFonts w:cs="宋体"/>
          <w:highlight w:val="none"/>
        </w:rPr>
      </w:pPr>
      <w:bookmarkStart w:id="115" w:name="bookmark88"/>
      <w:bookmarkEnd w:id="115"/>
      <w:bookmarkStart w:id="116" w:name="_Toc533357321"/>
      <w:bookmarkStart w:id="117" w:name="_Toc7702"/>
      <w:r>
        <w:rPr>
          <w:rFonts w:hint="eastAsia" w:cs="宋体"/>
          <w:highlight w:val="none"/>
        </w:rPr>
        <w:t>3. 评标程序</w:t>
      </w:r>
      <w:bookmarkEnd w:id="116"/>
      <w:bookmarkEnd w:id="117"/>
    </w:p>
    <w:p>
      <w:pPr>
        <w:spacing w:line="360" w:lineRule="auto"/>
        <w:rPr>
          <w:rFonts w:ascii="宋体" w:hAnsi="宋体" w:cs="宋体"/>
          <w:highlight w:val="none"/>
        </w:rPr>
      </w:pPr>
    </w:p>
    <w:p>
      <w:pPr>
        <w:pStyle w:val="6"/>
        <w:spacing w:line="360" w:lineRule="auto"/>
        <w:rPr>
          <w:rFonts w:ascii="宋体" w:hAnsi="宋体" w:cs="宋体"/>
          <w:highlight w:val="none"/>
        </w:rPr>
      </w:pPr>
      <w:bookmarkStart w:id="118" w:name="bookmark89"/>
      <w:bookmarkEnd w:id="118"/>
      <w:r>
        <w:rPr>
          <w:rFonts w:hint="eastAsia" w:ascii="宋体" w:hAnsi="宋体" w:cs="宋体"/>
          <w:highlight w:val="none"/>
        </w:rPr>
        <w:t>3.1 初步评审</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3.1.1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3.1.2投标人有以下情形之一的，评标委员会应当否决其投标：</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（1）投标文件没有对招标文件的实质性要求和条件作出响应，或者对招标文件的偏差超出招标文件规定的偏差范围或最高项数；</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（2）有串通投标、弄虚作假、行贿等违法行为。</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3.1.3投标报价有算术错误及其他错误的，评标委员会按以下原则要求投标人对投标报价进行修正，并要求投标人书面澄清确认。投标人拒不澄清确认的，评标委员会应当否决其投标：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（1）投标文件中的大写金额与小写金额不一致的，以大写金额为准；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（2）总价金额与单价金额不一致的，以单价金额为准，但单价金额小数点有明显错误的除外。</w:t>
      </w:r>
    </w:p>
    <w:p>
      <w:pPr>
        <w:spacing w:line="360" w:lineRule="auto"/>
        <w:rPr>
          <w:rFonts w:ascii="宋体" w:hAnsi="宋体" w:cs="宋体"/>
          <w:highlight w:val="none"/>
        </w:rPr>
      </w:pPr>
    </w:p>
    <w:p>
      <w:pPr>
        <w:pStyle w:val="6"/>
        <w:spacing w:line="360" w:lineRule="auto"/>
        <w:rPr>
          <w:rFonts w:ascii="宋体" w:hAnsi="宋体" w:cs="宋体"/>
          <w:highlight w:val="none"/>
        </w:rPr>
      </w:pPr>
      <w:bookmarkStart w:id="119" w:name="bookmark90"/>
      <w:bookmarkEnd w:id="119"/>
      <w:r>
        <w:rPr>
          <w:rFonts w:hint="eastAsia" w:ascii="宋体" w:hAnsi="宋体" w:cs="宋体"/>
          <w:highlight w:val="none"/>
        </w:rPr>
        <w:t>3.2 详细评审</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3.2.1评标委员会按本章第2.2款规定的量化因素和分值进行打分，并计算出综合评估得分。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（1）按本章第2.2.4（1）目规定的评审因素和分值对资信业绩部分计算出得分</w:t>
      </w:r>
      <w:r>
        <w:rPr>
          <w:rFonts w:hint="eastAsia" w:ascii="宋体" w:hAnsi="宋体" w:cs="宋体"/>
          <w:b/>
          <w:szCs w:val="21"/>
          <w:highlight w:val="none"/>
        </w:rPr>
        <w:t>A</w:t>
      </w:r>
      <w:r>
        <w:rPr>
          <w:rFonts w:hint="eastAsia" w:ascii="宋体" w:hAnsi="宋体" w:cs="宋体"/>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（2）按本章第2.2.4（2）目规定的评审因素和分值对技术方案部分计算出得分</w:t>
      </w:r>
      <w:r>
        <w:rPr>
          <w:rFonts w:hint="eastAsia" w:ascii="宋体" w:hAnsi="宋体" w:cs="宋体"/>
          <w:b/>
          <w:szCs w:val="21"/>
          <w:highlight w:val="none"/>
        </w:rPr>
        <w:t>B</w:t>
      </w:r>
      <w:r>
        <w:rPr>
          <w:rFonts w:hint="eastAsia" w:ascii="宋体" w:hAnsi="宋体" w:cs="宋体"/>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（3）按本章第2.2.4（3）目规定的评审因素和分值对投标报价部分计算出得分</w:t>
      </w:r>
      <w:r>
        <w:rPr>
          <w:rFonts w:hint="eastAsia" w:ascii="宋体" w:hAnsi="宋体" w:cs="宋体"/>
          <w:b/>
          <w:szCs w:val="21"/>
          <w:highlight w:val="none"/>
        </w:rPr>
        <w:t>C</w:t>
      </w:r>
      <w:r>
        <w:rPr>
          <w:rFonts w:hint="eastAsia" w:ascii="宋体" w:hAnsi="宋体" w:cs="宋体"/>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（4）按本章第2.2.4（4）目规定的评审因素和分值对其他因素部分计算出得分</w:t>
      </w:r>
      <w:r>
        <w:rPr>
          <w:rFonts w:hint="eastAsia" w:ascii="宋体" w:hAnsi="宋体" w:cs="宋体"/>
          <w:b/>
          <w:szCs w:val="21"/>
          <w:highlight w:val="none"/>
        </w:rPr>
        <w:t>D</w:t>
      </w:r>
      <w:r>
        <w:rPr>
          <w:rFonts w:hint="eastAsia" w:ascii="宋体" w:hAnsi="宋体" w:cs="宋体"/>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3.2.2评分分值计算保留小数点后两位，小数点后第三位“四舍五入”。</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3.2.3投标人总得分：</w:t>
      </w:r>
      <w:r>
        <w:rPr>
          <w:rFonts w:hint="eastAsia" w:ascii="宋体" w:hAnsi="宋体" w:cs="宋体"/>
          <w:sz w:val="24"/>
          <w:szCs w:val="24"/>
          <w:highlight w:val="none"/>
          <w:u w:val="single"/>
        </w:rPr>
        <w:t>评标办法前附表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360" w:lineRule="auto"/>
        <w:rPr>
          <w:rFonts w:ascii="宋体" w:hAnsi="宋体" w:cs="宋体"/>
          <w:highlight w:val="none"/>
        </w:rPr>
      </w:pPr>
    </w:p>
    <w:p>
      <w:pPr>
        <w:pStyle w:val="6"/>
        <w:spacing w:line="360" w:lineRule="auto"/>
        <w:rPr>
          <w:rFonts w:ascii="宋体" w:hAnsi="宋体" w:cs="宋体"/>
          <w:highlight w:val="none"/>
        </w:rPr>
      </w:pPr>
      <w:bookmarkStart w:id="120" w:name="bookmark91"/>
      <w:bookmarkEnd w:id="120"/>
      <w:r>
        <w:rPr>
          <w:rFonts w:hint="eastAsia" w:ascii="宋体" w:hAnsi="宋体" w:cs="宋体"/>
          <w:highlight w:val="none"/>
        </w:rPr>
        <w:t>3.3 投标文件的澄清</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3.3.2澄清、说明或补正不得超出投标文件的范围且不得改变投标文件的实质性内容，并构成投标文件的组成部分。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3.3.3评标委员会对投标人提交的澄清、说明或补正有疑问的，可以要求投标人进一步澄清、说明或补正，直至满足评标委员会的要求。</w:t>
      </w:r>
    </w:p>
    <w:p>
      <w:pPr>
        <w:spacing w:line="360" w:lineRule="auto"/>
        <w:rPr>
          <w:rFonts w:ascii="宋体" w:hAnsi="宋体" w:cs="宋体"/>
          <w:highlight w:val="none"/>
        </w:rPr>
      </w:pPr>
    </w:p>
    <w:p>
      <w:pPr>
        <w:pStyle w:val="6"/>
        <w:spacing w:line="360" w:lineRule="auto"/>
        <w:rPr>
          <w:rFonts w:ascii="宋体" w:hAnsi="宋体" w:cs="宋体"/>
          <w:highlight w:val="none"/>
        </w:rPr>
      </w:pPr>
      <w:bookmarkStart w:id="121" w:name="bookmark92"/>
      <w:bookmarkEnd w:id="121"/>
      <w:r>
        <w:rPr>
          <w:rFonts w:hint="eastAsia" w:ascii="宋体" w:hAnsi="宋体" w:cs="宋体"/>
          <w:highlight w:val="none"/>
        </w:rPr>
        <w:t>3.4 评标结果</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3.4.1除第二章“投标人须知”前附表授权直接确定中标人外，评标委员会按照得分由高到低的顺序推荐中标候选人，并标明排序。</w:t>
      </w:r>
    </w:p>
    <w:p>
      <w:pPr>
        <w:spacing w:line="360" w:lineRule="auto"/>
        <w:ind w:firstLine="540" w:firstLineChars="225"/>
        <w:rPr>
          <w:rFonts w:ascii="宋体" w:hAnsi="宋体" w:cs="宋体"/>
          <w:sz w:val="24"/>
          <w:szCs w:val="24"/>
          <w:highlight w:val="none"/>
        </w:rPr>
      </w:pPr>
      <w:r>
        <w:rPr>
          <w:rFonts w:hint="eastAsia" w:ascii="宋体" w:hAnsi="宋体" w:cs="宋体"/>
          <w:sz w:val="24"/>
          <w:szCs w:val="24"/>
          <w:highlight w:val="none"/>
        </w:rPr>
        <w:t>3.4.2评标委员会完成评标后，应当向招标人提交书面评标报告和中标候选人名单。</w:t>
      </w:r>
    </w:p>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 xml:space="preserve"> </w:t>
      </w:r>
    </w:p>
    <w:p>
      <w:pPr>
        <w:adjustRightInd w:val="0"/>
        <w:snapToGrid w:val="0"/>
        <w:spacing w:line="360" w:lineRule="auto"/>
        <w:jc w:val="center"/>
        <w:rPr>
          <w:rFonts w:ascii="宋体" w:hAnsi="宋体" w:cs="宋体"/>
          <w:b/>
          <w:sz w:val="36"/>
          <w:szCs w:val="36"/>
          <w:highlight w:val="none"/>
        </w:rPr>
      </w:pPr>
    </w:p>
    <w:p>
      <w:pPr>
        <w:pStyle w:val="2"/>
        <w:spacing w:line="360" w:lineRule="auto"/>
        <w:rPr>
          <w:rFonts w:cs="宋体"/>
          <w:highlight w:val="none"/>
        </w:rPr>
      </w:pPr>
      <w:r>
        <w:rPr>
          <w:rFonts w:hint="eastAsia" w:cs="宋体"/>
          <w:sz w:val="24"/>
          <w:szCs w:val="24"/>
          <w:highlight w:val="none"/>
        </w:rPr>
        <w:br w:type="page"/>
      </w:r>
      <w:bookmarkStart w:id="122" w:name="_Toc533357322"/>
      <w:r>
        <w:rPr>
          <w:rFonts w:hint="eastAsia" w:cs="宋体"/>
          <w:sz w:val="24"/>
          <w:szCs w:val="24"/>
          <w:highlight w:val="none"/>
        </w:rPr>
        <w:t xml:space="preserve">         </w:t>
      </w:r>
      <w:bookmarkStart w:id="123" w:name="_Toc26302"/>
      <w:r>
        <w:rPr>
          <w:rFonts w:hint="eastAsia" w:cs="宋体"/>
          <w:highlight w:val="none"/>
        </w:rPr>
        <w:t>第四章  合同条款及格式</w:t>
      </w:r>
      <w:bookmarkEnd w:id="122"/>
      <w:bookmarkEnd w:id="123"/>
      <w:bookmarkStart w:id="124" w:name="_Toc533357324"/>
    </w:p>
    <w:p>
      <w:pPr>
        <w:pStyle w:val="28"/>
        <w:spacing w:after="0" w:line="360" w:lineRule="auto"/>
        <w:rPr>
          <w:rFonts w:ascii="宋体" w:hAnsi="宋体" w:cs="宋体"/>
          <w:highlight w:val="none"/>
        </w:rPr>
      </w:pPr>
    </w:p>
    <w:p>
      <w:pPr>
        <w:wordWrap w:val="0"/>
        <w:spacing w:line="360" w:lineRule="auto"/>
        <w:jc w:val="right"/>
        <w:rPr>
          <w:rFonts w:ascii="宋体" w:hAnsi="宋体" w:cs="宋体"/>
          <w:b/>
          <w:sz w:val="32"/>
          <w:highlight w:val="none"/>
        </w:rPr>
      </w:pPr>
      <w:r>
        <w:rPr>
          <w:rFonts w:hint="eastAsia" w:ascii="宋体" w:hAnsi="宋体" w:cs="宋体"/>
          <w:b/>
          <w:sz w:val="32"/>
          <w:highlight w:val="none"/>
        </w:rPr>
        <w:t xml:space="preserve">合同编号：    </w:t>
      </w: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b/>
          <w:sz w:val="72"/>
          <w:szCs w:val="72"/>
          <w:highlight w:val="none"/>
        </w:rPr>
      </w:pPr>
      <w:r>
        <w:rPr>
          <w:rFonts w:hint="eastAsia" w:ascii="宋体" w:hAnsi="宋体" w:cs="宋体"/>
          <w:b/>
          <w:sz w:val="72"/>
          <w:szCs w:val="72"/>
          <w:highlight w:val="none"/>
        </w:rPr>
        <w:t>检验检测服务合同</w:t>
      </w: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ind w:firstLine="141" w:firstLineChars="50"/>
        <w:rPr>
          <w:rFonts w:ascii="宋体" w:hAnsi="宋体" w:cs="宋体"/>
          <w:sz w:val="28"/>
          <w:szCs w:val="28"/>
          <w:highlight w:val="none"/>
        </w:rPr>
      </w:pPr>
      <w:r>
        <w:rPr>
          <w:rFonts w:hint="eastAsia" w:ascii="宋体" w:hAnsi="宋体" w:cs="宋体"/>
          <w:b/>
          <w:sz w:val="28"/>
          <w:szCs w:val="28"/>
          <w:highlight w:val="none"/>
        </w:rPr>
        <w:t>委托单位（甲方）:</w:t>
      </w:r>
      <w:r>
        <w:rPr>
          <w:rFonts w:hint="eastAsia" w:ascii="宋体" w:hAnsi="宋体" w:cs="宋体"/>
          <w:sz w:val="28"/>
          <w:highlight w:val="none"/>
          <w:u w:val="single"/>
        </w:rPr>
        <w:t xml:space="preserve"> 广东从化经济开发区管理委员会 </w:t>
      </w:r>
      <w:r>
        <w:rPr>
          <w:rFonts w:hint="eastAsia" w:ascii="宋体" w:hAnsi="宋体" w:cs="宋体"/>
          <w:sz w:val="28"/>
          <w:highlight w:val="none"/>
        </w:rPr>
        <w:t>（盖章）</w:t>
      </w:r>
    </w:p>
    <w:p>
      <w:pPr>
        <w:spacing w:line="360" w:lineRule="auto"/>
        <w:ind w:right="-174" w:rightChars="-83" w:firstLine="141" w:firstLineChars="50"/>
        <w:rPr>
          <w:rFonts w:ascii="宋体" w:hAnsi="宋体" w:cs="宋体"/>
          <w:sz w:val="28"/>
          <w:highlight w:val="none"/>
        </w:rPr>
      </w:pPr>
      <w:r>
        <w:rPr>
          <w:rFonts w:hint="eastAsia" w:ascii="宋体" w:hAnsi="宋体" w:cs="宋体"/>
          <w:b/>
          <w:sz w:val="28"/>
          <w:highlight w:val="none"/>
        </w:rPr>
        <w:t>受托单位（乙方）:</w:t>
      </w:r>
      <w:r>
        <w:rPr>
          <w:rFonts w:hint="eastAsia" w:ascii="宋体" w:hAnsi="宋体" w:cs="宋体"/>
          <w:sz w:val="28"/>
          <w:highlight w:val="none"/>
          <w:u w:val="single"/>
        </w:rPr>
        <w:t xml:space="preserve">    </w:t>
      </w:r>
      <w:r>
        <w:rPr>
          <w:rFonts w:hint="eastAsia" w:ascii="宋体" w:hAnsi="宋体" w:cs="宋体"/>
          <w:sz w:val="28"/>
          <w:highlight w:val="none"/>
        </w:rPr>
        <w:t>（盖章）</w:t>
      </w: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highlight w:val="none"/>
        </w:rPr>
      </w:pPr>
    </w:p>
    <w:p>
      <w:pPr>
        <w:spacing w:line="360" w:lineRule="auto"/>
        <w:jc w:val="center"/>
        <w:rPr>
          <w:rFonts w:ascii="宋体" w:hAnsi="宋体" w:cs="宋体"/>
          <w:b/>
          <w:highlight w:val="none"/>
        </w:rPr>
      </w:pPr>
      <w:r>
        <w:rPr>
          <w:rFonts w:hint="eastAsia" w:ascii="宋体" w:hAnsi="宋体" w:cs="宋体"/>
          <w:b/>
          <w:bCs/>
          <w:sz w:val="32"/>
          <w:highlight w:val="none"/>
        </w:rPr>
        <w:t>签订日期：</w:t>
      </w:r>
      <w:r>
        <w:rPr>
          <w:rFonts w:hint="eastAsia" w:ascii="宋体" w:hAnsi="宋体" w:cs="宋体"/>
          <w:sz w:val="32"/>
          <w:highlight w:val="none"/>
        </w:rPr>
        <w:t>二〇二四年 月</w:t>
      </w:r>
    </w:p>
    <w:p>
      <w:pPr>
        <w:spacing w:line="360" w:lineRule="auto"/>
        <w:jc w:val="center"/>
        <w:rPr>
          <w:rFonts w:ascii="宋体" w:hAnsi="宋体" w:cs="宋体"/>
          <w:highlight w:val="none"/>
        </w:rPr>
      </w:pPr>
    </w:p>
    <w:p>
      <w:pPr>
        <w:spacing w:line="360" w:lineRule="auto"/>
        <w:jc w:val="left"/>
        <w:rPr>
          <w:rFonts w:ascii="宋体" w:hAnsi="宋体" w:cs="宋体"/>
          <w:b/>
          <w:snapToGrid w:val="0"/>
          <w:sz w:val="36"/>
          <w:szCs w:val="36"/>
          <w:highlight w:val="none"/>
        </w:rPr>
      </w:pPr>
      <w:r>
        <w:rPr>
          <w:rFonts w:hint="eastAsia" w:ascii="宋体" w:hAnsi="宋体" w:cs="宋体"/>
          <w:b/>
          <w:snapToGrid w:val="0"/>
          <w:sz w:val="36"/>
          <w:szCs w:val="36"/>
          <w:highlight w:val="none"/>
        </w:rPr>
        <w:br w:type="page"/>
      </w:r>
    </w:p>
    <w:p>
      <w:pPr>
        <w:spacing w:line="360" w:lineRule="auto"/>
        <w:jc w:val="center"/>
        <w:rPr>
          <w:rFonts w:ascii="宋体" w:hAnsi="宋体" w:cs="宋体"/>
          <w:b/>
          <w:snapToGrid w:val="0"/>
          <w:sz w:val="36"/>
          <w:szCs w:val="36"/>
          <w:highlight w:val="none"/>
        </w:rPr>
      </w:pPr>
      <w:r>
        <w:rPr>
          <w:rFonts w:hint="eastAsia" w:ascii="宋体" w:hAnsi="宋体" w:cs="宋体"/>
          <w:b/>
          <w:snapToGrid w:val="0"/>
          <w:sz w:val="36"/>
          <w:szCs w:val="36"/>
          <w:highlight w:val="none"/>
        </w:rPr>
        <w:t>检验检测服务合同</w:t>
      </w:r>
    </w:p>
    <w:p>
      <w:pPr>
        <w:spacing w:line="360" w:lineRule="auto"/>
        <w:rPr>
          <w:rFonts w:ascii="宋体" w:hAnsi="宋体" w:cs="宋体"/>
          <w:highlight w:val="none"/>
        </w:rPr>
      </w:pPr>
    </w:p>
    <w:p>
      <w:pPr>
        <w:spacing w:line="360" w:lineRule="auto"/>
        <w:rPr>
          <w:rFonts w:ascii="宋体" w:hAnsi="宋体" w:cs="宋体"/>
          <w:b/>
          <w:snapToGrid w:val="0"/>
          <w:highlight w:val="none"/>
        </w:rPr>
      </w:pPr>
      <w:r>
        <w:rPr>
          <w:rFonts w:hint="eastAsia" w:ascii="宋体" w:hAnsi="宋体" w:cs="宋体"/>
          <w:b/>
          <w:snapToGrid w:val="0"/>
          <w:highlight w:val="none"/>
        </w:rPr>
        <w:t>甲方（委托人）：</w:t>
      </w:r>
      <w:r>
        <w:rPr>
          <w:rFonts w:hint="eastAsia" w:ascii="宋体" w:hAnsi="宋体" w:cs="宋体"/>
          <w:b/>
          <w:snapToGrid w:val="0"/>
          <w:highlight w:val="none"/>
          <w:u w:val="single"/>
        </w:rPr>
        <w:t>广东从化经济开发区管理委员会</w:t>
      </w:r>
    </w:p>
    <w:p>
      <w:pPr>
        <w:spacing w:line="360" w:lineRule="auto"/>
        <w:rPr>
          <w:rFonts w:ascii="宋体" w:hAnsi="宋体" w:cs="宋体"/>
          <w:b/>
          <w:snapToGrid w:val="0"/>
          <w:highlight w:val="none"/>
        </w:rPr>
      </w:pPr>
      <w:r>
        <w:rPr>
          <w:rFonts w:hint="eastAsia" w:ascii="宋体" w:hAnsi="宋体" w:cs="宋体"/>
          <w:b/>
          <w:snapToGrid w:val="0"/>
          <w:highlight w:val="none"/>
        </w:rPr>
        <w:t>乙方（受托人）：</w:t>
      </w:r>
      <w:r>
        <w:rPr>
          <w:rFonts w:hint="eastAsia" w:ascii="宋体" w:hAnsi="宋体" w:cs="宋体"/>
          <w:b/>
          <w:snapToGrid w:val="0"/>
          <w:highlight w:val="none"/>
          <w:u w:val="single"/>
        </w:rPr>
        <w:t xml:space="preserve"> </w:t>
      </w:r>
    </w:p>
    <w:p>
      <w:pPr>
        <w:spacing w:line="360" w:lineRule="auto"/>
        <w:rPr>
          <w:rFonts w:ascii="宋体" w:hAnsi="宋体" w:cs="宋体"/>
          <w:snapToGrid w:val="0"/>
          <w:highlight w:val="none"/>
        </w:rPr>
      </w:pP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现</w:t>
      </w:r>
      <w:r>
        <w:rPr>
          <w:rFonts w:hint="eastAsia" w:ascii="宋体" w:hAnsi="宋体" w:cs="宋体"/>
          <w:snapToGrid w:val="0"/>
          <w:highlight w:val="none"/>
          <w:u w:val="single"/>
        </w:rPr>
        <w:t>广东从化经济开发区管理委员会</w:t>
      </w:r>
      <w:r>
        <w:rPr>
          <w:rFonts w:hint="eastAsia" w:ascii="宋体" w:hAnsi="宋体" w:cs="宋体"/>
          <w:snapToGrid w:val="0"/>
          <w:highlight w:val="none"/>
        </w:rPr>
        <w:t>（以下称甲方）委托</w:t>
      </w:r>
      <w:r>
        <w:rPr>
          <w:rFonts w:hint="eastAsia" w:ascii="宋体" w:hAnsi="宋体" w:cs="宋体"/>
          <w:snapToGrid w:val="0"/>
          <w:highlight w:val="none"/>
          <w:u w:val="single"/>
        </w:rPr>
        <w:t xml:space="preserve"> </w:t>
      </w:r>
      <w:r>
        <w:rPr>
          <w:rFonts w:hint="eastAsia" w:ascii="宋体" w:hAnsi="宋体" w:cs="宋体"/>
          <w:snapToGrid w:val="0"/>
          <w:highlight w:val="none"/>
        </w:rPr>
        <w:t>（以下称乙方）承接</w:t>
      </w:r>
      <w:r>
        <w:rPr>
          <w:rFonts w:hint="eastAsia" w:ascii="宋体" w:hAnsi="宋体" w:cs="宋体"/>
          <w:snapToGrid w:val="0"/>
          <w:highlight w:val="none"/>
          <w:u w:val="single"/>
        </w:rPr>
        <w:t>明珠工业园明珠片区新开发地块市政基础设施工程检验检测</w:t>
      </w:r>
      <w:r>
        <w:rPr>
          <w:rFonts w:hint="eastAsia" w:ascii="宋体" w:hAnsi="宋体" w:cs="宋体"/>
          <w:snapToGrid w:val="0"/>
          <w:highlight w:val="none"/>
        </w:rPr>
        <w:t>项目工作。双方经过平等协商，在真实、充分地表达各自意愿的基础上，根据《中华人民共和国民法典》、《中华人民共和国建筑法》及其他相关法律法规的规定，订立本合同，资双方共同遵守。</w:t>
      </w:r>
    </w:p>
    <w:p>
      <w:pPr>
        <w:spacing w:line="360" w:lineRule="auto"/>
        <w:ind w:firstLine="240"/>
        <w:rPr>
          <w:rFonts w:ascii="宋体" w:hAnsi="宋体" w:cs="宋体"/>
          <w:szCs w:val="24"/>
          <w:highlight w:val="none"/>
        </w:rPr>
      </w:pPr>
    </w:p>
    <w:p>
      <w:pPr>
        <w:spacing w:line="360" w:lineRule="auto"/>
        <w:ind w:firstLine="422" w:firstLineChars="200"/>
        <w:outlineLvl w:val="0"/>
        <w:rPr>
          <w:rFonts w:ascii="宋体" w:hAnsi="宋体" w:cs="宋体"/>
          <w:b/>
          <w:snapToGrid w:val="0"/>
          <w:highlight w:val="none"/>
        </w:rPr>
      </w:pPr>
      <w:bookmarkStart w:id="125" w:name="_Toc1726"/>
      <w:bookmarkStart w:id="126" w:name="_Toc5079"/>
      <w:bookmarkStart w:id="127" w:name="_Toc26799"/>
      <w:r>
        <w:rPr>
          <w:rFonts w:hint="eastAsia" w:ascii="宋体" w:hAnsi="宋体" w:cs="宋体"/>
          <w:b/>
          <w:snapToGrid w:val="0"/>
          <w:highlight w:val="none"/>
        </w:rPr>
        <w:t>一、项目概况</w:t>
      </w:r>
      <w:bookmarkEnd w:id="125"/>
      <w:bookmarkEnd w:id="126"/>
      <w:bookmarkEnd w:id="127"/>
    </w:p>
    <w:p>
      <w:pPr>
        <w:spacing w:line="360" w:lineRule="auto"/>
        <w:ind w:firstLine="422" w:firstLineChars="200"/>
        <w:outlineLvl w:val="1"/>
        <w:rPr>
          <w:rFonts w:ascii="宋体" w:hAnsi="宋体" w:cs="宋体"/>
          <w:snapToGrid w:val="0"/>
          <w:kern w:val="0"/>
          <w:szCs w:val="24"/>
          <w:highlight w:val="none"/>
        </w:rPr>
      </w:pPr>
      <w:bookmarkStart w:id="128" w:name="_Toc13774"/>
      <w:bookmarkStart w:id="129" w:name="_Toc15690"/>
      <w:bookmarkStart w:id="130" w:name="_Toc11577"/>
      <w:r>
        <w:rPr>
          <w:rFonts w:hint="eastAsia" w:ascii="宋体" w:hAnsi="宋体" w:cs="宋体"/>
          <w:b/>
          <w:highlight w:val="none"/>
        </w:rPr>
        <w:t>1、项目名称：</w:t>
      </w:r>
      <w:bookmarkEnd w:id="128"/>
      <w:bookmarkEnd w:id="129"/>
      <w:bookmarkEnd w:id="130"/>
      <w:r>
        <w:rPr>
          <w:rFonts w:hint="eastAsia" w:ascii="宋体" w:hAnsi="宋体" w:eastAsia="宋体" w:cs="宋体"/>
          <w:b w:val="0"/>
          <w:bCs/>
          <w:highlight w:val="none"/>
          <w:u w:val="single"/>
        </w:rPr>
        <w:t>明珠工业园明珠片区新开发地块市政基础设施工程</w:t>
      </w:r>
      <w:r>
        <w:rPr>
          <w:rFonts w:hint="eastAsia" w:ascii="宋体" w:hAnsi="宋体" w:eastAsia="宋体" w:cs="宋体"/>
          <w:b w:val="0"/>
          <w:bCs/>
          <w:highlight w:val="none"/>
          <w:u w:val="single"/>
          <w:lang w:eastAsia="zh-CN"/>
        </w:rPr>
        <w:t>检验检测</w:t>
      </w:r>
      <w:r>
        <w:rPr>
          <w:rFonts w:hint="eastAsia" w:ascii="宋体" w:hAnsi="宋体" w:eastAsia="宋体" w:cs="宋体"/>
          <w:b w:val="0"/>
          <w:bCs/>
          <w:highlight w:val="none"/>
        </w:rPr>
        <w:t>。</w:t>
      </w:r>
    </w:p>
    <w:p>
      <w:pPr>
        <w:spacing w:line="360" w:lineRule="auto"/>
        <w:ind w:firstLine="422" w:firstLineChars="200"/>
        <w:outlineLvl w:val="1"/>
        <w:rPr>
          <w:rFonts w:ascii="宋体" w:hAnsi="宋体" w:cs="宋体"/>
          <w:b/>
          <w:bCs/>
          <w:snapToGrid w:val="0"/>
          <w:szCs w:val="24"/>
          <w:highlight w:val="none"/>
        </w:rPr>
      </w:pPr>
      <w:bookmarkStart w:id="131" w:name="_Toc24972"/>
      <w:bookmarkStart w:id="132" w:name="_Toc702"/>
      <w:bookmarkStart w:id="133" w:name="_Toc1505"/>
      <w:r>
        <w:rPr>
          <w:rFonts w:hint="eastAsia" w:ascii="宋体" w:hAnsi="宋体" w:cs="宋体"/>
          <w:b/>
          <w:highlight w:val="none"/>
        </w:rPr>
        <w:t>2、项目地点：</w:t>
      </w:r>
      <w:r>
        <w:rPr>
          <w:rFonts w:hint="eastAsia" w:ascii="宋体" w:hAnsi="宋体" w:eastAsia="宋体" w:cs="宋体"/>
          <w:b w:val="0"/>
          <w:bCs/>
          <w:highlight w:val="none"/>
          <w:u w:val="single"/>
        </w:rPr>
        <w:t>广州市从化区明珠工业园明珠片区</w:t>
      </w:r>
      <w:r>
        <w:rPr>
          <w:rFonts w:hint="eastAsia" w:ascii="宋体" w:hAnsi="宋体" w:eastAsia="宋体" w:cs="宋体"/>
          <w:b w:val="0"/>
          <w:bCs/>
          <w:highlight w:val="none"/>
        </w:rPr>
        <w:t>。</w:t>
      </w:r>
      <w:bookmarkEnd w:id="131"/>
      <w:bookmarkEnd w:id="132"/>
      <w:bookmarkEnd w:id="133"/>
    </w:p>
    <w:p>
      <w:pPr>
        <w:spacing w:line="360" w:lineRule="auto"/>
        <w:ind w:firstLine="422" w:firstLineChars="200"/>
        <w:outlineLvl w:val="1"/>
        <w:rPr>
          <w:rFonts w:ascii="宋体" w:hAnsi="宋体" w:cs="宋体"/>
          <w:bCs/>
          <w:snapToGrid w:val="0"/>
          <w:kern w:val="0"/>
          <w:szCs w:val="24"/>
          <w:highlight w:val="none"/>
        </w:rPr>
      </w:pPr>
      <w:bookmarkStart w:id="134" w:name="_Toc16166"/>
      <w:bookmarkStart w:id="135" w:name="_Toc16694"/>
      <w:bookmarkStart w:id="136" w:name="_Toc13904"/>
      <w:r>
        <w:rPr>
          <w:rFonts w:hint="eastAsia" w:ascii="宋体" w:hAnsi="宋体" w:cs="宋体"/>
          <w:b/>
          <w:highlight w:val="none"/>
        </w:rPr>
        <w:t>3、资金来源：</w:t>
      </w:r>
      <w:r>
        <w:rPr>
          <w:rFonts w:hint="eastAsia" w:ascii="宋体" w:hAnsi="宋体" w:eastAsia="宋体" w:cs="宋体"/>
          <w:b w:val="0"/>
          <w:bCs/>
          <w:highlight w:val="none"/>
          <w:u w:val="single"/>
          <w:lang w:eastAsia="zh-CN"/>
        </w:rPr>
        <w:t>区</w:t>
      </w:r>
      <w:r>
        <w:rPr>
          <w:rFonts w:hint="eastAsia" w:ascii="宋体" w:hAnsi="宋体" w:eastAsia="宋体" w:cs="宋体"/>
          <w:b w:val="0"/>
          <w:bCs/>
          <w:highlight w:val="none"/>
          <w:u w:val="single"/>
        </w:rPr>
        <w:t>财政资金</w:t>
      </w:r>
      <w:r>
        <w:rPr>
          <w:rFonts w:hint="eastAsia" w:ascii="宋体" w:hAnsi="宋体" w:cs="宋体"/>
          <w:bCs/>
          <w:snapToGrid w:val="0"/>
          <w:kern w:val="0"/>
          <w:szCs w:val="24"/>
          <w:highlight w:val="none"/>
        </w:rPr>
        <w:t>。</w:t>
      </w:r>
      <w:bookmarkEnd w:id="134"/>
      <w:bookmarkEnd w:id="135"/>
      <w:bookmarkEnd w:id="136"/>
    </w:p>
    <w:p>
      <w:pPr>
        <w:spacing w:line="360" w:lineRule="auto"/>
        <w:ind w:firstLine="422" w:firstLineChars="200"/>
        <w:outlineLvl w:val="1"/>
        <w:rPr>
          <w:rFonts w:ascii="宋体" w:hAnsi="宋体" w:cs="宋体"/>
          <w:szCs w:val="24"/>
          <w:highlight w:val="none"/>
          <w:u w:val="single"/>
        </w:rPr>
      </w:pPr>
      <w:bookmarkStart w:id="137" w:name="_Toc25850"/>
      <w:bookmarkStart w:id="138" w:name="_Toc22972"/>
      <w:bookmarkStart w:id="139" w:name="_Toc11539"/>
      <w:r>
        <w:rPr>
          <w:rFonts w:hint="eastAsia" w:ascii="宋体" w:hAnsi="宋体" w:cs="宋体"/>
          <w:b/>
          <w:highlight w:val="none"/>
        </w:rPr>
        <w:t>4、建设规模：</w:t>
      </w:r>
      <w:r>
        <w:rPr>
          <w:rFonts w:hint="eastAsia" w:ascii="宋体" w:hAnsi="宋体" w:eastAsia="宋体" w:cs="宋体"/>
          <w:b w:val="0"/>
          <w:bCs/>
          <w:highlight w:val="none"/>
          <w:u w:val="single"/>
        </w:rPr>
        <w:t>本项目位于明珠工业园明珠片区。主要建设内容包括道路工程、桥涵工程、给排水工程、交通工程、照明工程、绿化工程、电力通信工程、海绵城市工程、场地平整工程、公交首末站、临时泵站等。（一）新建 9 条道路：道路全长约3.203 公里，包括：（1）HA 线（全长约 559.495 米，双向 4 车道，道路总宽 25 米，规划为城市次干路）；（2）ZE 线（全长约 314.588米，双向 2 车道，道路总宽 12 米，规划为城市支路）；（3）D 线（规划路）（全长约 152.046 米，双向 2 车道，道路总宽 12 米，规划为城市支路）；（4）创业大道（全长约 214.695 米，双向 6 车道，道路总宽 40 米，规划为城市主干路）；（5）规划纵二路（全长约653.027 米，双向 4 车道，道路总宽 25 米，规划为城市次干路）；（6）教育路（创业大道-规划路）（全长约 694.972 米，双向 4 车道，道路总宽 25 米，规划为城市次干路）；（7）民乐路（明珠大道-建设路）（全长约 211.154 米，双向 4 车道，道路总宽 25 米，规划为城市次干路）；（8）建设南路（全长约 129.349 米，双向 4 车道，道路总宽 25 米，规划为城市次干路）；（9）摩托车大道（全长约273.694 米，双向 6 车道，道路总宽 40 米，规划为城市主干路）。（二）完善 8 条道路配套基础设施：（1）教育路（民安路-兴园北路）、创业大道（明珠大道-兴园北路）、广场路（建设南路-明珠大道）、民乐路（明珠大道-兴园北路）、横一路、环湖路等 6 条路新增照明 220 套；（2）明珠大道北 5 标段以及北 6 标新增人行道约 1984米、非机动车道约 1792 米、绿化带约 1904 米、给水管约 2197 米、电力管沟约 244 米以及照明 83 套；（3）从化区希贤小学门口现状雨水管翻建约 266 米。（三）4 条村内接驳线改造：包括 A 线现状道路拓宽，部分路段新增路灯，拓宽后宽度约 5 米~6 米，路线长度约 1240 米；B 线、C 线现状道路拓宽，拓宽后宽度约 5 米~6 米，其中 B 线长约 980 米，C 线长约 540 米；C1 线为新增道路接驳线，长约 150 米，宽 5m。（四）公交首末站：明珠大道公交首末站总用地面积为约 2119.73 ㎡。首末站包括公交管理楼约 468.75 ㎡、公交候车岛约 70.87 ㎡、公交停车位 10 个、调度室约 13.5 ㎡及附属配套设施工程等。公交管理楼内设置场站管理用房、车辆检修用房、后勤保障用房。（五）4 块场地土石方平整：土石方平整总面积约256210.514 ㎡，其中地块 1 位于吉祥大道以北，场平面积约为33241.620 ㎡；地块 2 位于规划横五路以北，创业大道以东，规划横四路以南以及规划纵一路以西所围成的部分地块，场平面积约为145256.945 ㎡；地块 3 位于宝珠大道以南，规划纵一路以东区域，场平面积约为 9100.057 ㎡；地块 4 位于教育路以南，规划纵二路以东，规划横七路以北，规划纵一路以西部分区域，场平面积约为68611.892 ㎡。（六）临时泵站：新建临时泵站位于广州市从化华隆果菜保鲜有限公司明珠园区南侧，泵站及泵站电气箱变的总用地面积约 112 平方米，本泵站设计排水量为 700 吨/天，井内设 2 台潜污泵（其中 1 台备用）</w:t>
      </w:r>
      <w:r>
        <w:rPr>
          <w:rFonts w:hint="eastAsia" w:ascii="宋体" w:hAnsi="宋体" w:cs="宋体"/>
          <w:sz w:val="24"/>
          <w:szCs w:val="24"/>
          <w:highlight w:val="none"/>
        </w:rPr>
        <w:t>。</w:t>
      </w:r>
      <w:bookmarkEnd w:id="137"/>
      <w:bookmarkEnd w:id="138"/>
      <w:bookmarkEnd w:id="139"/>
    </w:p>
    <w:p>
      <w:pPr>
        <w:spacing w:line="360" w:lineRule="auto"/>
        <w:ind w:firstLine="422" w:firstLineChars="200"/>
        <w:outlineLvl w:val="1"/>
        <w:rPr>
          <w:rFonts w:ascii="宋体" w:hAnsi="宋体" w:cs="宋体"/>
          <w:szCs w:val="24"/>
          <w:highlight w:val="none"/>
        </w:rPr>
      </w:pPr>
      <w:bookmarkStart w:id="140" w:name="_Toc25985"/>
      <w:bookmarkStart w:id="141" w:name="_Toc12052"/>
      <w:bookmarkStart w:id="142" w:name="_Toc23950"/>
      <w:r>
        <w:rPr>
          <w:rFonts w:hint="eastAsia" w:ascii="宋体" w:hAnsi="宋体" w:cs="宋体"/>
          <w:b/>
          <w:highlight w:val="none"/>
        </w:rPr>
        <w:t>5、施工质量标准及施工质量目标：</w:t>
      </w:r>
      <w:r>
        <w:rPr>
          <w:rFonts w:hint="eastAsia" w:ascii="宋体" w:hAnsi="宋体" w:cs="宋体"/>
          <w:szCs w:val="24"/>
          <w:highlight w:val="none"/>
          <w:u w:val="single"/>
        </w:rPr>
        <w:t>合格，符合设计图纸要求和国家、省、市相关法律法规规定要求及行业颁发的工程质量验收标准</w:t>
      </w:r>
      <w:r>
        <w:rPr>
          <w:rFonts w:hint="eastAsia" w:ascii="宋体" w:hAnsi="宋体" w:cs="宋体"/>
          <w:szCs w:val="24"/>
          <w:highlight w:val="none"/>
        </w:rPr>
        <w:t>。</w:t>
      </w:r>
      <w:bookmarkEnd w:id="140"/>
      <w:bookmarkEnd w:id="141"/>
      <w:bookmarkEnd w:id="142"/>
    </w:p>
    <w:p>
      <w:pPr>
        <w:spacing w:line="360" w:lineRule="auto"/>
        <w:ind w:firstLine="422" w:firstLineChars="200"/>
        <w:outlineLvl w:val="0"/>
        <w:rPr>
          <w:rFonts w:ascii="宋体" w:hAnsi="宋体" w:cs="宋体"/>
          <w:b/>
          <w:snapToGrid w:val="0"/>
          <w:highlight w:val="none"/>
        </w:rPr>
      </w:pPr>
      <w:bookmarkStart w:id="143" w:name="_Toc25476"/>
      <w:bookmarkStart w:id="144" w:name="_Toc30599"/>
      <w:bookmarkStart w:id="145" w:name="_Toc29258"/>
      <w:r>
        <w:rPr>
          <w:rFonts w:hint="eastAsia" w:ascii="宋体" w:hAnsi="宋体" w:cs="宋体"/>
          <w:b/>
          <w:snapToGrid w:val="0"/>
          <w:highlight w:val="none"/>
        </w:rPr>
        <w:t>二、服务内容和要求</w:t>
      </w:r>
      <w:bookmarkEnd w:id="143"/>
      <w:bookmarkEnd w:id="144"/>
      <w:bookmarkEnd w:id="145"/>
    </w:p>
    <w:p>
      <w:pPr>
        <w:spacing w:line="360" w:lineRule="auto"/>
        <w:ind w:firstLine="422" w:firstLineChars="200"/>
        <w:outlineLvl w:val="1"/>
        <w:rPr>
          <w:rFonts w:ascii="宋体" w:hAnsi="宋体" w:cs="宋体"/>
          <w:b/>
          <w:highlight w:val="none"/>
        </w:rPr>
      </w:pPr>
      <w:bookmarkStart w:id="146" w:name="_Toc5401"/>
      <w:bookmarkStart w:id="147" w:name="_Toc17084"/>
      <w:bookmarkStart w:id="148" w:name="_Toc15158"/>
      <w:bookmarkStart w:id="149" w:name="_Toc183"/>
      <w:r>
        <w:rPr>
          <w:rFonts w:hint="eastAsia" w:ascii="宋体" w:hAnsi="宋体" w:cs="宋体"/>
          <w:b/>
          <w:highlight w:val="none"/>
        </w:rPr>
        <w:t>1、服务内容：</w:t>
      </w:r>
      <w:bookmarkEnd w:id="146"/>
      <w:bookmarkEnd w:id="147"/>
      <w:bookmarkEnd w:id="148"/>
      <w:bookmarkEnd w:id="149"/>
    </w:p>
    <w:p>
      <w:pPr>
        <w:spacing w:line="360" w:lineRule="auto"/>
        <w:ind w:firstLine="420" w:firstLineChars="200"/>
        <w:rPr>
          <w:rFonts w:ascii="宋体" w:hAnsi="宋体" w:cs="宋体"/>
          <w:snapToGrid w:val="0"/>
          <w:highlight w:val="none"/>
          <w:u w:val="single"/>
        </w:rPr>
      </w:pPr>
      <w:r>
        <w:rPr>
          <w:rFonts w:hint="eastAsia" w:ascii="宋体" w:hAnsi="宋体" w:cs="宋体"/>
          <w:snapToGrid w:val="0"/>
          <w:highlight w:val="none"/>
          <w:u w:val="single"/>
        </w:rPr>
        <w:t>依据施工图及相关规范要求，开展工程检验检测工作，具体以施工图纸、检测规范及主管部门要求为准。施工及验收阶段相关的检验检测包括但不限于地基基础工程检测、主体结构工程现场检测、钢结构工程检测、见证取样检测、道路检测、绿化检测等按规范和验收要求必须检测的项目。具体根据图纸、工程量清单及项目现场实际情况确定</w:t>
      </w:r>
    </w:p>
    <w:p>
      <w:pPr>
        <w:spacing w:line="360" w:lineRule="auto"/>
        <w:ind w:firstLine="422" w:firstLineChars="200"/>
        <w:outlineLvl w:val="1"/>
        <w:rPr>
          <w:rFonts w:ascii="宋体" w:hAnsi="宋体" w:cs="宋体"/>
          <w:b/>
          <w:highlight w:val="none"/>
        </w:rPr>
      </w:pPr>
      <w:bookmarkStart w:id="150" w:name="_Toc22030"/>
      <w:bookmarkStart w:id="151" w:name="_Toc24030"/>
      <w:bookmarkStart w:id="152" w:name="_Toc25063"/>
      <w:r>
        <w:rPr>
          <w:rFonts w:hint="eastAsia" w:ascii="宋体" w:hAnsi="宋体" w:cs="宋体"/>
          <w:b/>
          <w:highlight w:val="none"/>
        </w:rPr>
        <w:t>2、工作要求：</w:t>
      </w:r>
      <w:bookmarkEnd w:id="150"/>
      <w:bookmarkEnd w:id="151"/>
      <w:bookmarkEnd w:id="152"/>
    </w:p>
    <w:p>
      <w:pPr>
        <w:spacing w:line="360" w:lineRule="auto"/>
        <w:ind w:firstLine="420" w:firstLineChars="200"/>
        <w:rPr>
          <w:rFonts w:hint="eastAsia" w:ascii="宋体" w:hAnsi="宋体" w:cs="宋体"/>
          <w:snapToGrid w:val="0"/>
          <w:highlight w:val="none"/>
          <w:u w:val="single"/>
        </w:rPr>
      </w:pPr>
      <w:r>
        <w:rPr>
          <w:rFonts w:hint="eastAsia" w:ascii="宋体" w:hAnsi="宋体" w:cs="宋体"/>
          <w:snapToGrid w:val="0"/>
          <w:highlight w:val="none"/>
          <w:u w:val="single"/>
        </w:rPr>
        <w:t>（1）与工程所在行政区域的相关建设行政主管部门和监督部门所进行的协调工作，且合同价中已经综合考虑了该项协调工作的费用。如申报检测技术成果的审批，保证技术成果能够通过相关部门认可，确保不因检测工作影响本工程项目的建设进度和竣工验收。</w:t>
      </w:r>
    </w:p>
    <w:p>
      <w:pPr>
        <w:spacing w:line="360" w:lineRule="auto"/>
        <w:ind w:firstLine="420" w:firstLineChars="200"/>
        <w:rPr>
          <w:rFonts w:hint="eastAsia" w:ascii="宋体" w:hAnsi="宋体" w:cs="宋体"/>
          <w:snapToGrid w:val="0"/>
          <w:highlight w:val="none"/>
          <w:u w:val="single"/>
        </w:rPr>
      </w:pPr>
      <w:r>
        <w:rPr>
          <w:rFonts w:hint="eastAsia" w:ascii="宋体" w:hAnsi="宋体" w:cs="宋体"/>
          <w:snapToGrid w:val="0"/>
          <w:highlight w:val="none"/>
          <w:u w:val="single"/>
        </w:rPr>
        <w:t>（2）在进行检测任务的过程中与该工程相关的施工单位、监理单位、设计单位、业主、建设管理单位、建设主管部门等相关单位的协调工作，且合同价中已经综合考虑了该项协调工作的费用。</w:t>
      </w:r>
    </w:p>
    <w:p>
      <w:pPr>
        <w:spacing w:line="360" w:lineRule="auto"/>
        <w:ind w:firstLine="420" w:firstLineChars="200"/>
        <w:rPr>
          <w:rFonts w:hint="eastAsia" w:ascii="宋体" w:hAnsi="宋体" w:cs="宋体"/>
          <w:snapToGrid w:val="0"/>
          <w:highlight w:val="none"/>
          <w:u w:val="single"/>
        </w:rPr>
      </w:pPr>
      <w:r>
        <w:rPr>
          <w:rFonts w:hint="eastAsia" w:ascii="宋体" w:hAnsi="宋体" w:cs="宋体"/>
          <w:snapToGrid w:val="0"/>
          <w:highlight w:val="none"/>
          <w:u w:val="single"/>
        </w:rPr>
        <w:t>（3）因按相关规定须与行业、行政监督部门传输报送检测数据信息的工作，且合同价中已经综合考虑了该项协调工作的费用。</w:t>
      </w:r>
    </w:p>
    <w:p>
      <w:pPr>
        <w:spacing w:line="360" w:lineRule="auto"/>
        <w:ind w:firstLine="420" w:firstLineChars="200"/>
        <w:rPr>
          <w:rFonts w:hint="eastAsia" w:ascii="宋体" w:hAnsi="宋体" w:cs="宋体"/>
          <w:snapToGrid w:val="0"/>
          <w:highlight w:val="none"/>
          <w:u w:val="single"/>
        </w:rPr>
      </w:pPr>
      <w:r>
        <w:rPr>
          <w:rFonts w:hint="eastAsia" w:ascii="宋体" w:hAnsi="宋体" w:cs="宋体"/>
          <w:snapToGrid w:val="0"/>
          <w:highlight w:val="none"/>
          <w:u w:val="single"/>
        </w:rPr>
        <w:t>（4）根据相关规范和标准、主管部门文件的规定以及设计图纸的有关要求，结合工程实际情况编制相关项目的《检测方案》，并报质监部门备案（如需要）。</w:t>
      </w:r>
    </w:p>
    <w:p>
      <w:pPr>
        <w:spacing w:line="360" w:lineRule="auto"/>
        <w:ind w:firstLine="420" w:firstLineChars="200"/>
        <w:rPr>
          <w:rFonts w:hint="eastAsia" w:ascii="宋体" w:hAnsi="宋体" w:cs="宋体"/>
          <w:snapToGrid w:val="0"/>
          <w:highlight w:val="none"/>
          <w:u w:val="single"/>
        </w:rPr>
      </w:pPr>
      <w:r>
        <w:rPr>
          <w:rFonts w:hint="eastAsia" w:ascii="宋体" w:hAnsi="宋体" w:cs="宋体"/>
          <w:snapToGrid w:val="0"/>
          <w:highlight w:val="none"/>
          <w:u w:val="single"/>
        </w:rPr>
        <w:t>（5）负责检测的工程质量需符合《建设工程质量管理条例》等国家相关管理要求。</w:t>
      </w:r>
    </w:p>
    <w:p>
      <w:pPr>
        <w:spacing w:line="360" w:lineRule="auto"/>
        <w:ind w:firstLine="420" w:firstLineChars="200"/>
        <w:rPr>
          <w:rFonts w:ascii="宋体" w:hAnsi="宋体" w:cs="宋体"/>
          <w:snapToGrid w:val="0"/>
          <w:highlight w:val="none"/>
          <w:u w:val="single"/>
        </w:rPr>
      </w:pPr>
      <w:r>
        <w:rPr>
          <w:rFonts w:hint="eastAsia" w:ascii="宋体" w:hAnsi="宋体" w:cs="宋体"/>
          <w:snapToGrid w:val="0"/>
          <w:highlight w:val="none"/>
          <w:u w:val="single"/>
        </w:rPr>
        <w:t>（具体以招标文件、施工图纸、检测方案、检测规范及主管部门要求为准）。</w:t>
      </w:r>
    </w:p>
    <w:p>
      <w:pPr>
        <w:spacing w:line="360" w:lineRule="auto"/>
        <w:ind w:firstLine="422" w:firstLineChars="200"/>
        <w:outlineLvl w:val="0"/>
        <w:rPr>
          <w:rFonts w:ascii="宋体" w:hAnsi="宋体" w:cs="宋体"/>
          <w:b/>
          <w:snapToGrid w:val="0"/>
          <w:highlight w:val="none"/>
        </w:rPr>
      </w:pPr>
      <w:bookmarkStart w:id="153" w:name="_Toc2788"/>
      <w:bookmarkStart w:id="154" w:name="_Toc23514"/>
      <w:bookmarkStart w:id="155" w:name="_Toc23949"/>
      <w:r>
        <w:rPr>
          <w:rFonts w:hint="eastAsia" w:ascii="宋体" w:hAnsi="宋体" w:cs="宋体"/>
          <w:b/>
          <w:snapToGrid w:val="0"/>
          <w:highlight w:val="none"/>
        </w:rPr>
        <w:t>三、甲方的权利和责任</w:t>
      </w:r>
      <w:bookmarkEnd w:id="153"/>
      <w:bookmarkEnd w:id="154"/>
      <w:bookmarkEnd w:id="155"/>
    </w:p>
    <w:p>
      <w:pPr>
        <w:spacing w:line="360" w:lineRule="auto"/>
        <w:ind w:firstLine="422" w:firstLineChars="200"/>
        <w:outlineLvl w:val="1"/>
        <w:rPr>
          <w:rFonts w:ascii="宋体" w:hAnsi="宋体" w:cs="宋体"/>
          <w:b/>
          <w:highlight w:val="none"/>
        </w:rPr>
      </w:pPr>
      <w:bookmarkStart w:id="156" w:name="_Toc30518"/>
      <w:bookmarkStart w:id="157" w:name="_Toc32535"/>
      <w:bookmarkStart w:id="158" w:name="_Toc18046"/>
      <w:r>
        <w:rPr>
          <w:rFonts w:hint="eastAsia" w:ascii="宋体" w:hAnsi="宋体" w:cs="宋体"/>
          <w:b/>
          <w:highlight w:val="none"/>
        </w:rPr>
        <w:t>1、甲方的权利</w:t>
      </w:r>
      <w:bookmarkEnd w:id="156"/>
      <w:bookmarkEnd w:id="157"/>
      <w:bookmarkEnd w:id="158"/>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1）乙方检测人员不按检测合同履行检测职责的，甲方有权要求乙方更换检测人员，如乙方不更换或更换后的检测人员仍不按本合同履行检测测职责，甲方有权单方面解除本合同并要求乙方承担相应的赔偿责任。</w:t>
      </w:r>
    </w:p>
    <w:p>
      <w:pPr>
        <w:spacing w:line="360" w:lineRule="auto"/>
        <w:ind w:firstLine="420" w:firstLineChars="200"/>
        <w:rPr>
          <w:rFonts w:ascii="宋体" w:hAnsi="宋体" w:cs="宋体"/>
          <w:highlight w:val="none"/>
        </w:rPr>
      </w:pPr>
      <w:r>
        <w:rPr>
          <w:rFonts w:hint="eastAsia" w:ascii="宋体" w:hAnsi="宋体" w:cs="宋体"/>
          <w:snapToGrid w:val="0"/>
          <w:highlight w:val="none"/>
        </w:rPr>
        <w:t>（2）本合同约定项目技术服务成果的知识产权归属双方所有。</w:t>
      </w:r>
    </w:p>
    <w:p>
      <w:pPr>
        <w:spacing w:line="360" w:lineRule="auto"/>
        <w:ind w:firstLine="422" w:firstLineChars="200"/>
        <w:outlineLvl w:val="1"/>
        <w:rPr>
          <w:rFonts w:ascii="宋体" w:hAnsi="宋体" w:cs="宋体"/>
          <w:b/>
          <w:highlight w:val="none"/>
        </w:rPr>
      </w:pPr>
      <w:bookmarkStart w:id="159" w:name="_Toc31729"/>
      <w:bookmarkStart w:id="160" w:name="_Toc15674"/>
      <w:bookmarkStart w:id="161" w:name="_Toc21882"/>
      <w:r>
        <w:rPr>
          <w:rFonts w:hint="eastAsia" w:ascii="宋体" w:hAnsi="宋体" w:cs="宋体"/>
          <w:b/>
          <w:highlight w:val="none"/>
        </w:rPr>
        <w:t>2、甲方的责任</w:t>
      </w:r>
      <w:bookmarkEnd w:id="159"/>
      <w:bookmarkEnd w:id="160"/>
      <w:bookmarkEnd w:id="161"/>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（1）向乙方提供开展</w:t>
      </w:r>
      <w:r>
        <w:rPr>
          <w:rFonts w:hint="eastAsia" w:ascii="宋体" w:hAnsi="宋体" w:cs="宋体"/>
          <w:highlight w:val="none"/>
        </w:rPr>
        <w:t>检测</w:t>
      </w:r>
      <w:r>
        <w:rPr>
          <w:rFonts w:hint="eastAsia" w:ascii="宋体" w:hAnsi="宋体" w:cs="宋体"/>
          <w:snapToGrid w:val="0"/>
          <w:highlight w:val="none"/>
        </w:rPr>
        <w:t>工作所必须的设计文件、工程资料、技术资料等。</w:t>
      </w:r>
    </w:p>
    <w:p>
      <w:pPr>
        <w:spacing w:line="360" w:lineRule="auto"/>
        <w:ind w:firstLine="420" w:firstLineChars="200"/>
        <w:rPr>
          <w:rFonts w:ascii="宋体" w:hAnsi="宋体" w:cs="宋体"/>
          <w:bCs/>
          <w:highlight w:val="none"/>
        </w:rPr>
      </w:pPr>
      <w:r>
        <w:rPr>
          <w:rFonts w:hint="eastAsia" w:ascii="宋体" w:hAnsi="宋体" w:cs="宋体"/>
          <w:bCs/>
          <w:highlight w:val="none"/>
        </w:rPr>
        <w:t>（2）甲方授权</w:t>
      </w:r>
      <w:r>
        <w:rPr>
          <w:rFonts w:hint="eastAsia" w:ascii="宋体" w:hAnsi="宋体" w:cs="宋体"/>
          <w:bCs/>
          <w:highlight w:val="none"/>
          <w:u w:val="single"/>
        </w:rPr>
        <w:t xml:space="preserve">    </w:t>
      </w:r>
      <w:r>
        <w:rPr>
          <w:rFonts w:hint="eastAsia" w:ascii="宋体" w:hAnsi="宋体" w:cs="宋体"/>
          <w:bCs/>
          <w:highlight w:val="none"/>
        </w:rPr>
        <w:t>作为甲方代表，负责与乙方联系。更换联系代表，提前通知乙方。</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（3）甲方应在收到乙方书面提交并要求作出决定事宜的相关文件之日起3个工作日内作出书面答复。</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（4）甲方应协调乙方与现场各方关系，负责提供检测的场地；告知驻场单位（监理单位、施工单位）对检测的部位及位置并做好前期准备工作。</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（5）甲方应严格要求施工单位不得损坏基准网、检测部位。</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（6）在乙方进场前提供检测所需的技术资料，包括岩土工程勘察资料、有关的设计及施工资料。对检测有特别技术要求的，应以书面形式提出。</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（7）甲方有权亲自或派人在作业现场实施旁站式监督。甲方委托监理负责督促乙方按经审批的检测方案实施，及时掌握检测情况、避免检测过程出现问题而影响工程质量或进度。</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（8）组织本项目检测成果的审查和验收。</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（9）本合同中约定应由甲方履行的其他义务。</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①及时审核乙方提交的质量检测实施方案。</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②为乙方提供必要的工作条件和协助解决检验过程中出现的问题。</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③甲方或甲方委托的监理单位应对乙方按要求完成的工作量予以签字确认。</w:t>
      </w:r>
    </w:p>
    <w:p>
      <w:pPr>
        <w:spacing w:line="360" w:lineRule="auto"/>
        <w:ind w:firstLine="420" w:firstLineChars="200"/>
        <w:rPr>
          <w:rFonts w:ascii="宋体" w:hAnsi="宋体" w:cs="宋体"/>
          <w:snapToGrid w:val="0"/>
          <w:highlight w:val="none"/>
        </w:rPr>
      </w:pPr>
    </w:p>
    <w:p>
      <w:pPr>
        <w:spacing w:line="360" w:lineRule="auto"/>
        <w:ind w:firstLine="422" w:firstLineChars="200"/>
        <w:outlineLvl w:val="0"/>
        <w:rPr>
          <w:rFonts w:ascii="宋体" w:hAnsi="宋体" w:cs="宋体"/>
          <w:b/>
          <w:snapToGrid w:val="0"/>
          <w:highlight w:val="none"/>
        </w:rPr>
      </w:pPr>
      <w:bookmarkStart w:id="162" w:name="_Toc4635"/>
      <w:bookmarkStart w:id="163" w:name="_Toc14846"/>
      <w:bookmarkStart w:id="164" w:name="_Toc1467"/>
      <w:r>
        <w:rPr>
          <w:rFonts w:hint="eastAsia" w:ascii="宋体" w:hAnsi="宋体" w:cs="宋体"/>
          <w:b/>
          <w:snapToGrid w:val="0"/>
          <w:highlight w:val="none"/>
        </w:rPr>
        <w:t>四、乙方的权利和责任</w:t>
      </w:r>
      <w:bookmarkEnd w:id="162"/>
      <w:bookmarkEnd w:id="163"/>
      <w:bookmarkEnd w:id="164"/>
    </w:p>
    <w:p>
      <w:pPr>
        <w:spacing w:line="360" w:lineRule="auto"/>
        <w:ind w:firstLine="422" w:firstLineChars="200"/>
        <w:outlineLvl w:val="1"/>
        <w:rPr>
          <w:rFonts w:ascii="宋体" w:hAnsi="宋体" w:cs="宋体"/>
          <w:b/>
          <w:highlight w:val="none"/>
        </w:rPr>
      </w:pPr>
      <w:bookmarkStart w:id="165" w:name="_Toc7740"/>
      <w:bookmarkStart w:id="166" w:name="_Toc32730"/>
      <w:bookmarkStart w:id="167" w:name="_Toc16271"/>
      <w:r>
        <w:rPr>
          <w:rFonts w:hint="eastAsia" w:ascii="宋体" w:hAnsi="宋体" w:cs="宋体"/>
          <w:b/>
          <w:highlight w:val="none"/>
        </w:rPr>
        <w:t>1、乙方的权利</w:t>
      </w:r>
      <w:bookmarkEnd w:id="165"/>
      <w:bookmarkEnd w:id="166"/>
      <w:bookmarkEnd w:id="167"/>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（1）有权按照保质量、保工期和降低成本的原则，向甲方提供切实可行的检测实施方案。</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（2）有权对涉及检测相关工程设计中的技术问题，按照安全和优化的原则，向甲方提出建议。</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（3）有权按照本合同的约定进行检测，出具客观、准确、公正的检测报告，不受甲方干涉。</w:t>
      </w:r>
    </w:p>
    <w:p>
      <w:pPr>
        <w:spacing w:line="360" w:lineRule="auto"/>
        <w:ind w:firstLine="420" w:firstLineChars="200"/>
        <w:rPr>
          <w:rFonts w:ascii="宋体" w:hAnsi="宋体" w:cs="宋体"/>
          <w:highlight w:val="none"/>
        </w:rPr>
      </w:pPr>
      <w:r>
        <w:rPr>
          <w:rFonts w:hint="eastAsia" w:ascii="宋体" w:hAnsi="宋体" w:cs="宋体"/>
          <w:snapToGrid w:val="0"/>
          <w:highlight w:val="none"/>
        </w:rPr>
        <w:t>（4）有权按本合同约定获得检测服务报酬。</w:t>
      </w:r>
    </w:p>
    <w:p>
      <w:pPr>
        <w:spacing w:line="360" w:lineRule="auto"/>
        <w:ind w:firstLine="422" w:firstLineChars="200"/>
        <w:outlineLvl w:val="1"/>
        <w:rPr>
          <w:rFonts w:ascii="宋体" w:hAnsi="宋体" w:cs="宋体"/>
          <w:b/>
          <w:highlight w:val="none"/>
        </w:rPr>
      </w:pPr>
      <w:bookmarkStart w:id="168" w:name="_Toc6893"/>
      <w:bookmarkStart w:id="169" w:name="_Toc5304"/>
      <w:bookmarkStart w:id="170" w:name="_Toc19388"/>
      <w:r>
        <w:rPr>
          <w:rFonts w:hint="eastAsia" w:ascii="宋体" w:hAnsi="宋体" w:cs="宋体"/>
          <w:b/>
          <w:highlight w:val="none"/>
        </w:rPr>
        <w:t>2、乙方的责任</w:t>
      </w:r>
      <w:bookmarkEnd w:id="168"/>
      <w:bookmarkEnd w:id="169"/>
      <w:bookmarkEnd w:id="170"/>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1）乙方向甲方提交本合同约定项目的《检测实施方案》，经甲方审核确定后执行，并按照有关规定送质量监督部门备案，甲方以此具体考核乙方的检测工作。如甲方要求乙方对《检测实施方案》等进行合理修改调整，乙方必须在收到甲方修改调整意见之日起2日内，按甲方要求完成修改调整并报甲方审核。</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（2）按设计要求、前述规范和方案要求进行检测工作，负责为完成检测工作而必需的各项辅助工作。</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（3）提供检测仪器设备，负责仪器设备安装及场内中转、进退场。保证检测计量器具在计量检定有效周期内。</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（4）保证检测人员具备检测资格，保证持有的检测资质满足国家及地方管理要求。</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5）乙方必须按照国家、省、市相关的检测规程及其工程质量检验评定标准、本合同的技术条件来开展进行检测工程。由于乙方原因造成的停工、返工、窝工或增加工作量的，由乙方自行承担全部责任并不得向甲方收取其他费用；检测过程中，如因乙方原因给甲方造成损失的，乙方应按国家有关规定，负责承担相应赔偿，并负法律责任。</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6）本工程实际需要，而乙方受自身的资质、资格限制无法进行检测项目，乙方可进行专业（专项）检测分包，乙方应提前把拟推荐的专业（专项）检测分包单位报甲方审核确认。未经甲方确认的检测分包单位，所提交的检测报告甲方不予认可，不予支付相关的检测费用，由此引起的一切后果由乙方承担。</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（7）乙方应按规定进行检测并按规定时间提交当次成果资料报告，同时应对所提供结果报告的准确性及可靠性负法律责任。</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（8）未经甲方的书面同意，乙方不得泄露与本项目、本工程、本试验检测合同有关的资料。</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（9）检测期间，应尽力保障检测人员和设备的安全，为检测人员购买保险。如合同履行过程中，发生乙方或相邻他方人身和财产损害，由乙方自行承担和解决，与甲方无关。</w:t>
      </w:r>
    </w:p>
    <w:p>
      <w:pPr>
        <w:spacing w:line="360" w:lineRule="auto"/>
        <w:ind w:firstLine="420" w:firstLineChars="200"/>
        <w:rPr>
          <w:rFonts w:ascii="宋体" w:hAnsi="宋体" w:cs="宋体"/>
          <w:snapToGrid w:val="0"/>
          <w:highlight w:val="none"/>
        </w:rPr>
      </w:pPr>
      <w:r>
        <w:rPr>
          <w:rFonts w:hint="eastAsia" w:ascii="宋体" w:hAnsi="宋体" w:cs="宋体"/>
          <w:snapToGrid w:val="0"/>
          <w:highlight w:val="none"/>
        </w:rPr>
        <w:t>（10）在检测及施工期间，甲方应协调给乙方提供水电，费用由乙方负责；</w:t>
      </w:r>
    </w:p>
    <w:p>
      <w:pPr>
        <w:spacing w:line="360" w:lineRule="auto"/>
        <w:ind w:firstLine="422" w:firstLineChars="200"/>
        <w:outlineLvl w:val="0"/>
        <w:rPr>
          <w:rFonts w:ascii="宋体" w:hAnsi="宋体" w:cs="宋体"/>
          <w:b/>
          <w:snapToGrid w:val="0"/>
          <w:highlight w:val="none"/>
        </w:rPr>
      </w:pPr>
      <w:bookmarkStart w:id="171" w:name="_Toc23245"/>
      <w:bookmarkStart w:id="172" w:name="_Toc4600"/>
      <w:bookmarkStart w:id="173" w:name="_Toc28138"/>
      <w:r>
        <w:rPr>
          <w:rFonts w:hint="eastAsia" w:ascii="宋体" w:hAnsi="宋体" w:cs="宋体"/>
          <w:b/>
          <w:snapToGrid w:val="0"/>
          <w:highlight w:val="none"/>
        </w:rPr>
        <w:t>五、服务周期</w:t>
      </w:r>
      <w:bookmarkEnd w:id="171"/>
      <w:bookmarkEnd w:id="172"/>
      <w:bookmarkEnd w:id="173"/>
    </w:p>
    <w:p>
      <w:pPr>
        <w:spacing w:line="360" w:lineRule="auto"/>
        <w:ind w:firstLine="420" w:firstLineChars="200"/>
        <w:outlineLvl w:val="1"/>
        <w:rPr>
          <w:rFonts w:ascii="宋体" w:hAnsi="宋体" w:cs="宋体"/>
          <w:highlight w:val="none"/>
        </w:rPr>
      </w:pPr>
      <w:bookmarkStart w:id="174" w:name="_Toc6194"/>
      <w:bookmarkStart w:id="175" w:name="_Toc28102"/>
      <w:bookmarkStart w:id="176" w:name="_Toc22812"/>
      <w:r>
        <w:rPr>
          <w:rFonts w:hint="eastAsia" w:ascii="宋体" w:hAnsi="宋体" w:cs="宋体"/>
          <w:snapToGrid w:val="0"/>
          <w:highlight w:val="none"/>
        </w:rPr>
        <w:t>1、合同履行地点：</w:t>
      </w:r>
      <w:r>
        <w:rPr>
          <w:rFonts w:hint="eastAsia" w:ascii="宋体" w:hAnsi="宋体" w:cs="宋体"/>
          <w:highlight w:val="none"/>
        </w:rPr>
        <w:t>广州市从化区</w:t>
      </w:r>
      <w:bookmarkEnd w:id="174"/>
      <w:bookmarkEnd w:id="175"/>
      <w:bookmarkEnd w:id="176"/>
    </w:p>
    <w:p>
      <w:pPr>
        <w:spacing w:line="360" w:lineRule="auto"/>
        <w:ind w:firstLine="420" w:firstLineChars="200"/>
        <w:outlineLvl w:val="1"/>
        <w:rPr>
          <w:rFonts w:ascii="宋体" w:hAnsi="宋体" w:cs="宋体"/>
          <w:snapToGrid w:val="0"/>
          <w:highlight w:val="none"/>
        </w:rPr>
      </w:pPr>
      <w:bookmarkStart w:id="177" w:name="_Toc30738"/>
      <w:bookmarkStart w:id="178" w:name="_Toc12218"/>
      <w:bookmarkStart w:id="179" w:name="_Toc8129"/>
      <w:r>
        <w:rPr>
          <w:rFonts w:hint="eastAsia" w:ascii="宋体" w:hAnsi="宋体" w:cs="宋体"/>
          <w:snapToGrid w:val="0"/>
          <w:highlight w:val="none"/>
        </w:rPr>
        <w:t>2、服务周期：从乙方进场至完成所有检测项目且技术成果通过审批，服务周期必须满足实际施工要求，甲方有权根据工程实际需要调整工期，乙方需配合甲方的调整作出相应的执行计划。</w:t>
      </w:r>
      <w:bookmarkEnd w:id="177"/>
      <w:bookmarkEnd w:id="178"/>
      <w:bookmarkEnd w:id="179"/>
    </w:p>
    <w:p>
      <w:pPr>
        <w:spacing w:line="360" w:lineRule="auto"/>
        <w:ind w:firstLine="422" w:firstLineChars="200"/>
        <w:outlineLvl w:val="0"/>
        <w:rPr>
          <w:rFonts w:ascii="宋体" w:hAnsi="宋体" w:cs="宋体"/>
          <w:b/>
          <w:snapToGrid w:val="0"/>
          <w:highlight w:val="none"/>
        </w:rPr>
      </w:pPr>
      <w:bookmarkStart w:id="180" w:name="_Toc17795"/>
      <w:bookmarkStart w:id="181" w:name="_Toc18618"/>
      <w:bookmarkStart w:id="182" w:name="_Toc11701"/>
      <w:bookmarkStart w:id="183" w:name="_Toc24847"/>
      <w:r>
        <w:rPr>
          <w:rFonts w:hint="eastAsia" w:ascii="宋体" w:hAnsi="宋体" w:cs="宋体"/>
          <w:b/>
          <w:snapToGrid w:val="0"/>
          <w:highlight w:val="none"/>
        </w:rPr>
        <w:t>六、检验标准</w:t>
      </w:r>
      <w:bookmarkEnd w:id="180"/>
      <w:bookmarkEnd w:id="181"/>
      <w:bookmarkEnd w:id="182"/>
      <w:bookmarkEnd w:id="183"/>
    </w:p>
    <w:p>
      <w:pPr>
        <w:spacing w:line="360" w:lineRule="auto"/>
        <w:ind w:firstLine="420" w:firstLineChars="200"/>
        <w:rPr>
          <w:rFonts w:ascii="宋体" w:hAnsi="宋体" w:cs="宋体"/>
          <w:b/>
          <w:snapToGrid w:val="0"/>
          <w:highlight w:val="none"/>
        </w:rPr>
      </w:pPr>
      <w:r>
        <w:rPr>
          <w:rFonts w:hint="eastAsia" w:ascii="宋体" w:hAnsi="宋体" w:cs="宋体"/>
          <w:highlight w:val="none"/>
        </w:rPr>
        <w:t>乙方应按照相应的国家法律法规、国家标准、行业标准、地方标准等技术规范和本项目质量要求对拟使用于本项目的产品进行抽查检验。</w:t>
      </w:r>
    </w:p>
    <w:p>
      <w:pPr>
        <w:spacing w:line="360" w:lineRule="auto"/>
        <w:ind w:firstLine="422" w:firstLineChars="200"/>
        <w:outlineLvl w:val="0"/>
        <w:rPr>
          <w:rFonts w:ascii="宋体" w:hAnsi="宋体" w:cs="宋体"/>
          <w:b/>
          <w:snapToGrid w:val="0"/>
          <w:highlight w:val="none"/>
        </w:rPr>
      </w:pPr>
      <w:bookmarkStart w:id="184" w:name="_Toc8349"/>
      <w:bookmarkStart w:id="185" w:name="_Toc3988"/>
      <w:bookmarkStart w:id="186" w:name="_Toc23665"/>
      <w:r>
        <w:rPr>
          <w:rFonts w:hint="eastAsia" w:ascii="宋体" w:hAnsi="宋体" w:cs="宋体"/>
          <w:b/>
          <w:snapToGrid w:val="0"/>
          <w:highlight w:val="none"/>
        </w:rPr>
        <w:t>七、技术服务成果的提交及验收</w:t>
      </w:r>
      <w:bookmarkEnd w:id="184"/>
      <w:bookmarkEnd w:id="185"/>
      <w:bookmarkEnd w:id="186"/>
    </w:p>
    <w:p>
      <w:pPr>
        <w:spacing w:line="360" w:lineRule="auto"/>
        <w:ind w:firstLine="420" w:firstLineChars="200"/>
        <w:rPr>
          <w:rFonts w:ascii="宋体" w:hAnsi="宋体" w:cs="宋体"/>
          <w:highlight w:val="none"/>
        </w:rPr>
      </w:pPr>
      <w:r>
        <w:rPr>
          <w:rFonts w:hint="eastAsia" w:ascii="宋体" w:hAnsi="宋体" w:cs="宋体"/>
          <w:highlight w:val="none"/>
        </w:rPr>
        <w:t>1、乙方在检测工作完成后，应按甲方要求及时提交有效的检测报告。每次检测完成后，十个工作日内向甲方提交一式三份检测报告（成果报告按所属地块分别装订）。</w:t>
      </w:r>
    </w:p>
    <w:p>
      <w:pPr>
        <w:spacing w:line="360" w:lineRule="auto"/>
        <w:ind w:firstLine="420" w:firstLineChars="200"/>
        <w:rPr>
          <w:rFonts w:ascii="宋体" w:hAnsi="宋体" w:cs="宋体"/>
          <w:highlight w:val="none"/>
        </w:rPr>
      </w:pPr>
      <w:r>
        <w:rPr>
          <w:rFonts w:hint="eastAsia" w:ascii="宋体" w:hAnsi="宋体" w:cs="宋体"/>
          <w:highlight w:val="none"/>
        </w:rPr>
        <w:t>2、检测报告需加盖检测报告专用章和计量认证章（CMA章）。</w:t>
      </w:r>
    </w:p>
    <w:p>
      <w:pPr>
        <w:spacing w:line="360" w:lineRule="auto"/>
        <w:ind w:firstLine="420" w:firstLineChars="200"/>
        <w:rPr>
          <w:rFonts w:ascii="宋体" w:hAnsi="宋体" w:cs="宋体"/>
          <w:highlight w:val="none"/>
        </w:rPr>
      </w:pPr>
      <w:r>
        <w:rPr>
          <w:rFonts w:hint="eastAsia" w:ascii="宋体" w:hAnsi="宋体" w:cs="宋体"/>
          <w:highlight w:val="none"/>
        </w:rPr>
        <w:t>3、所有检测报告必须符合国家和地方现行的规范、标准。</w:t>
      </w:r>
    </w:p>
    <w:p>
      <w:pPr>
        <w:spacing w:line="360" w:lineRule="auto"/>
        <w:ind w:firstLine="420" w:firstLineChars="200"/>
        <w:rPr>
          <w:rFonts w:ascii="宋体" w:hAnsi="宋体" w:cs="宋体"/>
          <w:highlight w:val="none"/>
        </w:rPr>
      </w:pPr>
      <w:r>
        <w:rPr>
          <w:rFonts w:hint="eastAsia" w:ascii="宋体" w:hAnsi="宋体" w:cs="宋体"/>
          <w:highlight w:val="none"/>
        </w:rPr>
        <w:t>4、验收程序</w:t>
      </w:r>
    </w:p>
    <w:p>
      <w:pPr>
        <w:spacing w:line="360" w:lineRule="auto"/>
        <w:ind w:firstLine="420" w:firstLineChars="200"/>
        <w:rPr>
          <w:rFonts w:ascii="宋体" w:hAnsi="宋体" w:cs="宋体"/>
          <w:highlight w:val="none"/>
        </w:rPr>
      </w:pPr>
      <w:r>
        <w:rPr>
          <w:rFonts w:hint="eastAsia" w:ascii="宋体" w:hAnsi="宋体" w:cs="宋体"/>
          <w:highlight w:val="none"/>
        </w:rPr>
        <w:t>（1）自审：乙方自审。</w:t>
      </w:r>
    </w:p>
    <w:p>
      <w:pPr>
        <w:spacing w:line="360" w:lineRule="auto"/>
        <w:ind w:firstLine="420" w:firstLineChars="200"/>
        <w:rPr>
          <w:rFonts w:ascii="宋体" w:hAnsi="宋体" w:cs="宋体"/>
          <w:highlight w:val="none"/>
        </w:rPr>
      </w:pPr>
      <w:r>
        <w:rPr>
          <w:rFonts w:hint="eastAsia" w:ascii="宋体" w:hAnsi="宋体" w:cs="宋体"/>
          <w:highlight w:val="none"/>
        </w:rPr>
        <w:t>（2）验收：甲方验收。</w:t>
      </w:r>
    </w:p>
    <w:p>
      <w:pPr>
        <w:spacing w:line="360" w:lineRule="auto"/>
        <w:ind w:firstLine="420" w:firstLineChars="200"/>
        <w:rPr>
          <w:rFonts w:ascii="宋体" w:hAnsi="宋体" w:cs="宋体"/>
          <w:highlight w:val="none"/>
        </w:rPr>
      </w:pPr>
      <w:r>
        <w:rPr>
          <w:rFonts w:hint="eastAsia" w:ascii="宋体" w:hAnsi="宋体" w:cs="宋体"/>
          <w:highlight w:val="none"/>
        </w:rPr>
        <w:t>（3）检测方案、检测报告需按甲方的要求分别报送。</w:t>
      </w:r>
    </w:p>
    <w:p>
      <w:pPr>
        <w:spacing w:line="360" w:lineRule="auto"/>
        <w:ind w:firstLine="422" w:firstLineChars="200"/>
        <w:outlineLvl w:val="0"/>
        <w:rPr>
          <w:rFonts w:ascii="宋体" w:hAnsi="宋体" w:cs="宋体"/>
          <w:b/>
          <w:snapToGrid w:val="0"/>
          <w:highlight w:val="none"/>
        </w:rPr>
      </w:pPr>
      <w:bookmarkStart w:id="187" w:name="_Toc11089"/>
      <w:bookmarkStart w:id="188" w:name="_Toc2979"/>
      <w:bookmarkStart w:id="189" w:name="_Toc1065"/>
      <w:r>
        <w:rPr>
          <w:rFonts w:hint="eastAsia" w:ascii="宋体" w:hAnsi="宋体" w:cs="宋体"/>
          <w:b/>
          <w:snapToGrid w:val="0"/>
          <w:highlight w:val="none"/>
        </w:rPr>
        <w:t>八、合同价款的计取、支付及结算</w:t>
      </w:r>
      <w:bookmarkEnd w:id="187"/>
      <w:bookmarkEnd w:id="188"/>
      <w:bookmarkEnd w:id="189"/>
    </w:p>
    <w:p>
      <w:pPr>
        <w:spacing w:line="360" w:lineRule="auto"/>
        <w:ind w:firstLine="422" w:firstLineChars="200"/>
        <w:outlineLvl w:val="1"/>
        <w:rPr>
          <w:rFonts w:ascii="宋体" w:hAnsi="宋体" w:cs="宋体"/>
          <w:b/>
          <w:highlight w:val="none"/>
        </w:rPr>
      </w:pPr>
      <w:bookmarkStart w:id="190" w:name="_Toc17483"/>
      <w:bookmarkStart w:id="191" w:name="_Toc27536"/>
      <w:bookmarkStart w:id="192" w:name="_Toc24497"/>
      <w:r>
        <w:rPr>
          <w:rFonts w:hint="eastAsia" w:ascii="宋体" w:hAnsi="宋体" w:cs="宋体"/>
          <w:b/>
          <w:highlight w:val="none"/>
        </w:rPr>
        <w:t>1、合同价款</w:t>
      </w:r>
      <w:bookmarkEnd w:id="190"/>
      <w:bookmarkEnd w:id="191"/>
      <w:bookmarkEnd w:id="192"/>
    </w:p>
    <w:p>
      <w:pPr>
        <w:spacing w:line="360" w:lineRule="auto"/>
        <w:ind w:firstLine="420" w:firstLineChars="200"/>
        <w:rPr>
          <w:rFonts w:ascii="宋体" w:hAnsi="宋体" w:cs="宋体"/>
          <w:highlight w:val="none"/>
        </w:rPr>
      </w:pPr>
      <w:r>
        <w:rPr>
          <w:rFonts w:hint="eastAsia" w:ascii="宋体" w:hAnsi="宋体" w:cs="宋体"/>
          <w:highlight w:val="none"/>
        </w:rPr>
        <w:t xml:space="preserve">检测服务费暂定合同价为人民币 </w:t>
      </w:r>
      <w:r>
        <w:rPr>
          <w:rFonts w:hint="eastAsia" w:ascii="宋体" w:hAnsi="宋体" w:cs="宋体"/>
          <w:highlight w:val="none"/>
          <w:u w:val="single"/>
        </w:rPr>
        <w:t xml:space="preserve">¥ </w:t>
      </w:r>
      <w:r>
        <w:rPr>
          <w:rFonts w:hint="eastAsia" w:ascii="宋体" w:hAnsi="宋体" w:cs="宋体"/>
          <w:highlight w:val="none"/>
        </w:rPr>
        <w:t>元（大写：</w:t>
      </w:r>
      <w:r>
        <w:rPr>
          <w:rFonts w:hint="eastAsia" w:ascii="宋体" w:hAnsi="宋体" w:cs="宋体"/>
          <w:highlight w:val="none"/>
          <w:u w:val="single"/>
        </w:rPr>
        <w:t xml:space="preserve">  </w:t>
      </w:r>
      <w:r>
        <w:rPr>
          <w:rFonts w:hint="eastAsia" w:ascii="宋体" w:hAnsi="宋体" w:cs="宋体"/>
          <w:highlight w:val="none"/>
        </w:rPr>
        <w:t>）。中标下浮率=（ %）</w:t>
      </w:r>
    </w:p>
    <w:p>
      <w:pPr>
        <w:spacing w:line="360" w:lineRule="auto"/>
        <w:ind w:firstLine="420" w:firstLineChars="200"/>
        <w:rPr>
          <w:rFonts w:ascii="宋体" w:hAnsi="宋体" w:cs="宋体"/>
          <w:highlight w:val="none"/>
        </w:rPr>
      </w:pPr>
      <w:r>
        <w:rPr>
          <w:rFonts w:hint="eastAsia" w:ascii="宋体" w:hAnsi="宋体" w:cs="宋体"/>
          <w:highlight w:val="none"/>
        </w:rPr>
        <w:t>（1）检测服务费，采取工程量按实结算。根据实际检测方案实施的检测项目，以经委托人和承包人双方确认的实际完成的检测工作量为依据，根据《关于印发&lt;广东省房屋建筑和市政工程质量安全检测收费指导价（第一批）&gt;和&lt;广东省既有房屋建筑安全性鉴定收费指导价&gt;的通知》（粤建检协【2015】8号）等现行检测规范和有关收费标准及市场价进行计算，并按中标下浮率进行下浮后确定检测单价），实际完成工作量结合检测单价确定检测服务费，实际完成工作量以甲方审核确认为准。如遇以上文件都不能涵盖的新增检测项目，则单价由双方另行协商确定。以上费用已包含了税费和为完成所有要求而可能产生的不可预见的费用。</w:t>
      </w:r>
    </w:p>
    <w:p>
      <w:pPr>
        <w:spacing w:line="360" w:lineRule="auto"/>
        <w:ind w:firstLine="420" w:firstLineChars="200"/>
        <w:rPr>
          <w:rFonts w:ascii="宋体" w:hAnsi="宋体" w:cs="宋体"/>
          <w:highlight w:val="none"/>
        </w:rPr>
      </w:pPr>
      <w:r>
        <w:rPr>
          <w:rFonts w:hint="eastAsia" w:ascii="宋体" w:hAnsi="宋体" w:cs="宋体"/>
          <w:highlight w:val="none"/>
        </w:rPr>
        <w:t>（2）实施完成的检测工作量确定方式：投标人根据本项目服务范围制定检测方案，结算以确定的检测方案为依据，工程量以实际发生为准。实际发生的检测工程量须由监理或建设单位现场负责人书面确认，否则不予结算。经设计、质量监督部门认可后，建设单位有权增加或减少所列检测数量。</w:t>
      </w:r>
    </w:p>
    <w:p>
      <w:pPr>
        <w:spacing w:line="360" w:lineRule="auto"/>
        <w:ind w:firstLine="420" w:firstLineChars="200"/>
        <w:rPr>
          <w:rFonts w:ascii="宋体" w:hAnsi="宋体" w:cs="宋体"/>
          <w:highlight w:val="none"/>
        </w:rPr>
      </w:pPr>
      <w:r>
        <w:rPr>
          <w:rFonts w:hint="eastAsia" w:ascii="宋体" w:hAnsi="宋体" w:cs="宋体"/>
          <w:highlight w:val="none"/>
        </w:rPr>
        <w:t>（3）检测服务费包括但不限于人工费、材料费、设备使用费、设备进出场费、检测试验费、报告编写费、技术工作费、疫情期间防疫措施费、各项管理费，以及所有因工程质量检测应交纳的政府规费、利润、税金、风险费用等，</w:t>
      </w:r>
      <w:bookmarkStart w:id="193" w:name="_Hlk9520681"/>
      <w:r>
        <w:rPr>
          <w:rFonts w:hint="eastAsia" w:ascii="宋体" w:hAnsi="宋体" w:cs="宋体"/>
          <w:highlight w:val="none"/>
        </w:rPr>
        <w:t>无</w:t>
      </w:r>
      <w:bookmarkEnd w:id="193"/>
      <w:r>
        <w:rPr>
          <w:rFonts w:hint="eastAsia" w:ascii="宋体" w:hAnsi="宋体" w:cs="宋体"/>
          <w:highlight w:val="none"/>
        </w:rPr>
        <w:t>论实际费用有无发生，无论各项费用有无涨落，均不再调整。</w:t>
      </w:r>
    </w:p>
    <w:p>
      <w:pPr>
        <w:spacing w:line="360" w:lineRule="auto"/>
        <w:ind w:firstLine="420" w:firstLineChars="200"/>
        <w:rPr>
          <w:rFonts w:ascii="宋体" w:hAnsi="宋体" w:cs="宋体"/>
          <w:highlight w:val="none"/>
        </w:rPr>
      </w:pPr>
      <w:r>
        <w:rPr>
          <w:rFonts w:hint="eastAsia" w:ascii="宋体" w:hAnsi="宋体" w:cs="宋体"/>
          <w:highlight w:val="none"/>
        </w:rPr>
        <w:t>（4）结算原则：</w:t>
      </w:r>
    </w:p>
    <w:p>
      <w:pPr>
        <w:spacing w:line="360" w:lineRule="auto"/>
        <w:ind w:firstLine="420" w:firstLineChars="200"/>
        <w:rPr>
          <w:rFonts w:ascii="宋体" w:hAnsi="宋体" w:cs="宋体"/>
          <w:highlight w:val="none"/>
        </w:rPr>
      </w:pPr>
      <w:r>
        <w:rPr>
          <w:rFonts w:hint="eastAsia" w:ascii="宋体" w:hAnsi="宋体" w:cs="宋体"/>
          <w:highlight w:val="none"/>
        </w:rPr>
        <w:t>检测项目以监理、发包人、承包人共同认可并提交了检测方案、检测报告的内容为准进行结算。</w:t>
      </w:r>
    </w:p>
    <w:p>
      <w:pPr>
        <w:spacing w:line="360" w:lineRule="auto"/>
        <w:ind w:firstLine="420" w:firstLineChars="200"/>
        <w:rPr>
          <w:rFonts w:ascii="宋体" w:hAnsi="宋体" w:cs="宋体"/>
          <w:highlight w:val="none"/>
        </w:rPr>
      </w:pPr>
      <w:r>
        <w:rPr>
          <w:rFonts w:hint="eastAsia" w:ascii="宋体" w:hAnsi="宋体" w:cs="宋体"/>
          <w:highlight w:val="none"/>
        </w:rPr>
        <w:t>采用实际检测工程量结合检测单价结算，根据实际检测方案实施的检测项目，以经委托人和承包人双方确认的实际完成的检测工作量为依据，根据《关于印发&lt;广东省房屋建筑和市政工程质量安全检测收费指导价（第一批）&gt;和&lt;广东省既有房屋建筑安全性鉴定收费指导价&gt;的通知》（粤建检协【2015】8号）等现行检测规范和有关收费标准及市场价进行计算，并按中标下浮率进行下浮后确定检测单价），实际完成工作量以甲方审核确认为准。如遇以上文件都不能涵盖的新增检测项目，则单价由双方另行协商确定）。若按实际工程量计算的结算总价高于工程概算审核后检验检测的评审价，则按评审价作为结算价，最终结算以结算审定部门审定金额为准。此结算总价为乙方完成本合同全部工作内容的全部费用，不因服务时间长短、工作量多少而调整。</w:t>
      </w:r>
    </w:p>
    <w:p>
      <w:pPr>
        <w:spacing w:line="360" w:lineRule="auto"/>
        <w:ind w:firstLine="422" w:firstLineChars="200"/>
        <w:outlineLvl w:val="1"/>
        <w:rPr>
          <w:rFonts w:ascii="宋体" w:hAnsi="宋体" w:cs="宋体"/>
          <w:b/>
          <w:highlight w:val="none"/>
        </w:rPr>
      </w:pPr>
      <w:bookmarkStart w:id="194" w:name="_Toc25647"/>
      <w:bookmarkStart w:id="195" w:name="_Toc15757"/>
      <w:bookmarkStart w:id="196" w:name="_Toc13361"/>
      <w:r>
        <w:rPr>
          <w:rFonts w:hint="eastAsia" w:ascii="宋体" w:hAnsi="宋体" w:cs="宋体"/>
          <w:b/>
          <w:highlight w:val="none"/>
        </w:rPr>
        <w:t>2、支付方式</w:t>
      </w:r>
      <w:bookmarkEnd w:id="194"/>
      <w:bookmarkEnd w:id="195"/>
      <w:bookmarkEnd w:id="196"/>
    </w:p>
    <w:p>
      <w:pPr>
        <w:spacing w:line="360" w:lineRule="auto"/>
        <w:ind w:firstLine="420" w:firstLineChars="200"/>
        <w:rPr>
          <w:rFonts w:ascii="宋体" w:hAnsi="宋体" w:cs="宋体"/>
          <w:highlight w:val="none"/>
        </w:rPr>
      </w:pPr>
      <w:r>
        <w:rPr>
          <w:rFonts w:hint="eastAsia" w:ascii="宋体" w:hAnsi="宋体" w:cs="宋体"/>
          <w:highlight w:val="none"/>
        </w:rPr>
        <w:t>①服务费用按季度支付。检测工程量按本季度实际完成的检测量计算，检测工程量和支付金额经监理单位审核、建设管理单位审批确认后，按当期的应支付检测服务费的100%进行支付，且累计支付不超过合同价的85％；</w:t>
      </w:r>
    </w:p>
    <w:p>
      <w:pPr>
        <w:spacing w:line="360" w:lineRule="auto"/>
        <w:ind w:firstLine="420" w:firstLineChars="200"/>
        <w:rPr>
          <w:rFonts w:ascii="宋体" w:hAnsi="宋体" w:cs="宋体"/>
          <w:highlight w:val="none"/>
        </w:rPr>
      </w:pPr>
      <w:r>
        <w:rPr>
          <w:rFonts w:hint="eastAsia" w:ascii="宋体" w:hAnsi="宋体" w:cs="宋体"/>
          <w:highlight w:val="none"/>
        </w:rPr>
        <w:t>②乙方提交全部最终成果报告后，经监理单位、甲方审核后，支付剩余检测费；</w:t>
      </w:r>
    </w:p>
    <w:p>
      <w:pPr>
        <w:spacing w:line="360" w:lineRule="auto"/>
        <w:ind w:firstLine="420" w:firstLineChars="200"/>
        <w:rPr>
          <w:rFonts w:ascii="宋体" w:hAnsi="宋体" w:cs="宋体"/>
          <w:highlight w:val="none"/>
        </w:rPr>
      </w:pPr>
      <w:r>
        <w:rPr>
          <w:rFonts w:hint="eastAsia" w:ascii="宋体" w:hAnsi="宋体" w:cs="宋体"/>
          <w:highlight w:val="none"/>
        </w:rPr>
        <w:t>每次申请检测服务费时，应向甲方提交相应合法有效的支付申请材料及增值税发票。</w:t>
      </w:r>
    </w:p>
    <w:p>
      <w:pPr>
        <w:autoSpaceDE w:val="0"/>
        <w:autoSpaceDN w:val="0"/>
        <w:adjustRightInd w:val="0"/>
        <w:spacing w:line="360" w:lineRule="auto"/>
        <w:ind w:firstLine="525" w:firstLineChars="250"/>
        <w:jc w:val="left"/>
        <w:rPr>
          <w:rFonts w:ascii="宋体" w:hAnsi="宋体" w:cs="宋体"/>
          <w:highlight w:val="none"/>
        </w:rPr>
      </w:pPr>
      <w:r>
        <w:rPr>
          <w:rFonts w:hint="eastAsia" w:ascii="宋体" w:hAnsi="宋体" w:cs="宋体"/>
          <w:highlight w:val="none"/>
        </w:rPr>
        <w:t>3、支付时限：</w:t>
      </w:r>
      <w:r>
        <w:rPr>
          <w:rFonts w:hint="eastAsia" w:ascii="宋体" w:hAnsi="宋体" w:cs="宋体"/>
          <w:sz w:val="24"/>
          <w:szCs w:val="24"/>
          <w:highlight w:val="none"/>
          <w:u w:val="single"/>
        </w:rPr>
        <w:t>①</w:t>
      </w:r>
      <w:r>
        <w:rPr>
          <w:rFonts w:hint="eastAsia" w:ascii="宋体" w:hAnsi="宋体" w:cs="宋体"/>
          <w:sz w:val="24"/>
          <w:szCs w:val="24"/>
          <w:highlight w:val="none"/>
          <w:u w:val="single"/>
          <w:lang w:val="zh-CN"/>
        </w:rPr>
        <w:t>、乙方按规定递交申请支付资料给甲方，甲方将工程请款资料提交至财政支付部门申请支付，支付时间最终以财政支付部门支付为准。</w:t>
      </w:r>
      <w:r>
        <w:rPr>
          <w:rFonts w:hint="eastAsia" w:ascii="宋体" w:hAnsi="宋体" w:cs="宋体"/>
          <w:sz w:val="24"/>
          <w:szCs w:val="24"/>
          <w:highlight w:val="none"/>
          <w:u w:val="single"/>
        </w:rPr>
        <w:t>②</w:t>
      </w:r>
      <w:r>
        <w:rPr>
          <w:rFonts w:hint="eastAsia" w:ascii="宋体" w:hAnsi="宋体" w:cs="宋体"/>
          <w:sz w:val="24"/>
          <w:szCs w:val="24"/>
          <w:highlight w:val="none"/>
          <w:u w:val="single"/>
          <w:lang w:val="zh-CN"/>
        </w:rPr>
        <w:t>、上述所有的支付时间不包含政府财政支付部门审批时间，乙方清楚本项目使用的是财政资金，且同意甲方向财政支付部门提出支付申请即视为已按时付款（不含政府财政支付部门审核的时间），因政府部门审核请款手续或财政拨款不到位，导致甲方超出合同约定的付款时间，或对其他方面造成影响的与甲方无关，乙方不得因此拒绝履行合同或要求甲方承担违约责任。</w:t>
      </w:r>
    </w:p>
    <w:p>
      <w:pPr>
        <w:spacing w:line="360" w:lineRule="auto"/>
        <w:ind w:firstLine="422" w:firstLineChars="200"/>
        <w:outlineLvl w:val="0"/>
        <w:rPr>
          <w:rFonts w:ascii="宋体" w:hAnsi="宋体" w:cs="宋体"/>
          <w:b/>
          <w:snapToGrid w:val="0"/>
          <w:highlight w:val="none"/>
        </w:rPr>
      </w:pPr>
      <w:bookmarkStart w:id="197" w:name="_Toc20049"/>
      <w:bookmarkStart w:id="198" w:name="_Toc2200"/>
      <w:bookmarkStart w:id="199" w:name="_Toc30436"/>
      <w:bookmarkStart w:id="200" w:name="_Toc12615"/>
      <w:r>
        <w:rPr>
          <w:rFonts w:hint="eastAsia" w:ascii="宋体" w:hAnsi="宋体" w:cs="宋体"/>
          <w:b/>
          <w:snapToGrid w:val="0"/>
          <w:highlight w:val="none"/>
        </w:rPr>
        <w:t>九、违约责任</w:t>
      </w:r>
      <w:bookmarkEnd w:id="197"/>
      <w:bookmarkEnd w:id="198"/>
      <w:bookmarkEnd w:id="199"/>
      <w:bookmarkEnd w:id="200"/>
    </w:p>
    <w:p>
      <w:pPr>
        <w:spacing w:line="360" w:lineRule="auto"/>
        <w:ind w:firstLine="420" w:firstLineChars="200"/>
        <w:rPr>
          <w:rFonts w:ascii="宋体" w:hAnsi="宋体" w:cs="宋体"/>
          <w:highlight w:val="none"/>
        </w:rPr>
      </w:pPr>
      <w:r>
        <w:rPr>
          <w:rFonts w:hint="eastAsia" w:ascii="宋体" w:hAnsi="宋体" w:cs="宋体"/>
          <w:highlight w:val="none"/>
        </w:rPr>
        <w:t>1、乙方应严格按照设计要求及现场监理人员要求，及时到场进行工作。若乙方在合同签订后，经甲方催促不按时进场开展工作或进场后三次未能及时提交满足合同约定标准的检测报告，甲方有权解除合同，乙方应全额返还受影响段甲方已付款项并赔偿甲方相关损失。</w:t>
      </w:r>
    </w:p>
    <w:p>
      <w:pPr>
        <w:spacing w:line="360" w:lineRule="auto"/>
        <w:ind w:firstLine="420" w:firstLineChars="200"/>
        <w:rPr>
          <w:rFonts w:ascii="宋体" w:hAnsi="宋体" w:cs="宋体"/>
          <w:highlight w:val="none"/>
        </w:rPr>
      </w:pPr>
      <w:r>
        <w:rPr>
          <w:rFonts w:hint="eastAsia" w:ascii="宋体" w:hAnsi="宋体" w:cs="宋体"/>
          <w:highlight w:val="none"/>
        </w:rPr>
        <w:t>2、因乙方工作不及时或其提供的检测资料不准确造成损失的，乙方应承担相应责任，赔偿由此给甲方造成的损失。</w:t>
      </w:r>
    </w:p>
    <w:p>
      <w:pPr>
        <w:spacing w:line="360" w:lineRule="auto"/>
        <w:ind w:firstLine="420" w:firstLineChars="200"/>
        <w:rPr>
          <w:rFonts w:ascii="宋体" w:hAnsi="宋体" w:cs="宋体"/>
          <w:highlight w:val="none"/>
        </w:rPr>
      </w:pPr>
      <w:r>
        <w:rPr>
          <w:rFonts w:hint="eastAsia" w:ascii="宋体" w:hAnsi="宋体" w:cs="宋体"/>
          <w:highlight w:val="none"/>
        </w:rPr>
        <w:t>3、由于乙方在检测数据发生异常时未及时通知甲方或现场监理人员，造成人员伤亡或造成甲方经济损失，乙方除应负法律责任外，还应赔偿甲方损失。</w:t>
      </w:r>
    </w:p>
    <w:p>
      <w:pPr>
        <w:spacing w:line="360" w:lineRule="auto"/>
        <w:ind w:firstLine="420" w:firstLineChars="200"/>
        <w:rPr>
          <w:rFonts w:ascii="宋体" w:hAnsi="宋体" w:cs="宋体"/>
          <w:highlight w:val="none"/>
        </w:rPr>
      </w:pPr>
      <w:r>
        <w:rPr>
          <w:rFonts w:hint="eastAsia" w:ascii="宋体" w:hAnsi="宋体" w:cs="宋体"/>
          <w:highlight w:val="none"/>
        </w:rPr>
        <w:t>4、由于乙方原因造成检测成果报告不符合国家技术规范、标准、规程及任务委托书的有关要求，乙方必须在甲方要求的时间内负责无偿给予修正、补充和完善。</w:t>
      </w:r>
    </w:p>
    <w:p>
      <w:pPr>
        <w:spacing w:line="360" w:lineRule="auto"/>
        <w:ind w:firstLine="420" w:firstLineChars="200"/>
        <w:rPr>
          <w:rFonts w:ascii="宋体" w:hAnsi="宋体" w:cs="宋体"/>
          <w:highlight w:val="none"/>
        </w:rPr>
      </w:pPr>
      <w:r>
        <w:rPr>
          <w:rFonts w:hint="eastAsia" w:ascii="宋体" w:hAnsi="宋体" w:cs="宋体"/>
          <w:highlight w:val="none"/>
        </w:rPr>
        <w:t>5、由于乙方原因造成检测成果质量不合格，造成重大经济损失或工程事故时，乙方除应负法律责任外，还应赔偿甲方损失。</w:t>
      </w:r>
    </w:p>
    <w:p>
      <w:pPr>
        <w:spacing w:line="360" w:lineRule="auto"/>
        <w:ind w:firstLine="420" w:firstLineChars="200"/>
        <w:rPr>
          <w:rFonts w:ascii="宋体" w:hAnsi="宋体" w:cs="宋体"/>
          <w:highlight w:val="none"/>
        </w:rPr>
      </w:pPr>
      <w:r>
        <w:rPr>
          <w:rFonts w:hint="eastAsia" w:ascii="宋体" w:hAnsi="宋体" w:cs="宋体"/>
          <w:highlight w:val="none"/>
        </w:rPr>
        <w:t>6、出现恶劣天气等不可抗力因素或由于甲方无法提供必要检测工作面而使得本工程无法继续进行的，工期可以顺延，双方各自承担自己的损失，不得向对方索赔。</w:t>
      </w:r>
    </w:p>
    <w:p>
      <w:pPr>
        <w:spacing w:line="360" w:lineRule="auto"/>
        <w:ind w:firstLine="420" w:firstLineChars="200"/>
        <w:rPr>
          <w:rFonts w:ascii="宋体" w:hAnsi="宋体" w:cs="宋体"/>
          <w:highlight w:val="none"/>
        </w:rPr>
      </w:pPr>
      <w:r>
        <w:rPr>
          <w:rFonts w:hint="eastAsia" w:ascii="宋体" w:hAnsi="宋体" w:cs="宋体"/>
          <w:highlight w:val="none"/>
        </w:rPr>
        <w:t>7、乙方未按合同规定时间提交正式的检测报告书，每逾期一日，扣减应付金额的千分之二逾期违约金。</w:t>
      </w:r>
    </w:p>
    <w:p>
      <w:pPr>
        <w:spacing w:line="360" w:lineRule="auto"/>
        <w:ind w:firstLine="420" w:firstLineChars="200"/>
        <w:rPr>
          <w:rFonts w:ascii="宋体" w:hAnsi="宋体" w:cs="宋体"/>
          <w:highlight w:val="none"/>
        </w:rPr>
      </w:pPr>
      <w:r>
        <w:rPr>
          <w:rFonts w:hint="eastAsia" w:ascii="宋体" w:hAnsi="宋体" w:cs="宋体"/>
          <w:highlight w:val="none"/>
        </w:rPr>
        <w:t>8、乙方未按规定时间进场进行检测服务, 每逾期一日，扣减应付金额的千分之一逾期违约金。</w:t>
      </w:r>
    </w:p>
    <w:p>
      <w:pPr>
        <w:spacing w:line="360" w:lineRule="auto"/>
        <w:ind w:firstLine="420" w:firstLineChars="200"/>
        <w:rPr>
          <w:rFonts w:ascii="宋体" w:hAnsi="宋体" w:cs="宋体"/>
          <w:highlight w:val="none"/>
        </w:rPr>
      </w:pPr>
      <w:r>
        <w:rPr>
          <w:rFonts w:hint="eastAsia" w:ascii="宋体" w:hAnsi="宋体" w:cs="宋体"/>
          <w:highlight w:val="none"/>
        </w:rPr>
        <w:t>9、若乙方逾期10天未能提交正式的检测报告，甲方有权单方解除本合同，并且可要求乙方退还甲方已付合同价款及应按合同价款的30%向甲方支付违约金，造成甲方损失的，另行承担赔偿责任。</w:t>
      </w:r>
    </w:p>
    <w:p>
      <w:pPr>
        <w:spacing w:line="360" w:lineRule="auto"/>
        <w:ind w:firstLine="420" w:firstLineChars="200"/>
        <w:rPr>
          <w:rFonts w:ascii="宋体" w:hAnsi="宋体" w:cs="宋体"/>
          <w:highlight w:val="none"/>
        </w:rPr>
      </w:pPr>
      <w:r>
        <w:rPr>
          <w:rFonts w:hint="eastAsia" w:ascii="宋体" w:hAnsi="宋体" w:cs="宋体"/>
          <w:highlight w:val="none"/>
        </w:rPr>
        <w:t>10、甲方未按合同规定时间（日期）支付检测、监测费用（财政审批影响支付的情况不属违约），每逾期一日，应向乙方偿付未支付检测、监测费的千分之二逾期违约金，并应当按照乙方要求退回已收取的检测、监测成果报告。</w:t>
      </w:r>
    </w:p>
    <w:p>
      <w:pPr>
        <w:spacing w:line="360" w:lineRule="auto"/>
        <w:ind w:firstLine="422" w:firstLineChars="200"/>
        <w:rPr>
          <w:rFonts w:ascii="宋体" w:hAnsi="宋体" w:cs="宋体"/>
          <w:b/>
          <w:snapToGrid w:val="0"/>
          <w:highlight w:val="none"/>
        </w:rPr>
      </w:pPr>
      <w:bookmarkStart w:id="201" w:name="_Toc17076"/>
      <w:r>
        <w:rPr>
          <w:rFonts w:hint="eastAsia" w:ascii="宋体" w:hAnsi="宋体" w:cs="宋体"/>
          <w:b/>
          <w:snapToGrid w:val="0"/>
          <w:highlight w:val="none"/>
        </w:rPr>
        <w:t>十、不可抗力</w:t>
      </w:r>
      <w:bookmarkEnd w:id="201"/>
    </w:p>
    <w:p>
      <w:pPr>
        <w:spacing w:line="360" w:lineRule="auto"/>
        <w:ind w:firstLine="420" w:firstLineChars="200"/>
        <w:rPr>
          <w:rFonts w:ascii="宋体" w:hAnsi="宋体" w:cs="宋体"/>
          <w:highlight w:val="none"/>
        </w:rPr>
      </w:pPr>
      <w:r>
        <w:rPr>
          <w:rFonts w:hint="eastAsia" w:ascii="宋体" w:hAnsi="宋体" w:cs="宋体"/>
          <w:highlight w:val="none"/>
        </w:rPr>
        <w:t>1、不可抗力，是指不能预见、不能避免并不能克服、对本合同的检测服务工作造成实质性影响的自然灾害和战争、动乱（不包括乙方内部的任何纠纷和纷争）、突发性公共卫生事件等社会事件。政府关于本建设项目政策的重大调整或本建设项目建设规划方案重大功能性调整，也属不可抗力。</w:t>
      </w:r>
    </w:p>
    <w:p>
      <w:pPr>
        <w:spacing w:line="360" w:lineRule="auto"/>
        <w:ind w:firstLine="420" w:firstLineChars="200"/>
        <w:rPr>
          <w:rFonts w:ascii="宋体" w:hAnsi="宋体" w:cs="宋体"/>
          <w:highlight w:val="none"/>
        </w:rPr>
      </w:pPr>
      <w:r>
        <w:rPr>
          <w:rFonts w:hint="eastAsia" w:ascii="宋体" w:hAnsi="宋体" w:cs="宋体"/>
          <w:highlight w:val="none"/>
        </w:rPr>
        <w:t>2、如在工程实施期间，由于国家政策变化、政府对本合同工程的计划调整或不可抗力等非甲方主观原因造成本合同工程停建的，则乙方必须接受终止服务并积极配合甲方做好善后工作，按已实际完成的检测服务内容和本合同的相关约定结清检测服务酬金，乙方人不得要求额外的费用及任何形式的补偿。</w:t>
      </w:r>
    </w:p>
    <w:p>
      <w:pPr>
        <w:spacing w:line="360" w:lineRule="auto"/>
        <w:ind w:firstLine="420" w:firstLineChars="200"/>
        <w:rPr>
          <w:rFonts w:ascii="宋体" w:hAnsi="宋体" w:cs="宋体"/>
          <w:highlight w:val="none"/>
        </w:rPr>
      </w:pPr>
      <w:r>
        <w:rPr>
          <w:rFonts w:hint="eastAsia" w:ascii="宋体" w:hAnsi="宋体" w:cs="宋体"/>
          <w:highlight w:val="none"/>
        </w:rPr>
        <w:t>3、对不可抗力事件导致的乙方检测服务成果提交时间的延误，由双方协商确定乙方提交检测服务成果的时间。</w:t>
      </w:r>
    </w:p>
    <w:p>
      <w:pPr>
        <w:spacing w:line="360" w:lineRule="auto"/>
        <w:ind w:firstLine="420" w:firstLineChars="200"/>
        <w:rPr>
          <w:rFonts w:ascii="宋体" w:hAnsi="宋体" w:cs="宋体"/>
          <w:highlight w:val="none"/>
        </w:rPr>
      </w:pPr>
    </w:p>
    <w:p>
      <w:pPr>
        <w:spacing w:line="360" w:lineRule="auto"/>
        <w:ind w:firstLine="422" w:firstLineChars="200"/>
        <w:outlineLvl w:val="0"/>
        <w:rPr>
          <w:rFonts w:ascii="宋体" w:hAnsi="宋体" w:cs="宋体"/>
          <w:b/>
          <w:snapToGrid w:val="0"/>
          <w:highlight w:val="none"/>
        </w:rPr>
      </w:pPr>
      <w:bookmarkStart w:id="202" w:name="_Toc16411"/>
      <w:bookmarkStart w:id="203" w:name="_Toc31835"/>
      <w:bookmarkStart w:id="204" w:name="_Toc18037"/>
      <w:bookmarkStart w:id="205" w:name="_Toc18094"/>
      <w:r>
        <w:rPr>
          <w:rFonts w:hint="eastAsia" w:ascii="宋体" w:hAnsi="宋体" w:cs="宋体"/>
          <w:b/>
          <w:snapToGrid w:val="0"/>
          <w:highlight w:val="none"/>
        </w:rPr>
        <w:t>十一、争议解决</w:t>
      </w:r>
      <w:bookmarkEnd w:id="202"/>
      <w:bookmarkEnd w:id="203"/>
      <w:bookmarkEnd w:id="204"/>
      <w:bookmarkEnd w:id="205"/>
    </w:p>
    <w:p>
      <w:pPr>
        <w:spacing w:line="360" w:lineRule="auto"/>
        <w:ind w:firstLine="420" w:firstLineChars="200"/>
        <w:rPr>
          <w:rFonts w:ascii="宋体" w:hAnsi="宋体" w:cs="宋体"/>
          <w:highlight w:val="none"/>
        </w:rPr>
      </w:pPr>
      <w:r>
        <w:rPr>
          <w:rFonts w:hint="eastAsia" w:ascii="宋体" w:hAnsi="宋体" w:cs="宋体"/>
          <w:highlight w:val="none"/>
        </w:rPr>
        <w:t>因本合同或履行本合同发生争议，双方应协商解决；协商不成的，任何一方均有权向甲方所在地人民法院提起诉讼。</w:t>
      </w:r>
    </w:p>
    <w:p>
      <w:pPr>
        <w:spacing w:line="360" w:lineRule="auto"/>
        <w:ind w:firstLine="420" w:firstLineChars="200"/>
        <w:rPr>
          <w:rFonts w:ascii="宋体" w:hAnsi="宋体" w:cs="宋体"/>
          <w:highlight w:val="none"/>
        </w:rPr>
      </w:pPr>
    </w:p>
    <w:p>
      <w:pPr>
        <w:spacing w:line="360" w:lineRule="auto"/>
        <w:ind w:firstLine="422" w:firstLineChars="200"/>
        <w:outlineLvl w:val="0"/>
        <w:rPr>
          <w:rFonts w:ascii="宋体" w:hAnsi="宋体" w:cs="宋体"/>
          <w:b/>
          <w:snapToGrid w:val="0"/>
          <w:highlight w:val="none"/>
        </w:rPr>
      </w:pPr>
      <w:bookmarkStart w:id="206" w:name="_Toc11953"/>
      <w:bookmarkStart w:id="207" w:name="_Toc15385"/>
      <w:bookmarkStart w:id="208" w:name="_Toc13208"/>
      <w:bookmarkStart w:id="209" w:name="_Toc25648"/>
      <w:r>
        <w:rPr>
          <w:rFonts w:hint="eastAsia" w:ascii="宋体" w:hAnsi="宋体" w:cs="宋体"/>
          <w:b/>
          <w:snapToGrid w:val="0"/>
          <w:highlight w:val="none"/>
        </w:rPr>
        <w:t>十二、其他</w:t>
      </w:r>
      <w:bookmarkEnd w:id="206"/>
      <w:bookmarkEnd w:id="207"/>
      <w:bookmarkEnd w:id="208"/>
      <w:bookmarkEnd w:id="209"/>
    </w:p>
    <w:p>
      <w:pPr>
        <w:spacing w:line="360" w:lineRule="auto"/>
        <w:ind w:firstLine="420" w:firstLineChars="200"/>
        <w:rPr>
          <w:rFonts w:ascii="宋体" w:hAnsi="宋体" w:cs="宋体"/>
          <w:highlight w:val="none"/>
        </w:rPr>
      </w:pPr>
      <w:r>
        <w:rPr>
          <w:rFonts w:hint="eastAsia" w:ascii="宋体" w:hAnsi="宋体" w:cs="宋体"/>
          <w:highlight w:val="none"/>
        </w:rPr>
        <w:t>1、根据国家的有关法规，为确保检测结果的公正性，任何一方均不得干预正常的检测工作以及检测结果，以免影响检测结果的准确性；</w:t>
      </w:r>
    </w:p>
    <w:p>
      <w:pPr>
        <w:spacing w:line="360" w:lineRule="auto"/>
        <w:ind w:firstLine="420" w:firstLineChars="200"/>
        <w:rPr>
          <w:rFonts w:ascii="宋体" w:hAnsi="宋体" w:cs="宋体"/>
          <w:highlight w:val="none"/>
        </w:rPr>
      </w:pPr>
      <w:r>
        <w:rPr>
          <w:rFonts w:hint="eastAsia" w:ascii="宋体" w:hAnsi="宋体" w:cs="宋体"/>
          <w:highlight w:val="none"/>
        </w:rPr>
        <w:t>2、乙方应根据政府有关规定，在领取中标通知书前，向广州公共资源交易中心交纳交易服务费。以及按照甲方与招标代理公司签署的招标代理合同支付相关招标代理费用。</w:t>
      </w:r>
    </w:p>
    <w:p>
      <w:pPr>
        <w:spacing w:line="360" w:lineRule="auto"/>
        <w:ind w:firstLine="420" w:firstLineChars="200"/>
        <w:rPr>
          <w:rFonts w:ascii="宋体" w:hAnsi="宋体" w:cs="宋体"/>
          <w:highlight w:val="none"/>
        </w:rPr>
      </w:pPr>
      <w:r>
        <w:rPr>
          <w:rFonts w:hint="eastAsia" w:ascii="宋体" w:hAnsi="宋体" w:cs="宋体"/>
          <w:highlight w:val="none"/>
        </w:rPr>
        <w:t>3、双方可对本合同的条款进行补充，以书面形式签订补充协议，补充协议与本合同具有同等效力。补充协议约定的内容与本合同约定的内容相抵触的，以补充协议约定的内容为准。</w:t>
      </w:r>
    </w:p>
    <w:p>
      <w:pPr>
        <w:spacing w:line="360" w:lineRule="auto"/>
        <w:ind w:firstLine="420" w:firstLineChars="200"/>
        <w:rPr>
          <w:rFonts w:ascii="宋体" w:hAnsi="宋体" w:cs="宋体"/>
          <w:highlight w:val="none"/>
        </w:rPr>
      </w:pPr>
      <w:r>
        <w:rPr>
          <w:rFonts w:hint="eastAsia" w:ascii="宋体" w:hAnsi="宋体" w:cs="宋体"/>
          <w:highlight w:val="none"/>
        </w:rPr>
        <w:t>4、本合同履行期间，如遇不可抗力致使本合同无法履行时，双方应按有关法律规定及时协商处理。</w:t>
      </w:r>
    </w:p>
    <w:p>
      <w:pPr>
        <w:spacing w:line="360" w:lineRule="auto"/>
        <w:ind w:firstLine="420" w:firstLineChars="200"/>
        <w:rPr>
          <w:rFonts w:ascii="宋体" w:hAnsi="宋体" w:cs="宋体"/>
          <w:highlight w:val="none"/>
        </w:rPr>
      </w:pPr>
      <w:r>
        <w:rPr>
          <w:rFonts w:hint="eastAsia" w:ascii="宋体" w:hAnsi="宋体" w:cs="宋体"/>
          <w:highlight w:val="none"/>
        </w:rPr>
        <w:t>5、本合同自甲乙双方代表签字并加盖公章后生效。</w:t>
      </w:r>
    </w:p>
    <w:p>
      <w:pPr>
        <w:spacing w:line="360" w:lineRule="auto"/>
        <w:ind w:firstLine="420" w:firstLineChars="200"/>
        <w:rPr>
          <w:rFonts w:ascii="宋体" w:hAnsi="宋体" w:cs="宋体"/>
          <w:highlight w:val="none"/>
        </w:rPr>
      </w:pPr>
      <w:r>
        <w:rPr>
          <w:rFonts w:hint="eastAsia" w:ascii="宋体" w:hAnsi="宋体" w:cs="宋体"/>
          <w:highlight w:val="none"/>
        </w:rPr>
        <w:t>6、本合同正本三份，甲方执二份，乙方执一份；副本九份，其中甲方执七份，乙方执二份。合同正、副本具有同等效力，但当合同正本与副本的表述不一致时，以合同正本为准。</w:t>
      </w:r>
    </w:p>
    <w:p>
      <w:pPr>
        <w:rPr>
          <w:rFonts w:ascii="宋体" w:hAnsi="宋体" w:cs="宋体"/>
          <w:highlight w:val="none"/>
        </w:rPr>
      </w:pPr>
      <w:r>
        <w:rPr>
          <w:rFonts w:hint="eastAsia" w:ascii="宋体" w:hAnsi="宋体" w:cs="宋体"/>
          <w:highlight w:val="none"/>
        </w:rPr>
        <w:br w:type="page"/>
      </w:r>
    </w:p>
    <w:p>
      <w:pPr>
        <w:pStyle w:val="9"/>
        <w:ind w:firstLine="422"/>
        <w:rPr>
          <w:highlight w:val="none"/>
        </w:rPr>
      </w:pPr>
    </w:p>
    <w:tbl>
      <w:tblPr>
        <w:tblStyle w:val="30"/>
        <w:tblW w:w="8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60" w:type="dxa"/>
            <w:tcMar>
              <w:left w:w="0" w:type="dxa"/>
              <w:right w:w="85" w:type="dxa"/>
            </w:tcMar>
          </w:tcPr>
          <w:p>
            <w:pPr>
              <w:spacing w:line="360" w:lineRule="auto"/>
              <w:ind w:left="1638" w:hanging="1638" w:hangingChars="780"/>
              <w:rPr>
                <w:rFonts w:ascii="宋体" w:hAnsi="宋体" w:cs="宋体"/>
                <w:kern w:val="0"/>
                <w:szCs w:val="20"/>
                <w:highlight w:val="none"/>
              </w:rPr>
            </w:pPr>
            <w:r>
              <w:rPr>
                <w:rFonts w:hint="eastAsia" w:ascii="宋体" w:hAnsi="宋体" w:cs="宋体"/>
                <w:kern w:val="0"/>
                <w:szCs w:val="20"/>
                <w:highlight w:val="none"/>
              </w:rPr>
              <w:t>甲方（委托人）：</w:t>
            </w:r>
            <w:r>
              <w:rPr>
                <w:rFonts w:hint="eastAsia" w:ascii="宋体" w:hAnsi="宋体" w:cs="宋体"/>
                <w:kern w:val="0"/>
                <w:szCs w:val="20"/>
                <w:highlight w:val="none"/>
                <w:u w:val="single"/>
              </w:rPr>
              <w:t>广东从化经济开发区管理委员会</w:t>
            </w:r>
          </w:p>
        </w:tc>
        <w:tc>
          <w:tcPr>
            <w:tcW w:w="4360" w:type="dxa"/>
            <w:tcMar>
              <w:left w:w="85" w:type="dxa"/>
              <w:right w:w="0" w:type="dxa"/>
            </w:tcMar>
          </w:tcPr>
          <w:p>
            <w:pPr>
              <w:spacing w:line="360" w:lineRule="auto"/>
              <w:ind w:left="1638" w:hanging="1638" w:hangingChars="780"/>
              <w:rPr>
                <w:rFonts w:ascii="宋体" w:hAnsi="宋体" w:cs="宋体"/>
                <w:kern w:val="0"/>
                <w:szCs w:val="20"/>
                <w:highlight w:val="none"/>
              </w:rPr>
            </w:pPr>
            <w:r>
              <w:rPr>
                <w:rFonts w:hint="eastAsia" w:ascii="宋体" w:hAnsi="宋体" w:cs="宋体"/>
                <w:kern w:val="0"/>
                <w:szCs w:val="20"/>
                <w:highlight w:val="none"/>
              </w:rPr>
              <w:t>乙方（受托人）：</w:t>
            </w:r>
            <w:r>
              <w:rPr>
                <w:rFonts w:hint="eastAsia" w:ascii="宋体" w:hAnsi="宋体" w:cs="宋体"/>
                <w:kern w:val="0"/>
                <w:szCs w:val="20"/>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60" w:type="dxa"/>
            <w:tcMar>
              <w:left w:w="0" w:type="dxa"/>
              <w:right w:w="85" w:type="dxa"/>
            </w:tcMar>
          </w:tcPr>
          <w:p>
            <w:pPr>
              <w:spacing w:line="360" w:lineRule="auto"/>
              <w:rPr>
                <w:rFonts w:ascii="宋体" w:hAnsi="宋体" w:cs="宋体"/>
                <w:kern w:val="0"/>
                <w:szCs w:val="20"/>
                <w:highlight w:val="none"/>
              </w:rPr>
            </w:pPr>
            <w:r>
              <w:rPr>
                <w:rFonts w:hint="eastAsia" w:ascii="宋体" w:hAnsi="宋体" w:cs="宋体"/>
                <w:kern w:val="0"/>
                <w:szCs w:val="20"/>
                <w:highlight w:val="none"/>
              </w:rPr>
              <w:t>法定代表人：</w:t>
            </w:r>
            <w:r>
              <w:rPr>
                <w:rFonts w:hint="eastAsia" w:ascii="宋体" w:hAnsi="宋体" w:cs="宋体"/>
                <w:kern w:val="0"/>
                <w:szCs w:val="20"/>
                <w:highlight w:val="none"/>
                <w:u w:val="single"/>
              </w:rPr>
              <w:t xml:space="preserve">                       </w:t>
            </w:r>
          </w:p>
        </w:tc>
        <w:tc>
          <w:tcPr>
            <w:tcW w:w="4360" w:type="dxa"/>
            <w:tcMar>
              <w:left w:w="85" w:type="dxa"/>
              <w:right w:w="0" w:type="dxa"/>
            </w:tcMar>
          </w:tcPr>
          <w:p>
            <w:pPr>
              <w:spacing w:line="360" w:lineRule="auto"/>
              <w:rPr>
                <w:rFonts w:ascii="宋体" w:hAnsi="宋体" w:cs="宋体"/>
                <w:kern w:val="0"/>
                <w:szCs w:val="20"/>
                <w:highlight w:val="none"/>
              </w:rPr>
            </w:pPr>
            <w:r>
              <w:rPr>
                <w:rFonts w:hint="eastAsia" w:ascii="宋体" w:hAnsi="宋体" w:cs="宋体"/>
                <w:kern w:val="0"/>
                <w:szCs w:val="20"/>
                <w:highlight w:val="none"/>
              </w:rPr>
              <w:t>法定代表人：</w:t>
            </w:r>
            <w:r>
              <w:rPr>
                <w:rFonts w:hint="eastAsia" w:ascii="宋体" w:hAnsi="宋体" w:cs="宋体"/>
                <w:kern w:val="0"/>
                <w:szCs w:val="20"/>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60" w:type="dxa"/>
            <w:tcMar>
              <w:left w:w="0" w:type="dxa"/>
              <w:right w:w="85" w:type="dxa"/>
            </w:tcMar>
          </w:tcPr>
          <w:p>
            <w:pPr>
              <w:spacing w:line="360" w:lineRule="auto"/>
              <w:rPr>
                <w:rFonts w:ascii="宋体" w:hAnsi="宋体" w:cs="宋体"/>
                <w:kern w:val="0"/>
                <w:szCs w:val="20"/>
                <w:highlight w:val="none"/>
              </w:rPr>
            </w:pPr>
            <w:r>
              <w:rPr>
                <w:rFonts w:hint="eastAsia" w:ascii="宋体" w:hAnsi="宋体" w:cs="宋体"/>
                <w:kern w:val="0"/>
                <w:szCs w:val="20"/>
                <w:highlight w:val="none"/>
              </w:rPr>
              <w:t>或授权代表：</w:t>
            </w:r>
            <w:r>
              <w:rPr>
                <w:rFonts w:hint="eastAsia" w:ascii="宋体" w:hAnsi="宋体" w:cs="宋体"/>
                <w:kern w:val="0"/>
                <w:szCs w:val="20"/>
                <w:highlight w:val="none"/>
                <w:u w:val="single"/>
              </w:rPr>
              <w:t xml:space="preserve">                       </w:t>
            </w:r>
          </w:p>
        </w:tc>
        <w:tc>
          <w:tcPr>
            <w:tcW w:w="4360" w:type="dxa"/>
            <w:tcMar>
              <w:left w:w="85" w:type="dxa"/>
              <w:right w:w="0" w:type="dxa"/>
            </w:tcMar>
          </w:tcPr>
          <w:p>
            <w:pPr>
              <w:spacing w:line="360" w:lineRule="auto"/>
              <w:rPr>
                <w:rFonts w:ascii="宋体" w:hAnsi="宋体" w:cs="宋体"/>
                <w:kern w:val="0"/>
                <w:szCs w:val="20"/>
                <w:highlight w:val="none"/>
              </w:rPr>
            </w:pPr>
            <w:r>
              <w:rPr>
                <w:rFonts w:hint="eastAsia" w:ascii="宋体" w:hAnsi="宋体" w:cs="宋体"/>
                <w:kern w:val="0"/>
                <w:szCs w:val="20"/>
                <w:highlight w:val="none"/>
              </w:rPr>
              <w:t>或授权代表：</w:t>
            </w:r>
            <w:r>
              <w:rPr>
                <w:rFonts w:hint="eastAsia" w:ascii="宋体" w:hAnsi="宋体" w:cs="宋体"/>
                <w:kern w:val="0"/>
                <w:szCs w:val="20"/>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60" w:type="dxa"/>
            <w:tcMar>
              <w:left w:w="0" w:type="dxa"/>
              <w:right w:w="85" w:type="dxa"/>
            </w:tcMar>
          </w:tcPr>
          <w:p>
            <w:pPr>
              <w:spacing w:line="360" w:lineRule="auto"/>
              <w:rPr>
                <w:rFonts w:ascii="宋体" w:hAnsi="宋体" w:cs="宋体"/>
                <w:kern w:val="0"/>
                <w:szCs w:val="20"/>
                <w:highlight w:val="none"/>
                <w:u w:val="single"/>
              </w:rPr>
            </w:pPr>
            <w:r>
              <w:rPr>
                <w:rFonts w:hint="eastAsia" w:ascii="宋体" w:hAnsi="宋体" w:cs="宋体"/>
                <w:kern w:val="0"/>
                <w:szCs w:val="20"/>
                <w:highlight w:val="none"/>
              </w:rPr>
              <w:t>地      址：</w:t>
            </w:r>
            <w:r>
              <w:rPr>
                <w:rFonts w:hint="eastAsia" w:ascii="宋体" w:hAnsi="宋体" w:cs="宋体"/>
                <w:kern w:val="0"/>
                <w:szCs w:val="20"/>
                <w:highlight w:val="none"/>
                <w:u w:val="single"/>
              </w:rPr>
              <w:t>广州市从化区明珠工业园广</w:t>
            </w:r>
          </w:p>
          <w:p>
            <w:pPr>
              <w:spacing w:line="360" w:lineRule="auto"/>
              <w:rPr>
                <w:rFonts w:ascii="宋体" w:hAnsi="宋体" w:cs="宋体"/>
                <w:kern w:val="0"/>
                <w:szCs w:val="20"/>
                <w:highlight w:val="none"/>
                <w:u w:val="single"/>
              </w:rPr>
            </w:pPr>
            <w:r>
              <w:rPr>
                <w:rFonts w:hint="eastAsia" w:ascii="宋体" w:hAnsi="宋体" w:cs="宋体"/>
                <w:kern w:val="0"/>
                <w:szCs w:val="20"/>
                <w:highlight w:val="none"/>
                <w:u w:val="single"/>
              </w:rPr>
              <w:t>场路8号</w:t>
            </w:r>
          </w:p>
          <w:p>
            <w:pPr>
              <w:spacing w:line="360" w:lineRule="auto"/>
              <w:rPr>
                <w:rFonts w:ascii="宋体" w:hAnsi="宋体" w:cs="宋体"/>
                <w:highlight w:val="none"/>
                <w:u w:val="single"/>
              </w:rPr>
            </w:pPr>
            <w:r>
              <w:rPr>
                <w:rFonts w:hint="eastAsia" w:ascii="宋体" w:hAnsi="宋体" w:cs="宋体"/>
                <w:kern w:val="0"/>
                <w:szCs w:val="20"/>
                <w:highlight w:val="none"/>
              </w:rPr>
              <w:t>开户银行： 建行广州从化支行</w:t>
            </w:r>
          </w:p>
          <w:p>
            <w:pPr>
              <w:spacing w:line="360" w:lineRule="auto"/>
              <w:rPr>
                <w:rFonts w:ascii="宋体" w:hAnsi="宋体" w:cs="宋体"/>
                <w:kern w:val="0"/>
                <w:szCs w:val="20"/>
                <w:highlight w:val="none"/>
              </w:rPr>
            </w:pPr>
            <w:r>
              <w:rPr>
                <w:rFonts w:hint="eastAsia" w:ascii="宋体" w:hAnsi="宋体" w:cs="宋体"/>
                <w:kern w:val="0"/>
                <w:szCs w:val="20"/>
                <w:highlight w:val="none"/>
              </w:rPr>
              <w:t>账    号： 44050156160108000088</w:t>
            </w:r>
          </w:p>
          <w:p>
            <w:pPr>
              <w:spacing w:line="360" w:lineRule="auto"/>
              <w:rPr>
                <w:rFonts w:hint="eastAsia" w:ascii="宋体" w:hAnsi="宋体" w:eastAsia="宋体" w:cs="宋体"/>
                <w:kern w:val="0"/>
                <w:szCs w:val="20"/>
                <w:highlight w:val="none"/>
                <w:lang w:eastAsia="zh-CN"/>
              </w:rPr>
            </w:pPr>
            <w:r>
              <w:rPr>
                <w:rFonts w:hint="eastAsia" w:ascii="宋体" w:hAnsi="宋体" w:cs="宋体"/>
                <w:kern w:val="0"/>
                <w:szCs w:val="20"/>
                <w:highlight w:val="none"/>
              </w:rPr>
              <w:t>电话： 020-</w:t>
            </w:r>
            <w:r>
              <w:rPr>
                <w:rFonts w:hint="eastAsia" w:ascii="宋体" w:hAnsi="宋体" w:cs="宋体"/>
                <w:kern w:val="0"/>
                <w:szCs w:val="20"/>
                <w:highlight w:val="none"/>
                <w:lang w:eastAsia="zh-CN"/>
              </w:rPr>
              <w:t>87866718</w:t>
            </w:r>
          </w:p>
          <w:p>
            <w:pPr>
              <w:pStyle w:val="19"/>
              <w:spacing w:line="360" w:lineRule="auto"/>
              <w:rPr>
                <w:rFonts w:ascii="宋体" w:hAnsi="宋体" w:cs="宋体"/>
                <w:sz w:val="24"/>
                <w:highlight w:val="none"/>
              </w:rPr>
            </w:pPr>
            <w:r>
              <w:rPr>
                <w:rFonts w:hint="eastAsia" w:ascii="宋体" w:hAnsi="宋体" w:cs="宋体"/>
                <w:sz w:val="24"/>
                <w:highlight w:val="none"/>
              </w:rPr>
              <w:t>税纳人识别码：11440117581858602X</w:t>
            </w:r>
          </w:p>
          <w:p>
            <w:pPr>
              <w:spacing w:line="360" w:lineRule="auto"/>
              <w:rPr>
                <w:rFonts w:ascii="宋体" w:hAnsi="宋体" w:cs="宋体"/>
                <w:kern w:val="0"/>
                <w:szCs w:val="20"/>
                <w:highlight w:val="none"/>
              </w:rPr>
            </w:pPr>
          </w:p>
        </w:tc>
        <w:tc>
          <w:tcPr>
            <w:tcW w:w="4360" w:type="dxa"/>
            <w:tcMar>
              <w:left w:w="85" w:type="dxa"/>
              <w:right w:w="0" w:type="dxa"/>
            </w:tcMar>
          </w:tcPr>
          <w:p>
            <w:pPr>
              <w:spacing w:line="360" w:lineRule="auto"/>
              <w:ind w:left="1260" w:hanging="1260" w:hangingChars="600"/>
              <w:rPr>
                <w:rFonts w:ascii="宋体" w:hAnsi="宋体" w:cs="宋体"/>
                <w:kern w:val="0"/>
                <w:szCs w:val="20"/>
                <w:highlight w:val="none"/>
              </w:rPr>
            </w:pPr>
            <w:r>
              <w:rPr>
                <w:rFonts w:hint="eastAsia" w:ascii="宋体" w:hAnsi="宋体" w:cs="宋体"/>
                <w:kern w:val="0"/>
                <w:szCs w:val="20"/>
                <w:highlight w:val="none"/>
              </w:rPr>
              <w:t xml:space="preserve">地      址：开户银行： </w:t>
            </w:r>
          </w:p>
          <w:p>
            <w:pPr>
              <w:spacing w:line="360" w:lineRule="auto"/>
              <w:ind w:left="1260" w:hanging="1260" w:hangingChars="600"/>
              <w:rPr>
                <w:rFonts w:ascii="宋体" w:hAnsi="宋体" w:cs="宋体"/>
                <w:kern w:val="0"/>
                <w:szCs w:val="20"/>
                <w:highlight w:val="none"/>
              </w:rPr>
            </w:pPr>
            <w:r>
              <w:rPr>
                <w:rFonts w:hint="eastAsia" w:ascii="宋体" w:hAnsi="宋体" w:cs="宋体"/>
                <w:kern w:val="0"/>
                <w:szCs w:val="20"/>
                <w:highlight w:val="none"/>
              </w:rPr>
              <w:t xml:space="preserve">账    号：电    话： </w:t>
            </w:r>
          </w:p>
          <w:p>
            <w:pPr>
              <w:spacing w:line="360" w:lineRule="auto"/>
              <w:ind w:left="1260" w:hanging="1260" w:hangingChars="600"/>
              <w:rPr>
                <w:rFonts w:ascii="宋体" w:hAnsi="宋体" w:cs="宋体"/>
                <w:kern w:val="0"/>
                <w:szCs w:val="20"/>
                <w:highlight w:val="none"/>
              </w:rPr>
            </w:pPr>
            <w:r>
              <w:rPr>
                <w:rFonts w:hint="eastAsia" w:ascii="宋体" w:hAnsi="宋体" w:cs="宋体"/>
                <w:highlight w:val="none"/>
              </w:rPr>
              <w:t xml:space="preserve">税纳人识别码：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60" w:type="dxa"/>
            <w:tcMar>
              <w:left w:w="0" w:type="dxa"/>
              <w:right w:w="85" w:type="dxa"/>
            </w:tcMar>
          </w:tcPr>
          <w:p>
            <w:pPr>
              <w:spacing w:line="360" w:lineRule="auto"/>
              <w:rPr>
                <w:rFonts w:ascii="宋体" w:hAnsi="宋体" w:cs="宋体"/>
                <w:kern w:val="0"/>
                <w:szCs w:val="20"/>
                <w:highlight w:val="none"/>
              </w:rPr>
            </w:pPr>
            <w:r>
              <w:rPr>
                <w:rFonts w:hint="eastAsia" w:ascii="宋体" w:hAnsi="宋体" w:cs="宋体"/>
                <w:kern w:val="0"/>
                <w:szCs w:val="20"/>
                <w:highlight w:val="none"/>
              </w:rPr>
              <w:t>日      期：2024年 月   日</w:t>
            </w:r>
          </w:p>
        </w:tc>
        <w:tc>
          <w:tcPr>
            <w:tcW w:w="4360" w:type="dxa"/>
            <w:tcMar>
              <w:left w:w="85" w:type="dxa"/>
              <w:right w:w="0" w:type="dxa"/>
            </w:tcMar>
          </w:tcPr>
          <w:p>
            <w:pPr>
              <w:spacing w:line="360" w:lineRule="auto"/>
              <w:rPr>
                <w:rFonts w:ascii="宋体" w:hAnsi="宋体" w:cs="宋体"/>
                <w:kern w:val="0"/>
                <w:szCs w:val="20"/>
                <w:highlight w:val="none"/>
              </w:rPr>
            </w:pPr>
            <w:r>
              <w:rPr>
                <w:rFonts w:hint="eastAsia" w:ascii="宋体" w:hAnsi="宋体" w:cs="宋体"/>
                <w:kern w:val="0"/>
                <w:szCs w:val="20"/>
                <w:highlight w:val="none"/>
              </w:rPr>
              <w:t>日      期：2024年 月   日</w:t>
            </w:r>
          </w:p>
        </w:tc>
      </w:tr>
    </w:tbl>
    <w:p>
      <w:pPr>
        <w:spacing w:line="360" w:lineRule="auto"/>
        <w:rPr>
          <w:rFonts w:ascii="宋体" w:hAnsi="宋体" w:cs="宋体"/>
          <w:highlight w:val="none"/>
        </w:rPr>
      </w:pPr>
    </w:p>
    <w:p>
      <w:pPr>
        <w:spacing w:line="360" w:lineRule="auto"/>
        <w:rPr>
          <w:rFonts w:ascii="宋体" w:hAnsi="宋体" w:cs="宋体"/>
          <w:highlight w:val="none"/>
        </w:rPr>
      </w:pPr>
    </w:p>
    <w:p>
      <w:pPr>
        <w:widowControl/>
        <w:spacing w:line="360" w:lineRule="auto"/>
        <w:jc w:val="left"/>
        <w:rPr>
          <w:rFonts w:ascii="宋体" w:hAnsi="宋体" w:cs="宋体"/>
          <w:highlight w:val="none"/>
        </w:rPr>
      </w:pPr>
      <w:r>
        <w:rPr>
          <w:rFonts w:hint="eastAsia" w:ascii="宋体" w:hAnsi="宋体" w:cs="宋体"/>
          <w:highlight w:val="none"/>
        </w:rPr>
        <w:br w:type="page"/>
      </w:r>
    </w:p>
    <w:p>
      <w:pPr>
        <w:widowControl/>
        <w:spacing w:line="360" w:lineRule="auto"/>
        <w:jc w:val="left"/>
        <w:rPr>
          <w:rFonts w:ascii="宋体" w:hAnsi="宋体" w:cs="宋体"/>
          <w:b/>
          <w:sz w:val="28"/>
          <w:highlight w:val="none"/>
        </w:rPr>
      </w:pPr>
      <w:bookmarkStart w:id="210" w:name="_Toc332631133"/>
      <w:r>
        <w:rPr>
          <w:rFonts w:hint="eastAsia" w:ascii="宋体" w:hAnsi="宋体" w:cs="宋体"/>
          <w:b/>
          <w:sz w:val="28"/>
          <w:highlight w:val="none"/>
        </w:rPr>
        <w:t>附件1: 中标通知书</w:t>
      </w:r>
      <w:bookmarkEnd w:id="210"/>
      <w:r>
        <w:rPr>
          <w:rFonts w:hint="eastAsia" w:ascii="宋体" w:hAnsi="宋体" w:cs="宋体"/>
          <w:b/>
          <w:sz w:val="28"/>
          <w:highlight w:val="none"/>
        </w:rPr>
        <w:t>（复印件）</w:t>
      </w:r>
    </w:p>
    <w:p>
      <w:pPr>
        <w:widowControl/>
        <w:spacing w:line="360" w:lineRule="auto"/>
        <w:jc w:val="left"/>
        <w:rPr>
          <w:rFonts w:ascii="宋体" w:hAnsi="宋体" w:cs="宋体"/>
          <w:b/>
          <w:sz w:val="28"/>
          <w:highlight w:val="none"/>
        </w:rPr>
      </w:pPr>
      <w:r>
        <w:rPr>
          <w:rFonts w:hint="eastAsia" w:ascii="宋体" w:hAnsi="宋体" w:cs="宋体"/>
          <w:b/>
          <w:sz w:val="28"/>
          <w:highlight w:val="none"/>
        </w:rPr>
        <w:t>附件2：检验检测方案</w:t>
      </w:r>
    </w:p>
    <w:p>
      <w:pPr>
        <w:widowControl/>
        <w:spacing w:line="360" w:lineRule="auto"/>
        <w:jc w:val="left"/>
        <w:rPr>
          <w:rFonts w:ascii="宋体" w:hAnsi="宋体" w:cs="宋体"/>
          <w:highlight w:val="none"/>
        </w:rPr>
      </w:pPr>
    </w:p>
    <w:p>
      <w:pPr>
        <w:widowControl/>
        <w:spacing w:line="360" w:lineRule="auto"/>
        <w:jc w:val="left"/>
        <w:rPr>
          <w:rFonts w:ascii="宋体" w:hAnsi="宋体" w:cs="宋体"/>
          <w:highlight w:val="none"/>
        </w:rPr>
      </w:pPr>
      <w:r>
        <w:rPr>
          <w:rFonts w:hint="eastAsia" w:ascii="宋体" w:hAnsi="宋体" w:cs="宋体"/>
          <w:highlight w:val="none"/>
        </w:rPr>
        <w:br w:type="page"/>
      </w:r>
    </w:p>
    <w:p>
      <w:pPr>
        <w:spacing w:line="360" w:lineRule="auto"/>
        <w:outlineLvl w:val="1"/>
        <w:rPr>
          <w:rFonts w:ascii="宋体" w:hAnsi="宋体" w:cs="宋体"/>
          <w:b/>
          <w:sz w:val="28"/>
          <w:highlight w:val="none"/>
        </w:rPr>
      </w:pPr>
      <w:bookmarkStart w:id="211" w:name="_Toc332631136"/>
      <w:bookmarkStart w:id="212" w:name="_Toc24188"/>
      <w:bookmarkStart w:id="213" w:name="_Toc30146"/>
      <w:bookmarkStart w:id="214" w:name="_Toc10279"/>
      <w:r>
        <w:rPr>
          <w:rFonts w:hint="eastAsia" w:ascii="宋体" w:hAnsi="宋体" w:cs="宋体"/>
          <w:b/>
          <w:sz w:val="28"/>
          <w:highlight w:val="none"/>
        </w:rPr>
        <w:t>附件3: 廉洁</w:t>
      </w:r>
      <w:bookmarkEnd w:id="211"/>
      <w:r>
        <w:rPr>
          <w:rFonts w:hint="eastAsia" w:ascii="宋体" w:hAnsi="宋体" w:cs="宋体"/>
          <w:b/>
          <w:sz w:val="28"/>
          <w:highlight w:val="none"/>
        </w:rPr>
        <w:t>条款</w:t>
      </w:r>
      <w:bookmarkEnd w:id="212"/>
      <w:bookmarkEnd w:id="213"/>
      <w:bookmarkEnd w:id="214"/>
    </w:p>
    <w:p>
      <w:pPr>
        <w:spacing w:line="360" w:lineRule="auto"/>
        <w:jc w:val="center"/>
        <w:rPr>
          <w:rFonts w:ascii="宋体" w:hAnsi="宋体" w:cs="宋体"/>
          <w:b/>
          <w:sz w:val="96"/>
          <w:szCs w:val="30"/>
          <w:highlight w:val="none"/>
        </w:rPr>
      </w:pPr>
      <w:r>
        <w:rPr>
          <w:rFonts w:hint="eastAsia" w:ascii="宋体" w:hAnsi="宋体" w:cs="宋体"/>
          <w:b/>
          <w:sz w:val="32"/>
          <w:highlight w:val="none"/>
        </w:rPr>
        <w:t>廉洁条款</w:t>
      </w:r>
    </w:p>
    <w:p>
      <w:pPr>
        <w:spacing w:line="360" w:lineRule="auto"/>
        <w:ind w:firstLine="420" w:firstLineChars="200"/>
        <w:rPr>
          <w:rFonts w:ascii="宋体" w:hAnsi="宋体" w:cs="宋体"/>
          <w:highlight w:val="none"/>
        </w:rPr>
      </w:pPr>
      <w:r>
        <w:rPr>
          <w:rFonts w:hint="eastAsia" w:ascii="宋体" w:hAnsi="宋体" w:cs="宋体"/>
          <w:highlight w:val="none"/>
        </w:rPr>
        <w:t>为促进双方诚信经营、廉洁从业，防范商业贿赂，保护国家、集体和当事人的合法权益，根据国家有关法律法规和广东省、广州市廉政建设的规定，</w:t>
      </w:r>
      <w:r>
        <w:rPr>
          <w:rFonts w:hint="eastAsia" w:ascii="宋体" w:hAnsi="宋体" w:cs="宋体"/>
          <w:highlight w:val="none"/>
          <w:u w:val="single"/>
        </w:rPr>
        <w:t>广东从化经济开发区管理委员会</w:t>
      </w:r>
      <w:r>
        <w:rPr>
          <w:rFonts w:hint="eastAsia" w:ascii="宋体" w:hAnsi="宋体" w:cs="宋体"/>
          <w:highlight w:val="none"/>
        </w:rPr>
        <w:t>(以下称发包人)与</w:t>
      </w:r>
      <w:r>
        <w:rPr>
          <w:rFonts w:hint="eastAsia" w:ascii="宋体" w:hAnsi="宋体" w:cs="宋体"/>
          <w:highlight w:val="none"/>
          <w:u w:val="single"/>
        </w:rPr>
        <w:t xml:space="preserve"> </w:t>
      </w:r>
      <w:r>
        <w:rPr>
          <w:rFonts w:hint="eastAsia" w:ascii="宋体" w:hAnsi="宋体" w:cs="宋体"/>
          <w:highlight w:val="none"/>
        </w:rPr>
        <w:t>(以下称承包人)，特此订立本协议共同遵照执行。</w:t>
      </w:r>
    </w:p>
    <w:p>
      <w:pPr>
        <w:spacing w:line="360" w:lineRule="auto"/>
        <w:ind w:firstLine="422" w:firstLineChars="200"/>
        <w:outlineLvl w:val="2"/>
        <w:rPr>
          <w:rFonts w:ascii="宋体" w:hAnsi="宋体" w:cs="宋体"/>
          <w:b/>
          <w:highlight w:val="none"/>
        </w:rPr>
      </w:pPr>
      <w:bookmarkStart w:id="215" w:name="_Toc31342"/>
      <w:bookmarkStart w:id="216" w:name="_Toc13264"/>
      <w:bookmarkStart w:id="217" w:name="_Toc32126"/>
      <w:r>
        <w:rPr>
          <w:rFonts w:hint="eastAsia" w:ascii="宋体" w:hAnsi="宋体" w:cs="宋体"/>
          <w:b/>
          <w:highlight w:val="none"/>
        </w:rPr>
        <w:t>第一条 甲乙双方的权利和义务</w:t>
      </w:r>
      <w:bookmarkEnd w:id="215"/>
      <w:bookmarkEnd w:id="216"/>
      <w:bookmarkEnd w:id="217"/>
    </w:p>
    <w:p>
      <w:pPr>
        <w:spacing w:line="360" w:lineRule="auto"/>
        <w:ind w:firstLine="420" w:firstLineChars="200"/>
        <w:rPr>
          <w:rFonts w:ascii="宋体" w:hAnsi="宋体" w:cs="宋体"/>
          <w:highlight w:val="none"/>
        </w:rPr>
      </w:pPr>
      <w:r>
        <w:rPr>
          <w:rFonts w:hint="eastAsia" w:ascii="宋体" w:hAnsi="宋体" w:cs="宋体"/>
          <w:highlight w:val="none"/>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spacing w:line="360" w:lineRule="auto"/>
        <w:ind w:firstLine="420" w:firstLineChars="200"/>
        <w:rPr>
          <w:rFonts w:ascii="宋体" w:hAnsi="宋体" w:cs="宋体"/>
          <w:highlight w:val="none"/>
        </w:rPr>
      </w:pPr>
      <w:r>
        <w:rPr>
          <w:rFonts w:hint="eastAsia" w:ascii="宋体" w:hAnsi="宋体" w:cs="宋体"/>
          <w:highlight w:val="none"/>
        </w:rPr>
        <w:t>（二）严格执行</w:t>
      </w:r>
      <w:r>
        <w:rPr>
          <w:rFonts w:hint="eastAsia" w:ascii="宋体" w:hAnsi="宋体" w:cs="宋体"/>
          <w:highlight w:val="none"/>
          <w:u w:val="single"/>
        </w:rPr>
        <w:t>《</w:t>
      </w:r>
      <w:r>
        <w:rPr>
          <w:rFonts w:hint="eastAsia" w:ascii="宋体" w:hAnsi="宋体" w:cs="宋体"/>
          <w:highlight w:val="none"/>
          <w:u w:val="single"/>
          <w:lang w:eastAsia="zh-CN"/>
        </w:rPr>
        <w:t>明珠工业园明珠片区新开发地块市政基础设施工程检验检测</w:t>
      </w:r>
      <w:r>
        <w:rPr>
          <w:rFonts w:hint="eastAsia" w:ascii="宋体" w:hAnsi="宋体" w:cs="宋体"/>
          <w:highlight w:val="none"/>
          <w:u w:val="single"/>
        </w:rPr>
        <w:t>项目》</w:t>
      </w:r>
      <w:r>
        <w:rPr>
          <w:rFonts w:hint="eastAsia" w:ascii="宋体" w:hAnsi="宋体" w:cs="宋体"/>
          <w:highlight w:val="none"/>
        </w:rPr>
        <w:t>合同，自觉履行合同约定的相关义务。</w:t>
      </w:r>
    </w:p>
    <w:p>
      <w:pPr>
        <w:spacing w:line="360" w:lineRule="auto"/>
        <w:ind w:firstLine="420" w:firstLineChars="200"/>
        <w:rPr>
          <w:rFonts w:ascii="宋体" w:hAnsi="宋体" w:cs="宋体"/>
          <w:highlight w:val="none"/>
        </w:rPr>
      </w:pPr>
      <w:r>
        <w:rPr>
          <w:rFonts w:hint="eastAsia" w:ascii="宋体" w:hAnsi="宋体" w:cs="宋体"/>
          <w:highlight w:val="none"/>
        </w:rPr>
        <w:t>（三）在业务活动中坚持公开、公正、诚信、透明的原则，不得损害国家、集体利益。</w:t>
      </w:r>
    </w:p>
    <w:p>
      <w:pPr>
        <w:spacing w:line="360" w:lineRule="auto"/>
        <w:ind w:firstLine="420" w:firstLineChars="200"/>
        <w:rPr>
          <w:rFonts w:ascii="宋体" w:hAnsi="宋体" w:cs="宋体"/>
          <w:highlight w:val="none"/>
        </w:rPr>
      </w:pPr>
      <w:r>
        <w:rPr>
          <w:rFonts w:hint="eastAsia" w:ascii="宋体" w:hAnsi="宋体" w:cs="宋体"/>
          <w:highlight w:val="none"/>
        </w:rPr>
        <w:t>（四）建立健全廉政制度，开展廉政教育，公布举报电话，监督并认真查处违法违纪行为。</w:t>
      </w:r>
    </w:p>
    <w:p>
      <w:pPr>
        <w:spacing w:line="360" w:lineRule="auto"/>
        <w:ind w:firstLine="420" w:firstLineChars="200"/>
        <w:rPr>
          <w:rFonts w:ascii="宋体" w:hAnsi="宋体" w:cs="宋体"/>
          <w:highlight w:val="none"/>
        </w:rPr>
      </w:pPr>
      <w:r>
        <w:rPr>
          <w:rFonts w:hint="eastAsia" w:ascii="宋体" w:hAnsi="宋体" w:cs="宋体"/>
          <w:highlight w:val="none"/>
        </w:rPr>
        <w:t>（五）发现对方在业务活动中有违反廉政规定的行为，应及时提醒对方纠正。情节严重的，应向其上级有关部门举报，建议给予处理，并有权要求告知处理结果。</w:t>
      </w:r>
    </w:p>
    <w:p>
      <w:pPr>
        <w:spacing w:line="360" w:lineRule="auto"/>
        <w:ind w:firstLine="422" w:firstLineChars="200"/>
        <w:outlineLvl w:val="2"/>
        <w:rPr>
          <w:rFonts w:ascii="宋体" w:hAnsi="宋体" w:cs="宋体"/>
          <w:b/>
          <w:highlight w:val="none"/>
        </w:rPr>
      </w:pPr>
      <w:bookmarkStart w:id="218" w:name="_Toc28595"/>
      <w:bookmarkStart w:id="219" w:name="_Toc30578"/>
      <w:bookmarkStart w:id="220" w:name="_Toc2738"/>
      <w:r>
        <w:rPr>
          <w:rFonts w:hint="eastAsia" w:ascii="宋体" w:hAnsi="宋体" w:cs="宋体"/>
          <w:b/>
          <w:highlight w:val="none"/>
        </w:rPr>
        <w:t>第二条 发包人的义务</w:t>
      </w:r>
      <w:bookmarkEnd w:id="218"/>
      <w:bookmarkEnd w:id="219"/>
      <w:bookmarkEnd w:id="220"/>
    </w:p>
    <w:p>
      <w:pPr>
        <w:spacing w:line="360" w:lineRule="auto"/>
        <w:ind w:firstLine="420" w:firstLineChars="200"/>
        <w:rPr>
          <w:rFonts w:ascii="宋体" w:hAnsi="宋体" w:cs="宋体"/>
          <w:highlight w:val="none"/>
        </w:rPr>
      </w:pPr>
      <w:r>
        <w:rPr>
          <w:rFonts w:hint="eastAsia" w:ascii="宋体" w:hAnsi="宋体" w:cs="宋体"/>
          <w:highlight w:val="none"/>
        </w:rPr>
        <w:t>（一）发包人及其工作人员不得索要或接受承包人的礼金、有价证券和贵重物品，不得在承包人报销任何应由发包人或个人支付的费用等。</w:t>
      </w:r>
    </w:p>
    <w:p>
      <w:pPr>
        <w:spacing w:line="360" w:lineRule="auto"/>
        <w:ind w:firstLine="420" w:firstLineChars="200"/>
        <w:rPr>
          <w:rFonts w:ascii="宋体" w:hAnsi="宋体" w:cs="宋体"/>
          <w:highlight w:val="none"/>
        </w:rPr>
      </w:pPr>
      <w:r>
        <w:rPr>
          <w:rFonts w:hint="eastAsia" w:ascii="宋体" w:hAnsi="宋体" w:cs="宋体"/>
          <w:highlight w:val="none"/>
        </w:rPr>
        <w:t>（二）发包人工作人员不得参加承包人安排的可能影响相关业务公开、公正、公平性的宴请和娱乐活动；不得参与任何形式的赌博，并通过赌博方式收受承包人财物；不得接受承包人提供的通讯工具、交通工具（合同约定除外）和高档办公用品等。</w:t>
      </w:r>
    </w:p>
    <w:p>
      <w:pPr>
        <w:spacing w:line="360" w:lineRule="auto"/>
        <w:ind w:firstLine="420" w:firstLineChars="200"/>
        <w:rPr>
          <w:rFonts w:ascii="宋体" w:hAnsi="宋体" w:cs="宋体"/>
          <w:highlight w:val="none"/>
        </w:rPr>
      </w:pPr>
      <w:r>
        <w:rPr>
          <w:rFonts w:hint="eastAsia" w:ascii="宋体" w:hAnsi="宋体" w:cs="宋体"/>
          <w:highlight w:val="none"/>
        </w:rPr>
        <w:t>（三）发包人及其工作人员不得要求或者接受承包人为其住房装修、婚丧嫁娶活动、配偶子女工作安排以及出国出境、旅游等提供方便等。</w:t>
      </w:r>
    </w:p>
    <w:p>
      <w:pPr>
        <w:spacing w:line="360" w:lineRule="auto"/>
        <w:ind w:firstLine="420" w:firstLineChars="200"/>
        <w:rPr>
          <w:rFonts w:ascii="宋体" w:hAnsi="宋体" w:cs="宋体"/>
          <w:highlight w:val="none"/>
        </w:rPr>
      </w:pPr>
      <w:r>
        <w:rPr>
          <w:rFonts w:hint="eastAsia" w:ascii="宋体" w:hAnsi="宋体" w:cs="宋体"/>
          <w:highlight w:val="none"/>
        </w:rPr>
        <w:t>（四）发包人工作人员不得在承包人或与承包人有股权关联的企业兼职，不得向承包人介绍家属或者亲友从事与发包人业务有关的经济活动。</w:t>
      </w:r>
    </w:p>
    <w:p>
      <w:pPr>
        <w:spacing w:line="360" w:lineRule="auto"/>
        <w:ind w:firstLine="420" w:firstLineChars="200"/>
        <w:rPr>
          <w:rFonts w:ascii="宋体" w:hAnsi="宋体" w:cs="宋体"/>
          <w:highlight w:val="none"/>
        </w:rPr>
      </w:pPr>
      <w:r>
        <w:rPr>
          <w:rFonts w:hint="eastAsia" w:ascii="宋体" w:hAnsi="宋体" w:cs="宋体"/>
          <w:highlight w:val="none"/>
        </w:rPr>
        <w:t>（五）发包人工作人员不得以明显低于市场的价格向承包人购买房屋、汽车等物品；不得以明显高于市场的价格向承包人出售房屋、汽车等物品；不得使用承包人提供的与工作无关的房屋、汽车等物品；不得以其他交易形式非法收受请托人财物。</w:t>
      </w:r>
    </w:p>
    <w:p>
      <w:pPr>
        <w:spacing w:line="360" w:lineRule="auto"/>
        <w:ind w:firstLine="420" w:firstLineChars="200"/>
        <w:rPr>
          <w:rFonts w:ascii="宋体" w:hAnsi="宋体" w:cs="宋体"/>
          <w:highlight w:val="none"/>
        </w:rPr>
      </w:pPr>
      <w:r>
        <w:rPr>
          <w:rFonts w:hint="eastAsia" w:ascii="宋体" w:hAnsi="宋体" w:cs="宋体"/>
          <w:highlight w:val="none"/>
        </w:rPr>
        <w:t>（六）发包人工作人员不得利用职务之便收受承包人以回扣、手续费、加班费、咨询费、劳务费、协调费、辛苦费等各种名义给予或赠送的钱物。</w:t>
      </w:r>
    </w:p>
    <w:p>
      <w:pPr>
        <w:spacing w:line="360" w:lineRule="auto"/>
        <w:ind w:firstLine="420" w:firstLineChars="200"/>
        <w:rPr>
          <w:rFonts w:ascii="宋体" w:hAnsi="宋体" w:cs="宋体"/>
          <w:highlight w:val="none"/>
        </w:rPr>
      </w:pPr>
      <w:r>
        <w:rPr>
          <w:rFonts w:hint="eastAsia" w:ascii="宋体" w:hAnsi="宋体" w:cs="宋体"/>
          <w:highlight w:val="none"/>
        </w:rPr>
        <w:t>（七）发包人工作人员不得接受承包人给予或赠送的干股或红利。</w:t>
      </w:r>
    </w:p>
    <w:p>
      <w:pPr>
        <w:spacing w:line="360" w:lineRule="auto"/>
        <w:ind w:firstLine="422" w:firstLineChars="200"/>
        <w:outlineLvl w:val="2"/>
        <w:rPr>
          <w:rFonts w:ascii="宋体" w:hAnsi="宋体" w:cs="宋体"/>
          <w:b/>
          <w:highlight w:val="none"/>
        </w:rPr>
      </w:pPr>
      <w:bookmarkStart w:id="221" w:name="_Toc150"/>
      <w:bookmarkStart w:id="222" w:name="_Toc20696"/>
      <w:bookmarkStart w:id="223" w:name="_Toc9544"/>
      <w:r>
        <w:rPr>
          <w:rFonts w:hint="eastAsia" w:ascii="宋体" w:hAnsi="宋体" w:cs="宋体"/>
          <w:b/>
          <w:highlight w:val="none"/>
        </w:rPr>
        <w:t>第三条 承包人的义务</w:t>
      </w:r>
      <w:bookmarkEnd w:id="221"/>
      <w:bookmarkEnd w:id="222"/>
      <w:bookmarkEnd w:id="223"/>
    </w:p>
    <w:p>
      <w:pPr>
        <w:spacing w:line="360" w:lineRule="auto"/>
        <w:ind w:firstLine="420" w:firstLineChars="200"/>
        <w:rPr>
          <w:rFonts w:ascii="宋体" w:hAnsi="宋体" w:cs="宋体"/>
          <w:highlight w:val="none"/>
        </w:rPr>
      </w:pPr>
      <w:r>
        <w:rPr>
          <w:rFonts w:hint="eastAsia" w:ascii="宋体" w:hAnsi="宋体" w:cs="宋体"/>
          <w:highlight w:val="none"/>
        </w:rPr>
        <w:t>（一）承包人不得以任何理由向发包人及其工作人员行贿或馈赠礼金、有价证券、贵重礼品。</w:t>
      </w:r>
    </w:p>
    <w:p>
      <w:pPr>
        <w:spacing w:line="360" w:lineRule="auto"/>
        <w:ind w:firstLine="420" w:firstLineChars="200"/>
        <w:rPr>
          <w:rFonts w:ascii="宋体" w:hAnsi="宋体" w:cs="宋体"/>
          <w:highlight w:val="none"/>
        </w:rPr>
      </w:pPr>
      <w:r>
        <w:rPr>
          <w:rFonts w:hint="eastAsia" w:ascii="宋体" w:hAnsi="宋体" w:cs="宋体"/>
          <w:highlight w:val="none"/>
        </w:rPr>
        <w:t>（二）承包人不得以任何名义为发包人及其工作人员报销应由发包人单位或个人支付的任何费用。</w:t>
      </w:r>
    </w:p>
    <w:p>
      <w:pPr>
        <w:spacing w:line="360" w:lineRule="auto"/>
        <w:ind w:firstLine="420" w:firstLineChars="200"/>
        <w:rPr>
          <w:rFonts w:ascii="宋体" w:hAnsi="宋体" w:cs="宋体"/>
          <w:highlight w:val="none"/>
        </w:rPr>
      </w:pPr>
      <w:r>
        <w:rPr>
          <w:rFonts w:hint="eastAsia" w:ascii="宋体" w:hAnsi="宋体" w:cs="宋体"/>
          <w:highlight w:val="none"/>
        </w:rPr>
        <w:t>（三）承包人不得以任何理由安排发包人工作人员参加可能影响相关业务公开、公正、公平性的宴请及娱乐活动。</w:t>
      </w:r>
    </w:p>
    <w:p>
      <w:pPr>
        <w:spacing w:line="360" w:lineRule="auto"/>
        <w:ind w:firstLine="420" w:firstLineChars="200"/>
        <w:rPr>
          <w:rFonts w:ascii="宋体" w:hAnsi="宋体" w:cs="宋体"/>
          <w:highlight w:val="none"/>
        </w:rPr>
      </w:pPr>
      <w:r>
        <w:rPr>
          <w:rFonts w:hint="eastAsia" w:ascii="宋体" w:hAnsi="宋体" w:cs="宋体"/>
          <w:highlight w:val="none"/>
        </w:rPr>
        <w:t>（四）承包人不得为发包人单位和个人购置或提供通讯工具和高档办公用品等物品，也不得为发包人提供与工作无关的房屋、汽车等。</w:t>
      </w:r>
    </w:p>
    <w:p>
      <w:pPr>
        <w:spacing w:line="360" w:lineRule="auto"/>
        <w:ind w:firstLine="420" w:firstLineChars="200"/>
        <w:rPr>
          <w:rFonts w:ascii="宋体" w:hAnsi="宋体" w:cs="宋体"/>
          <w:highlight w:val="none"/>
        </w:rPr>
      </w:pPr>
      <w:r>
        <w:rPr>
          <w:rFonts w:hint="eastAsia" w:ascii="宋体" w:hAnsi="宋体" w:cs="宋体"/>
          <w:highlight w:val="none"/>
        </w:rPr>
        <w:t>（五）承包人不得擅自与发包人工作人员就合同中的质量、数量、价格、工程量、验收等条款进行私下商谈或者达成默契。</w:t>
      </w:r>
    </w:p>
    <w:p>
      <w:pPr>
        <w:spacing w:line="360" w:lineRule="auto"/>
        <w:ind w:firstLine="420" w:firstLineChars="200"/>
        <w:rPr>
          <w:rFonts w:ascii="宋体" w:hAnsi="宋体" w:cs="宋体"/>
          <w:highlight w:val="none"/>
        </w:rPr>
      </w:pPr>
      <w:r>
        <w:rPr>
          <w:rFonts w:hint="eastAsia" w:ascii="宋体" w:hAnsi="宋体" w:cs="宋体"/>
          <w:highlight w:val="none"/>
        </w:rPr>
        <w:t>（六）承包人不得以回扣、手续费、加班费、咨询费、劳务费、协调费、辛苦费等各种名义向发包人工作人员给予或赠送钱物。</w:t>
      </w:r>
    </w:p>
    <w:p>
      <w:pPr>
        <w:spacing w:line="360" w:lineRule="auto"/>
        <w:ind w:firstLine="420" w:firstLineChars="200"/>
        <w:rPr>
          <w:rFonts w:ascii="宋体" w:hAnsi="宋体" w:cs="宋体"/>
          <w:highlight w:val="none"/>
        </w:rPr>
      </w:pPr>
      <w:r>
        <w:rPr>
          <w:rFonts w:hint="eastAsia" w:ascii="宋体" w:hAnsi="宋体" w:cs="宋体"/>
          <w:highlight w:val="none"/>
        </w:rPr>
        <w:t>（七）承包人不得向发包人工作人员提供干股或红利。</w:t>
      </w:r>
    </w:p>
    <w:p>
      <w:pPr>
        <w:spacing w:line="360" w:lineRule="auto"/>
        <w:ind w:firstLine="422" w:firstLineChars="200"/>
        <w:outlineLvl w:val="2"/>
        <w:rPr>
          <w:rFonts w:ascii="宋体" w:hAnsi="宋体" w:cs="宋体"/>
          <w:b/>
          <w:highlight w:val="none"/>
        </w:rPr>
      </w:pPr>
      <w:bookmarkStart w:id="224" w:name="_Toc16048"/>
      <w:bookmarkStart w:id="225" w:name="_Toc7383"/>
      <w:bookmarkStart w:id="226" w:name="_Toc19539"/>
      <w:r>
        <w:rPr>
          <w:rFonts w:hint="eastAsia" w:ascii="宋体" w:hAnsi="宋体" w:cs="宋体"/>
          <w:b/>
          <w:highlight w:val="none"/>
        </w:rPr>
        <w:t>第四条 违约责任</w:t>
      </w:r>
      <w:bookmarkEnd w:id="224"/>
      <w:bookmarkEnd w:id="225"/>
      <w:bookmarkEnd w:id="226"/>
    </w:p>
    <w:p>
      <w:pPr>
        <w:spacing w:line="360" w:lineRule="auto"/>
        <w:ind w:firstLine="420" w:firstLineChars="200"/>
        <w:rPr>
          <w:rFonts w:ascii="宋体" w:hAnsi="宋体" w:cs="宋体"/>
          <w:highlight w:val="none"/>
        </w:rPr>
      </w:pPr>
      <w:r>
        <w:rPr>
          <w:rFonts w:hint="eastAsia" w:ascii="宋体" w:hAnsi="宋体" w:cs="宋体"/>
          <w:highlight w:val="none"/>
        </w:rPr>
        <w:t>（一）发包人及其工作人员违反本协议第一、二条。发包人按管理权限，对相关责任人依据有关规定给予党纪、政纪处分或组织处理；涉嫌犯罪的，移交司法机关追究刑事责任；给承包人单位造成经济损失的，应予以赔偿。</w:t>
      </w:r>
    </w:p>
    <w:p>
      <w:pPr>
        <w:spacing w:line="360" w:lineRule="auto"/>
        <w:ind w:firstLine="420" w:firstLineChars="200"/>
        <w:rPr>
          <w:rFonts w:ascii="宋体" w:hAnsi="宋体" w:cs="宋体"/>
          <w:highlight w:val="none"/>
        </w:rPr>
      </w:pPr>
      <w:r>
        <w:rPr>
          <w:rFonts w:hint="eastAsia" w:ascii="宋体" w:hAnsi="宋体" w:cs="宋体"/>
          <w:highlight w:val="none"/>
        </w:rPr>
        <w:t>发包人举报投诉联系部门：广东从化经济开发区管理委员会，联系电话：020-83620870。</w:t>
      </w:r>
    </w:p>
    <w:p>
      <w:pPr>
        <w:spacing w:line="360" w:lineRule="auto"/>
        <w:ind w:firstLine="420" w:firstLineChars="200"/>
        <w:rPr>
          <w:rFonts w:ascii="宋体" w:hAnsi="宋体" w:cs="宋体"/>
          <w:highlight w:val="none"/>
        </w:rPr>
      </w:pPr>
      <w:r>
        <w:rPr>
          <w:rFonts w:hint="eastAsia" w:ascii="宋体" w:hAnsi="宋体" w:cs="宋体"/>
          <w:highlight w:val="none"/>
        </w:rPr>
        <w:t>（二）承包人及其工作人员违反本协议第一、三条。根据具体情节和造成的后果，发包人有权对承包人采取以下一种或多种处理办法：</w:t>
      </w:r>
    </w:p>
    <w:p>
      <w:pPr>
        <w:spacing w:line="360" w:lineRule="auto"/>
        <w:ind w:firstLine="420" w:firstLineChars="200"/>
        <w:rPr>
          <w:rFonts w:ascii="宋体" w:hAnsi="宋体" w:cs="宋体"/>
          <w:highlight w:val="none"/>
        </w:rPr>
      </w:pPr>
      <w:r>
        <w:rPr>
          <w:rFonts w:hint="eastAsia" w:ascii="宋体" w:hAnsi="宋体" w:cs="宋体"/>
          <w:highlight w:val="none"/>
        </w:rPr>
        <w:t xml:space="preserve">1、扣除承包人合同履约保证金； </w:t>
      </w:r>
    </w:p>
    <w:p>
      <w:pPr>
        <w:spacing w:line="360" w:lineRule="auto"/>
        <w:ind w:firstLine="420" w:firstLineChars="200"/>
        <w:rPr>
          <w:rFonts w:ascii="宋体" w:hAnsi="宋体" w:cs="宋体"/>
          <w:highlight w:val="none"/>
        </w:rPr>
      </w:pPr>
      <w:r>
        <w:rPr>
          <w:rFonts w:hint="eastAsia" w:ascii="宋体" w:hAnsi="宋体" w:cs="宋体"/>
          <w:highlight w:val="none"/>
        </w:rPr>
        <w:t>2、终止双方已签定的所有合同；</w:t>
      </w:r>
    </w:p>
    <w:p>
      <w:pPr>
        <w:spacing w:line="360" w:lineRule="auto"/>
        <w:ind w:firstLine="420" w:firstLineChars="200"/>
        <w:rPr>
          <w:rFonts w:ascii="宋体" w:hAnsi="宋体" w:cs="宋体"/>
          <w:highlight w:val="none"/>
        </w:rPr>
      </w:pPr>
      <w:r>
        <w:rPr>
          <w:rFonts w:hint="eastAsia" w:ascii="宋体" w:hAnsi="宋体" w:cs="宋体"/>
          <w:highlight w:val="none"/>
        </w:rPr>
        <w:t>3、追究承包人合同其他违约责任；</w:t>
      </w:r>
    </w:p>
    <w:p>
      <w:pPr>
        <w:spacing w:line="360" w:lineRule="auto"/>
        <w:ind w:firstLine="420" w:firstLineChars="200"/>
        <w:rPr>
          <w:rFonts w:ascii="宋体" w:hAnsi="宋体" w:cs="宋体"/>
          <w:highlight w:val="none"/>
        </w:rPr>
      </w:pPr>
      <w:r>
        <w:rPr>
          <w:rFonts w:hint="eastAsia" w:ascii="宋体" w:hAnsi="宋体" w:cs="宋体"/>
          <w:highlight w:val="none"/>
        </w:rPr>
        <w:t>承包人无条件接受发包人处理意见并承担给发包人造成的损失，全额返还用不正当手段获取的非法所得，并承担相应的法律责任。</w:t>
      </w:r>
    </w:p>
    <w:p>
      <w:pPr>
        <w:spacing w:line="360" w:lineRule="auto"/>
        <w:ind w:firstLine="422" w:firstLineChars="200"/>
        <w:outlineLvl w:val="2"/>
        <w:rPr>
          <w:rFonts w:ascii="宋体" w:hAnsi="宋体" w:cs="宋体"/>
          <w:highlight w:val="none"/>
        </w:rPr>
      </w:pPr>
      <w:bookmarkStart w:id="227" w:name="_Toc2827"/>
      <w:bookmarkStart w:id="228" w:name="_Toc4671"/>
      <w:bookmarkStart w:id="229" w:name="_Toc10238"/>
      <w:r>
        <w:rPr>
          <w:rFonts w:hint="eastAsia" w:ascii="宋体" w:hAnsi="宋体" w:cs="宋体"/>
          <w:b/>
          <w:bCs/>
          <w:highlight w:val="none"/>
        </w:rPr>
        <w:t xml:space="preserve">第五条  </w:t>
      </w:r>
      <w:r>
        <w:rPr>
          <w:rFonts w:hint="eastAsia" w:ascii="宋体" w:hAnsi="宋体" w:cs="宋体"/>
          <w:highlight w:val="none"/>
        </w:rPr>
        <w:t>本协议由双方或双方上级单位负责监督。可由发包人或发包人上级单位的纪检监察部门约请承包人或承包人上级单位的</w:t>
      </w:r>
      <w:r>
        <w:rPr>
          <w:rFonts w:hint="eastAsia" w:ascii="宋体" w:hAnsi="宋体" w:cs="宋体"/>
          <w:highlight w:val="none"/>
          <w:u w:val="single"/>
        </w:rPr>
        <w:t>纪检监察</w:t>
      </w:r>
      <w:r>
        <w:rPr>
          <w:rFonts w:hint="eastAsia" w:ascii="宋体" w:hAnsi="宋体" w:cs="宋体"/>
          <w:highlight w:val="none"/>
        </w:rPr>
        <w:t>部门对本协议履行情况进行检查。</w:t>
      </w:r>
      <w:bookmarkEnd w:id="227"/>
      <w:bookmarkEnd w:id="228"/>
      <w:bookmarkEnd w:id="229"/>
    </w:p>
    <w:p>
      <w:pPr>
        <w:spacing w:line="360" w:lineRule="auto"/>
        <w:ind w:firstLine="422" w:firstLineChars="200"/>
        <w:outlineLvl w:val="2"/>
        <w:rPr>
          <w:rFonts w:ascii="宋体" w:hAnsi="宋体" w:cs="宋体"/>
          <w:b/>
          <w:bCs/>
          <w:highlight w:val="none"/>
        </w:rPr>
      </w:pPr>
      <w:bookmarkStart w:id="230" w:name="_Toc24258"/>
      <w:bookmarkStart w:id="231" w:name="_Toc17159"/>
      <w:bookmarkStart w:id="232" w:name="_Toc10359"/>
      <w:r>
        <w:rPr>
          <w:rFonts w:hint="eastAsia" w:ascii="宋体" w:hAnsi="宋体" w:cs="宋体"/>
          <w:b/>
          <w:bCs/>
          <w:highlight w:val="none"/>
        </w:rPr>
        <w:t xml:space="preserve">第六条  </w:t>
      </w:r>
      <w:r>
        <w:rPr>
          <w:rFonts w:hint="eastAsia" w:ascii="宋体" w:hAnsi="宋体" w:cs="宋体"/>
          <w:bCs/>
          <w:highlight w:val="none"/>
        </w:rPr>
        <w:t>本协议有效期为甲乙双方签署之日起至合同终止。</w:t>
      </w:r>
      <w:bookmarkEnd w:id="230"/>
      <w:bookmarkEnd w:id="231"/>
      <w:bookmarkEnd w:id="232"/>
    </w:p>
    <w:p>
      <w:pPr>
        <w:spacing w:line="360" w:lineRule="auto"/>
        <w:ind w:firstLine="422" w:firstLineChars="200"/>
        <w:outlineLvl w:val="2"/>
        <w:rPr>
          <w:rFonts w:ascii="宋体" w:hAnsi="宋体" w:cs="宋体"/>
          <w:b/>
          <w:bCs/>
          <w:highlight w:val="none"/>
        </w:rPr>
      </w:pPr>
      <w:bookmarkStart w:id="233" w:name="_Toc17734"/>
      <w:bookmarkStart w:id="234" w:name="_Toc2132"/>
      <w:bookmarkStart w:id="235" w:name="_Toc18051"/>
      <w:r>
        <w:rPr>
          <w:rFonts w:hint="eastAsia" w:ascii="宋体" w:hAnsi="宋体" w:cs="宋体"/>
          <w:b/>
          <w:bCs/>
          <w:highlight w:val="none"/>
        </w:rPr>
        <w:t xml:space="preserve">第七条  </w:t>
      </w:r>
      <w:r>
        <w:rPr>
          <w:rFonts w:hint="eastAsia" w:ascii="宋体" w:hAnsi="宋体" w:cs="宋体"/>
          <w:bCs/>
          <w:highlight w:val="none"/>
        </w:rPr>
        <w:t>本协议作为</w:t>
      </w:r>
      <w:r>
        <w:rPr>
          <w:rFonts w:hint="eastAsia" w:ascii="宋体" w:hAnsi="宋体" w:cs="宋体"/>
          <w:bCs/>
          <w:highlight w:val="none"/>
          <w:u w:val="single"/>
        </w:rPr>
        <w:t xml:space="preserve"> 《</w:t>
      </w:r>
      <w:r>
        <w:rPr>
          <w:rFonts w:hint="eastAsia" w:ascii="宋体" w:hAnsi="宋体" w:cs="宋体"/>
          <w:bCs/>
          <w:highlight w:val="none"/>
          <w:u w:val="single"/>
          <w:lang w:eastAsia="zh-CN"/>
        </w:rPr>
        <w:t>明珠工业园明珠片区新开发地块市政基础设施工程检验检测</w:t>
      </w:r>
      <w:r>
        <w:rPr>
          <w:rFonts w:hint="eastAsia" w:ascii="宋体" w:hAnsi="宋体" w:cs="宋体"/>
          <w:bCs/>
          <w:highlight w:val="none"/>
          <w:u w:val="single"/>
        </w:rPr>
        <w:t xml:space="preserve">项目合同》 </w:t>
      </w:r>
      <w:r>
        <w:rPr>
          <w:rFonts w:hint="eastAsia" w:ascii="宋体" w:hAnsi="宋体" w:cs="宋体"/>
          <w:bCs/>
          <w:highlight w:val="none"/>
        </w:rPr>
        <w:t>的附件，并具有同等的法律效力，经合同双方签署立即生效。</w:t>
      </w:r>
      <w:bookmarkEnd w:id="233"/>
      <w:bookmarkEnd w:id="234"/>
      <w:bookmarkEnd w:id="235"/>
      <w:bookmarkStart w:id="236" w:name="_Hlt10530625"/>
      <w:bookmarkEnd w:id="236"/>
    </w:p>
    <w:p>
      <w:pPr>
        <w:spacing w:line="360" w:lineRule="auto"/>
        <w:ind w:firstLine="422" w:firstLineChars="200"/>
        <w:rPr>
          <w:rFonts w:ascii="宋体" w:hAnsi="宋体" w:cs="宋体"/>
          <w:b/>
          <w:bCs/>
          <w:highlight w:val="none"/>
        </w:rPr>
      </w:pPr>
    </w:p>
    <w:p>
      <w:pPr>
        <w:spacing w:line="360" w:lineRule="auto"/>
        <w:ind w:firstLine="422" w:firstLineChars="200"/>
        <w:rPr>
          <w:rFonts w:ascii="宋体" w:hAnsi="宋体" w:cs="宋体"/>
          <w:b/>
          <w:bCs/>
          <w:highlight w:val="none"/>
        </w:rPr>
      </w:pPr>
    </w:p>
    <w:p>
      <w:pPr>
        <w:pStyle w:val="2"/>
        <w:spacing w:line="360" w:lineRule="auto"/>
        <w:rPr>
          <w:rFonts w:cs="宋体"/>
          <w:sz w:val="28"/>
          <w:szCs w:val="28"/>
          <w:highlight w:val="none"/>
        </w:rPr>
      </w:pPr>
    </w:p>
    <w:p>
      <w:pPr>
        <w:snapToGrid w:val="0"/>
        <w:spacing w:line="360" w:lineRule="auto"/>
        <w:ind w:left="420" w:firstLine="480" w:firstLineChars="200"/>
        <w:rPr>
          <w:rFonts w:ascii="宋体" w:hAnsi="宋体" w:cs="宋体"/>
          <w:snapToGrid w:val="0"/>
          <w:kern w:val="0"/>
          <w:sz w:val="24"/>
          <w:szCs w:val="24"/>
          <w:highlight w:val="none"/>
        </w:rPr>
      </w:pPr>
    </w:p>
    <w:p>
      <w:pPr>
        <w:spacing w:line="360" w:lineRule="auto"/>
        <w:rPr>
          <w:rFonts w:ascii="宋体" w:hAnsi="宋体" w:cs="宋体"/>
          <w:highlight w:val="none"/>
        </w:rPr>
      </w:pPr>
    </w:p>
    <w:p>
      <w:pPr>
        <w:pStyle w:val="3"/>
        <w:spacing w:line="360" w:lineRule="auto"/>
        <w:rPr>
          <w:rFonts w:ascii="宋体" w:hAnsi="宋体" w:cs="宋体"/>
          <w:highlight w:val="none"/>
        </w:rPr>
      </w:pPr>
    </w:p>
    <w:p>
      <w:pPr>
        <w:spacing w:line="360" w:lineRule="auto"/>
        <w:rPr>
          <w:rFonts w:ascii="宋体" w:hAnsi="宋体" w:cs="宋体"/>
          <w:highlight w:val="none"/>
        </w:rPr>
      </w:pPr>
    </w:p>
    <w:p>
      <w:pPr>
        <w:pStyle w:val="2"/>
        <w:spacing w:line="360" w:lineRule="auto"/>
        <w:rPr>
          <w:rFonts w:cs="宋体"/>
          <w:highlight w:val="none"/>
        </w:rPr>
      </w:pPr>
      <w:r>
        <w:rPr>
          <w:rFonts w:hint="eastAsia" w:cs="宋体"/>
          <w:highlight w:val="none"/>
        </w:rPr>
        <w:br w:type="page"/>
      </w:r>
      <w:bookmarkStart w:id="237" w:name="_Toc25142"/>
      <w:r>
        <w:rPr>
          <w:rFonts w:hint="eastAsia" w:cs="宋体"/>
          <w:highlight w:val="none"/>
        </w:rPr>
        <w:t>第二卷</w:t>
      </w:r>
      <w:bookmarkEnd w:id="237"/>
    </w:p>
    <w:p>
      <w:pPr>
        <w:pStyle w:val="2"/>
        <w:numPr>
          <w:ilvl w:val="0"/>
          <w:numId w:val="5"/>
        </w:numPr>
        <w:spacing w:line="360" w:lineRule="auto"/>
        <w:rPr>
          <w:rFonts w:cs="宋体"/>
          <w:highlight w:val="none"/>
        </w:rPr>
      </w:pPr>
      <w:r>
        <w:rPr>
          <w:rFonts w:hint="eastAsia" w:cs="宋体"/>
          <w:highlight w:val="none"/>
        </w:rPr>
        <w:t xml:space="preserve"> </w:t>
      </w:r>
      <w:bookmarkStart w:id="238" w:name="_Toc28886"/>
      <w:r>
        <w:rPr>
          <w:rFonts w:hint="eastAsia" w:cs="宋体"/>
          <w:highlight w:val="none"/>
        </w:rPr>
        <w:t>委托人要求</w:t>
      </w:r>
      <w:bookmarkEnd w:id="238"/>
    </w:p>
    <w:p>
      <w:pPr>
        <w:spacing w:line="360" w:lineRule="auto"/>
        <w:ind w:firstLine="426" w:firstLineChars="177"/>
        <w:rPr>
          <w:rFonts w:ascii="宋体" w:hAnsi="宋体" w:cs="宋体"/>
          <w:b/>
          <w:sz w:val="24"/>
          <w:szCs w:val="24"/>
          <w:highlight w:val="none"/>
        </w:rPr>
      </w:pPr>
      <w:r>
        <w:rPr>
          <w:rFonts w:hint="eastAsia" w:ascii="宋体" w:hAnsi="宋体" w:cs="宋体"/>
          <w:b/>
          <w:sz w:val="24"/>
          <w:szCs w:val="24"/>
          <w:highlight w:val="none"/>
        </w:rPr>
        <w:t>1. 项目概况：</w:t>
      </w:r>
    </w:p>
    <w:p>
      <w:pPr>
        <w:spacing w:line="360" w:lineRule="auto"/>
        <w:ind w:firstLine="424" w:firstLineChars="177"/>
        <w:rPr>
          <w:rFonts w:hint="eastAsia" w:ascii="宋体" w:hAnsi="宋体" w:eastAsia="宋体" w:cs="宋体"/>
          <w:sz w:val="24"/>
          <w:szCs w:val="24"/>
          <w:highlight w:val="none"/>
          <w:u w:val="single"/>
          <w:lang w:eastAsia="zh-CN"/>
        </w:rPr>
      </w:pPr>
      <w:r>
        <w:rPr>
          <w:rFonts w:hint="eastAsia" w:ascii="宋体" w:hAnsi="宋体" w:cs="宋体"/>
          <w:sz w:val="24"/>
          <w:szCs w:val="24"/>
          <w:highlight w:val="none"/>
        </w:rPr>
        <w:t>1.1项目名称：</w:t>
      </w:r>
      <w:r>
        <w:rPr>
          <w:rFonts w:hint="eastAsia" w:ascii="宋体" w:hAnsi="宋体" w:cs="宋体"/>
          <w:sz w:val="24"/>
          <w:szCs w:val="24"/>
          <w:highlight w:val="none"/>
          <w:u w:val="single"/>
        </w:rPr>
        <w:t>明珠工业园明珠片区新开发地块市政基础设施工程</w:t>
      </w:r>
      <w:r>
        <w:rPr>
          <w:rFonts w:hint="eastAsia" w:ascii="宋体" w:hAnsi="宋体" w:cs="宋体"/>
          <w:sz w:val="24"/>
          <w:szCs w:val="24"/>
          <w:highlight w:val="none"/>
          <w:u w:val="single"/>
          <w:lang w:eastAsia="zh-CN"/>
        </w:rPr>
        <w:t>检验检测</w:t>
      </w:r>
    </w:p>
    <w:p>
      <w:pPr>
        <w:spacing w:line="360" w:lineRule="auto"/>
        <w:ind w:firstLine="424" w:firstLineChars="177"/>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1.2建设规模：</w:t>
      </w:r>
      <w:r>
        <w:rPr>
          <w:rFonts w:hint="eastAsia" w:ascii="宋体" w:hAnsi="宋体" w:cs="宋体"/>
          <w:sz w:val="24"/>
          <w:szCs w:val="24"/>
          <w:highlight w:val="none"/>
          <w:u w:val="single"/>
        </w:rPr>
        <w:t>本项目位于明珠工业园明珠片区。主要建设内容包括道路工程、桥涵工程、给排水工程、交通工程、照明工程、绿化工程、电力通信工程、海绵城市工程、场地平整工程、公交首末站、临时泵站等。（一）新建 9 条道路：道路全长约3.203 公里，包括：（1）HA 线（全长约 559.495 米，双向 4 车道，道路总宽 25 米，规划为城市次干路）；（2）ZE 线（全长约 314.588米，双向 2 车道，道路总宽 12 米，规划为城市支路）；（3）D 线（规划路）（全长约 152.046 米，双向 2 车道，道路总宽 12 米，规划为城市支路）；（4）创业大道（全长约 214.695 米，双向 6 车道，道路总宽 40 米，规划为城市主干路）；（5）规划纵二路（全长约653.027 米，双向 4 车道，道路总宽 25 米，规划为城市次干路）；（6）教育路（创业大道-规划路）（全长约 694.972 米，双向 4 车道，道路总宽 25 米，规划为城市次干路）；（7）民乐路（明珠大道-建设路）（全长约 211.154 米，双向 4 车道，道路总宽 25 米，规划为城市次干路）；（8）建设南路（全长约 129.349 米，双向 4 车道，道路总宽 25 米，规划为城市次干路）；（9）摩托车大道（全长约273.694 米，双向 6 车道，道路总宽 40 米，规划为城市主干路）。（二）完善 8 条道路配套基础设施：（1）教育路（民安路-兴园北路）、创业大道（明珠大道-兴园北路）、广场路（建设南路-明珠大道）、民乐路（明珠大道-兴园北路）、横一路、环湖路等 6 条路新增照明 220 套；（2）明珠大道北 5 标段以及北 6 标新增人行道约 1984米、非机动车道约 1792 米、绿化带约 1904 米、给水管约 2197 米、电力管沟约 244 米以及照明 83 套；（3）从化区希贤小学门口现状雨水管翻建约 266 米。（三）4 条村内接驳线改造：包括 A 线现状道路拓宽，部分路段新增路灯，拓宽后宽度约 5 米~6 米，路线长度约 1240 米；B 线、C 线现状道路拓宽，拓宽后宽度约 5 米~6 米，其中 B 线长约 980 米，C 线长约 540 米；C1 线为新增道路接驳线，长约 150 米，宽 5m。（四）公交首末站：明珠大道公交首末站总用地面积为约 2119.73 ㎡。首末站包括公交管理楼约 468.75 ㎡、公交候车岛约 70.87 ㎡、公交停车位 10 个、调度室约 13.5 ㎡及附属配套设施工程等。公交管理楼内设置场站管理用房、车辆检修用房、后勤保障用房。（五）4 块场地土石方平整：土石方平整总面积约256210.514 ㎡，其中地块 1 位于吉祥大道以北，场平面积约为33241.620 ㎡；地块 2 位于规划横五路以北，创业大道以东，规划横四路以南以及规划纵一路以西所围成的部分地块，场平面积约为145256.945 ㎡；地块 3 位于宝珠大道以南，规划纵一路以东区域，场平面积约为 9100.057 ㎡；地块 4 位于教育路以南，规划纵二路以东，规划横七路以北，规划纵一路以西部分区域，场平面积约为68611.892 ㎡。（六）临时泵站：新建临时泵站位于广州市从化华隆果菜保鲜有限公司明珠园区南侧，泵站及泵站电气箱变的总用地面积约 112 平方米，本泵站设计排水量为 700 吨/天，井内设 2 台潜污泵（其中 1 台备用）</w:t>
      </w:r>
      <w:r>
        <w:rPr>
          <w:rFonts w:hint="eastAsia" w:ascii="宋体" w:hAnsi="宋体" w:cs="宋体"/>
          <w:sz w:val="24"/>
          <w:szCs w:val="24"/>
          <w:highlight w:val="none"/>
          <w:lang w:eastAsia="zh-CN"/>
        </w:rPr>
        <w:t>。</w:t>
      </w:r>
    </w:p>
    <w:p>
      <w:pPr>
        <w:spacing w:line="360" w:lineRule="auto"/>
        <w:ind w:firstLine="424" w:firstLineChars="177"/>
        <w:rPr>
          <w:rFonts w:ascii="宋体" w:hAnsi="宋体" w:cs="宋体"/>
          <w:sz w:val="24"/>
          <w:szCs w:val="24"/>
          <w:highlight w:val="none"/>
        </w:rPr>
      </w:pPr>
      <w:r>
        <w:rPr>
          <w:rFonts w:hint="eastAsia" w:ascii="宋体" w:hAnsi="宋体" w:cs="宋体"/>
          <w:sz w:val="24"/>
          <w:szCs w:val="24"/>
          <w:highlight w:val="none"/>
        </w:rPr>
        <w:t>1.3建设地点：</w:t>
      </w:r>
      <w:r>
        <w:rPr>
          <w:rFonts w:hint="eastAsia" w:ascii="宋体" w:hAnsi="宋体" w:cs="宋体"/>
          <w:sz w:val="24"/>
          <w:szCs w:val="24"/>
          <w:highlight w:val="none"/>
          <w:u w:val="single"/>
        </w:rPr>
        <w:t>广州市从化区明珠工业园明珠片区。</w:t>
      </w:r>
    </w:p>
    <w:p>
      <w:pPr>
        <w:tabs>
          <w:tab w:val="left" w:pos="7513"/>
        </w:tabs>
        <w:spacing w:line="360" w:lineRule="auto"/>
        <w:ind w:firstLine="424" w:firstLineChars="177"/>
        <w:rPr>
          <w:rFonts w:ascii="宋体" w:hAnsi="宋体" w:cs="宋体"/>
          <w:sz w:val="24"/>
          <w:szCs w:val="24"/>
          <w:highlight w:val="none"/>
          <w:u w:val="single"/>
        </w:rPr>
      </w:pPr>
      <w:r>
        <w:rPr>
          <w:rFonts w:hint="eastAsia" w:ascii="宋体" w:hAnsi="宋体" w:cs="宋体"/>
          <w:sz w:val="24"/>
          <w:szCs w:val="24"/>
          <w:highlight w:val="none"/>
        </w:rPr>
        <w:t>1.4工程投资：</w:t>
      </w:r>
      <w:r>
        <w:rPr>
          <w:rFonts w:hint="eastAsia" w:ascii="宋体" w:hAnsi="宋体" w:cs="宋体"/>
          <w:sz w:val="24"/>
          <w:szCs w:val="24"/>
          <w:highlight w:val="none"/>
          <w:u w:val="single"/>
        </w:rPr>
        <w:t>项目估算总投资21340.53万元，其中：工程费用16839.18万元。</w:t>
      </w:r>
    </w:p>
    <w:p>
      <w:pPr>
        <w:spacing w:line="360" w:lineRule="auto"/>
        <w:ind w:firstLine="424" w:firstLineChars="177"/>
        <w:rPr>
          <w:rFonts w:ascii="宋体" w:hAnsi="宋体" w:cs="宋体"/>
          <w:sz w:val="24"/>
          <w:szCs w:val="24"/>
          <w:highlight w:val="none"/>
        </w:rPr>
      </w:pPr>
      <w:r>
        <w:rPr>
          <w:rFonts w:hint="eastAsia" w:ascii="宋体" w:hAnsi="宋体" w:cs="宋体"/>
          <w:sz w:val="24"/>
          <w:szCs w:val="24"/>
          <w:highlight w:val="none"/>
        </w:rPr>
        <w:t>1.5本次招标服务期：</w:t>
      </w:r>
    </w:p>
    <w:p>
      <w:pPr>
        <w:spacing w:line="360" w:lineRule="auto"/>
        <w:ind w:firstLine="424" w:firstLineChars="177"/>
        <w:rPr>
          <w:rFonts w:ascii="宋体" w:hAnsi="宋体" w:cs="宋体"/>
          <w:sz w:val="24"/>
          <w:szCs w:val="24"/>
          <w:highlight w:val="none"/>
          <w:u w:val="single"/>
        </w:rPr>
      </w:pPr>
      <w:r>
        <w:rPr>
          <w:rFonts w:hint="eastAsia" w:ascii="宋体" w:hAnsi="宋体" w:cs="宋体"/>
          <w:sz w:val="24"/>
          <w:szCs w:val="24"/>
          <w:highlight w:val="none"/>
          <w:u w:val="single"/>
        </w:rPr>
        <w:t>从中标单位进场至所有服务项目完成，服务周期必须满足实际施工及竣工验收要求。进场日期以发包人通知时间为准。</w:t>
      </w:r>
    </w:p>
    <w:p>
      <w:pPr>
        <w:spacing w:line="360" w:lineRule="auto"/>
        <w:ind w:firstLine="424" w:firstLineChars="177"/>
        <w:rPr>
          <w:rFonts w:ascii="宋体" w:hAnsi="宋体" w:cs="宋体"/>
          <w:sz w:val="24"/>
          <w:szCs w:val="24"/>
          <w:highlight w:val="none"/>
        </w:rPr>
      </w:pPr>
      <w:r>
        <w:rPr>
          <w:rFonts w:hint="eastAsia" w:ascii="宋体" w:hAnsi="宋体" w:cs="宋体"/>
          <w:sz w:val="24"/>
          <w:szCs w:val="24"/>
          <w:highlight w:val="none"/>
        </w:rPr>
        <w:t>1.6工程质量标准：合格，符合设计图纸要求和国家、省、市相关法律法规规定要求及行业颁发的工程质量验收标准。</w:t>
      </w:r>
    </w:p>
    <w:p>
      <w:pPr>
        <w:spacing w:line="360" w:lineRule="auto"/>
        <w:ind w:firstLine="426" w:firstLineChars="177"/>
        <w:rPr>
          <w:rFonts w:ascii="宋体" w:hAnsi="宋体" w:cs="宋体"/>
          <w:b/>
          <w:sz w:val="24"/>
          <w:szCs w:val="24"/>
          <w:highlight w:val="none"/>
        </w:rPr>
      </w:pPr>
      <w:r>
        <w:rPr>
          <w:rFonts w:hint="eastAsia" w:ascii="宋体" w:hAnsi="宋体" w:cs="宋体"/>
          <w:b/>
          <w:sz w:val="24"/>
          <w:szCs w:val="24"/>
          <w:highlight w:val="none"/>
        </w:rPr>
        <w:t>2.检测范围及内容：</w:t>
      </w:r>
    </w:p>
    <w:p>
      <w:pPr>
        <w:spacing w:line="360" w:lineRule="auto"/>
        <w:ind w:firstLine="424" w:firstLineChars="177"/>
        <w:rPr>
          <w:rFonts w:ascii="宋体" w:hAnsi="宋体" w:cs="宋体"/>
          <w:sz w:val="24"/>
          <w:szCs w:val="24"/>
          <w:highlight w:val="none"/>
          <w:u w:val="single"/>
        </w:rPr>
      </w:pPr>
      <w:r>
        <w:rPr>
          <w:rFonts w:hint="eastAsia" w:ascii="宋体" w:hAnsi="宋体" w:cs="宋体"/>
          <w:sz w:val="24"/>
          <w:szCs w:val="24"/>
          <w:highlight w:val="none"/>
          <w:u w:val="single"/>
        </w:rPr>
        <w:t>依据施工图及相关规范要求，开展工程</w:t>
      </w:r>
      <w:r>
        <w:rPr>
          <w:rFonts w:hint="eastAsia" w:ascii="宋体" w:hAnsi="宋体" w:cs="宋体"/>
          <w:sz w:val="24"/>
          <w:szCs w:val="24"/>
          <w:highlight w:val="none"/>
          <w:u w:val="single"/>
          <w:lang w:eastAsia="zh-CN"/>
        </w:rPr>
        <w:t>检验检测</w:t>
      </w:r>
      <w:r>
        <w:rPr>
          <w:rFonts w:hint="eastAsia" w:ascii="宋体" w:hAnsi="宋体" w:cs="宋体"/>
          <w:sz w:val="24"/>
          <w:szCs w:val="24"/>
          <w:highlight w:val="none"/>
          <w:u w:val="single"/>
        </w:rPr>
        <w:t>工作，具体以施工图纸、检测规范及主管部门要求为准。施工及验收阶段相关的</w:t>
      </w:r>
      <w:r>
        <w:rPr>
          <w:rFonts w:hint="eastAsia" w:ascii="宋体" w:hAnsi="宋体" w:cs="宋体"/>
          <w:sz w:val="24"/>
          <w:szCs w:val="24"/>
          <w:highlight w:val="none"/>
          <w:u w:val="single"/>
          <w:lang w:eastAsia="zh-CN"/>
        </w:rPr>
        <w:t>检验检测</w:t>
      </w:r>
      <w:r>
        <w:rPr>
          <w:rFonts w:hint="eastAsia" w:ascii="宋体" w:hAnsi="宋体" w:cs="宋体"/>
          <w:sz w:val="24"/>
          <w:szCs w:val="24"/>
          <w:highlight w:val="none"/>
          <w:u w:val="single"/>
        </w:rPr>
        <w:t>包括但不限于地基基础工程检测、主体结构工程现场检测、钢结构工程检测、见证取样检测、道路检测、节能检测、环境检测、智能化检测等按规范和验收要求必须检测的项目。具体根据图纸、工程量清单及项目现场实际情况确定。服务范围除以上工作外，还包括但不限于以下内容：</w:t>
      </w:r>
    </w:p>
    <w:p>
      <w:pPr>
        <w:spacing w:line="360" w:lineRule="auto"/>
        <w:ind w:firstLine="424" w:firstLineChars="177"/>
        <w:rPr>
          <w:rFonts w:ascii="宋体" w:hAnsi="宋体" w:cs="宋体"/>
          <w:bCs/>
          <w:sz w:val="24"/>
          <w:szCs w:val="24"/>
          <w:highlight w:val="none"/>
          <w:u w:val="single"/>
        </w:rPr>
      </w:pPr>
      <w:r>
        <w:rPr>
          <w:rFonts w:hint="eastAsia" w:ascii="宋体" w:hAnsi="宋体" w:cs="宋体"/>
          <w:bCs/>
          <w:sz w:val="24"/>
          <w:szCs w:val="24"/>
          <w:highlight w:val="none"/>
          <w:u w:val="single"/>
        </w:rPr>
        <w:t>（1）与工程所在行政区域的相关建设行政主管部门和监督部门所进行的协调工作，且合同价中已经综合考虑了该项协调工作的费用。如申报检测技术成果的审批，保证技术成果能够通过相关部门认可，确保不因检测工作影响本工程项目的建设进度和竣工验收。</w:t>
      </w:r>
    </w:p>
    <w:p>
      <w:pPr>
        <w:spacing w:line="360" w:lineRule="auto"/>
        <w:ind w:firstLine="424" w:firstLineChars="177"/>
        <w:rPr>
          <w:rFonts w:ascii="宋体" w:hAnsi="宋体" w:cs="宋体"/>
          <w:bCs/>
          <w:sz w:val="24"/>
          <w:szCs w:val="24"/>
          <w:highlight w:val="none"/>
          <w:u w:val="single"/>
        </w:rPr>
      </w:pPr>
      <w:r>
        <w:rPr>
          <w:rFonts w:hint="eastAsia" w:ascii="宋体" w:hAnsi="宋体" w:cs="宋体"/>
          <w:bCs/>
          <w:sz w:val="24"/>
          <w:szCs w:val="24"/>
          <w:highlight w:val="none"/>
          <w:u w:val="single"/>
        </w:rPr>
        <w:t>（2）在进行检测任务的过程中与该工程相关的施工单位、监理单位、设计单位、业主、建设管理单位、建设主管部门等相关单位的协调工作，且合同价中已经综合考虑了该项协调工作的费用。</w:t>
      </w:r>
    </w:p>
    <w:p>
      <w:pPr>
        <w:spacing w:line="360" w:lineRule="auto"/>
        <w:ind w:firstLine="424" w:firstLineChars="177"/>
        <w:rPr>
          <w:rFonts w:ascii="宋体" w:hAnsi="宋体" w:cs="宋体"/>
          <w:bCs/>
          <w:sz w:val="24"/>
          <w:szCs w:val="24"/>
          <w:highlight w:val="none"/>
          <w:u w:val="single"/>
        </w:rPr>
      </w:pPr>
      <w:r>
        <w:rPr>
          <w:rFonts w:hint="eastAsia" w:ascii="宋体" w:hAnsi="宋体" w:cs="宋体"/>
          <w:bCs/>
          <w:sz w:val="24"/>
          <w:szCs w:val="24"/>
          <w:highlight w:val="none"/>
          <w:u w:val="single"/>
        </w:rPr>
        <w:t>（3）因按相关规定须与行业、行政监督部门传输报送检测数据信息的工作，且合同价中已经综合考虑了该项协调工作的费用。</w:t>
      </w:r>
    </w:p>
    <w:p>
      <w:pPr>
        <w:spacing w:line="360" w:lineRule="auto"/>
        <w:ind w:firstLine="424" w:firstLineChars="177"/>
        <w:rPr>
          <w:rFonts w:ascii="宋体" w:hAnsi="宋体" w:cs="宋体"/>
          <w:bCs/>
          <w:sz w:val="24"/>
          <w:szCs w:val="24"/>
          <w:highlight w:val="none"/>
          <w:u w:val="single"/>
        </w:rPr>
      </w:pPr>
      <w:r>
        <w:rPr>
          <w:rFonts w:hint="eastAsia" w:ascii="宋体" w:hAnsi="宋体" w:cs="宋体"/>
          <w:bCs/>
          <w:sz w:val="24"/>
          <w:szCs w:val="24"/>
          <w:highlight w:val="none"/>
          <w:u w:val="single"/>
        </w:rPr>
        <w:t>（4）根据相关规范和标准、主管部门文件的规定以及设计图纸的有关要求，结合工程实际情况编制相关项目的《检测方案》，并报质监部门备案（如需要）。</w:t>
      </w:r>
    </w:p>
    <w:p>
      <w:pPr>
        <w:spacing w:line="360" w:lineRule="auto"/>
        <w:ind w:firstLine="424" w:firstLineChars="177"/>
        <w:rPr>
          <w:rFonts w:ascii="宋体" w:hAnsi="宋体" w:cs="宋体"/>
          <w:bCs/>
          <w:sz w:val="24"/>
          <w:szCs w:val="24"/>
          <w:highlight w:val="none"/>
          <w:u w:val="single"/>
        </w:rPr>
      </w:pPr>
      <w:r>
        <w:rPr>
          <w:rFonts w:hint="eastAsia" w:ascii="宋体" w:hAnsi="宋体" w:cs="宋体"/>
          <w:bCs/>
          <w:sz w:val="24"/>
          <w:szCs w:val="24"/>
          <w:highlight w:val="none"/>
          <w:u w:val="single"/>
        </w:rPr>
        <w:t>（5）负责检测的工程质量需符合《建设工程质量管理条例》等国家相关管理要求。</w:t>
      </w:r>
    </w:p>
    <w:p>
      <w:pPr>
        <w:spacing w:line="360" w:lineRule="auto"/>
        <w:ind w:firstLine="424" w:firstLineChars="177"/>
        <w:rPr>
          <w:rFonts w:ascii="宋体" w:hAnsi="宋体" w:cs="宋体"/>
          <w:bCs/>
          <w:sz w:val="24"/>
          <w:szCs w:val="24"/>
          <w:highlight w:val="none"/>
        </w:rPr>
      </w:pPr>
      <w:r>
        <w:rPr>
          <w:rFonts w:hint="eastAsia" w:ascii="宋体" w:hAnsi="宋体" w:cs="宋体"/>
          <w:bCs/>
          <w:sz w:val="24"/>
          <w:szCs w:val="24"/>
          <w:highlight w:val="none"/>
          <w:u w:val="single"/>
        </w:rPr>
        <w:t>（具体以招标文件、施工图纸、检测方案、检测规范及主管部门要求为准）。</w:t>
      </w:r>
    </w:p>
    <w:p>
      <w:pPr>
        <w:spacing w:line="360" w:lineRule="auto"/>
        <w:ind w:firstLine="426" w:firstLineChars="177"/>
        <w:rPr>
          <w:rFonts w:ascii="宋体" w:hAnsi="宋体" w:cs="宋体"/>
          <w:b/>
          <w:sz w:val="24"/>
          <w:szCs w:val="24"/>
          <w:highlight w:val="none"/>
        </w:rPr>
      </w:pPr>
      <w:r>
        <w:rPr>
          <w:rFonts w:hint="eastAsia" w:ascii="宋体" w:hAnsi="宋体" w:cs="宋体"/>
          <w:b/>
          <w:sz w:val="24"/>
          <w:szCs w:val="24"/>
          <w:highlight w:val="none"/>
        </w:rPr>
        <w:t>3.检测标准：</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1、《建筑工程施工质量验收统一标准》（GB 50300-2013）；</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2、《混凝土结构工程施工质量验收规范》（GB 50204-2015）；</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3、《砌体结构工程施工质量验收规范》（GB 50203-2011）；</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4、《屋面工程质量验收规范》（GB 50207-2012）；</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5、《给水排水管道工程施工及验收规范》（GB 50268-2008）；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6、《建筑地面工程施工质量验收规范》（GB 50209-2010）；</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7、《建筑装饰装修工程质量验收标准》（GB 50210-2018）；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8、《建筑节能工程施工质量验收规范》（GB 50411-2019）；</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9、《民用建筑工程室内环境污染控制规范》（GB 50325-2020）；</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10、《通风与空调工程施工质量验收规范》（GB 50243-2016）；</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11、《建筑电气工程施工质量验收规范》（GB 50303-2015）；</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12、《公共建筑节能检测标准》（JGJ/T 177-2009）；</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13、《居住建筑节能检测标准》（JGJ/T 132-2009）；</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14、《照明测量方法》（GB/T 5700-2008）；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15、《风机盘管机组》（GB/T 19232-2019）；</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16、《建筑设计防火规范》（GB 50016-2014）</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17、《自动喷水灭火系统设计规范》（GB 50084-2017）；</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18、《自动喷水灭火系统施工及验收规范》（GB 50261-2017）；</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19、《火灾自动报警系统施工及验收标准》（GB 50166-2019）；</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20、《火灾自动报警系统设计规范》（GB 50116-2013）；</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21、《消防应急照明和疏散指示系统》（GB 17945-2010）；</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22、《综合布线系统工程验收规范》（GB/T 50312-2016）；</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23、《智能建筑工程检测规程》（CECS 182-2005）；</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24、《安全防范工程技术标准》（GB 50348-2018）；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25、《民用闭路监视电视系统工程技术规范》（GB 50198-2011）；</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26、《电子巡查系统技术要求》（GA/T 644-2006）；</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27、《基于以太网技术的局域网（LAN）系统验收测试方法》（GB/T 21671-2018）；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28、《出入口控制系统技术要求》（GA/T 394-2002）；</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29、《厅堂扩声特性测量方法》（GB/T 4959-2011）；</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30、《视频显示系统工程测量规范》（GB/T 50525-2010）；</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31、《发光二极管（LED）显示屏测试方法》（SJ/T 11281-2017）；</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32、《计算机场地通用规范》（GB/T 2887-2011）；</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33、《数据中心基础设施施工及验收规范》（GB 50462-2015）；</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34、《数据中心设计规范》（GB 50174-2017）；</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35、《住宅区和住宅建筑内光纤到户通信设施工程施工及验收规范》（GB50847-2012）；</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36、《光纤试验方法规范 第22部分：尺寸参数的测量方法和试验程序 长度》（GB/T 15972.22-2008）；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37、《光纤试验方法规范 第40部分：传输特性和光学特性的测量方法和试验程序 衰减》（GB/T 15972.40-2008）；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38、《住宅区和住宅建筑内光纤到户通信设施工程设计规范》（GB 50846-2012）；</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39、《民用建筑隔声设计规范》（GB 50118-2010）；</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40、《声环境质量标准》（GB 3096-2008）；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41、《建筑环境通用规范》（GB 55016-2021）；</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42、《园林绿化木本苗》（CJ/T 24-2018）；</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43、《园林绿化工程施工及验收规范》（CJJ 82-2012）；</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44、《有机肥料》（NY/T 525-2021）；</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45、广东标准《建筑防火及消防设施检测技术规程》（DBJ/T15-110-2015）；</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46、广东标准《广东省建筑节能与绿色建筑工程施工质量验收规范》（DBJ15-65-2021）；</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47、广州市标准《园林绿化植物材料》（DB4401/T 37-2019）；</w:t>
      </w:r>
    </w:p>
    <w:p>
      <w:pPr>
        <w:tabs>
          <w:tab w:val="left" w:pos="1155"/>
        </w:tabs>
        <w:spacing w:line="360" w:lineRule="auto"/>
        <w:ind w:firstLine="360" w:firstLineChars="150"/>
        <w:rPr>
          <w:rFonts w:ascii="宋体" w:hAnsi="宋体" w:cs="宋体"/>
          <w:sz w:val="24"/>
          <w:szCs w:val="24"/>
          <w:highlight w:val="none"/>
        </w:rPr>
      </w:pPr>
      <w:r>
        <w:rPr>
          <w:rFonts w:hint="eastAsia" w:ascii="宋体" w:hAnsi="宋体" w:cs="宋体"/>
          <w:sz w:val="24"/>
          <w:szCs w:val="24"/>
          <w:highlight w:val="none"/>
        </w:rPr>
        <w:t>48、广州市标准《城市绿化工程施工和验收规范》（DB440100/T114-2007）；</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49、国家和广东省、广州市、</w:t>
      </w:r>
      <w:r>
        <w:rPr>
          <w:rFonts w:hint="eastAsia" w:ascii="宋体" w:hAnsi="宋体" w:cs="宋体"/>
          <w:sz w:val="24"/>
          <w:szCs w:val="24"/>
          <w:highlight w:val="none"/>
          <w:lang w:eastAsia="zh-CN"/>
        </w:rPr>
        <w:t>从化</w:t>
      </w:r>
      <w:r>
        <w:rPr>
          <w:rFonts w:hint="eastAsia" w:ascii="宋体" w:hAnsi="宋体" w:cs="宋体"/>
          <w:sz w:val="24"/>
          <w:szCs w:val="24"/>
          <w:highlight w:val="none"/>
        </w:rPr>
        <w:t>区其他有关检测的法律、法规、规章、规范及标准。实际检测依据以实施检测时国家及地方发布的最新规范、标准及规定为准。</w:t>
      </w:r>
    </w:p>
    <w:p>
      <w:pPr>
        <w:spacing w:line="360" w:lineRule="auto"/>
        <w:ind w:firstLine="426" w:firstLineChars="177"/>
        <w:rPr>
          <w:rFonts w:ascii="宋体" w:hAnsi="宋体" w:cs="宋体"/>
          <w:sz w:val="24"/>
          <w:szCs w:val="24"/>
          <w:highlight w:val="none"/>
        </w:rPr>
      </w:pPr>
      <w:r>
        <w:rPr>
          <w:rFonts w:hint="eastAsia" w:ascii="宋体" w:hAnsi="宋体" w:cs="宋体"/>
          <w:b/>
          <w:sz w:val="24"/>
          <w:szCs w:val="24"/>
          <w:highlight w:val="none"/>
        </w:rPr>
        <w:t>4.服务要求：</w:t>
      </w:r>
    </w:p>
    <w:p>
      <w:pPr>
        <w:spacing w:line="360" w:lineRule="auto"/>
        <w:ind w:firstLine="424" w:firstLineChars="177"/>
        <w:rPr>
          <w:rFonts w:ascii="宋体" w:hAnsi="宋体" w:cs="宋体"/>
          <w:sz w:val="24"/>
          <w:szCs w:val="24"/>
          <w:highlight w:val="none"/>
        </w:rPr>
      </w:pPr>
      <w:r>
        <w:rPr>
          <w:rFonts w:hint="eastAsia" w:ascii="宋体" w:hAnsi="宋体" w:cs="宋体"/>
          <w:sz w:val="24"/>
          <w:szCs w:val="24"/>
          <w:highlight w:val="none"/>
        </w:rPr>
        <w:t>（1）符合法律、行政法规及部门规章；</w:t>
      </w:r>
    </w:p>
    <w:p>
      <w:pPr>
        <w:spacing w:line="360" w:lineRule="auto"/>
        <w:ind w:firstLine="424" w:firstLineChars="177"/>
        <w:rPr>
          <w:rFonts w:ascii="宋体" w:hAnsi="宋体" w:cs="宋体"/>
          <w:sz w:val="24"/>
          <w:szCs w:val="24"/>
          <w:highlight w:val="none"/>
        </w:rPr>
      </w:pPr>
      <w:r>
        <w:rPr>
          <w:rFonts w:hint="eastAsia" w:ascii="宋体" w:hAnsi="宋体" w:cs="宋体"/>
          <w:sz w:val="24"/>
          <w:szCs w:val="24"/>
          <w:highlight w:val="none"/>
        </w:rPr>
        <w:t>（2）符合本工程有关的规范、标准、规程。</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按照《中华人民共和国建筑法》、《建设工程质量检测管理办法》中华人民共和国行业标准及其它相关等规范进行检测和判定，出具完整检测报告。检测报告应经检测人员签字、检测机构法定代表人或者其授权的签字人签署，并加盖检测机构公章或者检测专用章。</w:t>
      </w:r>
    </w:p>
    <w:p>
      <w:pPr>
        <w:spacing w:line="360" w:lineRule="auto"/>
        <w:ind w:firstLine="482" w:firstLineChars="200"/>
        <w:rPr>
          <w:rFonts w:ascii="宋体" w:hAnsi="宋体" w:cs="宋体"/>
          <w:b/>
          <w:sz w:val="24"/>
          <w:szCs w:val="24"/>
          <w:highlight w:val="none"/>
        </w:rPr>
      </w:pPr>
      <w:bookmarkStart w:id="239" w:name="_Toc24882"/>
      <w:bookmarkStart w:id="240" w:name="_Toc9843"/>
      <w:bookmarkStart w:id="241" w:name="_Toc511557119"/>
      <w:r>
        <w:rPr>
          <w:rFonts w:hint="eastAsia" w:ascii="宋体" w:hAnsi="宋体" w:cs="宋体"/>
          <w:b/>
          <w:sz w:val="24"/>
          <w:szCs w:val="24"/>
          <w:highlight w:val="none"/>
        </w:rPr>
        <w:t>5.委托人的其他要求</w:t>
      </w:r>
      <w:bookmarkEnd w:id="239"/>
      <w:bookmarkEnd w:id="240"/>
      <w:bookmarkEnd w:id="241"/>
      <w:r>
        <w:rPr>
          <w:rFonts w:hint="eastAsia" w:ascii="宋体" w:hAnsi="宋体" w:cs="宋体"/>
          <w:b/>
          <w:sz w:val="24"/>
          <w:szCs w:val="24"/>
          <w:highlight w:val="none"/>
        </w:rPr>
        <w:t>：</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本项目实施期间，如果因本项目施工质量抽查监督及验收需要，按规范和经批准的检测方案，经招标人确认需增加检测项目，且投标人也具备相应资质，则投标人不得以任何原因拒绝为招标人提供检测，并按要求出具符合验收要求的检测报告。投标人检测资质不能涵盖的项目报招标人批准后，由投标人委托具有相应资质的第三方实施，投标人应对该第三方出具的结果负责，并取得相应管理部门的确认。</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检测方案及工作量：在施工过程中，检测服务单位依据施工图及相关检测验收规范，编制检测方案和工程量清单，以满足施工质量抽查监督、各单项竣工验收、竣工验收备案及区质检站等政府职能部门要求为前提，合理编制，不可擅自虚增检测项目和工作量，否则不予结算。检测方案需报施工单位、监理单位、设计单位、勘察单位、代建单位（如有）和建设业主审核确认后方可实施，检测项目及工作量按实结算。</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3.其他详见本招标文件的第一章投标人须知和本工程委托检测合同的相关约定。</w:t>
      </w:r>
    </w:p>
    <w:p>
      <w:pPr>
        <w:pStyle w:val="2"/>
        <w:spacing w:line="360" w:lineRule="auto"/>
        <w:rPr>
          <w:rFonts w:cs="宋体"/>
          <w:highlight w:val="none"/>
        </w:rPr>
      </w:pPr>
      <w:r>
        <w:rPr>
          <w:rFonts w:hint="eastAsia" w:cs="宋体"/>
          <w:highlight w:val="none"/>
        </w:rPr>
        <w:br w:type="page"/>
      </w:r>
      <w:bookmarkStart w:id="242" w:name="_Toc25401"/>
      <w:r>
        <w:rPr>
          <w:rFonts w:hint="eastAsia" w:cs="宋体"/>
          <w:highlight w:val="none"/>
        </w:rPr>
        <w:t>第三卷</w:t>
      </w:r>
      <w:bookmarkEnd w:id="124"/>
      <w:bookmarkEnd w:id="242"/>
    </w:p>
    <w:p>
      <w:pPr>
        <w:pStyle w:val="2"/>
        <w:spacing w:line="360" w:lineRule="auto"/>
        <w:rPr>
          <w:rFonts w:cs="宋体"/>
          <w:highlight w:val="none"/>
        </w:rPr>
      </w:pPr>
      <w:bookmarkStart w:id="243" w:name="_Toc9978"/>
      <w:bookmarkStart w:id="244" w:name="_Toc533357327"/>
      <w:r>
        <w:rPr>
          <w:rFonts w:hint="eastAsia" w:cs="宋体"/>
          <w:highlight w:val="none"/>
        </w:rPr>
        <w:t>第六章  投标文件格式</w:t>
      </w:r>
      <w:bookmarkEnd w:id="243"/>
      <w:bookmarkEnd w:id="244"/>
    </w:p>
    <w:p>
      <w:pPr>
        <w:spacing w:line="360" w:lineRule="auto"/>
        <w:rPr>
          <w:rFonts w:ascii="宋体" w:hAnsi="宋体" w:cs="宋体"/>
          <w:highlight w:val="none"/>
        </w:rPr>
      </w:pPr>
    </w:p>
    <w:p>
      <w:pPr>
        <w:pStyle w:val="28"/>
        <w:spacing w:after="0" w:line="360" w:lineRule="auto"/>
        <w:rPr>
          <w:rFonts w:ascii="宋体" w:hAnsi="宋体" w:cs="宋体"/>
          <w:highlight w:val="none"/>
        </w:rPr>
      </w:pPr>
    </w:p>
    <w:p>
      <w:pPr>
        <w:spacing w:line="360" w:lineRule="auto"/>
        <w:jc w:val="center"/>
        <w:rPr>
          <w:rFonts w:ascii="宋体" w:hAnsi="宋体" w:cs="宋体"/>
          <w:b/>
          <w:sz w:val="28"/>
          <w:szCs w:val="28"/>
          <w:highlight w:val="none"/>
        </w:rPr>
      </w:pPr>
      <w:r>
        <w:rPr>
          <w:rFonts w:hint="eastAsia" w:ascii="宋体" w:hAnsi="宋体" w:cs="宋体"/>
          <w:b/>
          <w:sz w:val="28"/>
          <w:szCs w:val="28"/>
          <w:highlight w:val="none"/>
        </w:rPr>
        <w:t>目  录</w:t>
      </w:r>
    </w:p>
    <w:p>
      <w:pPr>
        <w:pStyle w:val="27"/>
        <w:tabs>
          <w:tab w:val="left" w:pos="960"/>
        </w:tabs>
        <w:spacing w:line="360" w:lineRule="auto"/>
        <w:ind w:left="960"/>
        <w:rPr>
          <w:rFonts w:ascii="宋体" w:hAnsi="宋体" w:cs="宋体"/>
          <w:sz w:val="24"/>
          <w:highlight w:val="none"/>
        </w:rPr>
      </w:pPr>
      <w:bookmarkStart w:id="245" w:name="_Toc390704763"/>
      <w:bookmarkStart w:id="246" w:name="_Toc266373528"/>
      <w:r>
        <w:rPr>
          <w:rFonts w:hint="eastAsia" w:ascii="宋体" w:hAnsi="宋体" w:cs="宋体"/>
          <w:sz w:val="24"/>
          <w:highlight w:val="none"/>
        </w:rPr>
        <w:t>一、投标函及其附表</w:t>
      </w:r>
    </w:p>
    <w:p>
      <w:pPr>
        <w:pStyle w:val="27"/>
        <w:tabs>
          <w:tab w:val="left" w:pos="960"/>
        </w:tabs>
        <w:spacing w:line="360" w:lineRule="auto"/>
        <w:ind w:left="960"/>
        <w:rPr>
          <w:rFonts w:ascii="宋体" w:hAnsi="宋体" w:cs="宋体"/>
          <w:sz w:val="24"/>
          <w:highlight w:val="none"/>
        </w:rPr>
      </w:pPr>
      <w:r>
        <w:rPr>
          <w:rFonts w:hint="eastAsia" w:ascii="宋体" w:hAnsi="宋体" w:cs="宋体"/>
          <w:sz w:val="24"/>
          <w:highlight w:val="none"/>
        </w:rPr>
        <w:t>二、</w:t>
      </w:r>
      <w:r>
        <w:rPr>
          <w:rFonts w:hint="eastAsia" w:ascii="宋体" w:hAnsi="宋体" w:cs="宋体"/>
          <w:color w:val="000000"/>
          <w:sz w:val="24"/>
          <w:highlight w:val="none"/>
        </w:rPr>
        <w:t>法定代表人身份证明（适用于无委托代理人的情况）、授权委托书（适用于有委托代理人的情况）</w:t>
      </w:r>
    </w:p>
    <w:p>
      <w:pPr>
        <w:pStyle w:val="27"/>
        <w:tabs>
          <w:tab w:val="left" w:pos="960"/>
        </w:tabs>
        <w:spacing w:line="360" w:lineRule="auto"/>
        <w:ind w:left="960"/>
        <w:rPr>
          <w:rFonts w:ascii="宋体" w:hAnsi="宋体" w:cs="宋体"/>
          <w:sz w:val="24"/>
          <w:highlight w:val="none"/>
        </w:rPr>
      </w:pPr>
      <w:r>
        <w:rPr>
          <w:rFonts w:hint="eastAsia" w:ascii="宋体" w:hAnsi="宋体" w:cs="宋体"/>
          <w:sz w:val="24"/>
          <w:highlight w:val="none"/>
        </w:rPr>
        <w:t>三、投标报价书</w:t>
      </w:r>
    </w:p>
    <w:p>
      <w:pPr>
        <w:pStyle w:val="27"/>
        <w:tabs>
          <w:tab w:val="left" w:pos="960"/>
        </w:tabs>
        <w:spacing w:line="360" w:lineRule="auto"/>
        <w:ind w:left="960"/>
        <w:rPr>
          <w:rFonts w:ascii="宋体" w:hAnsi="宋体" w:cs="宋体"/>
          <w:sz w:val="24"/>
          <w:highlight w:val="none"/>
        </w:rPr>
      </w:pPr>
      <w:r>
        <w:rPr>
          <w:rFonts w:hint="eastAsia" w:ascii="宋体" w:hAnsi="宋体" w:cs="宋体"/>
          <w:sz w:val="24"/>
          <w:highlight w:val="none"/>
        </w:rPr>
        <w:t>四、</w:t>
      </w:r>
      <w:r>
        <w:rPr>
          <w:rFonts w:hint="eastAsia" w:ascii="宋体" w:hAnsi="宋体" w:cs="宋体"/>
          <w:color w:val="000000"/>
          <w:sz w:val="24"/>
          <w:highlight w:val="none"/>
          <w:lang w:val="zh-CN"/>
        </w:rPr>
        <w:t>投标承诺书</w:t>
      </w:r>
    </w:p>
    <w:p>
      <w:pPr>
        <w:pStyle w:val="27"/>
        <w:tabs>
          <w:tab w:val="left" w:pos="960"/>
        </w:tabs>
        <w:spacing w:line="360" w:lineRule="auto"/>
        <w:ind w:left="960"/>
        <w:rPr>
          <w:rFonts w:ascii="宋体" w:hAnsi="宋体" w:cs="宋体"/>
          <w:sz w:val="24"/>
          <w:highlight w:val="none"/>
        </w:rPr>
      </w:pPr>
      <w:r>
        <w:rPr>
          <w:rFonts w:hint="eastAsia" w:ascii="宋体" w:hAnsi="宋体" w:cs="宋体"/>
          <w:sz w:val="24"/>
          <w:highlight w:val="none"/>
        </w:rPr>
        <w:t>五、资格审查资料</w:t>
      </w:r>
    </w:p>
    <w:p>
      <w:pPr>
        <w:pStyle w:val="27"/>
        <w:tabs>
          <w:tab w:val="left" w:pos="960"/>
        </w:tabs>
        <w:spacing w:line="360" w:lineRule="auto"/>
        <w:ind w:left="960"/>
        <w:rPr>
          <w:rFonts w:ascii="宋体" w:hAnsi="宋体" w:cs="宋体"/>
          <w:sz w:val="24"/>
          <w:highlight w:val="none"/>
        </w:rPr>
      </w:pPr>
      <w:r>
        <w:rPr>
          <w:rFonts w:hint="eastAsia" w:ascii="宋体" w:hAnsi="宋体" w:cs="宋体"/>
          <w:sz w:val="24"/>
          <w:highlight w:val="none"/>
        </w:rPr>
        <w:t>六、</w:t>
      </w:r>
      <w:r>
        <w:rPr>
          <w:rFonts w:hint="eastAsia" w:ascii="宋体" w:hAnsi="宋体" w:cs="宋体"/>
          <w:color w:val="000000"/>
          <w:sz w:val="24"/>
          <w:highlight w:val="none"/>
        </w:rPr>
        <w:t>资信业绩</w:t>
      </w:r>
    </w:p>
    <w:p>
      <w:pPr>
        <w:pStyle w:val="27"/>
        <w:tabs>
          <w:tab w:val="left" w:pos="960"/>
        </w:tabs>
        <w:spacing w:line="360" w:lineRule="auto"/>
        <w:ind w:left="960"/>
        <w:rPr>
          <w:rFonts w:ascii="宋体" w:hAnsi="宋体" w:cs="宋体"/>
          <w:sz w:val="24"/>
          <w:highlight w:val="none"/>
        </w:rPr>
      </w:pPr>
      <w:r>
        <w:rPr>
          <w:rFonts w:hint="eastAsia" w:ascii="宋体" w:hAnsi="宋体" w:cs="宋体"/>
          <w:sz w:val="24"/>
          <w:highlight w:val="none"/>
        </w:rPr>
        <w:t>七、</w:t>
      </w:r>
      <w:r>
        <w:rPr>
          <w:rFonts w:hint="eastAsia" w:ascii="宋体" w:hAnsi="宋体" w:cs="宋体"/>
          <w:color w:val="000000"/>
          <w:sz w:val="24"/>
          <w:highlight w:val="none"/>
        </w:rPr>
        <w:t>检测方案</w:t>
      </w:r>
    </w:p>
    <w:p>
      <w:pPr>
        <w:pStyle w:val="27"/>
        <w:tabs>
          <w:tab w:val="left" w:pos="960"/>
        </w:tabs>
        <w:spacing w:line="360" w:lineRule="auto"/>
        <w:ind w:left="960"/>
        <w:rPr>
          <w:rFonts w:ascii="宋体" w:hAnsi="宋体" w:cs="宋体"/>
          <w:kern w:val="0"/>
          <w:sz w:val="18"/>
          <w:highlight w:val="none"/>
        </w:rPr>
      </w:pPr>
      <w:r>
        <w:rPr>
          <w:rFonts w:hint="eastAsia" w:ascii="宋体" w:hAnsi="宋体" w:cs="宋体"/>
          <w:sz w:val="24"/>
          <w:highlight w:val="none"/>
        </w:rPr>
        <w:t>八、其他资料</w:t>
      </w:r>
      <w:r>
        <w:rPr>
          <w:rFonts w:hint="eastAsia" w:ascii="宋体" w:hAnsi="宋体" w:cs="宋体"/>
          <w:sz w:val="24"/>
          <w:highlight w:val="none"/>
        </w:rPr>
        <w:br w:type="page"/>
      </w:r>
      <w:bookmarkEnd w:id="245"/>
    </w:p>
    <w:p>
      <w:pPr>
        <w:pStyle w:val="4"/>
        <w:ind w:firstLine="3534"/>
        <w:rPr>
          <w:rFonts w:cs="宋体"/>
          <w:highlight w:val="none"/>
        </w:rPr>
      </w:pPr>
      <w:bookmarkStart w:id="247" w:name="_Toc533334219"/>
      <w:bookmarkStart w:id="248" w:name="_Toc27111"/>
      <w:bookmarkStart w:id="249" w:name="_Toc11434"/>
      <w:bookmarkStart w:id="250" w:name="_Toc533357328"/>
      <w:bookmarkStart w:id="251" w:name="_Toc390704764"/>
      <w:r>
        <w:rPr>
          <w:rFonts w:hint="eastAsia" w:cs="宋体"/>
          <w:highlight w:val="none"/>
        </w:rPr>
        <w:t>一、</w:t>
      </w:r>
      <w:bookmarkStart w:id="252" w:name="_Toc352691656"/>
      <w:bookmarkStart w:id="253" w:name="_Toc369531692"/>
      <w:bookmarkStart w:id="254" w:name="_Toc6931"/>
      <w:r>
        <w:rPr>
          <w:rFonts w:hint="eastAsia" w:cs="宋体"/>
          <w:highlight w:val="none"/>
        </w:rPr>
        <w:t>投标函及其附表</w:t>
      </w:r>
      <w:bookmarkEnd w:id="247"/>
      <w:bookmarkEnd w:id="248"/>
    </w:p>
    <w:bookmarkEnd w:id="252"/>
    <w:bookmarkEnd w:id="253"/>
    <w:bookmarkEnd w:id="254"/>
    <w:p>
      <w:pPr>
        <w:spacing w:line="360" w:lineRule="auto"/>
        <w:ind w:firstLine="480" w:firstLineChars="200"/>
        <w:rPr>
          <w:rFonts w:ascii="宋体" w:hAnsi="宋体" w:cs="宋体"/>
          <w:sz w:val="24"/>
          <w:szCs w:val="24"/>
          <w:highlight w:val="none"/>
        </w:r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致：  </w:t>
      </w:r>
      <w:r>
        <w:rPr>
          <w:rFonts w:hint="eastAsia" w:ascii="宋体" w:hAnsi="宋体" w:cs="宋体"/>
          <w:sz w:val="24"/>
          <w:szCs w:val="24"/>
          <w:highlight w:val="none"/>
          <w:u w:val="single"/>
        </w:rPr>
        <w:t xml:space="preserve">       </w:t>
      </w:r>
      <w:r>
        <w:rPr>
          <w:rFonts w:hint="eastAsia" w:ascii="宋体" w:hAnsi="宋体" w:cs="宋体"/>
          <w:b/>
          <w:bCs/>
          <w:sz w:val="24"/>
          <w:szCs w:val="24"/>
          <w:highlight w:val="none"/>
          <w:u w:val="single"/>
        </w:rPr>
        <w:t xml:space="preserve"> </w:t>
      </w:r>
      <w:r>
        <w:rPr>
          <w:rFonts w:hint="eastAsia" w:ascii="宋体" w:hAnsi="宋体" w:cs="宋体"/>
          <w:sz w:val="24"/>
          <w:szCs w:val="24"/>
          <w:highlight w:val="none"/>
          <w:u w:val="single"/>
        </w:rPr>
        <w:t xml:space="preserve">（招标人）          </w:t>
      </w:r>
    </w:p>
    <w:p>
      <w:pPr>
        <w:pStyle w:val="13"/>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 在仔细分析研究了贵单位提供的</w:t>
      </w:r>
      <w:r>
        <w:rPr>
          <w:rFonts w:hint="eastAsia" w:ascii="宋体" w:hAnsi="宋体" w:cs="宋体"/>
          <w:sz w:val="24"/>
          <w:szCs w:val="24"/>
          <w:highlight w:val="none"/>
          <w:u w:val="single"/>
        </w:rPr>
        <w:t>（项目名称）</w:t>
      </w:r>
      <w:r>
        <w:rPr>
          <w:rFonts w:hint="eastAsia" w:ascii="宋体" w:hAnsi="宋体" w:cs="宋体"/>
          <w:sz w:val="24"/>
          <w:szCs w:val="24"/>
          <w:highlight w:val="none"/>
        </w:rPr>
        <w:t>招标文件后，我方愿意以总价为人民币（大写）</w:t>
      </w:r>
      <w:r>
        <w:rPr>
          <w:rFonts w:hint="eastAsia" w:ascii="宋体" w:hAnsi="宋体" w:cs="宋体"/>
          <w:sz w:val="24"/>
          <w:szCs w:val="24"/>
          <w:highlight w:val="none"/>
          <w:u w:val="single"/>
        </w:rPr>
        <w:t xml:space="preserve">                      </w:t>
      </w:r>
      <w:r>
        <w:rPr>
          <w:rFonts w:hint="eastAsia" w:ascii="宋体" w:hAnsi="宋体" w:cs="宋体"/>
          <w:sz w:val="24"/>
          <w:szCs w:val="24"/>
          <w:highlight w:val="none"/>
        </w:rPr>
        <w:t>（小写</w:t>
      </w:r>
      <w:r>
        <w:rPr>
          <w:rFonts w:hint="eastAsia" w:ascii="宋体" w:hAnsi="宋体" w:cs="宋体"/>
          <w:sz w:val="24"/>
          <w:szCs w:val="24"/>
          <w:highlight w:val="none"/>
          <w:u w:val="single"/>
        </w:rPr>
        <w:t>　　　　　</w:t>
      </w:r>
      <w:r>
        <w:rPr>
          <w:rFonts w:hint="eastAsia" w:ascii="宋体" w:hAnsi="宋体" w:cs="宋体"/>
          <w:sz w:val="24"/>
          <w:szCs w:val="24"/>
          <w:highlight w:val="none"/>
        </w:rPr>
        <w:t>）作为</w:t>
      </w:r>
      <w:r>
        <w:rPr>
          <w:rFonts w:hint="eastAsia" w:ascii="宋体" w:hAnsi="宋体" w:cs="宋体"/>
          <w:sz w:val="24"/>
          <w:szCs w:val="24"/>
          <w:highlight w:val="none"/>
          <w:u w:val="single"/>
        </w:rPr>
        <w:t>（项目名称）</w:t>
      </w:r>
      <w:r>
        <w:rPr>
          <w:rFonts w:hint="eastAsia" w:ascii="宋体" w:hAnsi="宋体" w:cs="宋体"/>
          <w:sz w:val="24"/>
          <w:szCs w:val="24"/>
          <w:highlight w:val="none"/>
        </w:rPr>
        <w:t>服务费的总价，并遵照招标文件的有关规定要求，承担全部服务任务工作。</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2.我方确认的</w:t>
      </w:r>
      <w:r>
        <w:rPr>
          <w:rFonts w:hint="eastAsia" w:ascii="宋体" w:hAnsi="宋体" w:cs="宋体"/>
          <w:b/>
          <w:bCs/>
          <w:sz w:val="24"/>
          <w:szCs w:val="24"/>
          <w:highlight w:val="none"/>
        </w:rPr>
        <w:t>投标函</w:t>
      </w:r>
      <w:r>
        <w:rPr>
          <w:rFonts w:hint="eastAsia" w:ascii="宋体" w:hAnsi="宋体" w:cs="宋体"/>
          <w:sz w:val="24"/>
          <w:szCs w:val="24"/>
          <w:highlight w:val="none"/>
        </w:rPr>
        <w:t>是我单位投标文件的组成部分。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3.如果贵单位接受我方的投标，我方保证按合同规定的期限内开始本工程的检测工作并按投标书中规定的期限内完成合同规定的全部任务。</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4.我方同意在从规定的</w:t>
      </w:r>
      <w:r>
        <w:rPr>
          <w:rFonts w:hint="eastAsia" w:ascii="宋体" w:hAnsi="宋体" w:cs="宋体"/>
          <w:b/>
          <w:bCs/>
          <w:sz w:val="24"/>
          <w:szCs w:val="24"/>
          <w:highlight w:val="none"/>
        </w:rPr>
        <w:t>递交投标文件截止之日起90天</w:t>
      </w:r>
      <w:r>
        <w:rPr>
          <w:rFonts w:hint="eastAsia" w:ascii="宋体" w:hAnsi="宋体" w:cs="宋体"/>
          <w:sz w:val="24"/>
          <w:szCs w:val="24"/>
          <w:highlight w:val="none"/>
        </w:rPr>
        <w:t>内遵守本投标文件。在此期限届满之前，本投标文件始终将对我们具有约束力并随时接受中标。</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5.在合同协议制定和签署之前，本投标书连同贵单位的中标通知书、双方签认的补充、修正或澄清文件及其他文件和附件应成为约束贵、我双方的合同文件。</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6.我们理解，贵单位不一定接受最低标价的投标文件或可能接受其他任何投标文件，同时也理解，贵单位不负担我们的任何投标费用。</w:t>
      </w:r>
    </w:p>
    <w:p>
      <w:pPr>
        <w:spacing w:line="360" w:lineRule="auto"/>
        <w:rPr>
          <w:rFonts w:ascii="宋体" w:hAnsi="宋体" w:cs="宋体"/>
          <w:highlight w:val="none"/>
        </w:rPr>
      </w:pPr>
    </w:p>
    <w:p>
      <w:pPr>
        <w:spacing w:line="360" w:lineRule="auto"/>
        <w:ind w:firstLine="2520" w:firstLineChars="1200"/>
        <w:jc w:val="left"/>
        <w:rPr>
          <w:rFonts w:ascii="宋体" w:hAnsi="宋体" w:cs="宋体"/>
          <w:szCs w:val="21"/>
          <w:highlight w:val="none"/>
        </w:rPr>
      </w:pPr>
    </w:p>
    <w:p>
      <w:pPr>
        <w:pStyle w:val="13"/>
        <w:tabs>
          <w:tab w:val="left" w:pos="7321"/>
        </w:tabs>
        <w:spacing w:line="360" w:lineRule="auto"/>
        <w:ind w:left="2701"/>
        <w:rPr>
          <w:rFonts w:ascii="宋体" w:hAnsi="宋体" w:cs="宋体"/>
          <w:highlight w:val="none"/>
        </w:rPr>
      </w:pPr>
      <w:r>
        <w:rPr>
          <w:rFonts w:hint="eastAsia" w:ascii="宋体" w:hAnsi="宋体" w:cs="宋体"/>
          <w:highlight w:val="none"/>
        </w:rPr>
        <w:t>投标人：</w:t>
      </w:r>
      <w:r>
        <w:rPr>
          <w:rFonts w:hint="eastAsia" w:ascii="宋体" w:hAnsi="宋体" w:cs="宋体"/>
          <w:highlight w:val="none"/>
          <w:u w:val="single" w:color="000000"/>
        </w:rPr>
        <w:tab/>
      </w:r>
      <w:r>
        <w:rPr>
          <w:rFonts w:hint="eastAsia" w:ascii="宋体" w:hAnsi="宋体" w:cs="宋体"/>
          <w:highlight w:val="none"/>
        </w:rPr>
        <w:t>（盖单位章）</w:t>
      </w:r>
    </w:p>
    <w:p>
      <w:pPr>
        <w:spacing w:line="360" w:lineRule="auto"/>
        <w:rPr>
          <w:rFonts w:ascii="宋体" w:hAnsi="宋体" w:cs="宋体"/>
          <w:sz w:val="9"/>
          <w:szCs w:val="9"/>
          <w:highlight w:val="none"/>
        </w:rPr>
      </w:pPr>
    </w:p>
    <w:p>
      <w:pPr>
        <w:pStyle w:val="13"/>
        <w:tabs>
          <w:tab w:val="left" w:pos="6481"/>
        </w:tabs>
        <w:spacing w:line="360" w:lineRule="auto"/>
        <w:ind w:left="2701"/>
        <w:rPr>
          <w:rFonts w:ascii="宋体" w:hAnsi="宋体" w:cs="宋体"/>
          <w:highlight w:val="none"/>
        </w:rPr>
      </w:pPr>
      <w:r>
        <w:rPr>
          <w:rFonts w:hint="eastAsia" w:ascii="宋体" w:hAnsi="宋体" w:cs="宋体"/>
          <w:spacing w:val="-2"/>
          <w:highlight w:val="none"/>
        </w:rPr>
        <w:t>法定代表人或其委托代理人：</w:t>
      </w:r>
      <w:r>
        <w:rPr>
          <w:rFonts w:hint="eastAsia" w:ascii="宋体" w:hAnsi="宋体" w:cs="宋体"/>
          <w:spacing w:val="-2"/>
          <w:highlight w:val="none"/>
          <w:u w:val="single" w:color="000000"/>
        </w:rPr>
        <w:tab/>
      </w:r>
      <w:r>
        <w:rPr>
          <w:rFonts w:hint="eastAsia" w:ascii="宋体" w:hAnsi="宋体" w:cs="宋体"/>
          <w:spacing w:val="-1"/>
          <w:highlight w:val="none"/>
        </w:rPr>
        <w:t>（签字）</w:t>
      </w:r>
    </w:p>
    <w:p>
      <w:pPr>
        <w:spacing w:line="360" w:lineRule="auto"/>
        <w:rPr>
          <w:rFonts w:ascii="宋体" w:hAnsi="宋体" w:cs="宋体"/>
          <w:sz w:val="9"/>
          <w:szCs w:val="9"/>
          <w:highlight w:val="none"/>
        </w:rPr>
      </w:pPr>
    </w:p>
    <w:p>
      <w:pPr>
        <w:spacing w:line="360" w:lineRule="auto"/>
        <w:ind w:firstLine="4725" w:firstLineChars="2250"/>
        <w:jc w:val="right"/>
        <w:rPr>
          <w:rFonts w:ascii="宋体" w:hAnsi="宋体" w:cs="宋体"/>
          <w:szCs w:val="21"/>
          <w:highlight w:val="none"/>
        </w:rPr>
      </w:pPr>
      <w:r>
        <w:rPr>
          <w:rFonts w:hint="eastAsia" w:ascii="宋体" w:hAnsi="宋体" w:cs="宋体"/>
          <w:highlight w:val="none"/>
          <w:u w:val="single" w:color="000000"/>
        </w:rPr>
        <w:tab/>
      </w:r>
      <w:r>
        <w:rPr>
          <w:rFonts w:hint="eastAsia" w:ascii="宋体" w:hAnsi="宋体" w:cs="宋体"/>
          <w:highlight w:val="none"/>
        </w:rPr>
        <w:t>年</w:t>
      </w:r>
      <w:r>
        <w:rPr>
          <w:rFonts w:hint="eastAsia" w:ascii="宋体" w:hAnsi="宋体" w:cs="宋体"/>
          <w:highlight w:val="none"/>
          <w:u w:val="single" w:color="000000"/>
        </w:rPr>
        <w:tab/>
      </w:r>
      <w:r>
        <w:rPr>
          <w:rFonts w:hint="eastAsia" w:ascii="宋体" w:hAnsi="宋体" w:cs="宋体"/>
          <w:highlight w:val="none"/>
          <w:u w:val="single" w:color="000000"/>
        </w:rPr>
        <w:t xml:space="preserve"> </w:t>
      </w:r>
      <w:r>
        <w:rPr>
          <w:rFonts w:hint="eastAsia" w:ascii="宋体" w:hAnsi="宋体" w:cs="宋体"/>
          <w:highlight w:val="none"/>
        </w:rPr>
        <w:t>月</w:t>
      </w:r>
      <w:r>
        <w:rPr>
          <w:rFonts w:hint="eastAsia" w:ascii="宋体" w:hAnsi="宋体" w:cs="宋体"/>
          <w:highlight w:val="none"/>
          <w:u w:val="single" w:color="000000"/>
        </w:rPr>
        <w:tab/>
      </w:r>
      <w:r>
        <w:rPr>
          <w:rFonts w:hint="eastAsia" w:ascii="宋体" w:hAnsi="宋体" w:cs="宋体"/>
          <w:highlight w:val="none"/>
          <w:u w:val="single" w:color="000000"/>
        </w:rPr>
        <w:t xml:space="preserve">  </w:t>
      </w:r>
      <w:r>
        <w:rPr>
          <w:rFonts w:hint="eastAsia" w:ascii="宋体" w:hAnsi="宋体" w:cs="宋体"/>
          <w:highlight w:val="none"/>
        </w:rPr>
        <w:t>日</w:t>
      </w:r>
    </w:p>
    <w:p>
      <w:pPr>
        <w:spacing w:line="360" w:lineRule="auto"/>
        <w:ind w:firstLine="422" w:firstLineChars="200"/>
        <w:jc w:val="center"/>
        <w:rPr>
          <w:rFonts w:ascii="宋体" w:hAnsi="宋体" w:cs="宋体"/>
          <w:b/>
          <w:bCs/>
          <w:sz w:val="24"/>
          <w:szCs w:val="24"/>
          <w:highlight w:val="none"/>
        </w:rPr>
      </w:pPr>
      <w:bookmarkStart w:id="255" w:name="_Toc533334220"/>
      <w:bookmarkStart w:id="256" w:name="_Toc370676427"/>
      <w:bookmarkStart w:id="257" w:name="_Toc13516"/>
      <w:bookmarkStart w:id="258" w:name="_Toc482188652"/>
      <w:bookmarkStart w:id="259" w:name="_Toc359594236"/>
      <w:bookmarkStart w:id="260" w:name="_Toc391394112"/>
      <w:bookmarkStart w:id="261" w:name="_Toc385943066"/>
      <w:bookmarkStart w:id="262" w:name="_Toc528170356"/>
      <w:bookmarkStart w:id="263" w:name="_Toc532390635"/>
      <w:r>
        <w:rPr>
          <w:rFonts w:hint="eastAsia" w:ascii="宋体" w:hAnsi="宋体" w:cs="宋体"/>
          <w:b/>
          <w:szCs w:val="21"/>
          <w:highlight w:val="none"/>
        </w:rPr>
        <w:br w:type="page"/>
      </w:r>
      <w:r>
        <w:rPr>
          <w:rFonts w:hint="eastAsia" w:ascii="宋体" w:hAnsi="宋体" w:cs="宋体"/>
          <w:b/>
          <w:bCs/>
          <w:sz w:val="24"/>
          <w:szCs w:val="24"/>
          <w:highlight w:val="none"/>
        </w:rPr>
        <w:t>（二）投标函附</w:t>
      </w:r>
      <w:bookmarkEnd w:id="255"/>
      <w:bookmarkEnd w:id="256"/>
      <w:bookmarkEnd w:id="257"/>
      <w:bookmarkEnd w:id="258"/>
      <w:bookmarkEnd w:id="259"/>
      <w:bookmarkEnd w:id="260"/>
      <w:bookmarkEnd w:id="261"/>
      <w:bookmarkEnd w:id="262"/>
      <w:bookmarkEnd w:id="263"/>
      <w:r>
        <w:rPr>
          <w:rFonts w:hint="eastAsia" w:ascii="宋体" w:hAnsi="宋体" w:cs="宋体"/>
          <w:b/>
          <w:bCs/>
          <w:sz w:val="24"/>
          <w:szCs w:val="24"/>
          <w:highlight w:val="none"/>
        </w:rPr>
        <w:t>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150"/>
        <w:gridCol w:w="4696"/>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8"/>
                <w:highlight w:val="none"/>
              </w:rPr>
            </w:pPr>
            <w:r>
              <w:rPr>
                <w:rFonts w:hint="eastAsia" w:ascii="宋体" w:hAnsi="宋体" w:cs="宋体"/>
                <w:b/>
                <w:sz w:val="24"/>
                <w:szCs w:val="28"/>
                <w:highlight w:val="none"/>
              </w:rPr>
              <w:t>序号</w:t>
            </w:r>
          </w:p>
        </w:tc>
        <w:tc>
          <w:tcPr>
            <w:tcW w:w="2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8"/>
                <w:highlight w:val="none"/>
              </w:rPr>
            </w:pPr>
            <w:r>
              <w:rPr>
                <w:rFonts w:hint="eastAsia" w:ascii="宋体" w:hAnsi="宋体" w:cs="宋体"/>
                <w:b/>
                <w:sz w:val="24"/>
                <w:szCs w:val="28"/>
                <w:highlight w:val="none"/>
              </w:rPr>
              <w:t>条款名称</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8"/>
                <w:highlight w:val="none"/>
              </w:rPr>
            </w:pPr>
            <w:r>
              <w:rPr>
                <w:rFonts w:hint="eastAsia" w:ascii="宋体" w:hAnsi="宋体" w:cs="宋体"/>
                <w:b/>
                <w:sz w:val="24"/>
                <w:szCs w:val="28"/>
                <w:highlight w:val="none"/>
              </w:rPr>
              <w:t>约定内容</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8"/>
                <w:highlight w:val="none"/>
              </w:rPr>
            </w:pPr>
            <w:r>
              <w:rPr>
                <w:rFonts w:hint="eastAsia" w:ascii="宋体" w:hAnsi="宋体" w:cs="宋体"/>
                <w:b/>
                <w:sz w:val="24"/>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1</w:t>
            </w:r>
          </w:p>
        </w:tc>
        <w:tc>
          <w:tcPr>
            <w:tcW w:w="2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项目负责人</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szCs w:val="24"/>
                <w:highlight w:val="none"/>
                <w:u w:val="single"/>
              </w:rPr>
            </w:pPr>
            <w:r>
              <w:rPr>
                <w:rFonts w:hint="eastAsia" w:ascii="宋体" w:hAnsi="宋体" w:cs="宋体"/>
                <w:bCs/>
                <w:sz w:val="24"/>
                <w:szCs w:val="24"/>
                <w:highlight w:val="none"/>
              </w:rPr>
              <w:t>姓    名：</w:t>
            </w:r>
            <w:r>
              <w:rPr>
                <w:rFonts w:hint="eastAsia" w:ascii="宋体" w:hAnsi="宋体" w:cs="宋体"/>
                <w:bCs/>
                <w:sz w:val="24"/>
                <w:szCs w:val="24"/>
                <w:highlight w:val="none"/>
                <w:u w:val="single"/>
              </w:rPr>
              <w:t xml:space="preserve">           </w:t>
            </w:r>
          </w:p>
          <w:p>
            <w:pPr>
              <w:spacing w:line="360" w:lineRule="auto"/>
              <w:jc w:val="left"/>
              <w:rPr>
                <w:rFonts w:ascii="宋体" w:hAnsi="宋体" w:cs="宋体"/>
                <w:bCs/>
                <w:sz w:val="24"/>
                <w:szCs w:val="24"/>
                <w:highlight w:val="none"/>
              </w:rPr>
            </w:pPr>
            <w:r>
              <w:rPr>
                <w:rFonts w:hint="eastAsia" w:ascii="宋体" w:hAnsi="宋体" w:cs="宋体"/>
                <w:bCs/>
                <w:sz w:val="24"/>
                <w:szCs w:val="24"/>
                <w:highlight w:val="none"/>
              </w:rPr>
              <w:t>技术职称：</w:t>
            </w:r>
            <w:r>
              <w:rPr>
                <w:rFonts w:hint="eastAsia" w:ascii="宋体" w:hAnsi="宋体" w:cs="宋体"/>
                <w:bCs/>
                <w:sz w:val="24"/>
                <w:szCs w:val="24"/>
                <w:highlight w:val="none"/>
                <w:u w:val="single"/>
              </w:rPr>
              <w:t xml:space="preserve">           </w:t>
            </w:r>
          </w:p>
          <w:p>
            <w:pPr>
              <w:spacing w:line="360" w:lineRule="auto"/>
              <w:jc w:val="left"/>
              <w:rPr>
                <w:rFonts w:ascii="宋体" w:hAnsi="宋体" w:cs="宋体"/>
                <w:bCs/>
                <w:sz w:val="24"/>
                <w:szCs w:val="24"/>
                <w:highlight w:val="none"/>
              </w:rPr>
            </w:pPr>
            <w:r>
              <w:rPr>
                <w:rFonts w:hint="eastAsia" w:ascii="宋体" w:hAnsi="宋体" w:cs="宋体"/>
                <w:bCs/>
                <w:sz w:val="24"/>
                <w:szCs w:val="24"/>
                <w:highlight w:val="none"/>
              </w:rPr>
              <w:t>专    业：</w:t>
            </w:r>
            <w:r>
              <w:rPr>
                <w:rFonts w:hint="eastAsia" w:ascii="宋体" w:hAnsi="宋体" w:cs="宋体"/>
                <w:bCs/>
                <w:sz w:val="24"/>
                <w:szCs w:val="24"/>
                <w:highlight w:val="none"/>
                <w:u w:val="single"/>
              </w:rPr>
              <w:t xml:space="preserve">           </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2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服务期限</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szCs w:val="24"/>
                <w:highlight w:val="none"/>
              </w:rPr>
            </w:pPr>
            <w:r>
              <w:rPr>
                <w:rFonts w:hint="eastAsia" w:ascii="宋体" w:hAnsi="宋体" w:cs="宋体"/>
                <w:bCs/>
                <w:sz w:val="24"/>
                <w:szCs w:val="24"/>
                <w:highlight w:val="none"/>
              </w:rPr>
              <w:t>按招标文件要求</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3</w:t>
            </w:r>
          </w:p>
        </w:tc>
        <w:tc>
          <w:tcPr>
            <w:tcW w:w="2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合同价款</w:t>
            </w:r>
          </w:p>
          <w:p>
            <w:pPr>
              <w:spacing w:line="360" w:lineRule="auto"/>
              <w:jc w:val="center"/>
              <w:rPr>
                <w:rFonts w:ascii="宋体" w:hAnsi="宋体" w:cs="宋体"/>
                <w:sz w:val="24"/>
                <w:szCs w:val="24"/>
                <w:highlight w:val="none"/>
              </w:rPr>
            </w:pPr>
            <w:r>
              <w:rPr>
                <w:rFonts w:hint="eastAsia" w:ascii="宋体" w:hAnsi="宋体" w:cs="宋体"/>
                <w:sz w:val="24"/>
                <w:szCs w:val="24"/>
                <w:highlight w:val="none"/>
              </w:rPr>
              <w:t>确定方式</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szCs w:val="24"/>
                <w:highlight w:val="none"/>
              </w:rPr>
            </w:pPr>
            <w:r>
              <w:rPr>
                <w:rFonts w:hint="eastAsia" w:ascii="宋体" w:hAnsi="宋体" w:cs="宋体"/>
                <w:bCs/>
                <w:sz w:val="24"/>
                <w:szCs w:val="24"/>
                <w:highlight w:val="none"/>
              </w:rPr>
              <w:t>按招标文件要求</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4</w:t>
            </w:r>
          </w:p>
        </w:tc>
        <w:tc>
          <w:tcPr>
            <w:tcW w:w="2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质量标准</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szCs w:val="24"/>
                <w:highlight w:val="none"/>
              </w:rPr>
            </w:pPr>
            <w:r>
              <w:rPr>
                <w:rFonts w:hint="eastAsia" w:ascii="宋体" w:hAnsi="宋体" w:cs="宋体"/>
                <w:bCs/>
                <w:sz w:val="24"/>
                <w:szCs w:val="24"/>
                <w:highlight w:val="none"/>
              </w:rPr>
              <w:t>合格</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5</w:t>
            </w:r>
          </w:p>
        </w:tc>
        <w:tc>
          <w:tcPr>
            <w:tcW w:w="21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投标报价</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szCs w:val="24"/>
                <w:highlight w:val="none"/>
                <w:u w:val="single"/>
              </w:rPr>
            </w:pPr>
            <w:r>
              <w:rPr>
                <w:rFonts w:hint="eastAsia" w:ascii="宋体" w:hAnsi="宋体" w:cs="宋体"/>
                <w:bCs/>
                <w:sz w:val="24"/>
                <w:szCs w:val="24"/>
                <w:highlight w:val="none"/>
              </w:rPr>
              <w:t xml:space="preserve">大写： </w:t>
            </w:r>
            <w:r>
              <w:rPr>
                <w:rFonts w:hint="eastAsia" w:ascii="宋体" w:hAnsi="宋体" w:cs="宋体"/>
                <w:bCs/>
                <w:sz w:val="24"/>
                <w:szCs w:val="24"/>
                <w:highlight w:val="none"/>
                <w:u w:val="single"/>
              </w:rPr>
              <w:t xml:space="preserve">        </w:t>
            </w:r>
          </w:p>
          <w:p>
            <w:pPr>
              <w:spacing w:line="360" w:lineRule="auto"/>
              <w:jc w:val="left"/>
              <w:rPr>
                <w:rFonts w:ascii="宋体" w:hAnsi="宋体" w:cs="宋体"/>
                <w:bCs/>
                <w:sz w:val="24"/>
                <w:szCs w:val="24"/>
                <w:highlight w:val="none"/>
              </w:rPr>
            </w:pPr>
            <w:r>
              <w:rPr>
                <w:rFonts w:hint="eastAsia" w:ascii="宋体" w:hAnsi="宋体" w:cs="宋体"/>
                <w:bCs/>
                <w:sz w:val="24"/>
                <w:szCs w:val="24"/>
                <w:highlight w:val="none"/>
              </w:rPr>
              <w:t xml:space="preserve">小写： </w:t>
            </w:r>
            <w:r>
              <w:rPr>
                <w:rFonts w:hint="eastAsia" w:ascii="宋体" w:hAnsi="宋体" w:cs="宋体"/>
                <w:bCs/>
                <w:sz w:val="24"/>
                <w:szCs w:val="24"/>
                <w:highlight w:val="none"/>
                <w:u w:val="single"/>
              </w:rPr>
              <w:t xml:space="preserve">        </w:t>
            </w:r>
          </w:p>
        </w:tc>
        <w:tc>
          <w:tcPr>
            <w:tcW w:w="1882"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以“元”为单位，精确到小数点后2位。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4"/>
                <w:szCs w:val="24"/>
                <w:highlight w:val="none"/>
              </w:rPr>
            </w:pPr>
          </w:p>
        </w:tc>
        <w:tc>
          <w:tcPr>
            <w:tcW w:w="21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4"/>
                <w:szCs w:val="24"/>
                <w:highlight w:val="none"/>
              </w:rPr>
            </w:pP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szCs w:val="24"/>
                <w:highlight w:val="none"/>
              </w:rPr>
            </w:pPr>
            <w:r>
              <w:rPr>
                <w:rFonts w:hint="eastAsia" w:ascii="宋体" w:hAnsi="宋体" w:cs="宋体"/>
                <w:bCs/>
                <w:sz w:val="24"/>
                <w:szCs w:val="24"/>
                <w:highlight w:val="none"/>
              </w:rPr>
              <w:t>投标下浮率：</w:t>
            </w:r>
            <w:r>
              <w:rPr>
                <w:rFonts w:hint="eastAsia" w:ascii="宋体" w:hAnsi="宋体" w:cs="宋体"/>
                <w:bCs/>
                <w:sz w:val="24"/>
                <w:szCs w:val="24"/>
                <w:highlight w:val="none"/>
                <w:u w:val="single"/>
              </w:rPr>
              <w:t xml:space="preserve">           </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highlight w:val="none"/>
              </w:rPr>
            </w:pPr>
            <w:r>
              <w:rPr>
                <w:rFonts w:hint="eastAsia" w:ascii="宋体" w:hAnsi="宋体" w:cs="宋体"/>
                <w:b/>
                <w:szCs w:val="21"/>
                <w:highlight w:val="none"/>
              </w:rPr>
              <w:t>投标下浮率=（1－投标报价/最高投标限价）×100%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6</w:t>
            </w:r>
          </w:p>
        </w:tc>
        <w:tc>
          <w:tcPr>
            <w:tcW w:w="2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投标有效期</w:t>
            </w:r>
          </w:p>
        </w:tc>
        <w:tc>
          <w:tcPr>
            <w:tcW w:w="469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4"/>
                <w:szCs w:val="24"/>
                <w:highlight w:val="none"/>
              </w:rPr>
            </w:pPr>
            <w:r>
              <w:rPr>
                <w:rFonts w:hint="eastAsia" w:ascii="宋体" w:hAnsi="宋体" w:cs="宋体"/>
                <w:bCs/>
                <w:sz w:val="24"/>
                <w:highlight w:val="none"/>
              </w:rPr>
              <w:t xml:space="preserve"> 按招标文件要求</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highlight w:val="none"/>
              </w:rPr>
            </w:pPr>
          </w:p>
        </w:tc>
      </w:tr>
    </w:tbl>
    <w:p>
      <w:pPr>
        <w:spacing w:line="360" w:lineRule="auto"/>
        <w:ind w:firstLine="2520" w:firstLineChars="1200"/>
        <w:jc w:val="left"/>
        <w:rPr>
          <w:rFonts w:ascii="宋体" w:hAnsi="宋体" w:cs="宋体"/>
          <w:szCs w:val="21"/>
          <w:highlight w:val="none"/>
        </w:rPr>
      </w:pPr>
    </w:p>
    <w:p>
      <w:pPr>
        <w:pStyle w:val="13"/>
        <w:tabs>
          <w:tab w:val="left" w:pos="7321"/>
        </w:tabs>
        <w:spacing w:line="360" w:lineRule="auto"/>
        <w:ind w:left="2701"/>
        <w:rPr>
          <w:rFonts w:ascii="宋体" w:hAnsi="宋体" w:cs="宋体"/>
          <w:highlight w:val="none"/>
        </w:rPr>
      </w:pPr>
      <w:r>
        <w:rPr>
          <w:rFonts w:hint="eastAsia" w:ascii="宋体" w:hAnsi="宋体" w:cs="宋体"/>
          <w:highlight w:val="none"/>
        </w:rPr>
        <w:t>投标人：</w:t>
      </w:r>
      <w:r>
        <w:rPr>
          <w:rFonts w:hint="eastAsia" w:ascii="宋体" w:hAnsi="宋体" w:cs="宋体"/>
          <w:highlight w:val="none"/>
          <w:u w:val="single" w:color="000000"/>
        </w:rPr>
        <w:tab/>
      </w:r>
      <w:r>
        <w:rPr>
          <w:rFonts w:hint="eastAsia" w:ascii="宋体" w:hAnsi="宋体" w:cs="宋体"/>
          <w:highlight w:val="none"/>
        </w:rPr>
        <w:t>（盖单位章）</w:t>
      </w:r>
    </w:p>
    <w:p>
      <w:pPr>
        <w:spacing w:line="360" w:lineRule="auto"/>
        <w:rPr>
          <w:rFonts w:ascii="宋体" w:hAnsi="宋体" w:cs="宋体"/>
          <w:sz w:val="9"/>
          <w:szCs w:val="9"/>
          <w:highlight w:val="none"/>
        </w:rPr>
      </w:pPr>
    </w:p>
    <w:p>
      <w:pPr>
        <w:pStyle w:val="13"/>
        <w:tabs>
          <w:tab w:val="left" w:pos="6481"/>
        </w:tabs>
        <w:spacing w:line="360" w:lineRule="auto"/>
        <w:ind w:left="2701"/>
        <w:rPr>
          <w:rFonts w:ascii="宋体" w:hAnsi="宋体" w:cs="宋体"/>
          <w:highlight w:val="none"/>
        </w:rPr>
      </w:pPr>
      <w:r>
        <w:rPr>
          <w:rFonts w:hint="eastAsia" w:ascii="宋体" w:hAnsi="宋体" w:cs="宋体"/>
          <w:spacing w:val="-2"/>
          <w:highlight w:val="none"/>
        </w:rPr>
        <w:t>法定代表人或其委托代理人：</w:t>
      </w:r>
      <w:r>
        <w:rPr>
          <w:rFonts w:hint="eastAsia" w:ascii="宋体" w:hAnsi="宋体" w:cs="宋体"/>
          <w:spacing w:val="-2"/>
          <w:highlight w:val="none"/>
          <w:u w:val="single" w:color="000000"/>
        </w:rPr>
        <w:tab/>
      </w:r>
      <w:r>
        <w:rPr>
          <w:rFonts w:hint="eastAsia" w:ascii="宋体" w:hAnsi="宋体" w:cs="宋体"/>
          <w:spacing w:val="-1"/>
          <w:highlight w:val="none"/>
        </w:rPr>
        <w:t>（签字或盖章）</w:t>
      </w:r>
    </w:p>
    <w:p>
      <w:pPr>
        <w:spacing w:line="360" w:lineRule="auto"/>
        <w:rPr>
          <w:rFonts w:ascii="宋体" w:hAnsi="宋体" w:cs="宋体"/>
          <w:sz w:val="9"/>
          <w:szCs w:val="9"/>
          <w:highlight w:val="none"/>
        </w:rPr>
      </w:pPr>
    </w:p>
    <w:p>
      <w:pPr>
        <w:spacing w:line="360" w:lineRule="auto"/>
        <w:ind w:firstLine="4620" w:firstLineChars="2200"/>
        <w:rPr>
          <w:rFonts w:ascii="宋体" w:hAnsi="宋体" w:cs="宋体"/>
          <w:highlight w:val="none"/>
        </w:rPr>
      </w:pPr>
      <w:r>
        <w:rPr>
          <w:rFonts w:hint="eastAsia" w:ascii="宋体" w:hAnsi="宋体" w:cs="宋体"/>
          <w:highlight w:val="none"/>
          <w:u w:val="single" w:color="000000"/>
        </w:rPr>
        <w:tab/>
      </w:r>
      <w:r>
        <w:rPr>
          <w:rFonts w:hint="eastAsia" w:ascii="宋体" w:hAnsi="宋体" w:cs="宋体"/>
          <w:highlight w:val="none"/>
        </w:rPr>
        <w:t>年</w:t>
      </w:r>
      <w:r>
        <w:rPr>
          <w:rFonts w:hint="eastAsia" w:ascii="宋体" w:hAnsi="宋体" w:cs="宋体"/>
          <w:highlight w:val="none"/>
          <w:u w:val="single" w:color="000000"/>
        </w:rPr>
        <w:tab/>
      </w:r>
      <w:r>
        <w:rPr>
          <w:rFonts w:hint="eastAsia" w:ascii="宋体" w:hAnsi="宋体" w:cs="宋体"/>
          <w:highlight w:val="none"/>
          <w:u w:val="single" w:color="000000"/>
        </w:rPr>
        <w:t xml:space="preserve"> </w:t>
      </w:r>
      <w:r>
        <w:rPr>
          <w:rFonts w:hint="eastAsia" w:ascii="宋体" w:hAnsi="宋体" w:cs="宋体"/>
          <w:highlight w:val="none"/>
        </w:rPr>
        <w:t>月</w:t>
      </w:r>
      <w:r>
        <w:rPr>
          <w:rFonts w:hint="eastAsia" w:ascii="宋体" w:hAnsi="宋体" w:cs="宋体"/>
          <w:highlight w:val="none"/>
          <w:u w:val="single" w:color="000000"/>
        </w:rPr>
        <w:tab/>
      </w:r>
      <w:r>
        <w:rPr>
          <w:rFonts w:hint="eastAsia" w:ascii="宋体" w:hAnsi="宋体" w:cs="宋体"/>
          <w:highlight w:val="none"/>
          <w:u w:val="single" w:color="000000"/>
        </w:rPr>
        <w:t xml:space="preserve">  </w:t>
      </w:r>
      <w:r>
        <w:rPr>
          <w:rFonts w:hint="eastAsia" w:ascii="宋体" w:hAnsi="宋体" w:cs="宋体"/>
          <w:highlight w:val="none"/>
        </w:rPr>
        <w:t>日</w:t>
      </w:r>
    </w:p>
    <w:p>
      <w:pPr>
        <w:spacing w:line="360" w:lineRule="auto"/>
        <w:ind w:firstLine="4620" w:firstLineChars="2200"/>
        <w:rPr>
          <w:rFonts w:ascii="宋体" w:hAnsi="宋体" w:cs="宋体"/>
          <w:sz w:val="24"/>
          <w:highlight w:val="none"/>
        </w:rPr>
      </w:pPr>
      <w:r>
        <w:rPr>
          <w:rFonts w:hint="eastAsia" w:ascii="宋体" w:hAnsi="宋体" w:cs="宋体"/>
          <w:highlight w:val="none"/>
        </w:rPr>
        <w:br w:type="page"/>
      </w:r>
      <w:bookmarkEnd w:id="249"/>
      <w:bookmarkEnd w:id="250"/>
      <w:bookmarkEnd w:id="251"/>
      <w:bookmarkStart w:id="264" w:name="_Toc533357330"/>
      <w:bookmarkStart w:id="265" w:name="_Toc390704765"/>
      <w:bookmarkStart w:id="266" w:name="_Toc21863"/>
      <w:bookmarkStart w:id="267" w:name="_Toc374536213"/>
      <w:bookmarkStart w:id="268" w:name="_Toc333829918"/>
    </w:p>
    <w:bookmarkEnd w:id="246"/>
    <w:bookmarkEnd w:id="264"/>
    <w:bookmarkEnd w:id="265"/>
    <w:bookmarkEnd w:id="266"/>
    <w:bookmarkEnd w:id="267"/>
    <w:bookmarkEnd w:id="268"/>
    <w:p>
      <w:pPr>
        <w:pStyle w:val="4"/>
        <w:rPr>
          <w:rFonts w:cs="宋体"/>
          <w:highlight w:val="none"/>
        </w:rPr>
      </w:pPr>
      <w:bookmarkStart w:id="269" w:name="_Toc6596"/>
      <w:r>
        <w:rPr>
          <w:rFonts w:hint="eastAsia" w:cs="宋体"/>
          <w:highlight w:val="none"/>
        </w:rPr>
        <w:t>二、</w:t>
      </w:r>
      <w:r>
        <w:rPr>
          <w:rFonts w:hint="eastAsia" w:cs="宋体"/>
          <w:sz w:val="30"/>
          <w:szCs w:val="30"/>
          <w:highlight w:val="none"/>
        </w:rPr>
        <w:t>法定代表人身份证明或授权委托书（格式可自定）</w:t>
      </w:r>
      <w:bookmarkEnd w:id="269"/>
    </w:p>
    <w:p>
      <w:pPr>
        <w:spacing w:line="360" w:lineRule="auto"/>
        <w:ind w:firstLine="482" w:firstLineChars="200"/>
        <w:jc w:val="center"/>
        <w:rPr>
          <w:rFonts w:ascii="宋体" w:hAnsi="宋体" w:cs="宋体"/>
          <w:b/>
          <w:sz w:val="24"/>
          <w:szCs w:val="24"/>
          <w:highlight w:val="none"/>
        </w:rPr>
      </w:pPr>
      <w:r>
        <w:rPr>
          <w:rFonts w:hint="eastAsia" w:ascii="宋体" w:hAnsi="宋体" w:cs="宋体"/>
          <w:b/>
          <w:sz w:val="24"/>
          <w:szCs w:val="24"/>
          <w:highlight w:val="none"/>
        </w:rPr>
        <w:t>法定代表人证明书</w:t>
      </w:r>
    </w:p>
    <w:p>
      <w:pPr>
        <w:spacing w:line="360" w:lineRule="auto"/>
        <w:jc w:val="center"/>
        <w:rPr>
          <w:rFonts w:ascii="宋体" w:hAnsi="宋体" w:cs="宋体"/>
          <w:sz w:val="30"/>
          <w:szCs w:val="30"/>
          <w:highlight w:val="none"/>
        </w:rPr>
      </w:pPr>
      <w:r>
        <w:rPr>
          <w:rFonts w:hint="eastAsia" w:ascii="宋体" w:hAnsi="宋体" w:cs="宋体"/>
          <w:sz w:val="30"/>
          <w:szCs w:val="30"/>
          <w:highlight w:val="none"/>
        </w:rPr>
        <mc:AlternateContent>
          <mc:Choice Requires="wpg">
            <w:drawing>
              <wp:inline distT="0" distB="0" distL="0" distR="0">
                <wp:extent cx="5800725" cy="2639060"/>
                <wp:effectExtent l="12700" t="11430" r="6350" b="6985"/>
                <wp:docPr id="3" name="组合 3"/>
                <wp:cNvGraphicFramePr/>
                <a:graphic xmlns:a="http://schemas.openxmlformats.org/drawingml/2006/main">
                  <a:graphicData uri="http://schemas.microsoft.com/office/word/2010/wordprocessingGroup">
                    <wpg:wgp>
                      <wpg:cNvGrpSpPr/>
                      <wpg:grpSpPr>
                        <a:xfrm>
                          <a:off x="0" y="0"/>
                          <a:ext cx="5800725" cy="2639060"/>
                          <a:chOff x="0" y="0"/>
                          <a:chExt cx="7140" cy="3468"/>
                        </a:xfrm>
                      </wpg:grpSpPr>
                      <wps:wsp>
                        <wps:cNvPr id="4" name="图片 4"/>
                        <wps:cNvSpPr>
                          <a:spLocks noChangeAspect="1" noChangeArrowheads="1" noTextEdit="1"/>
                        </wps:cNvSpPr>
                        <wps:spPr bwMode="auto">
                          <a:xfrm>
                            <a:off x="0" y="0"/>
                            <a:ext cx="7140" cy="3468"/>
                          </a:xfrm>
                          <a:prstGeom prst="rect">
                            <a:avLst/>
                          </a:prstGeom>
                          <a:noFill/>
                          <a:ln>
                            <a:noFill/>
                          </a:ln>
                        </wps:spPr>
                        <wps:bodyPr rot="0" vert="horz" wrap="square" lIns="91440" tIns="45720" rIns="91440" bIns="45720" anchor="t" anchorCtr="0" upright="1">
                          <a:noAutofit/>
                        </wps:bodyPr>
                      </wps:wsp>
                      <wps:wsp>
                        <wps:cNvPr id="5" name="文本框 5"/>
                        <wps:cNvSpPr txBox="1">
                          <a:spLocks noChangeArrowheads="1"/>
                        </wps:cNvSpPr>
                        <wps:spPr bwMode="auto">
                          <a:xfrm>
                            <a:off x="0" y="0"/>
                            <a:ext cx="7140" cy="3468"/>
                          </a:xfrm>
                          <a:prstGeom prst="rect">
                            <a:avLst/>
                          </a:prstGeom>
                          <a:solidFill>
                            <a:srgbClr val="FFFFFF"/>
                          </a:solidFill>
                          <a:ln w="9525" cmpd="sng">
                            <a:solidFill>
                              <a:srgbClr val="000000"/>
                            </a:solidFill>
                            <a:miter lim="800000"/>
                          </a:ln>
                        </wps:spPr>
                        <wps:txbx>
                          <w:txbxContent>
                            <w:p>
                              <w:pPr>
                                <w:spacing w:before="156" w:beforeLines="50"/>
                                <w:rPr>
                                  <w:sz w:val="24"/>
                                  <w:szCs w:val="24"/>
                                </w:rPr>
                              </w:pPr>
                              <w:r>
                                <w:rPr>
                                  <w:rFonts w:hint="eastAsia" w:cs="宋体"/>
                                  <w:sz w:val="28"/>
                                  <w:szCs w:val="28"/>
                                </w:rPr>
                                <w:t>　</w:t>
                              </w:r>
                              <w:r>
                                <w:rPr>
                                  <w:rFonts w:hint="eastAsia" w:cs="宋体"/>
                                  <w:sz w:val="24"/>
                                  <w:szCs w:val="24"/>
                                </w:rPr>
                                <w:t>　</w:t>
                              </w:r>
                              <w:r>
                                <w:rPr>
                                  <w:rFonts w:hint="eastAsia" w:cs="宋体"/>
                                  <w:sz w:val="24"/>
                                  <w:szCs w:val="24"/>
                                  <w:u w:val="single"/>
                                </w:rPr>
                                <w:t>　　　　　　</w:t>
                              </w:r>
                              <w:r>
                                <w:rPr>
                                  <w:rFonts w:hint="eastAsia" w:cs="宋体"/>
                                  <w:sz w:val="24"/>
                                  <w:szCs w:val="24"/>
                                </w:rPr>
                                <w:t>现任我单位</w:t>
                              </w:r>
                              <w:r>
                                <w:rPr>
                                  <w:rFonts w:hint="eastAsia" w:cs="宋体"/>
                                  <w:sz w:val="24"/>
                                  <w:szCs w:val="24"/>
                                  <w:u w:val="single"/>
                                </w:rPr>
                                <w:t>　　　　　</w:t>
                              </w:r>
                              <w:r>
                                <w:rPr>
                                  <w:rFonts w:hint="eastAsia" w:cs="宋体"/>
                                  <w:sz w:val="24"/>
                                  <w:szCs w:val="24"/>
                                </w:rPr>
                                <w:t>职务，为法定代表人（负责人），</w:t>
                              </w:r>
                            </w:p>
                            <w:p>
                              <w:pPr>
                                <w:snapToGrid w:val="0"/>
                                <w:spacing w:line="480" w:lineRule="atLeast"/>
                                <w:rPr>
                                  <w:sz w:val="24"/>
                                  <w:szCs w:val="24"/>
                                </w:rPr>
                              </w:pPr>
                              <w:r>
                                <w:rPr>
                                  <w:rFonts w:hint="eastAsia" w:cs="宋体"/>
                                  <w:sz w:val="24"/>
                                  <w:szCs w:val="24"/>
                                </w:rPr>
                                <w:t>特此证明。</w:t>
                              </w:r>
                            </w:p>
                            <w:p>
                              <w:pPr>
                                <w:snapToGrid w:val="0"/>
                                <w:spacing w:line="480" w:lineRule="atLeast"/>
                                <w:rPr>
                                  <w:sz w:val="24"/>
                                  <w:szCs w:val="24"/>
                                  <w:u w:val="single"/>
                                </w:rPr>
                              </w:pPr>
                              <w:r>
                                <w:rPr>
                                  <w:rFonts w:hint="eastAsia" w:cs="宋体"/>
                                  <w:sz w:val="24"/>
                                  <w:szCs w:val="24"/>
                                </w:rPr>
                                <w:t>有效期限：</w:t>
                              </w:r>
                              <w:r>
                                <w:rPr>
                                  <w:sz w:val="24"/>
                                  <w:szCs w:val="24"/>
                                  <w:u w:val="single"/>
                                </w:rPr>
                                <w:t xml:space="preserve">                                </w:t>
                              </w:r>
                              <w:r>
                                <w:rPr>
                                  <w:sz w:val="24"/>
                                  <w:szCs w:val="24"/>
                                </w:rPr>
                                <w:t xml:space="preserve">  </w:t>
                              </w:r>
                            </w:p>
                            <w:p>
                              <w:pPr>
                                <w:snapToGrid w:val="0"/>
                                <w:spacing w:line="480" w:lineRule="atLeast"/>
                                <w:rPr>
                                  <w:sz w:val="24"/>
                                  <w:szCs w:val="24"/>
                                  <w:u w:val="single"/>
                                </w:rPr>
                              </w:pPr>
                              <w:r>
                                <w:rPr>
                                  <w:rFonts w:hint="eastAsia" w:cs="宋体"/>
                                  <w:sz w:val="24"/>
                                  <w:szCs w:val="24"/>
                                </w:rPr>
                                <w:t>附：法定代表人（负责人）性别：</w:t>
                              </w:r>
                              <w:r>
                                <w:rPr>
                                  <w:rFonts w:hint="eastAsia" w:cs="宋体"/>
                                  <w:sz w:val="24"/>
                                  <w:szCs w:val="24"/>
                                  <w:u w:val="single"/>
                                </w:rPr>
                                <w:t>　　</w:t>
                              </w:r>
                              <w:r>
                                <w:rPr>
                                  <w:rFonts w:hint="eastAsia" w:cs="宋体"/>
                                  <w:sz w:val="24"/>
                                  <w:szCs w:val="24"/>
                                </w:rPr>
                                <w:t>年龄：</w:t>
                              </w:r>
                              <w:r>
                                <w:rPr>
                                  <w:rFonts w:hint="eastAsia" w:cs="宋体"/>
                                  <w:sz w:val="24"/>
                                  <w:szCs w:val="24"/>
                                  <w:u w:val="single"/>
                                </w:rPr>
                                <w:t>　　</w:t>
                              </w:r>
                              <w:r>
                                <w:rPr>
                                  <w:rFonts w:hint="eastAsia" w:cs="宋体"/>
                                  <w:sz w:val="24"/>
                                  <w:szCs w:val="24"/>
                                </w:rPr>
                                <w:t>身份证号码：</w:t>
                              </w:r>
                              <w:r>
                                <w:rPr>
                                  <w:sz w:val="24"/>
                                  <w:szCs w:val="24"/>
                                  <w:u w:val="single"/>
                                </w:rPr>
                                <w:t xml:space="preserve">                  </w:t>
                              </w:r>
                            </w:p>
                            <w:p>
                              <w:pPr>
                                <w:snapToGrid w:val="0"/>
                                <w:spacing w:line="480" w:lineRule="atLeast"/>
                                <w:ind w:firstLine="570"/>
                                <w:rPr>
                                  <w:sz w:val="24"/>
                                  <w:szCs w:val="24"/>
                                  <w:u w:val="single"/>
                                </w:rPr>
                              </w:pPr>
                              <w:r>
                                <w:rPr>
                                  <w:rFonts w:hint="eastAsia" w:cs="宋体"/>
                                  <w:sz w:val="24"/>
                                  <w:szCs w:val="24"/>
                                </w:rPr>
                                <w:t>注册号码：</w:t>
                              </w:r>
                              <w:r>
                                <w:rPr>
                                  <w:rFonts w:hint="eastAsia" w:cs="宋体"/>
                                  <w:sz w:val="24"/>
                                  <w:szCs w:val="24"/>
                                  <w:u w:val="single"/>
                                </w:rPr>
                                <w:t>　　　　　　　　　　</w:t>
                              </w:r>
                              <w:r>
                                <w:rPr>
                                  <w:rFonts w:hint="eastAsia" w:cs="宋体"/>
                                  <w:sz w:val="24"/>
                                  <w:szCs w:val="24"/>
                                </w:rPr>
                                <w:t>企业类型：</w:t>
                              </w:r>
                              <w:r>
                                <w:rPr>
                                  <w:sz w:val="24"/>
                                  <w:szCs w:val="24"/>
                                  <w:u w:val="single"/>
                                </w:rPr>
                                <w:t xml:space="preserve">                             </w:t>
                              </w:r>
                            </w:p>
                            <w:p>
                              <w:pPr>
                                <w:snapToGrid w:val="0"/>
                                <w:spacing w:line="480" w:lineRule="atLeast"/>
                                <w:ind w:firstLine="570"/>
                                <w:rPr>
                                  <w:sz w:val="24"/>
                                  <w:szCs w:val="24"/>
                                  <w:u w:val="single"/>
                                </w:rPr>
                              </w:pPr>
                              <w:r>
                                <w:rPr>
                                  <w:rFonts w:hint="eastAsia" w:cs="宋体"/>
                                  <w:sz w:val="24"/>
                                  <w:szCs w:val="24"/>
                                </w:rPr>
                                <w:t>经营范围：</w:t>
                              </w:r>
                              <w:r>
                                <w:rPr>
                                  <w:sz w:val="24"/>
                                  <w:szCs w:val="24"/>
                                  <w:u w:val="single"/>
                                </w:rPr>
                                <w:t xml:space="preserve">                                                           </w:t>
                              </w:r>
                            </w:p>
                            <w:p>
                              <w:pPr>
                                <w:snapToGrid w:val="0"/>
                                <w:spacing w:line="480" w:lineRule="atLeast"/>
                                <w:ind w:firstLine="570"/>
                                <w:rPr>
                                  <w:sz w:val="24"/>
                                  <w:szCs w:val="24"/>
                                </w:rPr>
                              </w:pPr>
                              <w:r>
                                <w:rPr>
                                  <w:rFonts w:hint="eastAsia" w:cs="宋体"/>
                                  <w:sz w:val="24"/>
                                  <w:szCs w:val="24"/>
                                  <w:u w:val="single"/>
                                </w:rPr>
                                <w:t>　　　　　　　　　　　　　　　　</w:t>
                              </w:r>
                              <w:r>
                                <w:rPr>
                                  <w:sz w:val="24"/>
                                  <w:szCs w:val="24"/>
                                </w:rPr>
                                <w:t xml:space="preserve">      </w:t>
                              </w:r>
                              <w:r>
                                <w:rPr>
                                  <w:rFonts w:hint="eastAsia" w:cs="宋体"/>
                                  <w:sz w:val="24"/>
                                  <w:szCs w:val="24"/>
                                </w:rPr>
                                <w:t>单位：　　　（盖章）</w:t>
                              </w:r>
                            </w:p>
                            <w:p>
                              <w:pPr>
                                <w:snapToGrid w:val="0"/>
                                <w:spacing w:after="100" w:afterAutospacing="1" w:line="480" w:lineRule="atLeast"/>
                                <w:ind w:firstLine="4528" w:firstLineChars="1887"/>
                                <w:rPr>
                                  <w:sz w:val="24"/>
                                  <w:szCs w:val="24"/>
                                </w:rPr>
                              </w:pPr>
                              <w:r>
                                <w:rPr>
                                  <w:rFonts w:hint="eastAsia" w:cs="宋体"/>
                                  <w:sz w:val="24"/>
                                  <w:szCs w:val="24"/>
                                </w:rPr>
                                <w:t>　　　　　</w:t>
                              </w:r>
                              <w:r>
                                <w:rPr>
                                  <w:sz w:val="24"/>
                                  <w:szCs w:val="24"/>
                                </w:rPr>
                                <w:t xml:space="preserve">    </w:t>
                              </w:r>
                              <w:r>
                                <w:rPr>
                                  <w:rFonts w:hint="eastAsia" w:cs="宋体"/>
                                  <w:sz w:val="24"/>
                                  <w:szCs w:val="24"/>
                                </w:rPr>
                                <w:t>年　月　　日</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207.8pt;width:456.75pt;" coordsize="7140,3468" o:gfxdata="UEsDBAoAAAAAAIdO4kAAAAAAAAAAAAAAAAAEAAAAZHJzL1BLAwQUAAAACACHTuJAzCVt8NcAAAAF&#10;AQAADwAAAGRycy9kb3ducmV2LnhtbE2PQUvDQBCF74L/YRnBm91sa0qN2ZRS1FMRbAvibZqdJqHZ&#10;2ZDdJu2/d/Wil4HHe7z3Tb682FYM1PvGsQY1SUAQl840XGnY714fFiB8QDbYOiYNV/KwLG5vcsyM&#10;G/mDhm2oRCxhn6GGOoQuk9KXNVn0E9cRR+/oeoshyr6SpscxlttWTpNkLi02HBdq7GhdU3nanq2G&#10;txHH1Uy9DJvTcX392qXvnxtFWt/fqeQZRKBL+AvDD35EhyIyHdyZjRethvhI+L3Re1KzFMRBw6NK&#10;5yCLXP6nL74BUEsDBBQAAAAIAIdO4kBCWTer8AIAAPQHAAAOAAAAZHJzL2Uyb0RvYy54bWzNVctu&#10;1DAU3SPxD5b3NJln26iZqvQlpAKVWj7A4ziJRfzA9kymrBGFHSs2sGHPHyDxN21/g2snM9NOC6pA&#10;SM1ixr62j88999je2p6JCk2ZsVzJFHfWYoyYpCrjskjxq9ODJxsYWUdkRiolWYrPmMXbo8ePtmqd&#10;sK4qVZUxgwBE2qTWKS6d00kUWVoyQeya0kzCYK6MIA66pogyQ2pAF1XUjeNhVCuTaaMosxaie80g&#10;bhHNfQBVnnPK9hSdCCZdg2pYRRykZEuuLR4FtnnOqHuZ55Y5VKUYMnXhFzaB9tj/RqMtkhSG6JLT&#10;lgK5D4WVnAThEjZdQO0RR9DE8FtQglOjrMrdGlUiahIJikAWnXhFm0OjJjrkUiR1oReiQ6FWVP9r&#10;WPpiemwQz1Lcw0gSAQW/+vHu4tMH1PPa1LpIYMqh0Sf62LSBoun5dGe5Ef4fEkGzoOrZQlU2c4hC&#10;cLARx+vdAUYUxrrD3mY8bHWnJRTn1jpa7rcr1zt9qJNf1usPNzyfaL5l5JktiNQavGiXAtl/E+ik&#10;JJoF3a3PvhWoPxfo4svPq4/nqN8IFKZ4dbwOVh8p+toiqXZLIgu2YzVYEI4ZrJ2HjFF1yUgGJEP4&#10;FITaz3iY5VP0ycCuDaTvWABH4/q5yqA6ZOJUcNp9pP+DgCTRxrpDpgTyjRQbIBqAyfTIukbr+RSf&#10;mlQHvKogTpJK3ghAUXwkEPdcvW1sMlbZGfA2CrChinDjQKNU5i1GNZy3FNs3E2IYRtUzCVJsdvq+&#10;2C50+oP1LnTM9ZHx9REiKUCl2GHUNHddc6gn2vCiDFo2HHdAr5yHfJasWrJgmYbrf/cOuL85XJef&#10;zy+/fr/89h4NVuyD3OypguPSCUW4ZaQbrnnANrGq4pl3ipffmmK8Wxk0JXD9HoSvPcU3plUS1eCA&#10;QbgkhM7AG7JoZPgtWhy+u9AEd/BAVVykGG4e+NpJd3jUzcYz0HJpjIdv13DxwWMQ7sL24fKvzfV+&#10;sPfysR7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MwlbfDXAAAABQEAAA8AAAAAAAAAAQAgAAAA&#10;IgAAAGRycy9kb3ducmV2LnhtbFBLAQIUABQAAAAIAIdO4kBCWTer8AIAAPQHAAAOAAAAAAAAAAEA&#10;IAAAACYBAABkcnMvZTJvRG9jLnhtbFBLBQYAAAAABgAGAFkBAACIBgAAAAA=&#10;">
                <o:lock v:ext="edit" aspectratio="f"/>
                <v:rect id="图片 4" o:spid="_x0000_s1026" o:spt="1" style="position:absolute;left:0;top:0;height:3468;width:714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text="t" aspectratio="t"/>
                </v:rect>
                <v:shape id="_x0000_s1026" o:spid="_x0000_s1026" o:spt="202" type="#_x0000_t202" style="position:absolute;left:0;top:0;height:3468;width:714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before="156" w:beforeLines="50"/>
                          <w:rPr>
                            <w:sz w:val="24"/>
                            <w:szCs w:val="24"/>
                          </w:rPr>
                        </w:pPr>
                        <w:r>
                          <w:rPr>
                            <w:rFonts w:hint="eastAsia" w:cs="宋体"/>
                            <w:sz w:val="28"/>
                            <w:szCs w:val="28"/>
                          </w:rPr>
                          <w:t>　</w:t>
                        </w:r>
                        <w:r>
                          <w:rPr>
                            <w:rFonts w:hint="eastAsia" w:cs="宋体"/>
                            <w:sz w:val="24"/>
                            <w:szCs w:val="24"/>
                          </w:rPr>
                          <w:t>　</w:t>
                        </w:r>
                        <w:r>
                          <w:rPr>
                            <w:rFonts w:hint="eastAsia" w:cs="宋体"/>
                            <w:sz w:val="24"/>
                            <w:szCs w:val="24"/>
                            <w:u w:val="single"/>
                          </w:rPr>
                          <w:t>　　　　　　</w:t>
                        </w:r>
                        <w:r>
                          <w:rPr>
                            <w:rFonts w:hint="eastAsia" w:cs="宋体"/>
                            <w:sz w:val="24"/>
                            <w:szCs w:val="24"/>
                          </w:rPr>
                          <w:t>现任我单位</w:t>
                        </w:r>
                        <w:r>
                          <w:rPr>
                            <w:rFonts w:hint="eastAsia" w:cs="宋体"/>
                            <w:sz w:val="24"/>
                            <w:szCs w:val="24"/>
                            <w:u w:val="single"/>
                          </w:rPr>
                          <w:t>　　　　　</w:t>
                        </w:r>
                        <w:r>
                          <w:rPr>
                            <w:rFonts w:hint="eastAsia" w:cs="宋体"/>
                            <w:sz w:val="24"/>
                            <w:szCs w:val="24"/>
                          </w:rPr>
                          <w:t>职务，为法定代表人（负责人），</w:t>
                        </w:r>
                      </w:p>
                      <w:p>
                        <w:pPr>
                          <w:snapToGrid w:val="0"/>
                          <w:spacing w:line="480" w:lineRule="atLeast"/>
                          <w:rPr>
                            <w:sz w:val="24"/>
                            <w:szCs w:val="24"/>
                          </w:rPr>
                        </w:pPr>
                        <w:r>
                          <w:rPr>
                            <w:rFonts w:hint="eastAsia" w:cs="宋体"/>
                            <w:sz w:val="24"/>
                            <w:szCs w:val="24"/>
                          </w:rPr>
                          <w:t>特此证明。</w:t>
                        </w:r>
                      </w:p>
                      <w:p>
                        <w:pPr>
                          <w:snapToGrid w:val="0"/>
                          <w:spacing w:line="480" w:lineRule="atLeast"/>
                          <w:rPr>
                            <w:sz w:val="24"/>
                            <w:szCs w:val="24"/>
                            <w:u w:val="single"/>
                          </w:rPr>
                        </w:pPr>
                        <w:r>
                          <w:rPr>
                            <w:rFonts w:hint="eastAsia" w:cs="宋体"/>
                            <w:sz w:val="24"/>
                            <w:szCs w:val="24"/>
                          </w:rPr>
                          <w:t>有效期限：</w:t>
                        </w:r>
                        <w:r>
                          <w:rPr>
                            <w:sz w:val="24"/>
                            <w:szCs w:val="24"/>
                            <w:u w:val="single"/>
                          </w:rPr>
                          <w:t xml:space="preserve">                                </w:t>
                        </w:r>
                        <w:r>
                          <w:rPr>
                            <w:sz w:val="24"/>
                            <w:szCs w:val="24"/>
                          </w:rPr>
                          <w:t xml:space="preserve">  </w:t>
                        </w:r>
                      </w:p>
                      <w:p>
                        <w:pPr>
                          <w:snapToGrid w:val="0"/>
                          <w:spacing w:line="480" w:lineRule="atLeast"/>
                          <w:rPr>
                            <w:sz w:val="24"/>
                            <w:szCs w:val="24"/>
                            <w:u w:val="single"/>
                          </w:rPr>
                        </w:pPr>
                        <w:r>
                          <w:rPr>
                            <w:rFonts w:hint="eastAsia" w:cs="宋体"/>
                            <w:sz w:val="24"/>
                            <w:szCs w:val="24"/>
                          </w:rPr>
                          <w:t>附：法定代表人（负责人）性别：</w:t>
                        </w:r>
                        <w:r>
                          <w:rPr>
                            <w:rFonts w:hint="eastAsia" w:cs="宋体"/>
                            <w:sz w:val="24"/>
                            <w:szCs w:val="24"/>
                            <w:u w:val="single"/>
                          </w:rPr>
                          <w:t>　　</w:t>
                        </w:r>
                        <w:r>
                          <w:rPr>
                            <w:rFonts w:hint="eastAsia" w:cs="宋体"/>
                            <w:sz w:val="24"/>
                            <w:szCs w:val="24"/>
                          </w:rPr>
                          <w:t>年龄：</w:t>
                        </w:r>
                        <w:r>
                          <w:rPr>
                            <w:rFonts w:hint="eastAsia" w:cs="宋体"/>
                            <w:sz w:val="24"/>
                            <w:szCs w:val="24"/>
                            <w:u w:val="single"/>
                          </w:rPr>
                          <w:t>　　</w:t>
                        </w:r>
                        <w:r>
                          <w:rPr>
                            <w:rFonts w:hint="eastAsia" w:cs="宋体"/>
                            <w:sz w:val="24"/>
                            <w:szCs w:val="24"/>
                          </w:rPr>
                          <w:t>身份证号码：</w:t>
                        </w:r>
                        <w:r>
                          <w:rPr>
                            <w:sz w:val="24"/>
                            <w:szCs w:val="24"/>
                            <w:u w:val="single"/>
                          </w:rPr>
                          <w:t xml:space="preserve">                  </w:t>
                        </w:r>
                      </w:p>
                      <w:p>
                        <w:pPr>
                          <w:snapToGrid w:val="0"/>
                          <w:spacing w:line="480" w:lineRule="atLeast"/>
                          <w:ind w:firstLine="570"/>
                          <w:rPr>
                            <w:sz w:val="24"/>
                            <w:szCs w:val="24"/>
                            <w:u w:val="single"/>
                          </w:rPr>
                        </w:pPr>
                        <w:r>
                          <w:rPr>
                            <w:rFonts w:hint="eastAsia" w:cs="宋体"/>
                            <w:sz w:val="24"/>
                            <w:szCs w:val="24"/>
                          </w:rPr>
                          <w:t>注册号码：</w:t>
                        </w:r>
                        <w:r>
                          <w:rPr>
                            <w:rFonts w:hint="eastAsia" w:cs="宋体"/>
                            <w:sz w:val="24"/>
                            <w:szCs w:val="24"/>
                            <w:u w:val="single"/>
                          </w:rPr>
                          <w:t>　　　　　　　　　　</w:t>
                        </w:r>
                        <w:r>
                          <w:rPr>
                            <w:rFonts w:hint="eastAsia" w:cs="宋体"/>
                            <w:sz w:val="24"/>
                            <w:szCs w:val="24"/>
                          </w:rPr>
                          <w:t>企业类型：</w:t>
                        </w:r>
                        <w:r>
                          <w:rPr>
                            <w:sz w:val="24"/>
                            <w:szCs w:val="24"/>
                            <w:u w:val="single"/>
                          </w:rPr>
                          <w:t xml:space="preserve">                             </w:t>
                        </w:r>
                      </w:p>
                      <w:p>
                        <w:pPr>
                          <w:snapToGrid w:val="0"/>
                          <w:spacing w:line="480" w:lineRule="atLeast"/>
                          <w:ind w:firstLine="570"/>
                          <w:rPr>
                            <w:sz w:val="24"/>
                            <w:szCs w:val="24"/>
                            <w:u w:val="single"/>
                          </w:rPr>
                        </w:pPr>
                        <w:r>
                          <w:rPr>
                            <w:rFonts w:hint="eastAsia" w:cs="宋体"/>
                            <w:sz w:val="24"/>
                            <w:szCs w:val="24"/>
                          </w:rPr>
                          <w:t>经营范围：</w:t>
                        </w:r>
                        <w:r>
                          <w:rPr>
                            <w:sz w:val="24"/>
                            <w:szCs w:val="24"/>
                            <w:u w:val="single"/>
                          </w:rPr>
                          <w:t xml:space="preserve">                                                           </w:t>
                        </w:r>
                      </w:p>
                      <w:p>
                        <w:pPr>
                          <w:snapToGrid w:val="0"/>
                          <w:spacing w:line="480" w:lineRule="atLeast"/>
                          <w:ind w:firstLine="570"/>
                          <w:rPr>
                            <w:sz w:val="24"/>
                            <w:szCs w:val="24"/>
                          </w:rPr>
                        </w:pPr>
                        <w:r>
                          <w:rPr>
                            <w:rFonts w:hint="eastAsia" w:cs="宋体"/>
                            <w:sz w:val="24"/>
                            <w:szCs w:val="24"/>
                            <w:u w:val="single"/>
                          </w:rPr>
                          <w:t>　　　　　　　　　　　　　　　　</w:t>
                        </w:r>
                        <w:r>
                          <w:rPr>
                            <w:sz w:val="24"/>
                            <w:szCs w:val="24"/>
                          </w:rPr>
                          <w:t xml:space="preserve">      </w:t>
                        </w:r>
                        <w:r>
                          <w:rPr>
                            <w:rFonts w:hint="eastAsia" w:cs="宋体"/>
                            <w:sz w:val="24"/>
                            <w:szCs w:val="24"/>
                          </w:rPr>
                          <w:t>单位：　　　（盖章）</w:t>
                        </w:r>
                      </w:p>
                      <w:p>
                        <w:pPr>
                          <w:snapToGrid w:val="0"/>
                          <w:spacing w:after="100" w:afterAutospacing="1" w:line="480" w:lineRule="atLeast"/>
                          <w:ind w:firstLine="4528" w:firstLineChars="1887"/>
                          <w:rPr>
                            <w:sz w:val="24"/>
                            <w:szCs w:val="24"/>
                          </w:rPr>
                        </w:pPr>
                        <w:r>
                          <w:rPr>
                            <w:rFonts w:hint="eastAsia" w:cs="宋体"/>
                            <w:sz w:val="24"/>
                            <w:szCs w:val="24"/>
                          </w:rPr>
                          <w:t>　　　　　</w:t>
                        </w:r>
                        <w:r>
                          <w:rPr>
                            <w:sz w:val="24"/>
                            <w:szCs w:val="24"/>
                          </w:rPr>
                          <w:t xml:space="preserve">    </w:t>
                        </w:r>
                        <w:r>
                          <w:rPr>
                            <w:rFonts w:hint="eastAsia" w:cs="宋体"/>
                            <w:sz w:val="24"/>
                            <w:szCs w:val="24"/>
                          </w:rPr>
                          <w:t>年　月　　日</w:t>
                        </w:r>
                      </w:p>
                    </w:txbxContent>
                  </v:textbox>
                </v:shape>
                <w10:wrap type="none"/>
                <w10:anchorlock/>
              </v:group>
            </w:pict>
          </mc:Fallback>
        </mc:AlternateContent>
      </w:r>
    </w:p>
    <w:p>
      <w:pPr>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注：按提供的该表格格式填写，或使用工商管理部门的格式填写。联合体投标的，本证明书由联合体牵头</w:t>
      </w:r>
      <w:r>
        <w:rPr>
          <w:rFonts w:hint="eastAsia" w:ascii="宋体" w:hAnsi="宋体" w:cs="宋体"/>
          <w:sz w:val="24"/>
          <w:szCs w:val="24"/>
          <w:highlight w:val="none"/>
          <w:lang w:eastAsia="zh-CN"/>
        </w:rPr>
        <w:t>人（主办方）</w:t>
      </w:r>
      <w:r>
        <w:rPr>
          <w:rFonts w:hint="eastAsia" w:ascii="宋体" w:hAnsi="宋体" w:cs="宋体"/>
          <w:sz w:val="24"/>
          <w:szCs w:val="24"/>
          <w:highlight w:val="none"/>
        </w:rPr>
        <w:t>出具。</w:t>
      </w:r>
    </w:p>
    <w:p>
      <w:pPr>
        <w:spacing w:line="360" w:lineRule="auto"/>
        <w:rPr>
          <w:rFonts w:ascii="宋体" w:hAnsi="宋体" w:cs="宋体"/>
          <w:sz w:val="24"/>
          <w:szCs w:val="24"/>
          <w:highlight w:val="none"/>
        </w:rPr>
      </w:pPr>
    </w:p>
    <w:p>
      <w:pPr>
        <w:spacing w:line="360" w:lineRule="auto"/>
        <w:ind w:firstLine="482" w:firstLineChars="200"/>
        <w:jc w:val="center"/>
        <w:rPr>
          <w:rFonts w:ascii="宋体" w:hAnsi="宋体" w:cs="宋体"/>
          <w:b/>
          <w:sz w:val="24"/>
          <w:szCs w:val="24"/>
          <w:highlight w:val="none"/>
        </w:rPr>
      </w:pPr>
      <w:r>
        <w:rPr>
          <w:rFonts w:hint="eastAsia" w:ascii="宋体" w:hAnsi="宋体" w:cs="宋体"/>
          <w:b/>
          <w:sz w:val="24"/>
          <w:szCs w:val="24"/>
          <w:highlight w:val="none"/>
        </w:rPr>
        <w:t>授权委托书</w:t>
      </w:r>
      <w:bookmarkEnd w:id="0"/>
      <w:bookmarkEnd w:id="1"/>
      <w:bookmarkEnd w:id="2"/>
    </w:p>
    <w:p>
      <w:pPr>
        <w:widowControl/>
        <w:spacing w:line="360" w:lineRule="auto"/>
        <w:ind w:right="1542"/>
        <w:jc w:val="center"/>
        <w:rPr>
          <w:rFonts w:ascii="宋体" w:hAnsi="宋体" w:cs="宋体"/>
          <w:b/>
          <w:bCs/>
          <w:kern w:val="0"/>
          <w:sz w:val="32"/>
          <w:szCs w:val="32"/>
          <w:highlight w:val="none"/>
        </w:rPr>
      </w:pPr>
      <w:r>
        <w:rPr>
          <w:rFonts w:hint="eastAsia" w:ascii="宋体" w:hAnsi="宋体" w:cs="宋体"/>
          <w:b/>
          <w:bCs/>
          <w:kern w:val="0"/>
          <w:sz w:val="32"/>
          <w:szCs w:val="32"/>
          <w:highlight w:val="none"/>
        </w:rPr>
        <mc:AlternateContent>
          <mc:Choice Requires="wps">
            <w:drawing>
              <wp:inline distT="0" distB="0" distL="0" distR="0">
                <wp:extent cx="6129020" cy="2946400"/>
                <wp:effectExtent l="9525" t="6985" r="5080" b="8890"/>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29020" cy="2946400"/>
                        </a:xfrm>
                        <a:prstGeom prst="rect">
                          <a:avLst/>
                        </a:prstGeom>
                        <a:solidFill>
                          <a:srgbClr val="FFFFFF"/>
                        </a:solidFill>
                        <a:ln w="9525" cmpd="sng">
                          <a:solidFill>
                            <a:srgbClr val="000000"/>
                          </a:solidFill>
                          <a:miter lim="800000"/>
                        </a:ln>
                      </wps:spPr>
                      <wps:txbx>
                        <w:txbxContent>
                          <w:p>
                            <w:pPr>
                              <w:spacing w:before="156" w:beforeLines="50"/>
                              <w:ind w:firstLine="480" w:firstLineChars="200"/>
                              <w:rPr>
                                <w:sz w:val="24"/>
                                <w:szCs w:val="24"/>
                              </w:rPr>
                            </w:pPr>
                            <w:r>
                              <w:rPr>
                                <w:rFonts w:hint="eastAsia" w:cs="宋体"/>
                                <w:sz w:val="24"/>
                                <w:szCs w:val="24"/>
                              </w:rPr>
                              <w:t>兹授权</w:t>
                            </w:r>
                            <w:r>
                              <w:rPr>
                                <w:rFonts w:hint="eastAsia" w:cs="宋体"/>
                                <w:sz w:val="24"/>
                                <w:szCs w:val="24"/>
                                <w:u w:val="single"/>
                              </w:rPr>
                              <w:t>　　　　　</w:t>
                            </w:r>
                            <w:r>
                              <w:rPr>
                                <w:rFonts w:hint="eastAsia" w:cs="宋体"/>
                                <w:sz w:val="24"/>
                                <w:szCs w:val="24"/>
                              </w:rPr>
                              <w:t>为我方委托代理人，其权限是：</w:t>
                            </w:r>
                            <w:r>
                              <w:rPr>
                                <w:sz w:val="24"/>
                                <w:szCs w:val="24"/>
                                <w:u w:val="single"/>
                              </w:rPr>
                              <w:t xml:space="preserve">                        </w:t>
                            </w:r>
                          </w:p>
                          <w:p>
                            <w:pPr>
                              <w:snapToGrid w:val="0"/>
                              <w:spacing w:line="480" w:lineRule="atLeast"/>
                              <w:rPr>
                                <w:sz w:val="24"/>
                                <w:szCs w:val="24"/>
                                <w:u w:val="single"/>
                              </w:rPr>
                            </w:pPr>
                            <w:r>
                              <w:rPr>
                                <w:sz w:val="24"/>
                                <w:szCs w:val="24"/>
                                <w:u w:val="single"/>
                              </w:rPr>
                              <w:t xml:space="preserve">                                                                        </w:t>
                            </w:r>
                          </w:p>
                          <w:p>
                            <w:pPr>
                              <w:snapToGrid w:val="0"/>
                              <w:spacing w:line="480" w:lineRule="atLeast"/>
                              <w:rPr>
                                <w:sz w:val="24"/>
                                <w:szCs w:val="24"/>
                                <w:u w:val="single"/>
                              </w:rPr>
                            </w:pPr>
                            <w:r>
                              <w:rPr>
                                <w:rFonts w:hint="eastAsia" w:cs="宋体"/>
                                <w:sz w:val="24"/>
                                <w:szCs w:val="24"/>
                              </w:rPr>
                              <w:t>有效期限：</w:t>
                            </w:r>
                            <w:r>
                              <w:rPr>
                                <w:sz w:val="24"/>
                                <w:szCs w:val="24"/>
                                <w:u w:val="single"/>
                              </w:rPr>
                              <w:t xml:space="preserve">                                                              </w:t>
                            </w:r>
                          </w:p>
                          <w:p>
                            <w:pPr>
                              <w:snapToGrid w:val="0"/>
                              <w:spacing w:line="480" w:lineRule="atLeast"/>
                              <w:rPr>
                                <w:sz w:val="24"/>
                                <w:szCs w:val="24"/>
                              </w:rPr>
                            </w:pPr>
                            <w:r>
                              <w:rPr>
                                <w:rFonts w:hint="eastAsia" w:cs="宋体"/>
                                <w:sz w:val="24"/>
                                <w:szCs w:val="24"/>
                              </w:rPr>
                              <w:t>附：代理人性别：</w:t>
                            </w:r>
                            <w:r>
                              <w:rPr>
                                <w:rFonts w:hint="eastAsia" w:cs="宋体"/>
                                <w:sz w:val="24"/>
                                <w:szCs w:val="24"/>
                                <w:u w:val="single"/>
                              </w:rPr>
                              <w:t>　　</w:t>
                            </w:r>
                            <w:r>
                              <w:rPr>
                                <w:rFonts w:hint="eastAsia" w:cs="宋体"/>
                                <w:sz w:val="24"/>
                                <w:szCs w:val="24"/>
                              </w:rPr>
                              <w:t>年龄：</w:t>
                            </w:r>
                            <w:r>
                              <w:rPr>
                                <w:rFonts w:hint="eastAsia" w:cs="宋体"/>
                                <w:sz w:val="24"/>
                                <w:szCs w:val="24"/>
                                <w:u w:val="single"/>
                              </w:rPr>
                              <w:t>　　　</w:t>
                            </w:r>
                            <w:r>
                              <w:rPr>
                                <w:rFonts w:hint="eastAsia" w:cs="宋体"/>
                                <w:sz w:val="24"/>
                                <w:szCs w:val="24"/>
                              </w:rPr>
                              <w:t>身份证号码：</w:t>
                            </w:r>
                            <w:r>
                              <w:rPr>
                                <w:sz w:val="24"/>
                                <w:szCs w:val="24"/>
                                <w:u w:val="single"/>
                              </w:rPr>
                              <w:t xml:space="preserve">                            </w:t>
                            </w:r>
                          </w:p>
                          <w:p>
                            <w:pPr>
                              <w:snapToGrid w:val="0"/>
                              <w:spacing w:line="480" w:lineRule="atLeast"/>
                              <w:ind w:hanging="105"/>
                              <w:rPr>
                                <w:sz w:val="24"/>
                                <w:szCs w:val="24"/>
                                <w:u w:val="single"/>
                              </w:rPr>
                            </w:pPr>
                            <w:r>
                              <w:rPr>
                                <w:rFonts w:hint="eastAsia" w:cs="宋体"/>
                                <w:sz w:val="24"/>
                                <w:szCs w:val="24"/>
                              </w:rPr>
                              <w:t>　　注册号码：</w:t>
                            </w:r>
                            <w:r>
                              <w:rPr>
                                <w:rFonts w:hint="eastAsia" w:cs="宋体"/>
                                <w:sz w:val="24"/>
                                <w:szCs w:val="24"/>
                                <w:u w:val="single"/>
                              </w:rPr>
                              <w:t>　　　　　　　　　</w:t>
                            </w:r>
                            <w:r>
                              <w:rPr>
                                <w:rFonts w:hint="eastAsia" w:cs="宋体"/>
                                <w:sz w:val="24"/>
                                <w:szCs w:val="24"/>
                              </w:rPr>
                              <w:t>企业类型：</w:t>
                            </w:r>
                            <w:r>
                              <w:rPr>
                                <w:sz w:val="24"/>
                                <w:szCs w:val="24"/>
                                <w:u w:val="single"/>
                              </w:rPr>
                              <w:t xml:space="preserve">                               </w:t>
                            </w:r>
                          </w:p>
                          <w:p>
                            <w:pPr>
                              <w:snapToGrid w:val="0"/>
                              <w:spacing w:line="480" w:lineRule="atLeast"/>
                              <w:ind w:hanging="105"/>
                              <w:rPr>
                                <w:sz w:val="24"/>
                                <w:szCs w:val="24"/>
                                <w:u w:val="single"/>
                              </w:rPr>
                            </w:pPr>
                            <w:r>
                              <w:rPr>
                                <w:rFonts w:hint="eastAsia" w:cs="宋体"/>
                                <w:sz w:val="24"/>
                                <w:szCs w:val="24"/>
                              </w:rPr>
                              <w:t>　　经营范围：</w:t>
                            </w:r>
                            <w:r>
                              <w:rPr>
                                <w:sz w:val="24"/>
                                <w:szCs w:val="24"/>
                                <w:u w:val="single"/>
                              </w:rPr>
                              <w:t xml:space="preserve">                                                           </w:t>
                            </w:r>
                          </w:p>
                          <w:p>
                            <w:pPr>
                              <w:snapToGrid w:val="0"/>
                              <w:spacing w:line="480" w:lineRule="atLeast"/>
                              <w:ind w:hanging="105"/>
                              <w:rPr>
                                <w:sz w:val="24"/>
                                <w:szCs w:val="24"/>
                              </w:rPr>
                            </w:pPr>
                            <w:r>
                              <w:rPr>
                                <w:rFonts w:hint="eastAsia" w:cs="宋体"/>
                                <w:sz w:val="24"/>
                                <w:szCs w:val="24"/>
                              </w:rPr>
                              <w:t>　　法定代表人（负责人）：</w:t>
                            </w:r>
                            <w:r>
                              <w:rPr>
                                <w:rFonts w:hint="eastAsia" w:cs="宋体"/>
                                <w:sz w:val="24"/>
                                <w:szCs w:val="24"/>
                                <w:u w:val="single"/>
                              </w:rPr>
                              <w:t>　　　</w:t>
                            </w:r>
                            <w:r>
                              <w:rPr>
                                <w:sz w:val="24"/>
                                <w:szCs w:val="24"/>
                                <w:u w:val="single"/>
                              </w:rPr>
                              <w:t xml:space="preserve">          </w:t>
                            </w:r>
                            <w:r>
                              <w:rPr>
                                <w:rFonts w:hint="eastAsia" w:cs="宋体"/>
                                <w:sz w:val="24"/>
                                <w:szCs w:val="24"/>
                              </w:rPr>
                              <w:t>（签名）</w:t>
                            </w:r>
                          </w:p>
                          <w:p>
                            <w:pPr>
                              <w:snapToGrid w:val="0"/>
                              <w:spacing w:line="480" w:lineRule="atLeast"/>
                              <w:ind w:hanging="105"/>
                              <w:rPr>
                                <w:sz w:val="24"/>
                                <w:szCs w:val="24"/>
                              </w:rPr>
                            </w:pPr>
                            <w:r>
                              <w:rPr>
                                <w:rFonts w:hint="eastAsia" w:cs="宋体"/>
                                <w:sz w:val="24"/>
                                <w:szCs w:val="24"/>
                              </w:rPr>
                              <w:t>　　授权单位：（盖章）</w:t>
                            </w:r>
                            <w:r>
                              <w:rPr>
                                <w:sz w:val="24"/>
                                <w:szCs w:val="24"/>
                                <w:u w:val="single"/>
                              </w:rPr>
                              <w:t xml:space="preserve">                     </w:t>
                            </w:r>
                            <w:r>
                              <w:rPr>
                                <w:rFonts w:hint="eastAsia" w:cs="宋体"/>
                                <w:sz w:val="24"/>
                                <w:szCs w:val="24"/>
                              </w:rPr>
                              <w:t>　　　</w:t>
                            </w:r>
                          </w:p>
                          <w:p>
                            <w:pPr>
                              <w:snapToGrid w:val="0"/>
                              <w:spacing w:line="480" w:lineRule="atLeast"/>
                              <w:ind w:firstLine="570"/>
                              <w:rPr>
                                <w:sz w:val="24"/>
                                <w:szCs w:val="24"/>
                              </w:rPr>
                            </w:pPr>
                            <w:r>
                              <w:rPr>
                                <w:rFonts w:hint="eastAsia" w:cs="宋体"/>
                                <w:sz w:val="24"/>
                                <w:szCs w:val="24"/>
                              </w:rPr>
                              <w:t>　　　　　　　　　　　　　　　　　　　　　</w:t>
                            </w:r>
                            <w:r>
                              <w:rPr>
                                <w:sz w:val="24"/>
                                <w:szCs w:val="24"/>
                              </w:rPr>
                              <w:t xml:space="preserve">      </w:t>
                            </w:r>
                            <w:r>
                              <w:rPr>
                                <w:rFonts w:hint="eastAsia" w:cs="宋体"/>
                                <w:sz w:val="24"/>
                                <w:szCs w:val="24"/>
                              </w:rPr>
                              <w:t>年　</w:t>
                            </w:r>
                            <w:r>
                              <w:rPr>
                                <w:sz w:val="24"/>
                                <w:szCs w:val="24"/>
                              </w:rPr>
                              <w:t xml:space="preserve"> </w:t>
                            </w:r>
                            <w:r>
                              <w:rPr>
                                <w:rFonts w:hint="eastAsia" w:cs="宋体"/>
                                <w:sz w:val="24"/>
                                <w:szCs w:val="24"/>
                              </w:rPr>
                              <w:t>月　</w:t>
                            </w:r>
                            <w:r>
                              <w:rPr>
                                <w:sz w:val="24"/>
                                <w:szCs w:val="24"/>
                              </w:rPr>
                              <w:t xml:space="preserve"> </w:t>
                            </w:r>
                            <w:r>
                              <w:rPr>
                                <w:rFonts w:hint="eastAsia" w:cs="宋体"/>
                                <w:sz w:val="24"/>
                                <w:szCs w:val="24"/>
                              </w:rPr>
                              <w:t>日</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232pt;width:482.6pt;" fillcolor="#FFFFFF" filled="t" stroked="t" coordsize="21600,21600" o:gfxdata="UEsDBAoAAAAAAIdO4kAAAAAAAAAAAAAAAAAEAAAAZHJzL1BLAwQUAAAACACHTuJA++4fRdcAAAAF&#10;AQAADwAAAGRycy9kb3ducmV2LnhtbE2PwU7DMBBE70j8g7VIXFBrt6ShDXF6QALBrS0VXN14m0S1&#10;16ntpuXvMVzgstJoRjNvy+XFGjagD50jCZOxAIZUO91RI2H7/jyaAwtRkVbGEUr4wgDL6vqqVIV2&#10;Z1rjsIkNSyUUCiWhjbEvOA91i1aFseuRkrd33qqYpG+49uqcyq3hUyFyblVHaaFVPT61WB82Jyth&#10;nr0On+HtfvVR53uziHcPw8vRS3l7MxGPwCJe4l8YfvATOlSJaedOpAMzEtIj8fcmb5HPpsB2ErI8&#10;E8Crkv+nr74BUEsDBBQAAAAIAIdO4kCL0mWkRwIAAJMEAAAOAAAAZHJzL2Uyb0RvYy54bWytVM2O&#10;0zAQviPxDpbvNGnULdto09XSahHS8iMtPIDrOImF7TG222R5AHgDTly481z7HIydbqkKSHsgB8v2&#10;jL+Z+b6ZXFwOWpGdcF6Cqeh0klMiDIdamraiH95fPzunxAdmaqbAiIreCU8vl0+fXPS2FAV0oGrh&#10;CIIYX/a2ol0ItswyzzuhmZ+AFQaNDTjNAh5dm9WO9YiuVVbk+TzrwdXWARfe4+16NNI9onsMIDSN&#10;5GINfKuFCSOqE4oFLMl30nq6TNk2jeDhbdN4EYiqKFYa0opBcL+Ja7a8YGXrmO0k36fAHpPCSU2a&#10;SYNBD1BrFhjZOvkHlJbcgYcmTDjobCwkMYJVTPMTbm47ZkWqBan29kC6/3+w/M3unSOyrmhBiWEa&#10;Bb//9vX++8/7H19IEenprS/R69aiXxhewIBNk0r19gb4R08MrDpmWnHlHPSdYDWmN40vs6OnI46P&#10;IJv+NdQYh20DJKChcTpyh2wQREdp7g7SiCEQjpfzabHICzRxtBWL2XyWJ/EyVj48t86HlwI0iZuK&#10;OtQ+wbPdjQ8xHVY+uMRoHpSsr6VS6eDazUo5smPYJ9fpSxWcuClD+oouzoozTERbZM2bdiTjn2h5&#10;+v6GpmXASVJSV/T82EmZPXeRrpG4MGyGvRYbqO+QRQdjL+Mk46YD95mSHvsYU/q0ZU5Qol4ZVGIx&#10;nc1i46fD7Ox55NAdWzbHFmY4QlU0UDJuV2Eclq11su0w0qi9gStUr5GJ1yjzmNU+b+zVRPd+ruIw&#10;HJ+T1+9/yf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4fRdcAAAAFAQAADwAAAAAAAAABACAA&#10;AAAiAAAAZHJzL2Rvd25yZXYueG1sUEsBAhQAFAAAAAgAh07iQIvSZaRHAgAAkwQAAA4AAAAAAAAA&#10;AQAgAAAAJgEAAGRycy9lMm9Eb2MueG1sUEsFBgAAAAAGAAYAWQEAAN8FAAAAAA==&#10;">
                <v:fill on="t" focussize="0,0"/>
                <v:stroke color="#000000" miterlimit="8" joinstyle="miter"/>
                <v:imagedata o:title=""/>
                <o:lock v:ext="edit" aspectratio="f"/>
                <v:textbox>
                  <w:txbxContent>
                    <w:p>
                      <w:pPr>
                        <w:spacing w:before="156" w:beforeLines="50"/>
                        <w:ind w:firstLine="480" w:firstLineChars="200"/>
                        <w:rPr>
                          <w:sz w:val="24"/>
                          <w:szCs w:val="24"/>
                        </w:rPr>
                      </w:pPr>
                      <w:r>
                        <w:rPr>
                          <w:rFonts w:hint="eastAsia" w:cs="宋体"/>
                          <w:sz w:val="24"/>
                          <w:szCs w:val="24"/>
                        </w:rPr>
                        <w:t>兹授权</w:t>
                      </w:r>
                      <w:r>
                        <w:rPr>
                          <w:rFonts w:hint="eastAsia" w:cs="宋体"/>
                          <w:sz w:val="24"/>
                          <w:szCs w:val="24"/>
                          <w:u w:val="single"/>
                        </w:rPr>
                        <w:t>　　　　　</w:t>
                      </w:r>
                      <w:r>
                        <w:rPr>
                          <w:rFonts w:hint="eastAsia" w:cs="宋体"/>
                          <w:sz w:val="24"/>
                          <w:szCs w:val="24"/>
                        </w:rPr>
                        <w:t>为我方委托代理人，其权限是：</w:t>
                      </w:r>
                      <w:r>
                        <w:rPr>
                          <w:sz w:val="24"/>
                          <w:szCs w:val="24"/>
                          <w:u w:val="single"/>
                        </w:rPr>
                        <w:t xml:space="preserve">                        </w:t>
                      </w:r>
                    </w:p>
                    <w:p>
                      <w:pPr>
                        <w:snapToGrid w:val="0"/>
                        <w:spacing w:line="480" w:lineRule="atLeast"/>
                        <w:rPr>
                          <w:sz w:val="24"/>
                          <w:szCs w:val="24"/>
                          <w:u w:val="single"/>
                        </w:rPr>
                      </w:pPr>
                      <w:r>
                        <w:rPr>
                          <w:sz w:val="24"/>
                          <w:szCs w:val="24"/>
                          <w:u w:val="single"/>
                        </w:rPr>
                        <w:t xml:space="preserve">                                                                        </w:t>
                      </w:r>
                    </w:p>
                    <w:p>
                      <w:pPr>
                        <w:snapToGrid w:val="0"/>
                        <w:spacing w:line="480" w:lineRule="atLeast"/>
                        <w:rPr>
                          <w:sz w:val="24"/>
                          <w:szCs w:val="24"/>
                          <w:u w:val="single"/>
                        </w:rPr>
                      </w:pPr>
                      <w:r>
                        <w:rPr>
                          <w:rFonts w:hint="eastAsia" w:cs="宋体"/>
                          <w:sz w:val="24"/>
                          <w:szCs w:val="24"/>
                        </w:rPr>
                        <w:t>有效期限：</w:t>
                      </w:r>
                      <w:r>
                        <w:rPr>
                          <w:sz w:val="24"/>
                          <w:szCs w:val="24"/>
                          <w:u w:val="single"/>
                        </w:rPr>
                        <w:t xml:space="preserve">                                                              </w:t>
                      </w:r>
                    </w:p>
                    <w:p>
                      <w:pPr>
                        <w:snapToGrid w:val="0"/>
                        <w:spacing w:line="480" w:lineRule="atLeast"/>
                        <w:rPr>
                          <w:sz w:val="24"/>
                          <w:szCs w:val="24"/>
                        </w:rPr>
                      </w:pPr>
                      <w:r>
                        <w:rPr>
                          <w:rFonts w:hint="eastAsia" w:cs="宋体"/>
                          <w:sz w:val="24"/>
                          <w:szCs w:val="24"/>
                        </w:rPr>
                        <w:t>附：代理人性别：</w:t>
                      </w:r>
                      <w:r>
                        <w:rPr>
                          <w:rFonts w:hint="eastAsia" w:cs="宋体"/>
                          <w:sz w:val="24"/>
                          <w:szCs w:val="24"/>
                          <w:u w:val="single"/>
                        </w:rPr>
                        <w:t>　　</w:t>
                      </w:r>
                      <w:r>
                        <w:rPr>
                          <w:rFonts w:hint="eastAsia" w:cs="宋体"/>
                          <w:sz w:val="24"/>
                          <w:szCs w:val="24"/>
                        </w:rPr>
                        <w:t>年龄：</w:t>
                      </w:r>
                      <w:r>
                        <w:rPr>
                          <w:rFonts w:hint="eastAsia" w:cs="宋体"/>
                          <w:sz w:val="24"/>
                          <w:szCs w:val="24"/>
                          <w:u w:val="single"/>
                        </w:rPr>
                        <w:t>　　　</w:t>
                      </w:r>
                      <w:r>
                        <w:rPr>
                          <w:rFonts w:hint="eastAsia" w:cs="宋体"/>
                          <w:sz w:val="24"/>
                          <w:szCs w:val="24"/>
                        </w:rPr>
                        <w:t>身份证号码：</w:t>
                      </w:r>
                      <w:r>
                        <w:rPr>
                          <w:sz w:val="24"/>
                          <w:szCs w:val="24"/>
                          <w:u w:val="single"/>
                        </w:rPr>
                        <w:t xml:space="preserve">                            </w:t>
                      </w:r>
                    </w:p>
                    <w:p>
                      <w:pPr>
                        <w:snapToGrid w:val="0"/>
                        <w:spacing w:line="480" w:lineRule="atLeast"/>
                        <w:ind w:hanging="105"/>
                        <w:rPr>
                          <w:sz w:val="24"/>
                          <w:szCs w:val="24"/>
                          <w:u w:val="single"/>
                        </w:rPr>
                      </w:pPr>
                      <w:r>
                        <w:rPr>
                          <w:rFonts w:hint="eastAsia" w:cs="宋体"/>
                          <w:sz w:val="24"/>
                          <w:szCs w:val="24"/>
                        </w:rPr>
                        <w:t>　　注册号码：</w:t>
                      </w:r>
                      <w:r>
                        <w:rPr>
                          <w:rFonts w:hint="eastAsia" w:cs="宋体"/>
                          <w:sz w:val="24"/>
                          <w:szCs w:val="24"/>
                          <w:u w:val="single"/>
                        </w:rPr>
                        <w:t>　　　　　　　　　</w:t>
                      </w:r>
                      <w:r>
                        <w:rPr>
                          <w:rFonts w:hint="eastAsia" w:cs="宋体"/>
                          <w:sz w:val="24"/>
                          <w:szCs w:val="24"/>
                        </w:rPr>
                        <w:t>企业类型：</w:t>
                      </w:r>
                      <w:r>
                        <w:rPr>
                          <w:sz w:val="24"/>
                          <w:szCs w:val="24"/>
                          <w:u w:val="single"/>
                        </w:rPr>
                        <w:t xml:space="preserve">                               </w:t>
                      </w:r>
                    </w:p>
                    <w:p>
                      <w:pPr>
                        <w:snapToGrid w:val="0"/>
                        <w:spacing w:line="480" w:lineRule="atLeast"/>
                        <w:ind w:hanging="105"/>
                        <w:rPr>
                          <w:sz w:val="24"/>
                          <w:szCs w:val="24"/>
                          <w:u w:val="single"/>
                        </w:rPr>
                      </w:pPr>
                      <w:r>
                        <w:rPr>
                          <w:rFonts w:hint="eastAsia" w:cs="宋体"/>
                          <w:sz w:val="24"/>
                          <w:szCs w:val="24"/>
                        </w:rPr>
                        <w:t>　　经营范围：</w:t>
                      </w:r>
                      <w:r>
                        <w:rPr>
                          <w:sz w:val="24"/>
                          <w:szCs w:val="24"/>
                          <w:u w:val="single"/>
                        </w:rPr>
                        <w:t xml:space="preserve">                                                           </w:t>
                      </w:r>
                    </w:p>
                    <w:p>
                      <w:pPr>
                        <w:snapToGrid w:val="0"/>
                        <w:spacing w:line="480" w:lineRule="atLeast"/>
                        <w:ind w:hanging="105"/>
                        <w:rPr>
                          <w:sz w:val="24"/>
                          <w:szCs w:val="24"/>
                        </w:rPr>
                      </w:pPr>
                      <w:r>
                        <w:rPr>
                          <w:rFonts w:hint="eastAsia" w:cs="宋体"/>
                          <w:sz w:val="24"/>
                          <w:szCs w:val="24"/>
                        </w:rPr>
                        <w:t>　　法定代表人（负责人）：</w:t>
                      </w:r>
                      <w:r>
                        <w:rPr>
                          <w:rFonts w:hint="eastAsia" w:cs="宋体"/>
                          <w:sz w:val="24"/>
                          <w:szCs w:val="24"/>
                          <w:u w:val="single"/>
                        </w:rPr>
                        <w:t>　　　</w:t>
                      </w:r>
                      <w:r>
                        <w:rPr>
                          <w:sz w:val="24"/>
                          <w:szCs w:val="24"/>
                          <w:u w:val="single"/>
                        </w:rPr>
                        <w:t xml:space="preserve">          </w:t>
                      </w:r>
                      <w:r>
                        <w:rPr>
                          <w:rFonts w:hint="eastAsia" w:cs="宋体"/>
                          <w:sz w:val="24"/>
                          <w:szCs w:val="24"/>
                        </w:rPr>
                        <w:t>（签名）</w:t>
                      </w:r>
                    </w:p>
                    <w:p>
                      <w:pPr>
                        <w:snapToGrid w:val="0"/>
                        <w:spacing w:line="480" w:lineRule="atLeast"/>
                        <w:ind w:hanging="105"/>
                        <w:rPr>
                          <w:sz w:val="24"/>
                          <w:szCs w:val="24"/>
                        </w:rPr>
                      </w:pPr>
                      <w:r>
                        <w:rPr>
                          <w:rFonts w:hint="eastAsia" w:cs="宋体"/>
                          <w:sz w:val="24"/>
                          <w:szCs w:val="24"/>
                        </w:rPr>
                        <w:t>　　授权单位：（盖章）</w:t>
                      </w:r>
                      <w:r>
                        <w:rPr>
                          <w:sz w:val="24"/>
                          <w:szCs w:val="24"/>
                          <w:u w:val="single"/>
                        </w:rPr>
                        <w:t xml:space="preserve">                     </w:t>
                      </w:r>
                      <w:r>
                        <w:rPr>
                          <w:rFonts w:hint="eastAsia" w:cs="宋体"/>
                          <w:sz w:val="24"/>
                          <w:szCs w:val="24"/>
                        </w:rPr>
                        <w:t>　　　</w:t>
                      </w:r>
                    </w:p>
                    <w:p>
                      <w:pPr>
                        <w:snapToGrid w:val="0"/>
                        <w:spacing w:line="480" w:lineRule="atLeast"/>
                        <w:ind w:firstLine="570"/>
                        <w:rPr>
                          <w:sz w:val="24"/>
                          <w:szCs w:val="24"/>
                        </w:rPr>
                      </w:pPr>
                      <w:r>
                        <w:rPr>
                          <w:rFonts w:hint="eastAsia" w:cs="宋体"/>
                          <w:sz w:val="24"/>
                          <w:szCs w:val="24"/>
                        </w:rPr>
                        <w:t>　　　　　　　　　　　　　　　　　　　　　</w:t>
                      </w:r>
                      <w:r>
                        <w:rPr>
                          <w:sz w:val="24"/>
                          <w:szCs w:val="24"/>
                        </w:rPr>
                        <w:t xml:space="preserve">      </w:t>
                      </w:r>
                      <w:r>
                        <w:rPr>
                          <w:rFonts w:hint="eastAsia" w:cs="宋体"/>
                          <w:sz w:val="24"/>
                          <w:szCs w:val="24"/>
                        </w:rPr>
                        <w:t>年　</w:t>
                      </w:r>
                      <w:r>
                        <w:rPr>
                          <w:sz w:val="24"/>
                          <w:szCs w:val="24"/>
                        </w:rPr>
                        <w:t xml:space="preserve"> </w:t>
                      </w:r>
                      <w:r>
                        <w:rPr>
                          <w:rFonts w:hint="eastAsia" w:cs="宋体"/>
                          <w:sz w:val="24"/>
                          <w:szCs w:val="24"/>
                        </w:rPr>
                        <w:t>月　</w:t>
                      </w:r>
                      <w:r>
                        <w:rPr>
                          <w:sz w:val="24"/>
                          <w:szCs w:val="24"/>
                        </w:rPr>
                        <w:t xml:space="preserve"> </w:t>
                      </w:r>
                      <w:r>
                        <w:rPr>
                          <w:rFonts w:hint="eastAsia" w:cs="宋体"/>
                          <w:sz w:val="24"/>
                          <w:szCs w:val="24"/>
                        </w:rPr>
                        <w:t>日</w:t>
                      </w:r>
                    </w:p>
                  </w:txbxContent>
                </v:textbox>
                <w10:wrap type="none"/>
                <w10:anchorlock/>
              </v:shape>
            </w:pict>
          </mc:Fallback>
        </mc:AlternateContent>
      </w:r>
    </w:p>
    <w:p>
      <w:pPr>
        <w:spacing w:line="360" w:lineRule="auto"/>
        <w:rPr>
          <w:rFonts w:ascii="宋体" w:hAnsi="宋体" w:cs="宋体"/>
          <w:sz w:val="24"/>
          <w:szCs w:val="24"/>
          <w:highlight w:val="none"/>
        </w:rPr>
      </w:pPr>
      <w:r>
        <w:rPr>
          <w:rFonts w:hint="eastAsia" w:ascii="宋体" w:hAnsi="宋体" w:cs="宋体"/>
          <w:sz w:val="24"/>
          <w:szCs w:val="24"/>
          <w:highlight w:val="none"/>
        </w:rPr>
        <w:t>注：按提供的该表格格式填写，或使用工商管理部门的格式填写。联合体投标的，本授权书由联合体牵头</w:t>
      </w:r>
      <w:r>
        <w:rPr>
          <w:rFonts w:hint="eastAsia" w:ascii="宋体" w:hAnsi="宋体" w:cs="宋体"/>
          <w:sz w:val="24"/>
          <w:szCs w:val="24"/>
          <w:highlight w:val="none"/>
          <w:lang w:eastAsia="zh-CN"/>
        </w:rPr>
        <w:t>人（主办方）</w:t>
      </w:r>
      <w:r>
        <w:rPr>
          <w:rFonts w:hint="eastAsia" w:ascii="宋体" w:hAnsi="宋体" w:cs="宋体"/>
          <w:sz w:val="24"/>
          <w:szCs w:val="24"/>
          <w:highlight w:val="none"/>
        </w:rPr>
        <w:t>出具，并由联合体牵头</w:t>
      </w:r>
      <w:r>
        <w:rPr>
          <w:rFonts w:hint="eastAsia" w:ascii="宋体" w:hAnsi="宋体" w:cs="宋体"/>
          <w:sz w:val="24"/>
          <w:szCs w:val="24"/>
          <w:highlight w:val="none"/>
          <w:lang w:eastAsia="zh-CN"/>
        </w:rPr>
        <w:t>人（主办方）</w:t>
      </w:r>
      <w:r>
        <w:rPr>
          <w:rFonts w:hint="eastAsia" w:ascii="宋体" w:hAnsi="宋体" w:cs="宋体"/>
          <w:sz w:val="24"/>
          <w:szCs w:val="24"/>
          <w:highlight w:val="none"/>
        </w:rPr>
        <w:t>签字、盖章即可。</w:t>
      </w:r>
    </w:p>
    <w:p>
      <w:pPr>
        <w:spacing w:line="360" w:lineRule="auto"/>
        <w:rPr>
          <w:rFonts w:ascii="宋体" w:hAnsi="宋体" w:cs="宋体"/>
          <w:strike/>
          <w:highlight w:val="none"/>
        </w:rPr>
      </w:pPr>
      <w:r>
        <w:rPr>
          <w:rFonts w:hint="eastAsia" w:cs="宋体"/>
          <w:highlight w:val="none"/>
        </w:rPr>
        <w:br w:type="page"/>
      </w:r>
    </w:p>
    <w:p>
      <w:pPr>
        <w:pStyle w:val="4"/>
        <w:rPr>
          <w:rFonts w:cs="宋体"/>
          <w:highlight w:val="none"/>
        </w:rPr>
      </w:pPr>
      <w:bookmarkStart w:id="270" w:name="_Toc533357333"/>
      <w:bookmarkStart w:id="271" w:name="_Toc30389"/>
      <w:bookmarkStart w:id="272" w:name="_Toc11199"/>
      <w:r>
        <w:rPr>
          <w:rFonts w:hint="eastAsia" w:cs="宋体"/>
          <w:highlight w:val="none"/>
        </w:rPr>
        <w:t>三</w:t>
      </w:r>
      <w:r>
        <w:rPr>
          <w:rFonts w:hint="eastAsia" w:cs="宋体"/>
          <w:szCs w:val="32"/>
          <w:highlight w:val="none"/>
        </w:rPr>
        <w:t>、</w:t>
      </w:r>
      <w:r>
        <w:rPr>
          <w:rFonts w:hint="eastAsia" w:cs="宋体"/>
          <w:highlight w:val="none"/>
        </w:rPr>
        <w:t>投</w:t>
      </w:r>
      <w:r>
        <w:rPr>
          <w:rFonts w:hint="eastAsia" w:cs="宋体"/>
          <w:szCs w:val="22"/>
          <w:highlight w:val="none"/>
        </w:rPr>
        <w:t>标</w:t>
      </w:r>
      <w:r>
        <w:rPr>
          <w:rFonts w:hint="eastAsia" w:cs="宋体"/>
          <w:highlight w:val="none"/>
        </w:rPr>
        <w:t>报价书</w:t>
      </w:r>
      <w:bookmarkEnd w:id="270"/>
      <w:bookmarkEnd w:id="271"/>
      <w:bookmarkEnd w:id="272"/>
    </w:p>
    <w:p>
      <w:pPr>
        <w:spacing w:line="360" w:lineRule="auto"/>
        <w:jc w:val="center"/>
        <w:rPr>
          <w:rFonts w:ascii="宋体" w:hAnsi="宋体" w:cs="宋体"/>
          <w:b/>
          <w:bCs/>
          <w:sz w:val="30"/>
          <w:highlight w:val="none"/>
        </w:rPr>
      </w:pPr>
      <w:r>
        <w:rPr>
          <w:rFonts w:hint="eastAsia" w:ascii="宋体" w:hAnsi="宋体" w:cs="宋体"/>
          <w:b/>
          <w:bCs/>
          <w:sz w:val="30"/>
          <w:highlight w:val="none"/>
        </w:rPr>
        <w:t xml:space="preserve"> </w:t>
      </w:r>
    </w:p>
    <w:p>
      <w:pPr>
        <w:spacing w:line="360" w:lineRule="auto"/>
        <w:jc w:val="center"/>
        <w:rPr>
          <w:rFonts w:hint="eastAsia" w:ascii="宋体" w:hAnsi="宋体" w:eastAsia="宋体" w:cs="宋体"/>
          <w:b/>
          <w:bCs/>
          <w:sz w:val="52"/>
          <w:highlight w:val="none"/>
          <w:lang w:eastAsia="zh-CN"/>
        </w:rPr>
      </w:pPr>
      <w:r>
        <w:rPr>
          <w:rFonts w:hint="eastAsia" w:ascii="宋体" w:hAnsi="宋体" w:cs="宋体"/>
          <w:b/>
          <w:bCs/>
          <w:sz w:val="30"/>
          <w:highlight w:val="none"/>
        </w:rPr>
        <w:t xml:space="preserve"> 明珠工业园明珠片区新开发地块市政基础设施工程</w:t>
      </w:r>
      <w:r>
        <w:rPr>
          <w:rFonts w:hint="eastAsia" w:ascii="宋体" w:hAnsi="宋体" w:cs="宋体"/>
          <w:b/>
          <w:bCs/>
          <w:sz w:val="30"/>
          <w:highlight w:val="none"/>
          <w:lang w:eastAsia="zh-CN"/>
        </w:rPr>
        <w:t>检验检测</w:t>
      </w: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52"/>
          <w:highlight w:val="none"/>
        </w:rPr>
      </w:pPr>
      <w:r>
        <w:rPr>
          <w:rFonts w:hint="eastAsia" w:ascii="宋体" w:hAnsi="宋体" w:cs="宋体"/>
          <w:b/>
          <w:bCs/>
          <w:sz w:val="52"/>
          <w:highlight w:val="none"/>
        </w:rPr>
        <w:t>报  价  书</w:t>
      </w: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rPr>
          <w:rFonts w:ascii="宋体" w:hAnsi="宋体" w:cs="宋体"/>
          <w:b/>
          <w:bCs/>
          <w:sz w:val="30"/>
          <w:highlight w:val="none"/>
        </w:rPr>
      </w:pPr>
    </w:p>
    <w:p>
      <w:pPr>
        <w:spacing w:line="360" w:lineRule="auto"/>
        <w:ind w:firstLine="2125" w:firstLineChars="756"/>
        <w:rPr>
          <w:rFonts w:ascii="宋体" w:hAnsi="宋体" w:cs="宋体"/>
          <w:b/>
          <w:bCs/>
          <w:sz w:val="28"/>
          <w:highlight w:val="none"/>
        </w:rPr>
      </w:pPr>
      <w:r>
        <w:rPr>
          <w:rFonts w:hint="eastAsia" w:ascii="宋体" w:hAnsi="宋体" w:cs="宋体"/>
          <w:b/>
          <w:bCs/>
          <w:sz w:val="28"/>
          <w:highlight w:val="none"/>
        </w:rPr>
        <w:t xml:space="preserve">投标人：（公章） </w:t>
      </w:r>
    </w:p>
    <w:p>
      <w:pPr>
        <w:spacing w:line="360" w:lineRule="auto"/>
        <w:ind w:firstLine="2125" w:firstLineChars="756"/>
        <w:jc w:val="left"/>
        <w:rPr>
          <w:rFonts w:ascii="宋体" w:hAnsi="宋体" w:cs="宋体"/>
          <w:b/>
          <w:bCs/>
          <w:sz w:val="28"/>
          <w:highlight w:val="none"/>
        </w:rPr>
      </w:pPr>
      <w:r>
        <w:rPr>
          <w:rFonts w:hint="eastAsia" w:ascii="宋体" w:hAnsi="宋体" w:cs="宋体"/>
          <w:b/>
          <w:bCs/>
          <w:sz w:val="28"/>
          <w:highlight w:val="none"/>
        </w:rPr>
        <w:t>法定代表人(签字或盖章)：</w:t>
      </w:r>
    </w:p>
    <w:p>
      <w:pPr>
        <w:spacing w:line="360" w:lineRule="auto"/>
        <w:jc w:val="center"/>
        <w:rPr>
          <w:rFonts w:ascii="宋体" w:hAnsi="宋体" w:cs="宋体"/>
          <w:b/>
          <w:bCs/>
          <w:sz w:val="28"/>
          <w:highlight w:val="none"/>
        </w:rPr>
      </w:pPr>
      <w:r>
        <w:rPr>
          <w:rFonts w:hint="eastAsia" w:ascii="宋体" w:hAnsi="宋体" w:cs="宋体"/>
          <w:b/>
          <w:bCs/>
          <w:sz w:val="28"/>
          <w:highlight w:val="none"/>
        </w:rPr>
        <w:t>年   月   日</w:t>
      </w:r>
    </w:p>
    <w:p>
      <w:pPr>
        <w:spacing w:line="360" w:lineRule="auto"/>
        <w:jc w:val="center"/>
        <w:rPr>
          <w:rFonts w:ascii="宋体" w:hAnsi="宋体" w:cs="宋体"/>
          <w:b/>
          <w:bCs/>
          <w:sz w:val="30"/>
          <w:highlight w:val="none"/>
        </w:rPr>
      </w:pPr>
    </w:p>
    <w:p>
      <w:pPr>
        <w:spacing w:line="360" w:lineRule="auto"/>
        <w:jc w:val="center"/>
        <w:rPr>
          <w:rFonts w:ascii="宋体" w:hAnsi="宋体" w:cs="宋体"/>
          <w:b/>
          <w:bCs/>
          <w:sz w:val="30"/>
          <w:highlight w:val="none"/>
        </w:rPr>
      </w:pPr>
    </w:p>
    <w:p>
      <w:pPr>
        <w:spacing w:line="360" w:lineRule="auto"/>
        <w:rPr>
          <w:rFonts w:ascii="宋体" w:hAnsi="宋体" w:cs="宋体"/>
          <w:szCs w:val="21"/>
          <w:highlight w:val="none"/>
        </w:rPr>
        <w:sectPr>
          <w:headerReference r:id="rId5" w:type="default"/>
          <w:footerReference r:id="rId6" w:type="default"/>
          <w:pgSz w:w="11906" w:h="16838"/>
          <w:pgMar w:top="1440" w:right="1440" w:bottom="1440" w:left="1440" w:header="851" w:footer="1021" w:gutter="0"/>
          <w:cols w:space="720" w:num="1"/>
          <w:docGrid w:type="lines" w:linePitch="312" w:charSpace="0"/>
        </w:sectPr>
      </w:pPr>
    </w:p>
    <w:p>
      <w:pPr>
        <w:tabs>
          <w:tab w:val="left" w:pos="5560"/>
          <w:tab w:val="left" w:pos="6940"/>
        </w:tabs>
        <w:spacing w:line="360" w:lineRule="auto"/>
        <w:ind w:right="85"/>
        <w:jc w:val="center"/>
        <w:rPr>
          <w:rFonts w:ascii="宋体" w:hAnsi="宋体" w:cs="宋体"/>
          <w:b/>
          <w:sz w:val="32"/>
          <w:szCs w:val="28"/>
          <w:highlight w:val="none"/>
        </w:rPr>
      </w:pPr>
      <w:r>
        <w:rPr>
          <w:rFonts w:hint="eastAsia" w:ascii="宋体" w:hAnsi="宋体" w:cs="宋体"/>
          <w:b/>
          <w:sz w:val="32"/>
          <w:szCs w:val="28"/>
          <w:highlight w:val="none"/>
        </w:rPr>
        <w:t>投标报价汇总表</w:t>
      </w:r>
    </w:p>
    <w:p>
      <w:pPr>
        <w:pStyle w:val="28"/>
        <w:spacing w:after="0" w:line="360" w:lineRule="auto"/>
        <w:rPr>
          <w:rFonts w:ascii="宋体" w:hAnsi="宋体" w:cs="宋体"/>
          <w:highlight w:val="none"/>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2"/>
        <w:gridCol w:w="277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772" w:type="dxa"/>
            <w:vAlign w:val="center"/>
          </w:tcPr>
          <w:p>
            <w:pPr>
              <w:spacing w:line="360" w:lineRule="auto"/>
              <w:jc w:val="center"/>
              <w:rPr>
                <w:rFonts w:hint="eastAsia" w:ascii="宋体" w:hAnsi="宋体" w:eastAsia="宋体" w:cs="宋体"/>
                <w:b/>
                <w:kern w:val="0"/>
                <w:sz w:val="24"/>
                <w:szCs w:val="24"/>
                <w:highlight w:val="none"/>
                <w:lang w:eastAsia="zh-CN" w:bidi="ar"/>
              </w:rPr>
            </w:pPr>
            <w:r>
              <w:rPr>
                <w:rFonts w:hint="eastAsia" w:ascii="宋体" w:hAnsi="宋体" w:cs="宋体"/>
                <w:b/>
                <w:kern w:val="0"/>
                <w:sz w:val="24"/>
                <w:szCs w:val="24"/>
                <w:highlight w:val="none"/>
                <w:lang w:bidi="ar"/>
              </w:rPr>
              <w:t>项目名称</w:t>
            </w:r>
          </w:p>
        </w:tc>
        <w:tc>
          <w:tcPr>
            <w:tcW w:w="2770" w:type="dxa"/>
          </w:tcPr>
          <w:p>
            <w:pPr>
              <w:spacing w:line="360" w:lineRule="auto"/>
              <w:jc w:val="center"/>
              <w:rPr>
                <w:rFonts w:ascii="宋体" w:hAnsi="宋体" w:cs="宋体"/>
                <w:b/>
                <w:kern w:val="0"/>
                <w:sz w:val="24"/>
                <w:szCs w:val="24"/>
                <w:highlight w:val="none"/>
                <w:lang w:bidi="ar"/>
              </w:rPr>
            </w:pPr>
            <w:r>
              <w:rPr>
                <w:rFonts w:hint="eastAsia" w:ascii="宋体" w:hAnsi="宋体" w:cs="宋体"/>
                <w:b/>
                <w:kern w:val="0"/>
                <w:sz w:val="24"/>
                <w:szCs w:val="24"/>
                <w:highlight w:val="none"/>
                <w:lang w:bidi="ar"/>
              </w:rPr>
              <w:t>投标报价</w:t>
            </w:r>
          </w:p>
          <w:p>
            <w:pPr>
              <w:spacing w:line="360" w:lineRule="auto"/>
              <w:jc w:val="center"/>
              <w:rPr>
                <w:rFonts w:ascii="宋体" w:hAnsi="宋体" w:cs="宋体"/>
                <w:bCs/>
                <w:kern w:val="0"/>
                <w:sz w:val="24"/>
                <w:szCs w:val="24"/>
                <w:highlight w:val="none"/>
                <w:lang w:bidi="ar"/>
              </w:rPr>
            </w:pPr>
            <w:r>
              <w:rPr>
                <w:rFonts w:hint="eastAsia" w:ascii="宋体" w:hAnsi="宋体" w:cs="宋体"/>
                <w:b/>
                <w:kern w:val="0"/>
                <w:sz w:val="24"/>
                <w:szCs w:val="24"/>
                <w:highlight w:val="none"/>
                <w:lang w:bidi="ar"/>
              </w:rPr>
              <w:t>（元）</w:t>
            </w:r>
          </w:p>
        </w:tc>
        <w:tc>
          <w:tcPr>
            <w:tcW w:w="1977" w:type="dxa"/>
            <w:vAlign w:val="center"/>
          </w:tcPr>
          <w:p>
            <w:pPr>
              <w:spacing w:line="360" w:lineRule="auto"/>
              <w:jc w:val="center"/>
              <w:rPr>
                <w:rFonts w:ascii="宋体" w:hAnsi="宋体" w:cs="宋体"/>
                <w:b/>
                <w:kern w:val="0"/>
                <w:sz w:val="24"/>
                <w:szCs w:val="24"/>
                <w:highlight w:val="none"/>
                <w:lang w:bidi="ar"/>
              </w:rPr>
            </w:pPr>
            <w:r>
              <w:rPr>
                <w:rFonts w:hint="eastAsia" w:ascii="宋体" w:hAnsi="宋体" w:cs="宋体"/>
                <w:b/>
                <w:kern w:val="0"/>
                <w:sz w:val="24"/>
                <w:szCs w:val="24"/>
                <w:highlight w:val="none"/>
                <w:lang w:bidi="ar"/>
              </w:rPr>
              <w:t>投标下浮率</w:t>
            </w:r>
          </w:p>
          <w:p>
            <w:pPr>
              <w:spacing w:line="360" w:lineRule="auto"/>
              <w:jc w:val="center"/>
              <w:rPr>
                <w:rFonts w:ascii="宋体" w:hAnsi="宋体" w:cs="宋体"/>
                <w:b/>
                <w:kern w:val="0"/>
                <w:sz w:val="24"/>
                <w:szCs w:val="24"/>
                <w:highlight w:val="none"/>
                <w:lang w:bidi="ar"/>
              </w:rPr>
            </w:pPr>
            <w:r>
              <w:rPr>
                <w:rFonts w:hint="eastAsia" w:ascii="宋体" w:hAnsi="宋体" w:cs="宋体"/>
                <w:b/>
                <w:kern w:val="0"/>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4772" w:type="dxa"/>
            <w:vAlign w:val="center"/>
          </w:tcPr>
          <w:p>
            <w:pPr>
              <w:spacing w:line="360" w:lineRule="auto"/>
              <w:jc w:val="center"/>
              <w:rPr>
                <w:rFonts w:hint="eastAsia" w:ascii="宋体" w:hAnsi="宋体" w:eastAsia="宋体" w:cs="宋体"/>
                <w:bCs/>
                <w:kern w:val="0"/>
                <w:sz w:val="24"/>
                <w:szCs w:val="24"/>
                <w:highlight w:val="none"/>
                <w:lang w:eastAsia="zh-CN" w:bidi="ar"/>
              </w:rPr>
            </w:pPr>
            <w:r>
              <w:rPr>
                <w:rFonts w:hint="eastAsia" w:ascii="宋体" w:hAnsi="宋体" w:cs="宋体"/>
                <w:bCs/>
                <w:kern w:val="0"/>
                <w:sz w:val="24"/>
                <w:szCs w:val="24"/>
                <w:highlight w:val="none"/>
                <w:lang w:bidi="ar"/>
              </w:rPr>
              <w:t>明珠工业园明珠片区新开发地块市政基础设施工程</w:t>
            </w:r>
            <w:r>
              <w:rPr>
                <w:rFonts w:hint="eastAsia" w:ascii="宋体" w:hAnsi="宋体" w:cs="宋体"/>
                <w:bCs/>
                <w:kern w:val="0"/>
                <w:sz w:val="24"/>
                <w:szCs w:val="24"/>
                <w:highlight w:val="none"/>
                <w:lang w:eastAsia="zh-CN" w:bidi="ar"/>
              </w:rPr>
              <w:t>检验检测</w:t>
            </w:r>
          </w:p>
        </w:tc>
        <w:tc>
          <w:tcPr>
            <w:tcW w:w="2770" w:type="dxa"/>
            <w:vAlign w:val="center"/>
          </w:tcPr>
          <w:p>
            <w:pPr>
              <w:widowControl/>
              <w:spacing w:line="360" w:lineRule="auto"/>
              <w:jc w:val="center"/>
              <w:textAlignment w:val="center"/>
              <w:rPr>
                <w:rFonts w:ascii="宋体" w:hAnsi="宋体" w:cs="宋体"/>
                <w:b/>
                <w:kern w:val="0"/>
                <w:sz w:val="24"/>
                <w:szCs w:val="24"/>
                <w:highlight w:val="none"/>
                <w:lang w:bidi="ar"/>
              </w:rPr>
            </w:pPr>
          </w:p>
        </w:tc>
        <w:tc>
          <w:tcPr>
            <w:tcW w:w="1977" w:type="dxa"/>
            <w:vAlign w:val="center"/>
          </w:tcPr>
          <w:p>
            <w:pPr>
              <w:spacing w:line="360" w:lineRule="auto"/>
              <w:jc w:val="center"/>
              <w:rPr>
                <w:rFonts w:ascii="宋体" w:hAnsi="宋体" w:cs="宋体"/>
                <w:b/>
                <w:kern w:val="0"/>
                <w:sz w:val="24"/>
                <w:szCs w:val="24"/>
                <w:highlight w:val="none"/>
                <w:lang w:bidi="ar"/>
              </w:rPr>
            </w:pPr>
          </w:p>
        </w:tc>
      </w:tr>
    </w:tbl>
    <w:p>
      <w:pPr>
        <w:spacing w:line="360" w:lineRule="auto"/>
        <w:rPr>
          <w:rFonts w:ascii="宋体" w:hAnsi="宋体" w:cs="宋体"/>
          <w:highlight w:val="none"/>
        </w:rPr>
      </w:pPr>
      <w:bookmarkStart w:id="273" w:name="_Toc374536218"/>
      <w:bookmarkStart w:id="274" w:name="_Toc266373531"/>
      <w:bookmarkStart w:id="275" w:name="_Toc333829923"/>
      <w:bookmarkStart w:id="276" w:name="_Toc31556"/>
      <w:bookmarkStart w:id="277" w:name="_Toc374610687"/>
      <w:bookmarkStart w:id="278" w:name="_Toc390704770"/>
    </w:p>
    <w:p>
      <w:pPr>
        <w:pStyle w:val="28"/>
        <w:spacing w:after="0" w:line="360" w:lineRule="auto"/>
        <w:ind w:firstLine="422"/>
        <w:rPr>
          <w:rFonts w:ascii="宋体" w:hAnsi="宋体" w:cs="宋体"/>
          <w:b/>
          <w:highlight w:val="none"/>
          <w:u w:val="single"/>
        </w:rPr>
      </w:pPr>
      <w:r>
        <w:rPr>
          <w:rFonts w:hint="eastAsia" w:ascii="宋体" w:hAnsi="宋体" w:cs="宋体"/>
          <w:b/>
          <w:highlight w:val="none"/>
          <w:u w:val="single"/>
        </w:rPr>
        <w:t>注：</w:t>
      </w:r>
    </w:p>
    <w:p>
      <w:pPr>
        <w:pStyle w:val="28"/>
        <w:spacing w:after="0" w:line="360" w:lineRule="auto"/>
        <w:ind w:firstLine="422"/>
        <w:rPr>
          <w:rFonts w:ascii="宋体" w:hAnsi="宋体" w:cs="宋体"/>
          <w:b/>
          <w:highlight w:val="none"/>
          <w:u w:val="single"/>
        </w:rPr>
      </w:pPr>
      <w:r>
        <w:rPr>
          <w:rFonts w:hint="eastAsia" w:ascii="宋体" w:hAnsi="宋体" w:cs="宋体"/>
          <w:b/>
          <w:highlight w:val="none"/>
          <w:u w:val="single"/>
        </w:rPr>
        <w:t>1、投标下浮率=（1－投标报价/最高投标限价）×100%。</w:t>
      </w:r>
    </w:p>
    <w:p>
      <w:pPr>
        <w:pStyle w:val="28"/>
        <w:spacing w:after="0" w:line="360" w:lineRule="auto"/>
        <w:ind w:firstLine="422"/>
        <w:rPr>
          <w:rFonts w:ascii="宋体" w:hAnsi="宋体" w:cs="宋体"/>
          <w:b/>
          <w:highlight w:val="none"/>
          <w:u w:val="single"/>
        </w:rPr>
      </w:pPr>
      <w:r>
        <w:rPr>
          <w:rFonts w:hint="eastAsia" w:ascii="宋体" w:hAnsi="宋体" w:cs="宋体"/>
          <w:b/>
          <w:highlight w:val="none"/>
          <w:u w:val="single"/>
        </w:rPr>
        <w:t>2、精确到小数点后2位。</w:t>
      </w:r>
    </w:p>
    <w:p>
      <w:pPr>
        <w:pStyle w:val="28"/>
        <w:spacing w:after="0" w:line="360" w:lineRule="auto"/>
        <w:rPr>
          <w:rFonts w:ascii="宋体" w:hAnsi="宋体" w:cs="宋体"/>
          <w:highlight w:val="none"/>
        </w:rPr>
      </w:pPr>
    </w:p>
    <w:p>
      <w:pPr>
        <w:pStyle w:val="28"/>
        <w:spacing w:after="0" w:line="360" w:lineRule="auto"/>
        <w:rPr>
          <w:rFonts w:ascii="宋体" w:hAnsi="宋体" w:cs="宋体"/>
          <w:highlight w:val="none"/>
        </w:rPr>
      </w:pPr>
    </w:p>
    <w:p>
      <w:pPr>
        <w:pStyle w:val="28"/>
        <w:spacing w:after="0" w:line="360" w:lineRule="auto"/>
        <w:rPr>
          <w:rFonts w:ascii="宋体" w:hAnsi="宋体" w:cs="宋体"/>
          <w:highlight w:val="none"/>
        </w:rPr>
      </w:pPr>
    </w:p>
    <w:p>
      <w:pPr>
        <w:pStyle w:val="13"/>
        <w:tabs>
          <w:tab w:val="left" w:pos="7321"/>
        </w:tabs>
        <w:spacing w:line="360" w:lineRule="auto"/>
        <w:ind w:left="2701"/>
        <w:jc w:val="right"/>
        <w:rPr>
          <w:rFonts w:ascii="宋体" w:hAnsi="宋体" w:cs="宋体"/>
          <w:highlight w:val="none"/>
        </w:rPr>
      </w:pPr>
      <w:r>
        <w:rPr>
          <w:rFonts w:hint="eastAsia" w:ascii="宋体" w:hAnsi="宋体" w:cs="宋体"/>
          <w:highlight w:val="none"/>
        </w:rPr>
        <w:t>投标人：</w:t>
      </w:r>
      <w:r>
        <w:rPr>
          <w:rFonts w:hint="eastAsia" w:ascii="宋体" w:hAnsi="宋体" w:cs="宋体"/>
          <w:highlight w:val="none"/>
          <w:u w:val="single" w:color="000000"/>
        </w:rPr>
        <w:tab/>
      </w:r>
      <w:r>
        <w:rPr>
          <w:rFonts w:hint="eastAsia" w:ascii="宋体" w:hAnsi="宋体" w:cs="宋体"/>
          <w:highlight w:val="none"/>
        </w:rPr>
        <w:t>（盖单位章）</w:t>
      </w:r>
    </w:p>
    <w:p>
      <w:pPr>
        <w:spacing w:line="360" w:lineRule="auto"/>
        <w:jc w:val="right"/>
        <w:rPr>
          <w:rFonts w:ascii="宋体" w:hAnsi="宋体" w:cs="宋体"/>
          <w:sz w:val="9"/>
          <w:szCs w:val="9"/>
          <w:highlight w:val="none"/>
        </w:rPr>
      </w:pPr>
    </w:p>
    <w:p>
      <w:pPr>
        <w:pStyle w:val="13"/>
        <w:tabs>
          <w:tab w:val="left" w:pos="6481"/>
        </w:tabs>
        <w:spacing w:line="360" w:lineRule="auto"/>
        <w:ind w:left="2701"/>
        <w:jc w:val="right"/>
        <w:rPr>
          <w:rFonts w:ascii="宋体" w:hAnsi="宋体" w:cs="宋体"/>
          <w:highlight w:val="none"/>
        </w:rPr>
      </w:pPr>
      <w:r>
        <w:rPr>
          <w:rFonts w:hint="eastAsia" w:ascii="宋体" w:hAnsi="宋体" w:cs="宋体"/>
          <w:spacing w:val="-2"/>
          <w:highlight w:val="none"/>
        </w:rPr>
        <w:t>法定代表人或其委托代理人：</w:t>
      </w:r>
      <w:r>
        <w:rPr>
          <w:rFonts w:hint="eastAsia" w:ascii="宋体" w:hAnsi="宋体" w:cs="宋体"/>
          <w:spacing w:val="-2"/>
          <w:highlight w:val="none"/>
          <w:u w:val="single" w:color="000000"/>
        </w:rPr>
        <w:tab/>
      </w:r>
      <w:r>
        <w:rPr>
          <w:rFonts w:hint="eastAsia" w:ascii="宋体" w:hAnsi="宋体" w:cs="宋体"/>
          <w:spacing w:val="-1"/>
          <w:highlight w:val="none"/>
        </w:rPr>
        <w:t>（签字或盖章）</w:t>
      </w:r>
    </w:p>
    <w:p>
      <w:pPr>
        <w:spacing w:line="360" w:lineRule="auto"/>
        <w:jc w:val="right"/>
        <w:rPr>
          <w:rFonts w:ascii="宋体" w:hAnsi="宋体" w:cs="宋体"/>
          <w:sz w:val="9"/>
          <w:szCs w:val="9"/>
          <w:highlight w:val="none"/>
        </w:rPr>
      </w:pPr>
    </w:p>
    <w:p>
      <w:pPr>
        <w:pStyle w:val="28"/>
        <w:spacing w:after="0" w:line="360" w:lineRule="auto"/>
        <w:jc w:val="right"/>
        <w:rPr>
          <w:rFonts w:ascii="宋体" w:hAnsi="宋体" w:cs="宋体"/>
          <w:highlight w:val="none"/>
        </w:rPr>
      </w:pPr>
      <w:r>
        <w:rPr>
          <w:rFonts w:hint="eastAsia" w:ascii="宋体" w:hAnsi="宋体" w:cs="宋体"/>
          <w:highlight w:val="none"/>
          <w:u w:val="single" w:color="000000"/>
        </w:rPr>
        <w:tab/>
      </w:r>
      <w:r>
        <w:rPr>
          <w:rFonts w:hint="eastAsia" w:ascii="宋体" w:hAnsi="宋体" w:cs="宋体"/>
          <w:highlight w:val="none"/>
        </w:rPr>
        <w:t>年</w:t>
      </w:r>
      <w:r>
        <w:rPr>
          <w:rFonts w:hint="eastAsia" w:ascii="宋体" w:hAnsi="宋体" w:cs="宋体"/>
          <w:highlight w:val="none"/>
          <w:u w:val="single" w:color="000000"/>
        </w:rPr>
        <w:tab/>
      </w:r>
      <w:r>
        <w:rPr>
          <w:rFonts w:hint="eastAsia" w:ascii="宋体" w:hAnsi="宋体" w:cs="宋体"/>
          <w:highlight w:val="none"/>
          <w:u w:val="single" w:color="000000"/>
        </w:rPr>
        <w:t xml:space="preserve"> </w:t>
      </w:r>
      <w:r>
        <w:rPr>
          <w:rFonts w:hint="eastAsia" w:ascii="宋体" w:hAnsi="宋体" w:cs="宋体"/>
          <w:highlight w:val="none"/>
        </w:rPr>
        <w:t>月</w:t>
      </w:r>
      <w:r>
        <w:rPr>
          <w:rFonts w:hint="eastAsia" w:ascii="宋体" w:hAnsi="宋体" w:cs="宋体"/>
          <w:highlight w:val="none"/>
          <w:u w:val="single" w:color="000000"/>
        </w:rPr>
        <w:tab/>
      </w:r>
      <w:r>
        <w:rPr>
          <w:rFonts w:hint="eastAsia" w:ascii="宋体" w:hAnsi="宋体" w:cs="宋体"/>
          <w:highlight w:val="none"/>
          <w:u w:val="single" w:color="000000"/>
        </w:rPr>
        <w:t xml:space="preserve">  </w:t>
      </w:r>
      <w:r>
        <w:rPr>
          <w:rFonts w:hint="eastAsia" w:ascii="宋体" w:hAnsi="宋体" w:cs="宋体"/>
          <w:highlight w:val="none"/>
        </w:rPr>
        <w:t>日</w:t>
      </w:r>
    </w:p>
    <w:p>
      <w:pPr>
        <w:pStyle w:val="3"/>
        <w:spacing w:line="360" w:lineRule="auto"/>
        <w:jc w:val="both"/>
        <w:rPr>
          <w:rFonts w:ascii="宋体" w:hAnsi="宋体" w:cs="宋体"/>
          <w:sz w:val="30"/>
          <w:szCs w:val="30"/>
          <w:highlight w:val="none"/>
        </w:rPr>
      </w:pPr>
      <w:r>
        <w:rPr>
          <w:rFonts w:hint="eastAsia" w:ascii="宋体" w:hAnsi="宋体" w:cs="宋体"/>
          <w:highlight w:val="none"/>
        </w:rPr>
        <w:br w:type="page"/>
      </w:r>
      <w:bookmarkEnd w:id="273"/>
      <w:bookmarkEnd w:id="274"/>
      <w:bookmarkEnd w:id="275"/>
      <w:bookmarkEnd w:id="276"/>
      <w:bookmarkEnd w:id="277"/>
      <w:bookmarkEnd w:id="278"/>
      <w:bookmarkStart w:id="279" w:name="_Toc22267"/>
      <w:r>
        <w:rPr>
          <w:rFonts w:hint="eastAsia" w:ascii="宋体" w:hAnsi="宋体" w:cs="宋体"/>
          <w:sz w:val="30"/>
          <w:szCs w:val="30"/>
          <w:highlight w:val="none"/>
        </w:rPr>
        <w:t>四、投标承诺书</w:t>
      </w:r>
      <w:bookmarkEnd w:id="279"/>
    </w:p>
    <w:p>
      <w:pPr>
        <w:autoSpaceDE w:val="0"/>
        <w:autoSpaceDN w:val="0"/>
        <w:adjustRightInd w:val="0"/>
        <w:spacing w:line="360" w:lineRule="auto"/>
        <w:jc w:val="center"/>
        <w:rPr>
          <w:rFonts w:ascii="宋体" w:hAnsi="宋体" w:cs="宋体"/>
          <w:b/>
          <w:sz w:val="28"/>
          <w:szCs w:val="28"/>
          <w:highlight w:val="none"/>
          <w:lang w:val="zh-CN"/>
        </w:rPr>
      </w:pPr>
      <w:bookmarkStart w:id="280" w:name="_Toc25361_WPSOffice_Level1"/>
      <w:bookmarkStart w:id="281" w:name="_Toc19688_WPSOffice_Level1"/>
      <w:r>
        <w:rPr>
          <w:rFonts w:hint="eastAsia" w:ascii="宋体" w:hAnsi="宋体" w:cs="宋体"/>
          <w:b/>
          <w:sz w:val="28"/>
          <w:szCs w:val="28"/>
          <w:highlight w:val="none"/>
          <w:lang w:val="zh-CN" w:bidi="ar"/>
        </w:rPr>
        <w:t>投标承诺书</w:t>
      </w:r>
      <w:bookmarkEnd w:id="280"/>
      <w:bookmarkEnd w:id="281"/>
    </w:p>
    <w:p>
      <w:pPr>
        <w:spacing w:line="360" w:lineRule="auto"/>
        <w:rPr>
          <w:rFonts w:ascii="宋体" w:hAnsi="宋体" w:cs="宋体"/>
          <w:sz w:val="24"/>
          <w:szCs w:val="24"/>
          <w:highlight w:val="none"/>
        </w:rPr>
      </w:pPr>
      <w:r>
        <w:rPr>
          <w:rFonts w:hint="eastAsia" w:ascii="宋体" w:hAnsi="宋体" w:cs="宋体"/>
          <w:sz w:val="24"/>
          <w:szCs w:val="24"/>
          <w:highlight w:val="none"/>
          <w:lang w:bidi="ar"/>
        </w:rPr>
        <w:t>致：</w:t>
      </w:r>
      <w:r>
        <w:rPr>
          <w:rFonts w:hint="eastAsia" w:ascii="宋体" w:hAnsi="宋体" w:cs="宋体"/>
          <w:sz w:val="24"/>
          <w:szCs w:val="24"/>
          <w:highlight w:val="none"/>
          <w:u w:val="single"/>
          <w:lang w:bidi="ar"/>
        </w:rPr>
        <w:t xml:space="preserve">     （招标人名称）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bidi="ar"/>
        </w:rPr>
        <w:t>我司确认收到贵单位提供的</w:t>
      </w:r>
      <w:r>
        <w:rPr>
          <w:rFonts w:hint="eastAsia" w:ascii="宋体" w:hAnsi="宋体" w:cs="宋体"/>
          <w:sz w:val="24"/>
          <w:szCs w:val="24"/>
          <w:highlight w:val="none"/>
          <w:u w:val="single"/>
          <w:lang w:bidi="ar"/>
        </w:rPr>
        <w:t xml:space="preserve">      （项目名称）      </w:t>
      </w:r>
      <w:r>
        <w:rPr>
          <w:rFonts w:hint="eastAsia" w:ascii="宋体" w:hAnsi="宋体" w:cs="宋体"/>
          <w:sz w:val="24"/>
          <w:szCs w:val="24"/>
          <w:highlight w:val="none"/>
          <w:lang w:bidi="ar"/>
        </w:rPr>
        <w:t>招标文件的全部内容，我司：</w:t>
      </w:r>
      <w:r>
        <w:rPr>
          <w:rFonts w:hint="eastAsia" w:ascii="宋体" w:hAnsi="宋体" w:cs="宋体"/>
          <w:sz w:val="24"/>
          <w:szCs w:val="24"/>
          <w:highlight w:val="none"/>
          <w:u w:val="single"/>
          <w:lang w:bidi="ar"/>
        </w:rPr>
        <w:t xml:space="preserve">       (投标人名称)      </w:t>
      </w:r>
      <w:r>
        <w:rPr>
          <w:rFonts w:hint="eastAsia" w:ascii="宋体" w:hAnsi="宋体" w:cs="宋体"/>
          <w:sz w:val="24"/>
          <w:szCs w:val="24"/>
          <w:highlight w:val="none"/>
          <w:lang w:bidi="ar"/>
        </w:rPr>
        <w:t>已作为投标人正式授权</w:t>
      </w:r>
      <w:r>
        <w:rPr>
          <w:rFonts w:hint="eastAsia" w:ascii="宋体" w:hAnsi="宋体" w:cs="宋体"/>
          <w:sz w:val="24"/>
          <w:szCs w:val="24"/>
          <w:highlight w:val="none"/>
          <w:u w:val="single"/>
          <w:lang w:bidi="ar"/>
        </w:rPr>
        <w:t xml:space="preserve">         (授权代表全名，职务)    </w:t>
      </w:r>
      <w:r>
        <w:rPr>
          <w:rFonts w:hint="eastAsia" w:ascii="宋体" w:hAnsi="宋体" w:cs="宋体"/>
          <w:sz w:val="24"/>
          <w:szCs w:val="24"/>
          <w:highlight w:val="none"/>
          <w:lang w:bidi="ar"/>
        </w:rPr>
        <w:t>代表我司进行有关本投标的一切事宜。</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bidi="ar"/>
        </w:rPr>
        <w:t>我司已完全明白和接受招标文件的所有条款要求，并重申以下几点：</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bidi="ar"/>
        </w:rPr>
        <w:t>1．我司已详细研究并理解招标人提供的所有资料内容，同意招标文件的内容，对招标文件内容和约束无异议，充分了解了现场条件对可能存在的所有风险都已充分考虑，我司放弃在此方面提出含糊意见或误解的一切权力，承认招标文件的所有条款，按招标文件规定条款完成本次招标项目的内容。</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bidi="ar"/>
        </w:rPr>
        <w:t>2. 我司已充分阅读了本项目招标文件并充分了解有关报价方式及变更、结算方式，我司完全响应招标文件的规定。</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bidi="ar"/>
        </w:rPr>
        <w:t>3．我司承诺投标文件中的一切资料、数据是真实的，并承担由此引起的一切责任。</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bidi="ar"/>
        </w:rPr>
        <w:t>4．我司如果中标，我司保证：</w:t>
      </w:r>
    </w:p>
    <w:p>
      <w:pPr>
        <w:spacing w:line="360" w:lineRule="auto"/>
        <w:ind w:firstLine="480" w:firstLineChars="200"/>
        <w:rPr>
          <w:rFonts w:ascii="宋体" w:hAnsi="宋体" w:cs="宋体"/>
          <w:sz w:val="24"/>
          <w:szCs w:val="24"/>
          <w:highlight w:val="none"/>
          <w:lang w:bidi="ar"/>
        </w:rPr>
      </w:pPr>
      <w:r>
        <w:rPr>
          <w:rFonts w:hint="eastAsia" w:ascii="宋体" w:hAnsi="宋体" w:cs="宋体"/>
          <w:sz w:val="24"/>
          <w:szCs w:val="24"/>
          <w:highlight w:val="none"/>
          <w:lang w:val="zh-CN" w:bidi="ar"/>
        </w:rPr>
        <w:t>按投标时的报价与招标人签订合同，绝不因价格原因拒绝签订合同或终止合约关系或签订合同后中途放弃履约合同。实际投入本项目的人员、材料、机械、设备与我司递交的投标文件一致，且不低于本项目招标文件的要求。若不满足招标文件要求，我司承诺无条件按招标人的要求进行更换，如仍未能满足本项目的要求，招标人有权依法另行调配人员设备投入以保证工程需要，相关费用在我方工程款项中支付。如果我司未能在本项目投入足够的人力、设备，未能按约定工期，未能保质保量保进度完成工程任务，且不服从业主的安排，我方自愿按合同约定承担违约责任，并同意被入不良行为黑名单和“严重失信行为联合惩戒对象”，一年内不得参与“严重失信行为联合惩戒” 机制联盟单位所有项目的投标。</w:t>
      </w:r>
    </w:p>
    <w:p>
      <w:pPr>
        <w:spacing w:line="360" w:lineRule="auto"/>
        <w:ind w:firstLine="3840" w:firstLineChars="1600"/>
        <w:rPr>
          <w:rFonts w:ascii="宋体" w:hAnsi="宋体" w:cs="宋体"/>
          <w:sz w:val="24"/>
          <w:szCs w:val="24"/>
          <w:highlight w:val="none"/>
        </w:rPr>
      </w:pPr>
    </w:p>
    <w:p>
      <w:pPr>
        <w:spacing w:line="360" w:lineRule="auto"/>
        <w:ind w:firstLine="3840" w:firstLineChars="1600"/>
        <w:rPr>
          <w:rFonts w:ascii="宋体" w:hAnsi="宋体" w:cs="宋体"/>
          <w:sz w:val="24"/>
          <w:szCs w:val="24"/>
          <w:highlight w:val="none"/>
        </w:rPr>
      </w:pPr>
      <w:r>
        <w:rPr>
          <w:rFonts w:hint="eastAsia" w:ascii="宋体" w:hAnsi="宋体" w:cs="宋体"/>
          <w:sz w:val="24"/>
          <w:szCs w:val="24"/>
          <w:highlight w:val="none"/>
          <w:lang w:bidi="ar"/>
        </w:rPr>
        <w:t>投标人：    （盖章）</w:t>
      </w:r>
    </w:p>
    <w:p>
      <w:pPr>
        <w:spacing w:line="360" w:lineRule="auto"/>
        <w:ind w:firstLine="3840" w:firstLineChars="1600"/>
        <w:rPr>
          <w:rFonts w:ascii="宋体" w:hAnsi="宋体" w:cs="宋体"/>
          <w:sz w:val="24"/>
          <w:szCs w:val="24"/>
          <w:highlight w:val="none"/>
        </w:rPr>
      </w:pPr>
      <w:r>
        <w:rPr>
          <w:rFonts w:hint="eastAsia" w:ascii="宋体" w:hAnsi="宋体" w:cs="宋体"/>
          <w:sz w:val="24"/>
          <w:szCs w:val="24"/>
          <w:highlight w:val="none"/>
          <w:lang w:bidi="ar"/>
        </w:rPr>
        <w:t>法定代表人或其授权代理人(签字或盖章)：</w:t>
      </w:r>
    </w:p>
    <w:p>
      <w:pPr>
        <w:spacing w:line="360" w:lineRule="auto"/>
        <w:ind w:firstLine="3840" w:firstLineChars="1600"/>
        <w:rPr>
          <w:rFonts w:ascii="宋体" w:hAnsi="宋体" w:cs="宋体"/>
          <w:sz w:val="24"/>
          <w:szCs w:val="24"/>
          <w:highlight w:val="none"/>
        </w:rPr>
      </w:pPr>
      <w:r>
        <w:rPr>
          <w:rFonts w:hint="eastAsia" w:ascii="宋体" w:hAnsi="宋体" w:cs="宋体"/>
          <w:sz w:val="24"/>
          <w:szCs w:val="24"/>
          <w:highlight w:val="none"/>
          <w:lang w:bidi="ar"/>
        </w:rPr>
        <w:t>日   期：    年    月    日</w:t>
      </w:r>
    </w:p>
    <w:p>
      <w:pPr>
        <w:spacing w:line="360" w:lineRule="auto"/>
        <w:rPr>
          <w:rFonts w:ascii="宋体" w:hAnsi="宋体" w:cs="宋体"/>
          <w:highlight w:val="none"/>
        </w:rPr>
      </w:pPr>
      <w:r>
        <w:rPr>
          <w:rFonts w:hint="eastAsia" w:ascii="宋体" w:hAnsi="宋体" w:cs="宋体"/>
          <w:highlight w:val="none"/>
        </w:rPr>
        <w:br w:type="page"/>
      </w:r>
    </w:p>
    <w:p>
      <w:pPr>
        <w:pStyle w:val="4"/>
        <w:rPr>
          <w:rFonts w:cs="宋体"/>
          <w:highlight w:val="none"/>
        </w:rPr>
      </w:pPr>
      <w:bookmarkStart w:id="282" w:name="_Toc23243"/>
      <w:r>
        <w:rPr>
          <w:rFonts w:hint="eastAsia" w:cs="宋体"/>
          <w:highlight w:val="none"/>
        </w:rPr>
        <w:t>五、资格审查资料</w:t>
      </w:r>
      <w:bookmarkEnd w:id="282"/>
    </w:p>
    <w:p>
      <w:pPr>
        <w:widowControl/>
        <w:spacing w:line="360" w:lineRule="auto"/>
        <w:jc w:val="center"/>
        <w:rPr>
          <w:rFonts w:ascii="宋体" w:hAnsi="宋体" w:cs="宋体"/>
          <w:b/>
          <w:bCs/>
          <w:kern w:val="0"/>
          <w:szCs w:val="21"/>
          <w:highlight w:val="none"/>
        </w:rPr>
      </w:pPr>
      <w:r>
        <w:rPr>
          <w:rFonts w:hint="eastAsia" w:ascii="宋体" w:hAnsi="宋体" w:cs="宋体"/>
          <w:b/>
          <w:bCs/>
          <w:kern w:val="0"/>
          <w:szCs w:val="21"/>
          <w:highlight w:val="none"/>
        </w:rPr>
        <w:t>（一）投标人基本情况表</w:t>
      </w: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投标人名称</w:t>
            </w:r>
          </w:p>
        </w:tc>
        <w:tc>
          <w:tcPr>
            <w:tcW w:w="6840"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电话</w:t>
            </w:r>
          </w:p>
        </w:tc>
        <w:tc>
          <w:tcPr>
            <w:tcW w:w="2342" w:type="dxa"/>
            <w:gridSpan w:val="3"/>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bottom w:val="single" w:color="auto" w:sz="4" w:space="0"/>
              <w:right w:val="single" w:color="auto" w:sz="4" w:space="0"/>
            </w:tcBorders>
            <w:vAlign w:val="center"/>
          </w:tcPr>
          <w:p>
            <w:pPr>
              <w:spacing w:line="360" w:lineRule="auto"/>
              <w:jc w:val="center"/>
              <w:rPr>
                <w:rFonts w:ascii="宋体" w:hAnsi="宋体" w:cs="宋体"/>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传真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网址</w:t>
            </w:r>
          </w:p>
        </w:tc>
        <w:tc>
          <w:tcPr>
            <w:tcW w:w="2342" w:type="dxa"/>
            <w:gridSpan w:val="3"/>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电话</w:t>
            </w:r>
          </w:p>
        </w:tc>
        <w:tc>
          <w:tcPr>
            <w:tcW w:w="1230" w:type="dxa"/>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电话</w:t>
            </w:r>
          </w:p>
        </w:tc>
        <w:tc>
          <w:tcPr>
            <w:tcW w:w="1230" w:type="dxa"/>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企业资质证书</w:t>
            </w:r>
          </w:p>
        </w:tc>
        <w:tc>
          <w:tcPr>
            <w:tcW w:w="6840" w:type="dxa"/>
            <w:gridSpan w:val="8"/>
            <w:tcBorders>
              <w:top w:val="single" w:color="auto" w:sz="4" w:space="0"/>
              <w:left w:val="single" w:color="auto" w:sz="4" w:space="0"/>
              <w:bottom w:val="single" w:color="auto" w:sz="4" w:space="0"/>
            </w:tcBorders>
            <w:vAlign w:val="center"/>
          </w:tcPr>
          <w:p>
            <w:pPr>
              <w:topLinePunct/>
              <w:spacing w:line="360" w:lineRule="auto"/>
              <w:ind w:firstLine="105" w:firstLineChars="50"/>
              <w:rPr>
                <w:rFonts w:ascii="宋体" w:hAnsi="宋体" w:cs="宋体"/>
                <w:highlight w:val="none"/>
              </w:rPr>
            </w:pPr>
            <w:r>
              <w:rPr>
                <w:rFonts w:hint="eastAsia" w:ascii="宋体" w:hAnsi="宋体" w:cs="宋体"/>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质量管理体系证书（如有）</w:t>
            </w:r>
          </w:p>
        </w:tc>
        <w:tc>
          <w:tcPr>
            <w:tcW w:w="6840" w:type="dxa"/>
            <w:gridSpan w:val="8"/>
            <w:tcBorders>
              <w:top w:val="single" w:color="auto" w:sz="4" w:space="0"/>
              <w:left w:val="single" w:color="auto" w:sz="4" w:space="0"/>
              <w:bottom w:val="single" w:color="auto" w:sz="4" w:space="0"/>
            </w:tcBorders>
            <w:vAlign w:val="center"/>
          </w:tcPr>
          <w:p>
            <w:pPr>
              <w:topLinePunct/>
              <w:spacing w:line="360" w:lineRule="auto"/>
              <w:ind w:firstLine="105" w:firstLineChars="50"/>
              <w:rPr>
                <w:rFonts w:ascii="宋体" w:hAnsi="宋体" w:cs="宋体"/>
                <w:highlight w:val="none"/>
              </w:rPr>
            </w:pPr>
            <w:r>
              <w:rPr>
                <w:rFonts w:hint="eastAsia" w:ascii="宋体" w:hAnsi="宋体" w:cs="宋体"/>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3629" w:type="dxa"/>
            <w:gridSpan w:val="5"/>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414" w:type="dxa"/>
            <w:vMerge w:val="restart"/>
            <w:tcBorders>
              <w:top w:val="single" w:color="auto" w:sz="4" w:space="0"/>
              <w:left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高级职称人员</w:t>
            </w:r>
          </w:p>
        </w:tc>
        <w:tc>
          <w:tcPr>
            <w:tcW w:w="1514"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414" w:type="dxa"/>
            <w:vMerge w:val="continue"/>
            <w:tcBorders>
              <w:left w:val="single" w:color="auto" w:sz="4" w:space="0"/>
              <w:right w:val="single" w:color="auto" w:sz="4" w:space="0"/>
            </w:tcBorders>
            <w:vAlign w:val="center"/>
          </w:tcPr>
          <w:p>
            <w:pPr>
              <w:spacing w:line="360" w:lineRule="auto"/>
              <w:jc w:val="center"/>
              <w:rPr>
                <w:rFonts w:ascii="宋体" w:hAnsi="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中级职称人员</w:t>
            </w:r>
          </w:p>
        </w:tc>
        <w:tc>
          <w:tcPr>
            <w:tcW w:w="1514"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414" w:type="dxa"/>
            <w:vMerge w:val="continue"/>
            <w:tcBorders>
              <w:left w:val="single" w:color="auto" w:sz="4" w:space="0"/>
              <w:right w:val="single" w:color="auto" w:sz="4" w:space="0"/>
            </w:tcBorders>
            <w:vAlign w:val="center"/>
          </w:tcPr>
          <w:p>
            <w:pPr>
              <w:spacing w:line="360" w:lineRule="auto"/>
              <w:jc w:val="center"/>
              <w:rPr>
                <w:rFonts w:ascii="宋体" w:hAnsi="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技术人员数量</w:t>
            </w:r>
          </w:p>
        </w:tc>
        <w:tc>
          <w:tcPr>
            <w:tcW w:w="1514"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p>
        </w:tc>
        <w:tc>
          <w:tcPr>
            <w:tcW w:w="414" w:type="dxa"/>
            <w:vMerge w:val="continue"/>
            <w:tcBorders>
              <w:left w:val="single" w:color="auto" w:sz="4" w:space="0"/>
              <w:right w:val="single" w:color="auto" w:sz="4" w:space="0"/>
            </w:tcBorders>
            <w:vAlign w:val="center"/>
          </w:tcPr>
          <w:p>
            <w:pPr>
              <w:spacing w:line="360" w:lineRule="auto"/>
              <w:jc w:val="center"/>
              <w:rPr>
                <w:rFonts w:ascii="宋体" w:hAnsi="宋体" w:cs="宋体"/>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szCs w:val="21"/>
                <w:highlight w:val="none"/>
              </w:rPr>
              <w:t>各类注册人员</w:t>
            </w:r>
          </w:p>
        </w:tc>
        <w:tc>
          <w:tcPr>
            <w:tcW w:w="1514" w:type="dxa"/>
            <w:gridSpan w:val="2"/>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right w:val="single" w:color="auto" w:sz="4" w:space="0"/>
            </w:tcBorders>
            <w:vAlign w:val="center"/>
          </w:tcPr>
          <w:p>
            <w:pPr>
              <w:topLinePunct/>
              <w:spacing w:line="360" w:lineRule="auto"/>
              <w:ind w:firstLine="210" w:firstLineChars="100"/>
              <w:jc w:val="center"/>
              <w:rPr>
                <w:rFonts w:ascii="宋体" w:hAnsi="宋体" w:cs="宋体"/>
                <w:highlight w:val="none"/>
              </w:rPr>
            </w:pPr>
            <w:r>
              <w:rPr>
                <w:rFonts w:hint="eastAsia" w:ascii="宋体" w:hAnsi="宋体" w:cs="宋体"/>
                <w:highlight w:val="none"/>
              </w:rPr>
              <w:t>经营范围</w:t>
            </w:r>
          </w:p>
        </w:tc>
        <w:tc>
          <w:tcPr>
            <w:tcW w:w="6840" w:type="dxa"/>
            <w:gridSpan w:val="8"/>
            <w:tcBorders>
              <w:top w:val="single" w:color="auto" w:sz="4" w:space="0"/>
              <w:left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szCs w:val="21"/>
                <w:highlight w:val="none"/>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tcBorders>
            <w:vAlign w:val="center"/>
          </w:tcPr>
          <w:p>
            <w:pPr>
              <w:topLinePunct/>
              <w:spacing w:line="360" w:lineRule="auto"/>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备注</w:t>
            </w:r>
          </w:p>
        </w:tc>
        <w:tc>
          <w:tcPr>
            <w:tcW w:w="6840" w:type="dxa"/>
            <w:gridSpan w:val="8"/>
            <w:tcBorders>
              <w:top w:val="single" w:color="auto" w:sz="4" w:space="0"/>
              <w:left w:val="single" w:color="auto" w:sz="4" w:space="0"/>
              <w:bottom w:val="single" w:color="auto" w:sz="4" w:space="0"/>
            </w:tcBorders>
            <w:vAlign w:val="center"/>
          </w:tcPr>
          <w:p>
            <w:pPr>
              <w:topLinePunct/>
              <w:spacing w:line="360" w:lineRule="auto"/>
              <w:jc w:val="center"/>
              <w:rPr>
                <w:rFonts w:ascii="宋体" w:hAnsi="宋体" w:cs="宋体"/>
                <w:highlight w:val="none"/>
              </w:rPr>
            </w:pPr>
          </w:p>
        </w:tc>
      </w:tr>
    </w:tbl>
    <w:p>
      <w:pPr>
        <w:snapToGrid w:val="0"/>
        <w:spacing w:line="360" w:lineRule="auto"/>
        <w:rPr>
          <w:rFonts w:ascii="宋体" w:hAnsi="宋体" w:cs="宋体"/>
          <w:spacing w:val="-5"/>
          <w:szCs w:val="21"/>
          <w:highlight w:val="none"/>
        </w:rPr>
      </w:pPr>
    </w:p>
    <w:p>
      <w:pPr>
        <w:snapToGrid w:val="0"/>
        <w:spacing w:line="360" w:lineRule="auto"/>
        <w:rPr>
          <w:rFonts w:ascii="宋体" w:hAnsi="宋体" w:cs="宋体"/>
          <w:spacing w:val="-5"/>
          <w:szCs w:val="21"/>
          <w:highlight w:val="none"/>
        </w:rPr>
      </w:pPr>
      <w:r>
        <w:rPr>
          <w:rFonts w:hint="eastAsia" w:ascii="宋体" w:hAnsi="宋体" w:cs="宋体"/>
          <w:spacing w:val="-5"/>
          <w:szCs w:val="21"/>
          <w:highlight w:val="none"/>
        </w:rPr>
        <w:t>注：1.联系人栏应填写两个人的联系方式以便于联系。</w:t>
      </w:r>
    </w:p>
    <w:p>
      <w:pPr>
        <w:snapToGrid w:val="0"/>
        <w:spacing w:line="360" w:lineRule="auto"/>
        <w:rPr>
          <w:rFonts w:ascii="宋体" w:hAnsi="宋体" w:cs="宋体"/>
          <w:spacing w:val="-5"/>
          <w:szCs w:val="21"/>
          <w:highlight w:val="none"/>
        </w:rPr>
      </w:pPr>
      <w:r>
        <w:rPr>
          <w:rFonts w:hint="eastAsia" w:ascii="宋体" w:hAnsi="宋体" w:cs="宋体"/>
          <w:spacing w:val="-5"/>
          <w:szCs w:val="21"/>
          <w:highlight w:val="none"/>
        </w:rPr>
        <w:t>2、本表后须附检测投标单位的营业执照副本或事业单位法人证书副本、建设行政主管部门颁发的建设工程质量检测机构资质证书或根据《住房和城乡建设部关于印发《建设工程质量检测机构资质标准》的通知》（建质规[2023]1号，以下简称新标准）具有有效的建设行政主管部门颁发的建设工程质量检测机构综合资质证书或专项资质证书、CMA计量认证合格证书以及其他相关资料以及其他相关证明材料。</w:t>
      </w:r>
    </w:p>
    <w:p>
      <w:pPr>
        <w:widowControl/>
        <w:spacing w:line="360" w:lineRule="auto"/>
        <w:jc w:val="center"/>
        <w:rPr>
          <w:rFonts w:ascii="宋体" w:hAnsi="宋体" w:cs="宋体"/>
          <w:b/>
          <w:bCs/>
          <w:kern w:val="0"/>
          <w:sz w:val="28"/>
          <w:szCs w:val="28"/>
          <w:highlight w:val="none"/>
        </w:rPr>
      </w:pPr>
      <w:r>
        <w:rPr>
          <w:rFonts w:hint="eastAsia" w:ascii="宋体" w:hAnsi="宋体" w:cs="宋体"/>
          <w:b/>
          <w:bCs/>
          <w:kern w:val="0"/>
          <w:sz w:val="28"/>
          <w:szCs w:val="28"/>
          <w:highlight w:val="none"/>
        </w:rPr>
        <w:t>（二）投标申请人声明</w:t>
      </w:r>
    </w:p>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本招标项目招标人及招标监管机构：</w:t>
      </w:r>
    </w:p>
    <w:p>
      <w:pPr>
        <w:spacing w:line="360" w:lineRule="auto"/>
        <w:ind w:firstLine="484" w:firstLineChars="202"/>
        <w:rPr>
          <w:rFonts w:ascii="宋体" w:hAnsi="宋体" w:cs="宋体"/>
          <w:sz w:val="24"/>
          <w:szCs w:val="24"/>
          <w:highlight w:val="none"/>
        </w:rPr>
      </w:pPr>
      <w:r>
        <w:rPr>
          <w:rFonts w:hint="eastAsia" w:ascii="宋体" w:hAnsi="宋体" w:cs="宋体"/>
          <w:sz w:val="24"/>
          <w:szCs w:val="24"/>
          <w:highlight w:val="none"/>
        </w:rPr>
        <w:t>本公司就参加</w:t>
      </w:r>
      <w:r>
        <w:rPr>
          <w:rFonts w:hint="eastAsia" w:ascii="宋体" w:hAnsi="宋体" w:cs="宋体"/>
          <w:sz w:val="24"/>
          <w:szCs w:val="24"/>
          <w:highlight w:val="none"/>
          <w:u w:val="single"/>
        </w:rPr>
        <w:t xml:space="preserve">                   </w:t>
      </w:r>
      <w:r>
        <w:rPr>
          <w:rFonts w:hint="eastAsia" w:ascii="宋体" w:hAnsi="宋体" w:cs="宋体"/>
          <w:sz w:val="24"/>
          <w:szCs w:val="24"/>
          <w:highlight w:val="none"/>
        </w:rPr>
        <w:t>投标工作，作出郑重声明：</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一、本公司保证投标资格审查材料及其后提供的一切材料都是真实的，如我司成为本</w:t>
      </w:r>
      <w:r>
        <w:rPr>
          <w:rFonts w:hint="eastAsia" w:ascii="宋体" w:hAnsi="宋体" w:eastAsia="宋体" w:cs="宋体"/>
          <w:color w:val="auto"/>
          <w:spacing w:val="5"/>
          <w:sz w:val="21"/>
          <w:szCs w:val="21"/>
          <w:highlight w:val="none"/>
        </w:rPr>
        <w:t>项目中</w:t>
      </w:r>
      <w:r>
        <w:rPr>
          <w:rFonts w:hint="eastAsia" w:ascii="宋体" w:hAnsi="宋体" w:eastAsia="宋体" w:cs="宋体"/>
          <w:color w:val="auto"/>
          <w:spacing w:val="-71"/>
          <w:sz w:val="21"/>
          <w:szCs w:val="21"/>
          <w:highlight w:val="none"/>
        </w:rPr>
        <w:t xml:space="preserve"> </w:t>
      </w:r>
      <w:r>
        <w:rPr>
          <w:rFonts w:hint="eastAsia" w:ascii="宋体" w:hAnsi="宋体" w:eastAsia="宋体" w:cs="宋体"/>
          <w:color w:val="auto"/>
          <w:sz w:val="21"/>
          <w:szCs w:val="21"/>
          <w:highlight w:val="none"/>
        </w:rPr>
        <w:t>标</w:t>
      </w:r>
      <w:r>
        <w:rPr>
          <w:rFonts w:hint="eastAsia" w:ascii="宋体" w:hAnsi="宋体" w:eastAsia="宋体" w:cs="宋体"/>
          <w:color w:val="auto"/>
          <w:spacing w:val="5"/>
          <w:sz w:val="21"/>
          <w:szCs w:val="21"/>
          <w:highlight w:val="none"/>
        </w:rPr>
        <w:t>候选人，我司同意并授权招标人将我司投标文件商务部分的人员、业绩、奖项等资料进行公开。</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二、本公司保证在本项目投标中不与其他单位围标、串标，不出让投标资格，不向招标人或评标委员会成员行贿。</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三、本公司不存在招标文件第二章投标人须知第1.4.3项所规定的任何一种情形。</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四、本公司没有处于被责令停业的状态；没有处于被建设行政主管部门取消投标资格的处罚期内；没有处于财产被接管、冻结、破产的状态，本公司及公司法定代表人、拟委任的项目负责人没有在投标登记截止时间前三年内被人民法院判决犯有行贿罪的记录。投标登记截止日期前三年内，本公司没有弄虚作假骗取中标、围标串标行为(以行政主管部门或法院或检察院书面认定为准），本公司没有被人民法院列入失信被执行人名单。在投标登记截止日期前三年内没有建设行政主管部门已书面认定的重大工程质量问题。本公司未在以往工程中因不诚信行为或不充分履约行为被本项目招标人书面拒绝投标；本公司未被纳入失信联合惩戒名单且被限制参加财政投资工程或政府投资工程或建设工程投标；本公司近二年（从招标公告发布年度起逆推2年的1月1日起至投标截止时间止）未因以往检测工作中存在伪造检测数据、出具虚假检测报告的行为被各级建设行政主管部门或市场监督管理部门行政处罚或通报的；</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本公司及其有隶属关系的机构没有参加本项目的设计、前期工作、招标文件编写、监理工作；本公司与承担本招标项目施工和监理业务的单位没有隶属关系或其他利害关系；本公司与本次招标的招标代理机构没有隶属关系或其他利害关系；本公司与本工程的承包单位以及建筑材料、建筑构配件和设备供应单位没有隶属关系或其他利害关系。</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六、与本公司单位负责人为同一人或者与本公司存在控股、管理关系的其他单位包括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注 ：本条由投标人如实填写，如有，应列出全部满足招标公告资质要求的相关单位的名称；如无，则填写“无”。）</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七、本公司承诺，中标后严格执行安全生产相关管理规定。</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八、本公司承诺，中标后严格按照合同和招投标文件规定履行义务，并同意招标人将其履行合同、招投标文件义务的履约情况和不诚信行为（包括但不限于由招标人做出的违约责任处理决定等）在招标人网站和建设项目业主网站及其他媒体上公开披露，由此造成的一切损失和不利后果均由本公司自行承担。</w:t>
      </w:r>
    </w:p>
    <w:p>
      <w:pPr>
        <w:pStyle w:val="62"/>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本公司违反上述承诺，或本声明陈述与事实不符，经查实，本公司愿意接受公开通报，愿意按照《广州市建筑市场信用管理办法》（穗建规字﹝20</w:t>
      </w:r>
      <w:r>
        <w:rPr>
          <w:rFonts w:ascii="宋体" w:hAnsi="宋体" w:eastAsia="宋体" w:cs="宋体"/>
          <w:color w:val="auto"/>
          <w:sz w:val="21"/>
          <w:szCs w:val="21"/>
          <w:highlight w:val="none"/>
        </w:rPr>
        <w:t>19</w:t>
      </w:r>
      <w:r>
        <w:rPr>
          <w:rFonts w:hint="eastAsia" w:ascii="宋体" w:hAnsi="宋体" w:eastAsia="宋体" w:cs="宋体"/>
          <w:color w:val="auto"/>
          <w:sz w:val="21"/>
          <w:szCs w:val="21"/>
          <w:highlight w:val="none"/>
        </w:rPr>
        <w:t>﹞16号）的规定被记录为失信信息，承担由此带来的法律后果，并自愿停止参加广州市行政辖区内的招标投标活动三个月。</w:t>
      </w:r>
    </w:p>
    <w:p>
      <w:pPr>
        <w:spacing w:line="360" w:lineRule="auto"/>
        <w:ind w:firstLine="484" w:firstLineChars="202"/>
        <w:rPr>
          <w:rFonts w:ascii="宋体" w:hAnsi="宋体" w:cs="宋体"/>
          <w:highlight w:val="none"/>
        </w:rPr>
      </w:pPr>
      <w:r>
        <w:rPr>
          <w:rFonts w:hint="eastAsia" w:ascii="宋体" w:hAnsi="宋体" w:cs="宋体"/>
          <w:sz w:val="24"/>
          <w:szCs w:val="24"/>
          <w:highlight w:val="none"/>
        </w:rPr>
        <w:t>特此声明。</w:t>
      </w:r>
    </w:p>
    <w:p>
      <w:pPr>
        <w:pStyle w:val="62"/>
        <w:adjustRightInd w:val="0"/>
        <w:snapToGrid w:val="0"/>
        <w:ind w:firstLine="0"/>
        <w:rPr>
          <w:rFonts w:ascii="宋体" w:hAnsi="宋体" w:eastAsia="宋体" w:cs="宋体"/>
          <w:color w:val="auto"/>
          <w:sz w:val="24"/>
          <w:szCs w:val="24"/>
          <w:highlight w:val="none"/>
        </w:rPr>
      </w:pPr>
    </w:p>
    <w:p>
      <w:pPr>
        <w:pStyle w:val="62"/>
        <w:adjustRightInd w:val="0"/>
        <w:snapToGrid w:val="0"/>
        <w:ind w:firstLine="0"/>
        <w:rPr>
          <w:rFonts w:ascii="宋体" w:hAnsi="宋体" w:eastAsia="宋体" w:cs="宋体"/>
          <w:color w:val="auto"/>
          <w:sz w:val="24"/>
          <w:szCs w:val="24"/>
          <w:highlight w:val="none"/>
        </w:rPr>
      </w:pPr>
    </w:p>
    <w:p>
      <w:pPr>
        <w:pStyle w:val="62"/>
        <w:adjustRightInd w:val="0"/>
        <w:snapToGrid w:val="0"/>
        <w:ind w:right="-35" w:firstLine="4819" w:firstLineChars="2008"/>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投标单位（盖公章）：</w:t>
      </w:r>
    </w:p>
    <w:p>
      <w:pPr>
        <w:pStyle w:val="62"/>
        <w:adjustRightInd w:val="0"/>
        <w:snapToGrid w:val="0"/>
        <w:ind w:right="-35" w:firstLine="4819" w:firstLineChars="2008"/>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法定代表人或授权委托人（签字或盖章）：</w:t>
      </w:r>
    </w:p>
    <w:p>
      <w:pPr>
        <w:widowControl/>
        <w:spacing w:line="360" w:lineRule="auto"/>
        <w:jc w:val="center"/>
        <w:rPr>
          <w:rFonts w:ascii="宋体" w:hAnsi="宋体" w:cs="宋体"/>
          <w:b/>
          <w:bCs/>
          <w:kern w:val="0"/>
          <w:szCs w:val="21"/>
          <w:highlight w:val="none"/>
        </w:rPr>
      </w:pPr>
      <w:r>
        <w:rPr>
          <w:rFonts w:hint="eastAsia" w:ascii="宋体" w:hAnsi="宋体" w:cs="宋体"/>
          <w:sz w:val="24"/>
          <w:szCs w:val="24"/>
          <w:highlight w:val="none"/>
        </w:rPr>
        <w:t xml:space="preserve">                       日  期：    年   月   日</w:t>
      </w:r>
    </w:p>
    <w:p>
      <w:pPr>
        <w:widowControl/>
        <w:spacing w:line="360" w:lineRule="auto"/>
        <w:jc w:val="center"/>
        <w:rPr>
          <w:rFonts w:ascii="宋体" w:hAnsi="宋体" w:cs="宋体"/>
          <w:b/>
          <w:bCs/>
          <w:kern w:val="0"/>
          <w:szCs w:val="21"/>
          <w:highlight w:val="none"/>
        </w:rPr>
      </w:pPr>
    </w:p>
    <w:p>
      <w:pPr>
        <w:widowControl/>
        <w:spacing w:line="360" w:lineRule="auto"/>
        <w:rPr>
          <w:rFonts w:ascii="宋体" w:hAnsi="宋体" w:cs="宋体"/>
          <w:b/>
          <w:bCs/>
          <w:kern w:val="0"/>
          <w:szCs w:val="21"/>
          <w:highlight w:val="none"/>
        </w:rPr>
      </w:pPr>
    </w:p>
    <w:p>
      <w:pPr>
        <w:widowControl/>
        <w:spacing w:line="360" w:lineRule="auto"/>
        <w:jc w:val="center"/>
        <w:rPr>
          <w:rFonts w:ascii="宋体" w:hAnsi="宋体" w:cs="宋体"/>
          <w:b/>
          <w:bCs/>
          <w:kern w:val="0"/>
          <w:sz w:val="28"/>
          <w:szCs w:val="28"/>
          <w:highlight w:val="none"/>
        </w:rPr>
      </w:pPr>
      <w:r>
        <w:rPr>
          <w:rFonts w:hint="eastAsia" w:ascii="宋体" w:hAnsi="宋体" w:cs="宋体"/>
          <w:highlight w:val="none"/>
        </w:rPr>
        <w:br w:type="page"/>
      </w:r>
      <w:r>
        <w:rPr>
          <w:rFonts w:hint="eastAsia" w:ascii="宋体" w:hAnsi="宋体" w:cs="宋体"/>
          <w:b/>
          <w:bCs/>
          <w:kern w:val="0"/>
          <w:sz w:val="28"/>
          <w:szCs w:val="28"/>
          <w:highlight w:val="none"/>
        </w:rPr>
        <w:t>（三）联合体协议书</w:t>
      </w:r>
    </w:p>
    <w:p>
      <w:pPr>
        <w:tabs>
          <w:tab w:val="left" w:pos="2200"/>
          <w:tab w:val="left" w:pos="6000"/>
        </w:tabs>
        <w:spacing w:line="360" w:lineRule="auto"/>
        <w:ind w:firstLine="480" w:firstLineChars="200"/>
        <w:jc w:val="left"/>
        <w:rPr>
          <w:rFonts w:ascii="宋体" w:hAnsi="宋体" w:cs="宋体"/>
          <w:sz w:val="24"/>
          <w:szCs w:val="24"/>
          <w:highlight w:val="none"/>
        </w:rPr>
      </w:pPr>
      <w:r>
        <w:rPr>
          <w:rFonts w:hint="eastAsia" w:ascii="宋体" w:hAnsi="宋体" w:cs="宋体"/>
          <w:position w:val="-4"/>
          <w:sz w:val="24"/>
          <w:szCs w:val="24"/>
          <w:highlight w:val="none"/>
          <w:u w:val="single"/>
        </w:rPr>
        <w:tab/>
      </w:r>
      <w:r>
        <w:rPr>
          <w:rFonts w:hint="eastAsia" w:ascii="宋体" w:hAnsi="宋体" w:cs="宋体"/>
          <w:position w:val="-4"/>
          <w:sz w:val="24"/>
          <w:szCs w:val="24"/>
          <w:highlight w:val="none"/>
        </w:rPr>
        <w:t>（所</w:t>
      </w:r>
      <w:r>
        <w:rPr>
          <w:rFonts w:hint="eastAsia" w:ascii="宋体" w:hAnsi="宋体" w:cs="宋体"/>
          <w:spacing w:val="-2"/>
          <w:position w:val="-4"/>
          <w:sz w:val="24"/>
          <w:szCs w:val="24"/>
          <w:highlight w:val="none"/>
        </w:rPr>
        <w:t>有</w:t>
      </w:r>
      <w:r>
        <w:rPr>
          <w:rFonts w:hint="eastAsia" w:ascii="宋体" w:hAnsi="宋体" w:cs="宋体"/>
          <w:position w:val="-4"/>
          <w:sz w:val="24"/>
          <w:szCs w:val="24"/>
          <w:highlight w:val="none"/>
        </w:rPr>
        <w:t>成员单位名称）自愿组</w:t>
      </w:r>
      <w:r>
        <w:rPr>
          <w:rFonts w:hint="eastAsia" w:ascii="宋体" w:hAnsi="宋体" w:cs="宋体"/>
          <w:spacing w:val="1"/>
          <w:position w:val="-4"/>
          <w:sz w:val="24"/>
          <w:szCs w:val="24"/>
          <w:highlight w:val="none"/>
        </w:rPr>
        <w:t>成</w:t>
      </w:r>
      <w:r>
        <w:rPr>
          <w:rFonts w:hint="eastAsia" w:ascii="宋体" w:hAnsi="宋体" w:cs="宋体"/>
          <w:position w:val="-4"/>
          <w:sz w:val="24"/>
          <w:szCs w:val="24"/>
          <w:highlight w:val="none"/>
          <w:u w:val="single"/>
        </w:rPr>
        <w:t xml:space="preserve"> </w:t>
      </w:r>
      <w:r>
        <w:rPr>
          <w:rFonts w:hint="eastAsia" w:ascii="宋体" w:hAnsi="宋体" w:cs="宋体"/>
          <w:spacing w:val="1"/>
          <w:position w:val="-4"/>
          <w:sz w:val="24"/>
          <w:szCs w:val="24"/>
          <w:highlight w:val="none"/>
          <w:u w:val="single"/>
        </w:rPr>
        <w:t xml:space="preserve"> </w:t>
      </w:r>
      <w:r>
        <w:rPr>
          <w:rFonts w:hint="eastAsia" w:ascii="宋体" w:hAnsi="宋体" w:cs="宋体"/>
          <w:position w:val="-4"/>
          <w:sz w:val="24"/>
          <w:szCs w:val="24"/>
          <w:highlight w:val="none"/>
          <w:u w:val="single"/>
        </w:rPr>
        <w:tab/>
      </w:r>
      <w:r>
        <w:rPr>
          <w:rFonts w:hint="eastAsia" w:ascii="宋体" w:hAnsi="宋体" w:cs="宋体"/>
          <w:position w:val="-4"/>
          <w:sz w:val="24"/>
          <w:szCs w:val="24"/>
          <w:highlight w:val="none"/>
        </w:rPr>
        <w:t>（联合体名称）联合体，共同</w:t>
      </w:r>
      <w:r>
        <w:rPr>
          <w:rFonts w:hint="eastAsia" w:ascii="宋体" w:hAnsi="宋体" w:cs="宋体"/>
          <w:position w:val="-2"/>
          <w:sz w:val="24"/>
          <w:szCs w:val="24"/>
          <w:highlight w:val="none"/>
        </w:rPr>
        <w:t>参加</w:t>
      </w:r>
      <w:r>
        <w:rPr>
          <w:rFonts w:hint="eastAsia" w:ascii="宋体" w:hAnsi="宋体" w:cs="宋体"/>
          <w:position w:val="-2"/>
          <w:sz w:val="24"/>
          <w:szCs w:val="24"/>
          <w:highlight w:val="none"/>
          <w:u w:val="single"/>
        </w:rPr>
        <w:t xml:space="preserve"> </w:t>
      </w:r>
      <w:r>
        <w:rPr>
          <w:rFonts w:hint="eastAsia" w:ascii="宋体" w:hAnsi="宋体" w:cs="宋体"/>
          <w:spacing w:val="1"/>
          <w:position w:val="-2"/>
          <w:sz w:val="24"/>
          <w:szCs w:val="24"/>
          <w:highlight w:val="none"/>
          <w:u w:val="single"/>
        </w:rPr>
        <w:t xml:space="preserve"> </w:t>
      </w:r>
      <w:r>
        <w:rPr>
          <w:rFonts w:hint="eastAsia" w:ascii="宋体" w:hAnsi="宋体" w:cs="宋体"/>
          <w:position w:val="-2"/>
          <w:sz w:val="24"/>
          <w:szCs w:val="24"/>
          <w:highlight w:val="none"/>
          <w:u w:val="single"/>
        </w:rPr>
        <w:tab/>
      </w:r>
      <w:r>
        <w:rPr>
          <w:rFonts w:hint="eastAsia" w:ascii="宋体" w:hAnsi="宋体" w:cs="宋体"/>
          <w:spacing w:val="-2"/>
          <w:position w:val="-2"/>
          <w:sz w:val="24"/>
          <w:szCs w:val="24"/>
          <w:highlight w:val="none"/>
        </w:rPr>
        <w:t>（</w:t>
      </w:r>
      <w:r>
        <w:rPr>
          <w:rFonts w:hint="eastAsia" w:ascii="宋体" w:hAnsi="宋体" w:cs="宋体"/>
          <w:position w:val="-2"/>
          <w:sz w:val="24"/>
          <w:szCs w:val="24"/>
          <w:highlight w:val="none"/>
        </w:rPr>
        <w:t>项目</w:t>
      </w:r>
      <w:r>
        <w:rPr>
          <w:rFonts w:hint="eastAsia" w:ascii="宋体" w:hAnsi="宋体" w:cs="宋体"/>
          <w:spacing w:val="-2"/>
          <w:position w:val="-2"/>
          <w:sz w:val="24"/>
          <w:szCs w:val="24"/>
          <w:highlight w:val="none"/>
        </w:rPr>
        <w:t>名</w:t>
      </w:r>
      <w:r>
        <w:rPr>
          <w:rFonts w:hint="eastAsia" w:ascii="宋体" w:hAnsi="宋体" w:cs="宋体"/>
          <w:position w:val="-2"/>
          <w:sz w:val="24"/>
          <w:szCs w:val="24"/>
          <w:highlight w:val="none"/>
        </w:rPr>
        <w:t>称</w:t>
      </w:r>
      <w:r>
        <w:rPr>
          <w:rFonts w:hint="eastAsia" w:ascii="宋体" w:hAnsi="宋体" w:cs="宋体"/>
          <w:spacing w:val="-2"/>
          <w:position w:val="-2"/>
          <w:sz w:val="24"/>
          <w:szCs w:val="24"/>
          <w:highlight w:val="none"/>
        </w:rPr>
        <w:t>）</w:t>
      </w:r>
      <w:r>
        <w:rPr>
          <w:rFonts w:hint="eastAsia" w:ascii="宋体" w:hAnsi="宋体" w:cs="宋体"/>
          <w:position w:val="-2"/>
          <w:sz w:val="24"/>
          <w:szCs w:val="24"/>
          <w:highlight w:val="none"/>
        </w:rPr>
        <w:t>招</w:t>
      </w:r>
      <w:r>
        <w:rPr>
          <w:rFonts w:hint="eastAsia" w:ascii="宋体" w:hAnsi="宋体" w:cs="宋体"/>
          <w:spacing w:val="-2"/>
          <w:position w:val="-2"/>
          <w:sz w:val="24"/>
          <w:szCs w:val="24"/>
          <w:highlight w:val="none"/>
        </w:rPr>
        <w:t>标</w:t>
      </w:r>
      <w:r>
        <w:rPr>
          <w:rFonts w:hint="eastAsia" w:ascii="宋体" w:hAnsi="宋体" w:cs="宋体"/>
          <w:position w:val="-2"/>
          <w:sz w:val="24"/>
          <w:szCs w:val="24"/>
          <w:highlight w:val="none"/>
        </w:rPr>
        <w:t>项</w:t>
      </w:r>
      <w:r>
        <w:rPr>
          <w:rFonts w:hint="eastAsia" w:ascii="宋体" w:hAnsi="宋体" w:cs="宋体"/>
          <w:spacing w:val="-2"/>
          <w:position w:val="-2"/>
          <w:sz w:val="24"/>
          <w:szCs w:val="24"/>
          <w:highlight w:val="none"/>
        </w:rPr>
        <w:t>目</w:t>
      </w:r>
      <w:r>
        <w:rPr>
          <w:rFonts w:hint="eastAsia" w:ascii="宋体" w:hAnsi="宋体" w:cs="宋体"/>
          <w:position w:val="-2"/>
          <w:sz w:val="24"/>
          <w:szCs w:val="24"/>
          <w:highlight w:val="none"/>
        </w:rPr>
        <w:t>投标</w:t>
      </w:r>
      <w:r>
        <w:rPr>
          <w:rFonts w:hint="eastAsia" w:ascii="宋体" w:hAnsi="宋体" w:cs="宋体"/>
          <w:spacing w:val="-2"/>
          <w:position w:val="-2"/>
          <w:sz w:val="24"/>
          <w:szCs w:val="24"/>
          <w:highlight w:val="none"/>
        </w:rPr>
        <w:t>。</w:t>
      </w:r>
      <w:r>
        <w:rPr>
          <w:rFonts w:hint="eastAsia" w:ascii="宋体" w:hAnsi="宋体" w:cs="宋体"/>
          <w:position w:val="-2"/>
          <w:sz w:val="24"/>
          <w:szCs w:val="24"/>
          <w:highlight w:val="none"/>
        </w:rPr>
        <w:t>现</w:t>
      </w:r>
      <w:r>
        <w:rPr>
          <w:rFonts w:hint="eastAsia" w:ascii="宋体" w:hAnsi="宋体" w:cs="宋体"/>
          <w:spacing w:val="-2"/>
          <w:position w:val="-2"/>
          <w:sz w:val="24"/>
          <w:szCs w:val="24"/>
          <w:highlight w:val="none"/>
        </w:rPr>
        <w:t>就</w:t>
      </w:r>
      <w:r>
        <w:rPr>
          <w:rFonts w:hint="eastAsia" w:ascii="宋体" w:hAnsi="宋体" w:cs="宋体"/>
          <w:position w:val="-2"/>
          <w:sz w:val="24"/>
          <w:szCs w:val="24"/>
          <w:highlight w:val="none"/>
        </w:rPr>
        <w:t>联</w:t>
      </w:r>
      <w:r>
        <w:rPr>
          <w:rFonts w:hint="eastAsia" w:ascii="宋体" w:hAnsi="宋体" w:cs="宋体"/>
          <w:spacing w:val="-2"/>
          <w:position w:val="-2"/>
          <w:sz w:val="24"/>
          <w:szCs w:val="24"/>
          <w:highlight w:val="none"/>
        </w:rPr>
        <w:t>合</w:t>
      </w:r>
      <w:r>
        <w:rPr>
          <w:rFonts w:hint="eastAsia" w:ascii="宋体" w:hAnsi="宋体" w:cs="宋体"/>
          <w:spacing w:val="2"/>
          <w:position w:val="-2"/>
          <w:sz w:val="24"/>
          <w:szCs w:val="24"/>
          <w:highlight w:val="none"/>
        </w:rPr>
        <w:t>体</w:t>
      </w:r>
      <w:r>
        <w:rPr>
          <w:rFonts w:hint="eastAsia" w:ascii="宋体" w:hAnsi="宋体" w:cs="宋体"/>
          <w:position w:val="-2"/>
          <w:sz w:val="24"/>
          <w:szCs w:val="24"/>
          <w:highlight w:val="none"/>
        </w:rPr>
        <w:t>投</w:t>
      </w:r>
      <w:r>
        <w:rPr>
          <w:rFonts w:hint="eastAsia" w:ascii="宋体" w:hAnsi="宋体" w:cs="宋体"/>
          <w:spacing w:val="2"/>
          <w:position w:val="-2"/>
          <w:sz w:val="24"/>
          <w:szCs w:val="24"/>
          <w:highlight w:val="none"/>
        </w:rPr>
        <w:t>标</w:t>
      </w:r>
      <w:r>
        <w:rPr>
          <w:rFonts w:hint="eastAsia" w:ascii="宋体" w:hAnsi="宋体" w:cs="宋体"/>
          <w:position w:val="-2"/>
          <w:sz w:val="24"/>
          <w:szCs w:val="24"/>
          <w:highlight w:val="none"/>
        </w:rPr>
        <w:t>事</w:t>
      </w:r>
      <w:r>
        <w:rPr>
          <w:rFonts w:hint="eastAsia" w:ascii="宋体" w:hAnsi="宋体" w:cs="宋体"/>
          <w:spacing w:val="2"/>
          <w:position w:val="-2"/>
          <w:sz w:val="24"/>
          <w:szCs w:val="24"/>
          <w:highlight w:val="none"/>
        </w:rPr>
        <w:t>宜订</w:t>
      </w:r>
      <w:r>
        <w:rPr>
          <w:rFonts w:hint="eastAsia" w:ascii="宋体" w:hAnsi="宋体" w:cs="宋体"/>
          <w:position w:val="-2"/>
          <w:sz w:val="24"/>
          <w:szCs w:val="24"/>
          <w:highlight w:val="none"/>
        </w:rPr>
        <w:t>立</w:t>
      </w:r>
      <w:r>
        <w:rPr>
          <w:rFonts w:hint="eastAsia" w:ascii="宋体" w:hAnsi="宋体" w:cs="宋体"/>
          <w:spacing w:val="2"/>
          <w:position w:val="-2"/>
          <w:sz w:val="24"/>
          <w:szCs w:val="24"/>
          <w:highlight w:val="none"/>
        </w:rPr>
        <w:t>如</w:t>
      </w:r>
      <w:r>
        <w:rPr>
          <w:rFonts w:hint="eastAsia" w:ascii="宋体" w:hAnsi="宋体" w:cs="宋体"/>
          <w:position w:val="-2"/>
          <w:sz w:val="24"/>
          <w:szCs w:val="24"/>
          <w:highlight w:val="none"/>
        </w:rPr>
        <w:t>下</w:t>
      </w:r>
      <w:r>
        <w:rPr>
          <w:rFonts w:hint="eastAsia" w:ascii="宋体" w:hAnsi="宋体" w:cs="宋体"/>
          <w:spacing w:val="2"/>
          <w:position w:val="-2"/>
          <w:sz w:val="24"/>
          <w:szCs w:val="24"/>
          <w:highlight w:val="none"/>
        </w:rPr>
        <w:t>协</w:t>
      </w:r>
      <w:r>
        <w:rPr>
          <w:rFonts w:hint="eastAsia" w:ascii="宋体" w:hAnsi="宋体" w:cs="宋体"/>
          <w:position w:val="-2"/>
          <w:sz w:val="24"/>
          <w:szCs w:val="24"/>
          <w:highlight w:val="none"/>
        </w:rPr>
        <w:t>议。</w:t>
      </w:r>
    </w:p>
    <w:p>
      <w:pPr>
        <w:tabs>
          <w:tab w:val="left" w:pos="2660"/>
          <w:tab w:val="left" w:pos="5600"/>
        </w:tabs>
        <w:spacing w:line="360" w:lineRule="auto"/>
        <w:ind w:right="-23" w:firstLine="480" w:firstLineChars="200"/>
        <w:jc w:val="left"/>
        <w:rPr>
          <w:rFonts w:ascii="宋体" w:hAnsi="宋体" w:cs="宋体"/>
          <w:sz w:val="24"/>
          <w:szCs w:val="24"/>
          <w:highlight w:val="none"/>
        </w:rPr>
      </w:pPr>
      <w:r>
        <w:rPr>
          <w:rFonts w:hint="eastAsia" w:ascii="宋体" w:hAnsi="宋体" w:cs="宋体"/>
          <w:position w:val="-1"/>
          <w:sz w:val="24"/>
          <w:szCs w:val="24"/>
          <w:highlight w:val="none"/>
        </w:rPr>
        <w:t xml:space="preserve">1.  </w:t>
      </w:r>
      <w:r>
        <w:rPr>
          <w:rFonts w:hint="eastAsia" w:ascii="宋体" w:hAnsi="宋体" w:cs="宋体"/>
          <w:position w:val="-1"/>
          <w:sz w:val="24"/>
          <w:szCs w:val="24"/>
          <w:highlight w:val="none"/>
          <w:u w:val="single"/>
        </w:rPr>
        <w:t xml:space="preserve"> </w:t>
      </w:r>
      <w:r>
        <w:rPr>
          <w:rFonts w:hint="eastAsia" w:ascii="宋体" w:hAnsi="宋体" w:cs="宋体"/>
          <w:position w:val="-1"/>
          <w:sz w:val="24"/>
          <w:szCs w:val="24"/>
          <w:highlight w:val="none"/>
          <w:u w:val="single"/>
        </w:rPr>
        <w:tab/>
      </w:r>
      <w:r>
        <w:rPr>
          <w:rFonts w:hint="eastAsia" w:ascii="宋体" w:hAnsi="宋体" w:cs="宋体"/>
          <w:spacing w:val="-2"/>
          <w:position w:val="-1"/>
          <w:sz w:val="24"/>
          <w:szCs w:val="24"/>
          <w:highlight w:val="none"/>
        </w:rPr>
        <w:t>（</w:t>
      </w:r>
      <w:r>
        <w:rPr>
          <w:rFonts w:hint="eastAsia" w:ascii="宋体" w:hAnsi="宋体" w:cs="宋体"/>
          <w:position w:val="-1"/>
          <w:sz w:val="24"/>
          <w:szCs w:val="24"/>
          <w:highlight w:val="none"/>
        </w:rPr>
        <w:t>某成</w:t>
      </w:r>
      <w:r>
        <w:rPr>
          <w:rFonts w:hint="eastAsia" w:ascii="宋体" w:hAnsi="宋体" w:cs="宋体"/>
          <w:spacing w:val="-2"/>
          <w:position w:val="-1"/>
          <w:sz w:val="24"/>
          <w:szCs w:val="24"/>
          <w:highlight w:val="none"/>
        </w:rPr>
        <w:t>员</w:t>
      </w:r>
      <w:r>
        <w:rPr>
          <w:rFonts w:hint="eastAsia" w:ascii="宋体" w:hAnsi="宋体" w:cs="宋体"/>
          <w:position w:val="-1"/>
          <w:sz w:val="24"/>
          <w:szCs w:val="24"/>
          <w:highlight w:val="none"/>
        </w:rPr>
        <w:t>单</w:t>
      </w:r>
      <w:r>
        <w:rPr>
          <w:rFonts w:hint="eastAsia" w:ascii="宋体" w:hAnsi="宋体" w:cs="宋体"/>
          <w:spacing w:val="-2"/>
          <w:position w:val="-1"/>
          <w:sz w:val="24"/>
          <w:szCs w:val="24"/>
          <w:highlight w:val="none"/>
        </w:rPr>
        <w:t>位</w:t>
      </w:r>
      <w:r>
        <w:rPr>
          <w:rFonts w:hint="eastAsia" w:ascii="宋体" w:hAnsi="宋体" w:cs="宋体"/>
          <w:position w:val="-1"/>
          <w:sz w:val="24"/>
          <w:szCs w:val="24"/>
          <w:highlight w:val="none"/>
        </w:rPr>
        <w:t>名</w:t>
      </w:r>
      <w:r>
        <w:rPr>
          <w:rFonts w:hint="eastAsia" w:ascii="宋体" w:hAnsi="宋体" w:cs="宋体"/>
          <w:spacing w:val="-2"/>
          <w:position w:val="-1"/>
          <w:sz w:val="24"/>
          <w:szCs w:val="24"/>
          <w:highlight w:val="none"/>
        </w:rPr>
        <w:t>称</w:t>
      </w:r>
      <w:r>
        <w:rPr>
          <w:rFonts w:hint="eastAsia" w:ascii="宋体" w:hAnsi="宋体" w:cs="宋体"/>
          <w:position w:val="-1"/>
          <w:sz w:val="24"/>
          <w:szCs w:val="24"/>
          <w:highlight w:val="none"/>
        </w:rPr>
        <w:t>）</w:t>
      </w:r>
      <w:r>
        <w:rPr>
          <w:rFonts w:hint="eastAsia" w:ascii="宋体" w:hAnsi="宋体" w:cs="宋体"/>
          <w:spacing w:val="-3"/>
          <w:position w:val="-1"/>
          <w:sz w:val="24"/>
          <w:szCs w:val="24"/>
          <w:highlight w:val="none"/>
        </w:rPr>
        <w:t>为</w:t>
      </w:r>
      <w:r>
        <w:rPr>
          <w:rFonts w:hint="eastAsia" w:ascii="宋体" w:hAnsi="宋体" w:cs="宋体"/>
          <w:position w:val="-1"/>
          <w:sz w:val="24"/>
          <w:szCs w:val="24"/>
          <w:highlight w:val="none"/>
          <w:u w:val="single"/>
        </w:rPr>
        <w:t xml:space="preserve"> </w:t>
      </w:r>
      <w:r>
        <w:rPr>
          <w:rFonts w:hint="eastAsia" w:ascii="宋体" w:hAnsi="宋体" w:cs="宋体"/>
          <w:spacing w:val="1"/>
          <w:position w:val="-1"/>
          <w:sz w:val="24"/>
          <w:szCs w:val="24"/>
          <w:highlight w:val="none"/>
          <w:u w:val="single"/>
        </w:rPr>
        <w:t xml:space="preserve"> </w:t>
      </w:r>
      <w:r>
        <w:rPr>
          <w:rFonts w:hint="eastAsia" w:ascii="宋体" w:hAnsi="宋体" w:cs="宋体"/>
          <w:position w:val="-1"/>
          <w:sz w:val="24"/>
          <w:szCs w:val="24"/>
          <w:highlight w:val="none"/>
          <w:u w:val="single"/>
        </w:rPr>
        <w:tab/>
      </w:r>
      <w:r>
        <w:rPr>
          <w:rFonts w:hint="eastAsia" w:ascii="宋体" w:hAnsi="宋体" w:cs="宋体"/>
          <w:spacing w:val="-2"/>
          <w:position w:val="-1"/>
          <w:sz w:val="24"/>
          <w:szCs w:val="24"/>
          <w:highlight w:val="none"/>
        </w:rPr>
        <w:t>（</w:t>
      </w:r>
      <w:r>
        <w:rPr>
          <w:rFonts w:hint="eastAsia" w:ascii="宋体" w:hAnsi="宋体" w:cs="宋体"/>
          <w:position w:val="-1"/>
          <w:sz w:val="24"/>
          <w:szCs w:val="24"/>
          <w:highlight w:val="none"/>
        </w:rPr>
        <w:t>联</w:t>
      </w:r>
      <w:r>
        <w:rPr>
          <w:rFonts w:hint="eastAsia" w:ascii="宋体" w:hAnsi="宋体" w:cs="宋体"/>
          <w:spacing w:val="-2"/>
          <w:position w:val="-1"/>
          <w:sz w:val="24"/>
          <w:szCs w:val="24"/>
          <w:highlight w:val="none"/>
        </w:rPr>
        <w:t>合</w:t>
      </w:r>
      <w:r>
        <w:rPr>
          <w:rFonts w:hint="eastAsia" w:ascii="宋体" w:hAnsi="宋体" w:cs="宋体"/>
          <w:position w:val="-1"/>
          <w:sz w:val="24"/>
          <w:szCs w:val="24"/>
          <w:highlight w:val="none"/>
        </w:rPr>
        <w:t>体</w:t>
      </w:r>
      <w:r>
        <w:rPr>
          <w:rFonts w:hint="eastAsia" w:ascii="宋体" w:hAnsi="宋体" w:cs="宋体"/>
          <w:spacing w:val="-2"/>
          <w:position w:val="-1"/>
          <w:sz w:val="24"/>
          <w:szCs w:val="24"/>
          <w:highlight w:val="none"/>
        </w:rPr>
        <w:t>名</w:t>
      </w:r>
      <w:r>
        <w:rPr>
          <w:rFonts w:hint="eastAsia" w:ascii="宋体" w:hAnsi="宋体" w:cs="宋体"/>
          <w:position w:val="-1"/>
          <w:sz w:val="24"/>
          <w:szCs w:val="24"/>
          <w:highlight w:val="none"/>
        </w:rPr>
        <w:t>称</w:t>
      </w:r>
      <w:r>
        <w:rPr>
          <w:rFonts w:hint="eastAsia" w:ascii="宋体" w:hAnsi="宋体" w:cs="宋体"/>
          <w:spacing w:val="-2"/>
          <w:position w:val="-1"/>
          <w:sz w:val="24"/>
          <w:szCs w:val="24"/>
          <w:highlight w:val="none"/>
        </w:rPr>
        <w:t>）</w:t>
      </w:r>
      <w:r>
        <w:rPr>
          <w:rFonts w:hint="eastAsia" w:ascii="宋体" w:hAnsi="宋体" w:cs="宋体"/>
          <w:position w:val="-1"/>
          <w:sz w:val="24"/>
          <w:szCs w:val="24"/>
          <w:highlight w:val="none"/>
        </w:rPr>
        <w:t>牵</w:t>
      </w:r>
      <w:r>
        <w:rPr>
          <w:rFonts w:hint="eastAsia" w:ascii="宋体" w:hAnsi="宋体" w:cs="宋体"/>
          <w:spacing w:val="-2"/>
          <w:position w:val="-1"/>
          <w:sz w:val="24"/>
          <w:szCs w:val="24"/>
          <w:highlight w:val="none"/>
        </w:rPr>
        <w:t>头人</w:t>
      </w:r>
      <w:r>
        <w:rPr>
          <w:rFonts w:hint="eastAsia" w:ascii="宋体" w:hAnsi="宋体" w:cs="宋体"/>
          <w:position w:val="-1"/>
          <w:sz w:val="24"/>
          <w:szCs w:val="24"/>
          <w:highlight w:val="none"/>
        </w:rPr>
        <w:t>。</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2. </w:t>
      </w:r>
      <w:r>
        <w:rPr>
          <w:rFonts w:hint="eastAsia" w:ascii="宋体" w:hAnsi="宋体" w:cs="宋体"/>
          <w:spacing w:val="1"/>
          <w:sz w:val="24"/>
          <w:szCs w:val="24"/>
          <w:highlight w:val="none"/>
        </w:rPr>
        <w:t xml:space="preserve"> </w:t>
      </w:r>
      <w:r>
        <w:rPr>
          <w:rFonts w:hint="eastAsia" w:ascii="宋体" w:hAnsi="宋体" w:cs="宋体"/>
          <w:spacing w:val="-2"/>
          <w:sz w:val="24"/>
          <w:szCs w:val="24"/>
          <w:highlight w:val="none"/>
        </w:rPr>
        <w:t>联</w:t>
      </w:r>
      <w:r>
        <w:rPr>
          <w:rFonts w:hint="eastAsia" w:ascii="宋体" w:hAnsi="宋体" w:cs="宋体"/>
          <w:sz w:val="24"/>
          <w:szCs w:val="24"/>
          <w:highlight w:val="none"/>
        </w:rPr>
        <w:t>合</w:t>
      </w:r>
      <w:r>
        <w:rPr>
          <w:rFonts w:hint="eastAsia" w:ascii="宋体" w:hAnsi="宋体" w:cs="宋体"/>
          <w:spacing w:val="-2"/>
          <w:sz w:val="24"/>
          <w:szCs w:val="24"/>
          <w:highlight w:val="none"/>
        </w:rPr>
        <w:t>体</w:t>
      </w:r>
      <w:r>
        <w:rPr>
          <w:rFonts w:hint="eastAsia" w:ascii="宋体" w:hAnsi="宋体" w:cs="宋体"/>
          <w:sz w:val="24"/>
          <w:szCs w:val="24"/>
          <w:highlight w:val="none"/>
        </w:rPr>
        <w:t>各</w:t>
      </w:r>
      <w:r>
        <w:rPr>
          <w:rFonts w:hint="eastAsia" w:ascii="宋体" w:hAnsi="宋体" w:cs="宋体"/>
          <w:spacing w:val="-2"/>
          <w:sz w:val="24"/>
          <w:szCs w:val="24"/>
          <w:highlight w:val="none"/>
        </w:rPr>
        <w:t>成</w:t>
      </w:r>
      <w:r>
        <w:rPr>
          <w:rFonts w:hint="eastAsia" w:ascii="宋体" w:hAnsi="宋体" w:cs="宋体"/>
          <w:sz w:val="24"/>
          <w:szCs w:val="24"/>
          <w:highlight w:val="none"/>
        </w:rPr>
        <w:t>员</w:t>
      </w:r>
      <w:r>
        <w:rPr>
          <w:rFonts w:hint="eastAsia" w:ascii="宋体" w:hAnsi="宋体" w:cs="宋体"/>
          <w:spacing w:val="-2"/>
          <w:sz w:val="24"/>
          <w:szCs w:val="24"/>
          <w:highlight w:val="none"/>
        </w:rPr>
        <w:t>授</w:t>
      </w:r>
      <w:r>
        <w:rPr>
          <w:rFonts w:hint="eastAsia" w:ascii="宋体" w:hAnsi="宋体" w:cs="宋体"/>
          <w:sz w:val="24"/>
          <w:szCs w:val="24"/>
          <w:highlight w:val="none"/>
        </w:rPr>
        <w:t>权</w:t>
      </w:r>
      <w:r>
        <w:rPr>
          <w:rFonts w:hint="eastAsia" w:ascii="宋体" w:hAnsi="宋体" w:cs="宋体"/>
          <w:spacing w:val="-2"/>
          <w:sz w:val="24"/>
          <w:szCs w:val="24"/>
          <w:highlight w:val="none"/>
        </w:rPr>
        <w:t>牵头</w:t>
      </w:r>
      <w:r>
        <w:rPr>
          <w:rFonts w:hint="eastAsia" w:ascii="宋体" w:hAnsi="宋体" w:cs="宋体"/>
          <w:sz w:val="24"/>
          <w:szCs w:val="24"/>
          <w:highlight w:val="none"/>
        </w:rPr>
        <w:t>人代</w:t>
      </w:r>
      <w:r>
        <w:rPr>
          <w:rFonts w:hint="eastAsia" w:ascii="宋体" w:hAnsi="宋体" w:cs="宋体"/>
          <w:spacing w:val="-2"/>
          <w:sz w:val="24"/>
          <w:szCs w:val="24"/>
          <w:highlight w:val="none"/>
        </w:rPr>
        <w:t>表</w:t>
      </w:r>
      <w:r>
        <w:rPr>
          <w:rFonts w:hint="eastAsia" w:ascii="宋体" w:hAnsi="宋体" w:cs="宋体"/>
          <w:sz w:val="24"/>
          <w:szCs w:val="24"/>
          <w:highlight w:val="none"/>
        </w:rPr>
        <w:t>联</w:t>
      </w:r>
      <w:r>
        <w:rPr>
          <w:rFonts w:hint="eastAsia" w:ascii="宋体" w:hAnsi="宋体" w:cs="宋体"/>
          <w:spacing w:val="-2"/>
          <w:sz w:val="24"/>
          <w:szCs w:val="24"/>
          <w:highlight w:val="none"/>
        </w:rPr>
        <w:t>合</w:t>
      </w:r>
      <w:r>
        <w:rPr>
          <w:rFonts w:hint="eastAsia" w:ascii="宋体" w:hAnsi="宋体" w:cs="宋体"/>
          <w:sz w:val="24"/>
          <w:szCs w:val="24"/>
          <w:highlight w:val="none"/>
        </w:rPr>
        <w:t>体</w:t>
      </w:r>
      <w:r>
        <w:rPr>
          <w:rFonts w:hint="eastAsia" w:ascii="宋体" w:hAnsi="宋体" w:cs="宋体"/>
          <w:spacing w:val="-2"/>
          <w:sz w:val="24"/>
          <w:szCs w:val="24"/>
          <w:highlight w:val="none"/>
        </w:rPr>
        <w:t>参</w:t>
      </w:r>
      <w:r>
        <w:rPr>
          <w:rFonts w:hint="eastAsia" w:ascii="宋体" w:hAnsi="宋体" w:cs="宋体"/>
          <w:sz w:val="24"/>
          <w:szCs w:val="24"/>
          <w:highlight w:val="none"/>
        </w:rPr>
        <w:t>加</w:t>
      </w:r>
      <w:r>
        <w:rPr>
          <w:rFonts w:hint="eastAsia" w:ascii="宋体" w:hAnsi="宋体" w:cs="宋体"/>
          <w:spacing w:val="-2"/>
          <w:sz w:val="24"/>
          <w:szCs w:val="24"/>
          <w:highlight w:val="none"/>
        </w:rPr>
        <w:t>投</w:t>
      </w:r>
      <w:r>
        <w:rPr>
          <w:rFonts w:hint="eastAsia" w:ascii="宋体" w:hAnsi="宋体" w:cs="宋体"/>
          <w:sz w:val="24"/>
          <w:szCs w:val="24"/>
          <w:highlight w:val="none"/>
        </w:rPr>
        <w:t>标</w:t>
      </w:r>
      <w:r>
        <w:rPr>
          <w:rFonts w:hint="eastAsia" w:ascii="宋体" w:hAnsi="宋体" w:cs="宋体"/>
          <w:spacing w:val="-2"/>
          <w:sz w:val="24"/>
          <w:szCs w:val="24"/>
          <w:highlight w:val="none"/>
        </w:rPr>
        <w:t>活</w:t>
      </w:r>
      <w:r>
        <w:rPr>
          <w:rFonts w:hint="eastAsia" w:ascii="宋体" w:hAnsi="宋体" w:cs="宋体"/>
          <w:sz w:val="24"/>
          <w:szCs w:val="24"/>
          <w:highlight w:val="none"/>
        </w:rPr>
        <w:t>动</w:t>
      </w:r>
      <w:r>
        <w:rPr>
          <w:rFonts w:hint="eastAsia" w:ascii="宋体" w:hAnsi="宋体" w:cs="宋体"/>
          <w:spacing w:val="-65"/>
          <w:sz w:val="24"/>
          <w:szCs w:val="24"/>
          <w:highlight w:val="none"/>
        </w:rPr>
        <w:t>，</w:t>
      </w:r>
      <w:r>
        <w:rPr>
          <w:rFonts w:hint="eastAsia" w:ascii="宋体" w:hAnsi="宋体" w:cs="宋体"/>
          <w:spacing w:val="-2"/>
          <w:sz w:val="24"/>
          <w:szCs w:val="24"/>
          <w:highlight w:val="none"/>
        </w:rPr>
        <w:t>签</w:t>
      </w:r>
      <w:r>
        <w:rPr>
          <w:rFonts w:hint="eastAsia" w:ascii="宋体" w:hAnsi="宋体" w:cs="宋体"/>
          <w:sz w:val="24"/>
          <w:szCs w:val="24"/>
          <w:highlight w:val="none"/>
        </w:rPr>
        <w:t>署</w:t>
      </w:r>
      <w:r>
        <w:rPr>
          <w:rFonts w:hint="eastAsia" w:ascii="宋体" w:hAnsi="宋体" w:cs="宋体"/>
          <w:spacing w:val="-2"/>
          <w:sz w:val="24"/>
          <w:szCs w:val="24"/>
          <w:highlight w:val="none"/>
        </w:rPr>
        <w:t>文</w:t>
      </w:r>
      <w:r>
        <w:rPr>
          <w:rFonts w:hint="eastAsia" w:ascii="宋体" w:hAnsi="宋体" w:cs="宋体"/>
          <w:sz w:val="24"/>
          <w:szCs w:val="24"/>
          <w:highlight w:val="none"/>
        </w:rPr>
        <w:t>件</w:t>
      </w:r>
      <w:r>
        <w:rPr>
          <w:rFonts w:hint="eastAsia" w:ascii="宋体" w:hAnsi="宋体" w:cs="宋体"/>
          <w:spacing w:val="-65"/>
          <w:sz w:val="24"/>
          <w:szCs w:val="24"/>
          <w:highlight w:val="none"/>
        </w:rPr>
        <w:t>，</w:t>
      </w:r>
      <w:r>
        <w:rPr>
          <w:rFonts w:hint="eastAsia" w:ascii="宋体" w:hAnsi="宋体" w:cs="宋体"/>
          <w:spacing w:val="-2"/>
          <w:sz w:val="24"/>
          <w:szCs w:val="24"/>
          <w:highlight w:val="none"/>
        </w:rPr>
        <w:t>提</w:t>
      </w:r>
      <w:r>
        <w:rPr>
          <w:rFonts w:hint="eastAsia" w:ascii="宋体" w:hAnsi="宋体" w:cs="宋体"/>
          <w:sz w:val="24"/>
          <w:szCs w:val="24"/>
          <w:highlight w:val="none"/>
        </w:rPr>
        <w:t>交</w:t>
      </w:r>
      <w:r>
        <w:rPr>
          <w:rFonts w:hint="eastAsia" w:ascii="宋体" w:hAnsi="宋体" w:cs="宋体"/>
          <w:spacing w:val="-2"/>
          <w:sz w:val="24"/>
          <w:szCs w:val="24"/>
          <w:highlight w:val="none"/>
        </w:rPr>
        <w:t>和</w:t>
      </w:r>
      <w:r>
        <w:rPr>
          <w:rFonts w:hint="eastAsia" w:ascii="宋体" w:hAnsi="宋体" w:cs="宋体"/>
          <w:sz w:val="24"/>
          <w:szCs w:val="24"/>
          <w:highlight w:val="none"/>
        </w:rPr>
        <w:t>接</w:t>
      </w:r>
      <w:r>
        <w:rPr>
          <w:rFonts w:hint="eastAsia" w:ascii="宋体" w:hAnsi="宋体" w:cs="宋体"/>
          <w:spacing w:val="-2"/>
          <w:sz w:val="24"/>
          <w:szCs w:val="24"/>
          <w:highlight w:val="none"/>
        </w:rPr>
        <w:t>收</w:t>
      </w:r>
      <w:r>
        <w:rPr>
          <w:rFonts w:hint="eastAsia" w:ascii="宋体" w:hAnsi="宋体" w:cs="宋体"/>
          <w:sz w:val="24"/>
          <w:szCs w:val="24"/>
          <w:highlight w:val="none"/>
        </w:rPr>
        <w:t>相关</w:t>
      </w:r>
      <w:r>
        <w:rPr>
          <w:rFonts w:hint="eastAsia" w:ascii="宋体" w:hAnsi="宋体" w:cs="宋体"/>
          <w:spacing w:val="-2"/>
          <w:sz w:val="24"/>
          <w:szCs w:val="24"/>
          <w:highlight w:val="none"/>
        </w:rPr>
        <w:t>的</w:t>
      </w:r>
      <w:r>
        <w:rPr>
          <w:rFonts w:hint="eastAsia" w:ascii="宋体" w:hAnsi="宋体" w:cs="宋体"/>
          <w:sz w:val="24"/>
          <w:szCs w:val="24"/>
          <w:highlight w:val="none"/>
        </w:rPr>
        <w:t>资</w:t>
      </w:r>
      <w:r>
        <w:rPr>
          <w:rFonts w:hint="eastAsia" w:ascii="宋体" w:hAnsi="宋体" w:cs="宋体"/>
          <w:spacing w:val="-2"/>
          <w:sz w:val="24"/>
          <w:szCs w:val="24"/>
          <w:highlight w:val="none"/>
        </w:rPr>
        <w:t>料</w:t>
      </w:r>
      <w:r>
        <w:rPr>
          <w:rFonts w:hint="eastAsia" w:ascii="宋体" w:hAnsi="宋体" w:cs="宋体"/>
          <w:sz w:val="24"/>
          <w:szCs w:val="24"/>
          <w:highlight w:val="none"/>
        </w:rPr>
        <w:t>、信息及指示，进</w:t>
      </w:r>
      <w:r>
        <w:rPr>
          <w:rFonts w:hint="eastAsia" w:ascii="宋体" w:hAnsi="宋体" w:cs="宋体"/>
          <w:spacing w:val="-2"/>
          <w:sz w:val="24"/>
          <w:szCs w:val="24"/>
          <w:highlight w:val="none"/>
        </w:rPr>
        <w:t>行</w:t>
      </w:r>
      <w:r>
        <w:rPr>
          <w:rFonts w:hint="eastAsia" w:ascii="宋体" w:hAnsi="宋体" w:cs="宋体"/>
          <w:sz w:val="24"/>
          <w:szCs w:val="24"/>
          <w:highlight w:val="none"/>
        </w:rPr>
        <w:t>合同</w:t>
      </w:r>
      <w:r>
        <w:rPr>
          <w:rFonts w:hint="eastAsia" w:ascii="宋体" w:hAnsi="宋体" w:cs="宋体"/>
          <w:spacing w:val="-2"/>
          <w:sz w:val="24"/>
          <w:szCs w:val="24"/>
          <w:highlight w:val="none"/>
        </w:rPr>
        <w:t>谈</w:t>
      </w:r>
      <w:r>
        <w:rPr>
          <w:rFonts w:hint="eastAsia" w:ascii="宋体" w:hAnsi="宋体" w:cs="宋体"/>
          <w:sz w:val="24"/>
          <w:szCs w:val="24"/>
          <w:highlight w:val="none"/>
        </w:rPr>
        <w:t>判活动，负责合</w:t>
      </w:r>
      <w:r>
        <w:rPr>
          <w:rFonts w:hint="eastAsia" w:ascii="宋体" w:hAnsi="宋体" w:cs="宋体"/>
          <w:spacing w:val="-2"/>
          <w:sz w:val="24"/>
          <w:szCs w:val="24"/>
          <w:highlight w:val="none"/>
        </w:rPr>
        <w:t>同</w:t>
      </w:r>
      <w:r>
        <w:rPr>
          <w:rFonts w:hint="eastAsia" w:ascii="宋体" w:hAnsi="宋体" w:cs="宋体"/>
          <w:sz w:val="24"/>
          <w:szCs w:val="24"/>
          <w:highlight w:val="none"/>
        </w:rPr>
        <w:t>实施</w:t>
      </w:r>
      <w:r>
        <w:rPr>
          <w:rFonts w:hint="eastAsia" w:ascii="宋体" w:hAnsi="宋体" w:cs="宋体"/>
          <w:spacing w:val="-2"/>
          <w:sz w:val="24"/>
          <w:szCs w:val="24"/>
          <w:highlight w:val="none"/>
        </w:rPr>
        <w:t>阶</w:t>
      </w:r>
      <w:r>
        <w:rPr>
          <w:rFonts w:hint="eastAsia" w:ascii="宋体" w:hAnsi="宋体" w:cs="宋体"/>
          <w:sz w:val="24"/>
          <w:szCs w:val="24"/>
          <w:highlight w:val="none"/>
        </w:rPr>
        <w:t>段的组织和协调</w:t>
      </w:r>
      <w:r>
        <w:rPr>
          <w:rFonts w:hint="eastAsia" w:ascii="宋体" w:hAnsi="宋体" w:cs="宋体"/>
          <w:spacing w:val="-2"/>
          <w:sz w:val="24"/>
          <w:szCs w:val="24"/>
          <w:highlight w:val="none"/>
        </w:rPr>
        <w:t>工</w:t>
      </w:r>
      <w:r>
        <w:rPr>
          <w:rFonts w:hint="eastAsia" w:ascii="宋体" w:hAnsi="宋体" w:cs="宋体"/>
          <w:sz w:val="24"/>
          <w:szCs w:val="24"/>
          <w:highlight w:val="none"/>
        </w:rPr>
        <w:t>作，</w:t>
      </w:r>
      <w:r>
        <w:rPr>
          <w:rFonts w:hint="eastAsia" w:ascii="宋体" w:hAnsi="宋体" w:cs="宋体"/>
          <w:spacing w:val="-2"/>
          <w:sz w:val="24"/>
          <w:szCs w:val="24"/>
          <w:highlight w:val="none"/>
        </w:rPr>
        <w:t>以</w:t>
      </w:r>
      <w:r>
        <w:rPr>
          <w:rFonts w:hint="eastAsia" w:ascii="宋体" w:hAnsi="宋体" w:cs="宋体"/>
          <w:sz w:val="24"/>
          <w:szCs w:val="24"/>
          <w:highlight w:val="none"/>
        </w:rPr>
        <w:t>及处理与本招</w:t>
      </w:r>
      <w:r>
        <w:rPr>
          <w:rFonts w:hint="eastAsia" w:ascii="宋体" w:hAnsi="宋体" w:cs="宋体"/>
          <w:spacing w:val="-2"/>
          <w:sz w:val="24"/>
          <w:szCs w:val="24"/>
          <w:highlight w:val="none"/>
        </w:rPr>
        <w:t>标</w:t>
      </w:r>
      <w:r>
        <w:rPr>
          <w:rFonts w:hint="eastAsia" w:ascii="宋体" w:hAnsi="宋体" w:cs="宋体"/>
          <w:sz w:val="24"/>
          <w:szCs w:val="24"/>
          <w:highlight w:val="none"/>
        </w:rPr>
        <w:t>项目有</w:t>
      </w:r>
      <w:r>
        <w:rPr>
          <w:rFonts w:hint="eastAsia" w:ascii="宋体" w:hAnsi="宋体" w:cs="宋体"/>
          <w:spacing w:val="-2"/>
          <w:sz w:val="24"/>
          <w:szCs w:val="24"/>
          <w:highlight w:val="none"/>
        </w:rPr>
        <w:t>关</w:t>
      </w:r>
      <w:r>
        <w:rPr>
          <w:rFonts w:hint="eastAsia" w:ascii="宋体" w:hAnsi="宋体" w:cs="宋体"/>
          <w:sz w:val="24"/>
          <w:szCs w:val="24"/>
          <w:highlight w:val="none"/>
        </w:rPr>
        <w:t>的</w:t>
      </w:r>
      <w:r>
        <w:rPr>
          <w:rFonts w:hint="eastAsia" w:ascii="宋体" w:hAnsi="宋体" w:cs="宋体"/>
          <w:spacing w:val="-2"/>
          <w:sz w:val="24"/>
          <w:szCs w:val="24"/>
          <w:highlight w:val="none"/>
        </w:rPr>
        <w:t>一</w:t>
      </w:r>
      <w:r>
        <w:rPr>
          <w:rFonts w:hint="eastAsia" w:ascii="宋体" w:hAnsi="宋体" w:cs="宋体"/>
          <w:sz w:val="24"/>
          <w:szCs w:val="24"/>
          <w:highlight w:val="none"/>
        </w:rPr>
        <w:t>切</w:t>
      </w:r>
      <w:r>
        <w:rPr>
          <w:rFonts w:hint="eastAsia" w:ascii="宋体" w:hAnsi="宋体" w:cs="宋体"/>
          <w:spacing w:val="-2"/>
          <w:sz w:val="24"/>
          <w:szCs w:val="24"/>
          <w:highlight w:val="none"/>
        </w:rPr>
        <w:t>事</w:t>
      </w:r>
      <w:r>
        <w:rPr>
          <w:rFonts w:hint="eastAsia" w:ascii="宋体" w:hAnsi="宋体" w:cs="宋体"/>
          <w:sz w:val="24"/>
          <w:szCs w:val="24"/>
          <w:highlight w:val="none"/>
        </w:rPr>
        <w:t>宜。</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3. </w:t>
      </w:r>
      <w:r>
        <w:rPr>
          <w:rFonts w:hint="eastAsia" w:ascii="宋体" w:hAnsi="宋体" w:cs="宋体"/>
          <w:spacing w:val="1"/>
          <w:sz w:val="24"/>
          <w:szCs w:val="24"/>
          <w:highlight w:val="none"/>
        </w:rPr>
        <w:t xml:space="preserve"> </w:t>
      </w:r>
      <w:r>
        <w:rPr>
          <w:rFonts w:hint="eastAsia" w:ascii="宋体" w:hAnsi="宋体" w:cs="宋体"/>
          <w:spacing w:val="-2"/>
          <w:sz w:val="24"/>
          <w:szCs w:val="24"/>
          <w:highlight w:val="none"/>
        </w:rPr>
        <w:t>联</w:t>
      </w:r>
      <w:r>
        <w:rPr>
          <w:rFonts w:hint="eastAsia" w:ascii="宋体" w:hAnsi="宋体" w:cs="宋体"/>
          <w:sz w:val="24"/>
          <w:szCs w:val="24"/>
          <w:highlight w:val="none"/>
        </w:rPr>
        <w:t>合</w:t>
      </w:r>
      <w:r>
        <w:rPr>
          <w:rFonts w:hint="eastAsia" w:ascii="宋体" w:hAnsi="宋体" w:cs="宋体"/>
          <w:spacing w:val="-2"/>
          <w:sz w:val="24"/>
          <w:szCs w:val="24"/>
          <w:highlight w:val="none"/>
        </w:rPr>
        <w:t>体</w:t>
      </w:r>
      <w:r>
        <w:rPr>
          <w:rFonts w:hint="eastAsia" w:ascii="宋体" w:hAnsi="宋体" w:cs="宋体"/>
          <w:sz w:val="24"/>
          <w:szCs w:val="24"/>
          <w:highlight w:val="none"/>
        </w:rPr>
        <w:t>牵</w:t>
      </w:r>
      <w:r>
        <w:rPr>
          <w:rFonts w:hint="eastAsia" w:ascii="宋体" w:hAnsi="宋体" w:cs="宋体"/>
          <w:spacing w:val="-2"/>
          <w:sz w:val="24"/>
          <w:szCs w:val="24"/>
          <w:highlight w:val="none"/>
        </w:rPr>
        <w:t>头</w:t>
      </w:r>
      <w:r>
        <w:rPr>
          <w:rFonts w:hint="eastAsia" w:ascii="宋体" w:hAnsi="宋体" w:cs="宋体"/>
          <w:sz w:val="24"/>
          <w:szCs w:val="24"/>
          <w:highlight w:val="none"/>
        </w:rPr>
        <w:t>人</w:t>
      </w:r>
      <w:r>
        <w:rPr>
          <w:rFonts w:hint="eastAsia" w:ascii="宋体" w:hAnsi="宋体" w:cs="宋体"/>
          <w:spacing w:val="-2"/>
          <w:sz w:val="24"/>
          <w:szCs w:val="24"/>
          <w:highlight w:val="none"/>
        </w:rPr>
        <w:t>在</w:t>
      </w:r>
      <w:r>
        <w:rPr>
          <w:rFonts w:hint="eastAsia" w:ascii="宋体" w:hAnsi="宋体" w:cs="宋体"/>
          <w:sz w:val="24"/>
          <w:szCs w:val="24"/>
          <w:highlight w:val="none"/>
        </w:rPr>
        <w:t>本</w:t>
      </w:r>
      <w:r>
        <w:rPr>
          <w:rFonts w:hint="eastAsia" w:ascii="宋体" w:hAnsi="宋体" w:cs="宋体"/>
          <w:spacing w:val="-2"/>
          <w:sz w:val="24"/>
          <w:szCs w:val="24"/>
          <w:highlight w:val="none"/>
        </w:rPr>
        <w:t>项目</w:t>
      </w:r>
      <w:r>
        <w:rPr>
          <w:rFonts w:hint="eastAsia" w:ascii="宋体" w:hAnsi="宋体" w:cs="宋体"/>
          <w:sz w:val="24"/>
          <w:szCs w:val="24"/>
          <w:highlight w:val="none"/>
        </w:rPr>
        <w:t>中签</w:t>
      </w:r>
      <w:r>
        <w:rPr>
          <w:rFonts w:hint="eastAsia" w:ascii="宋体" w:hAnsi="宋体" w:cs="宋体"/>
          <w:spacing w:val="-2"/>
          <w:sz w:val="24"/>
          <w:szCs w:val="24"/>
          <w:highlight w:val="none"/>
        </w:rPr>
        <w:t>署</w:t>
      </w:r>
      <w:r>
        <w:rPr>
          <w:rFonts w:hint="eastAsia" w:ascii="宋体" w:hAnsi="宋体" w:cs="宋体"/>
          <w:sz w:val="24"/>
          <w:szCs w:val="24"/>
          <w:highlight w:val="none"/>
        </w:rPr>
        <w:t>的</w:t>
      </w:r>
      <w:r>
        <w:rPr>
          <w:rFonts w:hint="eastAsia" w:ascii="宋体" w:hAnsi="宋体" w:cs="宋体"/>
          <w:spacing w:val="-2"/>
          <w:sz w:val="24"/>
          <w:szCs w:val="24"/>
          <w:highlight w:val="none"/>
        </w:rPr>
        <w:t>一</w:t>
      </w:r>
      <w:r>
        <w:rPr>
          <w:rFonts w:hint="eastAsia" w:ascii="宋体" w:hAnsi="宋体" w:cs="宋体"/>
          <w:sz w:val="24"/>
          <w:szCs w:val="24"/>
          <w:highlight w:val="none"/>
        </w:rPr>
        <w:t>切</w:t>
      </w:r>
      <w:r>
        <w:rPr>
          <w:rFonts w:hint="eastAsia" w:ascii="宋体" w:hAnsi="宋体" w:cs="宋体"/>
          <w:spacing w:val="-2"/>
          <w:sz w:val="24"/>
          <w:szCs w:val="24"/>
          <w:highlight w:val="none"/>
        </w:rPr>
        <w:t>文</w:t>
      </w:r>
      <w:r>
        <w:rPr>
          <w:rFonts w:hint="eastAsia" w:ascii="宋体" w:hAnsi="宋体" w:cs="宋体"/>
          <w:sz w:val="24"/>
          <w:szCs w:val="24"/>
          <w:highlight w:val="none"/>
        </w:rPr>
        <w:t>件</w:t>
      </w:r>
      <w:r>
        <w:rPr>
          <w:rFonts w:hint="eastAsia" w:ascii="宋体" w:hAnsi="宋体" w:cs="宋体"/>
          <w:spacing w:val="-2"/>
          <w:sz w:val="24"/>
          <w:szCs w:val="24"/>
          <w:highlight w:val="none"/>
        </w:rPr>
        <w:t>和</w:t>
      </w:r>
      <w:r>
        <w:rPr>
          <w:rFonts w:hint="eastAsia" w:ascii="宋体" w:hAnsi="宋体" w:cs="宋体"/>
          <w:sz w:val="24"/>
          <w:szCs w:val="24"/>
          <w:highlight w:val="none"/>
        </w:rPr>
        <w:t>处</w:t>
      </w:r>
      <w:r>
        <w:rPr>
          <w:rFonts w:hint="eastAsia" w:ascii="宋体" w:hAnsi="宋体" w:cs="宋体"/>
          <w:spacing w:val="-2"/>
          <w:sz w:val="24"/>
          <w:szCs w:val="24"/>
          <w:highlight w:val="none"/>
        </w:rPr>
        <w:t>理</w:t>
      </w:r>
      <w:r>
        <w:rPr>
          <w:rFonts w:hint="eastAsia" w:ascii="宋体" w:hAnsi="宋体" w:cs="宋体"/>
          <w:sz w:val="24"/>
          <w:szCs w:val="24"/>
          <w:highlight w:val="none"/>
        </w:rPr>
        <w:t>的一</w:t>
      </w:r>
      <w:r>
        <w:rPr>
          <w:rFonts w:hint="eastAsia" w:ascii="宋体" w:hAnsi="宋体" w:cs="宋体"/>
          <w:spacing w:val="-2"/>
          <w:sz w:val="24"/>
          <w:szCs w:val="24"/>
          <w:highlight w:val="none"/>
        </w:rPr>
        <w:t>切</w:t>
      </w:r>
      <w:r>
        <w:rPr>
          <w:rFonts w:hint="eastAsia" w:ascii="宋体" w:hAnsi="宋体" w:cs="宋体"/>
          <w:sz w:val="24"/>
          <w:szCs w:val="24"/>
          <w:highlight w:val="none"/>
        </w:rPr>
        <w:t>事</w:t>
      </w:r>
      <w:r>
        <w:rPr>
          <w:rFonts w:hint="eastAsia" w:ascii="宋体" w:hAnsi="宋体" w:cs="宋体"/>
          <w:spacing w:val="-2"/>
          <w:sz w:val="24"/>
          <w:szCs w:val="24"/>
          <w:highlight w:val="none"/>
        </w:rPr>
        <w:t>宜</w:t>
      </w:r>
      <w:r>
        <w:rPr>
          <w:rFonts w:hint="eastAsia" w:ascii="宋体" w:hAnsi="宋体" w:cs="宋体"/>
          <w:spacing w:val="-24"/>
          <w:sz w:val="24"/>
          <w:szCs w:val="24"/>
          <w:highlight w:val="none"/>
        </w:rPr>
        <w:t>，</w:t>
      </w:r>
      <w:r>
        <w:rPr>
          <w:rFonts w:hint="eastAsia" w:ascii="宋体" w:hAnsi="宋体" w:cs="宋体"/>
          <w:sz w:val="24"/>
          <w:szCs w:val="24"/>
          <w:highlight w:val="none"/>
        </w:rPr>
        <w:t>联</w:t>
      </w:r>
      <w:r>
        <w:rPr>
          <w:rFonts w:hint="eastAsia" w:ascii="宋体" w:hAnsi="宋体" w:cs="宋体"/>
          <w:spacing w:val="-2"/>
          <w:sz w:val="24"/>
          <w:szCs w:val="24"/>
          <w:highlight w:val="none"/>
        </w:rPr>
        <w:t>合</w:t>
      </w:r>
      <w:r>
        <w:rPr>
          <w:rFonts w:hint="eastAsia" w:ascii="宋体" w:hAnsi="宋体" w:cs="宋体"/>
          <w:sz w:val="24"/>
          <w:szCs w:val="24"/>
          <w:highlight w:val="none"/>
        </w:rPr>
        <w:t>体</w:t>
      </w:r>
      <w:r>
        <w:rPr>
          <w:rFonts w:hint="eastAsia" w:ascii="宋体" w:hAnsi="宋体" w:cs="宋体"/>
          <w:spacing w:val="-2"/>
          <w:sz w:val="24"/>
          <w:szCs w:val="24"/>
          <w:highlight w:val="none"/>
        </w:rPr>
        <w:t>各成</w:t>
      </w:r>
      <w:r>
        <w:rPr>
          <w:rFonts w:hint="eastAsia" w:ascii="宋体" w:hAnsi="宋体" w:cs="宋体"/>
          <w:sz w:val="24"/>
          <w:szCs w:val="24"/>
          <w:highlight w:val="none"/>
        </w:rPr>
        <w:t>员均</w:t>
      </w:r>
      <w:r>
        <w:rPr>
          <w:rFonts w:hint="eastAsia" w:ascii="宋体" w:hAnsi="宋体" w:cs="宋体"/>
          <w:spacing w:val="-2"/>
          <w:sz w:val="24"/>
          <w:szCs w:val="24"/>
          <w:highlight w:val="none"/>
        </w:rPr>
        <w:t>予</w:t>
      </w:r>
      <w:r>
        <w:rPr>
          <w:rFonts w:hint="eastAsia" w:ascii="宋体" w:hAnsi="宋体" w:cs="宋体"/>
          <w:sz w:val="24"/>
          <w:szCs w:val="24"/>
          <w:highlight w:val="none"/>
        </w:rPr>
        <w:t>以</w:t>
      </w:r>
      <w:r>
        <w:rPr>
          <w:rFonts w:hint="eastAsia" w:ascii="宋体" w:hAnsi="宋体" w:cs="宋体"/>
          <w:spacing w:val="-2"/>
          <w:sz w:val="24"/>
          <w:szCs w:val="24"/>
          <w:highlight w:val="none"/>
        </w:rPr>
        <w:t>承</w:t>
      </w:r>
      <w:r>
        <w:rPr>
          <w:rFonts w:hint="eastAsia" w:ascii="宋体" w:hAnsi="宋体" w:cs="宋体"/>
          <w:sz w:val="24"/>
          <w:szCs w:val="24"/>
          <w:highlight w:val="none"/>
        </w:rPr>
        <w:t>认。 联合体各成员将</w:t>
      </w:r>
      <w:r>
        <w:rPr>
          <w:rFonts w:hint="eastAsia" w:ascii="宋体" w:hAnsi="宋体" w:cs="宋体"/>
          <w:spacing w:val="-2"/>
          <w:sz w:val="24"/>
          <w:szCs w:val="24"/>
          <w:highlight w:val="none"/>
        </w:rPr>
        <w:t>严</w:t>
      </w:r>
      <w:r>
        <w:rPr>
          <w:rFonts w:hint="eastAsia" w:ascii="宋体" w:hAnsi="宋体" w:cs="宋体"/>
          <w:sz w:val="24"/>
          <w:szCs w:val="24"/>
          <w:highlight w:val="none"/>
        </w:rPr>
        <w:t>格按</w:t>
      </w:r>
      <w:r>
        <w:rPr>
          <w:rFonts w:hint="eastAsia" w:ascii="宋体" w:hAnsi="宋体" w:cs="宋体"/>
          <w:spacing w:val="-2"/>
          <w:sz w:val="24"/>
          <w:szCs w:val="24"/>
          <w:highlight w:val="none"/>
        </w:rPr>
        <w:t>照</w:t>
      </w:r>
      <w:r>
        <w:rPr>
          <w:rFonts w:hint="eastAsia" w:ascii="宋体" w:hAnsi="宋体" w:cs="宋体"/>
          <w:sz w:val="24"/>
          <w:szCs w:val="24"/>
          <w:highlight w:val="none"/>
        </w:rPr>
        <w:t>招标文件、投标</w:t>
      </w:r>
      <w:r>
        <w:rPr>
          <w:rFonts w:hint="eastAsia" w:ascii="宋体" w:hAnsi="宋体" w:cs="宋体"/>
          <w:spacing w:val="-2"/>
          <w:sz w:val="24"/>
          <w:szCs w:val="24"/>
          <w:highlight w:val="none"/>
        </w:rPr>
        <w:t>文</w:t>
      </w:r>
      <w:r>
        <w:rPr>
          <w:rFonts w:hint="eastAsia" w:ascii="宋体" w:hAnsi="宋体" w:cs="宋体"/>
          <w:sz w:val="24"/>
          <w:szCs w:val="24"/>
          <w:highlight w:val="none"/>
        </w:rPr>
        <w:t>件和</w:t>
      </w:r>
      <w:r>
        <w:rPr>
          <w:rFonts w:hint="eastAsia" w:ascii="宋体" w:hAnsi="宋体" w:cs="宋体"/>
          <w:spacing w:val="-2"/>
          <w:sz w:val="24"/>
          <w:szCs w:val="24"/>
          <w:highlight w:val="none"/>
        </w:rPr>
        <w:t>合</w:t>
      </w:r>
      <w:r>
        <w:rPr>
          <w:rFonts w:hint="eastAsia" w:ascii="宋体" w:hAnsi="宋体" w:cs="宋体"/>
          <w:sz w:val="24"/>
          <w:szCs w:val="24"/>
          <w:highlight w:val="none"/>
        </w:rPr>
        <w:t>同的要求全面履</w:t>
      </w:r>
      <w:r>
        <w:rPr>
          <w:rFonts w:hint="eastAsia" w:ascii="宋体" w:hAnsi="宋体" w:cs="宋体"/>
          <w:spacing w:val="-2"/>
          <w:sz w:val="24"/>
          <w:szCs w:val="24"/>
          <w:highlight w:val="none"/>
        </w:rPr>
        <w:t>行</w:t>
      </w:r>
      <w:r>
        <w:rPr>
          <w:rFonts w:hint="eastAsia" w:ascii="宋体" w:hAnsi="宋体" w:cs="宋体"/>
          <w:sz w:val="24"/>
          <w:szCs w:val="24"/>
          <w:highlight w:val="none"/>
        </w:rPr>
        <w:t>义务</w:t>
      </w:r>
      <w:r>
        <w:rPr>
          <w:rFonts w:hint="eastAsia" w:ascii="宋体" w:hAnsi="宋体" w:cs="宋体"/>
          <w:spacing w:val="-2"/>
          <w:sz w:val="24"/>
          <w:szCs w:val="24"/>
          <w:highlight w:val="none"/>
        </w:rPr>
        <w:t>，</w:t>
      </w:r>
      <w:r>
        <w:rPr>
          <w:rFonts w:hint="eastAsia" w:ascii="宋体" w:hAnsi="宋体" w:cs="宋体"/>
          <w:sz w:val="24"/>
          <w:szCs w:val="24"/>
          <w:highlight w:val="none"/>
        </w:rPr>
        <w:t>并向招标人承</w:t>
      </w:r>
      <w:r>
        <w:rPr>
          <w:rFonts w:hint="eastAsia" w:ascii="宋体" w:hAnsi="宋体" w:cs="宋体"/>
          <w:spacing w:val="-2"/>
          <w:sz w:val="24"/>
          <w:szCs w:val="24"/>
          <w:highlight w:val="none"/>
        </w:rPr>
        <w:t>担</w:t>
      </w:r>
      <w:r>
        <w:rPr>
          <w:rFonts w:hint="eastAsia" w:ascii="宋体" w:hAnsi="宋体" w:cs="宋体"/>
          <w:sz w:val="24"/>
          <w:szCs w:val="24"/>
          <w:highlight w:val="none"/>
        </w:rPr>
        <w:t>连带责</w:t>
      </w:r>
      <w:r>
        <w:rPr>
          <w:rFonts w:hint="eastAsia" w:ascii="宋体" w:hAnsi="宋体" w:cs="宋体"/>
          <w:spacing w:val="-2"/>
          <w:sz w:val="24"/>
          <w:szCs w:val="24"/>
          <w:highlight w:val="none"/>
        </w:rPr>
        <w:t>任</w:t>
      </w:r>
      <w:r>
        <w:rPr>
          <w:rFonts w:hint="eastAsia" w:ascii="宋体" w:hAnsi="宋体" w:cs="宋体"/>
          <w:sz w:val="24"/>
          <w:szCs w:val="24"/>
          <w:highlight w:val="none"/>
        </w:rPr>
        <w:t>。</w:t>
      </w:r>
    </w:p>
    <w:p>
      <w:pPr>
        <w:tabs>
          <w:tab w:val="left" w:pos="8740"/>
        </w:tabs>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4. </w:t>
      </w:r>
      <w:r>
        <w:rPr>
          <w:rFonts w:hint="eastAsia" w:ascii="宋体" w:hAnsi="宋体" w:cs="宋体"/>
          <w:spacing w:val="1"/>
          <w:sz w:val="24"/>
          <w:szCs w:val="24"/>
          <w:highlight w:val="none"/>
        </w:rPr>
        <w:t xml:space="preserve"> </w:t>
      </w:r>
      <w:r>
        <w:rPr>
          <w:rFonts w:hint="eastAsia" w:ascii="宋体" w:hAnsi="宋体" w:cs="宋体"/>
          <w:spacing w:val="-2"/>
          <w:sz w:val="24"/>
          <w:szCs w:val="24"/>
          <w:highlight w:val="none"/>
        </w:rPr>
        <w:t>联</w:t>
      </w:r>
      <w:r>
        <w:rPr>
          <w:rFonts w:hint="eastAsia" w:ascii="宋体" w:hAnsi="宋体" w:cs="宋体"/>
          <w:sz w:val="24"/>
          <w:szCs w:val="24"/>
          <w:highlight w:val="none"/>
        </w:rPr>
        <w:t>合</w:t>
      </w:r>
      <w:r>
        <w:rPr>
          <w:rFonts w:hint="eastAsia" w:ascii="宋体" w:hAnsi="宋体" w:cs="宋体"/>
          <w:spacing w:val="-2"/>
          <w:sz w:val="24"/>
          <w:szCs w:val="24"/>
          <w:highlight w:val="none"/>
        </w:rPr>
        <w:t>体</w:t>
      </w:r>
      <w:r>
        <w:rPr>
          <w:rFonts w:hint="eastAsia" w:ascii="宋体" w:hAnsi="宋体" w:cs="宋体"/>
          <w:sz w:val="24"/>
          <w:szCs w:val="24"/>
          <w:highlight w:val="none"/>
        </w:rPr>
        <w:t>各</w:t>
      </w:r>
      <w:r>
        <w:rPr>
          <w:rFonts w:hint="eastAsia" w:ascii="宋体" w:hAnsi="宋体" w:cs="宋体"/>
          <w:spacing w:val="-2"/>
          <w:sz w:val="24"/>
          <w:szCs w:val="24"/>
          <w:highlight w:val="none"/>
        </w:rPr>
        <w:t>成</w:t>
      </w:r>
      <w:r>
        <w:rPr>
          <w:rFonts w:hint="eastAsia" w:ascii="宋体" w:hAnsi="宋体" w:cs="宋体"/>
          <w:sz w:val="24"/>
          <w:szCs w:val="24"/>
          <w:highlight w:val="none"/>
        </w:rPr>
        <w:t>员</w:t>
      </w:r>
      <w:r>
        <w:rPr>
          <w:rFonts w:hint="eastAsia" w:ascii="宋体" w:hAnsi="宋体" w:cs="宋体"/>
          <w:spacing w:val="-2"/>
          <w:sz w:val="24"/>
          <w:szCs w:val="24"/>
          <w:highlight w:val="none"/>
        </w:rPr>
        <w:t>单</w:t>
      </w:r>
      <w:r>
        <w:rPr>
          <w:rFonts w:hint="eastAsia" w:ascii="宋体" w:hAnsi="宋体" w:cs="宋体"/>
          <w:sz w:val="24"/>
          <w:szCs w:val="24"/>
          <w:highlight w:val="none"/>
        </w:rPr>
        <w:t>位</w:t>
      </w:r>
      <w:r>
        <w:rPr>
          <w:rFonts w:hint="eastAsia" w:ascii="宋体" w:hAnsi="宋体" w:cs="宋体"/>
          <w:spacing w:val="-2"/>
          <w:sz w:val="24"/>
          <w:szCs w:val="24"/>
          <w:highlight w:val="none"/>
        </w:rPr>
        <w:t>内部</w:t>
      </w:r>
      <w:r>
        <w:rPr>
          <w:rFonts w:hint="eastAsia" w:ascii="宋体" w:hAnsi="宋体" w:cs="宋体"/>
          <w:sz w:val="24"/>
          <w:szCs w:val="24"/>
          <w:highlight w:val="none"/>
        </w:rPr>
        <w:t>的职</w:t>
      </w:r>
      <w:r>
        <w:rPr>
          <w:rFonts w:hint="eastAsia" w:ascii="宋体" w:hAnsi="宋体" w:cs="宋体"/>
          <w:spacing w:val="-2"/>
          <w:sz w:val="24"/>
          <w:szCs w:val="24"/>
          <w:highlight w:val="none"/>
        </w:rPr>
        <w:t>责</w:t>
      </w:r>
      <w:r>
        <w:rPr>
          <w:rFonts w:hint="eastAsia" w:ascii="宋体" w:hAnsi="宋体" w:cs="宋体"/>
          <w:sz w:val="24"/>
          <w:szCs w:val="24"/>
          <w:highlight w:val="none"/>
        </w:rPr>
        <w:t>分</w:t>
      </w:r>
      <w:r>
        <w:rPr>
          <w:rFonts w:hint="eastAsia" w:ascii="宋体" w:hAnsi="宋体" w:cs="宋体"/>
          <w:spacing w:val="-2"/>
          <w:sz w:val="24"/>
          <w:szCs w:val="24"/>
          <w:highlight w:val="none"/>
        </w:rPr>
        <w:t>工</w:t>
      </w:r>
      <w:r>
        <w:rPr>
          <w:rFonts w:hint="eastAsia" w:ascii="宋体" w:hAnsi="宋体" w:cs="宋体"/>
          <w:sz w:val="24"/>
          <w:szCs w:val="24"/>
          <w:highlight w:val="none"/>
        </w:rPr>
        <w:t>如</w:t>
      </w:r>
      <w:r>
        <w:rPr>
          <w:rFonts w:hint="eastAsia" w:ascii="宋体" w:hAnsi="宋体" w:cs="宋体"/>
          <w:spacing w:val="-2"/>
          <w:sz w:val="24"/>
          <w:szCs w:val="24"/>
          <w:highlight w:val="none"/>
        </w:rPr>
        <w:t>下</w:t>
      </w:r>
      <w:r>
        <w:rPr>
          <w:rFonts w:hint="eastAsia" w:ascii="宋体" w:hAnsi="宋体" w:cs="宋体"/>
          <w:spacing w:val="-24"/>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pacing w:val="1"/>
          <w:sz w:val="24"/>
          <w:szCs w:val="24"/>
          <w:highlight w:val="none"/>
          <w:u w:val="single"/>
        </w:rPr>
        <w:t xml:space="preserve"> </w:t>
      </w:r>
      <w:r>
        <w:rPr>
          <w:rFonts w:hint="eastAsia" w:ascii="宋体" w:hAnsi="宋体" w:cs="宋体"/>
          <w:sz w:val="24"/>
          <w:szCs w:val="24"/>
          <w:highlight w:val="none"/>
          <w:u w:val="single"/>
        </w:rPr>
        <w:tab/>
      </w:r>
      <w:r>
        <w:rPr>
          <w:rFonts w:hint="eastAsia" w:ascii="宋体" w:hAnsi="宋体" w:cs="宋体"/>
          <w:sz w:val="24"/>
          <w:szCs w:val="24"/>
          <w:highlight w:val="none"/>
        </w:rPr>
        <w:t>。</w:t>
      </w:r>
    </w:p>
    <w:p>
      <w:pPr>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 xml:space="preserve">5. </w:t>
      </w:r>
      <w:r>
        <w:rPr>
          <w:rFonts w:hint="eastAsia" w:ascii="宋体" w:hAnsi="宋体" w:cs="宋体"/>
          <w:spacing w:val="1"/>
          <w:sz w:val="24"/>
          <w:szCs w:val="24"/>
          <w:highlight w:val="none"/>
        </w:rPr>
        <w:t xml:space="preserve"> </w:t>
      </w:r>
      <w:r>
        <w:rPr>
          <w:rFonts w:hint="eastAsia" w:ascii="宋体" w:hAnsi="宋体" w:cs="宋体"/>
          <w:spacing w:val="-2"/>
          <w:sz w:val="24"/>
          <w:szCs w:val="24"/>
          <w:highlight w:val="none"/>
        </w:rPr>
        <w:t>本</w:t>
      </w:r>
      <w:r>
        <w:rPr>
          <w:rFonts w:hint="eastAsia" w:ascii="宋体" w:hAnsi="宋体" w:cs="宋体"/>
          <w:sz w:val="24"/>
          <w:szCs w:val="24"/>
          <w:highlight w:val="none"/>
        </w:rPr>
        <w:t>协</w:t>
      </w:r>
      <w:r>
        <w:rPr>
          <w:rFonts w:hint="eastAsia" w:ascii="宋体" w:hAnsi="宋体" w:cs="宋体"/>
          <w:spacing w:val="-2"/>
          <w:sz w:val="24"/>
          <w:szCs w:val="24"/>
          <w:highlight w:val="none"/>
        </w:rPr>
        <w:t>议</w:t>
      </w:r>
      <w:r>
        <w:rPr>
          <w:rFonts w:hint="eastAsia" w:ascii="宋体" w:hAnsi="宋体" w:cs="宋体"/>
          <w:sz w:val="24"/>
          <w:szCs w:val="24"/>
          <w:highlight w:val="none"/>
        </w:rPr>
        <w:t>书</w:t>
      </w:r>
      <w:r>
        <w:rPr>
          <w:rFonts w:hint="eastAsia" w:ascii="宋体" w:hAnsi="宋体" w:cs="宋体"/>
          <w:spacing w:val="-2"/>
          <w:sz w:val="24"/>
          <w:szCs w:val="24"/>
          <w:highlight w:val="none"/>
        </w:rPr>
        <w:t>自</w:t>
      </w:r>
      <w:r>
        <w:rPr>
          <w:rFonts w:hint="eastAsia" w:ascii="宋体" w:hAnsi="宋体" w:cs="宋体"/>
          <w:sz w:val="24"/>
          <w:szCs w:val="24"/>
          <w:highlight w:val="none"/>
        </w:rPr>
        <w:t>所</w:t>
      </w:r>
      <w:r>
        <w:rPr>
          <w:rFonts w:hint="eastAsia" w:ascii="宋体" w:hAnsi="宋体" w:cs="宋体"/>
          <w:spacing w:val="-2"/>
          <w:sz w:val="24"/>
          <w:szCs w:val="24"/>
          <w:highlight w:val="none"/>
        </w:rPr>
        <w:t>有</w:t>
      </w:r>
      <w:r>
        <w:rPr>
          <w:rFonts w:hint="eastAsia" w:ascii="宋体" w:hAnsi="宋体" w:cs="宋体"/>
          <w:sz w:val="24"/>
          <w:szCs w:val="24"/>
          <w:highlight w:val="none"/>
        </w:rPr>
        <w:t>成</w:t>
      </w:r>
      <w:r>
        <w:rPr>
          <w:rFonts w:hint="eastAsia" w:ascii="宋体" w:hAnsi="宋体" w:cs="宋体"/>
          <w:spacing w:val="-2"/>
          <w:sz w:val="24"/>
          <w:szCs w:val="24"/>
          <w:highlight w:val="none"/>
        </w:rPr>
        <w:t>员单</w:t>
      </w:r>
      <w:r>
        <w:rPr>
          <w:rFonts w:hint="eastAsia" w:ascii="宋体" w:hAnsi="宋体" w:cs="宋体"/>
          <w:sz w:val="24"/>
          <w:szCs w:val="24"/>
          <w:highlight w:val="none"/>
        </w:rPr>
        <w:t>位法</w:t>
      </w:r>
      <w:r>
        <w:rPr>
          <w:rFonts w:hint="eastAsia" w:ascii="宋体" w:hAnsi="宋体" w:cs="宋体"/>
          <w:spacing w:val="-2"/>
          <w:sz w:val="24"/>
          <w:szCs w:val="24"/>
          <w:highlight w:val="none"/>
        </w:rPr>
        <w:t>定</w:t>
      </w:r>
      <w:r>
        <w:rPr>
          <w:rFonts w:hint="eastAsia" w:ascii="宋体" w:hAnsi="宋体" w:cs="宋体"/>
          <w:sz w:val="24"/>
          <w:szCs w:val="24"/>
          <w:highlight w:val="none"/>
        </w:rPr>
        <w:t>代</w:t>
      </w:r>
      <w:r>
        <w:rPr>
          <w:rFonts w:hint="eastAsia" w:ascii="宋体" w:hAnsi="宋体" w:cs="宋体"/>
          <w:spacing w:val="-2"/>
          <w:sz w:val="24"/>
          <w:szCs w:val="24"/>
          <w:highlight w:val="none"/>
        </w:rPr>
        <w:t>表</w:t>
      </w:r>
      <w:r>
        <w:rPr>
          <w:rFonts w:hint="eastAsia" w:ascii="宋体" w:hAnsi="宋体" w:cs="宋体"/>
          <w:sz w:val="24"/>
          <w:szCs w:val="24"/>
          <w:highlight w:val="none"/>
        </w:rPr>
        <w:t>人</w:t>
      </w:r>
      <w:r>
        <w:rPr>
          <w:rFonts w:hint="eastAsia" w:ascii="宋体" w:hAnsi="宋体" w:cs="宋体"/>
          <w:spacing w:val="-2"/>
          <w:sz w:val="24"/>
          <w:szCs w:val="24"/>
          <w:highlight w:val="none"/>
        </w:rPr>
        <w:t>或</w:t>
      </w:r>
      <w:r>
        <w:rPr>
          <w:rFonts w:hint="eastAsia" w:ascii="宋体" w:hAnsi="宋体" w:cs="宋体"/>
          <w:sz w:val="24"/>
          <w:szCs w:val="24"/>
          <w:highlight w:val="none"/>
        </w:rPr>
        <w:t>其</w:t>
      </w:r>
      <w:r>
        <w:rPr>
          <w:rFonts w:hint="eastAsia" w:ascii="宋体" w:hAnsi="宋体" w:cs="宋体"/>
          <w:spacing w:val="-2"/>
          <w:sz w:val="24"/>
          <w:szCs w:val="24"/>
          <w:highlight w:val="none"/>
        </w:rPr>
        <w:t>委</w:t>
      </w:r>
      <w:r>
        <w:rPr>
          <w:rFonts w:hint="eastAsia" w:ascii="宋体" w:hAnsi="宋体" w:cs="宋体"/>
          <w:sz w:val="24"/>
          <w:szCs w:val="24"/>
          <w:highlight w:val="none"/>
        </w:rPr>
        <w:t>托</w:t>
      </w:r>
      <w:r>
        <w:rPr>
          <w:rFonts w:hint="eastAsia" w:ascii="宋体" w:hAnsi="宋体" w:cs="宋体"/>
          <w:spacing w:val="-2"/>
          <w:sz w:val="24"/>
          <w:szCs w:val="24"/>
          <w:highlight w:val="none"/>
        </w:rPr>
        <w:t>代</w:t>
      </w:r>
      <w:r>
        <w:rPr>
          <w:rFonts w:hint="eastAsia" w:ascii="宋体" w:hAnsi="宋体" w:cs="宋体"/>
          <w:sz w:val="24"/>
          <w:szCs w:val="24"/>
          <w:highlight w:val="none"/>
        </w:rPr>
        <w:t>理人</w:t>
      </w:r>
      <w:r>
        <w:rPr>
          <w:rFonts w:hint="eastAsia" w:ascii="宋体" w:hAnsi="宋体" w:cs="宋体"/>
          <w:spacing w:val="-2"/>
          <w:sz w:val="24"/>
          <w:szCs w:val="24"/>
          <w:highlight w:val="none"/>
        </w:rPr>
        <w:t>签</w:t>
      </w:r>
      <w:r>
        <w:rPr>
          <w:rFonts w:hint="eastAsia" w:ascii="宋体" w:hAnsi="宋体" w:cs="宋体"/>
          <w:sz w:val="24"/>
          <w:szCs w:val="24"/>
          <w:highlight w:val="none"/>
        </w:rPr>
        <w:t>字</w:t>
      </w:r>
      <w:r>
        <w:rPr>
          <w:rFonts w:hint="eastAsia" w:ascii="宋体" w:hAnsi="宋体" w:cs="宋体"/>
          <w:spacing w:val="-2"/>
          <w:sz w:val="24"/>
          <w:szCs w:val="24"/>
          <w:highlight w:val="none"/>
        </w:rPr>
        <w:t>或</w:t>
      </w:r>
      <w:r>
        <w:rPr>
          <w:rFonts w:hint="eastAsia" w:ascii="宋体" w:hAnsi="宋体" w:cs="宋体"/>
          <w:sz w:val="24"/>
          <w:szCs w:val="24"/>
          <w:highlight w:val="none"/>
        </w:rPr>
        <w:t>盖</w:t>
      </w:r>
      <w:r>
        <w:rPr>
          <w:rFonts w:hint="eastAsia" w:ascii="宋体" w:hAnsi="宋体" w:cs="宋体"/>
          <w:spacing w:val="-2"/>
          <w:sz w:val="24"/>
          <w:szCs w:val="24"/>
          <w:highlight w:val="none"/>
        </w:rPr>
        <w:t>单</w:t>
      </w:r>
      <w:r>
        <w:rPr>
          <w:rFonts w:hint="eastAsia" w:ascii="宋体" w:hAnsi="宋体" w:cs="宋体"/>
          <w:sz w:val="24"/>
          <w:szCs w:val="24"/>
          <w:highlight w:val="none"/>
        </w:rPr>
        <w:t>位</w:t>
      </w:r>
      <w:r>
        <w:rPr>
          <w:rFonts w:hint="eastAsia" w:ascii="宋体" w:hAnsi="宋体" w:cs="宋体"/>
          <w:spacing w:val="-2"/>
          <w:sz w:val="24"/>
          <w:szCs w:val="24"/>
          <w:highlight w:val="none"/>
        </w:rPr>
        <w:t>章</w:t>
      </w:r>
      <w:r>
        <w:rPr>
          <w:rFonts w:hint="eastAsia" w:ascii="宋体" w:hAnsi="宋体" w:cs="宋体"/>
          <w:sz w:val="24"/>
          <w:szCs w:val="24"/>
          <w:highlight w:val="none"/>
        </w:rPr>
        <w:t>之</w:t>
      </w:r>
      <w:r>
        <w:rPr>
          <w:rFonts w:hint="eastAsia" w:ascii="宋体" w:hAnsi="宋体" w:cs="宋体"/>
          <w:spacing w:val="-2"/>
          <w:sz w:val="24"/>
          <w:szCs w:val="24"/>
          <w:highlight w:val="none"/>
        </w:rPr>
        <w:t>日</w:t>
      </w:r>
      <w:r>
        <w:rPr>
          <w:rFonts w:hint="eastAsia" w:ascii="宋体" w:hAnsi="宋体" w:cs="宋体"/>
          <w:sz w:val="24"/>
          <w:szCs w:val="24"/>
          <w:highlight w:val="none"/>
        </w:rPr>
        <w:t>起生</w:t>
      </w:r>
      <w:r>
        <w:rPr>
          <w:rFonts w:hint="eastAsia" w:ascii="宋体" w:hAnsi="宋体" w:cs="宋体"/>
          <w:spacing w:val="-2"/>
          <w:sz w:val="24"/>
          <w:szCs w:val="24"/>
          <w:highlight w:val="none"/>
        </w:rPr>
        <w:t>效</w:t>
      </w:r>
      <w:r>
        <w:rPr>
          <w:rFonts w:hint="eastAsia" w:ascii="宋体" w:hAnsi="宋体" w:cs="宋体"/>
          <w:spacing w:val="-24"/>
          <w:sz w:val="24"/>
          <w:szCs w:val="24"/>
          <w:highlight w:val="none"/>
        </w:rPr>
        <w:t>，</w:t>
      </w:r>
      <w:r>
        <w:rPr>
          <w:rFonts w:hint="eastAsia" w:ascii="宋体" w:hAnsi="宋体" w:cs="宋体"/>
          <w:sz w:val="24"/>
          <w:szCs w:val="24"/>
          <w:highlight w:val="none"/>
        </w:rPr>
        <w:t>合同 履行</w:t>
      </w:r>
      <w:r>
        <w:rPr>
          <w:rFonts w:hint="eastAsia" w:ascii="宋体" w:hAnsi="宋体" w:cs="宋体"/>
          <w:spacing w:val="-2"/>
          <w:sz w:val="24"/>
          <w:szCs w:val="24"/>
          <w:highlight w:val="none"/>
        </w:rPr>
        <w:t>完</w:t>
      </w:r>
      <w:r>
        <w:rPr>
          <w:rFonts w:hint="eastAsia" w:ascii="宋体" w:hAnsi="宋体" w:cs="宋体"/>
          <w:sz w:val="24"/>
          <w:szCs w:val="24"/>
          <w:highlight w:val="none"/>
        </w:rPr>
        <w:t>毕</w:t>
      </w:r>
      <w:r>
        <w:rPr>
          <w:rFonts w:hint="eastAsia" w:ascii="宋体" w:hAnsi="宋体" w:cs="宋体"/>
          <w:spacing w:val="-2"/>
          <w:sz w:val="24"/>
          <w:szCs w:val="24"/>
          <w:highlight w:val="none"/>
        </w:rPr>
        <w:t>后</w:t>
      </w:r>
      <w:r>
        <w:rPr>
          <w:rFonts w:hint="eastAsia" w:ascii="宋体" w:hAnsi="宋体" w:cs="宋体"/>
          <w:sz w:val="24"/>
          <w:szCs w:val="24"/>
          <w:highlight w:val="none"/>
        </w:rPr>
        <w:t>自</w:t>
      </w:r>
      <w:r>
        <w:rPr>
          <w:rFonts w:hint="eastAsia" w:ascii="宋体" w:hAnsi="宋体" w:cs="宋体"/>
          <w:spacing w:val="-2"/>
          <w:sz w:val="24"/>
          <w:szCs w:val="24"/>
          <w:highlight w:val="none"/>
        </w:rPr>
        <w:t>动</w:t>
      </w:r>
      <w:r>
        <w:rPr>
          <w:rFonts w:hint="eastAsia" w:ascii="宋体" w:hAnsi="宋体" w:cs="宋体"/>
          <w:sz w:val="24"/>
          <w:szCs w:val="24"/>
          <w:highlight w:val="none"/>
        </w:rPr>
        <w:t>失</w:t>
      </w:r>
      <w:r>
        <w:rPr>
          <w:rFonts w:hint="eastAsia" w:ascii="宋体" w:hAnsi="宋体" w:cs="宋体"/>
          <w:spacing w:val="-3"/>
          <w:sz w:val="24"/>
          <w:szCs w:val="24"/>
          <w:highlight w:val="none"/>
        </w:rPr>
        <w:t>效</w:t>
      </w:r>
      <w:r>
        <w:rPr>
          <w:rFonts w:hint="eastAsia" w:ascii="宋体" w:hAnsi="宋体" w:cs="宋体"/>
          <w:sz w:val="24"/>
          <w:szCs w:val="24"/>
          <w:highlight w:val="none"/>
        </w:rPr>
        <w:t>。</w:t>
      </w:r>
    </w:p>
    <w:p>
      <w:pPr>
        <w:spacing w:line="360" w:lineRule="auto"/>
        <w:ind w:firstLine="480" w:firstLineChars="200"/>
        <w:jc w:val="left"/>
        <w:rPr>
          <w:rFonts w:ascii="宋体" w:hAnsi="宋体" w:cs="宋体"/>
          <w:sz w:val="24"/>
          <w:szCs w:val="24"/>
          <w:highlight w:val="none"/>
        </w:rPr>
      </w:pPr>
      <w:r>
        <w:rPr>
          <w:rFonts w:hint="eastAsia" w:ascii="宋体" w:hAnsi="宋体" w:cs="宋体"/>
          <w:position w:val="-1"/>
          <w:sz w:val="24"/>
          <w:szCs w:val="24"/>
          <w:highlight w:val="none"/>
        </w:rPr>
        <w:t>注：本协议书由法</w:t>
      </w:r>
      <w:r>
        <w:rPr>
          <w:rFonts w:hint="eastAsia" w:ascii="宋体" w:hAnsi="宋体" w:cs="宋体"/>
          <w:spacing w:val="-2"/>
          <w:position w:val="-1"/>
          <w:sz w:val="24"/>
          <w:szCs w:val="24"/>
          <w:highlight w:val="none"/>
        </w:rPr>
        <w:t>定</w:t>
      </w:r>
      <w:r>
        <w:rPr>
          <w:rFonts w:hint="eastAsia" w:ascii="宋体" w:hAnsi="宋体" w:cs="宋体"/>
          <w:position w:val="-1"/>
          <w:sz w:val="24"/>
          <w:szCs w:val="24"/>
          <w:highlight w:val="none"/>
        </w:rPr>
        <w:t>代</w:t>
      </w:r>
      <w:r>
        <w:rPr>
          <w:rFonts w:hint="eastAsia" w:ascii="宋体" w:hAnsi="宋体" w:cs="宋体"/>
          <w:spacing w:val="-2"/>
          <w:position w:val="-1"/>
          <w:sz w:val="24"/>
          <w:szCs w:val="24"/>
          <w:highlight w:val="none"/>
        </w:rPr>
        <w:t>表</w:t>
      </w:r>
      <w:r>
        <w:rPr>
          <w:rFonts w:hint="eastAsia" w:ascii="宋体" w:hAnsi="宋体" w:cs="宋体"/>
          <w:position w:val="-1"/>
          <w:sz w:val="24"/>
          <w:szCs w:val="24"/>
          <w:highlight w:val="none"/>
        </w:rPr>
        <w:t>人签字的，应附法</w:t>
      </w:r>
      <w:r>
        <w:rPr>
          <w:rFonts w:hint="eastAsia" w:ascii="宋体" w:hAnsi="宋体" w:cs="宋体"/>
          <w:spacing w:val="-2"/>
          <w:position w:val="-1"/>
          <w:sz w:val="24"/>
          <w:szCs w:val="24"/>
          <w:highlight w:val="none"/>
        </w:rPr>
        <w:t>定</w:t>
      </w:r>
      <w:r>
        <w:rPr>
          <w:rFonts w:hint="eastAsia" w:ascii="宋体" w:hAnsi="宋体" w:cs="宋体"/>
          <w:position w:val="-1"/>
          <w:sz w:val="24"/>
          <w:szCs w:val="24"/>
          <w:highlight w:val="none"/>
        </w:rPr>
        <w:t>代</w:t>
      </w:r>
      <w:r>
        <w:rPr>
          <w:rFonts w:hint="eastAsia" w:ascii="宋体" w:hAnsi="宋体" w:cs="宋体"/>
          <w:spacing w:val="-2"/>
          <w:position w:val="-1"/>
          <w:sz w:val="24"/>
          <w:szCs w:val="24"/>
          <w:highlight w:val="none"/>
        </w:rPr>
        <w:t>表</w:t>
      </w:r>
      <w:r>
        <w:rPr>
          <w:rFonts w:hint="eastAsia" w:ascii="宋体" w:hAnsi="宋体" w:cs="宋体"/>
          <w:position w:val="-1"/>
          <w:sz w:val="24"/>
          <w:szCs w:val="24"/>
          <w:highlight w:val="none"/>
        </w:rPr>
        <w:t>人身份证明；由委</w:t>
      </w:r>
      <w:r>
        <w:rPr>
          <w:rFonts w:hint="eastAsia" w:ascii="宋体" w:hAnsi="宋体" w:cs="宋体"/>
          <w:spacing w:val="-2"/>
          <w:position w:val="-1"/>
          <w:sz w:val="24"/>
          <w:szCs w:val="24"/>
          <w:highlight w:val="none"/>
        </w:rPr>
        <w:t>托</w:t>
      </w:r>
      <w:r>
        <w:rPr>
          <w:rFonts w:hint="eastAsia" w:ascii="宋体" w:hAnsi="宋体" w:cs="宋体"/>
          <w:position w:val="-1"/>
          <w:sz w:val="24"/>
          <w:szCs w:val="24"/>
          <w:highlight w:val="none"/>
        </w:rPr>
        <w:t>代</w:t>
      </w:r>
      <w:r>
        <w:rPr>
          <w:rFonts w:hint="eastAsia" w:ascii="宋体" w:hAnsi="宋体" w:cs="宋体"/>
          <w:spacing w:val="-2"/>
          <w:position w:val="-1"/>
          <w:sz w:val="24"/>
          <w:szCs w:val="24"/>
          <w:highlight w:val="none"/>
        </w:rPr>
        <w:t>理</w:t>
      </w:r>
      <w:r>
        <w:rPr>
          <w:rFonts w:hint="eastAsia" w:ascii="宋体" w:hAnsi="宋体" w:cs="宋体"/>
          <w:position w:val="-1"/>
          <w:sz w:val="24"/>
          <w:szCs w:val="24"/>
          <w:highlight w:val="none"/>
        </w:rPr>
        <w:t>人签字的，应</w:t>
      </w:r>
      <w:r>
        <w:rPr>
          <w:rFonts w:hint="eastAsia" w:ascii="宋体" w:hAnsi="宋体" w:cs="宋体"/>
          <w:sz w:val="24"/>
          <w:szCs w:val="24"/>
          <w:highlight w:val="none"/>
        </w:rPr>
        <w:t>附授</w:t>
      </w:r>
      <w:r>
        <w:rPr>
          <w:rFonts w:hint="eastAsia" w:ascii="宋体" w:hAnsi="宋体" w:cs="宋体"/>
          <w:spacing w:val="-2"/>
          <w:sz w:val="24"/>
          <w:szCs w:val="24"/>
          <w:highlight w:val="none"/>
        </w:rPr>
        <w:t>权</w:t>
      </w:r>
      <w:r>
        <w:rPr>
          <w:rFonts w:hint="eastAsia" w:ascii="宋体" w:hAnsi="宋体" w:cs="宋体"/>
          <w:sz w:val="24"/>
          <w:szCs w:val="24"/>
          <w:highlight w:val="none"/>
        </w:rPr>
        <w:t>委</w:t>
      </w:r>
      <w:r>
        <w:rPr>
          <w:rFonts w:hint="eastAsia" w:ascii="宋体" w:hAnsi="宋体" w:cs="宋体"/>
          <w:spacing w:val="-2"/>
          <w:sz w:val="24"/>
          <w:szCs w:val="24"/>
          <w:highlight w:val="none"/>
        </w:rPr>
        <w:t>托</w:t>
      </w:r>
      <w:r>
        <w:rPr>
          <w:rFonts w:hint="eastAsia" w:ascii="宋体" w:hAnsi="宋体" w:cs="宋体"/>
          <w:sz w:val="24"/>
          <w:szCs w:val="24"/>
          <w:highlight w:val="none"/>
        </w:rPr>
        <w:t>书。</w:t>
      </w:r>
    </w:p>
    <w:p>
      <w:pPr>
        <w:tabs>
          <w:tab w:val="left" w:pos="7240"/>
        </w:tabs>
        <w:spacing w:line="360" w:lineRule="auto"/>
        <w:ind w:left="2511" w:right="-20"/>
        <w:jc w:val="left"/>
        <w:rPr>
          <w:rFonts w:ascii="宋体" w:hAnsi="宋体" w:cs="宋体"/>
          <w:sz w:val="24"/>
          <w:szCs w:val="24"/>
          <w:highlight w:val="none"/>
        </w:rPr>
      </w:pPr>
      <w:r>
        <w:rPr>
          <w:rFonts w:hint="eastAsia" w:ascii="宋体" w:hAnsi="宋体" w:cs="宋体"/>
          <w:position w:val="-4"/>
          <w:sz w:val="24"/>
          <w:szCs w:val="24"/>
          <w:highlight w:val="none"/>
        </w:rPr>
        <w:t>联合</w:t>
      </w:r>
      <w:r>
        <w:rPr>
          <w:rFonts w:hint="eastAsia" w:ascii="宋体" w:hAnsi="宋体" w:cs="宋体"/>
          <w:spacing w:val="-2"/>
          <w:position w:val="-4"/>
          <w:sz w:val="24"/>
          <w:szCs w:val="24"/>
          <w:highlight w:val="none"/>
        </w:rPr>
        <w:t>体</w:t>
      </w:r>
      <w:r>
        <w:rPr>
          <w:rFonts w:hint="eastAsia" w:ascii="宋体" w:hAnsi="宋体" w:cs="宋体"/>
          <w:position w:val="-4"/>
          <w:sz w:val="24"/>
          <w:szCs w:val="24"/>
          <w:highlight w:val="none"/>
        </w:rPr>
        <w:t>牵</w:t>
      </w:r>
      <w:r>
        <w:rPr>
          <w:rFonts w:hint="eastAsia" w:ascii="宋体" w:hAnsi="宋体" w:cs="宋体"/>
          <w:spacing w:val="-2"/>
          <w:position w:val="-4"/>
          <w:sz w:val="24"/>
          <w:szCs w:val="24"/>
          <w:highlight w:val="none"/>
        </w:rPr>
        <w:t>头</w:t>
      </w:r>
      <w:r>
        <w:rPr>
          <w:rFonts w:hint="eastAsia" w:ascii="宋体" w:hAnsi="宋体" w:cs="宋体"/>
          <w:position w:val="-4"/>
          <w:sz w:val="24"/>
          <w:szCs w:val="24"/>
          <w:highlight w:val="none"/>
        </w:rPr>
        <w:t>人</w:t>
      </w:r>
      <w:r>
        <w:rPr>
          <w:rFonts w:hint="eastAsia" w:ascii="宋体" w:hAnsi="宋体" w:cs="宋体"/>
          <w:spacing w:val="-2"/>
          <w:position w:val="-4"/>
          <w:sz w:val="24"/>
          <w:szCs w:val="24"/>
          <w:highlight w:val="none"/>
        </w:rPr>
        <w:t>名</w:t>
      </w:r>
      <w:r>
        <w:rPr>
          <w:rFonts w:hint="eastAsia" w:ascii="宋体" w:hAnsi="宋体" w:cs="宋体"/>
          <w:position w:val="-4"/>
          <w:sz w:val="24"/>
          <w:szCs w:val="24"/>
          <w:highlight w:val="none"/>
        </w:rPr>
        <w:t>称</w:t>
      </w:r>
      <w:r>
        <w:rPr>
          <w:rFonts w:hint="eastAsia" w:ascii="宋体" w:hAnsi="宋体" w:cs="宋体"/>
          <w:spacing w:val="-3"/>
          <w:position w:val="-4"/>
          <w:sz w:val="24"/>
          <w:szCs w:val="24"/>
          <w:highlight w:val="none"/>
        </w:rPr>
        <w:t>：</w:t>
      </w:r>
      <w:r>
        <w:rPr>
          <w:rFonts w:hint="eastAsia" w:ascii="宋体" w:hAnsi="宋体" w:cs="宋体"/>
          <w:position w:val="-4"/>
          <w:sz w:val="24"/>
          <w:szCs w:val="24"/>
          <w:highlight w:val="none"/>
          <w:u w:val="single"/>
        </w:rPr>
        <w:t xml:space="preserve"> </w:t>
      </w:r>
      <w:r>
        <w:rPr>
          <w:rFonts w:hint="eastAsia" w:ascii="宋体" w:hAnsi="宋体" w:cs="宋体"/>
          <w:spacing w:val="1"/>
          <w:position w:val="-4"/>
          <w:sz w:val="24"/>
          <w:szCs w:val="24"/>
          <w:highlight w:val="none"/>
          <w:u w:val="single"/>
        </w:rPr>
        <w:t xml:space="preserve"> </w:t>
      </w:r>
      <w:r>
        <w:rPr>
          <w:rFonts w:hint="eastAsia" w:ascii="宋体" w:hAnsi="宋体" w:cs="宋体"/>
          <w:position w:val="-4"/>
          <w:sz w:val="24"/>
          <w:szCs w:val="24"/>
          <w:highlight w:val="none"/>
          <w:u w:val="single"/>
        </w:rPr>
        <w:tab/>
      </w:r>
      <w:r>
        <w:rPr>
          <w:rFonts w:hint="eastAsia" w:ascii="宋体" w:hAnsi="宋体" w:cs="宋体"/>
          <w:position w:val="-4"/>
          <w:sz w:val="24"/>
          <w:szCs w:val="24"/>
          <w:highlight w:val="none"/>
        </w:rPr>
        <w:t>（盖</w:t>
      </w:r>
      <w:r>
        <w:rPr>
          <w:rFonts w:hint="eastAsia" w:ascii="宋体" w:hAnsi="宋体" w:cs="宋体"/>
          <w:spacing w:val="-2"/>
          <w:position w:val="-4"/>
          <w:sz w:val="24"/>
          <w:szCs w:val="24"/>
          <w:highlight w:val="none"/>
        </w:rPr>
        <w:t>单</w:t>
      </w:r>
      <w:r>
        <w:rPr>
          <w:rFonts w:hint="eastAsia" w:ascii="宋体" w:hAnsi="宋体" w:cs="宋体"/>
          <w:position w:val="-4"/>
          <w:sz w:val="24"/>
          <w:szCs w:val="24"/>
          <w:highlight w:val="none"/>
        </w:rPr>
        <w:t>位</w:t>
      </w:r>
      <w:r>
        <w:rPr>
          <w:rFonts w:hint="eastAsia" w:ascii="宋体" w:hAnsi="宋体" w:cs="宋体"/>
          <w:spacing w:val="-2"/>
          <w:position w:val="-4"/>
          <w:sz w:val="24"/>
          <w:szCs w:val="24"/>
          <w:highlight w:val="none"/>
        </w:rPr>
        <w:t>章</w:t>
      </w:r>
      <w:r>
        <w:rPr>
          <w:rFonts w:hint="eastAsia" w:ascii="宋体" w:hAnsi="宋体" w:cs="宋体"/>
          <w:position w:val="-4"/>
          <w:sz w:val="24"/>
          <w:szCs w:val="24"/>
          <w:highlight w:val="none"/>
        </w:rPr>
        <w:t>）</w:t>
      </w:r>
    </w:p>
    <w:p>
      <w:pPr>
        <w:tabs>
          <w:tab w:val="left" w:pos="6645"/>
        </w:tabs>
        <w:spacing w:line="360" w:lineRule="auto"/>
        <w:ind w:left="2511" w:right="-20"/>
        <w:jc w:val="left"/>
        <w:rPr>
          <w:rFonts w:ascii="宋体" w:hAnsi="宋体" w:cs="宋体"/>
          <w:sz w:val="24"/>
          <w:szCs w:val="24"/>
          <w:highlight w:val="none"/>
        </w:rPr>
      </w:pPr>
      <w:r>
        <w:rPr>
          <w:rFonts w:hint="eastAsia" w:ascii="宋体" w:hAnsi="宋体" w:cs="宋体"/>
          <w:position w:val="-2"/>
          <w:sz w:val="24"/>
          <w:szCs w:val="24"/>
          <w:highlight w:val="none"/>
        </w:rPr>
        <w:t>法定</w:t>
      </w:r>
      <w:r>
        <w:rPr>
          <w:rFonts w:hint="eastAsia" w:ascii="宋体" w:hAnsi="宋体" w:cs="宋体"/>
          <w:spacing w:val="-2"/>
          <w:position w:val="-2"/>
          <w:sz w:val="24"/>
          <w:szCs w:val="24"/>
          <w:highlight w:val="none"/>
        </w:rPr>
        <w:t>代</w:t>
      </w:r>
      <w:r>
        <w:rPr>
          <w:rFonts w:hint="eastAsia" w:ascii="宋体" w:hAnsi="宋体" w:cs="宋体"/>
          <w:position w:val="-2"/>
          <w:sz w:val="24"/>
          <w:szCs w:val="24"/>
          <w:highlight w:val="none"/>
        </w:rPr>
        <w:t>表</w:t>
      </w:r>
      <w:r>
        <w:rPr>
          <w:rFonts w:hint="eastAsia" w:ascii="宋体" w:hAnsi="宋体" w:cs="宋体"/>
          <w:spacing w:val="-2"/>
          <w:position w:val="-2"/>
          <w:sz w:val="24"/>
          <w:szCs w:val="24"/>
          <w:highlight w:val="none"/>
        </w:rPr>
        <w:t>人</w:t>
      </w:r>
      <w:r>
        <w:rPr>
          <w:rFonts w:hint="eastAsia" w:ascii="宋体" w:hAnsi="宋体" w:cs="宋体"/>
          <w:position w:val="-2"/>
          <w:sz w:val="24"/>
          <w:szCs w:val="24"/>
          <w:highlight w:val="none"/>
        </w:rPr>
        <w:t>或</w:t>
      </w:r>
      <w:r>
        <w:rPr>
          <w:rFonts w:hint="eastAsia" w:ascii="宋体" w:hAnsi="宋体" w:cs="宋体"/>
          <w:spacing w:val="-2"/>
          <w:position w:val="-2"/>
          <w:sz w:val="24"/>
          <w:szCs w:val="24"/>
          <w:highlight w:val="none"/>
        </w:rPr>
        <w:t>其</w:t>
      </w:r>
      <w:r>
        <w:rPr>
          <w:rFonts w:hint="eastAsia" w:ascii="宋体" w:hAnsi="宋体" w:cs="宋体"/>
          <w:position w:val="-2"/>
          <w:sz w:val="24"/>
          <w:szCs w:val="24"/>
          <w:highlight w:val="none"/>
        </w:rPr>
        <w:t>委</w:t>
      </w:r>
      <w:r>
        <w:rPr>
          <w:rFonts w:hint="eastAsia" w:ascii="宋体" w:hAnsi="宋体" w:cs="宋体"/>
          <w:spacing w:val="-2"/>
          <w:position w:val="-2"/>
          <w:sz w:val="24"/>
          <w:szCs w:val="24"/>
          <w:highlight w:val="none"/>
        </w:rPr>
        <w:t>托</w:t>
      </w:r>
      <w:r>
        <w:rPr>
          <w:rFonts w:hint="eastAsia" w:ascii="宋体" w:hAnsi="宋体" w:cs="宋体"/>
          <w:position w:val="-2"/>
          <w:sz w:val="24"/>
          <w:szCs w:val="24"/>
          <w:highlight w:val="none"/>
        </w:rPr>
        <w:t>代</w:t>
      </w:r>
      <w:r>
        <w:rPr>
          <w:rFonts w:hint="eastAsia" w:ascii="宋体" w:hAnsi="宋体" w:cs="宋体"/>
          <w:spacing w:val="-2"/>
          <w:position w:val="-2"/>
          <w:sz w:val="24"/>
          <w:szCs w:val="24"/>
          <w:highlight w:val="none"/>
        </w:rPr>
        <w:t>理</w:t>
      </w:r>
      <w:r>
        <w:rPr>
          <w:rFonts w:hint="eastAsia" w:ascii="宋体" w:hAnsi="宋体" w:cs="宋体"/>
          <w:position w:val="-2"/>
          <w:sz w:val="24"/>
          <w:szCs w:val="24"/>
          <w:highlight w:val="none"/>
        </w:rPr>
        <w:t>人：</w:t>
      </w:r>
      <w:r>
        <w:rPr>
          <w:rFonts w:hint="eastAsia" w:ascii="宋体" w:hAnsi="宋体" w:cs="宋体"/>
          <w:position w:val="-2"/>
          <w:sz w:val="24"/>
          <w:szCs w:val="24"/>
          <w:highlight w:val="none"/>
          <w:u w:val="single"/>
        </w:rPr>
        <w:t xml:space="preserve"> </w:t>
      </w:r>
      <w:r>
        <w:rPr>
          <w:rFonts w:hint="eastAsia" w:ascii="宋体" w:hAnsi="宋体" w:cs="宋体"/>
          <w:spacing w:val="1"/>
          <w:position w:val="-2"/>
          <w:sz w:val="24"/>
          <w:szCs w:val="24"/>
          <w:highlight w:val="none"/>
          <w:u w:val="single"/>
        </w:rPr>
        <w:t xml:space="preserve"> </w:t>
      </w:r>
      <w:r>
        <w:rPr>
          <w:rFonts w:hint="eastAsia" w:ascii="宋体" w:hAnsi="宋体" w:cs="宋体"/>
          <w:position w:val="-2"/>
          <w:sz w:val="24"/>
          <w:szCs w:val="24"/>
          <w:highlight w:val="none"/>
          <w:u w:val="single"/>
        </w:rPr>
        <w:tab/>
      </w:r>
      <w:r>
        <w:rPr>
          <w:rFonts w:hint="eastAsia" w:ascii="宋体" w:hAnsi="宋体" w:cs="宋体"/>
          <w:position w:val="-2"/>
          <w:sz w:val="24"/>
          <w:szCs w:val="24"/>
          <w:highlight w:val="none"/>
        </w:rPr>
        <w:t>（签</w:t>
      </w:r>
      <w:r>
        <w:rPr>
          <w:rFonts w:hint="eastAsia" w:ascii="宋体" w:hAnsi="宋体" w:cs="宋体"/>
          <w:spacing w:val="-2"/>
          <w:position w:val="-2"/>
          <w:sz w:val="24"/>
          <w:szCs w:val="24"/>
          <w:highlight w:val="none"/>
        </w:rPr>
        <w:t>字或盖章</w:t>
      </w:r>
      <w:r>
        <w:rPr>
          <w:rFonts w:hint="eastAsia" w:ascii="宋体" w:hAnsi="宋体" w:cs="宋体"/>
          <w:position w:val="-2"/>
          <w:sz w:val="24"/>
          <w:szCs w:val="24"/>
          <w:highlight w:val="none"/>
        </w:rPr>
        <w:t>）</w:t>
      </w:r>
    </w:p>
    <w:p>
      <w:pPr>
        <w:tabs>
          <w:tab w:val="left" w:pos="7240"/>
        </w:tabs>
        <w:spacing w:line="360" w:lineRule="auto"/>
        <w:ind w:left="2511" w:right="-20"/>
        <w:jc w:val="left"/>
        <w:rPr>
          <w:rFonts w:ascii="宋体" w:hAnsi="宋体" w:cs="宋体"/>
          <w:sz w:val="24"/>
          <w:szCs w:val="24"/>
          <w:highlight w:val="none"/>
        </w:rPr>
      </w:pPr>
      <w:r>
        <w:rPr>
          <w:rFonts w:hint="eastAsia" w:ascii="宋体" w:hAnsi="宋体" w:cs="宋体"/>
          <w:position w:val="-2"/>
          <w:sz w:val="24"/>
          <w:szCs w:val="24"/>
          <w:highlight w:val="none"/>
        </w:rPr>
        <w:t>联合</w:t>
      </w:r>
      <w:r>
        <w:rPr>
          <w:rFonts w:hint="eastAsia" w:ascii="宋体" w:hAnsi="宋体" w:cs="宋体"/>
          <w:spacing w:val="-2"/>
          <w:position w:val="-2"/>
          <w:sz w:val="24"/>
          <w:szCs w:val="24"/>
          <w:highlight w:val="none"/>
        </w:rPr>
        <w:t>体</w:t>
      </w:r>
      <w:r>
        <w:rPr>
          <w:rFonts w:hint="eastAsia" w:ascii="宋体" w:hAnsi="宋体" w:cs="宋体"/>
          <w:position w:val="-2"/>
          <w:sz w:val="24"/>
          <w:szCs w:val="24"/>
          <w:highlight w:val="none"/>
        </w:rPr>
        <w:t>成</w:t>
      </w:r>
      <w:r>
        <w:rPr>
          <w:rFonts w:hint="eastAsia" w:ascii="宋体" w:hAnsi="宋体" w:cs="宋体"/>
          <w:spacing w:val="-2"/>
          <w:position w:val="-2"/>
          <w:sz w:val="24"/>
          <w:szCs w:val="24"/>
          <w:highlight w:val="none"/>
        </w:rPr>
        <w:t>员</w:t>
      </w:r>
      <w:r>
        <w:rPr>
          <w:rFonts w:hint="eastAsia" w:ascii="宋体" w:hAnsi="宋体" w:cs="宋体"/>
          <w:position w:val="-2"/>
          <w:sz w:val="24"/>
          <w:szCs w:val="24"/>
          <w:highlight w:val="none"/>
        </w:rPr>
        <w:t>名</w:t>
      </w:r>
      <w:r>
        <w:rPr>
          <w:rFonts w:hint="eastAsia" w:ascii="宋体" w:hAnsi="宋体" w:cs="宋体"/>
          <w:spacing w:val="-2"/>
          <w:position w:val="-2"/>
          <w:sz w:val="24"/>
          <w:szCs w:val="24"/>
          <w:highlight w:val="none"/>
        </w:rPr>
        <w:t>称</w:t>
      </w:r>
      <w:r>
        <w:rPr>
          <w:rFonts w:hint="eastAsia" w:ascii="宋体" w:hAnsi="宋体" w:cs="宋体"/>
          <w:position w:val="-2"/>
          <w:sz w:val="24"/>
          <w:szCs w:val="24"/>
          <w:highlight w:val="none"/>
        </w:rPr>
        <w:t>：</w:t>
      </w:r>
      <w:r>
        <w:rPr>
          <w:rFonts w:hint="eastAsia" w:ascii="宋体" w:hAnsi="宋体" w:cs="宋体"/>
          <w:position w:val="-2"/>
          <w:sz w:val="24"/>
          <w:szCs w:val="24"/>
          <w:highlight w:val="none"/>
          <w:u w:val="single"/>
        </w:rPr>
        <w:t xml:space="preserve"> </w:t>
      </w:r>
      <w:r>
        <w:rPr>
          <w:rFonts w:hint="eastAsia" w:ascii="宋体" w:hAnsi="宋体" w:cs="宋体"/>
          <w:spacing w:val="1"/>
          <w:position w:val="-2"/>
          <w:sz w:val="24"/>
          <w:szCs w:val="24"/>
          <w:highlight w:val="none"/>
          <w:u w:val="single"/>
        </w:rPr>
        <w:t xml:space="preserve"> </w:t>
      </w:r>
      <w:r>
        <w:rPr>
          <w:rFonts w:hint="eastAsia" w:ascii="宋体" w:hAnsi="宋体" w:cs="宋体"/>
          <w:position w:val="-2"/>
          <w:sz w:val="24"/>
          <w:szCs w:val="24"/>
          <w:highlight w:val="none"/>
          <w:u w:val="single"/>
        </w:rPr>
        <w:tab/>
      </w:r>
      <w:r>
        <w:rPr>
          <w:rFonts w:hint="eastAsia" w:ascii="宋体" w:hAnsi="宋体" w:cs="宋体"/>
          <w:position w:val="-2"/>
          <w:sz w:val="24"/>
          <w:szCs w:val="24"/>
          <w:highlight w:val="none"/>
        </w:rPr>
        <w:t>（盖</w:t>
      </w:r>
      <w:r>
        <w:rPr>
          <w:rFonts w:hint="eastAsia" w:ascii="宋体" w:hAnsi="宋体" w:cs="宋体"/>
          <w:spacing w:val="-2"/>
          <w:position w:val="-2"/>
          <w:sz w:val="24"/>
          <w:szCs w:val="24"/>
          <w:highlight w:val="none"/>
        </w:rPr>
        <w:t>单</w:t>
      </w:r>
      <w:r>
        <w:rPr>
          <w:rFonts w:hint="eastAsia" w:ascii="宋体" w:hAnsi="宋体" w:cs="宋体"/>
          <w:position w:val="-2"/>
          <w:sz w:val="24"/>
          <w:szCs w:val="24"/>
          <w:highlight w:val="none"/>
        </w:rPr>
        <w:t>位</w:t>
      </w:r>
      <w:r>
        <w:rPr>
          <w:rFonts w:hint="eastAsia" w:ascii="宋体" w:hAnsi="宋体" w:cs="宋体"/>
          <w:spacing w:val="-2"/>
          <w:position w:val="-2"/>
          <w:sz w:val="24"/>
          <w:szCs w:val="24"/>
          <w:highlight w:val="none"/>
        </w:rPr>
        <w:t>章</w:t>
      </w:r>
      <w:r>
        <w:rPr>
          <w:rFonts w:hint="eastAsia" w:ascii="宋体" w:hAnsi="宋体" w:cs="宋体"/>
          <w:position w:val="-2"/>
          <w:sz w:val="24"/>
          <w:szCs w:val="24"/>
          <w:highlight w:val="none"/>
        </w:rPr>
        <w:t>）</w:t>
      </w:r>
    </w:p>
    <w:p>
      <w:pPr>
        <w:tabs>
          <w:tab w:val="left" w:pos="6180"/>
        </w:tabs>
        <w:spacing w:line="360" w:lineRule="auto"/>
        <w:ind w:left="2511" w:right="-20"/>
        <w:jc w:val="left"/>
        <w:rPr>
          <w:rFonts w:ascii="宋体" w:hAnsi="宋体" w:cs="宋体"/>
          <w:position w:val="-2"/>
          <w:sz w:val="24"/>
          <w:szCs w:val="24"/>
          <w:highlight w:val="none"/>
        </w:rPr>
      </w:pPr>
      <w:r>
        <w:rPr>
          <w:rFonts w:hint="eastAsia" w:ascii="宋体" w:hAnsi="宋体" w:cs="宋体"/>
          <w:position w:val="-2"/>
          <w:sz w:val="24"/>
          <w:szCs w:val="24"/>
          <w:highlight w:val="none"/>
        </w:rPr>
        <w:t>法定</w:t>
      </w:r>
      <w:r>
        <w:rPr>
          <w:rFonts w:hint="eastAsia" w:ascii="宋体" w:hAnsi="宋体" w:cs="宋体"/>
          <w:spacing w:val="-2"/>
          <w:position w:val="-2"/>
          <w:sz w:val="24"/>
          <w:szCs w:val="24"/>
          <w:highlight w:val="none"/>
        </w:rPr>
        <w:t>代</w:t>
      </w:r>
      <w:r>
        <w:rPr>
          <w:rFonts w:hint="eastAsia" w:ascii="宋体" w:hAnsi="宋体" w:cs="宋体"/>
          <w:position w:val="-2"/>
          <w:sz w:val="24"/>
          <w:szCs w:val="24"/>
          <w:highlight w:val="none"/>
        </w:rPr>
        <w:t>表</w:t>
      </w:r>
      <w:r>
        <w:rPr>
          <w:rFonts w:hint="eastAsia" w:ascii="宋体" w:hAnsi="宋体" w:cs="宋体"/>
          <w:spacing w:val="-2"/>
          <w:position w:val="-2"/>
          <w:sz w:val="24"/>
          <w:szCs w:val="24"/>
          <w:highlight w:val="none"/>
        </w:rPr>
        <w:t>人</w:t>
      </w:r>
      <w:r>
        <w:rPr>
          <w:rFonts w:hint="eastAsia" w:ascii="宋体" w:hAnsi="宋体" w:cs="宋体"/>
          <w:position w:val="-2"/>
          <w:sz w:val="24"/>
          <w:szCs w:val="24"/>
          <w:highlight w:val="none"/>
        </w:rPr>
        <w:t>或</w:t>
      </w:r>
      <w:r>
        <w:rPr>
          <w:rFonts w:hint="eastAsia" w:ascii="宋体" w:hAnsi="宋体" w:cs="宋体"/>
          <w:spacing w:val="-2"/>
          <w:position w:val="-2"/>
          <w:sz w:val="24"/>
          <w:szCs w:val="24"/>
          <w:highlight w:val="none"/>
        </w:rPr>
        <w:t>其</w:t>
      </w:r>
      <w:r>
        <w:rPr>
          <w:rFonts w:hint="eastAsia" w:ascii="宋体" w:hAnsi="宋体" w:cs="宋体"/>
          <w:position w:val="-2"/>
          <w:sz w:val="24"/>
          <w:szCs w:val="24"/>
          <w:highlight w:val="none"/>
        </w:rPr>
        <w:t>委</w:t>
      </w:r>
      <w:r>
        <w:rPr>
          <w:rFonts w:hint="eastAsia" w:ascii="宋体" w:hAnsi="宋体" w:cs="宋体"/>
          <w:spacing w:val="-2"/>
          <w:position w:val="-2"/>
          <w:sz w:val="24"/>
          <w:szCs w:val="24"/>
          <w:highlight w:val="none"/>
        </w:rPr>
        <w:t>托</w:t>
      </w:r>
      <w:r>
        <w:rPr>
          <w:rFonts w:hint="eastAsia" w:ascii="宋体" w:hAnsi="宋体" w:cs="宋体"/>
          <w:position w:val="-2"/>
          <w:sz w:val="24"/>
          <w:szCs w:val="24"/>
          <w:highlight w:val="none"/>
        </w:rPr>
        <w:t>代</w:t>
      </w:r>
      <w:r>
        <w:rPr>
          <w:rFonts w:hint="eastAsia" w:ascii="宋体" w:hAnsi="宋体" w:cs="宋体"/>
          <w:spacing w:val="-2"/>
          <w:position w:val="-2"/>
          <w:sz w:val="24"/>
          <w:szCs w:val="24"/>
          <w:highlight w:val="none"/>
        </w:rPr>
        <w:t>理</w:t>
      </w:r>
      <w:r>
        <w:rPr>
          <w:rFonts w:hint="eastAsia" w:ascii="宋体" w:hAnsi="宋体" w:cs="宋体"/>
          <w:position w:val="-2"/>
          <w:sz w:val="24"/>
          <w:szCs w:val="24"/>
          <w:highlight w:val="none"/>
        </w:rPr>
        <w:t>人：</w:t>
      </w:r>
      <w:r>
        <w:rPr>
          <w:rFonts w:hint="eastAsia" w:ascii="宋体" w:hAnsi="宋体" w:cs="宋体"/>
          <w:position w:val="-2"/>
          <w:sz w:val="24"/>
          <w:szCs w:val="24"/>
          <w:highlight w:val="none"/>
          <w:u w:val="single"/>
        </w:rPr>
        <w:t xml:space="preserve"> </w:t>
      </w:r>
      <w:r>
        <w:rPr>
          <w:rFonts w:hint="eastAsia" w:ascii="宋体" w:hAnsi="宋体" w:cs="宋体"/>
          <w:spacing w:val="1"/>
          <w:position w:val="-2"/>
          <w:sz w:val="24"/>
          <w:szCs w:val="24"/>
          <w:highlight w:val="none"/>
          <w:u w:val="single"/>
        </w:rPr>
        <w:t xml:space="preserve">     </w:t>
      </w:r>
      <w:r>
        <w:rPr>
          <w:rFonts w:hint="eastAsia" w:ascii="宋体" w:hAnsi="宋体" w:cs="宋体"/>
          <w:position w:val="-2"/>
          <w:sz w:val="24"/>
          <w:szCs w:val="24"/>
          <w:highlight w:val="none"/>
          <w:u w:val="single"/>
        </w:rPr>
        <w:tab/>
      </w:r>
      <w:r>
        <w:rPr>
          <w:rFonts w:hint="eastAsia" w:ascii="宋体" w:hAnsi="宋体" w:cs="宋体"/>
          <w:position w:val="-2"/>
          <w:sz w:val="24"/>
          <w:szCs w:val="24"/>
          <w:highlight w:val="none"/>
        </w:rPr>
        <w:t>（</w:t>
      </w:r>
      <w:r>
        <w:rPr>
          <w:rFonts w:hint="eastAsia" w:ascii="宋体" w:hAnsi="宋体" w:cs="宋体"/>
          <w:spacing w:val="-2"/>
          <w:position w:val="-2"/>
          <w:sz w:val="24"/>
          <w:szCs w:val="24"/>
          <w:highlight w:val="none"/>
        </w:rPr>
        <w:t>签</w:t>
      </w:r>
      <w:r>
        <w:rPr>
          <w:rFonts w:hint="eastAsia" w:ascii="宋体" w:hAnsi="宋体" w:cs="宋体"/>
          <w:position w:val="-2"/>
          <w:sz w:val="24"/>
          <w:szCs w:val="24"/>
          <w:highlight w:val="none"/>
        </w:rPr>
        <w:t>字或盖章）</w:t>
      </w:r>
    </w:p>
    <w:p>
      <w:pPr>
        <w:pStyle w:val="27"/>
        <w:spacing w:line="360" w:lineRule="auto"/>
        <w:ind w:firstLine="3600" w:firstLineChars="1500"/>
        <w:rPr>
          <w:rFonts w:ascii="宋体" w:hAnsi="宋体" w:cs="宋体"/>
          <w:sz w:val="24"/>
          <w:highlight w:val="none"/>
        </w:rPr>
      </w:pPr>
      <w:r>
        <w:rPr>
          <w:rFonts w:hint="eastAsia" w:ascii="宋体" w:hAnsi="宋体" w:cs="宋体"/>
          <w:kern w:val="44"/>
          <w:sz w:val="24"/>
          <w:highlight w:val="none"/>
        </w:rPr>
        <w:t>……（如有，投标人自行添加）</w:t>
      </w:r>
    </w:p>
    <w:p>
      <w:pPr>
        <w:widowControl/>
        <w:spacing w:line="360" w:lineRule="auto"/>
        <w:jc w:val="center"/>
        <w:rPr>
          <w:rFonts w:ascii="宋体" w:hAnsi="宋体" w:cs="宋体"/>
          <w:sz w:val="24"/>
          <w:szCs w:val="24"/>
          <w:highlight w:val="none"/>
        </w:rPr>
      </w:pPr>
      <w:r>
        <w:rPr>
          <w:rFonts w:hint="eastAsia" w:ascii="宋体" w:hAnsi="宋体" w:cs="宋体"/>
          <w:sz w:val="24"/>
          <w:szCs w:val="24"/>
          <w:highlight w:val="none"/>
        </w:rPr>
        <w:tab/>
      </w: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spacing w:line="360" w:lineRule="auto"/>
        <w:rPr>
          <w:rFonts w:ascii="宋体" w:hAnsi="宋体" w:cs="宋体"/>
          <w:highlight w:val="none"/>
        </w:rPr>
      </w:pPr>
    </w:p>
    <w:p>
      <w:pPr>
        <w:widowControl/>
        <w:spacing w:line="360" w:lineRule="auto"/>
        <w:jc w:val="center"/>
        <w:rPr>
          <w:rFonts w:ascii="宋体" w:hAnsi="宋体" w:cs="宋体"/>
          <w:b/>
          <w:bCs/>
          <w:kern w:val="0"/>
          <w:sz w:val="28"/>
          <w:szCs w:val="28"/>
          <w:highlight w:val="none"/>
        </w:rPr>
      </w:pPr>
      <w:r>
        <w:rPr>
          <w:rFonts w:hint="eastAsia" w:ascii="宋体" w:hAnsi="宋体" w:cs="宋体"/>
          <w:b/>
          <w:bCs/>
          <w:kern w:val="0"/>
          <w:sz w:val="28"/>
          <w:szCs w:val="28"/>
          <w:highlight w:val="none"/>
        </w:rPr>
        <w:br w:type="page"/>
      </w:r>
      <w:r>
        <w:rPr>
          <w:rFonts w:hint="eastAsia" w:ascii="宋体" w:hAnsi="宋体" w:cs="宋体"/>
          <w:b/>
          <w:bCs/>
          <w:kern w:val="0"/>
          <w:sz w:val="28"/>
          <w:szCs w:val="28"/>
          <w:highlight w:val="none"/>
        </w:rPr>
        <w:t>（四）其他符合第二章第1.4.1条款规定的证明</w:t>
      </w:r>
    </w:p>
    <w:p>
      <w:pPr>
        <w:pStyle w:val="28"/>
        <w:spacing w:after="0" w:line="360" w:lineRule="auto"/>
        <w:ind w:left="0" w:leftChars="0" w:firstLine="0" w:firstLineChars="0"/>
        <w:jc w:val="center"/>
        <w:rPr>
          <w:rFonts w:ascii="宋体" w:hAnsi="宋体" w:cs="宋体"/>
          <w:b/>
          <w:bCs/>
          <w:kern w:val="0"/>
          <w:szCs w:val="21"/>
          <w:highlight w:val="none"/>
        </w:rPr>
      </w:pPr>
    </w:p>
    <w:p>
      <w:pPr>
        <w:pStyle w:val="28"/>
        <w:spacing w:after="0" w:line="360" w:lineRule="auto"/>
        <w:ind w:left="0" w:leftChars="0" w:firstLine="0" w:firstLineChars="0"/>
        <w:jc w:val="center"/>
        <w:rPr>
          <w:rFonts w:ascii="宋体" w:hAnsi="宋体" w:cs="宋体"/>
          <w:b/>
          <w:bCs/>
          <w:kern w:val="0"/>
          <w:szCs w:val="21"/>
          <w:highlight w:val="none"/>
        </w:rPr>
      </w:pPr>
    </w:p>
    <w:p>
      <w:pPr>
        <w:pStyle w:val="28"/>
        <w:spacing w:after="0" w:line="360" w:lineRule="auto"/>
        <w:ind w:left="0" w:leftChars="0" w:firstLine="0" w:firstLineChars="0"/>
        <w:jc w:val="center"/>
        <w:rPr>
          <w:rFonts w:ascii="宋体" w:hAnsi="宋体" w:cs="宋体"/>
          <w:b/>
          <w:bCs/>
          <w:kern w:val="0"/>
          <w:szCs w:val="21"/>
          <w:highlight w:val="none"/>
        </w:rPr>
      </w:pPr>
    </w:p>
    <w:p>
      <w:pPr>
        <w:pStyle w:val="3"/>
        <w:spacing w:line="360" w:lineRule="auto"/>
        <w:rPr>
          <w:rFonts w:ascii="宋体" w:hAnsi="宋体" w:cs="宋体"/>
          <w:sz w:val="30"/>
          <w:szCs w:val="30"/>
          <w:highlight w:val="none"/>
        </w:rPr>
      </w:pPr>
      <w:r>
        <w:rPr>
          <w:rFonts w:hint="eastAsia" w:ascii="宋体" w:hAnsi="宋体" w:cs="宋体"/>
          <w:highlight w:val="none"/>
        </w:rPr>
        <w:br w:type="page"/>
      </w:r>
      <w:bookmarkStart w:id="283" w:name="_Toc931"/>
      <w:bookmarkStart w:id="284" w:name="_Toc535938758"/>
      <w:bookmarkStart w:id="285" w:name="_Toc530470651"/>
      <w:bookmarkStart w:id="286" w:name="_Toc529196610"/>
      <w:bookmarkStart w:id="287" w:name="_Toc20625"/>
      <w:bookmarkStart w:id="288" w:name="_Toc533357334"/>
      <w:r>
        <w:rPr>
          <w:rFonts w:hint="eastAsia" w:ascii="宋体" w:hAnsi="宋体" w:cs="宋体"/>
          <w:szCs w:val="24"/>
          <w:highlight w:val="none"/>
        </w:rPr>
        <w:t>六</w:t>
      </w:r>
      <w:r>
        <w:rPr>
          <w:rFonts w:hint="eastAsia" w:ascii="宋体" w:hAnsi="宋体" w:cs="宋体"/>
          <w:sz w:val="30"/>
          <w:szCs w:val="30"/>
          <w:highlight w:val="none"/>
        </w:rPr>
        <w:t>、资信业绩</w:t>
      </w:r>
      <w:bookmarkEnd w:id="283"/>
    </w:p>
    <w:p>
      <w:pPr>
        <w:spacing w:line="360" w:lineRule="auto"/>
        <w:jc w:val="center"/>
        <w:rPr>
          <w:rFonts w:ascii="宋体" w:hAnsi="宋体" w:cs="宋体"/>
          <w:sz w:val="24"/>
          <w:szCs w:val="24"/>
          <w:highlight w:val="none"/>
        </w:rPr>
      </w:pPr>
      <w:r>
        <w:rPr>
          <w:rFonts w:hint="eastAsia" w:ascii="宋体" w:hAnsi="宋体" w:cs="宋体"/>
          <w:sz w:val="24"/>
          <w:szCs w:val="24"/>
          <w:highlight w:val="none"/>
        </w:rPr>
        <w:t>格式自拟</w:t>
      </w: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pStyle w:val="3"/>
        <w:spacing w:line="360" w:lineRule="auto"/>
        <w:rPr>
          <w:rFonts w:ascii="宋体" w:hAnsi="宋体" w:cs="宋体"/>
          <w:sz w:val="30"/>
          <w:szCs w:val="30"/>
          <w:highlight w:val="none"/>
        </w:rPr>
      </w:pPr>
    </w:p>
    <w:p>
      <w:pPr>
        <w:spacing w:line="360" w:lineRule="auto"/>
        <w:jc w:val="center"/>
        <w:rPr>
          <w:rFonts w:ascii="宋体" w:hAnsi="宋体" w:cs="宋体"/>
          <w:sz w:val="30"/>
          <w:szCs w:val="30"/>
          <w:highlight w:val="none"/>
        </w:rPr>
      </w:pPr>
      <w:r>
        <w:rPr>
          <w:rFonts w:hint="eastAsia" w:ascii="宋体" w:hAnsi="宋体" w:cs="宋体"/>
          <w:sz w:val="30"/>
          <w:szCs w:val="30"/>
          <w:highlight w:val="none"/>
        </w:rPr>
        <w:br w:type="page"/>
      </w:r>
    </w:p>
    <w:p>
      <w:pPr>
        <w:pStyle w:val="3"/>
        <w:spacing w:line="360" w:lineRule="auto"/>
        <w:rPr>
          <w:rFonts w:ascii="宋体" w:hAnsi="宋体" w:cs="宋体"/>
          <w:sz w:val="30"/>
          <w:szCs w:val="30"/>
          <w:highlight w:val="none"/>
        </w:rPr>
      </w:pPr>
      <w:bookmarkStart w:id="289" w:name="_Toc17844"/>
      <w:r>
        <w:rPr>
          <w:rFonts w:hint="eastAsia" w:ascii="宋体" w:hAnsi="宋体" w:cs="宋体"/>
          <w:sz w:val="30"/>
          <w:szCs w:val="30"/>
          <w:highlight w:val="none"/>
        </w:rPr>
        <w:t>七、</w:t>
      </w:r>
      <w:bookmarkEnd w:id="284"/>
      <w:bookmarkEnd w:id="285"/>
      <w:bookmarkEnd w:id="286"/>
      <w:r>
        <w:rPr>
          <w:rFonts w:hint="eastAsia" w:ascii="宋体" w:hAnsi="宋体" w:cs="宋体"/>
          <w:sz w:val="30"/>
          <w:szCs w:val="30"/>
          <w:highlight w:val="none"/>
        </w:rPr>
        <w:t>检测技术方案</w:t>
      </w:r>
      <w:bookmarkEnd w:id="289"/>
    </w:p>
    <w:p>
      <w:pPr>
        <w:spacing w:line="360" w:lineRule="auto"/>
        <w:jc w:val="center"/>
        <w:rPr>
          <w:rFonts w:ascii="宋体" w:hAnsi="宋体" w:cs="宋体"/>
          <w:highlight w:val="none"/>
        </w:rPr>
      </w:pPr>
      <w:r>
        <w:rPr>
          <w:rFonts w:hint="eastAsia" w:ascii="宋体" w:hAnsi="宋体" w:cs="宋体"/>
          <w:sz w:val="24"/>
          <w:szCs w:val="24"/>
          <w:highlight w:val="none"/>
        </w:rPr>
        <w:t>格式自拟</w:t>
      </w:r>
    </w:p>
    <w:p>
      <w:pPr>
        <w:spacing w:line="360" w:lineRule="auto"/>
        <w:rPr>
          <w:rFonts w:ascii="宋体" w:hAnsi="宋体" w:cs="宋体"/>
          <w:highlight w:val="none"/>
        </w:rPr>
      </w:pPr>
    </w:p>
    <w:bookmarkEnd w:id="287"/>
    <w:bookmarkEnd w:id="288"/>
    <w:p>
      <w:pPr>
        <w:spacing w:line="360" w:lineRule="auto"/>
        <w:rPr>
          <w:rFonts w:ascii="宋体" w:hAnsi="宋体" w:cs="宋体"/>
          <w:sz w:val="30"/>
          <w:szCs w:val="30"/>
          <w:highlight w:val="none"/>
        </w:rPr>
      </w:pPr>
      <w:r>
        <w:rPr>
          <w:rFonts w:hint="eastAsia" w:ascii="宋体" w:hAnsi="宋体" w:cs="宋体"/>
          <w:sz w:val="30"/>
          <w:szCs w:val="30"/>
          <w:highlight w:val="none"/>
        </w:rPr>
        <w:br w:type="page"/>
      </w:r>
    </w:p>
    <w:p>
      <w:pPr>
        <w:pStyle w:val="3"/>
        <w:numPr>
          <w:ilvl w:val="0"/>
          <w:numId w:val="6"/>
        </w:numPr>
        <w:spacing w:line="360" w:lineRule="auto"/>
        <w:rPr>
          <w:rFonts w:ascii="宋体" w:hAnsi="宋体" w:cs="宋体"/>
          <w:sz w:val="30"/>
          <w:szCs w:val="30"/>
          <w:highlight w:val="none"/>
        </w:rPr>
      </w:pPr>
      <w:bookmarkStart w:id="290" w:name="_Toc32102"/>
      <w:r>
        <w:rPr>
          <w:rFonts w:hint="eastAsia" w:ascii="宋体" w:hAnsi="宋体" w:cs="宋体"/>
          <w:sz w:val="30"/>
          <w:szCs w:val="30"/>
          <w:highlight w:val="none"/>
        </w:rPr>
        <w:t>其他资料</w:t>
      </w:r>
      <w:bookmarkEnd w:id="290"/>
      <w:bookmarkStart w:id="291" w:name="_Toc402"/>
    </w:p>
    <w:p>
      <w:pPr>
        <w:pStyle w:val="3"/>
        <w:spacing w:line="360" w:lineRule="auto"/>
        <w:jc w:val="both"/>
        <w:rPr>
          <w:sz w:val="28"/>
          <w:highlight w:val="none"/>
        </w:rPr>
      </w:pPr>
      <w:r>
        <w:rPr>
          <w:sz w:val="28"/>
          <w:highlight w:val="none"/>
        </w:rPr>
        <w:t>（一）近年</w:t>
      </w:r>
      <w:r>
        <w:rPr>
          <w:rFonts w:hint="eastAsia"/>
          <w:sz w:val="28"/>
          <w:highlight w:val="none"/>
        </w:rPr>
        <w:t>承接</w:t>
      </w:r>
      <w:r>
        <w:rPr>
          <w:sz w:val="28"/>
          <w:highlight w:val="none"/>
        </w:rPr>
        <w:t>的类似项目情况汇总表</w:t>
      </w:r>
      <w:bookmarkEnd w:id="291"/>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1680"/>
        <w:gridCol w:w="1680"/>
        <w:gridCol w:w="1564"/>
        <w:gridCol w:w="200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4"/>
                <w:highlight w:val="none"/>
              </w:rPr>
            </w:pPr>
            <w:r>
              <w:rPr>
                <w:rFonts w:hint="eastAsia" w:ascii="宋体" w:hAnsi="宋体" w:cs="宋体"/>
                <w:sz w:val="24"/>
                <w:highlight w:val="none"/>
              </w:rPr>
              <w:t>序号</w:t>
            </w:r>
          </w:p>
        </w:tc>
        <w:tc>
          <w:tcPr>
            <w:tcW w:w="909" w:type="pct"/>
          </w:tcPr>
          <w:p>
            <w:pPr>
              <w:spacing w:line="360" w:lineRule="auto"/>
              <w:rPr>
                <w:rFonts w:ascii="宋体" w:hAnsi="宋体" w:cs="宋体"/>
                <w:sz w:val="24"/>
                <w:highlight w:val="none"/>
              </w:rPr>
            </w:pPr>
            <w:r>
              <w:rPr>
                <w:rFonts w:hint="eastAsia" w:ascii="宋体" w:hAnsi="宋体" w:cs="宋体"/>
                <w:sz w:val="24"/>
                <w:highlight w:val="none"/>
              </w:rPr>
              <w:t>建设单位</w:t>
            </w:r>
          </w:p>
        </w:tc>
        <w:tc>
          <w:tcPr>
            <w:tcW w:w="909" w:type="pct"/>
          </w:tcPr>
          <w:p>
            <w:pPr>
              <w:spacing w:line="360" w:lineRule="auto"/>
              <w:rPr>
                <w:rFonts w:ascii="宋体" w:hAnsi="宋体" w:cs="宋体"/>
                <w:sz w:val="24"/>
                <w:highlight w:val="none"/>
              </w:rPr>
            </w:pPr>
            <w:r>
              <w:rPr>
                <w:rFonts w:hint="eastAsia" w:ascii="宋体" w:hAnsi="宋体" w:cs="宋体"/>
                <w:sz w:val="24"/>
                <w:highlight w:val="none"/>
              </w:rPr>
              <w:t>工程名称</w:t>
            </w:r>
          </w:p>
        </w:tc>
        <w:tc>
          <w:tcPr>
            <w:tcW w:w="846" w:type="pct"/>
          </w:tcPr>
          <w:p>
            <w:pPr>
              <w:spacing w:line="360" w:lineRule="auto"/>
              <w:rPr>
                <w:rFonts w:ascii="宋体" w:hAnsi="宋体" w:cs="宋体"/>
                <w:sz w:val="24"/>
                <w:highlight w:val="none"/>
              </w:rPr>
            </w:pPr>
            <w:r>
              <w:rPr>
                <w:rFonts w:hint="eastAsia" w:ascii="宋体" w:hAnsi="宋体" w:cs="宋体"/>
                <w:sz w:val="24"/>
                <w:highlight w:val="none"/>
              </w:rPr>
              <w:t>建设规模</w:t>
            </w:r>
          </w:p>
        </w:tc>
        <w:tc>
          <w:tcPr>
            <w:tcW w:w="1085" w:type="pct"/>
          </w:tcPr>
          <w:p>
            <w:pPr>
              <w:spacing w:line="360" w:lineRule="auto"/>
              <w:rPr>
                <w:rFonts w:ascii="宋体" w:hAnsi="宋体" w:cs="宋体"/>
                <w:sz w:val="24"/>
                <w:highlight w:val="none"/>
              </w:rPr>
            </w:pPr>
            <w:r>
              <w:rPr>
                <w:rFonts w:hint="eastAsia" w:ascii="宋体" w:hAnsi="宋体" w:cs="宋体"/>
                <w:sz w:val="24"/>
                <w:highlight w:val="none"/>
              </w:rPr>
              <w:t>开竣工日期</w:t>
            </w:r>
          </w:p>
        </w:tc>
        <w:tc>
          <w:tcPr>
            <w:tcW w:w="681" w:type="pct"/>
          </w:tcPr>
          <w:p>
            <w:pPr>
              <w:spacing w:line="360" w:lineRule="auto"/>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68"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909" w:type="pct"/>
          </w:tcPr>
          <w:p>
            <w:pPr>
              <w:spacing w:line="360" w:lineRule="auto"/>
              <w:rPr>
                <w:rFonts w:ascii="宋体" w:hAnsi="宋体" w:cs="宋体"/>
                <w:sz w:val="28"/>
                <w:highlight w:val="none"/>
              </w:rPr>
            </w:pPr>
          </w:p>
        </w:tc>
        <w:tc>
          <w:tcPr>
            <w:tcW w:w="846" w:type="pct"/>
          </w:tcPr>
          <w:p>
            <w:pPr>
              <w:spacing w:line="360" w:lineRule="auto"/>
              <w:rPr>
                <w:rFonts w:ascii="宋体" w:hAnsi="宋体" w:cs="宋体"/>
                <w:sz w:val="28"/>
                <w:highlight w:val="none"/>
              </w:rPr>
            </w:pPr>
          </w:p>
        </w:tc>
        <w:tc>
          <w:tcPr>
            <w:tcW w:w="1085" w:type="pct"/>
          </w:tcPr>
          <w:p>
            <w:pPr>
              <w:spacing w:line="360" w:lineRule="auto"/>
              <w:rPr>
                <w:rFonts w:ascii="宋体" w:hAnsi="宋体" w:cs="宋体"/>
                <w:sz w:val="28"/>
                <w:highlight w:val="none"/>
              </w:rPr>
            </w:pPr>
          </w:p>
        </w:tc>
        <w:tc>
          <w:tcPr>
            <w:tcW w:w="681" w:type="pct"/>
          </w:tcPr>
          <w:p>
            <w:pPr>
              <w:spacing w:line="360" w:lineRule="auto"/>
              <w:rPr>
                <w:rFonts w:ascii="宋体" w:hAnsi="宋体" w:cs="宋体"/>
                <w:sz w:val="28"/>
                <w:highlight w:val="none"/>
              </w:rPr>
            </w:pPr>
          </w:p>
        </w:tc>
      </w:tr>
    </w:tbl>
    <w:p>
      <w:pPr>
        <w:spacing w:line="360" w:lineRule="auto"/>
        <w:rPr>
          <w:rFonts w:ascii="宋体" w:hAnsi="宋体" w:cs="宋体"/>
          <w:sz w:val="24"/>
          <w:szCs w:val="24"/>
          <w:highlight w:val="none"/>
        </w:rPr>
      </w:pPr>
      <w:r>
        <w:rPr>
          <w:rFonts w:hint="eastAsia" w:ascii="宋体" w:hAnsi="宋体" w:cs="宋体"/>
          <w:sz w:val="24"/>
          <w:szCs w:val="24"/>
          <w:highlight w:val="none"/>
        </w:rPr>
        <w:t>注：</w:t>
      </w:r>
      <w:r>
        <w:rPr>
          <w:rFonts w:hint="eastAsia" w:ascii="宋体" w:hAnsi="宋体" w:cs="宋体"/>
          <w:sz w:val="24"/>
          <w:highlight w:val="none"/>
        </w:rPr>
        <w:t>本项不作为资格审查内容，但（如有）需提供，仅作为投标人的评标（综合评分）后附相关证明材料。表格格式可以根据实际情况调整。</w:t>
      </w:r>
    </w:p>
    <w:p>
      <w:pPr>
        <w:spacing w:line="360" w:lineRule="auto"/>
        <w:rPr>
          <w:rFonts w:ascii="宋体" w:hAnsi="宋体" w:cs="宋体"/>
          <w:szCs w:val="24"/>
          <w:highlight w:val="none"/>
        </w:rPr>
      </w:pPr>
    </w:p>
    <w:p>
      <w:pPr>
        <w:spacing w:line="360" w:lineRule="auto"/>
        <w:rPr>
          <w:rFonts w:ascii="宋体" w:hAnsi="宋体" w:cs="宋体"/>
          <w:szCs w:val="24"/>
          <w:highlight w:val="none"/>
        </w:rPr>
      </w:pPr>
    </w:p>
    <w:p>
      <w:pPr>
        <w:pStyle w:val="4"/>
        <w:ind w:firstLine="137"/>
        <w:rPr>
          <w:rFonts w:cs="宋体"/>
          <w:highlight w:val="none"/>
        </w:rPr>
      </w:pPr>
      <w:r>
        <w:rPr>
          <w:rFonts w:hint="eastAsia" w:cs="宋体"/>
          <w:highlight w:val="none"/>
        </w:rPr>
        <w:br w:type="page"/>
      </w:r>
    </w:p>
    <w:p>
      <w:pPr>
        <w:pStyle w:val="4"/>
        <w:rPr>
          <w:rFonts w:ascii="Arial" w:hAnsi="Arial"/>
          <w:szCs w:val="20"/>
          <w:highlight w:val="none"/>
        </w:rPr>
      </w:pPr>
      <w:bookmarkStart w:id="292" w:name="_Toc17525"/>
      <w:r>
        <w:rPr>
          <w:rFonts w:ascii="Arial" w:hAnsi="Arial"/>
          <w:szCs w:val="20"/>
          <w:highlight w:val="none"/>
        </w:rPr>
        <w:t>（二）近年承接的类似项目情况表</w:t>
      </w:r>
      <w:bookmarkEnd w:id="292"/>
    </w:p>
    <w:tbl>
      <w:tblPr>
        <w:tblStyle w:val="2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项目名称</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项目所在地</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委托人名称</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委托人地址</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委托人电话</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合同价格</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合同签订时间</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检（监）测内容</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项目负责人</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项目描述</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p>
            <w:pPr>
              <w:topLinePunct/>
              <w:spacing w:line="360" w:lineRule="auto"/>
              <w:rPr>
                <w:rFonts w:ascii="宋体" w:hAnsi="宋体" w:cs="宋体"/>
                <w:highlight w:val="none"/>
              </w:rPr>
            </w:pPr>
          </w:p>
          <w:p>
            <w:pPr>
              <w:topLinePunct/>
              <w:spacing w:line="360" w:lineRule="auto"/>
              <w:rPr>
                <w:rFonts w:ascii="宋体" w:hAnsi="宋体" w:cs="宋体"/>
                <w:highlight w:val="none"/>
              </w:rPr>
            </w:pPr>
          </w:p>
          <w:p>
            <w:pPr>
              <w:topLinePunct/>
              <w:spacing w:line="360" w:lineRule="auto"/>
              <w:rPr>
                <w:rFonts w:ascii="宋体" w:hAnsi="宋体" w:cs="宋体"/>
                <w:highlight w:val="none"/>
              </w:rPr>
            </w:pPr>
          </w:p>
          <w:p>
            <w:pPr>
              <w:topLinePunct/>
              <w:spacing w:line="360" w:lineRule="auto"/>
              <w:rPr>
                <w:rFonts w:ascii="宋体" w:hAnsi="宋体" w:cs="宋体"/>
                <w:highlight w:val="none"/>
              </w:rPr>
            </w:pPr>
          </w:p>
          <w:p>
            <w:pPr>
              <w:topLinePunct/>
              <w:spacing w:line="360" w:lineRule="auto"/>
              <w:rPr>
                <w:rFonts w:ascii="宋体" w:hAnsi="宋体" w:cs="宋体"/>
                <w:highlight w:val="none"/>
              </w:rPr>
            </w:pPr>
          </w:p>
          <w:p>
            <w:pPr>
              <w:topLinePunct/>
              <w:spacing w:line="360" w:lineRule="auto"/>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pc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cs="宋体"/>
                <w:highlight w:val="none"/>
              </w:rPr>
            </w:pPr>
            <w:r>
              <w:rPr>
                <w:rFonts w:hint="eastAsia" w:ascii="宋体" w:hAnsi="宋体" w:cs="宋体"/>
                <w:highlight w:val="none"/>
              </w:rPr>
              <w:t>备注</w:t>
            </w:r>
          </w:p>
        </w:tc>
        <w:tc>
          <w:tcPr>
            <w:tcW w:w="3668" w:type="pct"/>
            <w:tcBorders>
              <w:top w:val="single" w:color="auto" w:sz="4" w:space="0"/>
              <w:left w:val="single" w:color="auto" w:sz="4" w:space="0"/>
              <w:bottom w:val="single" w:color="auto" w:sz="4" w:space="0"/>
              <w:right w:val="single" w:color="auto" w:sz="4" w:space="0"/>
            </w:tcBorders>
          </w:tcPr>
          <w:p>
            <w:pPr>
              <w:topLinePunct/>
              <w:spacing w:line="360" w:lineRule="auto"/>
              <w:rPr>
                <w:rFonts w:ascii="宋体" w:hAnsi="宋体" w:cs="宋体"/>
                <w:highlight w:val="none"/>
              </w:rPr>
            </w:pPr>
          </w:p>
        </w:tc>
      </w:tr>
    </w:tbl>
    <w:p>
      <w:pPr>
        <w:spacing w:line="360" w:lineRule="auto"/>
        <w:jc w:val="left"/>
        <w:rPr>
          <w:rFonts w:ascii="宋体" w:hAnsi="宋体" w:cs="宋体"/>
          <w:highlight w:val="none"/>
        </w:rPr>
      </w:pPr>
      <w:r>
        <w:rPr>
          <w:rFonts w:hint="eastAsia" w:ascii="宋体" w:hAnsi="宋体" w:cs="宋体"/>
          <w:highlight w:val="none"/>
        </w:rPr>
        <w:t>注：1.每张表格只填写一个项目，并标明序号。</w:t>
      </w:r>
    </w:p>
    <w:p>
      <w:pPr>
        <w:spacing w:line="360" w:lineRule="auto"/>
        <w:jc w:val="left"/>
        <w:rPr>
          <w:rFonts w:ascii="宋体" w:hAnsi="宋体" w:cs="宋体"/>
          <w:highlight w:val="none"/>
        </w:rPr>
      </w:pPr>
      <w:r>
        <w:rPr>
          <w:rFonts w:hint="eastAsia" w:ascii="宋体" w:hAnsi="宋体" w:cs="宋体"/>
          <w:highlight w:val="none"/>
        </w:rPr>
        <w:t>2.本项不作为资格审查内容，但（如有）需提供，仅作为投标人的评标（综合评分）后附相关证明材料。表格格式可以根据实际情况调整。</w:t>
      </w:r>
    </w:p>
    <w:p>
      <w:pPr>
        <w:pStyle w:val="8"/>
        <w:spacing w:line="360" w:lineRule="auto"/>
        <w:rPr>
          <w:rFonts w:ascii="宋体" w:hAnsi="宋体" w:cs="宋体"/>
          <w:highlight w:val="none"/>
        </w:rPr>
      </w:pPr>
    </w:p>
    <w:p>
      <w:pPr>
        <w:spacing w:line="360" w:lineRule="auto"/>
        <w:rPr>
          <w:rFonts w:ascii="宋体" w:hAnsi="宋体" w:cs="宋体"/>
          <w:highlight w:val="none"/>
        </w:rPr>
      </w:pPr>
    </w:p>
    <w:p>
      <w:pPr>
        <w:pStyle w:val="8"/>
        <w:spacing w:line="360" w:lineRule="auto"/>
        <w:rPr>
          <w:rFonts w:ascii="宋体" w:hAnsi="宋体" w:cs="宋体"/>
          <w:highlight w:val="none"/>
        </w:rPr>
      </w:pPr>
    </w:p>
    <w:p>
      <w:pPr>
        <w:spacing w:line="360" w:lineRule="auto"/>
        <w:rPr>
          <w:rFonts w:ascii="宋体" w:hAnsi="宋体" w:cs="宋体"/>
          <w:highlight w:val="none"/>
        </w:rPr>
      </w:pPr>
    </w:p>
    <w:p>
      <w:pPr>
        <w:pStyle w:val="4"/>
        <w:ind w:left="118"/>
        <w:rPr>
          <w:rFonts w:ascii="Arial" w:hAnsi="Arial"/>
          <w:szCs w:val="20"/>
          <w:highlight w:val="none"/>
        </w:rPr>
      </w:pPr>
      <w:bookmarkStart w:id="293" w:name="_Toc23045"/>
      <w:r>
        <w:rPr>
          <w:rFonts w:ascii="Arial" w:hAnsi="Arial"/>
          <w:szCs w:val="20"/>
          <w:highlight w:val="none"/>
        </w:rPr>
        <w:t>（三）拟委任的主要人员汇总表</w:t>
      </w:r>
      <w:bookmarkEnd w:id="293"/>
    </w:p>
    <w:tbl>
      <w:tblPr>
        <w:tblStyle w:val="2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714"/>
        <w:gridCol w:w="873"/>
        <w:gridCol w:w="1435"/>
        <w:gridCol w:w="1555"/>
        <w:gridCol w:w="708"/>
        <w:gridCol w:w="956"/>
        <w:gridCol w:w="1189"/>
        <w:gridCol w:w="11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39" w:type="pct"/>
            <w:tcBorders>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序</w:t>
            </w:r>
          </w:p>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号</w:t>
            </w:r>
          </w:p>
        </w:tc>
        <w:tc>
          <w:tcPr>
            <w:tcW w:w="386" w:type="pct"/>
            <w:tcBorders>
              <w:bottom w:val="single" w:color="auto" w:sz="12" w:space="0"/>
              <w:right w:val="single" w:color="auto" w:sz="6"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姓名</w:t>
            </w:r>
          </w:p>
        </w:tc>
        <w:tc>
          <w:tcPr>
            <w:tcW w:w="472" w:type="pct"/>
            <w:tcBorders>
              <w:left w:val="single" w:color="auto" w:sz="6" w:space="0"/>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年龄</w:t>
            </w:r>
          </w:p>
        </w:tc>
        <w:tc>
          <w:tcPr>
            <w:tcW w:w="776" w:type="pct"/>
            <w:tcBorders>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拟     在</w:t>
            </w:r>
          </w:p>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本项目任职</w:t>
            </w:r>
          </w:p>
        </w:tc>
        <w:tc>
          <w:tcPr>
            <w:tcW w:w="841" w:type="pct"/>
            <w:tcBorders>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毕业学校</w:t>
            </w:r>
          </w:p>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/专业</w:t>
            </w:r>
          </w:p>
        </w:tc>
        <w:tc>
          <w:tcPr>
            <w:tcW w:w="383" w:type="pct"/>
            <w:tcBorders>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学历</w:t>
            </w:r>
          </w:p>
        </w:tc>
        <w:tc>
          <w:tcPr>
            <w:tcW w:w="517" w:type="pct"/>
            <w:tcBorders>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职称</w:t>
            </w:r>
          </w:p>
        </w:tc>
        <w:tc>
          <w:tcPr>
            <w:tcW w:w="643" w:type="pct"/>
            <w:tcBorders>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sz w:val="24"/>
                <w:highlight w:val="none"/>
              </w:rPr>
              <w:t>执业或职业资格证书</w:t>
            </w:r>
          </w:p>
        </w:tc>
        <w:tc>
          <w:tcPr>
            <w:tcW w:w="638" w:type="pct"/>
            <w:tcBorders>
              <w:bottom w:val="single" w:color="auto" w:sz="12" w:space="0"/>
            </w:tcBorders>
            <w:vAlign w:val="center"/>
          </w:tcPr>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从事检（监）测</w:t>
            </w:r>
          </w:p>
          <w:p>
            <w:pPr>
              <w:spacing w:line="360" w:lineRule="auto"/>
              <w:jc w:val="center"/>
              <w:rPr>
                <w:rFonts w:ascii="宋体" w:hAnsi="宋体" w:cs="宋体"/>
                <w:position w:val="-30"/>
                <w:sz w:val="24"/>
                <w:highlight w:val="none"/>
              </w:rPr>
            </w:pPr>
            <w:r>
              <w:rPr>
                <w:rFonts w:hint="eastAsia" w:ascii="宋体" w:hAnsi="宋体" w:cs="宋体"/>
                <w:position w:val="-30"/>
                <w:sz w:val="24"/>
                <w:highlight w:val="none"/>
              </w:rPr>
              <w:t>工作年限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tcBorders>
              <w:top w:val="single" w:color="auto" w:sz="12" w:space="0"/>
            </w:tcBorders>
            <w:vAlign w:val="center"/>
          </w:tcPr>
          <w:p>
            <w:pPr>
              <w:spacing w:line="360" w:lineRule="auto"/>
              <w:jc w:val="center"/>
              <w:rPr>
                <w:rFonts w:ascii="宋体" w:hAnsi="宋体" w:cs="宋体"/>
                <w:sz w:val="24"/>
                <w:highlight w:val="none"/>
              </w:rPr>
            </w:pPr>
          </w:p>
        </w:tc>
        <w:tc>
          <w:tcPr>
            <w:tcW w:w="386" w:type="pct"/>
            <w:tcBorders>
              <w:top w:val="single" w:color="auto" w:sz="12" w:space="0"/>
              <w:right w:val="single" w:color="auto" w:sz="6" w:space="0"/>
            </w:tcBorders>
            <w:vAlign w:val="center"/>
          </w:tcPr>
          <w:p>
            <w:pPr>
              <w:spacing w:line="360" w:lineRule="auto"/>
              <w:jc w:val="center"/>
              <w:rPr>
                <w:rFonts w:ascii="宋体" w:hAnsi="宋体" w:cs="宋体"/>
                <w:sz w:val="24"/>
                <w:highlight w:val="none"/>
              </w:rPr>
            </w:pPr>
          </w:p>
        </w:tc>
        <w:tc>
          <w:tcPr>
            <w:tcW w:w="472" w:type="pct"/>
            <w:tcBorders>
              <w:top w:val="single" w:color="auto" w:sz="12" w:space="0"/>
              <w:left w:val="single" w:color="auto" w:sz="6" w:space="0"/>
            </w:tcBorders>
            <w:vAlign w:val="center"/>
          </w:tcPr>
          <w:p>
            <w:pPr>
              <w:spacing w:line="360" w:lineRule="auto"/>
              <w:jc w:val="center"/>
              <w:rPr>
                <w:rFonts w:ascii="宋体" w:hAnsi="宋体" w:cs="宋体"/>
                <w:sz w:val="24"/>
                <w:highlight w:val="none"/>
              </w:rPr>
            </w:pPr>
          </w:p>
        </w:tc>
        <w:tc>
          <w:tcPr>
            <w:tcW w:w="776" w:type="pct"/>
            <w:tcBorders>
              <w:top w:val="single" w:color="auto" w:sz="12" w:space="0"/>
            </w:tcBorders>
            <w:vAlign w:val="center"/>
          </w:tcPr>
          <w:p>
            <w:pPr>
              <w:spacing w:line="360" w:lineRule="auto"/>
              <w:jc w:val="center"/>
              <w:rPr>
                <w:rFonts w:ascii="宋体" w:hAnsi="宋体" w:cs="宋体"/>
                <w:sz w:val="24"/>
                <w:highlight w:val="none"/>
              </w:rPr>
            </w:pPr>
          </w:p>
        </w:tc>
        <w:tc>
          <w:tcPr>
            <w:tcW w:w="841" w:type="pct"/>
            <w:tcBorders>
              <w:top w:val="single" w:color="auto" w:sz="12" w:space="0"/>
            </w:tcBorders>
            <w:vAlign w:val="center"/>
          </w:tcPr>
          <w:p>
            <w:pPr>
              <w:spacing w:line="360" w:lineRule="auto"/>
              <w:jc w:val="center"/>
              <w:rPr>
                <w:rFonts w:ascii="宋体" w:hAnsi="宋体" w:cs="宋体"/>
                <w:sz w:val="24"/>
                <w:highlight w:val="none"/>
              </w:rPr>
            </w:pPr>
          </w:p>
        </w:tc>
        <w:tc>
          <w:tcPr>
            <w:tcW w:w="383" w:type="pct"/>
            <w:tcBorders>
              <w:top w:val="single" w:color="auto" w:sz="12" w:space="0"/>
            </w:tcBorders>
            <w:vAlign w:val="center"/>
          </w:tcPr>
          <w:p>
            <w:pPr>
              <w:spacing w:line="360" w:lineRule="auto"/>
              <w:jc w:val="center"/>
              <w:rPr>
                <w:rFonts w:ascii="宋体" w:hAnsi="宋体" w:cs="宋体"/>
                <w:sz w:val="24"/>
                <w:highlight w:val="none"/>
              </w:rPr>
            </w:pPr>
          </w:p>
        </w:tc>
        <w:tc>
          <w:tcPr>
            <w:tcW w:w="517" w:type="pct"/>
            <w:tcBorders>
              <w:top w:val="single" w:color="auto" w:sz="12" w:space="0"/>
            </w:tcBorders>
            <w:vAlign w:val="center"/>
          </w:tcPr>
          <w:p>
            <w:pPr>
              <w:spacing w:line="360" w:lineRule="auto"/>
              <w:jc w:val="center"/>
              <w:rPr>
                <w:rFonts w:ascii="宋体" w:hAnsi="宋体" w:cs="宋体"/>
                <w:sz w:val="24"/>
                <w:highlight w:val="none"/>
              </w:rPr>
            </w:pPr>
          </w:p>
        </w:tc>
        <w:tc>
          <w:tcPr>
            <w:tcW w:w="643" w:type="pct"/>
            <w:tcBorders>
              <w:top w:val="single" w:color="auto" w:sz="12" w:space="0"/>
            </w:tcBorders>
            <w:vAlign w:val="center"/>
          </w:tcPr>
          <w:p>
            <w:pPr>
              <w:spacing w:line="360" w:lineRule="auto"/>
              <w:jc w:val="center"/>
              <w:rPr>
                <w:rFonts w:ascii="宋体" w:hAnsi="宋体" w:cs="宋体"/>
                <w:sz w:val="24"/>
                <w:highlight w:val="none"/>
              </w:rPr>
            </w:pPr>
          </w:p>
        </w:tc>
        <w:tc>
          <w:tcPr>
            <w:tcW w:w="638" w:type="pct"/>
            <w:tcBorders>
              <w:top w:val="single" w:color="auto" w:sz="12" w:space="0"/>
            </w:tcBorders>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9" w:type="pct"/>
            <w:vAlign w:val="center"/>
          </w:tcPr>
          <w:p>
            <w:pPr>
              <w:spacing w:line="360" w:lineRule="auto"/>
              <w:jc w:val="center"/>
              <w:rPr>
                <w:rFonts w:ascii="宋体" w:hAnsi="宋体" w:cs="宋体"/>
                <w:sz w:val="24"/>
                <w:highlight w:val="none"/>
              </w:rPr>
            </w:pPr>
          </w:p>
        </w:tc>
        <w:tc>
          <w:tcPr>
            <w:tcW w:w="386" w:type="pct"/>
            <w:tcBorders>
              <w:right w:val="single" w:color="auto" w:sz="6" w:space="0"/>
            </w:tcBorders>
            <w:vAlign w:val="center"/>
          </w:tcPr>
          <w:p>
            <w:pPr>
              <w:spacing w:line="360" w:lineRule="auto"/>
              <w:jc w:val="center"/>
              <w:rPr>
                <w:rFonts w:ascii="宋体" w:hAnsi="宋体" w:cs="宋体"/>
                <w:sz w:val="24"/>
                <w:highlight w:val="none"/>
              </w:rPr>
            </w:pPr>
          </w:p>
        </w:tc>
        <w:tc>
          <w:tcPr>
            <w:tcW w:w="472" w:type="pct"/>
            <w:tcBorders>
              <w:left w:val="single" w:color="auto" w:sz="6" w:space="0"/>
            </w:tcBorders>
            <w:vAlign w:val="center"/>
          </w:tcPr>
          <w:p>
            <w:pPr>
              <w:spacing w:line="360" w:lineRule="auto"/>
              <w:jc w:val="center"/>
              <w:rPr>
                <w:rFonts w:ascii="宋体" w:hAnsi="宋体" w:cs="宋体"/>
                <w:sz w:val="24"/>
                <w:highlight w:val="none"/>
              </w:rPr>
            </w:pPr>
          </w:p>
        </w:tc>
        <w:tc>
          <w:tcPr>
            <w:tcW w:w="776" w:type="pct"/>
            <w:vAlign w:val="center"/>
          </w:tcPr>
          <w:p>
            <w:pPr>
              <w:spacing w:line="360" w:lineRule="auto"/>
              <w:jc w:val="center"/>
              <w:rPr>
                <w:rFonts w:ascii="宋体" w:hAnsi="宋体" w:cs="宋体"/>
                <w:sz w:val="24"/>
                <w:highlight w:val="none"/>
              </w:rPr>
            </w:pPr>
          </w:p>
        </w:tc>
        <w:tc>
          <w:tcPr>
            <w:tcW w:w="841" w:type="pct"/>
            <w:vAlign w:val="center"/>
          </w:tcPr>
          <w:p>
            <w:pPr>
              <w:spacing w:line="360" w:lineRule="auto"/>
              <w:jc w:val="center"/>
              <w:rPr>
                <w:rFonts w:ascii="宋体" w:hAnsi="宋体" w:cs="宋体"/>
                <w:sz w:val="24"/>
                <w:highlight w:val="none"/>
              </w:rPr>
            </w:pPr>
          </w:p>
        </w:tc>
        <w:tc>
          <w:tcPr>
            <w:tcW w:w="383" w:type="pct"/>
            <w:vAlign w:val="center"/>
          </w:tcPr>
          <w:p>
            <w:pPr>
              <w:spacing w:line="360" w:lineRule="auto"/>
              <w:jc w:val="center"/>
              <w:rPr>
                <w:rFonts w:ascii="宋体" w:hAnsi="宋体" w:cs="宋体"/>
                <w:sz w:val="24"/>
                <w:highlight w:val="none"/>
              </w:rPr>
            </w:pPr>
          </w:p>
        </w:tc>
        <w:tc>
          <w:tcPr>
            <w:tcW w:w="517" w:type="pct"/>
            <w:vAlign w:val="center"/>
          </w:tcPr>
          <w:p>
            <w:pPr>
              <w:spacing w:line="360" w:lineRule="auto"/>
              <w:jc w:val="center"/>
              <w:rPr>
                <w:rFonts w:ascii="宋体" w:hAnsi="宋体" w:cs="宋体"/>
                <w:sz w:val="24"/>
                <w:highlight w:val="none"/>
              </w:rPr>
            </w:pPr>
          </w:p>
        </w:tc>
        <w:tc>
          <w:tcPr>
            <w:tcW w:w="643" w:type="pct"/>
            <w:vAlign w:val="center"/>
          </w:tcPr>
          <w:p>
            <w:pPr>
              <w:spacing w:line="360" w:lineRule="auto"/>
              <w:jc w:val="center"/>
              <w:rPr>
                <w:rFonts w:ascii="宋体" w:hAnsi="宋体" w:cs="宋体"/>
                <w:sz w:val="24"/>
                <w:highlight w:val="none"/>
              </w:rPr>
            </w:pPr>
          </w:p>
        </w:tc>
        <w:tc>
          <w:tcPr>
            <w:tcW w:w="638" w:type="pct"/>
            <w:vAlign w:val="center"/>
          </w:tcPr>
          <w:p>
            <w:pPr>
              <w:spacing w:line="360" w:lineRule="auto"/>
              <w:jc w:val="center"/>
              <w:rPr>
                <w:rFonts w:ascii="宋体" w:hAnsi="宋体" w:cs="宋体"/>
                <w:sz w:val="24"/>
                <w:highlight w:val="none"/>
              </w:rPr>
            </w:pPr>
          </w:p>
        </w:tc>
      </w:tr>
    </w:tbl>
    <w:p>
      <w:pPr>
        <w:spacing w:line="360" w:lineRule="auto"/>
        <w:rPr>
          <w:rFonts w:ascii="宋体" w:hAnsi="宋体" w:cs="宋体"/>
          <w:highlight w:val="none"/>
        </w:rPr>
      </w:pPr>
      <w:r>
        <w:rPr>
          <w:rFonts w:hint="eastAsia" w:ascii="宋体" w:hAnsi="宋体" w:cs="宋体"/>
          <w:highlight w:val="none"/>
        </w:rPr>
        <w:t>注：本项不作为资格审查内容，但（如有）需提供，仅作为投标人的评标（综合评分）后附相关证明材料。表格格式可以根据实际情况调整。</w:t>
      </w:r>
    </w:p>
    <w:p>
      <w:pPr>
        <w:pStyle w:val="8"/>
        <w:adjustRightInd w:val="0"/>
        <w:spacing w:line="360" w:lineRule="auto"/>
        <w:ind w:firstLine="0"/>
        <w:rPr>
          <w:rFonts w:ascii="宋体" w:hAnsi="宋体" w:cs="宋体"/>
          <w:highlight w:val="none"/>
        </w:rPr>
      </w:pPr>
    </w:p>
    <w:p>
      <w:pPr>
        <w:topLinePunct/>
        <w:spacing w:line="360" w:lineRule="auto"/>
        <w:rPr>
          <w:rFonts w:ascii="宋体" w:hAnsi="宋体" w:cs="宋体"/>
          <w:spacing w:val="4"/>
          <w:sz w:val="24"/>
          <w:szCs w:val="24"/>
          <w:highlight w:val="none"/>
        </w:rPr>
      </w:pPr>
    </w:p>
    <w:p>
      <w:pPr>
        <w:topLinePunct/>
        <w:spacing w:line="360" w:lineRule="auto"/>
        <w:rPr>
          <w:rFonts w:ascii="宋体" w:hAnsi="宋体" w:cs="宋体"/>
          <w:spacing w:val="4"/>
          <w:sz w:val="24"/>
          <w:szCs w:val="24"/>
          <w:highlight w:val="none"/>
        </w:rPr>
      </w:pPr>
      <w:r>
        <w:rPr>
          <w:rFonts w:hint="eastAsia" w:ascii="宋体" w:hAnsi="宋体" w:cs="宋体"/>
          <w:spacing w:val="4"/>
          <w:sz w:val="24"/>
          <w:szCs w:val="24"/>
          <w:highlight w:val="none"/>
        </w:rPr>
        <w:t>投  标  单  位（盖章）：</w:t>
      </w:r>
    </w:p>
    <w:p>
      <w:pPr>
        <w:topLinePunct/>
        <w:spacing w:line="360" w:lineRule="auto"/>
        <w:rPr>
          <w:rFonts w:ascii="宋体" w:hAnsi="宋体" w:cs="宋体"/>
          <w:spacing w:val="18"/>
          <w:sz w:val="24"/>
          <w:szCs w:val="24"/>
          <w:highlight w:val="none"/>
        </w:rPr>
      </w:pPr>
      <w:r>
        <w:rPr>
          <w:rFonts w:hint="eastAsia" w:ascii="宋体" w:hAnsi="宋体" w:cs="宋体"/>
          <w:spacing w:val="4"/>
          <w:sz w:val="24"/>
          <w:szCs w:val="24"/>
          <w:highlight w:val="none"/>
        </w:rPr>
        <w:t>法定代表人或授权委托人（签名或盖章）</w:t>
      </w:r>
      <w:r>
        <w:rPr>
          <w:rFonts w:hint="eastAsia" w:ascii="宋体" w:hAnsi="宋体" w:cs="宋体"/>
          <w:spacing w:val="18"/>
          <w:sz w:val="24"/>
          <w:szCs w:val="24"/>
          <w:highlight w:val="none"/>
        </w:rPr>
        <w:t xml:space="preserve">：            </w:t>
      </w:r>
    </w:p>
    <w:p>
      <w:pPr>
        <w:topLinePunct/>
        <w:spacing w:line="360" w:lineRule="auto"/>
        <w:rPr>
          <w:rFonts w:ascii="宋体" w:hAnsi="宋体" w:cs="宋体"/>
          <w:spacing w:val="18"/>
          <w:sz w:val="24"/>
          <w:szCs w:val="24"/>
          <w:highlight w:val="none"/>
        </w:rPr>
      </w:pPr>
      <w:r>
        <w:rPr>
          <w:rFonts w:hint="eastAsia" w:ascii="宋体" w:hAnsi="宋体" w:cs="宋体"/>
          <w:spacing w:val="18"/>
          <w:sz w:val="24"/>
          <w:szCs w:val="24"/>
          <w:highlight w:val="none"/>
        </w:rPr>
        <w:t>日期：   年  月  日</w:t>
      </w:r>
    </w:p>
    <w:p>
      <w:pPr>
        <w:topLinePunct/>
        <w:spacing w:line="360" w:lineRule="auto"/>
        <w:rPr>
          <w:rFonts w:ascii="宋体" w:hAnsi="宋体" w:cs="宋体"/>
          <w:spacing w:val="18"/>
          <w:sz w:val="24"/>
          <w:szCs w:val="24"/>
          <w:highlight w:val="none"/>
        </w:rPr>
      </w:pPr>
    </w:p>
    <w:p>
      <w:pPr>
        <w:spacing w:line="360" w:lineRule="auto"/>
        <w:rPr>
          <w:rFonts w:ascii="宋体" w:hAnsi="宋体" w:cs="宋体"/>
          <w:b/>
          <w:bCs/>
          <w:sz w:val="28"/>
          <w:szCs w:val="32"/>
          <w:highlight w:val="none"/>
        </w:rPr>
      </w:pPr>
    </w:p>
    <w:p>
      <w:pPr>
        <w:pStyle w:val="19"/>
        <w:spacing w:line="360" w:lineRule="auto"/>
        <w:rPr>
          <w:rFonts w:ascii="宋体" w:hAnsi="宋体" w:cs="宋体"/>
          <w:b/>
          <w:bCs/>
          <w:sz w:val="28"/>
          <w:szCs w:val="32"/>
          <w:highlight w:val="none"/>
        </w:rPr>
      </w:pPr>
    </w:p>
    <w:p>
      <w:pPr>
        <w:spacing w:line="360" w:lineRule="auto"/>
        <w:rPr>
          <w:rFonts w:ascii="宋体" w:hAnsi="宋体" w:cs="宋体"/>
          <w:b/>
          <w:bCs/>
          <w:sz w:val="28"/>
          <w:szCs w:val="32"/>
          <w:highlight w:val="none"/>
        </w:rPr>
      </w:pPr>
      <w:r>
        <w:rPr>
          <w:rFonts w:hint="eastAsia" w:ascii="宋体" w:hAnsi="宋体" w:cs="宋体"/>
          <w:b/>
          <w:bCs/>
          <w:sz w:val="28"/>
          <w:szCs w:val="32"/>
          <w:highlight w:val="none"/>
        </w:rPr>
        <w:br w:type="page"/>
      </w:r>
    </w:p>
    <w:p>
      <w:pPr>
        <w:pStyle w:val="4"/>
        <w:rPr>
          <w:highlight w:val="none"/>
        </w:rPr>
      </w:pPr>
      <w:bookmarkStart w:id="294" w:name="_Toc22881"/>
      <w:r>
        <w:rPr>
          <w:highlight w:val="none"/>
        </w:rPr>
        <w:t>（四）主要人员简历表</w:t>
      </w:r>
      <w:bookmarkEnd w:id="294"/>
    </w:p>
    <w:tbl>
      <w:tblPr>
        <w:tblStyle w:val="29"/>
        <w:tblW w:w="4998" w:type="pct"/>
        <w:jc w:val="center"/>
        <w:tblLayout w:type="autofit"/>
        <w:tblCellMar>
          <w:top w:w="0" w:type="dxa"/>
          <w:left w:w="108" w:type="dxa"/>
          <w:bottom w:w="0" w:type="dxa"/>
          <w:right w:w="108" w:type="dxa"/>
        </w:tblCellMar>
      </w:tblPr>
      <w:tblGrid>
        <w:gridCol w:w="1286"/>
        <w:gridCol w:w="386"/>
        <w:gridCol w:w="748"/>
        <w:gridCol w:w="1037"/>
        <w:gridCol w:w="1157"/>
        <w:gridCol w:w="765"/>
        <w:gridCol w:w="1365"/>
        <w:gridCol w:w="436"/>
        <w:gridCol w:w="2058"/>
      </w:tblGrid>
      <w:tr>
        <w:tblPrEx>
          <w:tblCellMar>
            <w:top w:w="0" w:type="dxa"/>
            <w:left w:w="108" w:type="dxa"/>
            <w:bottom w:w="0" w:type="dxa"/>
            <w:right w:w="108" w:type="dxa"/>
          </w:tblCellMar>
        </w:tblPrEx>
        <w:trPr>
          <w:trHeight w:val="751" w:hRule="atLeast"/>
          <w:jc w:val="center"/>
        </w:trPr>
        <w:tc>
          <w:tcPr>
            <w:tcW w:w="6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姓  名</w:t>
            </w:r>
          </w:p>
        </w:tc>
        <w:tc>
          <w:tcPr>
            <w:tcW w:w="614" w:type="pct"/>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c>
          <w:tcPr>
            <w:tcW w:w="56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年龄</w:t>
            </w:r>
          </w:p>
        </w:tc>
        <w:tc>
          <w:tcPr>
            <w:tcW w:w="62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c>
          <w:tcPr>
            <w:tcW w:w="1389" w:type="pct"/>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执业资格证书（或上岗证书）名称</w:t>
            </w:r>
          </w:p>
        </w:tc>
        <w:tc>
          <w:tcPr>
            <w:tcW w:w="1112"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r>
      <w:tr>
        <w:tblPrEx>
          <w:tblCellMar>
            <w:top w:w="0" w:type="dxa"/>
            <w:left w:w="108" w:type="dxa"/>
            <w:bottom w:w="0" w:type="dxa"/>
            <w:right w:w="108" w:type="dxa"/>
          </w:tblCellMar>
        </w:tblPrEx>
        <w:trPr>
          <w:trHeight w:val="689" w:hRule="atLeast"/>
          <w:jc w:val="center"/>
        </w:trPr>
        <w:tc>
          <w:tcPr>
            <w:tcW w:w="6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职  称</w:t>
            </w:r>
          </w:p>
        </w:tc>
        <w:tc>
          <w:tcPr>
            <w:tcW w:w="614" w:type="pct"/>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c>
          <w:tcPr>
            <w:tcW w:w="56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学历</w:t>
            </w:r>
          </w:p>
        </w:tc>
        <w:tc>
          <w:tcPr>
            <w:tcW w:w="62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c>
          <w:tcPr>
            <w:tcW w:w="1389" w:type="pct"/>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拟在本项目任职</w:t>
            </w:r>
          </w:p>
        </w:tc>
        <w:tc>
          <w:tcPr>
            <w:tcW w:w="1112"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r>
      <w:tr>
        <w:tblPrEx>
          <w:tblCellMar>
            <w:top w:w="0" w:type="dxa"/>
            <w:left w:w="108" w:type="dxa"/>
            <w:bottom w:w="0" w:type="dxa"/>
            <w:right w:w="108" w:type="dxa"/>
          </w:tblCellMar>
        </w:tblPrEx>
        <w:trPr>
          <w:trHeight w:val="689" w:hRule="atLeast"/>
          <w:jc w:val="center"/>
        </w:trPr>
        <w:tc>
          <w:tcPr>
            <w:tcW w:w="6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工作年限</w:t>
            </w:r>
          </w:p>
        </w:tc>
        <w:tc>
          <w:tcPr>
            <w:tcW w:w="1801" w:type="pct"/>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c>
          <w:tcPr>
            <w:tcW w:w="1389" w:type="pct"/>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从事检测工作年限</w:t>
            </w:r>
          </w:p>
        </w:tc>
        <w:tc>
          <w:tcPr>
            <w:tcW w:w="1112"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p>
        </w:tc>
      </w:tr>
      <w:tr>
        <w:tblPrEx>
          <w:tblCellMar>
            <w:top w:w="0" w:type="dxa"/>
            <w:left w:w="108" w:type="dxa"/>
            <w:bottom w:w="0" w:type="dxa"/>
            <w:right w:w="108" w:type="dxa"/>
          </w:tblCellMar>
        </w:tblPrEx>
        <w:trPr>
          <w:trHeight w:val="701" w:hRule="atLeast"/>
          <w:jc w:val="center"/>
        </w:trPr>
        <w:tc>
          <w:tcPr>
            <w:tcW w:w="6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毕业学校</w:t>
            </w:r>
          </w:p>
        </w:tc>
        <w:tc>
          <w:tcPr>
            <w:tcW w:w="4303" w:type="pct"/>
            <w:gridSpan w:val="8"/>
            <w:tcBorders>
              <w:top w:val="single" w:color="auto" w:sz="4" w:space="0"/>
              <w:left w:val="nil"/>
              <w:bottom w:val="single" w:color="auto" w:sz="4" w:space="0"/>
              <w:right w:val="single" w:color="auto" w:sz="4" w:space="0"/>
            </w:tcBorders>
            <w:vAlign w:val="center"/>
          </w:tcPr>
          <w:p>
            <w:pPr>
              <w:spacing w:line="360" w:lineRule="auto"/>
              <w:ind w:firstLine="1320" w:firstLineChars="550"/>
              <w:rPr>
                <w:rFonts w:ascii="宋体" w:hAnsi="宋体" w:cs="宋体"/>
                <w:sz w:val="24"/>
                <w:szCs w:val="24"/>
                <w:highlight w:val="none"/>
              </w:rPr>
            </w:pPr>
            <w:r>
              <w:rPr>
                <w:rFonts w:hint="eastAsia" w:ascii="宋体" w:hAnsi="宋体" w:cs="宋体"/>
                <w:sz w:val="24"/>
                <w:szCs w:val="24"/>
                <w:highlight w:val="none"/>
              </w:rPr>
              <w:t>年毕业于            学校        专业</w:t>
            </w:r>
          </w:p>
        </w:tc>
      </w:tr>
      <w:tr>
        <w:tblPrEx>
          <w:tblCellMar>
            <w:top w:w="0" w:type="dxa"/>
            <w:left w:w="108" w:type="dxa"/>
            <w:bottom w:w="0" w:type="dxa"/>
            <w:right w:w="108" w:type="dxa"/>
          </w:tblCellMar>
        </w:tblPrEx>
        <w:trPr>
          <w:trHeight w:val="684"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highlight w:val="none"/>
              </w:rPr>
            </w:pPr>
            <w:r>
              <w:rPr>
                <w:rFonts w:hint="eastAsia" w:ascii="宋体" w:hAnsi="宋体" w:cs="宋体"/>
                <w:sz w:val="24"/>
                <w:szCs w:val="24"/>
                <w:highlight w:val="none"/>
              </w:rPr>
              <w:t>主要工作经历</w:t>
            </w:r>
          </w:p>
        </w:tc>
      </w:tr>
      <w:tr>
        <w:tblPrEx>
          <w:tblCellMar>
            <w:top w:w="0" w:type="dxa"/>
            <w:left w:w="108" w:type="dxa"/>
            <w:bottom w:w="0" w:type="dxa"/>
            <w:right w:w="108" w:type="dxa"/>
          </w:tblCellMar>
        </w:tblPrEx>
        <w:trPr>
          <w:trHeight w:val="707" w:hRule="atLeast"/>
          <w:jc w:val="center"/>
        </w:trPr>
        <w:tc>
          <w:tcPr>
            <w:tcW w:w="90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时  间</w:t>
            </w:r>
          </w:p>
        </w:tc>
        <w:tc>
          <w:tcPr>
            <w:tcW w:w="2006" w:type="pct"/>
            <w:gridSpan w:val="4"/>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参加过的类似项目</w:t>
            </w:r>
          </w:p>
        </w:tc>
        <w:tc>
          <w:tcPr>
            <w:tcW w:w="73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担任职务</w:t>
            </w:r>
          </w:p>
        </w:tc>
        <w:tc>
          <w:tcPr>
            <w:tcW w:w="1347" w:type="pct"/>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委托人及联系电话</w:t>
            </w:r>
          </w:p>
        </w:tc>
      </w:tr>
      <w:tr>
        <w:tblPrEx>
          <w:tblCellMar>
            <w:top w:w="0" w:type="dxa"/>
            <w:left w:w="108" w:type="dxa"/>
            <w:bottom w:w="0" w:type="dxa"/>
            <w:right w:w="108" w:type="dxa"/>
          </w:tblCellMar>
        </w:tblPrEx>
        <w:trPr>
          <w:trHeight w:val="690" w:hRule="atLeast"/>
          <w:jc w:val="center"/>
        </w:trPr>
        <w:tc>
          <w:tcPr>
            <w:tcW w:w="905" w:type="pct"/>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szCs w:val="24"/>
                <w:highlight w:val="none"/>
              </w:rPr>
            </w:pPr>
          </w:p>
        </w:tc>
        <w:tc>
          <w:tcPr>
            <w:tcW w:w="2006" w:type="pct"/>
            <w:gridSpan w:val="4"/>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c>
          <w:tcPr>
            <w:tcW w:w="739" w:type="pct"/>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c>
          <w:tcPr>
            <w:tcW w:w="1347" w:type="pct"/>
            <w:gridSpan w:val="2"/>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690" w:hRule="atLeast"/>
          <w:jc w:val="center"/>
        </w:trPr>
        <w:tc>
          <w:tcPr>
            <w:tcW w:w="905" w:type="pct"/>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szCs w:val="24"/>
                <w:highlight w:val="none"/>
              </w:rPr>
            </w:pPr>
          </w:p>
        </w:tc>
        <w:tc>
          <w:tcPr>
            <w:tcW w:w="2006" w:type="pct"/>
            <w:gridSpan w:val="4"/>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c>
          <w:tcPr>
            <w:tcW w:w="739" w:type="pct"/>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c>
          <w:tcPr>
            <w:tcW w:w="1347" w:type="pct"/>
            <w:gridSpan w:val="2"/>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690" w:hRule="atLeast"/>
          <w:jc w:val="center"/>
        </w:trPr>
        <w:tc>
          <w:tcPr>
            <w:tcW w:w="905" w:type="pct"/>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szCs w:val="24"/>
                <w:highlight w:val="none"/>
              </w:rPr>
            </w:pPr>
          </w:p>
        </w:tc>
        <w:tc>
          <w:tcPr>
            <w:tcW w:w="2006" w:type="pct"/>
            <w:gridSpan w:val="4"/>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c>
          <w:tcPr>
            <w:tcW w:w="739" w:type="pct"/>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c>
          <w:tcPr>
            <w:tcW w:w="1347" w:type="pct"/>
            <w:gridSpan w:val="2"/>
            <w:tcBorders>
              <w:top w:val="single" w:color="auto" w:sz="4" w:space="0"/>
              <w:left w:val="nil"/>
              <w:bottom w:val="single" w:color="auto" w:sz="4" w:space="0"/>
              <w:right w:val="single" w:color="auto" w:sz="4" w:space="0"/>
            </w:tcBorders>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690" w:hRule="atLeast"/>
          <w:jc w:val="center"/>
        </w:trPr>
        <w:tc>
          <w:tcPr>
            <w:tcW w:w="90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2006" w:type="pct"/>
            <w:gridSpan w:val="4"/>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739"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1347" w:type="pct"/>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690" w:hRule="atLeast"/>
          <w:jc w:val="center"/>
        </w:trPr>
        <w:tc>
          <w:tcPr>
            <w:tcW w:w="90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2006" w:type="pct"/>
            <w:gridSpan w:val="4"/>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739"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1347" w:type="pct"/>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690" w:hRule="atLeast"/>
          <w:jc w:val="center"/>
        </w:trPr>
        <w:tc>
          <w:tcPr>
            <w:tcW w:w="90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2006" w:type="pct"/>
            <w:gridSpan w:val="4"/>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739"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1347" w:type="pct"/>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r>
      <w:tr>
        <w:tblPrEx>
          <w:tblCellMar>
            <w:top w:w="0" w:type="dxa"/>
            <w:left w:w="108" w:type="dxa"/>
            <w:bottom w:w="0" w:type="dxa"/>
            <w:right w:w="108" w:type="dxa"/>
          </w:tblCellMar>
        </w:tblPrEx>
        <w:trPr>
          <w:trHeight w:val="690" w:hRule="atLeast"/>
          <w:jc w:val="center"/>
        </w:trPr>
        <w:tc>
          <w:tcPr>
            <w:tcW w:w="90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2006" w:type="pct"/>
            <w:gridSpan w:val="4"/>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739"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c>
          <w:tcPr>
            <w:tcW w:w="1347" w:type="pct"/>
            <w:gridSpan w:val="2"/>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highlight w:val="none"/>
              </w:rPr>
            </w:pPr>
          </w:p>
        </w:tc>
      </w:tr>
    </w:tbl>
    <w:p>
      <w:pPr>
        <w:spacing w:line="360" w:lineRule="auto"/>
        <w:rPr>
          <w:rFonts w:ascii="宋体" w:hAnsi="宋体" w:cs="宋体"/>
          <w:highlight w:val="none"/>
        </w:rPr>
      </w:pPr>
      <w:r>
        <w:rPr>
          <w:rFonts w:hint="eastAsia" w:ascii="宋体" w:hAnsi="宋体" w:cs="宋体"/>
          <w:highlight w:val="none"/>
        </w:rPr>
        <w:t>注：本项不作为资格审查内容，但（如有）需提供，仅作为投标人的评标（综合评分）后附相关证明材料。表格格式可以根据实际情况调整。</w:t>
      </w:r>
    </w:p>
    <w:p>
      <w:pPr>
        <w:spacing w:line="360" w:lineRule="auto"/>
        <w:rPr>
          <w:rFonts w:ascii="宋体" w:hAnsi="宋体" w:cs="宋体"/>
          <w:sz w:val="24"/>
          <w:szCs w:val="24"/>
          <w:highlight w:val="none"/>
        </w:rPr>
      </w:pPr>
    </w:p>
    <w:p>
      <w:pPr>
        <w:spacing w:line="360" w:lineRule="auto"/>
        <w:rPr>
          <w:rFonts w:ascii="宋体" w:hAnsi="宋体" w:cs="宋体"/>
          <w:szCs w:val="24"/>
          <w:highlight w:val="none"/>
        </w:rPr>
      </w:pPr>
    </w:p>
    <w:p>
      <w:pPr>
        <w:spacing w:line="360" w:lineRule="auto"/>
        <w:outlineLvl w:val="2"/>
        <w:rPr>
          <w:rFonts w:ascii="宋体" w:hAnsi="宋体" w:cs="宋体"/>
          <w:b/>
          <w:bCs/>
          <w:sz w:val="28"/>
          <w:szCs w:val="32"/>
          <w:highlight w:val="none"/>
        </w:rPr>
      </w:pPr>
      <w:r>
        <w:rPr>
          <w:rFonts w:hint="eastAsia" w:ascii="宋体" w:hAnsi="宋体" w:cs="宋体"/>
          <w:b/>
          <w:bCs/>
          <w:szCs w:val="24"/>
          <w:highlight w:val="none"/>
        </w:rPr>
        <w:br w:type="page"/>
      </w:r>
      <w:bookmarkStart w:id="295" w:name="_Toc19227"/>
      <w:r>
        <w:rPr>
          <w:rStyle w:val="39"/>
          <w:bCs/>
          <w:highlight w:val="none"/>
        </w:rPr>
        <w:t>（五）</w:t>
      </w:r>
      <w:r>
        <w:rPr>
          <w:rStyle w:val="39"/>
          <w:bCs/>
          <w:szCs w:val="32"/>
          <w:highlight w:val="none"/>
        </w:rPr>
        <w:t>拟投入本项目的主要试验检测仪器设备表</w:t>
      </w:r>
      <w:bookmarkEnd w:id="295"/>
    </w:p>
    <w:tbl>
      <w:tblPr>
        <w:tblStyle w:val="29"/>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793"/>
        <w:gridCol w:w="992"/>
        <w:gridCol w:w="1785"/>
        <w:gridCol w:w="1116"/>
        <w:gridCol w:w="134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36" w:type="dxa"/>
            <w:vMerge w:val="restart"/>
            <w:vAlign w:val="center"/>
          </w:tcPr>
          <w:p>
            <w:pPr>
              <w:spacing w:line="360" w:lineRule="auto"/>
              <w:jc w:val="center"/>
              <w:rPr>
                <w:rFonts w:ascii="宋体" w:hAnsi="宋体" w:cs="宋体"/>
                <w:sz w:val="22"/>
                <w:highlight w:val="none"/>
              </w:rPr>
            </w:pPr>
            <w:r>
              <w:rPr>
                <w:rFonts w:hint="eastAsia" w:ascii="宋体" w:hAnsi="宋体" w:cs="宋体"/>
                <w:sz w:val="22"/>
                <w:highlight w:val="none"/>
              </w:rPr>
              <w:t>序号</w:t>
            </w:r>
          </w:p>
        </w:tc>
        <w:tc>
          <w:tcPr>
            <w:tcW w:w="1793" w:type="dxa"/>
            <w:vMerge w:val="restart"/>
            <w:vAlign w:val="center"/>
          </w:tcPr>
          <w:p>
            <w:pPr>
              <w:spacing w:line="360" w:lineRule="auto"/>
              <w:jc w:val="center"/>
              <w:rPr>
                <w:rFonts w:ascii="宋体" w:hAnsi="宋体" w:cs="宋体"/>
                <w:sz w:val="22"/>
                <w:highlight w:val="none"/>
              </w:rPr>
            </w:pPr>
            <w:r>
              <w:rPr>
                <w:rFonts w:hint="eastAsia" w:ascii="宋体" w:hAnsi="宋体" w:cs="宋体"/>
                <w:sz w:val="22"/>
                <w:highlight w:val="none"/>
              </w:rPr>
              <w:t>设备名称</w:t>
            </w:r>
          </w:p>
        </w:tc>
        <w:tc>
          <w:tcPr>
            <w:tcW w:w="6314" w:type="dxa"/>
            <w:gridSpan w:val="5"/>
            <w:vAlign w:val="center"/>
          </w:tcPr>
          <w:p>
            <w:pPr>
              <w:spacing w:line="360" w:lineRule="auto"/>
              <w:jc w:val="center"/>
              <w:rPr>
                <w:rFonts w:ascii="宋体" w:hAnsi="宋体" w:cs="宋体"/>
                <w:sz w:val="22"/>
                <w:highlight w:val="none"/>
              </w:rPr>
            </w:pPr>
            <w:r>
              <w:rPr>
                <w:rFonts w:hint="eastAsia" w:ascii="宋体" w:hAnsi="宋体" w:cs="宋体"/>
                <w:sz w:val="22"/>
                <w:highlight w:val="none"/>
              </w:rPr>
              <w:t>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36" w:type="dxa"/>
            <w:vMerge w:val="continue"/>
            <w:vAlign w:val="center"/>
          </w:tcPr>
          <w:p>
            <w:pPr>
              <w:spacing w:line="360" w:lineRule="auto"/>
              <w:jc w:val="center"/>
              <w:rPr>
                <w:rFonts w:ascii="宋体" w:hAnsi="宋体" w:cs="宋体"/>
                <w:sz w:val="22"/>
                <w:highlight w:val="none"/>
              </w:rPr>
            </w:pPr>
          </w:p>
        </w:tc>
        <w:tc>
          <w:tcPr>
            <w:tcW w:w="1793" w:type="dxa"/>
            <w:vMerge w:val="continue"/>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数量</w:t>
            </w:r>
          </w:p>
        </w:tc>
        <w:tc>
          <w:tcPr>
            <w:tcW w:w="1785"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检定/校准机构</w:t>
            </w:r>
          </w:p>
        </w:tc>
        <w:tc>
          <w:tcPr>
            <w:tcW w:w="111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有效期</w:t>
            </w:r>
          </w:p>
        </w:tc>
        <w:tc>
          <w:tcPr>
            <w:tcW w:w="1341"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检定/校准周期</w:t>
            </w:r>
          </w:p>
        </w:tc>
        <w:tc>
          <w:tcPr>
            <w:tcW w:w="1080"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是否自有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1</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2</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i/>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3</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4</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5</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6</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7</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8</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9</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36" w:type="dxa"/>
            <w:vAlign w:val="center"/>
          </w:tcPr>
          <w:p>
            <w:pPr>
              <w:spacing w:line="360" w:lineRule="auto"/>
              <w:jc w:val="center"/>
              <w:rPr>
                <w:rFonts w:ascii="宋体" w:hAnsi="宋体" w:cs="宋体"/>
                <w:sz w:val="22"/>
                <w:highlight w:val="none"/>
              </w:rPr>
            </w:pPr>
            <w:r>
              <w:rPr>
                <w:rFonts w:hint="eastAsia" w:ascii="宋体" w:hAnsi="宋体" w:cs="宋体"/>
                <w:sz w:val="22"/>
                <w:highlight w:val="none"/>
              </w:rPr>
              <w:t>10</w:t>
            </w:r>
          </w:p>
        </w:tc>
        <w:tc>
          <w:tcPr>
            <w:tcW w:w="1793" w:type="dxa"/>
            <w:vAlign w:val="center"/>
          </w:tcPr>
          <w:p>
            <w:pPr>
              <w:spacing w:line="360" w:lineRule="auto"/>
              <w:jc w:val="center"/>
              <w:rPr>
                <w:rFonts w:ascii="宋体" w:hAnsi="宋体" w:cs="宋体"/>
                <w:sz w:val="22"/>
                <w:highlight w:val="none"/>
              </w:rPr>
            </w:pPr>
          </w:p>
        </w:tc>
        <w:tc>
          <w:tcPr>
            <w:tcW w:w="992" w:type="dxa"/>
            <w:vAlign w:val="center"/>
          </w:tcPr>
          <w:p>
            <w:pPr>
              <w:spacing w:line="360" w:lineRule="auto"/>
              <w:jc w:val="center"/>
              <w:rPr>
                <w:rFonts w:ascii="宋体" w:hAnsi="宋体" w:cs="宋体"/>
                <w:sz w:val="22"/>
                <w:highlight w:val="none"/>
              </w:rPr>
            </w:pPr>
          </w:p>
        </w:tc>
        <w:tc>
          <w:tcPr>
            <w:tcW w:w="1785" w:type="dxa"/>
            <w:vAlign w:val="center"/>
          </w:tcPr>
          <w:p>
            <w:pPr>
              <w:spacing w:line="360" w:lineRule="auto"/>
              <w:jc w:val="center"/>
              <w:rPr>
                <w:rFonts w:ascii="宋体" w:hAnsi="宋体" w:cs="宋体"/>
                <w:sz w:val="22"/>
                <w:highlight w:val="none"/>
              </w:rPr>
            </w:pPr>
          </w:p>
        </w:tc>
        <w:tc>
          <w:tcPr>
            <w:tcW w:w="1116" w:type="dxa"/>
            <w:vAlign w:val="center"/>
          </w:tcPr>
          <w:p>
            <w:pPr>
              <w:spacing w:line="360" w:lineRule="auto"/>
              <w:jc w:val="center"/>
              <w:rPr>
                <w:rFonts w:ascii="宋体" w:hAnsi="宋体" w:cs="宋体"/>
                <w:sz w:val="22"/>
                <w:highlight w:val="none"/>
              </w:rPr>
            </w:pPr>
          </w:p>
        </w:tc>
        <w:tc>
          <w:tcPr>
            <w:tcW w:w="1341" w:type="dxa"/>
            <w:vAlign w:val="center"/>
          </w:tcPr>
          <w:p>
            <w:pPr>
              <w:spacing w:line="360" w:lineRule="auto"/>
              <w:jc w:val="center"/>
              <w:rPr>
                <w:rFonts w:ascii="宋体" w:hAnsi="宋体" w:cs="宋体"/>
                <w:sz w:val="22"/>
                <w:highlight w:val="none"/>
              </w:rPr>
            </w:pPr>
          </w:p>
        </w:tc>
        <w:tc>
          <w:tcPr>
            <w:tcW w:w="1080" w:type="dxa"/>
            <w:vAlign w:val="center"/>
          </w:tcPr>
          <w:p>
            <w:pPr>
              <w:spacing w:line="360" w:lineRule="auto"/>
              <w:jc w:val="center"/>
              <w:rPr>
                <w:rFonts w:ascii="宋体" w:hAnsi="宋体" w:cs="宋体"/>
                <w:sz w:val="22"/>
                <w:highlight w:val="none"/>
              </w:rPr>
            </w:pPr>
          </w:p>
        </w:tc>
      </w:tr>
    </w:tbl>
    <w:p>
      <w:pPr>
        <w:pStyle w:val="13"/>
        <w:spacing w:line="360" w:lineRule="auto"/>
        <w:ind w:left="118"/>
        <w:rPr>
          <w:rFonts w:ascii="宋体" w:hAnsi="宋体" w:cs="宋体"/>
          <w:highlight w:val="none"/>
        </w:rPr>
      </w:pPr>
    </w:p>
    <w:p>
      <w:pPr>
        <w:spacing w:line="360" w:lineRule="auto"/>
        <w:rPr>
          <w:rFonts w:ascii="宋体" w:hAnsi="宋体" w:cs="宋体"/>
          <w:highlight w:val="none"/>
        </w:rPr>
      </w:pPr>
      <w:r>
        <w:rPr>
          <w:rFonts w:hint="eastAsia" w:ascii="宋体" w:hAnsi="宋体" w:cs="宋体"/>
          <w:highlight w:val="none"/>
        </w:rPr>
        <w:t>注：本项不作为资格审查内容，但（如有）需提供，仅作为投标人的评标（综合评分）后附相关证明材料。表格格式可以根据实际情况调整。</w:t>
      </w:r>
    </w:p>
    <w:p>
      <w:pPr>
        <w:topLinePunct/>
        <w:spacing w:line="360" w:lineRule="auto"/>
        <w:ind w:firstLine="496" w:firstLineChars="200"/>
        <w:rPr>
          <w:rFonts w:ascii="宋体" w:hAnsi="宋体" w:cs="宋体"/>
          <w:spacing w:val="4"/>
          <w:sz w:val="24"/>
          <w:szCs w:val="24"/>
          <w:highlight w:val="none"/>
        </w:rPr>
      </w:pPr>
    </w:p>
    <w:p>
      <w:pPr>
        <w:pStyle w:val="8"/>
        <w:spacing w:line="360" w:lineRule="auto"/>
        <w:rPr>
          <w:rFonts w:ascii="宋体" w:hAnsi="宋体" w:cs="宋体"/>
          <w:spacing w:val="4"/>
          <w:sz w:val="24"/>
          <w:szCs w:val="24"/>
          <w:highlight w:val="none"/>
        </w:rPr>
      </w:pPr>
    </w:p>
    <w:p>
      <w:pPr>
        <w:topLinePunct/>
        <w:spacing w:line="360" w:lineRule="auto"/>
        <w:rPr>
          <w:rFonts w:ascii="宋体" w:hAnsi="宋体" w:cs="宋体"/>
          <w:spacing w:val="4"/>
          <w:sz w:val="24"/>
          <w:szCs w:val="24"/>
          <w:highlight w:val="none"/>
        </w:rPr>
      </w:pPr>
      <w:r>
        <w:rPr>
          <w:rFonts w:hint="eastAsia" w:ascii="宋体" w:hAnsi="宋体" w:cs="宋体"/>
          <w:spacing w:val="4"/>
          <w:sz w:val="24"/>
          <w:szCs w:val="24"/>
          <w:highlight w:val="none"/>
        </w:rPr>
        <w:t>投  标  单  位（盖章）：</w:t>
      </w:r>
    </w:p>
    <w:p>
      <w:pPr>
        <w:topLinePunct/>
        <w:spacing w:line="360" w:lineRule="auto"/>
        <w:rPr>
          <w:rFonts w:ascii="宋体" w:hAnsi="宋体" w:cs="宋体"/>
          <w:spacing w:val="18"/>
          <w:sz w:val="24"/>
          <w:szCs w:val="24"/>
          <w:highlight w:val="none"/>
        </w:rPr>
      </w:pPr>
      <w:r>
        <w:rPr>
          <w:rFonts w:hint="eastAsia" w:ascii="宋体" w:hAnsi="宋体" w:cs="宋体"/>
          <w:spacing w:val="4"/>
          <w:sz w:val="24"/>
          <w:szCs w:val="24"/>
          <w:highlight w:val="none"/>
        </w:rPr>
        <w:t>法定代表人或授权委托人（签名或盖章）</w:t>
      </w:r>
      <w:r>
        <w:rPr>
          <w:rFonts w:hint="eastAsia" w:ascii="宋体" w:hAnsi="宋体" w:cs="宋体"/>
          <w:spacing w:val="18"/>
          <w:sz w:val="24"/>
          <w:szCs w:val="24"/>
          <w:highlight w:val="none"/>
        </w:rPr>
        <w:t xml:space="preserve">：            </w:t>
      </w:r>
    </w:p>
    <w:p>
      <w:pPr>
        <w:topLinePunct/>
        <w:spacing w:line="360" w:lineRule="auto"/>
        <w:rPr>
          <w:rFonts w:ascii="宋体" w:hAnsi="宋体" w:cs="宋体"/>
          <w:sz w:val="24"/>
          <w:szCs w:val="24"/>
          <w:highlight w:val="none"/>
        </w:rPr>
      </w:pPr>
      <w:r>
        <w:rPr>
          <w:rFonts w:hint="eastAsia" w:ascii="宋体" w:hAnsi="宋体" w:cs="宋体"/>
          <w:spacing w:val="18"/>
          <w:sz w:val="24"/>
          <w:szCs w:val="24"/>
          <w:highlight w:val="none"/>
        </w:rPr>
        <w:t>日期：   年  月  日</w:t>
      </w:r>
    </w:p>
    <w:p>
      <w:pPr>
        <w:pStyle w:val="28"/>
        <w:spacing w:after="0" w:line="360" w:lineRule="auto"/>
        <w:rPr>
          <w:rFonts w:ascii="宋体" w:hAnsi="宋体" w:cs="宋体"/>
          <w:highlight w:val="none"/>
        </w:rPr>
      </w:pPr>
    </w:p>
    <w:p>
      <w:pPr>
        <w:pStyle w:val="28"/>
        <w:spacing w:after="0" w:line="360" w:lineRule="auto"/>
        <w:rPr>
          <w:rFonts w:ascii="宋体" w:hAnsi="宋体" w:cs="宋体"/>
          <w:highlight w:val="none"/>
        </w:rPr>
      </w:pPr>
    </w:p>
    <w:p>
      <w:pPr>
        <w:pStyle w:val="28"/>
        <w:spacing w:after="0" w:line="360" w:lineRule="auto"/>
        <w:rPr>
          <w:rFonts w:ascii="宋体" w:hAnsi="宋体" w:cs="宋体"/>
          <w:highlight w:val="none"/>
        </w:rPr>
      </w:pPr>
    </w:p>
    <w:p>
      <w:pPr>
        <w:pStyle w:val="28"/>
        <w:spacing w:after="0" w:line="360" w:lineRule="auto"/>
        <w:rPr>
          <w:rFonts w:ascii="宋体" w:hAnsi="宋体" w:cs="宋体"/>
          <w:highlight w:val="none"/>
        </w:rPr>
      </w:pPr>
    </w:p>
    <w:p>
      <w:pPr>
        <w:pStyle w:val="4"/>
        <w:jc w:val="center"/>
        <w:rPr>
          <w:bCs/>
          <w:highlight w:val="none"/>
        </w:rPr>
      </w:pPr>
      <w:bookmarkStart w:id="296" w:name="_Toc22194"/>
      <w:r>
        <w:rPr>
          <w:rFonts w:ascii="Times New Roman" w:hAnsi="Times New Roman"/>
          <w:bCs/>
          <w:sz w:val="30"/>
          <w:szCs w:val="22"/>
          <w:highlight w:val="none"/>
        </w:rPr>
        <w:t>（六）招标文件规定需提供的资料或投标人认为需增加提供的其它资料。</w:t>
      </w:r>
      <w:bookmarkEnd w:id="296"/>
    </w:p>
    <w:p>
      <w:pPr>
        <w:pStyle w:val="28"/>
        <w:spacing w:after="0" w:line="360" w:lineRule="auto"/>
        <w:rPr>
          <w:rFonts w:ascii="宋体" w:hAnsi="宋体" w:cs="宋体"/>
          <w:highlight w:val="none"/>
        </w:rPr>
      </w:pPr>
    </w:p>
    <w:p>
      <w:pPr>
        <w:spacing w:line="360" w:lineRule="auto"/>
        <w:rPr>
          <w:rFonts w:ascii="宋体" w:hAnsi="宋体" w:cs="宋体"/>
          <w:highlight w:val="none"/>
        </w:rPr>
      </w:pPr>
    </w:p>
    <w:p>
      <w:pPr>
        <w:spacing w:line="360" w:lineRule="auto"/>
        <w:rPr>
          <w:rFonts w:ascii="宋体" w:hAnsi="宋体" w:cs="宋体"/>
          <w:highlight w:val="none"/>
        </w:rPr>
      </w:pPr>
    </w:p>
    <w:sectPr>
      <w:headerReference r:id="rId7" w:type="default"/>
      <w:pgSz w:w="11906" w:h="16838"/>
      <w:pgMar w:top="1440" w:right="1440" w:bottom="1440" w:left="1440" w:header="851" w:footer="10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7A"/>
    <w:family w:val="auto"/>
    <w:pitch w:val="default"/>
    <w:sig w:usb0="E0000AFF" w:usb1="00007843" w:usb2="00000001" w:usb3="00000000" w:csb0="400001BF" w:csb1="DFF7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2"/>
      <w:rPr>
        <w:rStyle w:val="32"/>
      </w:rPr>
    </w:pPr>
    <w:r>
      <w:fldChar w:fldCharType="begin"/>
    </w:r>
    <w:r>
      <w:rPr>
        <w:rStyle w:val="32"/>
      </w:rPr>
      <w:instrText xml:space="preserve">PAGE  </w:instrText>
    </w:r>
    <w:r>
      <w:fldChar w:fldCharType="separate"/>
    </w:r>
    <w:r>
      <w:rPr>
        <w:rStyle w:val="32"/>
      </w:rPr>
      <w:t>42</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591555"/>
    </w:sdtPr>
    <w:sdtContent>
      <w:p>
        <w:pPr>
          <w:pStyle w:val="21"/>
          <w:jc w:val="center"/>
        </w:pPr>
        <w:r>
          <w:fldChar w:fldCharType="begin"/>
        </w:r>
        <w:r>
          <w:instrText xml:space="preserve">PAGE   \* MERGEFORMAT</w:instrText>
        </w:r>
        <w:r>
          <w:fldChar w:fldCharType="separate"/>
        </w:r>
        <w:r>
          <w:rPr>
            <w:lang w:val="zh-CN"/>
          </w:rPr>
          <w:t>1</w:t>
        </w:r>
        <w:r>
          <w:fldChar w:fldCharType="end"/>
        </w:r>
      </w:p>
    </w:sdtContent>
  </w:sdt>
  <w:p>
    <w:pPr>
      <w:pStyle w:val="21"/>
      <w:tabs>
        <w:tab w:val="left" w:pos="5648"/>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635"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21"/>
                          </w:pPr>
                          <w:r>
                            <w:fldChar w:fldCharType="begin"/>
                          </w:r>
                          <w:r>
                            <w:instrText xml:space="preserve"> PAGE  \* MERGEFORMAT </w:instrText>
                          </w:r>
                          <w:r>
                            <w:fldChar w:fldCharType="separate"/>
                          </w:r>
                          <w:r>
                            <w:t>41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NkiIC8KAgAAAgQAAA4AAABkcnMvZTJvRG9jLnhtbK1TS27bMBDdF+gd&#10;CO5ryS6aJoLlII3hokD6AdIegKYoi6jIIYa0JfcA7Q26yqb7nsvnyJCy3DTdZNENMSSHb957M5xf&#10;9qZlO4Vegy35dJJzpqyESttNyb98Xr0458wHYSvRglUl3yvPLxfPn807V6gZNNBWChmBWF90ruRN&#10;CK7IMi8bZYSfgFOWLmtAIwJtcZNVKDpCN202y/OzrAOsHIJU3tPpcrjkR0R8CiDUtZZqCXJrlA0D&#10;KqpWBJLkG+08XyS2da1k+FjXXgXWlpyUhrRSEYrXcc0Wc1FsULhGyyMF8RQKjzQZoS0VPUEtRRBs&#10;i/ofKKMlgoc6TCSYbBCSHCEV0/yRN7eNcCppIau9O5nu/x+s/LD7hExXJae2W2Go4YefPw53vw+/&#10;vrPzaE/nfEFZt47yQv8GehqaJNW7G5BfPbNw3Qi7UVeI0DVKVERvGl9mD54OOD6CrLv3UFEdsQ2Q&#10;gPoaTfSO3GCETq3Zn1qj+sBkLDk9m+WvOJN0NX158TpPrctEMT526MNbBYbFoORInU/gYnfjQyQj&#10;ijEl1rKw0m2but/avw4oMZ4k8pHvwDz06/5oxhqqPclAGIaJvhIFDeA3zjoapJJb+jecte8sGRFn&#10;bgxwDNZjIKykhyUPnA3hdRhmc+tQbxrCHa2+IrNWOgmJrg4cjixpNJK+4xjH2Xu4T1l/vu7i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DZIiAvCgIAAAIEAAAOAAAAAAAAAAEAIAAAAB8BAABk&#10;cnMvZTJvRG9jLnhtbFBLBQYAAAAABgAGAFkBAACbBQ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D5F95"/>
    <w:multiLevelType w:val="singleLevel"/>
    <w:tmpl w:val="93ED5F95"/>
    <w:lvl w:ilvl="0" w:tentative="0">
      <w:start w:val="8"/>
      <w:numFmt w:val="chineseCounting"/>
      <w:suff w:val="nothing"/>
      <w:lvlText w:val="%1、"/>
      <w:lvlJc w:val="left"/>
      <w:rPr>
        <w:rFonts w:hint="eastAsia"/>
      </w:rPr>
    </w:lvl>
  </w:abstractNum>
  <w:abstractNum w:abstractNumId="1">
    <w:nsid w:val="0000000A"/>
    <w:multiLevelType w:val="singleLevel"/>
    <w:tmpl w:val="0000000A"/>
    <w:lvl w:ilvl="0" w:tentative="0">
      <w:start w:val="5"/>
      <w:numFmt w:val="chineseCounting"/>
      <w:suff w:val="space"/>
      <w:lvlText w:val="第%1章"/>
      <w:lvlJc w:val="left"/>
      <w:rPr>
        <w:rFonts w:hint="eastAsia"/>
      </w:rPr>
    </w:lvl>
  </w:abstractNum>
  <w:abstractNum w:abstractNumId="2">
    <w:nsid w:val="05303E3F"/>
    <w:multiLevelType w:val="singleLevel"/>
    <w:tmpl w:val="05303E3F"/>
    <w:lvl w:ilvl="0" w:tentative="0">
      <w:start w:val="1"/>
      <w:numFmt w:val="decimal"/>
      <w:suff w:val="nothing"/>
      <w:lvlText w:val="（%1）"/>
      <w:lvlJc w:val="left"/>
    </w:lvl>
  </w:abstractNum>
  <w:abstractNum w:abstractNumId="3">
    <w:nsid w:val="0978711B"/>
    <w:multiLevelType w:val="singleLevel"/>
    <w:tmpl w:val="0978711B"/>
    <w:lvl w:ilvl="0" w:tentative="0">
      <w:start w:val="1"/>
      <w:numFmt w:val="decimal"/>
      <w:suff w:val="nothing"/>
      <w:lvlText w:val="（%1）"/>
      <w:lvlJc w:val="left"/>
    </w:lvl>
  </w:abstractNum>
  <w:abstractNum w:abstractNumId="4">
    <w:nsid w:val="2FF21D63"/>
    <w:multiLevelType w:val="singleLevel"/>
    <w:tmpl w:val="2FF21D63"/>
    <w:lvl w:ilvl="0" w:tentative="0">
      <w:start w:val="2"/>
      <w:numFmt w:val="decimal"/>
      <w:suff w:val="nothing"/>
      <w:lvlText w:val="%1、"/>
      <w:lvlJc w:val="left"/>
    </w:lvl>
  </w:abstractNum>
  <w:abstractNum w:abstractNumId="5">
    <w:nsid w:val="3FB37080"/>
    <w:multiLevelType w:val="multilevel"/>
    <w:tmpl w:val="3FB370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jMzZkMGQ1MmE0NjgzYWY5ODVmMGQ0ZTljMjM4NjQifQ=="/>
  </w:docVars>
  <w:rsids>
    <w:rsidRoot w:val="00FE62DA"/>
    <w:rsid w:val="000255FF"/>
    <w:rsid w:val="000356F0"/>
    <w:rsid w:val="000530E7"/>
    <w:rsid w:val="00076B98"/>
    <w:rsid w:val="000852F7"/>
    <w:rsid w:val="000914A3"/>
    <w:rsid w:val="000D61AF"/>
    <w:rsid w:val="000E3D98"/>
    <w:rsid w:val="000F29AE"/>
    <w:rsid w:val="00143D94"/>
    <w:rsid w:val="00143F46"/>
    <w:rsid w:val="0016015A"/>
    <w:rsid w:val="00161340"/>
    <w:rsid w:val="0016530F"/>
    <w:rsid w:val="00170496"/>
    <w:rsid w:val="001970B1"/>
    <w:rsid w:val="001C63C6"/>
    <w:rsid w:val="001C7D5E"/>
    <w:rsid w:val="001D2E18"/>
    <w:rsid w:val="00207CE1"/>
    <w:rsid w:val="00220B35"/>
    <w:rsid w:val="00232152"/>
    <w:rsid w:val="002327FB"/>
    <w:rsid w:val="00247007"/>
    <w:rsid w:val="0025454F"/>
    <w:rsid w:val="002A011F"/>
    <w:rsid w:val="002A275A"/>
    <w:rsid w:val="002B6D49"/>
    <w:rsid w:val="002C79B4"/>
    <w:rsid w:val="002F584B"/>
    <w:rsid w:val="00327FCA"/>
    <w:rsid w:val="00330B90"/>
    <w:rsid w:val="00334B09"/>
    <w:rsid w:val="00353962"/>
    <w:rsid w:val="00367564"/>
    <w:rsid w:val="00371089"/>
    <w:rsid w:val="00372F39"/>
    <w:rsid w:val="00376486"/>
    <w:rsid w:val="003801B7"/>
    <w:rsid w:val="003A1A6E"/>
    <w:rsid w:val="003B3BB7"/>
    <w:rsid w:val="003D3488"/>
    <w:rsid w:val="003D7673"/>
    <w:rsid w:val="0042172C"/>
    <w:rsid w:val="00435DFF"/>
    <w:rsid w:val="00445EE1"/>
    <w:rsid w:val="0045470C"/>
    <w:rsid w:val="004605EA"/>
    <w:rsid w:val="00465E2F"/>
    <w:rsid w:val="004733FE"/>
    <w:rsid w:val="00476DEA"/>
    <w:rsid w:val="004803F6"/>
    <w:rsid w:val="00492C93"/>
    <w:rsid w:val="004964F7"/>
    <w:rsid w:val="00496B26"/>
    <w:rsid w:val="004A0872"/>
    <w:rsid w:val="004A3E9C"/>
    <w:rsid w:val="004E7797"/>
    <w:rsid w:val="005034EC"/>
    <w:rsid w:val="005151ED"/>
    <w:rsid w:val="00523C36"/>
    <w:rsid w:val="0054231F"/>
    <w:rsid w:val="00543044"/>
    <w:rsid w:val="00546991"/>
    <w:rsid w:val="00556230"/>
    <w:rsid w:val="00560F6C"/>
    <w:rsid w:val="00561887"/>
    <w:rsid w:val="005653B2"/>
    <w:rsid w:val="00566260"/>
    <w:rsid w:val="00575491"/>
    <w:rsid w:val="00594273"/>
    <w:rsid w:val="005A2879"/>
    <w:rsid w:val="005A7100"/>
    <w:rsid w:val="00606F83"/>
    <w:rsid w:val="0061661F"/>
    <w:rsid w:val="00631483"/>
    <w:rsid w:val="00634798"/>
    <w:rsid w:val="006533EB"/>
    <w:rsid w:val="00655532"/>
    <w:rsid w:val="006679C6"/>
    <w:rsid w:val="00677DB9"/>
    <w:rsid w:val="006861CA"/>
    <w:rsid w:val="00697FDE"/>
    <w:rsid w:val="006A1DAB"/>
    <w:rsid w:val="006A474D"/>
    <w:rsid w:val="006B79D7"/>
    <w:rsid w:val="006F6086"/>
    <w:rsid w:val="00700BD4"/>
    <w:rsid w:val="00703B8E"/>
    <w:rsid w:val="00710DE4"/>
    <w:rsid w:val="0072478C"/>
    <w:rsid w:val="00742090"/>
    <w:rsid w:val="007430DD"/>
    <w:rsid w:val="00753DF9"/>
    <w:rsid w:val="00760E90"/>
    <w:rsid w:val="0076380B"/>
    <w:rsid w:val="00763E8F"/>
    <w:rsid w:val="00791B1E"/>
    <w:rsid w:val="007D61EC"/>
    <w:rsid w:val="007E2A12"/>
    <w:rsid w:val="007F28E3"/>
    <w:rsid w:val="007F379A"/>
    <w:rsid w:val="00802BA7"/>
    <w:rsid w:val="00805EE2"/>
    <w:rsid w:val="00814871"/>
    <w:rsid w:val="00815076"/>
    <w:rsid w:val="008300D8"/>
    <w:rsid w:val="00830C19"/>
    <w:rsid w:val="0083734D"/>
    <w:rsid w:val="008517F4"/>
    <w:rsid w:val="00852553"/>
    <w:rsid w:val="0085404D"/>
    <w:rsid w:val="00855CAF"/>
    <w:rsid w:val="00860E35"/>
    <w:rsid w:val="00871638"/>
    <w:rsid w:val="00893048"/>
    <w:rsid w:val="00897450"/>
    <w:rsid w:val="008B2FD6"/>
    <w:rsid w:val="008B465D"/>
    <w:rsid w:val="008C3AA8"/>
    <w:rsid w:val="008E7910"/>
    <w:rsid w:val="0093420A"/>
    <w:rsid w:val="00934E29"/>
    <w:rsid w:val="00956978"/>
    <w:rsid w:val="00967300"/>
    <w:rsid w:val="00973922"/>
    <w:rsid w:val="00990A0F"/>
    <w:rsid w:val="00993C7F"/>
    <w:rsid w:val="009A36D1"/>
    <w:rsid w:val="009C05A1"/>
    <w:rsid w:val="009F0E1C"/>
    <w:rsid w:val="00A03538"/>
    <w:rsid w:val="00A03A46"/>
    <w:rsid w:val="00A10937"/>
    <w:rsid w:val="00A11060"/>
    <w:rsid w:val="00A24EF5"/>
    <w:rsid w:val="00A342A7"/>
    <w:rsid w:val="00A517B6"/>
    <w:rsid w:val="00A667C2"/>
    <w:rsid w:val="00AD69ED"/>
    <w:rsid w:val="00AE2774"/>
    <w:rsid w:val="00AE53C8"/>
    <w:rsid w:val="00B0181E"/>
    <w:rsid w:val="00B1656B"/>
    <w:rsid w:val="00B16E69"/>
    <w:rsid w:val="00B25EA1"/>
    <w:rsid w:val="00B415B0"/>
    <w:rsid w:val="00B45BF2"/>
    <w:rsid w:val="00B81D36"/>
    <w:rsid w:val="00B9289D"/>
    <w:rsid w:val="00BA37AE"/>
    <w:rsid w:val="00BA5156"/>
    <w:rsid w:val="00BC24BF"/>
    <w:rsid w:val="00BC3BC3"/>
    <w:rsid w:val="00BC64E3"/>
    <w:rsid w:val="00BD16CA"/>
    <w:rsid w:val="00BD1770"/>
    <w:rsid w:val="00BD6065"/>
    <w:rsid w:val="00BD6EBD"/>
    <w:rsid w:val="00BE5515"/>
    <w:rsid w:val="00BF27F5"/>
    <w:rsid w:val="00BF31C5"/>
    <w:rsid w:val="00BF6E3F"/>
    <w:rsid w:val="00C019DE"/>
    <w:rsid w:val="00C07368"/>
    <w:rsid w:val="00C111C0"/>
    <w:rsid w:val="00C30E3E"/>
    <w:rsid w:val="00C3343D"/>
    <w:rsid w:val="00C5548B"/>
    <w:rsid w:val="00C66C4A"/>
    <w:rsid w:val="00C73DEC"/>
    <w:rsid w:val="00C779C3"/>
    <w:rsid w:val="00C80DBC"/>
    <w:rsid w:val="00C8795E"/>
    <w:rsid w:val="00C91E38"/>
    <w:rsid w:val="00CA526F"/>
    <w:rsid w:val="00CD34F2"/>
    <w:rsid w:val="00CD5291"/>
    <w:rsid w:val="00CD7915"/>
    <w:rsid w:val="00CE3333"/>
    <w:rsid w:val="00CE5B97"/>
    <w:rsid w:val="00D108F1"/>
    <w:rsid w:val="00D14A10"/>
    <w:rsid w:val="00D32A07"/>
    <w:rsid w:val="00D32B8E"/>
    <w:rsid w:val="00D44A4A"/>
    <w:rsid w:val="00D83909"/>
    <w:rsid w:val="00D90234"/>
    <w:rsid w:val="00D95B7A"/>
    <w:rsid w:val="00DA279A"/>
    <w:rsid w:val="00DC1472"/>
    <w:rsid w:val="00DE6E8F"/>
    <w:rsid w:val="00E0426D"/>
    <w:rsid w:val="00E079A4"/>
    <w:rsid w:val="00E35807"/>
    <w:rsid w:val="00E44AEA"/>
    <w:rsid w:val="00E80C1E"/>
    <w:rsid w:val="00E86B4A"/>
    <w:rsid w:val="00E927D3"/>
    <w:rsid w:val="00EA49D6"/>
    <w:rsid w:val="00EC0A94"/>
    <w:rsid w:val="00EC2238"/>
    <w:rsid w:val="00ED4DB6"/>
    <w:rsid w:val="00EE28BE"/>
    <w:rsid w:val="00EE7B0A"/>
    <w:rsid w:val="00F14309"/>
    <w:rsid w:val="00F33295"/>
    <w:rsid w:val="00F33B2C"/>
    <w:rsid w:val="00F34F54"/>
    <w:rsid w:val="00F47685"/>
    <w:rsid w:val="00F6121C"/>
    <w:rsid w:val="00F77CE5"/>
    <w:rsid w:val="00F8253E"/>
    <w:rsid w:val="00F97FEE"/>
    <w:rsid w:val="00FA005C"/>
    <w:rsid w:val="00FE0697"/>
    <w:rsid w:val="00FE3FDF"/>
    <w:rsid w:val="00FE62DA"/>
    <w:rsid w:val="00FE796D"/>
    <w:rsid w:val="01254BA3"/>
    <w:rsid w:val="02431E4D"/>
    <w:rsid w:val="02702309"/>
    <w:rsid w:val="03A74512"/>
    <w:rsid w:val="05064DE1"/>
    <w:rsid w:val="05391B3F"/>
    <w:rsid w:val="05C70E9C"/>
    <w:rsid w:val="06A33983"/>
    <w:rsid w:val="0A281C58"/>
    <w:rsid w:val="0E7A34BB"/>
    <w:rsid w:val="0F0E3698"/>
    <w:rsid w:val="10604125"/>
    <w:rsid w:val="11513D10"/>
    <w:rsid w:val="11C826A1"/>
    <w:rsid w:val="12C813FF"/>
    <w:rsid w:val="12D41EAD"/>
    <w:rsid w:val="13475B69"/>
    <w:rsid w:val="139D323C"/>
    <w:rsid w:val="13A66595"/>
    <w:rsid w:val="17D64F6F"/>
    <w:rsid w:val="182C461D"/>
    <w:rsid w:val="1AC243E7"/>
    <w:rsid w:val="1BCB44A6"/>
    <w:rsid w:val="1C51038A"/>
    <w:rsid w:val="1D990F18"/>
    <w:rsid w:val="216C29FC"/>
    <w:rsid w:val="249C309C"/>
    <w:rsid w:val="24F50A7A"/>
    <w:rsid w:val="25AC359A"/>
    <w:rsid w:val="25C3212B"/>
    <w:rsid w:val="26E33204"/>
    <w:rsid w:val="279F1826"/>
    <w:rsid w:val="289E2809"/>
    <w:rsid w:val="2C29790B"/>
    <w:rsid w:val="2D7E17B1"/>
    <w:rsid w:val="2ED63B93"/>
    <w:rsid w:val="31592A40"/>
    <w:rsid w:val="32313075"/>
    <w:rsid w:val="336001EC"/>
    <w:rsid w:val="36202F53"/>
    <w:rsid w:val="36FE6845"/>
    <w:rsid w:val="37BB0E0E"/>
    <w:rsid w:val="37FC23F9"/>
    <w:rsid w:val="39FC040D"/>
    <w:rsid w:val="3BF33A92"/>
    <w:rsid w:val="3C9047F0"/>
    <w:rsid w:val="41807605"/>
    <w:rsid w:val="441043DB"/>
    <w:rsid w:val="445D5F4C"/>
    <w:rsid w:val="4609638B"/>
    <w:rsid w:val="46B53706"/>
    <w:rsid w:val="46E554A0"/>
    <w:rsid w:val="471D2956"/>
    <w:rsid w:val="47657A5F"/>
    <w:rsid w:val="476870E2"/>
    <w:rsid w:val="479B327C"/>
    <w:rsid w:val="49090450"/>
    <w:rsid w:val="49A2611E"/>
    <w:rsid w:val="4A3A46D5"/>
    <w:rsid w:val="4BEE392E"/>
    <w:rsid w:val="4CF51A29"/>
    <w:rsid w:val="4D52686A"/>
    <w:rsid w:val="4DA644C0"/>
    <w:rsid w:val="51C40857"/>
    <w:rsid w:val="52144E31"/>
    <w:rsid w:val="59F1372F"/>
    <w:rsid w:val="5BAF5AB3"/>
    <w:rsid w:val="5C4E0B1C"/>
    <w:rsid w:val="5C676C74"/>
    <w:rsid w:val="5C9D73D6"/>
    <w:rsid w:val="5D017965"/>
    <w:rsid w:val="5E5B30A5"/>
    <w:rsid w:val="5E705DCB"/>
    <w:rsid w:val="5E7F3237"/>
    <w:rsid w:val="622C6B2A"/>
    <w:rsid w:val="63E15DFA"/>
    <w:rsid w:val="66734C63"/>
    <w:rsid w:val="695D1B9B"/>
    <w:rsid w:val="69684E1C"/>
    <w:rsid w:val="69801C11"/>
    <w:rsid w:val="6A533EC3"/>
    <w:rsid w:val="6B86111D"/>
    <w:rsid w:val="6BB67B6C"/>
    <w:rsid w:val="6BE7241B"/>
    <w:rsid w:val="6C5A0E3F"/>
    <w:rsid w:val="6D9C0FE4"/>
    <w:rsid w:val="6E570595"/>
    <w:rsid w:val="6E906D9A"/>
    <w:rsid w:val="6EC95E08"/>
    <w:rsid w:val="709673A9"/>
    <w:rsid w:val="70CC1BE0"/>
    <w:rsid w:val="713641A4"/>
    <w:rsid w:val="716A4114"/>
    <w:rsid w:val="71DC5E53"/>
    <w:rsid w:val="72DF1D59"/>
    <w:rsid w:val="72E27F32"/>
    <w:rsid w:val="74F636CF"/>
    <w:rsid w:val="752C0E9F"/>
    <w:rsid w:val="76481D09"/>
    <w:rsid w:val="78061E7B"/>
    <w:rsid w:val="78213ED2"/>
    <w:rsid w:val="799E680F"/>
    <w:rsid w:val="7B0A237F"/>
    <w:rsid w:val="7B3F5EE5"/>
    <w:rsid w:val="7C706162"/>
    <w:rsid w:val="7D3E5C13"/>
    <w:rsid w:val="7D4C3352"/>
    <w:rsid w:val="7DDD2456"/>
    <w:rsid w:val="7F233313"/>
    <w:rsid w:val="7F4D5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7"/>
    <w:autoRedefine/>
    <w:qFormat/>
    <w:uiPriority w:val="0"/>
    <w:pPr>
      <w:keepNext/>
      <w:keepLines/>
      <w:spacing w:line="576" w:lineRule="auto"/>
      <w:jc w:val="center"/>
      <w:outlineLvl w:val="0"/>
    </w:pPr>
    <w:rPr>
      <w:rFonts w:ascii="宋体" w:hAnsi="宋体"/>
      <w:b/>
      <w:kern w:val="44"/>
      <w:sz w:val="44"/>
      <w:szCs w:val="20"/>
    </w:rPr>
  </w:style>
  <w:style w:type="paragraph" w:styleId="3">
    <w:name w:val="heading 2"/>
    <w:basedOn w:val="1"/>
    <w:next w:val="1"/>
    <w:link w:val="38"/>
    <w:autoRedefine/>
    <w:qFormat/>
    <w:uiPriority w:val="0"/>
    <w:pPr>
      <w:keepNext/>
      <w:keepLines/>
      <w:spacing w:line="412" w:lineRule="auto"/>
      <w:jc w:val="center"/>
      <w:outlineLvl w:val="1"/>
    </w:pPr>
    <w:rPr>
      <w:rFonts w:ascii="Arial" w:hAnsi="Arial"/>
      <w:b/>
      <w:sz w:val="24"/>
      <w:szCs w:val="20"/>
    </w:rPr>
  </w:style>
  <w:style w:type="paragraph" w:styleId="4">
    <w:name w:val="heading 3"/>
    <w:basedOn w:val="1"/>
    <w:next w:val="1"/>
    <w:link w:val="39"/>
    <w:autoRedefine/>
    <w:qFormat/>
    <w:uiPriority w:val="0"/>
    <w:pPr>
      <w:keepNext/>
      <w:keepLines/>
      <w:spacing w:line="360" w:lineRule="auto"/>
      <w:jc w:val="left"/>
      <w:outlineLvl w:val="2"/>
    </w:pPr>
    <w:rPr>
      <w:rFonts w:ascii="宋体" w:hAnsi="宋体"/>
      <w:b/>
      <w:sz w:val="28"/>
      <w:szCs w:val="28"/>
    </w:rPr>
  </w:style>
  <w:style w:type="paragraph" w:styleId="5">
    <w:name w:val="heading 4"/>
    <w:basedOn w:val="1"/>
    <w:next w:val="1"/>
    <w:link w:val="40"/>
    <w:autoRedefine/>
    <w:qFormat/>
    <w:uiPriority w:val="0"/>
    <w:pPr>
      <w:keepNext/>
      <w:keepLines/>
      <w:jc w:val="center"/>
      <w:outlineLvl w:val="3"/>
    </w:pPr>
    <w:rPr>
      <w:rFonts w:ascii="Cambria" w:hAnsi="Cambria"/>
      <w:b/>
      <w:bCs/>
      <w:sz w:val="28"/>
      <w:szCs w:val="28"/>
    </w:rPr>
  </w:style>
  <w:style w:type="paragraph" w:styleId="6">
    <w:name w:val="heading 5"/>
    <w:basedOn w:val="1"/>
    <w:next w:val="1"/>
    <w:link w:val="41"/>
    <w:autoRedefine/>
    <w:qFormat/>
    <w:uiPriority w:val="0"/>
    <w:pPr>
      <w:keepNext/>
      <w:keepLines/>
      <w:spacing w:line="376" w:lineRule="auto"/>
      <w:outlineLvl w:val="4"/>
    </w:pPr>
    <w:rPr>
      <w:b/>
      <w:bCs/>
      <w:sz w:val="24"/>
      <w:szCs w:val="24"/>
    </w:rPr>
  </w:style>
  <w:style w:type="paragraph" w:styleId="7">
    <w:name w:val="heading 7"/>
    <w:basedOn w:val="1"/>
    <w:next w:val="8"/>
    <w:link w:val="42"/>
    <w:autoRedefine/>
    <w:qFormat/>
    <w:uiPriority w:val="0"/>
    <w:pPr>
      <w:keepNext/>
      <w:keepLines/>
      <w:spacing w:before="240" w:after="64" w:line="320" w:lineRule="auto"/>
      <w:outlineLvl w:val="6"/>
    </w:pPr>
    <w:rPr>
      <w:b/>
      <w:kern w:val="0"/>
      <w:sz w:val="24"/>
      <w:szCs w:val="20"/>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next w:val="1"/>
    <w:autoRedefine/>
    <w:qFormat/>
    <w:uiPriority w:val="0"/>
    <w:pPr>
      <w:ind w:firstLine="420"/>
    </w:pPr>
    <w:rPr>
      <w:rFonts w:ascii="Calibri" w:hAnsi="Calibri"/>
    </w:rPr>
  </w:style>
  <w:style w:type="paragraph" w:styleId="9">
    <w:name w:val="Note Heading"/>
    <w:basedOn w:val="1"/>
    <w:next w:val="1"/>
    <w:autoRedefine/>
    <w:qFormat/>
    <w:uiPriority w:val="0"/>
    <w:pPr>
      <w:snapToGrid w:val="0"/>
      <w:spacing w:line="320" w:lineRule="exact"/>
      <w:ind w:firstLine="413" w:firstLineChars="200"/>
    </w:pPr>
    <w:rPr>
      <w:rFonts w:ascii="宋体" w:hAnsi="宋体"/>
      <w:b/>
      <w:color w:val="000000"/>
    </w:rPr>
  </w:style>
  <w:style w:type="paragraph" w:styleId="10">
    <w:name w:val="Document Map"/>
    <w:basedOn w:val="1"/>
    <w:link w:val="45"/>
    <w:autoRedefine/>
    <w:qFormat/>
    <w:uiPriority w:val="0"/>
    <w:rPr>
      <w:rFonts w:ascii="宋体" w:hAnsi="Calibri"/>
      <w:sz w:val="18"/>
      <w:szCs w:val="18"/>
    </w:rPr>
  </w:style>
  <w:style w:type="paragraph" w:styleId="11">
    <w:name w:val="annotation text"/>
    <w:basedOn w:val="1"/>
    <w:link w:val="46"/>
    <w:autoRedefine/>
    <w:qFormat/>
    <w:uiPriority w:val="99"/>
    <w:pPr>
      <w:jc w:val="left"/>
    </w:pPr>
    <w:rPr>
      <w:rFonts w:ascii="Calibri" w:hAnsi="Calibri"/>
    </w:rPr>
  </w:style>
  <w:style w:type="paragraph" w:styleId="12">
    <w:name w:val="Body Text 3"/>
    <w:basedOn w:val="1"/>
    <w:link w:val="47"/>
    <w:autoRedefine/>
    <w:qFormat/>
    <w:uiPriority w:val="0"/>
    <w:rPr>
      <w:rFonts w:ascii="宋体" w:hAnsi="Calibri"/>
      <w:sz w:val="24"/>
    </w:rPr>
  </w:style>
  <w:style w:type="paragraph" w:styleId="13">
    <w:name w:val="Body Text"/>
    <w:basedOn w:val="1"/>
    <w:next w:val="1"/>
    <w:link w:val="48"/>
    <w:autoRedefine/>
    <w:qFormat/>
    <w:uiPriority w:val="0"/>
    <w:rPr>
      <w:szCs w:val="20"/>
    </w:rPr>
  </w:style>
  <w:style w:type="paragraph" w:styleId="14">
    <w:name w:val="Body Text Indent"/>
    <w:basedOn w:val="1"/>
    <w:link w:val="49"/>
    <w:autoRedefine/>
    <w:qFormat/>
    <w:uiPriority w:val="0"/>
    <w:pPr>
      <w:autoSpaceDE w:val="0"/>
      <w:autoSpaceDN w:val="0"/>
      <w:adjustRightInd w:val="0"/>
      <w:spacing w:line="0" w:lineRule="atLeast"/>
      <w:ind w:firstLine="525"/>
    </w:pPr>
    <w:rPr>
      <w:rFonts w:ascii="宋体" w:hAnsi="宋体"/>
      <w:color w:val="000000"/>
      <w:kern w:val="0"/>
      <w:sz w:val="20"/>
      <w:szCs w:val="24"/>
    </w:rPr>
  </w:style>
  <w:style w:type="paragraph" w:styleId="15">
    <w:name w:val="toc 3"/>
    <w:basedOn w:val="1"/>
    <w:next w:val="1"/>
    <w:autoRedefine/>
    <w:qFormat/>
    <w:uiPriority w:val="39"/>
    <w:pPr>
      <w:ind w:left="840" w:leftChars="400"/>
    </w:pPr>
    <w:rPr>
      <w:rFonts w:ascii="Calibri" w:hAnsi="Calibri"/>
    </w:rPr>
  </w:style>
  <w:style w:type="paragraph" w:styleId="16">
    <w:name w:val="Plain Text"/>
    <w:basedOn w:val="1"/>
    <w:next w:val="1"/>
    <w:link w:val="50"/>
    <w:autoRedefine/>
    <w:qFormat/>
    <w:uiPriority w:val="0"/>
    <w:rPr>
      <w:rFonts w:ascii="宋体" w:hAnsi="Calibri"/>
      <w:sz w:val="22"/>
    </w:rPr>
  </w:style>
  <w:style w:type="paragraph" w:styleId="17">
    <w:name w:val="Date"/>
    <w:basedOn w:val="1"/>
    <w:next w:val="1"/>
    <w:link w:val="51"/>
    <w:autoRedefine/>
    <w:qFormat/>
    <w:uiPriority w:val="0"/>
    <w:pPr>
      <w:ind w:left="100" w:leftChars="2500"/>
    </w:pPr>
    <w:rPr>
      <w:rFonts w:ascii="Calibri" w:hAnsi="Calibri"/>
    </w:rPr>
  </w:style>
  <w:style w:type="paragraph" w:styleId="18">
    <w:name w:val="Body Text Indent 2"/>
    <w:basedOn w:val="1"/>
    <w:link w:val="52"/>
    <w:autoRedefine/>
    <w:qFormat/>
    <w:uiPriority w:val="0"/>
    <w:pPr>
      <w:spacing w:line="480" w:lineRule="auto"/>
      <w:ind w:left="420" w:leftChars="200"/>
    </w:pPr>
    <w:rPr>
      <w:szCs w:val="24"/>
    </w:rPr>
  </w:style>
  <w:style w:type="paragraph" w:styleId="19">
    <w:name w:val="endnote text"/>
    <w:basedOn w:val="1"/>
    <w:autoRedefine/>
    <w:qFormat/>
    <w:uiPriority w:val="0"/>
    <w:pPr>
      <w:snapToGrid w:val="0"/>
      <w:jc w:val="left"/>
    </w:pPr>
    <w:rPr>
      <w:kern w:val="0"/>
      <w:sz w:val="20"/>
      <w:szCs w:val="20"/>
    </w:rPr>
  </w:style>
  <w:style w:type="paragraph" w:styleId="20">
    <w:name w:val="Balloon Text"/>
    <w:basedOn w:val="1"/>
    <w:link w:val="53"/>
    <w:autoRedefine/>
    <w:qFormat/>
    <w:uiPriority w:val="0"/>
    <w:rPr>
      <w:rFonts w:ascii="Calibri" w:hAnsi="Calibri"/>
      <w:sz w:val="18"/>
      <w:szCs w:val="18"/>
    </w:rPr>
  </w:style>
  <w:style w:type="paragraph" w:styleId="21">
    <w:name w:val="footer"/>
    <w:basedOn w:val="1"/>
    <w:link w:val="44"/>
    <w:autoRedefine/>
    <w:unhideWhenUsed/>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snapToGrid w:val="0"/>
    </w:pPr>
    <w:rPr>
      <w:rFonts w:ascii="Arial" w:hAnsi="Arial" w:cs="Arial"/>
    </w:rPr>
  </w:style>
  <w:style w:type="paragraph" w:styleId="23">
    <w:name w:val="header"/>
    <w:basedOn w:val="1"/>
    <w:link w:val="4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39"/>
    <w:rPr>
      <w:rFonts w:ascii="Calibri" w:hAnsi="Calibri"/>
    </w:rPr>
  </w:style>
  <w:style w:type="paragraph" w:styleId="25">
    <w:name w:val="toc 2"/>
    <w:basedOn w:val="1"/>
    <w:next w:val="1"/>
    <w:autoRedefine/>
    <w:qFormat/>
    <w:uiPriority w:val="39"/>
    <w:pPr>
      <w:ind w:left="420" w:leftChars="200"/>
    </w:pPr>
    <w:rPr>
      <w:rFonts w:ascii="Calibri" w:hAnsi="Calibri"/>
    </w:rPr>
  </w:style>
  <w:style w:type="paragraph" w:styleId="26">
    <w:name w:val="annotation subject"/>
    <w:basedOn w:val="11"/>
    <w:next w:val="11"/>
    <w:link w:val="54"/>
    <w:autoRedefine/>
    <w:qFormat/>
    <w:uiPriority w:val="0"/>
    <w:rPr>
      <w:b/>
      <w:bCs/>
    </w:rPr>
  </w:style>
  <w:style w:type="paragraph" w:styleId="27">
    <w:name w:val="Body Text First Indent"/>
    <w:basedOn w:val="13"/>
    <w:link w:val="55"/>
    <w:autoRedefine/>
    <w:qFormat/>
    <w:uiPriority w:val="0"/>
    <w:pPr>
      <w:spacing w:line="312" w:lineRule="auto"/>
      <w:ind w:firstLine="420"/>
    </w:pPr>
    <w:rPr>
      <w:rFonts w:ascii="Calibri" w:hAnsi="Calibri"/>
      <w:szCs w:val="24"/>
    </w:rPr>
  </w:style>
  <w:style w:type="paragraph" w:styleId="28">
    <w:name w:val="Body Text First Indent 2"/>
    <w:basedOn w:val="14"/>
    <w:link w:val="56"/>
    <w:autoRedefine/>
    <w:qFormat/>
    <w:uiPriority w:val="0"/>
    <w:pPr>
      <w:autoSpaceDE/>
      <w:autoSpaceDN/>
      <w:adjustRightInd/>
      <w:spacing w:after="120" w:line="240" w:lineRule="auto"/>
      <w:ind w:left="420" w:leftChars="200" w:firstLine="420" w:firstLineChars="200"/>
    </w:pPr>
    <w:rPr>
      <w:rFonts w:ascii="Times New Roman" w:hAnsi="Times New Roman"/>
      <w:color w:val="auto"/>
      <w:kern w:val="2"/>
      <w:sz w:val="21"/>
    </w:rPr>
  </w:style>
  <w:style w:type="table" w:styleId="30">
    <w:name w:val="Table Grid"/>
    <w:basedOn w:val="2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autoRedefine/>
    <w:qFormat/>
    <w:uiPriority w:val="0"/>
    <w:rPr>
      <w:rFonts w:ascii="Calibri" w:hAnsi="Calibri" w:eastAsia="宋体" w:cs="Times New Roman"/>
    </w:rPr>
  </w:style>
  <w:style w:type="character" w:styleId="33">
    <w:name w:val="FollowedHyperlink"/>
    <w:autoRedefine/>
    <w:qFormat/>
    <w:uiPriority w:val="0"/>
    <w:rPr>
      <w:rFonts w:ascii="Times New Roman" w:hAnsi="Times New Roman" w:eastAsia="楷体_GB2312" w:cs="Times New Roman"/>
      <w:color w:val="000000"/>
      <w:u w:val="none"/>
    </w:rPr>
  </w:style>
  <w:style w:type="character" w:styleId="34">
    <w:name w:val="Hyperlink"/>
    <w:autoRedefine/>
    <w:qFormat/>
    <w:uiPriority w:val="99"/>
    <w:rPr>
      <w:rFonts w:ascii="Calibri" w:hAnsi="Calibri" w:eastAsia="宋体" w:cs="Times New Roman"/>
      <w:color w:val="0000FF"/>
      <w:u w:val="single"/>
    </w:rPr>
  </w:style>
  <w:style w:type="character" w:styleId="35">
    <w:name w:val="annotation reference"/>
    <w:autoRedefine/>
    <w:qFormat/>
    <w:uiPriority w:val="99"/>
    <w:rPr>
      <w:rFonts w:ascii="Calibri" w:hAnsi="Calibri" w:eastAsia="宋体" w:cs="Times New Roman"/>
      <w:sz w:val="21"/>
      <w:szCs w:val="21"/>
    </w:rPr>
  </w:style>
  <w:style w:type="paragraph" w:customStyle="1" w:styleId="36">
    <w:name w:val="_Style 3"/>
    <w:basedOn w:val="1"/>
    <w:autoRedefine/>
    <w:qFormat/>
    <w:uiPriority w:val="0"/>
    <w:pPr>
      <w:spacing w:line="360" w:lineRule="auto"/>
      <w:jc w:val="center"/>
    </w:pPr>
    <w:rPr>
      <w:szCs w:val="20"/>
    </w:rPr>
  </w:style>
  <w:style w:type="character" w:customStyle="1" w:styleId="37">
    <w:name w:val="标题 1 Char"/>
    <w:basedOn w:val="31"/>
    <w:link w:val="2"/>
    <w:autoRedefine/>
    <w:qFormat/>
    <w:uiPriority w:val="0"/>
    <w:rPr>
      <w:rFonts w:ascii="宋体" w:hAnsi="宋体" w:eastAsia="宋体" w:cs="Times New Roman"/>
      <w:b/>
      <w:kern w:val="44"/>
      <w:sz w:val="44"/>
      <w:szCs w:val="20"/>
    </w:rPr>
  </w:style>
  <w:style w:type="character" w:customStyle="1" w:styleId="38">
    <w:name w:val="标题 2 Char"/>
    <w:basedOn w:val="31"/>
    <w:link w:val="3"/>
    <w:autoRedefine/>
    <w:qFormat/>
    <w:uiPriority w:val="0"/>
    <w:rPr>
      <w:rFonts w:ascii="Arial" w:hAnsi="Arial" w:eastAsia="宋体" w:cs="Times New Roman"/>
      <w:b/>
      <w:sz w:val="24"/>
      <w:szCs w:val="20"/>
    </w:rPr>
  </w:style>
  <w:style w:type="character" w:customStyle="1" w:styleId="39">
    <w:name w:val="标题 3 Char"/>
    <w:basedOn w:val="31"/>
    <w:link w:val="4"/>
    <w:autoRedefine/>
    <w:qFormat/>
    <w:uiPriority w:val="0"/>
    <w:rPr>
      <w:rFonts w:ascii="宋体" w:hAnsi="宋体" w:eastAsia="宋体" w:cs="Times New Roman"/>
      <w:b/>
      <w:sz w:val="28"/>
      <w:szCs w:val="28"/>
    </w:rPr>
  </w:style>
  <w:style w:type="character" w:customStyle="1" w:styleId="40">
    <w:name w:val="标题 4 Char"/>
    <w:basedOn w:val="31"/>
    <w:link w:val="5"/>
    <w:autoRedefine/>
    <w:qFormat/>
    <w:uiPriority w:val="0"/>
    <w:rPr>
      <w:rFonts w:ascii="Cambria" w:hAnsi="Cambria" w:eastAsia="宋体" w:cs="Times New Roman"/>
      <w:b/>
      <w:bCs/>
      <w:sz w:val="28"/>
      <w:szCs w:val="28"/>
    </w:rPr>
  </w:style>
  <w:style w:type="character" w:customStyle="1" w:styleId="41">
    <w:name w:val="标题 5 Char"/>
    <w:basedOn w:val="31"/>
    <w:link w:val="6"/>
    <w:autoRedefine/>
    <w:qFormat/>
    <w:uiPriority w:val="0"/>
    <w:rPr>
      <w:rFonts w:ascii="Times New Roman" w:hAnsi="Times New Roman" w:eastAsia="宋体" w:cs="Times New Roman"/>
      <w:b/>
      <w:bCs/>
      <w:sz w:val="24"/>
      <w:szCs w:val="24"/>
    </w:rPr>
  </w:style>
  <w:style w:type="character" w:customStyle="1" w:styleId="42">
    <w:name w:val="标题 7 Char"/>
    <w:basedOn w:val="31"/>
    <w:link w:val="7"/>
    <w:autoRedefine/>
    <w:qFormat/>
    <w:uiPriority w:val="0"/>
    <w:rPr>
      <w:rFonts w:ascii="Times New Roman" w:hAnsi="Times New Roman" w:eastAsia="宋体" w:cs="Times New Roman"/>
      <w:b/>
      <w:kern w:val="0"/>
      <w:sz w:val="24"/>
      <w:szCs w:val="20"/>
    </w:rPr>
  </w:style>
  <w:style w:type="character" w:customStyle="1" w:styleId="43">
    <w:name w:val="页眉 Char1"/>
    <w:basedOn w:val="31"/>
    <w:link w:val="23"/>
    <w:autoRedefine/>
    <w:qFormat/>
    <w:uiPriority w:val="99"/>
    <w:rPr>
      <w:rFonts w:ascii="Times New Roman" w:hAnsi="Times New Roman" w:eastAsia="宋体" w:cs="Times New Roman"/>
      <w:sz w:val="18"/>
      <w:szCs w:val="18"/>
    </w:rPr>
  </w:style>
  <w:style w:type="character" w:customStyle="1" w:styleId="44">
    <w:name w:val="页脚 Char1"/>
    <w:basedOn w:val="31"/>
    <w:link w:val="21"/>
    <w:autoRedefine/>
    <w:qFormat/>
    <w:uiPriority w:val="99"/>
    <w:rPr>
      <w:rFonts w:ascii="Times New Roman" w:hAnsi="Times New Roman" w:eastAsia="宋体" w:cs="Times New Roman"/>
      <w:sz w:val="18"/>
      <w:szCs w:val="18"/>
    </w:rPr>
  </w:style>
  <w:style w:type="character" w:customStyle="1" w:styleId="45">
    <w:name w:val="文档结构图 Char"/>
    <w:basedOn w:val="31"/>
    <w:link w:val="10"/>
    <w:autoRedefine/>
    <w:qFormat/>
    <w:uiPriority w:val="0"/>
    <w:rPr>
      <w:rFonts w:ascii="宋体" w:hAnsi="Calibri" w:eastAsia="宋体" w:cs="Times New Roman"/>
      <w:sz w:val="18"/>
      <w:szCs w:val="18"/>
    </w:rPr>
  </w:style>
  <w:style w:type="character" w:customStyle="1" w:styleId="46">
    <w:name w:val="批注文字 Char"/>
    <w:basedOn w:val="31"/>
    <w:link w:val="11"/>
    <w:autoRedefine/>
    <w:qFormat/>
    <w:uiPriority w:val="99"/>
    <w:rPr>
      <w:rFonts w:ascii="Calibri" w:hAnsi="Calibri" w:eastAsia="宋体" w:cs="Times New Roman"/>
    </w:rPr>
  </w:style>
  <w:style w:type="character" w:customStyle="1" w:styleId="47">
    <w:name w:val="正文文本 3 Char"/>
    <w:basedOn w:val="31"/>
    <w:link w:val="12"/>
    <w:autoRedefine/>
    <w:qFormat/>
    <w:uiPriority w:val="0"/>
    <w:rPr>
      <w:rFonts w:ascii="宋体" w:hAnsi="Calibri" w:eastAsia="宋体" w:cs="Times New Roman"/>
      <w:sz w:val="24"/>
    </w:rPr>
  </w:style>
  <w:style w:type="character" w:customStyle="1" w:styleId="48">
    <w:name w:val="正文文本 Char"/>
    <w:basedOn w:val="31"/>
    <w:link w:val="13"/>
    <w:autoRedefine/>
    <w:qFormat/>
    <w:uiPriority w:val="0"/>
    <w:rPr>
      <w:rFonts w:ascii="Times New Roman" w:hAnsi="Times New Roman" w:eastAsia="宋体" w:cs="Times New Roman"/>
      <w:szCs w:val="20"/>
    </w:rPr>
  </w:style>
  <w:style w:type="character" w:customStyle="1" w:styleId="49">
    <w:name w:val="正文文本缩进 Char"/>
    <w:basedOn w:val="31"/>
    <w:link w:val="14"/>
    <w:autoRedefine/>
    <w:qFormat/>
    <w:uiPriority w:val="0"/>
    <w:rPr>
      <w:rFonts w:ascii="宋体" w:hAnsi="宋体" w:eastAsia="宋体" w:cs="Times New Roman"/>
      <w:color w:val="000000"/>
      <w:kern w:val="0"/>
      <w:sz w:val="20"/>
      <w:szCs w:val="24"/>
    </w:rPr>
  </w:style>
  <w:style w:type="character" w:customStyle="1" w:styleId="50">
    <w:name w:val="纯文本 Char"/>
    <w:basedOn w:val="31"/>
    <w:link w:val="16"/>
    <w:autoRedefine/>
    <w:qFormat/>
    <w:uiPriority w:val="0"/>
    <w:rPr>
      <w:rFonts w:ascii="宋体" w:hAnsi="Calibri" w:eastAsia="宋体" w:cs="Times New Roman"/>
      <w:sz w:val="22"/>
    </w:rPr>
  </w:style>
  <w:style w:type="character" w:customStyle="1" w:styleId="51">
    <w:name w:val="日期 Char"/>
    <w:basedOn w:val="31"/>
    <w:link w:val="17"/>
    <w:autoRedefine/>
    <w:qFormat/>
    <w:uiPriority w:val="0"/>
    <w:rPr>
      <w:rFonts w:ascii="Calibri" w:hAnsi="Calibri" w:eastAsia="宋体" w:cs="Times New Roman"/>
    </w:rPr>
  </w:style>
  <w:style w:type="character" w:customStyle="1" w:styleId="52">
    <w:name w:val="正文文本缩进 2 Char"/>
    <w:basedOn w:val="31"/>
    <w:link w:val="18"/>
    <w:autoRedefine/>
    <w:qFormat/>
    <w:uiPriority w:val="0"/>
    <w:rPr>
      <w:rFonts w:ascii="Times New Roman" w:hAnsi="Times New Roman" w:eastAsia="宋体" w:cs="Times New Roman"/>
      <w:szCs w:val="24"/>
    </w:rPr>
  </w:style>
  <w:style w:type="character" w:customStyle="1" w:styleId="53">
    <w:name w:val="批注框文本 Char"/>
    <w:basedOn w:val="31"/>
    <w:link w:val="20"/>
    <w:autoRedefine/>
    <w:qFormat/>
    <w:uiPriority w:val="0"/>
    <w:rPr>
      <w:rFonts w:ascii="Calibri" w:hAnsi="Calibri" w:eastAsia="宋体" w:cs="Times New Roman"/>
      <w:sz w:val="18"/>
      <w:szCs w:val="18"/>
    </w:rPr>
  </w:style>
  <w:style w:type="character" w:customStyle="1" w:styleId="54">
    <w:name w:val="批注主题 Char"/>
    <w:basedOn w:val="46"/>
    <w:link w:val="26"/>
    <w:autoRedefine/>
    <w:qFormat/>
    <w:uiPriority w:val="0"/>
    <w:rPr>
      <w:rFonts w:ascii="Calibri" w:hAnsi="Calibri" w:eastAsia="宋体" w:cs="Times New Roman"/>
      <w:b/>
      <w:bCs/>
    </w:rPr>
  </w:style>
  <w:style w:type="character" w:customStyle="1" w:styleId="55">
    <w:name w:val="正文首行缩进 Char"/>
    <w:basedOn w:val="48"/>
    <w:link w:val="27"/>
    <w:autoRedefine/>
    <w:qFormat/>
    <w:uiPriority w:val="0"/>
    <w:rPr>
      <w:rFonts w:ascii="Calibri" w:hAnsi="Calibri" w:eastAsia="宋体" w:cs="Times New Roman"/>
      <w:szCs w:val="24"/>
    </w:rPr>
  </w:style>
  <w:style w:type="character" w:customStyle="1" w:styleId="56">
    <w:name w:val="正文首行缩进 2 Char"/>
    <w:basedOn w:val="49"/>
    <w:link w:val="28"/>
    <w:autoRedefine/>
    <w:qFormat/>
    <w:uiPriority w:val="0"/>
    <w:rPr>
      <w:rFonts w:ascii="Times New Roman" w:hAnsi="Times New Roman" w:eastAsia="宋体" w:cs="Times New Roman"/>
      <w:color w:val="000000"/>
      <w:kern w:val="0"/>
      <w:sz w:val="20"/>
      <w:szCs w:val="24"/>
    </w:rPr>
  </w:style>
  <w:style w:type="character" w:customStyle="1" w:styleId="57">
    <w:name w:val="datagrid-sort-icon3"/>
    <w:basedOn w:val="31"/>
    <w:autoRedefine/>
    <w:qFormat/>
    <w:uiPriority w:val="0"/>
    <w:rPr>
      <w:rFonts w:ascii="Calibri" w:hAnsi="Calibri" w:eastAsia="宋体" w:cs="Times New Roman"/>
    </w:rPr>
  </w:style>
  <w:style w:type="paragraph" w:customStyle="1" w:styleId="58">
    <w:name w:val="列出段落1"/>
    <w:basedOn w:val="1"/>
    <w:autoRedefine/>
    <w:qFormat/>
    <w:uiPriority w:val="0"/>
    <w:pPr>
      <w:ind w:firstLine="420" w:firstLineChars="200"/>
    </w:pPr>
    <w:rPr>
      <w:szCs w:val="24"/>
    </w:rPr>
  </w:style>
  <w:style w:type="paragraph" w:customStyle="1" w:styleId="59">
    <w:name w:val="列表段落1"/>
    <w:basedOn w:val="1"/>
    <w:autoRedefine/>
    <w:qFormat/>
    <w:uiPriority w:val="0"/>
    <w:pPr>
      <w:ind w:firstLine="420" w:firstLineChars="200"/>
    </w:pPr>
    <w:rPr>
      <w:szCs w:val="24"/>
    </w:rPr>
  </w:style>
  <w:style w:type="paragraph" w:customStyle="1" w:styleId="60">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修订1"/>
    <w:autoRedefine/>
    <w:qFormat/>
    <w:uiPriority w:val="0"/>
    <w:rPr>
      <w:rFonts w:ascii="Times New Roman" w:hAnsi="Times New Roman" w:eastAsia="宋体" w:cs="Times New Roman"/>
      <w:kern w:val="2"/>
      <w:sz w:val="21"/>
      <w:szCs w:val="22"/>
      <w:lang w:val="en-US" w:eastAsia="zh-CN" w:bidi="ar-SA"/>
    </w:rPr>
  </w:style>
  <w:style w:type="paragraph" w:customStyle="1" w:styleId="62">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63">
    <w:name w:val="列表段落2"/>
    <w:basedOn w:val="1"/>
    <w:autoRedefine/>
    <w:qFormat/>
    <w:uiPriority w:val="0"/>
    <w:pPr>
      <w:ind w:firstLine="420" w:firstLineChars="200"/>
    </w:pPr>
    <w:rPr>
      <w:szCs w:val="24"/>
    </w:rPr>
  </w:style>
  <w:style w:type="paragraph" w:customStyle="1" w:styleId="64">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5">
    <w:name w:val="页眉 Char"/>
    <w:basedOn w:val="31"/>
    <w:autoRedefine/>
    <w:qFormat/>
    <w:uiPriority w:val="0"/>
    <w:rPr>
      <w:kern w:val="2"/>
      <w:sz w:val="18"/>
      <w:szCs w:val="18"/>
    </w:rPr>
  </w:style>
  <w:style w:type="character" w:customStyle="1" w:styleId="66">
    <w:name w:val="页脚 Char"/>
    <w:basedOn w:val="31"/>
    <w:autoRedefine/>
    <w:qFormat/>
    <w:uiPriority w:val="0"/>
    <w:rPr>
      <w:kern w:val="2"/>
      <w:sz w:val="18"/>
      <w:szCs w:val="18"/>
    </w:rPr>
  </w:style>
  <w:style w:type="paragraph" w:customStyle="1" w:styleId="67">
    <w:name w:val="修订2"/>
    <w:autoRedefine/>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C518C-1F01-4948-8B2D-EA692FD7B76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74</Pages>
  <Words>36212</Words>
  <Characters>38529</Characters>
  <Lines>304</Lines>
  <Paragraphs>85</Paragraphs>
  <TotalTime>18</TotalTime>
  <ScaleCrop>false</ScaleCrop>
  <LinksUpToDate>false</LinksUpToDate>
  <CharactersWithSpaces>40258</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2024-04-23T03:06:00Z</dcterms:created>
  <dc:creator>Admin</dc:creator>
  <cp:lastModifiedBy>Vanny</cp:lastModifiedBy>
  <cp:lastPrinted>2024-04-25T01:17:00Z</cp:lastPrinted>
  <dcterms:modified xsi:type="dcterms:W3CDTF">2024-04-25T07:54:36Z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EF39057A0E044151B93362E7720A0250_13</vt:lpwstr>
  </property>
</Properties>
</file>