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cs="宋体"/>
          <w:b/>
          <w:bCs/>
          <w:sz w:val="20"/>
          <w:szCs w:val="20"/>
        </w:rPr>
      </w:pPr>
      <w:r>
        <w:rPr>
          <w:rFonts w:hint="eastAsia" w:ascii="宋体" w:hAnsi="宋体"/>
          <w:b/>
          <w:sz w:val="44"/>
          <w:szCs w:val="44"/>
        </w:rPr>
        <w:t>广东工贸职业技术学院白云校区测绘地理信息产教融合实训基地（A-8A)项目勘察设计</w:t>
      </w:r>
    </w:p>
    <w:p>
      <w:pPr>
        <w:rPr>
          <w:rFonts w:ascii="宋体" w:hAnsi="宋体" w:cs="宋体"/>
          <w:b/>
          <w:bCs/>
          <w:sz w:val="20"/>
          <w:szCs w:val="20"/>
        </w:rPr>
      </w:pPr>
    </w:p>
    <w:p>
      <w:pPr>
        <w:jc w:val="center"/>
        <w:rPr>
          <w:rFonts w:ascii="宋体" w:hAnsi="宋体"/>
          <w:b/>
          <w:sz w:val="96"/>
          <w:szCs w:val="84"/>
        </w:rPr>
      </w:pPr>
    </w:p>
    <w:p>
      <w:pPr>
        <w:jc w:val="center"/>
        <w:rPr>
          <w:rFonts w:ascii="宋体" w:hAnsi="宋体"/>
          <w:b/>
          <w:sz w:val="96"/>
          <w:szCs w:val="84"/>
        </w:rPr>
      </w:pPr>
    </w:p>
    <w:p>
      <w:pPr>
        <w:jc w:val="center"/>
        <w:rPr>
          <w:rFonts w:ascii="宋体" w:hAnsi="宋体"/>
          <w:b/>
          <w:sz w:val="96"/>
          <w:szCs w:val="84"/>
        </w:rPr>
      </w:pPr>
      <w:r>
        <w:rPr>
          <w:rFonts w:ascii="宋体" w:hAnsi="宋体"/>
          <w:b/>
          <w:sz w:val="96"/>
          <w:szCs w:val="84"/>
        </w:rPr>
        <w:t>招标文件</w:t>
      </w: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spacing w:before="8"/>
        <w:rPr>
          <w:rFonts w:ascii="宋体" w:hAnsi="宋体" w:cs="宋体"/>
          <w:sz w:val="33"/>
          <w:szCs w:val="33"/>
        </w:rPr>
      </w:pPr>
    </w:p>
    <w:p>
      <w:pPr>
        <w:spacing w:before="8"/>
        <w:rPr>
          <w:rFonts w:ascii="宋体" w:hAnsi="宋体" w:cs="宋体"/>
          <w:sz w:val="33"/>
          <w:szCs w:val="33"/>
        </w:rPr>
      </w:pPr>
    </w:p>
    <w:p>
      <w:pPr>
        <w:spacing w:line="360" w:lineRule="auto"/>
        <w:ind w:firstLine="964" w:firstLineChars="300"/>
        <w:rPr>
          <w:rFonts w:ascii="宋体" w:hAnsi="宋体"/>
          <w:b/>
          <w:sz w:val="32"/>
          <w:szCs w:val="32"/>
        </w:rPr>
      </w:pPr>
      <w:r>
        <w:rPr>
          <w:rFonts w:hint="eastAsia" w:ascii="宋体" w:hAnsi="宋体"/>
          <w:b/>
          <w:sz w:val="32"/>
          <w:szCs w:val="32"/>
        </w:rPr>
        <w:t>招   标   人：</w:t>
      </w:r>
      <w:r>
        <w:rPr>
          <w:rFonts w:hint="eastAsia" w:ascii="宋体" w:hAnsi="宋体"/>
          <w:b/>
          <w:sz w:val="32"/>
        </w:rPr>
        <w:t>广东省代建项目管理局</w:t>
      </w:r>
    </w:p>
    <w:p>
      <w:pPr>
        <w:spacing w:line="360" w:lineRule="auto"/>
        <w:ind w:firstLine="964" w:firstLineChars="300"/>
        <w:rPr>
          <w:rFonts w:ascii="宋体" w:hAnsi="宋体"/>
          <w:b/>
          <w:sz w:val="32"/>
          <w:szCs w:val="32"/>
        </w:rPr>
      </w:pPr>
      <w:r>
        <w:rPr>
          <w:rFonts w:hint="eastAsia" w:ascii="宋体" w:hAnsi="宋体"/>
          <w:b/>
          <w:sz w:val="32"/>
          <w:szCs w:val="32"/>
        </w:rPr>
        <w:t>招标代理机构：</w:t>
      </w:r>
      <w:r>
        <w:rPr>
          <w:rFonts w:hint="eastAsia" w:ascii="宋体" w:hAnsi="宋体"/>
          <w:b/>
          <w:sz w:val="32"/>
        </w:rPr>
        <w:t>北京中交建设工程咨询有限公司</w:t>
      </w:r>
    </w:p>
    <w:p>
      <w:pPr>
        <w:tabs>
          <w:tab w:val="left" w:pos="561"/>
        </w:tabs>
        <w:spacing w:line="360" w:lineRule="auto"/>
        <w:ind w:firstLine="964" w:firstLineChars="300"/>
        <w:rPr>
          <w:rFonts w:ascii="宋体" w:hAnsi="宋体"/>
          <w:b/>
          <w:sz w:val="32"/>
          <w:szCs w:val="32"/>
        </w:rPr>
      </w:pPr>
      <w:r>
        <w:rPr>
          <w:rFonts w:hint="eastAsia" w:ascii="宋体" w:hAnsi="宋体"/>
          <w:b/>
          <w:sz w:val="32"/>
          <w:szCs w:val="32"/>
        </w:rPr>
        <w:t>日        期：2024年4月</w:t>
      </w:r>
    </w:p>
    <w:p>
      <w:pPr>
        <w:pStyle w:val="16"/>
        <w:tabs>
          <w:tab w:val="right" w:pos="9350"/>
        </w:tabs>
        <w:spacing w:line="360" w:lineRule="auto"/>
        <w:jc w:val="center"/>
        <w:rPr>
          <w:b/>
          <w:sz w:val="32"/>
          <w:szCs w:val="32"/>
          <w:lang w:eastAsia="zh-CN"/>
        </w:rPr>
        <w:sectPr>
          <w:headerReference r:id="rId3" w:type="default"/>
          <w:footerReference r:id="rId4" w:type="default"/>
          <w:pgSz w:w="12240" w:h="15840"/>
          <w:pgMar w:top="1440" w:right="1440" w:bottom="1440" w:left="1440" w:header="720" w:footer="720" w:gutter="0"/>
          <w:cols w:space="720" w:num="1"/>
        </w:sectPr>
      </w:pPr>
    </w:p>
    <w:p>
      <w:pPr>
        <w:pStyle w:val="16"/>
        <w:tabs>
          <w:tab w:val="right" w:pos="9350"/>
        </w:tabs>
        <w:spacing w:line="360" w:lineRule="auto"/>
        <w:jc w:val="center"/>
        <w:rPr>
          <w:rFonts w:cs="宋体"/>
          <w:b/>
          <w:bCs/>
          <w:sz w:val="28"/>
          <w:szCs w:val="28"/>
          <w:lang w:eastAsia="zh-CN"/>
        </w:rPr>
      </w:pPr>
      <w:r>
        <w:rPr>
          <w:rFonts w:cs="宋体"/>
          <w:b/>
          <w:bCs/>
          <w:sz w:val="28"/>
          <w:szCs w:val="28"/>
          <w:lang w:eastAsia="zh-CN"/>
        </w:rPr>
        <w:t>目录</w:t>
      </w:r>
    </w:p>
    <w:p>
      <w:pPr>
        <w:pStyle w:val="16"/>
        <w:tabs>
          <w:tab w:val="right" w:leader="dot" w:pos="9360"/>
        </w:tabs>
        <w:spacing w:line="360" w:lineRule="auto"/>
      </w:pPr>
      <w:r>
        <w:rPr>
          <w:rFonts w:cs="宋体"/>
          <w:sz w:val="24"/>
          <w:szCs w:val="24"/>
          <w:lang w:eastAsia="zh-CN"/>
        </w:rPr>
        <w:fldChar w:fldCharType="begin"/>
      </w:r>
      <w:r>
        <w:rPr>
          <w:rFonts w:cs="宋体"/>
          <w:sz w:val="24"/>
          <w:szCs w:val="24"/>
          <w:lang w:eastAsia="zh-CN"/>
        </w:rPr>
        <w:instrText xml:space="preserve"> TOC \o "1-3" \h \z \u </w:instrText>
      </w:r>
      <w:r>
        <w:rPr>
          <w:rFonts w:cs="宋体"/>
          <w:sz w:val="24"/>
          <w:szCs w:val="24"/>
          <w:lang w:eastAsia="zh-CN"/>
        </w:rPr>
        <w:fldChar w:fldCharType="separate"/>
      </w:r>
      <w:r>
        <w:fldChar w:fldCharType="begin"/>
      </w:r>
      <w:r>
        <w:instrText xml:space="preserve"> HYPERLINK \l "_Toc11420" </w:instrText>
      </w:r>
      <w:r>
        <w:fldChar w:fldCharType="separate"/>
      </w:r>
      <w:r>
        <w:t>第一卷</w:t>
      </w:r>
      <w:r>
        <w:tab/>
      </w:r>
      <w:r>
        <w:fldChar w:fldCharType="begin"/>
      </w:r>
      <w:r>
        <w:instrText xml:space="preserve"> PAGEREF _Toc11420 \h </w:instrText>
      </w:r>
      <w:r>
        <w:fldChar w:fldCharType="separate"/>
      </w:r>
      <w:r>
        <w:t>2</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"_Toc32325" </w:instrText>
      </w:r>
      <w:r>
        <w:fldChar w:fldCharType="separate"/>
      </w:r>
      <w:r>
        <w:t>第一章</w:t>
      </w:r>
      <w:r>
        <w:rPr>
          <w:rFonts w:hint="eastAsia"/>
        </w:rPr>
        <w:t xml:space="preserve">  </w:t>
      </w:r>
      <w:r>
        <w:t>招标公告</w:t>
      </w:r>
      <w:r>
        <w:tab/>
      </w:r>
      <w:r>
        <w:fldChar w:fldCharType="begin"/>
      </w:r>
      <w:r>
        <w:instrText xml:space="preserve"> PAGEREF _Toc32325 \h </w:instrText>
      </w:r>
      <w:r>
        <w:fldChar w:fldCharType="separate"/>
      </w:r>
      <w:r>
        <w:t>3</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"_Toc20618" </w:instrText>
      </w:r>
      <w:r>
        <w:fldChar w:fldCharType="separate"/>
      </w:r>
      <w:r>
        <w:t>第二章</w:t>
      </w:r>
      <w:r>
        <w:rPr>
          <w:rFonts w:hint="eastAsia"/>
        </w:rPr>
        <w:t xml:space="preserve">  </w:t>
      </w:r>
      <w:r>
        <w:t>投标人须知</w:t>
      </w:r>
      <w:r>
        <w:tab/>
      </w:r>
      <w:r>
        <w:fldChar w:fldCharType="begin"/>
      </w:r>
      <w:r>
        <w:instrText xml:space="preserve"> PAGEREF _Toc20618 \h </w:instrText>
      </w:r>
      <w:r>
        <w:fldChar w:fldCharType="separate"/>
      </w:r>
      <w:r>
        <w:t>4</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"_Toc10838" </w:instrText>
      </w:r>
      <w:r>
        <w:fldChar w:fldCharType="separate"/>
      </w:r>
      <w:r>
        <w:rPr>
          <w:spacing w:val="2"/>
        </w:rPr>
        <w:t>第三章</w:t>
      </w:r>
      <w:r>
        <w:rPr>
          <w:rFonts w:hint="eastAsia"/>
          <w:spacing w:val="2"/>
          <w:lang w:eastAsia="zh-CN"/>
        </w:rPr>
        <w:t xml:space="preserve">  </w:t>
      </w:r>
      <w:r>
        <w:rPr>
          <w:spacing w:val="2"/>
        </w:rPr>
        <w:t>评标办法（综合评估法）</w:t>
      </w:r>
      <w:r>
        <w:tab/>
      </w:r>
      <w:r>
        <w:fldChar w:fldCharType="begin"/>
      </w:r>
      <w:r>
        <w:instrText xml:space="preserve"> PAGEREF _Toc10838 \h </w:instrText>
      </w:r>
      <w:r>
        <w:fldChar w:fldCharType="separate"/>
      </w:r>
      <w:r>
        <w:t>32</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"_Toc23905" </w:instrText>
      </w:r>
      <w:r>
        <w:fldChar w:fldCharType="separate"/>
      </w:r>
      <w:r>
        <w:rPr>
          <w:rFonts w:hint="eastAsia"/>
        </w:rPr>
        <w:t>第四章</w:t>
      </w:r>
      <w:r>
        <w:rPr>
          <w:rFonts w:hint="eastAsia"/>
          <w:lang w:eastAsia="zh-CN"/>
        </w:rPr>
        <w:t xml:space="preserve"> </w:t>
      </w:r>
      <w:r>
        <w:rPr>
          <w:rFonts w:hint="eastAsia"/>
        </w:rPr>
        <w:t xml:space="preserve"> </w:t>
      </w:r>
      <w:r>
        <w:t>合同条款及格式</w:t>
      </w:r>
      <w:r>
        <w:tab/>
      </w:r>
      <w:r>
        <w:fldChar w:fldCharType="begin"/>
      </w:r>
      <w:r>
        <w:instrText xml:space="preserve"> PAGEREF _Toc23905 \h </w:instrText>
      </w:r>
      <w:r>
        <w:fldChar w:fldCharType="separate"/>
      </w:r>
      <w:r>
        <w:t>46</w:t>
      </w:r>
      <w:r>
        <w:fldChar w:fldCharType="end"/>
      </w:r>
      <w:r>
        <w:fldChar w:fldCharType="end"/>
      </w:r>
    </w:p>
    <w:p>
      <w:pPr>
        <w:pStyle w:val="16"/>
        <w:tabs>
          <w:tab w:val="right" w:leader="dot" w:pos="9360"/>
        </w:tabs>
        <w:spacing w:line="360" w:lineRule="auto"/>
      </w:pPr>
      <w:r>
        <w:fldChar w:fldCharType="begin"/>
      </w:r>
      <w:r>
        <w:instrText xml:space="preserve"> HYPERLINK \l "_Toc27852" </w:instrText>
      </w:r>
      <w:r>
        <w:fldChar w:fldCharType="separate"/>
      </w:r>
      <w:r>
        <w:t>第二卷</w:t>
      </w:r>
      <w:r>
        <w:tab/>
      </w:r>
      <w:r>
        <w:fldChar w:fldCharType="begin"/>
      </w:r>
      <w:r>
        <w:instrText xml:space="preserve"> PAGEREF _Toc27852 \h </w:instrText>
      </w:r>
      <w:r>
        <w:fldChar w:fldCharType="separate"/>
      </w:r>
      <w:r>
        <w:t>47</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"_Toc29802" </w:instrText>
      </w:r>
      <w:r>
        <w:fldChar w:fldCharType="separate"/>
      </w:r>
      <w:r>
        <w:rPr>
          <w:rFonts w:hint="eastAsia"/>
        </w:rPr>
        <w:t>第五章</w:t>
      </w:r>
      <w:r>
        <w:rPr>
          <w:rFonts w:hint="eastAsia"/>
          <w:lang w:eastAsia="zh-CN"/>
        </w:rPr>
        <w:t xml:space="preserve"> </w:t>
      </w:r>
      <w:r>
        <w:rPr>
          <w:rFonts w:hint="eastAsia"/>
        </w:rPr>
        <w:t xml:space="preserve"> 发包人要求</w:t>
      </w:r>
      <w:r>
        <w:tab/>
      </w:r>
      <w:r>
        <w:fldChar w:fldCharType="begin"/>
      </w:r>
      <w:r>
        <w:instrText xml:space="preserve"> PAGEREF _Toc29802 \h </w:instrText>
      </w:r>
      <w:r>
        <w:fldChar w:fldCharType="separate"/>
      </w:r>
      <w:r>
        <w:t>48</w:t>
      </w:r>
      <w:r>
        <w:fldChar w:fldCharType="end"/>
      </w:r>
      <w:r>
        <w:fldChar w:fldCharType="end"/>
      </w:r>
    </w:p>
    <w:p>
      <w:pPr>
        <w:pStyle w:val="16"/>
        <w:tabs>
          <w:tab w:val="right" w:leader="dot" w:pos="9360"/>
        </w:tabs>
        <w:spacing w:line="360" w:lineRule="auto"/>
      </w:pPr>
      <w:r>
        <w:fldChar w:fldCharType="begin"/>
      </w:r>
      <w:r>
        <w:instrText xml:space="preserve"> HYPERLINK \l "_Toc15330" </w:instrText>
      </w:r>
      <w:r>
        <w:fldChar w:fldCharType="separate"/>
      </w:r>
      <w:r>
        <w:t>第三卷</w:t>
      </w:r>
      <w:r>
        <w:tab/>
      </w:r>
      <w:r>
        <w:fldChar w:fldCharType="begin"/>
      </w:r>
      <w:r>
        <w:instrText xml:space="preserve"> PAGEREF _Toc15330 \h </w:instrText>
      </w:r>
      <w:r>
        <w:fldChar w:fldCharType="separate"/>
      </w:r>
      <w:r>
        <w:t>49</w:t>
      </w:r>
      <w:r>
        <w:fldChar w:fldCharType="end"/>
      </w:r>
      <w:r>
        <w:fldChar w:fldCharType="end"/>
      </w:r>
    </w:p>
    <w:p>
      <w:pPr>
        <w:pStyle w:val="16"/>
        <w:tabs>
          <w:tab w:val="right" w:leader="dot" w:pos="9360"/>
        </w:tabs>
        <w:spacing w:line="360" w:lineRule="auto"/>
        <w:ind w:firstLine="420" w:firstLineChars="200"/>
      </w:pPr>
      <w:r>
        <w:fldChar w:fldCharType="begin"/>
      </w:r>
      <w:r>
        <w:instrText xml:space="preserve"> HYPERLINK \l "_Toc2738" </w:instrText>
      </w:r>
      <w:r>
        <w:fldChar w:fldCharType="separate"/>
      </w:r>
      <w:r>
        <w:t>第六章</w:t>
      </w:r>
      <w:r>
        <w:rPr>
          <w:rFonts w:hint="eastAsia"/>
        </w:rPr>
        <w:t xml:space="preserve">  </w:t>
      </w:r>
      <w:r>
        <w:t>投标文件格式</w:t>
      </w:r>
      <w:r>
        <w:tab/>
      </w:r>
      <w:r>
        <w:fldChar w:fldCharType="begin"/>
      </w:r>
      <w:r>
        <w:instrText xml:space="preserve"> PAGEREF _Toc2738 \h </w:instrText>
      </w:r>
      <w:r>
        <w:fldChar w:fldCharType="separate"/>
      </w:r>
      <w:r>
        <w:t>50</w:t>
      </w:r>
      <w:r>
        <w:fldChar w:fldCharType="end"/>
      </w:r>
      <w:r>
        <w:fldChar w:fldCharType="end"/>
      </w:r>
    </w:p>
    <w:p>
      <w:pPr>
        <w:tabs>
          <w:tab w:val="left" w:pos="561"/>
        </w:tabs>
        <w:spacing w:line="360" w:lineRule="auto"/>
        <w:jc w:val="center"/>
        <w:rPr>
          <w:rFonts w:ascii="宋体" w:hAnsi="宋体" w:cs="宋体"/>
          <w:sz w:val="24"/>
          <w:szCs w:val="24"/>
        </w:rPr>
      </w:pPr>
      <w:r>
        <w:rPr>
          <w:rFonts w:ascii="宋体" w:hAnsi="宋体" w:cs="宋体"/>
          <w:sz w:val="24"/>
          <w:szCs w:val="24"/>
        </w:rPr>
        <w:fldChar w:fldCharType="end"/>
      </w:r>
    </w:p>
    <w:p>
      <w:pPr>
        <w:spacing w:line="360" w:lineRule="auto"/>
        <w:rPr>
          <w:rFonts w:ascii="宋体" w:hAnsi="宋体" w:cs="Calibri"/>
          <w:sz w:val="24"/>
          <w:szCs w:val="24"/>
        </w:rPr>
        <w:sectPr>
          <w:footerReference r:id="rId5" w:type="default"/>
          <w:pgSz w:w="12240" w:h="15840"/>
          <w:pgMar w:top="1440" w:right="1440" w:bottom="1440" w:left="1440" w:header="720" w:footer="720" w:gutter="0"/>
          <w:pgNumType w:start="1"/>
          <w:cols w:space="720" w:num="1"/>
        </w:sectPr>
      </w:pPr>
    </w:p>
    <w:p>
      <w:pPr>
        <w:jc w:val="center"/>
      </w:pPr>
    </w:p>
    <w:p>
      <w:pPr>
        <w:jc w:val="center"/>
      </w:pPr>
    </w:p>
    <w:p>
      <w:pPr>
        <w:jc w:val="center"/>
      </w:pPr>
    </w:p>
    <w:p>
      <w:pPr>
        <w:jc w:val="center"/>
      </w:pPr>
    </w:p>
    <w:p>
      <w:pPr>
        <w:jc w:val="center"/>
      </w:pPr>
    </w:p>
    <w:p>
      <w:pPr>
        <w:jc w:val="center"/>
      </w:pPr>
    </w:p>
    <w:p>
      <w:pPr>
        <w:pStyle w:val="3"/>
        <w:jc w:val="center"/>
        <w:rPr>
          <w:rFonts w:ascii="宋体" w:hAnsi="宋体"/>
        </w:rPr>
      </w:pPr>
      <w:bookmarkStart w:id="0" w:name="_Toc11420"/>
      <w:r>
        <w:rPr>
          <w:rFonts w:ascii="宋体" w:hAnsi="宋体"/>
        </w:rPr>
        <w:t>第一卷</w:t>
      </w:r>
      <w:bookmarkEnd w:id="0"/>
    </w:p>
    <w:p>
      <w:pPr>
        <w:pStyle w:val="3"/>
        <w:jc w:val="center"/>
        <w:rPr>
          <w:rFonts w:ascii="宋体" w:hAnsi="宋体"/>
        </w:rPr>
        <w:sectPr>
          <w:pgSz w:w="12240" w:h="15840"/>
          <w:pgMar w:top="1500" w:right="1720" w:bottom="1120" w:left="1720" w:header="0" w:footer="921" w:gutter="0"/>
          <w:cols w:space="720" w:num="1"/>
        </w:sectPr>
      </w:pPr>
    </w:p>
    <w:p>
      <w:pPr>
        <w:pStyle w:val="3"/>
        <w:jc w:val="center"/>
        <w:rPr>
          <w:rFonts w:ascii="宋体" w:hAnsi="宋体"/>
        </w:rPr>
      </w:pPr>
      <w:bookmarkStart w:id="1" w:name="_Toc32325"/>
      <w:r>
        <w:rPr>
          <w:rFonts w:ascii="宋体" w:hAnsi="宋体"/>
        </w:rPr>
        <w:t>第一章</w:t>
      </w:r>
      <w:r>
        <w:rPr>
          <w:rFonts w:hint="eastAsia" w:ascii="宋体" w:hAnsi="宋体"/>
        </w:rPr>
        <w:t xml:space="preserve">  </w:t>
      </w:r>
      <w:r>
        <w:rPr>
          <w:rFonts w:ascii="宋体" w:hAnsi="宋体"/>
        </w:rPr>
        <w:t>招标公告</w:t>
      </w:r>
      <w:bookmarkEnd w:id="1"/>
    </w:p>
    <w:p>
      <w:pPr>
        <w:widowControl/>
        <w:spacing w:line="360" w:lineRule="auto"/>
        <w:jc w:val="center"/>
        <w:rPr>
          <w:rFonts w:ascii="宋体" w:hAnsi="宋体"/>
          <w:b/>
          <w:bCs/>
          <w:sz w:val="24"/>
          <w:szCs w:val="24"/>
        </w:rPr>
      </w:pPr>
      <w:r>
        <w:rPr>
          <w:rFonts w:hint="eastAsia" w:ascii="宋体" w:hAnsi="宋体"/>
          <w:sz w:val="24"/>
          <w:szCs w:val="24"/>
        </w:rPr>
        <w:t>(另册)</w:t>
      </w:r>
      <w:r>
        <w:rPr>
          <w:rFonts w:ascii="宋体" w:hAnsi="宋体"/>
          <w:sz w:val="24"/>
          <w:szCs w:val="24"/>
        </w:rPr>
        <w:br w:type="page"/>
      </w:r>
    </w:p>
    <w:p>
      <w:pPr>
        <w:pStyle w:val="3"/>
        <w:spacing w:line="589" w:lineRule="exact"/>
        <w:jc w:val="center"/>
        <w:rPr>
          <w:rFonts w:ascii="宋体" w:hAnsi="宋体"/>
          <w:spacing w:val="2"/>
        </w:rPr>
      </w:pPr>
      <w:bookmarkStart w:id="2" w:name="_Toc20618"/>
      <w:r>
        <w:rPr>
          <w:rFonts w:ascii="宋体" w:hAnsi="宋体"/>
          <w:spacing w:val="2"/>
        </w:rPr>
        <w:t>第二章  投标人须知</w:t>
      </w:r>
      <w:bookmarkEnd w:id="2"/>
    </w:p>
    <w:p>
      <w:pPr>
        <w:pStyle w:val="3"/>
        <w:spacing w:line="589" w:lineRule="exact"/>
        <w:jc w:val="center"/>
        <w:rPr>
          <w:rFonts w:ascii="宋体" w:hAnsi="宋体"/>
          <w:spacing w:val="2"/>
          <w:sz w:val="32"/>
          <w:szCs w:val="32"/>
        </w:rPr>
      </w:pPr>
      <w:bookmarkStart w:id="3" w:name="_Toc2993"/>
      <w:r>
        <w:rPr>
          <w:rFonts w:ascii="宋体" w:hAnsi="宋体"/>
          <w:spacing w:val="2"/>
          <w:sz w:val="32"/>
          <w:szCs w:val="32"/>
        </w:rPr>
        <w:t>投标人须知前附表</w:t>
      </w:r>
      <w:bookmarkEnd w:id="3"/>
    </w:p>
    <w:tbl>
      <w:tblPr>
        <w:tblStyle w:val="24"/>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7"/>
        <w:gridCol w:w="2441"/>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b/>
                <w:bCs/>
                <w:sz w:val="21"/>
                <w:szCs w:val="21"/>
              </w:rPr>
              <w:t>条款号</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b/>
                <w:bCs/>
                <w:sz w:val="21"/>
                <w:szCs w:val="21"/>
              </w:rPr>
              <w:t>条款名称</w:t>
            </w:r>
          </w:p>
        </w:tc>
        <w:tc>
          <w:tcPr>
            <w:tcW w:w="587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b/>
                <w:bCs/>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1.1.2</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招标人</w:t>
            </w:r>
          </w:p>
        </w:tc>
        <w:tc>
          <w:tcPr>
            <w:tcW w:w="5871" w:type="dxa"/>
            <w:vAlign w:val="center"/>
          </w:tcPr>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名称：广东省代建项目管理局</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地址：广州市黄埔大道西108号11楼</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联系人：</w:t>
            </w:r>
            <w:bookmarkStart w:id="35" w:name="_GoBack"/>
            <w:bookmarkEnd w:id="35"/>
            <w:r>
              <w:rPr>
                <w:rFonts w:hint="eastAsia" w:ascii="宋体" w:hAnsi="宋体" w:eastAsia="宋体" w:cs="宋体"/>
                <w:sz w:val="21"/>
                <w:szCs w:val="21"/>
                <w:lang w:eastAsia="zh-CN"/>
              </w:rPr>
              <w:t>张工、</w:t>
            </w:r>
            <w:r>
              <w:rPr>
                <w:rFonts w:hint="eastAsia" w:ascii="宋体" w:hAnsi="宋体" w:eastAsia="宋体" w:cs="宋体"/>
                <w:sz w:val="21"/>
                <w:szCs w:val="21"/>
                <w:lang w:val="en-US" w:eastAsia="zh-CN"/>
              </w:rPr>
              <w:t>范工</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电话：020-83620864、020-83620870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1.1.3</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招标代理机构</w:t>
            </w:r>
          </w:p>
        </w:tc>
        <w:tc>
          <w:tcPr>
            <w:tcW w:w="5871" w:type="dxa"/>
            <w:vAlign w:val="center"/>
          </w:tcPr>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名称：北京中交建设工程咨询有限公司</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地址：广州市天河区黄埔大道西159号</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联系人：李工</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电话：020-87575800-811、13535533310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1.1.4</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招标项目名称</w:t>
            </w:r>
          </w:p>
        </w:tc>
        <w:tc>
          <w:tcPr>
            <w:tcW w:w="5871" w:type="dxa"/>
            <w:vAlign w:val="center"/>
          </w:tcPr>
          <w:p>
            <w:pPr>
              <w:spacing w:line="276" w:lineRule="auto"/>
              <w:rPr>
                <w:rFonts w:ascii="宋体" w:hAnsi="宋体" w:cs="宋体"/>
                <w:szCs w:val="21"/>
              </w:rPr>
            </w:pPr>
            <w:r>
              <w:rPr>
                <w:rFonts w:hint="eastAsia" w:ascii="宋体" w:hAnsi="宋体" w:cs="宋体"/>
                <w:szCs w:val="21"/>
              </w:rPr>
              <w:t>广东工贸职业技术学院白云校区测绘地理信息产教融合实训基地（A-8A)项目勘察设计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1.1.5</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项目建设地点</w:t>
            </w:r>
          </w:p>
        </w:tc>
        <w:tc>
          <w:tcPr>
            <w:tcW w:w="5871" w:type="dxa"/>
            <w:vAlign w:val="center"/>
          </w:tcPr>
          <w:p>
            <w:pPr>
              <w:spacing w:line="276" w:lineRule="auto"/>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1.1.6</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项目建设规模</w:t>
            </w:r>
          </w:p>
        </w:tc>
        <w:tc>
          <w:tcPr>
            <w:tcW w:w="5871" w:type="dxa"/>
            <w:vAlign w:val="center"/>
          </w:tcPr>
          <w:p>
            <w:pPr>
              <w:spacing w:line="276" w:lineRule="auto"/>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1.1.7</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项目投资估算</w:t>
            </w:r>
          </w:p>
        </w:tc>
        <w:tc>
          <w:tcPr>
            <w:tcW w:w="5871" w:type="dxa"/>
            <w:vAlign w:val="center"/>
          </w:tcPr>
          <w:p>
            <w:pPr>
              <w:spacing w:line="276" w:lineRule="auto"/>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1.2.1</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资金来源及比例</w:t>
            </w:r>
          </w:p>
        </w:tc>
        <w:tc>
          <w:tcPr>
            <w:tcW w:w="5871" w:type="dxa"/>
            <w:vAlign w:val="center"/>
          </w:tcPr>
          <w:p>
            <w:pPr>
              <w:spacing w:line="276" w:lineRule="auto"/>
              <w:rPr>
                <w:rFonts w:ascii="宋体" w:hAnsi="宋体" w:cs="宋体"/>
                <w:szCs w:val="21"/>
              </w:rPr>
            </w:pPr>
            <w:r>
              <w:rPr>
                <w:rFonts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1.2.2</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资金落实情况</w:t>
            </w:r>
          </w:p>
        </w:tc>
        <w:tc>
          <w:tcPr>
            <w:tcW w:w="5871" w:type="dxa"/>
            <w:vAlign w:val="center"/>
          </w:tcPr>
          <w:p>
            <w:pPr>
              <w:spacing w:line="276" w:lineRule="auto"/>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1.3.1</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招标范围</w:t>
            </w:r>
          </w:p>
        </w:tc>
        <w:tc>
          <w:tcPr>
            <w:tcW w:w="5871" w:type="dxa"/>
            <w:vAlign w:val="center"/>
          </w:tcPr>
          <w:p>
            <w:pPr>
              <w:spacing w:line="276" w:lineRule="auto"/>
              <w:jc w:val="left"/>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1.3.2</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lang w:eastAsia="zh-CN"/>
              </w:rPr>
              <w:t>勘察设计</w:t>
            </w:r>
            <w:r>
              <w:rPr>
                <w:rFonts w:hint="eastAsia" w:ascii="宋体" w:hAnsi="宋体" w:eastAsia="宋体" w:cs="宋体"/>
                <w:sz w:val="21"/>
                <w:szCs w:val="21"/>
              </w:rPr>
              <w:t>服务期限</w:t>
            </w:r>
          </w:p>
        </w:tc>
        <w:tc>
          <w:tcPr>
            <w:tcW w:w="5871" w:type="dxa"/>
            <w:vAlign w:val="center"/>
          </w:tcPr>
          <w:p>
            <w:pPr>
              <w:pStyle w:val="35"/>
              <w:spacing w:line="276" w:lineRule="auto"/>
              <w:rPr>
                <w:rFonts w:ascii="宋体" w:hAnsi="宋体" w:eastAsia="宋体" w:cs="宋体"/>
                <w:sz w:val="21"/>
                <w:szCs w:val="21"/>
              </w:rPr>
            </w:pPr>
            <w:r>
              <w:rPr>
                <w:rFonts w:hint="eastAsia" w:ascii="宋体" w:hAnsi="宋体" w:eastAsia="宋体" w:cs="宋体"/>
                <w:sz w:val="21"/>
                <w:szCs w:val="21"/>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1.3.3</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质量标准</w:t>
            </w:r>
          </w:p>
        </w:tc>
        <w:tc>
          <w:tcPr>
            <w:tcW w:w="5871" w:type="dxa"/>
            <w:vAlign w:val="center"/>
          </w:tcPr>
          <w:p>
            <w:pPr>
              <w:pStyle w:val="35"/>
              <w:spacing w:line="276" w:lineRule="auto"/>
              <w:rPr>
                <w:rFonts w:ascii="宋体" w:hAnsi="宋体" w:eastAsia="宋体" w:cs="宋体"/>
                <w:sz w:val="21"/>
                <w:szCs w:val="21"/>
              </w:rPr>
            </w:pPr>
            <w:r>
              <w:rPr>
                <w:rFonts w:hint="eastAsia" w:ascii="宋体" w:hAnsi="宋体" w:eastAsia="宋体" w:cs="宋体"/>
                <w:sz w:val="21"/>
                <w:szCs w:val="21"/>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5"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1.4.1</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投标人资质条件、能力、信誉</w:t>
            </w:r>
          </w:p>
        </w:tc>
        <w:tc>
          <w:tcPr>
            <w:tcW w:w="5871" w:type="dxa"/>
            <w:vAlign w:val="center"/>
          </w:tcPr>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1、资质要求：详见招标公告第5.2条要求</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2、财务要求：/</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3、业绩要求：/</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4、信誉要求：详见招标公告第5.8条要求</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5、项目负责人的资格要求：详见招标公告第5.5条要求</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6、其他主要人员要求：/</w:t>
            </w:r>
          </w:p>
          <w:p>
            <w:pPr>
              <w:pStyle w:val="35"/>
              <w:spacing w:line="276" w:lineRule="auto"/>
              <w:jc w:val="both"/>
              <w:rPr>
                <w:rFonts w:ascii="宋体" w:hAnsi="宋体" w:eastAsia="宋体" w:cs="宋体"/>
                <w:b/>
                <w:sz w:val="21"/>
                <w:szCs w:val="21"/>
                <w:lang w:eastAsia="zh-CN"/>
              </w:rPr>
            </w:pPr>
            <w:r>
              <w:rPr>
                <w:rFonts w:hint="eastAsia" w:ascii="宋体" w:hAnsi="宋体" w:eastAsia="宋体" w:cs="宋体"/>
                <w:bCs/>
                <w:sz w:val="21"/>
                <w:szCs w:val="21"/>
                <w:lang w:eastAsia="zh-CN"/>
              </w:rPr>
              <w:t>7、其他要求：详见招标公告第5条投标人资格要求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1.4.2</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是否接受联合体投标</w:t>
            </w:r>
          </w:p>
        </w:tc>
        <w:tc>
          <w:tcPr>
            <w:tcW w:w="5871" w:type="dxa"/>
            <w:vAlign w:val="center"/>
          </w:tcPr>
          <w:p>
            <w:pPr>
              <w:pStyle w:val="35"/>
              <w:spacing w:line="360" w:lineRule="auto"/>
              <w:jc w:val="both"/>
              <w:rPr>
                <w:rFonts w:ascii="宋体" w:hAnsi="宋体" w:eastAsia="宋体" w:cs="宋体"/>
                <w:sz w:val="21"/>
                <w:szCs w:val="21"/>
                <w:lang w:eastAsia="zh-CN"/>
              </w:rPr>
            </w:pPr>
            <w:r>
              <w:rPr>
                <w:rFonts w:ascii="宋体" w:hAnsi="宋体" w:eastAsia="宋体"/>
                <w:sz w:val="21"/>
                <w:szCs w:val="21"/>
                <w:lang w:eastAsia="zh-CN"/>
              </w:rPr>
              <w:t>□</w:t>
            </w:r>
            <w:r>
              <w:rPr>
                <w:rFonts w:ascii="宋体" w:hAnsi="宋体" w:eastAsia="宋体" w:cs="宋体"/>
                <w:sz w:val="21"/>
                <w:szCs w:val="21"/>
                <w:lang w:eastAsia="zh-CN"/>
              </w:rPr>
              <w:t>不接受</w:t>
            </w:r>
          </w:p>
          <w:p>
            <w:pPr>
              <w:rPr>
                <w:rFonts w:ascii="宋体" w:hAnsi="宋体" w:cs="宋体"/>
                <w:szCs w:val="21"/>
              </w:rPr>
            </w:pPr>
            <w:r>
              <w:rPr>
                <w:rFonts w:hint="eastAsia" w:ascii="宋体" w:hAnsi="宋体"/>
                <w:szCs w:val="21"/>
              </w:rPr>
              <w:t>■</w:t>
            </w:r>
            <w:r>
              <w:rPr>
                <w:rFonts w:ascii="宋体" w:hAnsi="宋体" w:cs="宋体"/>
                <w:szCs w:val="21"/>
              </w:rPr>
              <w:t>接受，应满足下列要求：</w:t>
            </w:r>
            <w:r>
              <w:rPr>
                <w:rFonts w:hint="eastAsia" w:ascii="宋体" w:hAnsi="宋体"/>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6"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1.4.3</w:t>
            </w:r>
          </w:p>
        </w:tc>
        <w:tc>
          <w:tcPr>
            <w:tcW w:w="2441" w:type="dxa"/>
            <w:vAlign w:val="center"/>
          </w:tcPr>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投标人不得存在的其他情形</w:t>
            </w:r>
          </w:p>
        </w:tc>
        <w:tc>
          <w:tcPr>
            <w:tcW w:w="5871" w:type="dxa"/>
            <w:vAlign w:val="center"/>
          </w:tcPr>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（1）为招标人不具有独立法人资格的附属机构（单位）；</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（2）与招标人存在利害关系且可能影响招标公正性；</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（3）与本招标项目的其他投标人为同一个单位负责人；</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（4）与本招标项目的其他投标人存在控股、管理关系；</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（5）为本招标项目的代建人；</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（6）为本招标项目的招标代理机构；</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（7）与本招标项目的代建人或招标代理机构同为一个法定代表人；</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（8）与本招标项目的代建人或招标代理机构存在控股或参股关系；</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（9）被依法暂停或取消投标资格的；</w:t>
            </w:r>
            <w:r>
              <w:rPr>
                <w:rFonts w:hint="eastAsia" w:ascii="宋体" w:hAnsi="宋体" w:eastAsia="宋体" w:cs="宋体"/>
                <w:bCs/>
                <w:sz w:val="21"/>
                <w:szCs w:val="21"/>
                <w:u w:val="single"/>
                <w:lang w:eastAsia="zh-CN"/>
              </w:rPr>
              <w:t>（本项事实应当以根据《中华人民共和国行政处罚法》依法作出并已经生效的行政处罚决定为认定依据。行政处罚决定中已经明确的暂停或取消投标资格的区域范围不包含本项目建设地点的，不受该项规定限制）</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（10）被责令停产停业、暂扣或者吊销许可证、暂扣或者吊销执照的；</w:t>
            </w:r>
            <w:r>
              <w:rPr>
                <w:rFonts w:hint="eastAsia" w:ascii="宋体" w:hAnsi="宋体" w:eastAsia="宋体" w:cs="宋体"/>
                <w:bCs/>
                <w:sz w:val="21"/>
                <w:szCs w:val="21"/>
                <w:u w:val="single"/>
                <w:lang w:eastAsia="zh-CN"/>
              </w:rPr>
              <w:t>（本项事实应当以根据《中华人民共和国行政处罚法》依法作出并已经生效的行政处罚决定为认定依据。）</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（11）进入清算程序，或被宣告破产，或其他丧失履约能力的情形；</w:t>
            </w:r>
          </w:p>
          <w:p>
            <w:pPr>
              <w:pStyle w:val="35"/>
              <w:spacing w:line="276" w:lineRule="auto"/>
              <w:jc w:val="both"/>
              <w:rPr>
                <w:rFonts w:ascii="宋体" w:hAnsi="宋体" w:eastAsia="宋体" w:cs="宋体"/>
                <w:bCs/>
                <w:sz w:val="21"/>
                <w:szCs w:val="21"/>
                <w:u w:val="single"/>
                <w:lang w:eastAsia="zh-CN"/>
              </w:rPr>
            </w:pPr>
            <w:r>
              <w:rPr>
                <w:rFonts w:hint="eastAsia" w:ascii="宋体" w:hAnsi="宋体" w:eastAsia="宋体" w:cs="宋体"/>
                <w:bCs/>
                <w:sz w:val="21"/>
                <w:szCs w:val="21"/>
                <w:lang w:eastAsia="zh-CN"/>
              </w:rPr>
              <w:t>（12）在最近三年内发生重大勘察设计质量问题；</w:t>
            </w:r>
            <w:r>
              <w:rPr>
                <w:rFonts w:hint="eastAsia" w:ascii="宋体" w:hAnsi="宋体" w:eastAsia="宋体" w:cs="宋体"/>
                <w:bCs/>
                <w:sz w:val="21"/>
                <w:szCs w:val="21"/>
                <w:u w:val="single"/>
                <w:lang w:eastAsia="zh-CN"/>
              </w:rPr>
              <w:t>（“重大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35"/>
              <w:spacing w:line="276" w:lineRule="auto"/>
              <w:jc w:val="both"/>
              <w:rPr>
                <w:rFonts w:ascii="宋体" w:hAnsi="宋体" w:eastAsia="宋体" w:cs="宋体"/>
                <w:bCs/>
                <w:sz w:val="21"/>
                <w:szCs w:val="21"/>
                <w:lang w:eastAsia="zh-CN"/>
              </w:rPr>
            </w:pPr>
            <w:r>
              <w:rPr>
                <w:rFonts w:hint="eastAsia" w:ascii="宋体" w:hAnsi="宋体" w:eastAsia="宋体" w:cs="宋体"/>
                <w:bCs/>
                <w:sz w:val="21"/>
                <w:szCs w:val="21"/>
                <w:lang w:eastAsia="zh-CN"/>
              </w:rPr>
              <w:t>（13）法律法规或投标人须知前附表规定的其他情形。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1.9.1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踏勘现场</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■不组织</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 xml:space="preserve">□组织，踏勘时间：  </w:t>
            </w:r>
          </w:p>
          <w:p>
            <w:pPr>
              <w:pStyle w:val="35"/>
              <w:ind w:firstLine="840" w:firstLineChars="400"/>
              <w:jc w:val="both"/>
              <w:rPr>
                <w:rFonts w:ascii="宋体" w:hAnsi="宋体" w:eastAsia="宋体" w:cs="宋体"/>
                <w:sz w:val="21"/>
                <w:szCs w:val="21"/>
                <w:lang w:eastAsia="zh-CN"/>
              </w:rPr>
            </w:pPr>
            <w:r>
              <w:rPr>
                <w:rFonts w:hint="eastAsia" w:ascii="宋体" w:hAnsi="宋体" w:eastAsia="宋体" w:cs="宋体"/>
                <w:sz w:val="21"/>
                <w:szCs w:val="21"/>
                <w:lang w:eastAsia="zh-CN"/>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1.10.1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投标预备会</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■不召开</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□召开，召开时间：</w:t>
            </w:r>
          </w:p>
          <w:p>
            <w:pPr>
              <w:pStyle w:val="35"/>
              <w:ind w:firstLine="840" w:firstLineChars="400"/>
              <w:jc w:val="both"/>
              <w:rPr>
                <w:rFonts w:ascii="宋体" w:hAnsi="宋体" w:eastAsia="宋体" w:cs="宋体"/>
                <w:sz w:val="21"/>
                <w:szCs w:val="21"/>
              </w:rPr>
            </w:pPr>
            <w:r>
              <w:rPr>
                <w:rFonts w:hint="eastAsia" w:ascii="宋体" w:hAnsi="宋体" w:eastAsia="宋体" w:cs="宋体"/>
                <w:sz w:val="21"/>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Merge w:val="restart"/>
            <w:vAlign w:val="center"/>
          </w:tcPr>
          <w:p>
            <w:pPr>
              <w:pStyle w:val="35"/>
              <w:jc w:val="center"/>
              <w:rPr>
                <w:rFonts w:ascii="宋体" w:hAnsi="宋体" w:eastAsia="宋体" w:cs="宋体"/>
                <w:sz w:val="21"/>
                <w:szCs w:val="21"/>
              </w:rPr>
            </w:pPr>
            <w:r>
              <w:rPr>
                <w:rFonts w:hint="eastAsia" w:ascii="宋体" w:hAnsi="宋体" w:eastAsia="宋体" w:cs="宋体"/>
                <w:sz w:val="21"/>
                <w:szCs w:val="21"/>
              </w:rPr>
              <w:t>1.10.2</w:t>
            </w:r>
          </w:p>
        </w:tc>
        <w:tc>
          <w:tcPr>
            <w:tcW w:w="2441" w:type="dxa"/>
            <w:vMerge w:val="restart"/>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投标人在投标预备会前提出问题</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rPr>
              <w:t>时间：</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rPr>
        <w:tc>
          <w:tcPr>
            <w:tcW w:w="787" w:type="dxa"/>
            <w:vMerge w:val="continue"/>
            <w:vAlign w:val="center"/>
          </w:tcPr>
          <w:p>
            <w:pPr>
              <w:jc w:val="center"/>
              <w:rPr>
                <w:rFonts w:ascii="宋体" w:hAnsi="宋体" w:cs="宋体"/>
                <w:szCs w:val="21"/>
              </w:rPr>
            </w:pPr>
          </w:p>
        </w:tc>
        <w:tc>
          <w:tcPr>
            <w:tcW w:w="2441" w:type="dxa"/>
            <w:vMerge w:val="continue"/>
            <w:vAlign w:val="center"/>
          </w:tcPr>
          <w:p>
            <w:pPr>
              <w:jc w:val="center"/>
              <w:rPr>
                <w:rFonts w:ascii="宋体" w:hAnsi="宋体" w:cs="宋体"/>
                <w:szCs w:val="21"/>
              </w:rPr>
            </w:pP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rPr>
              <w:t>形式：</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1.10.3</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招标文件澄清发出的形式</w:t>
            </w:r>
          </w:p>
        </w:tc>
        <w:tc>
          <w:tcPr>
            <w:tcW w:w="5871" w:type="dxa"/>
            <w:vAlign w:val="center"/>
          </w:tcPr>
          <w:p>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1.11.1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分包</w:t>
            </w:r>
          </w:p>
        </w:tc>
        <w:tc>
          <w:tcPr>
            <w:tcW w:w="5871" w:type="dxa"/>
            <w:vAlign w:val="center"/>
          </w:tcPr>
          <w:p>
            <w:pPr>
              <w:pStyle w:val="35"/>
              <w:ind w:right="105" w:rightChars="50"/>
              <w:jc w:val="both"/>
              <w:rPr>
                <w:rFonts w:ascii="宋体" w:hAnsi="宋体" w:eastAsia="宋体" w:cs="宋体"/>
                <w:sz w:val="21"/>
                <w:szCs w:val="21"/>
                <w:lang w:eastAsia="zh-CN"/>
              </w:rPr>
            </w:pPr>
            <w:r>
              <w:rPr>
                <w:rFonts w:hint="eastAsia" w:ascii="宋体" w:hAnsi="宋体" w:eastAsia="宋体" w:cs="宋体"/>
                <w:sz w:val="21"/>
                <w:szCs w:val="21"/>
                <w:lang w:eastAsia="zh-CN"/>
              </w:rPr>
              <w:t>□不允许</w:t>
            </w:r>
          </w:p>
          <w:p>
            <w:pPr>
              <w:rPr>
                <w:rFonts w:ascii="宋体" w:hAnsi="宋体" w:cs="宋体"/>
                <w:szCs w:val="21"/>
              </w:rPr>
            </w:pPr>
            <w:r>
              <w:rPr>
                <w:rFonts w:hint="eastAsia" w:ascii="宋体" w:hAnsi="宋体" w:cs="宋体"/>
                <w:szCs w:val="21"/>
              </w:rPr>
              <w:t>■允许，分包内容要求：如中标人</w:t>
            </w:r>
            <w:r>
              <w:rPr>
                <w:rFonts w:hint="eastAsia" w:ascii="宋体" w:hAnsi="宋体"/>
                <w:spacing w:val="-2"/>
                <w:szCs w:val="21"/>
                <w:u w:val="single"/>
              </w:rPr>
              <w:t>具备相关专业勘察或设计资质的，原则上不允许分包相关业务。如中标人不具备相关专业勘察或设计资质，应当自行完成本项目主体的勘察或设计业务，并在保证整个建筑工程项目完整性的前提下，经发包方同意，将其他部分专业勘察或设计业务依法分包给具备相应资质条件的分包单位</w:t>
            </w:r>
            <w:r>
              <w:rPr>
                <w:rFonts w:hint="eastAsia" w:ascii="宋体" w:hAnsi="宋体" w:cs="宋体"/>
                <w:szCs w:val="21"/>
              </w:rPr>
              <w:t>。</w:t>
            </w:r>
          </w:p>
          <w:p>
            <w:pPr>
              <w:pStyle w:val="35"/>
              <w:ind w:left="105" w:leftChars="50" w:right="105" w:rightChars="50"/>
              <w:jc w:val="both"/>
              <w:rPr>
                <w:rFonts w:ascii="宋体" w:hAnsi="宋体" w:eastAsia="宋体" w:cs="宋体"/>
                <w:sz w:val="21"/>
                <w:szCs w:val="21"/>
                <w:lang w:eastAsia="zh-CN"/>
              </w:rPr>
            </w:pPr>
            <w:r>
              <w:rPr>
                <w:rFonts w:hint="eastAsia" w:ascii="宋体" w:hAnsi="宋体" w:eastAsia="宋体" w:cs="宋体"/>
                <w:sz w:val="21"/>
                <w:szCs w:val="21"/>
                <w:lang w:eastAsia="zh-CN"/>
              </w:rPr>
              <w:t>分包金额要求：/</w:t>
            </w:r>
          </w:p>
          <w:p>
            <w:pPr>
              <w:pStyle w:val="35"/>
              <w:ind w:left="105" w:leftChars="50" w:right="105" w:rightChars="50"/>
              <w:rPr>
                <w:rFonts w:ascii="宋体" w:hAnsi="宋体" w:eastAsia="宋体" w:cs="宋体"/>
                <w:sz w:val="21"/>
                <w:szCs w:val="21"/>
                <w:lang w:eastAsia="zh-CN"/>
              </w:rPr>
            </w:pPr>
            <w:r>
              <w:rPr>
                <w:rFonts w:hint="eastAsia" w:ascii="宋体" w:hAnsi="宋体" w:eastAsia="宋体" w:cs="宋体"/>
                <w:spacing w:val="-2"/>
                <w:sz w:val="21"/>
                <w:szCs w:val="21"/>
                <w:lang w:eastAsia="zh-CN"/>
              </w:rPr>
              <w:t>对分包人的资质要求：</w:t>
            </w:r>
            <w:r>
              <w:rPr>
                <w:rFonts w:hint="eastAsia" w:ascii="宋体" w:hAnsi="宋体" w:eastAsia="宋体"/>
                <w:spacing w:val="-2"/>
                <w:kern w:val="2"/>
                <w:sz w:val="21"/>
                <w:szCs w:val="21"/>
                <w:u w:val="single"/>
                <w:lang w:eastAsia="zh-CN"/>
              </w:rPr>
              <w:t>按国家规定</w:t>
            </w:r>
            <w:r>
              <w:rPr>
                <w:rFonts w:hint="eastAsia" w:ascii="宋体" w:hAnsi="宋体" w:eastAsia="宋体" w:cs="宋体"/>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1.12.1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实质性要求和条件</w:t>
            </w:r>
          </w:p>
        </w:tc>
        <w:tc>
          <w:tcPr>
            <w:tcW w:w="5871" w:type="dxa"/>
            <w:vAlign w:val="center"/>
          </w:tcPr>
          <w:p>
            <w:pP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1.12.3</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偏差</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■不允许</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□允许，偏差范围：</w:t>
            </w:r>
            <w:r>
              <w:rPr>
                <w:rFonts w:hint="eastAsia" w:ascii="宋体" w:hAnsi="宋体" w:eastAsia="宋体" w:cs="宋体"/>
                <w:sz w:val="21"/>
                <w:szCs w:val="21"/>
                <w:u w:val="single"/>
                <w:lang w:eastAsia="zh-CN"/>
              </w:rPr>
              <w:t xml:space="preserve"> </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2.1</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构成招标文件的其他资料</w:t>
            </w:r>
          </w:p>
        </w:tc>
        <w:tc>
          <w:tcPr>
            <w:tcW w:w="5871" w:type="dxa"/>
            <w:vAlign w:val="center"/>
          </w:tcPr>
          <w:p>
            <w:pP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6"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2.2.1</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投标人要求澄清招标文件</w:t>
            </w:r>
          </w:p>
        </w:tc>
        <w:tc>
          <w:tcPr>
            <w:tcW w:w="5871" w:type="dxa"/>
            <w:vAlign w:val="center"/>
          </w:tcPr>
          <w:p>
            <w:pPr>
              <w:rPr>
                <w:rFonts w:ascii="宋体" w:hAnsi="宋体" w:cs="宋体"/>
                <w:szCs w:val="21"/>
              </w:rPr>
            </w:pPr>
            <w:r>
              <w:rPr>
                <w:rFonts w:hint="eastAsia" w:ascii="宋体" w:hAnsi="宋体" w:cs="宋体"/>
                <w:szCs w:val="21"/>
              </w:rPr>
              <w:t>1.方式：网上答疑。</w:t>
            </w:r>
          </w:p>
          <w:p>
            <w:pPr>
              <w:rPr>
                <w:rFonts w:ascii="宋体" w:hAnsi="宋体" w:cs="宋体"/>
                <w:color w:val="FF0000"/>
                <w:szCs w:val="21"/>
              </w:rPr>
            </w:pPr>
            <w:r>
              <w:rPr>
                <w:rFonts w:hint="eastAsia" w:ascii="宋体" w:hAnsi="宋体" w:cs="宋体"/>
                <w:szCs w:val="21"/>
              </w:rPr>
              <w:t>2.投标人提出问题期限：</w:t>
            </w:r>
            <w:r>
              <w:rPr>
                <w:rFonts w:hint="eastAsia" w:ascii="宋体" w:hAnsi="宋体"/>
                <w:szCs w:val="21"/>
                <w:u w:val="single"/>
              </w:rPr>
              <w:t>在提交投标文件截止时间</w:t>
            </w:r>
            <w:r>
              <w:rPr>
                <w:szCs w:val="21"/>
                <w:u w:val="single"/>
              </w:rPr>
              <w:t>18</w:t>
            </w:r>
            <w:r>
              <w:rPr>
                <w:rFonts w:hint="eastAsia" w:ascii="宋体" w:hAnsi="宋体"/>
                <w:szCs w:val="21"/>
                <w:u w:val="single"/>
              </w:rPr>
              <w:t>天前提出。</w:t>
            </w:r>
          </w:p>
          <w:p>
            <w:pPr>
              <w:rPr>
                <w:rFonts w:ascii="宋体" w:hAnsi="宋体" w:cs="宋体"/>
                <w:szCs w:val="21"/>
              </w:rPr>
            </w:pPr>
            <w:r>
              <w:rPr>
                <w:rFonts w:hint="eastAsia" w:ascii="宋体" w:hAnsi="宋体" w:cs="宋体"/>
                <w:szCs w:val="21"/>
              </w:rPr>
              <w:t>网上答疑的操作指南为：登陆广州交易集团有限公司（广州公共资源交易中心）网站（http://www.gzggzy.cn）→进入“建设工程”专区→进入“招标答疑提问”专区→通过项目编号或项目名称找到所需的项目→在上述的答疑时间内点击“答疑提问”→“新建问题”→提出问题(提问一律不得署名)以及查看所有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2.2.2</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招标文件澄清发出的形式</w:t>
            </w:r>
          </w:p>
        </w:tc>
        <w:tc>
          <w:tcPr>
            <w:tcW w:w="5871" w:type="dxa"/>
            <w:vAlign w:val="center"/>
          </w:tcPr>
          <w:p>
            <w:pPr>
              <w:rPr>
                <w:rFonts w:ascii="宋体" w:hAnsi="宋体" w:cs="宋体"/>
                <w:szCs w:val="21"/>
                <w:u w:val="single"/>
              </w:rPr>
            </w:pPr>
            <w:r>
              <w:rPr>
                <w:rFonts w:hint="eastAsia" w:ascii="宋体" w:hAnsi="宋体" w:cs="宋体"/>
                <w:szCs w:val="21"/>
                <w:u w:val="single"/>
              </w:rPr>
              <w:t>招标人应在递交投标文件截止时间15日前将招标文件澄清文件在广州交易集团有限公司（广州公共资源交易中心）网站“招标答疑”专区发布。不足15日的，招标人应当顺延投标文件的截止时间。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2.2.3</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投标人确认收到招标文件澄清</w:t>
            </w:r>
          </w:p>
        </w:tc>
        <w:tc>
          <w:tcPr>
            <w:tcW w:w="5871" w:type="dxa"/>
            <w:vAlign w:val="center"/>
          </w:tcPr>
          <w:p>
            <w:pPr>
              <w:rPr>
                <w:rFonts w:ascii="宋体" w:hAnsi="宋体" w:cs="宋体"/>
                <w:szCs w:val="21"/>
              </w:rPr>
            </w:pPr>
            <w:r>
              <w:rPr>
                <w:rFonts w:hint="eastAsia" w:ascii="宋体" w:hAnsi="宋体" w:cs="宋体"/>
                <w:szCs w:val="21"/>
              </w:rPr>
              <w:t>招标文件澄清文件一经在广州交易集团有限公司（广州公共资源交易中心）网站发布，视作已发放给所有投标人。招标答疑纪要为招标文件的一部分。投标人可在广州交易集团有限公司（广州公共资源交易中心）网站浏览、下载招标答疑纪要。若招标答疑纪要与招标文件有矛盾时，以广州交易集团有限公司（广州公共资源交易中心）网站最后发布的答疑纪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2.3.1</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招标文件修改发出的形式</w:t>
            </w:r>
          </w:p>
        </w:tc>
        <w:tc>
          <w:tcPr>
            <w:tcW w:w="5871" w:type="dxa"/>
            <w:vAlign w:val="center"/>
          </w:tcPr>
          <w:p>
            <w:pPr>
              <w:rPr>
                <w:rFonts w:ascii="宋体" w:hAnsi="宋体" w:cs="宋体"/>
                <w:szCs w:val="21"/>
              </w:rPr>
            </w:pPr>
            <w:r>
              <w:rPr>
                <w:rFonts w:hint="eastAsia" w:ascii="宋体" w:hAnsi="宋体" w:cs="宋体"/>
                <w:szCs w:val="21"/>
              </w:rPr>
              <w:t>以补充公告或项目答疑澄清的方式在广州交易集团有限公司（广州公共资源交易中心）网站发布。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2.3.2</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投标人确认收到招标文件修改</w:t>
            </w:r>
          </w:p>
        </w:tc>
        <w:tc>
          <w:tcPr>
            <w:tcW w:w="5871" w:type="dxa"/>
            <w:vAlign w:val="center"/>
          </w:tcPr>
          <w:p>
            <w:pPr>
              <w:rPr>
                <w:rFonts w:ascii="宋体" w:hAnsi="宋体" w:cs="宋体"/>
                <w:szCs w:val="21"/>
              </w:rPr>
            </w:pPr>
            <w:r>
              <w:rPr>
                <w:rFonts w:hint="eastAsia" w:ascii="宋体" w:hAnsi="宋体" w:cs="宋体"/>
                <w:szCs w:val="21"/>
              </w:rPr>
              <w:t>招标文件修改文件一经在广州交易集团有限公司（广州公共资源交易中心）网站发布，视作已发放给所有投标人，无需确认。投标人应自行关注招标公告公布的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787" w:type="dxa"/>
            <w:vAlign w:val="center"/>
          </w:tcPr>
          <w:p>
            <w:pPr>
              <w:jc w:val="center"/>
              <w:rPr>
                <w:rFonts w:ascii="宋体" w:hAnsi="宋体" w:cs="宋体"/>
                <w:szCs w:val="21"/>
              </w:rPr>
            </w:pPr>
            <w:r>
              <w:rPr>
                <w:rFonts w:hint="eastAsia" w:ascii="宋体" w:hAnsi="宋体" w:cs="宋体"/>
                <w:szCs w:val="21"/>
              </w:rPr>
              <w:t>3.1.1</w:t>
            </w:r>
          </w:p>
        </w:tc>
        <w:tc>
          <w:tcPr>
            <w:tcW w:w="2441" w:type="dxa"/>
            <w:vAlign w:val="center"/>
          </w:tcPr>
          <w:p>
            <w:pPr>
              <w:jc w:val="center"/>
              <w:rPr>
                <w:rFonts w:ascii="宋体" w:hAnsi="宋体" w:cs="宋体"/>
                <w:szCs w:val="21"/>
              </w:rPr>
            </w:pPr>
            <w:r>
              <w:rPr>
                <w:rFonts w:hint="eastAsia" w:ascii="宋体" w:hAnsi="宋体" w:cs="宋体"/>
                <w:szCs w:val="21"/>
              </w:rPr>
              <w:t>构成投标文件的其他资料</w:t>
            </w:r>
          </w:p>
        </w:tc>
        <w:tc>
          <w:tcPr>
            <w:tcW w:w="5871" w:type="dxa"/>
            <w:vAlign w:val="center"/>
          </w:tcPr>
          <w:p>
            <w:pPr>
              <w:rPr>
                <w:rFonts w:ascii="宋体" w:hAnsi="宋体" w:cs="宋体"/>
                <w:bCs/>
                <w:szCs w:val="21"/>
              </w:rPr>
            </w:pPr>
            <w:r>
              <w:rPr>
                <w:rFonts w:hint="eastAsia" w:ascii="宋体" w:hAnsi="宋体" w:cs="宋体"/>
                <w:bCs/>
                <w:szCs w:val="21"/>
              </w:rPr>
              <w:t>满足本项目评审要求的其他资料。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3.2.1</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增值税税金的计算方法</w:t>
            </w:r>
          </w:p>
        </w:tc>
        <w:tc>
          <w:tcPr>
            <w:tcW w:w="5871" w:type="dxa"/>
            <w:vAlign w:val="center"/>
          </w:tcPr>
          <w:p>
            <w:pPr>
              <w:rPr>
                <w:rFonts w:ascii="宋体" w:hAnsi="宋体" w:cs="宋体"/>
                <w:szCs w:val="21"/>
              </w:rPr>
            </w:pPr>
            <w:r>
              <w:rPr>
                <w:rFonts w:hint="eastAsia" w:ascii="宋体" w:hAnsi="宋体" w:cs="宋体"/>
                <w:szCs w:val="21"/>
                <w:u w:val="single"/>
              </w:rPr>
              <w:t>投标人的投标报价为含税报价。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3.2.3</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报价方式</w:t>
            </w:r>
          </w:p>
        </w:tc>
        <w:tc>
          <w:tcPr>
            <w:tcW w:w="5871" w:type="dxa"/>
            <w:vAlign w:val="center"/>
          </w:tcPr>
          <w:p>
            <w:pPr>
              <w:rPr>
                <w:rFonts w:ascii="宋体" w:hAnsi="宋体" w:cs="宋体"/>
                <w:szCs w:val="21"/>
              </w:rPr>
            </w:pPr>
            <w:r>
              <w:rPr>
                <w:rFonts w:hint="eastAsia" w:ascii="宋体" w:hAnsi="宋体"/>
                <w:szCs w:val="21"/>
              </w:rPr>
              <w:t>按招标文件第六章投标文件格式进行报价</w:t>
            </w:r>
            <w:r>
              <w:rPr>
                <w:rFonts w:hint="eastAsia" w:ascii="宋体" w:hAnsi="宋体"/>
                <w:szCs w:val="21"/>
                <w:u w:val="single"/>
              </w:rPr>
              <w:t>，并按招标文件有关要求进行盖章上传。</w:t>
            </w:r>
            <w:r>
              <w:rPr>
                <w:rFonts w:hint="eastAsia" w:ascii="宋体" w:hAnsi="宋体"/>
                <w:szCs w:val="21"/>
              </w:rPr>
              <w:t>投标人根据自身企业实力自行报价。勘察设计费报价为投标人完成本标段工程所有工作及履行合同的成本、利润、税金及风险等。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3" w:hRule="atLeas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3.2.4</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最高投标限价</w:t>
            </w:r>
          </w:p>
        </w:tc>
        <w:tc>
          <w:tcPr>
            <w:tcW w:w="5871" w:type="dxa"/>
            <w:vAlign w:val="center"/>
          </w:tcPr>
          <w:p>
            <w:pPr>
              <w:pStyle w:val="35"/>
              <w:spacing w:line="276" w:lineRule="auto"/>
              <w:jc w:val="both"/>
              <w:rPr>
                <w:rFonts w:ascii="宋体" w:hAnsi="宋体" w:eastAsia="宋体" w:cs="宋体"/>
                <w:sz w:val="21"/>
                <w:szCs w:val="21"/>
                <w:u w:val="single"/>
                <w:lang w:eastAsia="zh-CN"/>
              </w:rPr>
            </w:pPr>
            <w:r>
              <w:rPr>
                <w:rFonts w:hint="eastAsia" w:ascii="宋体" w:hAnsi="宋体" w:eastAsia="宋体" w:cs="宋体"/>
                <w:sz w:val="21"/>
                <w:szCs w:val="21"/>
                <w:lang w:eastAsia="zh-CN"/>
              </w:rPr>
              <w:t>□无</w:t>
            </w:r>
          </w:p>
          <w:p>
            <w:pPr>
              <w:spacing w:line="360" w:lineRule="auto"/>
              <w:rPr>
                <w:rFonts w:ascii="宋体" w:hAnsi="宋体" w:cs="宋体"/>
                <w:szCs w:val="21"/>
                <w:u w:val="single"/>
              </w:rPr>
            </w:pPr>
            <w:r>
              <w:rPr>
                <w:rFonts w:hint="eastAsia" w:ascii="宋体" w:hAnsi="宋体" w:cs="宋体"/>
                <w:szCs w:val="21"/>
                <w:u w:val="single"/>
              </w:rPr>
              <w:t>■有，最高投标限价总价为394.4024万元，其中：勘察费最高投标限价为42.36万元（岩土工程勘察费综合包干单价最高投标限价为150元/米包干）；工程设计费最高投标限价为315.1124万元，其中：初步设计及施工图设计费最高投标限价为287.6224万元，竣工图编制费最高投标限价为27.49万元；BIM技术应用费最高投标限价为人民币36.93万元。</w:t>
            </w:r>
          </w:p>
          <w:p>
            <w:pPr>
              <w:spacing w:line="276" w:lineRule="auto"/>
              <w:rPr>
                <w:rFonts w:ascii="宋体" w:hAnsi="宋体" w:cs="宋体"/>
                <w:szCs w:val="21"/>
              </w:rPr>
            </w:pPr>
            <w:r>
              <w:rPr>
                <w:rFonts w:hint="eastAsia" w:ascii="宋体" w:hAnsi="宋体" w:cs="宋体"/>
                <w:b/>
                <w:szCs w:val="21"/>
                <w:u w:val="single"/>
              </w:rPr>
              <w:t>注：投标人的投标总价或勘察费或设计费或初步设计及施工图设计费或竣工图编制费或BIM技术应用费或综合包干单价不得超过上述相应最高投标限价，否则由评标委员作废标处理。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3.2.5</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投标报价的其他要求</w:t>
            </w:r>
          </w:p>
        </w:tc>
        <w:tc>
          <w:tcPr>
            <w:tcW w:w="5871" w:type="dxa"/>
            <w:vAlign w:val="center"/>
          </w:tcPr>
          <w:p>
            <w:pPr>
              <w:spacing w:line="276" w:lineRule="auto"/>
              <w:ind w:firstLine="105" w:firstLineChars="50"/>
            </w:pPr>
            <w:r>
              <w:rPr>
                <w:rFonts w:hint="eastAsia" w:ascii="宋体" w:hAnsi="宋体"/>
                <w:szCs w:val="21"/>
                <w:u w:val="single"/>
              </w:rPr>
              <w:t>投标人必须详细审阅全部招标文件及可行性研究报告等,充分考虑职责和义务,全面地理解招标文件对投标报价的要求,并按招标人提出的条件及内容进行报价。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3.3.1</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投标有效期</w:t>
            </w:r>
          </w:p>
        </w:tc>
        <w:tc>
          <w:tcPr>
            <w:tcW w:w="5871" w:type="dxa"/>
            <w:vAlign w:val="center"/>
          </w:tcPr>
          <w:p>
            <w:pPr>
              <w:spacing w:line="276" w:lineRule="auto"/>
              <w:ind w:firstLine="105" w:firstLineChars="50"/>
              <w:rPr>
                <w:rFonts w:ascii="宋体" w:hAnsi="宋体" w:cs="宋体"/>
                <w:szCs w:val="21"/>
              </w:rPr>
            </w:pPr>
            <w:r>
              <w:rPr>
                <w:rFonts w:hint="eastAsia" w:ascii="宋体" w:hAnsi="宋体" w:cs="宋体"/>
                <w:szCs w:val="21"/>
                <w:u w:val="single"/>
              </w:rPr>
              <w:t>120</w:t>
            </w:r>
            <w:r>
              <w:rPr>
                <w:rFonts w:hint="eastAsia" w:ascii="宋体" w:hAnsi="宋体" w:cs="宋体"/>
                <w:szCs w:val="21"/>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trPr>
        <w:tc>
          <w:tcPr>
            <w:tcW w:w="787"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3.4.1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投标保证金</w:t>
            </w:r>
          </w:p>
        </w:tc>
        <w:tc>
          <w:tcPr>
            <w:tcW w:w="5871" w:type="dxa"/>
            <w:vAlign w:val="center"/>
          </w:tcPr>
          <w:p>
            <w:pPr>
              <w:topLinePunct/>
              <w:rPr>
                <w:rFonts w:ascii="宋体" w:hAnsi="宋体" w:cs="宋体"/>
                <w:szCs w:val="21"/>
              </w:rPr>
            </w:pPr>
            <w:r>
              <w:rPr>
                <w:rFonts w:hint="eastAsia" w:ascii="宋体" w:hAnsi="宋体" w:cs="宋体"/>
                <w:szCs w:val="21"/>
              </w:rPr>
              <w:t>是否要求投标人递交投标保证金：</w:t>
            </w:r>
          </w:p>
          <w:p>
            <w:r>
              <w:rPr>
                <w:rFonts w:hint="eastAsia" w:ascii="宋体" w:hAnsi="宋体" w:cs="宋体"/>
                <w:szCs w:val="21"/>
              </w:rPr>
              <w:t>□要求</w:t>
            </w:r>
          </w:p>
          <w:p>
            <w:r>
              <w:rPr>
                <w:rFonts w:hint="eastAsia" w:ascii="宋体" w:hAnsi="宋体" w:cs="宋体"/>
                <w:szCs w:val="21"/>
              </w:rPr>
              <w:t>■</w:t>
            </w:r>
            <w:r>
              <w:rPr>
                <w:rFonts w:hint="eastAsia" w:ascii="宋体" w:hAnsi="宋体"/>
                <w:spacing w:val="-1"/>
                <w:szCs w:val="21"/>
              </w:rPr>
              <w:t>不</w:t>
            </w:r>
            <w:r>
              <w:rPr>
                <w:rFonts w:hint="eastAsia" w:ascii="宋体" w:hAnsi="宋体" w:cs="宋体"/>
                <w:szCs w:val="21"/>
              </w:rPr>
              <w:t>要求</w:t>
            </w:r>
          </w:p>
          <w:p/>
          <w:p/>
          <w:p/>
          <w:p/>
          <w:p/>
          <w:p/>
          <w:p/>
          <w:p>
            <w:pPr>
              <w:topLinePunct/>
              <w:rPr>
                <w:rFonts w:ascii="宋体" w:hAnsi="宋体" w:cs="宋体"/>
                <w:szCs w:val="21"/>
              </w:rPr>
            </w:pPr>
          </w:p>
          <w:p>
            <w:pPr>
              <w:topLinePunct/>
              <w:rPr>
                <w:rFonts w:ascii="宋体" w:hAnsi="宋体" w:cs="宋体"/>
                <w:szCs w:val="21"/>
              </w:rPr>
            </w:pPr>
            <w:r>
              <w:rPr>
                <w:rFonts w:hint="eastAsia" w:ascii="宋体" w:hAnsi="宋体" w:cs="宋体"/>
                <w:szCs w:val="21"/>
              </w:rPr>
              <w:t>■</w:t>
            </w:r>
            <w:r>
              <w:rPr>
                <w:rFonts w:hint="eastAsia" w:ascii="宋体" w:hAnsi="宋体"/>
                <w:spacing w:val="-1"/>
                <w:szCs w:val="21"/>
              </w:rPr>
              <w:t>不</w:t>
            </w:r>
            <w:r>
              <w:rPr>
                <w:rFonts w:hint="eastAsia" w:ascii="宋体" w:hAnsi="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exact"/>
        </w:trPr>
        <w:tc>
          <w:tcPr>
            <w:tcW w:w="787" w:type="dxa"/>
            <w:vAlign w:val="center"/>
          </w:tcPr>
          <w:p>
            <w:pPr>
              <w:autoSpaceDE w:val="0"/>
              <w:autoSpaceDN w:val="0"/>
              <w:adjustRightInd w:val="0"/>
              <w:spacing w:line="276" w:lineRule="auto"/>
              <w:ind w:right="-20"/>
              <w:jc w:val="center"/>
              <w:rPr>
                <w:rFonts w:ascii="宋体" w:hAnsi="宋体" w:cs="宋体"/>
                <w:szCs w:val="21"/>
              </w:rPr>
            </w:pPr>
            <w:r>
              <w:rPr>
                <w:rFonts w:hint="eastAsia" w:ascii="宋体" w:hAnsi="宋体" w:cs="宋体"/>
                <w:szCs w:val="21"/>
              </w:rPr>
              <w:t>3.4.4</w:t>
            </w:r>
          </w:p>
        </w:tc>
        <w:tc>
          <w:tcPr>
            <w:tcW w:w="2441" w:type="dxa"/>
            <w:vAlign w:val="center"/>
          </w:tcPr>
          <w:p>
            <w:pPr>
              <w:autoSpaceDE w:val="0"/>
              <w:autoSpaceDN w:val="0"/>
              <w:adjustRightInd w:val="0"/>
              <w:spacing w:before="48" w:line="276" w:lineRule="auto"/>
              <w:ind w:right="-91"/>
              <w:jc w:val="center"/>
              <w:rPr>
                <w:rFonts w:ascii="宋体" w:hAnsi="宋体" w:cs="宋体"/>
                <w:szCs w:val="21"/>
              </w:rPr>
            </w:pPr>
            <w:r>
              <w:rPr>
                <w:rFonts w:hint="eastAsia" w:ascii="宋体" w:hAnsi="宋体" w:cs="宋体"/>
                <w:szCs w:val="21"/>
              </w:rPr>
              <w:t>其他可以不予退还投标保</w:t>
            </w:r>
          </w:p>
          <w:p>
            <w:pPr>
              <w:autoSpaceDE w:val="0"/>
              <w:autoSpaceDN w:val="0"/>
              <w:adjustRightInd w:val="0"/>
              <w:spacing w:before="48" w:line="276" w:lineRule="auto"/>
              <w:ind w:right="-91"/>
              <w:jc w:val="center"/>
              <w:rPr>
                <w:rFonts w:ascii="宋体" w:hAnsi="宋体" w:cs="宋体"/>
                <w:szCs w:val="21"/>
              </w:rPr>
            </w:pPr>
            <w:r>
              <w:rPr>
                <w:rFonts w:hint="eastAsia" w:ascii="宋体" w:hAnsi="宋体" w:cs="宋体"/>
                <w:szCs w:val="21"/>
              </w:rPr>
              <w:t>证金的情形</w:t>
            </w:r>
          </w:p>
        </w:tc>
        <w:tc>
          <w:tcPr>
            <w:tcW w:w="5871" w:type="dxa"/>
            <w:vAlign w:val="center"/>
          </w:tcPr>
          <w:p>
            <w:pPr>
              <w:autoSpaceDE w:val="0"/>
              <w:autoSpaceDN w:val="0"/>
              <w:adjustRightInd w:val="0"/>
              <w:spacing w:line="276" w:lineRule="auto"/>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3.5</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资格审查资料的特殊要求</w:t>
            </w:r>
          </w:p>
        </w:tc>
        <w:tc>
          <w:tcPr>
            <w:tcW w:w="5871" w:type="dxa"/>
            <w:vAlign w:val="center"/>
          </w:tcPr>
          <w:p>
            <w:pPr>
              <w:topLinePunct/>
              <w:spacing w:line="360" w:lineRule="auto"/>
              <w:rPr>
                <w:rFonts w:ascii="宋体" w:hAnsi="宋体"/>
                <w:szCs w:val="21"/>
              </w:rPr>
            </w:pPr>
            <w:r>
              <w:rPr>
                <w:rFonts w:hint="eastAsia" w:ascii="宋体" w:hAnsi="宋体"/>
                <w:szCs w:val="21"/>
              </w:rPr>
              <w:t>■无</w:t>
            </w:r>
          </w:p>
          <w:p>
            <w:pPr>
              <w:topLinePunct/>
              <w:spacing w:line="276" w:lineRule="auto"/>
              <w:rPr>
                <w:rFonts w:ascii="宋体" w:hAnsi="宋体" w:cs="宋体"/>
                <w:szCs w:val="21"/>
              </w:rPr>
            </w:pPr>
            <w:r>
              <w:rPr>
                <w:rFonts w:ascii="宋体" w:hAnsi="宋体"/>
                <w:szCs w:val="21"/>
              </w:rPr>
              <w:t>□</w:t>
            </w:r>
            <w:r>
              <w:rPr>
                <w:rFonts w:hint="eastAsia" w:ascii="宋体" w:hAnsi="宋体"/>
                <w:szCs w:val="21"/>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3.5.2</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近年财务状况的年份要求</w:t>
            </w:r>
          </w:p>
        </w:tc>
        <w:tc>
          <w:tcPr>
            <w:tcW w:w="5871" w:type="dxa"/>
            <w:vAlign w:val="center"/>
          </w:tcPr>
          <w:p>
            <w:pPr>
              <w:spacing w:line="276" w:lineRule="auto"/>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3.5.3</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近年完成的类似项目情况的时间要求</w:t>
            </w:r>
          </w:p>
        </w:tc>
        <w:tc>
          <w:tcPr>
            <w:tcW w:w="5871" w:type="dxa"/>
            <w:vAlign w:val="center"/>
          </w:tcPr>
          <w:p>
            <w:pPr>
              <w:spacing w:line="276" w:lineRule="auto"/>
              <w:ind w:firstLine="105" w:firstLineChars="50"/>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3.5.5</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近年发生的诉讼及仲裁情况的时间要求</w:t>
            </w:r>
          </w:p>
        </w:tc>
        <w:tc>
          <w:tcPr>
            <w:tcW w:w="5871" w:type="dxa"/>
            <w:vAlign w:val="center"/>
          </w:tcPr>
          <w:p>
            <w:pPr>
              <w:spacing w:line="276" w:lineRule="auto"/>
              <w:ind w:firstLine="105" w:firstLineChars="50"/>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3.6.1</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是否允许递交备选投标方案</w:t>
            </w:r>
          </w:p>
        </w:tc>
        <w:tc>
          <w:tcPr>
            <w:tcW w:w="5871" w:type="dxa"/>
            <w:vAlign w:val="center"/>
          </w:tcPr>
          <w:p>
            <w:pPr>
              <w:pStyle w:val="35"/>
              <w:spacing w:line="276" w:lineRule="auto"/>
              <w:jc w:val="both"/>
              <w:rPr>
                <w:rFonts w:ascii="宋体" w:hAnsi="宋体" w:eastAsia="宋体" w:cs="宋体"/>
                <w:sz w:val="21"/>
                <w:szCs w:val="21"/>
              </w:rPr>
            </w:pPr>
            <w:r>
              <w:rPr>
                <w:rFonts w:hint="eastAsia" w:ascii="宋体" w:hAnsi="宋体" w:eastAsia="宋体" w:cs="宋体"/>
                <w:sz w:val="21"/>
                <w:szCs w:val="21"/>
              </w:rPr>
              <w:t>■不允许</w:t>
            </w:r>
          </w:p>
          <w:p>
            <w:pPr>
              <w:pStyle w:val="35"/>
              <w:spacing w:line="276" w:lineRule="auto"/>
              <w:jc w:val="both"/>
              <w:rPr>
                <w:rFonts w:ascii="宋体" w:hAnsi="宋体" w:eastAsia="宋体" w:cs="宋体"/>
                <w:sz w:val="21"/>
                <w:szCs w:val="21"/>
              </w:rPr>
            </w:pPr>
            <w:r>
              <w:rPr>
                <w:rFonts w:hint="eastAsia" w:ascii="宋体" w:hAnsi="宋体" w:eastAsia="宋体" w:cs="宋体"/>
                <w:sz w:val="2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exact"/>
        </w:trPr>
        <w:tc>
          <w:tcPr>
            <w:tcW w:w="787" w:type="dxa"/>
            <w:vAlign w:val="center"/>
          </w:tcPr>
          <w:p>
            <w:pPr>
              <w:autoSpaceDE w:val="0"/>
              <w:autoSpaceDN w:val="0"/>
              <w:adjustRightInd w:val="0"/>
              <w:spacing w:line="276" w:lineRule="auto"/>
              <w:ind w:right="-79"/>
              <w:jc w:val="center"/>
              <w:rPr>
                <w:rFonts w:ascii="宋体" w:hAnsi="宋体" w:cs="宋体"/>
                <w:szCs w:val="21"/>
              </w:rPr>
            </w:pPr>
            <w:r>
              <w:rPr>
                <w:rFonts w:hint="eastAsia" w:ascii="宋体" w:hAnsi="宋体" w:cs="宋体"/>
                <w:szCs w:val="21"/>
              </w:rPr>
              <w:t>3.7.</w:t>
            </w:r>
            <w:r>
              <w:rPr>
                <w:rFonts w:hint="eastAsia" w:ascii="宋体" w:hAnsi="宋体" w:cs="宋体"/>
                <w:spacing w:val="-2"/>
                <w:szCs w:val="21"/>
              </w:rPr>
              <w:t>3</w:t>
            </w:r>
            <w:r>
              <w:rPr>
                <w:rFonts w:hint="eastAsia" w:ascii="宋体" w:hAnsi="宋体" w:cs="宋体"/>
                <w:spacing w:val="-42"/>
                <w:szCs w:val="21"/>
              </w:rPr>
              <w:t>A</w:t>
            </w:r>
            <w:r>
              <w:rPr>
                <w:rFonts w:hint="eastAsia" w:ascii="宋体" w:hAnsi="宋体" w:cs="宋体"/>
                <w:szCs w:val="21"/>
              </w:rPr>
              <w:t>（</w:t>
            </w:r>
            <w:r>
              <w:rPr>
                <w:rFonts w:hint="eastAsia" w:ascii="宋体" w:hAnsi="宋体" w:cs="宋体"/>
                <w:spacing w:val="-2"/>
                <w:szCs w:val="21"/>
              </w:rPr>
              <w:t>2</w:t>
            </w:r>
            <w:r>
              <w:rPr>
                <w:rFonts w:hint="eastAsia" w:ascii="宋体" w:hAnsi="宋体" w:cs="宋体"/>
                <w:szCs w:val="21"/>
              </w:rPr>
              <w:t>）</w:t>
            </w:r>
          </w:p>
        </w:tc>
        <w:tc>
          <w:tcPr>
            <w:tcW w:w="2441" w:type="dxa"/>
          </w:tcPr>
          <w:p>
            <w:pPr>
              <w:autoSpaceDE w:val="0"/>
              <w:autoSpaceDN w:val="0"/>
              <w:adjustRightInd w:val="0"/>
              <w:spacing w:before="48" w:line="276" w:lineRule="auto"/>
              <w:ind w:right="-91"/>
              <w:jc w:val="center"/>
              <w:rPr>
                <w:rFonts w:ascii="宋体" w:hAnsi="宋体" w:cs="宋体"/>
                <w:szCs w:val="21"/>
              </w:rPr>
            </w:pPr>
            <w:r>
              <w:rPr>
                <w:rFonts w:hint="eastAsia" w:ascii="宋体" w:hAnsi="宋体" w:cs="宋体"/>
                <w:szCs w:val="21"/>
              </w:rPr>
              <w:t>投标文件副本份数及其他要求</w:t>
            </w:r>
          </w:p>
        </w:tc>
        <w:tc>
          <w:tcPr>
            <w:tcW w:w="5871" w:type="dxa"/>
            <w:vAlign w:val="center"/>
          </w:tcPr>
          <w:p>
            <w:pPr>
              <w:autoSpaceDE w:val="0"/>
              <w:autoSpaceDN w:val="0"/>
              <w:adjustRightInd w:val="0"/>
              <w:spacing w:before="61" w:line="276" w:lineRule="auto"/>
              <w:ind w:left="103" w:right="-20"/>
              <w:rPr>
                <w:rFonts w:ascii="宋体" w:hAnsi="宋体" w:cs="宋体"/>
                <w:szCs w:val="21"/>
              </w:rPr>
            </w:pPr>
            <w:r>
              <w:rPr>
                <w:rFonts w:hint="eastAsia" w:ascii="宋体" w:hAnsi="宋体" w:cs="宋体"/>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exact"/>
        </w:trPr>
        <w:tc>
          <w:tcPr>
            <w:tcW w:w="787" w:type="dxa"/>
            <w:vAlign w:val="center"/>
          </w:tcPr>
          <w:p>
            <w:pPr>
              <w:autoSpaceDE w:val="0"/>
              <w:autoSpaceDN w:val="0"/>
              <w:adjustRightInd w:val="0"/>
              <w:spacing w:line="276" w:lineRule="auto"/>
              <w:ind w:right="-79"/>
              <w:rPr>
                <w:rFonts w:ascii="宋体" w:hAnsi="宋体" w:cs="宋体"/>
                <w:szCs w:val="21"/>
              </w:rPr>
            </w:pPr>
            <w:r>
              <w:rPr>
                <w:rFonts w:hint="eastAsia" w:ascii="宋体" w:hAnsi="宋体" w:cs="宋体"/>
                <w:szCs w:val="21"/>
              </w:rPr>
              <w:t>3.7.</w:t>
            </w:r>
            <w:r>
              <w:rPr>
                <w:rFonts w:hint="eastAsia" w:ascii="宋体" w:hAnsi="宋体" w:cs="宋体"/>
                <w:spacing w:val="-2"/>
                <w:szCs w:val="21"/>
              </w:rPr>
              <w:t>3</w:t>
            </w:r>
            <w:r>
              <w:rPr>
                <w:rFonts w:hint="eastAsia" w:ascii="宋体" w:hAnsi="宋体" w:cs="宋体"/>
                <w:spacing w:val="-42"/>
                <w:szCs w:val="21"/>
              </w:rPr>
              <w:t>A</w:t>
            </w:r>
            <w:r>
              <w:rPr>
                <w:rFonts w:hint="eastAsia" w:ascii="宋体" w:hAnsi="宋体" w:cs="宋体"/>
                <w:szCs w:val="21"/>
              </w:rPr>
              <w:t>（</w:t>
            </w:r>
            <w:r>
              <w:rPr>
                <w:rFonts w:hint="eastAsia" w:ascii="宋体" w:hAnsi="宋体" w:cs="宋体"/>
                <w:spacing w:val="-2"/>
                <w:szCs w:val="21"/>
              </w:rPr>
              <w:t>3</w:t>
            </w:r>
            <w:r>
              <w:rPr>
                <w:rFonts w:hint="eastAsia" w:ascii="宋体" w:hAnsi="宋体" w:cs="宋体"/>
                <w:szCs w:val="21"/>
              </w:rPr>
              <w:t>）</w:t>
            </w:r>
          </w:p>
        </w:tc>
        <w:tc>
          <w:tcPr>
            <w:tcW w:w="2441" w:type="dxa"/>
          </w:tcPr>
          <w:p>
            <w:pPr>
              <w:autoSpaceDE w:val="0"/>
              <w:autoSpaceDN w:val="0"/>
              <w:adjustRightInd w:val="0"/>
              <w:spacing w:before="48" w:line="276" w:lineRule="auto"/>
              <w:ind w:right="-91"/>
              <w:jc w:val="center"/>
              <w:rPr>
                <w:rFonts w:ascii="宋体" w:hAnsi="宋体" w:cs="宋体"/>
                <w:szCs w:val="21"/>
              </w:rPr>
            </w:pPr>
            <w:r>
              <w:rPr>
                <w:rFonts w:hint="eastAsia" w:ascii="宋体" w:hAnsi="宋体" w:cs="宋体"/>
                <w:szCs w:val="21"/>
              </w:rPr>
              <w:t>投标文件是否需分册装订</w:t>
            </w:r>
          </w:p>
        </w:tc>
        <w:tc>
          <w:tcPr>
            <w:tcW w:w="5871" w:type="dxa"/>
            <w:vAlign w:val="center"/>
          </w:tcPr>
          <w:p>
            <w:pPr>
              <w:autoSpaceDE w:val="0"/>
              <w:autoSpaceDN w:val="0"/>
              <w:adjustRightInd w:val="0"/>
              <w:spacing w:before="61" w:line="276" w:lineRule="auto"/>
              <w:ind w:left="103" w:right="-20"/>
              <w:rPr>
                <w:rFonts w:ascii="宋体" w:hAnsi="宋体" w:cs="宋体"/>
                <w:szCs w:val="21"/>
              </w:rPr>
            </w:pPr>
            <w:r>
              <w:rPr>
                <w:rFonts w:hint="eastAsia" w:ascii="宋体" w:hAnsi="宋体" w:cs="宋体"/>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exact"/>
        </w:trPr>
        <w:tc>
          <w:tcPr>
            <w:tcW w:w="787" w:type="dxa"/>
            <w:vAlign w:val="center"/>
          </w:tcPr>
          <w:p>
            <w:pPr>
              <w:spacing w:line="276" w:lineRule="auto"/>
              <w:jc w:val="center"/>
              <w:rPr>
                <w:rFonts w:ascii="宋体" w:hAnsi="宋体" w:cs="宋体"/>
                <w:szCs w:val="21"/>
              </w:rPr>
            </w:pPr>
            <w:r>
              <w:rPr>
                <w:rFonts w:hint="eastAsia" w:ascii="宋体" w:hAnsi="宋体" w:cs="宋体"/>
                <w:szCs w:val="21"/>
              </w:rPr>
              <w:t>3.7.3（B）</w:t>
            </w:r>
          </w:p>
        </w:tc>
        <w:tc>
          <w:tcPr>
            <w:tcW w:w="2441" w:type="dxa"/>
            <w:vAlign w:val="center"/>
          </w:tcPr>
          <w:p>
            <w:pPr>
              <w:spacing w:line="276" w:lineRule="auto"/>
              <w:jc w:val="center"/>
              <w:rPr>
                <w:rFonts w:ascii="宋体" w:hAnsi="宋体" w:cs="宋体"/>
                <w:szCs w:val="21"/>
              </w:rPr>
            </w:pPr>
            <w:r>
              <w:rPr>
                <w:rFonts w:hint="eastAsia" w:ascii="宋体" w:hAnsi="宋体" w:cs="宋体"/>
                <w:szCs w:val="21"/>
              </w:rPr>
              <w:t>投标文件所附证书证件要求</w:t>
            </w:r>
          </w:p>
        </w:tc>
        <w:tc>
          <w:tcPr>
            <w:tcW w:w="5871" w:type="dxa"/>
            <w:vAlign w:val="center"/>
          </w:tcPr>
          <w:p>
            <w:pPr>
              <w:pStyle w:val="8"/>
              <w:topLinePunct/>
              <w:spacing w:line="276" w:lineRule="auto"/>
              <w:rPr>
                <w:rFonts w:hAnsi="宋体" w:cs="宋体"/>
                <w:sz w:val="21"/>
                <w:szCs w:val="21"/>
              </w:rPr>
            </w:pPr>
            <w:r>
              <w:rPr>
                <w:rFonts w:hint="eastAsia" w:hAnsi="宋体" w:cs="宋体"/>
                <w:sz w:val="21"/>
                <w:szCs w:val="21"/>
              </w:rPr>
              <w:t>证书证件需为清晰扫描件，并采用单位数字证书，按照招标文件要求在相应位置加盖电子印章。具体详见第六章的勘察设计投标文件编制要求。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3" w:hRule="exact"/>
        </w:trPr>
        <w:tc>
          <w:tcPr>
            <w:tcW w:w="787" w:type="dxa"/>
            <w:vAlign w:val="center"/>
          </w:tcPr>
          <w:p>
            <w:pPr>
              <w:snapToGrid w:val="0"/>
              <w:spacing w:line="276" w:lineRule="auto"/>
              <w:jc w:val="center"/>
              <w:rPr>
                <w:rFonts w:ascii="宋体" w:hAnsi="宋体" w:cs="宋体"/>
                <w:szCs w:val="21"/>
              </w:rPr>
            </w:pPr>
            <w:r>
              <w:rPr>
                <w:rFonts w:hint="eastAsia" w:ascii="宋体" w:hAnsi="宋体" w:cs="宋体"/>
                <w:szCs w:val="21"/>
              </w:rPr>
              <w:t>3.7.3（B）</w:t>
            </w:r>
          </w:p>
        </w:tc>
        <w:tc>
          <w:tcPr>
            <w:tcW w:w="2441" w:type="dxa"/>
            <w:vAlign w:val="center"/>
          </w:tcPr>
          <w:p>
            <w:pPr>
              <w:snapToGrid w:val="0"/>
              <w:spacing w:line="276" w:lineRule="auto"/>
              <w:jc w:val="center"/>
              <w:rPr>
                <w:rFonts w:ascii="宋体" w:hAnsi="宋体" w:cs="宋体"/>
                <w:szCs w:val="21"/>
              </w:rPr>
            </w:pPr>
            <w:r>
              <w:rPr>
                <w:rFonts w:hint="eastAsia" w:ascii="宋体" w:hAnsi="宋体" w:cs="宋体"/>
                <w:szCs w:val="21"/>
              </w:rPr>
              <w:t>投标文件签字或盖章要求</w:t>
            </w:r>
          </w:p>
        </w:tc>
        <w:tc>
          <w:tcPr>
            <w:tcW w:w="5871" w:type="dxa"/>
            <w:vAlign w:val="center"/>
          </w:tcPr>
          <w:p>
            <w:pPr>
              <w:pStyle w:val="8"/>
              <w:topLinePunct/>
              <w:snapToGrid w:val="0"/>
              <w:spacing w:line="276" w:lineRule="auto"/>
              <w:rPr>
                <w:rFonts w:hAnsi="宋体" w:cs="宋体"/>
                <w:sz w:val="21"/>
                <w:szCs w:val="21"/>
              </w:rPr>
            </w:pPr>
            <w:r>
              <w:rPr>
                <w:rFonts w:hint="eastAsia" w:hAnsi="宋体" w:cs="宋体"/>
                <w:sz w:val="21"/>
                <w:szCs w:val="21"/>
              </w:rPr>
              <w:t>投标文件全部采用电子文档，投标文件所附证书证件均为清晰扫描件，并采用单位数字证书，按招标文件要求在相应位置加盖电子印章。投标文件中需个人签字或盖章的，应加盖个人电子印章或在线下完成后扫描上传。投标文件按招标文件要求加盖单位电子印章，具体操作详见《房屋建筑和市政基础设施工程全流程电子化项目专章》。</w:t>
            </w:r>
          </w:p>
          <w:p>
            <w:pPr>
              <w:pStyle w:val="8"/>
              <w:topLinePunct/>
              <w:snapToGrid w:val="0"/>
              <w:spacing w:line="276" w:lineRule="auto"/>
              <w:rPr>
                <w:rFonts w:hAnsi="宋体" w:cs="宋体"/>
                <w:sz w:val="21"/>
                <w:szCs w:val="21"/>
              </w:rPr>
            </w:pPr>
            <w:r>
              <w:rPr>
                <w:rFonts w:hint="eastAsia" w:hAnsi="宋体" w:cs="宋体"/>
                <w:b/>
                <w:bCs/>
                <w:sz w:val="21"/>
                <w:szCs w:val="21"/>
              </w:rPr>
              <w:t>备注：联合体投标时，除《联合体协议书》必须由联合体各方分别按要求进行签字、盖章[法定代表人证明书及授权委托证明书可由联合体主办方出具（其中“单位”一栏可只填写联合体主办方名称）]外，其他资料若需要签字或盖章的均可由联合体主办方签字或盖章；其他内容及落款中的“投标人”、“声明企业”应填写联合体各方的单位全称【格式表示为：(主)单位全称(成)单位全称（成)单位全称】，由联合体主办方按格式要求签字或盖章即可。</w:t>
            </w:r>
          </w:p>
          <w:p>
            <w:pPr>
              <w:pStyle w:val="8"/>
              <w:topLinePunct/>
              <w:snapToGrid w:val="0"/>
              <w:spacing w:line="276" w:lineRule="auto"/>
              <w:rPr>
                <w:rFonts w:hAnsi="宋体" w:cs="宋体"/>
                <w:sz w:val="21"/>
                <w:szCs w:val="21"/>
              </w:rPr>
            </w:pPr>
          </w:p>
          <w:p>
            <w:pPr>
              <w:pStyle w:val="8"/>
              <w:topLinePunct/>
              <w:snapToGrid w:val="0"/>
              <w:spacing w:line="276" w:lineRule="auto"/>
              <w:rPr>
                <w:rFonts w:hAnsi="宋体" w:cs="宋体"/>
                <w:sz w:val="21"/>
                <w:szCs w:val="21"/>
              </w:rPr>
            </w:pPr>
          </w:p>
          <w:p>
            <w:pPr>
              <w:pStyle w:val="8"/>
              <w:topLinePunct/>
              <w:snapToGrid w:val="0"/>
              <w:spacing w:line="276" w:lineRule="auto"/>
              <w:rPr>
                <w:rFonts w:hAnsi="宋体" w:cs="宋体"/>
                <w:sz w:val="21"/>
                <w:szCs w:val="21"/>
              </w:rPr>
            </w:pPr>
          </w:p>
          <w:p>
            <w:pPr>
              <w:pStyle w:val="8"/>
              <w:topLinePunct/>
              <w:snapToGrid w:val="0"/>
              <w:spacing w:line="276" w:lineRule="auto"/>
              <w:rPr>
                <w:rFonts w:hAnsi="宋体" w:cs="宋体"/>
                <w:sz w:val="21"/>
                <w:szCs w:val="21"/>
              </w:rPr>
            </w:pPr>
          </w:p>
          <w:p>
            <w:pPr>
              <w:pStyle w:val="8"/>
              <w:topLinePunct/>
              <w:snapToGrid w:val="0"/>
              <w:spacing w:line="276" w:lineRule="auto"/>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4.1.1（B）</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投标文件加密要求</w:t>
            </w:r>
          </w:p>
        </w:tc>
        <w:tc>
          <w:tcPr>
            <w:tcW w:w="5871" w:type="dxa"/>
            <w:vAlign w:val="center"/>
          </w:tcPr>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网上递交的电子投标文件须进行加密。具体操作详见本项目招标公告附件《房屋建筑和市政工程全流程电子化项目专章（试用）》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exact"/>
        </w:trPr>
        <w:tc>
          <w:tcPr>
            <w:tcW w:w="787" w:type="dxa"/>
            <w:vAlign w:val="center"/>
          </w:tcPr>
          <w:p>
            <w:pPr>
              <w:pStyle w:val="35"/>
              <w:spacing w:line="276" w:lineRule="auto"/>
              <w:jc w:val="center"/>
              <w:rPr>
                <w:rFonts w:ascii="宋体" w:hAnsi="宋体" w:eastAsia="宋体" w:cs="宋体"/>
                <w:bCs/>
                <w:sz w:val="21"/>
                <w:szCs w:val="21"/>
              </w:rPr>
            </w:pPr>
            <w:r>
              <w:rPr>
                <w:rFonts w:hint="eastAsia" w:ascii="宋体" w:hAnsi="宋体" w:eastAsia="宋体" w:cs="宋体"/>
                <w:bCs/>
                <w:sz w:val="21"/>
                <w:szCs w:val="21"/>
              </w:rPr>
              <w:t>4.1.2</w:t>
            </w:r>
          </w:p>
        </w:tc>
        <w:tc>
          <w:tcPr>
            <w:tcW w:w="2441" w:type="dxa"/>
            <w:vAlign w:val="center"/>
          </w:tcPr>
          <w:p>
            <w:pPr>
              <w:pStyle w:val="35"/>
              <w:spacing w:line="276" w:lineRule="auto"/>
              <w:jc w:val="center"/>
              <w:rPr>
                <w:rFonts w:ascii="宋体" w:hAnsi="宋体" w:eastAsia="宋体" w:cs="宋体"/>
                <w:bCs/>
                <w:sz w:val="21"/>
                <w:szCs w:val="21"/>
              </w:rPr>
            </w:pPr>
            <w:r>
              <w:rPr>
                <w:rFonts w:hint="eastAsia" w:ascii="宋体" w:hAnsi="宋体" w:eastAsia="宋体" w:cs="宋体"/>
                <w:bCs/>
                <w:sz w:val="21"/>
                <w:szCs w:val="21"/>
              </w:rPr>
              <w:t>封套上应载明的信息</w:t>
            </w:r>
          </w:p>
        </w:tc>
        <w:tc>
          <w:tcPr>
            <w:tcW w:w="5871" w:type="dxa"/>
            <w:vAlign w:val="center"/>
          </w:tcPr>
          <w:p>
            <w:pPr>
              <w:rPr>
                <w:rFonts w:ascii="宋体" w:hAnsi="宋体" w:cs="宋体"/>
                <w:bCs/>
                <w:szCs w:val="21"/>
              </w:rPr>
            </w:pPr>
            <w:r>
              <w:rPr>
                <w:rFonts w:hint="eastAsia" w:ascii="宋体" w:hAnsi="宋体" w:cs="宋体"/>
                <w:bCs/>
                <w:szCs w:val="21"/>
              </w:rPr>
              <w:t>如有提交投标文件备用光盘，封套上应注明如下信息：</w:t>
            </w:r>
          </w:p>
          <w:p>
            <w:pPr>
              <w:rPr>
                <w:rFonts w:ascii="宋体" w:hAnsi="宋体" w:cs="宋体"/>
                <w:bCs/>
                <w:szCs w:val="21"/>
                <w:u w:val="single"/>
              </w:rPr>
            </w:pPr>
            <w:r>
              <w:rPr>
                <w:rFonts w:hint="eastAsia" w:ascii="宋体" w:hAnsi="宋体" w:cs="宋体"/>
                <w:bCs/>
                <w:szCs w:val="21"/>
              </w:rPr>
              <w:t>招标人名称：</w:t>
            </w:r>
            <w:r>
              <w:rPr>
                <w:rFonts w:hint="eastAsia" w:ascii="宋体" w:hAnsi="宋体" w:cs="宋体"/>
                <w:bCs/>
                <w:szCs w:val="21"/>
                <w:u w:val="single"/>
              </w:rPr>
              <w:t xml:space="preserve">                    </w:t>
            </w:r>
          </w:p>
          <w:p>
            <w:pPr>
              <w:rPr>
                <w:rFonts w:ascii="宋体" w:hAnsi="宋体" w:cs="宋体"/>
                <w:bCs/>
                <w:szCs w:val="21"/>
              </w:rPr>
            </w:pPr>
            <w:r>
              <w:rPr>
                <w:rFonts w:hint="eastAsia" w:ascii="宋体" w:hAnsi="宋体" w:cs="宋体"/>
                <w:bCs/>
                <w:szCs w:val="21"/>
              </w:rPr>
              <w:t>招标人地址：</w:t>
            </w:r>
            <w:r>
              <w:rPr>
                <w:rFonts w:hint="eastAsia" w:ascii="宋体" w:hAnsi="宋体" w:cs="宋体"/>
                <w:bCs/>
                <w:szCs w:val="21"/>
                <w:u w:val="single"/>
              </w:rPr>
              <w:t xml:space="preserve">                    </w:t>
            </w:r>
          </w:p>
          <w:p>
            <w:pPr>
              <w:rPr>
                <w:rFonts w:ascii="宋体" w:hAnsi="宋体" w:cs="宋体"/>
                <w:bCs/>
                <w:szCs w:val="21"/>
              </w:rPr>
            </w:pPr>
            <w:r>
              <w:rPr>
                <w:rFonts w:hint="eastAsia" w:ascii="宋体" w:hAnsi="宋体" w:cs="宋体"/>
                <w:bCs/>
                <w:szCs w:val="21"/>
              </w:rPr>
              <w:t xml:space="preserve"> </w:t>
            </w:r>
            <w:r>
              <w:rPr>
                <w:rFonts w:hint="eastAsia" w:ascii="宋体" w:hAnsi="宋体" w:cs="宋体"/>
                <w:bCs/>
                <w:szCs w:val="21"/>
                <w:u w:val="single"/>
              </w:rPr>
              <w:t xml:space="preserve">         （项目名称）        </w:t>
            </w:r>
            <w:r>
              <w:rPr>
                <w:rFonts w:hint="eastAsia" w:ascii="宋体" w:hAnsi="宋体" w:cs="宋体"/>
                <w:bCs/>
                <w:szCs w:val="21"/>
              </w:rPr>
              <w:t>投标文件</w:t>
            </w:r>
          </w:p>
          <w:p>
            <w:pPr>
              <w:rPr>
                <w:rFonts w:ascii="宋体" w:hAnsi="宋体" w:cs="宋体"/>
                <w:bCs/>
                <w:szCs w:val="21"/>
              </w:rPr>
            </w:pPr>
            <w:r>
              <w:rPr>
                <w:rFonts w:hint="eastAsia" w:ascii="宋体" w:hAnsi="宋体" w:cs="宋体"/>
                <w:bCs/>
                <w:szCs w:val="21"/>
              </w:rPr>
              <w:t>招标项目编号：</w:t>
            </w:r>
            <w:r>
              <w:rPr>
                <w:rFonts w:hint="eastAsia" w:ascii="宋体" w:hAnsi="宋体" w:cs="宋体"/>
                <w:bCs/>
                <w:szCs w:val="21"/>
                <w:u w:val="single"/>
              </w:rPr>
              <w:t xml:space="preserve">                    </w:t>
            </w:r>
          </w:p>
          <w:p>
            <w:pPr>
              <w:rPr>
                <w:rFonts w:ascii="宋体" w:hAnsi="宋体" w:cs="宋体"/>
                <w:bCs/>
                <w:szCs w:val="21"/>
              </w:rPr>
            </w:pPr>
            <w:r>
              <w:rPr>
                <w:rFonts w:hint="eastAsia" w:ascii="宋体" w:hAnsi="宋体" w:cs="宋体"/>
                <w:bCs/>
                <w:szCs w:val="21"/>
              </w:rPr>
              <w:t>在    年    月    日    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6"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4.2.1</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投标截止时间</w:t>
            </w:r>
          </w:p>
        </w:tc>
        <w:tc>
          <w:tcPr>
            <w:tcW w:w="5871" w:type="dxa"/>
            <w:vAlign w:val="center"/>
          </w:tcPr>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详见招标公告。 具体时间可以到广州交易集团有限公司（广州公共资源交易中心）交易平台“建设工程→项目查询（日程安排、答疑纪要）”输入本项目编号或项目名称进行查询。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4.2.2（</w:t>
            </w:r>
            <w:r>
              <w:rPr>
                <w:rFonts w:hint="eastAsia" w:ascii="宋体" w:hAnsi="宋体" w:eastAsia="宋体" w:cs="宋体"/>
                <w:sz w:val="21"/>
                <w:szCs w:val="21"/>
                <w:lang w:eastAsia="zh-CN"/>
              </w:rPr>
              <w:t>B</w:t>
            </w:r>
            <w:r>
              <w:rPr>
                <w:rFonts w:hint="eastAsia" w:ascii="宋体" w:hAnsi="宋体" w:eastAsia="宋体" w:cs="宋体"/>
                <w:sz w:val="21"/>
                <w:szCs w:val="21"/>
              </w:rPr>
              <w:t>）</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递交投标文件地点</w:t>
            </w:r>
          </w:p>
        </w:tc>
        <w:tc>
          <w:tcPr>
            <w:tcW w:w="5871" w:type="dxa"/>
            <w:vAlign w:val="center"/>
          </w:tcPr>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详见招标公告。 具体时间可以到广州交易集团有限公司（广州公共资源交易中心）交易平台“建设工程→项目查询（日程安排、答疑纪要）”输入本项目编号或项目名称进行查询。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4.2.3</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投标文件是否退还</w:t>
            </w:r>
          </w:p>
        </w:tc>
        <w:tc>
          <w:tcPr>
            <w:tcW w:w="5871" w:type="dxa"/>
            <w:vAlign w:val="center"/>
          </w:tcPr>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■否</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5.1（A）</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开标时间和地点</w:t>
            </w:r>
          </w:p>
        </w:tc>
        <w:tc>
          <w:tcPr>
            <w:tcW w:w="5871" w:type="dxa"/>
            <w:vAlign w:val="center"/>
          </w:tcPr>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同投标文件递交截止时间和递交备用光盘地点。</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具体时间和地点可以到广州交易集团有限公司（广州公共资源交易中心）交易平台“建设工程→项目查询（日程安排、答疑纪要）”输入本项目编号或项目名称进行查询。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8"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5.2（B）</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开标程序</w:t>
            </w:r>
          </w:p>
        </w:tc>
        <w:tc>
          <w:tcPr>
            <w:tcW w:w="5871" w:type="dxa"/>
            <w:vAlign w:val="center"/>
          </w:tcPr>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1.在投标截止时间后</w:t>
            </w:r>
            <w:r>
              <w:rPr>
                <w:rFonts w:hint="eastAsia" w:ascii="宋体" w:hAnsi="宋体" w:eastAsia="宋体" w:cs="宋体"/>
                <w:b/>
                <w:bCs/>
                <w:sz w:val="21"/>
                <w:szCs w:val="21"/>
                <w:lang w:eastAsia="zh-CN"/>
              </w:rPr>
              <w:t>半小时内</w:t>
            </w:r>
            <w:r>
              <w:rPr>
                <w:rFonts w:hint="eastAsia" w:ascii="宋体" w:hAnsi="宋体" w:eastAsia="宋体" w:cs="宋体"/>
                <w:sz w:val="21"/>
                <w:szCs w:val="21"/>
                <w:lang w:eastAsia="zh-CN"/>
              </w:rPr>
              <w:t>，投标人通过递交投标文件的交易平台对已递交的电子投标文件进行解密。投标人完成解密后，再由招标人进行解密。解密完成后，公布招标项目名称、投标人名称、开标信封文件和资格审查文件（如有）。未在规定时间内解密的投标文件不参与开标、评标。</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2.截标后，开标开始时间因故推迟的，相关评标信息仍以原定的开标开始时间的信息为准。</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3.备用光盘的读取按投标须知前附表第9点的规定执行。</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4.投标截止时间前未完成投标文件传输的或因投标人之外的原因造成投标文件未解密的，视为投标人撤回投标文件。因投标人原因造成投标文件未解密或未在规定的时间内解密的，视为撤销其投标文件。</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5.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6.参加现场开标的投标人对开标结果有异议的，应当在开标现场提出，招标人应当当场作出答复，并制作记录。</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7.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8.投标人未参加开标或在规定的时间内未提出异议的，视为对开标无异议。</w:t>
            </w:r>
          </w:p>
          <w:p>
            <w:pPr>
              <w:pStyle w:val="35"/>
              <w:spacing w:line="276" w:lineRule="auto"/>
              <w:rPr>
                <w:rFonts w:ascii="宋体" w:hAnsi="宋体" w:eastAsia="宋体" w:cs="宋体"/>
                <w:sz w:val="21"/>
                <w:szCs w:val="21"/>
                <w:lang w:eastAsia="zh-CN"/>
              </w:rPr>
            </w:pPr>
            <w:r>
              <w:rPr>
                <w:rFonts w:hint="eastAsia" w:ascii="宋体" w:hAnsi="宋体" w:eastAsia="宋体" w:cs="宋体"/>
                <w:sz w:val="21"/>
                <w:szCs w:val="21"/>
                <w:lang w:eastAsia="zh-CN"/>
              </w:rPr>
              <w:t>9.开标时，两个（含两个）以上的投标人加密打包投标文件电脑机器特征码一致的，不参与下一程序，并由评标委员会否决其投标。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6.1.1</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评标委员会的组建</w:t>
            </w:r>
          </w:p>
        </w:tc>
        <w:tc>
          <w:tcPr>
            <w:tcW w:w="5871" w:type="dxa"/>
            <w:vAlign w:val="center"/>
          </w:tcPr>
          <w:p>
            <w:pPr>
              <w:pStyle w:val="35"/>
              <w:tabs>
                <w:tab w:val="left" w:pos="2309"/>
                <w:tab w:val="left" w:pos="2729"/>
                <w:tab w:val="left" w:pos="3826"/>
              </w:tabs>
              <w:spacing w:line="276" w:lineRule="auto"/>
              <w:jc w:val="both"/>
              <w:rPr>
                <w:rFonts w:ascii="宋体" w:hAnsi="宋体" w:eastAsia="宋体" w:cs="宋体"/>
                <w:sz w:val="21"/>
                <w:szCs w:val="21"/>
                <w:u w:val="single"/>
                <w:lang w:eastAsia="zh-CN"/>
              </w:rPr>
            </w:pPr>
            <w:r>
              <w:rPr>
                <w:rFonts w:hint="eastAsia" w:ascii="宋体" w:hAnsi="宋体" w:eastAsia="宋体" w:cs="宋体"/>
                <w:sz w:val="21"/>
                <w:szCs w:val="21"/>
                <w:u w:val="single"/>
                <w:lang w:eastAsia="zh-CN"/>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6.3.2</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评标委员会推荐中标候选人的人数</w:t>
            </w:r>
          </w:p>
        </w:tc>
        <w:tc>
          <w:tcPr>
            <w:tcW w:w="5871" w:type="dxa"/>
            <w:vAlign w:val="center"/>
          </w:tcPr>
          <w:p>
            <w:pPr>
              <w:spacing w:line="276" w:lineRule="auto"/>
              <w:rPr>
                <w:rFonts w:ascii="宋体" w:hAnsi="宋体" w:cs="宋体"/>
                <w:szCs w:val="21"/>
                <w:u w:val="single"/>
              </w:rPr>
            </w:pPr>
            <w:r>
              <w:rPr>
                <w:rFonts w:hint="eastAsia" w:ascii="宋体" w:hAnsi="宋体" w:cs="宋体"/>
                <w:szCs w:val="21"/>
                <w:u w:val="single"/>
              </w:rPr>
              <w:t>推荐中标候选人3名。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7.1</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中标候选人公示媒介及期限</w:t>
            </w:r>
          </w:p>
        </w:tc>
        <w:tc>
          <w:tcPr>
            <w:tcW w:w="5871" w:type="dxa"/>
            <w:vAlign w:val="center"/>
          </w:tcPr>
          <w:p>
            <w:pPr>
              <w:pStyle w:val="35"/>
              <w:tabs>
                <w:tab w:val="left" w:pos="2100"/>
              </w:tabs>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公示媒介：中国招标投标公共服务平台、广东省招标投标监管网、广州交易集团有限公司（广州公共资源交易中心）</w:t>
            </w:r>
          </w:p>
          <w:p>
            <w:pPr>
              <w:pStyle w:val="35"/>
              <w:tabs>
                <w:tab w:val="left" w:pos="2100"/>
              </w:tabs>
              <w:spacing w:line="276" w:lineRule="auto"/>
              <w:jc w:val="both"/>
              <w:rPr>
                <w:rFonts w:ascii="宋体" w:hAnsi="宋体" w:eastAsia="宋体" w:cs="宋体"/>
                <w:sz w:val="21"/>
                <w:szCs w:val="21"/>
              </w:rPr>
            </w:pPr>
            <w:r>
              <w:rPr>
                <w:rFonts w:hint="eastAsia" w:ascii="宋体" w:hAnsi="宋体" w:eastAsia="宋体" w:cs="宋体"/>
                <w:spacing w:val="-2"/>
                <w:sz w:val="21"/>
                <w:szCs w:val="21"/>
              </w:rPr>
              <w:t>公示期限：</w:t>
            </w:r>
            <w:r>
              <w:rPr>
                <w:rFonts w:hint="eastAsia" w:ascii="宋体" w:hAnsi="宋体" w:eastAsia="宋体" w:cs="宋体"/>
                <w:spacing w:val="-2"/>
                <w:sz w:val="21"/>
                <w:szCs w:val="21"/>
                <w:u w:val="single" w:color="000000"/>
                <w:lang w:eastAsia="zh-CN"/>
              </w:rPr>
              <w:t>3</w:t>
            </w:r>
            <w:r>
              <w:rPr>
                <w:rFonts w:hint="eastAsia" w:ascii="宋体" w:hAnsi="宋体" w:eastAsia="宋体" w:cs="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7.4</w:t>
            </w:r>
          </w:p>
        </w:tc>
        <w:tc>
          <w:tcPr>
            <w:tcW w:w="2441" w:type="dxa"/>
            <w:vAlign w:val="center"/>
          </w:tcPr>
          <w:p>
            <w:pPr>
              <w:pStyle w:val="35"/>
              <w:spacing w:line="276"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是否授权评标委员会确定中标人</w:t>
            </w:r>
          </w:p>
        </w:tc>
        <w:tc>
          <w:tcPr>
            <w:tcW w:w="5871" w:type="dxa"/>
            <w:vAlign w:val="center"/>
          </w:tcPr>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□是</w:t>
            </w:r>
          </w:p>
          <w:p>
            <w:pPr>
              <w:pStyle w:val="35"/>
              <w:spacing w:line="276"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7.6</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技术成果经济补偿</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■不补偿：详见招标公告第6条。</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7.7.1</w:t>
            </w:r>
          </w:p>
        </w:tc>
        <w:tc>
          <w:tcPr>
            <w:tcW w:w="2441"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履约保证金</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是否要求中标人提交履约保证金：</w:t>
            </w:r>
          </w:p>
          <w:p>
            <w:pPr>
              <w:pStyle w:val="35"/>
              <w:jc w:val="both"/>
              <w:rPr>
                <w:rFonts w:ascii="宋体" w:hAnsi="宋体" w:eastAsia="宋体" w:cs="宋体"/>
                <w:color w:val="FF0000"/>
                <w:sz w:val="21"/>
                <w:szCs w:val="21"/>
                <w:u w:val="single"/>
                <w:lang w:eastAsia="zh-CN"/>
              </w:rPr>
            </w:pPr>
            <w:r>
              <w:rPr>
                <w:rFonts w:hint="eastAsia" w:ascii="宋体" w:hAnsi="宋体" w:eastAsia="宋体" w:cs="宋体"/>
                <w:sz w:val="21"/>
                <w:szCs w:val="21"/>
                <w:lang w:eastAsia="zh-CN"/>
              </w:rPr>
              <w:t>■要求，履约保证金的形式：</w:t>
            </w:r>
            <w:r>
              <w:rPr>
                <w:rFonts w:hint="eastAsia" w:ascii="宋体" w:hAnsi="宋体" w:eastAsia="宋体" w:cs="宋体"/>
                <w:sz w:val="21"/>
                <w:szCs w:val="21"/>
                <w:u w:val="single"/>
                <w:lang w:eastAsia="zh-CN"/>
              </w:rPr>
              <w:t>详见合同约定。</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履约保证金的金额：</w:t>
            </w:r>
            <w:r>
              <w:rPr>
                <w:rFonts w:hint="eastAsia" w:ascii="宋体" w:hAnsi="宋体" w:eastAsia="宋体" w:cs="宋体"/>
                <w:sz w:val="21"/>
                <w:szCs w:val="21"/>
                <w:u w:val="single"/>
                <w:lang w:eastAsia="zh-CN"/>
              </w:rPr>
              <w:t>合同价10%</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8"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9</w:t>
            </w:r>
          </w:p>
        </w:tc>
        <w:tc>
          <w:tcPr>
            <w:tcW w:w="2441"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是否采用电子招标投标</w:t>
            </w:r>
          </w:p>
        </w:tc>
        <w:tc>
          <w:tcPr>
            <w:tcW w:w="5871" w:type="dxa"/>
            <w:vAlign w:val="center"/>
          </w:tcPr>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□否</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■是，具体要求：</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1、具体操作详见附件《房屋建筑和市政基础设施工程全流程电子化项目专章》。</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2、提交投标文件光盘备用</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投标人将按《房屋建筑和市政基础设施工程全流程电子化项目专章》的操作方法制作的非加密的电子投标文件刻入光盘</w:t>
            </w:r>
            <w:r>
              <w:rPr>
                <w:rFonts w:hint="eastAsia" w:ascii="宋体" w:hAnsi="宋体" w:cs="宋体"/>
                <w:szCs w:val="21"/>
                <w:u w:val="single"/>
                <w:lang w:eastAsia="zh-CN"/>
              </w:rPr>
              <w:t xml:space="preserve">（1份） </w:t>
            </w:r>
            <w:r>
              <w:rPr>
                <w:rFonts w:hint="eastAsia" w:ascii="宋体" w:hAnsi="宋体" w:eastAsia="宋体" w:cs="宋体"/>
                <w:sz w:val="21"/>
                <w:szCs w:val="21"/>
                <w:lang w:eastAsia="zh-CN"/>
              </w:rPr>
              <w:t>，在规定的时间、地点提交备用。刻录好的投标文件光盘密封在密封袋中，并在封口处加盖投标人单位公章。密封袋上应写明的内容见投标人须知前附表要求4.1.2。递交的投标文件（光盘）不得加密。光盘（投标文件）无法读取或导入的，则视为未提交备用投标文件光盘。如果投标人没有按规定通过交易平台网上递交电子投标文件的，不再接受提交的光盘。</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3、补救方案</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（1）投标文件解密失败的补救方案：</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（2）评标时突发情况的补救方案</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若遇不可抗力发生（如：网络瘫痪、服务器损坏、交易系统故障短期无法恢复等因素），由评标委员会开启现场递交的全部投标文件光盘，并按光盘内容进行评审。</w:t>
            </w:r>
          </w:p>
          <w:p>
            <w:pPr>
              <w:pStyle w:val="35"/>
              <w:jc w:val="both"/>
              <w:rPr>
                <w:rFonts w:ascii="宋体" w:hAnsi="宋体" w:eastAsia="宋体" w:cs="宋体"/>
                <w:sz w:val="21"/>
                <w:szCs w:val="21"/>
                <w:lang w:eastAsia="zh-CN"/>
              </w:rPr>
            </w:pPr>
            <w:r>
              <w:rPr>
                <w:rFonts w:hint="eastAsia" w:ascii="宋体" w:hAnsi="宋体" w:eastAsia="宋体" w:cs="宋体"/>
                <w:sz w:val="21"/>
                <w:szCs w:val="21"/>
                <w:lang w:eastAsia="zh-CN"/>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exact"/>
        </w:trPr>
        <w:tc>
          <w:tcPr>
            <w:tcW w:w="787"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10</w:t>
            </w:r>
          </w:p>
        </w:tc>
        <w:tc>
          <w:tcPr>
            <w:tcW w:w="2441" w:type="dxa"/>
            <w:vAlign w:val="center"/>
          </w:tcPr>
          <w:p>
            <w:pPr>
              <w:pStyle w:val="35"/>
              <w:spacing w:line="276" w:lineRule="auto"/>
              <w:jc w:val="center"/>
              <w:rPr>
                <w:rFonts w:ascii="宋体" w:hAnsi="宋体" w:eastAsia="宋体" w:cs="宋体"/>
                <w:sz w:val="21"/>
                <w:szCs w:val="21"/>
              </w:rPr>
            </w:pPr>
            <w:r>
              <w:rPr>
                <w:rFonts w:hint="eastAsia" w:ascii="宋体" w:hAnsi="宋体" w:eastAsia="宋体" w:cs="宋体"/>
                <w:sz w:val="21"/>
                <w:szCs w:val="21"/>
              </w:rPr>
              <w:t>需要补充的其他内容</w:t>
            </w:r>
          </w:p>
        </w:tc>
        <w:tc>
          <w:tcPr>
            <w:tcW w:w="5871" w:type="dxa"/>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exact"/>
        </w:trPr>
        <w:tc>
          <w:tcPr>
            <w:tcW w:w="787" w:type="dxa"/>
            <w:vAlign w:val="center"/>
          </w:tcPr>
          <w:p>
            <w:pPr>
              <w:autoSpaceDE w:val="0"/>
              <w:autoSpaceDN w:val="0"/>
              <w:adjustRightInd w:val="0"/>
              <w:spacing w:line="276" w:lineRule="auto"/>
              <w:ind w:right="130"/>
              <w:jc w:val="center"/>
              <w:rPr>
                <w:rFonts w:ascii="宋体" w:hAnsi="宋体" w:cs="宋体"/>
                <w:szCs w:val="21"/>
              </w:rPr>
            </w:pPr>
            <w:r>
              <w:rPr>
                <w:rFonts w:hint="eastAsia" w:ascii="宋体" w:hAnsi="宋体" w:cs="宋体"/>
                <w:szCs w:val="21"/>
              </w:rPr>
              <w:t>10.1</w:t>
            </w:r>
          </w:p>
        </w:tc>
        <w:tc>
          <w:tcPr>
            <w:tcW w:w="2441" w:type="dxa"/>
          </w:tcPr>
          <w:p>
            <w:pPr>
              <w:autoSpaceDE w:val="0"/>
              <w:autoSpaceDN w:val="0"/>
              <w:adjustRightInd w:val="0"/>
              <w:spacing w:before="48" w:line="276" w:lineRule="auto"/>
              <w:ind w:right="354"/>
              <w:jc w:val="center"/>
              <w:rPr>
                <w:rFonts w:ascii="宋体" w:hAnsi="宋体" w:cs="宋体"/>
                <w:szCs w:val="21"/>
              </w:rPr>
            </w:pPr>
            <w:r>
              <w:rPr>
                <w:rFonts w:hint="eastAsia" w:ascii="宋体" w:hAnsi="宋体" w:cs="宋体"/>
                <w:szCs w:val="21"/>
              </w:rPr>
              <w:t>资格审查方式</w:t>
            </w:r>
          </w:p>
        </w:tc>
        <w:tc>
          <w:tcPr>
            <w:tcW w:w="5871" w:type="dxa"/>
          </w:tcPr>
          <w:p>
            <w:pPr>
              <w:autoSpaceDE w:val="0"/>
              <w:autoSpaceDN w:val="0"/>
              <w:adjustRightInd w:val="0"/>
              <w:spacing w:line="276" w:lineRule="auto"/>
              <w:ind w:left="67" w:leftChars="32"/>
              <w:rPr>
                <w:rFonts w:ascii="宋体" w:hAnsi="宋体" w:cs="宋体"/>
                <w:szCs w:val="21"/>
              </w:rPr>
            </w:pPr>
            <w:r>
              <w:rPr>
                <w:rFonts w:hint="eastAsia" w:ascii="宋体" w:hAnsi="宋体" w:cs="宋体"/>
                <w:szCs w:val="21"/>
              </w:rPr>
              <w:t>本招标项目采用全电子化资格后审方式，具体要求详见《房屋建筑和市政基础设施工程全流程电子化项目专章》。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6" w:hRule="exact"/>
        </w:trPr>
        <w:tc>
          <w:tcPr>
            <w:tcW w:w="787" w:type="dxa"/>
            <w:vAlign w:val="center"/>
          </w:tcPr>
          <w:p>
            <w:pPr>
              <w:spacing w:line="276" w:lineRule="auto"/>
              <w:jc w:val="center"/>
              <w:rPr>
                <w:rFonts w:ascii="宋体" w:hAnsi="宋体" w:cs="宋体"/>
                <w:szCs w:val="21"/>
              </w:rPr>
            </w:pPr>
            <w:r>
              <w:rPr>
                <w:rFonts w:hint="eastAsia" w:ascii="宋体" w:hAnsi="宋体" w:cs="宋体"/>
                <w:szCs w:val="21"/>
              </w:rPr>
              <w:t>10.2</w:t>
            </w:r>
          </w:p>
        </w:tc>
        <w:tc>
          <w:tcPr>
            <w:tcW w:w="2441" w:type="dxa"/>
            <w:vAlign w:val="center"/>
          </w:tcPr>
          <w:p>
            <w:pPr>
              <w:spacing w:line="276" w:lineRule="auto"/>
              <w:jc w:val="center"/>
              <w:rPr>
                <w:rFonts w:ascii="宋体" w:hAnsi="宋体" w:cs="宋体"/>
                <w:szCs w:val="21"/>
              </w:rPr>
            </w:pPr>
            <w:r>
              <w:rPr>
                <w:rFonts w:hint="eastAsia" w:ascii="宋体" w:hAnsi="宋体" w:cs="宋体"/>
                <w:szCs w:val="21"/>
              </w:rPr>
              <w:t>特别提示</w:t>
            </w:r>
          </w:p>
        </w:tc>
        <w:tc>
          <w:tcPr>
            <w:tcW w:w="5871" w:type="dxa"/>
            <w:vAlign w:val="center"/>
          </w:tcPr>
          <w:p>
            <w:pPr>
              <w:spacing w:line="276" w:lineRule="auto"/>
              <w:rPr>
                <w:rFonts w:ascii="宋体" w:hAnsi="宋体" w:cs="宋体"/>
                <w:szCs w:val="21"/>
              </w:rPr>
            </w:pPr>
            <w:r>
              <w:rPr>
                <w:rFonts w:ascii="宋体" w:hAnsi="宋体" w:cs="宋体"/>
                <w:szCs w:val="21"/>
              </w:rPr>
              <w:t>投标人在本项目招标人的工程项目中存在下列行为的，将被拒绝一年内参与我单位后续工程投标：（注：拒绝投标时限自招标人发出通知之日起计）</w:t>
            </w:r>
          </w:p>
          <w:p>
            <w:pPr>
              <w:spacing w:line="276" w:lineRule="auto"/>
              <w:rPr>
                <w:rFonts w:ascii="宋体" w:hAnsi="宋体" w:cs="宋体"/>
                <w:szCs w:val="21"/>
              </w:rPr>
            </w:pPr>
            <w:r>
              <w:rPr>
                <w:rFonts w:ascii="宋体" w:hAnsi="宋体" w:cs="宋体"/>
                <w:szCs w:val="21"/>
              </w:rPr>
              <w:t>（1）将中标工程转包或者违法分包的；</w:t>
            </w:r>
          </w:p>
          <w:p>
            <w:pPr>
              <w:spacing w:line="276" w:lineRule="auto"/>
              <w:rPr>
                <w:rFonts w:ascii="宋体" w:hAnsi="宋体" w:cs="宋体"/>
                <w:szCs w:val="21"/>
              </w:rPr>
            </w:pPr>
            <w:r>
              <w:rPr>
                <w:rFonts w:ascii="宋体" w:hAnsi="宋体" w:cs="宋体"/>
                <w:szCs w:val="21"/>
              </w:rPr>
              <w:t>（2）在中标工程中不执行质量、安全生产相关规定的，造成质量或安全事故的；</w:t>
            </w:r>
          </w:p>
          <w:p>
            <w:pPr>
              <w:spacing w:line="276" w:lineRule="auto"/>
              <w:rPr>
                <w:rFonts w:ascii="宋体" w:hAnsi="宋体" w:cs="宋体"/>
                <w:szCs w:val="21"/>
              </w:rPr>
            </w:pPr>
            <w:r>
              <w:rPr>
                <w:rFonts w:ascii="宋体" w:hAnsi="宋体" w:cs="宋体"/>
                <w:szCs w:val="21"/>
              </w:rPr>
              <w:t>（3）存在围标或串标情形的；</w:t>
            </w:r>
          </w:p>
          <w:p>
            <w:pPr>
              <w:spacing w:line="276" w:lineRule="auto"/>
              <w:rPr>
                <w:rFonts w:ascii="宋体" w:hAnsi="宋体" w:cs="宋体"/>
                <w:szCs w:val="21"/>
              </w:rPr>
            </w:pPr>
            <w:r>
              <w:rPr>
                <w:rFonts w:ascii="宋体" w:hAnsi="宋体" w:cs="宋体"/>
                <w:szCs w:val="21"/>
              </w:rPr>
              <w:t>（4）在投标文件中提供虚假材料的；</w:t>
            </w:r>
          </w:p>
          <w:p>
            <w:pPr>
              <w:spacing w:line="276" w:lineRule="auto"/>
              <w:rPr>
                <w:rFonts w:ascii="宋体" w:hAnsi="宋体" w:cs="宋体"/>
                <w:szCs w:val="21"/>
              </w:rPr>
            </w:pPr>
            <w:r>
              <w:rPr>
                <w:rFonts w:ascii="宋体" w:hAnsi="宋体" w:cs="宋体"/>
                <w:szCs w:val="21"/>
              </w:rPr>
              <w:t>（5）存在行贿情形的。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exact"/>
        </w:trPr>
        <w:tc>
          <w:tcPr>
            <w:tcW w:w="787" w:type="dxa"/>
            <w:vAlign w:val="center"/>
          </w:tcPr>
          <w:p>
            <w:pPr>
              <w:spacing w:line="276" w:lineRule="auto"/>
              <w:jc w:val="center"/>
              <w:rPr>
                <w:rFonts w:ascii="宋体" w:hAnsi="宋体" w:cs="宋体"/>
                <w:szCs w:val="21"/>
              </w:rPr>
            </w:pPr>
            <w:r>
              <w:rPr>
                <w:rFonts w:hint="eastAsia" w:ascii="宋体" w:hAnsi="宋体" w:cs="宋体"/>
                <w:szCs w:val="21"/>
              </w:rPr>
              <w:t>10.3</w:t>
            </w:r>
          </w:p>
        </w:tc>
        <w:tc>
          <w:tcPr>
            <w:tcW w:w="2441" w:type="dxa"/>
            <w:vAlign w:val="center"/>
          </w:tcPr>
          <w:p>
            <w:pPr>
              <w:spacing w:line="276" w:lineRule="auto"/>
              <w:jc w:val="center"/>
              <w:rPr>
                <w:rFonts w:ascii="宋体" w:hAnsi="宋体" w:cs="宋体"/>
                <w:szCs w:val="21"/>
                <w:u w:val="single"/>
              </w:rPr>
            </w:pPr>
            <w:r>
              <w:rPr>
                <w:rFonts w:hint="eastAsia" w:ascii="宋体" w:hAnsi="宋体" w:cs="宋体"/>
                <w:szCs w:val="21"/>
                <w:u w:val="single"/>
              </w:rPr>
              <w:t>招标失败的情形</w:t>
            </w:r>
          </w:p>
        </w:tc>
        <w:tc>
          <w:tcPr>
            <w:tcW w:w="5871" w:type="dxa"/>
            <w:vAlign w:val="center"/>
          </w:tcPr>
          <w:p>
            <w:pPr>
              <w:spacing w:line="276" w:lineRule="auto"/>
              <w:rPr>
                <w:rFonts w:ascii="宋体" w:hAnsi="宋体" w:cs="宋体"/>
                <w:szCs w:val="21"/>
                <w:u w:val="single"/>
              </w:rPr>
            </w:pPr>
            <w:r>
              <w:rPr>
                <w:rFonts w:hint="eastAsia" w:ascii="宋体" w:hAnsi="宋体" w:cs="宋体"/>
                <w:szCs w:val="21"/>
                <w:u w:val="single"/>
              </w:rPr>
              <w:t>本项目采用资格后审方式，满足资格审查合格条件或通过初步评审的投标申请人不足3名时为招标失败。招标人分析招标失败原因，修正招标方案，报有关管理部门核准后，重新组织招标。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exact"/>
        </w:trPr>
        <w:tc>
          <w:tcPr>
            <w:tcW w:w="787" w:type="dxa"/>
            <w:vAlign w:val="center"/>
          </w:tcPr>
          <w:p>
            <w:pPr>
              <w:spacing w:line="276" w:lineRule="auto"/>
              <w:jc w:val="center"/>
              <w:rPr>
                <w:rFonts w:ascii="宋体" w:hAnsi="宋体" w:cs="宋体"/>
                <w:szCs w:val="21"/>
              </w:rPr>
            </w:pPr>
            <w:r>
              <w:rPr>
                <w:rFonts w:hint="eastAsia" w:ascii="宋体" w:hAnsi="宋体" w:cs="宋体"/>
                <w:szCs w:val="21"/>
              </w:rPr>
              <w:t>10.4</w:t>
            </w:r>
          </w:p>
        </w:tc>
        <w:tc>
          <w:tcPr>
            <w:tcW w:w="2441" w:type="dxa"/>
            <w:vAlign w:val="center"/>
          </w:tcPr>
          <w:p>
            <w:pPr>
              <w:spacing w:line="276" w:lineRule="auto"/>
              <w:jc w:val="center"/>
              <w:rPr>
                <w:rFonts w:ascii="宋体" w:hAnsi="宋体" w:cs="宋体"/>
                <w:szCs w:val="21"/>
                <w:u w:val="single"/>
              </w:rPr>
            </w:pPr>
            <w:r>
              <w:rPr>
                <w:rFonts w:hint="eastAsia" w:ascii="宋体" w:hAnsi="宋体" w:cs="宋体"/>
                <w:szCs w:val="21"/>
                <w:u w:val="single"/>
              </w:rPr>
              <w:t>招标人拒绝接收其投标文件情况</w:t>
            </w:r>
          </w:p>
        </w:tc>
        <w:tc>
          <w:tcPr>
            <w:tcW w:w="5871" w:type="dxa"/>
            <w:vAlign w:val="center"/>
          </w:tcPr>
          <w:p>
            <w:pPr>
              <w:spacing w:line="276" w:lineRule="auto"/>
              <w:rPr>
                <w:rFonts w:ascii="宋体" w:hAnsi="宋体" w:cs="宋体"/>
                <w:szCs w:val="21"/>
                <w:u w:val="single"/>
              </w:rPr>
            </w:pPr>
            <w:r>
              <w:rPr>
                <w:rFonts w:hint="eastAsia" w:ascii="宋体" w:hAnsi="宋体" w:cs="宋体"/>
                <w:szCs w:val="21"/>
                <w:u w:val="single"/>
              </w:rPr>
              <w:t>招标人在本须知前附表第4.2.1项规定的投标截止时间以后收到的及不按照招标文件要求密封的投标文件将被拒绝并退回给投标人。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1" w:hRule="exact"/>
        </w:trPr>
        <w:tc>
          <w:tcPr>
            <w:tcW w:w="787" w:type="dxa"/>
            <w:vAlign w:val="center"/>
          </w:tcPr>
          <w:p>
            <w:pPr>
              <w:autoSpaceDE w:val="0"/>
              <w:autoSpaceDN w:val="0"/>
              <w:adjustRightInd w:val="0"/>
              <w:spacing w:before="4"/>
              <w:ind w:right="130"/>
              <w:jc w:val="center"/>
              <w:rPr>
                <w:rFonts w:ascii="宋体" w:hAnsi="宋体" w:cs="宋体"/>
                <w:szCs w:val="21"/>
              </w:rPr>
            </w:pPr>
            <w:r>
              <w:rPr>
                <w:rFonts w:hint="eastAsia" w:ascii="宋体" w:hAnsi="宋体" w:cs="宋体"/>
                <w:szCs w:val="21"/>
              </w:rPr>
              <w:t>10.5</w:t>
            </w:r>
          </w:p>
        </w:tc>
        <w:tc>
          <w:tcPr>
            <w:tcW w:w="2441" w:type="dxa"/>
            <w:vAlign w:val="center"/>
          </w:tcPr>
          <w:p>
            <w:pPr>
              <w:autoSpaceDE w:val="0"/>
              <w:autoSpaceDN w:val="0"/>
              <w:adjustRightInd w:val="0"/>
              <w:spacing w:before="48"/>
              <w:ind w:right="354"/>
              <w:jc w:val="center"/>
              <w:rPr>
                <w:rFonts w:ascii="宋体" w:hAnsi="宋体" w:cs="宋体"/>
                <w:szCs w:val="21"/>
              </w:rPr>
            </w:pPr>
            <w:r>
              <w:rPr>
                <w:rFonts w:hint="eastAsia" w:ascii="宋体" w:hAnsi="宋体" w:cs="宋体"/>
                <w:szCs w:val="21"/>
                <w:u w:val="single"/>
              </w:rPr>
              <w:t>否决投标</w:t>
            </w:r>
          </w:p>
        </w:tc>
        <w:tc>
          <w:tcPr>
            <w:tcW w:w="5871" w:type="dxa"/>
            <w:vAlign w:val="center"/>
          </w:tcPr>
          <w:p>
            <w:pPr>
              <w:ind w:left="40" w:leftChars="19" w:right="107" w:rightChars="51"/>
              <w:rPr>
                <w:rFonts w:ascii="宋体" w:hAnsi="宋体" w:cs="宋体"/>
                <w:szCs w:val="21"/>
                <w:u w:val="single"/>
              </w:rPr>
            </w:pPr>
            <w:r>
              <w:rPr>
                <w:rFonts w:hint="eastAsia" w:ascii="宋体" w:hAnsi="宋体" w:cs="宋体"/>
                <w:szCs w:val="21"/>
                <w:u w:val="single"/>
              </w:rPr>
              <w:t>10.5.1投标人有下列情况之一的，评标委员会应当否决其投标：</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(a) 投标人与招标人、评标委员会成员或者其他投标人串通投标；</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(b) 在投标截止期后逾期或未在广州交易集团有限公司（广州公共资源交易中心）数字交易平台（http://www.gzggzy.cn）递交电子投标文件的，电子招标投标交易平台将拒绝接收其投标文件。</w:t>
            </w:r>
          </w:p>
          <w:p>
            <w:pPr>
              <w:ind w:left="40" w:leftChars="19" w:right="107" w:rightChars="51"/>
              <w:rPr>
                <w:rFonts w:ascii="宋体" w:hAnsi="宋体" w:cs="宋体"/>
                <w:szCs w:val="21"/>
                <w:u w:val="single"/>
              </w:rPr>
            </w:pPr>
            <w:r>
              <w:rPr>
                <w:rFonts w:hint="eastAsia" w:ascii="宋体" w:hAnsi="宋体" w:cs="宋体"/>
                <w:szCs w:val="21"/>
                <w:u w:val="single"/>
              </w:rPr>
              <w:t>10.5.2投标书有下列情况之一的，评标委员会应当否决其投标：</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(a) 《投标书》未加盖投标人电子印章，也未经法定代表人或者其授权代表签字或签章；</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(b) 《投标书》包含有招标人不能接受的偏差，并且投标人拒绝书面撤回偏差。</w:t>
            </w:r>
          </w:p>
          <w:p>
            <w:pPr>
              <w:ind w:left="40" w:leftChars="19" w:right="107" w:rightChars="51"/>
              <w:rPr>
                <w:rFonts w:ascii="宋体" w:hAnsi="宋体" w:cs="宋体"/>
                <w:szCs w:val="21"/>
                <w:u w:val="single"/>
              </w:rPr>
            </w:pPr>
            <w:r>
              <w:rPr>
                <w:rFonts w:hint="eastAsia" w:ascii="宋体" w:hAnsi="宋体" w:cs="宋体"/>
                <w:szCs w:val="21"/>
                <w:u w:val="single"/>
              </w:rPr>
              <w:t>10.5.3投标文件有下列情况之一的，评标委员会应当否决其投标：</w:t>
            </w:r>
          </w:p>
          <w:p>
            <w:pPr>
              <w:ind w:right="107" w:rightChars="51" w:firstLine="420" w:firstLineChars="200"/>
              <w:rPr>
                <w:rFonts w:ascii="宋体" w:hAnsi="宋体" w:cs="宋体"/>
                <w:szCs w:val="21"/>
                <w:u w:val="single"/>
              </w:rPr>
            </w:pPr>
            <w:r>
              <w:rPr>
                <w:rFonts w:hint="eastAsia" w:ascii="宋体" w:hAnsi="宋体" w:cs="宋体"/>
                <w:szCs w:val="21"/>
                <w:u w:val="single"/>
              </w:rPr>
              <w:t>（a）有互相雷同的现象和串通投标的嫌疑；</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（b）投标报价高于最高投标限价总价、各分项限价及投标单价限价的。</w:t>
            </w:r>
          </w:p>
          <w:p>
            <w:pPr>
              <w:ind w:left="40" w:leftChars="19" w:right="107" w:rightChars="51"/>
              <w:rPr>
                <w:rFonts w:ascii="宋体" w:hAnsi="宋体" w:cs="宋体"/>
                <w:szCs w:val="21"/>
                <w:u w:val="single"/>
              </w:rPr>
            </w:pPr>
            <w:r>
              <w:rPr>
                <w:rFonts w:hint="eastAsia" w:ascii="宋体" w:hAnsi="宋体" w:cs="宋体"/>
                <w:szCs w:val="21"/>
                <w:u w:val="single"/>
              </w:rPr>
              <w:t>10.5.4投标文件如果隐瞒不符合评审标准的事实，一切法律责任由投标人承担。</w:t>
            </w:r>
          </w:p>
          <w:p>
            <w:pPr>
              <w:ind w:left="40" w:leftChars="19" w:right="107" w:rightChars="51"/>
              <w:rPr>
                <w:rFonts w:ascii="宋体" w:hAnsi="宋体" w:cs="宋体"/>
                <w:szCs w:val="21"/>
                <w:u w:val="single"/>
              </w:rPr>
            </w:pPr>
            <w:r>
              <w:rPr>
                <w:rFonts w:hint="eastAsia" w:ascii="宋体" w:hAnsi="宋体" w:cs="宋体"/>
                <w:szCs w:val="21"/>
                <w:u w:val="single"/>
              </w:rPr>
              <w:t>10.5.5资格审查</w:t>
            </w:r>
          </w:p>
          <w:p>
            <w:pPr>
              <w:ind w:left="40" w:leftChars="19" w:right="107" w:rightChars="51" w:firstLine="420" w:firstLineChars="200"/>
              <w:rPr>
                <w:rFonts w:ascii="宋体" w:hAnsi="宋体" w:cs="宋体"/>
                <w:szCs w:val="21"/>
                <w:u w:val="single"/>
              </w:rPr>
            </w:pPr>
            <w:r>
              <w:rPr>
                <w:rFonts w:hint="eastAsia" w:ascii="宋体" w:hAnsi="宋体" w:cs="宋体"/>
                <w:szCs w:val="21"/>
                <w:u w:val="single"/>
              </w:rPr>
              <w:t>（a）投标人的资格条件不满足招标公告第5条“投标人资格要求”所列的条件，则由评标委员会否决其投标，不予通过资格审查，不参与下一阶段的评审；（资格审查详见《评标办法前附表》）；</w:t>
            </w:r>
          </w:p>
          <w:p>
            <w:pPr>
              <w:ind w:left="40" w:leftChars="19" w:right="107" w:rightChars="51" w:firstLine="420" w:firstLineChars="200"/>
              <w:rPr>
                <w:rFonts w:ascii="宋体" w:hAnsi="宋体" w:cs="宋体"/>
                <w:szCs w:val="21"/>
              </w:rPr>
            </w:pPr>
            <w:r>
              <w:rPr>
                <w:rFonts w:hint="eastAsia" w:ascii="宋体" w:hAnsi="宋体" w:cs="宋体"/>
                <w:szCs w:val="21"/>
                <w:u w:val="single"/>
              </w:rPr>
              <w:t>（b）</w:t>
            </w:r>
            <w:r>
              <w:rPr>
                <w:rFonts w:hint="eastAsia" w:ascii="宋体" w:hAnsi="宋体" w:cs="宋体"/>
                <w:szCs w:val="21"/>
                <w:u w:val="single"/>
                <w:lang w:bidi="ar"/>
              </w:rPr>
              <w:t>满足资格审查合格条件或通过初步评审的投标人不足3名时为招标失败</w:t>
            </w:r>
            <w:r>
              <w:rPr>
                <w:rFonts w:hint="eastAsia" w:ascii="宋体" w:hAnsi="宋体" w:cs="宋体"/>
                <w:szCs w:val="21"/>
                <w:u w:val="single"/>
              </w:rPr>
              <w:t>，招标人应该依法重新组织招标。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trPr>
        <w:tc>
          <w:tcPr>
            <w:tcW w:w="787" w:type="dxa"/>
            <w:vAlign w:val="center"/>
          </w:tcPr>
          <w:p>
            <w:pPr>
              <w:autoSpaceDE w:val="0"/>
              <w:autoSpaceDN w:val="0"/>
              <w:adjustRightInd w:val="0"/>
              <w:spacing w:before="4"/>
              <w:ind w:right="130"/>
              <w:jc w:val="center"/>
              <w:rPr>
                <w:rFonts w:ascii="宋体" w:hAnsi="宋体" w:cs="宋体"/>
                <w:szCs w:val="21"/>
              </w:rPr>
            </w:pPr>
            <w:r>
              <w:rPr>
                <w:rFonts w:hint="eastAsia" w:ascii="宋体" w:hAnsi="宋体" w:cs="宋体"/>
                <w:szCs w:val="21"/>
              </w:rPr>
              <w:t>10.6</w:t>
            </w:r>
          </w:p>
        </w:tc>
        <w:tc>
          <w:tcPr>
            <w:tcW w:w="2441" w:type="dxa"/>
            <w:vAlign w:val="center"/>
          </w:tcPr>
          <w:p>
            <w:pPr>
              <w:spacing w:line="360" w:lineRule="auto"/>
              <w:jc w:val="center"/>
              <w:rPr>
                <w:rFonts w:ascii="宋体" w:hAnsi="宋体" w:cs="宋体"/>
                <w:szCs w:val="21"/>
                <w:u w:val="single"/>
              </w:rPr>
            </w:pPr>
            <w:r>
              <w:rPr>
                <w:rFonts w:hint="eastAsia" w:ascii="宋体" w:hAnsi="宋体"/>
                <w:color w:val="000000"/>
                <w:szCs w:val="21"/>
              </w:rPr>
              <w:t>送达</w:t>
            </w:r>
          </w:p>
        </w:tc>
        <w:tc>
          <w:tcPr>
            <w:tcW w:w="5871" w:type="dxa"/>
            <w:vAlign w:val="center"/>
          </w:tcPr>
          <w:p>
            <w:pPr>
              <w:spacing w:line="360" w:lineRule="auto"/>
              <w:rPr>
                <w:rFonts w:ascii="宋体" w:hAnsi="宋体" w:cs="宋体"/>
                <w:szCs w:val="21"/>
                <w:u w:val="single"/>
              </w:rPr>
            </w:pPr>
            <w:r>
              <w:rPr>
                <w:rFonts w:hint="eastAsia" w:ascii="宋体" w:hAnsi="宋体"/>
                <w:color w:val="000000"/>
                <w:szCs w:val="21"/>
              </w:rPr>
              <w:t>《投诉处理决定书》和《行政处理决定书》在广州市住房和城乡建设局网站上公布的，视为送达其他与决定书有关的当事人。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exact"/>
        </w:trPr>
        <w:tc>
          <w:tcPr>
            <w:tcW w:w="787" w:type="dxa"/>
            <w:vAlign w:val="center"/>
          </w:tcPr>
          <w:p>
            <w:pPr>
              <w:autoSpaceDE w:val="0"/>
              <w:autoSpaceDN w:val="0"/>
              <w:adjustRightInd w:val="0"/>
              <w:spacing w:before="4" w:line="276" w:lineRule="auto"/>
              <w:ind w:right="130"/>
              <w:jc w:val="center"/>
              <w:rPr>
                <w:rFonts w:ascii="宋体" w:hAnsi="宋体" w:cs="宋体"/>
                <w:szCs w:val="21"/>
              </w:rPr>
            </w:pPr>
            <w:r>
              <w:rPr>
                <w:rFonts w:hint="eastAsia" w:ascii="宋体" w:hAnsi="宋体" w:cs="宋体"/>
                <w:szCs w:val="21"/>
              </w:rPr>
              <w:t>10.7</w:t>
            </w:r>
          </w:p>
        </w:tc>
        <w:tc>
          <w:tcPr>
            <w:tcW w:w="2441" w:type="dxa"/>
            <w:vAlign w:val="center"/>
          </w:tcPr>
          <w:p>
            <w:pPr>
              <w:spacing w:line="276" w:lineRule="auto"/>
              <w:ind w:left="40" w:leftChars="19" w:right="107" w:rightChars="51"/>
              <w:jc w:val="center"/>
              <w:rPr>
                <w:rFonts w:ascii="宋体" w:hAnsi="宋体" w:cs="宋体"/>
                <w:szCs w:val="21"/>
              </w:rPr>
            </w:pPr>
            <w:r>
              <w:rPr>
                <w:rFonts w:hint="eastAsia" w:ascii="宋体" w:hAnsi="宋体" w:cs="宋体"/>
                <w:szCs w:val="21"/>
                <w:u w:val="single"/>
              </w:rPr>
              <w:t>投标文件份数</w:t>
            </w:r>
          </w:p>
        </w:tc>
        <w:tc>
          <w:tcPr>
            <w:tcW w:w="5871" w:type="dxa"/>
            <w:vAlign w:val="center"/>
          </w:tcPr>
          <w:p>
            <w:pPr>
              <w:spacing w:line="276" w:lineRule="auto"/>
              <w:ind w:left="40" w:leftChars="19" w:right="107" w:rightChars="51"/>
              <w:rPr>
                <w:rFonts w:ascii="宋体" w:hAnsi="宋体" w:cs="宋体"/>
                <w:szCs w:val="21"/>
              </w:rPr>
            </w:pPr>
            <w:r>
              <w:rPr>
                <w:rFonts w:hint="eastAsia" w:ascii="宋体" w:hAnsi="宋体" w:cs="宋体"/>
                <w:szCs w:val="21"/>
                <w:u w:val="single"/>
              </w:rPr>
              <w:t>领取中标通知书后，签订合同签前，中标人须向招标人提供独立装订成册的纸质投标文件一式五份，纸质投标文件内容须与投标时提交的电子投标文件内容一致。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3" w:hRule="exact"/>
        </w:trPr>
        <w:tc>
          <w:tcPr>
            <w:tcW w:w="787" w:type="dxa"/>
            <w:vAlign w:val="center"/>
          </w:tcPr>
          <w:p>
            <w:pPr>
              <w:spacing w:line="360" w:lineRule="auto"/>
              <w:jc w:val="center"/>
              <w:rPr>
                <w:rFonts w:ascii="宋体" w:hAnsi="宋体" w:cs="宋体"/>
                <w:szCs w:val="21"/>
              </w:rPr>
            </w:pPr>
            <w:r>
              <w:rPr>
                <w:rFonts w:hint="eastAsia" w:ascii="宋体" w:hAnsi="宋体"/>
                <w:szCs w:val="21"/>
              </w:rPr>
              <w:t>10.8</w:t>
            </w:r>
          </w:p>
        </w:tc>
        <w:tc>
          <w:tcPr>
            <w:tcW w:w="2441" w:type="dxa"/>
            <w:vAlign w:val="center"/>
          </w:tcPr>
          <w:p>
            <w:pPr>
              <w:spacing w:line="360" w:lineRule="auto"/>
              <w:jc w:val="center"/>
              <w:rPr>
                <w:rFonts w:ascii="宋体" w:hAnsi="宋体" w:cs="宋体"/>
                <w:szCs w:val="21"/>
                <w:u w:val="single"/>
              </w:rPr>
            </w:pPr>
            <w:r>
              <w:rPr>
                <w:rFonts w:hint="eastAsia" w:ascii="宋体" w:hAnsi="宋体"/>
                <w:szCs w:val="21"/>
              </w:rPr>
              <w:t>其他费用</w:t>
            </w:r>
          </w:p>
        </w:tc>
        <w:tc>
          <w:tcPr>
            <w:tcW w:w="5871" w:type="dxa"/>
            <w:vAlign w:val="center"/>
          </w:tcPr>
          <w:p>
            <w:pPr>
              <w:spacing w:line="360" w:lineRule="auto"/>
              <w:ind w:left="132" w:leftChars="63" w:right="105" w:rightChars="5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）交易服务费：中标人代缴广州交易集团有限公司交易服务费，由广州交易集团有限公司向中标人开具增值税发票，其费用在承包人第一次请款时一并申请。</w:t>
            </w:r>
          </w:p>
          <w:p>
            <w:pPr>
              <w:spacing w:line="360" w:lineRule="auto"/>
              <w:ind w:left="132" w:leftChars="63" w:right="105" w:rightChars="50"/>
              <w:rPr>
                <w:rFonts w:ascii="宋体" w:hAnsi="宋体" w:cs="宋体"/>
                <w:szCs w:val="21"/>
                <w:u w:val="single"/>
              </w:rPr>
            </w:pPr>
            <w:r>
              <w:rPr>
                <w:rFonts w:hint="eastAsia" w:ascii="宋体" w:hAnsi="宋体" w:cs="宋体"/>
                <w:szCs w:val="21"/>
              </w:rPr>
              <w:t>（</w:t>
            </w:r>
            <w:r>
              <w:rPr>
                <w:rFonts w:ascii="宋体" w:hAnsi="宋体" w:cs="宋体"/>
                <w:szCs w:val="21"/>
              </w:rPr>
              <w:t>2</w:t>
            </w:r>
            <w:r>
              <w:rPr>
                <w:rFonts w:hint="eastAsia" w:ascii="宋体" w:hAnsi="宋体" w:cs="宋体"/>
                <w:szCs w:val="21"/>
              </w:rPr>
              <w:t>）招标代理费：由招标人支付给招标代理。</w:t>
            </w:r>
          </w:p>
        </w:tc>
      </w:tr>
    </w:tbl>
    <w:p>
      <w:pPr>
        <w:spacing w:line="443" w:lineRule="exact"/>
        <w:ind w:right="44"/>
      </w:pPr>
    </w:p>
    <w:p>
      <w:pPr>
        <w:spacing w:line="360" w:lineRule="auto"/>
        <w:rPr>
          <w:rFonts w:ascii="宋体" w:hAnsi="宋体"/>
          <w:sz w:val="24"/>
          <w:szCs w:val="24"/>
        </w:rPr>
      </w:pPr>
      <w:r>
        <w:rPr>
          <w:rFonts w:ascii="宋体" w:hAnsi="宋体"/>
        </w:rPr>
        <w:br w:type="page"/>
      </w:r>
    </w:p>
    <w:p>
      <w:pPr>
        <w:pStyle w:val="5"/>
        <w:spacing w:line="276" w:lineRule="auto"/>
        <w:ind w:right="44"/>
        <w:rPr>
          <w:rFonts w:ascii="宋体" w:hAnsi="宋体"/>
          <w:sz w:val="24"/>
          <w:szCs w:val="24"/>
        </w:rPr>
      </w:pPr>
      <w:bookmarkStart w:id="4" w:name="_Toc27978"/>
      <w:r>
        <w:rPr>
          <w:rFonts w:ascii="宋体" w:hAnsi="宋体"/>
        </w:rPr>
        <w:t>1. 总则</w:t>
      </w:r>
      <w:bookmarkEnd w:id="4"/>
    </w:p>
    <w:p>
      <w:pPr>
        <w:pStyle w:val="6"/>
        <w:spacing w:line="276" w:lineRule="auto"/>
        <w:ind w:right="44"/>
        <w:rPr>
          <w:sz w:val="24"/>
          <w:szCs w:val="24"/>
        </w:rPr>
      </w:pPr>
      <w:r>
        <w:t>1.1招标项目概况</w:t>
      </w:r>
    </w:p>
    <w:p>
      <w:pPr>
        <w:pStyle w:val="9"/>
        <w:spacing w:line="360" w:lineRule="auto"/>
        <w:ind w:left="0" w:firstLine="480" w:firstLineChars="200"/>
        <w:rPr>
          <w:sz w:val="24"/>
          <w:szCs w:val="24"/>
          <w:lang w:eastAsia="zh-CN"/>
        </w:rPr>
      </w:pPr>
      <w:r>
        <w:rPr>
          <w:sz w:val="24"/>
          <w:szCs w:val="24"/>
          <w:lang w:eastAsia="zh-CN"/>
        </w:rPr>
        <w:t>1.1.1</w:t>
      </w:r>
      <w:r>
        <w:rPr>
          <w:spacing w:val="-8"/>
          <w:sz w:val="24"/>
          <w:szCs w:val="24"/>
          <w:lang w:eastAsia="zh-CN"/>
        </w:rPr>
        <w:t>根据《中华人民共和国招标投标法》、《中华人民共和国招标投标法实施条例》等有关</w:t>
      </w:r>
      <w:r>
        <w:rPr>
          <w:sz w:val="24"/>
          <w:szCs w:val="24"/>
          <w:lang w:eastAsia="zh-CN"/>
        </w:rPr>
        <w:t>法律、法规和规章的规定，本招标项目已具备招标条件，现对</w:t>
      </w:r>
      <w:r>
        <w:rPr>
          <w:rFonts w:hint="eastAsia"/>
          <w:sz w:val="24"/>
          <w:szCs w:val="24"/>
          <w:u w:val="single"/>
          <w:lang w:eastAsia="zh-CN"/>
        </w:rPr>
        <w:t>本项目勘察设计</w:t>
      </w:r>
      <w:r>
        <w:rPr>
          <w:sz w:val="24"/>
          <w:szCs w:val="24"/>
          <w:lang w:eastAsia="zh-CN"/>
        </w:rPr>
        <w:t>进行招标。</w:t>
      </w:r>
    </w:p>
    <w:p>
      <w:pPr>
        <w:pStyle w:val="9"/>
        <w:spacing w:line="360" w:lineRule="auto"/>
        <w:ind w:left="0" w:firstLine="480" w:firstLineChars="200"/>
        <w:rPr>
          <w:sz w:val="24"/>
          <w:szCs w:val="24"/>
          <w:lang w:eastAsia="zh-CN"/>
        </w:rPr>
      </w:pPr>
      <w:r>
        <w:rPr>
          <w:sz w:val="24"/>
          <w:szCs w:val="24"/>
          <w:lang w:eastAsia="zh-CN"/>
        </w:rPr>
        <w:t>1.1.2招标人：见投标人须知前附表。</w:t>
      </w:r>
    </w:p>
    <w:p>
      <w:pPr>
        <w:pStyle w:val="9"/>
        <w:spacing w:line="360" w:lineRule="auto"/>
        <w:ind w:left="0" w:firstLine="480" w:firstLineChars="200"/>
        <w:rPr>
          <w:sz w:val="24"/>
          <w:szCs w:val="24"/>
          <w:lang w:eastAsia="zh-CN"/>
        </w:rPr>
      </w:pPr>
      <w:r>
        <w:rPr>
          <w:sz w:val="24"/>
          <w:szCs w:val="24"/>
          <w:lang w:eastAsia="zh-CN"/>
        </w:rPr>
        <w:t>1.1.3招标代理机构：见投标人须知前附表。</w:t>
      </w:r>
    </w:p>
    <w:p>
      <w:pPr>
        <w:pStyle w:val="9"/>
        <w:spacing w:line="360" w:lineRule="auto"/>
        <w:ind w:left="0" w:firstLine="480" w:firstLineChars="200"/>
        <w:rPr>
          <w:sz w:val="24"/>
          <w:szCs w:val="24"/>
          <w:lang w:eastAsia="zh-CN"/>
        </w:rPr>
      </w:pPr>
      <w:r>
        <w:rPr>
          <w:sz w:val="24"/>
          <w:szCs w:val="24"/>
          <w:lang w:eastAsia="zh-CN"/>
        </w:rPr>
        <w:t>1.1.4招标项目名称：见投标人须知前附表。</w:t>
      </w:r>
    </w:p>
    <w:p>
      <w:pPr>
        <w:pStyle w:val="9"/>
        <w:spacing w:line="360" w:lineRule="auto"/>
        <w:ind w:left="0" w:firstLine="480" w:firstLineChars="200"/>
        <w:rPr>
          <w:sz w:val="24"/>
          <w:szCs w:val="24"/>
          <w:lang w:eastAsia="zh-CN"/>
        </w:rPr>
      </w:pPr>
      <w:r>
        <w:rPr>
          <w:sz w:val="24"/>
          <w:szCs w:val="24"/>
          <w:lang w:eastAsia="zh-CN"/>
        </w:rPr>
        <w:t>1.1.5项目建设地点：见投标人须知前附表。</w:t>
      </w:r>
    </w:p>
    <w:p>
      <w:pPr>
        <w:pStyle w:val="9"/>
        <w:spacing w:line="360" w:lineRule="auto"/>
        <w:ind w:left="0" w:firstLine="480" w:firstLineChars="200"/>
        <w:rPr>
          <w:sz w:val="24"/>
          <w:szCs w:val="24"/>
          <w:lang w:eastAsia="zh-CN"/>
        </w:rPr>
      </w:pPr>
      <w:r>
        <w:rPr>
          <w:sz w:val="24"/>
          <w:szCs w:val="24"/>
          <w:lang w:eastAsia="zh-CN"/>
        </w:rPr>
        <w:t>1.1.6项目建设规模：见投标人须知前附表。</w:t>
      </w:r>
    </w:p>
    <w:p>
      <w:pPr>
        <w:pStyle w:val="9"/>
        <w:spacing w:line="360" w:lineRule="auto"/>
        <w:ind w:left="0" w:firstLine="480" w:firstLineChars="200"/>
        <w:rPr>
          <w:sz w:val="24"/>
          <w:szCs w:val="24"/>
          <w:lang w:eastAsia="zh-CN"/>
        </w:rPr>
      </w:pPr>
      <w:r>
        <w:rPr>
          <w:sz w:val="24"/>
          <w:szCs w:val="24"/>
          <w:lang w:eastAsia="zh-CN"/>
        </w:rPr>
        <w:t>1.1.7项目投资估算：见投标人须知前附表。</w:t>
      </w:r>
    </w:p>
    <w:p>
      <w:pPr>
        <w:spacing w:line="276" w:lineRule="auto"/>
        <w:rPr>
          <w:rFonts w:ascii="宋体" w:hAnsi="宋体"/>
          <w:sz w:val="24"/>
          <w:szCs w:val="24"/>
        </w:rPr>
      </w:pPr>
    </w:p>
    <w:p>
      <w:pPr>
        <w:pStyle w:val="6"/>
        <w:spacing w:line="360" w:lineRule="auto"/>
        <w:ind w:right="44"/>
        <w:rPr>
          <w:sz w:val="24"/>
          <w:szCs w:val="24"/>
        </w:rPr>
      </w:pPr>
      <w:r>
        <w:t>1.2招标项目的资金来源和落实情况</w:t>
      </w:r>
    </w:p>
    <w:p>
      <w:pPr>
        <w:pStyle w:val="9"/>
        <w:spacing w:line="360" w:lineRule="auto"/>
        <w:ind w:left="0" w:firstLine="480" w:firstLineChars="200"/>
        <w:rPr>
          <w:sz w:val="24"/>
          <w:szCs w:val="24"/>
          <w:lang w:eastAsia="zh-CN"/>
        </w:rPr>
      </w:pPr>
      <w:r>
        <w:rPr>
          <w:sz w:val="24"/>
          <w:szCs w:val="24"/>
          <w:lang w:eastAsia="zh-CN"/>
        </w:rPr>
        <w:t>1.2.1资金来源及比例：见投标人须知前附表。</w:t>
      </w:r>
    </w:p>
    <w:p>
      <w:pPr>
        <w:pStyle w:val="9"/>
        <w:spacing w:line="360" w:lineRule="auto"/>
        <w:ind w:left="0" w:firstLine="480" w:firstLineChars="200"/>
        <w:rPr>
          <w:sz w:val="24"/>
          <w:szCs w:val="24"/>
          <w:lang w:eastAsia="zh-CN"/>
        </w:rPr>
      </w:pPr>
      <w:r>
        <w:rPr>
          <w:sz w:val="24"/>
          <w:szCs w:val="24"/>
          <w:lang w:eastAsia="zh-CN"/>
        </w:rPr>
        <w:t>1.2.2资金落实情况：见投标人须知前附表。</w:t>
      </w:r>
    </w:p>
    <w:p>
      <w:pPr>
        <w:spacing w:line="276" w:lineRule="auto"/>
        <w:rPr>
          <w:rFonts w:ascii="宋体" w:hAnsi="宋体"/>
          <w:sz w:val="24"/>
          <w:szCs w:val="24"/>
        </w:rPr>
      </w:pPr>
    </w:p>
    <w:p>
      <w:pPr>
        <w:pStyle w:val="6"/>
        <w:spacing w:line="360" w:lineRule="auto"/>
        <w:ind w:right="44"/>
        <w:rPr>
          <w:sz w:val="24"/>
          <w:szCs w:val="24"/>
        </w:rPr>
      </w:pPr>
      <w:r>
        <w:t>1.3招标范围、</w:t>
      </w:r>
      <w:r>
        <w:rPr>
          <w:rFonts w:hint="eastAsia"/>
          <w:u w:val="single"/>
        </w:rPr>
        <w:t>勘察</w:t>
      </w:r>
      <w:r>
        <w:rPr>
          <w:rFonts w:hint="eastAsia"/>
        </w:rPr>
        <w:t>设计</w:t>
      </w:r>
      <w:r>
        <w:t>服务期限和质量标准</w:t>
      </w:r>
    </w:p>
    <w:p>
      <w:pPr>
        <w:pStyle w:val="9"/>
        <w:spacing w:line="360" w:lineRule="auto"/>
        <w:ind w:left="0" w:firstLine="480" w:firstLineChars="200"/>
        <w:rPr>
          <w:sz w:val="24"/>
          <w:szCs w:val="24"/>
          <w:lang w:eastAsia="zh-CN"/>
        </w:rPr>
      </w:pPr>
      <w:r>
        <w:rPr>
          <w:sz w:val="24"/>
          <w:szCs w:val="24"/>
          <w:lang w:eastAsia="zh-CN"/>
        </w:rPr>
        <w:t>1.3.1招标范围：见投标人须知前附表。</w:t>
      </w:r>
    </w:p>
    <w:p>
      <w:pPr>
        <w:pStyle w:val="9"/>
        <w:spacing w:line="360" w:lineRule="auto"/>
        <w:ind w:left="0" w:firstLine="480" w:firstLineChars="200"/>
        <w:rPr>
          <w:sz w:val="24"/>
          <w:szCs w:val="24"/>
          <w:lang w:eastAsia="zh-CN"/>
        </w:rPr>
      </w:pPr>
      <w:r>
        <w:rPr>
          <w:sz w:val="24"/>
          <w:szCs w:val="24"/>
          <w:lang w:eastAsia="zh-CN"/>
        </w:rPr>
        <w:t>1.3.2</w:t>
      </w:r>
      <w:r>
        <w:rPr>
          <w:rFonts w:hint="eastAsia"/>
          <w:sz w:val="24"/>
          <w:szCs w:val="24"/>
          <w:u w:val="single"/>
          <w:lang w:eastAsia="zh-CN"/>
        </w:rPr>
        <w:t>勘察</w:t>
      </w:r>
      <w:r>
        <w:rPr>
          <w:rFonts w:hint="eastAsia"/>
          <w:sz w:val="24"/>
          <w:szCs w:val="24"/>
          <w:lang w:eastAsia="zh-CN"/>
        </w:rPr>
        <w:t>设计</w:t>
      </w:r>
      <w:r>
        <w:rPr>
          <w:sz w:val="24"/>
          <w:szCs w:val="24"/>
          <w:lang w:eastAsia="zh-CN"/>
        </w:rPr>
        <w:t>服务期限：见投标人须知前附表。</w:t>
      </w:r>
    </w:p>
    <w:p>
      <w:pPr>
        <w:pStyle w:val="9"/>
        <w:spacing w:line="360" w:lineRule="auto"/>
        <w:ind w:left="0" w:firstLine="480" w:firstLineChars="200"/>
        <w:rPr>
          <w:sz w:val="24"/>
          <w:szCs w:val="24"/>
          <w:lang w:eastAsia="zh-CN"/>
        </w:rPr>
      </w:pPr>
      <w:r>
        <w:rPr>
          <w:sz w:val="24"/>
          <w:szCs w:val="24"/>
          <w:lang w:eastAsia="zh-CN"/>
        </w:rPr>
        <w:t>1.3.3质量标准：见投标人须知前附表。</w:t>
      </w:r>
    </w:p>
    <w:p>
      <w:pPr>
        <w:spacing w:line="276" w:lineRule="auto"/>
        <w:rPr>
          <w:rFonts w:ascii="宋体" w:hAnsi="宋体"/>
          <w:sz w:val="24"/>
          <w:szCs w:val="24"/>
        </w:rPr>
      </w:pPr>
    </w:p>
    <w:p>
      <w:pPr>
        <w:pStyle w:val="6"/>
        <w:spacing w:line="360" w:lineRule="auto"/>
        <w:ind w:right="44"/>
        <w:rPr>
          <w:sz w:val="24"/>
          <w:szCs w:val="24"/>
        </w:rPr>
      </w:pPr>
      <w:r>
        <w:t>1.4投标人资格要求</w:t>
      </w:r>
    </w:p>
    <w:p>
      <w:pPr>
        <w:pStyle w:val="9"/>
        <w:spacing w:line="360" w:lineRule="auto"/>
        <w:ind w:left="0" w:firstLine="480" w:firstLineChars="200"/>
        <w:rPr>
          <w:sz w:val="24"/>
          <w:szCs w:val="24"/>
          <w:lang w:eastAsia="zh-CN"/>
        </w:rPr>
      </w:pPr>
      <w:r>
        <w:rPr>
          <w:sz w:val="24"/>
          <w:szCs w:val="24"/>
          <w:lang w:eastAsia="zh-CN"/>
        </w:rPr>
        <w:t>1.4.1投标人应具备承担本招标项目资质条件、能力和信誉：</w:t>
      </w:r>
    </w:p>
    <w:p>
      <w:pPr>
        <w:pStyle w:val="9"/>
        <w:spacing w:line="360" w:lineRule="auto"/>
        <w:ind w:left="0" w:firstLine="480" w:firstLineChars="200"/>
        <w:rPr>
          <w:sz w:val="24"/>
          <w:szCs w:val="24"/>
          <w:lang w:eastAsia="zh-CN"/>
        </w:rPr>
      </w:pPr>
      <w:r>
        <w:rPr>
          <w:sz w:val="24"/>
          <w:szCs w:val="24"/>
          <w:lang w:eastAsia="zh-CN"/>
        </w:rPr>
        <w:t>（1）资质要求：见投标人须知前附表；</w:t>
      </w:r>
    </w:p>
    <w:p>
      <w:pPr>
        <w:pStyle w:val="9"/>
        <w:spacing w:line="360" w:lineRule="auto"/>
        <w:ind w:left="0" w:firstLine="480" w:firstLineChars="200"/>
        <w:rPr>
          <w:sz w:val="24"/>
          <w:szCs w:val="24"/>
          <w:lang w:eastAsia="zh-CN"/>
        </w:rPr>
      </w:pPr>
      <w:r>
        <w:rPr>
          <w:sz w:val="24"/>
          <w:szCs w:val="24"/>
          <w:lang w:eastAsia="zh-CN"/>
        </w:rPr>
        <w:t>（2）财务要求：见投标人须知前附表；</w:t>
      </w:r>
    </w:p>
    <w:p>
      <w:pPr>
        <w:pStyle w:val="9"/>
        <w:spacing w:line="360" w:lineRule="auto"/>
        <w:ind w:left="0" w:firstLine="480" w:firstLineChars="200"/>
        <w:rPr>
          <w:sz w:val="24"/>
          <w:szCs w:val="24"/>
          <w:lang w:eastAsia="zh-CN"/>
        </w:rPr>
      </w:pPr>
      <w:r>
        <w:rPr>
          <w:sz w:val="24"/>
          <w:szCs w:val="24"/>
          <w:lang w:eastAsia="zh-CN"/>
        </w:rPr>
        <w:t>（3）业绩要求：见投标人须知前附表；</w:t>
      </w:r>
    </w:p>
    <w:p>
      <w:pPr>
        <w:pStyle w:val="9"/>
        <w:spacing w:line="360" w:lineRule="auto"/>
        <w:ind w:left="0" w:firstLine="480" w:firstLineChars="200"/>
        <w:rPr>
          <w:sz w:val="24"/>
          <w:szCs w:val="24"/>
          <w:lang w:eastAsia="zh-CN"/>
        </w:rPr>
      </w:pPr>
      <w:r>
        <w:rPr>
          <w:sz w:val="24"/>
          <w:szCs w:val="24"/>
          <w:lang w:eastAsia="zh-CN"/>
        </w:rPr>
        <w:t>（4）信誉要求：见投标人须知前附表；</w:t>
      </w:r>
    </w:p>
    <w:p>
      <w:pPr>
        <w:pStyle w:val="9"/>
        <w:spacing w:line="360" w:lineRule="auto"/>
        <w:ind w:left="0" w:firstLine="480" w:firstLineChars="200"/>
        <w:rPr>
          <w:sz w:val="24"/>
          <w:szCs w:val="24"/>
          <w:lang w:eastAsia="zh-CN"/>
        </w:rPr>
      </w:pPr>
      <w:r>
        <w:rPr>
          <w:sz w:val="24"/>
          <w:szCs w:val="24"/>
          <w:lang w:eastAsia="zh-CN"/>
        </w:rPr>
        <w:t>（5）项目负责人的资格要求：具体要求见投标人须知前附表；</w:t>
      </w:r>
    </w:p>
    <w:p>
      <w:pPr>
        <w:pStyle w:val="9"/>
        <w:spacing w:line="360" w:lineRule="auto"/>
        <w:ind w:left="0" w:firstLine="480" w:firstLineChars="200"/>
        <w:rPr>
          <w:sz w:val="24"/>
          <w:szCs w:val="24"/>
          <w:lang w:eastAsia="zh-CN"/>
        </w:rPr>
      </w:pPr>
      <w:r>
        <w:rPr>
          <w:sz w:val="24"/>
          <w:szCs w:val="24"/>
          <w:lang w:eastAsia="zh-CN"/>
        </w:rPr>
        <w:t>（6）其他主要人员要求：见投标人须知前附表。</w:t>
      </w:r>
    </w:p>
    <w:p>
      <w:pPr>
        <w:pStyle w:val="9"/>
        <w:spacing w:line="360" w:lineRule="auto"/>
        <w:ind w:left="0" w:firstLine="480" w:firstLineChars="200"/>
        <w:rPr>
          <w:sz w:val="24"/>
          <w:szCs w:val="24"/>
          <w:lang w:eastAsia="zh-CN"/>
        </w:rPr>
      </w:pPr>
      <w:r>
        <w:rPr>
          <w:sz w:val="24"/>
          <w:szCs w:val="24"/>
          <w:lang w:eastAsia="zh-CN"/>
        </w:rPr>
        <w:t>（</w:t>
      </w:r>
      <w:r>
        <w:rPr>
          <w:rFonts w:hint="eastAsia"/>
          <w:sz w:val="24"/>
          <w:szCs w:val="24"/>
          <w:lang w:eastAsia="zh-CN"/>
        </w:rPr>
        <w:t>7</w:t>
      </w:r>
      <w:r>
        <w:rPr>
          <w:sz w:val="24"/>
          <w:szCs w:val="24"/>
          <w:lang w:eastAsia="zh-CN"/>
        </w:rPr>
        <w:t>）其他要求：见投标人须知前附表。</w:t>
      </w:r>
    </w:p>
    <w:p>
      <w:pPr>
        <w:pStyle w:val="9"/>
        <w:spacing w:line="360" w:lineRule="auto"/>
        <w:ind w:left="0" w:firstLine="480" w:firstLineChars="200"/>
        <w:rPr>
          <w:sz w:val="24"/>
          <w:szCs w:val="24"/>
          <w:lang w:eastAsia="zh-CN"/>
        </w:rPr>
      </w:pPr>
      <w:r>
        <w:rPr>
          <w:sz w:val="24"/>
          <w:szCs w:val="24"/>
          <w:lang w:eastAsia="zh-CN"/>
        </w:rPr>
        <w:t>需要提交的相关证明材料见本章第3.5款的规定。</w:t>
      </w:r>
    </w:p>
    <w:p>
      <w:pPr>
        <w:pStyle w:val="9"/>
        <w:spacing w:line="360" w:lineRule="auto"/>
        <w:ind w:left="0" w:firstLine="480" w:firstLineChars="200"/>
        <w:rPr>
          <w:sz w:val="24"/>
          <w:szCs w:val="24"/>
          <w:lang w:eastAsia="zh-CN"/>
        </w:rPr>
      </w:pPr>
      <w:r>
        <w:rPr>
          <w:sz w:val="24"/>
          <w:szCs w:val="24"/>
          <w:lang w:eastAsia="zh-CN"/>
        </w:rPr>
        <w:t>1.4.2 投标人须知前附表规定接受联合体投标的，联合体除应符合本章第1.4.1项和投标人须知前附表的要求外，还应遵守以下规定：</w:t>
      </w:r>
    </w:p>
    <w:p>
      <w:pPr>
        <w:pStyle w:val="9"/>
        <w:spacing w:line="360" w:lineRule="auto"/>
        <w:ind w:left="0" w:firstLine="480" w:firstLineChars="200"/>
        <w:rPr>
          <w:sz w:val="24"/>
          <w:szCs w:val="24"/>
          <w:lang w:eastAsia="zh-CN"/>
        </w:rPr>
      </w:pPr>
      <w:r>
        <w:rPr>
          <w:sz w:val="24"/>
          <w:szCs w:val="24"/>
          <w:lang w:eastAsia="zh-CN"/>
        </w:rPr>
        <w:t>（1）联合体各方应按招标文件提供的格式签订联合体协议书，明确联合体</w:t>
      </w:r>
      <w:r>
        <w:rPr>
          <w:rFonts w:hint="eastAsia"/>
          <w:sz w:val="24"/>
          <w:szCs w:val="24"/>
          <w:lang w:eastAsia="zh-CN"/>
        </w:rPr>
        <w:t>主办方</w:t>
      </w:r>
      <w:r>
        <w:rPr>
          <w:sz w:val="24"/>
          <w:szCs w:val="24"/>
          <w:lang w:eastAsia="zh-CN"/>
        </w:rPr>
        <w:t>和各方权利义务，并承诺就中标项目向招标人承担连带责任；</w:t>
      </w:r>
    </w:p>
    <w:p>
      <w:pPr>
        <w:pStyle w:val="9"/>
        <w:spacing w:line="360" w:lineRule="auto"/>
        <w:ind w:left="0" w:firstLine="480" w:firstLineChars="200"/>
        <w:rPr>
          <w:sz w:val="24"/>
          <w:szCs w:val="24"/>
          <w:lang w:eastAsia="zh-CN"/>
        </w:rPr>
      </w:pPr>
      <w:r>
        <w:rPr>
          <w:sz w:val="24"/>
          <w:szCs w:val="24"/>
          <w:lang w:eastAsia="zh-CN"/>
        </w:rPr>
        <w:t>（2）由同一专业的单位组成的联合体，按照资质等级较低的单位确定资质等级；</w:t>
      </w:r>
    </w:p>
    <w:p>
      <w:pPr>
        <w:pStyle w:val="9"/>
        <w:spacing w:line="360" w:lineRule="auto"/>
        <w:ind w:left="0" w:firstLine="480" w:firstLineChars="200"/>
        <w:rPr>
          <w:sz w:val="24"/>
          <w:szCs w:val="24"/>
          <w:lang w:eastAsia="zh-CN"/>
        </w:rPr>
      </w:pPr>
      <w:r>
        <w:rPr>
          <w:sz w:val="24"/>
          <w:szCs w:val="24"/>
          <w:lang w:eastAsia="zh-CN"/>
        </w:rPr>
        <w:t>（3）联合体各方不得再以自己名义单独或参加其他联合体在本招标项目中投标，否则各相关投标均无效。</w:t>
      </w:r>
    </w:p>
    <w:p>
      <w:pPr>
        <w:pStyle w:val="9"/>
        <w:spacing w:line="360" w:lineRule="auto"/>
        <w:ind w:left="0" w:firstLine="480" w:firstLineChars="200"/>
        <w:rPr>
          <w:sz w:val="24"/>
          <w:szCs w:val="24"/>
          <w:lang w:eastAsia="zh-CN"/>
        </w:rPr>
      </w:pPr>
      <w:r>
        <w:rPr>
          <w:sz w:val="24"/>
          <w:szCs w:val="24"/>
          <w:lang w:eastAsia="zh-CN"/>
        </w:rPr>
        <w:t>1.4.3投标人不得存在下列情形之一：</w:t>
      </w:r>
    </w:p>
    <w:p>
      <w:pPr>
        <w:pStyle w:val="9"/>
        <w:spacing w:line="360" w:lineRule="auto"/>
        <w:ind w:left="0" w:firstLine="480" w:firstLineChars="200"/>
        <w:rPr>
          <w:sz w:val="24"/>
          <w:szCs w:val="24"/>
          <w:lang w:eastAsia="zh-CN"/>
        </w:rPr>
      </w:pPr>
      <w:r>
        <w:rPr>
          <w:rFonts w:hint="eastAsia"/>
          <w:sz w:val="24"/>
          <w:szCs w:val="24"/>
          <w:lang w:eastAsia="zh-CN"/>
        </w:rPr>
        <w:t>（1）为招标人不具有独立法人资格的附属机构（单位）；</w:t>
      </w:r>
    </w:p>
    <w:p>
      <w:pPr>
        <w:pStyle w:val="9"/>
        <w:spacing w:line="360" w:lineRule="auto"/>
        <w:ind w:left="0" w:firstLine="480" w:firstLineChars="200"/>
        <w:rPr>
          <w:sz w:val="24"/>
          <w:szCs w:val="24"/>
          <w:lang w:eastAsia="zh-CN"/>
        </w:rPr>
      </w:pPr>
      <w:r>
        <w:rPr>
          <w:rFonts w:hint="eastAsia"/>
          <w:sz w:val="24"/>
          <w:szCs w:val="24"/>
          <w:lang w:eastAsia="zh-CN"/>
        </w:rPr>
        <w:t>（2）与招标人存在利害关系且可能影响招标公正性；</w:t>
      </w:r>
    </w:p>
    <w:p>
      <w:pPr>
        <w:pStyle w:val="9"/>
        <w:spacing w:line="360" w:lineRule="auto"/>
        <w:ind w:left="0" w:firstLine="480" w:firstLineChars="200"/>
        <w:rPr>
          <w:sz w:val="24"/>
          <w:szCs w:val="24"/>
          <w:lang w:eastAsia="zh-CN"/>
        </w:rPr>
      </w:pPr>
      <w:r>
        <w:rPr>
          <w:rFonts w:hint="eastAsia"/>
          <w:sz w:val="24"/>
          <w:szCs w:val="24"/>
          <w:lang w:eastAsia="zh-CN"/>
        </w:rPr>
        <w:t>（3）与本招标项目的其他投标人为同一个单位负责人；</w:t>
      </w:r>
    </w:p>
    <w:p>
      <w:pPr>
        <w:pStyle w:val="9"/>
        <w:spacing w:line="360" w:lineRule="auto"/>
        <w:ind w:left="0" w:firstLine="480" w:firstLineChars="200"/>
        <w:rPr>
          <w:sz w:val="24"/>
          <w:szCs w:val="24"/>
          <w:lang w:eastAsia="zh-CN"/>
        </w:rPr>
      </w:pPr>
      <w:r>
        <w:rPr>
          <w:rFonts w:hint="eastAsia"/>
          <w:sz w:val="24"/>
          <w:szCs w:val="24"/>
          <w:lang w:eastAsia="zh-CN"/>
        </w:rPr>
        <w:t>（4）与本招标项目的其他投标人存在控股、管理关系；</w:t>
      </w:r>
    </w:p>
    <w:p>
      <w:pPr>
        <w:pStyle w:val="9"/>
        <w:spacing w:line="360" w:lineRule="auto"/>
        <w:ind w:left="0" w:firstLine="480" w:firstLineChars="200"/>
        <w:rPr>
          <w:sz w:val="24"/>
          <w:szCs w:val="24"/>
          <w:lang w:eastAsia="zh-CN"/>
        </w:rPr>
      </w:pPr>
      <w:r>
        <w:rPr>
          <w:rFonts w:hint="eastAsia"/>
          <w:sz w:val="24"/>
          <w:szCs w:val="24"/>
          <w:lang w:eastAsia="zh-CN"/>
        </w:rPr>
        <w:t>（5）为本招标项目的代建人；</w:t>
      </w:r>
    </w:p>
    <w:p>
      <w:pPr>
        <w:pStyle w:val="9"/>
        <w:spacing w:line="360" w:lineRule="auto"/>
        <w:ind w:left="0" w:firstLine="480" w:firstLineChars="200"/>
        <w:rPr>
          <w:sz w:val="24"/>
          <w:szCs w:val="24"/>
          <w:lang w:eastAsia="zh-CN"/>
        </w:rPr>
      </w:pPr>
      <w:r>
        <w:rPr>
          <w:rFonts w:hint="eastAsia"/>
          <w:sz w:val="24"/>
          <w:szCs w:val="24"/>
          <w:lang w:eastAsia="zh-CN"/>
        </w:rPr>
        <w:t>（6）为本招标项目的招标代理机构；</w:t>
      </w:r>
    </w:p>
    <w:p>
      <w:pPr>
        <w:pStyle w:val="9"/>
        <w:spacing w:line="360" w:lineRule="auto"/>
        <w:ind w:left="0" w:firstLine="480" w:firstLineChars="200"/>
        <w:rPr>
          <w:sz w:val="24"/>
          <w:szCs w:val="24"/>
          <w:lang w:eastAsia="zh-CN"/>
        </w:rPr>
      </w:pPr>
      <w:r>
        <w:rPr>
          <w:rFonts w:hint="eastAsia"/>
          <w:sz w:val="24"/>
          <w:szCs w:val="24"/>
          <w:lang w:eastAsia="zh-CN"/>
        </w:rPr>
        <w:t>（7）与本招标项目的代建人或招标代理机构同为一个法定代表人；</w:t>
      </w:r>
    </w:p>
    <w:p>
      <w:pPr>
        <w:pStyle w:val="9"/>
        <w:spacing w:line="360" w:lineRule="auto"/>
        <w:ind w:left="0" w:firstLine="480" w:firstLineChars="200"/>
        <w:rPr>
          <w:sz w:val="24"/>
          <w:szCs w:val="24"/>
          <w:lang w:eastAsia="zh-CN"/>
        </w:rPr>
      </w:pPr>
      <w:r>
        <w:rPr>
          <w:rFonts w:hint="eastAsia"/>
          <w:sz w:val="24"/>
          <w:szCs w:val="24"/>
          <w:lang w:eastAsia="zh-CN"/>
        </w:rPr>
        <w:t>（8）与本招标项目的代建人或招标代理机构存在控股或参股关系；</w:t>
      </w:r>
    </w:p>
    <w:p>
      <w:pPr>
        <w:pStyle w:val="9"/>
        <w:spacing w:line="360" w:lineRule="auto"/>
        <w:ind w:left="0" w:firstLine="480" w:firstLineChars="200"/>
        <w:rPr>
          <w:sz w:val="24"/>
          <w:szCs w:val="24"/>
          <w:lang w:eastAsia="zh-CN"/>
        </w:rPr>
      </w:pPr>
      <w:r>
        <w:rPr>
          <w:rFonts w:hint="eastAsia"/>
          <w:sz w:val="24"/>
          <w:szCs w:val="24"/>
          <w:lang w:eastAsia="zh-CN"/>
        </w:rPr>
        <w:t>（9）被依法暂停或者取消投标资格；</w:t>
      </w:r>
      <w:r>
        <w:rPr>
          <w:rFonts w:hint="eastAsia"/>
          <w:sz w:val="24"/>
          <w:szCs w:val="24"/>
          <w:u w:val="single"/>
          <w:lang w:eastAsia="zh-CN"/>
        </w:rPr>
        <w:t>（</w:t>
      </w:r>
      <w:r>
        <w:rPr>
          <w:rFonts w:hint="eastAsia"/>
          <w:b/>
          <w:bCs/>
          <w:sz w:val="24"/>
          <w:szCs w:val="24"/>
          <w:u w:val="single"/>
          <w:lang w:eastAsia="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sz w:val="24"/>
          <w:szCs w:val="24"/>
          <w:u w:val="single"/>
          <w:lang w:eastAsia="zh-CN"/>
        </w:rPr>
        <w:t>）</w:t>
      </w:r>
    </w:p>
    <w:p>
      <w:pPr>
        <w:pStyle w:val="9"/>
        <w:spacing w:line="360" w:lineRule="auto"/>
        <w:ind w:left="0" w:firstLine="480" w:firstLineChars="200"/>
        <w:rPr>
          <w:sz w:val="24"/>
          <w:szCs w:val="24"/>
          <w:lang w:eastAsia="zh-CN"/>
        </w:rPr>
      </w:pPr>
      <w:r>
        <w:rPr>
          <w:rFonts w:hint="eastAsia"/>
          <w:sz w:val="24"/>
          <w:szCs w:val="24"/>
          <w:lang w:eastAsia="zh-CN"/>
        </w:rPr>
        <w:t>（10）被责令停产停业、暂扣或者吊销许可证、暂扣或者吊销执照；</w:t>
      </w:r>
      <w:r>
        <w:rPr>
          <w:rFonts w:hint="eastAsia"/>
          <w:sz w:val="24"/>
          <w:szCs w:val="24"/>
          <w:u w:val="single"/>
          <w:lang w:eastAsia="zh-CN"/>
        </w:rPr>
        <w:t>（</w:t>
      </w:r>
      <w:r>
        <w:rPr>
          <w:rFonts w:hint="eastAsia"/>
          <w:b/>
          <w:bCs/>
          <w:sz w:val="24"/>
          <w:szCs w:val="24"/>
          <w:u w:val="single"/>
          <w:lang w:eastAsia="zh-CN"/>
        </w:rPr>
        <w:t>本项事实应当以根据《中华人民共和国行政处罚法》依法作出并已经生效的行政处罚决定为认定依据。</w:t>
      </w:r>
      <w:r>
        <w:rPr>
          <w:rFonts w:hint="eastAsia"/>
          <w:sz w:val="24"/>
          <w:szCs w:val="24"/>
          <w:u w:val="single"/>
          <w:lang w:eastAsia="zh-CN"/>
        </w:rPr>
        <w:t>）</w:t>
      </w:r>
    </w:p>
    <w:p>
      <w:pPr>
        <w:pStyle w:val="9"/>
        <w:spacing w:line="360" w:lineRule="auto"/>
        <w:ind w:left="0" w:firstLine="480" w:firstLineChars="200"/>
        <w:rPr>
          <w:sz w:val="24"/>
          <w:szCs w:val="24"/>
          <w:lang w:eastAsia="zh-CN"/>
        </w:rPr>
      </w:pPr>
      <w:r>
        <w:rPr>
          <w:rFonts w:hint="eastAsia"/>
          <w:sz w:val="24"/>
          <w:szCs w:val="24"/>
          <w:lang w:eastAsia="zh-CN"/>
        </w:rPr>
        <w:t>（11）进入清算程序，或被宣告破产，或其他丧失履约能力的情形；</w:t>
      </w:r>
    </w:p>
    <w:p>
      <w:pPr>
        <w:pStyle w:val="9"/>
        <w:spacing w:line="360" w:lineRule="auto"/>
        <w:ind w:left="0" w:firstLine="480" w:firstLineChars="200"/>
        <w:rPr>
          <w:sz w:val="24"/>
          <w:szCs w:val="24"/>
          <w:u w:val="single"/>
          <w:lang w:eastAsia="zh-CN"/>
        </w:rPr>
      </w:pPr>
      <w:r>
        <w:rPr>
          <w:rFonts w:hint="eastAsia"/>
          <w:sz w:val="24"/>
          <w:szCs w:val="24"/>
          <w:u w:val="single"/>
          <w:lang w:eastAsia="zh-CN"/>
        </w:rPr>
        <w:t>（12）在最近三年内发生重大勘察设计质量问题（以相关行业主管部门的行政处罚决定或司法机关出具的有关法律文书为准）；（</w:t>
      </w:r>
      <w:r>
        <w:rPr>
          <w:rFonts w:hint="eastAsia"/>
          <w:b/>
          <w:bCs/>
          <w:sz w:val="24"/>
          <w:szCs w:val="24"/>
          <w:u w:val="single"/>
          <w:lang w:eastAsia="zh-CN"/>
        </w:rPr>
        <w:t>“重大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Pr>
          <w:rFonts w:hint="eastAsia"/>
          <w:sz w:val="24"/>
          <w:szCs w:val="24"/>
          <w:u w:val="single"/>
          <w:lang w:eastAsia="zh-CN"/>
        </w:rPr>
        <w:t>）。</w:t>
      </w:r>
    </w:p>
    <w:p>
      <w:pPr>
        <w:pStyle w:val="9"/>
        <w:spacing w:line="360" w:lineRule="auto"/>
        <w:ind w:left="0" w:firstLine="480" w:firstLineChars="200"/>
        <w:rPr>
          <w:sz w:val="24"/>
          <w:szCs w:val="24"/>
          <w:u w:val="single"/>
          <w:lang w:eastAsia="zh-CN"/>
        </w:rPr>
      </w:pPr>
      <w:r>
        <w:rPr>
          <w:rFonts w:hint="eastAsia"/>
          <w:sz w:val="24"/>
          <w:szCs w:val="24"/>
          <w:u w:val="single"/>
          <w:lang w:eastAsia="zh-CN"/>
        </w:rPr>
        <w:t>（13）法律法规或投标人须知前附表规定的其他情形。</w:t>
      </w:r>
    </w:p>
    <w:p>
      <w:pPr>
        <w:spacing w:line="276" w:lineRule="auto"/>
        <w:rPr>
          <w:rFonts w:ascii="宋体" w:hAnsi="宋体"/>
          <w:sz w:val="24"/>
          <w:szCs w:val="24"/>
        </w:rPr>
      </w:pPr>
    </w:p>
    <w:p>
      <w:pPr>
        <w:pStyle w:val="6"/>
        <w:spacing w:line="360" w:lineRule="auto"/>
        <w:ind w:right="44"/>
        <w:rPr>
          <w:sz w:val="24"/>
          <w:szCs w:val="24"/>
        </w:rPr>
      </w:pPr>
      <w:r>
        <w:t>1.5费用承担</w:t>
      </w:r>
    </w:p>
    <w:p>
      <w:pPr>
        <w:pStyle w:val="9"/>
        <w:spacing w:line="360" w:lineRule="auto"/>
        <w:ind w:left="0" w:firstLine="480" w:firstLineChars="200"/>
        <w:rPr>
          <w:sz w:val="24"/>
          <w:szCs w:val="24"/>
          <w:lang w:eastAsia="zh-CN"/>
        </w:rPr>
      </w:pPr>
      <w:r>
        <w:rPr>
          <w:sz w:val="24"/>
          <w:szCs w:val="24"/>
          <w:lang w:eastAsia="zh-CN"/>
        </w:rPr>
        <w:t>投标人准备和参加投标活动发生的费用自理。</w:t>
      </w:r>
    </w:p>
    <w:p>
      <w:pPr>
        <w:spacing w:line="360" w:lineRule="auto"/>
        <w:rPr>
          <w:rFonts w:ascii="宋体" w:hAnsi="宋体"/>
          <w:sz w:val="24"/>
          <w:szCs w:val="24"/>
        </w:rPr>
      </w:pPr>
    </w:p>
    <w:p>
      <w:pPr>
        <w:pStyle w:val="6"/>
        <w:spacing w:line="360" w:lineRule="auto"/>
        <w:ind w:right="44"/>
        <w:rPr>
          <w:sz w:val="24"/>
          <w:szCs w:val="24"/>
        </w:rPr>
      </w:pPr>
      <w:r>
        <w:t>1.6保密</w:t>
      </w:r>
    </w:p>
    <w:p>
      <w:pPr>
        <w:pStyle w:val="9"/>
        <w:spacing w:line="360" w:lineRule="auto"/>
        <w:ind w:left="0" w:firstLine="480" w:firstLineChars="200"/>
        <w:rPr>
          <w:sz w:val="24"/>
          <w:szCs w:val="24"/>
          <w:lang w:eastAsia="zh-CN"/>
        </w:rPr>
      </w:pPr>
      <w:r>
        <w:rPr>
          <w:sz w:val="24"/>
          <w:szCs w:val="24"/>
          <w:lang w:eastAsia="zh-CN"/>
        </w:rPr>
        <w:t>参与招标投标活动的各方应对招标文件和投标文件中的商业和技术等秘密保密，否则应承担相应的法律责任。</w:t>
      </w:r>
    </w:p>
    <w:p>
      <w:pPr>
        <w:spacing w:line="276" w:lineRule="auto"/>
        <w:rPr>
          <w:rFonts w:ascii="宋体" w:hAnsi="宋体"/>
          <w:sz w:val="24"/>
          <w:szCs w:val="24"/>
        </w:rPr>
      </w:pPr>
    </w:p>
    <w:p>
      <w:pPr>
        <w:pStyle w:val="6"/>
        <w:spacing w:line="360" w:lineRule="auto"/>
        <w:ind w:right="44"/>
        <w:rPr>
          <w:sz w:val="24"/>
          <w:szCs w:val="24"/>
        </w:rPr>
      </w:pPr>
      <w:r>
        <w:t>1.7语言文字</w:t>
      </w:r>
    </w:p>
    <w:p>
      <w:pPr>
        <w:pStyle w:val="9"/>
        <w:spacing w:line="360" w:lineRule="auto"/>
        <w:ind w:left="0" w:firstLine="480" w:firstLineChars="200"/>
        <w:rPr>
          <w:sz w:val="24"/>
          <w:szCs w:val="24"/>
          <w:lang w:eastAsia="zh-CN"/>
        </w:rPr>
      </w:pPr>
      <w:r>
        <w:rPr>
          <w:sz w:val="24"/>
          <w:szCs w:val="24"/>
          <w:lang w:eastAsia="zh-CN"/>
        </w:rPr>
        <w:t>招标投标文件使用的语言文字为中文。专用术语使用外文的，应附有中文注释。</w:t>
      </w:r>
    </w:p>
    <w:p>
      <w:pPr>
        <w:pStyle w:val="9"/>
        <w:spacing w:line="276" w:lineRule="auto"/>
        <w:ind w:left="0" w:firstLine="480" w:firstLineChars="200"/>
        <w:rPr>
          <w:sz w:val="24"/>
          <w:szCs w:val="24"/>
          <w:lang w:eastAsia="zh-CN"/>
        </w:rPr>
      </w:pPr>
    </w:p>
    <w:p>
      <w:pPr>
        <w:pStyle w:val="6"/>
        <w:spacing w:line="360" w:lineRule="auto"/>
        <w:ind w:right="44"/>
        <w:rPr>
          <w:sz w:val="24"/>
          <w:szCs w:val="24"/>
        </w:rPr>
      </w:pPr>
      <w:r>
        <w:t>1.8计量单位</w:t>
      </w:r>
    </w:p>
    <w:p>
      <w:pPr>
        <w:pStyle w:val="9"/>
        <w:spacing w:line="360" w:lineRule="auto"/>
        <w:ind w:left="0" w:firstLine="480" w:firstLineChars="200"/>
        <w:rPr>
          <w:sz w:val="24"/>
          <w:szCs w:val="24"/>
          <w:lang w:eastAsia="zh-CN"/>
        </w:rPr>
      </w:pPr>
      <w:r>
        <w:rPr>
          <w:sz w:val="24"/>
          <w:szCs w:val="24"/>
          <w:lang w:eastAsia="zh-CN"/>
        </w:rPr>
        <w:t>所有计量均采用中华人民共和国法定计量单位。</w:t>
      </w:r>
    </w:p>
    <w:p>
      <w:pPr>
        <w:spacing w:line="276" w:lineRule="auto"/>
        <w:rPr>
          <w:rFonts w:ascii="宋体" w:hAnsi="宋体"/>
          <w:sz w:val="24"/>
          <w:szCs w:val="24"/>
        </w:rPr>
      </w:pPr>
    </w:p>
    <w:p>
      <w:pPr>
        <w:pStyle w:val="6"/>
        <w:spacing w:line="360" w:lineRule="auto"/>
        <w:ind w:right="44"/>
        <w:rPr>
          <w:sz w:val="24"/>
          <w:szCs w:val="24"/>
        </w:rPr>
      </w:pPr>
      <w:r>
        <w:t>1.9踏勘现场</w:t>
      </w:r>
    </w:p>
    <w:p>
      <w:pPr>
        <w:pStyle w:val="9"/>
        <w:spacing w:line="360" w:lineRule="auto"/>
        <w:ind w:left="0" w:firstLine="480" w:firstLineChars="200"/>
        <w:rPr>
          <w:sz w:val="24"/>
          <w:szCs w:val="24"/>
          <w:lang w:eastAsia="zh-CN"/>
        </w:rPr>
      </w:pPr>
      <w:r>
        <w:rPr>
          <w:sz w:val="24"/>
          <w:szCs w:val="24"/>
          <w:lang w:eastAsia="zh-CN"/>
        </w:rPr>
        <w:t>1.9.1投标人须知前附表规定组织踏勘现场的，招标人按投标人须知前附表规定的时间、地点组织投标人踏勘项目现场。部分投标人未按时参加踏勘现场的，不影响踏勘现场的正常进行。</w:t>
      </w:r>
    </w:p>
    <w:p>
      <w:pPr>
        <w:pStyle w:val="9"/>
        <w:spacing w:line="360" w:lineRule="auto"/>
        <w:ind w:left="0" w:firstLine="480" w:firstLineChars="200"/>
        <w:rPr>
          <w:sz w:val="24"/>
          <w:szCs w:val="24"/>
          <w:lang w:eastAsia="zh-CN"/>
        </w:rPr>
      </w:pPr>
      <w:r>
        <w:rPr>
          <w:sz w:val="24"/>
          <w:szCs w:val="24"/>
          <w:lang w:eastAsia="zh-CN"/>
        </w:rPr>
        <w:t>1.9.2投标人踏勘现场发生的费用自理。</w:t>
      </w:r>
    </w:p>
    <w:p>
      <w:pPr>
        <w:pStyle w:val="9"/>
        <w:spacing w:line="360" w:lineRule="auto"/>
        <w:ind w:left="0" w:firstLine="480" w:firstLineChars="200"/>
        <w:rPr>
          <w:sz w:val="24"/>
          <w:szCs w:val="24"/>
          <w:lang w:eastAsia="zh-CN"/>
        </w:rPr>
      </w:pPr>
      <w:r>
        <w:rPr>
          <w:sz w:val="24"/>
          <w:szCs w:val="24"/>
          <w:lang w:eastAsia="zh-CN"/>
        </w:rPr>
        <w:t>1.9.3除招标人的原因外，投标人自行负责在踏勘现场中所发生的人员伤亡和财产损失。</w:t>
      </w:r>
    </w:p>
    <w:p>
      <w:pPr>
        <w:pStyle w:val="9"/>
        <w:spacing w:line="360" w:lineRule="auto"/>
        <w:ind w:left="0" w:firstLine="480" w:firstLineChars="200"/>
        <w:rPr>
          <w:sz w:val="24"/>
          <w:szCs w:val="24"/>
          <w:lang w:eastAsia="zh-CN"/>
        </w:rPr>
      </w:pPr>
      <w:r>
        <w:rPr>
          <w:sz w:val="24"/>
          <w:szCs w:val="24"/>
          <w:lang w:eastAsia="zh-CN"/>
        </w:rPr>
        <w:t>1.9.4招标人在踏勘现场中介绍的工程场地和相关的周边环境情况，供投标人在编制投标文件时参考，招标人不对投标人据此作出的判断和决策负责。</w:t>
      </w:r>
    </w:p>
    <w:p>
      <w:pPr>
        <w:spacing w:line="276" w:lineRule="auto"/>
        <w:rPr>
          <w:rFonts w:ascii="宋体" w:hAnsi="宋体"/>
          <w:sz w:val="24"/>
          <w:szCs w:val="24"/>
        </w:rPr>
      </w:pPr>
    </w:p>
    <w:p>
      <w:pPr>
        <w:pStyle w:val="6"/>
        <w:spacing w:line="360" w:lineRule="auto"/>
        <w:ind w:right="44"/>
        <w:rPr>
          <w:sz w:val="24"/>
          <w:szCs w:val="24"/>
        </w:rPr>
      </w:pPr>
      <w:r>
        <w:t>1.10投标预备会</w:t>
      </w:r>
    </w:p>
    <w:p>
      <w:pPr>
        <w:pStyle w:val="9"/>
        <w:spacing w:line="360" w:lineRule="auto"/>
        <w:ind w:left="0" w:firstLine="480" w:firstLineChars="200"/>
        <w:rPr>
          <w:sz w:val="24"/>
          <w:szCs w:val="24"/>
          <w:lang w:eastAsia="zh-CN"/>
        </w:rPr>
      </w:pPr>
      <w:r>
        <w:rPr>
          <w:sz w:val="24"/>
          <w:szCs w:val="24"/>
          <w:lang w:eastAsia="zh-CN"/>
        </w:rPr>
        <w:t>1.10.1投标人须知前附表规定召开投标预备会的，招标人按投标人须知前附表规定的时间和地点召开投标预备会，澄清投标人提出的问题。</w:t>
      </w:r>
    </w:p>
    <w:p>
      <w:pPr>
        <w:pStyle w:val="9"/>
        <w:spacing w:line="360" w:lineRule="auto"/>
        <w:ind w:left="0" w:firstLine="480" w:firstLineChars="200"/>
        <w:rPr>
          <w:sz w:val="24"/>
          <w:szCs w:val="24"/>
          <w:lang w:eastAsia="zh-CN"/>
        </w:rPr>
      </w:pPr>
      <w:r>
        <w:rPr>
          <w:sz w:val="24"/>
          <w:szCs w:val="24"/>
          <w:lang w:eastAsia="zh-CN"/>
        </w:rPr>
        <w:t>1.10.2投标人应按投标人须知前附表规定的时间和形式将提出的问题送达招标人，以便招标人在会议期间澄清。</w:t>
      </w:r>
    </w:p>
    <w:p>
      <w:pPr>
        <w:pStyle w:val="9"/>
        <w:spacing w:line="360" w:lineRule="auto"/>
        <w:ind w:left="0" w:firstLine="480" w:firstLineChars="200"/>
        <w:rPr>
          <w:sz w:val="24"/>
          <w:szCs w:val="24"/>
          <w:lang w:eastAsia="zh-CN"/>
        </w:rPr>
      </w:pPr>
      <w:r>
        <w:rPr>
          <w:sz w:val="24"/>
          <w:szCs w:val="24"/>
          <w:lang w:eastAsia="zh-CN"/>
        </w:rPr>
        <w:t>1.10.3投标预备会后，招标人将对投标人所提问题的澄清，以投标人须知前附表规定的形式通知所有购买招标文件的投标人。该澄清内容为招标文件的组成部分。</w:t>
      </w:r>
    </w:p>
    <w:p>
      <w:pPr>
        <w:spacing w:line="276" w:lineRule="auto"/>
        <w:rPr>
          <w:rFonts w:ascii="宋体" w:hAnsi="宋体"/>
          <w:sz w:val="24"/>
          <w:szCs w:val="24"/>
        </w:rPr>
      </w:pPr>
    </w:p>
    <w:p>
      <w:pPr>
        <w:pStyle w:val="6"/>
        <w:spacing w:line="360" w:lineRule="auto"/>
        <w:ind w:right="44"/>
        <w:rPr>
          <w:sz w:val="24"/>
          <w:szCs w:val="24"/>
        </w:rPr>
      </w:pPr>
      <w:r>
        <w:t>1.11分包</w:t>
      </w:r>
    </w:p>
    <w:p>
      <w:pPr>
        <w:pStyle w:val="9"/>
        <w:spacing w:line="360" w:lineRule="auto"/>
        <w:ind w:left="0" w:firstLine="480" w:firstLineChars="200"/>
        <w:rPr>
          <w:sz w:val="24"/>
          <w:szCs w:val="24"/>
          <w:lang w:eastAsia="zh-CN"/>
        </w:rPr>
      </w:pPr>
      <w:r>
        <w:rPr>
          <w:sz w:val="24"/>
          <w:szCs w:val="24"/>
          <w:lang w:eastAsia="zh-CN"/>
        </w:rPr>
        <w:t>1.11.1投标人拟在中标后将中标项目的非主体、非关键性</w:t>
      </w:r>
      <w:r>
        <w:rPr>
          <w:rFonts w:hint="eastAsia"/>
          <w:sz w:val="24"/>
          <w:szCs w:val="24"/>
          <w:u w:val="single"/>
          <w:lang w:eastAsia="zh-CN"/>
        </w:rPr>
        <w:t>勘察</w:t>
      </w:r>
      <w:r>
        <w:rPr>
          <w:rFonts w:hint="eastAsia"/>
          <w:sz w:val="24"/>
          <w:szCs w:val="24"/>
          <w:lang w:eastAsia="zh-CN"/>
        </w:rPr>
        <w:t>设计</w:t>
      </w:r>
      <w:r>
        <w:rPr>
          <w:sz w:val="24"/>
          <w:szCs w:val="24"/>
          <w:lang w:eastAsia="zh-CN"/>
        </w:rPr>
        <w:t>工作进行分包的，应符合投标人须知前附表规定的分包内容、分包金额和资质要求等限制性条件，除投标人须知前附表规定的非主体、非关键性</w:t>
      </w:r>
      <w:r>
        <w:rPr>
          <w:rFonts w:hint="eastAsia"/>
          <w:sz w:val="24"/>
          <w:szCs w:val="24"/>
          <w:u w:val="single"/>
          <w:lang w:eastAsia="zh-CN"/>
        </w:rPr>
        <w:t>勘察</w:t>
      </w:r>
      <w:r>
        <w:rPr>
          <w:rFonts w:hint="eastAsia"/>
          <w:sz w:val="24"/>
          <w:szCs w:val="24"/>
          <w:lang w:eastAsia="zh-CN"/>
        </w:rPr>
        <w:t>设计</w:t>
      </w:r>
      <w:r>
        <w:rPr>
          <w:sz w:val="24"/>
          <w:szCs w:val="24"/>
          <w:lang w:eastAsia="zh-CN"/>
        </w:rPr>
        <w:t>工作外，其他工作不得分包。</w:t>
      </w:r>
    </w:p>
    <w:p>
      <w:pPr>
        <w:pStyle w:val="9"/>
        <w:spacing w:line="360" w:lineRule="auto"/>
        <w:ind w:left="0" w:firstLine="480" w:firstLineChars="200"/>
        <w:rPr>
          <w:sz w:val="24"/>
          <w:szCs w:val="24"/>
          <w:lang w:eastAsia="zh-CN"/>
        </w:rPr>
      </w:pPr>
      <w:r>
        <w:rPr>
          <w:sz w:val="24"/>
          <w:szCs w:val="24"/>
          <w:lang w:eastAsia="zh-CN"/>
        </w:rPr>
        <w:t>1.11.2中标人不得向他人转让中标项目，接受分包的人不得再次分包。中标人应当就分包项目向招标人负责，接受分包的人就分包项目承担连带责任。</w:t>
      </w:r>
    </w:p>
    <w:p>
      <w:pPr>
        <w:spacing w:line="276" w:lineRule="auto"/>
        <w:rPr>
          <w:rFonts w:ascii="宋体" w:hAnsi="宋体"/>
          <w:sz w:val="24"/>
          <w:szCs w:val="24"/>
        </w:rPr>
      </w:pPr>
    </w:p>
    <w:p>
      <w:pPr>
        <w:pStyle w:val="6"/>
        <w:spacing w:line="360" w:lineRule="auto"/>
        <w:ind w:right="44"/>
        <w:rPr>
          <w:sz w:val="24"/>
          <w:szCs w:val="24"/>
        </w:rPr>
      </w:pPr>
      <w:r>
        <w:t>1.12响应和偏差</w:t>
      </w:r>
    </w:p>
    <w:p>
      <w:pPr>
        <w:pStyle w:val="9"/>
        <w:spacing w:line="360" w:lineRule="auto"/>
        <w:ind w:left="0" w:firstLine="480" w:firstLineChars="200"/>
        <w:rPr>
          <w:sz w:val="24"/>
          <w:szCs w:val="24"/>
          <w:lang w:eastAsia="zh-CN"/>
        </w:rPr>
      </w:pPr>
      <w:r>
        <w:rPr>
          <w:sz w:val="24"/>
          <w:szCs w:val="24"/>
          <w:lang w:eastAsia="zh-CN"/>
        </w:rPr>
        <w:t>1.12.1投标文件应当对招标文件的实质性要求和条件作出满足性或更有利于招标人的响应，否则，投标人的投标将被否决。实质性要求和条件见投标人须知前附表。</w:t>
      </w:r>
    </w:p>
    <w:p>
      <w:pPr>
        <w:pStyle w:val="9"/>
        <w:spacing w:line="360" w:lineRule="auto"/>
        <w:ind w:left="0" w:firstLine="480" w:firstLineChars="200"/>
        <w:rPr>
          <w:sz w:val="24"/>
          <w:szCs w:val="24"/>
          <w:lang w:eastAsia="zh-CN"/>
        </w:rPr>
      </w:pPr>
      <w:r>
        <w:rPr>
          <w:sz w:val="24"/>
          <w:szCs w:val="24"/>
          <w:lang w:eastAsia="zh-CN"/>
        </w:rPr>
        <w:t>1.12.2投标人应根据招标文件的要求提供投标</w:t>
      </w:r>
      <w:r>
        <w:rPr>
          <w:rFonts w:hint="eastAsia"/>
          <w:sz w:val="24"/>
          <w:szCs w:val="24"/>
          <w:u w:val="single"/>
          <w:lang w:eastAsia="zh-CN"/>
        </w:rPr>
        <w:t>勘察设计工作方案</w:t>
      </w:r>
      <w:r>
        <w:rPr>
          <w:sz w:val="24"/>
          <w:szCs w:val="24"/>
          <w:lang w:eastAsia="zh-CN"/>
        </w:rPr>
        <w:t>等内容以对招标文件作出响应。</w:t>
      </w:r>
    </w:p>
    <w:p>
      <w:pPr>
        <w:pStyle w:val="9"/>
        <w:spacing w:line="360" w:lineRule="auto"/>
        <w:ind w:left="0" w:firstLine="480" w:firstLineChars="200"/>
        <w:rPr>
          <w:sz w:val="24"/>
          <w:szCs w:val="24"/>
          <w:lang w:eastAsia="zh-CN"/>
        </w:rPr>
      </w:pPr>
      <w:r>
        <w:rPr>
          <w:sz w:val="24"/>
          <w:szCs w:val="24"/>
          <w:lang w:eastAsia="zh-CN"/>
        </w:rPr>
        <w:t>1.12.3投标人须知前附表允许投标文件偏离招标文件某些要求的，偏差应当符合招标文件规定的偏差范围和幅度。</w:t>
      </w:r>
    </w:p>
    <w:p>
      <w:pPr>
        <w:spacing w:line="276" w:lineRule="auto"/>
        <w:rPr>
          <w:rFonts w:ascii="宋体" w:hAnsi="宋体"/>
          <w:sz w:val="24"/>
          <w:szCs w:val="24"/>
        </w:rPr>
      </w:pPr>
    </w:p>
    <w:p>
      <w:pPr>
        <w:pStyle w:val="5"/>
        <w:spacing w:line="360" w:lineRule="auto"/>
        <w:ind w:right="44"/>
        <w:rPr>
          <w:rFonts w:ascii="宋体" w:hAnsi="宋体"/>
          <w:sz w:val="24"/>
          <w:szCs w:val="24"/>
        </w:rPr>
      </w:pPr>
      <w:bookmarkStart w:id="5" w:name="_Toc21633"/>
      <w:r>
        <w:rPr>
          <w:rFonts w:ascii="宋体" w:hAnsi="宋体"/>
        </w:rPr>
        <w:t>2. 招标文件</w:t>
      </w:r>
      <w:bookmarkEnd w:id="5"/>
    </w:p>
    <w:p>
      <w:pPr>
        <w:pStyle w:val="6"/>
        <w:spacing w:line="360" w:lineRule="auto"/>
        <w:ind w:right="44"/>
        <w:rPr>
          <w:sz w:val="24"/>
          <w:szCs w:val="24"/>
        </w:rPr>
      </w:pPr>
      <w:r>
        <w:t>2.1招标文件的组成</w:t>
      </w:r>
    </w:p>
    <w:p>
      <w:pPr>
        <w:pStyle w:val="9"/>
        <w:spacing w:line="360" w:lineRule="auto"/>
        <w:ind w:left="0" w:firstLine="480" w:firstLineChars="200"/>
        <w:rPr>
          <w:sz w:val="24"/>
          <w:szCs w:val="24"/>
          <w:lang w:eastAsia="zh-CN"/>
        </w:rPr>
      </w:pPr>
      <w:r>
        <w:rPr>
          <w:sz w:val="24"/>
          <w:szCs w:val="24"/>
          <w:lang w:eastAsia="zh-CN"/>
        </w:rPr>
        <w:t>本招标文件包括：</w:t>
      </w:r>
    </w:p>
    <w:p>
      <w:pPr>
        <w:pStyle w:val="9"/>
        <w:spacing w:line="360" w:lineRule="auto"/>
        <w:ind w:left="0" w:firstLine="480" w:firstLineChars="200"/>
        <w:rPr>
          <w:sz w:val="24"/>
          <w:szCs w:val="24"/>
          <w:lang w:eastAsia="zh-CN"/>
        </w:rPr>
      </w:pPr>
      <w:r>
        <w:rPr>
          <w:sz w:val="24"/>
          <w:szCs w:val="24"/>
          <w:lang w:eastAsia="zh-CN"/>
        </w:rPr>
        <w:t>（1）招标公告；</w:t>
      </w:r>
    </w:p>
    <w:p>
      <w:pPr>
        <w:pStyle w:val="9"/>
        <w:spacing w:line="360" w:lineRule="auto"/>
        <w:ind w:left="0" w:firstLine="480" w:firstLineChars="200"/>
        <w:rPr>
          <w:sz w:val="24"/>
          <w:szCs w:val="24"/>
          <w:lang w:eastAsia="zh-CN"/>
        </w:rPr>
      </w:pPr>
      <w:r>
        <w:rPr>
          <w:sz w:val="24"/>
          <w:szCs w:val="24"/>
          <w:lang w:eastAsia="zh-CN"/>
        </w:rPr>
        <w:t>（2）投标人须知；</w:t>
      </w:r>
    </w:p>
    <w:p>
      <w:pPr>
        <w:pStyle w:val="9"/>
        <w:spacing w:line="360" w:lineRule="auto"/>
        <w:ind w:left="0" w:firstLine="480" w:firstLineChars="200"/>
        <w:rPr>
          <w:sz w:val="24"/>
          <w:szCs w:val="24"/>
          <w:lang w:eastAsia="zh-CN"/>
        </w:rPr>
      </w:pPr>
      <w:r>
        <w:rPr>
          <w:sz w:val="24"/>
          <w:szCs w:val="24"/>
          <w:lang w:eastAsia="zh-CN"/>
        </w:rPr>
        <w:t>（3）评标办法；</w:t>
      </w:r>
    </w:p>
    <w:p>
      <w:pPr>
        <w:pStyle w:val="9"/>
        <w:spacing w:line="360" w:lineRule="auto"/>
        <w:ind w:left="0" w:firstLine="480" w:firstLineChars="200"/>
        <w:rPr>
          <w:sz w:val="24"/>
          <w:szCs w:val="24"/>
          <w:lang w:eastAsia="zh-CN"/>
        </w:rPr>
      </w:pPr>
      <w:r>
        <w:rPr>
          <w:sz w:val="24"/>
          <w:szCs w:val="24"/>
          <w:lang w:eastAsia="zh-CN"/>
        </w:rPr>
        <w:t>（4）合同条款及格式；</w:t>
      </w:r>
    </w:p>
    <w:p>
      <w:pPr>
        <w:pStyle w:val="9"/>
        <w:spacing w:line="360" w:lineRule="auto"/>
        <w:ind w:left="0" w:firstLine="480" w:firstLineChars="200"/>
        <w:rPr>
          <w:sz w:val="24"/>
          <w:szCs w:val="24"/>
          <w:lang w:eastAsia="zh-CN"/>
        </w:rPr>
      </w:pPr>
      <w:r>
        <w:rPr>
          <w:sz w:val="24"/>
          <w:szCs w:val="24"/>
          <w:lang w:eastAsia="zh-CN"/>
        </w:rPr>
        <w:t>（5）发包人要求；</w:t>
      </w:r>
    </w:p>
    <w:p>
      <w:pPr>
        <w:pStyle w:val="9"/>
        <w:spacing w:line="360" w:lineRule="auto"/>
        <w:ind w:left="0" w:firstLine="480" w:firstLineChars="200"/>
        <w:rPr>
          <w:sz w:val="24"/>
          <w:szCs w:val="24"/>
          <w:lang w:eastAsia="zh-CN"/>
        </w:rPr>
      </w:pPr>
      <w:r>
        <w:rPr>
          <w:sz w:val="24"/>
          <w:szCs w:val="24"/>
          <w:lang w:eastAsia="zh-CN"/>
        </w:rPr>
        <w:t>（6）投标文件格式；</w:t>
      </w:r>
    </w:p>
    <w:p>
      <w:pPr>
        <w:pStyle w:val="9"/>
        <w:spacing w:line="360" w:lineRule="auto"/>
        <w:ind w:left="0" w:firstLine="480" w:firstLineChars="200"/>
        <w:rPr>
          <w:sz w:val="24"/>
          <w:szCs w:val="24"/>
          <w:lang w:eastAsia="zh-CN"/>
        </w:rPr>
      </w:pPr>
      <w:r>
        <w:rPr>
          <w:sz w:val="24"/>
          <w:szCs w:val="24"/>
          <w:lang w:eastAsia="zh-CN"/>
        </w:rPr>
        <w:t>（7）投标人须知前附表规定的其他资料。</w:t>
      </w:r>
    </w:p>
    <w:p>
      <w:pPr>
        <w:pStyle w:val="9"/>
        <w:spacing w:line="360" w:lineRule="auto"/>
        <w:ind w:left="0" w:firstLine="480" w:firstLineChars="200"/>
        <w:rPr>
          <w:sz w:val="24"/>
          <w:szCs w:val="24"/>
          <w:lang w:eastAsia="zh-CN"/>
        </w:rPr>
      </w:pPr>
      <w:r>
        <w:rPr>
          <w:sz w:val="24"/>
          <w:szCs w:val="24"/>
          <w:lang w:eastAsia="zh-CN"/>
        </w:rPr>
        <w:t>根据本章第1.10款、第2.2款和第2.3款对招标文件所作的澄清、修改，构成招标文件的组成部分。</w:t>
      </w:r>
    </w:p>
    <w:p>
      <w:pPr>
        <w:spacing w:line="360" w:lineRule="auto"/>
        <w:rPr>
          <w:rFonts w:ascii="宋体" w:hAnsi="宋体"/>
          <w:sz w:val="24"/>
          <w:szCs w:val="24"/>
        </w:rPr>
      </w:pPr>
    </w:p>
    <w:p>
      <w:pPr>
        <w:pStyle w:val="6"/>
        <w:spacing w:line="360" w:lineRule="auto"/>
        <w:ind w:right="44"/>
        <w:rPr>
          <w:sz w:val="24"/>
          <w:szCs w:val="24"/>
        </w:rPr>
      </w:pPr>
      <w:r>
        <w:t>2.2招标文件的澄清</w:t>
      </w:r>
    </w:p>
    <w:p>
      <w:pPr>
        <w:pStyle w:val="9"/>
        <w:spacing w:line="360" w:lineRule="auto"/>
        <w:ind w:left="0" w:firstLine="480" w:firstLineChars="200"/>
        <w:rPr>
          <w:sz w:val="24"/>
          <w:szCs w:val="24"/>
          <w:lang w:eastAsia="zh-CN"/>
        </w:rPr>
      </w:pPr>
      <w:r>
        <w:rPr>
          <w:sz w:val="24"/>
          <w:szCs w:val="24"/>
          <w:lang w:eastAsia="zh-CN"/>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9"/>
        <w:spacing w:line="360" w:lineRule="auto"/>
        <w:ind w:left="0" w:firstLine="480" w:firstLineChars="200"/>
        <w:rPr>
          <w:sz w:val="24"/>
          <w:szCs w:val="24"/>
          <w:lang w:eastAsia="zh-CN"/>
        </w:rPr>
      </w:pPr>
      <w:r>
        <w:rPr>
          <w:sz w:val="24"/>
          <w:szCs w:val="24"/>
          <w:lang w:eastAsia="zh-CN"/>
        </w:rPr>
        <w:t>2.2.2招标文件的澄清以投标人须知前附表规定的形式发给所有</w:t>
      </w:r>
      <w:r>
        <w:rPr>
          <w:strike/>
          <w:sz w:val="24"/>
          <w:szCs w:val="24"/>
          <w:lang w:eastAsia="zh-CN"/>
        </w:rPr>
        <w:t>购买招标文件的</w:t>
      </w:r>
      <w:r>
        <w:rPr>
          <w:sz w:val="24"/>
          <w:szCs w:val="24"/>
          <w:lang w:eastAsia="zh-CN"/>
        </w:rPr>
        <w:t>投标人，但不指明澄清问题的来源。澄清发出的时间距本章第4.2.1项规定的投标截止时间不足15日的，并且澄清内容可能影响投标文件编制的，将相应延长投标截止时间。</w:t>
      </w:r>
    </w:p>
    <w:p>
      <w:pPr>
        <w:pStyle w:val="9"/>
        <w:spacing w:line="360" w:lineRule="auto"/>
        <w:ind w:left="0" w:firstLine="480" w:firstLineChars="200"/>
        <w:rPr>
          <w:sz w:val="24"/>
          <w:szCs w:val="24"/>
          <w:lang w:eastAsia="zh-CN"/>
        </w:rPr>
      </w:pPr>
      <w:r>
        <w:rPr>
          <w:sz w:val="24"/>
          <w:szCs w:val="24"/>
          <w:lang w:eastAsia="zh-CN"/>
        </w:rPr>
        <w:t>2.2.3投标人在收到澄清后，应按投标人须知前附表规定的时间和形式通知招标人，确认已收到该澄清。</w:t>
      </w:r>
    </w:p>
    <w:p>
      <w:pPr>
        <w:pStyle w:val="9"/>
        <w:spacing w:line="360" w:lineRule="auto"/>
        <w:ind w:left="0" w:firstLine="480" w:firstLineChars="200"/>
        <w:rPr>
          <w:sz w:val="24"/>
          <w:szCs w:val="24"/>
          <w:lang w:eastAsia="zh-CN"/>
        </w:rPr>
      </w:pPr>
      <w:r>
        <w:rPr>
          <w:sz w:val="24"/>
          <w:szCs w:val="24"/>
          <w:lang w:eastAsia="zh-CN"/>
        </w:rPr>
        <w:t>2.2.4 除非招标人认为确有必要答复，否则，招标人有权拒绝回复投标人在本章第 2.2.1项规定的时间后的任何澄清要求。</w:t>
      </w:r>
    </w:p>
    <w:p>
      <w:pPr>
        <w:spacing w:line="360" w:lineRule="auto"/>
        <w:rPr>
          <w:rFonts w:ascii="宋体" w:hAnsi="宋体"/>
          <w:sz w:val="24"/>
          <w:szCs w:val="24"/>
        </w:rPr>
      </w:pPr>
    </w:p>
    <w:p>
      <w:pPr>
        <w:pStyle w:val="6"/>
        <w:spacing w:line="360" w:lineRule="auto"/>
        <w:ind w:right="44"/>
        <w:rPr>
          <w:sz w:val="24"/>
          <w:szCs w:val="24"/>
        </w:rPr>
      </w:pPr>
      <w:r>
        <w:t>2.3招标文件的修改</w:t>
      </w:r>
    </w:p>
    <w:p>
      <w:pPr>
        <w:pStyle w:val="9"/>
        <w:spacing w:line="360" w:lineRule="auto"/>
        <w:ind w:left="0" w:firstLine="480" w:firstLineChars="200"/>
        <w:rPr>
          <w:sz w:val="24"/>
          <w:szCs w:val="24"/>
          <w:lang w:eastAsia="zh-CN"/>
        </w:rPr>
      </w:pPr>
      <w:r>
        <w:rPr>
          <w:sz w:val="24"/>
          <w:szCs w:val="24"/>
          <w:lang w:eastAsia="zh-CN"/>
        </w:rPr>
        <w:t>2.3.1招标人以投标人须知前附表规定的形式修改招标文件，并通知所有投标人。修改招标文件的时间距本章第4.2.1项规定的投标截止时间不足15日的，并且修改内容可能影响投标文件编制的，将相应延长投标截止时间。</w:t>
      </w:r>
    </w:p>
    <w:p>
      <w:pPr>
        <w:pStyle w:val="9"/>
        <w:spacing w:line="360" w:lineRule="auto"/>
        <w:ind w:left="0" w:firstLine="480" w:firstLineChars="200"/>
        <w:rPr>
          <w:sz w:val="24"/>
          <w:szCs w:val="24"/>
          <w:lang w:eastAsia="zh-CN"/>
        </w:rPr>
      </w:pPr>
      <w:r>
        <w:rPr>
          <w:sz w:val="24"/>
          <w:szCs w:val="24"/>
          <w:lang w:eastAsia="zh-CN"/>
        </w:rPr>
        <w:t>2.3.2投标人收到修改内容后，应按投标人须知前附表规定的时间和形式通知招标人，确认已收到该修改。</w:t>
      </w:r>
    </w:p>
    <w:p>
      <w:pPr>
        <w:spacing w:line="360" w:lineRule="auto"/>
        <w:rPr>
          <w:rFonts w:ascii="宋体" w:hAnsi="宋体"/>
          <w:sz w:val="24"/>
          <w:szCs w:val="24"/>
        </w:rPr>
      </w:pPr>
    </w:p>
    <w:p>
      <w:pPr>
        <w:pStyle w:val="6"/>
        <w:spacing w:line="360" w:lineRule="auto"/>
        <w:ind w:right="44"/>
        <w:rPr>
          <w:sz w:val="24"/>
          <w:szCs w:val="24"/>
        </w:rPr>
      </w:pPr>
      <w:r>
        <w:t>2.4招标文件的异议</w:t>
      </w:r>
    </w:p>
    <w:p>
      <w:pPr>
        <w:pStyle w:val="9"/>
        <w:spacing w:line="360" w:lineRule="auto"/>
        <w:ind w:left="0" w:firstLine="480" w:firstLineChars="200"/>
        <w:rPr>
          <w:sz w:val="24"/>
          <w:szCs w:val="24"/>
          <w:u w:val="single"/>
          <w:lang w:eastAsia="zh-CN"/>
        </w:rPr>
      </w:pPr>
      <w:r>
        <w:rPr>
          <w:sz w:val="24"/>
          <w:szCs w:val="24"/>
          <w:lang w:eastAsia="zh-CN"/>
        </w:rPr>
        <w:t>投标人或者其他利害关系人对招标文件有异议的，应当在投标截止时间10日前提出。</w:t>
      </w:r>
      <w:r>
        <w:rPr>
          <w:rFonts w:hint="eastAsia"/>
          <w:sz w:val="24"/>
          <w:szCs w:val="24"/>
          <w:u w:val="single"/>
          <w:lang w:eastAsia="zh-CN"/>
        </w:rPr>
        <w:t>可以通过线下或线上的形式提出异议。线上提交的，应通过交易平台进行，招标人也应通过交易平台答复线上提交的异议。作出答复前，应当暂停招标投标活动</w:t>
      </w:r>
      <w:r>
        <w:rPr>
          <w:sz w:val="24"/>
          <w:szCs w:val="24"/>
          <w:u w:val="single"/>
          <w:lang w:eastAsia="zh-CN"/>
        </w:rPr>
        <w:t>。</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6" w:name="_Toc27465"/>
      <w:r>
        <w:rPr>
          <w:rFonts w:ascii="宋体" w:hAnsi="宋体"/>
        </w:rPr>
        <w:t>3. 投标文件</w:t>
      </w:r>
      <w:bookmarkEnd w:id="6"/>
    </w:p>
    <w:p>
      <w:pPr>
        <w:pStyle w:val="6"/>
        <w:spacing w:line="360" w:lineRule="auto"/>
        <w:ind w:right="44"/>
        <w:rPr>
          <w:sz w:val="24"/>
          <w:szCs w:val="24"/>
        </w:rPr>
      </w:pPr>
      <w:r>
        <w:t>3.1投标文件的组成</w:t>
      </w:r>
    </w:p>
    <w:p>
      <w:pPr>
        <w:pStyle w:val="9"/>
        <w:spacing w:line="360" w:lineRule="auto"/>
        <w:ind w:left="0" w:firstLine="480" w:firstLineChars="200"/>
        <w:rPr>
          <w:sz w:val="24"/>
          <w:szCs w:val="24"/>
          <w:lang w:eastAsia="zh-CN"/>
        </w:rPr>
      </w:pPr>
      <w:r>
        <w:rPr>
          <w:sz w:val="24"/>
          <w:szCs w:val="24"/>
          <w:lang w:eastAsia="zh-CN"/>
        </w:rPr>
        <w:t xml:space="preserve">3.1.1 </w:t>
      </w:r>
      <w:r>
        <w:rPr>
          <w:rFonts w:hint="eastAsia" w:cs="宋体"/>
          <w:sz w:val="24"/>
          <w:szCs w:val="24"/>
          <w:lang w:eastAsia="zh-CN"/>
        </w:rPr>
        <w:t>投标文件应包括下列内容：</w:t>
      </w:r>
    </w:p>
    <w:p>
      <w:pPr>
        <w:numPr>
          <w:ilvl w:val="0"/>
          <w:numId w:val="1"/>
        </w:numPr>
        <w:autoSpaceDE w:val="0"/>
        <w:autoSpaceDN w:val="0"/>
        <w:adjustRightInd w:val="0"/>
        <w:spacing w:before="3" w:line="360" w:lineRule="auto"/>
        <w:ind w:left="420" w:leftChars="200"/>
        <w:rPr>
          <w:rFonts w:ascii="宋体" w:hAnsi="宋体"/>
          <w:b/>
          <w:sz w:val="24"/>
          <w:szCs w:val="24"/>
          <w:u w:val="single"/>
        </w:rPr>
      </w:pPr>
      <w:r>
        <w:rPr>
          <w:rFonts w:hint="eastAsia" w:ascii="宋体" w:hAnsi="宋体"/>
          <w:b/>
          <w:sz w:val="24"/>
          <w:szCs w:val="24"/>
          <w:u w:val="single"/>
        </w:rPr>
        <w:t>投标文件（含资格审查文件）；</w:t>
      </w:r>
    </w:p>
    <w:p>
      <w:pPr>
        <w:numPr>
          <w:ilvl w:val="0"/>
          <w:numId w:val="1"/>
        </w:numPr>
        <w:autoSpaceDE w:val="0"/>
        <w:autoSpaceDN w:val="0"/>
        <w:adjustRightInd w:val="0"/>
        <w:spacing w:before="3" w:line="360" w:lineRule="auto"/>
        <w:ind w:left="420" w:leftChars="200"/>
        <w:rPr>
          <w:rFonts w:ascii="宋体" w:hAnsi="宋体"/>
          <w:b/>
          <w:sz w:val="24"/>
          <w:szCs w:val="24"/>
          <w:u w:val="single"/>
        </w:rPr>
      </w:pPr>
      <w:r>
        <w:rPr>
          <w:rFonts w:hint="eastAsia" w:ascii="宋体" w:hAnsi="宋体"/>
          <w:b/>
          <w:sz w:val="24"/>
          <w:szCs w:val="24"/>
          <w:u w:val="single"/>
        </w:rPr>
        <w:t>投标人认为需要增加的其他资料（如有）。</w:t>
      </w:r>
    </w:p>
    <w:p>
      <w:pPr>
        <w:pStyle w:val="2"/>
        <w:spacing w:line="360" w:lineRule="auto"/>
        <w:ind w:firstLine="482"/>
        <w:rPr>
          <w:lang w:eastAsia="zh-CN"/>
        </w:rPr>
      </w:pPr>
      <w:r>
        <w:rPr>
          <w:rFonts w:hint="eastAsia" w:ascii="宋体" w:hAnsi="宋体"/>
          <w:b/>
          <w:sz w:val="24"/>
          <w:szCs w:val="24"/>
          <w:u w:val="single"/>
          <w:lang w:eastAsia="zh-CN"/>
        </w:rPr>
        <w:t>具体详见招标文件第六章的勘察设计投标文件编制要求。</w:t>
      </w:r>
    </w:p>
    <w:p>
      <w:pPr>
        <w:pStyle w:val="9"/>
        <w:spacing w:line="360" w:lineRule="auto"/>
        <w:ind w:left="0" w:firstLine="480" w:firstLineChars="200"/>
        <w:rPr>
          <w:rFonts w:cs="宋体"/>
          <w:sz w:val="24"/>
          <w:szCs w:val="24"/>
          <w:lang w:eastAsia="zh-CN"/>
        </w:rPr>
      </w:pPr>
      <w:r>
        <w:rPr>
          <w:rFonts w:hint="eastAsia" w:cs="宋体"/>
          <w:sz w:val="24"/>
          <w:szCs w:val="24"/>
          <w:lang w:eastAsia="zh-CN"/>
        </w:rPr>
        <w:t>投标人在评标过程中作出的符合法律法规和招标文件规定的澄清确认，构成投标文件的组成部分。</w:t>
      </w:r>
    </w:p>
    <w:p>
      <w:pPr>
        <w:pStyle w:val="9"/>
        <w:spacing w:line="360" w:lineRule="auto"/>
        <w:ind w:left="0" w:firstLine="480" w:firstLineChars="200"/>
        <w:rPr>
          <w:sz w:val="24"/>
          <w:szCs w:val="24"/>
          <w:lang w:eastAsia="zh-CN"/>
        </w:rPr>
      </w:pPr>
      <w:r>
        <w:rPr>
          <w:sz w:val="24"/>
          <w:szCs w:val="24"/>
          <w:lang w:eastAsia="zh-CN"/>
        </w:rPr>
        <w:t>3.1.2投标人须知前附表规定不接受联合体投标的，或投标人没有组成联合体的，投标文件不包括联合体协议书。</w:t>
      </w:r>
    </w:p>
    <w:p>
      <w:pPr>
        <w:spacing w:line="360" w:lineRule="auto"/>
        <w:rPr>
          <w:rFonts w:ascii="宋体" w:hAnsi="宋体"/>
          <w:sz w:val="24"/>
          <w:szCs w:val="24"/>
        </w:rPr>
      </w:pPr>
    </w:p>
    <w:p>
      <w:pPr>
        <w:pStyle w:val="6"/>
        <w:spacing w:line="360" w:lineRule="auto"/>
        <w:ind w:right="44"/>
        <w:rPr>
          <w:sz w:val="24"/>
          <w:szCs w:val="24"/>
        </w:rPr>
      </w:pPr>
      <w:r>
        <w:t>3.2投标报价</w:t>
      </w:r>
    </w:p>
    <w:p>
      <w:pPr>
        <w:pStyle w:val="9"/>
        <w:spacing w:line="360" w:lineRule="auto"/>
        <w:ind w:left="0" w:firstLine="480" w:firstLineChars="200"/>
        <w:rPr>
          <w:sz w:val="24"/>
          <w:szCs w:val="24"/>
          <w:lang w:eastAsia="zh-CN"/>
        </w:rPr>
      </w:pPr>
      <w:r>
        <w:rPr>
          <w:sz w:val="24"/>
          <w:szCs w:val="24"/>
          <w:lang w:eastAsia="zh-CN"/>
        </w:rPr>
        <w:t>3.2.1投标报价应包括国家规定的增值税税金，除投标人须知前附表另有规定外，增值税税金按一般计税方法计算。投标人应按第六章“投标文件格式”的要求在投标函中进行报价并填写</w:t>
      </w:r>
      <w:r>
        <w:rPr>
          <w:rFonts w:hint="eastAsia"/>
          <w:sz w:val="24"/>
          <w:szCs w:val="24"/>
          <w:u w:val="single"/>
          <w:lang w:eastAsia="zh-CN"/>
        </w:rPr>
        <w:t>勘察设计</w:t>
      </w:r>
      <w:r>
        <w:rPr>
          <w:sz w:val="24"/>
          <w:szCs w:val="24"/>
          <w:u w:val="single"/>
          <w:lang w:eastAsia="zh-CN"/>
        </w:rPr>
        <w:t>费</w:t>
      </w:r>
      <w:r>
        <w:rPr>
          <w:sz w:val="24"/>
          <w:szCs w:val="24"/>
          <w:lang w:eastAsia="zh-CN"/>
        </w:rPr>
        <w:t>用清单。</w:t>
      </w:r>
    </w:p>
    <w:p>
      <w:pPr>
        <w:pStyle w:val="9"/>
        <w:spacing w:line="360" w:lineRule="auto"/>
        <w:ind w:left="0" w:firstLine="480" w:firstLineChars="200"/>
        <w:rPr>
          <w:sz w:val="24"/>
          <w:szCs w:val="24"/>
          <w:lang w:eastAsia="zh-CN"/>
        </w:rPr>
      </w:pPr>
      <w:r>
        <w:rPr>
          <w:sz w:val="24"/>
          <w:szCs w:val="24"/>
          <w:lang w:eastAsia="zh-CN"/>
        </w:rPr>
        <w:t>3.2.2投标人应充分了解该项目的总体情况以及影响投标报价的其他要素。</w:t>
      </w:r>
    </w:p>
    <w:p>
      <w:pPr>
        <w:pStyle w:val="9"/>
        <w:spacing w:line="360" w:lineRule="auto"/>
        <w:ind w:left="0" w:firstLine="480" w:firstLineChars="200"/>
        <w:rPr>
          <w:strike/>
          <w:sz w:val="24"/>
          <w:szCs w:val="24"/>
          <w:lang w:eastAsia="zh-CN"/>
        </w:rPr>
      </w:pPr>
      <w:r>
        <w:rPr>
          <w:sz w:val="24"/>
          <w:szCs w:val="24"/>
          <w:lang w:eastAsia="zh-CN"/>
        </w:rPr>
        <w:t>3.2.3本项目的报价方式见投标人须知前附表。</w:t>
      </w:r>
    </w:p>
    <w:p>
      <w:pPr>
        <w:pStyle w:val="9"/>
        <w:spacing w:line="360" w:lineRule="auto"/>
        <w:ind w:left="0" w:firstLine="480" w:firstLineChars="200"/>
        <w:rPr>
          <w:sz w:val="24"/>
          <w:szCs w:val="24"/>
          <w:lang w:eastAsia="zh-CN"/>
        </w:rPr>
      </w:pPr>
      <w:r>
        <w:rPr>
          <w:sz w:val="24"/>
          <w:szCs w:val="24"/>
          <w:lang w:eastAsia="zh-CN"/>
        </w:rPr>
        <w:t>3.2.4招标人设有最高投标限价的，投标人的投标报价不得超过最高投标限价，最高投标限价在投标人须知前附表中载明。</w:t>
      </w:r>
    </w:p>
    <w:p>
      <w:pPr>
        <w:pStyle w:val="9"/>
        <w:spacing w:line="360" w:lineRule="auto"/>
        <w:ind w:left="0" w:firstLine="480" w:firstLineChars="200"/>
        <w:rPr>
          <w:sz w:val="24"/>
          <w:szCs w:val="24"/>
          <w:lang w:eastAsia="zh-CN"/>
        </w:rPr>
      </w:pPr>
      <w:r>
        <w:rPr>
          <w:sz w:val="24"/>
          <w:szCs w:val="24"/>
          <w:lang w:eastAsia="zh-CN"/>
        </w:rPr>
        <w:t>3.2.5投标报价的其他要求见投标人须知前附表。</w:t>
      </w:r>
    </w:p>
    <w:p>
      <w:pPr>
        <w:pStyle w:val="6"/>
        <w:spacing w:line="360" w:lineRule="auto"/>
        <w:ind w:right="44"/>
        <w:rPr>
          <w:sz w:val="24"/>
          <w:szCs w:val="24"/>
        </w:rPr>
      </w:pPr>
      <w:r>
        <w:t>3.3投标有效期</w:t>
      </w:r>
    </w:p>
    <w:p>
      <w:pPr>
        <w:pStyle w:val="9"/>
        <w:spacing w:line="360" w:lineRule="auto"/>
        <w:ind w:left="0" w:firstLine="480" w:firstLineChars="200"/>
        <w:rPr>
          <w:sz w:val="24"/>
          <w:szCs w:val="24"/>
          <w:lang w:eastAsia="zh-CN"/>
        </w:rPr>
      </w:pPr>
      <w:r>
        <w:rPr>
          <w:sz w:val="24"/>
          <w:szCs w:val="24"/>
          <w:lang w:eastAsia="zh-CN"/>
        </w:rPr>
        <w:t>3.3.1除投标人须知前附表另有规定外，投标有效期为</w:t>
      </w:r>
      <w:r>
        <w:rPr>
          <w:rFonts w:hint="eastAsia"/>
          <w:sz w:val="24"/>
          <w:szCs w:val="24"/>
          <w:u w:val="single"/>
          <w:lang w:eastAsia="zh-CN"/>
        </w:rPr>
        <w:t>120</w:t>
      </w:r>
      <w:r>
        <w:rPr>
          <w:sz w:val="24"/>
          <w:szCs w:val="24"/>
          <w:lang w:eastAsia="zh-CN"/>
        </w:rPr>
        <w:t>天。</w:t>
      </w:r>
    </w:p>
    <w:p>
      <w:pPr>
        <w:pStyle w:val="9"/>
        <w:spacing w:line="360" w:lineRule="auto"/>
        <w:ind w:left="0" w:firstLine="480" w:firstLineChars="200"/>
        <w:rPr>
          <w:sz w:val="24"/>
          <w:szCs w:val="24"/>
          <w:lang w:eastAsia="zh-CN"/>
        </w:rPr>
      </w:pPr>
      <w:r>
        <w:rPr>
          <w:sz w:val="24"/>
          <w:szCs w:val="24"/>
          <w:lang w:eastAsia="zh-CN"/>
        </w:rPr>
        <w:t>3.3.2在投标有效期内，投标人撤销投标文件的，应承担招标文件和法律规定的责任。</w:t>
      </w:r>
    </w:p>
    <w:p>
      <w:pPr>
        <w:pStyle w:val="9"/>
        <w:spacing w:line="360" w:lineRule="auto"/>
        <w:ind w:left="0" w:firstLine="480" w:firstLineChars="200"/>
        <w:rPr>
          <w:sz w:val="24"/>
          <w:szCs w:val="24"/>
          <w:lang w:eastAsia="zh-CN"/>
        </w:rPr>
      </w:pPr>
      <w:r>
        <w:rPr>
          <w:sz w:val="24"/>
          <w:szCs w:val="24"/>
          <w:lang w:eastAsia="zh-CN"/>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spacing w:line="360" w:lineRule="auto"/>
        <w:ind w:right="44"/>
        <w:rPr>
          <w:strike/>
          <w:sz w:val="24"/>
          <w:szCs w:val="24"/>
        </w:rPr>
      </w:pPr>
      <w:r>
        <w:t>3.4投标保证金</w:t>
      </w:r>
    </w:p>
    <w:p>
      <w:pPr>
        <w:pStyle w:val="9"/>
        <w:spacing w:line="360" w:lineRule="auto"/>
        <w:ind w:left="0" w:firstLine="480" w:firstLineChars="200"/>
        <w:rPr>
          <w:sz w:val="24"/>
          <w:szCs w:val="24"/>
          <w:u w:val="single"/>
          <w:lang w:eastAsia="zh-CN"/>
        </w:rPr>
      </w:pPr>
      <w:r>
        <w:rPr>
          <w:rFonts w:hint="eastAsia"/>
          <w:sz w:val="24"/>
          <w:szCs w:val="24"/>
          <w:u w:val="single"/>
          <w:lang w:eastAsia="zh-CN"/>
        </w:rPr>
        <w:t>本项目不要求投标人递交投标保证金。</w:t>
      </w:r>
    </w:p>
    <w:p>
      <w:pPr>
        <w:pStyle w:val="6"/>
        <w:spacing w:line="360" w:lineRule="auto"/>
        <w:ind w:right="44"/>
        <w:rPr>
          <w:sz w:val="24"/>
          <w:szCs w:val="24"/>
        </w:rPr>
      </w:pPr>
      <w:r>
        <w:t>3.5资格审查资料（适用于未进行资格预审的）</w:t>
      </w:r>
    </w:p>
    <w:p>
      <w:pPr>
        <w:pStyle w:val="9"/>
        <w:spacing w:line="360" w:lineRule="auto"/>
        <w:ind w:left="0" w:firstLine="480" w:firstLineChars="200"/>
        <w:rPr>
          <w:sz w:val="24"/>
          <w:szCs w:val="24"/>
          <w:lang w:eastAsia="zh-CN"/>
        </w:rPr>
      </w:pPr>
      <w:r>
        <w:rPr>
          <w:sz w:val="24"/>
          <w:szCs w:val="24"/>
          <w:lang w:eastAsia="zh-CN"/>
        </w:rPr>
        <w:t>除投标人须知前附表另有规定外，投标人应按</w:t>
      </w:r>
      <w:r>
        <w:rPr>
          <w:rFonts w:hint="eastAsia"/>
          <w:sz w:val="24"/>
          <w:szCs w:val="24"/>
          <w:u w:val="single"/>
          <w:lang w:eastAsia="zh-CN"/>
        </w:rPr>
        <w:t>招标公告和本章第3.1项的要求</w:t>
      </w:r>
      <w:r>
        <w:rPr>
          <w:sz w:val="24"/>
          <w:szCs w:val="24"/>
          <w:lang w:eastAsia="zh-CN"/>
        </w:rPr>
        <w:t>提供资格审查资料，以证明其满足本章第1.4款规定的资质、财务、业绩、信誉等要求。</w:t>
      </w:r>
    </w:p>
    <w:p>
      <w:pPr>
        <w:pStyle w:val="6"/>
        <w:spacing w:line="360" w:lineRule="auto"/>
        <w:ind w:right="44"/>
        <w:rPr>
          <w:sz w:val="24"/>
          <w:szCs w:val="24"/>
        </w:rPr>
      </w:pPr>
      <w:r>
        <w:t>3.6备选投标方案</w:t>
      </w:r>
    </w:p>
    <w:p>
      <w:pPr>
        <w:pStyle w:val="9"/>
        <w:spacing w:line="360" w:lineRule="auto"/>
        <w:ind w:left="0" w:firstLine="480" w:firstLineChars="200"/>
        <w:rPr>
          <w:sz w:val="24"/>
          <w:szCs w:val="24"/>
          <w:lang w:eastAsia="zh-CN"/>
        </w:rPr>
      </w:pPr>
      <w:r>
        <w:rPr>
          <w:sz w:val="24"/>
          <w:szCs w:val="24"/>
          <w:lang w:eastAsia="zh-CN"/>
        </w:rPr>
        <w:t>3.6.1除投标人须知前附表规定允许外，投标人不得递交备选投标方案，否则其投标将被否决。</w:t>
      </w:r>
    </w:p>
    <w:p>
      <w:pPr>
        <w:pStyle w:val="9"/>
        <w:spacing w:line="360" w:lineRule="auto"/>
        <w:ind w:left="0" w:firstLine="480" w:firstLineChars="200"/>
        <w:rPr>
          <w:sz w:val="24"/>
          <w:szCs w:val="24"/>
          <w:lang w:eastAsia="zh-CN"/>
        </w:rPr>
      </w:pPr>
      <w:r>
        <w:rPr>
          <w:sz w:val="24"/>
          <w:szCs w:val="24"/>
          <w:lang w:eastAsia="zh-CN"/>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9"/>
        <w:spacing w:line="360" w:lineRule="auto"/>
        <w:ind w:left="0" w:firstLine="480" w:firstLineChars="200"/>
        <w:rPr>
          <w:sz w:val="24"/>
          <w:szCs w:val="24"/>
          <w:lang w:eastAsia="zh-CN"/>
        </w:rPr>
      </w:pPr>
      <w:r>
        <w:rPr>
          <w:sz w:val="24"/>
          <w:szCs w:val="24"/>
          <w:lang w:eastAsia="zh-CN"/>
        </w:rPr>
        <w:t>3.6.3投标人提供两个或两个以上投标报价，或者在投标文件中提供一个报价，但同时提供两个或两个以上</w:t>
      </w:r>
      <w:r>
        <w:rPr>
          <w:rFonts w:hint="eastAsia"/>
          <w:sz w:val="24"/>
          <w:szCs w:val="24"/>
          <w:lang w:eastAsia="zh-CN"/>
        </w:rPr>
        <w:t>勘察设计</w:t>
      </w:r>
      <w:r>
        <w:rPr>
          <w:sz w:val="24"/>
          <w:szCs w:val="24"/>
          <w:lang w:eastAsia="zh-CN"/>
        </w:rPr>
        <w:t>方案的，视为提供备选方案。</w:t>
      </w:r>
    </w:p>
    <w:p>
      <w:pPr>
        <w:pStyle w:val="6"/>
        <w:spacing w:line="360" w:lineRule="auto"/>
        <w:ind w:right="44"/>
        <w:rPr>
          <w:sz w:val="24"/>
          <w:szCs w:val="24"/>
        </w:rPr>
      </w:pPr>
      <w:r>
        <w:t>3.7投标文件的编制</w:t>
      </w:r>
    </w:p>
    <w:p>
      <w:pPr>
        <w:pStyle w:val="9"/>
        <w:spacing w:line="360" w:lineRule="auto"/>
        <w:ind w:left="0" w:firstLine="480" w:firstLineChars="200"/>
        <w:rPr>
          <w:sz w:val="24"/>
          <w:szCs w:val="24"/>
          <w:lang w:eastAsia="zh-CN"/>
        </w:rPr>
      </w:pPr>
      <w:r>
        <w:rPr>
          <w:sz w:val="24"/>
          <w:szCs w:val="24"/>
          <w:lang w:eastAsia="zh-CN"/>
        </w:rPr>
        <w:t>3.7.1投标文件应按第六章“投标文件格式”进行编写，如有必要，可以增加附页，作为投标文件的组成部分。其中，投标函附录在满足招标文件实质性要求的基础上，可以提出比招标文件要求更有利于招标人的承诺。</w:t>
      </w:r>
    </w:p>
    <w:p>
      <w:pPr>
        <w:pStyle w:val="9"/>
        <w:spacing w:line="360" w:lineRule="auto"/>
        <w:ind w:left="0" w:firstLine="480" w:firstLineChars="200"/>
        <w:rPr>
          <w:sz w:val="24"/>
          <w:szCs w:val="24"/>
          <w:lang w:eastAsia="zh-CN"/>
        </w:rPr>
      </w:pPr>
      <w:r>
        <w:rPr>
          <w:sz w:val="24"/>
          <w:szCs w:val="24"/>
          <w:lang w:eastAsia="zh-CN"/>
        </w:rPr>
        <w:t>3.7.2投标文件应当对招标文件有关</w:t>
      </w:r>
      <w:r>
        <w:rPr>
          <w:rFonts w:hint="eastAsia"/>
          <w:sz w:val="24"/>
          <w:szCs w:val="24"/>
          <w:lang w:eastAsia="zh-CN"/>
        </w:rPr>
        <w:t>勘察设计</w:t>
      </w:r>
      <w:r>
        <w:rPr>
          <w:sz w:val="24"/>
          <w:szCs w:val="24"/>
          <w:lang w:eastAsia="zh-CN"/>
        </w:rPr>
        <w:t>服务期限、投标有效期、发包人要求、招标范围等实质性内容作出响应。</w:t>
      </w:r>
    </w:p>
    <w:p>
      <w:pPr>
        <w:pStyle w:val="9"/>
        <w:spacing w:line="360" w:lineRule="auto"/>
        <w:ind w:left="0" w:firstLine="480" w:firstLineChars="200"/>
        <w:rPr>
          <w:sz w:val="24"/>
          <w:szCs w:val="24"/>
          <w:lang w:eastAsia="zh-CN"/>
        </w:rPr>
      </w:pPr>
      <w:r>
        <w:rPr>
          <w:sz w:val="24"/>
          <w:szCs w:val="24"/>
          <w:lang w:eastAsia="zh-CN"/>
        </w:rPr>
        <w:t>3.7.3（B）投标文件全部采用电子文档，除投标人须知前附表另有规定外，投标文件所附证书证件均为</w:t>
      </w:r>
      <w:r>
        <w:rPr>
          <w:rFonts w:hint="eastAsia"/>
          <w:sz w:val="24"/>
          <w:szCs w:val="24"/>
          <w:lang w:eastAsia="zh-CN"/>
        </w:rPr>
        <w:t>清晰</w:t>
      </w:r>
      <w:r>
        <w:rPr>
          <w:sz w:val="24"/>
          <w:szCs w:val="24"/>
          <w:lang w:eastAsia="zh-CN"/>
        </w:rPr>
        <w:t>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7" w:name="_Toc12380"/>
      <w:r>
        <w:rPr>
          <w:rFonts w:ascii="宋体" w:hAnsi="宋体"/>
        </w:rPr>
        <w:t>4. 投标</w:t>
      </w:r>
      <w:bookmarkEnd w:id="7"/>
    </w:p>
    <w:p>
      <w:pPr>
        <w:pStyle w:val="6"/>
        <w:spacing w:line="360" w:lineRule="auto"/>
        <w:ind w:right="44"/>
        <w:rPr>
          <w:sz w:val="24"/>
          <w:szCs w:val="24"/>
        </w:rPr>
      </w:pPr>
      <w:r>
        <w:t>4.1投标文件的密封和标记</w:t>
      </w:r>
    </w:p>
    <w:p>
      <w:pPr>
        <w:pStyle w:val="9"/>
        <w:spacing w:line="360" w:lineRule="auto"/>
        <w:ind w:left="0" w:firstLine="480" w:firstLineChars="200"/>
        <w:rPr>
          <w:sz w:val="24"/>
          <w:szCs w:val="24"/>
          <w:lang w:eastAsia="zh-CN"/>
        </w:rPr>
      </w:pPr>
      <w:r>
        <w:rPr>
          <w:sz w:val="24"/>
          <w:szCs w:val="24"/>
          <w:lang w:eastAsia="zh-CN"/>
        </w:rPr>
        <w:t>4.1.1（B）投标人应当按照招标文件和电子招标投标交易平台的要求加密投标文件，具体要求见投标人须知前附表。</w:t>
      </w:r>
    </w:p>
    <w:p>
      <w:pPr>
        <w:pStyle w:val="9"/>
        <w:spacing w:line="360" w:lineRule="auto"/>
        <w:ind w:left="0" w:firstLine="480" w:firstLineChars="200"/>
        <w:rPr>
          <w:sz w:val="24"/>
          <w:szCs w:val="24"/>
          <w:lang w:eastAsia="zh-CN"/>
        </w:rPr>
      </w:pPr>
      <w:r>
        <w:rPr>
          <w:sz w:val="24"/>
          <w:szCs w:val="24"/>
          <w:lang w:eastAsia="zh-CN"/>
        </w:rPr>
        <w:t>4.1.2投标文件</w:t>
      </w:r>
      <w:r>
        <w:rPr>
          <w:rFonts w:hint="eastAsia"/>
          <w:sz w:val="24"/>
          <w:szCs w:val="24"/>
          <w:u w:val="single"/>
          <w:lang w:eastAsia="zh-CN"/>
        </w:rPr>
        <w:t>备用光盘</w:t>
      </w:r>
      <w:r>
        <w:rPr>
          <w:sz w:val="24"/>
          <w:szCs w:val="24"/>
          <w:lang w:eastAsia="zh-CN"/>
        </w:rPr>
        <w:t>封套上应写明的内容见投标人须知前附表。</w:t>
      </w:r>
    </w:p>
    <w:p>
      <w:pPr>
        <w:pStyle w:val="9"/>
        <w:spacing w:line="360" w:lineRule="auto"/>
        <w:ind w:left="0" w:firstLine="480" w:firstLineChars="200"/>
        <w:rPr>
          <w:sz w:val="24"/>
          <w:szCs w:val="24"/>
          <w:lang w:eastAsia="zh-CN"/>
        </w:rPr>
      </w:pPr>
      <w:r>
        <w:rPr>
          <w:sz w:val="24"/>
          <w:szCs w:val="24"/>
          <w:lang w:eastAsia="zh-CN"/>
        </w:rPr>
        <w:t>4.1.3未按本章第 4.1.1项要求密封的投标文件，招标人将予以拒收。</w:t>
      </w:r>
    </w:p>
    <w:p>
      <w:pPr>
        <w:spacing w:line="360" w:lineRule="auto"/>
        <w:rPr>
          <w:rFonts w:ascii="宋体" w:hAnsi="宋体"/>
          <w:sz w:val="24"/>
          <w:szCs w:val="24"/>
        </w:rPr>
      </w:pPr>
    </w:p>
    <w:p>
      <w:pPr>
        <w:pStyle w:val="6"/>
        <w:spacing w:line="360" w:lineRule="auto"/>
        <w:ind w:right="44"/>
        <w:rPr>
          <w:sz w:val="24"/>
          <w:szCs w:val="24"/>
        </w:rPr>
      </w:pPr>
      <w:r>
        <w:t>4.2投标文件的递交</w:t>
      </w:r>
    </w:p>
    <w:p>
      <w:pPr>
        <w:pStyle w:val="9"/>
        <w:spacing w:line="360" w:lineRule="auto"/>
        <w:ind w:left="0" w:firstLine="480" w:firstLineChars="200"/>
        <w:rPr>
          <w:sz w:val="24"/>
          <w:szCs w:val="24"/>
          <w:lang w:eastAsia="zh-CN"/>
        </w:rPr>
      </w:pPr>
      <w:r>
        <w:rPr>
          <w:sz w:val="24"/>
          <w:szCs w:val="24"/>
          <w:lang w:eastAsia="zh-CN"/>
        </w:rPr>
        <w:t>4.2.1投标人应在投标人须知前附表规定的投标截止时间前递交投标文件。</w:t>
      </w:r>
    </w:p>
    <w:p>
      <w:pPr>
        <w:pStyle w:val="9"/>
        <w:spacing w:line="360" w:lineRule="auto"/>
        <w:ind w:left="0" w:firstLine="480" w:firstLineChars="200"/>
        <w:rPr>
          <w:sz w:val="24"/>
          <w:szCs w:val="24"/>
          <w:lang w:eastAsia="zh-CN"/>
        </w:rPr>
      </w:pPr>
      <w:r>
        <w:rPr>
          <w:sz w:val="24"/>
          <w:szCs w:val="24"/>
          <w:lang w:eastAsia="zh-CN"/>
        </w:rPr>
        <w:t>4.2.2（B）投标人通过下载招标文件的电子招标投标交易平台递交电子投标文件。</w:t>
      </w:r>
    </w:p>
    <w:p>
      <w:pPr>
        <w:pStyle w:val="9"/>
        <w:spacing w:line="360" w:lineRule="auto"/>
        <w:ind w:left="0" w:firstLine="480" w:firstLineChars="200"/>
        <w:rPr>
          <w:sz w:val="24"/>
          <w:szCs w:val="24"/>
          <w:lang w:eastAsia="zh-CN"/>
        </w:rPr>
      </w:pPr>
      <w:r>
        <w:rPr>
          <w:sz w:val="24"/>
          <w:szCs w:val="24"/>
          <w:lang w:eastAsia="zh-CN"/>
        </w:rPr>
        <w:t>4.2.3除投标人须知前附表另有规定外，投标人所递交的投标文件不予退还。</w:t>
      </w:r>
    </w:p>
    <w:p>
      <w:pPr>
        <w:pStyle w:val="9"/>
        <w:spacing w:line="360" w:lineRule="auto"/>
        <w:ind w:left="0" w:firstLine="480" w:firstLineChars="200"/>
        <w:rPr>
          <w:sz w:val="24"/>
          <w:szCs w:val="24"/>
          <w:lang w:eastAsia="zh-CN"/>
        </w:rPr>
      </w:pPr>
      <w:r>
        <w:rPr>
          <w:sz w:val="24"/>
          <w:szCs w:val="24"/>
          <w:lang w:eastAsia="zh-CN"/>
        </w:rPr>
        <w:t>4.2.4（B）投标人完成电子投标文件上传后，电子招标投标交易平台即时向投标人发出递交回执通知。递交时间以递交回执通知载明的传输完成时间为准。</w:t>
      </w:r>
    </w:p>
    <w:p>
      <w:pPr>
        <w:pStyle w:val="9"/>
        <w:spacing w:line="360" w:lineRule="auto"/>
        <w:ind w:left="0" w:firstLine="480" w:firstLineChars="200"/>
        <w:rPr>
          <w:sz w:val="24"/>
          <w:szCs w:val="24"/>
          <w:lang w:eastAsia="zh-CN"/>
        </w:rPr>
      </w:pPr>
      <w:r>
        <w:rPr>
          <w:sz w:val="24"/>
          <w:szCs w:val="24"/>
          <w:lang w:eastAsia="zh-CN"/>
        </w:rPr>
        <w:t>4.2.5（B）逾期送达的投标文件，电子招标投标交易平台将予以拒收。</w:t>
      </w:r>
    </w:p>
    <w:p>
      <w:pPr>
        <w:spacing w:line="360" w:lineRule="auto"/>
        <w:rPr>
          <w:rFonts w:ascii="宋体" w:hAnsi="宋体"/>
          <w:sz w:val="24"/>
          <w:szCs w:val="24"/>
        </w:rPr>
      </w:pPr>
    </w:p>
    <w:p>
      <w:pPr>
        <w:pStyle w:val="6"/>
        <w:spacing w:line="360" w:lineRule="auto"/>
        <w:ind w:right="44"/>
        <w:rPr>
          <w:sz w:val="24"/>
          <w:szCs w:val="24"/>
        </w:rPr>
      </w:pPr>
      <w:r>
        <w:t>4.3投标文件的修改与撤回</w:t>
      </w:r>
    </w:p>
    <w:p>
      <w:pPr>
        <w:pStyle w:val="9"/>
        <w:spacing w:line="360" w:lineRule="auto"/>
        <w:ind w:left="0" w:firstLine="480" w:firstLineChars="200"/>
        <w:rPr>
          <w:sz w:val="24"/>
          <w:szCs w:val="24"/>
          <w:lang w:eastAsia="zh-CN"/>
        </w:rPr>
      </w:pPr>
      <w:r>
        <w:rPr>
          <w:sz w:val="24"/>
          <w:szCs w:val="24"/>
          <w:lang w:eastAsia="zh-CN"/>
        </w:rPr>
        <w:t>4.3.1在本章第 4.2.1项规定的投标截止时间前，投标人可以修改或撤回已递交的投标文件，但应以书面形式通知招标人。</w:t>
      </w:r>
    </w:p>
    <w:p>
      <w:pPr>
        <w:pStyle w:val="9"/>
        <w:spacing w:line="360" w:lineRule="auto"/>
        <w:ind w:left="0" w:firstLine="480" w:firstLineChars="200"/>
        <w:rPr>
          <w:sz w:val="24"/>
          <w:szCs w:val="24"/>
          <w:lang w:eastAsia="zh-CN"/>
        </w:rPr>
      </w:pPr>
      <w:r>
        <w:rPr>
          <w:sz w:val="24"/>
          <w:szCs w:val="24"/>
          <w:lang w:eastAsia="zh-CN"/>
        </w:rPr>
        <w:t>4.3.2（B）投标人修改或撤回已递交投标文件的通知，应按照本章第3.7.3（B）项的要求加盖电子印章。电子招标投标交易平台收到通知后，即时向投标人发出确认回执通知。</w:t>
      </w:r>
    </w:p>
    <w:p>
      <w:pPr>
        <w:pStyle w:val="9"/>
        <w:spacing w:line="360" w:lineRule="auto"/>
        <w:ind w:left="0" w:firstLine="480" w:firstLineChars="200"/>
        <w:rPr>
          <w:sz w:val="24"/>
          <w:szCs w:val="24"/>
          <w:lang w:eastAsia="zh-CN"/>
        </w:rPr>
      </w:pPr>
      <w:r>
        <w:rPr>
          <w:sz w:val="24"/>
          <w:szCs w:val="24"/>
          <w:lang w:eastAsia="zh-CN"/>
        </w:rPr>
        <w:t>4.3.3投标人撤回投标文件的，招标人自收到投标人书面撤回通知之日起 5日内退还已收取的投标保证金。</w:t>
      </w:r>
      <w:r>
        <w:rPr>
          <w:rFonts w:hint="eastAsia"/>
          <w:sz w:val="24"/>
          <w:szCs w:val="24"/>
          <w:lang w:eastAsia="zh-CN"/>
        </w:rPr>
        <w:t>（本项目不适用）</w:t>
      </w:r>
    </w:p>
    <w:p>
      <w:pPr>
        <w:pStyle w:val="9"/>
        <w:spacing w:line="360" w:lineRule="auto"/>
        <w:ind w:left="0" w:firstLine="480" w:firstLineChars="200"/>
        <w:rPr>
          <w:sz w:val="24"/>
          <w:szCs w:val="24"/>
          <w:lang w:eastAsia="zh-CN"/>
        </w:rPr>
      </w:pPr>
      <w:r>
        <w:rPr>
          <w:sz w:val="24"/>
          <w:szCs w:val="24"/>
          <w:lang w:eastAsia="zh-CN"/>
        </w:rPr>
        <w:t>4.3.4修改的内容为投标文件的组成部分。修改的投标文件应按照本章第3条、第4条的规定进行编制、密封、标记和递交，并标明“修改”字样。</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8" w:name="_Toc14543"/>
      <w:r>
        <w:rPr>
          <w:rFonts w:ascii="宋体" w:hAnsi="宋体"/>
        </w:rPr>
        <w:t>5. 开标</w:t>
      </w:r>
      <w:bookmarkEnd w:id="8"/>
    </w:p>
    <w:p>
      <w:pPr>
        <w:pStyle w:val="6"/>
        <w:spacing w:line="360" w:lineRule="auto"/>
        <w:ind w:right="44"/>
        <w:rPr>
          <w:sz w:val="24"/>
          <w:szCs w:val="24"/>
        </w:rPr>
      </w:pPr>
      <w:r>
        <w:t>5.1开标时间和地点（B）</w:t>
      </w:r>
    </w:p>
    <w:p>
      <w:pPr>
        <w:pStyle w:val="9"/>
        <w:spacing w:line="360" w:lineRule="auto"/>
        <w:ind w:left="0" w:firstLine="480" w:firstLineChars="200"/>
        <w:rPr>
          <w:sz w:val="24"/>
          <w:szCs w:val="24"/>
          <w:lang w:eastAsia="zh-CN"/>
        </w:rPr>
      </w:pPr>
      <w:r>
        <w:rPr>
          <w:sz w:val="24"/>
          <w:szCs w:val="24"/>
          <w:lang w:eastAsia="zh-CN"/>
        </w:rPr>
        <w:t>招标人在本章第 4.2.1项规定的投标截止时间（开标时间）,通过电子招标投标交易平台公开开标，所有投标人的法定代表人或其委托代理人应当准时参加</w:t>
      </w:r>
      <w:r>
        <w:rPr>
          <w:rFonts w:hint="eastAsia"/>
          <w:sz w:val="24"/>
          <w:szCs w:val="24"/>
          <w:lang w:eastAsia="zh-CN"/>
        </w:rPr>
        <w:t>，</w:t>
      </w:r>
      <w:r>
        <w:rPr>
          <w:rFonts w:hint="eastAsia"/>
          <w:sz w:val="24"/>
          <w:szCs w:val="24"/>
          <w:u w:val="single"/>
          <w:lang w:eastAsia="zh-CN"/>
        </w:rPr>
        <w:t>也可不参加</w:t>
      </w:r>
      <w:r>
        <w:rPr>
          <w:sz w:val="24"/>
          <w:szCs w:val="24"/>
          <w:lang w:eastAsia="zh-CN"/>
        </w:rPr>
        <w:t>。</w:t>
      </w:r>
    </w:p>
    <w:p>
      <w:pPr>
        <w:spacing w:line="360" w:lineRule="auto"/>
        <w:rPr>
          <w:rFonts w:ascii="宋体" w:hAnsi="宋体"/>
          <w:sz w:val="24"/>
          <w:szCs w:val="24"/>
        </w:rPr>
      </w:pPr>
    </w:p>
    <w:p>
      <w:pPr>
        <w:pStyle w:val="6"/>
        <w:spacing w:line="360" w:lineRule="auto"/>
        <w:ind w:right="44"/>
        <w:rPr>
          <w:sz w:val="24"/>
          <w:szCs w:val="24"/>
        </w:rPr>
      </w:pPr>
      <w:r>
        <w:t>5.2开标程序</w:t>
      </w:r>
    </w:p>
    <w:p>
      <w:pPr>
        <w:pStyle w:val="9"/>
        <w:spacing w:line="360" w:lineRule="auto"/>
        <w:ind w:left="0" w:firstLine="480" w:firstLineChars="200"/>
        <w:rPr>
          <w:sz w:val="24"/>
          <w:szCs w:val="24"/>
          <w:lang w:eastAsia="zh-CN"/>
        </w:rPr>
      </w:pPr>
      <w:r>
        <w:rPr>
          <w:sz w:val="24"/>
          <w:szCs w:val="24"/>
          <w:lang w:eastAsia="zh-CN"/>
        </w:rPr>
        <w:t>主持人按下列程序进行开标：</w:t>
      </w:r>
    </w:p>
    <w:p>
      <w:pPr>
        <w:pStyle w:val="9"/>
        <w:spacing w:line="360" w:lineRule="auto"/>
        <w:ind w:left="0" w:firstLine="480" w:firstLineChars="200"/>
        <w:rPr>
          <w:sz w:val="24"/>
          <w:szCs w:val="24"/>
          <w:lang w:eastAsia="zh-CN"/>
        </w:rPr>
      </w:pPr>
      <w:r>
        <w:rPr>
          <w:sz w:val="24"/>
          <w:szCs w:val="24"/>
          <w:lang w:eastAsia="zh-CN"/>
        </w:rPr>
        <w:t>（1）宣布开标纪律；</w:t>
      </w:r>
    </w:p>
    <w:p>
      <w:pPr>
        <w:pStyle w:val="9"/>
        <w:spacing w:line="360" w:lineRule="auto"/>
        <w:ind w:left="0" w:firstLine="480" w:firstLineChars="200"/>
        <w:rPr>
          <w:sz w:val="24"/>
          <w:szCs w:val="24"/>
          <w:lang w:eastAsia="zh-CN"/>
        </w:rPr>
      </w:pPr>
      <w:r>
        <w:rPr>
          <w:sz w:val="24"/>
          <w:szCs w:val="24"/>
          <w:lang w:eastAsia="zh-CN"/>
        </w:rPr>
        <w:t>（2）公布在投标截止时间前递交投标文件的投标人名称；</w:t>
      </w:r>
    </w:p>
    <w:p>
      <w:pPr>
        <w:pStyle w:val="9"/>
        <w:spacing w:line="360" w:lineRule="auto"/>
        <w:ind w:left="0" w:firstLine="480" w:firstLineChars="200"/>
        <w:rPr>
          <w:sz w:val="24"/>
          <w:szCs w:val="24"/>
          <w:lang w:eastAsia="zh-CN"/>
        </w:rPr>
      </w:pPr>
      <w:r>
        <w:rPr>
          <w:sz w:val="24"/>
          <w:szCs w:val="24"/>
          <w:lang w:eastAsia="zh-CN"/>
        </w:rPr>
        <w:t>（3）宣布开标人、唱标人、记录人、监标人等有关人员姓名；</w:t>
      </w:r>
    </w:p>
    <w:p>
      <w:pPr>
        <w:pStyle w:val="9"/>
        <w:spacing w:line="360" w:lineRule="auto"/>
        <w:ind w:left="0" w:firstLine="480" w:firstLineChars="200"/>
        <w:rPr>
          <w:sz w:val="24"/>
          <w:szCs w:val="24"/>
          <w:lang w:eastAsia="zh-CN"/>
        </w:rPr>
      </w:pPr>
      <w:r>
        <w:rPr>
          <w:sz w:val="24"/>
          <w:szCs w:val="24"/>
          <w:lang w:eastAsia="zh-CN"/>
        </w:rPr>
        <w:t>（4）（B）投标人通过电子招标投标交易平台对已递交的电子投标文件进行解密，公布招标项目名称、投标人名称、投标报价、</w:t>
      </w:r>
      <w:r>
        <w:rPr>
          <w:rFonts w:hint="eastAsia"/>
          <w:sz w:val="24"/>
          <w:szCs w:val="24"/>
          <w:lang w:eastAsia="zh-CN"/>
        </w:rPr>
        <w:t>勘察设计</w:t>
      </w:r>
      <w:r>
        <w:rPr>
          <w:sz w:val="24"/>
          <w:szCs w:val="24"/>
          <w:lang w:eastAsia="zh-CN"/>
        </w:rPr>
        <w:t>服务期限及其他内容，并记录在案；</w:t>
      </w:r>
    </w:p>
    <w:p>
      <w:pPr>
        <w:pStyle w:val="9"/>
        <w:spacing w:line="360" w:lineRule="auto"/>
        <w:ind w:left="0" w:firstLine="480" w:firstLineChars="200"/>
        <w:rPr>
          <w:sz w:val="24"/>
          <w:szCs w:val="24"/>
          <w:lang w:eastAsia="zh-CN"/>
        </w:rPr>
      </w:pPr>
      <w:r>
        <w:rPr>
          <w:sz w:val="24"/>
          <w:szCs w:val="24"/>
          <w:lang w:eastAsia="zh-CN"/>
        </w:rPr>
        <w:t>（5）（A）投标人代表、招标人代表、监标人、记录人等有关人员在开标记录上签字确认；</w:t>
      </w:r>
    </w:p>
    <w:p>
      <w:pPr>
        <w:pStyle w:val="9"/>
        <w:spacing w:line="360" w:lineRule="auto"/>
        <w:ind w:left="0" w:firstLine="480" w:firstLineChars="200"/>
        <w:rPr>
          <w:sz w:val="24"/>
          <w:szCs w:val="24"/>
          <w:lang w:eastAsia="zh-CN"/>
        </w:rPr>
      </w:pPr>
      <w:r>
        <w:rPr>
          <w:sz w:val="24"/>
          <w:szCs w:val="24"/>
          <w:lang w:eastAsia="zh-CN"/>
        </w:rPr>
        <w:t>（6）开标结束。</w:t>
      </w:r>
    </w:p>
    <w:p>
      <w:pPr>
        <w:spacing w:line="360" w:lineRule="auto"/>
        <w:rPr>
          <w:rFonts w:ascii="宋体" w:hAnsi="宋体"/>
          <w:sz w:val="24"/>
          <w:szCs w:val="24"/>
        </w:rPr>
      </w:pPr>
    </w:p>
    <w:p>
      <w:pPr>
        <w:pStyle w:val="6"/>
        <w:spacing w:line="360" w:lineRule="auto"/>
        <w:ind w:right="44"/>
        <w:rPr>
          <w:sz w:val="24"/>
          <w:szCs w:val="24"/>
        </w:rPr>
      </w:pPr>
      <w:r>
        <w:t>5.3开标异议</w:t>
      </w:r>
    </w:p>
    <w:p>
      <w:pPr>
        <w:pStyle w:val="9"/>
        <w:spacing w:line="360" w:lineRule="auto"/>
        <w:ind w:left="0" w:firstLine="480" w:firstLineChars="200"/>
        <w:rPr>
          <w:sz w:val="24"/>
          <w:szCs w:val="24"/>
          <w:lang w:eastAsia="zh-CN"/>
        </w:rPr>
      </w:pPr>
      <w:r>
        <w:rPr>
          <w:sz w:val="24"/>
          <w:szCs w:val="24"/>
          <w:lang w:eastAsia="zh-CN"/>
        </w:rPr>
        <w:t>投标人对开标有异议的，应当在开标现场提出，招标人当场作出答复，并制作记录。</w:t>
      </w:r>
      <w:r>
        <w:rPr>
          <w:rFonts w:hint="eastAsia"/>
          <w:sz w:val="24"/>
          <w:szCs w:val="24"/>
          <w:u w:val="single"/>
          <w:lang w:eastAsia="zh-CN"/>
        </w:rPr>
        <w:t>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9" w:name="_Toc31906"/>
      <w:r>
        <w:rPr>
          <w:rFonts w:ascii="宋体" w:hAnsi="宋体"/>
        </w:rPr>
        <w:t>6. 评标</w:t>
      </w:r>
      <w:bookmarkEnd w:id="9"/>
    </w:p>
    <w:p>
      <w:pPr>
        <w:pStyle w:val="6"/>
        <w:spacing w:line="360" w:lineRule="auto"/>
        <w:ind w:right="44"/>
        <w:rPr>
          <w:sz w:val="24"/>
          <w:szCs w:val="24"/>
        </w:rPr>
      </w:pPr>
      <w:r>
        <w:t>6.1评标委员会</w:t>
      </w:r>
    </w:p>
    <w:p>
      <w:pPr>
        <w:pStyle w:val="9"/>
        <w:spacing w:line="360" w:lineRule="auto"/>
        <w:ind w:left="0" w:firstLine="480" w:firstLineChars="200"/>
        <w:rPr>
          <w:sz w:val="24"/>
          <w:szCs w:val="24"/>
          <w:lang w:eastAsia="zh-CN"/>
        </w:rPr>
      </w:pPr>
      <w:r>
        <w:rPr>
          <w:sz w:val="24"/>
          <w:szCs w:val="24"/>
          <w:lang w:eastAsia="zh-CN"/>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9"/>
        <w:spacing w:line="360" w:lineRule="auto"/>
        <w:ind w:left="0" w:firstLine="480" w:firstLineChars="200"/>
        <w:rPr>
          <w:sz w:val="24"/>
          <w:szCs w:val="24"/>
          <w:lang w:eastAsia="zh-CN"/>
        </w:rPr>
      </w:pPr>
      <w:r>
        <w:rPr>
          <w:sz w:val="24"/>
          <w:szCs w:val="24"/>
          <w:lang w:eastAsia="zh-CN"/>
        </w:rPr>
        <w:t>6.1.2评标委员会成员有下列情形之一的，应当回避：</w:t>
      </w:r>
    </w:p>
    <w:p>
      <w:pPr>
        <w:pStyle w:val="9"/>
        <w:spacing w:line="360" w:lineRule="auto"/>
        <w:ind w:left="0" w:firstLine="480" w:firstLineChars="200"/>
        <w:rPr>
          <w:sz w:val="24"/>
          <w:szCs w:val="24"/>
          <w:lang w:eastAsia="zh-CN"/>
        </w:rPr>
      </w:pPr>
      <w:r>
        <w:rPr>
          <w:sz w:val="24"/>
          <w:szCs w:val="24"/>
          <w:lang w:eastAsia="zh-CN"/>
        </w:rPr>
        <w:t>（1）投标人或投标人主要负责人的近亲属；</w:t>
      </w:r>
    </w:p>
    <w:p>
      <w:pPr>
        <w:pStyle w:val="9"/>
        <w:spacing w:line="360" w:lineRule="auto"/>
        <w:ind w:left="0" w:firstLine="480" w:firstLineChars="200"/>
        <w:rPr>
          <w:sz w:val="24"/>
          <w:szCs w:val="24"/>
          <w:lang w:eastAsia="zh-CN"/>
        </w:rPr>
      </w:pPr>
      <w:r>
        <w:rPr>
          <w:sz w:val="24"/>
          <w:szCs w:val="24"/>
          <w:lang w:eastAsia="zh-CN"/>
        </w:rPr>
        <w:t>（2）项目主管部门或者行政监督部门的人员；</w:t>
      </w:r>
    </w:p>
    <w:p>
      <w:pPr>
        <w:pStyle w:val="9"/>
        <w:spacing w:line="360" w:lineRule="auto"/>
        <w:ind w:left="0" w:firstLine="480" w:firstLineChars="200"/>
        <w:rPr>
          <w:sz w:val="24"/>
          <w:szCs w:val="24"/>
          <w:lang w:eastAsia="zh-CN"/>
        </w:rPr>
      </w:pPr>
      <w:r>
        <w:rPr>
          <w:sz w:val="24"/>
          <w:szCs w:val="24"/>
          <w:lang w:eastAsia="zh-CN"/>
        </w:rPr>
        <w:t>（3）与投标人有经济利益关系，可能影响对投标公正评审的；</w:t>
      </w:r>
    </w:p>
    <w:p>
      <w:pPr>
        <w:pStyle w:val="9"/>
        <w:spacing w:line="360" w:lineRule="auto"/>
        <w:ind w:left="0" w:firstLine="480" w:firstLineChars="200"/>
        <w:rPr>
          <w:sz w:val="24"/>
          <w:szCs w:val="24"/>
          <w:lang w:eastAsia="zh-CN"/>
        </w:rPr>
      </w:pPr>
      <w:r>
        <w:rPr>
          <w:sz w:val="24"/>
          <w:szCs w:val="24"/>
          <w:lang w:eastAsia="zh-CN"/>
        </w:rPr>
        <w:t>（4）曾因在招标、评标以及其他与招标投标有关活动中从事违法行为而受过行政处罚或刑事处罚的；</w:t>
      </w:r>
    </w:p>
    <w:p>
      <w:pPr>
        <w:pStyle w:val="9"/>
        <w:spacing w:line="360" w:lineRule="auto"/>
        <w:ind w:left="0" w:firstLine="480" w:firstLineChars="200"/>
        <w:rPr>
          <w:sz w:val="24"/>
          <w:szCs w:val="24"/>
          <w:lang w:eastAsia="zh-CN"/>
        </w:rPr>
      </w:pPr>
      <w:r>
        <w:rPr>
          <w:sz w:val="24"/>
          <w:szCs w:val="24"/>
          <w:lang w:eastAsia="zh-CN"/>
        </w:rPr>
        <w:t>（5）与投标人有其他利害关系。</w:t>
      </w:r>
    </w:p>
    <w:p>
      <w:pPr>
        <w:pStyle w:val="9"/>
        <w:spacing w:line="360" w:lineRule="auto"/>
        <w:ind w:left="0" w:firstLine="480" w:firstLineChars="200"/>
        <w:rPr>
          <w:sz w:val="24"/>
          <w:szCs w:val="24"/>
          <w:lang w:eastAsia="zh-CN"/>
        </w:rPr>
      </w:pPr>
      <w:r>
        <w:rPr>
          <w:sz w:val="24"/>
          <w:szCs w:val="24"/>
          <w:lang w:eastAsia="zh-CN"/>
        </w:rPr>
        <w:t>6.1.3评标过程中，评标委员会成员有回避事由、擅离职守或者因健康等原因不能继续评标的，招标人有权更换。被更换的评标委员会成员作出的评审结论无效，由更换后的评标委员会成员重新进行评审。</w:t>
      </w:r>
    </w:p>
    <w:p>
      <w:pPr>
        <w:spacing w:line="360" w:lineRule="auto"/>
        <w:rPr>
          <w:rFonts w:ascii="宋体" w:hAnsi="宋体"/>
          <w:sz w:val="24"/>
          <w:szCs w:val="24"/>
        </w:rPr>
      </w:pPr>
    </w:p>
    <w:p>
      <w:pPr>
        <w:pStyle w:val="6"/>
        <w:spacing w:line="360" w:lineRule="auto"/>
        <w:ind w:right="44"/>
        <w:rPr>
          <w:sz w:val="24"/>
          <w:szCs w:val="24"/>
        </w:rPr>
      </w:pPr>
      <w:r>
        <w:t>6.2评标原则</w:t>
      </w:r>
    </w:p>
    <w:p>
      <w:pPr>
        <w:pStyle w:val="9"/>
        <w:spacing w:line="360" w:lineRule="auto"/>
        <w:ind w:left="0" w:firstLine="480" w:firstLineChars="200"/>
        <w:rPr>
          <w:sz w:val="24"/>
          <w:szCs w:val="24"/>
          <w:lang w:eastAsia="zh-CN"/>
        </w:rPr>
      </w:pPr>
      <w:r>
        <w:rPr>
          <w:sz w:val="24"/>
          <w:szCs w:val="24"/>
          <w:lang w:eastAsia="zh-CN"/>
        </w:rPr>
        <w:t>评标活动遵循公平、公正、科学和择优的原则。</w:t>
      </w:r>
    </w:p>
    <w:p>
      <w:pPr>
        <w:spacing w:line="360" w:lineRule="auto"/>
        <w:rPr>
          <w:rFonts w:ascii="宋体" w:hAnsi="宋体"/>
          <w:sz w:val="24"/>
          <w:szCs w:val="24"/>
        </w:rPr>
      </w:pPr>
    </w:p>
    <w:p>
      <w:pPr>
        <w:pStyle w:val="6"/>
        <w:spacing w:line="360" w:lineRule="auto"/>
        <w:ind w:right="44"/>
        <w:rPr>
          <w:sz w:val="24"/>
          <w:szCs w:val="24"/>
        </w:rPr>
      </w:pPr>
      <w:r>
        <w:t>6.3评标</w:t>
      </w:r>
    </w:p>
    <w:p>
      <w:pPr>
        <w:pStyle w:val="9"/>
        <w:spacing w:line="360" w:lineRule="auto"/>
        <w:ind w:left="0" w:firstLine="480" w:firstLineChars="200"/>
        <w:rPr>
          <w:sz w:val="24"/>
          <w:szCs w:val="24"/>
          <w:lang w:eastAsia="zh-CN"/>
        </w:rPr>
      </w:pPr>
      <w:r>
        <w:rPr>
          <w:sz w:val="24"/>
          <w:szCs w:val="24"/>
          <w:lang w:eastAsia="zh-CN"/>
        </w:rPr>
        <w:t>6.3.1评标委员会按照第三章“评标办法”规定的方法、评审因素、标准和程序对投标文件进行评审。第三章“评标办法”没有规定的方法、评审因素和标准，不作为评标依据。</w:t>
      </w:r>
    </w:p>
    <w:p>
      <w:pPr>
        <w:pStyle w:val="9"/>
        <w:spacing w:line="360" w:lineRule="auto"/>
        <w:ind w:left="0" w:firstLine="480" w:firstLineChars="200"/>
        <w:rPr>
          <w:sz w:val="24"/>
          <w:szCs w:val="24"/>
          <w:lang w:eastAsia="zh-CN"/>
        </w:rPr>
      </w:pPr>
      <w:r>
        <w:rPr>
          <w:sz w:val="24"/>
          <w:szCs w:val="24"/>
          <w:lang w:eastAsia="zh-CN"/>
        </w:rPr>
        <w:t>6.3.2评标完成后，评标委员会应当向招标人提交书面评标报告和中标候选人名单。评标委员会推荐中标候选人的人数见投标人须知前附表。</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10" w:name="_Toc11536"/>
      <w:r>
        <w:rPr>
          <w:rFonts w:ascii="宋体" w:hAnsi="宋体"/>
        </w:rPr>
        <w:t>7. 合同授予</w:t>
      </w:r>
      <w:bookmarkEnd w:id="10"/>
    </w:p>
    <w:p>
      <w:pPr>
        <w:pStyle w:val="6"/>
        <w:spacing w:line="360" w:lineRule="auto"/>
        <w:ind w:right="44"/>
        <w:rPr>
          <w:sz w:val="24"/>
          <w:szCs w:val="24"/>
        </w:rPr>
      </w:pPr>
      <w:r>
        <w:t>7.1中标候选人公示</w:t>
      </w:r>
    </w:p>
    <w:p>
      <w:pPr>
        <w:pStyle w:val="9"/>
        <w:spacing w:line="360" w:lineRule="auto"/>
        <w:ind w:left="0" w:firstLine="480" w:firstLineChars="200"/>
        <w:rPr>
          <w:sz w:val="24"/>
          <w:szCs w:val="24"/>
          <w:lang w:eastAsia="zh-CN"/>
        </w:rPr>
      </w:pPr>
      <w:r>
        <w:rPr>
          <w:sz w:val="24"/>
          <w:szCs w:val="24"/>
          <w:lang w:eastAsia="zh-CN"/>
        </w:rPr>
        <w:t>招标人在收到评标报告之日起 3日内，按照投标人须知前附表规定的公示媒介和期限公示中标候选人，公示期不得少于3天。</w:t>
      </w:r>
    </w:p>
    <w:p>
      <w:pPr>
        <w:pStyle w:val="9"/>
        <w:spacing w:line="360" w:lineRule="auto"/>
        <w:ind w:left="0" w:firstLine="480" w:firstLineChars="200"/>
        <w:jc w:val="both"/>
        <w:rPr>
          <w:sz w:val="24"/>
          <w:szCs w:val="24"/>
          <w:u w:val="single"/>
          <w:lang w:eastAsia="zh-CN"/>
        </w:rPr>
      </w:pPr>
      <w:r>
        <w:rPr>
          <w:rFonts w:hint="eastAsia"/>
          <w:sz w:val="24"/>
          <w:szCs w:val="24"/>
          <w:u w:val="single"/>
          <w:lang w:eastAsia="zh-CN"/>
        </w:rPr>
        <w:t>在产生中标候选人后，招标人将中标候选人的投标文件资信部分的电子版（报价清单、方案等涉及商业秘密的内容除外）在广州交易集团有限公司（广州公共资源交易中心）网（网址：</w:t>
      </w:r>
      <w:r>
        <w:rPr>
          <w:sz w:val="24"/>
          <w:szCs w:val="24"/>
          <w:u w:val="single"/>
          <w:lang w:eastAsia="zh-CN"/>
        </w:rPr>
        <w:t>http://www.gzggzy.cn</w:t>
      </w:r>
      <w:r>
        <w:rPr>
          <w:rFonts w:hint="eastAsia"/>
          <w:sz w:val="24"/>
          <w:szCs w:val="24"/>
          <w:u w:val="single"/>
          <w:lang w:eastAsia="zh-CN"/>
        </w:rPr>
        <w:t>）、广东省招标投标监管网（网址：</w:t>
      </w:r>
      <w:r>
        <w:rPr>
          <w:sz w:val="24"/>
          <w:szCs w:val="24"/>
          <w:u w:val="single"/>
          <w:lang w:eastAsia="zh-CN"/>
        </w:rPr>
        <w:t>http://zbtb.gd.gov.cn</w:t>
      </w:r>
      <w:r>
        <w:rPr>
          <w:rFonts w:hint="eastAsia"/>
          <w:sz w:val="24"/>
          <w:szCs w:val="24"/>
          <w:u w:val="single"/>
          <w:lang w:eastAsia="zh-CN"/>
        </w:rPr>
        <w:t>）发布公示。</w:t>
      </w:r>
    </w:p>
    <w:p>
      <w:pPr>
        <w:spacing w:line="360" w:lineRule="auto"/>
        <w:rPr>
          <w:rFonts w:ascii="宋体" w:hAnsi="宋体"/>
          <w:sz w:val="24"/>
          <w:szCs w:val="24"/>
        </w:rPr>
      </w:pPr>
    </w:p>
    <w:p>
      <w:pPr>
        <w:pStyle w:val="6"/>
        <w:spacing w:line="360" w:lineRule="auto"/>
        <w:ind w:right="44"/>
        <w:rPr>
          <w:sz w:val="24"/>
          <w:szCs w:val="24"/>
        </w:rPr>
      </w:pPr>
      <w:r>
        <w:t>7.2评标结果异议</w:t>
      </w:r>
    </w:p>
    <w:p>
      <w:pPr>
        <w:pStyle w:val="9"/>
        <w:spacing w:line="360" w:lineRule="auto"/>
        <w:ind w:left="0" w:firstLine="480" w:firstLineChars="200"/>
        <w:rPr>
          <w:sz w:val="24"/>
          <w:szCs w:val="24"/>
          <w:lang w:eastAsia="zh-CN"/>
        </w:rPr>
      </w:pPr>
      <w:r>
        <w:rPr>
          <w:sz w:val="24"/>
          <w:szCs w:val="24"/>
          <w:lang w:eastAsia="zh-CN"/>
        </w:rPr>
        <w:t>投标人或者其他利害关系人对评标结果有异议的，应当在中标候选人公示期间提出</w:t>
      </w:r>
      <w:r>
        <w:rPr>
          <w:rFonts w:hint="eastAsia"/>
          <w:sz w:val="24"/>
          <w:szCs w:val="24"/>
          <w:lang w:eastAsia="zh-CN"/>
        </w:rPr>
        <w:t>，</w:t>
      </w:r>
      <w:r>
        <w:rPr>
          <w:rFonts w:hint="eastAsia"/>
          <w:sz w:val="24"/>
          <w:szCs w:val="24"/>
          <w:u w:val="single"/>
          <w:lang w:eastAsia="zh-CN"/>
        </w:rPr>
        <w:t>可以通过线下或线上的形式提出异议。线上提交的，应通过交易平台进行，招标人也应通过交易平台答复线上提交的异议。</w:t>
      </w:r>
      <w:r>
        <w:rPr>
          <w:sz w:val="24"/>
          <w:szCs w:val="24"/>
          <w:lang w:eastAsia="zh-CN"/>
        </w:rPr>
        <w:t>招标人将在收到异议之日起3日内作出答复；作出答复前，将暂停招标投标活动。</w:t>
      </w:r>
    </w:p>
    <w:p>
      <w:pPr>
        <w:pStyle w:val="9"/>
        <w:spacing w:line="360" w:lineRule="auto"/>
        <w:ind w:left="0" w:firstLine="480" w:firstLineChars="200"/>
        <w:rPr>
          <w:sz w:val="24"/>
          <w:szCs w:val="24"/>
          <w:lang w:eastAsia="zh-CN"/>
        </w:rPr>
      </w:pPr>
    </w:p>
    <w:p>
      <w:pPr>
        <w:pStyle w:val="6"/>
        <w:spacing w:line="360" w:lineRule="auto"/>
        <w:ind w:right="44"/>
        <w:rPr>
          <w:sz w:val="24"/>
          <w:szCs w:val="24"/>
        </w:rPr>
      </w:pPr>
      <w:r>
        <w:t>7.3中标候选人履约能力审查</w:t>
      </w:r>
    </w:p>
    <w:p>
      <w:pPr>
        <w:pStyle w:val="9"/>
        <w:spacing w:line="360" w:lineRule="auto"/>
        <w:ind w:left="0" w:firstLine="480" w:firstLineChars="200"/>
        <w:rPr>
          <w:sz w:val="24"/>
          <w:szCs w:val="24"/>
          <w:lang w:eastAsia="zh-CN"/>
        </w:rPr>
      </w:pPr>
      <w:r>
        <w:rPr>
          <w:sz w:val="24"/>
          <w:szCs w:val="24"/>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360" w:lineRule="auto"/>
        <w:ind w:right="44"/>
        <w:rPr>
          <w:sz w:val="24"/>
          <w:szCs w:val="24"/>
        </w:rPr>
      </w:pPr>
      <w:r>
        <w:t>7.4定标</w:t>
      </w:r>
    </w:p>
    <w:p>
      <w:pPr>
        <w:pStyle w:val="9"/>
        <w:spacing w:line="360" w:lineRule="auto"/>
        <w:ind w:left="0" w:firstLine="480" w:firstLineChars="200"/>
        <w:rPr>
          <w:sz w:val="24"/>
          <w:szCs w:val="24"/>
          <w:lang w:eastAsia="zh-CN"/>
        </w:rPr>
      </w:pPr>
      <w:r>
        <w:rPr>
          <w:sz w:val="24"/>
          <w:szCs w:val="24"/>
          <w:lang w:eastAsia="zh-CN"/>
        </w:rPr>
        <w:t>按照投标人须知前附表的规定，招标人依法确定中标人。</w:t>
      </w:r>
    </w:p>
    <w:p>
      <w:pPr>
        <w:pStyle w:val="6"/>
        <w:spacing w:line="360" w:lineRule="auto"/>
        <w:ind w:right="44"/>
        <w:rPr>
          <w:sz w:val="24"/>
          <w:szCs w:val="24"/>
        </w:rPr>
      </w:pPr>
      <w:r>
        <w:t>7.5中标通知</w:t>
      </w:r>
    </w:p>
    <w:p>
      <w:pPr>
        <w:pStyle w:val="9"/>
        <w:spacing w:line="360" w:lineRule="auto"/>
        <w:ind w:left="0" w:firstLine="480" w:firstLineChars="200"/>
        <w:rPr>
          <w:sz w:val="24"/>
          <w:szCs w:val="24"/>
          <w:lang w:eastAsia="zh-CN"/>
        </w:rPr>
      </w:pPr>
      <w:r>
        <w:rPr>
          <w:sz w:val="24"/>
          <w:szCs w:val="24"/>
          <w:lang w:eastAsia="zh-CN"/>
        </w:rPr>
        <w:t>在本章第 3.3款规定的投标有效期内，招标人以书面形式向中标人发出中标通知书，同时将中标结果通知未中标的投标人。</w:t>
      </w:r>
    </w:p>
    <w:p>
      <w:pPr>
        <w:spacing w:line="360" w:lineRule="auto"/>
        <w:rPr>
          <w:rFonts w:ascii="宋体" w:hAnsi="宋体"/>
          <w:sz w:val="24"/>
          <w:szCs w:val="24"/>
        </w:rPr>
      </w:pPr>
    </w:p>
    <w:p>
      <w:pPr>
        <w:pStyle w:val="6"/>
        <w:spacing w:line="360" w:lineRule="auto"/>
        <w:ind w:right="44"/>
        <w:rPr>
          <w:sz w:val="24"/>
          <w:szCs w:val="24"/>
        </w:rPr>
      </w:pPr>
      <w:r>
        <w:t>7.6技术成果经济补偿</w:t>
      </w:r>
    </w:p>
    <w:p>
      <w:pPr>
        <w:spacing w:line="360" w:lineRule="auto"/>
        <w:ind w:firstLine="480" w:firstLineChars="200"/>
        <w:rPr>
          <w:rFonts w:ascii="宋体" w:hAnsi="宋体"/>
          <w:bCs/>
          <w:sz w:val="24"/>
          <w:szCs w:val="24"/>
          <w:u w:val="single"/>
        </w:rPr>
      </w:pPr>
      <w:r>
        <w:rPr>
          <w:rFonts w:hint="eastAsia" w:ascii="宋体" w:hAnsi="宋体"/>
          <w:bCs/>
          <w:sz w:val="24"/>
          <w:szCs w:val="24"/>
          <w:u w:val="single"/>
        </w:rPr>
        <w:t>本招标项目不设经济补偿。</w:t>
      </w:r>
    </w:p>
    <w:p>
      <w:pPr>
        <w:spacing w:line="360" w:lineRule="auto"/>
        <w:rPr>
          <w:rFonts w:ascii="宋体" w:hAnsi="宋体"/>
          <w:sz w:val="24"/>
          <w:szCs w:val="24"/>
        </w:rPr>
      </w:pPr>
    </w:p>
    <w:p>
      <w:pPr>
        <w:pStyle w:val="6"/>
        <w:spacing w:line="360" w:lineRule="auto"/>
        <w:ind w:right="44"/>
        <w:rPr>
          <w:sz w:val="24"/>
          <w:szCs w:val="24"/>
        </w:rPr>
      </w:pPr>
      <w:r>
        <w:t>7.7履约保证金</w:t>
      </w:r>
    </w:p>
    <w:p>
      <w:pPr>
        <w:pStyle w:val="9"/>
        <w:spacing w:line="360" w:lineRule="auto"/>
        <w:ind w:left="0" w:firstLine="480" w:firstLineChars="200"/>
        <w:rPr>
          <w:sz w:val="24"/>
          <w:szCs w:val="24"/>
          <w:lang w:eastAsia="zh-CN"/>
        </w:rPr>
      </w:pPr>
      <w:r>
        <w:rPr>
          <w:sz w:val="24"/>
          <w:szCs w:val="24"/>
          <w:lang w:eastAsia="zh-CN"/>
        </w:rPr>
        <w:t>7.7.1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w:t>
      </w:r>
      <w:r>
        <w:rPr>
          <w:rFonts w:hint="eastAsia"/>
          <w:sz w:val="24"/>
          <w:szCs w:val="24"/>
          <w:lang w:eastAsia="zh-CN"/>
        </w:rPr>
        <w:t>联合体中标的，其履约保证金以联合体各方或者联合体中牵头人的名义提交。</w:t>
      </w:r>
    </w:p>
    <w:p>
      <w:pPr>
        <w:pStyle w:val="9"/>
        <w:spacing w:line="360" w:lineRule="auto"/>
        <w:ind w:left="0" w:firstLine="480" w:firstLineChars="200"/>
        <w:rPr>
          <w:sz w:val="24"/>
          <w:szCs w:val="24"/>
          <w:lang w:eastAsia="zh-CN"/>
        </w:rPr>
      </w:pPr>
      <w:r>
        <w:rPr>
          <w:sz w:val="24"/>
          <w:szCs w:val="24"/>
          <w:lang w:eastAsia="zh-CN"/>
        </w:rPr>
        <w:t>7.7.2中标人不能按本章第7.7.1项要求提交履约保证金的，视为放弃中标，其投标保证金不予退还，给招标人造成的损失超过投标保证金数额的，中标人还应当对超过部分予以赔偿。</w:t>
      </w:r>
    </w:p>
    <w:p>
      <w:pPr>
        <w:spacing w:line="360" w:lineRule="auto"/>
        <w:rPr>
          <w:rFonts w:ascii="宋体" w:hAnsi="宋体"/>
          <w:sz w:val="24"/>
          <w:szCs w:val="24"/>
        </w:rPr>
      </w:pPr>
    </w:p>
    <w:p>
      <w:pPr>
        <w:pStyle w:val="6"/>
        <w:spacing w:line="360" w:lineRule="auto"/>
        <w:ind w:right="44"/>
      </w:pPr>
      <w:r>
        <w:t>7.8签订合同</w:t>
      </w:r>
    </w:p>
    <w:p>
      <w:pPr>
        <w:pStyle w:val="9"/>
        <w:spacing w:line="360" w:lineRule="auto"/>
        <w:ind w:left="0" w:firstLine="480" w:firstLineChars="200"/>
        <w:rPr>
          <w:sz w:val="24"/>
          <w:szCs w:val="24"/>
          <w:lang w:eastAsia="zh-CN"/>
        </w:rPr>
      </w:pPr>
      <w:r>
        <w:rPr>
          <w:sz w:val="24"/>
          <w:szCs w:val="24"/>
          <w:lang w:eastAsia="zh-CN"/>
        </w:rPr>
        <w:t>7.8.1招标人和中标人应当在中标通知书发出之日起 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9"/>
        <w:spacing w:line="360" w:lineRule="auto"/>
        <w:ind w:left="0" w:firstLine="480" w:firstLineChars="200"/>
        <w:rPr>
          <w:sz w:val="24"/>
          <w:szCs w:val="24"/>
          <w:lang w:eastAsia="zh-CN"/>
        </w:rPr>
      </w:pPr>
      <w:r>
        <w:rPr>
          <w:sz w:val="24"/>
          <w:szCs w:val="24"/>
          <w:lang w:eastAsia="zh-CN"/>
        </w:rPr>
        <w:t>7.8.2发出中标通知书后，招标人无正当理由拒签合同，或者在签订合同时向中标人提出附加条件的，招标人向中标人退还投标保证金；给中标人造成损失的，还应当赔偿损失。</w:t>
      </w:r>
    </w:p>
    <w:p>
      <w:pPr>
        <w:pStyle w:val="9"/>
        <w:spacing w:line="360" w:lineRule="auto"/>
        <w:ind w:left="0" w:firstLine="480" w:firstLineChars="200"/>
        <w:rPr>
          <w:sz w:val="24"/>
          <w:szCs w:val="24"/>
          <w:lang w:eastAsia="zh-CN"/>
        </w:rPr>
      </w:pPr>
      <w:r>
        <w:rPr>
          <w:sz w:val="24"/>
          <w:szCs w:val="24"/>
          <w:lang w:eastAsia="zh-CN"/>
        </w:rPr>
        <w:t>7.8.3联合体中标的，联合体各方应当共同与招标人签订合同，就中标项目向招标人承担连带责任。</w:t>
      </w:r>
    </w:p>
    <w:p>
      <w:pPr>
        <w:pStyle w:val="9"/>
        <w:spacing w:line="360" w:lineRule="auto"/>
        <w:ind w:left="0" w:firstLine="480" w:firstLineChars="200"/>
        <w:rPr>
          <w:sz w:val="24"/>
          <w:szCs w:val="24"/>
          <w:lang w:eastAsia="zh-CN"/>
        </w:rPr>
      </w:pPr>
    </w:p>
    <w:p>
      <w:pPr>
        <w:pStyle w:val="5"/>
        <w:spacing w:line="360" w:lineRule="auto"/>
        <w:ind w:right="44"/>
        <w:rPr>
          <w:rFonts w:ascii="宋体" w:hAnsi="宋体"/>
          <w:sz w:val="24"/>
          <w:szCs w:val="24"/>
        </w:rPr>
      </w:pPr>
      <w:bookmarkStart w:id="11" w:name="_Toc11717"/>
      <w:r>
        <w:rPr>
          <w:rFonts w:ascii="宋体" w:hAnsi="宋体"/>
        </w:rPr>
        <w:t>8.</w:t>
      </w:r>
      <w:r>
        <w:rPr>
          <w:rFonts w:hint="eastAsia" w:ascii="宋体" w:hAnsi="宋体"/>
        </w:rPr>
        <w:t xml:space="preserve"> </w:t>
      </w:r>
      <w:r>
        <w:rPr>
          <w:rFonts w:ascii="宋体" w:hAnsi="宋体"/>
        </w:rPr>
        <w:t>纪律和监督</w:t>
      </w:r>
      <w:bookmarkEnd w:id="11"/>
    </w:p>
    <w:p>
      <w:pPr>
        <w:pStyle w:val="6"/>
        <w:spacing w:line="360" w:lineRule="auto"/>
        <w:ind w:right="44"/>
        <w:rPr>
          <w:sz w:val="24"/>
          <w:szCs w:val="24"/>
        </w:rPr>
      </w:pPr>
      <w:r>
        <w:t>8.1对招标人的纪律要求</w:t>
      </w:r>
    </w:p>
    <w:p>
      <w:pPr>
        <w:pStyle w:val="9"/>
        <w:spacing w:line="360" w:lineRule="auto"/>
        <w:ind w:left="0" w:firstLine="480" w:firstLineChars="200"/>
        <w:rPr>
          <w:sz w:val="24"/>
          <w:szCs w:val="24"/>
          <w:lang w:eastAsia="zh-CN"/>
        </w:rPr>
      </w:pPr>
      <w:r>
        <w:rPr>
          <w:sz w:val="24"/>
          <w:szCs w:val="24"/>
          <w:lang w:eastAsia="zh-CN"/>
        </w:rPr>
        <w:t>招标人不得泄露招标投标活动中应当保密的情况和资料，不得与投标人串通损害国家利益、社会公共利益或者他人合法权益。</w:t>
      </w:r>
    </w:p>
    <w:p>
      <w:pPr>
        <w:pStyle w:val="9"/>
        <w:spacing w:line="360" w:lineRule="auto"/>
        <w:ind w:left="0" w:firstLine="480" w:firstLineChars="200"/>
        <w:rPr>
          <w:sz w:val="24"/>
          <w:szCs w:val="24"/>
          <w:lang w:eastAsia="zh-CN"/>
        </w:rPr>
      </w:pPr>
    </w:p>
    <w:p>
      <w:pPr>
        <w:pStyle w:val="6"/>
        <w:spacing w:line="360" w:lineRule="auto"/>
        <w:ind w:right="44"/>
        <w:rPr>
          <w:sz w:val="24"/>
          <w:szCs w:val="24"/>
        </w:rPr>
      </w:pPr>
      <w:r>
        <w:t>8.2对投标人的纪律要求</w:t>
      </w:r>
    </w:p>
    <w:p>
      <w:pPr>
        <w:pStyle w:val="9"/>
        <w:spacing w:line="360" w:lineRule="auto"/>
        <w:ind w:left="0" w:firstLine="480" w:firstLineChars="200"/>
        <w:rPr>
          <w:sz w:val="24"/>
          <w:szCs w:val="24"/>
          <w:lang w:eastAsia="zh-CN"/>
        </w:rPr>
      </w:pPr>
      <w:r>
        <w:rPr>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rPr>
          <w:rFonts w:ascii="宋体" w:hAnsi="宋体"/>
          <w:sz w:val="24"/>
          <w:szCs w:val="24"/>
        </w:rPr>
      </w:pPr>
    </w:p>
    <w:p>
      <w:pPr>
        <w:pStyle w:val="6"/>
        <w:spacing w:line="360" w:lineRule="auto"/>
        <w:ind w:right="44"/>
      </w:pPr>
      <w:r>
        <w:t>8.3对评标委员会成员的纪律要求</w:t>
      </w:r>
    </w:p>
    <w:p>
      <w:pPr>
        <w:pStyle w:val="9"/>
        <w:spacing w:line="360" w:lineRule="auto"/>
        <w:ind w:left="0" w:firstLine="480" w:firstLineChars="200"/>
        <w:rPr>
          <w:sz w:val="24"/>
          <w:szCs w:val="24"/>
          <w:lang w:eastAsia="zh-CN"/>
        </w:rPr>
      </w:pPr>
      <w:r>
        <w:rPr>
          <w:sz w:val="24"/>
          <w:szCs w:val="24"/>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rPr>
          <w:rFonts w:ascii="宋体" w:hAnsi="宋体"/>
          <w:sz w:val="24"/>
          <w:szCs w:val="24"/>
        </w:rPr>
      </w:pPr>
    </w:p>
    <w:p>
      <w:pPr>
        <w:pStyle w:val="6"/>
        <w:spacing w:line="360" w:lineRule="auto"/>
        <w:ind w:right="44"/>
        <w:rPr>
          <w:sz w:val="24"/>
          <w:szCs w:val="24"/>
        </w:rPr>
      </w:pPr>
      <w:r>
        <w:t>8.4对与评标活动有关的工作人员的纪律要求</w:t>
      </w:r>
    </w:p>
    <w:p>
      <w:pPr>
        <w:pStyle w:val="9"/>
        <w:spacing w:line="360" w:lineRule="auto"/>
        <w:ind w:left="0" w:firstLine="480" w:firstLineChars="200"/>
        <w:rPr>
          <w:sz w:val="24"/>
          <w:szCs w:val="24"/>
          <w:lang w:eastAsia="zh-CN"/>
        </w:rPr>
      </w:pPr>
      <w:r>
        <w:rPr>
          <w:sz w:val="24"/>
          <w:szCs w:val="24"/>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rPr>
          <w:rFonts w:ascii="宋体" w:hAnsi="宋体"/>
          <w:sz w:val="24"/>
          <w:szCs w:val="24"/>
        </w:rPr>
      </w:pPr>
    </w:p>
    <w:p>
      <w:pPr>
        <w:pStyle w:val="6"/>
        <w:spacing w:line="360" w:lineRule="auto"/>
        <w:ind w:right="44"/>
      </w:pPr>
      <w:r>
        <w:t>8.5投诉</w:t>
      </w:r>
    </w:p>
    <w:p>
      <w:pPr>
        <w:pStyle w:val="9"/>
        <w:spacing w:line="360" w:lineRule="auto"/>
        <w:ind w:left="0" w:firstLine="480" w:firstLineChars="200"/>
        <w:rPr>
          <w:sz w:val="24"/>
          <w:szCs w:val="24"/>
          <w:lang w:eastAsia="zh-CN"/>
        </w:rPr>
      </w:pPr>
      <w:r>
        <w:rPr>
          <w:sz w:val="24"/>
          <w:szCs w:val="24"/>
          <w:lang w:eastAsia="zh-CN"/>
        </w:rPr>
        <w:t>8.5.1投标人或者其他利害关系人认为招标投标活动不符合法律、行政法规规定的，可以自知道或者应当知道之日起10日内向有关行政监督部门投诉。投诉应当有明确的请求和必要的证明材料。</w:t>
      </w:r>
    </w:p>
    <w:p>
      <w:pPr>
        <w:pStyle w:val="9"/>
        <w:spacing w:line="360" w:lineRule="auto"/>
        <w:ind w:left="0" w:firstLine="480" w:firstLineChars="200"/>
        <w:rPr>
          <w:sz w:val="24"/>
          <w:szCs w:val="24"/>
          <w:lang w:eastAsia="zh-CN"/>
        </w:rPr>
      </w:pPr>
      <w:r>
        <w:rPr>
          <w:sz w:val="24"/>
          <w:szCs w:val="24"/>
          <w:lang w:eastAsia="zh-CN"/>
        </w:rPr>
        <w:t>8.5.2投标人或者其他利害关系人对招标文件、开标和评标结果提出投诉的，应当按照投标人须知第2.4款、第5.3款和第7.2款的规定先向招标人提出异议。异议答复期间不计算在第8.5.1项规定的期限内。</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12" w:name="_Toc9370"/>
      <w:r>
        <w:rPr>
          <w:rFonts w:ascii="宋体" w:hAnsi="宋体"/>
        </w:rPr>
        <w:t>9. 是否采用电子招标投标</w:t>
      </w:r>
      <w:bookmarkEnd w:id="12"/>
    </w:p>
    <w:p>
      <w:pPr>
        <w:pStyle w:val="9"/>
        <w:spacing w:line="360" w:lineRule="auto"/>
        <w:ind w:left="0" w:firstLine="480" w:firstLineChars="200"/>
        <w:rPr>
          <w:sz w:val="24"/>
          <w:szCs w:val="24"/>
          <w:lang w:eastAsia="zh-CN"/>
        </w:rPr>
      </w:pPr>
      <w:r>
        <w:rPr>
          <w:sz w:val="24"/>
          <w:szCs w:val="24"/>
          <w:lang w:eastAsia="zh-CN"/>
        </w:rPr>
        <w:t>本招标项目是否采用电子招标投标方式，见投标人须知前附表。</w:t>
      </w:r>
    </w:p>
    <w:p>
      <w:pPr>
        <w:spacing w:line="360" w:lineRule="auto"/>
        <w:rPr>
          <w:rFonts w:ascii="宋体" w:hAnsi="宋体"/>
          <w:sz w:val="24"/>
          <w:szCs w:val="24"/>
        </w:rPr>
      </w:pPr>
    </w:p>
    <w:p>
      <w:pPr>
        <w:pStyle w:val="5"/>
        <w:spacing w:line="360" w:lineRule="auto"/>
        <w:ind w:right="44"/>
        <w:rPr>
          <w:rFonts w:ascii="宋体" w:hAnsi="宋体"/>
          <w:sz w:val="24"/>
          <w:szCs w:val="24"/>
        </w:rPr>
      </w:pPr>
      <w:bookmarkStart w:id="13" w:name="_Toc2161"/>
      <w:r>
        <w:rPr>
          <w:rFonts w:ascii="宋体" w:hAnsi="宋体"/>
        </w:rPr>
        <w:t>10. 需要补充的其他内容</w:t>
      </w:r>
      <w:bookmarkEnd w:id="13"/>
    </w:p>
    <w:p>
      <w:pPr>
        <w:pStyle w:val="9"/>
        <w:spacing w:line="360" w:lineRule="auto"/>
        <w:ind w:left="0" w:firstLine="480" w:firstLineChars="200"/>
        <w:rPr>
          <w:sz w:val="24"/>
          <w:szCs w:val="24"/>
          <w:lang w:eastAsia="zh-CN"/>
        </w:rPr>
      </w:pPr>
      <w:r>
        <w:rPr>
          <w:sz w:val="24"/>
          <w:szCs w:val="24"/>
          <w:lang w:eastAsia="zh-CN"/>
        </w:rPr>
        <w:t>需要补充的其他内容：见投标人须知前附表。</w:t>
      </w:r>
    </w:p>
    <w:p>
      <w:pPr>
        <w:pStyle w:val="9"/>
        <w:spacing w:line="360" w:lineRule="auto"/>
        <w:ind w:left="0" w:firstLine="480" w:firstLineChars="200"/>
        <w:rPr>
          <w:sz w:val="24"/>
          <w:szCs w:val="24"/>
          <w:lang w:eastAsia="zh-CN"/>
        </w:rPr>
        <w:sectPr>
          <w:footerReference r:id="rId6" w:type="default"/>
          <w:pgSz w:w="12240" w:h="15840"/>
          <w:pgMar w:top="1400" w:right="1467" w:bottom="1276" w:left="1700" w:header="0" w:footer="921" w:gutter="0"/>
          <w:cols w:space="720" w:num="1"/>
        </w:sectPr>
      </w:pPr>
    </w:p>
    <w:p>
      <w:pPr>
        <w:pStyle w:val="6"/>
        <w:spacing w:line="363" w:lineRule="exact"/>
        <w:ind w:left="357"/>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238" w:right="3137"/>
        <w:jc w:val="center"/>
        <w:rPr>
          <w:rFonts w:ascii="宋体" w:hAnsi="宋体" w:cs="宋体"/>
          <w:b/>
          <w:bCs/>
          <w:sz w:val="28"/>
          <w:szCs w:val="28"/>
        </w:rPr>
      </w:pPr>
      <w:r>
        <w:rPr>
          <w:rFonts w:ascii="宋体" w:hAnsi="宋体" w:cs="宋体"/>
          <w:b/>
          <w:bCs/>
          <w:sz w:val="28"/>
          <w:szCs w:val="28"/>
        </w:rPr>
        <w:t>开标记录表</w:t>
      </w:r>
    </w:p>
    <w:p>
      <w:pPr>
        <w:spacing w:before="2"/>
        <w:rPr>
          <w:rFonts w:ascii="宋体" w:hAnsi="宋体" w:cs="宋体"/>
          <w:sz w:val="13"/>
          <w:szCs w:val="13"/>
        </w:rPr>
      </w:pPr>
    </w:p>
    <w:tbl>
      <w:tblPr>
        <w:tblStyle w:val="24"/>
        <w:tblW w:w="8936" w:type="dxa"/>
        <w:tblInd w:w="-10" w:type="dxa"/>
        <w:tblLayout w:type="fixed"/>
        <w:tblCellMar>
          <w:top w:w="0" w:type="dxa"/>
          <w:left w:w="0" w:type="dxa"/>
          <w:bottom w:w="0" w:type="dxa"/>
          <w:right w:w="0" w:type="dxa"/>
        </w:tblCellMar>
      </w:tblPr>
      <w:tblGrid>
        <w:gridCol w:w="698"/>
        <w:gridCol w:w="1100"/>
        <w:gridCol w:w="1326"/>
        <w:gridCol w:w="1417"/>
        <w:gridCol w:w="1134"/>
        <w:gridCol w:w="1418"/>
        <w:gridCol w:w="1843"/>
      </w:tblGrid>
      <w:tr>
        <w:tblPrEx>
          <w:tblCellMar>
            <w:top w:w="0" w:type="dxa"/>
            <w:left w:w="0" w:type="dxa"/>
            <w:bottom w:w="0" w:type="dxa"/>
            <w:right w:w="0" w:type="dxa"/>
          </w:tblCellMar>
        </w:tblPrEx>
        <w:trPr>
          <w:trHeight w:val="1010" w:hRule="exact"/>
        </w:trPr>
        <w:tc>
          <w:tcPr>
            <w:tcW w:w="69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序号</w:t>
            </w: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投标人</w:t>
            </w:r>
          </w:p>
        </w:tc>
        <w:tc>
          <w:tcPr>
            <w:tcW w:w="1326"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密封情况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投标报价</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项目负责人</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备注</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18"/>
                <w:szCs w:val="18"/>
              </w:rPr>
            </w:pPr>
            <w:r>
              <w:rPr>
                <w:rFonts w:ascii="宋体" w:hAnsi="宋体" w:eastAsia="宋体" w:cs="宋体"/>
                <w:sz w:val="18"/>
                <w:szCs w:val="18"/>
              </w:rPr>
              <w:t>投标人代表签名</w:t>
            </w:r>
          </w:p>
        </w:tc>
      </w:tr>
      <w:tr>
        <w:tblPrEx>
          <w:tblCellMar>
            <w:top w:w="0" w:type="dxa"/>
            <w:left w:w="0" w:type="dxa"/>
            <w:bottom w:w="0" w:type="dxa"/>
            <w:right w:w="0" w:type="dxa"/>
          </w:tblCellMar>
        </w:tblPrEx>
        <w:trPr>
          <w:trHeight w:val="509"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09"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09"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09"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09" w:hRule="exact"/>
        </w:trPr>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CellMar>
            <w:top w:w="0" w:type="dxa"/>
            <w:left w:w="0" w:type="dxa"/>
            <w:bottom w:w="0" w:type="dxa"/>
            <w:right w:w="0" w:type="dxa"/>
          </w:tblCellMar>
        </w:tblPrEx>
        <w:trPr>
          <w:trHeight w:val="511" w:hRule="exact"/>
        </w:trPr>
        <w:tc>
          <w:tcPr>
            <w:tcW w:w="3124" w:type="dxa"/>
            <w:gridSpan w:val="3"/>
            <w:tcBorders>
              <w:top w:val="single" w:color="000000" w:sz="4" w:space="0"/>
              <w:left w:val="single" w:color="000000" w:sz="4" w:space="0"/>
              <w:bottom w:val="single" w:color="000000" w:sz="4" w:space="0"/>
              <w:right w:val="single" w:color="000000" w:sz="4" w:space="0"/>
            </w:tcBorders>
            <w:vAlign w:val="center"/>
          </w:tcPr>
          <w:p>
            <w:pPr>
              <w:pStyle w:val="35"/>
              <w:jc w:val="center"/>
              <w:rPr>
                <w:rFonts w:ascii="宋体" w:hAnsi="宋体" w:eastAsia="宋体" w:cs="宋体"/>
                <w:sz w:val="21"/>
                <w:szCs w:val="21"/>
              </w:rPr>
            </w:pPr>
            <w:r>
              <w:rPr>
                <w:rFonts w:ascii="宋体" w:hAnsi="宋体" w:eastAsia="宋体" w:cs="宋体"/>
                <w:sz w:val="21"/>
                <w:szCs w:val="21"/>
              </w:rPr>
              <w:t>最高投标限价：</w:t>
            </w:r>
          </w:p>
        </w:tc>
        <w:tc>
          <w:tcPr>
            <w:tcW w:w="5812" w:type="dxa"/>
            <w:gridSpan w:val="4"/>
            <w:tcBorders>
              <w:top w:val="single" w:color="auto" w:sz="4" w:space="0"/>
              <w:bottom w:val="single" w:color="auto" w:sz="4" w:space="0"/>
              <w:right w:val="single" w:color="auto" w:sz="4" w:space="0"/>
            </w:tcBorders>
          </w:tcPr>
          <w:p>
            <w:pPr>
              <w:widowControl/>
              <w:rPr>
                <w:rFonts w:ascii="宋体" w:hAnsi="宋体"/>
              </w:rPr>
            </w:pPr>
          </w:p>
        </w:tc>
      </w:tr>
    </w:tbl>
    <w:p>
      <w:pPr>
        <w:pStyle w:val="9"/>
        <w:tabs>
          <w:tab w:val="left" w:pos="736"/>
          <w:tab w:val="left" w:pos="1682"/>
          <w:tab w:val="left" w:pos="2626"/>
        </w:tabs>
        <w:kinsoku w:val="0"/>
        <w:overflowPunct w:val="0"/>
        <w:spacing w:before="36"/>
        <w:ind w:left="0"/>
        <w:rPr>
          <w:b/>
          <w:bCs/>
          <w:lang w:eastAsia="zh-CN"/>
        </w:rPr>
      </w:pPr>
      <w:r>
        <w:rPr>
          <w:rFonts w:hint="eastAsia" w:cs="宋体"/>
          <w:b/>
          <w:bCs/>
          <w:lang w:eastAsia="zh-CN"/>
        </w:rPr>
        <w:t>注：</w:t>
      </w:r>
      <w:r>
        <w:rPr>
          <w:rFonts w:hint="eastAsia"/>
          <w:b/>
          <w:bCs/>
          <w:lang w:eastAsia="zh-CN"/>
        </w:rPr>
        <w:t>本表仅供参考，具体以开标时的开标记录表为准。</w:t>
      </w:r>
    </w:p>
    <w:p>
      <w:pPr>
        <w:rPr>
          <w:rFonts w:ascii="宋体" w:hAnsi="宋体" w:cs="宋体"/>
          <w:sz w:val="20"/>
          <w:szCs w:val="20"/>
        </w:rPr>
      </w:pPr>
    </w:p>
    <w:p>
      <w:pPr>
        <w:pStyle w:val="9"/>
        <w:tabs>
          <w:tab w:val="left" w:pos="2264"/>
          <w:tab w:val="left" w:pos="3057"/>
          <w:tab w:val="left" w:pos="4679"/>
          <w:tab w:val="left" w:pos="5366"/>
          <w:tab w:val="left" w:pos="6989"/>
        </w:tabs>
        <w:spacing w:before="168"/>
        <w:ind w:left="220"/>
        <w:rPr>
          <w:lang w:eastAsia="zh-CN"/>
        </w:rPr>
      </w:pPr>
      <w:r>
        <w:rPr>
          <w:spacing w:val="-2"/>
          <w:lang w:eastAsia="zh-CN"/>
        </w:rPr>
        <w:t>招标人代表：</w:t>
      </w:r>
      <w:r>
        <w:rPr>
          <w:spacing w:val="-2"/>
          <w:u w:val="single" w:color="000000"/>
          <w:lang w:eastAsia="zh-CN"/>
        </w:rPr>
        <w:tab/>
      </w:r>
      <w:r>
        <w:rPr>
          <w:spacing w:val="-2"/>
          <w:lang w:eastAsia="zh-CN"/>
        </w:rPr>
        <w:tab/>
      </w:r>
      <w:r>
        <w:rPr>
          <w:spacing w:val="-2"/>
          <w:lang w:eastAsia="zh-CN"/>
        </w:rPr>
        <w:t>记录人：</w:t>
      </w:r>
      <w:r>
        <w:rPr>
          <w:spacing w:val="-2"/>
          <w:u w:val="single" w:color="000000"/>
          <w:lang w:eastAsia="zh-CN"/>
        </w:rPr>
        <w:tab/>
      </w:r>
      <w:r>
        <w:rPr>
          <w:spacing w:val="-2"/>
          <w:lang w:eastAsia="zh-CN"/>
        </w:rPr>
        <w:tab/>
      </w:r>
      <w:r>
        <w:rPr>
          <w:spacing w:val="-2"/>
          <w:lang w:eastAsia="zh-CN"/>
        </w:rPr>
        <w:t>监标人：</w:t>
      </w:r>
      <w:r>
        <w:rPr>
          <w:u w:val="single" w:color="000000"/>
          <w:lang w:eastAsia="zh-CN"/>
        </w:rPr>
        <w:tab/>
      </w:r>
    </w:p>
    <w:p>
      <w:pPr>
        <w:rPr>
          <w:rFonts w:ascii="宋体" w:hAnsi="宋体"/>
          <w:sz w:val="27"/>
          <w:szCs w:val="27"/>
        </w:rPr>
      </w:pPr>
    </w:p>
    <w:p>
      <w:pPr>
        <w:pStyle w:val="9"/>
        <w:tabs>
          <w:tab w:val="left" w:pos="736"/>
          <w:tab w:val="left" w:pos="1682"/>
          <w:tab w:val="left" w:pos="2626"/>
        </w:tabs>
        <w:spacing w:before="36"/>
        <w:ind w:left="0" w:right="113"/>
        <w:jc w:val="right"/>
        <w:rPr>
          <w:lang w:eastAsia="zh-CN"/>
        </w:rPr>
      </w:pPr>
      <w:r>
        <w:rPr>
          <w:u w:val="single" w:color="000000"/>
          <w:lang w:eastAsia="zh-CN"/>
        </w:rPr>
        <w:tab/>
      </w:r>
      <w:r>
        <w:rPr>
          <w:lang w:eastAsia="zh-CN"/>
        </w:rPr>
        <w:t>年</w:t>
      </w:r>
      <w:r>
        <w:rPr>
          <w:u w:val="single" w:color="000000"/>
          <w:lang w:eastAsia="zh-CN"/>
        </w:rPr>
        <w:tab/>
      </w:r>
      <w:r>
        <w:rPr>
          <w:spacing w:val="-3"/>
          <w:lang w:eastAsia="zh-CN"/>
        </w:rPr>
        <w:t>月</w:t>
      </w:r>
      <w:r>
        <w:rPr>
          <w:spacing w:val="-3"/>
          <w:u w:val="single" w:color="000000"/>
          <w:lang w:eastAsia="zh-CN"/>
        </w:rPr>
        <w:tab/>
      </w:r>
      <w:r>
        <w:rPr>
          <w:lang w:eastAsia="zh-CN"/>
        </w:rPr>
        <w:t>日</w:t>
      </w:r>
    </w:p>
    <w:p>
      <w:pPr>
        <w:pStyle w:val="9"/>
        <w:tabs>
          <w:tab w:val="left" w:pos="736"/>
          <w:tab w:val="left" w:pos="1682"/>
          <w:tab w:val="left" w:pos="2626"/>
        </w:tabs>
        <w:spacing w:before="36"/>
        <w:ind w:left="0" w:right="113"/>
        <w:jc w:val="right"/>
        <w:rPr>
          <w:lang w:eastAsia="zh-CN"/>
        </w:rPr>
      </w:pPr>
    </w:p>
    <w:p>
      <w:pPr>
        <w:pStyle w:val="9"/>
        <w:tabs>
          <w:tab w:val="left" w:pos="736"/>
          <w:tab w:val="left" w:pos="1682"/>
          <w:tab w:val="left" w:pos="2626"/>
        </w:tabs>
        <w:spacing w:before="36"/>
        <w:ind w:left="0" w:right="113"/>
        <w:rPr>
          <w:lang w:eastAsia="zh-CN"/>
        </w:rPr>
      </w:pPr>
    </w:p>
    <w:p>
      <w:pPr>
        <w:jc w:val="right"/>
        <w:rPr>
          <w:rFonts w:ascii="宋体" w:hAnsi="宋体"/>
        </w:rPr>
        <w:sectPr>
          <w:pgSz w:w="12240" w:h="15840"/>
          <w:pgMar w:top="1400" w:right="1680" w:bottom="1120" w:left="1580" w:header="0" w:footer="921" w:gutter="0"/>
          <w:cols w:space="720" w:num="1"/>
        </w:sectPr>
      </w:pPr>
    </w:p>
    <w:p>
      <w:pPr>
        <w:pStyle w:val="6"/>
        <w:spacing w:line="363" w:lineRule="exact"/>
        <w:ind w:right="44"/>
      </w:pPr>
      <w:r>
        <w:t>附件二：问题澄清通知</w:t>
      </w:r>
    </w:p>
    <w:p>
      <w:pPr>
        <w:rPr>
          <w:rFonts w:ascii="宋体" w:hAnsi="宋体" w:cs="宋体"/>
          <w:sz w:val="20"/>
          <w:szCs w:val="20"/>
        </w:rPr>
      </w:pPr>
    </w:p>
    <w:p>
      <w:pPr>
        <w:kinsoku w:val="0"/>
        <w:overflowPunct w:val="0"/>
        <w:spacing w:line="200" w:lineRule="exact"/>
        <w:rPr>
          <w:rFonts w:ascii="宋体" w:hAnsi="宋体"/>
          <w:sz w:val="20"/>
          <w:szCs w:val="20"/>
        </w:rPr>
      </w:pPr>
    </w:p>
    <w:p>
      <w:pPr>
        <w:kinsoku w:val="0"/>
        <w:overflowPunct w:val="0"/>
        <w:spacing w:line="200" w:lineRule="exact"/>
        <w:rPr>
          <w:rFonts w:ascii="宋体" w:hAnsi="宋体"/>
          <w:sz w:val="20"/>
          <w:szCs w:val="20"/>
        </w:rPr>
      </w:pPr>
    </w:p>
    <w:p>
      <w:pPr>
        <w:kinsoku w:val="0"/>
        <w:overflowPunct w:val="0"/>
        <w:spacing w:line="413" w:lineRule="exact"/>
        <w:ind w:left="220" w:right="236"/>
        <w:jc w:val="center"/>
        <w:rPr>
          <w:rFonts w:ascii="宋体" w:hAnsi="宋体"/>
          <w:sz w:val="28"/>
          <w:szCs w:val="28"/>
        </w:rPr>
      </w:pPr>
      <w:r>
        <w:rPr>
          <w:rFonts w:hint="eastAsia" w:ascii="宋体" w:hAnsi="宋体" w:cs="Microsoft JhengHei"/>
          <w:sz w:val="28"/>
          <w:szCs w:val="28"/>
        </w:rPr>
        <w:t>问题澄</w:t>
      </w:r>
      <w:r>
        <w:rPr>
          <w:rFonts w:hint="eastAsia" w:ascii="宋体" w:hAnsi="宋体" w:cs="Microsoft JhengHei"/>
          <w:spacing w:val="-3"/>
          <w:sz w:val="28"/>
          <w:szCs w:val="28"/>
        </w:rPr>
        <w:t>清</w:t>
      </w:r>
      <w:r>
        <w:rPr>
          <w:rFonts w:hint="eastAsia" w:ascii="宋体" w:hAnsi="宋体" w:cs="Microsoft JhengHei"/>
          <w:sz w:val="28"/>
          <w:szCs w:val="28"/>
        </w:rPr>
        <w:t>通知</w:t>
      </w:r>
    </w:p>
    <w:p>
      <w:pPr>
        <w:pStyle w:val="9"/>
        <w:tabs>
          <w:tab w:val="left" w:pos="5671"/>
          <w:tab w:val="left" w:pos="6617"/>
          <w:tab w:val="left" w:pos="7560"/>
        </w:tabs>
        <w:ind w:left="0"/>
        <w:jc w:val="center"/>
        <w:rPr>
          <w:sz w:val="24"/>
          <w:szCs w:val="24"/>
          <w:lang w:eastAsia="zh-CN"/>
        </w:rPr>
      </w:pPr>
      <w:r>
        <w:rPr>
          <w:rFonts w:hint="eastAsia"/>
          <w:sz w:val="24"/>
          <w:szCs w:val="24"/>
          <w:lang w:eastAsia="zh-CN"/>
        </w:rPr>
        <w:t>（按广州公共资源交易中心格式）</w:t>
      </w:r>
    </w:p>
    <w:p>
      <w:pPr>
        <w:rPr>
          <w:rFonts w:ascii="宋体" w:hAnsi="宋体"/>
        </w:rPr>
      </w:pPr>
    </w:p>
    <w:p>
      <w:pPr>
        <w:rPr>
          <w:rFonts w:ascii="宋体" w:hAnsi="宋体"/>
        </w:rPr>
      </w:pPr>
    </w:p>
    <w:p>
      <w:pPr>
        <w:pStyle w:val="2"/>
        <w:ind w:firstLine="440"/>
        <w:rPr>
          <w:rFonts w:ascii="宋体" w:hAnsi="宋体" w:eastAsia="宋体"/>
          <w:lang w:eastAsia="zh-CN"/>
        </w:rPr>
      </w:pPr>
    </w:p>
    <w:p>
      <w:pPr>
        <w:pStyle w:val="2"/>
        <w:ind w:firstLine="440"/>
        <w:rPr>
          <w:rFonts w:ascii="宋体" w:hAnsi="宋体" w:eastAsia="宋体"/>
          <w:lang w:eastAsia="zh-CN"/>
        </w:rPr>
        <w:sectPr>
          <w:footerReference r:id="rId7" w:type="default"/>
          <w:pgSz w:w="12240" w:h="15840"/>
          <w:pgMar w:top="1400" w:right="1680" w:bottom="1120" w:left="1700" w:header="0" w:footer="921" w:gutter="0"/>
          <w:cols w:space="720" w:num="1"/>
        </w:sectPr>
      </w:pPr>
    </w:p>
    <w:p>
      <w:pPr>
        <w:pStyle w:val="6"/>
        <w:spacing w:line="363" w:lineRule="exact"/>
        <w:ind w:right="44"/>
      </w:pPr>
      <w:r>
        <w:t>附件三：问题的澄清</w:t>
      </w:r>
    </w:p>
    <w:p>
      <w:pPr>
        <w:rPr>
          <w:rFonts w:ascii="宋体" w:hAnsi="宋体" w:cs="宋体"/>
          <w:sz w:val="20"/>
          <w:szCs w:val="20"/>
        </w:rPr>
      </w:pPr>
    </w:p>
    <w:p>
      <w:pPr>
        <w:rPr>
          <w:rFonts w:ascii="宋体" w:hAnsi="宋体" w:cs="宋体"/>
          <w:sz w:val="20"/>
          <w:szCs w:val="20"/>
        </w:rPr>
      </w:pPr>
    </w:p>
    <w:p>
      <w:pPr>
        <w:kinsoku w:val="0"/>
        <w:overflowPunct w:val="0"/>
        <w:spacing w:line="413" w:lineRule="exact"/>
        <w:ind w:left="220" w:right="238"/>
        <w:jc w:val="center"/>
        <w:rPr>
          <w:rFonts w:ascii="宋体" w:hAnsi="宋体"/>
          <w:sz w:val="28"/>
          <w:szCs w:val="28"/>
        </w:rPr>
      </w:pPr>
      <w:r>
        <w:rPr>
          <w:rFonts w:hint="eastAsia" w:ascii="宋体" w:hAnsi="宋体" w:cs="Microsoft JhengHei"/>
          <w:sz w:val="28"/>
          <w:szCs w:val="28"/>
        </w:rPr>
        <w:t>问题的</w:t>
      </w:r>
      <w:r>
        <w:rPr>
          <w:rFonts w:hint="eastAsia" w:ascii="宋体" w:hAnsi="宋体" w:cs="Microsoft JhengHei"/>
          <w:spacing w:val="-3"/>
          <w:sz w:val="28"/>
          <w:szCs w:val="28"/>
        </w:rPr>
        <w:t>澄</w:t>
      </w:r>
      <w:r>
        <w:rPr>
          <w:rFonts w:hint="eastAsia" w:ascii="宋体" w:hAnsi="宋体" w:cs="Microsoft JhengHei"/>
          <w:sz w:val="28"/>
          <w:szCs w:val="28"/>
        </w:rPr>
        <w:t>清</w:t>
      </w:r>
    </w:p>
    <w:p>
      <w:pPr>
        <w:pStyle w:val="9"/>
        <w:tabs>
          <w:tab w:val="left" w:pos="5671"/>
          <w:tab w:val="left" w:pos="6617"/>
          <w:tab w:val="left" w:pos="7560"/>
        </w:tabs>
        <w:ind w:left="0"/>
        <w:jc w:val="center"/>
        <w:rPr>
          <w:sz w:val="24"/>
          <w:szCs w:val="24"/>
          <w:lang w:eastAsia="zh-CN"/>
        </w:rPr>
      </w:pPr>
      <w:r>
        <w:rPr>
          <w:rFonts w:hint="eastAsia"/>
          <w:sz w:val="24"/>
          <w:szCs w:val="24"/>
          <w:lang w:eastAsia="zh-CN"/>
        </w:rPr>
        <w:t>（按广州公共资源交易中心格式）</w:t>
      </w:r>
    </w:p>
    <w:p>
      <w:pPr>
        <w:pStyle w:val="2"/>
        <w:ind w:firstLine="440" w:firstLineChars="0"/>
        <w:rPr>
          <w:rFonts w:ascii="宋体" w:hAnsi="宋体" w:eastAsia="宋体"/>
          <w:lang w:eastAsia="zh-CN"/>
        </w:rPr>
      </w:pPr>
    </w:p>
    <w:p>
      <w:pPr>
        <w:pStyle w:val="2"/>
        <w:ind w:firstLine="440"/>
        <w:rPr>
          <w:rFonts w:ascii="宋体" w:hAnsi="宋体" w:eastAsia="宋体"/>
          <w:lang w:eastAsia="zh-CN"/>
        </w:rPr>
      </w:pPr>
    </w:p>
    <w:p>
      <w:pPr>
        <w:pStyle w:val="2"/>
        <w:ind w:firstLine="440"/>
        <w:rPr>
          <w:rFonts w:ascii="宋体" w:hAnsi="宋体" w:eastAsia="宋体"/>
          <w:lang w:eastAsia="zh-CN"/>
        </w:rPr>
        <w:sectPr>
          <w:footerReference r:id="rId8" w:type="default"/>
          <w:pgSz w:w="12240" w:h="15840"/>
          <w:pgMar w:top="1400" w:right="1680" w:bottom="1120" w:left="1700" w:header="0" w:footer="921" w:gutter="0"/>
          <w:cols w:space="720" w:num="1"/>
        </w:sectPr>
      </w:pPr>
    </w:p>
    <w:p>
      <w:pPr>
        <w:pStyle w:val="6"/>
        <w:spacing w:line="363" w:lineRule="exact"/>
        <w:ind w:right="44"/>
      </w:pPr>
      <w:r>
        <w:t>附件四：中标通知书</w:t>
      </w:r>
      <w:r>
        <w:rPr>
          <w:rFonts w:hint="eastAsia"/>
        </w:rPr>
        <w:t>（按广州公共资源交易中心格式）</w:t>
      </w:r>
    </w:p>
    <w:p>
      <w:pPr>
        <w:rPr>
          <w:rFonts w:ascii="宋体" w:hAnsi="宋体"/>
        </w:rPr>
      </w:pPr>
    </w:p>
    <w:p>
      <w:pPr>
        <w:pStyle w:val="23"/>
        <w:rPr>
          <w:rFonts w:ascii="宋体"/>
          <w:lang w:eastAsia="zh-CN"/>
        </w:rPr>
      </w:pPr>
    </w:p>
    <w:p>
      <w:pPr>
        <w:pStyle w:val="23"/>
        <w:rPr>
          <w:rFonts w:ascii="宋体"/>
          <w:lang w:eastAsia="zh-CN"/>
        </w:rPr>
      </w:pPr>
    </w:p>
    <w:p>
      <w:pPr>
        <w:pStyle w:val="23"/>
        <w:rPr>
          <w:rFonts w:ascii="宋体"/>
          <w:lang w:eastAsia="zh-CN"/>
        </w:rPr>
      </w:pPr>
    </w:p>
    <w:p>
      <w:pPr>
        <w:pStyle w:val="23"/>
        <w:rPr>
          <w:rFonts w:ascii="宋体"/>
          <w:lang w:eastAsia="zh-CN"/>
        </w:rPr>
        <w:sectPr>
          <w:pgSz w:w="12240" w:h="15840"/>
          <w:pgMar w:top="1400" w:right="1680" w:bottom="1100" w:left="1700" w:header="0" w:footer="901" w:gutter="0"/>
          <w:cols w:space="720" w:num="1"/>
        </w:sectPr>
      </w:pPr>
    </w:p>
    <w:p>
      <w:pPr>
        <w:pStyle w:val="3"/>
        <w:spacing w:line="589" w:lineRule="exact"/>
        <w:ind w:left="1349"/>
        <w:rPr>
          <w:rFonts w:ascii="宋体" w:hAnsi="宋体"/>
        </w:rPr>
      </w:pPr>
      <w:bookmarkStart w:id="14" w:name="_Toc10838"/>
      <w:r>
        <w:rPr>
          <w:rFonts w:ascii="宋体" w:hAnsi="宋体"/>
          <w:spacing w:val="2"/>
        </w:rPr>
        <w:t>第三章评标办法（综合评估法）</w:t>
      </w:r>
      <w:bookmarkEnd w:id="14"/>
    </w:p>
    <w:p>
      <w:pPr>
        <w:pStyle w:val="5"/>
        <w:ind w:left="120"/>
        <w:jc w:val="center"/>
        <w:rPr>
          <w:rFonts w:ascii="宋体" w:hAnsi="宋体"/>
        </w:rPr>
      </w:pPr>
      <w:bookmarkStart w:id="15" w:name="_Toc10518"/>
      <w:r>
        <w:rPr>
          <w:rFonts w:ascii="宋体" w:hAnsi="宋体"/>
        </w:rPr>
        <w:t>评标办法前附表</w:t>
      </w:r>
      <w:bookmarkEnd w:id="15"/>
    </w:p>
    <w:tbl>
      <w:tblPr>
        <w:tblStyle w:val="24"/>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8"/>
        <w:gridCol w:w="920"/>
        <w:gridCol w:w="2845"/>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exact"/>
        </w:trPr>
        <w:tc>
          <w:tcPr>
            <w:tcW w:w="1548" w:type="dxa"/>
            <w:gridSpan w:val="2"/>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条款号</w:t>
            </w:r>
          </w:p>
        </w:tc>
        <w:tc>
          <w:tcPr>
            <w:tcW w:w="2845" w:type="dxa"/>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评审因素</w:t>
            </w:r>
          </w:p>
        </w:tc>
        <w:tc>
          <w:tcPr>
            <w:tcW w:w="4413" w:type="dxa"/>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6" w:hRule="exact"/>
        </w:trPr>
        <w:tc>
          <w:tcPr>
            <w:tcW w:w="628" w:type="dxa"/>
            <w:vAlign w:val="center"/>
          </w:tcPr>
          <w:p>
            <w:pPr>
              <w:pStyle w:val="35"/>
              <w:jc w:val="center"/>
              <w:rPr>
                <w:rFonts w:ascii="宋体" w:hAnsi="宋体" w:eastAsia="宋体"/>
                <w:sz w:val="21"/>
                <w:szCs w:val="21"/>
              </w:rPr>
            </w:pPr>
            <w:r>
              <w:rPr>
                <w:rFonts w:ascii="宋体" w:hAnsi="宋体" w:eastAsia="宋体"/>
                <w:sz w:val="21"/>
                <w:szCs w:val="21"/>
              </w:rPr>
              <w:t>1</w:t>
            </w:r>
          </w:p>
        </w:tc>
        <w:tc>
          <w:tcPr>
            <w:tcW w:w="920" w:type="dxa"/>
            <w:vAlign w:val="center"/>
          </w:tcPr>
          <w:p>
            <w:pPr>
              <w:pStyle w:val="35"/>
              <w:jc w:val="center"/>
              <w:rPr>
                <w:rFonts w:ascii="宋体" w:hAnsi="宋体" w:eastAsia="宋体" w:cs="宋体"/>
                <w:sz w:val="21"/>
                <w:szCs w:val="21"/>
              </w:rPr>
            </w:pPr>
            <w:r>
              <w:rPr>
                <w:rFonts w:ascii="宋体" w:hAnsi="宋体" w:eastAsia="宋体" w:cs="宋体"/>
                <w:sz w:val="21"/>
                <w:szCs w:val="21"/>
              </w:rPr>
              <w:t>评标方法</w:t>
            </w:r>
          </w:p>
        </w:tc>
        <w:tc>
          <w:tcPr>
            <w:tcW w:w="2845" w:type="dxa"/>
            <w:vAlign w:val="center"/>
          </w:tcPr>
          <w:p>
            <w:pPr>
              <w:pStyle w:val="35"/>
              <w:jc w:val="center"/>
              <w:rPr>
                <w:rFonts w:ascii="宋体" w:hAnsi="宋体" w:eastAsia="宋体" w:cs="宋体"/>
                <w:sz w:val="21"/>
                <w:szCs w:val="21"/>
              </w:rPr>
            </w:pPr>
            <w:r>
              <w:rPr>
                <w:rFonts w:ascii="宋体" w:hAnsi="宋体" w:eastAsia="宋体" w:cs="宋体"/>
                <w:sz w:val="21"/>
                <w:szCs w:val="21"/>
              </w:rPr>
              <w:t>中标候选人排序方法</w:t>
            </w:r>
          </w:p>
        </w:tc>
        <w:tc>
          <w:tcPr>
            <w:tcW w:w="4413" w:type="dxa"/>
            <w:vAlign w:val="center"/>
          </w:tcPr>
          <w:p>
            <w:pPr>
              <w:rPr>
                <w:rFonts w:ascii="宋体" w:hAnsi="宋体"/>
                <w:szCs w:val="21"/>
              </w:rPr>
            </w:pPr>
            <w:r>
              <w:rPr>
                <w:rFonts w:hint="eastAsia"/>
              </w:rPr>
              <w:t>本次评标采用综合评估法。评标委员会对满足招标文件实质性要求的投标文件，按照本章规定的评分标准进行打分，并按得分由高到低顺序推荐前三名作为中标候选人，综合评分相等的，以勘察设计工作方案得分高的优先；勘察设计工作方案得分也相等的，以资信业绩得分高的优先；如果资信业绩得分也相等</w:t>
            </w:r>
            <w:r>
              <w:t>，</w:t>
            </w:r>
            <w:r>
              <w:rPr>
                <w:rFonts w:hint="eastAsia" w:ascii="宋体" w:hAnsi="宋体" w:cs="宋体"/>
                <w:szCs w:val="21"/>
                <w:lang w:bidi="ar"/>
              </w:rPr>
              <w:t>以报价低者优先；如果报价也相等，</w:t>
            </w:r>
            <w:r>
              <w:rPr>
                <w:rFonts w:hint="eastAsia"/>
              </w:rPr>
              <w:t>则由评委以投票方式进行表决，确定相等得分的中标候选人的排序。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exact"/>
        </w:trPr>
        <w:tc>
          <w:tcPr>
            <w:tcW w:w="628" w:type="dxa"/>
            <w:vMerge w:val="restart"/>
            <w:vAlign w:val="center"/>
          </w:tcPr>
          <w:p>
            <w:pPr>
              <w:pStyle w:val="35"/>
              <w:jc w:val="center"/>
              <w:rPr>
                <w:rFonts w:ascii="宋体" w:hAnsi="宋体" w:eastAsia="宋体"/>
                <w:sz w:val="21"/>
                <w:szCs w:val="21"/>
                <w:lang w:eastAsia="zh-CN"/>
              </w:rPr>
            </w:pPr>
            <w:r>
              <w:rPr>
                <w:rFonts w:ascii="宋体" w:hAnsi="宋体" w:eastAsia="宋体"/>
              </w:rPr>
              <w:t>2.1.</w:t>
            </w:r>
            <w:r>
              <w:rPr>
                <w:rFonts w:ascii="宋体" w:hAnsi="宋体" w:eastAsia="宋体"/>
                <w:lang w:eastAsia="zh-CN"/>
              </w:rPr>
              <w:t>1</w:t>
            </w:r>
          </w:p>
        </w:tc>
        <w:tc>
          <w:tcPr>
            <w:tcW w:w="920" w:type="dxa"/>
            <w:vMerge w:val="restart"/>
            <w:vAlign w:val="center"/>
          </w:tcPr>
          <w:p>
            <w:pPr>
              <w:pStyle w:val="35"/>
              <w:jc w:val="center"/>
              <w:rPr>
                <w:rFonts w:ascii="宋体" w:hAnsi="宋体" w:eastAsia="宋体" w:cs="宋体"/>
                <w:sz w:val="21"/>
                <w:szCs w:val="21"/>
                <w:lang w:eastAsia="zh-CN"/>
              </w:rPr>
            </w:pPr>
            <w:r>
              <w:rPr>
                <w:rFonts w:ascii="宋体" w:hAnsi="宋体" w:eastAsia="宋体" w:cs="宋体"/>
                <w:sz w:val="21"/>
                <w:szCs w:val="21"/>
                <w:lang w:eastAsia="zh-CN"/>
              </w:rPr>
              <w:t>形式评审标准</w:t>
            </w:r>
          </w:p>
        </w:tc>
        <w:tc>
          <w:tcPr>
            <w:tcW w:w="2845" w:type="dxa"/>
            <w:vAlign w:val="center"/>
          </w:tcPr>
          <w:p>
            <w:pPr>
              <w:pStyle w:val="35"/>
              <w:jc w:val="center"/>
              <w:rPr>
                <w:rFonts w:ascii="宋体" w:hAnsi="宋体" w:eastAsia="宋体" w:cs="宋体"/>
                <w:sz w:val="21"/>
                <w:szCs w:val="21"/>
                <w:lang w:eastAsia="zh-CN"/>
              </w:rPr>
            </w:pPr>
            <w:r>
              <w:rPr>
                <w:rFonts w:ascii="宋体" w:hAnsi="宋体" w:eastAsia="宋体" w:cs="宋体"/>
                <w:sz w:val="21"/>
                <w:szCs w:val="21"/>
              </w:rPr>
              <w:t>投标人名称</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投标书及投标书附录签字盖章</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有法定代表人或被授权人签字或盖章，及加盖单位章。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投标文件格式</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按招标文件第六章编制投标文件（指格式一、格式四、格式五）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spacing w:line="400" w:lineRule="exact"/>
              <w:jc w:val="center"/>
              <w:rPr>
                <w:rFonts w:ascii="宋体" w:hAnsi="宋体" w:cs="宋体"/>
                <w:szCs w:val="21"/>
              </w:rPr>
            </w:pPr>
            <w:r>
              <w:rPr>
                <w:rFonts w:hint="eastAsia" w:ascii="宋体" w:hAnsi="宋体" w:cs="宋体"/>
                <w:szCs w:val="21"/>
              </w:rPr>
              <w:t>投标书</w:t>
            </w:r>
          </w:p>
        </w:tc>
        <w:tc>
          <w:tcPr>
            <w:tcW w:w="4413" w:type="dxa"/>
            <w:vAlign w:val="center"/>
          </w:tcPr>
          <w:p>
            <w:r>
              <w:rPr>
                <w:rFonts w:hint="eastAsia"/>
              </w:rPr>
              <w:t>《投标书》按招标文件规定的格式填写，没有出现内容不全或者关键字迹模糊无法辨认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rPr>
              <w:t>联合体投标</w:t>
            </w:r>
            <w:r>
              <w:rPr>
                <w:rFonts w:hint="eastAsia" w:ascii="宋体" w:hAnsi="宋体" w:eastAsia="宋体" w:cs="宋体"/>
                <w:sz w:val="21"/>
                <w:szCs w:val="21"/>
                <w:lang w:eastAsia="zh-CN"/>
              </w:rPr>
              <w:t>人</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联合体投标的，递交《联合体协议书》，且满足招标公告5.6的规定。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备选投标方案</w:t>
            </w:r>
          </w:p>
        </w:tc>
        <w:tc>
          <w:tcPr>
            <w:tcW w:w="4413" w:type="dxa"/>
            <w:vAlign w:val="center"/>
          </w:tcPr>
          <w:p>
            <w:pPr>
              <w:pStyle w:val="35"/>
              <w:rPr>
                <w:rFonts w:ascii="Calibri" w:hAnsi="Calibri" w:eastAsia="宋体"/>
                <w:kern w:val="2"/>
                <w:sz w:val="21"/>
                <w:lang w:eastAsia="zh-CN"/>
              </w:rPr>
            </w:pPr>
            <w:r>
              <w:rPr>
                <w:rFonts w:hint="eastAsia" w:ascii="Calibri" w:hAnsi="Calibri" w:eastAsia="宋体"/>
                <w:kern w:val="2"/>
                <w:sz w:val="21"/>
                <w:lang w:eastAsia="zh-CN"/>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rPr>
              <w:t>投标人机器码</w:t>
            </w:r>
          </w:p>
        </w:tc>
        <w:tc>
          <w:tcPr>
            <w:tcW w:w="4413" w:type="dxa"/>
            <w:vAlign w:val="center"/>
          </w:tcPr>
          <w:p>
            <w:pPr>
              <w:pStyle w:val="35"/>
              <w:rPr>
                <w:rFonts w:ascii="Calibri" w:hAnsi="Calibri" w:eastAsia="宋体"/>
                <w:kern w:val="2"/>
                <w:sz w:val="21"/>
                <w:lang w:eastAsia="zh-CN"/>
              </w:rPr>
            </w:pPr>
            <w:r>
              <w:rPr>
                <w:rFonts w:hint="eastAsia" w:ascii="Calibri" w:hAnsi="Calibri" w:eastAsia="宋体"/>
                <w:kern w:val="2"/>
                <w:sz w:val="21"/>
                <w:lang w:eastAsia="zh-CN"/>
              </w:rPr>
              <w:t>投标人与本项目其他投标人加密打包投标文件电脑机器特征码一致的（以广州公共资源交易中心评标系统的检索信息为准），其投标将被否决。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trPr>
        <w:tc>
          <w:tcPr>
            <w:tcW w:w="628" w:type="dxa"/>
            <w:vAlign w:val="center"/>
          </w:tcPr>
          <w:p>
            <w:pPr>
              <w:pStyle w:val="35"/>
              <w:jc w:val="center"/>
              <w:rPr>
                <w:rFonts w:ascii="宋体" w:hAnsi="宋体" w:eastAsia="宋体"/>
                <w:sz w:val="21"/>
                <w:szCs w:val="21"/>
                <w:lang w:eastAsia="zh-CN"/>
              </w:rPr>
            </w:pPr>
            <w:r>
              <w:rPr>
                <w:rFonts w:ascii="宋体" w:hAnsi="宋体" w:eastAsia="宋体"/>
                <w:sz w:val="21"/>
                <w:szCs w:val="21"/>
              </w:rPr>
              <w:t>2.1.</w:t>
            </w:r>
            <w:r>
              <w:rPr>
                <w:rFonts w:ascii="宋体" w:hAnsi="宋体" w:eastAsia="宋体"/>
                <w:sz w:val="21"/>
                <w:szCs w:val="21"/>
                <w:lang w:eastAsia="zh-CN"/>
              </w:rPr>
              <w:t>2</w:t>
            </w:r>
          </w:p>
        </w:tc>
        <w:tc>
          <w:tcPr>
            <w:tcW w:w="920" w:type="dxa"/>
            <w:vAlign w:val="center"/>
          </w:tcPr>
          <w:p>
            <w:pPr>
              <w:pStyle w:val="35"/>
              <w:jc w:val="center"/>
              <w:rPr>
                <w:rFonts w:ascii="宋体" w:hAnsi="宋体" w:eastAsia="宋体" w:cs="宋体"/>
                <w:sz w:val="21"/>
                <w:szCs w:val="21"/>
                <w:lang w:eastAsia="zh-CN"/>
              </w:rPr>
            </w:pPr>
            <w:r>
              <w:rPr>
                <w:rFonts w:hint="eastAsia" w:ascii="宋体" w:hAnsi="宋体" w:eastAsia="宋体" w:cs="宋体"/>
                <w:spacing w:val="-1"/>
                <w:sz w:val="21"/>
                <w:szCs w:val="21"/>
                <w:lang w:eastAsia="zh-CN"/>
              </w:rPr>
              <w:t>资格评审</w:t>
            </w:r>
            <w:r>
              <w:rPr>
                <w:rFonts w:hint="eastAsia" w:ascii="宋体" w:hAnsi="宋体" w:eastAsia="宋体" w:cs="宋体"/>
                <w:sz w:val="21"/>
                <w:szCs w:val="21"/>
                <w:lang w:eastAsia="zh-CN"/>
              </w:rPr>
              <w:t>标准</w:t>
            </w:r>
          </w:p>
        </w:tc>
        <w:tc>
          <w:tcPr>
            <w:tcW w:w="2845" w:type="dxa"/>
            <w:vAlign w:val="center"/>
          </w:tcPr>
          <w:p>
            <w:pPr>
              <w:pStyle w:val="35"/>
              <w:jc w:val="center"/>
              <w:rPr>
                <w:rFonts w:ascii="宋体" w:hAnsi="宋体" w:eastAsia="宋体" w:cs="宋体"/>
                <w:sz w:val="21"/>
                <w:szCs w:val="21"/>
              </w:rPr>
            </w:pPr>
            <w:r>
              <w:rPr>
                <w:rFonts w:hint="eastAsia" w:ascii="宋体" w:hAnsi="宋体" w:eastAsia="宋体" w:cs="宋体"/>
                <w:sz w:val="21"/>
                <w:szCs w:val="21"/>
              </w:rPr>
              <w:t>资格审查表</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见后附件二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628" w:type="dxa"/>
            <w:vMerge w:val="restart"/>
            <w:vAlign w:val="center"/>
          </w:tcPr>
          <w:p>
            <w:pPr>
              <w:pStyle w:val="35"/>
              <w:jc w:val="center"/>
              <w:rPr>
                <w:rFonts w:ascii="宋体" w:hAnsi="宋体" w:eastAsia="宋体"/>
                <w:sz w:val="21"/>
                <w:szCs w:val="21"/>
                <w:lang w:eastAsia="zh-CN"/>
              </w:rPr>
            </w:pPr>
            <w:r>
              <w:rPr>
                <w:rFonts w:hint="eastAsia" w:ascii="宋体" w:hAnsi="宋体" w:eastAsia="宋体"/>
                <w:sz w:val="21"/>
                <w:szCs w:val="21"/>
                <w:lang w:eastAsia="zh-CN"/>
              </w:rPr>
              <w:t>2.1.</w:t>
            </w:r>
            <w:r>
              <w:rPr>
                <w:rFonts w:ascii="宋体" w:hAnsi="宋体" w:eastAsia="宋体"/>
                <w:sz w:val="21"/>
                <w:szCs w:val="21"/>
                <w:lang w:eastAsia="zh-CN"/>
              </w:rPr>
              <w:t>3</w:t>
            </w:r>
          </w:p>
        </w:tc>
        <w:tc>
          <w:tcPr>
            <w:tcW w:w="920" w:type="dxa"/>
            <w:vMerge w:val="restart"/>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响应性评审标准</w:t>
            </w: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投标内容</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勘察设计服务期限</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质量标准</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投标有效期</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投标报价</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按照招标文件要求进行投标报价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2845" w:type="dxa"/>
            <w:vAlign w:val="center"/>
          </w:tcPr>
          <w:p>
            <w:pPr>
              <w:pStyle w:val="35"/>
              <w:jc w:val="center"/>
              <w:rPr>
                <w:rFonts w:ascii="Calibri" w:hAnsi="Calibri" w:eastAsia="宋体"/>
                <w:kern w:val="2"/>
                <w:sz w:val="21"/>
                <w:lang w:eastAsia="zh-CN"/>
              </w:rPr>
            </w:pPr>
            <w:r>
              <w:rPr>
                <w:rFonts w:hint="eastAsia" w:ascii="Calibri" w:hAnsi="Calibri" w:eastAsia="宋体"/>
                <w:kern w:val="2"/>
                <w:sz w:val="21"/>
                <w:lang w:eastAsia="zh-CN"/>
              </w:rPr>
              <w:t>其他</w:t>
            </w:r>
          </w:p>
        </w:tc>
        <w:tc>
          <w:tcPr>
            <w:tcW w:w="4413" w:type="dxa"/>
            <w:vAlign w:val="center"/>
          </w:tcPr>
          <w:p>
            <w:pPr>
              <w:pStyle w:val="35"/>
              <w:jc w:val="both"/>
              <w:rPr>
                <w:rFonts w:ascii="Calibri" w:hAnsi="Calibri" w:eastAsia="宋体"/>
                <w:kern w:val="2"/>
                <w:sz w:val="21"/>
                <w:lang w:eastAsia="zh-CN"/>
              </w:rPr>
            </w:pPr>
            <w:r>
              <w:rPr>
                <w:rFonts w:hint="eastAsia" w:ascii="Calibri" w:hAnsi="Calibri" w:eastAsia="宋体"/>
                <w:kern w:val="2"/>
                <w:sz w:val="21"/>
                <w:lang w:eastAsia="zh-CN"/>
              </w:rPr>
              <w:t>不存在第二章“投标人须知”前附表第10.5项规定的情形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rPr>
        <w:tc>
          <w:tcPr>
            <w:tcW w:w="628" w:type="dxa"/>
            <w:vMerge w:val="continue"/>
            <w:vAlign w:val="center"/>
          </w:tcPr>
          <w:p>
            <w:pPr>
              <w:pStyle w:val="35"/>
              <w:jc w:val="center"/>
              <w:rPr>
                <w:rFonts w:ascii="宋体" w:hAnsi="宋体" w:eastAsia="宋体"/>
                <w:sz w:val="21"/>
                <w:szCs w:val="21"/>
                <w:lang w:eastAsia="zh-CN"/>
              </w:rPr>
            </w:pPr>
          </w:p>
        </w:tc>
        <w:tc>
          <w:tcPr>
            <w:tcW w:w="920" w:type="dxa"/>
            <w:vMerge w:val="continue"/>
            <w:vAlign w:val="center"/>
          </w:tcPr>
          <w:p>
            <w:pPr>
              <w:pStyle w:val="35"/>
              <w:jc w:val="center"/>
              <w:rPr>
                <w:rFonts w:ascii="宋体" w:hAnsi="宋体" w:eastAsia="宋体" w:cs="宋体"/>
                <w:sz w:val="21"/>
                <w:szCs w:val="21"/>
                <w:lang w:eastAsia="zh-CN"/>
              </w:rPr>
            </w:pPr>
          </w:p>
        </w:tc>
        <w:tc>
          <w:tcPr>
            <w:tcW w:w="7258" w:type="dxa"/>
            <w:gridSpan w:val="2"/>
            <w:vAlign w:val="center"/>
          </w:tcPr>
          <w:p>
            <w:pPr>
              <w:pStyle w:val="35"/>
              <w:jc w:val="both"/>
              <w:rPr>
                <w:rFonts w:ascii="宋体" w:hAnsi="宋体" w:eastAsia="宋体" w:cs="宋体"/>
                <w:b/>
                <w:bCs/>
                <w:sz w:val="21"/>
                <w:szCs w:val="21"/>
                <w:lang w:eastAsia="zh-CN"/>
              </w:rPr>
            </w:pPr>
            <w:r>
              <w:rPr>
                <w:rFonts w:hint="eastAsia" w:ascii="宋体" w:hAnsi="宋体" w:eastAsia="宋体" w:cs="宋体"/>
                <w:b/>
                <w:bCs/>
                <w:sz w:val="21"/>
                <w:szCs w:val="21"/>
                <w:lang w:eastAsia="zh-CN"/>
              </w:rPr>
              <w:t>注：响应性评审标准中“投标内容”、“勘察设计服务期限”、“质量标准”、“投标有效期”，以投标人在投标书附录中的承诺为准。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rPr>
        <w:tc>
          <w:tcPr>
            <w:tcW w:w="1548" w:type="dxa"/>
            <w:gridSpan w:val="2"/>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条款号</w:t>
            </w:r>
          </w:p>
        </w:tc>
        <w:tc>
          <w:tcPr>
            <w:tcW w:w="2845" w:type="dxa"/>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条款内容</w:t>
            </w:r>
          </w:p>
        </w:tc>
        <w:tc>
          <w:tcPr>
            <w:tcW w:w="4413" w:type="dxa"/>
            <w:vAlign w:val="center"/>
          </w:tcPr>
          <w:p>
            <w:pPr>
              <w:pStyle w:val="35"/>
              <w:jc w:val="center"/>
              <w:rPr>
                <w:rFonts w:ascii="宋体" w:hAnsi="宋体" w:eastAsia="宋体" w:cs="Microsoft JhengHei"/>
                <w:sz w:val="21"/>
                <w:szCs w:val="21"/>
              </w:rPr>
            </w:pPr>
            <w:r>
              <w:rPr>
                <w:rFonts w:ascii="宋体" w:hAnsi="宋体" w:eastAsia="宋体" w:cs="Microsoft JhengHei"/>
                <w:b/>
                <w:bCs/>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exact"/>
        </w:trPr>
        <w:tc>
          <w:tcPr>
            <w:tcW w:w="1548" w:type="dxa"/>
            <w:gridSpan w:val="2"/>
            <w:vAlign w:val="center"/>
          </w:tcPr>
          <w:p>
            <w:pPr>
              <w:pStyle w:val="35"/>
              <w:jc w:val="center"/>
              <w:rPr>
                <w:rFonts w:ascii="宋体" w:hAnsi="宋体" w:eastAsia="宋体"/>
                <w:sz w:val="21"/>
                <w:szCs w:val="21"/>
              </w:rPr>
            </w:pPr>
            <w:r>
              <w:rPr>
                <w:rFonts w:ascii="宋体" w:hAnsi="宋体" w:eastAsia="宋体"/>
                <w:sz w:val="21"/>
                <w:szCs w:val="21"/>
              </w:rPr>
              <w:t>2.2.1</w:t>
            </w:r>
          </w:p>
        </w:tc>
        <w:tc>
          <w:tcPr>
            <w:tcW w:w="2845" w:type="dxa"/>
            <w:vAlign w:val="center"/>
          </w:tcPr>
          <w:p>
            <w:pPr>
              <w:pStyle w:val="35"/>
              <w:spacing w:line="276" w:lineRule="auto"/>
              <w:jc w:val="center"/>
              <w:rPr>
                <w:rFonts w:ascii="宋体" w:hAnsi="宋体" w:eastAsia="宋体" w:cs="宋体"/>
                <w:sz w:val="21"/>
                <w:szCs w:val="21"/>
              </w:rPr>
            </w:pPr>
            <w:r>
              <w:rPr>
                <w:rFonts w:ascii="宋体" w:hAnsi="宋体" w:eastAsia="宋体" w:cs="宋体"/>
                <w:sz w:val="21"/>
                <w:szCs w:val="21"/>
              </w:rPr>
              <w:t>分值构成</w:t>
            </w:r>
          </w:p>
          <w:p>
            <w:pPr>
              <w:pStyle w:val="35"/>
              <w:spacing w:line="276" w:lineRule="auto"/>
              <w:jc w:val="center"/>
              <w:rPr>
                <w:rFonts w:ascii="宋体" w:hAnsi="宋体" w:eastAsia="宋体"/>
                <w:sz w:val="21"/>
                <w:szCs w:val="21"/>
              </w:rPr>
            </w:pPr>
            <w:r>
              <w:rPr>
                <w:rFonts w:ascii="宋体" w:hAnsi="宋体" w:eastAsia="宋体"/>
                <w:sz w:val="21"/>
                <w:szCs w:val="21"/>
              </w:rPr>
              <w:t>(</w:t>
            </w:r>
            <w:r>
              <w:rPr>
                <w:rFonts w:ascii="宋体" w:hAnsi="宋体" w:eastAsia="宋体" w:cs="宋体"/>
                <w:sz w:val="21"/>
                <w:szCs w:val="21"/>
              </w:rPr>
              <w:t>总分</w:t>
            </w:r>
            <w:r>
              <w:rPr>
                <w:rFonts w:ascii="宋体" w:hAnsi="宋体" w:eastAsia="宋体"/>
                <w:sz w:val="21"/>
                <w:szCs w:val="21"/>
              </w:rPr>
              <w:t>100</w:t>
            </w:r>
            <w:r>
              <w:rPr>
                <w:rFonts w:ascii="宋体" w:hAnsi="宋体" w:eastAsia="宋体" w:cs="宋体"/>
                <w:sz w:val="21"/>
                <w:szCs w:val="21"/>
              </w:rPr>
              <w:t>分</w:t>
            </w:r>
            <w:r>
              <w:rPr>
                <w:rFonts w:ascii="宋体" w:hAnsi="宋体" w:eastAsia="宋体"/>
                <w:sz w:val="21"/>
                <w:szCs w:val="21"/>
              </w:rPr>
              <w:t>)</w:t>
            </w:r>
          </w:p>
        </w:tc>
        <w:tc>
          <w:tcPr>
            <w:tcW w:w="4413" w:type="dxa"/>
            <w:vAlign w:val="center"/>
          </w:tcPr>
          <w:p>
            <w:r>
              <w:rPr>
                <w:rFonts w:hint="eastAsia"/>
              </w:rPr>
              <w:t>资信业绩部分：50分。</w:t>
            </w:r>
          </w:p>
          <w:p>
            <w:r>
              <w:rPr>
                <w:rFonts w:hint="eastAsia"/>
              </w:rPr>
              <w:t>勘察设计工作方案部分：40分。</w:t>
            </w:r>
          </w:p>
          <w:p>
            <w:pPr>
              <w:pStyle w:val="2"/>
              <w:ind w:firstLine="0" w:firstLineChars="0"/>
              <w:rPr>
                <w:rFonts w:eastAsia="宋体"/>
                <w:lang w:eastAsia="zh-CN"/>
              </w:rPr>
            </w:pPr>
            <w:r>
              <w:rPr>
                <w:rFonts w:hint="eastAsia" w:ascii="Calibri" w:hAnsi="Calibri" w:eastAsia="宋体"/>
                <w:kern w:val="2"/>
                <w:sz w:val="21"/>
                <w:lang w:eastAsia="zh-CN"/>
              </w:rPr>
              <w:t>投标报价部分：10分</w:t>
            </w:r>
            <w:r>
              <w:rPr>
                <w:rFonts w:hint="eastAsia" w:ascii="宋体" w:hAnsi="宋体" w:eastAsia="宋体" w:cs="宋体"/>
                <w:szCs w:val="21"/>
                <w:lang w:eastAsia="zh-CN"/>
              </w:rPr>
              <w:t>。</w:t>
            </w:r>
          </w:p>
          <w:p>
            <w:pPr>
              <w:rPr>
                <w:rFonts w:ascii="宋体" w:hAnsi="宋体" w:cs="宋体"/>
                <w:szCs w:val="21"/>
                <w:u w:val="single"/>
              </w:rPr>
            </w:pPr>
            <w:r>
              <w:rPr>
                <w:rFonts w:hint="eastAsia"/>
              </w:rPr>
              <w:t>投标人总得分（满分100分）=资信业绩部分得分（满分50分）+勘察设计工作方案部分得分（满分40分）</w:t>
            </w:r>
            <w:r>
              <w:rPr>
                <w:rFonts w:hint="eastAsia" w:ascii="宋体" w:hAnsi="宋体" w:cs="宋体"/>
                <w:szCs w:val="21"/>
              </w:rPr>
              <w:t>+投标报价</w:t>
            </w:r>
            <w:r>
              <w:rPr>
                <w:rFonts w:hint="eastAsia"/>
              </w:rPr>
              <w:t>（满分10分）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exact"/>
        </w:trPr>
        <w:tc>
          <w:tcPr>
            <w:tcW w:w="1548" w:type="dxa"/>
            <w:gridSpan w:val="2"/>
            <w:vAlign w:val="center"/>
          </w:tcPr>
          <w:p>
            <w:pPr>
              <w:pStyle w:val="35"/>
              <w:jc w:val="center"/>
              <w:rPr>
                <w:rFonts w:ascii="宋体" w:hAnsi="宋体" w:eastAsia="宋体"/>
                <w:sz w:val="21"/>
                <w:szCs w:val="21"/>
              </w:rPr>
            </w:pPr>
            <w:r>
              <w:rPr>
                <w:rFonts w:ascii="宋体" w:hAnsi="宋体" w:eastAsia="宋体"/>
                <w:sz w:val="21"/>
                <w:szCs w:val="21"/>
              </w:rPr>
              <w:t>2.2.2</w:t>
            </w:r>
          </w:p>
        </w:tc>
        <w:tc>
          <w:tcPr>
            <w:tcW w:w="2845" w:type="dxa"/>
            <w:vAlign w:val="center"/>
          </w:tcPr>
          <w:p>
            <w:pPr>
              <w:pStyle w:val="35"/>
              <w:jc w:val="center"/>
              <w:rPr>
                <w:rFonts w:ascii="宋体" w:hAnsi="宋体" w:eastAsia="宋体" w:cs="宋体"/>
                <w:sz w:val="21"/>
                <w:szCs w:val="21"/>
              </w:rPr>
            </w:pPr>
            <w:r>
              <w:rPr>
                <w:rFonts w:ascii="宋体" w:hAnsi="宋体" w:eastAsia="宋体" w:cs="宋体"/>
                <w:sz w:val="21"/>
                <w:szCs w:val="21"/>
              </w:rPr>
              <w:t>评标基准价计算方法</w:t>
            </w:r>
          </w:p>
        </w:tc>
        <w:tc>
          <w:tcPr>
            <w:tcW w:w="4413" w:type="dxa"/>
            <w:vAlign w:val="center"/>
          </w:tcPr>
          <w:p>
            <w:pPr>
              <w:rPr>
                <w:rFonts w:ascii="宋体" w:hAnsi="宋体"/>
                <w:szCs w:val="21"/>
              </w:rPr>
            </w:pPr>
            <w:r>
              <w:rPr>
                <w:rFonts w:hint="eastAsia"/>
              </w:rPr>
              <w:t>当通过初步评审且投标报价位于最高投标限价的[90%，100%]的有效投标人大于5名时，去掉该区间内一个最高价和一个最低价，取该区间内余下投标价的算数平均值作为评标基准价。当通过初步审查且投标报价位于最高投标限价的[90%，100%]的有效投标人小于或等于5名时，取所有该区间内的有效投标价的算术平均值作为评标基准价；若无报价位于该区间内，则以最高投标限价的90%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6" w:hRule="exact"/>
        </w:trPr>
        <w:tc>
          <w:tcPr>
            <w:tcW w:w="1548" w:type="dxa"/>
            <w:gridSpan w:val="2"/>
            <w:vAlign w:val="center"/>
          </w:tcPr>
          <w:p>
            <w:pPr>
              <w:pStyle w:val="35"/>
              <w:jc w:val="center"/>
              <w:rPr>
                <w:rFonts w:ascii="宋体" w:hAnsi="宋体" w:eastAsia="宋体"/>
                <w:sz w:val="21"/>
                <w:szCs w:val="21"/>
              </w:rPr>
            </w:pPr>
            <w:r>
              <w:rPr>
                <w:rFonts w:ascii="宋体" w:hAnsi="宋体" w:eastAsia="宋体"/>
                <w:sz w:val="21"/>
                <w:szCs w:val="21"/>
              </w:rPr>
              <w:t>2.2.3</w:t>
            </w:r>
          </w:p>
        </w:tc>
        <w:tc>
          <w:tcPr>
            <w:tcW w:w="2845" w:type="dxa"/>
            <w:vAlign w:val="center"/>
          </w:tcPr>
          <w:p>
            <w:pPr>
              <w:pStyle w:val="35"/>
              <w:jc w:val="center"/>
              <w:rPr>
                <w:rFonts w:ascii="宋体" w:hAnsi="宋体" w:eastAsia="宋体" w:cs="宋体"/>
                <w:sz w:val="21"/>
                <w:szCs w:val="21"/>
                <w:lang w:eastAsia="zh-CN"/>
              </w:rPr>
            </w:pPr>
            <w:r>
              <w:rPr>
                <w:rFonts w:ascii="宋体" w:hAnsi="宋体" w:eastAsia="宋体" w:cs="宋体"/>
                <w:sz w:val="21"/>
                <w:szCs w:val="21"/>
                <w:lang w:eastAsia="zh-CN"/>
              </w:rPr>
              <w:t>投标报价的偏差率计算公式</w:t>
            </w:r>
          </w:p>
        </w:tc>
        <w:tc>
          <w:tcPr>
            <w:tcW w:w="4413" w:type="dxa"/>
            <w:vAlign w:val="center"/>
          </w:tcPr>
          <w:p>
            <w:r>
              <w:rPr>
                <w:rFonts w:hint="eastAsia"/>
              </w:rPr>
              <w:t>偏差率=∣投标报价-评标基准价∣/评标基准价*100%</w:t>
            </w:r>
          </w:p>
          <w:p>
            <w:pPr>
              <w:rPr>
                <w:rFonts w:ascii="宋体" w:hAnsi="宋体"/>
                <w:szCs w:val="21"/>
              </w:rPr>
            </w:pPr>
            <w:r>
              <w:rPr>
                <w:rFonts w:hint="eastAsia"/>
              </w:rPr>
              <w:t>（偏差率出现小数点时，保留小数点后2位，第三位小数四舍五入；报价偏差率不足1%的，按直线内插法计算投标报价得分。）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1548" w:type="dxa"/>
            <w:gridSpan w:val="2"/>
            <w:vAlign w:val="center"/>
          </w:tcPr>
          <w:p>
            <w:pPr>
              <w:pStyle w:val="35"/>
              <w:jc w:val="center"/>
              <w:rPr>
                <w:rFonts w:ascii="宋体" w:hAnsi="宋体" w:eastAsia="宋体"/>
                <w:sz w:val="21"/>
                <w:szCs w:val="21"/>
              </w:rPr>
            </w:pPr>
            <w:r>
              <w:rPr>
                <w:rFonts w:hint="eastAsia" w:ascii="宋体" w:hAnsi="宋体" w:eastAsia="宋体"/>
                <w:sz w:val="21"/>
                <w:szCs w:val="21"/>
              </w:rPr>
              <w:t>2.2.4（1）</w:t>
            </w: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资信业绩评分标准</w:t>
            </w:r>
          </w:p>
        </w:tc>
        <w:tc>
          <w:tcPr>
            <w:tcW w:w="4413" w:type="dxa"/>
            <w:vAlign w:val="center"/>
          </w:tcPr>
          <w:p>
            <w:pPr>
              <w:rPr>
                <w:rFonts w:ascii="宋体" w:hAnsi="宋体"/>
                <w:szCs w:val="21"/>
              </w:rPr>
            </w:pPr>
            <w:r>
              <w:rPr>
                <w:rFonts w:hint="eastAsia" w:ascii="宋体" w:hAnsi="宋体"/>
                <w:szCs w:val="21"/>
              </w:rPr>
              <w:t>见后附件一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exact"/>
        </w:trPr>
        <w:tc>
          <w:tcPr>
            <w:tcW w:w="1548" w:type="dxa"/>
            <w:gridSpan w:val="2"/>
            <w:vAlign w:val="center"/>
          </w:tcPr>
          <w:p>
            <w:pPr>
              <w:pStyle w:val="35"/>
              <w:jc w:val="center"/>
              <w:rPr>
                <w:rFonts w:ascii="宋体" w:hAnsi="宋体" w:eastAsia="宋体"/>
                <w:sz w:val="21"/>
                <w:szCs w:val="21"/>
              </w:rPr>
            </w:pPr>
            <w:r>
              <w:rPr>
                <w:rFonts w:hint="eastAsia" w:ascii="宋体" w:hAnsi="宋体" w:eastAsia="宋体"/>
                <w:sz w:val="21"/>
                <w:szCs w:val="21"/>
              </w:rPr>
              <w:t>2.2.4（2）</w:t>
            </w: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勘察设计工作方案评分标准</w:t>
            </w:r>
          </w:p>
        </w:tc>
        <w:tc>
          <w:tcPr>
            <w:tcW w:w="4413" w:type="dxa"/>
            <w:vAlign w:val="center"/>
          </w:tcPr>
          <w:p>
            <w:pPr>
              <w:rPr>
                <w:rFonts w:ascii="宋体" w:hAnsi="宋体"/>
                <w:szCs w:val="21"/>
              </w:rPr>
            </w:pPr>
            <w:r>
              <w:rPr>
                <w:rFonts w:hint="eastAsia" w:ascii="宋体" w:hAnsi="宋体"/>
                <w:szCs w:val="21"/>
              </w:rPr>
              <w:t>见后附件一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exact"/>
        </w:trPr>
        <w:tc>
          <w:tcPr>
            <w:tcW w:w="1548" w:type="dxa"/>
            <w:gridSpan w:val="2"/>
            <w:vAlign w:val="center"/>
          </w:tcPr>
          <w:p>
            <w:pPr>
              <w:pStyle w:val="35"/>
              <w:jc w:val="center"/>
              <w:rPr>
                <w:rFonts w:ascii="宋体" w:hAnsi="宋体" w:eastAsia="宋体"/>
                <w:sz w:val="21"/>
                <w:szCs w:val="21"/>
              </w:rPr>
            </w:pPr>
            <w:r>
              <w:rPr>
                <w:rFonts w:hint="eastAsia" w:ascii="宋体" w:hAnsi="宋体" w:eastAsia="宋体"/>
                <w:sz w:val="21"/>
                <w:szCs w:val="21"/>
              </w:rPr>
              <w:t>2.2.4（</w:t>
            </w:r>
            <w:r>
              <w:rPr>
                <w:rFonts w:hint="eastAsia" w:ascii="宋体" w:hAnsi="宋体" w:eastAsia="宋体"/>
                <w:sz w:val="21"/>
                <w:szCs w:val="21"/>
                <w:lang w:eastAsia="zh-CN"/>
              </w:rPr>
              <w:t>3</w:t>
            </w:r>
            <w:r>
              <w:rPr>
                <w:rFonts w:hint="eastAsia" w:ascii="宋体" w:hAnsi="宋体" w:eastAsia="宋体"/>
                <w:sz w:val="21"/>
                <w:szCs w:val="21"/>
              </w:rPr>
              <w:t>）</w:t>
            </w:r>
          </w:p>
        </w:tc>
        <w:tc>
          <w:tcPr>
            <w:tcW w:w="2845" w:type="dxa"/>
            <w:vAlign w:val="center"/>
          </w:tcPr>
          <w:p>
            <w:pPr>
              <w:pStyle w:val="35"/>
              <w:jc w:val="center"/>
              <w:rPr>
                <w:rFonts w:ascii="宋体" w:hAnsi="宋体" w:eastAsia="宋体" w:cs="宋体"/>
                <w:sz w:val="21"/>
                <w:szCs w:val="21"/>
                <w:lang w:eastAsia="zh-CN"/>
              </w:rPr>
            </w:pPr>
            <w:r>
              <w:rPr>
                <w:rFonts w:hint="eastAsia" w:ascii="宋体" w:hAnsi="宋体" w:eastAsia="宋体" w:cs="宋体"/>
                <w:sz w:val="21"/>
                <w:szCs w:val="21"/>
                <w:lang w:eastAsia="zh-CN"/>
              </w:rPr>
              <w:t>投标报价（</w:t>
            </w:r>
            <w:r>
              <w:rPr>
                <w:rFonts w:ascii="宋体" w:hAnsi="宋体" w:eastAsia="宋体" w:cs="宋体"/>
                <w:sz w:val="21"/>
                <w:szCs w:val="21"/>
                <w:lang w:eastAsia="zh-CN"/>
              </w:rPr>
              <w:t>10分</w:t>
            </w:r>
            <w:r>
              <w:rPr>
                <w:rFonts w:hint="eastAsia" w:ascii="宋体" w:hAnsi="宋体" w:eastAsia="宋体" w:cs="宋体"/>
                <w:sz w:val="21"/>
                <w:szCs w:val="21"/>
                <w:lang w:eastAsia="zh-CN"/>
              </w:rPr>
              <w:t>）</w:t>
            </w:r>
          </w:p>
        </w:tc>
        <w:tc>
          <w:tcPr>
            <w:tcW w:w="4413" w:type="dxa"/>
            <w:vAlign w:val="center"/>
          </w:tcPr>
          <w:p>
            <w:pPr>
              <w:pStyle w:val="35"/>
              <w:jc w:val="both"/>
              <w:rPr>
                <w:rFonts w:ascii="宋体" w:hAnsi="宋体" w:eastAsia="宋体" w:cs="宋体"/>
                <w:sz w:val="21"/>
                <w:szCs w:val="21"/>
                <w:lang w:eastAsia="zh-CN"/>
              </w:rPr>
            </w:pPr>
            <w:r>
              <w:rPr>
                <w:rFonts w:ascii="宋体" w:hAnsi="宋体" w:eastAsia="宋体" w:cs="宋体"/>
                <w:sz w:val="21"/>
                <w:szCs w:val="21"/>
                <w:lang w:eastAsia="zh-CN"/>
              </w:rPr>
              <w:t>见后附件一</w:t>
            </w:r>
          </w:p>
        </w:tc>
      </w:tr>
    </w:tbl>
    <w:p>
      <w:pPr>
        <w:pStyle w:val="20"/>
        <w:jc w:val="both"/>
        <w:rPr>
          <w:rFonts w:ascii="宋体" w:hAnsi="宋体"/>
          <w:lang w:eastAsia="zh-CN"/>
        </w:rPr>
        <w:sectPr>
          <w:footerReference r:id="rId9" w:type="default"/>
          <w:pgSz w:w="12240" w:h="15840"/>
          <w:pgMar w:top="1500" w:right="1720" w:bottom="1120" w:left="1720" w:header="0" w:footer="921" w:gutter="0"/>
          <w:cols w:space="720" w:num="1"/>
        </w:sectPr>
      </w:pPr>
    </w:p>
    <w:p>
      <w:pPr>
        <w:pStyle w:val="20"/>
        <w:jc w:val="both"/>
        <w:rPr>
          <w:rFonts w:ascii="宋体" w:hAnsi="宋体"/>
          <w:lang w:eastAsia="zh-CN"/>
        </w:rPr>
      </w:pPr>
      <w:bookmarkStart w:id="16" w:name="_Toc22908"/>
      <w:r>
        <w:rPr>
          <w:rFonts w:hint="eastAsia" w:ascii="宋体" w:hAnsi="宋体"/>
          <w:lang w:eastAsia="zh-CN"/>
        </w:rPr>
        <w:t>附件一：商务技术综合评分表</w:t>
      </w:r>
      <w:bookmarkEnd w:id="16"/>
    </w:p>
    <w:p>
      <w:pPr>
        <w:pStyle w:val="20"/>
        <w:outlineLvl w:val="9"/>
        <w:rPr>
          <w:rFonts w:ascii="宋体" w:hAnsi="宋体"/>
          <w:lang w:eastAsia="zh-CN"/>
        </w:rPr>
      </w:pPr>
      <w:bookmarkStart w:id="17" w:name="_Toc29832"/>
      <w:r>
        <w:rPr>
          <w:rFonts w:hint="eastAsia" w:ascii="宋体" w:hAnsi="宋体"/>
          <w:lang w:eastAsia="zh-CN"/>
        </w:rPr>
        <w:t>商务技术综合评分表</w:t>
      </w:r>
      <w:bookmarkEnd w:id="17"/>
    </w:p>
    <w:p>
      <w:pPr>
        <w:spacing w:line="360" w:lineRule="auto"/>
        <w:rPr>
          <w:rFonts w:ascii="宋体" w:hAnsi="宋体" w:cs="宋体"/>
          <w:szCs w:val="21"/>
          <w:lang w:val="zh-CN"/>
        </w:rPr>
      </w:pPr>
      <w:r>
        <w:rPr>
          <w:rFonts w:hint="eastAsia" w:ascii="宋体" w:hAnsi="宋体"/>
        </w:rPr>
        <w:t xml:space="preserve">项目名称：                                           </w:t>
      </w:r>
    </w:p>
    <w:tbl>
      <w:tblPr>
        <w:tblStyle w:val="24"/>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58"/>
        <w:gridCol w:w="1469"/>
        <w:gridCol w:w="10016"/>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pStyle w:val="19"/>
              <w:rPr>
                <w:color w:val="auto"/>
              </w:rPr>
            </w:pPr>
            <w:r>
              <w:rPr>
                <w:rFonts w:hint="eastAsia"/>
                <w:color w:val="auto"/>
              </w:rPr>
              <w:t>序号</w:t>
            </w:r>
          </w:p>
        </w:tc>
        <w:tc>
          <w:tcPr>
            <w:tcW w:w="2527" w:type="dxa"/>
            <w:gridSpan w:val="2"/>
            <w:tcBorders>
              <w:top w:val="single" w:color="000000" w:sz="4" w:space="0"/>
              <w:left w:val="nil"/>
              <w:bottom w:val="single" w:color="000000" w:sz="4" w:space="0"/>
              <w:right w:val="single" w:color="000000" w:sz="4" w:space="0"/>
            </w:tcBorders>
            <w:vAlign w:val="center"/>
          </w:tcPr>
          <w:p>
            <w:pPr>
              <w:pStyle w:val="19"/>
              <w:rPr>
                <w:color w:val="auto"/>
              </w:rPr>
            </w:pPr>
            <w:r>
              <w:rPr>
                <w:rFonts w:hint="eastAsia"/>
                <w:color w:val="auto"/>
              </w:rPr>
              <w:t>评审项目</w:t>
            </w:r>
          </w:p>
        </w:tc>
        <w:tc>
          <w:tcPr>
            <w:tcW w:w="10016" w:type="dxa"/>
            <w:tcBorders>
              <w:top w:val="single" w:color="000000" w:sz="4" w:space="0"/>
              <w:left w:val="nil"/>
              <w:bottom w:val="single" w:color="000000" w:sz="4" w:space="0"/>
              <w:right w:val="single" w:color="000000" w:sz="4" w:space="0"/>
            </w:tcBorders>
            <w:vAlign w:val="center"/>
          </w:tcPr>
          <w:p>
            <w:pPr>
              <w:pStyle w:val="19"/>
              <w:rPr>
                <w:color w:val="auto"/>
              </w:rPr>
            </w:pPr>
            <w:r>
              <w:rPr>
                <w:rFonts w:hint="eastAsia"/>
                <w:color w:val="auto"/>
              </w:rPr>
              <w:t>评分标准</w:t>
            </w:r>
          </w:p>
        </w:tc>
        <w:tc>
          <w:tcPr>
            <w:tcW w:w="995" w:type="dxa"/>
            <w:tcBorders>
              <w:top w:val="single" w:color="000000" w:sz="4" w:space="0"/>
              <w:left w:val="nil"/>
              <w:bottom w:val="single" w:color="000000" w:sz="4" w:space="0"/>
              <w:right w:val="single" w:color="000000" w:sz="4" w:space="0"/>
            </w:tcBorders>
            <w:vAlign w:val="center"/>
          </w:tcPr>
          <w:p>
            <w:pPr>
              <w:pStyle w:val="19"/>
              <w:rPr>
                <w:color w:val="auto"/>
              </w:rPr>
            </w:pPr>
            <w:r>
              <w:rPr>
                <w:rFonts w:hint="eastAsia"/>
                <w:color w:val="auto"/>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rFonts w:hint="eastAsia"/>
                <w:color w:val="auto"/>
              </w:rPr>
              <w:t>一</w:t>
            </w:r>
          </w:p>
        </w:tc>
        <w:tc>
          <w:tcPr>
            <w:tcW w:w="2527" w:type="dxa"/>
            <w:gridSpan w:val="2"/>
            <w:tcBorders>
              <w:top w:val="single" w:color="auto" w:sz="4" w:space="0"/>
              <w:left w:val="nil"/>
              <w:bottom w:val="single" w:color="auto" w:sz="4" w:space="0"/>
              <w:right w:val="single" w:color="auto" w:sz="4" w:space="0"/>
            </w:tcBorders>
            <w:vAlign w:val="center"/>
          </w:tcPr>
          <w:p>
            <w:pPr>
              <w:pStyle w:val="19"/>
              <w:rPr>
                <w:color w:val="auto"/>
              </w:rPr>
            </w:pPr>
            <w:r>
              <w:rPr>
                <w:rStyle w:val="26"/>
                <w:rFonts w:hint="eastAsia"/>
                <w:color w:val="auto"/>
                <w:kern w:val="2"/>
              </w:rPr>
              <w:t>资信业绩部分（50分）</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color w:val="auto"/>
              </w:rPr>
              <w:t>1</w:t>
            </w:r>
          </w:p>
        </w:tc>
        <w:tc>
          <w:tcPr>
            <w:tcW w:w="2527" w:type="dxa"/>
            <w:gridSpan w:val="2"/>
            <w:tcBorders>
              <w:top w:val="single" w:color="auto" w:sz="4" w:space="0"/>
              <w:left w:val="nil"/>
              <w:bottom w:val="single" w:color="auto" w:sz="4" w:space="0"/>
              <w:right w:val="single" w:color="auto" w:sz="4" w:space="0"/>
            </w:tcBorders>
            <w:vAlign w:val="center"/>
          </w:tcPr>
          <w:p>
            <w:pPr>
              <w:pStyle w:val="19"/>
              <w:spacing w:line="240" w:lineRule="auto"/>
              <w:rPr>
                <w:rStyle w:val="26"/>
                <w:color w:val="auto"/>
                <w:kern w:val="2"/>
              </w:rPr>
            </w:pPr>
            <w:r>
              <w:rPr>
                <w:rFonts w:hint="eastAsia"/>
                <w:color w:val="auto"/>
              </w:rPr>
              <w:t>类似业绩（</w:t>
            </w:r>
            <w:r>
              <w:rPr>
                <w:rStyle w:val="26"/>
                <w:rFonts w:hint="eastAsia"/>
                <w:b w:val="0"/>
                <w:color w:val="auto"/>
                <w:kern w:val="2"/>
              </w:rPr>
              <w:t>20分</w:t>
            </w:r>
            <w:r>
              <w:rPr>
                <w:rFonts w:hint="eastAsia"/>
                <w:color w:val="auto"/>
              </w:rPr>
              <w:t>）</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1、设计业绩（16分)：</w:t>
            </w:r>
          </w:p>
          <w:p>
            <w:pPr>
              <w:pStyle w:val="19"/>
              <w:rPr>
                <w:color w:val="auto"/>
              </w:rPr>
            </w:pPr>
            <w:r>
              <w:rPr>
                <w:rFonts w:hint="eastAsia"/>
                <w:color w:val="auto"/>
              </w:rPr>
              <w:t>投标人（若为联合体，指设计方）业绩情况：</w:t>
            </w:r>
          </w:p>
          <w:p>
            <w:pPr>
              <w:pStyle w:val="19"/>
              <w:rPr>
                <w:color w:val="auto"/>
              </w:rPr>
            </w:pPr>
            <w:r>
              <w:rPr>
                <w:rFonts w:hint="eastAsia"/>
                <w:color w:val="auto"/>
              </w:rPr>
              <w:t>近三年（2021年1月1日至今）完成过项目总投资≥9000万元的房屋建筑工程设计业绩的，每项得2分，最高得16分。</w:t>
            </w:r>
          </w:p>
          <w:p>
            <w:pPr>
              <w:pStyle w:val="19"/>
              <w:rPr>
                <w:color w:val="auto"/>
              </w:rPr>
            </w:pPr>
            <w:r>
              <w:rPr>
                <w:rFonts w:hint="eastAsia"/>
                <w:color w:val="auto"/>
              </w:rPr>
              <w:t>2、勘察业绩（2分)：</w:t>
            </w:r>
          </w:p>
          <w:p>
            <w:pPr>
              <w:pStyle w:val="19"/>
              <w:rPr>
                <w:color w:val="auto"/>
              </w:rPr>
            </w:pPr>
            <w:r>
              <w:rPr>
                <w:rFonts w:hint="eastAsia"/>
                <w:color w:val="auto"/>
              </w:rPr>
              <w:t>投标人（若为联合体，指勘察方）业绩情况：</w:t>
            </w:r>
          </w:p>
          <w:p>
            <w:pPr>
              <w:pStyle w:val="19"/>
              <w:rPr>
                <w:color w:val="auto"/>
              </w:rPr>
            </w:pPr>
            <w:r>
              <w:rPr>
                <w:rFonts w:hint="eastAsia"/>
                <w:color w:val="auto"/>
              </w:rPr>
              <w:t>近三年（2021年1月1日至今）完成过项目总投资≥9000万元的建筑工程类勘察业绩的，每项得0.25分，最高得2分。</w:t>
            </w:r>
          </w:p>
          <w:p>
            <w:pPr>
              <w:pStyle w:val="19"/>
              <w:rPr>
                <w:color w:val="auto"/>
              </w:rPr>
            </w:pPr>
            <w:r>
              <w:rPr>
                <w:rFonts w:hint="eastAsia"/>
                <w:color w:val="auto"/>
              </w:rPr>
              <w:t>3、BIM业绩（2分）：</w:t>
            </w:r>
          </w:p>
          <w:p>
            <w:pPr>
              <w:pStyle w:val="19"/>
              <w:rPr>
                <w:color w:val="auto"/>
              </w:rPr>
            </w:pPr>
            <w:r>
              <w:rPr>
                <w:rFonts w:hint="eastAsia"/>
                <w:color w:val="auto"/>
              </w:rPr>
              <w:t>投标人（若为联合体，指设计方）业绩情况：</w:t>
            </w:r>
          </w:p>
          <w:p>
            <w:pPr>
              <w:pStyle w:val="19"/>
              <w:rPr>
                <w:color w:val="auto"/>
              </w:rPr>
            </w:pPr>
            <w:r>
              <w:rPr>
                <w:rFonts w:hint="eastAsia"/>
                <w:color w:val="auto"/>
              </w:rPr>
              <w:t>近三年（2021年1月1日至今）完成过单项BIM服务合同或设计工作中包含BIM服务内容且建筑面积≥19000平方米的建筑工程BIM业绩的，每项得1分，最高得2分。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color w:val="auto"/>
              </w:rPr>
              <w:t>2</w:t>
            </w:r>
          </w:p>
        </w:tc>
        <w:tc>
          <w:tcPr>
            <w:tcW w:w="2527" w:type="dxa"/>
            <w:gridSpan w:val="2"/>
            <w:tcBorders>
              <w:top w:val="single" w:color="auto" w:sz="4" w:space="0"/>
              <w:left w:val="nil"/>
              <w:bottom w:val="single" w:color="auto" w:sz="4" w:space="0"/>
              <w:right w:val="single" w:color="auto" w:sz="4" w:space="0"/>
            </w:tcBorders>
            <w:vAlign w:val="center"/>
          </w:tcPr>
          <w:p>
            <w:pPr>
              <w:pStyle w:val="19"/>
              <w:spacing w:line="240" w:lineRule="auto"/>
              <w:rPr>
                <w:color w:val="auto"/>
              </w:rPr>
            </w:pPr>
            <w:r>
              <w:rPr>
                <w:rFonts w:hint="eastAsia"/>
                <w:color w:val="auto"/>
              </w:rPr>
              <w:t>企业业绩获奖</w:t>
            </w:r>
            <w:r>
              <w:rPr>
                <w:rStyle w:val="26"/>
                <w:rFonts w:hint="eastAsia"/>
                <w:b w:val="0"/>
                <w:color w:val="auto"/>
                <w:kern w:val="2"/>
              </w:rPr>
              <w:t>（12分）</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企业业绩获奖（12分）</w:t>
            </w:r>
          </w:p>
          <w:p>
            <w:pPr>
              <w:pStyle w:val="19"/>
              <w:rPr>
                <w:color w:val="auto"/>
              </w:rPr>
            </w:pPr>
            <w:r>
              <w:rPr>
                <w:rStyle w:val="26"/>
                <w:rFonts w:hint="eastAsia"/>
                <w:b w:val="0"/>
                <w:color w:val="auto"/>
                <w:kern w:val="2"/>
              </w:rPr>
              <w:t>1、设计获奖（8分）：投标人（若为联合体，指设计方）</w:t>
            </w:r>
          </w:p>
          <w:p>
            <w:pPr>
              <w:pStyle w:val="19"/>
              <w:rPr>
                <w:rStyle w:val="26"/>
                <w:b w:val="0"/>
                <w:color w:val="auto"/>
                <w:kern w:val="2"/>
              </w:rPr>
            </w:pPr>
            <w:r>
              <w:rPr>
                <w:rFonts w:hint="eastAsia"/>
                <w:color w:val="auto"/>
              </w:rPr>
              <w:t>近三年（2021年1月1日至今）</w:t>
            </w:r>
            <w:r>
              <w:rPr>
                <w:rStyle w:val="26"/>
                <w:rFonts w:hint="eastAsia"/>
                <w:b w:val="0"/>
                <w:color w:val="auto"/>
                <w:kern w:val="2"/>
              </w:rPr>
              <w:t>房屋建筑工程设计业绩获奖情况：</w:t>
            </w:r>
            <w:r>
              <w:rPr>
                <w:rStyle w:val="26"/>
                <w:rFonts w:hint="eastAsia"/>
                <w:b w:val="0"/>
                <w:color w:val="auto"/>
                <w:kern w:val="2"/>
              </w:rPr>
              <w:tab/>
            </w:r>
          </w:p>
          <w:p>
            <w:pPr>
              <w:pStyle w:val="19"/>
              <w:rPr>
                <w:rStyle w:val="26"/>
                <w:b w:val="0"/>
                <w:color w:val="auto"/>
              </w:rPr>
            </w:pPr>
            <w:r>
              <w:rPr>
                <w:rStyle w:val="26"/>
                <w:rFonts w:hint="eastAsia"/>
                <w:b w:val="0"/>
                <w:color w:val="auto"/>
              </w:rPr>
              <w:t>（1）获得国家级设计奖项，每项得8分；</w:t>
            </w:r>
          </w:p>
          <w:p>
            <w:pPr>
              <w:pStyle w:val="19"/>
              <w:rPr>
                <w:rStyle w:val="26"/>
                <w:b w:val="0"/>
                <w:color w:val="auto"/>
                <w:kern w:val="2"/>
              </w:rPr>
            </w:pPr>
            <w:r>
              <w:rPr>
                <w:rStyle w:val="26"/>
                <w:rFonts w:hint="eastAsia"/>
                <w:b w:val="0"/>
                <w:color w:val="auto"/>
                <w:kern w:val="2"/>
              </w:rPr>
              <w:t>（2）获得省级设计奖项，每项得2分，本小项最多得8分；</w:t>
            </w:r>
          </w:p>
          <w:p>
            <w:pPr>
              <w:pStyle w:val="19"/>
              <w:rPr>
                <w:rStyle w:val="26"/>
                <w:b w:val="0"/>
                <w:color w:val="auto"/>
                <w:kern w:val="2"/>
              </w:rPr>
            </w:pPr>
            <w:r>
              <w:rPr>
                <w:rStyle w:val="26"/>
                <w:rFonts w:hint="eastAsia"/>
                <w:b w:val="0"/>
                <w:color w:val="auto"/>
                <w:kern w:val="2"/>
              </w:rPr>
              <w:t>（3）获得市级</w:t>
            </w:r>
            <w:r>
              <w:rPr>
                <w:rFonts w:hint="eastAsia"/>
                <w:color w:val="auto"/>
              </w:rPr>
              <w:t>（含副省级）</w:t>
            </w:r>
            <w:r>
              <w:rPr>
                <w:rStyle w:val="26"/>
                <w:rFonts w:hint="eastAsia"/>
                <w:b w:val="0"/>
                <w:color w:val="auto"/>
                <w:kern w:val="2"/>
              </w:rPr>
              <w:t>设计奖项，每项得1分，本小项最多得2分。</w:t>
            </w:r>
          </w:p>
          <w:p>
            <w:pPr>
              <w:pStyle w:val="19"/>
              <w:rPr>
                <w:rStyle w:val="26"/>
                <w:b w:val="0"/>
                <w:color w:val="auto"/>
                <w:kern w:val="2"/>
              </w:rPr>
            </w:pPr>
            <w:r>
              <w:rPr>
                <w:rStyle w:val="26"/>
                <w:rFonts w:hint="eastAsia"/>
                <w:b w:val="0"/>
                <w:color w:val="auto"/>
                <w:kern w:val="2"/>
              </w:rPr>
              <w:t>注：本小项合计最多得8分。</w:t>
            </w:r>
          </w:p>
          <w:p>
            <w:pPr>
              <w:pStyle w:val="19"/>
              <w:rPr>
                <w:color w:val="auto"/>
              </w:rPr>
            </w:pPr>
            <w:r>
              <w:rPr>
                <w:rFonts w:hint="eastAsia"/>
                <w:color w:val="auto"/>
              </w:rPr>
              <w:t>2、勘察获奖</w:t>
            </w:r>
            <w:r>
              <w:rPr>
                <w:rStyle w:val="26"/>
                <w:rFonts w:hint="eastAsia"/>
                <w:b w:val="0"/>
                <w:color w:val="auto"/>
                <w:kern w:val="2"/>
              </w:rPr>
              <w:t>（2分）</w:t>
            </w:r>
            <w:r>
              <w:rPr>
                <w:rFonts w:hint="eastAsia"/>
                <w:color w:val="auto"/>
              </w:rPr>
              <w:t>：投标人（若为联合体，指勘察方）</w:t>
            </w:r>
          </w:p>
          <w:p>
            <w:pPr>
              <w:pStyle w:val="19"/>
              <w:rPr>
                <w:color w:val="auto"/>
              </w:rPr>
            </w:pPr>
            <w:r>
              <w:rPr>
                <w:rFonts w:hint="eastAsia"/>
                <w:color w:val="auto"/>
              </w:rPr>
              <w:t>近三年（2021年1月1日至今）勘察</w:t>
            </w:r>
            <w:r>
              <w:rPr>
                <w:rStyle w:val="26"/>
                <w:rFonts w:hint="eastAsia"/>
                <w:b w:val="0"/>
                <w:color w:val="auto"/>
                <w:kern w:val="2"/>
              </w:rPr>
              <w:t>业绩</w:t>
            </w:r>
            <w:r>
              <w:rPr>
                <w:rFonts w:hint="eastAsia"/>
                <w:color w:val="auto"/>
              </w:rPr>
              <w:t>获奖情况：</w:t>
            </w:r>
          </w:p>
          <w:p>
            <w:pPr>
              <w:pStyle w:val="19"/>
              <w:rPr>
                <w:color w:val="auto"/>
              </w:rPr>
            </w:pPr>
            <w:r>
              <w:rPr>
                <w:rFonts w:hint="eastAsia"/>
                <w:color w:val="auto"/>
              </w:rPr>
              <w:t>（1）获得省级或以上勘察奖，每项得1分,本小项最多得2分；</w:t>
            </w:r>
          </w:p>
          <w:p>
            <w:pPr>
              <w:pStyle w:val="19"/>
              <w:rPr>
                <w:color w:val="auto"/>
              </w:rPr>
            </w:pPr>
            <w:r>
              <w:rPr>
                <w:rFonts w:hint="eastAsia"/>
                <w:color w:val="auto"/>
              </w:rPr>
              <w:t>（2）获市级（含副省级）勘察奖，每项得0.5分,本小项最多得1分；</w:t>
            </w:r>
          </w:p>
          <w:p>
            <w:pPr>
              <w:pStyle w:val="19"/>
              <w:rPr>
                <w:color w:val="auto"/>
              </w:rPr>
            </w:pPr>
            <w:r>
              <w:rPr>
                <w:rStyle w:val="26"/>
                <w:rFonts w:hint="eastAsia"/>
                <w:b w:val="0"/>
                <w:color w:val="auto"/>
                <w:kern w:val="2"/>
              </w:rPr>
              <w:t>注：</w:t>
            </w:r>
            <w:r>
              <w:rPr>
                <w:rFonts w:hint="eastAsia"/>
                <w:color w:val="auto"/>
              </w:rPr>
              <w:t>本小项合计最多得2分。</w:t>
            </w:r>
          </w:p>
          <w:p>
            <w:pPr>
              <w:pStyle w:val="19"/>
              <w:rPr>
                <w:color w:val="auto"/>
              </w:rPr>
            </w:pPr>
            <w:r>
              <w:rPr>
                <w:rFonts w:hint="eastAsia"/>
                <w:color w:val="auto"/>
              </w:rPr>
              <w:t>3、BIM获奖</w:t>
            </w:r>
            <w:r>
              <w:rPr>
                <w:rStyle w:val="26"/>
                <w:rFonts w:hint="eastAsia"/>
                <w:b w:val="0"/>
                <w:color w:val="auto"/>
                <w:kern w:val="2"/>
              </w:rPr>
              <w:t>（2分）</w:t>
            </w:r>
            <w:r>
              <w:rPr>
                <w:rFonts w:hint="eastAsia"/>
                <w:color w:val="auto"/>
              </w:rPr>
              <w:t>投标人（若为联合体，指设计方）：</w:t>
            </w:r>
          </w:p>
          <w:p>
            <w:pPr>
              <w:pStyle w:val="19"/>
              <w:rPr>
                <w:color w:val="auto"/>
              </w:rPr>
            </w:pPr>
            <w:r>
              <w:rPr>
                <w:rFonts w:hint="eastAsia"/>
                <w:color w:val="auto"/>
              </w:rPr>
              <w:t>近三年（2021年1月1日至今）获得的建筑工程类BIM奖项：</w:t>
            </w:r>
          </w:p>
          <w:p>
            <w:pPr>
              <w:pStyle w:val="19"/>
              <w:rPr>
                <w:color w:val="auto"/>
              </w:rPr>
            </w:pPr>
            <w:r>
              <w:rPr>
                <w:rFonts w:hint="eastAsia"/>
                <w:color w:val="auto"/>
              </w:rPr>
              <w:t>（1）承担过的项目获得过省级或以上BIM应用项目奖项，每项得1分，最高得2分；</w:t>
            </w:r>
          </w:p>
          <w:p>
            <w:pPr>
              <w:pStyle w:val="19"/>
              <w:rPr>
                <w:color w:val="auto"/>
              </w:rPr>
            </w:pPr>
            <w:r>
              <w:rPr>
                <w:rFonts w:hint="eastAsia"/>
                <w:color w:val="auto"/>
              </w:rPr>
              <w:t>（2）承担过的项目获得过市级（含副省级）BIM应用项目奖项，每项得0.5分，最高得1分。</w:t>
            </w:r>
          </w:p>
          <w:p>
            <w:pPr>
              <w:pStyle w:val="19"/>
              <w:rPr>
                <w:color w:val="auto"/>
              </w:rPr>
            </w:pPr>
            <w:r>
              <w:rPr>
                <w:rStyle w:val="26"/>
                <w:rFonts w:hint="eastAsia"/>
                <w:b w:val="0"/>
                <w:color w:val="auto"/>
                <w:kern w:val="2"/>
              </w:rPr>
              <w:t>注：</w:t>
            </w:r>
            <w:r>
              <w:rPr>
                <w:rFonts w:hint="eastAsia"/>
                <w:color w:val="auto"/>
              </w:rPr>
              <w:t>本小项最高得</w:t>
            </w:r>
            <w:r>
              <w:rPr>
                <w:rStyle w:val="26"/>
                <w:rFonts w:hint="eastAsia"/>
                <w:b w:val="0"/>
                <w:color w:val="auto"/>
                <w:kern w:val="2"/>
              </w:rPr>
              <w:t>2分</w:t>
            </w:r>
            <w:r>
              <w:rPr>
                <w:rFonts w:hint="eastAsia"/>
                <w:color w:val="auto"/>
              </w:rPr>
              <w:t>。</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vMerge w:val="restart"/>
            <w:tcBorders>
              <w:top w:val="nil"/>
              <w:left w:val="single" w:color="auto" w:sz="4" w:space="0"/>
              <w:bottom w:val="single" w:color="auto" w:sz="4" w:space="0"/>
              <w:right w:val="single" w:color="auto" w:sz="4" w:space="0"/>
            </w:tcBorders>
            <w:vAlign w:val="center"/>
          </w:tcPr>
          <w:p>
            <w:pPr>
              <w:pStyle w:val="19"/>
              <w:rPr>
                <w:color w:val="auto"/>
              </w:rPr>
            </w:pPr>
            <w:r>
              <w:rPr>
                <w:color w:val="auto"/>
              </w:rPr>
              <w:t>3</w:t>
            </w:r>
          </w:p>
        </w:tc>
        <w:tc>
          <w:tcPr>
            <w:tcW w:w="1058" w:type="dxa"/>
            <w:vMerge w:val="restart"/>
            <w:tcBorders>
              <w:top w:val="nil"/>
              <w:left w:val="nil"/>
              <w:bottom w:val="single" w:color="auto" w:sz="4" w:space="0"/>
              <w:right w:val="single" w:color="auto" w:sz="4" w:space="0"/>
            </w:tcBorders>
            <w:vAlign w:val="center"/>
          </w:tcPr>
          <w:p>
            <w:pPr>
              <w:pStyle w:val="19"/>
              <w:spacing w:line="240" w:lineRule="auto"/>
              <w:rPr>
                <w:color w:val="auto"/>
              </w:rPr>
            </w:pPr>
            <w:r>
              <w:rPr>
                <w:rFonts w:hint="eastAsia"/>
                <w:color w:val="auto"/>
              </w:rPr>
              <w:t>人员实力（</w:t>
            </w:r>
            <w:r>
              <w:rPr>
                <w:rStyle w:val="26"/>
                <w:rFonts w:hint="eastAsia"/>
                <w:b w:val="0"/>
                <w:color w:val="auto"/>
                <w:kern w:val="2"/>
              </w:rPr>
              <w:t>12分</w:t>
            </w:r>
            <w:r>
              <w:rPr>
                <w:rFonts w:hint="eastAsia"/>
                <w:color w:val="auto"/>
              </w:rPr>
              <w:t>）</w:t>
            </w:r>
          </w:p>
        </w:tc>
        <w:tc>
          <w:tcPr>
            <w:tcW w:w="1469" w:type="dxa"/>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项目负责人</w:t>
            </w:r>
          </w:p>
          <w:p>
            <w:pPr>
              <w:pStyle w:val="19"/>
              <w:spacing w:line="240" w:lineRule="auto"/>
              <w:rPr>
                <w:color w:val="auto"/>
              </w:rPr>
            </w:pPr>
            <w:r>
              <w:rPr>
                <w:rFonts w:hint="eastAsia"/>
                <w:color w:val="auto"/>
              </w:rPr>
              <w:t>（4分）</w:t>
            </w:r>
          </w:p>
        </w:tc>
        <w:tc>
          <w:tcPr>
            <w:tcW w:w="10016" w:type="dxa"/>
            <w:tcBorders>
              <w:top w:val="single" w:color="auto" w:sz="4" w:space="0"/>
              <w:left w:val="nil"/>
              <w:bottom w:val="single" w:color="auto" w:sz="4" w:space="0"/>
              <w:right w:val="single" w:color="auto" w:sz="4" w:space="0"/>
            </w:tcBorders>
            <w:vAlign w:val="center"/>
          </w:tcPr>
          <w:p>
            <w:pPr>
              <w:pStyle w:val="19"/>
              <w:rPr>
                <w:rStyle w:val="32"/>
                <w:color w:val="auto"/>
                <w:kern w:val="2"/>
              </w:rPr>
            </w:pPr>
            <w:r>
              <w:rPr>
                <w:rFonts w:hint="eastAsia"/>
                <w:color w:val="auto"/>
              </w:rPr>
              <w:t>（1）具有高级工程师或以上技术职称，得2分；其他情况不得分。</w:t>
            </w:r>
          </w:p>
          <w:p>
            <w:pPr>
              <w:pStyle w:val="19"/>
              <w:rPr>
                <w:color w:val="auto"/>
              </w:rPr>
            </w:pPr>
            <w:r>
              <w:rPr>
                <w:rStyle w:val="26"/>
                <w:rFonts w:hint="eastAsia"/>
                <w:b w:val="0"/>
                <w:bCs w:val="0"/>
                <w:color w:val="auto"/>
                <w:kern w:val="1"/>
              </w:rPr>
              <w:t>（2）近三年（</w:t>
            </w:r>
            <w:r>
              <w:rPr>
                <w:rStyle w:val="26"/>
                <w:rFonts w:hint="eastAsia"/>
                <w:b w:val="0"/>
                <w:bCs w:val="0"/>
                <w:color w:val="auto"/>
                <w:kern w:val="2"/>
              </w:rPr>
              <w:t>2021年1月1日至今</w:t>
            </w:r>
            <w:r>
              <w:rPr>
                <w:rStyle w:val="26"/>
                <w:rFonts w:hint="eastAsia"/>
                <w:b w:val="0"/>
                <w:bCs w:val="0"/>
                <w:color w:val="auto"/>
                <w:kern w:val="1"/>
              </w:rPr>
              <w:t>）担任项目负责人或设计负责人并完成过项目总投资</w:t>
            </w:r>
            <w:r>
              <w:rPr>
                <w:rStyle w:val="26"/>
                <w:rFonts w:hint="eastAsia"/>
                <w:b w:val="0"/>
                <w:bCs w:val="0"/>
                <w:color w:val="auto"/>
                <w:kern w:val="2"/>
              </w:rPr>
              <w:t>≥</w:t>
            </w:r>
            <w:r>
              <w:rPr>
                <w:rStyle w:val="26"/>
                <w:rFonts w:hint="eastAsia"/>
                <w:b w:val="0"/>
                <w:bCs w:val="0"/>
                <w:color w:val="auto"/>
                <w:kern w:val="1"/>
              </w:rPr>
              <w:t>9000万元房屋建筑工程设计业绩的，</w:t>
            </w:r>
            <w:r>
              <w:rPr>
                <w:rFonts w:hint="eastAsia"/>
                <w:color w:val="auto"/>
              </w:rPr>
              <w:t>每项得1分,本小项最多得2分；其他情况不得分。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33"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058" w:type="dxa"/>
            <w:vMerge w:val="continue"/>
            <w:tcBorders>
              <w:top w:val="nil"/>
              <w:left w:val="nil"/>
              <w:bottom w:val="single" w:color="auto" w:sz="4" w:space="0"/>
              <w:right w:val="single" w:color="auto" w:sz="4" w:space="0"/>
            </w:tcBorders>
            <w:vAlign w:val="center"/>
          </w:tcPr>
          <w:p>
            <w:pPr>
              <w:rPr>
                <w:rFonts w:ascii="宋体" w:hAnsi="宋体" w:cs="宋体"/>
                <w:szCs w:val="21"/>
              </w:rPr>
            </w:pPr>
          </w:p>
        </w:tc>
        <w:tc>
          <w:tcPr>
            <w:tcW w:w="1469" w:type="dxa"/>
            <w:tcBorders>
              <w:top w:val="single" w:color="auto" w:sz="4" w:space="0"/>
              <w:left w:val="nil"/>
              <w:bottom w:val="single" w:color="auto" w:sz="4" w:space="0"/>
              <w:right w:val="single" w:color="auto" w:sz="4" w:space="0"/>
            </w:tcBorders>
            <w:vAlign w:val="center"/>
          </w:tcPr>
          <w:p>
            <w:pPr>
              <w:pStyle w:val="19"/>
              <w:spacing w:line="240" w:lineRule="auto"/>
              <w:rPr>
                <w:color w:val="auto"/>
              </w:rPr>
            </w:pPr>
            <w:r>
              <w:rPr>
                <w:rFonts w:hint="eastAsia"/>
                <w:color w:val="auto"/>
              </w:rPr>
              <w:t>勘察设计管理班子配备情况（</w:t>
            </w:r>
            <w:r>
              <w:rPr>
                <w:rStyle w:val="26"/>
                <w:rFonts w:hint="eastAsia"/>
                <w:b w:val="0"/>
                <w:color w:val="auto"/>
                <w:kern w:val="2"/>
              </w:rPr>
              <w:t>8分</w:t>
            </w:r>
            <w:r>
              <w:rPr>
                <w:rFonts w:hint="eastAsia"/>
                <w:color w:val="auto"/>
              </w:rPr>
              <w:t xml:space="preserve">） </w:t>
            </w:r>
          </w:p>
        </w:tc>
        <w:tc>
          <w:tcPr>
            <w:tcW w:w="10016"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1.投标人（若为联合体，除勘察专业负责人指勘察方，其余人员指设计方）项目管理机构配备健全，满足投标文件格式六《拟委任的主要人员汇总表》中基本要求的得2分。</w:t>
            </w:r>
          </w:p>
          <w:p>
            <w:pPr>
              <w:rPr>
                <w:rFonts w:ascii="宋体" w:hAnsi="宋体" w:cs="宋体"/>
                <w:szCs w:val="21"/>
              </w:rPr>
            </w:pPr>
            <w:r>
              <w:rPr>
                <w:rFonts w:hint="eastAsia" w:ascii="宋体" w:hAnsi="宋体" w:cs="宋体"/>
                <w:szCs w:val="21"/>
              </w:rPr>
              <w:t>2.在满足招标文件《拟委任的主要人员汇总表》中基本要求的基础上，技术负责人具有高级工程师或以上技术职称得2分；其他情况不得分。</w:t>
            </w:r>
          </w:p>
          <w:p>
            <w:pPr>
              <w:pStyle w:val="19"/>
              <w:rPr>
                <w:color w:val="auto"/>
                <w:kern w:val="2"/>
              </w:rPr>
            </w:pPr>
            <w:r>
              <w:rPr>
                <w:rFonts w:hint="eastAsia"/>
                <w:color w:val="auto"/>
              </w:rPr>
              <w:t>3.在满足招标文件《拟委任的主要人员汇总表》中基本要求的基础上，其他专业负责人（指勘察、建筑、结构、设备、概预算）每有一人具备高级工程师或以上技术职称的，每人加1分，本小项最多加4分。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33" w:type="dxa"/>
            <w:tcBorders>
              <w:top w:val="nil"/>
              <w:left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4</w:t>
            </w:r>
          </w:p>
        </w:tc>
        <w:tc>
          <w:tcPr>
            <w:tcW w:w="2527" w:type="dxa"/>
            <w:gridSpan w:val="2"/>
            <w:tcBorders>
              <w:top w:val="nil"/>
              <w:left w:val="nil"/>
              <w:bottom w:val="single" w:color="auto" w:sz="4" w:space="0"/>
              <w:right w:val="single" w:color="auto" w:sz="4" w:space="0"/>
            </w:tcBorders>
            <w:vAlign w:val="center"/>
          </w:tcPr>
          <w:p>
            <w:pPr>
              <w:pStyle w:val="19"/>
              <w:spacing w:line="240" w:lineRule="auto"/>
              <w:rPr>
                <w:color w:val="auto"/>
              </w:rPr>
            </w:pPr>
            <w:r>
              <w:rPr>
                <w:rFonts w:hint="eastAsia"/>
                <w:color w:val="auto"/>
              </w:rPr>
              <w:t>信誉（</w:t>
            </w:r>
            <w:r>
              <w:rPr>
                <w:rStyle w:val="26"/>
                <w:rFonts w:hint="eastAsia"/>
                <w:b w:val="0"/>
                <w:color w:val="auto"/>
                <w:kern w:val="2"/>
              </w:rPr>
              <w:t>6分</w:t>
            </w:r>
            <w:r>
              <w:rPr>
                <w:rFonts w:hint="eastAsia"/>
                <w:color w:val="auto"/>
              </w:rPr>
              <w:t>）</w:t>
            </w:r>
          </w:p>
        </w:tc>
        <w:tc>
          <w:tcPr>
            <w:tcW w:w="10016" w:type="dxa"/>
            <w:tcBorders>
              <w:top w:val="single" w:color="auto" w:sz="4" w:space="0"/>
              <w:left w:val="nil"/>
              <w:bottom w:val="single" w:color="auto" w:sz="4" w:space="0"/>
              <w:right w:val="single" w:color="auto" w:sz="4" w:space="0"/>
            </w:tcBorders>
            <w:vAlign w:val="center"/>
          </w:tcPr>
          <w:p>
            <w:pPr>
              <w:widowControl/>
              <w:spacing w:line="23" w:lineRule="atLeast"/>
              <w:rPr>
                <w:rFonts w:ascii="宋体" w:hAnsi="宋体" w:cs="宋体"/>
                <w:szCs w:val="21"/>
              </w:rPr>
            </w:pPr>
            <w:r>
              <w:rPr>
                <w:rFonts w:hint="eastAsia" w:ascii="宋体" w:hAnsi="宋体" w:cs="宋体"/>
                <w:szCs w:val="21"/>
              </w:rPr>
              <w:t>1、投标人（若为联合体，指设计方）同时具备ISO系列质量管理体系、环境管理体系和职业健康安全管理体系认证证书的得3分；具备其中两个体系认证证书的得2分；具备其中一个体系认证证书的得1分；没有不得分。</w:t>
            </w:r>
          </w:p>
          <w:p>
            <w:pPr>
              <w:widowControl/>
              <w:spacing w:line="23" w:lineRule="atLeast"/>
              <w:rPr>
                <w:rFonts w:ascii="宋体" w:hAnsi="宋体" w:cs="宋体"/>
                <w:szCs w:val="21"/>
              </w:rPr>
            </w:pPr>
            <w:r>
              <w:rPr>
                <w:rFonts w:hint="eastAsia" w:ascii="宋体" w:hAnsi="宋体" w:cs="宋体"/>
                <w:szCs w:val="21"/>
              </w:rPr>
              <w:t>注：须提交上述证书扫描件并加盖投标单位电子印章，认证证书须在有效期内，不符合上述条件或未提供上述资料的不得分。</w:t>
            </w:r>
          </w:p>
          <w:p>
            <w:pPr>
              <w:widowControl/>
              <w:spacing w:line="23" w:lineRule="atLeast"/>
              <w:rPr>
                <w:rFonts w:ascii="宋体" w:hAnsi="宋体" w:cs="宋体"/>
                <w:szCs w:val="21"/>
              </w:rPr>
            </w:pPr>
            <w:r>
              <w:rPr>
                <w:rFonts w:hint="eastAsia" w:ascii="宋体" w:hAnsi="宋体" w:cs="宋体"/>
                <w:szCs w:val="21"/>
              </w:rPr>
              <w:t>2、</w:t>
            </w:r>
            <w:r>
              <w:rPr>
                <w:rStyle w:val="26"/>
                <w:rFonts w:hint="eastAsia" w:ascii="宋体" w:hAnsi="宋体" w:cs="宋体"/>
                <w:b w:val="0"/>
                <w:szCs w:val="21"/>
              </w:rPr>
              <w:t>投标人</w:t>
            </w:r>
            <w:r>
              <w:rPr>
                <w:rFonts w:hint="eastAsia" w:ascii="宋体" w:hAnsi="宋体" w:cs="宋体"/>
                <w:szCs w:val="21"/>
              </w:rPr>
              <w:t>（若为联合体，指设计方）</w:t>
            </w:r>
            <w:r>
              <w:rPr>
                <w:rStyle w:val="26"/>
                <w:rFonts w:hint="eastAsia" w:ascii="宋体" w:hAnsi="宋体" w:cs="宋体"/>
                <w:b w:val="0"/>
                <w:szCs w:val="21"/>
              </w:rPr>
              <w:t>截止2022(含2022)年度，均连续取得“纳税信用A级纳税人”3年或以上的，得2分；均连续2年的，得1分；均连续1年的，得0.5分；其它不得分。</w:t>
            </w:r>
          </w:p>
          <w:p>
            <w:pPr>
              <w:widowControl/>
              <w:spacing w:line="23" w:lineRule="atLeast"/>
              <w:rPr>
                <w:rStyle w:val="26"/>
                <w:rFonts w:ascii="宋体" w:hAnsi="宋体" w:cs="宋体"/>
                <w:b w:val="0"/>
                <w:szCs w:val="21"/>
              </w:rPr>
            </w:pPr>
            <w:r>
              <w:rPr>
                <w:rStyle w:val="26"/>
                <w:rFonts w:hint="eastAsia" w:ascii="宋体" w:hAnsi="宋体" w:cs="宋体"/>
                <w:b w:val="0"/>
                <w:szCs w:val="21"/>
              </w:rPr>
              <w:t>注：A级纳税人须提供企业纳税信用等级证书清晰扫描件或在“国家税务总局”官网（http://www.chinatax.gov.cn/index.html）（或省级税务局网站）纳税信用信息查询结果网页截图。A级纳税人只计算投标人自身（不计算投标人的分公司和子公司）。</w:t>
            </w:r>
          </w:p>
          <w:p>
            <w:pPr>
              <w:widowControl/>
              <w:spacing w:line="23" w:lineRule="atLeast"/>
              <w:rPr>
                <w:rStyle w:val="26"/>
                <w:rFonts w:ascii="宋体" w:hAnsi="宋体" w:cs="宋体"/>
                <w:b w:val="0"/>
                <w:szCs w:val="21"/>
              </w:rPr>
            </w:pPr>
            <w:r>
              <w:rPr>
                <w:rStyle w:val="26"/>
                <w:rFonts w:hint="eastAsia" w:ascii="宋体" w:hAnsi="宋体" w:cs="宋体"/>
                <w:b w:val="0"/>
                <w:szCs w:val="21"/>
              </w:rPr>
              <w:t>3、投标人</w:t>
            </w:r>
            <w:r>
              <w:rPr>
                <w:rFonts w:hint="eastAsia" w:ascii="宋体" w:hAnsi="宋体" w:cs="宋体"/>
                <w:szCs w:val="21"/>
              </w:rPr>
              <w:t>（若为联合体，指设计方）</w:t>
            </w:r>
            <w:r>
              <w:rPr>
                <w:rStyle w:val="26"/>
                <w:rFonts w:hint="eastAsia" w:ascii="宋体" w:hAnsi="宋体" w:cs="宋体"/>
                <w:b w:val="0"/>
                <w:szCs w:val="21"/>
              </w:rPr>
              <w:t>具有高新技术企业证书（有效期内）的，得1分。无不得分。</w:t>
            </w:r>
          </w:p>
          <w:p>
            <w:pPr>
              <w:widowControl/>
              <w:spacing w:line="23" w:lineRule="atLeast"/>
              <w:rPr>
                <w:rFonts w:ascii="宋体" w:hAnsi="宋体" w:cs="宋体"/>
                <w:szCs w:val="21"/>
              </w:rPr>
            </w:pPr>
            <w:r>
              <w:rPr>
                <w:rStyle w:val="26"/>
                <w:rFonts w:hint="eastAsia" w:ascii="宋体" w:hAnsi="宋体" w:cs="宋体"/>
                <w:b w:val="0"/>
                <w:szCs w:val="21"/>
              </w:rPr>
              <w:t>注：</w:t>
            </w:r>
            <w:r>
              <w:rPr>
                <w:rFonts w:hint="eastAsia" w:ascii="宋体" w:hAnsi="宋体" w:cs="宋体"/>
                <w:szCs w:val="21"/>
              </w:rPr>
              <w:t>须</w:t>
            </w:r>
            <w:r>
              <w:rPr>
                <w:rStyle w:val="26"/>
                <w:rFonts w:hint="eastAsia" w:ascii="宋体" w:hAnsi="宋体" w:cs="宋体"/>
                <w:b w:val="0"/>
                <w:szCs w:val="21"/>
              </w:rPr>
              <w:t>提供证书扫描件并加盖</w:t>
            </w:r>
            <w:r>
              <w:rPr>
                <w:rFonts w:hint="eastAsia" w:ascii="宋体" w:hAnsi="宋体" w:cs="宋体"/>
                <w:szCs w:val="21"/>
              </w:rPr>
              <w:t>投标单位电子印章</w:t>
            </w:r>
            <w:r>
              <w:rPr>
                <w:rStyle w:val="26"/>
                <w:rFonts w:hint="eastAsia" w:ascii="宋体" w:hAnsi="宋体" w:cs="宋体"/>
                <w:b w:val="0"/>
                <w:szCs w:val="21"/>
              </w:rPr>
              <w:t>。</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rStyle w:val="26"/>
                <w:rFonts w:hint="eastAsia"/>
                <w:color w:val="auto"/>
                <w:kern w:val="2"/>
              </w:rPr>
              <w:t>二</w:t>
            </w:r>
          </w:p>
        </w:tc>
        <w:tc>
          <w:tcPr>
            <w:tcW w:w="2527" w:type="dxa"/>
            <w:gridSpan w:val="2"/>
            <w:tcBorders>
              <w:top w:val="single" w:color="auto" w:sz="4" w:space="0"/>
              <w:left w:val="nil"/>
              <w:bottom w:val="single" w:color="auto" w:sz="4" w:space="0"/>
              <w:right w:val="single" w:color="auto" w:sz="4" w:space="0"/>
            </w:tcBorders>
            <w:vAlign w:val="center"/>
          </w:tcPr>
          <w:p>
            <w:pPr>
              <w:pStyle w:val="19"/>
              <w:rPr>
                <w:color w:val="auto"/>
              </w:rPr>
            </w:pPr>
            <w:r>
              <w:rPr>
                <w:rStyle w:val="26"/>
                <w:rFonts w:hint="eastAsia"/>
                <w:color w:val="auto"/>
                <w:kern w:val="2"/>
              </w:rPr>
              <w:t>勘察设计工作方案部分</w:t>
            </w:r>
          </w:p>
          <w:p>
            <w:pPr>
              <w:pStyle w:val="19"/>
              <w:rPr>
                <w:color w:val="auto"/>
              </w:rPr>
            </w:pPr>
            <w:r>
              <w:rPr>
                <w:rStyle w:val="26"/>
                <w:rFonts w:hint="eastAsia"/>
                <w:color w:val="auto"/>
                <w:kern w:val="2"/>
              </w:rPr>
              <w:t>（40分）</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Style w:val="26"/>
                <w:rFonts w:hint="eastAsia"/>
                <w:b w:val="0"/>
                <w:color w:val="auto"/>
                <w:kern w:val="2"/>
              </w:rPr>
              <w:t>1</w:t>
            </w:r>
          </w:p>
        </w:tc>
        <w:tc>
          <w:tcPr>
            <w:tcW w:w="2527" w:type="dxa"/>
            <w:gridSpan w:val="2"/>
            <w:tcBorders>
              <w:top w:val="single" w:color="auto" w:sz="4" w:space="0"/>
              <w:left w:val="nil"/>
              <w:bottom w:val="single" w:color="auto" w:sz="4" w:space="0"/>
              <w:right w:val="single" w:color="auto" w:sz="4" w:space="0"/>
            </w:tcBorders>
            <w:vAlign w:val="center"/>
          </w:tcPr>
          <w:p>
            <w:pPr>
              <w:pStyle w:val="19"/>
              <w:jc w:val="center"/>
              <w:rPr>
                <w:rStyle w:val="26"/>
                <w:color w:val="auto"/>
                <w:kern w:val="2"/>
              </w:rPr>
            </w:pPr>
            <w:r>
              <w:rPr>
                <w:rFonts w:hint="eastAsia"/>
                <w:color w:val="auto"/>
              </w:rPr>
              <w:t>设计重点、难点分析及解决措施（8分）</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r>
              <w:rPr>
                <w:rFonts w:hint="eastAsia"/>
                <w:bCs/>
                <w:color w:val="auto"/>
              </w:rPr>
              <w:t>[好]</w:t>
            </w:r>
            <w:r>
              <w:rPr>
                <w:rFonts w:hint="eastAsia"/>
                <w:color w:val="auto"/>
              </w:rPr>
              <w:t>充分分析</w:t>
            </w:r>
            <w:r>
              <w:rPr>
                <w:rFonts w:hint="eastAsia"/>
                <w:bCs/>
                <w:color w:val="auto"/>
              </w:rPr>
              <w:t>本项目设计</w:t>
            </w:r>
            <w:r>
              <w:rPr>
                <w:rFonts w:hint="eastAsia"/>
                <w:color w:val="auto"/>
              </w:rPr>
              <w:t>的重点、难点，针对本项目设计的重点、难点，提出针对性的解决措施，合理化建议切实可行</w:t>
            </w:r>
            <w:r>
              <w:rPr>
                <w:rFonts w:hint="eastAsia"/>
                <w:bCs/>
                <w:color w:val="auto"/>
              </w:rPr>
              <w:t>（包括对建筑总体的设计方案的优化意见建议和解决措施。）</w:t>
            </w:r>
            <w:r>
              <w:rPr>
                <w:rFonts w:hint="eastAsia"/>
                <w:color w:val="auto"/>
              </w:rPr>
              <w:t>。得</w:t>
            </w:r>
            <w:r>
              <w:rPr>
                <w:color w:val="auto"/>
              </w:rPr>
              <w:t>[</w:t>
            </w:r>
            <w:r>
              <w:rPr>
                <w:rFonts w:hint="eastAsia"/>
                <w:color w:val="auto"/>
              </w:rPr>
              <w:t>8</w:t>
            </w:r>
            <w:r>
              <w:rPr>
                <w:color w:val="auto"/>
              </w:rPr>
              <w:t>,</w:t>
            </w:r>
            <w:r>
              <w:rPr>
                <w:rFonts w:hint="eastAsia"/>
                <w:color w:val="auto"/>
              </w:rPr>
              <w:t>5）分。</w:t>
            </w:r>
          </w:p>
          <w:p>
            <w:pPr>
              <w:pStyle w:val="19"/>
              <w:rPr>
                <w:bCs/>
                <w:color w:val="auto"/>
              </w:rPr>
            </w:pPr>
            <w:r>
              <w:rPr>
                <w:rFonts w:hint="eastAsia"/>
                <w:bCs/>
                <w:color w:val="auto"/>
              </w:rPr>
              <w:t>[中]</w:t>
            </w:r>
            <w:r>
              <w:rPr>
                <w:rFonts w:hint="eastAsia"/>
                <w:color w:val="auto"/>
              </w:rPr>
              <w:t>能较准确的分析</w:t>
            </w:r>
            <w:r>
              <w:rPr>
                <w:rFonts w:hint="eastAsia"/>
                <w:bCs/>
                <w:color w:val="auto"/>
              </w:rPr>
              <w:t>本项目设计</w:t>
            </w:r>
            <w:r>
              <w:rPr>
                <w:rFonts w:hint="eastAsia"/>
                <w:color w:val="auto"/>
              </w:rPr>
              <w:t>的重点、难点，针对本项目设计的重点、难点，提出较具有针对性的解决措施，合理化建议较可行</w:t>
            </w:r>
            <w:r>
              <w:rPr>
                <w:rFonts w:hint="eastAsia"/>
                <w:bCs/>
                <w:color w:val="auto"/>
              </w:rPr>
              <w:t>（包括对建筑总体的设计方案的优化意见建议和解决措施。）</w:t>
            </w:r>
            <w:r>
              <w:rPr>
                <w:rFonts w:hint="eastAsia"/>
                <w:color w:val="auto"/>
              </w:rPr>
              <w:t>。得</w:t>
            </w:r>
            <w:r>
              <w:rPr>
                <w:color w:val="auto"/>
              </w:rPr>
              <w:t>[</w:t>
            </w:r>
            <w:r>
              <w:rPr>
                <w:rFonts w:hint="eastAsia"/>
                <w:color w:val="auto"/>
              </w:rPr>
              <w:t>5</w:t>
            </w:r>
            <w:r>
              <w:rPr>
                <w:color w:val="auto"/>
              </w:rPr>
              <w:t>,</w:t>
            </w:r>
            <w:r>
              <w:rPr>
                <w:rFonts w:hint="eastAsia"/>
                <w:color w:val="auto"/>
              </w:rPr>
              <w:t>3）分。</w:t>
            </w:r>
          </w:p>
          <w:p>
            <w:pPr>
              <w:pStyle w:val="19"/>
              <w:rPr>
                <w:color w:val="auto"/>
              </w:rPr>
            </w:pPr>
            <w:r>
              <w:rPr>
                <w:rFonts w:hint="eastAsia"/>
                <w:bCs/>
                <w:color w:val="auto"/>
              </w:rPr>
              <w:t>[差]有</w:t>
            </w:r>
            <w:r>
              <w:rPr>
                <w:rFonts w:hint="eastAsia"/>
                <w:color w:val="auto"/>
              </w:rPr>
              <w:t>分析</w:t>
            </w:r>
            <w:r>
              <w:rPr>
                <w:rFonts w:hint="eastAsia"/>
                <w:bCs/>
                <w:color w:val="auto"/>
              </w:rPr>
              <w:t>本项目设计</w:t>
            </w:r>
            <w:r>
              <w:rPr>
                <w:rFonts w:hint="eastAsia"/>
                <w:color w:val="auto"/>
              </w:rPr>
              <w:t>的重点、难点，针对本项目设计的重点、难点，提出了解决措施，合理化建议一般。得</w:t>
            </w:r>
            <w:r>
              <w:rPr>
                <w:color w:val="auto"/>
              </w:rPr>
              <w:t>[</w:t>
            </w:r>
            <w:r>
              <w:rPr>
                <w:rFonts w:hint="eastAsia"/>
                <w:color w:val="auto"/>
              </w:rPr>
              <w:t>3</w:t>
            </w:r>
            <w:r>
              <w:rPr>
                <w:color w:val="auto"/>
              </w:rPr>
              <w:t>,</w:t>
            </w:r>
            <w:r>
              <w:rPr>
                <w:rFonts w:hint="eastAsia"/>
                <w:color w:val="auto"/>
              </w:rPr>
              <w:t>0</w:t>
            </w:r>
            <w:r>
              <w:rPr>
                <w:color w:val="auto"/>
              </w:rPr>
              <w:t>]</w:t>
            </w:r>
            <w:r>
              <w:rPr>
                <w:rFonts w:hint="eastAsia"/>
                <w:color w:val="auto"/>
              </w:rPr>
              <w:t>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b w:val="0"/>
                <w:color w:val="auto"/>
                <w:kern w:val="2"/>
              </w:rPr>
            </w:pPr>
            <w:r>
              <w:rPr>
                <w:rStyle w:val="26"/>
                <w:rFonts w:hint="eastAsia"/>
                <w:b w:val="0"/>
                <w:color w:val="auto"/>
                <w:kern w:val="2"/>
              </w:rPr>
              <w:t>2</w:t>
            </w:r>
          </w:p>
        </w:tc>
        <w:tc>
          <w:tcPr>
            <w:tcW w:w="2527" w:type="dxa"/>
            <w:gridSpan w:val="2"/>
            <w:tcBorders>
              <w:top w:val="single" w:color="auto" w:sz="4" w:space="0"/>
              <w:left w:val="nil"/>
              <w:bottom w:val="single" w:color="auto" w:sz="4" w:space="0"/>
              <w:right w:val="single" w:color="auto" w:sz="4" w:space="0"/>
            </w:tcBorders>
            <w:vAlign w:val="center"/>
          </w:tcPr>
          <w:p>
            <w:pPr>
              <w:pStyle w:val="19"/>
              <w:jc w:val="center"/>
              <w:rPr>
                <w:rFonts w:eastAsia="Calibri"/>
                <w:color w:val="auto"/>
                <w:lang w:val="zh-CN"/>
              </w:rPr>
            </w:pPr>
            <w:r>
              <w:rPr>
                <w:rFonts w:hint="eastAsia"/>
                <w:color w:val="auto"/>
              </w:rPr>
              <w:t>与原</w:t>
            </w:r>
            <w:r>
              <w:rPr>
                <w:rFonts w:eastAsia="Calibri"/>
                <w:color w:val="auto"/>
                <w:lang w:val="zh-CN"/>
              </w:rPr>
              <w:t>方案设计的衔接工作</w:t>
            </w:r>
            <w:r>
              <w:rPr>
                <w:rFonts w:hint="eastAsia"/>
                <w:color w:val="auto"/>
              </w:rPr>
              <w:t>方案（4分）</w:t>
            </w:r>
          </w:p>
        </w:tc>
        <w:tc>
          <w:tcPr>
            <w:tcW w:w="10016" w:type="dxa"/>
            <w:tcBorders>
              <w:top w:val="single" w:color="auto" w:sz="4" w:space="0"/>
              <w:left w:val="nil"/>
              <w:bottom w:val="single" w:color="auto" w:sz="4" w:space="0"/>
              <w:right w:val="single" w:color="auto" w:sz="4" w:space="0"/>
            </w:tcBorders>
            <w:vAlign w:val="center"/>
          </w:tcPr>
          <w:p>
            <w:pPr>
              <w:pStyle w:val="19"/>
              <w:spacing w:line="240" w:lineRule="auto"/>
              <w:rPr>
                <w:bCs/>
                <w:color w:val="auto"/>
                <w:kern w:val="2"/>
                <w:lang w:val="zh-CN"/>
              </w:rPr>
            </w:pPr>
            <w:r>
              <w:rPr>
                <w:rFonts w:hint="eastAsia"/>
                <w:bCs/>
                <w:color w:val="auto"/>
                <w:kern w:val="2"/>
                <w:lang w:val="zh-CN"/>
              </w:rPr>
              <w:t>[好]结合对项目的理解，对原设计成果（包括但不限于：建筑</w:t>
            </w:r>
            <w:r>
              <w:rPr>
                <w:rFonts w:hint="eastAsia"/>
                <w:bCs/>
                <w:color w:val="auto"/>
                <w:kern w:val="2"/>
              </w:rPr>
              <w:t>外观</w:t>
            </w:r>
            <w:r>
              <w:rPr>
                <w:rFonts w:hint="eastAsia"/>
                <w:bCs/>
                <w:color w:val="auto"/>
                <w:kern w:val="2"/>
                <w:lang w:val="zh-CN"/>
              </w:rPr>
              <w:t>、</w:t>
            </w:r>
            <w:r>
              <w:rPr>
                <w:rFonts w:hint="eastAsia"/>
                <w:bCs/>
                <w:color w:val="auto"/>
                <w:kern w:val="2"/>
              </w:rPr>
              <w:t>使用功能</w:t>
            </w:r>
            <w:r>
              <w:rPr>
                <w:rFonts w:hint="eastAsia"/>
                <w:bCs/>
                <w:color w:val="auto"/>
                <w:kern w:val="2"/>
                <w:lang w:val="zh-CN"/>
              </w:rPr>
              <w:t>等）</w:t>
            </w:r>
            <w:r>
              <w:rPr>
                <w:rFonts w:hint="eastAsia"/>
                <w:bCs/>
                <w:color w:val="auto"/>
                <w:kern w:val="2"/>
              </w:rPr>
              <w:t>与后续设计工作的衔接，</w:t>
            </w:r>
            <w:r>
              <w:rPr>
                <w:rFonts w:hint="eastAsia"/>
                <w:bCs/>
                <w:color w:val="auto"/>
                <w:kern w:val="2"/>
                <w:lang w:val="zh-CN"/>
              </w:rPr>
              <w:t>提出</w:t>
            </w:r>
            <w:r>
              <w:rPr>
                <w:rFonts w:hint="eastAsia"/>
                <w:bCs/>
                <w:color w:val="auto"/>
                <w:kern w:val="2"/>
              </w:rPr>
              <w:t>了合理的衔接</w:t>
            </w:r>
            <w:r>
              <w:rPr>
                <w:rFonts w:hint="eastAsia"/>
                <w:bCs/>
                <w:color w:val="auto"/>
                <w:kern w:val="2"/>
                <w:lang w:val="zh-CN"/>
              </w:rPr>
              <w:t>思路</w:t>
            </w:r>
            <w:r>
              <w:rPr>
                <w:rFonts w:hint="eastAsia"/>
                <w:bCs/>
                <w:color w:val="auto"/>
                <w:kern w:val="2"/>
              </w:rPr>
              <w:t>及建议</w:t>
            </w:r>
            <w:r>
              <w:rPr>
                <w:rFonts w:hint="eastAsia"/>
                <w:bCs/>
                <w:color w:val="auto"/>
                <w:kern w:val="2"/>
                <w:lang w:val="zh-CN"/>
              </w:rPr>
              <w:t>。得[4,3）分。</w:t>
            </w:r>
          </w:p>
          <w:p>
            <w:pPr>
              <w:pStyle w:val="19"/>
              <w:rPr>
                <w:bCs/>
                <w:color w:val="auto"/>
                <w:kern w:val="2"/>
                <w:lang w:val="zh-CN"/>
              </w:rPr>
            </w:pPr>
            <w:r>
              <w:rPr>
                <w:rFonts w:hint="eastAsia"/>
                <w:bCs/>
                <w:color w:val="auto"/>
                <w:kern w:val="2"/>
                <w:lang w:val="zh-CN"/>
              </w:rPr>
              <w:t>[中]结合对项目的理解，对原设计成果（包括但不限于：建筑</w:t>
            </w:r>
            <w:r>
              <w:rPr>
                <w:rFonts w:hint="eastAsia"/>
                <w:bCs/>
                <w:color w:val="auto"/>
                <w:kern w:val="2"/>
              </w:rPr>
              <w:t>外观</w:t>
            </w:r>
            <w:r>
              <w:rPr>
                <w:rFonts w:hint="eastAsia"/>
                <w:bCs/>
                <w:color w:val="auto"/>
                <w:kern w:val="2"/>
                <w:lang w:val="zh-CN"/>
              </w:rPr>
              <w:t>、</w:t>
            </w:r>
            <w:r>
              <w:rPr>
                <w:rFonts w:hint="eastAsia"/>
                <w:bCs/>
                <w:color w:val="auto"/>
                <w:kern w:val="2"/>
              </w:rPr>
              <w:t>使用功能</w:t>
            </w:r>
            <w:r>
              <w:rPr>
                <w:rFonts w:hint="eastAsia"/>
                <w:bCs/>
                <w:color w:val="auto"/>
                <w:kern w:val="2"/>
                <w:lang w:val="zh-CN"/>
              </w:rPr>
              <w:t>等）</w:t>
            </w:r>
            <w:r>
              <w:rPr>
                <w:rFonts w:hint="eastAsia"/>
                <w:bCs/>
                <w:color w:val="auto"/>
                <w:kern w:val="2"/>
              </w:rPr>
              <w:t>与后续设计工作的衔接，</w:t>
            </w:r>
            <w:r>
              <w:rPr>
                <w:rFonts w:hint="eastAsia"/>
                <w:bCs/>
                <w:color w:val="auto"/>
                <w:kern w:val="2"/>
                <w:lang w:val="zh-CN"/>
              </w:rPr>
              <w:t>提出</w:t>
            </w:r>
            <w:r>
              <w:rPr>
                <w:rFonts w:hint="eastAsia"/>
                <w:bCs/>
                <w:color w:val="auto"/>
                <w:kern w:val="2"/>
              </w:rPr>
              <w:t>了较合理的衔接</w:t>
            </w:r>
            <w:r>
              <w:rPr>
                <w:rFonts w:hint="eastAsia"/>
                <w:bCs/>
                <w:color w:val="auto"/>
                <w:kern w:val="2"/>
                <w:lang w:val="zh-CN"/>
              </w:rPr>
              <w:t>思路</w:t>
            </w:r>
            <w:r>
              <w:rPr>
                <w:rFonts w:hint="eastAsia"/>
                <w:bCs/>
                <w:color w:val="auto"/>
                <w:kern w:val="2"/>
              </w:rPr>
              <w:t>及建议</w:t>
            </w:r>
            <w:r>
              <w:rPr>
                <w:rFonts w:hint="eastAsia"/>
                <w:bCs/>
                <w:color w:val="auto"/>
                <w:kern w:val="2"/>
                <w:lang w:val="zh-CN"/>
              </w:rPr>
              <w:t>。得[3,1）分。</w:t>
            </w:r>
          </w:p>
          <w:p>
            <w:pPr>
              <w:pStyle w:val="19"/>
              <w:rPr>
                <w:bCs/>
                <w:color w:val="auto"/>
                <w:kern w:val="2"/>
                <w:lang w:val="zh-CN"/>
              </w:rPr>
            </w:pPr>
            <w:r>
              <w:rPr>
                <w:rFonts w:hint="eastAsia"/>
                <w:bCs/>
                <w:color w:val="auto"/>
                <w:kern w:val="2"/>
                <w:lang w:val="zh-CN"/>
              </w:rPr>
              <w:t>[差]结合对项目的理解，对原设计成果（包括但不限于：建筑</w:t>
            </w:r>
            <w:r>
              <w:rPr>
                <w:rFonts w:hint="eastAsia"/>
                <w:bCs/>
                <w:color w:val="auto"/>
                <w:kern w:val="2"/>
              </w:rPr>
              <w:t>外观</w:t>
            </w:r>
            <w:r>
              <w:rPr>
                <w:rFonts w:hint="eastAsia"/>
                <w:bCs/>
                <w:color w:val="auto"/>
                <w:kern w:val="2"/>
                <w:lang w:val="zh-CN"/>
              </w:rPr>
              <w:t>、</w:t>
            </w:r>
            <w:r>
              <w:rPr>
                <w:rFonts w:hint="eastAsia"/>
                <w:bCs/>
                <w:color w:val="auto"/>
                <w:kern w:val="2"/>
              </w:rPr>
              <w:t>使用功能</w:t>
            </w:r>
            <w:r>
              <w:rPr>
                <w:rFonts w:hint="eastAsia"/>
                <w:bCs/>
                <w:color w:val="auto"/>
                <w:kern w:val="2"/>
                <w:lang w:val="zh-CN"/>
              </w:rPr>
              <w:t>等）</w:t>
            </w:r>
            <w:r>
              <w:rPr>
                <w:rFonts w:hint="eastAsia"/>
                <w:bCs/>
                <w:color w:val="auto"/>
                <w:kern w:val="2"/>
              </w:rPr>
              <w:t>与后续设计工作的衔接，</w:t>
            </w:r>
            <w:r>
              <w:rPr>
                <w:rFonts w:hint="eastAsia"/>
                <w:bCs/>
                <w:color w:val="auto"/>
                <w:kern w:val="2"/>
                <w:lang w:val="zh-CN"/>
              </w:rPr>
              <w:t>提出</w:t>
            </w:r>
            <w:r>
              <w:rPr>
                <w:rFonts w:hint="eastAsia"/>
                <w:bCs/>
                <w:color w:val="auto"/>
                <w:kern w:val="2"/>
              </w:rPr>
              <w:t>了衔接</w:t>
            </w:r>
            <w:r>
              <w:rPr>
                <w:rFonts w:hint="eastAsia"/>
                <w:bCs/>
                <w:color w:val="auto"/>
                <w:kern w:val="2"/>
                <w:lang w:val="zh-CN"/>
              </w:rPr>
              <w:t>思路</w:t>
            </w:r>
            <w:r>
              <w:rPr>
                <w:rFonts w:hint="eastAsia"/>
                <w:bCs/>
                <w:color w:val="auto"/>
                <w:kern w:val="2"/>
              </w:rPr>
              <w:t>及建议</w:t>
            </w:r>
            <w:r>
              <w:rPr>
                <w:rFonts w:hint="eastAsia"/>
                <w:bCs/>
                <w:color w:val="auto"/>
                <w:kern w:val="2"/>
                <w:lang w:val="zh-CN"/>
              </w:rPr>
              <w:t>。得[1,0]分。</w:t>
            </w:r>
          </w:p>
          <w:p>
            <w:pPr>
              <w:pStyle w:val="19"/>
              <w:rPr>
                <w:bCs/>
                <w:color w:val="auto"/>
                <w:kern w:val="2"/>
                <w:lang w:val="zh-CN"/>
              </w:rPr>
            </w:pPr>
            <w:r>
              <w:rPr>
                <w:rFonts w:hint="eastAsia"/>
                <w:b/>
                <w:bCs/>
                <w:color w:val="auto"/>
                <w:kern w:val="2"/>
                <w:u w:val="single"/>
              </w:rPr>
              <w:t>备注：“</w:t>
            </w:r>
            <w:r>
              <w:rPr>
                <w:rFonts w:hint="eastAsia"/>
                <w:b/>
                <w:bCs/>
                <w:color w:val="auto"/>
                <w:u w:val="single"/>
              </w:rPr>
              <w:t>与原</w:t>
            </w:r>
            <w:r>
              <w:rPr>
                <w:rFonts w:eastAsia="Calibri"/>
                <w:b/>
                <w:bCs/>
                <w:color w:val="auto"/>
                <w:u w:val="single"/>
                <w:lang w:val="zh-CN"/>
              </w:rPr>
              <w:t>方案设计的衔接工作</w:t>
            </w:r>
            <w:r>
              <w:rPr>
                <w:rFonts w:hint="eastAsia"/>
                <w:b/>
                <w:bCs/>
                <w:color w:val="auto"/>
                <w:u w:val="single"/>
              </w:rPr>
              <w:t>方案”需</w:t>
            </w:r>
            <w:r>
              <w:rPr>
                <w:rFonts w:hint="eastAsia"/>
                <w:b/>
                <w:bCs/>
                <w:color w:val="auto"/>
                <w:kern w:val="2"/>
                <w:u w:val="single"/>
              </w:rPr>
              <w:t>文字描述，字数控制在300字以内。</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b w:val="0"/>
                <w:color w:val="auto"/>
                <w:kern w:val="2"/>
              </w:rPr>
            </w:pPr>
            <w:r>
              <w:rPr>
                <w:rStyle w:val="26"/>
                <w:rFonts w:hint="eastAsia"/>
                <w:b w:val="0"/>
                <w:color w:val="auto"/>
                <w:kern w:val="2"/>
              </w:rPr>
              <w:t>3</w:t>
            </w:r>
          </w:p>
        </w:tc>
        <w:tc>
          <w:tcPr>
            <w:tcW w:w="2527" w:type="dxa"/>
            <w:gridSpan w:val="2"/>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质量管理、工作进度及质量保证措施（4分）</w:t>
            </w:r>
          </w:p>
        </w:tc>
        <w:tc>
          <w:tcPr>
            <w:tcW w:w="10016" w:type="dxa"/>
            <w:tcBorders>
              <w:top w:val="single" w:color="auto" w:sz="4" w:space="0"/>
              <w:left w:val="nil"/>
              <w:bottom w:val="single" w:color="auto" w:sz="4" w:space="0"/>
              <w:right w:val="single" w:color="auto" w:sz="4" w:space="0"/>
            </w:tcBorders>
            <w:vAlign w:val="center"/>
          </w:tcPr>
          <w:p>
            <w:pPr>
              <w:pStyle w:val="2"/>
              <w:ind w:firstLine="0" w:firstLineChars="0"/>
              <w:rPr>
                <w:rFonts w:ascii="宋体" w:hAnsi="宋体" w:cs="宋体"/>
                <w:sz w:val="21"/>
                <w:szCs w:val="21"/>
                <w:lang w:eastAsia="zh-CN"/>
              </w:rPr>
            </w:pPr>
            <w:r>
              <w:rPr>
                <w:rFonts w:ascii="宋体" w:hAnsi="宋体" w:cs="宋体"/>
                <w:sz w:val="21"/>
                <w:szCs w:val="21"/>
                <w:lang w:val="zh-CN" w:eastAsia="zh-CN"/>
              </w:rPr>
              <w:t>[</w:t>
            </w:r>
            <w:r>
              <w:rPr>
                <w:rFonts w:hint="eastAsia" w:ascii="宋体" w:hAnsi="宋体" w:cs="宋体"/>
                <w:sz w:val="21"/>
                <w:szCs w:val="21"/>
                <w:lang w:eastAsia="zh-CN"/>
              </w:rPr>
              <w:t>好</w:t>
            </w:r>
            <w:r>
              <w:rPr>
                <w:rFonts w:ascii="宋体" w:hAnsi="宋体" w:cs="宋体"/>
                <w:sz w:val="21"/>
                <w:szCs w:val="21"/>
                <w:lang w:val="zh-CN" w:eastAsia="zh-CN"/>
              </w:rPr>
              <w:t>]勘察设计质量管理体系完善，针对本项目特点，从如何避免自身原因引起的错漏碰、如何减少勘察设计变更控制投资等方面，提出切实可行的</w:t>
            </w:r>
            <w:r>
              <w:rPr>
                <w:rFonts w:hint="eastAsia" w:ascii="宋体" w:hAnsi="宋体" w:cs="宋体"/>
                <w:sz w:val="21"/>
                <w:szCs w:val="21"/>
                <w:lang w:eastAsia="zh-CN"/>
              </w:rPr>
              <w:t>进度保证措施、</w:t>
            </w:r>
            <w:r>
              <w:rPr>
                <w:rFonts w:ascii="宋体" w:hAnsi="宋体" w:cs="宋体"/>
                <w:sz w:val="21"/>
                <w:szCs w:val="21"/>
                <w:lang w:val="zh-CN" w:eastAsia="zh-CN"/>
              </w:rPr>
              <w:t>勘察设计质量管理及质量保证措施，确保</w:t>
            </w:r>
            <w:r>
              <w:rPr>
                <w:rFonts w:hint="eastAsia" w:ascii="宋体" w:hAnsi="宋体" w:cs="宋体"/>
                <w:sz w:val="21"/>
                <w:szCs w:val="21"/>
                <w:lang w:eastAsia="zh-CN"/>
              </w:rPr>
              <w:t>按进度</w:t>
            </w:r>
            <w:r>
              <w:rPr>
                <w:rFonts w:ascii="宋体" w:hAnsi="宋体" w:cs="宋体"/>
                <w:sz w:val="21"/>
                <w:szCs w:val="21"/>
                <w:lang w:val="zh-CN" w:eastAsia="zh-CN"/>
              </w:rPr>
              <w:t>实现勘察设计工作的质量目标</w:t>
            </w:r>
            <w:r>
              <w:rPr>
                <w:rFonts w:hint="eastAsia" w:ascii="宋体" w:hAnsi="宋体" w:cs="宋体"/>
                <w:sz w:val="21"/>
                <w:szCs w:val="21"/>
                <w:lang w:eastAsia="zh-CN"/>
              </w:rPr>
              <w:t>。</w:t>
            </w:r>
            <w:r>
              <w:rPr>
                <w:rFonts w:hint="eastAsia" w:ascii="宋体" w:hAnsi="宋体" w:eastAsia="宋体" w:cs="宋体"/>
                <w:bCs/>
                <w:kern w:val="2"/>
                <w:sz w:val="21"/>
                <w:szCs w:val="21"/>
                <w:lang w:val="zh-CN" w:eastAsia="zh-CN"/>
              </w:rPr>
              <w:t>得[4,3）分。</w:t>
            </w:r>
          </w:p>
          <w:p>
            <w:pPr>
              <w:pStyle w:val="2"/>
              <w:ind w:firstLine="0" w:firstLineChars="0"/>
              <w:rPr>
                <w:rFonts w:ascii="宋体" w:hAnsi="宋体" w:cs="宋体"/>
                <w:sz w:val="21"/>
                <w:szCs w:val="21"/>
                <w:lang w:eastAsia="zh-CN"/>
              </w:rPr>
            </w:pPr>
            <w:r>
              <w:rPr>
                <w:rFonts w:ascii="宋体" w:hAnsi="宋体" w:cs="宋体"/>
                <w:sz w:val="21"/>
                <w:szCs w:val="21"/>
                <w:lang w:val="zh-CN" w:eastAsia="zh-CN"/>
              </w:rPr>
              <w:t>[</w:t>
            </w:r>
            <w:r>
              <w:rPr>
                <w:rFonts w:hint="eastAsia" w:ascii="宋体" w:hAnsi="宋体" w:cs="宋体"/>
                <w:sz w:val="21"/>
                <w:szCs w:val="21"/>
                <w:lang w:eastAsia="zh-CN"/>
              </w:rPr>
              <w:t>中</w:t>
            </w:r>
            <w:r>
              <w:rPr>
                <w:rFonts w:ascii="宋体" w:hAnsi="宋体" w:cs="宋体"/>
                <w:sz w:val="21"/>
                <w:szCs w:val="21"/>
                <w:lang w:val="zh-CN" w:eastAsia="zh-CN"/>
              </w:rPr>
              <w:t>]勘察设计质量管理体系</w:t>
            </w:r>
            <w:r>
              <w:rPr>
                <w:rFonts w:hint="eastAsia" w:ascii="宋体" w:hAnsi="宋体" w:cs="宋体"/>
                <w:sz w:val="21"/>
                <w:szCs w:val="21"/>
                <w:lang w:eastAsia="zh-CN"/>
              </w:rPr>
              <w:t>较</w:t>
            </w:r>
            <w:r>
              <w:rPr>
                <w:rFonts w:hint="eastAsia" w:ascii="宋体" w:hAnsi="宋体" w:cs="宋体"/>
                <w:sz w:val="21"/>
                <w:szCs w:val="21"/>
                <w:lang w:val="zh-CN" w:eastAsia="zh-CN"/>
              </w:rPr>
              <w:t>完善，针对本项目特点，从如何避免自身原因引起的错漏碰、如何减少勘察设计变更控制投资等方面，提出</w:t>
            </w:r>
            <w:r>
              <w:rPr>
                <w:rFonts w:hint="eastAsia" w:ascii="宋体" w:hAnsi="宋体" w:cs="宋体"/>
                <w:sz w:val="21"/>
                <w:szCs w:val="21"/>
                <w:lang w:eastAsia="zh-CN"/>
              </w:rPr>
              <w:t>较</w:t>
            </w:r>
            <w:r>
              <w:rPr>
                <w:rFonts w:hint="eastAsia" w:ascii="宋体" w:hAnsi="宋体" w:cs="宋体"/>
                <w:sz w:val="21"/>
                <w:szCs w:val="21"/>
                <w:lang w:val="zh-CN" w:eastAsia="zh-CN"/>
              </w:rPr>
              <w:t>可行的</w:t>
            </w:r>
            <w:r>
              <w:rPr>
                <w:rFonts w:hint="eastAsia" w:ascii="宋体" w:hAnsi="宋体" w:cs="宋体"/>
                <w:sz w:val="21"/>
                <w:szCs w:val="21"/>
                <w:lang w:eastAsia="zh-CN"/>
              </w:rPr>
              <w:t>进度保证措施、</w:t>
            </w:r>
            <w:r>
              <w:rPr>
                <w:rFonts w:hint="eastAsia" w:ascii="宋体" w:hAnsi="宋体" w:cs="宋体"/>
                <w:sz w:val="21"/>
                <w:szCs w:val="21"/>
                <w:lang w:val="zh-CN" w:eastAsia="zh-CN"/>
              </w:rPr>
              <w:t>勘察设计质量管理及质量保证措施，</w:t>
            </w:r>
            <w:r>
              <w:rPr>
                <w:rFonts w:hint="eastAsia" w:ascii="宋体" w:hAnsi="宋体" w:cs="宋体"/>
                <w:sz w:val="21"/>
                <w:szCs w:val="21"/>
                <w:lang w:eastAsia="zh-CN"/>
              </w:rPr>
              <w:t>基本能按进度</w:t>
            </w:r>
            <w:r>
              <w:rPr>
                <w:rFonts w:hint="eastAsia" w:ascii="宋体" w:hAnsi="宋体" w:cs="宋体"/>
                <w:sz w:val="21"/>
                <w:szCs w:val="21"/>
                <w:lang w:val="zh-CN" w:eastAsia="zh-CN"/>
              </w:rPr>
              <w:t>实现勘察设计工作的质量目标</w:t>
            </w:r>
            <w:r>
              <w:rPr>
                <w:rFonts w:hint="eastAsia" w:ascii="宋体" w:hAnsi="宋体" w:cs="宋体"/>
                <w:sz w:val="21"/>
                <w:szCs w:val="21"/>
                <w:lang w:eastAsia="zh-CN"/>
              </w:rPr>
              <w:t>。</w:t>
            </w:r>
            <w:r>
              <w:rPr>
                <w:rFonts w:hint="eastAsia" w:ascii="宋体" w:hAnsi="宋体" w:eastAsia="宋体" w:cs="宋体"/>
                <w:bCs/>
                <w:kern w:val="2"/>
                <w:sz w:val="21"/>
                <w:szCs w:val="21"/>
                <w:lang w:val="zh-CN" w:eastAsia="zh-CN"/>
              </w:rPr>
              <w:t>得[3,1）分。</w:t>
            </w:r>
          </w:p>
          <w:p>
            <w:pPr>
              <w:pStyle w:val="19"/>
              <w:rPr>
                <w:bCs/>
                <w:color w:val="auto"/>
              </w:rPr>
            </w:pPr>
            <w:r>
              <w:rPr>
                <w:rFonts w:hint="eastAsia"/>
                <w:color w:val="auto"/>
              </w:rPr>
              <w:t>[差]</w:t>
            </w:r>
            <w:r>
              <w:rPr>
                <w:rFonts w:hint="eastAsia"/>
                <w:color w:val="auto"/>
                <w:lang w:val="zh-CN"/>
              </w:rPr>
              <w:t>勘察设计质量管理体系</w:t>
            </w:r>
            <w:r>
              <w:rPr>
                <w:rFonts w:hint="eastAsia"/>
                <w:color w:val="auto"/>
              </w:rPr>
              <w:t>较一般</w:t>
            </w:r>
            <w:r>
              <w:rPr>
                <w:rFonts w:hint="eastAsia"/>
                <w:color w:val="auto"/>
                <w:lang w:val="zh-CN"/>
              </w:rPr>
              <w:t>，针对本项目特点，从如何避免自身原因引起的错漏碰、如何减少勘察设计变更控制投资等方面，提出</w:t>
            </w:r>
            <w:r>
              <w:rPr>
                <w:rFonts w:hint="eastAsia"/>
                <w:color w:val="auto"/>
              </w:rPr>
              <w:t>了</w:t>
            </w:r>
            <w:r>
              <w:rPr>
                <w:rFonts w:hint="eastAsia"/>
                <w:color w:val="auto"/>
                <w:kern w:val="2"/>
              </w:rPr>
              <w:t>进度保证措施、</w:t>
            </w:r>
            <w:r>
              <w:rPr>
                <w:rFonts w:hint="eastAsia"/>
                <w:color w:val="auto"/>
                <w:lang w:val="zh-CN"/>
              </w:rPr>
              <w:t>勘察设计质量管理及质量保证措施</w:t>
            </w:r>
            <w:r>
              <w:rPr>
                <w:rFonts w:hint="eastAsia"/>
                <w:color w:val="auto"/>
              </w:rPr>
              <w:t>。</w:t>
            </w:r>
            <w:r>
              <w:rPr>
                <w:rFonts w:hint="eastAsia"/>
                <w:bCs/>
                <w:color w:val="auto"/>
                <w:kern w:val="2"/>
                <w:lang w:val="zh-CN"/>
              </w:rPr>
              <w:t>得[1,0]分。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Fonts w:hint="eastAsia"/>
                <w:color w:val="auto"/>
              </w:rPr>
              <w:t>4</w:t>
            </w:r>
          </w:p>
        </w:tc>
        <w:tc>
          <w:tcPr>
            <w:tcW w:w="2527" w:type="dxa"/>
            <w:gridSpan w:val="2"/>
            <w:tcBorders>
              <w:top w:val="single" w:color="auto" w:sz="4" w:space="0"/>
              <w:left w:val="nil"/>
              <w:bottom w:val="single" w:color="auto" w:sz="4" w:space="0"/>
              <w:right w:val="single" w:color="auto" w:sz="4" w:space="0"/>
            </w:tcBorders>
            <w:vAlign w:val="center"/>
          </w:tcPr>
          <w:p>
            <w:pPr>
              <w:pStyle w:val="2"/>
              <w:rPr>
                <w:rStyle w:val="26"/>
                <w:kern w:val="2"/>
              </w:rPr>
            </w:pPr>
            <w:r>
              <w:rPr>
                <w:rFonts w:hint="eastAsia" w:ascii="宋体" w:hAnsi="宋体" w:eastAsia="宋体" w:cs="宋体"/>
                <w:bCs/>
                <w:sz w:val="21"/>
                <w:szCs w:val="21"/>
              </w:rPr>
              <w:t>造价控制措施</w:t>
            </w:r>
            <w:r>
              <w:rPr>
                <w:rFonts w:hint="eastAsia"/>
              </w:rPr>
              <w:t>（</w:t>
            </w:r>
            <w:r>
              <w:rPr>
                <w:rFonts w:hint="eastAsia"/>
                <w:lang w:eastAsia="zh-CN"/>
              </w:rPr>
              <w:t>4</w:t>
            </w:r>
            <w:r>
              <w:rPr>
                <w:rFonts w:hint="eastAsia"/>
              </w:rPr>
              <w:t>分）</w:t>
            </w:r>
          </w:p>
        </w:tc>
        <w:tc>
          <w:tcPr>
            <w:tcW w:w="10016" w:type="dxa"/>
            <w:tcBorders>
              <w:top w:val="single" w:color="auto" w:sz="4" w:space="0"/>
              <w:left w:val="nil"/>
              <w:bottom w:val="single" w:color="auto" w:sz="4" w:space="0"/>
              <w:right w:val="single" w:color="auto" w:sz="4" w:space="0"/>
            </w:tcBorders>
            <w:vAlign w:val="center"/>
          </w:tcPr>
          <w:p>
            <w:pPr>
              <w:pStyle w:val="2"/>
              <w:ind w:firstLine="0" w:firstLineChars="0"/>
              <w:rPr>
                <w:rFonts w:ascii="宋体" w:hAnsi="宋体" w:eastAsia="宋体" w:cs="宋体"/>
                <w:kern w:val="2"/>
                <w:sz w:val="21"/>
                <w:szCs w:val="21"/>
                <w:lang w:eastAsia="zh-CN"/>
              </w:rPr>
            </w:pPr>
            <w:r>
              <w:rPr>
                <w:rFonts w:ascii="宋体" w:hAnsi="宋体" w:eastAsia="宋体" w:cs="宋体"/>
                <w:kern w:val="2"/>
                <w:sz w:val="21"/>
                <w:szCs w:val="21"/>
                <w:lang w:val="zh-CN" w:eastAsia="zh-CN"/>
              </w:rPr>
              <w:t>[</w:t>
            </w:r>
            <w:r>
              <w:rPr>
                <w:rFonts w:hint="eastAsia" w:ascii="宋体" w:hAnsi="宋体" w:eastAsia="宋体" w:cs="宋体"/>
                <w:kern w:val="2"/>
                <w:sz w:val="21"/>
                <w:szCs w:val="21"/>
                <w:lang w:eastAsia="zh-CN"/>
              </w:rPr>
              <w:t>好</w:t>
            </w:r>
            <w:r>
              <w:rPr>
                <w:rFonts w:ascii="宋体" w:hAnsi="宋体" w:eastAsia="宋体" w:cs="宋体"/>
                <w:kern w:val="2"/>
                <w:sz w:val="21"/>
                <w:szCs w:val="21"/>
                <w:lang w:val="zh-CN" w:eastAsia="zh-CN"/>
              </w:rPr>
              <w:t>]根据本招标项目的建设要求及实际情况，提出造价控制措施，控制措施合理、可实施性高</w:t>
            </w:r>
            <w:r>
              <w:rPr>
                <w:rFonts w:hint="eastAsia" w:ascii="宋体" w:hAnsi="宋体" w:eastAsia="宋体" w:cs="宋体"/>
                <w:kern w:val="2"/>
                <w:sz w:val="21"/>
                <w:szCs w:val="21"/>
                <w:lang w:eastAsia="zh-CN"/>
              </w:rPr>
              <w:t>。</w:t>
            </w:r>
            <w:r>
              <w:rPr>
                <w:rFonts w:hint="eastAsia" w:ascii="宋体" w:hAnsi="宋体" w:eastAsia="宋体" w:cs="宋体"/>
                <w:bCs/>
                <w:kern w:val="2"/>
                <w:sz w:val="21"/>
                <w:szCs w:val="21"/>
                <w:lang w:val="zh-CN" w:eastAsia="zh-CN"/>
              </w:rPr>
              <w:t>得[4,3）分。</w:t>
            </w:r>
            <w:r>
              <w:rPr>
                <w:rFonts w:ascii="宋体" w:hAnsi="宋体" w:eastAsia="宋体" w:cs="宋体"/>
                <w:kern w:val="2"/>
                <w:sz w:val="21"/>
                <w:szCs w:val="21"/>
                <w:lang w:val="zh-CN" w:eastAsia="zh-CN"/>
              </w:rPr>
              <w:t>[</w:t>
            </w:r>
            <w:r>
              <w:rPr>
                <w:rFonts w:hint="eastAsia" w:ascii="宋体" w:hAnsi="宋体" w:eastAsia="宋体" w:cs="宋体"/>
                <w:kern w:val="2"/>
                <w:sz w:val="21"/>
                <w:szCs w:val="21"/>
                <w:lang w:eastAsia="zh-CN"/>
              </w:rPr>
              <w:t>中</w:t>
            </w:r>
            <w:r>
              <w:rPr>
                <w:rFonts w:ascii="宋体" w:hAnsi="宋体" w:eastAsia="宋体" w:cs="宋体"/>
                <w:kern w:val="2"/>
                <w:sz w:val="21"/>
                <w:szCs w:val="21"/>
                <w:lang w:val="zh-CN" w:eastAsia="zh-CN"/>
              </w:rPr>
              <w:t>]</w:t>
            </w:r>
            <w:r>
              <w:rPr>
                <w:rFonts w:hint="eastAsia" w:ascii="宋体" w:hAnsi="宋体" w:eastAsia="宋体" w:cs="宋体"/>
                <w:kern w:val="2"/>
                <w:sz w:val="21"/>
                <w:szCs w:val="21"/>
                <w:lang w:val="zh-CN" w:eastAsia="zh-CN"/>
              </w:rPr>
              <w:t>根据本招标项目的建设要求及实际情况，提出造价控制措施，控制措施</w:t>
            </w:r>
            <w:r>
              <w:rPr>
                <w:rFonts w:hint="eastAsia" w:ascii="宋体" w:hAnsi="宋体" w:eastAsia="宋体" w:cs="宋体"/>
                <w:kern w:val="2"/>
                <w:sz w:val="21"/>
                <w:szCs w:val="21"/>
                <w:lang w:eastAsia="zh-CN"/>
              </w:rPr>
              <w:t>较</w:t>
            </w:r>
            <w:r>
              <w:rPr>
                <w:rFonts w:hint="eastAsia" w:ascii="宋体" w:hAnsi="宋体" w:eastAsia="宋体" w:cs="宋体"/>
                <w:kern w:val="2"/>
                <w:sz w:val="21"/>
                <w:szCs w:val="21"/>
                <w:lang w:val="zh-CN" w:eastAsia="zh-CN"/>
              </w:rPr>
              <w:t>合理、可实施性</w:t>
            </w:r>
            <w:r>
              <w:rPr>
                <w:rFonts w:hint="eastAsia" w:ascii="宋体" w:hAnsi="宋体" w:eastAsia="宋体" w:cs="宋体"/>
                <w:kern w:val="2"/>
                <w:sz w:val="21"/>
                <w:szCs w:val="21"/>
                <w:lang w:eastAsia="zh-CN"/>
              </w:rPr>
              <w:t>较</w:t>
            </w:r>
            <w:r>
              <w:rPr>
                <w:rFonts w:hint="eastAsia" w:ascii="宋体" w:hAnsi="宋体" w:eastAsia="宋体" w:cs="宋体"/>
                <w:kern w:val="2"/>
                <w:sz w:val="21"/>
                <w:szCs w:val="21"/>
                <w:lang w:val="zh-CN" w:eastAsia="zh-CN"/>
              </w:rPr>
              <w:t>高</w:t>
            </w:r>
            <w:r>
              <w:rPr>
                <w:rFonts w:hint="eastAsia" w:ascii="宋体" w:hAnsi="宋体" w:eastAsia="宋体" w:cs="宋体"/>
                <w:kern w:val="2"/>
                <w:sz w:val="21"/>
                <w:szCs w:val="21"/>
                <w:lang w:eastAsia="zh-CN"/>
              </w:rPr>
              <w:t>。</w:t>
            </w:r>
            <w:r>
              <w:rPr>
                <w:rFonts w:hint="eastAsia" w:ascii="宋体" w:hAnsi="宋体" w:eastAsia="宋体" w:cs="宋体"/>
                <w:bCs/>
                <w:kern w:val="2"/>
                <w:sz w:val="21"/>
                <w:szCs w:val="21"/>
                <w:lang w:val="zh-CN" w:eastAsia="zh-CN"/>
              </w:rPr>
              <w:t>得[3,1）分。</w:t>
            </w:r>
          </w:p>
          <w:p>
            <w:pPr>
              <w:pStyle w:val="2"/>
              <w:ind w:firstLine="0" w:firstLineChars="0"/>
            </w:pPr>
            <w:r>
              <w:rPr>
                <w:rFonts w:ascii="宋体" w:hAnsi="宋体" w:eastAsia="宋体" w:cs="宋体"/>
                <w:kern w:val="2"/>
                <w:sz w:val="21"/>
                <w:szCs w:val="21"/>
                <w:lang w:eastAsia="zh-CN"/>
              </w:rPr>
              <w:t>[差]</w:t>
            </w:r>
            <w:r>
              <w:rPr>
                <w:rFonts w:hint="eastAsia" w:ascii="宋体" w:hAnsi="宋体" w:eastAsia="宋体" w:cs="宋体"/>
                <w:kern w:val="2"/>
                <w:sz w:val="21"/>
                <w:szCs w:val="21"/>
                <w:lang w:val="zh-CN" w:eastAsia="zh-CN"/>
              </w:rPr>
              <w:t>根据本招标项目的建设要求及实际情况，提出造价控制措施</w:t>
            </w:r>
            <w:r>
              <w:rPr>
                <w:rFonts w:hint="eastAsia" w:ascii="宋体" w:hAnsi="宋体" w:eastAsia="宋体" w:cs="宋体"/>
                <w:kern w:val="2"/>
                <w:sz w:val="21"/>
                <w:szCs w:val="21"/>
                <w:lang w:eastAsia="zh-CN"/>
              </w:rPr>
              <w:t>。</w:t>
            </w:r>
            <w:r>
              <w:rPr>
                <w:rFonts w:hint="eastAsia" w:ascii="宋体" w:hAnsi="宋体" w:eastAsia="宋体" w:cs="宋体"/>
                <w:bCs/>
                <w:kern w:val="2"/>
                <w:sz w:val="21"/>
                <w:szCs w:val="21"/>
                <w:lang w:val="zh-CN"/>
              </w:rPr>
              <w:t>得[</w:t>
            </w:r>
            <w:r>
              <w:rPr>
                <w:rFonts w:hint="eastAsia" w:ascii="宋体" w:hAnsi="宋体" w:eastAsia="宋体" w:cs="宋体"/>
                <w:bCs/>
                <w:kern w:val="2"/>
                <w:sz w:val="21"/>
                <w:szCs w:val="21"/>
                <w:lang w:val="zh-CN" w:eastAsia="zh-CN"/>
              </w:rPr>
              <w:t>1</w:t>
            </w:r>
            <w:r>
              <w:rPr>
                <w:rFonts w:hint="eastAsia" w:ascii="宋体" w:hAnsi="宋体" w:eastAsia="宋体" w:cs="宋体"/>
                <w:bCs/>
                <w:kern w:val="2"/>
                <w:sz w:val="21"/>
                <w:szCs w:val="21"/>
                <w:lang w:val="zh-CN"/>
              </w:rPr>
              <w:t>,</w:t>
            </w:r>
            <w:r>
              <w:rPr>
                <w:rFonts w:hint="eastAsia" w:ascii="宋体" w:hAnsi="宋体" w:eastAsia="宋体" w:cs="宋体"/>
                <w:bCs/>
                <w:kern w:val="2"/>
                <w:sz w:val="21"/>
                <w:szCs w:val="21"/>
                <w:lang w:val="zh-CN" w:eastAsia="zh-CN"/>
              </w:rPr>
              <w:t>0</w:t>
            </w:r>
            <w:r>
              <w:rPr>
                <w:rFonts w:hint="eastAsia" w:ascii="宋体" w:hAnsi="宋体" w:eastAsia="宋体" w:cs="宋体"/>
                <w:bCs/>
                <w:kern w:val="2"/>
                <w:sz w:val="21"/>
                <w:szCs w:val="21"/>
                <w:lang w:val="zh-CN"/>
              </w:rPr>
              <w:t>]分。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Fonts w:hint="eastAsia"/>
                <w:color w:val="auto"/>
              </w:rPr>
              <w:t>5</w:t>
            </w:r>
          </w:p>
        </w:tc>
        <w:tc>
          <w:tcPr>
            <w:tcW w:w="2527" w:type="dxa"/>
            <w:gridSpan w:val="2"/>
            <w:tcBorders>
              <w:top w:val="single" w:color="auto" w:sz="4" w:space="0"/>
              <w:left w:val="nil"/>
              <w:bottom w:val="single" w:color="auto" w:sz="4" w:space="0"/>
              <w:right w:val="single" w:color="auto" w:sz="4" w:space="0"/>
            </w:tcBorders>
            <w:vAlign w:val="center"/>
          </w:tcPr>
          <w:p>
            <w:pPr>
              <w:pStyle w:val="2"/>
              <w:ind w:firstLine="0" w:firstLineChars="0"/>
              <w:jc w:val="center"/>
              <w:rPr>
                <w:rFonts w:ascii="宋体" w:hAnsi="宋体" w:eastAsia="宋体" w:cs="宋体"/>
                <w:bCs/>
                <w:sz w:val="21"/>
                <w:szCs w:val="21"/>
                <w:lang w:eastAsia="zh-CN"/>
              </w:rPr>
            </w:pPr>
            <w:r>
              <w:rPr>
                <w:rFonts w:hint="eastAsia" w:ascii="宋体" w:hAnsi="宋体" w:eastAsia="宋体" w:cs="宋体"/>
                <w:bCs/>
                <w:sz w:val="21"/>
                <w:szCs w:val="21"/>
                <w:lang w:eastAsia="zh-CN"/>
              </w:rPr>
              <w:t>装配式设计工作方案</w:t>
            </w:r>
          </w:p>
          <w:p>
            <w:pPr>
              <w:pStyle w:val="2"/>
              <w:ind w:firstLine="0" w:firstLineChars="0"/>
              <w:jc w:val="center"/>
              <w:rPr>
                <w:rStyle w:val="26"/>
                <w:kern w:val="2"/>
                <w:lang w:eastAsia="zh-CN"/>
              </w:rPr>
            </w:pPr>
            <w:r>
              <w:rPr>
                <w:rFonts w:hint="eastAsia" w:ascii="宋体" w:hAnsi="宋体" w:eastAsia="宋体" w:cs="宋体"/>
                <w:bCs/>
                <w:sz w:val="21"/>
                <w:szCs w:val="21"/>
                <w:lang w:eastAsia="zh-CN"/>
              </w:rPr>
              <w:t>（8分）</w:t>
            </w:r>
          </w:p>
        </w:tc>
        <w:tc>
          <w:tcPr>
            <w:tcW w:w="10016" w:type="dxa"/>
            <w:tcBorders>
              <w:top w:val="single" w:color="auto" w:sz="4" w:space="0"/>
              <w:left w:val="nil"/>
              <w:bottom w:val="single" w:color="auto" w:sz="4" w:space="0"/>
              <w:right w:val="single" w:color="auto" w:sz="4" w:space="0"/>
            </w:tcBorders>
            <w:vAlign w:val="center"/>
          </w:tcPr>
          <w:p>
            <w:pPr>
              <w:pStyle w:val="2"/>
              <w:ind w:firstLine="0" w:firstLineChars="0"/>
              <w:jc w:val="both"/>
              <w:rPr>
                <w:rFonts w:ascii="宋体" w:hAnsi="宋体" w:eastAsia="宋体" w:cs="宋体"/>
                <w:bCs/>
                <w:sz w:val="21"/>
                <w:szCs w:val="21"/>
                <w:lang w:val="zh-CN" w:eastAsia="zh-CN"/>
              </w:rPr>
            </w:pPr>
            <w:r>
              <w:rPr>
                <w:rFonts w:hint="eastAsia" w:ascii="宋体" w:hAnsi="宋体" w:eastAsia="宋体" w:cs="宋体"/>
                <w:bCs/>
                <w:sz w:val="21"/>
                <w:szCs w:val="21"/>
                <w:lang w:val="zh-CN" w:eastAsia="zh-CN"/>
              </w:rPr>
              <w:t>[好]装配式设计遵循适用、经济、绿色、安全、美观的原则，装配式混凝土建筑技术体系应符合标准化设计、工厂化生产、装配式施工、一体化装修、信息化管理和智能化应用的要求，装配式设计工作方案合理可行。</w:t>
            </w:r>
            <w:r>
              <w:rPr>
                <w:rFonts w:hint="eastAsia"/>
                <w:lang w:eastAsia="zh-CN"/>
              </w:rPr>
              <w:t>得</w:t>
            </w:r>
            <w:r>
              <w:rPr>
                <w:lang w:eastAsia="zh-CN"/>
              </w:rPr>
              <w:t>[</w:t>
            </w:r>
            <w:r>
              <w:rPr>
                <w:rFonts w:hint="eastAsia"/>
                <w:lang w:eastAsia="zh-CN"/>
              </w:rPr>
              <w:t>8</w:t>
            </w:r>
            <w:r>
              <w:rPr>
                <w:lang w:eastAsia="zh-CN"/>
              </w:rPr>
              <w:t>,</w:t>
            </w:r>
            <w:r>
              <w:rPr>
                <w:rFonts w:hint="eastAsia"/>
                <w:lang w:eastAsia="zh-CN"/>
              </w:rPr>
              <w:t>5）分</w:t>
            </w:r>
            <w:r>
              <w:rPr>
                <w:rFonts w:hint="eastAsia" w:ascii="宋体" w:hAnsi="宋体" w:eastAsia="宋体" w:cs="宋体"/>
                <w:bCs/>
                <w:sz w:val="21"/>
                <w:szCs w:val="21"/>
                <w:lang w:val="zh-CN" w:eastAsia="zh-CN"/>
              </w:rPr>
              <w:t>。</w:t>
            </w:r>
          </w:p>
          <w:p>
            <w:pPr>
              <w:pStyle w:val="2"/>
              <w:ind w:firstLine="0" w:firstLineChars="0"/>
              <w:jc w:val="both"/>
              <w:rPr>
                <w:rFonts w:ascii="宋体" w:hAnsi="宋体" w:eastAsia="宋体" w:cs="宋体"/>
                <w:bCs/>
                <w:sz w:val="21"/>
                <w:szCs w:val="21"/>
                <w:lang w:val="zh-CN" w:eastAsia="zh-CN"/>
              </w:rPr>
            </w:pPr>
            <w:r>
              <w:rPr>
                <w:rFonts w:hint="eastAsia" w:ascii="宋体" w:hAnsi="宋体" w:eastAsia="宋体" w:cs="宋体"/>
                <w:bCs/>
                <w:sz w:val="21"/>
                <w:szCs w:val="21"/>
                <w:lang w:val="zh-CN" w:eastAsia="zh-CN"/>
              </w:rPr>
              <w:t>[</w:t>
            </w:r>
            <w:r>
              <w:rPr>
                <w:rFonts w:hint="eastAsia" w:ascii="宋体" w:hAnsi="宋体" w:eastAsia="宋体" w:cs="宋体"/>
                <w:bCs/>
                <w:sz w:val="21"/>
                <w:szCs w:val="21"/>
                <w:lang w:eastAsia="zh-CN"/>
              </w:rPr>
              <w:t>中</w:t>
            </w:r>
            <w:r>
              <w:rPr>
                <w:rFonts w:hint="eastAsia" w:ascii="宋体" w:hAnsi="宋体" w:eastAsia="宋体" w:cs="宋体"/>
                <w:bCs/>
                <w:sz w:val="21"/>
                <w:szCs w:val="21"/>
                <w:lang w:val="zh-CN" w:eastAsia="zh-CN"/>
              </w:rPr>
              <w:t>]装配式设计遵循适用、经济、绿色、安全、美观的原则，装配式混凝土建筑技术体系应符合标准化设计、工厂化生产、装配式施工、一体化装修、信息化管理和智能化应用的要求，装配式设计工作方案较合理。</w:t>
            </w:r>
            <w:r>
              <w:rPr>
                <w:rFonts w:hint="eastAsia"/>
                <w:lang w:eastAsia="zh-CN"/>
              </w:rPr>
              <w:t>得</w:t>
            </w:r>
            <w:r>
              <w:rPr>
                <w:lang w:eastAsia="zh-CN"/>
              </w:rPr>
              <w:t>[</w:t>
            </w:r>
            <w:r>
              <w:rPr>
                <w:rFonts w:hint="eastAsia"/>
                <w:lang w:eastAsia="zh-CN"/>
              </w:rPr>
              <w:t>5</w:t>
            </w:r>
            <w:r>
              <w:rPr>
                <w:lang w:eastAsia="zh-CN"/>
              </w:rPr>
              <w:t>,</w:t>
            </w:r>
            <w:r>
              <w:rPr>
                <w:rFonts w:hint="eastAsia"/>
                <w:lang w:eastAsia="zh-CN"/>
              </w:rPr>
              <w:t>3）分</w:t>
            </w:r>
            <w:r>
              <w:rPr>
                <w:rFonts w:hint="eastAsia" w:ascii="宋体" w:hAnsi="宋体" w:eastAsia="宋体" w:cs="宋体"/>
                <w:bCs/>
                <w:sz w:val="21"/>
                <w:szCs w:val="21"/>
                <w:lang w:val="zh-CN" w:eastAsia="zh-CN"/>
              </w:rPr>
              <w:t>。</w:t>
            </w:r>
          </w:p>
          <w:p>
            <w:pPr>
              <w:pStyle w:val="2"/>
              <w:ind w:firstLine="0" w:firstLineChars="0"/>
            </w:pPr>
            <w:r>
              <w:rPr>
                <w:rFonts w:hint="eastAsia" w:ascii="宋体" w:hAnsi="宋体" w:eastAsia="宋体" w:cs="宋体"/>
                <w:bCs/>
                <w:sz w:val="21"/>
                <w:szCs w:val="21"/>
                <w:lang w:val="zh-CN" w:eastAsia="zh-CN"/>
              </w:rPr>
              <w:t>[</w:t>
            </w:r>
            <w:r>
              <w:rPr>
                <w:rFonts w:hint="eastAsia" w:ascii="宋体" w:hAnsi="宋体" w:eastAsia="宋体" w:cs="宋体"/>
                <w:bCs/>
                <w:sz w:val="21"/>
                <w:szCs w:val="21"/>
                <w:lang w:eastAsia="zh-CN"/>
              </w:rPr>
              <w:t>差</w:t>
            </w:r>
            <w:r>
              <w:rPr>
                <w:rFonts w:hint="eastAsia" w:ascii="宋体" w:hAnsi="宋体" w:eastAsia="宋体" w:cs="宋体"/>
                <w:bCs/>
                <w:sz w:val="21"/>
                <w:szCs w:val="21"/>
                <w:lang w:val="zh-CN" w:eastAsia="zh-CN"/>
              </w:rPr>
              <w:t>]装配式设计遵循适用、经济、绿色、安全、美观的原则，装配式混凝土建筑技术体系应符合标准化设计、工厂化生产、装配式施工、一体化装修、信息化管理和智能化应用的要求，装配式设计工作方案一般。</w:t>
            </w:r>
            <w:r>
              <w:rPr>
                <w:rFonts w:hint="eastAsia"/>
              </w:rPr>
              <w:t>得</w:t>
            </w:r>
            <w:r>
              <w:t>[</w:t>
            </w:r>
            <w:r>
              <w:rPr>
                <w:rFonts w:hint="eastAsia"/>
                <w:lang w:eastAsia="zh-CN"/>
              </w:rPr>
              <w:t>3</w:t>
            </w:r>
            <w:r>
              <w:t>,</w:t>
            </w:r>
            <w:r>
              <w:rPr>
                <w:rFonts w:hint="eastAsia"/>
                <w:lang w:eastAsia="zh-CN"/>
              </w:rPr>
              <w:t>0</w:t>
            </w:r>
            <w:r>
              <w:t>]</w:t>
            </w:r>
            <w:r>
              <w:rPr>
                <w:rFonts w:hint="eastAsia"/>
              </w:rPr>
              <w:t>分</w:t>
            </w:r>
            <w:r>
              <w:rPr>
                <w:rFonts w:hint="eastAsia" w:ascii="宋体" w:hAnsi="宋体" w:eastAsia="宋体" w:cs="宋体"/>
                <w:bCs/>
                <w:sz w:val="21"/>
                <w:szCs w:val="21"/>
                <w:lang w:val="zh-CN" w:eastAsia="zh-CN"/>
              </w:rPr>
              <w:t>。</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Fonts w:hint="eastAsia"/>
                <w:color w:val="auto"/>
              </w:rPr>
              <w:t>6</w:t>
            </w:r>
          </w:p>
        </w:tc>
        <w:tc>
          <w:tcPr>
            <w:tcW w:w="2527" w:type="dxa"/>
            <w:gridSpan w:val="2"/>
            <w:tcBorders>
              <w:top w:val="single" w:color="auto" w:sz="4" w:space="0"/>
              <w:left w:val="nil"/>
              <w:bottom w:val="single" w:color="auto" w:sz="4" w:space="0"/>
              <w:right w:val="single" w:color="auto" w:sz="4" w:space="0"/>
            </w:tcBorders>
            <w:vAlign w:val="center"/>
          </w:tcPr>
          <w:p>
            <w:pPr>
              <w:pStyle w:val="48"/>
              <w:spacing w:line="240" w:lineRule="auto"/>
              <w:jc w:val="center"/>
              <w:rPr>
                <w:rStyle w:val="26"/>
              </w:rPr>
            </w:pPr>
            <w:r>
              <w:rPr>
                <w:sz w:val="21"/>
                <w:szCs w:val="21"/>
                <w:lang w:val="en-US" w:eastAsia="zh-CN" w:bidi="ar-SA"/>
              </w:rPr>
              <w:t>BIM（</w:t>
            </w:r>
            <w:r>
              <w:rPr>
                <w:rFonts w:hint="eastAsia"/>
                <w:sz w:val="21"/>
                <w:szCs w:val="21"/>
                <w:lang w:val="en-US" w:eastAsia="zh-CN" w:bidi="ar-SA"/>
              </w:rPr>
              <w:t>4</w:t>
            </w:r>
            <w:r>
              <w:rPr>
                <w:sz w:val="21"/>
                <w:szCs w:val="21"/>
                <w:lang w:val="en-US" w:eastAsia="zh-CN" w:bidi="ar-SA"/>
              </w:rPr>
              <w:t>分）</w:t>
            </w:r>
          </w:p>
        </w:tc>
        <w:tc>
          <w:tcPr>
            <w:tcW w:w="10016" w:type="dxa"/>
            <w:tcBorders>
              <w:top w:val="single" w:color="auto" w:sz="4" w:space="0"/>
              <w:left w:val="nil"/>
              <w:bottom w:val="single" w:color="auto" w:sz="4" w:space="0"/>
              <w:right w:val="single" w:color="auto" w:sz="4" w:space="0"/>
            </w:tcBorders>
          </w:tcPr>
          <w:p>
            <w:pPr>
              <w:pStyle w:val="2"/>
              <w:ind w:firstLine="0" w:firstLineChars="0"/>
              <w:jc w:val="both"/>
              <w:rPr>
                <w:rFonts w:ascii="宋体" w:hAnsi="宋体" w:eastAsia="宋体" w:cs="宋体"/>
                <w:bCs/>
                <w:sz w:val="21"/>
                <w:szCs w:val="21"/>
                <w:lang w:val="zh-CN" w:eastAsia="zh-CN"/>
              </w:rPr>
            </w:pPr>
            <w:r>
              <w:rPr>
                <w:rFonts w:ascii="宋体" w:hAnsi="宋体" w:eastAsia="宋体" w:cs="宋体"/>
                <w:bCs/>
                <w:sz w:val="21"/>
                <w:szCs w:val="21"/>
                <w:lang w:val="zh-CN" w:eastAsia="zh-CN"/>
              </w:rPr>
              <w:t>[好]针对本项目设计准确论述BIM服务内容与措施，达到提高工程建设质量的效果。</w:t>
            </w:r>
            <w:r>
              <w:rPr>
                <w:rFonts w:hint="eastAsia" w:ascii="宋体" w:hAnsi="宋体" w:eastAsia="宋体" w:cs="宋体"/>
                <w:sz w:val="21"/>
                <w:szCs w:val="21"/>
                <w:lang w:eastAsia="zh-CN"/>
              </w:rPr>
              <w:t>得</w:t>
            </w:r>
            <w:r>
              <w:rPr>
                <w:rFonts w:ascii="宋体" w:hAnsi="宋体" w:cs="宋体"/>
                <w:sz w:val="21"/>
                <w:szCs w:val="21"/>
                <w:lang w:eastAsia="zh-CN"/>
              </w:rPr>
              <w:t>[</w:t>
            </w:r>
            <w:r>
              <w:rPr>
                <w:rFonts w:hint="eastAsia" w:cs="宋体"/>
                <w:sz w:val="21"/>
                <w:szCs w:val="21"/>
                <w:lang w:eastAsia="zh-CN"/>
              </w:rPr>
              <w:t>4</w:t>
            </w:r>
            <w:r>
              <w:rPr>
                <w:rFonts w:ascii="宋体" w:hAnsi="宋体" w:cs="宋体"/>
                <w:sz w:val="21"/>
                <w:szCs w:val="21"/>
                <w:lang w:eastAsia="zh-CN"/>
              </w:rPr>
              <w:t>,</w:t>
            </w:r>
            <w:r>
              <w:rPr>
                <w:rFonts w:hint="eastAsia" w:cs="宋体"/>
                <w:sz w:val="21"/>
                <w:szCs w:val="21"/>
                <w:lang w:eastAsia="zh-CN"/>
              </w:rPr>
              <w:t>3</w:t>
            </w:r>
            <w:r>
              <w:rPr>
                <w:rFonts w:hint="eastAsia"/>
                <w:lang w:eastAsia="zh-CN"/>
              </w:rPr>
              <w:t>）</w:t>
            </w:r>
            <w:r>
              <w:rPr>
                <w:rFonts w:hint="eastAsia" w:ascii="宋体" w:hAnsi="宋体" w:eastAsia="宋体" w:cs="宋体"/>
                <w:sz w:val="21"/>
                <w:szCs w:val="21"/>
                <w:lang w:eastAsia="zh-CN"/>
              </w:rPr>
              <w:t>分。</w:t>
            </w:r>
          </w:p>
          <w:p>
            <w:pPr>
              <w:pStyle w:val="2"/>
              <w:ind w:firstLine="0" w:firstLineChars="0"/>
              <w:jc w:val="both"/>
              <w:rPr>
                <w:rFonts w:ascii="宋体" w:hAnsi="宋体" w:eastAsia="宋体" w:cs="宋体"/>
                <w:bCs/>
                <w:sz w:val="21"/>
                <w:szCs w:val="21"/>
                <w:lang w:val="zh-CN" w:eastAsia="zh-CN"/>
              </w:rPr>
            </w:pPr>
            <w:r>
              <w:rPr>
                <w:rFonts w:ascii="宋体" w:hAnsi="宋体" w:eastAsia="宋体" w:cs="宋体"/>
                <w:bCs/>
                <w:sz w:val="21"/>
                <w:szCs w:val="21"/>
                <w:lang w:val="zh-CN" w:eastAsia="zh-CN"/>
              </w:rPr>
              <w:t>[</w:t>
            </w:r>
            <w:r>
              <w:rPr>
                <w:rFonts w:hint="eastAsia" w:ascii="宋体" w:hAnsi="宋体" w:eastAsia="宋体" w:cs="宋体"/>
                <w:bCs/>
                <w:sz w:val="21"/>
                <w:szCs w:val="21"/>
                <w:lang w:val="zh-CN" w:eastAsia="zh-CN"/>
              </w:rPr>
              <w:t>中</w:t>
            </w:r>
            <w:r>
              <w:rPr>
                <w:rFonts w:ascii="宋体" w:hAnsi="宋体" w:eastAsia="宋体" w:cs="宋体"/>
                <w:bCs/>
                <w:sz w:val="21"/>
                <w:szCs w:val="21"/>
                <w:lang w:val="zh-CN" w:eastAsia="zh-CN"/>
              </w:rPr>
              <w:t>]针对本项目设计较准确论述BIM服务内容与措施，达到提高工程建设质量的效果。</w:t>
            </w:r>
            <w:r>
              <w:rPr>
                <w:rFonts w:hint="eastAsia" w:ascii="宋体" w:hAnsi="宋体" w:eastAsia="宋体" w:cs="宋体"/>
                <w:sz w:val="21"/>
                <w:szCs w:val="21"/>
                <w:lang w:eastAsia="zh-CN"/>
              </w:rPr>
              <w:t>得</w:t>
            </w:r>
            <w:r>
              <w:rPr>
                <w:lang w:eastAsia="zh-CN"/>
              </w:rPr>
              <w:t>[</w:t>
            </w:r>
            <w:r>
              <w:rPr>
                <w:rFonts w:hint="eastAsia" w:ascii="宋体" w:hAnsi="宋体" w:cs="宋体"/>
                <w:sz w:val="21"/>
                <w:szCs w:val="21"/>
                <w:lang w:eastAsia="zh-CN"/>
              </w:rPr>
              <w:t>3</w:t>
            </w:r>
            <w:r>
              <w:rPr>
                <w:rFonts w:ascii="宋体" w:hAnsi="宋体" w:cs="宋体"/>
                <w:sz w:val="21"/>
                <w:szCs w:val="21"/>
                <w:lang w:eastAsia="zh-CN"/>
              </w:rPr>
              <w:t>,</w:t>
            </w:r>
            <w:r>
              <w:rPr>
                <w:rFonts w:hint="eastAsia" w:cs="宋体"/>
                <w:sz w:val="21"/>
                <w:szCs w:val="21"/>
                <w:lang w:eastAsia="zh-CN"/>
              </w:rPr>
              <w:t>1</w:t>
            </w:r>
            <w:r>
              <w:rPr>
                <w:rFonts w:hint="eastAsia" w:ascii="宋体" w:hAnsi="宋体" w:cs="宋体"/>
                <w:sz w:val="21"/>
                <w:szCs w:val="21"/>
                <w:lang w:eastAsia="zh-CN"/>
              </w:rPr>
              <w:t>）</w:t>
            </w:r>
            <w:r>
              <w:rPr>
                <w:rFonts w:hint="eastAsia" w:ascii="宋体" w:hAnsi="宋体" w:eastAsia="宋体" w:cs="宋体"/>
                <w:sz w:val="21"/>
                <w:szCs w:val="21"/>
                <w:lang w:eastAsia="zh-CN"/>
              </w:rPr>
              <w:t>分。</w:t>
            </w:r>
          </w:p>
          <w:p>
            <w:pPr>
              <w:pStyle w:val="2"/>
              <w:ind w:firstLine="0" w:firstLineChars="0"/>
              <w:jc w:val="both"/>
            </w:pPr>
            <w:r>
              <w:rPr>
                <w:rFonts w:ascii="宋体" w:hAnsi="宋体" w:eastAsia="宋体" w:cs="宋体"/>
                <w:bCs/>
                <w:sz w:val="21"/>
                <w:szCs w:val="21"/>
                <w:lang w:val="zh-CN" w:eastAsia="zh-CN"/>
              </w:rPr>
              <w:t>[差]针对本项目设计一般准确论述BIM服务内容与措施，达到提高工程建设质量的效果。</w:t>
            </w:r>
            <w:r>
              <w:rPr>
                <w:rFonts w:hint="eastAsia"/>
              </w:rPr>
              <w:t>得</w:t>
            </w:r>
            <w:r>
              <w:t>[</w:t>
            </w:r>
            <w:r>
              <w:rPr>
                <w:rFonts w:hint="eastAsia"/>
                <w:lang w:eastAsia="zh-CN"/>
              </w:rPr>
              <w:t>1</w:t>
            </w:r>
            <w:r>
              <w:t>,</w:t>
            </w:r>
            <w:r>
              <w:rPr>
                <w:rFonts w:hint="eastAsia"/>
                <w:lang w:eastAsia="zh-CN"/>
              </w:rPr>
              <w:t>0</w:t>
            </w:r>
            <w:r>
              <w:t>]</w:t>
            </w:r>
            <w:r>
              <w:rPr>
                <w:rFonts w:hint="eastAsia"/>
              </w:rPr>
              <w:t>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Fonts w:hint="eastAsia"/>
                <w:color w:val="auto"/>
              </w:rPr>
              <w:t>7</w:t>
            </w:r>
          </w:p>
        </w:tc>
        <w:tc>
          <w:tcPr>
            <w:tcW w:w="2527" w:type="dxa"/>
            <w:gridSpan w:val="2"/>
            <w:tcBorders>
              <w:top w:val="single" w:color="auto" w:sz="4" w:space="0"/>
              <w:left w:val="nil"/>
              <w:bottom w:val="single" w:color="auto" w:sz="4" w:space="0"/>
              <w:right w:val="single" w:color="auto" w:sz="4" w:space="0"/>
            </w:tcBorders>
            <w:vAlign w:val="center"/>
          </w:tcPr>
          <w:p>
            <w:pPr>
              <w:pStyle w:val="2"/>
              <w:jc w:val="center"/>
              <w:rPr>
                <w:rStyle w:val="26"/>
                <w:kern w:val="2"/>
              </w:rPr>
            </w:pPr>
            <w:r>
              <w:rPr>
                <w:rFonts w:ascii="宋体" w:hAnsi="宋体" w:eastAsia="宋体" w:cs="宋体"/>
                <w:sz w:val="21"/>
                <w:szCs w:val="21"/>
              </w:rPr>
              <w:t>绿色建筑</w:t>
            </w:r>
            <w:r>
              <w:rPr>
                <w:rFonts w:hint="eastAsia"/>
              </w:rPr>
              <w:t>（</w:t>
            </w:r>
            <w:r>
              <w:rPr>
                <w:rFonts w:hint="eastAsia"/>
                <w:lang w:eastAsia="zh-CN"/>
              </w:rPr>
              <w:t>4</w:t>
            </w:r>
            <w:r>
              <w:rPr>
                <w:rFonts w:hint="eastAsia"/>
              </w:rPr>
              <w:t>分）</w:t>
            </w:r>
          </w:p>
        </w:tc>
        <w:tc>
          <w:tcPr>
            <w:tcW w:w="10016" w:type="dxa"/>
            <w:tcBorders>
              <w:top w:val="single" w:color="auto" w:sz="4" w:space="0"/>
              <w:left w:val="nil"/>
              <w:bottom w:val="single" w:color="auto" w:sz="4" w:space="0"/>
              <w:right w:val="single" w:color="auto" w:sz="4" w:space="0"/>
            </w:tcBorders>
            <w:vAlign w:val="center"/>
          </w:tcPr>
          <w:p>
            <w:pPr>
              <w:pStyle w:val="2"/>
              <w:spacing w:line="276" w:lineRule="auto"/>
              <w:ind w:right="94" w:rightChars="45" w:firstLine="0" w:firstLineChars="0"/>
              <w:rPr>
                <w:rFonts w:ascii="宋体" w:hAnsi="宋体" w:eastAsia="宋体" w:cs="宋体"/>
                <w:sz w:val="21"/>
                <w:szCs w:val="21"/>
                <w:lang w:eastAsia="zh-CN"/>
              </w:rPr>
            </w:pPr>
            <w:r>
              <w:rPr>
                <w:rFonts w:ascii="宋体" w:hAnsi="宋体" w:eastAsia="宋体" w:cs="宋体"/>
                <w:bCs/>
                <w:sz w:val="21"/>
                <w:szCs w:val="21"/>
                <w:lang w:eastAsia="zh-CN"/>
              </w:rPr>
              <w:t>[好]</w:t>
            </w:r>
            <w:r>
              <w:rPr>
                <w:rFonts w:ascii="宋体" w:hAnsi="宋体" w:eastAsia="宋体" w:cs="宋体"/>
                <w:sz w:val="21"/>
                <w:szCs w:val="21"/>
                <w:lang w:eastAsia="zh-CN"/>
              </w:rPr>
              <w:t>设计工作方案完全符合绿色建筑设计目标，采取的绿色技术措施充分考虑建筑所在地的气候特点，最大限度地节约资源、保护环境、减少污染，提供健康、适应和高效的使用空间；合理布置绿化、户外区域；合理设置节电节水自动控制、网络、雨水收集与利用等系统；满足绿色建筑二星级的要求。充分符合城市防洪排涝标准、本区域的海绵城市专项设计。</w:t>
            </w:r>
            <w:r>
              <w:rPr>
                <w:rFonts w:hint="eastAsia" w:ascii="宋体" w:hAnsi="宋体" w:eastAsia="宋体" w:cs="宋体"/>
                <w:bCs/>
                <w:kern w:val="2"/>
                <w:sz w:val="21"/>
                <w:szCs w:val="21"/>
                <w:lang w:val="zh-CN" w:eastAsia="zh-CN"/>
              </w:rPr>
              <w:t>得[4,3）分。</w:t>
            </w:r>
          </w:p>
          <w:p>
            <w:pPr>
              <w:pStyle w:val="2"/>
              <w:spacing w:line="276" w:lineRule="auto"/>
              <w:ind w:right="94" w:rightChars="45" w:firstLine="0" w:firstLineChars="0"/>
              <w:rPr>
                <w:rFonts w:ascii="宋体" w:hAnsi="宋体" w:eastAsia="宋体" w:cs="宋体"/>
                <w:sz w:val="21"/>
                <w:szCs w:val="21"/>
                <w:lang w:eastAsia="zh-CN"/>
              </w:rPr>
            </w:pPr>
            <w:r>
              <w:rPr>
                <w:rFonts w:ascii="宋体" w:hAnsi="宋体" w:eastAsia="宋体" w:cs="宋体"/>
                <w:bCs/>
                <w:sz w:val="21"/>
                <w:szCs w:val="21"/>
                <w:lang w:val="zh-CN" w:eastAsia="zh-CN"/>
              </w:rPr>
              <w:t>[</w:t>
            </w:r>
            <w:r>
              <w:rPr>
                <w:rFonts w:hint="eastAsia" w:ascii="宋体" w:hAnsi="宋体" w:eastAsia="宋体" w:cs="宋体"/>
                <w:bCs/>
                <w:sz w:val="21"/>
                <w:szCs w:val="21"/>
                <w:lang w:eastAsia="zh-CN"/>
              </w:rPr>
              <w:t>中</w:t>
            </w:r>
            <w:r>
              <w:rPr>
                <w:rFonts w:ascii="宋体" w:hAnsi="宋体" w:eastAsia="宋体" w:cs="宋体"/>
                <w:bCs/>
                <w:sz w:val="21"/>
                <w:szCs w:val="21"/>
                <w:lang w:val="zh-CN" w:eastAsia="zh-CN"/>
              </w:rPr>
              <w:t>]</w:t>
            </w:r>
            <w:r>
              <w:rPr>
                <w:rFonts w:ascii="宋体" w:hAnsi="宋体" w:eastAsia="宋体" w:cs="宋体"/>
                <w:sz w:val="21"/>
                <w:szCs w:val="21"/>
                <w:lang w:eastAsia="zh-CN"/>
              </w:rPr>
              <w:t>设计工作方案较符合绿色建筑设计目标，采取的绿色技术措施较充分考虑建筑所在地的气候特点，较节约资源、保护环境、减少污染，提供健康、适应和高效的使用空间；较合理布置绿化、户外区域；较合理设置节电节水自动控制、网络、雨水收集与利用等系统；满足绿色建筑二星级的要求。较充分符合城市防洪排涝标准、本区域的海绵城市专项设计。</w:t>
            </w:r>
            <w:r>
              <w:rPr>
                <w:rFonts w:hint="eastAsia" w:ascii="宋体" w:hAnsi="宋体" w:eastAsia="宋体" w:cs="宋体"/>
                <w:bCs/>
                <w:kern w:val="2"/>
                <w:sz w:val="21"/>
                <w:szCs w:val="21"/>
                <w:lang w:val="zh-CN" w:eastAsia="zh-CN"/>
              </w:rPr>
              <w:t>得[3,1）分。</w:t>
            </w:r>
          </w:p>
          <w:p>
            <w:pPr>
              <w:pStyle w:val="19"/>
              <w:rPr>
                <w:color w:val="auto"/>
              </w:rPr>
            </w:pPr>
            <w:r>
              <w:rPr>
                <w:bCs/>
                <w:color w:val="auto"/>
              </w:rPr>
              <w:t>[差]</w:t>
            </w:r>
            <w:r>
              <w:rPr>
                <w:color w:val="auto"/>
              </w:rPr>
              <w:t>设计工作方案符合绿色建筑设计目标，采取的绿色技术措施有考虑建筑所在地的气候特点，提供健康、适应和高效的使用空间；有布置绿化、户外区域；有设置节电节水自动控制、网络、雨水收集与利用等系统；满足绿色建筑二星级的要求。一般符合城市防洪排涝标准、本区域的海绵城市专项设计。</w:t>
            </w:r>
            <w:r>
              <w:rPr>
                <w:rFonts w:hint="eastAsia"/>
                <w:bCs/>
                <w:color w:val="auto"/>
                <w:kern w:val="2"/>
                <w:lang w:val="zh-CN"/>
              </w:rPr>
              <w:t>得[1,0]分。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rStyle w:val="26"/>
                <w:color w:val="auto"/>
                <w:kern w:val="2"/>
              </w:rPr>
            </w:pPr>
            <w:r>
              <w:rPr>
                <w:rFonts w:hint="eastAsia"/>
                <w:color w:val="auto"/>
              </w:rPr>
              <w:t>8</w:t>
            </w:r>
          </w:p>
        </w:tc>
        <w:tc>
          <w:tcPr>
            <w:tcW w:w="2527" w:type="dxa"/>
            <w:gridSpan w:val="2"/>
            <w:tcBorders>
              <w:top w:val="single" w:color="auto" w:sz="4" w:space="0"/>
              <w:left w:val="nil"/>
              <w:bottom w:val="single" w:color="auto" w:sz="4" w:space="0"/>
              <w:right w:val="single" w:color="auto" w:sz="4" w:space="0"/>
            </w:tcBorders>
            <w:vAlign w:val="center"/>
          </w:tcPr>
          <w:p>
            <w:pPr>
              <w:pStyle w:val="2"/>
              <w:rPr>
                <w:rStyle w:val="26"/>
                <w:kern w:val="2"/>
              </w:rPr>
            </w:pPr>
            <w:r>
              <w:rPr>
                <w:rFonts w:hint="eastAsia" w:ascii="宋体" w:hAnsi="宋体" w:eastAsia="宋体" w:cs="宋体"/>
                <w:sz w:val="21"/>
                <w:szCs w:val="21"/>
              </w:rPr>
              <w:t>勘察方案</w:t>
            </w:r>
            <w:r>
              <w:rPr>
                <w:rFonts w:hint="eastAsia"/>
              </w:rPr>
              <w:t>（</w:t>
            </w:r>
            <w:r>
              <w:rPr>
                <w:rFonts w:hint="eastAsia"/>
                <w:lang w:eastAsia="zh-CN"/>
              </w:rPr>
              <w:t>4</w:t>
            </w:r>
            <w:r>
              <w:rPr>
                <w:rFonts w:hint="eastAsia"/>
              </w:rPr>
              <w:t>分）</w:t>
            </w:r>
          </w:p>
        </w:tc>
        <w:tc>
          <w:tcPr>
            <w:tcW w:w="10016" w:type="dxa"/>
            <w:tcBorders>
              <w:top w:val="single" w:color="auto" w:sz="4" w:space="0"/>
              <w:left w:val="nil"/>
              <w:bottom w:val="single" w:color="auto" w:sz="4" w:space="0"/>
              <w:right w:val="single" w:color="auto" w:sz="4" w:space="0"/>
            </w:tcBorders>
          </w:tcPr>
          <w:p>
            <w:pPr>
              <w:pStyle w:val="2"/>
              <w:ind w:firstLine="0" w:firstLineChars="0"/>
              <w:rPr>
                <w:rFonts w:ascii="宋体" w:hAnsi="宋体" w:eastAsia="宋体" w:cs="宋体"/>
                <w:bCs/>
                <w:sz w:val="21"/>
                <w:szCs w:val="21"/>
                <w:lang w:val="zh-CN" w:eastAsia="zh-CN"/>
              </w:rPr>
            </w:pPr>
            <w:r>
              <w:rPr>
                <w:rFonts w:ascii="宋体" w:hAnsi="宋体" w:eastAsia="宋体" w:cs="宋体"/>
                <w:bCs/>
                <w:sz w:val="21"/>
                <w:szCs w:val="21"/>
                <w:lang w:val="zh-CN" w:eastAsia="zh-CN"/>
              </w:rPr>
              <w:t>[</w:t>
            </w:r>
            <w:r>
              <w:rPr>
                <w:rFonts w:hint="eastAsia" w:ascii="宋体" w:hAnsi="宋体" w:eastAsia="宋体" w:cs="宋体"/>
                <w:bCs/>
                <w:sz w:val="21"/>
                <w:szCs w:val="21"/>
                <w:lang w:eastAsia="zh-CN"/>
              </w:rPr>
              <w:t>好</w:t>
            </w:r>
            <w:r>
              <w:rPr>
                <w:rFonts w:ascii="宋体" w:hAnsi="宋体" w:eastAsia="宋体" w:cs="宋体"/>
                <w:bCs/>
                <w:sz w:val="21"/>
                <w:szCs w:val="21"/>
                <w:lang w:val="zh-CN" w:eastAsia="zh-CN"/>
              </w:rPr>
              <w:t>]</w:t>
            </w:r>
            <w:r>
              <w:rPr>
                <w:rFonts w:hint="eastAsia" w:ascii="宋体" w:hAnsi="宋体" w:eastAsia="宋体" w:cs="宋体"/>
                <w:sz w:val="21"/>
                <w:szCs w:val="21"/>
                <w:lang w:eastAsia="zh-CN"/>
              </w:rPr>
              <w:t>勘察方案准确合理可行，勘察的重点、难点理解准确，建议合理可行；勘察工作流程规范，工期进度计划合理可行。技术支持度、跟踪服务能力，本地化服务的计划和实施承诺。</w:t>
            </w:r>
            <w:r>
              <w:rPr>
                <w:rFonts w:hint="eastAsia" w:ascii="宋体" w:hAnsi="宋体" w:eastAsia="宋体" w:cs="宋体"/>
                <w:bCs/>
                <w:kern w:val="2"/>
                <w:sz w:val="21"/>
                <w:szCs w:val="21"/>
                <w:lang w:val="zh-CN" w:eastAsia="zh-CN"/>
              </w:rPr>
              <w:t>得[4,3）分。</w:t>
            </w:r>
          </w:p>
          <w:p>
            <w:pPr>
              <w:pStyle w:val="2"/>
              <w:ind w:firstLine="0" w:firstLineChars="0"/>
              <w:rPr>
                <w:rFonts w:ascii="宋体" w:hAnsi="宋体" w:eastAsia="宋体" w:cs="宋体"/>
                <w:sz w:val="21"/>
                <w:szCs w:val="21"/>
                <w:lang w:eastAsia="zh-CN"/>
              </w:rPr>
            </w:pPr>
            <w:r>
              <w:rPr>
                <w:rFonts w:ascii="宋体" w:hAnsi="宋体" w:eastAsia="宋体" w:cs="宋体"/>
                <w:bCs/>
                <w:sz w:val="21"/>
                <w:szCs w:val="21"/>
                <w:lang w:val="zh-CN" w:eastAsia="zh-CN"/>
              </w:rPr>
              <w:t>[</w:t>
            </w:r>
            <w:r>
              <w:rPr>
                <w:rFonts w:hint="eastAsia" w:ascii="宋体" w:hAnsi="宋体" w:eastAsia="宋体" w:cs="宋体"/>
                <w:bCs/>
                <w:sz w:val="21"/>
                <w:szCs w:val="21"/>
                <w:lang w:eastAsia="zh-CN"/>
              </w:rPr>
              <w:t>中</w:t>
            </w:r>
            <w:r>
              <w:rPr>
                <w:rFonts w:ascii="宋体" w:hAnsi="宋体" w:eastAsia="宋体" w:cs="宋体"/>
                <w:bCs/>
                <w:sz w:val="21"/>
                <w:szCs w:val="21"/>
                <w:lang w:val="zh-CN" w:eastAsia="zh-CN"/>
              </w:rPr>
              <w:t>]</w:t>
            </w:r>
            <w:r>
              <w:rPr>
                <w:rFonts w:hint="eastAsia" w:ascii="宋体" w:hAnsi="宋体" w:eastAsia="宋体" w:cs="宋体"/>
                <w:sz w:val="21"/>
                <w:szCs w:val="21"/>
                <w:lang w:eastAsia="zh-CN"/>
              </w:rPr>
              <w:t>勘察方案较合理，勘察的重点、难点理解较准确，建议较合理可行；勘察工作流程规范，工期进度计划较合理可行。技术支持度、跟踪服务能力，本地化服务的计划和实施承诺。</w:t>
            </w:r>
            <w:r>
              <w:rPr>
                <w:rFonts w:hint="eastAsia" w:ascii="宋体" w:hAnsi="宋体" w:eastAsia="宋体" w:cs="宋体"/>
                <w:bCs/>
                <w:kern w:val="2"/>
                <w:sz w:val="21"/>
                <w:szCs w:val="21"/>
                <w:lang w:val="zh-CN" w:eastAsia="zh-CN"/>
              </w:rPr>
              <w:t>得[3,1）分。</w:t>
            </w:r>
          </w:p>
          <w:p>
            <w:pPr>
              <w:pStyle w:val="2"/>
              <w:ind w:firstLine="0" w:firstLineChars="0"/>
            </w:pPr>
            <w:r>
              <w:rPr>
                <w:rFonts w:ascii="宋体" w:hAnsi="宋体" w:eastAsia="宋体" w:cs="宋体"/>
                <w:bCs/>
                <w:sz w:val="21"/>
                <w:szCs w:val="21"/>
                <w:lang w:eastAsia="zh-CN"/>
              </w:rPr>
              <w:t>[差]</w:t>
            </w:r>
            <w:r>
              <w:rPr>
                <w:rFonts w:hint="eastAsia" w:ascii="宋体" w:hAnsi="宋体" w:eastAsia="宋体" w:cs="宋体"/>
                <w:sz w:val="21"/>
                <w:szCs w:val="21"/>
                <w:lang w:eastAsia="zh-CN"/>
              </w:rPr>
              <w:t>勘察方案一般可行，勘察的重点、难点理解一般，建议一般可行；勘察工作流程规范，工期进度计划一般可行。</w:t>
            </w:r>
            <w:r>
              <w:rPr>
                <w:rFonts w:hint="eastAsia" w:ascii="宋体" w:hAnsi="宋体" w:eastAsia="宋体" w:cs="宋体"/>
                <w:bCs/>
                <w:kern w:val="2"/>
                <w:sz w:val="21"/>
                <w:szCs w:val="21"/>
                <w:lang w:val="zh-CN"/>
              </w:rPr>
              <w:t>得[</w:t>
            </w:r>
            <w:r>
              <w:rPr>
                <w:rFonts w:hint="eastAsia" w:ascii="宋体" w:hAnsi="宋体" w:eastAsia="宋体" w:cs="宋体"/>
                <w:bCs/>
                <w:kern w:val="2"/>
                <w:sz w:val="21"/>
                <w:szCs w:val="21"/>
                <w:lang w:val="zh-CN" w:eastAsia="zh-CN"/>
              </w:rPr>
              <w:t>1</w:t>
            </w:r>
            <w:r>
              <w:rPr>
                <w:rFonts w:hint="eastAsia" w:ascii="宋体" w:hAnsi="宋体" w:eastAsia="宋体" w:cs="宋体"/>
                <w:bCs/>
                <w:kern w:val="2"/>
                <w:sz w:val="21"/>
                <w:szCs w:val="21"/>
                <w:lang w:val="zh-CN"/>
              </w:rPr>
              <w:t>,</w:t>
            </w:r>
            <w:r>
              <w:rPr>
                <w:rFonts w:hint="eastAsia" w:ascii="宋体" w:hAnsi="宋体" w:eastAsia="宋体" w:cs="宋体"/>
                <w:bCs/>
                <w:kern w:val="2"/>
                <w:sz w:val="21"/>
                <w:szCs w:val="21"/>
                <w:lang w:val="zh-CN" w:eastAsia="zh-CN"/>
              </w:rPr>
              <w:t>0</w:t>
            </w:r>
            <w:r>
              <w:rPr>
                <w:rFonts w:hint="eastAsia" w:ascii="宋体" w:hAnsi="宋体" w:eastAsia="宋体" w:cs="宋体"/>
                <w:bCs/>
                <w:kern w:val="2"/>
                <w:sz w:val="21"/>
                <w:szCs w:val="21"/>
                <w:lang w:val="zh-CN"/>
              </w:rPr>
              <w:t>]分。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color w:val="auto"/>
              </w:rPr>
              <w:t>三</w:t>
            </w:r>
          </w:p>
        </w:tc>
        <w:tc>
          <w:tcPr>
            <w:tcW w:w="2527" w:type="dxa"/>
            <w:gridSpan w:val="2"/>
            <w:tcBorders>
              <w:top w:val="single" w:color="auto" w:sz="4" w:space="0"/>
              <w:left w:val="nil"/>
              <w:bottom w:val="single" w:color="auto" w:sz="4" w:space="0"/>
              <w:right w:val="single" w:color="auto" w:sz="4" w:space="0"/>
            </w:tcBorders>
            <w:vAlign w:val="center"/>
          </w:tcPr>
          <w:p>
            <w:pPr>
              <w:pStyle w:val="19"/>
              <w:rPr>
                <w:color w:val="auto"/>
              </w:rPr>
            </w:pPr>
            <w:r>
              <w:rPr>
                <w:rStyle w:val="26"/>
                <w:color w:val="auto"/>
                <w:kern w:val="2"/>
              </w:rPr>
              <w:t>投标报价部分（10分）</w:t>
            </w:r>
          </w:p>
        </w:tc>
        <w:tc>
          <w:tcPr>
            <w:tcW w:w="10016" w:type="dxa"/>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以评标基准价作为计算各有效投标价得分的基础，当有效投标报价等于评标基准价时得10分；投标有效报价与评标基准价之差，每上偏1%扣1分，下偏1%扣0.5分，最多扣10分。本项最高分为10分，最低分为0分。</w:t>
            </w:r>
          </w:p>
        </w:tc>
        <w:tc>
          <w:tcPr>
            <w:tcW w:w="995" w:type="dxa"/>
            <w:tcBorders>
              <w:top w:val="single" w:color="auto" w:sz="4" w:space="0"/>
              <w:left w:val="nil"/>
              <w:bottom w:val="single" w:color="auto" w:sz="4" w:space="0"/>
              <w:right w:val="single" w:color="auto" w:sz="4" w:space="0"/>
            </w:tcBorders>
          </w:tcPr>
          <w:p>
            <w:pPr>
              <w:pStyle w:val="1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33" w:type="dxa"/>
            <w:tcBorders>
              <w:top w:val="single" w:color="auto" w:sz="4" w:space="0"/>
              <w:left w:val="single" w:color="auto" w:sz="4" w:space="0"/>
              <w:bottom w:val="single" w:color="auto" w:sz="4" w:space="0"/>
              <w:right w:val="single" w:color="auto" w:sz="4" w:space="0"/>
            </w:tcBorders>
            <w:vAlign w:val="center"/>
          </w:tcPr>
          <w:p>
            <w:pPr>
              <w:pStyle w:val="19"/>
              <w:rPr>
                <w:color w:val="auto"/>
              </w:rPr>
            </w:pPr>
            <w:r>
              <w:rPr>
                <w:rFonts w:hint="eastAsia"/>
                <w:color w:val="auto"/>
              </w:rPr>
              <w:t>总计</w:t>
            </w:r>
          </w:p>
        </w:tc>
        <w:tc>
          <w:tcPr>
            <w:tcW w:w="2527" w:type="dxa"/>
            <w:gridSpan w:val="2"/>
            <w:tcBorders>
              <w:top w:val="single" w:color="auto" w:sz="4" w:space="0"/>
              <w:left w:val="nil"/>
              <w:bottom w:val="single" w:color="auto" w:sz="4" w:space="0"/>
              <w:right w:val="single" w:color="auto" w:sz="4" w:space="0"/>
            </w:tcBorders>
            <w:vAlign w:val="center"/>
          </w:tcPr>
          <w:p>
            <w:pPr>
              <w:pStyle w:val="19"/>
              <w:rPr>
                <w:color w:val="auto"/>
              </w:rPr>
            </w:pPr>
            <w:r>
              <w:rPr>
                <w:rFonts w:hint="eastAsia"/>
                <w:color w:val="auto"/>
              </w:rPr>
              <w:t>100分</w:t>
            </w:r>
          </w:p>
        </w:tc>
        <w:tc>
          <w:tcPr>
            <w:tcW w:w="10016" w:type="dxa"/>
            <w:tcBorders>
              <w:top w:val="single" w:color="auto" w:sz="4" w:space="0"/>
              <w:left w:val="nil"/>
              <w:bottom w:val="single" w:color="auto" w:sz="4" w:space="0"/>
              <w:right w:val="single" w:color="auto" w:sz="4" w:space="0"/>
            </w:tcBorders>
          </w:tcPr>
          <w:p>
            <w:pPr>
              <w:pStyle w:val="19"/>
              <w:rPr>
                <w:color w:val="auto"/>
              </w:rPr>
            </w:pPr>
          </w:p>
        </w:tc>
        <w:tc>
          <w:tcPr>
            <w:tcW w:w="995" w:type="dxa"/>
            <w:tcBorders>
              <w:top w:val="single" w:color="auto" w:sz="4" w:space="0"/>
              <w:left w:val="nil"/>
              <w:bottom w:val="single" w:color="auto" w:sz="4" w:space="0"/>
              <w:right w:val="single" w:color="auto" w:sz="4" w:space="0"/>
            </w:tcBorders>
          </w:tcPr>
          <w:p>
            <w:pPr>
              <w:pStyle w:val="19"/>
              <w:rPr>
                <w:color w:val="auto"/>
              </w:rPr>
            </w:pPr>
          </w:p>
        </w:tc>
      </w:tr>
    </w:tbl>
    <w:p>
      <w:pPr>
        <w:pStyle w:val="9"/>
        <w:rPr>
          <w:lang w:val="zh-CN" w:eastAsia="zh-CN"/>
        </w:rPr>
      </w:pPr>
    </w:p>
    <w:p>
      <w:pPr>
        <w:pStyle w:val="36"/>
        <w:rPr>
          <w:rFonts w:ascii="宋体" w:hAnsi="宋体" w:eastAsia="宋体" w:cs="宋体"/>
        </w:rPr>
      </w:pPr>
      <w:r>
        <w:rPr>
          <w:rFonts w:hint="eastAsia" w:ascii="宋体" w:hAnsi="宋体" w:eastAsia="宋体" w:cs="宋体"/>
        </w:rPr>
        <w:t xml:space="preserve">评委签名：                   </w:t>
      </w:r>
      <w:r>
        <w:rPr>
          <w:rFonts w:hint="eastAsia" w:ascii="宋体" w:hAnsi="宋体" w:eastAsia="宋体" w:cs="宋体"/>
          <w:lang w:eastAsia="zh-CN"/>
        </w:rPr>
        <w:t xml:space="preserve">                                                                       </w:t>
      </w:r>
      <w:r>
        <w:rPr>
          <w:rFonts w:hint="eastAsia" w:ascii="宋体" w:hAnsi="宋体" w:eastAsia="宋体" w:cs="宋体"/>
        </w:rPr>
        <w:t xml:space="preserve">  日期：</w:t>
      </w:r>
    </w:p>
    <w:p>
      <w:pPr>
        <w:pStyle w:val="36"/>
        <w:ind w:firstLine="440" w:firstLineChars="200"/>
        <w:rPr>
          <w:rFonts w:ascii="宋体" w:hAnsi="宋体" w:cs="宋体"/>
          <w:u w:val="single"/>
          <w:lang w:eastAsia="zh-CN"/>
        </w:rPr>
      </w:pPr>
    </w:p>
    <w:p>
      <w:pPr>
        <w:snapToGrid w:val="0"/>
        <w:rPr>
          <w:rFonts w:ascii="宋体" w:hAnsi="宋体" w:cs="宋体"/>
        </w:rPr>
      </w:pPr>
      <w:r>
        <w:rPr>
          <w:rFonts w:hint="eastAsia" w:ascii="宋体" w:hAnsi="宋体" w:cs="宋体"/>
        </w:rPr>
        <w:t>注：</w:t>
      </w:r>
    </w:p>
    <w:p>
      <w:pPr>
        <w:snapToGrid w:val="0"/>
        <w:rPr>
          <w:rFonts w:ascii="宋体" w:hAnsi="宋体" w:cs="宋体"/>
          <w:szCs w:val="21"/>
        </w:rPr>
      </w:pPr>
      <w:r>
        <w:rPr>
          <w:rFonts w:hint="eastAsia" w:ascii="宋体" w:hAnsi="宋体" w:cs="宋体"/>
          <w:szCs w:val="21"/>
        </w:rPr>
        <w:t>1、设计业绩要求：</w:t>
      </w:r>
    </w:p>
    <w:p>
      <w:pPr>
        <w:snapToGrid w:val="0"/>
        <w:rPr>
          <w:rFonts w:ascii="宋体" w:hAnsi="宋体" w:cs="宋体"/>
          <w:szCs w:val="21"/>
        </w:rPr>
      </w:pPr>
      <w:r>
        <w:rPr>
          <w:rFonts w:hint="eastAsia" w:ascii="宋体" w:hAnsi="宋体" w:cs="宋体"/>
          <w:szCs w:val="21"/>
        </w:rPr>
        <w:t>（1）设计业绩须同时提供①中标通知书（或免招标证明文件）、②合同关键页、③初步设计批复或施工图审査合格证书等证明文件清晰扫描件。</w:t>
      </w:r>
    </w:p>
    <w:p>
      <w:pPr>
        <w:snapToGrid w:val="0"/>
        <w:rPr>
          <w:rFonts w:ascii="宋体" w:hAnsi="宋体" w:cs="宋体"/>
          <w:szCs w:val="21"/>
        </w:rPr>
      </w:pPr>
      <w:r>
        <w:rPr>
          <w:rFonts w:hint="eastAsia" w:ascii="宋体" w:hAnsi="宋体" w:cs="宋体"/>
          <w:szCs w:val="21"/>
        </w:rPr>
        <w:t>（2）业绩时间以初步设计批复或施工图审査合格证书载明时间为准；项目总投资的证明文件可以是合同中有列明的可作为证明文件，如合同未列明的，可提交列明总投资金额的《项目建议书批文》或《可行性研究报告批文》或《企业投资项目备案证》作为证明材料。</w:t>
      </w:r>
    </w:p>
    <w:p>
      <w:pPr>
        <w:snapToGrid w:val="0"/>
        <w:rPr>
          <w:rFonts w:ascii="宋体" w:hAnsi="宋体" w:cs="宋体"/>
          <w:szCs w:val="21"/>
        </w:rPr>
      </w:pPr>
      <w:r>
        <w:rPr>
          <w:rFonts w:hint="eastAsia" w:ascii="宋体" w:hAnsi="宋体" w:cs="宋体"/>
          <w:szCs w:val="21"/>
        </w:rPr>
        <w:t>（3）同一项目含设计和勘察的按分别满足要求的各计算一次类似设计业绩和类似勘察业绩。</w:t>
      </w:r>
    </w:p>
    <w:p>
      <w:pPr>
        <w:snapToGrid w:val="0"/>
        <w:rPr>
          <w:rFonts w:ascii="宋体" w:hAnsi="宋体" w:cs="宋体"/>
          <w:szCs w:val="21"/>
        </w:rPr>
      </w:pPr>
      <w:r>
        <w:rPr>
          <w:rFonts w:hint="eastAsia" w:ascii="宋体" w:hAnsi="宋体" w:cs="宋体"/>
          <w:szCs w:val="21"/>
        </w:rPr>
        <w:t>（4）不符合上述条件或未提供上述资料的不得分。</w:t>
      </w:r>
    </w:p>
    <w:p>
      <w:pPr>
        <w:snapToGrid w:val="0"/>
        <w:rPr>
          <w:rFonts w:ascii="宋体" w:hAnsi="宋体" w:cs="宋体"/>
          <w:szCs w:val="21"/>
        </w:rPr>
      </w:pPr>
      <w:r>
        <w:rPr>
          <w:rFonts w:hint="eastAsia" w:ascii="宋体" w:hAnsi="宋体" w:cs="宋体"/>
          <w:szCs w:val="21"/>
        </w:rPr>
        <w:t>2、勘察业绩要求：</w:t>
      </w:r>
    </w:p>
    <w:p>
      <w:pPr>
        <w:snapToGrid w:val="0"/>
        <w:rPr>
          <w:rFonts w:ascii="宋体" w:hAnsi="宋体" w:cs="宋体"/>
          <w:szCs w:val="21"/>
        </w:rPr>
      </w:pPr>
      <w:r>
        <w:rPr>
          <w:rFonts w:hint="eastAsia" w:ascii="宋体" w:hAnsi="宋体" w:cs="宋体"/>
          <w:szCs w:val="21"/>
        </w:rPr>
        <w:t>（1）投标人须同时提供①中标通知书（或免招标证明文件）、②合同关键页、③勘察报告盖章签字页等证明文件清晰扫描件。</w:t>
      </w:r>
    </w:p>
    <w:p>
      <w:pPr>
        <w:snapToGrid w:val="0"/>
        <w:rPr>
          <w:rFonts w:ascii="宋体" w:hAnsi="宋体" w:cs="宋体"/>
          <w:szCs w:val="21"/>
        </w:rPr>
      </w:pPr>
      <w:r>
        <w:rPr>
          <w:rFonts w:hint="eastAsia" w:ascii="宋体" w:hAnsi="宋体" w:cs="宋体"/>
          <w:szCs w:val="21"/>
        </w:rPr>
        <w:t>（2）业绩时间以合同签订时间为准；项目总投资的证明文件可以提交有列明项目总投资金额的合同，如合同未列明的，可提交列明项目总投资金额的《项目建议书批文》或《可行性研究报告批文》或《企业投资项目备案证》作为证明文件。</w:t>
      </w:r>
    </w:p>
    <w:p>
      <w:pPr>
        <w:snapToGrid w:val="0"/>
        <w:rPr>
          <w:rFonts w:ascii="宋体" w:hAnsi="宋体" w:cs="宋体"/>
          <w:szCs w:val="21"/>
        </w:rPr>
      </w:pPr>
      <w:r>
        <w:rPr>
          <w:rFonts w:hint="eastAsia" w:ascii="宋体" w:hAnsi="宋体" w:cs="宋体"/>
          <w:szCs w:val="21"/>
        </w:rPr>
        <w:t>（3）同一项目含设计和勘察的按分别满足要求的各计算一次类似设计业绩和类似勘察业绩；</w:t>
      </w:r>
    </w:p>
    <w:p>
      <w:pPr>
        <w:snapToGrid w:val="0"/>
        <w:rPr>
          <w:rFonts w:ascii="宋体" w:hAnsi="宋体" w:cs="宋体"/>
          <w:szCs w:val="21"/>
        </w:rPr>
      </w:pPr>
      <w:r>
        <w:rPr>
          <w:rFonts w:hint="eastAsia" w:ascii="宋体" w:hAnsi="宋体" w:cs="宋体"/>
          <w:szCs w:val="21"/>
        </w:rPr>
        <w:t>（4）不符合上述条件或未提供上述资料的不得分。</w:t>
      </w:r>
    </w:p>
    <w:p>
      <w:pPr>
        <w:snapToGrid w:val="0"/>
        <w:rPr>
          <w:rFonts w:ascii="宋体" w:hAnsi="宋体" w:cs="宋体"/>
          <w:szCs w:val="21"/>
        </w:rPr>
      </w:pPr>
      <w:r>
        <w:rPr>
          <w:rFonts w:hint="eastAsia" w:ascii="宋体" w:hAnsi="宋体" w:cs="宋体"/>
          <w:szCs w:val="21"/>
        </w:rPr>
        <w:t>3、BIM业绩要求：</w:t>
      </w:r>
    </w:p>
    <w:p>
      <w:pPr>
        <w:snapToGrid w:val="0"/>
        <w:rPr>
          <w:rFonts w:ascii="宋体" w:hAnsi="宋体" w:cs="宋体"/>
          <w:szCs w:val="21"/>
        </w:rPr>
      </w:pPr>
      <w:r>
        <w:rPr>
          <w:rFonts w:hint="eastAsia" w:ascii="宋体" w:hAnsi="宋体" w:cs="宋体"/>
          <w:szCs w:val="21"/>
        </w:rPr>
        <w:t>（1）BIM业绩认定证明材料需同时提供①项目合同关键页、②经项目业主盖章确认的已完成BIM工作内容证明或BIM工作内容履约情况证明或BIM工作内容验收证明文件，BIM工作内容证明文件至少包含已完成了</w:t>
      </w:r>
      <w:r>
        <w:rPr>
          <w:rFonts w:hint="eastAsia" w:ascii="宋体" w:hAnsi="宋体" w:cs="宋体"/>
          <w:b/>
          <w:bCs/>
          <w:szCs w:val="21"/>
        </w:rPr>
        <w:t>初步设计阶段或施工图设计阶段中至少一个阶段</w:t>
      </w:r>
      <w:r>
        <w:rPr>
          <w:rFonts w:hint="eastAsia" w:ascii="宋体" w:hAnsi="宋体" w:cs="宋体"/>
          <w:szCs w:val="21"/>
        </w:rPr>
        <w:t>，证明文件以清晰扫描件方式提供并加盖投标人电子印章。注：已完成BIM工作内容证明或BIM工作内容履约情况证明或BIM工作内容验收证明文件。必须经项目业主盖章，如投标人所提供的上述文件只有投标人盖章无项目业主盖章则不予以认可。</w:t>
      </w:r>
    </w:p>
    <w:p>
      <w:pPr>
        <w:pStyle w:val="2"/>
        <w:ind w:firstLine="0" w:firstLineChars="0"/>
        <w:rPr>
          <w:rFonts w:ascii="宋体" w:hAnsi="宋体" w:cs="宋体"/>
          <w:sz w:val="21"/>
          <w:szCs w:val="21"/>
          <w:lang w:eastAsia="zh-CN"/>
        </w:rPr>
      </w:pPr>
      <w:r>
        <w:rPr>
          <w:rFonts w:hint="eastAsia" w:ascii="宋体" w:hAnsi="宋体" w:cs="宋体"/>
          <w:sz w:val="21"/>
          <w:szCs w:val="21"/>
          <w:lang w:eastAsia="zh-CN"/>
        </w:rPr>
        <w:t>（2）提供的合同中须明确含有BIM工作内容和相应项目建筑面积，如合同内容不明确，应提供其他能体现BIM工作内容和建筑面积的补充证明材料。业绩认定时间以合同签订时间为准。</w:t>
      </w:r>
    </w:p>
    <w:p>
      <w:pPr>
        <w:pStyle w:val="2"/>
        <w:ind w:firstLine="0" w:firstLineChars="0"/>
        <w:rPr>
          <w:rFonts w:ascii="宋体" w:hAnsi="宋体" w:cs="宋体"/>
          <w:sz w:val="21"/>
          <w:szCs w:val="21"/>
          <w:lang w:eastAsia="zh-CN"/>
        </w:rPr>
      </w:pPr>
      <w:r>
        <w:rPr>
          <w:rFonts w:hint="eastAsia" w:ascii="宋体" w:hAnsi="宋体" w:cs="宋体"/>
          <w:sz w:val="21"/>
          <w:szCs w:val="21"/>
          <w:lang w:eastAsia="zh-CN"/>
        </w:rPr>
        <w:t>（3）不符合上述条件或未提供上述资料的不得分。</w:t>
      </w:r>
    </w:p>
    <w:p>
      <w:pPr>
        <w:snapToGrid w:val="0"/>
        <w:rPr>
          <w:rFonts w:ascii="宋体" w:hAnsi="宋体" w:cs="宋体"/>
          <w:szCs w:val="21"/>
        </w:rPr>
      </w:pPr>
      <w:r>
        <w:rPr>
          <w:rFonts w:hint="eastAsia" w:ascii="宋体" w:hAnsi="宋体" w:cs="宋体"/>
          <w:szCs w:val="21"/>
        </w:rPr>
        <w:t>4、设计获奖要求：</w:t>
      </w:r>
    </w:p>
    <w:p>
      <w:pPr>
        <w:snapToGrid w:val="0"/>
        <w:rPr>
          <w:rFonts w:ascii="宋体" w:hAnsi="宋体" w:cs="宋体"/>
          <w:szCs w:val="21"/>
        </w:rPr>
      </w:pPr>
      <w:r>
        <w:rPr>
          <w:rFonts w:hint="eastAsia" w:ascii="宋体" w:hAnsi="宋体" w:cs="宋体"/>
          <w:szCs w:val="21"/>
        </w:rPr>
        <w:t>（1）设计奖项是指：</w:t>
      </w:r>
    </w:p>
    <w:p>
      <w:pPr>
        <w:snapToGrid w:val="0"/>
        <w:ind w:firstLine="420" w:firstLineChars="200"/>
        <w:rPr>
          <w:rFonts w:ascii="宋体" w:hAnsi="宋体" w:cs="宋体"/>
          <w:szCs w:val="21"/>
        </w:rPr>
      </w:pPr>
      <w:r>
        <w:rPr>
          <w:rFonts w:hint="eastAsia" w:ascii="宋体" w:hAnsi="宋体" w:cs="宋体"/>
          <w:szCs w:val="21"/>
          <w:lang w:val="zh-CN"/>
        </w:rPr>
        <w:t>国家级设计奖项是指</w:t>
      </w:r>
      <w:r>
        <w:rPr>
          <w:rFonts w:hint="eastAsia" w:ascii="宋体" w:hAnsi="宋体" w:cs="宋体"/>
          <w:szCs w:val="21"/>
        </w:rPr>
        <w:t>国务院颁发的“国家科学技术奖”、</w:t>
      </w:r>
      <w:r>
        <w:rPr>
          <w:rFonts w:hint="eastAsia" w:ascii="宋体" w:hAnsi="宋体" w:cs="宋体"/>
          <w:szCs w:val="21"/>
          <w:lang w:val="zh-CN"/>
        </w:rPr>
        <w:t>住建部颁发的“全国优秀工程勘察设计奖”、中国勘察设计协会颁发的“全国优秀工程勘察设计行业奖”或“行业优秀勘察设计奖”、住建部的华夏建设科学技术奖励委员会颁发的华夏建设科学技术奖；省、市级（含副省级）设计奖项是指省、市级（含副省级）人民政府颁发的科学技术奖及省、市级（含副省级）建设行政主管部门颁发的或批准的</w:t>
      </w:r>
      <w:r>
        <w:rPr>
          <w:rFonts w:hint="eastAsia" w:ascii="宋体" w:hAnsi="宋体" w:cs="宋体"/>
          <w:szCs w:val="21"/>
        </w:rPr>
        <w:t>勘察设计行业</w:t>
      </w:r>
      <w:r>
        <w:rPr>
          <w:rFonts w:hint="eastAsia" w:ascii="宋体" w:hAnsi="宋体" w:cs="宋体"/>
          <w:szCs w:val="21"/>
          <w:lang w:val="zh-CN"/>
        </w:rPr>
        <w:t>协会颁发的“优秀工程勘察设计奖”。</w:t>
      </w:r>
    </w:p>
    <w:p>
      <w:pPr>
        <w:snapToGrid w:val="0"/>
        <w:rPr>
          <w:rFonts w:ascii="宋体" w:hAnsi="宋体" w:cs="宋体"/>
          <w:szCs w:val="21"/>
        </w:rPr>
      </w:pPr>
      <w:r>
        <w:rPr>
          <w:rFonts w:hint="eastAsia" w:ascii="宋体" w:hAnsi="宋体" w:cs="宋体"/>
          <w:szCs w:val="21"/>
        </w:rPr>
        <w:t>（2）同一项目按最高奖项计取，不重复计取。若同一项目勘察和设计均获奖，则分别按勘察和设计的最高奖项各计取1次。时间以获奖证书上的颁发日期为准。</w:t>
      </w:r>
    </w:p>
    <w:p>
      <w:pPr>
        <w:snapToGrid w:val="0"/>
        <w:rPr>
          <w:rFonts w:ascii="宋体" w:hAnsi="宋体" w:cs="宋体"/>
          <w:szCs w:val="21"/>
        </w:rPr>
      </w:pPr>
      <w:r>
        <w:rPr>
          <w:rFonts w:hint="eastAsia" w:ascii="宋体" w:hAnsi="宋体" w:cs="宋体"/>
          <w:szCs w:val="21"/>
        </w:rPr>
        <w:t>（3）获奖业绩需提供项目获奖证书和合同关键页清晰扫描件并加盖投标单位电子印章。</w:t>
      </w:r>
    </w:p>
    <w:p>
      <w:pPr>
        <w:snapToGrid w:val="0"/>
        <w:rPr>
          <w:rFonts w:ascii="宋体" w:hAnsi="宋体" w:cs="宋体"/>
          <w:szCs w:val="21"/>
        </w:rPr>
      </w:pPr>
      <w:r>
        <w:rPr>
          <w:rFonts w:hint="eastAsia" w:ascii="宋体" w:hAnsi="宋体" w:cs="宋体"/>
          <w:szCs w:val="21"/>
        </w:rPr>
        <w:t>（4）不符合上述条件或未提供上述资料的不得分。</w:t>
      </w:r>
    </w:p>
    <w:p>
      <w:pPr>
        <w:snapToGrid w:val="0"/>
        <w:rPr>
          <w:rFonts w:ascii="宋体" w:hAnsi="宋体" w:cs="宋体"/>
          <w:szCs w:val="21"/>
        </w:rPr>
      </w:pPr>
      <w:r>
        <w:rPr>
          <w:rFonts w:hint="eastAsia" w:ascii="宋体" w:hAnsi="宋体" w:cs="宋体"/>
          <w:szCs w:val="21"/>
        </w:rPr>
        <w:t>5、勘察获奖要求：</w:t>
      </w:r>
    </w:p>
    <w:p>
      <w:pPr>
        <w:snapToGrid w:val="0"/>
        <w:rPr>
          <w:rFonts w:ascii="宋体" w:hAnsi="宋体" w:cs="宋体"/>
          <w:szCs w:val="21"/>
        </w:rPr>
      </w:pPr>
      <w:r>
        <w:rPr>
          <w:rFonts w:hint="eastAsia" w:ascii="宋体" w:hAnsi="宋体" w:cs="宋体"/>
          <w:szCs w:val="21"/>
        </w:rPr>
        <w:t>（1）勘察奖项是指：</w:t>
      </w:r>
      <w:r>
        <w:rPr>
          <w:rFonts w:hint="eastAsia" w:ascii="宋体" w:hAnsi="宋体" w:cs="宋体"/>
          <w:szCs w:val="21"/>
          <w:lang w:val="zh-TW"/>
        </w:rPr>
        <w:t>国家级</w:t>
      </w:r>
      <w:r>
        <w:rPr>
          <w:rFonts w:hint="eastAsia" w:ascii="宋体" w:hAnsi="宋体" w:cs="宋体"/>
          <w:szCs w:val="21"/>
        </w:rPr>
        <w:t>勘察</w:t>
      </w:r>
      <w:r>
        <w:rPr>
          <w:rFonts w:hint="eastAsia" w:ascii="宋体" w:hAnsi="宋体" w:cs="宋体"/>
          <w:szCs w:val="21"/>
          <w:lang w:val="zh-TW"/>
        </w:rPr>
        <w:t>奖项是指</w:t>
      </w:r>
      <w:r>
        <w:rPr>
          <w:rFonts w:hint="eastAsia" w:ascii="宋体" w:hAnsi="宋体" w:cs="宋体"/>
          <w:szCs w:val="21"/>
        </w:rPr>
        <w:t>国务院颁发的“国家科学技术奖”、</w:t>
      </w:r>
      <w:r>
        <w:rPr>
          <w:rFonts w:hint="eastAsia" w:ascii="宋体" w:hAnsi="宋体" w:cs="宋体"/>
          <w:szCs w:val="21"/>
          <w:lang w:val="zh-TW"/>
        </w:rPr>
        <w:t>住建部颁发的“全国优秀工程勘察设计奖”、中国勘察设计协会颁发的“全国优秀工程勘察设计行业奖”或“行业优秀勘察设计奖”建筑（工程）设计奖项；省、市级（含副省级）设计奖项是指</w:t>
      </w:r>
      <w:r>
        <w:rPr>
          <w:rFonts w:hint="eastAsia" w:ascii="宋体" w:hAnsi="宋体" w:cs="宋体"/>
          <w:szCs w:val="21"/>
          <w:lang w:val="zh-CN"/>
        </w:rPr>
        <w:t>省、市级（含副省级）人民政府颁发的科学技术奖及</w:t>
      </w:r>
      <w:r>
        <w:rPr>
          <w:rFonts w:hint="eastAsia" w:ascii="宋体" w:hAnsi="宋体" w:cs="宋体"/>
          <w:szCs w:val="21"/>
          <w:lang w:val="zh-TW"/>
        </w:rPr>
        <w:t>省、市级（含副省级）建设行政主管部门颁发的或批准的</w:t>
      </w:r>
      <w:r>
        <w:rPr>
          <w:rFonts w:hint="eastAsia" w:ascii="宋体" w:hAnsi="宋体" w:cs="宋体"/>
          <w:szCs w:val="21"/>
        </w:rPr>
        <w:t>勘察设计行业</w:t>
      </w:r>
      <w:r>
        <w:rPr>
          <w:rFonts w:hint="eastAsia" w:ascii="宋体" w:hAnsi="宋体" w:cs="宋体"/>
          <w:szCs w:val="21"/>
          <w:lang w:val="zh-TW"/>
        </w:rPr>
        <w:t>协会颁发的“优秀工程勘察设计奖”建筑（工程）设计奖项</w:t>
      </w:r>
      <w:r>
        <w:rPr>
          <w:rFonts w:hint="eastAsia" w:ascii="宋体" w:hAnsi="宋体" w:cs="宋体"/>
          <w:szCs w:val="21"/>
        </w:rPr>
        <w:t>。</w:t>
      </w:r>
    </w:p>
    <w:p>
      <w:pPr>
        <w:snapToGrid w:val="0"/>
        <w:rPr>
          <w:rFonts w:ascii="宋体" w:hAnsi="宋体" w:cs="宋体"/>
          <w:szCs w:val="21"/>
        </w:rPr>
      </w:pPr>
      <w:r>
        <w:rPr>
          <w:rFonts w:hint="eastAsia" w:ascii="宋体" w:hAnsi="宋体" w:cs="宋体"/>
          <w:szCs w:val="21"/>
        </w:rPr>
        <w:t>（2）同一项目按最高奖项计取，不重复计取。若同一项目勘察和设计均获奖，则分别按勘察和设计的最高奖项各计取1次。时间以获奖证书上的颁发日期为准。</w:t>
      </w:r>
    </w:p>
    <w:p>
      <w:pPr>
        <w:snapToGrid w:val="0"/>
        <w:rPr>
          <w:rFonts w:ascii="宋体" w:hAnsi="宋体" w:cs="宋体"/>
          <w:szCs w:val="21"/>
        </w:rPr>
      </w:pPr>
      <w:r>
        <w:rPr>
          <w:rFonts w:hint="eastAsia" w:ascii="宋体" w:hAnsi="宋体" w:cs="宋体"/>
          <w:szCs w:val="21"/>
        </w:rPr>
        <w:t>（3）获奖业绩需提供项目获奖证书和合同关键页清晰扫描件并加盖投标单位电子印章。</w:t>
      </w:r>
    </w:p>
    <w:p>
      <w:pPr>
        <w:snapToGrid w:val="0"/>
        <w:rPr>
          <w:rFonts w:ascii="宋体" w:hAnsi="宋体" w:cs="宋体"/>
          <w:szCs w:val="21"/>
        </w:rPr>
      </w:pPr>
      <w:r>
        <w:rPr>
          <w:rFonts w:hint="eastAsia" w:ascii="宋体" w:hAnsi="宋体" w:cs="宋体"/>
          <w:szCs w:val="21"/>
        </w:rPr>
        <w:t>（4）不符合上述条件或未提供上述资料的不得分。</w:t>
      </w:r>
    </w:p>
    <w:p>
      <w:pPr>
        <w:snapToGrid w:val="0"/>
        <w:rPr>
          <w:rFonts w:ascii="宋体" w:hAnsi="宋体" w:cs="宋体"/>
          <w:szCs w:val="21"/>
        </w:rPr>
      </w:pPr>
      <w:r>
        <w:rPr>
          <w:rFonts w:hint="eastAsia" w:ascii="宋体" w:hAnsi="宋体" w:cs="宋体"/>
          <w:szCs w:val="21"/>
        </w:rPr>
        <w:t>6、BIM获奖要求：</w:t>
      </w:r>
    </w:p>
    <w:p>
      <w:pPr>
        <w:snapToGrid w:val="0"/>
        <w:rPr>
          <w:rFonts w:ascii="宋体" w:hAnsi="宋体" w:cs="宋体"/>
          <w:szCs w:val="21"/>
        </w:rPr>
      </w:pPr>
      <w:r>
        <w:rPr>
          <w:rFonts w:hint="eastAsia" w:ascii="宋体" w:hAnsi="宋体" w:cs="宋体"/>
          <w:szCs w:val="21"/>
        </w:rPr>
        <w:t>（1）国家级奖项是指由中国勘察设计协会主办的“创新杯”建筑模型（BIM）应用大赛、中国图学学会主办的“龙图杯”全国BIM（建筑信息模型）大赛、中国建筑业协会颁发的BIM项目奖项；省级、市级（含副省级）奖项是指由</w:t>
      </w:r>
      <w:r>
        <w:rPr>
          <w:rFonts w:hint="eastAsia" w:ascii="宋体" w:hAnsi="宋体" w:cs="宋体"/>
          <w:szCs w:val="21"/>
          <w:lang w:val="zh-TW"/>
        </w:rPr>
        <w:t>省、市级（含副省级）建设行政主管部门颁发的或批准的</w:t>
      </w:r>
      <w:r>
        <w:rPr>
          <w:rFonts w:hint="eastAsia" w:ascii="宋体" w:hAnsi="宋体" w:cs="宋体"/>
          <w:szCs w:val="21"/>
        </w:rPr>
        <w:t>勘察设计行业协会颁发的BIM项目奖项。</w:t>
      </w:r>
    </w:p>
    <w:p>
      <w:pPr>
        <w:snapToGrid w:val="0"/>
        <w:rPr>
          <w:rFonts w:ascii="宋体" w:hAnsi="宋体" w:cs="宋体"/>
          <w:szCs w:val="21"/>
        </w:rPr>
      </w:pPr>
      <w:r>
        <w:rPr>
          <w:rFonts w:hint="eastAsia" w:ascii="宋体" w:hAnsi="宋体" w:cs="宋体"/>
          <w:szCs w:val="21"/>
        </w:rPr>
        <w:t>（2）同一项目按最高奖项计取，同一等级奖项不同类别或不同颁发机构的，仅计取一次，须同时提供①获奖证书、②合同关键页清晰扫描件并加盖投标单位电子印章，时间以获奖证书时间为准，如获奖证书上没有具体日期的，以住建部门或协会公布奖项评选结果的通知日期为准。</w:t>
      </w:r>
    </w:p>
    <w:p>
      <w:pPr>
        <w:snapToGrid w:val="0"/>
        <w:rPr>
          <w:rFonts w:ascii="宋体" w:hAnsi="宋体" w:cs="宋体"/>
          <w:szCs w:val="21"/>
        </w:rPr>
      </w:pPr>
      <w:r>
        <w:rPr>
          <w:rFonts w:hint="eastAsia" w:ascii="宋体" w:hAnsi="宋体" w:cs="宋体"/>
          <w:szCs w:val="21"/>
        </w:rPr>
        <w:t>（3）不符合上述条件或未提供上述资料的不得分。</w:t>
      </w:r>
    </w:p>
    <w:p>
      <w:pPr>
        <w:snapToGrid w:val="0"/>
        <w:rPr>
          <w:rFonts w:ascii="宋体" w:hAnsi="宋体" w:cs="宋体"/>
          <w:szCs w:val="21"/>
        </w:rPr>
      </w:pPr>
      <w:r>
        <w:rPr>
          <w:rFonts w:hint="eastAsia" w:ascii="宋体" w:hAnsi="宋体" w:cs="宋体"/>
          <w:szCs w:val="21"/>
        </w:rPr>
        <w:t>7、勘察设计管理班子配备情况</w:t>
      </w:r>
    </w:p>
    <w:p>
      <w:pPr>
        <w:snapToGrid w:val="0"/>
        <w:rPr>
          <w:rFonts w:ascii="宋体" w:hAnsi="宋体" w:cs="宋体"/>
          <w:szCs w:val="21"/>
        </w:rPr>
      </w:pPr>
      <w:r>
        <w:rPr>
          <w:rFonts w:hint="eastAsia" w:ascii="宋体" w:hAnsi="宋体" w:cs="宋体"/>
          <w:szCs w:val="21"/>
        </w:rPr>
        <w:t>（1）需提供拟派人员的职称证、注册证（如有）的证书清晰扫描件。</w:t>
      </w:r>
    </w:p>
    <w:p>
      <w:pPr>
        <w:snapToGrid w:val="0"/>
        <w:rPr>
          <w:rFonts w:ascii="宋体" w:hAnsi="宋体" w:cs="宋体"/>
          <w:szCs w:val="21"/>
        </w:rPr>
      </w:pPr>
      <w:r>
        <w:rPr>
          <w:rFonts w:hint="eastAsia" w:ascii="宋体" w:hAnsi="宋体" w:cs="宋体"/>
          <w:szCs w:val="21"/>
        </w:rPr>
        <w:t>（2）需提供投标截止时间前近1个月（2024年3月）的社保证明（不含投标截止当月）投标人单位为拟投入本项目人员购买的社会保险证明文</w:t>
      </w:r>
      <w:r>
        <w:rPr>
          <w:rFonts w:ascii="宋体" w:hAnsi="宋体" w:cs="宋体"/>
          <w:szCs w:val="21"/>
        </w:rPr>
        <w:t>件扫描件。</w:t>
      </w:r>
    </w:p>
    <w:p>
      <w:pPr>
        <w:snapToGrid w:val="0"/>
        <w:rPr>
          <w:rFonts w:ascii="宋体" w:hAnsi="宋体" w:cs="宋体"/>
          <w:szCs w:val="21"/>
        </w:rPr>
      </w:pPr>
      <w:r>
        <w:rPr>
          <w:rFonts w:ascii="宋体" w:hAnsi="宋体" w:cs="宋体"/>
          <w:szCs w:val="21"/>
        </w:rPr>
        <w:t>（3）项目管理团队的各专业设计负责人不可兼任，每专业仅计算一人得分，一个专业配置多人仅计算第一人得分。</w:t>
      </w:r>
    </w:p>
    <w:p>
      <w:pPr>
        <w:snapToGrid w:val="0"/>
        <w:rPr>
          <w:rFonts w:ascii="宋体" w:hAnsi="宋体" w:cs="宋体"/>
          <w:szCs w:val="21"/>
        </w:rPr>
      </w:pPr>
      <w:r>
        <w:rPr>
          <w:rFonts w:ascii="宋体" w:hAnsi="宋体" w:cs="宋体"/>
          <w:szCs w:val="21"/>
        </w:rPr>
        <w:t>（4）不符合上述条件或未提供上述资料的不得分。</w:t>
      </w:r>
    </w:p>
    <w:p>
      <w:pPr>
        <w:snapToGrid w:val="0"/>
        <w:rPr>
          <w:rFonts w:ascii="宋体" w:hAnsi="宋体" w:cs="宋体"/>
          <w:szCs w:val="21"/>
        </w:rPr>
      </w:pPr>
      <w:r>
        <w:rPr>
          <w:rFonts w:hint="eastAsia" w:ascii="宋体" w:hAnsi="宋体" w:cs="宋体"/>
          <w:szCs w:val="21"/>
        </w:rPr>
        <w:t>8</w:t>
      </w:r>
      <w:r>
        <w:rPr>
          <w:rFonts w:ascii="宋体" w:hAnsi="宋体" w:cs="宋体"/>
          <w:szCs w:val="21"/>
        </w:rPr>
        <w:t>、项目负责人资历要求</w:t>
      </w:r>
    </w:p>
    <w:p>
      <w:pPr>
        <w:snapToGrid w:val="0"/>
        <w:rPr>
          <w:rFonts w:ascii="宋体" w:hAnsi="宋体" w:cs="宋体"/>
          <w:szCs w:val="21"/>
        </w:rPr>
      </w:pPr>
      <w:r>
        <w:rPr>
          <w:rFonts w:ascii="宋体" w:hAnsi="宋体" w:cs="宋体"/>
          <w:szCs w:val="21"/>
        </w:rPr>
        <w:t>（1）需提供拟派人员的职称证、注册证（如有）、投标截止时间前近1个月（2024年</w:t>
      </w:r>
      <w:r>
        <w:rPr>
          <w:rFonts w:hint="eastAsia" w:ascii="宋体" w:hAnsi="宋体" w:cs="宋体"/>
          <w:szCs w:val="21"/>
        </w:rPr>
        <w:t>3</w:t>
      </w:r>
      <w:r>
        <w:rPr>
          <w:rFonts w:ascii="宋体" w:hAnsi="宋体" w:cs="宋体"/>
          <w:szCs w:val="21"/>
        </w:rPr>
        <w:t>月）的社保证明（不含投标截止当月）投标人单位为拟投入本项目人员购买的社会保险证明文件扫描件。</w:t>
      </w:r>
    </w:p>
    <w:p>
      <w:pPr>
        <w:snapToGrid w:val="0"/>
        <w:rPr>
          <w:rFonts w:ascii="宋体" w:hAnsi="宋体" w:cs="宋体"/>
          <w:szCs w:val="21"/>
        </w:rPr>
      </w:pPr>
      <w:r>
        <w:rPr>
          <w:rFonts w:ascii="宋体" w:hAnsi="宋体" w:cs="宋体"/>
          <w:szCs w:val="21"/>
        </w:rPr>
        <w:t>（2）类似项目业绩需提供①合同关键页、②初步设计批复或施工图审查合格书作为业绩证明文件，业绩时间以初步设计批复或施工图审查合格书时间为准。如果合同或初步设计批复或施工图审查单位出具的施工图审查合格书不能证明项目负责人的名字，必须另行提供有效证明文件证明。投标单位需提供能证明项目总投资的证明文件扫描件，加盖投标人电子印章。总投资证明文件可以是项目建议书批文、可行性研究报告批文或企业投资项目备案证。合同中列明项目总投资的，可做为项目总投资证明文件。</w:t>
      </w:r>
    </w:p>
    <w:p>
      <w:pPr>
        <w:snapToGrid w:val="0"/>
        <w:rPr>
          <w:rFonts w:ascii="宋体" w:hAnsi="宋体" w:cs="宋体"/>
          <w:szCs w:val="21"/>
        </w:rPr>
      </w:pPr>
      <w:r>
        <w:rPr>
          <w:rFonts w:ascii="宋体" w:hAnsi="宋体" w:cs="宋体"/>
          <w:szCs w:val="21"/>
        </w:rPr>
        <w:t>（3）不符合上述条件或未提供上述资料的不得分。</w:t>
      </w:r>
    </w:p>
    <w:p>
      <w:pPr>
        <w:snapToGrid w:val="0"/>
        <w:rPr>
          <w:rFonts w:ascii="宋体" w:hAnsi="宋体" w:cs="宋体"/>
          <w:szCs w:val="21"/>
        </w:rPr>
      </w:pPr>
      <w:r>
        <w:rPr>
          <w:rFonts w:hint="eastAsia" w:ascii="宋体" w:hAnsi="宋体" w:cs="宋体"/>
          <w:szCs w:val="21"/>
        </w:rPr>
        <w:t>9</w:t>
      </w:r>
      <w:r>
        <w:rPr>
          <w:rFonts w:ascii="宋体" w:hAnsi="宋体" w:cs="宋体"/>
          <w:szCs w:val="21"/>
        </w:rPr>
        <w:t>、勘察设计工作方案部分评分依据“先定档、后评分”的原则，具体要求如下：</w:t>
      </w:r>
    </w:p>
    <w:p>
      <w:pPr>
        <w:snapToGrid w:val="0"/>
        <w:rPr>
          <w:rFonts w:ascii="宋体" w:hAnsi="宋体" w:cs="宋体"/>
          <w:szCs w:val="21"/>
        </w:rPr>
      </w:pPr>
      <w:r>
        <w:rPr>
          <w:rFonts w:ascii="宋体" w:hAnsi="宋体" w:cs="宋体"/>
          <w:szCs w:val="21"/>
        </w:rPr>
        <w:t>1）每位评标专家应严格按照本章商务技术综合评分表规定的【好、中、差】等级标准对投标文件上进行评议，对通过有效性审查的各投标人进行定档评议。</w:t>
      </w:r>
    </w:p>
    <w:p>
      <w:pPr>
        <w:snapToGrid w:val="0"/>
        <w:rPr>
          <w:rFonts w:ascii="宋体" w:hAnsi="宋体" w:cs="宋体"/>
          <w:szCs w:val="21"/>
        </w:rPr>
      </w:pPr>
      <w:r>
        <w:rPr>
          <w:rFonts w:hint="eastAsia" w:ascii="宋体" w:hAnsi="宋体" w:cs="宋体"/>
          <w:szCs w:val="21"/>
        </w:rPr>
        <w:t>2）每位评标专家先递交各自的定档评议，定档分好、中、差三档，好为3分，中为2分，差为1分；经汇总并计算其算术平均分，最终按下表得出各投标人的最终档次。</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283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好</w:t>
            </w:r>
          </w:p>
        </w:tc>
        <w:tc>
          <w:tcPr>
            <w:tcW w:w="2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中</w:t>
            </w:r>
          </w:p>
        </w:tc>
        <w:tc>
          <w:tcPr>
            <w:tcW w:w="1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[2.5，3]</w:t>
            </w:r>
          </w:p>
        </w:tc>
        <w:tc>
          <w:tcPr>
            <w:tcW w:w="2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（1.5，2.5）</w:t>
            </w:r>
          </w:p>
        </w:tc>
        <w:tc>
          <w:tcPr>
            <w:tcW w:w="19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[1，1.5]</w:t>
            </w:r>
          </w:p>
        </w:tc>
      </w:tr>
    </w:tbl>
    <w:p>
      <w:pPr>
        <w:snapToGrid w:val="0"/>
        <w:rPr>
          <w:rFonts w:ascii="宋体" w:hAnsi="宋体" w:cs="宋体"/>
          <w:szCs w:val="21"/>
        </w:rPr>
      </w:pPr>
      <w:r>
        <w:rPr>
          <w:rFonts w:hint="eastAsia" w:ascii="宋体" w:hAnsi="宋体" w:cs="宋体"/>
          <w:szCs w:val="21"/>
        </w:rPr>
        <w:t>3）各评标专家必须对勘察设计工作方案部分中“评审项目”进行打分。</w:t>
      </w:r>
    </w:p>
    <w:p>
      <w:pPr>
        <w:snapToGrid w:val="0"/>
        <w:rPr>
          <w:rFonts w:ascii="宋体" w:hAnsi="宋体" w:cs="宋体"/>
          <w:szCs w:val="21"/>
        </w:rPr>
      </w:pPr>
      <w:r>
        <w:rPr>
          <w:rFonts w:hint="eastAsia" w:ascii="宋体" w:hAnsi="宋体" w:cs="宋体"/>
          <w:szCs w:val="21"/>
        </w:rPr>
        <w:t>4）各评标专家根据评标的最终档次和评分打分准则进行各自打分，评分不符合最终档次的无效，须按最终档次重新打分。</w:t>
      </w:r>
    </w:p>
    <w:p>
      <w:pPr>
        <w:snapToGrid w:val="0"/>
        <w:rPr>
          <w:rFonts w:ascii="宋体" w:hAnsi="宋体" w:cs="宋体"/>
          <w:szCs w:val="21"/>
        </w:rPr>
      </w:pPr>
      <w:r>
        <w:rPr>
          <w:rFonts w:hint="eastAsia" w:ascii="宋体" w:hAnsi="宋体" w:cs="宋体"/>
          <w:szCs w:val="21"/>
        </w:rPr>
        <w:t>5）对每一项去掉一个最高分和一个最低分后计取该单项算术平均分，分数出现小数点，保留小数点后两位，第三位小数四舍五入。</w:t>
      </w:r>
    </w:p>
    <w:p>
      <w:pPr>
        <w:snapToGrid w:val="0"/>
        <w:rPr>
          <w:rFonts w:ascii="宋体" w:hAnsi="宋体" w:cs="宋体"/>
          <w:szCs w:val="21"/>
        </w:rPr>
      </w:pPr>
      <w:r>
        <w:rPr>
          <w:rFonts w:hint="eastAsia" w:ascii="宋体" w:hAnsi="宋体" w:cs="宋体"/>
          <w:szCs w:val="21"/>
        </w:rPr>
        <w:t>10、本表中所有要求提供的证明资料扫描件需加盖投标人电子印章。未提供证明资料或提供的证明材料不齐全、不符合要求的，不得分。</w:t>
      </w:r>
    </w:p>
    <w:p>
      <w:pPr>
        <w:snapToGrid w:val="0"/>
        <w:rPr>
          <w:rFonts w:ascii="宋体" w:hAnsi="宋体"/>
        </w:rPr>
      </w:pPr>
      <w:r>
        <w:rPr>
          <w:rFonts w:hint="eastAsia" w:ascii="宋体" w:hAnsi="宋体" w:cs="宋体"/>
          <w:szCs w:val="21"/>
        </w:rPr>
        <w:t>11、投标人的得分为各评委评分的算术平均值（若分数出现小数点时，保留小数点后二位，第三位小数四舍五入）</w:t>
      </w:r>
      <w:r>
        <w:rPr>
          <w:rFonts w:hint="eastAsia" w:ascii="宋体" w:hAnsi="宋体"/>
        </w:rPr>
        <w:t>。</w:t>
      </w:r>
    </w:p>
    <w:p>
      <w:pPr>
        <w:pStyle w:val="36"/>
        <w:ind w:firstLine="440" w:firstLineChars="200"/>
        <w:rPr>
          <w:rFonts w:ascii="宋体" w:hAnsi="宋体" w:eastAsia="宋体" w:cs="宋体"/>
          <w:u w:val="single"/>
          <w:lang w:eastAsia="zh-CN"/>
        </w:rPr>
      </w:pPr>
    </w:p>
    <w:p>
      <w:pPr>
        <w:rPr>
          <w:rFonts w:ascii="宋体" w:hAnsi="宋体"/>
        </w:rPr>
        <w:sectPr>
          <w:pgSz w:w="15840" w:h="12240" w:orient="landscape"/>
          <w:pgMar w:top="1718" w:right="1502" w:bottom="1718" w:left="1123" w:header="0" w:footer="918" w:gutter="0"/>
          <w:cols w:space="720" w:num="1"/>
          <w:docGrid w:linePitch="286" w:charSpace="0"/>
        </w:sectPr>
      </w:pPr>
    </w:p>
    <w:p>
      <w:pPr>
        <w:rPr>
          <w:rFonts w:ascii="宋体" w:hAnsi="宋体"/>
          <w:b/>
          <w:bCs/>
        </w:rPr>
      </w:pPr>
      <w:r>
        <w:rPr>
          <w:rFonts w:hint="eastAsia" w:ascii="宋体" w:hAnsi="宋体"/>
        </w:rPr>
        <w:t>附件二：资格审查表</w:t>
      </w:r>
    </w:p>
    <w:p>
      <w:pPr>
        <w:pStyle w:val="12"/>
        <w:jc w:val="center"/>
        <w:rPr>
          <w:rFonts w:hAnsi="宋体"/>
          <w:b/>
          <w:bCs/>
          <w:sz w:val="32"/>
          <w:szCs w:val="32"/>
          <w:lang w:eastAsia="zh-CN"/>
        </w:rPr>
      </w:pPr>
      <w:r>
        <w:rPr>
          <w:rFonts w:hint="eastAsia" w:hAnsi="宋体"/>
          <w:b/>
          <w:bCs/>
          <w:sz w:val="32"/>
          <w:szCs w:val="32"/>
          <w:lang w:eastAsia="zh-CN"/>
        </w:rPr>
        <w:t>资格审查表</w:t>
      </w:r>
    </w:p>
    <w:p>
      <w:pPr>
        <w:pStyle w:val="12"/>
        <w:rPr>
          <w:rFonts w:hAnsi="宋体"/>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360680</wp:posOffset>
                </wp:positionH>
                <wp:positionV relativeFrom="paragraph">
                  <wp:posOffset>179705</wp:posOffset>
                </wp:positionV>
                <wp:extent cx="3643630" cy="428625"/>
                <wp:effectExtent l="635" t="6350" r="13335" b="22225"/>
                <wp:wrapNone/>
                <wp:docPr id="4" name="直接连接符 4"/>
                <wp:cNvGraphicFramePr/>
                <a:graphic xmlns:a="http://schemas.openxmlformats.org/drawingml/2006/main">
                  <a:graphicData uri="http://schemas.microsoft.com/office/word/2010/wordprocessingShape">
                    <wps:wsp>
                      <wps:cNvCnPr/>
                      <wps:spPr>
                        <a:xfrm>
                          <a:off x="1451610" y="1569720"/>
                          <a:ext cx="3643630" cy="4286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4pt;margin-top:14.15pt;height:33.75pt;width:286.9pt;z-index:251659264;mso-width-relative:page;mso-height-relative:page;" filled="f" stroked="t" coordsize="21600,21600" o:gfxdata="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9oN1QAAAAgBAAAPAAAAAAAAAAEAIAAAACIAAABkcnMvZG93bnJldi54bWxQ&#10;SwECFAAUAAAACACHTuJAt7t+bfoBAADDAwAADgAAAAAAAAABACAAAAAkAQAAZHJzL2Uyb0RvYy54&#10;bWxQSwUGAAAAAAYABgBZAQAAkAUAAAAA&#10;">
                <v:fill on="f" focussize="0,0"/>
                <v:stroke weight="1pt" color="#5B9BD5 [3204]" miterlimit="8" joinstyle="miter"/>
                <v:imagedata o:title=""/>
                <o:lock v:ext="edit" aspectratio="f"/>
              </v:line>
            </w:pict>
          </mc:Fallback>
        </mc:AlternateContent>
      </w:r>
      <w:r>
        <w:rPr>
          <w:rFonts w:hint="eastAsia" w:hAnsi="宋体"/>
        </w:rPr>
        <w:t>项目名称：</w:t>
      </w:r>
    </w:p>
    <w:tbl>
      <w:tblPr>
        <w:tblStyle w:val="24"/>
        <w:tblW w:w="8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1"/>
        <w:gridCol w:w="5770"/>
        <w:gridCol w:w="838"/>
        <w:gridCol w:w="839"/>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91" w:type="dxa"/>
            <w:vAlign w:val="center"/>
          </w:tcPr>
          <w:p>
            <w:pPr>
              <w:pStyle w:val="12"/>
              <w:jc w:val="center"/>
              <w:rPr>
                <w:rFonts w:hAnsi="宋体"/>
                <w:lang w:eastAsia="zh-CN"/>
              </w:rPr>
            </w:pPr>
            <w:r>
              <w:rPr>
                <w:rFonts w:hint="eastAsia" w:hAnsi="宋体"/>
                <w:lang w:eastAsia="zh-CN"/>
              </w:rPr>
              <w:t>序号</w:t>
            </w:r>
          </w:p>
        </w:tc>
        <w:tc>
          <w:tcPr>
            <w:tcW w:w="5770" w:type="dxa"/>
            <w:vAlign w:val="center"/>
          </w:tcPr>
          <w:p>
            <w:pPr>
              <w:pStyle w:val="12"/>
              <w:rPr>
                <w:rFonts w:hAnsi="宋体"/>
                <w:sz w:val="20"/>
                <w:lang w:eastAsia="zh-CN"/>
              </w:rPr>
            </w:pPr>
            <w:r>
              <w:rPr>
                <w:rFonts w:hint="eastAsia" w:hAnsi="宋体"/>
                <w:lang w:eastAsia="zh-CN"/>
              </w:rPr>
              <w:t xml:space="preserve">                             投标人名称</w:t>
            </w:r>
          </w:p>
          <w:p>
            <w:pPr>
              <w:pStyle w:val="12"/>
              <w:rPr>
                <w:rFonts w:hAnsi="宋体"/>
                <w:b/>
                <w:bCs/>
                <w:lang w:eastAsia="zh-CN"/>
              </w:rPr>
            </w:pPr>
            <w:r>
              <w:rPr>
                <w:rFonts w:hint="eastAsia" w:hAnsi="宋体"/>
                <w:lang w:eastAsia="zh-CN"/>
              </w:rPr>
              <w:t>审查项目</w:t>
            </w:r>
          </w:p>
        </w:tc>
        <w:tc>
          <w:tcPr>
            <w:tcW w:w="838" w:type="dxa"/>
            <w:vAlign w:val="center"/>
          </w:tcPr>
          <w:p>
            <w:pPr>
              <w:pStyle w:val="12"/>
              <w:jc w:val="center"/>
              <w:rPr>
                <w:rFonts w:hAnsi="宋体"/>
                <w:b/>
                <w:bCs/>
                <w:sz w:val="32"/>
                <w:szCs w:val="32"/>
                <w:lang w:eastAsia="zh-CN"/>
              </w:rPr>
            </w:pPr>
          </w:p>
        </w:tc>
        <w:tc>
          <w:tcPr>
            <w:tcW w:w="839" w:type="dxa"/>
            <w:vAlign w:val="center"/>
          </w:tcPr>
          <w:p>
            <w:pPr>
              <w:pStyle w:val="12"/>
              <w:jc w:val="center"/>
              <w:rPr>
                <w:rFonts w:hAnsi="宋体"/>
                <w:b/>
                <w:bCs/>
                <w:sz w:val="32"/>
                <w:szCs w:val="32"/>
                <w:lang w:eastAsia="zh-CN"/>
              </w:rPr>
            </w:pPr>
          </w:p>
        </w:tc>
        <w:tc>
          <w:tcPr>
            <w:tcW w:w="840" w:type="dxa"/>
            <w:vAlign w:val="center"/>
          </w:tcPr>
          <w:p>
            <w:pPr>
              <w:pStyle w:val="12"/>
              <w:jc w:val="center"/>
              <w:rPr>
                <w:rFonts w:hAnsi="宋体"/>
                <w:b/>
                <w:bCs/>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91" w:type="dxa"/>
            <w:vAlign w:val="center"/>
          </w:tcPr>
          <w:p>
            <w:pPr>
              <w:pStyle w:val="12"/>
              <w:jc w:val="center"/>
              <w:rPr>
                <w:rFonts w:hAnsi="宋体"/>
                <w:lang w:eastAsia="zh-CN"/>
              </w:rPr>
            </w:pPr>
            <w:r>
              <w:rPr>
                <w:rFonts w:hint="eastAsia" w:hAnsi="宋体"/>
                <w:lang w:eastAsia="zh-CN"/>
              </w:rPr>
              <w:t>1</w:t>
            </w:r>
          </w:p>
        </w:tc>
        <w:tc>
          <w:tcPr>
            <w:tcW w:w="5770" w:type="dxa"/>
            <w:vAlign w:val="center"/>
          </w:tcPr>
          <w:p>
            <w:pPr>
              <w:pStyle w:val="12"/>
              <w:rPr>
                <w:rFonts w:hAnsi="宋体"/>
                <w:lang w:eastAsia="zh-CN"/>
              </w:rPr>
            </w:pPr>
            <w:r>
              <w:rPr>
                <w:rFonts w:hint="eastAsia" w:hAnsi="宋体"/>
                <w:lang w:eastAsia="zh-CN"/>
              </w:rPr>
              <w:t>投标人（如为联合体，则联合体各方）与招标人过去3年内无合同履约纠纷，没有不得参加投标的情形；</w:t>
            </w:r>
            <w:r>
              <w:rPr>
                <w:rFonts w:hint="eastAsia" w:hAnsi="宋体" w:eastAsia="宋体" w:cs="宋体"/>
                <w:sz w:val="21"/>
                <w:szCs w:val="21"/>
                <w:lang w:eastAsia="zh-CN"/>
              </w:rPr>
              <w:t>（</w:t>
            </w:r>
            <w:r>
              <w:rPr>
                <w:rFonts w:hint="eastAsia" w:hAnsi="宋体"/>
                <w:lang w:eastAsia="zh-CN"/>
              </w:rPr>
              <w:t>以投标人提供的《投标人声明》为评审依据。）</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1" w:type="dxa"/>
            <w:vAlign w:val="center"/>
          </w:tcPr>
          <w:p>
            <w:pPr>
              <w:pStyle w:val="12"/>
              <w:jc w:val="center"/>
              <w:rPr>
                <w:rFonts w:hAnsi="宋体"/>
                <w:lang w:eastAsia="zh-CN"/>
              </w:rPr>
            </w:pPr>
            <w:r>
              <w:rPr>
                <w:rFonts w:hint="eastAsia" w:hAnsi="宋体"/>
                <w:lang w:eastAsia="zh-CN"/>
              </w:rPr>
              <w:t>2</w:t>
            </w:r>
          </w:p>
        </w:tc>
        <w:tc>
          <w:tcPr>
            <w:tcW w:w="5770" w:type="dxa"/>
            <w:vAlign w:val="center"/>
          </w:tcPr>
          <w:p>
            <w:pPr>
              <w:pStyle w:val="12"/>
              <w:rPr>
                <w:rFonts w:hAnsi="宋体"/>
                <w:lang w:eastAsia="zh-CN"/>
              </w:rPr>
            </w:pPr>
            <w:r>
              <w:rPr>
                <w:rFonts w:hint="eastAsia" w:hAnsi="宋体"/>
                <w:lang w:eastAsia="zh-CN"/>
              </w:rPr>
              <w:t>投标人的资质满足招标公告规定。</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591" w:type="dxa"/>
            <w:vAlign w:val="center"/>
          </w:tcPr>
          <w:p>
            <w:pPr>
              <w:pStyle w:val="12"/>
              <w:jc w:val="center"/>
              <w:rPr>
                <w:rFonts w:hAnsi="宋体"/>
                <w:lang w:eastAsia="zh-CN"/>
              </w:rPr>
            </w:pPr>
            <w:r>
              <w:rPr>
                <w:rFonts w:hint="eastAsia" w:hAnsi="宋体"/>
                <w:lang w:eastAsia="zh-CN"/>
              </w:rPr>
              <w:t>3</w:t>
            </w:r>
          </w:p>
        </w:tc>
        <w:tc>
          <w:tcPr>
            <w:tcW w:w="5770" w:type="dxa"/>
            <w:vAlign w:val="center"/>
          </w:tcPr>
          <w:p>
            <w:pPr>
              <w:pStyle w:val="12"/>
              <w:rPr>
                <w:rFonts w:hAnsi="宋体"/>
                <w:lang w:eastAsia="zh-CN"/>
              </w:rPr>
            </w:pPr>
            <w:r>
              <w:rPr>
                <w:rFonts w:hint="eastAsia" w:hAnsi="宋体"/>
                <w:lang w:eastAsia="zh-CN"/>
              </w:rPr>
              <w:t>外国或澳门、台湾的设计企业必须选择一家符合上述条件（招标公告第5.1条、第5.2.2条要求）的国内投标人进行合作设计。香港企业如不单独参加投标，也必须选择一家符合上述条件（招标公告第5.1条、第5.2.2条要求）的国内投标人进行合作设计；（需提供合作设计协议书。）</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91" w:type="dxa"/>
            <w:vAlign w:val="center"/>
          </w:tcPr>
          <w:p>
            <w:pPr>
              <w:pStyle w:val="12"/>
              <w:jc w:val="center"/>
              <w:rPr>
                <w:rFonts w:hAnsi="宋体"/>
                <w:lang w:eastAsia="zh-CN"/>
              </w:rPr>
            </w:pPr>
            <w:r>
              <w:rPr>
                <w:rFonts w:hint="eastAsia" w:hAnsi="宋体"/>
                <w:lang w:eastAsia="zh-CN"/>
              </w:rPr>
              <w:t>4</w:t>
            </w:r>
          </w:p>
        </w:tc>
        <w:tc>
          <w:tcPr>
            <w:tcW w:w="5770" w:type="dxa"/>
            <w:vAlign w:val="center"/>
          </w:tcPr>
          <w:p>
            <w:pPr>
              <w:pStyle w:val="12"/>
              <w:rPr>
                <w:rFonts w:hAnsi="宋体"/>
                <w:lang w:eastAsia="zh-CN"/>
              </w:rPr>
            </w:pPr>
            <w:r>
              <w:rPr>
                <w:rFonts w:hint="eastAsia" w:hAnsi="宋体"/>
                <w:lang w:eastAsia="zh-CN" w:bidi="ar"/>
              </w:rPr>
              <w:t>投标人（如为联合体，则联合体各方）已在广州市住房和城乡建设局建立企业信用档案，拟委派的项目负责人须是本企业信用档案中的在册人员。</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1" w:type="dxa"/>
            <w:vAlign w:val="center"/>
          </w:tcPr>
          <w:p>
            <w:pPr>
              <w:pStyle w:val="12"/>
              <w:jc w:val="center"/>
              <w:rPr>
                <w:rFonts w:hAnsi="宋体"/>
                <w:lang w:eastAsia="zh-CN"/>
              </w:rPr>
            </w:pPr>
            <w:r>
              <w:rPr>
                <w:rFonts w:hint="eastAsia" w:hAnsi="宋体"/>
                <w:lang w:eastAsia="zh-CN"/>
              </w:rPr>
              <w:t>5</w:t>
            </w:r>
          </w:p>
        </w:tc>
        <w:tc>
          <w:tcPr>
            <w:tcW w:w="5770" w:type="dxa"/>
            <w:vAlign w:val="center"/>
          </w:tcPr>
          <w:p>
            <w:pPr>
              <w:pStyle w:val="12"/>
              <w:rPr>
                <w:rFonts w:hAnsi="宋体"/>
                <w:lang w:eastAsia="zh-CN"/>
              </w:rPr>
            </w:pPr>
            <w:r>
              <w:rPr>
                <w:rFonts w:hint="eastAsia" w:hAnsi="宋体"/>
                <w:lang w:eastAsia="zh-CN" w:bidi="ar"/>
              </w:rPr>
              <w:t>投标人</w:t>
            </w:r>
            <w:r>
              <w:rPr>
                <w:rFonts w:hint="eastAsia" w:hAnsi="宋体"/>
                <w:lang w:eastAsia="zh-CN"/>
              </w:rPr>
              <w:t>拟派项目负责人资格满足招标公告规定。</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1" w:type="dxa"/>
            <w:vAlign w:val="center"/>
          </w:tcPr>
          <w:p>
            <w:pPr>
              <w:pStyle w:val="12"/>
              <w:jc w:val="center"/>
              <w:rPr>
                <w:rFonts w:hAnsi="宋体"/>
                <w:lang w:eastAsia="zh-CN"/>
              </w:rPr>
            </w:pPr>
            <w:r>
              <w:rPr>
                <w:rFonts w:hint="eastAsia" w:hAnsi="宋体"/>
                <w:lang w:eastAsia="zh-CN"/>
              </w:rPr>
              <w:t>6</w:t>
            </w:r>
          </w:p>
        </w:tc>
        <w:tc>
          <w:tcPr>
            <w:tcW w:w="5770" w:type="dxa"/>
            <w:vAlign w:val="center"/>
          </w:tcPr>
          <w:p>
            <w:pPr>
              <w:pStyle w:val="12"/>
              <w:rPr>
                <w:rFonts w:hAnsi="宋体"/>
                <w:lang w:eastAsia="zh-CN" w:bidi="ar"/>
              </w:rPr>
            </w:pPr>
            <w:r>
              <w:rPr>
                <w:rFonts w:hint="eastAsia" w:hAnsi="宋体"/>
                <w:lang w:eastAsia="zh-CN" w:bidi="ar"/>
              </w:rPr>
              <w:t>联合体投标的，递交《联合体协议书》，且满足招标公告5.6的规定。</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91" w:type="dxa"/>
            <w:vAlign w:val="center"/>
          </w:tcPr>
          <w:p>
            <w:pPr>
              <w:pStyle w:val="12"/>
              <w:jc w:val="center"/>
              <w:rPr>
                <w:rFonts w:hAnsi="宋体"/>
                <w:lang w:eastAsia="zh-CN"/>
              </w:rPr>
            </w:pPr>
            <w:r>
              <w:rPr>
                <w:rFonts w:hint="eastAsia" w:hAnsi="宋体"/>
                <w:lang w:eastAsia="zh-CN"/>
              </w:rPr>
              <w:t>7</w:t>
            </w:r>
          </w:p>
        </w:tc>
        <w:tc>
          <w:tcPr>
            <w:tcW w:w="5770" w:type="dxa"/>
            <w:vAlign w:val="center"/>
          </w:tcPr>
          <w:p>
            <w:pPr>
              <w:pStyle w:val="12"/>
              <w:rPr>
                <w:rFonts w:hAnsi="宋体"/>
                <w:lang w:eastAsia="zh-CN" w:bidi="ar"/>
              </w:rPr>
            </w:pPr>
            <w:r>
              <w:rPr>
                <w:rFonts w:hint="eastAsia" w:hAnsi="宋体"/>
                <w:lang w:eastAsia="zh-CN" w:bidi="ar"/>
              </w:rPr>
              <w:t>投标人没有招标文件第二章第1.4.3项规定的任何一种情形（根据《投标人声明》进行评审），投标人须按《投标人声明》规定的格式填写并加盖投标人章）。</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91" w:type="dxa"/>
            <w:vAlign w:val="center"/>
          </w:tcPr>
          <w:p>
            <w:pPr>
              <w:pStyle w:val="12"/>
              <w:jc w:val="center"/>
              <w:rPr>
                <w:rFonts w:hAnsi="宋体"/>
                <w:lang w:eastAsia="zh-CN"/>
              </w:rPr>
            </w:pPr>
            <w:r>
              <w:rPr>
                <w:rFonts w:hint="eastAsia" w:hAnsi="宋体"/>
                <w:lang w:eastAsia="zh-CN"/>
              </w:rPr>
              <w:t>8</w:t>
            </w:r>
          </w:p>
        </w:tc>
        <w:tc>
          <w:tcPr>
            <w:tcW w:w="5770" w:type="dxa"/>
            <w:vAlign w:val="center"/>
          </w:tcPr>
          <w:p>
            <w:pPr>
              <w:rPr>
                <w:rFonts w:ascii="宋体" w:hAnsi="宋体" w:eastAsia="Calibri"/>
                <w:kern w:val="0"/>
                <w:sz w:val="22"/>
                <w:szCs w:val="20"/>
                <w:lang w:bidi="ar"/>
              </w:rPr>
            </w:pPr>
            <w:r>
              <w:rPr>
                <w:rFonts w:hint="eastAsia" w:ascii="宋体" w:hAnsi="宋体" w:eastAsia="Calibri"/>
                <w:kern w:val="0"/>
                <w:sz w:val="22"/>
                <w:szCs w:val="20"/>
                <w:lang w:bidi="ar"/>
              </w:rPr>
              <w:t>未被列入拖欠农民工工资失信联合惩戒对象名单。</w:t>
            </w:r>
          </w:p>
          <w:p>
            <w:pPr>
              <w:pStyle w:val="12"/>
              <w:rPr>
                <w:rFonts w:hAnsi="宋体"/>
                <w:lang w:eastAsia="zh-CN" w:bidi="ar"/>
              </w:rPr>
            </w:pPr>
            <w:r>
              <w:rPr>
                <w:rFonts w:hint="eastAsia" w:hAnsi="宋体"/>
                <w:lang w:eastAsia="zh-CN"/>
              </w:rPr>
              <w:t>（按广州公共资源交易中心交易系统比对结果进行评审。）</w:t>
            </w:r>
          </w:p>
        </w:tc>
        <w:tc>
          <w:tcPr>
            <w:tcW w:w="838" w:type="dxa"/>
            <w:vAlign w:val="center"/>
          </w:tcPr>
          <w:p>
            <w:pPr>
              <w:pStyle w:val="12"/>
              <w:rPr>
                <w:rFonts w:hAnsi="宋体"/>
                <w:lang w:eastAsia="zh-CN"/>
              </w:rPr>
            </w:pPr>
          </w:p>
        </w:tc>
        <w:tc>
          <w:tcPr>
            <w:tcW w:w="839" w:type="dxa"/>
            <w:vAlign w:val="center"/>
          </w:tcPr>
          <w:p>
            <w:pPr>
              <w:pStyle w:val="12"/>
              <w:rPr>
                <w:rFonts w:hAnsi="宋体"/>
                <w:lang w:eastAsia="zh-CN"/>
              </w:rPr>
            </w:pPr>
          </w:p>
        </w:tc>
        <w:tc>
          <w:tcPr>
            <w:tcW w:w="840" w:type="dxa"/>
            <w:vAlign w:val="center"/>
          </w:tcPr>
          <w:p>
            <w:pPr>
              <w:pStyle w:val="12"/>
              <w:rPr>
                <w:rFonts w:hAnsi="宋体"/>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1" w:type="dxa"/>
            <w:vAlign w:val="center"/>
          </w:tcPr>
          <w:p>
            <w:pPr>
              <w:pStyle w:val="12"/>
              <w:jc w:val="center"/>
              <w:rPr>
                <w:rFonts w:hAnsi="宋体"/>
                <w:lang w:eastAsia="zh-CN"/>
              </w:rPr>
            </w:pPr>
            <w:r>
              <w:rPr>
                <w:rFonts w:hint="eastAsia" w:hAnsi="宋体"/>
                <w:lang w:eastAsia="zh-CN"/>
              </w:rPr>
              <w:t>结论</w:t>
            </w:r>
          </w:p>
        </w:tc>
        <w:tc>
          <w:tcPr>
            <w:tcW w:w="5770" w:type="dxa"/>
            <w:vAlign w:val="center"/>
          </w:tcPr>
          <w:p>
            <w:pPr>
              <w:pStyle w:val="12"/>
              <w:rPr>
                <w:rFonts w:hAnsi="宋体"/>
                <w:lang w:eastAsia="zh-CN"/>
              </w:rPr>
            </w:pPr>
            <w:r>
              <w:rPr>
                <w:rFonts w:hint="eastAsia" w:hAnsi="宋体"/>
                <w:lang w:eastAsia="zh-CN"/>
              </w:rPr>
              <w:t>是否通过并进入下一阶段评审</w:t>
            </w:r>
          </w:p>
        </w:tc>
        <w:tc>
          <w:tcPr>
            <w:tcW w:w="838" w:type="dxa"/>
            <w:vAlign w:val="center"/>
          </w:tcPr>
          <w:p>
            <w:pPr>
              <w:pStyle w:val="12"/>
              <w:jc w:val="center"/>
              <w:rPr>
                <w:rFonts w:hAnsi="宋体"/>
                <w:b/>
                <w:bCs/>
                <w:sz w:val="32"/>
                <w:szCs w:val="32"/>
                <w:lang w:eastAsia="zh-CN"/>
              </w:rPr>
            </w:pPr>
          </w:p>
        </w:tc>
        <w:tc>
          <w:tcPr>
            <w:tcW w:w="839" w:type="dxa"/>
            <w:vAlign w:val="center"/>
          </w:tcPr>
          <w:p>
            <w:pPr>
              <w:pStyle w:val="12"/>
              <w:jc w:val="center"/>
              <w:rPr>
                <w:rFonts w:hAnsi="宋体"/>
                <w:b/>
                <w:bCs/>
                <w:sz w:val="32"/>
                <w:szCs w:val="32"/>
                <w:lang w:eastAsia="zh-CN"/>
              </w:rPr>
            </w:pPr>
          </w:p>
        </w:tc>
        <w:tc>
          <w:tcPr>
            <w:tcW w:w="840" w:type="dxa"/>
            <w:vAlign w:val="center"/>
          </w:tcPr>
          <w:p>
            <w:pPr>
              <w:pStyle w:val="12"/>
              <w:jc w:val="center"/>
              <w:rPr>
                <w:rFonts w:hAnsi="宋体"/>
                <w:b/>
                <w:bCs/>
                <w:sz w:val="32"/>
                <w:szCs w:val="32"/>
                <w:lang w:eastAsia="zh-CN"/>
              </w:rPr>
            </w:pPr>
          </w:p>
        </w:tc>
      </w:tr>
    </w:tbl>
    <w:p>
      <w:pPr>
        <w:snapToGrid w:val="0"/>
        <w:rPr>
          <w:rFonts w:ascii="宋体" w:hAnsi="宋体" w:cs="Calibri"/>
          <w:szCs w:val="21"/>
        </w:rPr>
      </w:pPr>
      <w:r>
        <w:rPr>
          <w:rFonts w:hint="eastAsia" w:ascii="宋体" w:hAnsi="宋体"/>
        </w:rPr>
        <w:t>备注：1、根据本表的审查项目，填“通过”或“不通过”。对于序号3，非“外国或澳门、台湾的设计企业和香港不单独参加投标的设计企业”，该评审项用“通过”表示。</w:t>
      </w:r>
    </w:p>
    <w:p>
      <w:pPr>
        <w:snapToGrid w:val="0"/>
        <w:ind w:left="840" w:leftChars="300" w:hanging="210" w:hangingChars="100"/>
        <w:rPr>
          <w:rFonts w:ascii="宋体" w:hAnsi="宋体"/>
        </w:rPr>
      </w:pPr>
      <w:r>
        <w:rPr>
          <w:rFonts w:hint="eastAsia" w:ascii="宋体" w:hAnsi="宋体"/>
        </w:rPr>
        <w:t>2、表中出现一个或以上“不通过”，即该投标人的评审“结论”为“不通过”。</w:t>
      </w:r>
    </w:p>
    <w:p>
      <w:pPr>
        <w:snapToGrid w:val="0"/>
        <w:ind w:left="840" w:leftChars="300" w:hanging="210" w:hangingChars="100"/>
        <w:rPr>
          <w:rStyle w:val="32"/>
        </w:rPr>
      </w:pPr>
      <w:r>
        <w:rPr>
          <w:rFonts w:hint="eastAsia" w:ascii="宋体" w:hAnsi="宋体"/>
        </w:rPr>
        <w:t>3、表中全部评审结果为“通过”，即该投标人的评审“结论”为“通过”。</w:t>
      </w:r>
    </w:p>
    <w:p>
      <w:pPr>
        <w:pStyle w:val="2"/>
        <w:ind w:firstLine="630" w:firstLineChars="300"/>
        <w:rPr>
          <w:rFonts w:eastAsia="宋体"/>
          <w:lang w:eastAsia="zh-CN"/>
        </w:rPr>
      </w:pPr>
      <w:r>
        <w:rPr>
          <w:rStyle w:val="32"/>
          <w:rFonts w:hint="eastAsia" w:eastAsia="宋体"/>
          <w:lang w:eastAsia="zh-CN"/>
        </w:rPr>
        <w:t>4、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snapToGrid w:val="0"/>
        <w:rPr>
          <w:rFonts w:ascii="宋体" w:hAnsi="宋体"/>
        </w:rPr>
      </w:pPr>
      <w:r>
        <w:rPr>
          <w:rFonts w:hint="eastAsia" w:ascii="宋体" w:hAnsi="宋体"/>
        </w:rPr>
        <w:t xml:space="preserve"> </w:t>
      </w:r>
    </w:p>
    <w:p>
      <w:pPr>
        <w:spacing w:line="360" w:lineRule="auto"/>
        <w:rPr>
          <w:rFonts w:ascii="宋体" w:hAnsi="宋体"/>
        </w:rPr>
      </w:pPr>
      <w:r>
        <w:rPr>
          <w:rFonts w:hint="eastAsia" w:ascii="宋体" w:hAnsi="宋体"/>
        </w:rPr>
        <w:t>评委签名：                     日期</w:t>
      </w:r>
    </w:p>
    <w:p>
      <w:pPr>
        <w:spacing w:line="360" w:lineRule="auto"/>
        <w:rPr>
          <w:rFonts w:ascii="宋体" w:hAnsi="宋体"/>
        </w:rPr>
      </w:pPr>
    </w:p>
    <w:p>
      <w:pPr>
        <w:spacing w:line="360" w:lineRule="auto"/>
        <w:rPr>
          <w:rFonts w:ascii="宋体" w:hAnsi="宋体"/>
        </w:rPr>
      </w:pPr>
    </w:p>
    <w:p>
      <w:pPr>
        <w:pStyle w:val="5"/>
        <w:spacing w:line="360" w:lineRule="auto"/>
        <w:ind w:right="44"/>
        <w:rPr>
          <w:rFonts w:ascii="宋体" w:hAnsi="宋体"/>
          <w:sz w:val="24"/>
          <w:szCs w:val="24"/>
        </w:rPr>
      </w:pPr>
      <w:bookmarkStart w:id="18" w:name="_Toc18465"/>
      <w:r>
        <w:rPr>
          <w:rFonts w:ascii="宋体" w:hAnsi="宋体"/>
        </w:rPr>
        <w:t>1. 评标方法</w:t>
      </w:r>
      <w:bookmarkEnd w:id="18"/>
    </w:p>
    <w:p>
      <w:pPr>
        <w:spacing w:line="360" w:lineRule="auto"/>
        <w:ind w:firstLine="480" w:firstLineChars="200"/>
        <w:rPr>
          <w:rFonts w:ascii="宋体" w:hAnsi="宋体"/>
          <w:sz w:val="24"/>
          <w:szCs w:val="24"/>
        </w:rPr>
      </w:pPr>
      <w:r>
        <w:rPr>
          <w:rFonts w:hint="eastAsia"/>
          <w:sz w:val="24"/>
          <w:szCs w:val="24"/>
        </w:rPr>
        <w:t>本次评标采用综合评估法。评标委员会对满足招标文件实质性要求的投标文件，按照本章规定的评分标准进行打分，并按得分由高到低顺序推荐前三名作为中标候选人，综合评分相等的，以勘察设计工作方案得分高的优先；勘察设计工作方案得分也相等的，以资信业绩得分高的优先；如果资信业绩得分也相等，以报价低者优先；如果报价也相等，则由评委以投票方式进行表决，确定相等得分的中标候选人的排序。</w:t>
      </w:r>
    </w:p>
    <w:p>
      <w:pPr>
        <w:pStyle w:val="5"/>
        <w:spacing w:line="360" w:lineRule="auto"/>
        <w:ind w:right="44"/>
        <w:rPr>
          <w:rFonts w:ascii="宋体" w:hAnsi="宋体"/>
          <w:sz w:val="24"/>
          <w:szCs w:val="24"/>
        </w:rPr>
      </w:pPr>
      <w:bookmarkStart w:id="19" w:name="_Toc8909"/>
      <w:r>
        <w:rPr>
          <w:rFonts w:ascii="宋体" w:hAnsi="宋体"/>
        </w:rPr>
        <w:t>2. 评审标准</w:t>
      </w:r>
      <w:bookmarkEnd w:id="19"/>
    </w:p>
    <w:p>
      <w:pPr>
        <w:pStyle w:val="6"/>
        <w:spacing w:line="360" w:lineRule="auto"/>
        <w:ind w:right="44"/>
      </w:pPr>
      <w:r>
        <w:t>2.1初步评审标准</w:t>
      </w:r>
    </w:p>
    <w:p>
      <w:pPr>
        <w:pStyle w:val="9"/>
        <w:spacing w:line="360" w:lineRule="auto"/>
        <w:ind w:left="0" w:firstLine="480" w:firstLineChars="200"/>
        <w:rPr>
          <w:lang w:eastAsia="zh-CN"/>
        </w:rPr>
      </w:pPr>
      <w:r>
        <w:rPr>
          <w:sz w:val="24"/>
          <w:szCs w:val="24"/>
          <w:lang w:eastAsia="zh-CN"/>
        </w:rPr>
        <w:t>2.1.1形式评审标准：见评标办法前附表</w:t>
      </w:r>
      <w:r>
        <w:rPr>
          <w:rFonts w:hint="eastAsia"/>
          <w:sz w:val="24"/>
          <w:szCs w:val="24"/>
          <w:lang w:eastAsia="zh-CN"/>
        </w:rPr>
        <w:t>。</w:t>
      </w:r>
    </w:p>
    <w:p>
      <w:pPr>
        <w:pStyle w:val="9"/>
        <w:spacing w:line="360" w:lineRule="auto"/>
        <w:ind w:left="0" w:firstLine="480" w:firstLineChars="200"/>
        <w:rPr>
          <w:sz w:val="24"/>
          <w:szCs w:val="24"/>
          <w:lang w:eastAsia="zh-CN"/>
        </w:rPr>
      </w:pPr>
      <w:r>
        <w:rPr>
          <w:sz w:val="24"/>
          <w:szCs w:val="24"/>
          <w:lang w:eastAsia="zh-CN"/>
        </w:rPr>
        <w:t>2.1.2资格评审标准：见评标办法前附表。</w:t>
      </w:r>
    </w:p>
    <w:p>
      <w:pPr>
        <w:pStyle w:val="9"/>
        <w:spacing w:line="360" w:lineRule="auto"/>
        <w:ind w:left="0" w:firstLine="480" w:firstLineChars="200"/>
        <w:rPr>
          <w:sz w:val="24"/>
          <w:szCs w:val="24"/>
          <w:u w:val="single"/>
          <w:lang w:eastAsia="zh-CN"/>
        </w:rPr>
      </w:pPr>
      <w:r>
        <w:rPr>
          <w:sz w:val="24"/>
          <w:szCs w:val="24"/>
          <w:lang w:eastAsia="zh-CN"/>
        </w:rPr>
        <w:t>2.1.3响应性评审标准：见评标办法前附表。</w:t>
      </w:r>
    </w:p>
    <w:p>
      <w:pPr>
        <w:pStyle w:val="6"/>
        <w:spacing w:line="360" w:lineRule="auto"/>
        <w:ind w:right="44"/>
        <w:rPr>
          <w:sz w:val="24"/>
          <w:szCs w:val="24"/>
        </w:rPr>
      </w:pPr>
      <w:r>
        <w:t>2.2分值构成与评分标准</w:t>
      </w:r>
    </w:p>
    <w:p>
      <w:pPr>
        <w:pStyle w:val="9"/>
        <w:spacing w:line="360" w:lineRule="auto"/>
        <w:ind w:left="0" w:firstLine="480" w:firstLineChars="200"/>
        <w:rPr>
          <w:sz w:val="24"/>
          <w:szCs w:val="24"/>
          <w:lang w:eastAsia="zh-CN"/>
        </w:rPr>
      </w:pPr>
      <w:r>
        <w:rPr>
          <w:sz w:val="24"/>
          <w:szCs w:val="24"/>
          <w:lang w:eastAsia="zh-CN"/>
        </w:rPr>
        <w:t>2.2.1 分值构成</w:t>
      </w:r>
    </w:p>
    <w:p>
      <w:pPr>
        <w:pStyle w:val="9"/>
        <w:spacing w:line="360" w:lineRule="auto"/>
        <w:ind w:left="0" w:firstLine="480" w:firstLineChars="200"/>
        <w:rPr>
          <w:sz w:val="24"/>
          <w:szCs w:val="24"/>
          <w:lang w:eastAsia="zh-CN"/>
        </w:rPr>
      </w:pPr>
      <w:r>
        <w:rPr>
          <w:sz w:val="24"/>
          <w:szCs w:val="24"/>
          <w:lang w:eastAsia="zh-CN"/>
        </w:rPr>
        <w:t>（1）资信</w:t>
      </w:r>
      <w:r>
        <w:rPr>
          <w:rFonts w:hint="eastAsia"/>
          <w:sz w:val="24"/>
          <w:szCs w:val="24"/>
          <w:lang w:eastAsia="zh-CN"/>
        </w:rPr>
        <w:t>业绩</w:t>
      </w:r>
      <w:r>
        <w:rPr>
          <w:sz w:val="24"/>
          <w:szCs w:val="24"/>
          <w:lang w:eastAsia="zh-CN"/>
        </w:rPr>
        <w:t>部分：见评标办法前附表；</w:t>
      </w:r>
    </w:p>
    <w:p>
      <w:pPr>
        <w:pStyle w:val="9"/>
        <w:spacing w:line="360" w:lineRule="auto"/>
        <w:ind w:left="0" w:firstLine="480" w:firstLineChars="200"/>
        <w:rPr>
          <w:sz w:val="24"/>
          <w:szCs w:val="24"/>
          <w:lang w:eastAsia="zh-CN"/>
        </w:rPr>
      </w:pPr>
      <w:r>
        <w:rPr>
          <w:sz w:val="24"/>
          <w:szCs w:val="24"/>
          <w:lang w:eastAsia="zh-CN"/>
        </w:rPr>
        <w:t>（2）</w:t>
      </w:r>
      <w:r>
        <w:rPr>
          <w:rFonts w:hint="eastAsia"/>
          <w:sz w:val="24"/>
          <w:szCs w:val="24"/>
          <w:u w:val="single"/>
          <w:lang w:eastAsia="zh-CN"/>
        </w:rPr>
        <w:t>勘察设计工作方案</w:t>
      </w:r>
      <w:r>
        <w:rPr>
          <w:sz w:val="24"/>
          <w:szCs w:val="24"/>
          <w:lang w:eastAsia="zh-CN"/>
        </w:rPr>
        <w:t>部分：见评标办法前附表；</w:t>
      </w:r>
    </w:p>
    <w:p>
      <w:pPr>
        <w:pStyle w:val="9"/>
        <w:spacing w:line="360" w:lineRule="auto"/>
        <w:ind w:left="0" w:firstLine="480" w:firstLineChars="200"/>
        <w:rPr>
          <w:sz w:val="24"/>
          <w:szCs w:val="24"/>
          <w:lang w:eastAsia="zh-CN"/>
        </w:rPr>
      </w:pPr>
      <w:r>
        <w:rPr>
          <w:sz w:val="24"/>
          <w:szCs w:val="24"/>
          <w:lang w:eastAsia="zh-CN"/>
        </w:rPr>
        <w:t>（3）投标报价：见评标办法前附表；</w:t>
      </w:r>
    </w:p>
    <w:p>
      <w:pPr>
        <w:pStyle w:val="9"/>
        <w:spacing w:line="360" w:lineRule="auto"/>
        <w:ind w:left="0" w:firstLine="480" w:firstLineChars="200"/>
        <w:rPr>
          <w:sz w:val="24"/>
          <w:szCs w:val="24"/>
          <w:lang w:eastAsia="zh-CN"/>
        </w:rPr>
      </w:pPr>
      <w:r>
        <w:rPr>
          <w:sz w:val="24"/>
          <w:szCs w:val="24"/>
          <w:lang w:eastAsia="zh-CN"/>
        </w:rPr>
        <w:t>2.2.2评标基准价计算</w:t>
      </w:r>
    </w:p>
    <w:p>
      <w:pPr>
        <w:pStyle w:val="9"/>
        <w:spacing w:line="360" w:lineRule="auto"/>
        <w:ind w:left="0" w:firstLine="480" w:firstLineChars="200"/>
        <w:rPr>
          <w:sz w:val="24"/>
          <w:szCs w:val="24"/>
          <w:lang w:eastAsia="zh-CN"/>
        </w:rPr>
      </w:pPr>
      <w:r>
        <w:rPr>
          <w:sz w:val="24"/>
          <w:szCs w:val="24"/>
          <w:lang w:eastAsia="zh-CN"/>
        </w:rPr>
        <w:t>评标基准价计算方法：见评标办法前附表。</w:t>
      </w:r>
    </w:p>
    <w:p>
      <w:pPr>
        <w:pStyle w:val="9"/>
        <w:spacing w:line="360" w:lineRule="auto"/>
        <w:ind w:left="0" w:firstLine="480" w:firstLineChars="200"/>
        <w:rPr>
          <w:sz w:val="24"/>
          <w:szCs w:val="24"/>
          <w:lang w:eastAsia="zh-CN"/>
        </w:rPr>
      </w:pPr>
      <w:r>
        <w:rPr>
          <w:sz w:val="24"/>
          <w:szCs w:val="24"/>
          <w:lang w:eastAsia="zh-CN"/>
        </w:rPr>
        <w:t>2.2.3投标报价的偏差率计算</w:t>
      </w:r>
    </w:p>
    <w:p>
      <w:pPr>
        <w:pStyle w:val="9"/>
        <w:spacing w:line="360" w:lineRule="auto"/>
        <w:ind w:left="0" w:firstLine="480" w:firstLineChars="200"/>
        <w:rPr>
          <w:sz w:val="24"/>
          <w:szCs w:val="24"/>
          <w:lang w:eastAsia="zh-CN"/>
        </w:rPr>
      </w:pPr>
      <w:r>
        <w:rPr>
          <w:sz w:val="24"/>
          <w:szCs w:val="24"/>
          <w:lang w:eastAsia="zh-CN"/>
        </w:rPr>
        <w:t>投标报价的偏差率计算公式：见评标办法前附表。</w:t>
      </w:r>
    </w:p>
    <w:p>
      <w:pPr>
        <w:pStyle w:val="9"/>
        <w:spacing w:line="360" w:lineRule="auto"/>
        <w:ind w:left="0" w:firstLine="480" w:firstLineChars="200"/>
        <w:rPr>
          <w:sz w:val="24"/>
          <w:szCs w:val="24"/>
          <w:lang w:eastAsia="zh-CN"/>
        </w:rPr>
      </w:pPr>
      <w:r>
        <w:rPr>
          <w:sz w:val="24"/>
          <w:szCs w:val="24"/>
          <w:lang w:eastAsia="zh-CN"/>
        </w:rPr>
        <w:t>2.2.4评分标准</w:t>
      </w:r>
    </w:p>
    <w:p>
      <w:pPr>
        <w:pStyle w:val="9"/>
        <w:spacing w:line="360" w:lineRule="auto"/>
        <w:ind w:left="0" w:firstLine="480" w:firstLineChars="200"/>
        <w:rPr>
          <w:sz w:val="24"/>
          <w:szCs w:val="24"/>
          <w:lang w:eastAsia="zh-CN"/>
        </w:rPr>
      </w:pPr>
      <w:r>
        <w:rPr>
          <w:sz w:val="24"/>
          <w:szCs w:val="24"/>
          <w:lang w:eastAsia="zh-CN"/>
        </w:rPr>
        <w:t>（1）资信</w:t>
      </w:r>
      <w:r>
        <w:rPr>
          <w:rFonts w:hint="eastAsia"/>
          <w:sz w:val="24"/>
          <w:szCs w:val="24"/>
          <w:lang w:eastAsia="zh-CN"/>
        </w:rPr>
        <w:t>业绩</w:t>
      </w:r>
      <w:r>
        <w:rPr>
          <w:sz w:val="24"/>
          <w:szCs w:val="24"/>
          <w:lang w:eastAsia="zh-CN"/>
        </w:rPr>
        <w:t>评分标准：见评标办法前附表；</w:t>
      </w:r>
    </w:p>
    <w:p>
      <w:pPr>
        <w:pStyle w:val="9"/>
        <w:spacing w:line="360" w:lineRule="auto"/>
        <w:ind w:left="0" w:firstLine="480" w:firstLineChars="200"/>
        <w:rPr>
          <w:sz w:val="24"/>
          <w:szCs w:val="24"/>
          <w:lang w:eastAsia="zh-CN"/>
        </w:rPr>
      </w:pPr>
      <w:r>
        <w:rPr>
          <w:sz w:val="24"/>
          <w:szCs w:val="24"/>
          <w:lang w:eastAsia="zh-CN"/>
        </w:rPr>
        <w:t>（2）</w:t>
      </w:r>
      <w:r>
        <w:rPr>
          <w:rFonts w:hint="eastAsia"/>
          <w:sz w:val="24"/>
          <w:szCs w:val="24"/>
          <w:u w:val="single"/>
          <w:lang w:eastAsia="zh-CN"/>
        </w:rPr>
        <w:t>勘察设计工作方案</w:t>
      </w:r>
      <w:r>
        <w:rPr>
          <w:sz w:val="24"/>
          <w:szCs w:val="24"/>
          <w:lang w:eastAsia="zh-CN"/>
        </w:rPr>
        <w:t>评分标准：见评标办法前附表；</w:t>
      </w:r>
    </w:p>
    <w:p>
      <w:pPr>
        <w:pStyle w:val="9"/>
        <w:spacing w:line="360" w:lineRule="auto"/>
        <w:ind w:left="0" w:firstLine="480" w:firstLineChars="200"/>
        <w:rPr>
          <w:sz w:val="24"/>
          <w:szCs w:val="24"/>
          <w:lang w:eastAsia="zh-CN"/>
        </w:rPr>
      </w:pPr>
      <w:r>
        <w:rPr>
          <w:sz w:val="24"/>
          <w:szCs w:val="24"/>
          <w:lang w:eastAsia="zh-CN"/>
        </w:rPr>
        <w:t>（3）投标报价评分标准：见评标办法前附表；</w:t>
      </w:r>
    </w:p>
    <w:p>
      <w:pPr>
        <w:pStyle w:val="5"/>
        <w:spacing w:line="360" w:lineRule="auto"/>
        <w:ind w:right="44"/>
        <w:rPr>
          <w:rFonts w:ascii="宋体" w:hAnsi="宋体"/>
        </w:rPr>
      </w:pPr>
      <w:bookmarkStart w:id="20" w:name="_Toc1873"/>
      <w:r>
        <w:rPr>
          <w:rFonts w:ascii="宋体" w:hAnsi="宋体"/>
        </w:rPr>
        <w:t>3. 评标程序</w:t>
      </w:r>
      <w:bookmarkEnd w:id="20"/>
    </w:p>
    <w:p>
      <w:pPr>
        <w:pStyle w:val="6"/>
        <w:spacing w:line="360" w:lineRule="auto"/>
        <w:ind w:right="44"/>
        <w:rPr>
          <w:sz w:val="24"/>
          <w:szCs w:val="24"/>
        </w:rPr>
      </w:pPr>
      <w:r>
        <w:t>3.1 初步评审</w:t>
      </w:r>
    </w:p>
    <w:p>
      <w:pPr>
        <w:pStyle w:val="9"/>
        <w:spacing w:line="360" w:lineRule="auto"/>
        <w:ind w:left="0" w:firstLine="480" w:firstLineChars="200"/>
        <w:rPr>
          <w:sz w:val="24"/>
          <w:szCs w:val="24"/>
          <w:u w:val="single"/>
          <w:lang w:eastAsia="zh-CN"/>
        </w:rPr>
      </w:pPr>
      <w:r>
        <w:rPr>
          <w:sz w:val="24"/>
          <w:szCs w:val="24"/>
          <w:lang w:eastAsia="zh-CN"/>
        </w:rPr>
        <w:t>3.1.1评标委员会依据本章第 2.1款规定的标准对投标文件进行初步评审。有一项不符合评审标准的，评标委员会应当否决其投标</w:t>
      </w:r>
      <w:r>
        <w:rPr>
          <w:rFonts w:hint="eastAsia"/>
          <w:sz w:val="24"/>
          <w:szCs w:val="24"/>
          <w:lang w:eastAsia="zh-CN"/>
        </w:rPr>
        <w:t>，</w:t>
      </w:r>
      <w:r>
        <w:rPr>
          <w:rFonts w:hint="eastAsia"/>
          <w:sz w:val="24"/>
          <w:szCs w:val="24"/>
          <w:u w:val="single"/>
          <w:lang w:eastAsia="zh-CN"/>
        </w:rPr>
        <w:t>未能通过初步评审的投标人，其投标不再参与后续的评审程序。如果有废标提议，则评标委员会成员共同表决，按照少数服从多数的原则决定是否废标。</w:t>
      </w:r>
    </w:p>
    <w:p>
      <w:pPr>
        <w:spacing w:line="360" w:lineRule="auto"/>
        <w:ind w:left="210" w:leftChars="100" w:firstLine="236" w:firstLineChars="100"/>
        <w:rPr>
          <w:rFonts w:ascii="宋体" w:hAnsi="宋体"/>
          <w:spacing w:val="-2"/>
          <w:sz w:val="24"/>
          <w:szCs w:val="24"/>
        </w:rPr>
      </w:pPr>
      <w:r>
        <w:rPr>
          <w:rFonts w:ascii="宋体" w:hAnsi="宋体"/>
          <w:spacing w:val="-2"/>
          <w:sz w:val="24"/>
          <w:szCs w:val="24"/>
        </w:rPr>
        <w:t>3.1.1.1</w:t>
      </w:r>
      <w:r>
        <w:rPr>
          <w:rFonts w:hint="eastAsia" w:ascii="宋体" w:hAnsi="宋体"/>
          <w:spacing w:val="-2"/>
          <w:sz w:val="24"/>
          <w:szCs w:val="24"/>
        </w:rPr>
        <w:t>形式评审</w:t>
      </w:r>
    </w:p>
    <w:p>
      <w:pPr>
        <w:spacing w:line="360" w:lineRule="auto"/>
        <w:ind w:left="210" w:leftChars="100"/>
        <w:rPr>
          <w:rFonts w:ascii="宋体" w:hAnsi="宋体"/>
          <w:sz w:val="24"/>
          <w:szCs w:val="24"/>
        </w:rPr>
      </w:pPr>
      <w:r>
        <w:rPr>
          <w:rFonts w:hint="eastAsia" w:ascii="宋体" w:hAnsi="宋体"/>
          <w:sz w:val="24"/>
          <w:szCs w:val="24"/>
        </w:rPr>
        <w:t>评标委员会根据评标办法前附表中规定的评审因素和评审标准，对投标人的投标文件进行形式评审。</w:t>
      </w:r>
    </w:p>
    <w:p>
      <w:pPr>
        <w:spacing w:line="360" w:lineRule="auto"/>
        <w:ind w:left="210" w:leftChars="100" w:firstLine="236" w:firstLineChars="100"/>
        <w:rPr>
          <w:rFonts w:ascii="宋体" w:hAnsi="宋体"/>
          <w:spacing w:val="-2"/>
          <w:sz w:val="24"/>
          <w:szCs w:val="24"/>
        </w:rPr>
      </w:pPr>
      <w:r>
        <w:rPr>
          <w:rFonts w:ascii="宋体" w:hAnsi="宋体"/>
          <w:spacing w:val="-2"/>
          <w:sz w:val="24"/>
          <w:szCs w:val="24"/>
        </w:rPr>
        <w:t>3.1.1.2</w:t>
      </w:r>
      <w:r>
        <w:rPr>
          <w:rFonts w:hint="eastAsia" w:ascii="宋体" w:hAnsi="宋体"/>
          <w:spacing w:val="-2"/>
          <w:sz w:val="24"/>
          <w:szCs w:val="24"/>
        </w:rPr>
        <w:t>资格评审</w:t>
      </w:r>
    </w:p>
    <w:p>
      <w:pPr>
        <w:spacing w:line="360" w:lineRule="auto"/>
        <w:ind w:left="210" w:leftChars="100"/>
        <w:rPr>
          <w:rFonts w:ascii="宋体" w:hAnsi="宋体"/>
          <w:sz w:val="24"/>
          <w:szCs w:val="24"/>
        </w:rPr>
      </w:pPr>
      <w:r>
        <w:rPr>
          <w:rFonts w:hint="eastAsia" w:ascii="宋体" w:hAnsi="宋体"/>
          <w:sz w:val="24"/>
          <w:szCs w:val="24"/>
        </w:rPr>
        <w:t>评标委员会根据评标办法前附表中的规定的评审因素和评审标准，对投标人的投标文件进行资格评审。</w:t>
      </w:r>
    </w:p>
    <w:p>
      <w:pPr>
        <w:spacing w:line="360" w:lineRule="auto"/>
        <w:ind w:left="210" w:leftChars="100" w:firstLine="240" w:firstLineChars="100"/>
        <w:rPr>
          <w:rFonts w:ascii="宋体" w:hAnsi="宋体"/>
          <w:sz w:val="24"/>
          <w:szCs w:val="24"/>
        </w:rPr>
      </w:pPr>
      <w:r>
        <w:rPr>
          <w:rFonts w:ascii="宋体" w:hAnsi="宋体"/>
          <w:sz w:val="24"/>
          <w:szCs w:val="24"/>
        </w:rPr>
        <w:t xml:space="preserve">3.1.1.3 </w:t>
      </w:r>
      <w:r>
        <w:rPr>
          <w:rFonts w:hint="eastAsia" w:ascii="宋体" w:hAnsi="宋体"/>
          <w:sz w:val="24"/>
          <w:szCs w:val="24"/>
        </w:rPr>
        <w:t>响应性评审</w:t>
      </w:r>
    </w:p>
    <w:p>
      <w:pPr>
        <w:spacing w:line="360" w:lineRule="auto"/>
        <w:ind w:left="210" w:leftChars="100"/>
        <w:rPr>
          <w:rFonts w:ascii="宋体" w:hAnsi="宋体"/>
          <w:sz w:val="24"/>
          <w:szCs w:val="24"/>
        </w:rPr>
      </w:pPr>
      <w:r>
        <w:rPr>
          <w:rFonts w:hint="eastAsia" w:ascii="宋体" w:hAnsi="宋体"/>
          <w:sz w:val="24"/>
          <w:szCs w:val="24"/>
        </w:rPr>
        <w:t>评标委员会根据评标办法前附表中规定的评审因素和评审标准，对投标人的投标文件进行响应性评审。</w:t>
      </w:r>
    </w:p>
    <w:p>
      <w:pPr>
        <w:spacing w:line="360" w:lineRule="auto"/>
        <w:ind w:left="210" w:leftChars="100" w:firstLine="240" w:firstLineChars="100"/>
        <w:rPr>
          <w:rFonts w:ascii="宋体" w:hAnsi="宋体"/>
          <w:spacing w:val="-2"/>
          <w:sz w:val="24"/>
          <w:szCs w:val="24"/>
          <w:u w:val="single"/>
        </w:rPr>
      </w:pPr>
      <w:r>
        <w:rPr>
          <w:rFonts w:ascii="宋体" w:hAnsi="宋体"/>
          <w:sz w:val="24"/>
          <w:szCs w:val="24"/>
          <w:u w:val="single"/>
        </w:rPr>
        <w:t xml:space="preserve">3.1.2 </w:t>
      </w:r>
      <w:r>
        <w:rPr>
          <w:rFonts w:hint="eastAsia" w:ascii="宋体" w:hAnsi="宋体"/>
          <w:spacing w:val="-2"/>
          <w:sz w:val="24"/>
          <w:szCs w:val="24"/>
          <w:u w:val="single"/>
        </w:rPr>
        <w:t>判断否决投标</w:t>
      </w:r>
    </w:p>
    <w:p>
      <w:pPr>
        <w:spacing w:line="360" w:lineRule="auto"/>
        <w:ind w:left="239" w:leftChars="114" w:firstLine="240" w:firstLineChars="100"/>
        <w:rPr>
          <w:rFonts w:ascii="宋体" w:hAnsi="宋体"/>
          <w:szCs w:val="21"/>
          <w:u w:val="single"/>
        </w:rPr>
      </w:pPr>
      <w:r>
        <w:rPr>
          <w:rFonts w:hint="eastAsia" w:ascii="宋体" w:hAnsi="宋体"/>
          <w:sz w:val="24"/>
          <w:szCs w:val="24"/>
          <w:u w:val="single"/>
        </w:rPr>
        <w:t>判断否决投标的全部条件，在本招标文件第二章《投标人须知前附表》第10.</w:t>
      </w:r>
      <w:r>
        <w:rPr>
          <w:rFonts w:ascii="宋体" w:hAnsi="宋体"/>
          <w:sz w:val="24"/>
          <w:szCs w:val="24"/>
          <w:u w:val="single"/>
        </w:rPr>
        <w:t>5</w:t>
      </w:r>
      <w:r>
        <w:rPr>
          <w:rFonts w:hint="eastAsia" w:ascii="宋体" w:hAnsi="宋体"/>
          <w:sz w:val="24"/>
          <w:szCs w:val="24"/>
          <w:u w:val="single"/>
        </w:rPr>
        <w:t>款集中列示。</w:t>
      </w:r>
    </w:p>
    <w:p>
      <w:pPr>
        <w:pStyle w:val="9"/>
        <w:spacing w:line="360" w:lineRule="auto"/>
        <w:ind w:left="239" w:leftChars="114" w:firstLine="240" w:firstLineChars="100"/>
        <w:rPr>
          <w:sz w:val="24"/>
          <w:szCs w:val="24"/>
          <w:lang w:eastAsia="zh-CN"/>
        </w:rPr>
      </w:pPr>
      <w:r>
        <w:rPr>
          <w:sz w:val="24"/>
          <w:szCs w:val="24"/>
          <w:lang w:eastAsia="zh-CN"/>
        </w:rPr>
        <w:t>3.1.3投标报价有算术错误及其他错误的，评标委员会按以下原则要求投标人对投标报价进行修正，并要求投标人书面澄清确认。投标人拒不澄清确认的，评标委员会应当否决其投标：</w:t>
      </w:r>
    </w:p>
    <w:p>
      <w:pPr>
        <w:pStyle w:val="9"/>
        <w:spacing w:line="360" w:lineRule="auto"/>
        <w:ind w:left="0" w:firstLine="480" w:firstLineChars="200"/>
        <w:rPr>
          <w:sz w:val="24"/>
          <w:szCs w:val="24"/>
          <w:lang w:eastAsia="zh-CN"/>
        </w:rPr>
      </w:pPr>
      <w:r>
        <w:rPr>
          <w:sz w:val="24"/>
          <w:szCs w:val="24"/>
          <w:lang w:eastAsia="zh-CN"/>
        </w:rPr>
        <w:t>（1）投标文件中的大写金额与小写金额不一致的，以大写金额为准；</w:t>
      </w:r>
    </w:p>
    <w:p>
      <w:pPr>
        <w:pStyle w:val="9"/>
        <w:spacing w:line="360" w:lineRule="auto"/>
        <w:ind w:left="239" w:leftChars="114" w:firstLine="240" w:firstLineChars="100"/>
        <w:rPr>
          <w:strike/>
          <w:sz w:val="24"/>
          <w:szCs w:val="24"/>
          <w:lang w:eastAsia="zh-CN"/>
        </w:rPr>
      </w:pPr>
      <w:r>
        <w:rPr>
          <w:sz w:val="24"/>
          <w:szCs w:val="24"/>
          <w:lang w:eastAsia="zh-CN"/>
        </w:rPr>
        <w:t>（2）总价金额与单价金额不一致的，以单价金额为准，但单价金额小数点有明显错误的除外。</w:t>
      </w:r>
    </w:p>
    <w:p>
      <w:pPr>
        <w:spacing w:line="360" w:lineRule="auto"/>
        <w:rPr>
          <w:rFonts w:ascii="宋体" w:hAnsi="宋体"/>
          <w:sz w:val="24"/>
          <w:szCs w:val="24"/>
        </w:rPr>
      </w:pPr>
    </w:p>
    <w:p>
      <w:pPr>
        <w:pStyle w:val="6"/>
        <w:spacing w:line="360" w:lineRule="auto"/>
        <w:ind w:right="44"/>
        <w:rPr>
          <w:sz w:val="24"/>
          <w:szCs w:val="24"/>
        </w:rPr>
      </w:pPr>
      <w:r>
        <w:t>3.2 详细评审</w:t>
      </w:r>
    </w:p>
    <w:p>
      <w:pPr>
        <w:pStyle w:val="9"/>
        <w:spacing w:line="360" w:lineRule="auto"/>
        <w:ind w:left="0" w:firstLine="480" w:firstLineChars="200"/>
        <w:rPr>
          <w:sz w:val="24"/>
          <w:szCs w:val="24"/>
          <w:lang w:eastAsia="zh-CN"/>
        </w:rPr>
      </w:pPr>
      <w:r>
        <w:rPr>
          <w:sz w:val="24"/>
          <w:szCs w:val="24"/>
          <w:lang w:eastAsia="zh-CN"/>
        </w:rPr>
        <w:t>3.2.1评标委员会按本章第 2.2款规定的量化因素和分值进行打分，并计算出综合得分。</w:t>
      </w:r>
    </w:p>
    <w:p>
      <w:pPr>
        <w:pStyle w:val="9"/>
        <w:spacing w:line="360" w:lineRule="auto"/>
        <w:ind w:left="0" w:firstLine="480" w:firstLineChars="200"/>
        <w:rPr>
          <w:sz w:val="24"/>
          <w:szCs w:val="24"/>
          <w:lang w:eastAsia="zh-CN"/>
        </w:rPr>
      </w:pPr>
      <w:r>
        <w:rPr>
          <w:sz w:val="24"/>
          <w:szCs w:val="24"/>
          <w:lang w:eastAsia="zh-CN"/>
        </w:rPr>
        <w:t>（1）按本章第2.2.4（1）目规定的评审因素和分值对资信</w:t>
      </w:r>
      <w:r>
        <w:rPr>
          <w:rFonts w:hint="eastAsia"/>
          <w:sz w:val="24"/>
          <w:szCs w:val="24"/>
          <w:lang w:eastAsia="zh-CN"/>
        </w:rPr>
        <w:t>业绩</w:t>
      </w:r>
      <w:r>
        <w:rPr>
          <w:sz w:val="24"/>
          <w:szCs w:val="24"/>
          <w:lang w:eastAsia="zh-CN"/>
        </w:rPr>
        <w:t>部分计算出得分A；</w:t>
      </w:r>
    </w:p>
    <w:p>
      <w:pPr>
        <w:pStyle w:val="9"/>
        <w:spacing w:line="360" w:lineRule="auto"/>
        <w:ind w:left="0" w:firstLine="480" w:firstLineChars="200"/>
        <w:rPr>
          <w:sz w:val="24"/>
          <w:szCs w:val="24"/>
          <w:lang w:eastAsia="zh-CN"/>
        </w:rPr>
      </w:pPr>
      <w:r>
        <w:rPr>
          <w:sz w:val="24"/>
          <w:szCs w:val="24"/>
          <w:lang w:eastAsia="zh-CN"/>
        </w:rPr>
        <w:t>（2）按本章第2.2.4（2）目规定的评审因素和分值对</w:t>
      </w:r>
      <w:r>
        <w:rPr>
          <w:rFonts w:hint="eastAsia"/>
          <w:sz w:val="24"/>
          <w:szCs w:val="24"/>
          <w:u w:val="single"/>
          <w:lang w:eastAsia="zh-CN"/>
        </w:rPr>
        <w:t>勘察设计工作方案</w:t>
      </w:r>
      <w:r>
        <w:rPr>
          <w:sz w:val="24"/>
          <w:szCs w:val="24"/>
          <w:lang w:eastAsia="zh-CN"/>
        </w:rPr>
        <w:t>部分计算出得分B；</w:t>
      </w:r>
    </w:p>
    <w:p>
      <w:pPr>
        <w:pStyle w:val="9"/>
        <w:spacing w:line="360" w:lineRule="auto"/>
        <w:ind w:left="0" w:firstLine="480" w:firstLineChars="200"/>
        <w:rPr>
          <w:sz w:val="24"/>
          <w:szCs w:val="24"/>
          <w:lang w:eastAsia="zh-CN"/>
        </w:rPr>
      </w:pPr>
      <w:r>
        <w:rPr>
          <w:sz w:val="24"/>
          <w:szCs w:val="24"/>
          <w:lang w:eastAsia="zh-CN"/>
        </w:rPr>
        <w:t>（3）按本章第2.2.4（3）目规定的评审因素和分值对投标报价计算出得分C；</w:t>
      </w:r>
    </w:p>
    <w:p>
      <w:pPr>
        <w:pStyle w:val="9"/>
        <w:spacing w:line="360" w:lineRule="auto"/>
        <w:ind w:left="1" w:firstLine="480" w:firstLineChars="200"/>
        <w:rPr>
          <w:sz w:val="24"/>
          <w:szCs w:val="24"/>
          <w:lang w:eastAsia="zh-CN"/>
        </w:rPr>
      </w:pPr>
      <w:r>
        <w:rPr>
          <w:sz w:val="24"/>
          <w:szCs w:val="24"/>
          <w:lang w:eastAsia="zh-CN"/>
        </w:rPr>
        <w:t>3.2.2评分分值计算保留小数点后两位，小数点后第三位“四舍五入”。</w:t>
      </w:r>
    </w:p>
    <w:p>
      <w:pPr>
        <w:pStyle w:val="9"/>
        <w:spacing w:line="360" w:lineRule="auto"/>
        <w:ind w:left="0" w:firstLine="480" w:firstLineChars="200"/>
        <w:rPr>
          <w:sz w:val="24"/>
          <w:szCs w:val="24"/>
          <w:lang w:eastAsia="zh-CN"/>
        </w:rPr>
      </w:pPr>
      <w:r>
        <w:rPr>
          <w:sz w:val="24"/>
          <w:szCs w:val="24"/>
          <w:lang w:eastAsia="zh-CN"/>
        </w:rPr>
        <w:t>3.2.3</w:t>
      </w:r>
      <w:r>
        <w:rPr>
          <w:rFonts w:hint="eastAsia"/>
          <w:sz w:val="24"/>
          <w:szCs w:val="24"/>
          <w:u w:val="single"/>
          <w:lang w:eastAsia="zh-CN"/>
        </w:rPr>
        <w:t>投标人总得分（满分100分）=资信业绩部分得分（满分50分）+勘察设计工作方案部分得分（满分40分）+投标报价部分得分（满分10分）</w:t>
      </w:r>
    </w:p>
    <w:p>
      <w:pPr>
        <w:pStyle w:val="9"/>
        <w:spacing w:line="360" w:lineRule="auto"/>
        <w:ind w:left="0" w:firstLine="480" w:firstLineChars="200"/>
        <w:rPr>
          <w:sz w:val="24"/>
          <w:szCs w:val="24"/>
          <w:lang w:eastAsia="zh-CN"/>
        </w:rPr>
      </w:pPr>
      <w:r>
        <w:rPr>
          <w:sz w:val="24"/>
          <w:szCs w:val="24"/>
          <w:lang w:eastAsia="zh-CN"/>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rPr>
          <w:rFonts w:ascii="宋体" w:hAnsi="宋体"/>
          <w:sz w:val="24"/>
          <w:szCs w:val="24"/>
        </w:rPr>
      </w:pPr>
    </w:p>
    <w:p>
      <w:pPr>
        <w:pStyle w:val="6"/>
        <w:spacing w:line="360" w:lineRule="auto"/>
        <w:ind w:right="44"/>
        <w:rPr>
          <w:sz w:val="24"/>
          <w:szCs w:val="24"/>
        </w:rPr>
      </w:pPr>
      <w:r>
        <w:t>3.3  投标文件的澄清</w:t>
      </w:r>
    </w:p>
    <w:p>
      <w:pPr>
        <w:pStyle w:val="9"/>
        <w:spacing w:line="360" w:lineRule="auto"/>
        <w:ind w:left="0" w:firstLine="480" w:firstLineChars="200"/>
        <w:rPr>
          <w:sz w:val="24"/>
          <w:szCs w:val="24"/>
          <w:lang w:eastAsia="zh-CN"/>
        </w:rPr>
      </w:pPr>
      <w:r>
        <w:rPr>
          <w:sz w:val="24"/>
          <w:szCs w:val="24"/>
          <w:lang w:eastAsia="zh-CN"/>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9"/>
        <w:spacing w:line="360" w:lineRule="auto"/>
        <w:ind w:left="0" w:firstLine="480" w:firstLineChars="200"/>
        <w:rPr>
          <w:sz w:val="24"/>
          <w:szCs w:val="24"/>
          <w:lang w:eastAsia="zh-CN"/>
        </w:rPr>
      </w:pPr>
      <w:r>
        <w:rPr>
          <w:sz w:val="24"/>
          <w:szCs w:val="24"/>
          <w:lang w:eastAsia="zh-CN"/>
        </w:rPr>
        <w:t>3.3.2澄清、说明或补正不得超出投标文件的范围且不得改变投标文件的实质性内容，并构成投标文件的组成部分。</w:t>
      </w:r>
    </w:p>
    <w:p>
      <w:pPr>
        <w:pStyle w:val="9"/>
        <w:spacing w:line="360" w:lineRule="auto"/>
        <w:ind w:left="0" w:firstLine="480" w:firstLineChars="200"/>
        <w:rPr>
          <w:sz w:val="24"/>
          <w:szCs w:val="24"/>
          <w:lang w:eastAsia="zh-CN"/>
        </w:rPr>
      </w:pPr>
      <w:r>
        <w:rPr>
          <w:sz w:val="24"/>
          <w:szCs w:val="24"/>
          <w:lang w:eastAsia="zh-CN"/>
        </w:rPr>
        <w:t>3.3.3评标委员会对投标人提交的澄清、说明或补正有疑问的，可以要求投标人进一步澄清、说明或补正，直至满足评标委员会的要求。</w:t>
      </w:r>
    </w:p>
    <w:p>
      <w:pPr>
        <w:spacing w:line="360" w:lineRule="auto"/>
        <w:rPr>
          <w:rFonts w:ascii="宋体" w:hAnsi="宋体"/>
          <w:sz w:val="24"/>
          <w:szCs w:val="24"/>
        </w:rPr>
      </w:pPr>
    </w:p>
    <w:p>
      <w:pPr>
        <w:pStyle w:val="6"/>
        <w:spacing w:line="360" w:lineRule="auto"/>
        <w:ind w:right="44"/>
        <w:rPr>
          <w:sz w:val="24"/>
          <w:szCs w:val="24"/>
        </w:rPr>
      </w:pPr>
      <w:r>
        <w:t>3.4 评标结果</w:t>
      </w:r>
    </w:p>
    <w:p>
      <w:pPr>
        <w:pStyle w:val="9"/>
        <w:spacing w:line="360" w:lineRule="auto"/>
        <w:ind w:left="0" w:firstLine="480" w:firstLineChars="200"/>
        <w:rPr>
          <w:sz w:val="24"/>
          <w:szCs w:val="24"/>
          <w:lang w:eastAsia="zh-CN"/>
        </w:rPr>
      </w:pPr>
      <w:r>
        <w:rPr>
          <w:sz w:val="24"/>
          <w:szCs w:val="24"/>
          <w:lang w:eastAsia="zh-CN"/>
        </w:rPr>
        <w:t>3.4.1除第二章“投标人须知”前附表授权直接确定中标人外，评标委员会按照得分由高到低的顺序推荐中标候选人，并标明排序。</w:t>
      </w:r>
    </w:p>
    <w:p>
      <w:pPr>
        <w:pStyle w:val="9"/>
        <w:spacing w:line="360" w:lineRule="auto"/>
        <w:ind w:left="0" w:firstLine="480" w:firstLineChars="200"/>
        <w:rPr>
          <w:sz w:val="24"/>
          <w:szCs w:val="24"/>
          <w:lang w:eastAsia="zh-CN"/>
        </w:rPr>
      </w:pPr>
      <w:r>
        <w:rPr>
          <w:sz w:val="24"/>
          <w:szCs w:val="24"/>
          <w:lang w:eastAsia="zh-CN"/>
        </w:rPr>
        <w:t>3.4.2评标委员会完成评标后，应当向招标人提交书面评标报告和中标候选人名单。</w:t>
      </w:r>
    </w:p>
    <w:p>
      <w:pPr>
        <w:pStyle w:val="3"/>
        <w:keepNext w:val="0"/>
        <w:keepLines w:val="0"/>
        <w:numPr>
          <w:ilvl w:val="0"/>
          <w:numId w:val="2"/>
        </w:numPr>
        <w:spacing w:before="0" w:after="0" w:line="240" w:lineRule="auto"/>
        <w:ind w:left="3"/>
        <w:jc w:val="center"/>
        <w:rPr>
          <w:rFonts w:ascii="宋体" w:hAnsi="宋体"/>
        </w:rPr>
      </w:pPr>
      <w:r>
        <w:rPr>
          <w:rFonts w:ascii="宋体" w:hAnsi="宋体"/>
        </w:rPr>
        <w:br w:type="page"/>
      </w:r>
      <w:r>
        <w:rPr>
          <w:rFonts w:hint="eastAsia" w:ascii="宋体" w:hAnsi="宋体"/>
        </w:rPr>
        <w:t xml:space="preserve"> </w:t>
      </w:r>
      <w:bookmarkStart w:id="21" w:name="_Toc23905"/>
      <w:r>
        <w:rPr>
          <w:rFonts w:ascii="宋体" w:hAnsi="宋体"/>
        </w:rPr>
        <w:t>合同条款及格式</w:t>
      </w:r>
      <w:bookmarkEnd w:id="21"/>
    </w:p>
    <w:p>
      <w:pPr>
        <w:rPr>
          <w:rFonts w:ascii="宋体" w:hAnsi="宋体"/>
        </w:rPr>
      </w:pPr>
    </w:p>
    <w:p>
      <w:pPr>
        <w:pStyle w:val="9"/>
        <w:ind w:left="0"/>
        <w:jc w:val="center"/>
        <w:rPr>
          <w:sz w:val="32"/>
          <w:szCs w:val="32"/>
          <w:lang w:eastAsia="zh-CN"/>
        </w:rPr>
      </w:pPr>
      <w:r>
        <w:rPr>
          <w:rFonts w:hint="eastAsia"/>
          <w:spacing w:val="-1"/>
          <w:sz w:val="32"/>
          <w:szCs w:val="32"/>
          <w:lang w:eastAsia="zh-CN"/>
        </w:rPr>
        <w:t>（另册）</w:t>
      </w:r>
    </w:p>
    <w:p>
      <w:pPr>
        <w:rPr>
          <w:rFonts w:ascii="宋体" w:hAnsi="宋体" w:cs="宋体"/>
          <w:sz w:val="20"/>
          <w:szCs w:val="20"/>
        </w:rPr>
      </w:pPr>
      <w:r>
        <w:rPr>
          <w:rFonts w:ascii="宋体" w:hAnsi="宋体" w:cs="宋体"/>
          <w:sz w:val="20"/>
          <w:szCs w:val="20"/>
        </w:rPr>
        <w:br w:type="page"/>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pStyle w:val="3"/>
        <w:spacing w:line="738" w:lineRule="exact"/>
        <w:ind w:right="3"/>
        <w:jc w:val="center"/>
        <w:rPr>
          <w:rFonts w:ascii="宋体" w:hAnsi="宋体"/>
          <w:b w:val="0"/>
          <w:bCs w:val="0"/>
        </w:rPr>
      </w:pPr>
      <w:bookmarkStart w:id="22" w:name="_Toc27852"/>
      <w:r>
        <w:rPr>
          <w:rFonts w:ascii="宋体" w:hAnsi="宋体"/>
        </w:rPr>
        <w:t>第二卷</w:t>
      </w:r>
      <w:bookmarkEnd w:id="22"/>
    </w:p>
    <w:p>
      <w:pPr>
        <w:spacing w:line="738" w:lineRule="exact"/>
        <w:jc w:val="center"/>
        <w:rPr>
          <w:rFonts w:ascii="宋体" w:hAnsi="宋体"/>
        </w:rPr>
        <w:sectPr>
          <w:pgSz w:w="12240" w:h="15840"/>
          <w:pgMar w:top="1502" w:right="1718" w:bottom="1123" w:left="1718" w:header="0" w:footer="918" w:gutter="0"/>
          <w:cols w:space="720" w:num="1"/>
          <w:docGrid w:linePitch="1" w:charSpace="0"/>
        </w:sectPr>
      </w:pPr>
    </w:p>
    <w:p>
      <w:pPr>
        <w:rPr>
          <w:rFonts w:ascii="宋体" w:hAnsi="宋体" w:cs="Microsoft JhengHei"/>
          <w:b/>
          <w:bCs/>
          <w:sz w:val="20"/>
          <w:szCs w:val="20"/>
        </w:rPr>
      </w:pPr>
    </w:p>
    <w:p>
      <w:pPr>
        <w:spacing w:before="3"/>
        <w:rPr>
          <w:rFonts w:ascii="宋体" w:hAnsi="宋体" w:cs="Microsoft JhengHei"/>
          <w:b/>
          <w:bCs/>
          <w:sz w:val="19"/>
          <w:szCs w:val="19"/>
        </w:rPr>
      </w:pPr>
    </w:p>
    <w:p>
      <w:pPr>
        <w:pStyle w:val="3"/>
        <w:keepNext w:val="0"/>
        <w:keepLines w:val="0"/>
        <w:numPr>
          <w:ilvl w:val="0"/>
          <w:numId w:val="2"/>
        </w:numPr>
        <w:spacing w:before="0" w:after="0" w:line="240" w:lineRule="auto"/>
        <w:ind w:left="3"/>
        <w:jc w:val="center"/>
        <w:rPr>
          <w:rFonts w:ascii="宋体" w:hAnsi="宋体"/>
        </w:rPr>
      </w:pPr>
      <w:r>
        <w:rPr>
          <w:rFonts w:hint="eastAsia" w:ascii="宋体" w:hAnsi="宋体"/>
        </w:rPr>
        <w:t xml:space="preserve"> </w:t>
      </w:r>
      <w:bookmarkStart w:id="23" w:name="_Toc29802"/>
      <w:r>
        <w:rPr>
          <w:rFonts w:hint="eastAsia" w:ascii="宋体" w:hAnsi="宋体"/>
        </w:rPr>
        <w:t>发包人要求</w:t>
      </w:r>
      <w:bookmarkEnd w:id="23"/>
    </w:p>
    <w:p>
      <w:pPr>
        <w:rPr>
          <w:rFonts w:ascii="宋体" w:hAnsi="宋体"/>
        </w:rPr>
      </w:pPr>
    </w:p>
    <w:p>
      <w:pPr>
        <w:jc w:val="center"/>
      </w:pPr>
    </w:p>
    <w:p>
      <w:pPr>
        <w:jc w:val="center"/>
        <w:rPr>
          <w:rFonts w:eastAsia="黑体"/>
          <w:sz w:val="36"/>
          <w:szCs w:val="36"/>
        </w:rPr>
        <w:sectPr>
          <w:pgSz w:w="12240" w:h="15840"/>
          <w:pgMar w:top="1502" w:right="1718" w:bottom="1123" w:left="1718" w:header="0" w:footer="918" w:gutter="0"/>
          <w:cols w:space="720" w:num="1"/>
          <w:docGrid w:linePitch="299" w:charSpace="0"/>
        </w:sectPr>
      </w:pPr>
      <w:r>
        <w:rPr>
          <w:rFonts w:hint="eastAsia" w:ascii="黑体" w:hAnsi="黑体" w:eastAsia="黑体"/>
          <w:sz w:val="36"/>
          <w:szCs w:val="36"/>
        </w:rPr>
        <w:t>可行性研究报告（另册）</w:t>
      </w:r>
    </w:p>
    <w:p>
      <w:pPr>
        <w:rPr>
          <w:rFonts w:ascii="宋体" w:hAnsi="宋体"/>
          <w:sz w:val="20"/>
          <w:szCs w:val="20"/>
        </w:rPr>
      </w:pPr>
    </w:p>
    <w:p>
      <w:pPr>
        <w:rPr>
          <w:rFonts w:ascii="宋体" w:hAnsi="宋体"/>
          <w:sz w:val="20"/>
          <w:szCs w:val="20"/>
        </w:rPr>
      </w:pPr>
    </w:p>
    <w:p>
      <w:pPr>
        <w:pStyle w:val="23"/>
        <w:rPr>
          <w:rFonts w:ascii="宋体"/>
          <w:szCs w:val="20"/>
          <w:lang w:eastAsia="zh-CN"/>
        </w:rPr>
      </w:pPr>
    </w:p>
    <w:p>
      <w:pPr>
        <w:pStyle w:val="23"/>
        <w:rPr>
          <w:rFonts w:ascii="宋体"/>
          <w:szCs w:val="20"/>
          <w:lang w:eastAsia="zh-CN"/>
        </w:rPr>
      </w:pPr>
    </w:p>
    <w:p>
      <w:pPr>
        <w:spacing w:before="8"/>
        <w:rPr>
          <w:rFonts w:ascii="宋体" w:hAnsi="宋体"/>
          <w:sz w:val="26"/>
          <w:szCs w:val="26"/>
        </w:rPr>
      </w:pPr>
    </w:p>
    <w:p>
      <w:pPr>
        <w:pStyle w:val="3"/>
        <w:spacing w:line="589" w:lineRule="exact"/>
        <w:ind w:right="3"/>
        <w:jc w:val="center"/>
        <w:rPr>
          <w:rFonts w:ascii="宋体" w:hAnsi="宋体"/>
          <w:b w:val="0"/>
          <w:bCs w:val="0"/>
        </w:rPr>
      </w:pPr>
      <w:bookmarkStart w:id="24" w:name="_Toc15330"/>
      <w:r>
        <w:rPr>
          <w:rFonts w:ascii="宋体" w:hAnsi="宋体"/>
        </w:rPr>
        <w:t>第三卷</w:t>
      </w:r>
      <w:bookmarkEnd w:id="24"/>
    </w:p>
    <w:p>
      <w:pPr>
        <w:spacing w:line="589" w:lineRule="exact"/>
        <w:jc w:val="center"/>
        <w:rPr>
          <w:rFonts w:ascii="宋体" w:hAnsi="宋体"/>
        </w:rPr>
        <w:sectPr>
          <w:pgSz w:w="12240" w:h="15840"/>
          <w:pgMar w:top="1502" w:right="1718" w:bottom="1123" w:left="1718" w:header="0" w:footer="918" w:gutter="0"/>
          <w:cols w:space="720" w:num="1"/>
          <w:docGrid w:linePitch="1" w:charSpace="0"/>
        </w:sectPr>
      </w:pPr>
    </w:p>
    <w:p>
      <w:pPr>
        <w:pStyle w:val="3"/>
        <w:jc w:val="center"/>
        <w:rPr>
          <w:rFonts w:ascii="宋体" w:hAnsi="宋体"/>
        </w:rPr>
      </w:pPr>
      <w:bookmarkStart w:id="25" w:name="_Toc2738"/>
      <w:r>
        <w:rPr>
          <w:rFonts w:ascii="宋体" w:hAnsi="宋体"/>
        </w:rPr>
        <w:t>第六章</w:t>
      </w:r>
      <w:r>
        <w:rPr>
          <w:rFonts w:hint="eastAsia" w:ascii="宋体" w:hAnsi="宋体"/>
        </w:rPr>
        <w:t xml:space="preserve">  </w:t>
      </w:r>
      <w:r>
        <w:rPr>
          <w:rFonts w:ascii="宋体" w:hAnsi="宋体"/>
        </w:rPr>
        <w:t>投标文件格式</w:t>
      </w:r>
      <w:bookmarkEnd w:id="25"/>
    </w:p>
    <w:p>
      <w:pPr>
        <w:autoSpaceDE w:val="0"/>
        <w:autoSpaceDN w:val="0"/>
        <w:adjustRightInd w:val="0"/>
        <w:spacing w:line="466" w:lineRule="exact"/>
        <w:ind w:right="-20"/>
        <w:jc w:val="center"/>
        <w:outlineLvl w:val="0"/>
        <w:rPr>
          <w:rFonts w:ascii="宋体" w:hAnsi="宋体"/>
          <w:b/>
          <w:bCs/>
          <w:spacing w:val="2"/>
          <w:position w:val="-1"/>
          <w:sz w:val="32"/>
          <w:szCs w:val="32"/>
        </w:rPr>
      </w:pPr>
      <w:r>
        <w:rPr>
          <w:rFonts w:ascii="宋体" w:hAnsi="宋体"/>
        </w:rPr>
        <w:br w:type="page"/>
      </w:r>
      <w:bookmarkStart w:id="26" w:name="_Toc11783"/>
      <w:r>
        <w:rPr>
          <w:rFonts w:hint="eastAsia" w:ascii="宋体" w:hAnsi="宋体"/>
          <w:b/>
          <w:bCs/>
          <w:spacing w:val="2"/>
          <w:position w:val="-1"/>
          <w:sz w:val="32"/>
          <w:szCs w:val="32"/>
        </w:rPr>
        <w:t>勘察设计投标文件编制要求</w:t>
      </w:r>
      <w:bookmarkEnd w:id="26"/>
    </w:p>
    <w:p>
      <w:pPr>
        <w:pStyle w:val="2"/>
        <w:ind w:firstLine="440"/>
        <w:rPr>
          <w:lang w:eastAsia="zh-CN"/>
        </w:rPr>
      </w:pPr>
    </w:p>
    <w:p>
      <w:pPr>
        <w:pStyle w:val="36"/>
        <w:spacing w:line="360" w:lineRule="auto"/>
        <w:rPr>
          <w:rFonts w:ascii="宋体" w:hAnsi="宋体" w:eastAsia="宋体"/>
          <w:b/>
          <w:bCs/>
          <w:sz w:val="24"/>
          <w:szCs w:val="24"/>
          <w:u w:val="single"/>
          <w:lang w:eastAsia="zh-CN"/>
        </w:rPr>
      </w:pPr>
      <w:r>
        <w:rPr>
          <w:rFonts w:hint="eastAsia" w:ascii="宋体" w:hAnsi="宋体" w:eastAsia="宋体"/>
          <w:b/>
          <w:bCs/>
          <w:sz w:val="24"/>
          <w:szCs w:val="24"/>
          <w:u w:val="single"/>
          <w:lang w:eastAsia="zh-CN"/>
        </w:rPr>
        <w:t>1</w:t>
      </w:r>
      <w:r>
        <w:rPr>
          <w:rFonts w:ascii="宋体" w:hAnsi="宋体" w:eastAsia="宋体"/>
          <w:b/>
          <w:bCs/>
          <w:sz w:val="24"/>
          <w:szCs w:val="24"/>
          <w:u w:val="single"/>
          <w:lang w:eastAsia="zh-CN"/>
        </w:rPr>
        <w:t>.1</w:t>
      </w:r>
      <w:r>
        <w:rPr>
          <w:rFonts w:hint="eastAsia" w:ascii="宋体" w:hAnsi="宋体" w:eastAsia="宋体"/>
          <w:b/>
          <w:bCs/>
          <w:sz w:val="24"/>
          <w:szCs w:val="24"/>
          <w:u w:val="single"/>
          <w:lang w:eastAsia="zh-CN"/>
        </w:rPr>
        <w:t>投标文件</w:t>
      </w:r>
    </w:p>
    <w:p>
      <w:pPr>
        <w:spacing w:line="360" w:lineRule="auto"/>
        <w:ind w:left="821" w:hanging="820" w:hangingChars="342"/>
        <w:rPr>
          <w:rFonts w:ascii="宋体" w:hAnsi="宋体" w:cs="宋体"/>
          <w:sz w:val="24"/>
          <w:szCs w:val="24"/>
          <w:u w:val="single"/>
        </w:rPr>
      </w:pPr>
      <w:r>
        <w:rPr>
          <w:rFonts w:hint="eastAsia" w:ascii="宋体" w:hAnsi="宋体" w:cs="宋体"/>
          <w:sz w:val="24"/>
          <w:szCs w:val="24"/>
          <w:u w:val="single"/>
        </w:rPr>
        <w:t>1.1.1  投标文件应做到清晰、完整，文本、图纸规格应当尽量统一。除非另有规定，否则投标文件的计量单位宜采用国际标准计量单位，尺寸齐全、准确，所有文字说明和文字标注以中文为准，报价均为人民币，时间均为北京时间。</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u w:val="single"/>
        </w:rPr>
      </w:pPr>
      <w:r>
        <w:rPr>
          <w:rFonts w:hint="eastAsia" w:ascii="宋体" w:hAnsi="宋体"/>
          <w:b/>
          <w:bCs/>
          <w:sz w:val="24"/>
          <w:szCs w:val="24"/>
          <w:u w:val="single"/>
        </w:rPr>
        <w:t>1.2</w:t>
      </w:r>
      <w:r>
        <w:rPr>
          <w:rFonts w:hint="eastAsia" w:ascii="宋体" w:hAnsi="宋体"/>
          <w:sz w:val="24"/>
          <w:szCs w:val="24"/>
          <w:u w:val="single"/>
        </w:rPr>
        <w:t xml:space="preserve"> </w:t>
      </w:r>
      <w:r>
        <w:rPr>
          <w:rFonts w:hint="eastAsia" w:ascii="宋体" w:hAnsi="宋体"/>
          <w:b/>
          <w:bCs/>
          <w:sz w:val="24"/>
          <w:szCs w:val="24"/>
          <w:u w:val="single"/>
        </w:rPr>
        <w:t xml:space="preserve">  投标文件（含资格审查文件）编制要求</w:t>
      </w:r>
    </w:p>
    <w:p>
      <w:pPr>
        <w:pStyle w:val="12"/>
        <w:spacing w:line="360" w:lineRule="auto"/>
        <w:rPr>
          <w:rFonts w:hAnsi="宋体" w:eastAsia="宋体"/>
          <w:sz w:val="24"/>
          <w:szCs w:val="24"/>
          <w:u w:val="single"/>
          <w:lang w:eastAsia="zh-CN"/>
        </w:rPr>
      </w:pPr>
      <w:r>
        <w:rPr>
          <w:rFonts w:hint="eastAsia" w:hAnsi="宋体" w:eastAsia="宋体"/>
          <w:sz w:val="24"/>
          <w:szCs w:val="24"/>
          <w:u w:val="single"/>
          <w:lang w:eastAsia="zh-CN"/>
        </w:rPr>
        <w:t>1.2.1 投标文件（含资格审查文件）由下列资料组成：</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（1）封面：写明</w:t>
      </w:r>
      <w:r>
        <w:rPr>
          <w:rFonts w:hint="eastAsia" w:ascii="宋体" w:hAnsi="宋体"/>
          <w:b/>
          <w:bCs/>
          <w:sz w:val="24"/>
          <w:szCs w:val="24"/>
          <w:u w:val="single"/>
        </w:rPr>
        <w:t xml:space="preserve">项目名称、投标人单位及 </w:t>
      </w:r>
      <w:r>
        <w:rPr>
          <w:rFonts w:ascii="宋体" w:hAnsi="宋体"/>
          <w:b/>
          <w:bCs/>
          <w:sz w:val="24"/>
          <w:szCs w:val="24"/>
          <w:u w:val="single"/>
        </w:rPr>
        <w:t xml:space="preserve"> </w:t>
      </w:r>
      <w:r>
        <w:rPr>
          <w:rFonts w:hint="eastAsia" w:ascii="宋体" w:hAnsi="宋体"/>
          <w:b/>
          <w:bCs/>
          <w:sz w:val="24"/>
          <w:szCs w:val="24"/>
          <w:u w:val="single"/>
        </w:rPr>
        <w:t xml:space="preserve">年  月 </w:t>
      </w:r>
      <w:r>
        <w:rPr>
          <w:rFonts w:ascii="宋体" w:hAnsi="宋体"/>
          <w:b/>
          <w:bCs/>
          <w:sz w:val="24"/>
          <w:szCs w:val="24"/>
          <w:u w:val="single"/>
        </w:rPr>
        <w:t xml:space="preserve"> </w:t>
      </w:r>
      <w:r>
        <w:rPr>
          <w:rFonts w:hint="eastAsia" w:ascii="宋体" w:hAnsi="宋体"/>
          <w:b/>
          <w:bCs/>
          <w:sz w:val="24"/>
          <w:szCs w:val="24"/>
          <w:u w:val="single"/>
        </w:rPr>
        <w:t>日；加盖投标人电子印章</w:t>
      </w:r>
      <w:r>
        <w:rPr>
          <w:rFonts w:hint="eastAsia" w:ascii="宋体" w:hAnsi="宋体"/>
          <w:sz w:val="24"/>
          <w:szCs w:val="24"/>
          <w:u w:val="single"/>
        </w:rPr>
        <w:t>；</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（2）目录；</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（3）填妥并签字盖章的《投标书》（格式见格式一）；</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（4）填妥并签字盖章的《法人代表人身份证明书》和《法人代表人授权委托书》（格式见格式二）。</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（5）填妥并签字盖章的《合作设计协议书》（外国或澳门、台湾的设计企业提供和香港不单独参加投标的设计企业提供）（格式见格式三）（如有）；</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（6）填妥并签字盖章的《投标人声明》（格式见格式四）；</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（7）填妥并签字盖章的《联合体协议书》（联合体投标人提供，详见招标公告附件）（如有）；</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（8）勘察设计费计算表（工程勘察设计费报价汇总表，工程设计费计算表，工程勘察费计算表、BIM技术费计算表）（格式见格式五）；</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（9）投标人及项目负责人已在广州市住建行业信用管理平台建立企业信用档案的网页截图；</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（10）企业营业执照副本扫描件；</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（11）企业资质证书副本扫描件；</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12）为本项目拟投入的技术力量。主要包括项目负责人及各专业负责人的资格、勘察设计经历及业务能力，主要勘察设计人员的资格、勘察设计经历及业务能力，参加本项目人员配置情况等，对资格及经历等内容必须附上有关的证明材料，并能保证材料的真实性；（格式见格式六）</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（13）企业类似工程业绩（格式见格式七）证明材料扫描件；</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（14）企业业绩获奖证明材料扫描件；</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（15）满足第二章第1.4条（投标人资格要求）评审要求的其他资料；</w:t>
      </w:r>
    </w:p>
    <w:p>
      <w:pPr>
        <w:spacing w:line="360" w:lineRule="auto"/>
        <w:ind w:left="624" w:leftChars="297" w:firstLine="14" w:firstLineChars="6"/>
        <w:rPr>
          <w:rFonts w:ascii="宋体" w:hAnsi="宋体"/>
          <w:b/>
          <w:bCs/>
          <w:sz w:val="24"/>
          <w:szCs w:val="24"/>
          <w:u w:val="single"/>
        </w:rPr>
      </w:pPr>
      <w:r>
        <w:rPr>
          <w:rFonts w:hint="eastAsia" w:ascii="宋体" w:hAnsi="宋体"/>
          <w:sz w:val="24"/>
          <w:szCs w:val="24"/>
          <w:u w:val="single"/>
        </w:rPr>
        <w:t>（16）勘察设计工作方案；</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（17）满足本项目评审的其他证明材料；</w:t>
      </w:r>
    </w:p>
    <w:p>
      <w:pPr>
        <w:spacing w:line="360" w:lineRule="auto"/>
        <w:ind w:left="624" w:leftChars="297" w:firstLine="14" w:firstLineChars="6"/>
        <w:rPr>
          <w:rFonts w:ascii="宋体" w:hAnsi="宋体"/>
          <w:sz w:val="24"/>
          <w:szCs w:val="24"/>
          <w:u w:val="single"/>
        </w:rPr>
      </w:pPr>
      <w:r>
        <w:rPr>
          <w:rFonts w:hint="eastAsia" w:ascii="宋体" w:hAnsi="宋体"/>
          <w:sz w:val="24"/>
          <w:szCs w:val="24"/>
          <w:u w:val="single"/>
        </w:rPr>
        <w:t>（18）投标人认为有必要提供的其他资料。</w:t>
      </w:r>
    </w:p>
    <w:p>
      <w:pPr>
        <w:spacing w:line="360" w:lineRule="auto"/>
        <w:ind w:left="600" w:hanging="600" w:hangingChars="250"/>
        <w:rPr>
          <w:rFonts w:ascii="宋体"/>
          <w:sz w:val="24"/>
        </w:rPr>
      </w:pPr>
      <w:r>
        <w:rPr>
          <w:rFonts w:hint="eastAsia" w:ascii="宋体" w:hAnsi="宋体"/>
          <w:sz w:val="24"/>
          <w:szCs w:val="24"/>
        </w:rPr>
        <w:t xml:space="preserve"> </w:t>
      </w:r>
      <w:r>
        <w:rPr>
          <w:rFonts w:hint="eastAsia" w:ascii="宋体" w:hAnsi="宋体"/>
          <w:b/>
          <w:bCs/>
          <w:sz w:val="24"/>
          <w:szCs w:val="24"/>
        </w:rPr>
        <w:t xml:space="preserve"> </w:t>
      </w:r>
    </w:p>
    <w:p>
      <w:pPr>
        <w:pStyle w:val="9"/>
        <w:rPr>
          <w:lang w:eastAsia="zh-CN"/>
        </w:rPr>
      </w:pPr>
    </w:p>
    <w:p>
      <w:pPr>
        <w:pStyle w:val="9"/>
        <w:rPr>
          <w:lang w:eastAsia="zh-CN"/>
        </w:rPr>
      </w:pPr>
    </w:p>
    <w:p>
      <w:pPr>
        <w:spacing w:line="360" w:lineRule="auto"/>
        <w:ind w:left="426" w:leftChars="202" w:hanging="2"/>
        <w:rPr>
          <w:rFonts w:ascii="宋体" w:hAnsi="宋体"/>
          <w:sz w:val="24"/>
          <w:szCs w:val="24"/>
        </w:rPr>
      </w:pPr>
    </w:p>
    <w:p>
      <w:pPr>
        <w:autoSpaceDE w:val="0"/>
        <w:autoSpaceDN w:val="0"/>
        <w:adjustRightInd w:val="0"/>
        <w:spacing w:line="340" w:lineRule="exact"/>
        <w:ind w:right="-20"/>
        <w:outlineLvl w:val="0"/>
        <w:rPr>
          <w:rFonts w:ascii="宋体" w:hAnsi="宋体" w:cs="宋体"/>
          <w:sz w:val="20"/>
          <w:szCs w:val="20"/>
        </w:rPr>
      </w:pPr>
      <w:r>
        <w:rPr>
          <w:rFonts w:ascii="宋体" w:hAnsi="宋体"/>
        </w:rPr>
        <w:br w:type="page"/>
      </w:r>
      <w:bookmarkStart w:id="27" w:name="_Toc22122"/>
      <w:r>
        <w:rPr>
          <w:rFonts w:hint="eastAsia" w:ascii="宋体" w:hAnsi="宋体" w:cs="宋体"/>
          <w:spacing w:val="2"/>
          <w:position w:val="-1"/>
          <w:sz w:val="32"/>
          <w:szCs w:val="32"/>
        </w:rPr>
        <w:t>格式一：投标书</w:t>
      </w:r>
      <w:bookmarkEnd w:id="27"/>
    </w:p>
    <w:p>
      <w:pPr>
        <w:spacing w:line="340" w:lineRule="exact"/>
        <w:jc w:val="center"/>
        <w:rPr>
          <w:rFonts w:ascii="宋体" w:hAnsi="宋体" w:cs="宋体"/>
          <w:b/>
          <w:bCs/>
          <w:sz w:val="32"/>
          <w:szCs w:val="32"/>
        </w:rPr>
      </w:pPr>
      <w:r>
        <w:rPr>
          <w:rFonts w:hint="eastAsia" w:ascii="宋体" w:hAnsi="宋体" w:cs="宋体"/>
          <w:b/>
          <w:bCs/>
          <w:sz w:val="32"/>
          <w:szCs w:val="32"/>
        </w:rPr>
        <w:t>投标书</w:t>
      </w:r>
    </w:p>
    <w:p>
      <w:pPr>
        <w:spacing w:line="340" w:lineRule="exact"/>
        <w:rPr>
          <w:rFonts w:ascii="宋体" w:hAnsi="宋体" w:cs="宋体"/>
          <w:szCs w:val="21"/>
        </w:rPr>
      </w:pPr>
      <w:r>
        <w:rPr>
          <w:rFonts w:hint="eastAsia" w:ascii="宋体" w:hAnsi="宋体" w:cs="宋体"/>
        </w:rPr>
        <w:t xml:space="preserve"> </w:t>
      </w:r>
    </w:p>
    <w:p>
      <w:pPr>
        <w:spacing w:line="340" w:lineRule="exac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w:t>
      </w:r>
    </w:p>
    <w:p>
      <w:pPr>
        <w:pStyle w:val="12"/>
        <w:spacing w:line="340" w:lineRule="exact"/>
        <w:rPr>
          <w:rFonts w:hAnsi="宋体" w:eastAsia="宋体" w:cs="宋体"/>
          <w:sz w:val="24"/>
          <w:szCs w:val="24"/>
          <w:lang w:eastAsia="zh-CN"/>
        </w:rPr>
      </w:pPr>
    </w:p>
    <w:p>
      <w:pPr>
        <w:pStyle w:val="12"/>
        <w:spacing w:line="340" w:lineRule="exact"/>
        <w:rPr>
          <w:rFonts w:hAnsi="宋体" w:eastAsia="宋体" w:cs="宋体"/>
          <w:sz w:val="24"/>
          <w:szCs w:val="24"/>
          <w:lang w:eastAsia="zh-CN"/>
        </w:rPr>
      </w:pPr>
      <w:r>
        <w:rPr>
          <w:rFonts w:hint="eastAsia" w:hAnsi="宋体" w:eastAsia="宋体" w:cs="宋体"/>
          <w:sz w:val="24"/>
          <w:szCs w:val="24"/>
          <w:lang w:eastAsia="zh-CN"/>
        </w:rPr>
        <w:t>致：</w:t>
      </w:r>
      <w:r>
        <w:rPr>
          <w:rFonts w:hint="eastAsia" w:hAnsi="宋体" w:eastAsia="宋体" w:cs="宋体"/>
          <w:sz w:val="24"/>
          <w:szCs w:val="24"/>
          <w:u w:val="single"/>
          <w:lang w:eastAsia="zh-CN"/>
        </w:rPr>
        <w:t xml:space="preserve">                                    </w:t>
      </w:r>
      <w:r>
        <w:rPr>
          <w:rFonts w:hint="eastAsia" w:hAnsi="宋体" w:eastAsia="宋体" w:cs="宋体"/>
          <w:sz w:val="24"/>
          <w:szCs w:val="24"/>
          <w:lang w:eastAsia="zh-CN"/>
        </w:rPr>
        <w:t>（招标人、招标代理机构名称）</w:t>
      </w:r>
    </w:p>
    <w:p>
      <w:pPr>
        <w:spacing w:line="340" w:lineRule="exact"/>
        <w:rPr>
          <w:rFonts w:ascii="宋体" w:hAnsi="宋体" w:cs="宋体"/>
          <w:sz w:val="24"/>
          <w:szCs w:val="24"/>
        </w:rPr>
      </w:pPr>
    </w:p>
    <w:p>
      <w:pPr>
        <w:pStyle w:val="12"/>
        <w:spacing w:line="340" w:lineRule="exact"/>
        <w:ind w:firstLine="420"/>
        <w:rPr>
          <w:rFonts w:hAnsi="宋体" w:eastAsia="宋体" w:cs="宋体"/>
          <w:sz w:val="24"/>
          <w:szCs w:val="24"/>
          <w:lang w:eastAsia="zh-CN"/>
        </w:rPr>
      </w:pPr>
      <w:r>
        <w:rPr>
          <w:rFonts w:hint="eastAsia" w:hAnsi="宋体" w:eastAsia="宋体" w:cs="宋体"/>
          <w:sz w:val="24"/>
          <w:szCs w:val="24"/>
          <w:lang w:eastAsia="zh-CN"/>
        </w:rPr>
        <w:t>我方</w:t>
      </w:r>
      <w:r>
        <w:rPr>
          <w:rFonts w:hint="eastAsia" w:hAnsi="宋体" w:eastAsia="宋体" w:cs="宋体"/>
          <w:sz w:val="24"/>
          <w:szCs w:val="24"/>
          <w:u w:val="single"/>
          <w:lang w:eastAsia="zh-CN"/>
        </w:rPr>
        <w:t xml:space="preserve">        （投标人名称）</w:t>
      </w:r>
      <w:r>
        <w:rPr>
          <w:rFonts w:hint="eastAsia" w:hAnsi="宋体" w:eastAsia="宋体" w:cs="宋体"/>
          <w:sz w:val="24"/>
          <w:szCs w:val="24"/>
          <w:lang w:eastAsia="zh-CN"/>
        </w:rPr>
        <w:t>已收到并研究了上述项目的招标文件、合同条件、招标人要求、资料表、附件、补充文件和技术规范等文件。我方已检查和核对了这些文件，未发现他们有错误或其他缺陷。据此，我方愿按这些文件的规定，按照本投标书，包括一并提交的所有文件材料和所附建议书，承担上述项目并修补其中任何缺陷。我方愿以《工程勘察设计费报价汇总表》的投标总报价，承包本次招标所包含的工作，并承担质量缺陷责任。</w:t>
      </w:r>
      <w:r>
        <w:rPr>
          <w:rFonts w:hint="eastAsia" w:hAnsi="宋体" w:eastAsia="宋体" w:cs="宋体"/>
          <w:b/>
          <w:bCs/>
          <w:sz w:val="24"/>
          <w:szCs w:val="24"/>
          <w:lang w:eastAsia="zh-CN"/>
        </w:rPr>
        <w:t>我方项目负责人是</w:t>
      </w:r>
      <w:r>
        <w:rPr>
          <w:rFonts w:hint="eastAsia" w:hAnsi="宋体" w:eastAsia="宋体" w:cs="宋体"/>
          <w:b/>
          <w:bCs/>
          <w:sz w:val="24"/>
          <w:szCs w:val="24"/>
          <w:u w:val="single"/>
          <w:lang w:eastAsia="zh-CN"/>
        </w:rPr>
        <w:t xml:space="preserve">       </w:t>
      </w:r>
      <w:r>
        <w:rPr>
          <w:rFonts w:hint="eastAsia" w:hAnsi="宋体" w:eastAsia="宋体" w:cs="宋体"/>
          <w:sz w:val="24"/>
          <w:szCs w:val="24"/>
          <w:lang w:eastAsia="zh-CN"/>
        </w:rPr>
        <w:t>。如我司成为本项目中标候选人，我司同意并授权招标人将我司投标文件商务部分的人员、业绩、奖项等资料进行公开。</w:t>
      </w:r>
    </w:p>
    <w:p>
      <w:pPr>
        <w:pStyle w:val="12"/>
        <w:spacing w:line="340" w:lineRule="exact"/>
        <w:ind w:firstLine="420"/>
        <w:rPr>
          <w:rFonts w:hAnsi="宋体" w:eastAsia="宋体" w:cs="宋体"/>
          <w:sz w:val="24"/>
          <w:szCs w:val="24"/>
          <w:lang w:eastAsia="zh-CN"/>
        </w:rPr>
      </w:pPr>
      <w:r>
        <w:rPr>
          <w:rFonts w:hint="eastAsia" w:hAnsi="宋体" w:eastAsia="宋体" w:cs="宋体"/>
          <w:sz w:val="24"/>
          <w:szCs w:val="24"/>
          <w:lang w:eastAsia="zh-CN"/>
        </w:rPr>
        <w:t>我方遵守本投标书直至投标有效期满，在该日期前，本投标书对我方一直具有约束力，随时可接受中标。我方承认所附投标文件资料为本投标书的一部分。如果我方投标书含有不符合招标文件规定的内容，我方同意按招标文件规定予以修正。我方接受你方关于任命争端裁决委员会的建议。</w:t>
      </w:r>
    </w:p>
    <w:p>
      <w:pPr>
        <w:pStyle w:val="12"/>
        <w:spacing w:line="340" w:lineRule="exact"/>
        <w:ind w:firstLine="420"/>
        <w:rPr>
          <w:rFonts w:hAnsi="宋体" w:eastAsia="宋体" w:cs="宋体"/>
          <w:sz w:val="24"/>
          <w:szCs w:val="24"/>
          <w:lang w:eastAsia="zh-CN"/>
        </w:rPr>
      </w:pPr>
      <w:r>
        <w:rPr>
          <w:rFonts w:hint="eastAsia" w:hAnsi="宋体" w:eastAsia="宋体" w:cs="宋体"/>
          <w:sz w:val="24"/>
          <w:szCs w:val="24"/>
          <w:lang w:eastAsia="zh-CN"/>
        </w:rPr>
        <w:t>我方认同招标文件规定的评审规则，遵守评标委员会的裁决结果，并且不会采取妨碍项目进展的行为。我方理解你方没有必须接受你方可能收到的最低标或任何投标的义务。</w:t>
      </w:r>
    </w:p>
    <w:p>
      <w:pPr>
        <w:pStyle w:val="12"/>
        <w:spacing w:line="340" w:lineRule="exact"/>
        <w:ind w:firstLine="420"/>
        <w:rPr>
          <w:rFonts w:hAnsi="宋体" w:eastAsia="宋体" w:cs="宋体"/>
          <w:sz w:val="24"/>
          <w:szCs w:val="24"/>
          <w:lang w:eastAsia="zh-CN"/>
        </w:rPr>
      </w:pPr>
      <w:r>
        <w:rPr>
          <w:rFonts w:hint="eastAsia" w:hAnsi="宋体" w:eastAsia="宋体" w:cs="宋体"/>
          <w:sz w:val="24"/>
          <w:szCs w:val="24"/>
          <w:lang w:eastAsia="zh-CN"/>
        </w:rPr>
        <w:t>如果我方中标，我方将提供规定的履约担保，将在合同规定的日期开工，并在竣工时间内，按照上述文件完成项目。</w:t>
      </w:r>
    </w:p>
    <w:p>
      <w:pPr>
        <w:pStyle w:val="12"/>
        <w:spacing w:line="340" w:lineRule="exact"/>
        <w:ind w:firstLine="420"/>
        <w:rPr>
          <w:rFonts w:hAnsi="宋体" w:eastAsia="宋体" w:cs="宋体"/>
          <w:sz w:val="24"/>
          <w:szCs w:val="24"/>
          <w:lang w:eastAsia="zh-CN"/>
        </w:rPr>
      </w:pPr>
      <w:r>
        <w:rPr>
          <w:rFonts w:hint="eastAsia" w:hAnsi="宋体" w:eastAsia="宋体" w:cs="宋体"/>
          <w:sz w:val="24"/>
          <w:szCs w:val="24"/>
          <w:lang w:eastAsia="zh-CN"/>
        </w:rPr>
        <w:t>除非制订正式合同协议书并生效，本投标书以及你方中标通知书，应构成你我双方间具有约束力的合同。</w:t>
      </w:r>
    </w:p>
    <w:p>
      <w:pPr>
        <w:spacing w:line="340" w:lineRule="exact"/>
        <w:rPr>
          <w:rFonts w:ascii="宋体" w:hAnsi="宋体" w:cs="宋体"/>
          <w:sz w:val="24"/>
          <w:szCs w:val="24"/>
        </w:rPr>
      </w:pP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投标人：（盖章）</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法定代表人：（签字或盖章）</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委托代理人：（签字或盖章）</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项目负责人：（签字或盖章）</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地址：</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邮政编码：</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电话/传真：</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电子邮箱：</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开户银行名称、帐号：</w:t>
      </w:r>
      <w:r>
        <w:rPr>
          <w:rFonts w:hint="eastAsia" w:hAnsi="宋体" w:eastAsia="宋体" w:cs="宋体"/>
          <w:sz w:val="24"/>
          <w:szCs w:val="24"/>
          <w:u w:val="single"/>
          <w:lang w:eastAsia="zh-CN"/>
        </w:rPr>
        <w:t xml:space="preserve">                             </w:t>
      </w:r>
    </w:p>
    <w:p>
      <w:pPr>
        <w:pStyle w:val="12"/>
        <w:spacing w:line="340" w:lineRule="exact"/>
        <w:ind w:firstLine="405"/>
        <w:rPr>
          <w:rFonts w:hAnsi="宋体" w:eastAsia="宋体" w:cs="宋体"/>
          <w:sz w:val="24"/>
          <w:szCs w:val="24"/>
          <w:lang w:eastAsia="zh-CN"/>
        </w:rPr>
      </w:pPr>
      <w:r>
        <w:rPr>
          <w:rFonts w:hint="eastAsia" w:hAnsi="宋体" w:eastAsia="宋体" w:cs="宋体"/>
          <w:sz w:val="24"/>
          <w:szCs w:val="24"/>
          <w:lang w:eastAsia="zh-CN"/>
        </w:rPr>
        <w:t>开户行地址/电话：</w:t>
      </w:r>
      <w:r>
        <w:rPr>
          <w:rFonts w:hint="eastAsia" w:hAnsi="宋体" w:eastAsia="宋体" w:cs="宋体"/>
          <w:sz w:val="24"/>
          <w:szCs w:val="24"/>
          <w:u w:val="single"/>
          <w:lang w:eastAsia="zh-CN"/>
        </w:rPr>
        <w:t xml:space="preserve">                                </w:t>
      </w:r>
    </w:p>
    <w:p>
      <w:pPr>
        <w:pStyle w:val="12"/>
        <w:spacing w:line="340" w:lineRule="exact"/>
        <w:rPr>
          <w:rFonts w:hAnsi="宋体" w:eastAsia="宋体" w:cs="宋体"/>
          <w:sz w:val="24"/>
          <w:szCs w:val="24"/>
          <w:lang w:eastAsia="zh-CN"/>
        </w:rPr>
      </w:pPr>
      <w:r>
        <w:rPr>
          <w:rFonts w:hint="eastAsia" w:hAnsi="宋体" w:eastAsia="宋体" w:cs="宋体"/>
          <w:sz w:val="24"/>
          <w:szCs w:val="24"/>
          <w:lang w:eastAsia="zh-CN"/>
        </w:rPr>
        <w:t xml:space="preserve">                                     日期：       年    月    日</w:t>
      </w:r>
    </w:p>
    <w:p>
      <w:r>
        <w:rPr>
          <w:rFonts w:hint="eastAsia" w:ascii="宋体" w:hAnsi="宋体" w:cs="宋体"/>
          <w:b/>
          <w:sz w:val="24"/>
          <w:szCs w:val="24"/>
          <w:u w:val="single"/>
        </w:rPr>
        <w:t>（注：如联合体投标人，由联合体主办方出具即可。）</w:t>
      </w:r>
    </w:p>
    <w:p>
      <w:pPr>
        <w:jc w:val="center"/>
        <w:rPr>
          <w:rFonts w:ascii="宋体" w:hAnsi="宋体"/>
          <w:b/>
          <w:bCs/>
          <w:sz w:val="32"/>
          <w:szCs w:val="32"/>
        </w:rPr>
      </w:pPr>
      <w:r>
        <w:rPr>
          <w:rFonts w:hint="eastAsia" w:ascii="宋体" w:hAnsi="宋体"/>
        </w:rPr>
        <w:br w:type="page"/>
      </w:r>
      <w:r>
        <w:rPr>
          <w:rFonts w:hint="eastAsia" w:ascii="宋体" w:hAnsi="宋体"/>
          <w:b/>
          <w:bCs/>
          <w:sz w:val="32"/>
          <w:szCs w:val="32"/>
        </w:rPr>
        <w:t>投标书附录</w:t>
      </w:r>
    </w:p>
    <w:p>
      <w:pPr>
        <w:rPr>
          <w:rFonts w:ascii="宋体" w:hAnsi="宋体"/>
        </w:rPr>
      </w:pPr>
    </w:p>
    <w:p>
      <w:pPr>
        <w:rPr>
          <w:rFonts w:ascii="宋体" w:hAnsi="宋体"/>
          <w:sz w:val="23"/>
          <w:szCs w:val="23"/>
        </w:rPr>
      </w:pPr>
      <w:r>
        <w:rPr>
          <w:rFonts w:ascii="宋体" w:hAnsi="宋体"/>
          <w:sz w:val="23"/>
          <w:szCs w:val="23"/>
        </w:rPr>
        <w:t xml:space="preserve"> </w:t>
      </w:r>
    </w:p>
    <w:tbl>
      <w:tblPr>
        <w:tblStyle w:val="24"/>
        <w:tblW w:w="8810" w:type="dxa"/>
        <w:jc w:val="center"/>
        <w:tblLayout w:type="fixed"/>
        <w:tblCellMar>
          <w:top w:w="0" w:type="dxa"/>
          <w:left w:w="0" w:type="dxa"/>
          <w:bottom w:w="0" w:type="dxa"/>
          <w:right w:w="0" w:type="dxa"/>
        </w:tblCellMar>
      </w:tblPr>
      <w:tblGrid>
        <w:gridCol w:w="1271"/>
        <w:gridCol w:w="2883"/>
        <w:gridCol w:w="2793"/>
        <w:gridCol w:w="1863"/>
      </w:tblGrid>
      <w:tr>
        <w:tblPrEx>
          <w:tblCellMar>
            <w:top w:w="0" w:type="dxa"/>
            <w:left w:w="0" w:type="dxa"/>
            <w:bottom w:w="0" w:type="dxa"/>
            <w:right w:w="0" w:type="dxa"/>
          </w:tblCellMar>
        </w:tblPrEx>
        <w:trPr>
          <w:trHeight w:val="538" w:hRule="atLeast"/>
          <w:jc w:val="center"/>
        </w:trPr>
        <w:tc>
          <w:tcPr>
            <w:tcW w:w="1271"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92"/>
              <w:jc w:val="center"/>
              <w:rPr>
                <w:rFonts w:ascii="宋体" w:hAnsi="宋体" w:eastAsia="宋体"/>
                <w:sz w:val="24"/>
                <w:szCs w:val="24"/>
              </w:rPr>
            </w:pPr>
            <w:r>
              <w:rPr>
                <w:rFonts w:hint="eastAsia" w:ascii="宋体" w:hAnsi="宋体" w:eastAsia="宋体"/>
                <w:sz w:val="24"/>
                <w:szCs w:val="24"/>
              </w:rPr>
              <w:t>序号</w:t>
            </w:r>
          </w:p>
        </w:tc>
        <w:tc>
          <w:tcPr>
            <w:tcW w:w="2883" w:type="dxa"/>
            <w:tcBorders>
              <w:top w:val="single" w:color="000000" w:sz="4" w:space="0"/>
              <w:left w:val="nil"/>
              <w:bottom w:val="single" w:color="000000" w:sz="4" w:space="0"/>
              <w:right w:val="single" w:color="000000" w:sz="4" w:space="0"/>
            </w:tcBorders>
          </w:tcPr>
          <w:p>
            <w:pPr>
              <w:pStyle w:val="35"/>
              <w:kinsoku w:val="0"/>
              <w:overflowPunct w:val="0"/>
              <w:spacing w:before="92"/>
              <w:ind w:left="651"/>
              <w:rPr>
                <w:rFonts w:ascii="宋体" w:hAnsi="宋体" w:eastAsia="宋体"/>
                <w:sz w:val="24"/>
                <w:szCs w:val="24"/>
              </w:rPr>
            </w:pPr>
            <w:r>
              <w:rPr>
                <w:rFonts w:hint="eastAsia" w:ascii="宋体" w:hAnsi="宋体" w:eastAsia="宋体"/>
                <w:sz w:val="24"/>
                <w:szCs w:val="24"/>
              </w:rPr>
              <w:t>条款名称</w:t>
            </w:r>
          </w:p>
        </w:tc>
        <w:tc>
          <w:tcPr>
            <w:tcW w:w="2793" w:type="dxa"/>
            <w:tcBorders>
              <w:top w:val="single" w:color="000000" w:sz="4" w:space="0"/>
              <w:left w:val="nil"/>
              <w:bottom w:val="single" w:color="000000" w:sz="4" w:space="0"/>
              <w:right w:val="single" w:color="000000" w:sz="4" w:space="0"/>
            </w:tcBorders>
          </w:tcPr>
          <w:p>
            <w:pPr>
              <w:pStyle w:val="35"/>
              <w:kinsoku w:val="0"/>
              <w:overflowPunct w:val="0"/>
              <w:spacing w:before="92"/>
              <w:ind w:left="707"/>
              <w:rPr>
                <w:rFonts w:ascii="宋体" w:hAnsi="宋体" w:eastAsia="宋体"/>
                <w:sz w:val="24"/>
                <w:szCs w:val="24"/>
              </w:rPr>
            </w:pPr>
            <w:r>
              <w:rPr>
                <w:rFonts w:hint="eastAsia" w:ascii="宋体" w:hAnsi="宋体" w:eastAsia="宋体"/>
                <w:sz w:val="24"/>
                <w:szCs w:val="24"/>
              </w:rPr>
              <w:t>约定内容</w:t>
            </w:r>
          </w:p>
        </w:tc>
        <w:tc>
          <w:tcPr>
            <w:tcW w:w="1863" w:type="dxa"/>
            <w:tcBorders>
              <w:top w:val="single" w:color="000000" w:sz="4" w:space="0"/>
              <w:left w:val="nil"/>
              <w:bottom w:val="single" w:color="000000" w:sz="4" w:space="0"/>
              <w:right w:val="single" w:color="000000" w:sz="4" w:space="0"/>
            </w:tcBorders>
          </w:tcPr>
          <w:p>
            <w:pPr>
              <w:pStyle w:val="35"/>
              <w:kinsoku w:val="0"/>
              <w:overflowPunct w:val="0"/>
              <w:spacing w:before="92"/>
              <w:ind w:right="3"/>
              <w:jc w:val="center"/>
              <w:rPr>
                <w:rFonts w:ascii="宋体" w:hAnsi="宋体" w:eastAsia="宋体"/>
                <w:sz w:val="24"/>
                <w:szCs w:val="24"/>
              </w:rPr>
            </w:pPr>
            <w:r>
              <w:rPr>
                <w:rFonts w:hint="eastAsia" w:ascii="宋体" w:hAnsi="宋体" w:eastAsia="宋体"/>
                <w:sz w:val="24"/>
                <w:szCs w:val="24"/>
              </w:rPr>
              <w:t>备注</w:t>
            </w:r>
          </w:p>
        </w:tc>
      </w:tr>
      <w:tr>
        <w:tblPrEx>
          <w:tblCellMar>
            <w:top w:w="0" w:type="dxa"/>
            <w:left w:w="0" w:type="dxa"/>
            <w:bottom w:w="0" w:type="dxa"/>
            <w:right w:w="0" w:type="dxa"/>
          </w:tblCellMar>
        </w:tblPrEx>
        <w:trPr>
          <w:trHeight w:val="451"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35"/>
              <w:kinsoku w:val="0"/>
              <w:overflowPunct w:val="0"/>
              <w:spacing w:before="93"/>
              <w:jc w:val="center"/>
              <w:rPr>
                <w:rFonts w:ascii="宋体" w:hAnsi="宋体" w:eastAsia="宋体"/>
                <w:sz w:val="24"/>
                <w:szCs w:val="24"/>
              </w:rPr>
            </w:pPr>
            <w:r>
              <w:rPr>
                <w:rFonts w:ascii="宋体" w:hAnsi="宋体" w:eastAsia="宋体"/>
                <w:sz w:val="24"/>
                <w:szCs w:val="24"/>
              </w:rPr>
              <w:t>1</w:t>
            </w:r>
          </w:p>
        </w:tc>
        <w:tc>
          <w:tcPr>
            <w:tcW w:w="2883" w:type="dxa"/>
            <w:tcBorders>
              <w:top w:val="single" w:color="000000" w:sz="4" w:space="0"/>
              <w:left w:val="nil"/>
              <w:bottom w:val="single" w:color="000000" w:sz="4" w:space="0"/>
              <w:right w:val="single" w:color="000000" w:sz="4" w:space="0"/>
            </w:tcBorders>
            <w:vAlign w:val="center"/>
          </w:tcPr>
          <w:p>
            <w:pPr>
              <w:pStyle w:val="35"/>
              <w:kinsoku w:val="0"/>
              <w:overflowPunct w:val="0"/>
              <w:spacing w:before="106"/>
              <w:jc w:val="center"/>
              <w:rPr>
                <w:rFonts w:ascii="宋体" w:hAnsi="宋体" w:eastAsia="宋体"/>
                <w:sz w:val="24"/>
                <w:szCs w:val="24"/>
              </w:rPr>
            </w:pPr>
            <w:r>
              <w:rPr>
                <w:rFonts w:hint="eastAsia" w:ascii="宋体" w:hAnsi="宋体" w:eastAsia="宋体"/>
                <w:spacing w:val="-1"/>
                <w:sz w:val="24"/>
                <w:szCs w:val="24"/>
              </w:rPr>
              <w:t>项目负责人</w:t>
            </w:r>
          </w:p>
        </w:tc>
        <w:tc>
          <w:tcPr>
            <w:tcW w:w="2793" w:type="dxa"/>
            <w:tcBorders>
              <w:top w:val="single" w:color="000000" w:sz="4" w:space="0"/>
              <w:left w:val="nil"/>
              <w:bottom w:val="single" w:color="000000" w:sz="4" w:space="0"/>
              <w:right w:val="single" w:color="000000" w:sz="4" w:space="0"/>
            </w:tcBorders>
            <w:vAlign w:val="center"/>
          </w:tcPr>
          <w:p>
            <w:pPr>
              <w:pStyle w:val="35"/>
              <w:kinsoku w:val="0"/>
              <w:overflowPunct w:val="0"/>
              <w:spacing w:before="94"/>
              <w:ind w:left="102"/>
              <w:rPr>
                <w:rFonts w:ascii="宋体" w:hAnsi="宋体" w:eastAsia="宋体"/>
                <w:sz w:val="24"/>
                <w:szCs w:val="24"/>
              </w:rPr>
            </w:pPr>
            <w:r>
              <w:rPr>
                <w:rFonts w:hint="eastAsia" w:ascii="宋体" w:hAnsi="宋体" w:eastAsia="宋体"/>
                <w:sz w:val="24"/>
                <w:szCs w:val="24"/>
              </w:rPr>
              <w:t>姓名：</w:t>
            </w:r>
          </w:p>
        </w:tc>
        <w:tc>
          <w:tcPr>
            <w:tcW w:w="1863" w:type="dxa"/>
            <w:tcBorders>
              <w:top w:val="single" w:color="000000" w:sz="4" w:space="0"/>
              <w:left w:val="nil"/>
              <w:bottom w:val="single" w:color="000000" w:sz="4" w:space="0"/>
              <w:right w:val="single" w:color="000000" w:sz="4" w:space="0"/>
            </w:tcBorders>
          </w:tcPr>
          <w:p>
            <w:pPr>
              <w:rPr>
                <w:rFonts w:ascii="宋体" w:hAnsi="宋体" w:cs="Calibri"/>
                <w:sz w:val="24"/>
                <w:szCs w:val="24"/>
              </w:rPr>
            </w:pPr>
          </w:p>
        </w:tc>
      </w:tr>
      <w:tr>
        <w:tblPrEx>
          <w:tblCellMar>
            <w:top w:w="0" w:type="dxa"/>
            <w:left w:w="0" w:type="dxa"/>
            <w:bottom w:w="0" w:type="dxa"/>
            <w:right w:w="0" w:type="dxa"/>
          </w:tblCellMar>
        </w:tblPrEx>
        <w:trPr>
          <w:trHeight w:val="449"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35"/>
              <w:kinsoku w:val="0"/>
              <w:overflowPunct w:val="0"/>
              <w:spacing w:before="91"/>
              <w:jc w:val="center"/>
              <w:rPr>
                <w:rFonts w:ascii="宋体" w:hAnsi="宋体" w:eastAsia="宋体"/>
                <w:sz w:val="24"/>
                <w:szCs w:val="24"/>
              </w:rPr>
            </w:pPr>
            <w:r>
              <w:rPr>
                <w:rFonts w:ascii="宋体" w:hAnsi="宋体" w:eastAsia="宋体"/>
                <w:sz w:val="24"/>
                <w:szCs w:val="24"/>
              </w:rPr>
              <w:t>2</w:t>
            </w:r>
          </w:p>
        </w:tc>
        <w:tc>
          <w:tcPr>
            <w:tcW w:w="2883" w:type="dxa"/>
            <w:tcBorders>
              <w:top w:val="single" w:color="000000" w:sz="4" w:space="0"/>
              <w:left w:val="nil"/>
              <w:bottom w:val="single" w:color="000000" w:sz="4" w:space="0"/>
              <w:right w:val="single" w:color="000000" w:sz="4" w:space="0"/>
            </w:tcBorders>
            <w:vAlign w:val="center"/>
          </w:tcPr>
          <w:p>
            <w:pPr>
              <w:pStyle w:val="35"/>
              <w:kinsoku w:val="0"/>
              <w:overflowPunct w:val="0"/>
              <w:spacing w:before="106"/>
              <w:jc w:val="center"/>
              <w:rPr>
                <w:rFonts w:ascii="宋体" w:hAnsi="宋体" w:eastAsia="宋体"/>
                <w:spacing w:val="-1"/>
                <w:sz w:val="24"/>
                <w:szCs w:val="24"/>
              </w:rPr>
            </w:pPr>
            <w:r>
              <w:rPr>
                <w:rFonts w:hint="eastAsia" w:ascii="宋体" w:hAnsi="宋体" w:eastAsia="宋体"/>
                <w:spacing w:val="-1"/>
                <w:sz w:val="24"/>
                <w:szCs w:val="24"/>
              </w:rPr>
              <w:t>投标内容</w:t>
            </w:r>
          </w:p>
        </w:tc>
        <w:tc>
          <w:tcPr>
            <w:tcW w:w="2793" w:type="dxa"/>
            <w:tcBorders>
              <w:top w:val="single" w:color="000000" w:sz="4" w:space="0"/>
              <w:left w:val="nil"/>
              <w:bottom w:val="single" w:color="000000" w:sz="4" w:space="0"/>
              <w:right w:val="single" w:color="000000" w:sz="4" w:space="0"/>
            </w:tcBorders>
            <w:vAlign w:val="center"/>
          </w:tcPr>
          <w:p>
            <w:pPr>
              <w:ind w:left="-6" w:leftChars="-3" w:firstLine="183" w:firstLineChars="77"/>
              <w:jc w:val="center"/>
              <w:rPr>
                <w:rFonts w:ascii="宋体" w:hAnsi="宋体"/>
                <w:spacing w:val="-1"/>
                <w:sz w:val="24"/>
                <w:szCs w:val="24"/>
              </w:rPr>
            </w:pPr>
            <w:r>
              <w:rPr>
                <w:rFonts w:hint="eastAsia" w:ascii="宋体" w:hAnsi="宋体"/>
                <w:spacing w:val="-1"/>
                <w:sz w:val="24"/>
                <w:szCs w:val="24"/>
              </w:rPr>
              <w:t>按招标文件要求</w:t>
            </w:r>
          </w:p>
        </w:tc>
        <w:tc>
          <w:tcPr>
            <w:tcW w:w="1863" w:type="dxa"/>
            <w:tcBorders>
              <w:top w:val="single" w:color="000000" w:sz="4" w:space="0"/>
              <w:left w:val="nil"/>
              <w:bottom w:val="single" w:color="000000" w:sz="4" w:space="0"/>
              <w:right w:val="single" w:color="000000" w:sz="4" w:space="0"/>
            </w:tcBorders>
          </w:tcPr>
          <w:p>
            <w:pPr>
              <w:rPr>
                <w:rFonts w:ascii="宋体" w:hAnsi="宋体" w:cs="Calibri"/>
                <w:sz w:val="24"/>
                <w:szCs w:val="24"/>
              </w:rPr>
            </w:pPr>
          </w:p>
        </w:tc>
      </w:tr>
      <w:tr>
        <w:tblPrEx>
          <w:tblCellMar>
            <w:top w:w="0" w:type="dxa"/>
            <w:left w:w="0" w:type="dxa"/>
            <w:bottom w:w="0" w:type="dxa"/>
            <w:right w:w="0" w:type="dxa"/>
          </w:tblCellMar>
        </w:tblPrEx>
        <w:trPr>
          <w:trHeight w:val="451"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35"/>
              <w:kinsoku w:val="0"/>
              <w:overflowPunct w:val="0"/>
              <w:spacing w:before="93"/>
              <w:jc w:val="center"/>
              <w:rPr>
                <w:rFonts w:ascii="宋体" w:hAnsi="宋体" w:eastAsia="宋体"/>
                <w:sz w:val="24"/>
                <w:szCs w:val="24"/>
              </w:rPr>
            </w:pPr>
            <w:r>
              <w:rPr>
                <w:rFonts w:ascii="宋体" w:hAnsi="宋体" w:eastAsia="宋体"/>
                <w:sz w:val="24"/>
                <w:szCs w:val="24"/>
              </w:rPr>
              <w:t>3</w:t>
            </w:r>
          </w:p>
        </w:tc>
        <w:tc>
          <w:tcPr>
            <w:tcW w:w="2883" w:type="dxa"/>
            <w:tcBorders>
              <w:top w:val="single" w:color="000000" w:sz="4" w:space="0"/>
              <w:left w:val="nil"/>
              <w:bottom w:val="single" w:color="000000" w:sz="4" w:space="0"/>
              <w:right w:val="single" w:color="000000" w:sz="4" w:space="0"/>
            </w:tcBorders>
            <w:vAlign w:val="center"/>
          </w:tcPr>
          <w:p>
            <w:pPr>
              <w:pStyle w:val="35"/>
              <w:kinsoku w:val="0"/>
              <w:overflowPunct w:val="0"/>
              <w:spacing w:before="106"/>
              <w:jc w:val="center"/>
              <w:rPr>
                <w:rFonts w:ascii="宋体" w:hAnsi="宋体" w:eastAsia="宋体"/>
                <w:spacing w:val="-1"/>
                <w:sz w:val="24"/>
                <w:szCs w:val="24"/>
              </w:rPr>
            </w:pPr>
            <w:r>
              <w:rPr>
                <w:rFonts w:hint="eastAsia" w:ascii="宋体" w:hAnsi="宋体" w:eastAsia="宋体"/>
                <w:spacing w:val="-1"/>
                <w:sz w:val="24"/>
                <w:szCs w:val="24"/>
                <w:lang w:eastAsia="zh-CN"/>
              </w:rPr>
              <w:t>勘察设计</w:t>
            </w:r>
            <w:r>
              <w:rPr>
                <w:rFonts w:hint="eastAsia" w:ascii="宋体" w:hAnsi="宋体" w:eastAsia="宋体"/>
                <w:spacing w:val="-1"/>
                <w:sz w:val="24"/>
                <w:szCs w:val="24"/>
              </w:rPr>
              <w:t>服务期限</w:t>
            </w:r>
          </w:p>
        </w:tc>
        <w:tc>
          <w:tcPr>
            <w:tcW w:w="2793" w:type="dxa"/>
            <w:tcBorders>
              <w:top w:val="single" w:color="000000" w:sz="4" w:space="0"/>
              <w:left w:val="nil"/>
              <w:bottom w:val="single" w:color="000000" w:sz="4" w:space="0"/>
              <w:right w:val="single" w:color="000000" w:sz="4" w:space="0"/>
            </w:tcBorders>
            <w:vAlign w:val="center"/>
          </w:tcPr>
          <w:p>
            <w:pPr>
              <w:ind w:left="-6" w:leftChars="-3" w:firstLine="183" w:firstLineChars="77"/>
              <w:jc w:val="center"/>
              <w:rPr>
                <w:rFonts w:ascii="宋体" w:hAnsi="宋体" w:cs="Calibri"/>
                <w:spacing w:val="-1"/>
                <w:sz w:val="24"/>
                <w:szCs w:val="24"/>
              </w:rPr>
            </w:pPr>
            <w:r>
              <w:rPr>
                <w:rFonts w:hint="eastAsia" w:ascii="宋体" w:hAnsi="宋体"/>
                <w:spacing w:val="-1"/>
                <w:sz w:val="24"/>
                <w:szCs w:val="24"/>
              </w:rPr>
              <w:t>按招标文件要求</w:t>
            </w:r>
          </w:p>
        </w:tc>
        <w:tc>
          <w:tcPr>
            <w:tcW w:w="1863" w:type="dxa"/>
            <w:tcBorders>
              <w:top w:val="single" w:color="000000" w:sz="4" w:space="0"/>
              <w:left w:val="nil"/>
              <w:bottom w:val="single" w:color="000000" w:sz="4" w:space="0"/>
              <w:right w:val="single" w:color="000000" w:sz="4" w:space="0"/>
            </w:tcBorders>
          </w:tcPr>
          <w:p>
            <w:pPr>
              <w:rPr>
                <w:rFonts w:ascii="宋体" w:hAnsi="宋体" w:cs="Calibri"/>
                <w:sz w:val="24"/>
                <w:szCs w:val="24"/>
              </w:rPr>
            </w:pPr>
          </w:p>
        </w:tc>
      </w:tr>
      <w:tr>
        <w:tblPrEx>
          <w:tblCellMar>
            <w:top w:w="0" w:type="dxa"/>
            <w:left w:w="0" w:type="dxa"/>
            <w:bottom w:w="0" w:type="dxa"/>
            <w:right w:w="0" w:type="dxa"/>
          </w:tblCellMar>
        </w:tblPrEx>
        <w:trPr>
          <w:trHeight w:val="449"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35"/>
              <w:kinsoku w:val="0"/>
              <w:overflowPunct w:val="0"/>
              <w:spacing w:line="234" w:lineRule="exact"/>
              <w:jc w:val="center"/>
              <w:rPr>
                <w:rFonts w:ascii="宋体" w:hAnsi="宋体" w:eastAsia="宋体"/>
                <w:sz w:val="24"/>
                <w:szCs w:val="24"/>
              </w:rPr>
            </w:pPr>
            <w:r>
              <w:rPr>
                <w:rFonts w:hint="eastAsia" w:ascii="宋体" w:hAnsi="宋体" w:eastAsia="宋体"/>
                <w:sz w:val="24"/>
                <w:szCs w:val="24"/>
              </w:rPr>
              <w:t>4</w:t>
            </w:r>
          </w:p>
        </w:tc>
        <w:tc>
          <w:tcPr>
            <w:tcW w:w="2883" w:type="dxa"/>
            <w:tcBorders>
              <w:top w:val="single" w:color="000000" w:sz="4" w:space="0"/>
              <w:left w:val="nil"/>
              <w:bottom w:val="single" w:color="000000" w:sz="4" w:space="0"/>
              <w:right w:val="single" w:color="000000" w:sz="4" w:space="0"/>
            </w:tcBorders>
            <w:vAlign w:val="center"/>
          </w:tcPr>
          <w:p>
            <w:pPr>
              <w:pStyle w:val="35"/>
              <w:kinsoku w:val="0"/>
              <w:overflowPunct w:val="0"/>
              <w:spacing w:line="234" w:lineRule="exact"/>
              <w:jc w:val="center"/>
              <w:rPr>
                <w:rFonts w:ascii="宋体" w:hAnsi="宋体" w:eastAsia="宋体"/>
                <w:spacing w:val="-1"/>
                <w:sz w:val="24"/>
                <w:szCs w:val="24"/>
              </w:rPr>
            </w:pPr>
            <w:r>
              <w:rPr>
                <w:rFonts w:hint="eastAsia" w:ascii="宋体" w:hAnsi="宋体" w:eastAsia="宋体"/>
                <w:spacing w:val="-1"/>
                <w:sz w:val="24"/>
                <w:szCs w:val="24"/>
              </w:rPr>
              <w:t>质量标准</w:t>
            </w:r>
          </w:p>
        </w:tc>
        <w:tc>
          <w:tcPr>
            <w:tcW w:w="2793" w:type="dxa"/>
            <w:tcBorders>
              <w:top w:val="single" w:color="000000" w:sz="4" w:space="0"/>
              <w:left w:val="nil"/>
              <w:bottom w:val="single" w:color="000000" w:sz="4" w:space="0"/>
              <w:right w:val="single" w:color="000000" w:sz="4" w:space="0"/>
            </w:tcBorders>
            <w:vAlign w:val="center"/>
          </w:tcPr>
          <w:p>
            <w:pPr>
              <w:ind w:left="-6" w:leftChars="-3" w:firstLine="183" w:firstLineChars="77"/>
              <w:jc w:val="center"/>
              <w:rPr>
                <w:rFonts w:ascii="宋体" w:hAnsi="宋体" w:cs="Calibri"/>
                <w:spacing w:val="-1"/>
                <w:sz w:val="24"/>
                <w:szCs w:val="24"/>
              </w:rPr>
            </w:pPr>
            <w:r>
              <w:rPr>
                <w:rFonts w:hint="eastAsia" w:ascii="宋体" w:hAnsi="宋体"/>
                <w:spacing w:val="-1"/>
                <w:sz w:val="24"/>
                <w:szCs w:val="24"/>
              </w:rPr>
              <w:t>按招标文件要求</w:t>
            </w:r>
          </w:p>
        </w:tc>
        <w:tc>
          <w:tcPr>
            <w:tcW w:w="1863" w:type="dxa"/>
            <w:tcBorders>
              <w:top w:val="single" w:color="000000" w:sz="4" w:space="0"/>
              <w:left w:val="nil"/>
              <w:bottom w:val="single" w:color="000000" w:sz="4" w:space="0"/>
              <w:right w:val="single" w:color="000000" w:sz="4" w:space="0"/>
            </w:tcBorders>
          </w:tcPr>
          <w:p>
            <w:pPr>
              <w:spacing w:before="106"/>
              <w:ind w:left="548"/>
              <w:rPr>
                <w:rFonts w:ascii="宋体" w:hAnsi="宋体" w:cs="Calibri"/>
                <w:sz w:val="24"/>
                <w:szCs w:val="24"/>
              </w:rPr>
            </w:pPr>
          </w:p>
        </w:tc>
      </w:tr>
      <w:tr>
        <w:tblPrEx>
          <w:tblCellMar>
            <w:top w:w="0" w:type="dxa"/>
            <w:left w:w="0" w:type="dxa"/>
            <w:bottom w:w="0" w:type="dxa"/>
            <w:right w:w="0" w:type="dxa"/>
          </w:tblCellMar>
        </w:tblPrEx>
        <w:trPr>
          <w:trHeight w:val="451" w:hRule="atLeast"/>
          <w:jc w:val="center"/>
        </w:trPr>
        <w:tc>
          <w:tcPr>
            <w:tcW w:w="1271" w:type="dxa"/>
            <w:tcBorders>
              <w:top w:val="single" w:color="000000" w:sz="4" w:space="0"/>
              <w:left w:val="single" w:color="000000" w:sz="4" w:space="0"/>
              <w:bottom w:val="single" w:color="000000" w:sz="4" w:space="0"/>
              <w:right w:val="single" w:color="000000" w:sz="4" w:space="0"/>
            </w:tcBorders>
            <w:vAlign w:val="center"/>
          </w:tcPr>
          <w:p>
            <w:pPr>
              <w:pStyle w:val="35"/>
              <w:kinsoku w:val="0"/>
              <w:overflowPunct w:val="0"/>
              <w:spacing w:line="234" w:lineRule="exact"/>
              <w:jc w:val="center"/>
              <w:rPr>
                <w:rFonts w:ascii="宋体" w:hAnsi="宋体" w:eastAsia="宋体"/>
                <w:sz w:val="24"/>
                <w:szCs w:val="24"/>
              </w:rPr>
            </w:pPr>
            <w:r>
              <w:rPr>
                <w:rFonts w:hint="eastAsia" w:ascii="宋体" w:hAnsi="宋体" w:eastAsia="宋体"/>
                <w:sz w:val="24"/>
                <w:szCs w:val="24"/>
              </w:rPr>
              <w:t>5</w:t>
            </w:r>
          </w:p>
        </w:tc>
        <w:tc>
          <w:tcPr>
            <w:tcW w:w="2883" w:type="dxa"/>
            <w:tcBorders>
              <w:top w:val="single" w:color="000000" w:sz="4" w:space="0"/>
              <w:left w:val="nil"/>
              <w:bottom w:val="single" w:color="000000" w:sz="4" w:space="0"/>
              <w:right w:val="single" w:color="000000" w:sz="4" w:space="0"/>
            </w:tcBorders>
            <w:vAlign w:val="center"/>
          </w:tcPr>
          <w:p>
            <w:pPr>
              <w:pStyle w:val="35"/>
              <w:kinsoku w:val="0"/>
              <w:overflowPunct w:val="0"/>
              <w:spacing w:line="234" w:lineRule="exact"/>
              <w:jc w:val="center"/>
              <w:rPr>
                <w:rFonts w:ascii="宋体" w:hAnsi="宋体" w:eastAsia="宋体"/>
                <w:spacing w:val="-1"/>
                <w:sz w:val="24"/>
                <w:szCs w:val="24"/>
              </w:rPr>
            </w:pPr>
            <w:r>
              <w:rPr>
                <w:rFonts w:hint="eastAsia" w:ascii="宋体" w:hAnsi="宋体" w:eastAsia="宋体"/>
                <w:spacing w:val="-1"/>
                <w:sz w:val="24"/>
                <w:szCs w:val="24"/>
              </w:rPr>
              <w:t>投标有效期</w:t>
            </w:r>
          </w:p>
        </w:tc>
        <w:tc>
          <w:tcPr>
            <w:tcW w:w="2793" w:type="dxa"/>
            <w:tcBorders>
              <w:top w:val="single" w:color="000000" w:sz="4" w:space="0"/>
              <w:left w:val="nil"/>
              <w:bottom w:val="single" w:color="000000" w:sz="4" w:space="0"/>
              <w:right w:val="single" w:color="000000" w:sz="4" w:space="0"/>
            </w:tcBorders>
            <w:vAlign w:val="center"/>
          </w:tcPr>
          <w:p>
            <w:pPr>
              <w:ind w:left="-6" w:leftChars="-3" w:firstLine="183" w:firstLineChars="77"/>
              <w:jc w:val="center"/>
              <w:rPr>
                <w:rFonts w:ascii="宋体" w:hAnsi="宋体" w:cs="Calibri"/>
                <w:spacing w:val="-1"/>
                <w:sz w:val="24"/>
                <w:szCs w:val="24"/>
              </w:rPr>
            </w:pPr>
            <w:r>
              <w:rPr>
                <w:rFonts w:hint="eastAsia" w:ascii="宋体" w:hAnsi="宋体"/>
                <w:spacing w:val="-1"/>
                <w:sz w:val="24"/>
                <w:szCs w:val="24"/>
              </w:rPr>
              <w:t>按招标文件要求</w:t>
            </w:r>
          </w:p>
        </w:tc>
        <w:tc>
          <w:tcPr>
            <w:tcW w:w="1863" w:type="dxa"/>
            <w:tcBorders>
              <w:top w:val="single" w:color="000000" w:sz="4" w:space="0"/>
              <w:left w:val="nil"/>
              <w:bottom w:val="single" w:color="000000" w:sz="4" w:space="0"/>
              <w:right w:val="single" w:color="000000" w:sz="4" w:space="0"/>
            </w:tcBorders>
          </w:tcPr>
          <w:p>
            <w:pPr>
              <w:rPr>
                <w:rFonts w:ascii="宋体" w:hAnsi="宋体" w:cs="Calibri"/>
                <w:sz w:val="24"/>
                <w:szCs w:val="24"/>
              </w:rPr>
            </w:pPr>
          </w:p>
        </w:tc>
      </w:tr>
    </w:tbl>
    <w:p>
      <w:pPr>
        <w:pStyle w:val="9"/>
        <w:pBdr>
          <w:top w:val="single" w:color="auto" w:sz="4" w:space="0"/>
        </w:pBdr>
        <w:kinsoku w:val="0"/>
        <w:overflowPunct w:val="0"/>
        <w:spacing w:before="6"/>
        <w:rPr>
          <w:rFonts w:cs="Calibri"/>
          <w:sz w:val="20"/>
          <w:szCs w:val="20"/>
        </w:rPr>
      </w:pPr>
    </w:p>
    <w:p>
      <w:pPr>
        <w:pStyle w:val="9"/>
        <w:pBdr>
          <w:top w:val="single" w:color="auto" w:sz="4" w:space="0"/>
        </w:pBdr>
        <w:kinsoku w:val="0"/>
        <w:overflowPunct w:val="0"/>
        <w:spacing w:before="6"/>
        <w:rPr>
          <w:rFonts w:cs="Calibri"/>
          <w:sz w:val="20"/>
          <w:szCs w:val="20"/>
        </w:rPr>
      </w:pPr>
    </w:p>
    <w:p>
      <w:pPr>
        <w:pStyle w:val="9"/>
        <w:pBdr>
          <w:top w:val="single" w:color="auto" w:sz="4" w:space="0"/>
        </w:pBdr>
        <w:kinsoku w:val="0"/>
        <w:overflowPunct w:val="0"/>
        <w:spacing w:before="6"/>
        <w:rPr>
          <w:spacing w:val="-1"/>
          <w:sz w:val="24"/>
          <w:szCs w:val="24"/>
        </w:rPr>
      </w:pPr>
      <w:r>
        <w:rPr>
          <w:rFonts w:hint="eastAsia"/>
          <w:sz w:val="24"/>
          <w:szCs w:val="24"/>
        </w:rPr>
        <w:t>投</w:t>
      </w:r>
      <w:r>
        <w:rPr>
          <w:sz w:val="24"/>
          <w:szCs w:val="24"/>
        </w:rPr>
        <w:t xml:space="preserve"> </w:t>
      </w:r>
      <w:r>
        <w:rPr>
          <w:rFonts w:hint="eastAsia"/>
          <w:sz w:val="24"/>
          <w:szCs w:val="24"/>
        </w:rPr>
        <w:t>标</w:t>
      </w:r>
      <w:r>
        <w:rPr>
          <w:spacing w:val="-2"/>
          <w:sz w:val="24"/>
          <w:szCs w:val="24"/>
        </w:rPr>
        <w:t xml:space="preserve"> </w:t>
      </w:r>
      <w:r>
        <w:rPr>
          <w:rFonts w:hint="eastAsia"/>
          <w:spacing w:val="-2"/>
          <w:sz w:val="24"/>
          <w:szCs w:val="24"/>
        </w:rPr>
        <w:t>人：</w:t>
      </w:r>
      <w:r>
        <w:rPr>
          <w:rFonts w:hint="eastAsia"/>
          <w:spacing w:val="-2"/>
          <w:sz w:val="24"/>
          <w:szCs w:val="24"/>
          <w:u w:val="single"/>
        </w:rPr>
        <w:t xml:space="preserve"> </w:t>
      </w:r>
      <w:r>
        <w:rPr>
          <w:spacing w:val="-2"/>
          <w:sz w:val="24"/>
          <w:szCs w:val="24"/>
          <w:u w:val="single"/>
        </w:rPr>
        <w:t xml:space="preserve">      </w:t>
      </w:r>
      <w:r>
        <w:rPr>
          <w:spacing w:val="-2"/>
          <w:sz w:val="24"/>
          <w:szCs w:val="24"/>
          <w:u w:val="single"/>
        </w:rPr>
        <w:tab/>
      </w:r>
      <w:r>
        <w:rPr>
          <w:rFonts w:hint="eastAsia"/>
          <w:spacing w:val="-1"/>
          <w:sz w:val="24"/>
          <w:szCs w:val="24"/>
        </w:rPr>
        <w:t>（盖单位章）</w:t>
      </w:r>
    </w:p>
    <w:p>
      <w:pPr>
        <w:pStyle w:val="9"/>
        <w:pBdr>
          <w:top w:val="single" w:color="auto" w:sz="4" w:space="0"/>
        </w:pBdr>
        <w:kinsoku w:val="0"/>
        <w:overflowPunct w:val="0"/>
        <w:spacing w:before="6"/>
        <w:rPr>
          <w:b/>
          <w:sz w:val="24"/>
          <w:szCs w:val="24"/>
        </w:rPr>
      </w:pPr>
    </w:p>
    <w:p>
      <w:pPr>
        <w:spacing w:line="360" w:lineRule="auto"/>
        <w:rPr>
          <w:rFonts w:ascii="宋体" w:hAnsi="宋体"/>
          <w:bCs/>
          <w:sz w:val="24"/>
          <w:szCs w:val="24"/>
        </w:rPr>
      </w:pPr>
      <w:r>
        <w:rPr>
          <w:rFonts w:hint="eastAsia" w:ascii="宋体" w:hAnsi="宋体"/>
          <w:bCs/>
          <w:sz w:val="24"/>
          <w:szCs w:val="24"/>
        </w:rPr>
        <w:t>法定代表人或其委托代理人：</w:t>
      </w:r>
      <w:r>
        <w:rPr>
          <w:rFonts w:ascii="宋体" w:hAnsi="宋体"/>
          <w:bCs/>
          <w:sz w:val="24"/>
          <w:szCs w:val="24"/>
          <w:u w:val="single"/>
        </w:rPr>
        <w:tab/>
      </w:r>
      <w:r>
        <w:rPr>
          <w:rFonts w:ascii="宋体" w:hAnsi="宋体"/>
          <w:bCs/>
          <w:sz w:val="24"/>
          <w:szCs w:val="24"/>
          <w:u w:val="single"/>
        </w:rPr>
        <w:t xml:space="preserve">            </w:t>
      </w:r>
      <w:r>
        <w:rPr>
          <w:rFonts w:hint="eastAsia" w:ascii="宋体" w:hAnsi="宋体"/>
          <w:bCs/>
          <w:sz w:val="24"/>
          <w:szCs w:val="24"/>
        </w:rPr>
        <w:t>（签字或盖章）</w:t>
      </w:r>
    </w:p>
    <w:p>
      <w:pPr>
        <w:spacing w:line="360" w:lineRule="auto"/>
        <w:ind w:firstLine="480" w:firstLineChars="200"/>
        <w:rPr>
          <w:rFonts w:ascii="宋体" w:hAnsi="宋体"/>
          <w:sz w:val="24"/>
          <w:szCs w:val="24"/>
        </w:rPr>
      </w:pPr>
      <w:r>
        <w:rPr>
          <w:rFonts w:ascii="宋体" w:hAnsi="宋体"/>
          <w:bCs/>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ab/>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ab/>
      </w:r>
      <w:r>
        <w:rPr>
          <w:rFonts w:ascii="宋体" w:hAnsi="宋体"/>
          <w:sz w:val="24"/>
          <w:szCs w:val="24"/>
          <w:u w:val="single"/>
        </w:rPr>
        <w:t xml:space="preserve">   </w:t>
      </w:r>
      <w:r>
        <w:rPr>
          <w:rFonts w:hint="eastAsia" w:ascii="宋体" w:hAnsi="宋体"/>
          <w:sz w:val="24"/>
          <w:szCs w:val="24"/>
        </w:rPr>
        <w:t>日</w:t>
      </w:r>
    </w:p>
    <w:p>
      <w:pPr>
        <w:spacing w:line="360" w:lineRule="auto"/>
        <w:rPr>
          <w:rFonts w:ascii="宋体"/>
        </w:rPr>
      </w:pPr>
      <w:r>
        <w:rPr>
          <w:rFonts w:ascii="宋体" w:hAnsi="宋体"/>
        </w:rPr>
        <w:t xml:space="preserve"> </w:t>
      </w:r>
    </w:p>
    <w:p>
      <w:pPr>
        <w:pStyle w:val="23"/>
        <w:rPr>
          <w:rFonts w:ascii="宋体"/>
          <w:lang w:eastAsia="zh-CN"/>
        </w:rPr>
      </w:pPr>
      <w:r>
        <w:rPr>
          <w:rFonts w:hint="eastAsia" w:ascii="宋体" w:hAnsi="宋体" w:cs="宋体"/>
          <w:b/>
          <w:sz w:val="24"/>
          <w:u w:val="single"/>
          <w:lang w:eastAsia="zh-CN"/>
        </w:rPr>
        <w:t>（注：如联合体投标人，由联合体主办方出具即可。）</w:t>
      </w:r>
    </w:p>
    <w:p>
      <w:pPr>
        <w:autoSpaceDE w:val="0"/>
        <w:autoSpaceDN w:val="0"/>
        <w:adjustRightInd w:val="0"/>
        <w:spacing w:line="466" w:lineRule="exact"/>
        <w:ind w:right="-20"/>
        <w:outlineLvl w:val="0"/>
        <w:rPr>
          <w:rFonts w:ascii="宋体" w:hAnsi="宋体"/>
          <w:position w:val="-1"/>
          <w:sz w:val="32"/>
          <w:szCs w:val="32"/>
        </w:rPr>
      </w:pPr>
      <w:r>
        <w:rPr>
          <w:rFonts w:ascii="宋体" w:hAnsi="宋体"/>
        </w:rPr>
        <w:br w:type="page"/>
      </w:r>
      <w:bookmarkStart w:id="28" w:name="_Toc8458"/>
      <w:r>
        <w:rPr>
          <w:rFonts w:hint="eastAsia" w:ascii="宋体" w:hAnsi="宋体"/>
          <w:spacing w:val="2"/>
          <w:position w:val="-1"/>
          <w:sz w:val="32"/>
          <w:szCs w:val="32"/>
        </w:rPr>
        <w:t>格式二：法定代表人身份证明及授权委托书</w:t>
      </w:r>
      <w:bookmarkEnd w:id="28"/>
    </w:p>
    <w:p>
      <w:pPr>
        <w:spacing w:line="360" w:lineRule="auto"/>
        <w:jc w:val="center"/>
        <w:rPr>
          <w:rFonts w:ascii="宋体" w:hAnsi="宋体" w:cs="宋体"/>
          <w:b/>
          <w:kern w:val="1"/>
          <w:sz w:val="28"/>
        </w:rPr>
      </w:pPr>
      <w:r>
        <w:rPr>
          <w:rFonts w:hint="eastAsia" w:ascii="宋体" w:hAnsi="宋体" w:cs="宋体"/>
          <w:b/>
          <w:kern w:val="1"/>
          <w:sz w:val="28"/>
        </w:rPr>
        <w:t>法定代表人身份证明书</w:t>
      </w:r>
    </w:p>
    <w:p>
      <w:pPr>
        <w:spacing w:line="360" w:lineRule="auto"/>
        <w:jc w:val="right"/>
        <w:rPr>
          <w:rFonts w:ascii="宋体" w:hAnsi="宋体" w:cs="宋体"/>
          <w:kern w:val="1"/>
          <w:szCs w:val="21"/>
        </w:rPr>
      </w:pPr>
      <w:r>
        <w:rPr>
          <w:rFonts w:hint="eastAsia" w:ascii="宋体" w:hAnsi="宋体" w:cs="宋体"/>
          <w:kern w:val="1"/>
          <w:szCs w:val="21"/>
        </w:rPr>
        <w:t>（　 ）第　号</w:t>
      </w:r>
    </w:p>
    <w:tbl>
      <w:tblPr>
        <w:tblStyle w:val="24"/>
        <w:tblW w:w="9455" w:type="dxa"/>
        <w:tblInd w:w="0" w:type="dxa"/>
        <w:tblLayout w:type="fixed"/>
        <w:tblCellMar>
          <w:top w:w="0" w:type="dxa"/>
          <w:left w:w="108" w:type="dxa"/>
          <w:bottom w:w="0" w:type="dxa"/>
          <w:right w:w="108" w:type="dxa"/>
        </w:tblCellMar>
      </w:tblPr>
      <w:tblGrid>
        <w:gridCol w:w="9455"/>
      </w:tblGrid>
      <w:tr>
        <w:tblPrEx>
          <w:tblCellMar>
            <w:top w:w="0" w:type="dxa"/>
            <w:left w:w="108" w:type="dxa"/>
            <w:bottom w:w="0" w:type="dxa"/>
            <w:right w:w="108" w:type="dxa"/>
          </w:tblCellMar>
        </w:tblPrEx>
        <w:tc>
          <w:tcPr>
            <w:tcW w:w="945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4"/>
                <w:szCs w:val="24"/>
                <w:u w:val="single"/>
              </w:rPr>
            </w:pPr>
          </w:p>
          <w:p>
            <w:pPr>
              <w:spacing w:line="360" w:lineRule="auto"/>
              <w:rPr>
                <w:rFonts w:ascii="宋体" w:hAnsi="宋体" w:cs="宋体"/>
                <w:kern w:val="1"/>
                <w:sz w:val="24"/>
                <w:szCs w:val="24"/>
              </w:rPr>
            </w:pPr>
            <w:r>
              <w:rPr>
                <w:rFonts w:hint="eastAsia" w:ascii="宋体" w:hAnsi="宋体" w:cs="宋体"/>
                <w:kern w:val="1"/>
                <w:sz w:val="24"/>
                <w:szCs w:val="24"/>
              </w:rPr>
              <w:t xml:space="preserve"> 　　</w:t>
            </w:r>
            <w:r>
              <w:rPr>
                <w:rFonts w:hint="eastAsia" w:ascii="宋体" w:hAnsi="宋体" w:cs="宋体"/>
                <w:kern w:val="1"/>
                <w:sz w:val="24"/>
                <w:szCs w:val="24"/>
                <w:u w:val="single"/>
              </w:rPr>
              <w:t>　　　　</w:t>
            </w:r>
            <w:r>
              <w:rPr>
                <w:rFonts w:hint="eastAsia" w:ascii="宋体" w:hAnsi="宋体" w:cs="宋体"/>
                <w:kern w:val="1"/>
                <w:sz w:val="24"/>
                <w:szCs w:val="24"/>
              </w:rPr>
              <w:t>现任我单位</w:t>
            </w:r>
            <w:r>
              <w:rPr>
                <w:rFonts w:hint="eastAsia" w:ascii="宋体" w:hAnsi="宋体" w:cs="宋体"/>
                <w:kern w:val="1"/>
                <w:sz w:val="24"/>
                <w:szCs w:val="24"/>
                <w:u w:val="single"/>
              </w:rPr>
              <w:t>　　　　　</w:t>
            </w:r>
            <w:r>
              <w:rPr>
                <w:rFonts w:hint="eastAsia" w:ascii="宋体" w:hAnsi="宋体" w:cs="宋体"/>
                <w:kern w:val="1"/>
                <w:sz w:val="24"/>
                <w:szCs w:val="24"/>
              </w:rPr>
              <w:t>职务，为法定代表人（负责人），特此证明。</w:t>
            </w:r>
          </w:p>
          <w:p>
            <w:pPr>
              <w:spacing w:line="360" w:lineRule="auto"/>
              <w:rPr>
                <w:rFonts w:ascii="宋体" w:hAnsi="宋体" w:cs="宋体"/>
                <w:kern w:val="1"/>
                <w:sz w:val="24"/>
                <w:szCs w:val="24"/>
                <w:u w:val="single"/>
              </w:rPr>
            </w:pPr>
            <w:r>
              <w:rPr>
                <w:rFonts w:hint="eastAsia" w:ascii="宋体" w:hAnsi="宋体" w:cs="宋体"/>
                <w:kern w:val="1"/>
                <w:sz w:val="24"/>
                <w:szCs w:val="24"/>
              </w:rPr>
              <w:t xml:space="preserve">有效期限： </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附：法定代表人（负责人）性别：</w:t>
            </w:r>
            <w:r>
              <w:rPr>
                <w:rFonts w:hint="eastAsia" w:ascii="宋体" w:hAnsi="宋体" w:cs="宋体"/>
                <w:kern w:val="1"/>
                <w:sz w:val="24"/>
                <w:szCs w:val="24"/>
                <w:u w:val="single"/>
              </w:rPr>
              <w:t>　　</w:t>
            </w:r>
            <w:r>
              <w:rPr>
                <w:rFonts w:hint="eastAsia" w:ascii="宋体" w:hAnsi="宋体" w:cs="宋体"/>
                <w:kern w:val="1"/>
                <w:sz w:val="24"/>
                <w:szCs w:val="24"/>
              </w:rPr>
              <w:t>年龄：</w:t>
            </w:r>
            <w:r>
              <w:rPr>
                <w:rFonts w:hint="eastAsia" w:ascii="宋体" w:hAnsi="宋体" w:cs="宋体"/>
                <w:kern w:val="1"/>
                <w:sz w:val="24"/>
                <w:szCs w:val="24"/>
                <w:u w:val="single"/>
              </w:rPr>
              <w:t>　　</w:t>
            </w:r>
            <w:r>
              <w:rPr>
                <w:rFonts w:hint="eastAsia" w:ascii="宋体" w:hAnsi="宋体" w:cs="宋体"/>
                <w:kern w:val="1"/>
                <w:sz w:val="24"/>
                <w:szCs w:val="24"/>
              </w:rPr>
              <w:t>身份证号码：</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注册号码：</w:t>
            </w:r>
            <w:r>
              <w:rPr>
                <w:rFonts w:hint="eastAsia" w:ascii="宋体" w:hAnsi="宋体" w:cs="宋体"/>
                <w:kern w:val="1"/>
                <w:sz w:val="24"/>
                <w:szCs w:val="24"/>
                <w:u w:val="single"/>
              </w:rPr>
              <w:t>　　　　　　　　　　</w:t>
            </w:r>
            <w:r>
              <w:rPr>
                <w:rFonts w:hint="eastAsia" w:ascii="宋体" w:hAnsi="宋体" w:cs="宋体"/>
                <w:kern w:val="1"/>
                <w:sz w:val="24"/>
                <w:szCs w:val="24"/>
              </w:rPr>
              <w:t>企业类型：</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经营范围：</w:t>
            </w:r>
            <w:r>
              <w:rPr>
                <w:rFonts w:hint="eastAsia" w:ascii="宋体" w:hAnsi="宋体" w:cs="宋体"/>
                <w:kern w:val="1"/>
                <w:sz w:val="24"/>
                <w:szCs w:val="24"/>
                <w:u w:val="single"/>
              </w:rPr>
              <w:t xml:space="preserve">　　　　　　　　　　                                                 </w:t>
            </w:r>
          </w:p>
          <w:p>
            <w:pPr>
              <w:spacing w:line="360" w:lineRule="auto"/>
              <w:rPr>
                <w:rFonts w:ascii="宋体" w:hAnsi="宋体" w:cs="宋体"/>
                <w:kern w:val="1"/>
                <w:sz w:val="24"/>
                <w:szCs w:val="24"/>
              </w:rPr>
            </w:pPr>
            <w:r>
              <w:rPr>
                <w:rFonts w:hint="eastAsia" w:ascii="宋体" w:hAnsi="宋体" w:cs="宋体"/>
                <w:kern w:val="1"/>
                <w:sz w:val="24"/>
                <w:szCs w:val="24"/>
                <w:u w:val="single"/>
              </w:rPr>
              <w:t>　　　　　　　　　　　　　　　　</w:t>
            </w:r>
            <w:r>
              <w:rPr>
                <w:rFonts w:hint="eastAsia" w:ascii="宋体" w:hAnsi="宋体" w:cs="宋体"/>
                <w:kern w:val="1"/>
                <w:sz w:val="24"/>
                <w:szCs w:val="24"/>
              </w:rPr>
              <w:t>单位：</w:t>
            </w:r>
            <w:r>
              <w:rPr>
                <w:rFonts w:hint="eastAsia" w:ascii="宋体" w:hAnsi="宋体" w:cs="宋体"/>
                <w:kern w:val="1"/>
                <w:sz w:val="24"/>
                <w:szCs w:val="24"/>
                <w:u w:val="single"/>
              </w:rPr>
              <w:t>　　　　　　</w:t>
            </w:r>
            <w:r>
              <w:rPr>
                <w:rFonts w:hint="eastAsia" w:ascii="宋体" w:hAnsi="宋体" w:cs="宋体"/>
                <w:kern w:val="1"/>
                <w:sz w:val="24"/>
                <w:szCs w:val="24"/>
              </w:rPr>
              <w:t>（盖章）</w:t>
            </w:r>
          </w:p>
          <w:p>
            <w:pPr>
              <w:spacing w:line="360" w:lineRule="auto"/>
              <w:rPr>
                <w:rFonts w:ascii="宋体" w:hAnsi="宋体" w:cs="宋体"/>
                <w:kern w:val="1"/>
                <w:szCs w:val="21"/>
                <w:u w:val="single"/>
              </w:rPr>
            </w:pPr>
            <w:r>
              <w:rPr>
                <w:rFonts w:hint="eastAsia" w:ascii="宋体" w:hAnsi="宋体" w:cs="宋体"/>
                <w:kern w:val="1"/>
                <w:sz w:val="24"/>
                <w:szCs w:val="24"/>
                <w:u w:val="single"/>
              </w:rPr>
              <w:t>　　　　　　　　　　　　　　　　</w:t>
            </w:r>
            <w:r>
              <w:rPr>
                <w:rFonts w:hint="eastAsia" w:ascii="宋体" w:hAnsi="宋体" w:cs="宋体"/>
                <w:kern w:val="1"/>
                <w:sz w:val="24"/>
                <w:szCs w:val="24"/>
              </w:rPr>
              <w:t>　　　　　    年　月　　日</w:t>
            </w:r>
          </w:p>
        </w:tc>
      </w:tr>
    </w:tbl>
    <w:p>
      <w:pPr>
        <w:spacing w:line="360" w:lineRule="auto"/>
        <w:rPr>
          <w:rFonts w:ascii="宋体" w:hAnsi="宋体" w:cs="宋体"/>
          <w:kern w:val="1"/>
          <w:szCs w:val="21"/>
        </w:rPr>
      </w:pPr>
      <w:r>
        <w:rPr>
          <w:rFonts w:hint="eastAsia" w:ascii="宋体" w:hAnsi="宋体" w:cs="宋体"/>
          <w:kern w:val="1"/>
          <w:szCs w:val="21"/>
        </w:rPr>
        <w:t>注：1、法定代表人证明书也可以采用工商行政管理局统一印制的格式。</w:t>
      </w:r>
    </w:p>
    <w:p>
      <w:pPr>
        <w:numPr>
          <w:ilvl w:val="0"/>
          <w:numId w:val="3"/>
        </w:numPr>
        <w:spacing w:line="360" w:lineRule="auto"/>
        <w:rPr>
          <w:rFonts w:ascii="宋体" w:hAnsi="宋体" w:cs="宋体"/>
          <w:kern w:val="1"/>
          <w:szCs w:val="21"/>
        </w:rPr>
      </w:pPr>
      <w:r>
        <w:rPr>
          <w:rFonts w:hint="eastAsia" w:ascii="宋体" w:hAnsi="宋体" w:cs="宋体"/>
          <w:kern w:val="1"/>
          <w:szCs w:val="21"/>
        </w:rPr>
        <w:t>附法定代表人身份证扫描件（加盖电子印章）。</w:t>
      </w:r>
    </w:p>
    <w:p>
      <w:pPr>
        <w:spacing w:line="360" w:lineRule="auto"/>
        <w:rPr>
          <w:rFonts w:ascii="宋体" w:hAnsi="宋体" w:cs="宋体"/>
          <w:kern w:val="1"/>
          <w:szCs w:val="21"/>
        </w:rPr>
      </w:pPr>
      <w:r>
        <w:rPr>
          <w:rFonts w:hint="eastAsia" w:ascii="宋体" w:hAnsi="宋体" w:cs="宋体"/>
          <w:kern w:val="1"/>
          <w:szCs w:val="21"/>
        </w:rPr>
        <w:t>3、联合体投标的，本授权书由联合体主办方出具，并由联合体主办方签字、盖章即可。</w:t>
      </w:r>
    </w:p>
    <w:p>
      <w:pPr>
        <w:pStyle w:val="2"/>
        <w:ind w:firstLine="0" w:firstLineChars="0"/>
        <w:rPr>
          <w:rFonts w:eastAsia="宋体"/>
          <w:lang w:eastAsia="zh-CN"/>
        </w:rPr>
      </w:pPr>
    </w:p>
    <w:p>
      <w:pPr>
        <w:pStyle w:val="2"/>
        <w:ind w:firstLine="440"/>
        <w:rPr>
          <w:lang w:eastAsia="zh-CN"/>
        </w:rPr>
      </w:pPr>
    </w:p>
    <w:p>
      <w:pPr>
        <w:spacing w:line="360" w:lineRule="auto"/>
        <w:jc w:val="center"/>
        <w:rPr>
          <w:rFonts w:ascii="宋体" w:hAnsi="宋体" w:cs="宋体"/>
          <w:b/>
          <w:kern w:val="1"/>
          <w:sz w:val="24"/>
        </w:rPr>
      </w:pPr>
      <w:r>
        <w:rPr>
          <w:rFonts w:hint="eastAsia" w:ascii="宋体" w:hAnsi="宋体" w:cs="宋体"/>
          <w:b/>
          <w:kern w:val="1"/>
          <w:sz w:val="24"/>
        </w:rPr>
        <w:t>法定代表人授权委托书</w:t>
      </w:r>
    </w:p>
    <w:p>
      <w:pPr>
        <w:spacing w:line="360" w:lineRule="auto"/>
        <w:jc w:val="right"/>
        <w:rPr>
          <w:rFonts w:ascii="宋体" w:hAnsi="宋体" w:cs="宋体"/>
          <w:kern w:val="1"/>
          <w:szCs w:val="21"/>
        </w:rPr>
      </w:pPr>
      <w:r>
        <w:rPr>
          <w:rFonts w:hint="eastAsia" w:ascii="宋体" w:hAnsi="宋体" w:cs="宋体"/>
          <w:kern w:val="1"/>
          <w:szCs w:val="21"/>
        </w:rPr>
        <w:t>（　 ）第　号</w:t>
      </w:r>
    </w:p>
    <w:tbl>
      <w:tblPr>
        <w:tblStyle w:val="24"/>
        <w:tblW w:w="9243" w:type="dxa"/>
        <w:tblInd w:w="0" w:type="dxa"/>
        <w:tblLayout w:type="fixed"/>
        <w:tblCellMar>
          <w:top w:w="0" w:type="dxa"/>
          <w:left w:w="108" w:type="dxa"/>
          <w:bottom w:w="0" w:type="dxa"/>
          <w:right w:w="108" w:type="dxa"/>
        </w:tblCellMar>
      </w:tblPr>
      <w:tblGrid>
        <w:gridCol w:w="9243"/>
      </w:tblGrid>
      <w:tr>
        <w:tblPrEx>
          <w:tblCellMar>
            <w:top w:w="0" w:type="dxa"/>
            <w:left w:w="108" w:type="dxa"/>
            <w:bottom w:w="0" w:type="dxa"/>
            <w:right w:w="108" w:type="dxa"/>
          </w:tblCellMar>
        </w:tblPrEx>
        <w:tc>
          <w:tcPr>
            <w:tcW w:w="9243" w:type="dxa"/>
            <w:tcBorders>
              <w:top w:val="single" w:color="000000" w:sz="4" w:space="0"/>
              <w:left w:val="single" w:color="000000" w:sz="4" w:space="0"/>
              <w:bottom w:val="single" w:color="000000" w:sz="4" w:space="0"/>
              <w:right w:val="single" w:color="000000" w:sz="4" w:space="0"/>
            </w:tcBorders>
          </w:tcPr>
          <w:p>
            <w:pPr>
              <w:spacing w:line="360" w:lineRule="auto"/>
              <w:ind w:firstLine="480"/>
              <w:rPr>
                <w:rFonts w:ascii="宋体" w:hAnsi="宋体" w:cs="宋体"/>
                <w:kern w:val="1"/>
                <w:sz w:val="24"/>
                <w:szCs w:val="24"/>
                <w:u w:val="single"/>
              </w:rPr>
            </w:pPr>
            <w:r>
              <w:rPr>
                <w:rFonts w:hint="eastAsia" w:ascii="宋体" w:hAnsi="宋体" w:cs="宋体"/>
                <w:kern w:val="1"/>
                <w:sz w:val="24"/>
                <w:szCs w:val="24"/>
              </w:rPr>
              <w:t>兹授权</w:t>
            </w:r>
            <w:r>
              <w:rPr>
                <w:rFonts w:hint="eastAsia" w:ascii="宋体" w:hAnsi="宋体" w:cs="宋体"/>
                <w:kern w:val="1"/>
                <w:sz w:val="24"/>
                <w:szCs w:val="24"/>
                <w:u w:val="single"/>
              </w:rPr>
              <w:t xml:space="preserve">        </w:t>
            </w:r>
            <w:r>
              <w:rPr>
                <w:rFonts w:hint="eastAsia" w:ascii="宋体" w:hAnsi="宋体" w:cs="宋体"/>
                <w:kern w:val="1"/>
                <w:sz w:val="24"/>
                <w:szCs w:val="24"/>
              </w:rPr>
              <w:t>为我方委托代理人，其权限是：</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有效期限：</w:t>
            </w:r>
            <w:r>
              <w:rPr>
                <w:rFonts w:hint="eastAsia" w:ascii="宋体" w:hAnsi="宋体" w:cs="宋体"/>
                <w:kern w:val="1"/>
                <w:sz w:val="24"/>
                <w:szCs w:val="24"/>
                <w:u w:val="single"/>
              </w:rPr>
              <w:t>　　　　　　　　　　</w:t>
            </w:r>
          </w:p>
          <w:p>
            <w:pPr>
              <w:spacing w:line="360" w:lineRule="auto"/>
              <w:rPr>
                <w:rFonts w:ascii="宋体" w:hAnsi="宋体" w:cs="宋体"/>
                <w:kern w:val="1"/>
                <w:sz w:val="24"/>
                <w:szCs w:val="24"/>
              </w:rPr>
            </w:pPr>
            <w:r>
              <w:rPr>
                <w:rFonts w:hint="eastAsia" w:ascii="宋体" w:hAnsi="宋体" w:cs="宋体"/>
                <w:kern w:val="1"/>
                <w:sz w:val="24"/>
                <w:szCs w:val="24"/>
              </w:rPr>
              <w:t>附：代理人性别：</w:t>
            </w:r>
            <w:r>
              <w:rPr>
                <w:rFonts w:hint="eastAsia" w:ascii="宋体" w:hAnsi="宋体" w:cs="宋体"/>
                <w:kern w:val="1"/>
                <w:sz w:val="24"/>
                <w:szCs w:val="24"/>
                <w:u w:val="single"/>
              </w:rPr>
              <w:t xml:space="preserve">           </w:t>
            </w:r>
            <w:r>
              <w:rPr>
                <w:rFonts w:hint="eastAsia" w:ascii="宋体" w:hAnsi="宋体" w:cs="宋体"/>
                <w:kern w:val="1"/>
                <w:sz w:val="24"/>
                <w:szCs w:val="24"/>
              </w:rPr>
              <w:t>年龄：</w:t>
            </w:r>
            <w:r>
              <w:rPr>
                <w:rFonts w:hint="eastAsia" w:ascii="宋体" w:hAnsi="宋体" w:cs="宋体"/>
                <w:kern w:val="1"/>
                <w:sz w:val="24"/>
                <w:szCs w:val="24"/>
                <w:u w:val="single"/>
              </w:rPr>
              <w:t xml:space="preserve">          </w:t>
            </w:r>
            <w:r>
              <w:rPr>
                <w:rFonts w:hint="eastAsia" w:ascii="宋体" w:hAnsi="宋体" w:cs="宋体"/>
                <w:kern w:val="1"/>
                <w:sz w:val="24"/>
                <w:szCs w:val="24"/>
              </w:rPr>
              <w:t xml:space="preserve"> 身份证号码：</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 xml:space="preserve">注册号码： </w:t>
            </w:r>
            <w:r>
              <w:rPr>
                <w:rFonts w:hint="eastAsia" w:ascii="宋体" w:hAnsi="宋体" w:cs="宋体"/>
                <w:kern w:val="1"/>
                <w:sz w:val="24"/>
                <w:szCs w:val="24"/>
                <w:u w:val="single"/>
              </w:rPr>
              <w:t>　　　　　　　　　　</w:t>
            </w:r>
            <w:r>
              <w:rPr>
                <w:rFonts w:hint="eastAsia" w:ascii="宋体" w:hAnsi="宋体" w:cs="宋体"/>
                <w:kern w:val="1"/>
                <w:sz w:val="24"/>
                <w:szCs w:val="24"/>
              </w:rPr>
              <w:t xml:space="preserve">  企业类型：</w:t>
            </w:r>
            <w:r>
              <w:rPr>
                <w:rFonts w:hint="eastAsia" w:ascii="宋体" w:hAnsi="宋体" w:cs="宋体"/>
                <w:kern w:val="1"/>
                <w:sz w:val="24"/>
                <w:szCs w:val="24"/>
                <w:u w:val="single"/>
              </w:rPr>
              <w:t>　　　　　　　　　　</w:t>
            </w:r>
          </w:p>
          <w:p>
            <w:pPr>
              <w:spacing w:line="360" w:lineRule="auto"/>
              <w:rPr>
                <w:rFonts w:ascii="宋体" w:hAnsi="宋体" w:cs="宋体"/>
                <w:kern w:val="1"/>
                <w:sz w:val="24"/>
                <w:szCs w:val="24"/>
                <w:u w:val="single"/>
              </w:rPr>
            </w:pPr>
            <w:r>
              <w:rPr>
                <w:rFonts w:hint="eastAsia" w:ascii="宋体" w:hAnsi="宋体" w:cs="宋体"/>
                <w:kern w:val="1"/>
                <w:sz w:val="24"/>
                <w:szCs w:val="24"/>
              </w:rPr>
              <w:t>经营范围：</w:t>
            </w:r>
            <w:r>
              <w:rPr>
                <w:rFonts w:hint="eastAsia" w:ascii="宋体" w:hAnsi="宋体" w:cs="宋体"/>
                <w:kern w:val="1"/>
                <w:sz w:val="24"/>
                <w:szCs w:val="24"/>
                <w:u w:val="single"/>
              </w:rPr>
              <w:t>　　　　　　　　                                        　　</w:t>
            </w:r>
          </w:p>
          <w:p>
            <w:pPr>
              <w:spacing w:line="360" w:lineRule="auto"/>
              <w:rPr>
                <w:rFonts w:ascii="宋体" w:hAnsi="宋体" w:cs="宋体"/>
                <w:kern w:val="1"/>
                <w:sz w:val="24"/>
                <w:szCs w:val="24"/>
              </w:rPr>
            </w:pPr>
            <w:r>
              <w:rPr>
                <w:rFonts w:hint="eastAsia" w:ascii="宋体" w:hAnsi="宋体" w:cs="宋体"/>
                <w:kern w:val="1"/>
                <w:sz w:val="24"/>
                <w:szCs w:val="24"/>
              </w:rPr>
              <w:t>法定代表人（负责人）：</w:t>
            </w:r>
            <w:r>
              <w:rPr>
                <w:rFonts w:hint="eastAsia" w:ascii="宋体" w:hAnsi="宋体" w:cs="宋体"/>
                <w:kern w:val="1"/>
                <w:sz w:val="24"/>
                <w:szCs w:val="24"/>
                <w:u w:val="single"/>
              </w:rPr>
              <w:t>　　　　　　　　　　</w:t>
            </w:r>
            <w:r>
              <w:rPr>
                <w:rFonts w:hint="eastAsia" w:ascii="宋体" w:hAnsi="宋体" w:cs="宋体"/>
                <w:kern w:val="1"/>
                <w:sz w:val="24"/>
                <w:szCs w:val="24"/>
              </w:rPr>
              <w:t>（签名或盖章）</w:t>
            </w:r>
          </w:p>
          <w:p>
            <w:pPr>
              <w:spacing w:line="360" w:lineRule="auto"/>
              <w:rPr>
                <w:rFonts w:ascii="宋体" w:hAnsi="宋体" w:cs="宋体"/>
                <w:kern w:val="1"/>
                <w:sz w:val="24"/>
                <w:szCs w:val="24"/>
              </w:rPr>
            </w:pPr>
            <w:r>
              <w:rPr>
                <w:rFonts w:hint="eastAsia" w:ascii="宋体" w:hAnsi="宋体" w:cs="宋体"/>
                <w:kern w:val="1"/>
                <w:sz w:val="24"/>
                <w:szCs w:val="24"/>
              </w:rPr>
              <w:t>授权单位：</w:t>
            </w:r>
            <w:r>
              <w:rPr>
                <w:rFonts w:hint="eastAsia" w:ascii="宋体" w:hAnsi="宋体" w:cs="宋体"/>
                <w:kern w:val="1"/>
                <w:sz w:val="24"/>
                <w:szCs w:val="24"/>
                <w:u w:val="single"/>
              </w:rPr>
              <w:t>　　　　　　　　　　</w:t>
            </w:r>
            <w:r>
              <w:rPr>
                <w:rFonts w:hint="eastAsia" w:ascii="宋体" w:hAnsi="宋体" w:cs="宋体"/>
                <w:kern w:val="1"/>
                <w:sz w:val="24"/>
                <w:szCs w:val="24"/>
              </w:rPr>
              <w:t>（盖章）</w:t>
            </w:r>
          </w:p>
          <w:p>
            <w:pPr>
              <w:spacing w:line="360" w:lineRule="auto"/>
              <w:rPr>
                <w:rFonts w:ascii="宋体" w:hAnsi="宋体" w:cs="宋体"/>
                <w:kern w:val="1"/>
                <w:szCs w:val="21"/>
              </w:rPr>
            </w:pPr>
            <w:r>
              <w:rPr>
                <w:rFonts w:hint="eastAsia" w:ascii="宋体" w:hAnsi="宋体" w:cs="宋体"/>
                <w:kern w:val="1"/>
                <w:sz w:val="24"/>
                <w:szCs w:val="24"/>
              </w:rPr>
              <w:t xml:space="preserve">         年  月   日</w:t>
            </w:r>
          </w:p>
        </w:tc>
      </w:tr>
    </w:tbl>
    <w:p>
      <w:pPr>
        <w:spacing w:line="360" w:lineRule="auto"/>
        <w:rPr>
          <w:rFonts w:ascii="宋体" w:hAnsi="宋体" w:cs="宋体"/>
          <w:kern w:val="1"/>
          <w:szCs w:val="21"/>
        </w:rPr>
      </w:pPr>
      <w:r>
        <w:rPr>
          <w:rFonts w:hint="eastAsia" w:ascii="宋体" w:hAnsi="宋体" w:cs="宋体"/>
          <w:kern w:val="1"/>
          <w:szCs w:val="21"/>
        </w:rPr>
        <w:t>注：1、法定代表人授权委托书也可以采用工商行政管理局统一印制的格式。</w:t>
      </w:r>
    </w:p>
    <w:p>
      <w:pPr>
        <w:numPr>
          <w:ilvl w:val="0"/>
          <w:numId w:val="4"/>
        </w:numPr>
        <w:spacing w:line="360" w:lineRule="auto"/>
        <w:ind w:firstLine="480"/>
        <w:rPr>
          <w:rFonts w:ascii="宋体" w:hAnsi="宋体" w:cs="宋体"/>
          <w:kern w:val="1"/>
          <w:szCs w:val="21"/>
        </w:rPr>
      </w:pPr>
      <w:r>
        <w:rPr>
          <w:rFonts w:hint="eastAsia" w:ascii="宋体" w:hAnsi="宋体" w:cs="宋体"/>
          <w:kern w:val="1"/>
          <w:szCs w:val="21"/>
        </w:rPr>
        <w:t>附委托代理人身份证扫描件（加盖电子印章）。</w:t>
      </w:r>
    </w:p>
    <w:p>
      <w:pPr>
        <w:numPr>
          <w:ilvl w:val="0"/>
          <w:numId w:val="4"/>
        </w:numPr>
        <w:spacing w:line="360" w:lineRule="auto"/>
        <w:ind w:firstLine="480"/>
        <w:rPr>
          <w:rFonts w:ascii="宋体" w:hAnsi="宋体" w:cs="宋体"/>
          <w:kern w:val="1"/>
          <w:szCs w:val="21"/>
        </w:rPr>
      </w:pPr>
      <w:r>
        <w:rPr>
          <w:rFonts w:hint="eastAsia" w:ascii="宋体" w:hAnsi="宋体" w:cs="宋体"/>
          <w:kern w:val="1"/>
          <w:szCs w:val="21"/>
        </w:rPr>
        <w:t>联合体投标的，本授权书由联合体主办方出具，并由联合体主办方签字、盖章即可。</w:t>
      </w:r>
    </w:p>
    <w:p>
      <w:pPr>
        <w:autoSpaceDE w:val="0"/>
        <w:autoSpaceDN w:val="0"/>
        <w:adjustRightInd w:val="0"/>
        <w:spacing w:line="466" w:lineRule="exact"/>
        <w:ind w:right="-20"/>
        <w:outlineLvl w:val="0"/>
        <w:rPr>
          <w:rFonts w:ascii="宋体" w:hAnsi="宋体" w:cs="宋体"/>
          <w:spacing w:val="2"/>
          <w:position w:val="-1"/>
          <w:sz w:val="32"/>
          <w:szCs w:val="32"/>
        </w:rPr>
      </w:pPr>
      <w:bookmarkStart w:id="29" w:name="_Toc17661"/>
      <w:r>
        <w:rPr>
          <w:rFonts w:hint="eastAsia" w:ascii="宋体" w:hAnsi="宋体"/>
          <w:spacing w:val="2"/>
          <w:position w:val="-1"/>
          <w:sz w:val="32"/>
          <w:szCs w:val="32"/>
        </w:rPr>
        <w:t>格式三：合作设计协议书（</w:t>
      </w:r>
      <w:r>
        <w:rPr>
          <w:rFonts w:hint="eastAsia" w:ascii="宋体" w:hAnsi="宋体" w:cs="宋体"/>
          <w:kern w:val="21"/>
          <w:sz w:val="24"/>
          <w:szCs w:val="24"/>
        </w:rPr>
        <w:t>格式仅供参考）</w:t>
      </w: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合作设计协议书</w:t>
      </w:r>
    </w:p>
    <w:p>
      <w:pPr>
        <w:rPr>
          <w:rFonts w:ascii="宋体" w:hAnsi="宋体" w:cs="宋体"/>
          <w:b/>
          <w:bCs/>
          <w:szCs w:val="21"/>
        </w:rPr>
      </w:pPr>
      <w:r>
        <w:rPr>
          <w:rFonts w:hint="eastAsia" w:ascii="宋体" w:hAnsi="宋体" w:cs="宋体"/>
        </w:rPr>
        <w:t xml:space="preserve">                             </w:t>
      </w:r>
    </w:p>
    <w:p>
      <w:pPr>
        <w:rPr>
          <w:rFonts w:ascii="宋体" w:hAnsi="宋体" w:cs="宋体"/>
          <w:sz w:val="24"/>
        </w:rPr>
      </w:pPr>
      <w:r>
        <w:rPr>
          <w:rFonts w:hint="eastAsia" w:ascii="宋体" w:hAnsi="宋体" w:cs="宋体"/>
          <w:sz w:val="24"/>
        </w:rPr>
        <w:t xml:space="preserve"> </w:t>
      </w:r>
    </w:p>
    <w:p>
      <w:pPr>
        <w:rPr>
          <w:rFonts w:ascii="宋体" w:hAnsi="宋体" w:cs="宋体"/>
          <w:sz w:val="24"/>
          <w:szCs w:val="24"/>
        </w:rPr>
      </w:pPr>
      <w:r>
        <w:rPr>
          <w:rFonts w:hint="eastAsia" w:ascii="宋体" w:hAnsi="宋体" w:cs="宋体"/>
          <w:sz w:val="24"/>
          <w:szCs w:val="24"/>
        </w:rPr>
        <w:t>投标项目名称：</w:t>
      </w:r>
      <w:r>
        <w:rPr>
          <w:rFonts w:hint="eastAsia" w:ascii="宋体" w:hAnsi="宋体" w:cs="宋体"/>
          <w:sz w:val="24"/>
          <w:szCs w:val="24"/>
          <w:u w:val="single"/>
        </w:rPr>
        <w:t xml:space="preserve">                                           </w:t>
      </w:r>
      <w:r>
        <w:rPr>
          <w:rFonts w:hint="eastAsia" w:ascii="宋体" w:hAnsi="宋体" w:cs="宋体"/>
          <w:sz w:val="24"/>
          <w:szCs w:val="24"/>
        </w:rPr>
        <w:t>。</w:t>
      </w:r>
    </w:p>
    <w:p>
      <w:pPr>
        <w:pStyle w:val="12"/>
        <w:ind w:left="5500"/>
        <w:rPr>
          <w:rFonts w:hAnsi="宋体" w:cs="宋体"/>
          <w:sz w:val="24"/>
          <w:szCs w:val="24"/>
          <w:lang w:eastAsia="zh-CN"/>
        </w:rPr>
      </w:pPr>
      <w:r>
        <w:rPr>
          <w:rFonts w:hint="eastAsia" w:hAnsi="宋体" w:cs="宋体"/>
          <w:sz w:val="24"/>
          <w:szCs w:val="24"/>
          <w:lang w:eastAsia="zh-CN"/>
        </w:rPr>
        <w:t xml:space="preserve"> </w:t>
      </w:r>
    </w:p>
    <w:p>
      <w:pPr>
        <w:pStyle w:val="12"/>
        <w:rPr>
          <w:rFonts w:hAnsi="宋体" w:cs="宋体"/>
          <w:sz w:val="24"/>
          <w:szCs w:val="24"/>
          <w:lang w:eastAsia="zh-CN"/>
        </w:rPr>
      </w:pPr>
      <w:r>
        <w:rPr>
          <w:rFonts w:hint="eastAsia" w:hAnsi="宋体" w:cs="宋体"/>
          <w:sz w:val="24"/>
          <w:szCs w:val="24"/>
          <w:lang w:eastAsia="zh-CN"/>
        </w:rPr>
        <w:t>致：</w:t>
      </w:r>
      <w:r>
        <w:rPr>
          <w:rFonts w:hint="eastAsia" w:hAnsi="宋体" w:cs="宋体"/>
          <w:sz w:val="24"/>
          <w:szCs w:val="24"/>
          <w:u w:val="single"/>
          <w:lang w:eastAsia="zh-CN"/>
        </w:rPr>
        <w:t xml:space="preserve">                                    </w:t>
      </w:r>
      <w:r>
        <w:rPr>
          <w:rFonts w:hint="eastAsia" w:hAnsi="宋体" w:cs="宋体"/>
          <w:sz w:val="24"/>
          <w:szCs w:val="24"/>
          <w:lang w:eastAsia="zh-CN"/>
        </w:rPr>
        <w:t>（招标人）</w:t>
      </w:r>
    </w:p>
    <w:p>
      <w:pPr>
        <w:rPr>
          <w:rFonts w:ascii="宋体" w:hAnsi="宋体" w:cs="宋体"/>
          <w:sz w:val="24"/>
          <w:szCs w:val="24"/>
        </w:rPr>
      </w:pPr>
      <w:r>
        <w:rPr>
          <w:rFonts w:hint="eastAsia" w:ascii="宋体" w:hAnsi="宋体" w:cs="宋体"/>
          <w:sz w:val="24"/>
          <w:szCs w:val="24"/>
        </w:rPr>
        <w:t xml:space="preserve"> </w:t>
      </w:r>
    </w:p>
    <w:p>
      <w:pPr>
        <w:pStyle w:val="12"/>
        <w:spacing w:line="360" w:lineRule="auto"/>
        <w:ind w:firstLine="420"/>
        <w:rPr>
          <w:rFonts w:hAnsi="宋体" w:cs="宋体"/>
          <w:sz w:val="24"/>
          <w:szCs w:val="24"/>
          <w:lang w:eastAsia="zh-CN"/>
        </w:rPr>
      </w:pPr>
      <w:r>
        <w:rPr>
          <w:rFonts w:hint="eastAsia" w:hAnsi="宋体" w:cs="宋体"/>
          <w:sz w:val="24"/>
          <w:szCs w:val="24"/>
          <w:lang w:eastAsia="zh-CN"/>
        </w:rPr>
        <w:t>按照招标公告的规定，</w:t>
      </w:r>
      <w:r>
        <w:rPr>
          <w:rFonts w:hint="eastAsia" w:hAnsi="宋体" w:cs="宋体"/>
          <w:sz w:val="24"/>
          <w:szCs w:val="24"/>
          <w:u w:val="single"/>
          <w:lang w:eastAsia="zh-CN"/>
        </w:rPr>
        <w:t xml:space="preserve">                         </w:t>
      </w:r>
      <w:r>
        <w:rPr>
          <w:rFonts w:hint="eastAsia" w:hAnsi="宋体" w:cs="宋体"/>
          <w:sz w:val="24"/>
          <w:szCs w:val="24"/>
          <w:lang w:eastAsia="zh-CN"/>
        </w:rPr>
        <w:t>（</w:t>
      </w:r>
      <w:r>
        <w:rPr>
          <w:rFonts w:hint="eastAsia" w:hAnsi="宋体" w:cs="宋体"/>
          <w:sz w:val="24"/>
          <w:szCs w:val="24"/>
          <w:shd w:val="clear" w:color="auto" w:fill="FFFFFF"/>
          <w:lang w:eastAsia="zh-CN"/>
        </w:rPr>
        <w:t>外国或澳门、台湾的设计企业</w:t>
      </w:r>
      <w:r>
        <w:rPr>
          <w:rFonts w:hint="eastAsia" w:hAnsi="宋体" w:cs="宋体"/>
          <w:b/>
          <w:sz w:val="24"/>
          <w:szCs w:val="24"/>
          <w:u w:val="single"/>
          <w:shd w:val="clear" w:color="auto" w:fill="FFFFFF"/>
          <w:lang w:eastAsia="zh-CN"/>
        </w:rPr>
        <w:t>和香港不单独参加投标的设计企业</w:t>
      </w:r>
      <w:r>
        <w:rPr>
          <w:rFonts w:hint="eastAsia" w:hAnsi="宋体" w:cs="宋体"/>
          <w:sz w:val="24"/>
          <w:szCs w:val="24"/>
          <w:lang w:eastAsia="zh-CN"/>
        </w:rPr>
        <w:t>）作为投标人（即“申请人”，下同）</w:t>
      </w:r>
      <w:r>
        <w:rPr>
          <w:rFonts w:hint="eastAsia" w:hAnsi="宋体" w:cs="宋体"/>
          <w:sz w:val="24"/>
          <w:szCs w:val="24"/>
          <w:u w:val="single"/>
          <w:lang w:eastAsia="zh-CN"/>
        </w:rPr>
        <w:t xml:space="preserve">         </w:t>
      </w:r>
      <w:r>
        <w:rPr>
          <w:rFonts w:hint="eastAsia" w:hAnsi="宋体" w:cs="宋体"/>
          <w:sz w:val="24"/>
          <w:szCs w:val="24"/>
          <w:lang w:eastAsia="zh-CN"/>
        </w:rPr>
        <w:t>（符合招标公告第5.1条、第5.2.2条要求的国内投标人）的合作设计方，参与本项目进行合作设计。若中标，各成员向招标人承担连带责任。合作设计方授权委托</w:t>
      </w:r>
      <w:r>
        <w:rPr>
          <w:rFonts w:hint="eastAsia" w:hAnsi="宋体" w:cs="宋体"/>
          <w:sz w:val="24"/>
          <w:szCs w:val="24"/>
          <w:u w:val="single"/>
          <w:lang w:eastAsia="zh-CN"/>
        </w:rPr>
        <w:t xml:space="preserve">                   </w:t>
      </w:r>
      <w:r>
        <w:rPr>
          <w:rFonts w:hint="eastAsia" w:hAnsi="宋体" w:cs="宋体"/>
          <w:sz w:val="24"/>
          <w:szCs w:val="24"/>
          <w:lang w:eastAsia="zh-CN"/>
        </w:rPr>
        <w:t>（符合招标公告第5.1条、第5.2.2条要求的国内投标人）代表所有合作成员参加投标、提交投标文件，以及与招标人签订合同，负责整个合同实施阶段的协调工作。</w:t>
      </w:r>
    </w:p>
    <w:p>
      <w:pPr>
        <w:rPr>
          <w:rFonts w:ascii="宋体" w:hAnsi="宋体" w:cs="宋体"/>
          <w:sz w:val="24"/>
          <w:szCs w:val="24"/>
        </w:rPr>
      </w:pPr>
      <w:r>
        <w:rPr>
          <w:rFonts w:hint="eastAsia" w:ascii="宋体" w:hAnsi="宋体" w:cs="宋体"/>
          <w:sz w:val="24"/>
          <w:szCs w:val="24"/>
        </w:rPr>
        <w:t xml:space="preserve"> </w:t>
      </w:r>
    </w:p>
    <w:p>
      <w:pPr>
        <w:pStyle w:val="12"/>
        <w:ind w:left="5500"/>
        <w:rPr>
          <w:rFonts w:hAnsi="宋体" w:cs="宋体"/>
          <w:sz w:val="24"/>
          <w:szCs w:val="24"/>
          <w:lang w:eastAsia="zh-CN"/>
        </w:rPr>
      </w:pPr>
      <w:r>
        <w:rPr>
          <w:rFonts w:hint="eastAsia" w:hAnsi="宋体" w:cs="宋体"/>
          <w:sz w:val="24"/>
          <w:szCs w:val="24"/>
          <w:lang w:eastAsia="zh-CN"/>
        </w:rPr>
        <w:t xml:space="preserve"> </w:t>
      </w:r>
    </w:p>
    <w:p>
      <w:pPr>
        <w:pStyle w:val="12"/>
        <w:spacing w:line="360" w:lineRule="auto"/>
        <w:ind w:left="142"/>
        <w:rPr>
          <w:rFonts w:hAnsi="宋体" w:cs="宋体"/>
          <w:sz w:val="24"/>
          <w:szCs w:val="24"/>
          <w:lang w:eastAsia="zh-CN"/>
        </w:rPr>
      </w:pPr>
      <w:r>
        <w:rPr>
          <w:rFonts w:hint="eastAsia" w:hAnsi="宋体" w:cs="宋体"/>
          <w:sz w:val="24"/>
          <w:szCs w:val="24"/>
          <w:lang w:eastAsia="zh-CN"/>
        </w:rPr>
        <w:t>合作设计方：</w:t>
      </w:r>
      <w:r>
        <w:rPr>
          <w:rFonts w:hint="eastAsia" w:cs="宋体"/>
          <w:spacing w:val="-1"/>
          <w:sz w:val="24"/>
          <w:szCs w:val="24"/>
          <w:lang w:eastAsia="zh-CN"/>
        </w:rPr>
        <w:t>（盖单位公章）</w:t>
      </w:r>
      <w:r>
        <w:rPr>
          <w:rFonts w:hint="eastAsia" w:hAnsi="宋体" w:cs="宋体"/>
          <w:sz w:val="24"/>
          <w:szCs w:val="24"/>
          <w:u w:val="single"/>
          <w:lang w:eastAsia="zh-CN"/>
        </w:rPr>
        <w:t xml:space="preserve">                                         </w:t>
      </w:r>
    </w:p>
    <w:p>
      <w:pPr>
        <w:pStyle w:val="12"/>
        <w:spacing w:line="360" w:lineRule="auto"/>
        <w:ind w:left="142"/>
        <w:rPr>
          <w:rFonts w:hAnsi="宋体" w:cs="宋体"/>
          <w:sz w:val="24"/>
          <w:szCs w:val="24"/>
          <w:u w:val="single"/>
          <w:lang w:eastAsia="zh-CN"/>
        </w:rPr>
      </w:pPr>
      <w:r>
        <w:rPr>
          <w:rFonts w:hint="eastAsia" w:hAnsi="宋体" w:cs="宋体"/>
          <w:sz w:val="24"/>
          <w:szCs w:val="24"/>
          <w:lang w:eastAsia="zh-CN"/>
        </w:rPr>
        <w:t>代表人：（签名或盖章）</w:t>
      </w:r>
      <w:r>
        <w:rPr>
          <w:rFonts w:hint="eastAsia" w:hAnsi="宋体" w:cs="宋体"/>
          <w:sz w:val="24"/>
          <w:szCs w:val="24"/>
          <w:u w:val="single"/>
          <w:lang w:eastAsia="zh-CN"/>
        </w:rPr>
        <w:t xml:space="preserve">                                       </w:t>
      </w:r>
    </w:p>
    <w:p>
      <w:pPr>
        <w:pStyle w:val="12"/>
        <w:spacing w:line="360" w:lineRule="auto"/>
        <w:ind w:left="142"/>
        <w:rPr>
          <w:rFonts w:hAnsi="宋体" w:cs="宋体"/>
          <w:sz w:val="24"/>
          <w:szCs w:val="24"/>
          <w:lang w:eastAsia="zh-CN"/>
        </w:rPr>
      </w:pPr>
      <w:r>
        <w:rPr>
          <w:rFonts w:hint="eastAsia" w:hAnsi="宋体" w:cs="宋体"/>
          <w:sz w:val="24"/>
          <w:szCs w:val="24"/>
          <w:lang w:eastAsia="zh-CN"/>
        </w:rPr>
        <w:t>分工内容：</w:t>
      </w:r>
      <w:r>
        <w:rPr>
          <w:rFonts w:hint="eastAsia" w:hAnsi="宋体" w:cs="宋体"/>
          <w:sz w:val="24"/>
          <w:szCs w:val="24"/>
          <w:u w:val="single"/>
          <w:lang w:eastAsia="zh-CN"/>
        </w:rPr>
        <w:t xml:space="preserve">                                                  </w:t>
      </w:r>
    </w:p>
    <w:p>
      <w:pPr>
        <w:pStyle w:val="12"/>
        <w:spacing w:line="360" w:lineRule="auto"/>
        <w:ind w:left="5500"/>
        <w:rPr>
          <w:rFonts w:hAnsi="宋体" w:cs="宋体"/>
          <w:sz w:val="24"/>
          <w:szCs w:val="24"/>
          <w:lang w:eastAsia="zh-CN"/>
        </w:rPr>
      </w:pPr>
      <w:r>
        <w:rPr>
          <w:rFonts w:hint="eastAsia" w:hAnsi="宋体" w:cs="宋体"/>
          <w:sz w:val="24"/>
          <w:szCs w:val="24"/>
          <w:lang w:eastAsia="zh-CN"/>
        </w:rPr>
        <w:t xml:space="preserve"> </w:t>
      </w:r>
    </w:p>
    <w:p>
      <w:pPr>
        <w:pStyle w:val="12"/>
        <w:spacing w:line="360" w:lineRule="auto"/>
        <w:ind w:left="142"/>
        <w:rPr>
          <w:rFonts w:hAnsi="宋体" w:cs="宋体"/>
          <w:sz w:val="24"/>
          <w:szCs w:val="24"/>
          <w:lang w:eastAsia="zh-CN"/>
        </w:rPr>
      </w:pPr>
      <w:r>
        <w:rPr>
          <w:rFonts w:hint="eastAsia" w:hAnsi="宋体" w:cs="宋体"/>
          <w:sz w:val="24"/>
          <w:szCs w:val="24"/>
          <w:lang w:eastAsia="zh-CN"/>
        </w:rPr>
        <w:t>投标人：</w:t>
      </w:r>
      <w:r>
        <w:rPr>
          <w:rFonts w:hint="eastAsia" w:cs="宋体"/>
          <w:spacing w:val="-1"/>
          <w:sz w:val="24"/>
          <w:szCs w:val="24"/>
          <w:lang w:eastAsia="zh-CN"/>
        </w:rPr>
        <w:t>（盖单位公章）</w:t>
      </w:r>
      <w:r>
        <w:rPr>
          <w:rFonts w:hint="eastAsia" w:hAnsi="宋体" w:cs="宋体"/>
          <w:sz w:val="24"/>
          <w:szCs w:val="24"/>
          <w:lang w:eastAsia="zh-CN"/>
        </w:rPr>
        <w:t>）</w:t>
      </w:r>
      <w:r>
        <w:rPr>
          <w:rFonts w:hint="eastAsia" w:hAnsi="宋体" w:cs="宋体"/>
          <w:sz w:val="24"/>
          <w:szCs w:val="24"/>
          <w:u w:val="single"/>
          <w:lang w:eastAsia="zh-CN"/>
        </w:rPr>
        <w:t xml:space="preserve">                                             </w:t>
      </w:r>
    </w:p>
    <w:p>
      <w:pPr>
        <w:pStyle w:val="12"/>
        <w:spacing w:line="360" w:lineRule="auto"/>
        <w:ind w:left="142"/>
        <w:rPr>
          <w:rFonts w:hAnsi="宋体" w:cs="宋体"/>
          <w:sz w:val="24"/>
          <w:szCs w:val="24"/>
          <w:lang w:eastAsia="zh-CN"/>
        </w:rPr>
      </w:pPr>
      <w:r>
        <w:rPr>
          <w:rFonts w:hint="eastAsia" w:hAnsi="宋体" w:cs="宋体"/>
          <w:sz w:val="24"/>
          <w:szCs w:val="24"/>
          <w:lang w:eastAsia="zh-CN"/>
        </w:rPr>
        <w:t xml:space="preserve">法定代表人：（签名或盖章）  </w:t>
      </w:r>
      <w:r>
        <w:rPr>
          <w:rFonts w:hint="eastAsia" w:hAnsi="宋体" w:cs="宋体"/>
          <w:sz w:val="24"/>
          <w:szCs w:val="24"/>
          <w:u w:val="single"/>
          <w:lang w:eastAsia="zh-CN"/>
        </w:rPr>
        <w:t xml:space="preserve">                                      </w:t>
      </w:r>
      <w:r>
        <w:rPr>
          <w:rFonts w:hint="eastAsia" w:hAnsi="宋体" w:cs="宋体"/>
          <w:sz w:val="24"/>
          <w:szCs w:val="24"/>
          <w:lang w:eastAsia="zh-CN"/>
        </w:rPr>
        <w:t xml:space="preserve">                                 </w:t>
      </w:r>
    </w:p>
    <w:p>
      <w:pPr>
        <w:pStyle w:val="12"/>
        <w:spacing w:line="360" w:lineRule="auto"/>
        <w:ind w:left="142"/>
        <w:rPr>
          <w:rFonts w:hAnsi="宋体" w:cs="宋体"/>
          <w:sz w:val="24"/>
          <w:szCs w:val="24"/>
          <w:lang w:eastAsia="zh-CN"/>
        </w:rPr>
      </w:pPr>
      <w:r>
        <w:rPr>
          <w:rFonts w:hint="eastAsia" w:hAnsi="宋体" w:cs="宋体"/>
          <w:sz w:val="24"/>
          <w:szCs w:val="24"/>
          <w:lang w:eastAsia="zh-CN"/>
        </w:rPr>
        <w:t>分工内容：</w:t>
      </w:r>
      <w:r>
        <w:rPr>
          <w:rFonts w:hint="eastAsia" w:hAnsi="宋体" w:cs="宋体"/>
          <w:sz w:val="24"/>
          <w:szCs w:val="24"/>
          <w:u w:val="single"/>
          <w:lang w:eastAsia="zh-CN"/>
        </w:rPr>
        <w:t xml:space="preserve">                                                   </w:t>
      </w:r>
    </w:p>
    <w:p>
      <w:pPr>
        <w:tabs>
          <w:tab w:val="left" w:pos="4120"/>
        </w:tabs>
        <w:spacing w:line="360" w:lineRule="auto"/>
        <w:ind w:firstLine="420" w:firstLineChars="200"/>
        <w:jc w:val="right"/>
        <w:rPr>
          <w:rFonts w:ascii="宋体" w:hAnsi="宋体" w:cs="宋体"/>
        </w:rPr>
      </w:pPr>
    </w:p>
    <w:p>
      <w:pPr>
        <w:pStyle w:val="42"/>
        <w:rPr>
          <w:rFonts w:hAnsi="宋体"/>
          <w:color w:val="auto"/>
        </w:rPr>
      </w:pPr>
    </w:p>
    <w:p>
      <w:pPr>
        <w:autoSpaceDE w:val="0"/>
        <w:autoSpaceDN w:val="0"/>
        <w:adjustRightInd w:val="0"/>
        <w:spacing w:line="360" w:lineRule="auto"/>
        <w:ind w:right="-20"/>
        <w:jc w:val="left"/>
        <w:rPr>
          <w:rFonts w:ascii="宋体" w:hAnsi="宋体" w:cs="宋体"/>
          <w:kern w:val="21"/>
          <w:sz w:val="24"/>
          <w:szCs w:val="24"/>
        </w:rPr>
      </w:pPr>
      <w:r>
        <w:rPr>
          <w:rFonts w:hint="eastAsia" w:ascii="宋体" w:hAnsi="宋体" w:cs="宋体"/>
          <w:kern w:val="21"/>
          <w:sz w:val="24"/>
          <w:szCs w:val="24"/>
        </w:rPr>
        <w:t>注：格式仅供参考，适用于合作设计，否则可不提供。</w:t>
      </w:r>
    </w:p>
    <w:p>
      <w:pPr>
        <w:rPr>
          <w:rFonts w:ascii="宋体" w:hAnsi="宋体"/>
        </w:rPr>
      </w:pPr>
      <w:r>
        <w:rPr>
          <w:rFonts w:hint="eastAsia" w:ascii="宋体" w:hAnsi="宋体" w:cs="宋体"/>
          <w:kern w:val="0"/>
          <w:sz w:val="24"/>
          <w:szCs w:val="24"/>
        </w:rPr>
        <w:br w:type="page"/>
      </w:r>
      <w:bookmarkEnd w:id="29"/>
    </w:p>
    <w:p>
      <w:pPr>
        <w:autoSpaceDE w:val="0"/>
        <w:autoSpaceDN w:val="0"/>
        <w:adjustRightInd w:val="0"/>
        <w:spacing w:line="466" w:lineRule="exact"/>
        <w:ind w:right="-20"/>
        <w:outlineLvl w:val="0"/>
        <w:rPr>
          <w:rFonts w:ascii="宋体" w:hAnsi="宋体"/>
          <w:spacing w:val="2"/>
          <w:position w:val="-1"/>
          <w:sz w:val="32"/>
          <w:szCs w:val="32"/>
        </w:rPr>
      </w:pPr>
      <w:r>
        <w:rPr>
          <w:rFonts w:hint="eastAsia" w:ascii="宋体" w:hAnsi="宋体"/>
        </w:rPr>
        <w:t xml:space="preserve"> </w:t>
      </w:r>
      <w:bookmarkStart w:id="30" w:name="_Toc8223"/>
      <w:r>
        <w:rPr>
          <w:rFonts w:hint="eastAsia" w:ascii="宋体" w:hAnsi="宋体"/>
          <w:spacing w:val="2"/>
          <w:position w:val="-1"/>
          <w:sz w:val="32"/>
          <w:szCs w:val="32"/>
        </w:rPr>
        <w:t>格式四：投标人声明</w:t>
      </w:r>
      <w:bookmarkEnd w:id="30"/>
    </w:p>
    <w:p>
      <w:pPr>
        <w:autoSpaceDE w:val="0"/>
        <w:autoSpaceDN w:val="0"/>
        <w:adjustRightInd w:val="0"/>
        <w:spacing w:line="200" w:lineRule="exact"/>
        <w:rPr>
          <w:rFonts w:ascii="宋体" w:hAnsi="宋体"/>
          <w:sz w:val="20"/>
          <w:szCs w:val="20"/>
        </w:rPr>
      </w:pPr>
      <w:r>
        <w:rPr>
          <w:rFonts w:hint="eastAsia" w:ascii="宋体" w:hAnsi="宋体"/>
          <w:sz w:val="20"/>
          <w:szCs w:val="20"/>
        </w:rPr>
        <w:t xml:space="preserve"> </w:t>
      </w:r>
    </w:p>
    <w:p>
      <w:pPr>
        <w:autoSpaceDE w:val="0"/>
        <w:autoSpaceDN w:val="0"/>
        <w:adjustRightInd w:val="0"/>
        <w:spacing w:line="200" w:lineRule="exact"/>
        <w:rPr>
          <w:rFonts w:ascii="宋体" w:hAnsi="宋体"/>
          <w:sz w:val="20"/>
          <w:szCs w:val="20"/>
        </w:rPr>
      </w:pPr>
      <w:r>
        <w:rPr>
          <w:rFonts w:hint="eastAsia" w:ascii="宋体" w:hAnsi="宋体"/>
          <w:sz w:val="20"/>
          <w:szCs w:val="20"/>
        </w:rPr>
        <w:t xml:space="preserve"> </w:t>
      </w:r>
    </w:p>
    <w:p>
      <w:pPr>
        <w:jc w:val="center"/>
        <w:rPr>
          <w:rFonts w:ascii="宋体" w:hAnsi="宋体"/>
          <w:b/>
          <w:bCs/>
          <w:sz w:val="32"/>
          <w:szCs w:val="32"/>
        </w:rPr>
      </w:pPr>
      <w:r>
        <w:rPr>
          <w:rFonts w:hint="eastAsia" w:ascii="宋体" w:hAnsi="宋体"/>
          <w:b/>
          <w:bCs/>
          <w:sz w:val="32"/>
          <w:szCs w:val="32"/>
        </w:rPr>
        <w:t>投标人声明</w:t>
      </w:r>
    </w:p>
    <w:p>
      <w:pPr>
        <w:pStyle w:val="37"/>
        <w:ind w:firstLine="0"/>
        <w:rPr>
          <w:rFonts w:ascii="宋体" w:hAnsi="宋体" w:eastAsia="宋体"/>
          <w:color w:val="auto"/>
          <w:sz w:val="24"/>
          <w:szCs w:val="24"/>
        </w:rPr>
      </w:pPr>
      <w:r>
        <w:rPr>
          <w:rFonts w:hint="eastAsia" w:ascii="宋体" w:hAnsi="宋体" w:eastAsia="宋体"/>
          <w:color w:val="auto"/>
          <w:sz w:val="24"/>
          <w:szCs w:val="24"/>
        </w:rPr>
        <w:t>广州市住房和城乡建设局、本招标项目招标人及招标监管机构：</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本公司就参加</w:t>
      </w:r>
      <w:r>
        <w:rPr>
          <w:rFonts w:hint="eastAsia" w:ascii="宋体" w:hAnsi="宋体" w:eastAsia="宋体"/>
          <w:color w:val="auto"/>
          <w:sz w:val="24"/>
          <w:szCs w:val="24"/>
          <w:u w:val="single"/>
        </w:rPr>
        <w:t xml:space="preserve">      （项目名称）        </w:t>
      </w:r>
      <w:r>
        <w:rPr>
          <w:rFonts w:hint="eastAsia" w:ascii="宋体" w:hAnsi="宋体" w:eastAsia="宋体"/>
          <w:color w:val="auto"/>
          <w:sz w:val="24"/>
          <w:szCs w:val="24"/>
        </w:rPr>
        <w:t>投标工作，作出郑重声明：</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一、本公司保证投标文件及其后提供的一切材料都是真实的。如我司成为本项目中标候选人，我司同意并授权招标人将我司投标文件商务部分文件的人员、业绩、奖项等资料进行公开。</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二、本公司保证不与其他单位围标、串标，不出让投标资格，不向招标人或评标委员会成员行贿。</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三、本公司不存在招标文件第二章投标人须知第</w:t>
      </w:r>
      <w:r>
        <w:rPr>
          <w:rFonts w:ascii="宋体" w:hAnsi="宋体" w:eastAsia="宋体"/>
          <w:color w:val="auto"/>
          <w:sz w:val="24"/>
          <w:szCs w:val="24"/>
        </w:rPr>
        <w:t>1.4.3</w:t>
      </w:r>
      <w:r>
        <w:rPr>
          <w:rFonts w:hint="eastAsia" w:ascii="宋体" w:hAnsi="宋体" w:eastAsia="宋体"/>
          <w:color w:val="auto"/>
          <w:sz w:val="24"/>
          <w:szCs w:val="24"/>
        </w:rPr>
        <w:t>项所规定的任何一种情形。没有处于被本地建设行政主管部门取消投标资格的处罚期内。与招标人过去</w:t>
      </w:r>
      <w:r>
        <w:rPr>
          <w:rFonts w:ascii="宋体" w:hAnsi="宋体" w:eastAsia="宋体"/>
          <w:color w:val="auto"/>
          <w:sz w:val="24"/>
          <w:szCs w:val="24"/>
        </w:rPr>
        <w:t>3</w:t>
      </w:r>
      <w:r>
        <w:rPr>
          <w:rFonts w:hint="eastAsia" w:ascii="宋体" w:hAnsi="宋体" w:eastAsia="宋体"/>
          <w:color w:val="auto"/>
          <w:sz w:val="24"/>
          <w:szCs w:val="24"/>
        </w:rPr>
        <w:t>年内无合同履约纠纷。</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四、本公司及其有隶属关系的机构，没有参加本项目招标文件的编写工作；本公司与本次招标的招标代理机构没有隶属关系或其他利害关系；</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五、本公司承诺，中标后严格执行安全生产相关管理规定。我单位已充分了解本项目的投资规模、建设内容、建设标准及相关风险，如中标，我单位保证按照招标文件规定的投资控制要求、质量要求、工期要求完成设计项目。</w:t>
      </w:r>
    </w:p>
    <w:p>
      <w:pPr>
        <w:pStyle w:val="37"/>
        <w:ind w:firstLine="482" w:firstLineChars="200"/>
        <w:rPr>
          <w:rFonts w:ascii="宋体" w:hAnsi="宋体" w:eastAsia="宋体"/>
          <w:b/>
          <w:color w:val="auto"/>
          <w:sz w:val="24"/>
          <w:szCs w:val="24"/>
        </w:rPr>
      </w:pPr>
      <w:r>
        <w:rPr>
          <w:rFonts w:hint="eastAsia" w:ascii="宋体" w:hAnsi="宋体" w:eastAsia="宋体"/>
          <w:b/>
          <w:color w:val="auto"/>
          <w:sz w:val="24"/>
          <w:szCs w:val="24"/>
        </w:rPr>
        <w:t>六、与本公司单位负责人为同一人或者与本公司存在控股、管理关系的其他单位包括：</w:t>
      </w:r>
      <w:r>
        <w:rPr>
          <w:rFonts w:ascii="宋体" w:hAnsi="宋体" w:eastAsia="宋体"/>
          <w:b/>
          <w:color w:val="auto"/>
          <w:sz w:val="24"/>
          <w:szCs w:val="24"/>
          <w:u w:val="single"/>
        </w:rPr>
        <w:t xml:space="preserve">   </w:t>
      </w:r>
      <w:r>
        <w:rPr>
          <w:rFonts w:hint="eastAsia" w:ascii="宋体" w:hAnsi="宋体" w:eastAsia="宋体"/>
          <w:b/>
          <w:color w:val="auto"/>
          <w:sz w:val="24"/>
          <w:szCs w:val="24"/>
          <w:u w:val="single"/>
        </w:rPr>
        <w:t xml:space="preserve">       </w:t>
      </w:r>
      <w:r>
        <w:rPr>
          <w:rFonts w:ascii="宋体" w:hAnsi="宋体" w:eastAsia="宋体"/>
          <w:b/>
          <w:color w:val="auto"/>
          <w:sz w:val="24"/>
          <w:szCs w:val="24"/>
          <w:u w:val="single"/>
        </w:rPr>
        <w:t xml:space="preserve">  </w:t>
      </w:r>
      <w:r>
        <w:rPr>
          <w:rFonts w:hint="eastAsia" w:ascii="宋体" w:hAnsi="宋体" w:eastAsia="宋体"/>
          <w:b/>
          <w:color w:val="auto"/>
          <w:sz w:val="24"/>
          <w:szCs w:val="24"/>
        </w:rPr>
        <w:t>。（注：本条由投标人如实填写，如有，应列出全部满足招标公告资质要求的相关单位的名称；如无，则填写</w:t>
      </w:r>
      <w:r>
        <w:rPr>
          <w:rFonts w:ascii="宋体" w:hAnsi="宋体" w:eastAsia="宋体"/>
          <w:b/>
          <w:color w:val="auto"/>
          <w:sz w:val="24"/>
          <w:szCs w:val="24"/>
        </w:rPr>
        <w:t>“</w:t>
      </w:r>
      <w:r>
        <w:rPr>
          <w:rFonts w:hint="eastAsia" w:ascii="宋体" w:hAnsi="宋体" w:eastAsia="宋体"/>
          <w:b/>
          <w:color w:val="auto"/>
          <w:sz w:val="24"/>
          <w:szCs w:val="24"/>
        </w:rPr>
        <w:t>无</w:t>
      </w:r>
      <w:r>
        <w:rPr>
          <w:rFonts w:ascii="宋体" w:hAnsi="宋体" w:eastAsia="宋体"/>
          <w:b/>
          <w:color w:val="auto"/>
          <w:sz w:val="24"/>
          <w:szCs w:val="24"/>
        </w:rPr>
        <w:t>”</w:t>
      </w:r>
      <w:r>
        <w:rPr>
          <w:rFonts w:hint="eastAsia" w:ascii="宋体" w:hAnsi="宋体" w:eastAsia="宋体"/>
          <w:b/>
          <w:color w:val="auto"/>
          <w:sz w:val="24"/>
          <w:szCs w:val="24"/>
        </w:rPr>
        <w:t>。）</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七、本公司已经对投标时拟投入本项目的管理团队和专业技术人员进行了自查，保证拟投入的所有人员都是本单位正式人员，都在本单位缴纳社保，不存在持证人注册单位与实际工作单位不符、买卖租借（专业）资格（注册）证书等</w:t>
      </w:r>
      <w:r>
        <w:rPr>
          <w:rFonts w:ascii="宋体" w:hAnsi="宋体" w:eastAsia="宋体"/>
          <w:color w:val="auto"/>
          <w:sz w:val="24"/>
          <w:szCs w:val="24"/>
        </w:rPr>
        <w:t>“</w:t>
      </w:r>
      <w:r>
        <w:rPr>
          <w:rFonts w:hint="eastAsia" w:ascii="宋体" w:hAnsi="宋体" w:eastAsia="宋体"/>
          <w:color w:val="auto"/>
          <w:sz w:val="24"/>
          <w:szCs w:val="24"/>
        </w:rPr>
        <w:t>挂证</w:t>
      </w:r>
      <w:r>
        <w:rPr>
          <w:rFonts w:ascii="宋体" w:hAnsi="宋体" w:eastAsia="宋体"/>
          <w:color w:val="auto"/>
          <w:sz w:val="24"/>
          <w:szCs w:val="24"/>
        </w:rPr>
        <w:t>”</w:t>
      </w:r>
      <w:r>
        <w:rPr>
          <w:rFonts w:hint="eastAsia" w:ascii="宋体" w:hAnsi="宋体" w:eastAsia="宋体"/>
          <w:color w:val="auto"/>
          <w:sz w:val="24"/>
          <w:szCs w:val="24"/>
        </w:rPr>
        <w:t>违法违规行为。</w:t>
      </w:r>
    </w:p>
    <w:p>
      <w:pPr>
        <w:pStyle w:val="37"/>
        <w:ind w:firstLine="480" w:firstLineChars="200"/>
        <w:rPr>
          <w:rFonts w:ascii="宋体" w:hAnsi="宋体" w:eastAsia="宋体"/>
          <w:color w:val="auto"/>
          <w:sz w:val="24"/>
          <w:szCs w:val="24"/>
        </w:rPr>
      </w:pPr>
      <w:r>
        <w:rPr>
          <w:rFonts w:hint="eastAsia" w:ascii="宋体" w:hAnsi="宋体" w:eastAsia="宋体"/>
          <w:color w:val="auto"/>
          <w:sz w:val="24"/>
          <w:szCs w:val="24"/>
        </w:rPr>
        <w:t>八、本公司违反上述保证，或本声明陈述与事实不符，经查实，本公司愿意接受公开通报，记录不良行为，承担由此带来的法律后果。其中，本声明陈述与事实不符的，属于弄虚作假骗取中标，将依法接受监管部门的处罚。</w:t>
      </w:r>
    </w:p>
    <w:p>
      <w:pPr>
        <w:spacing w:line="360" w:lineRule="auto"/>
        <w:rPr>
          <w:rFonts w:ascii="宋体" w:hAnsi="宋体"/>
          <w:sz w:val="24"/>
          <w:szCs w:val="24"/>
        </w:rPr>
      </w:pPr>
    </w:p>
    <w:p>
      <w:pPr>
        <w:pStyle w:val="37"/>
        <w:ind w:firstLine="0"/>
        <w:rPr>
          <w:rFonts w:ascii="宋体" w:hAnsi="宋体" w:eastAsia="宋体"/>
          <w:color w:val="auto"/>
          <w:sz w:val="24"/>
          <w:szCs w:val="24"/>
        </w:rPr>
      </w:pPr>
      <w:r>
        <w:rPr>
          <w:rFonts w:hint="eastAsia" w:ascii="宋体" w:hAnsi="宋体" w:eastAsia="宋体"/>
          <w:color w:val="auto"/>
          <w:sz w:val="24"/>
          <w:szCs w:val="24"/>
        </w:rPr>
        <w:t>特此声明。</w:t>
      </w:r>
    </w:p>
    <w:p>
      <w:pPr>
        <w:pStyle w:val="37"/>
        <w:spacing w:line="400" w:lineRule="exact"/>
        <w:rPr>
          <w:rFonts w:ascii="宋体" w:hAnsi="宋体" w:eastAsia="宋体"/>
          <w:color w:val="auto"/>
          <w:sz w:val="24"/>
          <w:szCs w:val="24"/>
        </w:rPr>
      </w:pPr>
      <w:r>
        <w:rPr>
          <w:rFonts w:hint="eastAsia" w:ascii="宋体" w:hAnsi="宋体" w:eastAsia="宋体"/>
          <w:color w:val="auto"/>
          <w:sz w:val="24"/>
          <w:szCs w:val="24"/>
        </w:rPr>
        <w:t xml:space="preserve"> </w:t>
      </w:r>
    </w:p>
    <w:p>
      <w:pPr>
        <w:pStyle w:val="38"/>
        <w:spacing w:line="400" w:lineRule="exact"/>
        <w:ind w:left="0" w:right="1449" w:firstLine="3840" w:firstLineChars="1600"/>
        <w:jc w:val="both"/>
        <w:rPr>
          <w:rFonts w:ascii="宋体" w:hAnsi="宋体"/>
          <w:color w:val="auto"/>
          <w:sz w:val="24"/>
          <w:szCs w:val="24"/>
        </w:rPr>
      </w:pPr>
      <w:r>
        <w:rPr>
          <w:rFonts w:hint="eastAsia" w:ascii="宋体" w:hAnsi="宋体"/>
          <w:color w:val="auto"/>
          <w:sz w:val="24"/>
          <w:szCs w:val="24"/>
        </w:rPr>
        <w:t xml:space="preserve">  投标人：(盖章)</w:t>
      </w:r>
    </w:p>
    <w:p>
      <w:pPr>
        <w:pStyle w:val="37"/>
        <w:spacing w:line="400" w:lineRule="exact"/>
        <w:ind w:right="1449" w:firstLine="0"/>
        <w:jc w:val="center"/>
        <w:rPr>
          <w:rFonts w:ascii="宋体" w:hAnsi="宋体" w:eastAsia="宋体"/>
          <w:color w:val="auto"/>
          <w:sz w:val="24"/>
          <w:szCs w:val="24"/>
        </w:rPr>
      </w:pPr>
      <w:r>
        <w:rPr>
          <w:rFonts w:hint="eastAsia" w:ascii="宋体" w:hAnsi="宋体" w:eastAsia="宋体"/>
          <w:color w:val="auto"/>
          <w:sz w:val="24"/>
          <w:szCs w:val="24"/>
        </w:rPr>
        <w:t xml:space="preserve">                        法定代表人：（签字或盖章）                  </w:t>
      </w:r>
    </w:p>
    <w:p>
      <w:pPr>
        <w:pStyle w:val="37"/>
        <w:spacing w:line="400" w:lineRule="exact"/>
        <w:ind w:right="2079" w:firstLine="2160" w:firstLineChars="900"/>
        <w:jc w:val="right"/>
        <w:rPr>
          <w:rFonts w:ascii="宋体" w:hAnsi="宋体" w:eastAsia="宋体"/>
          <w:color w:val="auto"/>
          <w:sz w:val="24"/>
          <w:szCs w:val="24"/>
        </w:rPr>
      </w:pPr>
      <w:r>
        <w:rPr>
          <w:rFonts w:hint="eastAsia" w:ascii="宋体" w:hAnsi="宋体" w:eastAsia="宋体"/>
          <w:color w:val="auto"/>
          <w:sz w:val="24"/>
          <w:szCs w:val="24"/>
        </w:rPr>
        <w:t>年   月   日</w:t>
      </w:r>
    </w:p>
    <w:p>
      <w:pPr>
        <w:rPr>
          <w:rFonts w:ascii="宋体" w:hAnsi="宋体"/>
          <w:szCs w:val="21"/>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p>
    <w:p>
      <w:pPr>
        <w:rPr>
          <w:rFonts w:ascii="宋体" w:hAnsi="宋体"/>
        </w:rPr>
      </w:pPr>
      <w:r>
        <w:rPr>
          <w:rFonts w:hint="eastAsia" w:ascii="宋体" w:hAnsi="宋体"/>
          <w:b/>
          <w:sz w:val="24"/>
          <w:u w:val="single"/>
        </w:rPr>
        <w:t>（注：如联合体投标人，由联合体主办方出具即可。）</w:t>
      </w:r>
    </w:p>
    <w:p>
      <w:pPr>
        <w:autoSpaceDE w:val="0"/>
        <w:autoSpaceDN w:val="0"/>
        <w:adjustRightInd w:val="0"/>
        <w:spacing w:line="466" w:lineRule="exact"/>
        <w:ind w:right="-20"/>
        <w:outlineLvl w:val="0"/>
        <w:rPr>
          <w:rFonts w:ascii="宋体" w:hAnsi="宋体"/>
          <w:spacing w:val="2"/>
          <w:position w:val="-1"/>
          <w:sz w:val="32"/>
          <w:szCs w:val="32"/>
        </w:rPr>
      </w:pPr>
      <w:r>
        <w:rPr>
          <w:rFonts w:hint="eastAsia" w:ascii="宋体" w:hAnsi="宋体"/>
        </w:rPr>
        <w:br w:type="page"/>
      </w:r>
      <w:bookmarkStart w:id="31" w:name="_Toc633"/>
      <w:r>
        <w:rPr>
          <w:rFonts w:hint="eastAsia" w:ascii="宋体" w:hAnsi="宋体"/>
          <w:spacing w:val="2"/>
          <w:position w:val="-1"/>
          <w:sz w:val="32"/>
          <w:szCs w:val="32"/>
        </w:rPr>
        <w:t>格式五：勘察设计费计算表</w:t>
      </w:r>
      <w:bookmarkEnd w:id="31"/>
    </w:p>
    <w:p>
      <w:pPr>
        <w:autoSpaceDE w:val="0"/>
        <w:autoSpaceDN w:val="0"/>
        <w:adjustRightInd w:val="0"/>
        <w:spacing w:before="7" w:line="110" w:lineRule="exact"/>
        <w:rPr>
          <w:rFonts w:ascii="宋体" w:hAnsi="宋体"/>
          <w:sz w:val="11"/>
          <w:szCs w:val="11"/>
        </w:rPr>
      </w:pPr>
    </w:p>
    <w:p>
      <w:pPr>
        <w:autoSpaceDE w:val="0"/>
        <w:autoSpaceDN w:val="0"/>
        <w:adjustRightInd w:val="0"/>
        <w:spacing w:line="200" w:lineRule="exact"/>
        <w:rPr>
          <w:rFonts w:ascii="宋体" w:hAnsi="宋体" w:cs="仿宋_GB2312"/>
          <w:b/>
          <w:bCs/>
          <w:sz w:val="32"/>
          <w:szCs w:val="32"/>
        </w:rPr>
      </w:pPr>
      <w:r>
        <w:rPr>
          <w:rFonts w:hint="eastAsia" w:ascii="宋体" w:hAnsi="宋体"/>
          <w:sz w:val="20"/>
          <w:szCs w:val="20"/>
        </w:rPr>
        <w:t xml:space="preserve"> </w:t>
      </w:r>
    </w:p>
    <w:p>
      <w:pPr>
        <w:jc w:val="center"/>
        <w:rPr>
          <w:rFonts w:ascii="宋体" w:hAnsi="宋体"/>
          <w:b/>
          <w:bCs/>
          <w:sz w:val="32"/>
          <w:szCs w:val="32"/>
        </w:rPr>
      </w:pPr>
      <w:r>
        <w:rPr>
          <w:rFonts w:hint="eastAsia" w:ascii="宋体" w:hAnsi="宋体"/>
          <w:b/>
          <w:bCs/>
          <w:sz w:val="32"/>
          <w:szCs w:val="32"/>
        </w:rPr>
        <w:t>工程勘察设计费报价汇总表</w:t>
      </w:r>
    </w:p>
    <w:p>
      <w:pPr>
        <w:pStyle w:val="6"/>
      </w:pPr>
    </w:p>
    <w:tbl>
      <w:tblPr>
        <w:tblStyle w:val="2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865"/>
        <w:gridCol w:w="150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88" w:type="dxa"/>
            <w:vAlign w:val="center"/>
          </w:tcPr>
          <w:p>
            <w:pPr>
              <w:spacing w:line="288" w:lineRule="auto"/>
              <w:jc w:val="center"/>
              <w:rPr>
                <w:rFonts w:ascii="宋体" w:hAnsi="宋体"/>
                <w:b/>
                <w:szCs w:val="21"/>
              </w:rPr>
            </w:pPr>
            <w:r>
              <w:rPr>
                <w:rFonts w:hint="eastAsia" w:ascii="宋体" w:hAnsi="宋体"/>
                <w:b/>
                <w:szCs w:val="21"/>
              </w:rPr>
              <w:t>序号</w:t>
            </w:r>
          </w:p>
        </w:tc>
        <w:tc>
          <w:tcPr>
            <w:tcW w:w="2865" w:type="dxa"/>
            <w:vAlign w:val="center"/>
          </w:tcPr>
          <w:p>
            <w:pPr>
              <w:spacing w:line="288" w:lineRule="auto"/>
              <w:jc w:val="center"/>
              <w:rPr>
                <w:rFonts w:ascii="宋体" w:hAnsi="宋体"/>
                <w:b/>
                <w:szCs w:val="21"/>
              </w:rPr>
            </w:pPr>
            <w:r>
              <w:rPr>
                <w:rFonts w:hint="eastAsia" w:ascii="宋体" w:hAnsi="宋体"/>
                <w:b/>
                <w:szCs w:val="21"/>
              </w:rPr>
              <w:t>计费项目</w:t>
            </w:r>
          </w:p>
        </w:tc>
        <w:tc>
          <w:tcPr>
            <w:tcW w:w="1505" w:type="dxa"/>
            <w:vAlign w:val="center"/>
          </w:tcPr>
          <w:p>
            <w:pPr>
              <w:spacing w:line="288" w:lineRule="auto"/>
              <w:jc w:val="center"/>
              <w:rPr>
                <w:rFonts w:ascii="宋体" w:hAnsi="宋体"/>
                <w:b/>
                <w:szCs w:val="21"/>
              </w:rPr>
            </w:pPr>
            <w:r>
              <w:rPr>
                <w:rFonts w:hint="eastAsia" w:ascii="宋体" w:hAnsi="宋体"/>
                <w:b/>
                <w:szCs w:val="21"/>
              </w:rPr>
              <w:t>金额（元）</w:t>
            </w:r>
          </w:p>
        </w:tc>
        <w:tc>
          <w:tcPr>
            <w:tcW w:w="3567" w:type="dxa"/>
            <w:vAlign w:val="center"/>
          </w:tcPr>
          <w:p>
            <w:pPr>
              <w:spacing w:line="288"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88" w:type="dxa"/>
            <w:vAlign w:val="center"/>
          </w:tcPr>
          <w:p>
            <w:pPr>
              <w:spacing w:line="288" w:lineRule="auto"/>
              <w:jc w:val="center"/>
              <w:rPr>
                <w:rFonts w:ascii="宋体" w:hAnsi="宋体" w:cs="宋体"/>
                <w:szCs w:val="21"/>
              </w:rPr>
            </w:pPr>
            <w:r>
              <w:rPr>
                <w:rFonts w:hint="eastAsia" w:ascii="宋体" w:hAnsi="宋体" w:cs="宋体"/>
                <w:szCs w:val="21"/>
              </w:rPr>
              <w:t>1</w:t>
            </w:r>
          </w:p>
        </w:tc>
        <w:tc>
          <w:tcPr>
            <w:tcW w:w="2865" w:type="dxa"/>
            <w:vAlign w:val="center"/>
          </w:tcPr>
          <w:p>
            <w:pPr>
              <w:spacing w:line="288" w:lineRule="auto"/>
              <w:rPr>
                <w:rFonts w:ascii="宋体" w:hAnsi="宋体"/>
                <w:szCs w:val="21"/>
              </w:rPr>
            </w:pPr>
            <w:r>
              <w:rPr>
                <w:rFonts w:hint="eastAsia" w:ascii="宋体" w:hAnsi="宋体"/>
                <w:szCs w:val="21"/>
              </w:rPr>
              <w:t>工程设计费投标总报价</w:t>
            </w:r>
          </w:p>
        </w:tc>
        <w:tc>
          <w:tcPr>
            <w:tcW w:w="1505" w:type="dxa"/>
            <w:vAlign w:val="center"/>
          </w:tcPr>
          <w:p>
            <w:pPr>
              <w:spacing w:line="288" w:lineRule="auto"/>
              <w:rPr>
                <w:rFonts w:ascii="宋体" w:hAnsi="宋体"/>
                <w:szCs w:val="21"/>
              </w:rPr>
            </w:pPr>
          </w:p>
        </w:tc>
        <w:tc>
          <w:tcPr>
            <w:tcW w:w="3567" w:type="dxa"/>
            <w:vAlign w:val="center"/>
          </w:tcPr>
          <w:p>
            <w:pPr>
              <w:spacing w:line="288" w:lineRule="auto"/>
              <w:ind w:firstLine="37" w:firstLineChars="18"/>
              <w:rPr>
                <w:rFonts w:ascii="宋体" w:hAnsi="宋体" w:cs="宋体"/>
                <w:b/>
                <w:szCs w:val="21"/>
              </w:rPr>
            </w:pPr>
            <w:r>
              <w:rPr>
                <w:rFonts w:hint="eastAsia" w:ascii="宋体" w:hAnsi="宋体" w:cs="宋体"/>
                <w:szCs w:val="21"/>
              </w:rPr>
              <w:t>取自附件（1）《工程设计费计算表》一、设计费第（1）项，</w:t>
            </w:r>
            <w:r>
              <w:rPr>
                <w:rFonts w:hint="eastAsia" w:ascii="宋体" w:hAnsi="宋体" w:cs="宋体"/>
                <w:bCs/>
                <w:szCs w:val="21"/>
              </w:rPr>
              <w:t>对应报价金额不得超过</w:t>
            </w:r>
            <w:r>
              <w:rPr>
                <w:rFonts w:hint="eastAsia" w:ascii="宋体" w:hAnsi="宋体" w:cs="宋体"/>
                <w:szCs w:val="21"/>
              </w:rPr>
              <w:t>工程设计费</w:t>
            </w:r>
            <w:r>
              <w:rPr>
                <w:rFonts w:hint="eastAsia" w:ascii="宋体" w:hAnsi="宋体" w:cs="宋体"/>
                <w:bCs/>
                <w:szCs w:val="21"/>
              </w:rPr>
              <w:t>最高投标限价315.1124万元。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88" w:type="dxa"/>
            <w:vAlign w:val="center"/>
          </w:tcPr>
          <w:p>
            <w:pPr>
              <w:spacing w:line="288" w:lineRule="auto"/>
              <w:jc w:val="center"/>
              <w:rPr>
                <w:rFonts w:ascii="宋体" w:hAnsi="宋体" w:cs="宋体"/>
                <w:szCs w:val="21"/>
              </w:rPr>
            </w:pPr>
            <w:r>
              <w:rPr>
                <w:rFonts w:hint="eastAsia" w:ascii="宋体" w:hAnsi="宋体" w:cs="宋体"/>
                <w:szCs w:val="21"/>
              </w:rPr>
              <w:t>2</w:t>
            </w:r>
          </w:p>
        </w:tc>
        <w:tc>
          <w:tcPr>
            <w:tcW w:w="2865" w:type="dxa"/>
            <w:vAlign w:val="center"/>
          </w:tcPr>
          <w:p>
            <w:pPr>
              <w:spacing w:line="288" w:lineRule="auto"/>
              <w:rPr>
                <w:rFonts w:ascii="宋体" w:hAnsi="宋体"/>
                <w:szCs w:val="21"/>
              </w:rPr>
            </w:pPr>
            <w:r>
              <w:rPr>
                <w:rFonts w:hint="eastAsia" w:ascii="宋体" w:hAnsi="宋体" w:cs="宋体"/>
                <w:szCs w:val="21"/>
              </w:rPr>
              <w:t>工程勘察费投标报价</w:t>
            </w:r>
          </w:p>
        </w:tc>
        <w:tc>
          <w:tcPr>
            <w:tcW w:w="1505" w:type="dxa"/>
            <w:vAlign w:val="center"/>
          </w:tcPr>
          <w:p>
            <w:pPr>
              <w:spacing w:line="288" w:lineRule="auto"/>
              <w:rPr>
                <w:rFonts w:ascii="宋体" w:hAnsi="宋体"/>
                <w:szCs w:val="21"/>
              </w:rPr>
            </w:pPr>
          </w:p>
        </w:tc>
        <w:tc>
          <w:tcPr>
            <w:tcW w:w="3567" w:type="dxa"/>
            <w:vAlign w:val="center"/>
          </w:tcPr>
          <w:p>
            <w:pPr>
              <w:spacing w:line="288" w:lineRule="auto"/>
              <w:rPr>
                <w:rFonts w:ascii="宋体" w:hAnsi="宋体" w:cs="宋体"/>
                <w:szCs w:val="21"/>
              </w:rPr>
            </w:pPr>
            <w:r>
              <w:rPr>
                <w:rFonts w:hint="eastAsia" w:ascii="宋体" w:hAnsi="宋体" w:cs="宋体"/>
                <w:szCs w:val="21"/>
              </w:rPr>
              <w:t>取自附件（2）《工程勘察费计算表》第（2）项，</w:t>
            </w:r>
            <w:r>
              <w:rPr>
                <w:rFonts w:hint="eastAsia" w:ascii="宋体" w:hAnsi="宋体" w:cs="宋体"/>
                <w:bCs/>
                <w:szCs w:val="21"/>
              </w:rPr>
              <w:t>对应报价金额不得超过</w:t>
            </w:r>
            <w:r>
              <w:rPr>
                <w:rFonts w:hint="eastAsia" w:ascii="宋体" w:hAnsi="宋体" w:cs="宋体"/>
                <w:szCs w:val="21"/>
              </w:rPr>
              <w:t>工程勘察费</w:t>
            </w:r>
            <w:r>
              <w:rPr>
                <w:rFonts w:hint="eastAsia" w:ascii="宋体" w:hAnsi="宋体" w:cs="宋体"/>
                <w:bCs/>
                <w:szCs w:val="21"/>
              </w:rPr>
              <w:t>最高投标限价42.36万元。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88" w:type="dxa"/>
            <w:vAlign w:val="center"/>
          </w:tcPr>
          <w:p>
            <w:pPr>
              <w:spacing w:line="288" w:lineRule="auto"/>
              <w:jc w:val="center"/>
              <w:rPr>
                <w:rFonts w:ascii="宋体" w:hAnsi="宋体" w:cs="宋体"/>
                <w:szCs w:val="21"/>
              </w:rPr>
            </w:pPr>
            <w:r>
              <w:rPr>
                <w:rFonts w:hint="eastAsia" w:ascii="宋体" w:hAnsi="宋体" w:cs="宋体"/>
                <w:szCs w:val="21"/>
              </w:rPr>
              <w:t>3</w:t>
            </w:r>
          </w:p>
        </w:tc>
        <w:tc>
          <w:tcPr>
            <w:tcW w:w="2865" w:type="dxa"/>
            <w:vAlign w:val="center"/>
          </w:tcPr>
          <w:p>
            <w:pPr>
              <w:spacing w:line="288" w:lineRule="auto"/>
              <w:rPr>
                <w:rFonts w:ascii="宋体" w:hAnsi="宋体" w:cs="宋体"/>
                <w:szCs w:val="21"/>
              </w:rPr>
            </w:pPr>
            <w:r>
              <w:rPr>
                <w:rFonts w:cs="Calibri"/>
                <w:szCs w:val="21"/>
                <w:lang w:bidi="ar"/>
              </w:rPr>
              <w:t>BIM技术</w:t>
            </w:r>
            <w:r>
              <w:rPr>
                <w:rFonts w:hint="eastAsia" w:ascii="宋体" w:hAnsi="宋体" w:cs="宋体"/>
                <w:bCs/>
                <w:szCs w:val="21"/>
                <w:lang w:bidi="ar"/>
              </w:rPr>
              <w:t>应用</w:t>
            </w:r>
            <w:r>
              <w:rPr>
                <w:rFonts w:cs="Calibri"/>
                <w:szCs w:val="21"/>
                <w:lang w:bidi="ar"/>
              </w:rPr>
              <w:t>费</w:t>
            </w:r>
            <w:r>
              <w:rPr>
                <w:rFonts w:hint="eastAsia" w:ascii="宋体" w:hAnsi="宋体" w:cs="宋体"/>
                <w:szCs w:val="21"/>
                <w:lang w:bidi="ar"/>
              </w:rPr>
              <w:t>投标报价</w:t>
            </w:r>
          </w:p>
        </w:tc>
        <w:tc>
          <w:tcPr>
            <w:tcW w:w="1505" w:type="dxa"/>
            <w:vAlign w:val="center"/>
          </w:tcPr>
          <w:p>
            <w:pPr>
              <w:spacing w:line="288" w:lineRule="auto"/>
              <w:rPr>
                <w:rFonts w:ascii="宋体" w:hAnsi="宋体"/>
                <w:szCs w:val="21"/>
              </w:rPr>
            </w:pPr>
          </w:p>
        </w:tc>
        <w:tc>
          <w:tcPr>
            <w:tcW w:w="3567" w:type="dxa"/>
            <w:vAlign w:val="center"/>
          </w:tcPr>
          <w:p>
            <w:pPr>
              <w:spacing w:line="288" w:lineRule="auto"/>
              <w:rPr>
                <w:rFonts w:ascii="宋体" w:hAnsi="宋体" w:cs="宋体"/>
                <w:szCs w:val="21"/>
              </w:rPr>
            </w:pPr>
            <w:r>
              <w:rPr>
                <w:rFonts w:hint="eastAsia" w:ascii="宋体" w:hAnsi="宋体" w:cs="宋体"/>
                <w:szCs w:val="21"/>
                <w:lang w:bidi="ar"/>
              </w:rPr>
              <w:t>取自附件</w:t>
            </w:r>
            <w:r>
              <w:rPr>
                <w:rFonts w:hint="eastAsia" w:cs="Calibri"/>
                <w:szCs w:val="21"/>
                <w:lang w:bidi="ar"/>
              </w:rPr>
              <w:t>（3）</w:t>
            </w:r>
            <w:r>
              <w:rPr>
                <w:rFonts w:hint="eastAsia" w:ascii="宋体" w:hAnsi="宋体" w:cs="宋体"/>
                <w:szCs w:val="21"/>
                <w:lang w:bidi="ar"/>
              </w:rPr>
              <w:t>《</w:t>
            </w:r>
            <w:r>
              <w:rPr>
                <w:rFonts w:cs="Calibri"/>
                <w:szCs w:val="21"/>
                <w:lang w:bidi="ar"/>
              </w:rPr>
              <w:t>BIM技术</w:t>
            </w:r>
            <w:r>
              <w:rPr>
                <w:rFonts w:hint="eastAsia" w:ascii="宋体" w:hAnsi="宋体" w:cs="宋体"/>
                <w:bCs/>
                <w:szCs w:val="21"/>
                <w:lang w:bidi="ar"/>
              </w:rPr>
              <w:t>应用</w:t>
            </w:r>
            <w:r>
              <w:rPr>
                <w:rFonts w:cs="Calibri"/>
                <w:szCs w:val="21"/>
                <w:lang w:bidi="ar"/>
              </w:rPr>
              <w:t>费</w:t>
            </w:r>
            <w:r>
              <w:rPr>
                <w:rFonts w:hint="eastAsia" w:ascii="宋体" w:hAnsi="宋体" w:cs="宋体"/>
                <w:szCs w:val="21"/>
                <w:lang w:bidi="ar"/>
              </w:rPr>
              <w:t>计算表》第（</w:t>
            </w:r>
            <w:r>
              <w:rPr>
                <w:rFonts w:cs="Calibri"/>
                <w:szCs w:val="21"/>
                <w:lang w:bidi="ar"/>
              </w:rPr>
              <w:t>3</w:t>
            </w:r>
            <w:r>
              <w:rPr>
                <w:rFonts w:hint="eastAsia" w:ascii="宋体" w:hAnsi="宋体" w:cs="宋体"/>
                <w:szCs w:val="21"/>
                <w:lang w:bidi="ar"/>
              </w:rPr>
              <w:t>）项，不得超过</w:t>
            </w:r>
            <w:r>
              <w:rPr>
                <w:rFonts w:cs="Calibri"/>
                <w:szCs w:val="21"/>
                <w:lang w:bidi="ar"/>
              </w:rPr>
              <w:t>BIM技术费</w:t>
            </w:r>
            <w:r>
              <w:rPr>
                <w:rFonts w:hint="eastAsia" w:ascii="宋体" w:hAnsi="宋体" w:cs="宋体"/>
                <w:bCs/>
                <w:szCs w:val="21"/>
              </w:rPr>
              <w:t>最高投标限价36.93万元</w:t>
            </w:r>
            <w:r>
              <w:rPr>
                <w:rFonts w:hint="eastAsia" w:ascii="宋体" w:hAnsi="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88" w:type="dxa"/>
            <w:vAlign w:val="center"/>
          </w:tcPr>
          <w:p>
            <w:pPr>
              <w:spacing w:line="288" w:lineRule="auto"/>
              <w:jc w:val="center"/>
              <w:rPr>
                <w:rFonts w:ascii="宋体" w:hAnsi="宋体" w:cs="宋体"/>
                <w:szCs w:val="21"/>
              </w:rPr>
            </w:pPr>
            <w:r>
              <w:rPr>
                <w:rFonts w:hint="eastAsia" w:ascii="宋体" w:hAnsi="宋体" w:cs="宋体"/>
                <w:szCs w:val="21"/>
              </w:rPr>
              <w:t>4</w:t>
            </w:r>
          </w:p>
        </w:tc>
        <w:tc>
          <w:tcPr>
            <w:tcW w:w="2865" w:type="dxa"/>
            <w:vAlign w:val="center"/>
          </w:tcPr>
          <w:p>
            <w:pPr>
              <w:spacing w:line="288" w:lineRule="auto"/>
              <w:rPr>
                <w:rFonts w:ascii="宋体" w:hAnsi="宋体"/>
                <w:szCs w:val="21"/>
              </w:rPr>
            </w:pPr>
            <w:r>
              <w:rPr>
                <w:rFonts w:hint="eastAsia" w:ascii="宋体" w:hAnsi="宋体" w:cs="宋体"/>
                <w:szCs w:val="21"/>
              </w:rPr>
              <w:t>工程勘察设计费投标总报价</w:t>
            </w:r>
          </w:p>
        </w:tc>
        <w:tc>
          <w:tcPr>
            <w:tcW w:w="1505" w:type="dxa"/>
            <w:vAlign w:val="center"/>
          </w:tcPr>
          <w:p>
            <w:pPr>
              <w:spacing w:line="288" w:lineRule="auto"/>
              <w:rPr>
                <w:rFonts w:ascii="宋体" w:hAnsi="宋体"/>
                <w:szCs w:val="21"/>
              </w:rPr>
            </w:pPr>
          </w:p>
        </w:tc>
        <w:tc>
          <w:tcPr>
            <w:tcW w:w="3567" w:type="dxa"/>
            <w:vAlign w:val="center"/>
          </w:tcPr>
          <w:p>
            <w:pPr>
              <w:spacing w:line="288" w:lineRule="auto"/>
              <w:rPr>
                <w:rFonts w:ascii="宋体" w:hAnsi="宋体" w:cs="宋体"/>
                <w:szCs w:val="21"/>
              </w:rPr>
            </w:pPr>
            <w:r>
              <w:rPr>
                <w:rFonts w:hint="eastAsia" w:ascii="宋体" w:hAnsi="宋体" w:cs="宋体"/>
                <w:bCs/>
                <w:szCs w:val="21"/>
              </w:rPr>
              <w:t>（4）=（1）+（2）+（3），对应报价金额不得超过最高投标限价</w:t>
            </w:r>
            <w:r>
              <w:rPr>
                <w:rFonts w:hint="eastAsia" w:ascii="宋体" w:hAnsi="宋体" w:cs="宋体"/>
                <w:bCs/>
                <w:szCs w:val="21"/>
                <w:u w:val="single"/>
              </w:rPr>
              <w:t xml:space="preserve">    </w:t>
            </w:r>
            <w:r>
              <w:rPr>
                <w:rFonts w:hint="eastAsia" w:ascii="宋体" w:hAnsi="宋体" w:cs="宋体"/>
                <w:bCs/>
                <w:szCs w:val="21"/>
              </w:rPr>
              <w:t>394.4024万元</w:t>
            </w:r>
            <w:r>
              <w:rPr>
                <w:rFonts w:hint="eastAsia" w:ascii="宋体" w:hAnsi="宋体" w:cs="宋体"/>
              </w:rPr>
              <w:t>。</w:t>
            </w:r>
          </w:p>
        </w:tc>
      </w:tr>
    </w:tbl>
    <w:p>
      <w:pPr>
        <w:spacing w:line="360" w:lineRule="auto"/>
        <w:ind w:firstLine="422" w:firstLineChars="200"/>
        <w:rPr>
          <w:rFonts w:ascii="宋体" w:hAnsi="宋体"/>
          <w:dstrike/>
          <w:szCs w:val="21"/>
        </w:rPr>
      </w:pPr>
      <w:r>
        <w:rPr>
          <w:rFonts w:hint="eastAsia" w:ascii="宋体" w:hAnsi="宋体"/>
          <w:b/>
        </w:rPr>
        <w:t>注：</w:t>
      </w:r>
      <w:r>
        <w:rPr>
          <w:rFonts w:ascii="宋体" w:hAnsi="宋体"/>
        </w:rPr>
        <w:t xml:space="preserve"> </w:t>
      </w:r>
    </w:p>
    <w:p>
      <w:pPr>
        <w:spacing w:line="360" w:lineRule="auto"/>
        <w:ind w:firstLine="840" w:firstLineChars="400"/>
        <w:rPr>
          <w:rFonts w:ascii="宋体" w:hAnsi="宋体"/>
          <w:szCs w:val="21"/>
        </w:rPr>
      </w:pPr>
      <w:r>
        <w:rPr>
          <w:rFonts w:ascii="宋体" w:hAnsi="宋体"/>
          <w:szCs w:val="21"/>
        </w:rPr>
        <w:t>1</w:t>
      </w:r>
      <w:r>
        <w:rPr>
          <w:rFonts w:hint="eastAsia" w:ascii="宋体" w:hAnsi="宋体"/>
          <w:szCs w:val="21"/>
        </w:rPr>
        <w:t>、经算术复核的投标人报价与其投标报价不一致时，按就低不就高原则确定其最终报价。如修正后的投标报价超出相应的最高投标限价，则由评标委员作废标处理。</w:t>
      </w:r>
    </w:p>
    <w:p>
      <w:pPr>
        <w:spacing w:line="360" w:lineRule="auto"/>
        <w:ind w:firstLine="735" w:firstLineChars="350"/>
        <w:rPr>
          <w:rFonts w:ascii="宋体" w:hAnsi="宋体"/>
          <w:b/>
          <w:bCs/>
          <w:sz w:val="24"/>
        </w:rPr>
      </w:pPr>
      <w:r>
        <w:rPr>
          <w:rFonts w:ascii="宋体" w:hAnsi="宋体"/>
          <w:szCs w:val="21"/>
        </w:rPr>
        <w:t>2</w:t>
      </w:r>
      <w:r>
        <w:rPr>
          <w:rFonts w:hint="eastAsia" w:ascii="宋体" w:hAnsi="宋体"/>
          <w:szCs w:val="21"/>
        </w:rPr>
        <w:t>、按上述修正错误的原则及方法调整或修正投标文件的投标报价，调整后的投标报价对投标人起约束作用。如果投标人不接受修正后的报价，则取消其中标资格。</w:t>
      </w:r>
    </w:p>
    <w:p/>
    <w:p>
      <w:pPr>
        <w:widowControl/>
        <w:jc w:val="left"/>
        <w:rPr>
          <w:rFonts w:ascii="宋体" w:hAnsi="宋体"/>
          <w:b/>
          <w:bCs/>
        </w:rPr>
      </w:pPr>
      <w:r>
        <w:br w:type="page"/>
      </w:r>
      <w:r>
        <w:rPr>
          <w:rFonts w:hint="eastAsia" w:ascii="宋体" w:hAnsi="宋体"/>
          <w:b/>
          <w:bCs/>
        </w:rPr>
        <w:t>附件（1）：工程设计费计算表</w:t>
      </w:r>
    </w:p>
    <w:p>
      <w:pPr>
        <w:rPr>
          <w:rFonts w:ascii="宋体" w:hAnsi="宋体"/>
          <w:b/>
          <w:bCs/>
        </w:rPr>
      </w:pPr>
    </w:p>
    <w:p>
      <w:pPr>
        <w:jc w:val="center"/>
        <w:outlineLvl w:val="0"/>
        <w:rPr>
          <w:rFonts w:ascii="宋体" w:hAnsi="宋体"/>
          <w:b/>
          <w:bCs/>
          <w:sz w:val="32"/>
          <w:szCs w:val="32"/>
        </w:rPr>
      </w:pPr>
      <w:bookmarkStart w:id="32" w:name="_Toc26136"/>
      <w:bookmarkStart w:id="33" w:name="_Toc28664"/>
      <w:r>
        <w:rPr>
          <w:rFonts w:hint="eastAsia" w:ascii="宋体" w:hAnsi="宋体"/>
          <w:b/>
          <w:bCs/>
          <w:sz w:val="32"/>
          <w:szCs w:val="32"/>
        </w:rPr>
        <w:t>工程设计费计算表</w:t>
      </w:r>
      <w:bookmarkEnd w:id="32"/>
      <w:bookmarkEnd w:id="3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71"/>
        <w:gridCol w:w="1262"/>
        <w:gridCol w:w="1416"/>
        <w:gridCol w:w="85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序号</w:t>
            </w:r>
          </w:p>
        </w:tc>
        <w:tc>
          <w:tcPr>
            <w:tcW w:w="217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费用名称</w:t>
            </w:r>
          </w:p>
        </w:tc>
        <w:tc>
          <w:tcPr>
            <w:tcW w:w="1262" w:type="dxa"/>
            <w:tcBorders>
              <w:top w:val="single" w:color="auto" w:sz="4" w:space="0"/>
              <w:left w:val="nil"/>
              <w:bottom w:val="single" w:color="auto" w:sz="4" w:space="0"/>
              <w:right w:val="single" w:color="auto" w:sz="4" w:space="0"/>
            </w:tcBorders>
            <w:vAlign w:val="center"/>
          </w:tcPr>
          <w:p>
            <w:pPr>
              <w:pStyle w:val="39"/>
              <w:spacing w:line="360" w:lineRule="auto"/>
              <w:jc w:val="center"/>
              <w:rPr>
                <w:rFonts w:cs="Calibri"/>
              </w:rPr>
            </w:pPr>
            <w:r>
              <w:rPr>
                <w:rFonts w:hint="eastAsia"/>
                <w:bCs/>
              </w:rPr>
              <w:t>本次招标项目的工程费限额（万元）</w:t>
            </w:r>
          </w:p>
        </w:tc>
        <w:tc>
          <w:tcPr>
            <w:tcW w:w="14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szCs w:val="21"/>
              </w:rPr>
              <w:t>投标报价</w:t>
            </w:r>
            <w:r>
              <w:rPr>
                <w:rFonts w:hint="eastAsia" w:ascii="宋体" w:hAnsi="宋体" w:cs="宋体"/>
                <w:szCs w:val="21"/>
              </w:rPr>
              <w:t>金额</w:t>
            </w:r>
          </w:p>
          <w:p>
            <w:pPr>
              <w:spacing w:line="360" w:lineRule="auto"/>
              <w:jc w:val="center"/>
              <w:rPr>
                <w:rFonts w:ascii="宋体" w:hAnsi="宋体" w:cs="Calibri"/>
                <w:szCs w:val="21"/>
              </w:rPr>
            </w:pPr>
            <w:r>
              <w:rPr>
                <w:rFonts w:hint="eastAsia" w:ascii="宋体" w:hAnsi="宋体" w:cs="宋体"/>
                <w:szCs w:val="21"/>
              </w:rPr>
              <w:t>（元）</w:t>
            </w:r>
          </w:p>
        </w:tc>
        <w:tc>
          <w:tcPr>
            <w:tcW w:w="855" w:type="dxa"/>
            <w:tcBorders>
              <w:top w:val="single" w:color="auto" w:sz="4" w:space="0"/>
              <w:left w:val="nil"/>
              <w:bottom w:val="single" w:color="auto" w:sz="4" w:space="0"/>
              <w:right w:val="single" w:color="auto" w:sz="4" w:space="0"/>
            </w:tcBorders>
            <w:vAlign w:val="center"/>
          </w:tcPr>
          <w:p>
            <w:pPr>
              <w:pStyle w:val="39"/>
              <w:spacing w:line="360" w:lineRule="auto"/>
              <w:jc w:val="center"/>
              <w:rPr>
                <w:u w:val="single"/>
              </w:rPr>
            </w:pPr>
            <w:r>
              <w:rPr>
                <w:rFonts w:hint="eastAsia"/>
              </w:rPr>
              <w:t>费率（%）</w:t>
            </w:r>
          </w:p>
        </w:tc>
        <w:tc>
          <w:tcPr>
            <w:tcW w:w="2099" w:type="dxa"/>
            <w:tcBorders>
              <w:top w:val="single" w:color="auto" w:sz="4" w:space="0"/>
              <w:left w:val="nil"/>
              <w:bottom w:val="single" w:color="auto" w:sz="4" w:space="0"/>
              <w:right w:val="single" w:color="auto" w:sz="4" w:space="0"/>
            </w:tcBorders>
            <w:vAlign w:val="center"/>
          </w:tcPr>
          <w:p>
            <w:pPr>
              <w:pStyle w:val="39"/>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1</w:t>
            </w:r>
          </w:p>
        </w:tc>
        <w:tc>
          <w:tcPr>
            <w:tcW w:w="21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Calibri"/>
                <w:szCs w:val="21"/>
              </w:rPr>
            </w:pPr>
            <w:r>
              <w:rPr>
                <w:rFonts w:hint="eastAsia" w:ascii="宋体" w:hAnsi="宋体" w:cs="宋体"/>
                <w:szCs w:val="21"/>
              </w:rPr>
              <w:t>基本设计费（即初步设计及施工图设计费）</w:t>
            </w:r>
          </w:p>
        </w:tc>
        <w:tc>
          <w:tcPr>
            <w:tcW w:w="12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ascii="宋体" w:hAnsi="宋体" w:cs="Calibri"/>
                <w:szCs w:val="21"/>
              </w:rPr>
              <w:t>/</w:t>
            </w:r>
          </w:p>
        </w:tc>
        <w:tc>
          <w:tcPr>
            <w:tcW w:w="14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85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ascii="宋体" w:hAnsi="宋体" w:cs="Calibri"/>
                <w:szCs w:val="21"/>
              </w:rPr>
              <w:t>/</w:t>
            </w:r>
          </w:p>
        </w:tc>
        <w:tc>
          <w:tcPr>
            <w:tcW w:w="2099" w:type="dxa"/>
            <w:vMerge w:val="restart"/>
            <w:tcBorders>
              <w:top w:val="single" w:color="auto" w:sz="4" w:space="0"/>
              <w:left w:val="nil"/>
              <w:right w:val="single" w:color="auto" w:sz="4" w:space="0"/>
            </w:tcBorders>
            <w:vAlign w:val="center"/>
          </w:tcPr>
          <w:p>
            <w:pPr>
              <w:numPr>
                <w:ilvl w:val="255"/>
                <w:numId w:val="0"/>
              </w:numPr>
              <w:spacing w:line="360" w:lineRule="auto"/>
              <w:rPr>
                <w:rFonts w:ascii="宋体" w:hAnsi="宋体" w:cs="Calibri"/>
                <w:b/>
                <w:bCs/>
                <w:szCs w:val="21"/>
                <w:u w:val="single"/>
              </w:rPr>
            </w:pPr>
            <w:r>
              <w:rPr>
                <w:rFonts w:hint="eastAsia" w:ascii="宋体" w:hAnsi="宋体" w:cs="宋体"/>
                <w:szCs w:val="21"/>
              </w:rPr>
              <w:t>1.对应报价金额不得超过工程设计费最高投标限价为315.1124万元，其中：初步设计及施工图设计费最高投标限价为287.6224万元，竣工图编制费最高投标限价为27.49万元。</w:t>
            </w:r>
          </w:p>
          <w:p>
            <w:pPr>
              <w:numPr>
                <w:ilvl w:val="255"/>
                <w:numId w:val="0"/>
              </w:numPr>
              <w:spacing w:line="360" w:lineRule="auto"/>
              <w:rPr>
                <w:rFonts w:ascii="宋体" w:hAnsi="宋体" w:cs="Calibri"/>
                <w:b/>
                <w:bCs/>
                <w:szCs w:val="21"/>
                <w:u w:val="single"/>
              </w:rPr>
            </w:pPr>
            <w:r>
              <w:rPr>
                <w:rFonts w:hint="eastAsia" w:ascii="宋体" w:hAnsi="宋体" w:cs="Calibri"/>
                <w:szCs w:val="21"/>
                <w:u w:val="single"/>
              </w:rPr>
              <w:t xml:space="preserve">2.本次招标项目的建安工程费限额为     </w:t>
            </w:r>
            <w:r>
              <w:rPr>
                <w:rFonts w:hint="eastAsia" w:ascii="宋体" w:hAnsi="宋体" w:cs="宋体"/>
                <w:b/>
                <w:bCs/>
                <w:sz w:val="24"/>
                <w:u w:val="single"/>
              </w:rPr>
              <w:t>11480.75</w:t>
            </w:r>
            <w:r>
              <w:rPr>
                <w:rFonts w:hint="eastAsia" w:ascii="宋体" w:hAnsi="宋体" w:cs="Calibri"/>
                <w:szCs w:val="21"/>
                <w:u w:val="single"/>
              </w:rPr>
              <w:t>万元。</w:t>
            </w:r>
          </w:p>
          <w:p>
            <w:pPr>
              <w:pStyle w:val="12"/>
              <w:numPr>
                <w:ilvl w:val="255"/>
                <w:numId w:val="0"/>
              </w:numPr>
              <w:rPr>
                <w:lang w:eastAsia="zh-CN"/>
              </w:rPr>
            </w:pPr>
            <w:r>
              <w:rPr>
                <w:rFonts w:hint="eastAsia" w:hAnsi="宋体" w:eastAsia="宋体" w:cs="宋体"/>
                <w:bCs/>
                <w:spacing w:val="4"/>
                <w:sz w:val="21"/>
                <w:szCs w:val="21"/>
                <w:u w:val="single"/>
                <w:lang w:eastAsia="zh-CN" w:bidi="ar"/>
              </w:rPr>
              <w:t>3.工程设计费费率=【工程设计费÷</w:t>
            </w:r>
            <w:r>
              <w:rPr>
                <w:rFonts w:hint="eastAsia" w:hAnsi="宋体" w:eastAsia="宋体" w:cs="宋体"/>
                <w:bCs/>
                <w:sz w:val="21"/>
                <w:szCs w:val="21"/>
                <w:u w:val="single"/>
                <w:lang w:eastAsia="zh-CN" w:bidi="ar"/>
              </w:rPr>
              <w:t>本次招标项目的</w:t>
            </w:r>
            <w:r>
              <w:rPr>
                <w:rFonts w:hint="eastAsia" w:hAnsi="宋体" w:eastAsia="宋体" w:cs="宋体"/>
                <w:bCs/>
                <w:spacing w:val="4"/>
                <w:sz w:val="21"/>
                <w:szCs w:val="21"/>
                <w:u w:val="single"/>
                <w:lang w:eastAsia="zh-CN" w:bidi="ar"/>
              </w:rPr>
              <w:t>工程费限额】×100%</w:t>
            </w:r>
            <w:r>
              <w:rPr>
                <w:rFonts w:hint="eastAsia" w:hAnsi="宋体" w:eastAsia="宋体" w:cs="宋体"/>
                <w:bCs/>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1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竣工图编制费</w:t>
            </w:r>
          </w:p>
        </w:tc>
        <w:tc>
          <w:tcPr>
            <w:tcW w:w="12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w:t>
            </w:r>
          </w:p>
        </w:tc>
        <w:tc>
          <w:tcPr>
            <w:tcW w:w="14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85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ascii="宋体" w:hAnsi="宋体" w:cs="Calibri"/>
                <w:szCs w:val="21"/>
              </w:rPr>
              <w:t>/</w:t>
            </w:r>
          </w:p>
        </w:tc>
        <w:tc>
          <w:tcPr>
            <w:tcW w:w="2099" w:type="dxa"/>
            <w:vMerge w:val="continue"/>
            <w:tcBorders>
              <w:left w:val="nil"/>
              <w:right w:val="single" w:color="auto" w:sz="4" w:space="0"/>
            </w:tcBorders>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171"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工程设计费</w:t>
            </w:r>
          </w:p>
          <w:p>
            <w:pPr>
              <w:spacing w:line="360" w:lineRule="auto"/>
              <w:jc w:val="left"/>
              <w:rPr>
                <w:rFonts w:ascii="宋体" w:hAnsi="宋体" w:cs="宋体"/>
                <w:szCs w:val="21"/>
              </w:rPr>
            </w:pPr>
            <w:r>
              <w:rPr>
                <w:rFonts w:hint="eastAsia" w:ascii="宋体" w:hAnsi="宋体" w:cs="宋体"/>
                <w:szCs w:val="21"/>
              </w:rPr>
              <w:t>（3）=（1）+（2）</w:t>
            </w:r>
          </w:p>
        </w:tc>
        <w:tc>
          <w:tcPr>
            <w:tcW w:w="1262"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cs="宋体"/>
                <w:b/>
                <w:bCs/>
                <w:sz w:val="24"/>
                <w:u w:val="single"/>
              </w:rPr>
              <w:t>11480.75</w:t>
            </w:r>
          </w:p>
        </w:tc>
        <w:tc>
          <w:tcPr>
            <w:tcW w:w="14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85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099" w:type="dxa"/>
            <w:vMerge w:val="continue"/>
            <w:tcBorders>
              <w:left w:val="nil"/>
              <w:right w:val="single" w:color="auto" w:sz="4" w:space="0"/>
            </w:tcBorders>
            <w:vAlign w:val="center"/>
          </w:tcPr>
          <w:p>
            <w:pPr>
              <w:spacing w:line="360" w:lineRule="auto"/>
              <w:rPr>
                <w:rFonts w:ascii="宋体" w:hAnsi="宋体" w:cs="宋体"/>
                <w:szCs w:val="21"/>
              </w:rPr>
            </w:pPr>
          </w:p>
        </w:tc>
      </w:tr>
    </w:tbl>
    <w:p>
      <w:pPr>
        <w:pStyle w:val="2"/>
        <w:ind w:firstLine="440"/>
        <w:rPr>
          <w:lang w:eastAsia="zh-CN"/>
        </w:rPr>
      </w:pPr>
    </w:p>
    <w:p>
      <w:pPr>
        <w:topLinePunct/>
        <w:adjustRightInd w:val="0"/>
        <w:snapToGrid w:val="0"/>
        <w:spacing w:line="360" w:lineRule="auto"/>
        <w:ind w:firstLine="436" w:firstLineChars="200"/>
        <w:rPr>
          <w:rFonts w:ascii="宋体" w:hAnsi="宋体" w:cs="宋体"/>
          <w:snapToGrid w:val="0"/>
          <w:spacing w:val="4"/>
          <w:kern w:val="0"/>
          <w:szCs w:val="21"/>
        </w:rPr>
      </w:pPr>
      <w:r>
        <w:rPr>
          <w:rFonts w:hint="eastAsia" w:ascii="宋体" w:hAnsi="宋体" w:cs="宋体"/>
          <w:snapToGrid w:val="0"/>
          <w:spacing w:val="4"/>
          <w:kern w:val="0"/>
          <w:szCs w:val="21"/>
        </w:rPr>
        <w:t>注：</w:t>
      </w:r>
      <w:r>
        <w:rPr>
          <w:rFonts w:hint="eastAsia" w:ascii="宋体" w:hAnsi="宋体" w:cs="宋体"/>
          <w:spacing w:val="4"/>
          <w:kern w:val="0"/>
        </w:rPr>
        <w:t xml:space="preserve"> </w:t>
      </w:r>
      <w:r>
        <w:rPr>
          <w:rFonts w:ascii="宋体" w:hAnsi="宋体" w:cs="宋体"/>
          <w:spacing w:val="4"/>
          <w:kern w:val="0"/>
        </w:rPr>
        <w:t>1</w:t>
      </w:r>
      <w:r>
        <w:rPr>
          <w:rFonts w:hint="eastAsia" w:ascii="宋体" w:hAnsi="宋体" w:cs="宋体"/>
          <w:snapToGrid w:val="0"/>
          <w:spacing w:val="4"/>
          <w:kern w:val="0"/>
          <w:szCs w:val="21"/>
        </w:rPr>
        <w:t>、工程设计费的具体结算原则详见合同条款的约定。项目实施过程中，中标的费率不作调整。</w:t>
      </w:r>
    </w:p>
    <w:p>
      <w:pPr>
        <w:topLinePunct/>
        <w:adjustRightInd w:val="0"/>
        <w:snapToGrid w:val="0"/>
        <w:spacing w:line="360" w:lineRule="auto"/>
        <w:ind w:firstLine="436" w:firstLineChars="200"/>
        <w:rPr>
          <w:rFonts w:ascii="宋体" w:hAnsi="宋体" w:cs="宋体"/>
          <w:szCs w:val="21"/>
        </w:rPr>
      </w:pPr>
      <w:r>
        <w:rPr>
          <w:rFonts w:ascii="宋体" w:hAnsi="宋体" w:cs="宋体"/>
          <w:snapToGrid w:val="0"/>
          <w:spacing w:val="4"/>
          <w:kern w:val="0"/>
          <w:szCs w:val="21"/>
        </w:rPr>
        <w:t>2</w:t>
      </w:r>
      <w:r>
        <w:rPr>
          <w:rFonts w:hint="eastAsia" w:ascii="宋体" w:hAnsi="宋体" w:cs="宋体"/>
          <w:snapToGrid w:val="0"/>
          <w:spacing w:val="4"/>
          <w:kern w:val="0"/>
          <w:szCs w:val="21"/>
        </w:rPr>
        <w:t>、经算术复核的投标人报价与其投标报价不一致时，按就低不就高原则确定其最终报价。如修正后</w:t>
      </w:r>
      <w:r>
        <w:rPr>
          <w:rFonts w:hint="eastAsia" w:ascii="宋体" w:hAnsi="宋体" w:cs="宋体"/>
          <w:szCs w:val="21"/>
        </w:rPr>
        <w:t>的投标报价超出相应的最高投标限价，则由评标委员作废标处理。</w:t>
      </w:r>
    </w:p>
    <w:p>
      <w:pPr>
        <w:topLinePunct/>
        <w:adjustRightInd w:val="0"/>
        <w:snapToGrid w:val="0"/>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、按上述修正错误的原则及方法调整或修正投标文件的投标报价，调整后的投标报价对投标人起约束作用。如果投标人不接受修正后的报价，则取消其中标资格。</w:t>
      </w:r>
    </w:p>
    <w:p>
      <w:pPr>
        <w:rPr>
          <w:rFonts w:ascii="宋体" w:hAnsi="宋体"/>
          <w:b/>
          <w:bCs/>
        </w:rPr>
      </w:pPr>
    </w:p>
    <w:p>
      <w:pPr>
        <w:rPr>
          <w:rFonts w:ascii="宋体" w:hAnsi="宋体"/>
          <w:b/>
          <w:bCs/>
        </w:rPr>
        <w:sectPr>
          <w:headerReference r:id="rId10" w:type="default"/>
          <w:footerReference r:id="rId11" w:type="default"/>
          <w:footerReference r:id="rId12" w:type="even"/>
          <w:pgSz w:w="11906" w:h="16838"/>
          <w:pgMar w:top="1440" w:right="1797" w:bottom="1440" w:left="1797" w:header="851" w:footer="992" w:gutter="0"/>
          <w:cols w:space="720" w:num="1"/>
          <w:rtlGutter w:val="1"/>
          <w:docGrid w:type="lines" w:linePitch="312" w:charSpace="0"/>
        </w:sectPr>
      </w:pPr>
    </w:p>
    <w:p>
      <w:pPr>
        <w:rPr>
          <w:rFonts w:ascii="宋体" w:hAnsi="宋体"/>
          <w:b/>
          <w:bCs/>
        </w:rPr>
      </w:pPr>
      <w:r>
        <w:rPr>
          <w:rFonts w:hint="eastAsia" w:ascii="宋体" w:hAnsi="宋体"/>
          <w:b/>
          <w:bCs/>
        </w:rPr>
        <w:t>附件（2）：工程勘察费计算表</w:t>
      </w:r>
    </w:p>
    <w:p>
      <w:pPr>
        <w:jc w:val="center"/>
        <w:rPr>
          <w:rFonts w:ascii="宋体" w:hAnsi="宋体" w:cs="宋体"/>
          <w:b/>
          <w:bCs/>
          <w:sz w:val="32"/>
          <w:szCs w:val="32"/>
        </w:rPr>
      </w:pPr>
      <w:r>
        <w:rPr>
          <w:rFonts w:hint="eastAsia" w:ascii="宋体" w:hAnsi="宋体" w:cs="宋体"/>
          <w:b/>
          <w:bCs/>
          <w:sz w:val="32"/>
          <w:szCs w:val="32"/>
        </w:rPr>
        <w:t>工程勘察费计算表</w:t>
      </w:r>
    </w:p>
    <w:tbl>
      <w:tblPr>
        <w:tblStyle w:val="24"/>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38"/>
        <w:gridCol w:w="1479"/>
        <w:gridCol w:w="1563"/>
        <w:gridCol w:w="161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32" w:type="dxa"/>
            <w:vAlign w:val="center"/>
          </w:tcPr>
          <w:p>
            <w:pPr>
              <w:jc w:val="center"/>
              <w:rPr>
                <w:rFonts w:ascii="宋体" w:hAnsi="宋体" w:cs="宋体"/>
              </w:rPr>
            </w:pPr>
            <w:r>
              <w:rPr>
                <w:rFonts w:hint="eastAsia" w:ascii="宋体" w:hAnsi="宋体" w:cs="宋体"/>
              </w:rPr>
              <w:t>序号</w:t>
            </w:r>
          </w:p>
        </w:tc>
        <w:tc>
          <w:tcPr>
            <w:tcW w:w="1338" w:type="dxa"/>
            <w:vAlign w:val="center"/>
          </w:tcPr>
          <w:p>
            <w:pPr>
              <w:jc w:val="center"/>
              <w:rPr>
                <w:rFonts w:ascii="宋体" w:hAnsi="宋体" w:cs="宋体"/>
              </w:rPr>
            </w:pPr>
            <w:r>
              <w:rPr>
                <w:rFonts w:hint="eastAsia" w:ascii="宋体" w:hAnsi="宋体" w:cs="宋体"/>
              </w:rPr>
              <w:t>勘察费</w:t>
            </w:r>
          </w:p>
        </w:tc>
        <w:tc>
          <w:tcPr>
            <w:tcW w:w="1479" w:type="dxa"/>
            <w:vAlign w:val="center"/>
          </w:tcPr>
          <w:p>
            <w:pPr>
              <w:jc w:val="center"/>
              <w:rPr>
                <w:rFonts w:ascii="宋体" w:hAnsi="宋体" w:cs="宋体"/>
              </w:rPr>
            </w:pPr>
            <w:r>
              <w:rPr>
                <w:rFonts w:hint="eastAsia" w:ascii="宋体" w:hAnsi="宋体" w:cs="宋体"/>
              </w:rPr>
              <w:t>工程量</w:t>
            </w:r>
          </w:p>
          <w:p>
            <w:pPr>
              <w:jc w:val="center"/>
              <w:rPr>
                <w:rFonts w:ascii="宋体" w:hAnsi="宋体" w:cs="宋体"/>
              </w:rPr>
            </w:pPr>
            <w:r>
              <w:rPr>
                <w:rFonts w:hint="eastAsia" w:ascii="宋体" w:hAnsi="宋体" w:cs="宋体"/>
              </w:rPr>
              <w:t>①</w:t>
            </w:r>
          </w:p>
        </w:tc>
        <w:tc>
          <w:tcPr>
            <w:tcW w:w="1563" w:type="dxa"/>
            <w:vAlign w:val="center"/>
          </w:tcPr>
          <w:p>
            <w:pPr>
              <w:jc w:val="center"/>
              <w:rPr>
                <w:rFonts w:ascii="宋体" w:hAnsi="宋体" w:cs="宋体"/>
              </w:rPr>
            </w:pPr>
            <w:r>
              <w:rPr>
                <w:rFonts w:hint="eastAsia" w:ascii="宋体" w:hAnsi="宋体" w:cs="宋体"/>
              </w:rPr>
              <w:t>综合包干单价</w:t>
            </w:r>
          </w:p>
          <w:p>
            <w:pPr>
              <w:jc w:val="center"/>
              <w:rPr>
                <w:rFonts w:ascii="宋体" w:hAnsi="宋体" w:cs="宋体"/>
              </w:rPr>
            </w:pPr>
            <w:r>
              <w:rPr>
                <w:rFonts w:hint="eastAsia" w:ascii="宋体" w:hAnsi="宋体" w:cs="宋体"/>
              </w:rPr>
              <w:t>②</w:t>
            </w:r>
          </w:p>
        </w:tc>
        <w:tc>
          <w:tcPr>
            <w:tcW w:w="1615" w:type="dxa"/>
            <w:vAlign w:val="center"/>
          </w:tcPr>
          <w:p>
            <w:pPr>
              <w:jc w:val="center"/>
              <w:rPr>
                <w:rFonts w:ascii="宋体" w:hAnsi="宋体" w:cs="宋体"/>
              </w:rPr>
            </w:pPr>
            <w:r>
              <w:rPr>
                <w:rFonts w:hint="eastAsia" w:ascii="宋体" w:hAnsi="宋体" w:cs="宋体"/>
              </w:rPr>
              <w:t>总价</w:t>
            </w:r>
          </w:p>
          <w:p>
            <w:pPr>
              <w:jc w:val="center"/>
              <w:rPr>
                <w:rFonts w:ascii="宋体" w:hAnsi="宋体" w:cs="宋体"/>
              </w:rPr>
            </w:pPr>
            <w:r>
              <w:rPr>
                <w:rFonts w:hint="eastAsia" w:ascii="宋体" w:hAnsi="宋体" w:cs="宋体"/>
              </w:rPr>
              <w:t>③=①×②</w:t>
            </w:r>
          </w:p>
        </w:tc>
        <w:tc>
          <w:tcPr>
            <w:tcW w:w="1850" w:type="dxa"/>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32" w:type="dxa"/>
            <w:vAlign w:val="center"/>
          </w:tcPr>
          <w:p>
            <w:pPr>
              <w:jc w:val="center"/>
              <w:rPr>
                <w:rFonts w:ascii="宋体" w:hAnsi="宋体" w:cs="宋体"/>
              </w:rPr>
            </w:pPr>
            <w:r>
              <w:rPr>
                <w:rFonts w:hint="eastAsia" w:ascii="宋体" w:hAnsi="宋体" w:cs="宋体"/>
              </w:rPr>
              <w:t>1</w:t>
            </w:r>
          </w:p>
        </w:tc>
        <w:tc>
          <w:tcPr>
            <w:tcW w:w="1338" w:type="dxa"/>
            <w:vAlign w:val="center"/>
          </w:tcPr>
          <w:p>
            <w:pPr>
              <w:jc w:val="center"/>
              <w:rPr>
                <w:rFonts w:ascii="宋体" w:hAnsi="宋体" w:cs="宋体"/>
              </w:rPr>
            </w:pPr>
            <w:r>
              <w:rPr>
                <w:rFonts w:hint="eastAsia" w:ascii="宋体" w:hAnsi="宋体" w:cs="宋体"/>
              </w:rPr>
              <w:t>岩土工程勘察费</w:t>
            </w:r>
          </w:p>
        </w:tc>
        <w:tc>
          <w:tcPr>
            <w:tcW w:w="1479" w:type="dxa"/>
            <w:vAlign w:val="center"/>
          </w:tcPr>
          <w:p>
            <w:pPr>
              <w:jc w:val="center"/>
              <w:rPr>
                <w:rFonts w:ascii="宋体" w:hAnsi="宋体" w:cs="宋体"/>
              </w:rPr>
            </w:pPr>
            <w:r>
              <w:rPr>
                <w:rFonts w:hint="eastAsia" w:ascii="宋体" w:hAnsi="宋体"/>
                <w:szCs w:val="21"/>
                <w:u w:val="single"/>
              </w:rPr>
              <w:t>2824</w:t>
            </w:r>
            <w:r>
              <w:rPr>
                <w:rFonts w:hint="eastAsia" w:ascii="宋体" w:hAnsi="宋体" w:cs="宋体"/>
              </w:rPr>
              <w:t>米</w:t>
            </w:r>
          </w:p>
        </w:tc>
        <w:tc>
          <w:tcPr>
            <w:tcW w:w="1563" w:type="dxa"/>
            <w:vAlign w:val="center"/>
          </w:tcPr>
          <w:p>
            <w:pPr>
              <w:jc w:val="right"/>
              <w:rPr>
                <w:rFonts w:ascii="宋体" w:hAnsi="宋体" w:cs="宋体"/>
              </w:rPr>
            </w:pPr>
            <w:r>
              <w:rPr>
                <w:rFonts w:hint="eastAsia" w:ascii="宋体" w:hAnsi="宋体" w:cs="宋体"/>
              </w:rPr>
              <w:t>元/米</w:t>
            </w:r>
          </w:p>
        </w:tc>
        <w:tc>
          <w:tcPr>
            <w:tcW w:w="1615" w:type="dxa"/>
            <w:vAlign w:val="center"/>
          </w:tcPr>
          <w:p>
            <w:pPr>
              <w:jc w:val="right"/>
              <w:rPr>
                <w:rFonts w:ascii="宋体" w:hAnsi="宋体" w:cs="宋体"/>
              </w:rPr>
            </w:pPr>
            <w:r>
              <w:rPr>
                <w:rFonts w:hint="eastAsia" w:ascii="宋体" w:hAnsi="宋体" w:cs="宋体"/>
              </w:rPr>
              <w:t>元</w:t>
            </w:r>
          </w:p>
        </w:tc>
        <w:tc>
          <w:tcPr>
            <w:tcW w:w="1850" w:type="dxa"/>
            <w:vAlign w:val="center"/>
          </w:tcPr>
          <w:p>
            <w:pPr>
              <w:jc w:val="left"/>
              <w:rPr>
                <w:rFonts w:ascii="宋体" w:hAnsi="宋体" w:cs="宋体"/>
              </w:rPr>
            </w:pPr>
            <w:r>
              <w:rPr>
                <w:rFonts w:hint="eastAsia" w:ascii="宋体" w:hAnsi="宋体" w:cs="宋体"/>
              </w:rPr>
              <w:t>岩土工程勘察费综合包干单价</w:t>
            </w:r>
            <w:r>
              <w:rPr>
                <w:rFonts w:hint="eastAsia" w:ascii="宋体" w:hAnsi="宋体" w:cs="宋体"/>
                <w:spacing w:val="4"/>
              </w:rPr>
              <w:t>最高投标限价为</w:t>
            </w:r>
            <w:r>
              <w:rPr>
                <w:rFonts w:hint="eastAsia" w:ascii="宋体" w:hAnsi="宋体" w:cs="宋体"/>
                <w:spacing w:val="4"/>
                <w:u w:val="single"/>
              </w:rPr>
              <w:t>150</w:t>
            </w:r>
            <w:r>
              <w:rPr>
                <w:rFonts w:hint="eastAsia" w:ascii="宋体" w:hAnsi="宋体" w:cs="宋体"/>
                <w:spacing w:val="4"/>
              </w:rPr>
              <w:t>元/米</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832" w:type="dxa"/>
            <w:vAlign w:val="center"/>
          </w:tcPr>
          <w:p>
            <w:pPr>
              <w:jc w:val="center"/>
              <w:rPr>
                <w:rFonts w:ascii="宋体" w:hAnsi="宋体" w:cs="宋体"/>
              </w:rPr>
            </w:pPr>
            <w:r>
              <w:rPr>
                <w:rFonts w:hint="eastAsia" w:ascii="宋体" w:hAnsi="宋体" w:cs="宋体"/>
              </w:rPr>
              <w:t>2</w:t>
            </w:r>
          </w:p>
        </w:tc>
        <w:tc>
          <w:tcPr>
            <w:tcW w:w="1338" w:type="dxa"/>
            <w:vAlign w:val="center"/>
          </w:tcPr>
          <w:p>
            <w:pPr>
              <w:jc w:val="center"/>
              <w:rPr>
                <w:rFonts w:ascii="宋体" w:hAnsi="宋体" w:cs="宋体"/>
              </w:rPr>
            </w:pPr>
            <w:r>
              <w:rPr>
                <w:rFonts w:hint="eastAsia" w:ascii="宋体" w:hAnsi="宋体" w:cs="宋体"/>
              </w:rPr>
              <w:t>勘察费</w:t>
            </w:r>
          </w:p>
        </w:tc>
        <w:tc>
          <w:tcPr>
            <w:tcW w:w="1479" w:type="dxa"/>
            <w:vAlign w:val="center"/>
          </w:tcPr>
          <w:p>
            <w:pPr>
              <w:jc w:val="center"/>
              <w:rPr>
                <w:rFonts w:ascii="宋体" w:hAnsi="宋体" w:cs="宋体"/>
              </w:rPr>
            </w:pPr>
            <w:r>
              <w:rPr>
                <w:rFonts w:hint="eastAsia" w:ascii="宋体" w:hAnsi="宋体" w:cs="宋体"/>
              </w:rPr>
              <w:t>/</w:t>
            </w:r>
          </w:p>
        </w:tc>
        <w:tc>
          <w:tcPr>
            <w:tcW w:w="1563" w:type="dxa"/>
            <w:vAlign w:val="center"/>
          </w:tcPr>
          <w:p>
            <w:pPr>
              <w:jc w:val="center"/>
              <w:rPr>
                <w:rFonts w:ascii="宋体" w:hAnsi="宋体" w:cs="宋体"/>
              </w:rPr>
            </w:pPr>
            <w:r>
              <w:rPr>
                <w:rFonts w:hint="eastAsia" w:ascii="宋体" w:hAnsi="宋体" w:cs="宋体"/>
              </w:rPr>
              <w:t>/</w:t>
            </w:r>
          </w:p>
        </w:tc>
        <w:tc>
          <w:tcPr>
            <w:tcW w:w="1615" w:type="dxa"/>
            <w:vAlign w:val="center"/>
          </w:tcPr>
          <w:p>
            <w:pPr>
              <w:jc w:val="right"/>
              <w:rPr>
                <w:rFonts w:ascii="宋体" w:hAnsi="宋体" w:cs="宋体"/>
              </w:rPr>
            </w:pPr>
            <w:r>
              <w:rPr>
                <w:rFonts w:hint="eastAsia" w:ascii="宋体" w:hAnsi="宋体" w:cs="宋体"/>
              </w:rPr>
              <w:t>元</w:t>
            </w:r>
          </w:p>
        </w:tc>
        <w:tc>
          <w:tcPr>
            <w:tcW w:w="1850" w:type="dxa"/>
            <w:vAlign w:val="center"/>
          </w:tcPr>
          <w:p>
            <w:pPr>
              <w:rPr>
                <w:rFonts w:ascii="宋体" w:hAnsi="宋体" w:cs="宋体"/>
              </w:rPr>
            </w:pPr>
            <w:r>
              <w:rPr>
                <w:rFonts w:hint="eastAsia" w:ascii="宋体" w:hAnsi="宋体" w:cs="宋体"/>
                <w:bCs/>
              </w:rPr>
              <w:t>对应报价金额不得超过</w:t>
            </w:r>
            <w:r>
              <w:rPr>
                <w:rFonts w:hint="eastAsia" w:ascii="宋体" w:hAnsi="宋体" w:cs="宋体"/>
                <w:spacing w:val="4"/>
              </w:rPr>
              <w:t>勘察费</w:t>
            </w:r>
            <w:r>
              <w:rPr>
                <w:rFonts w:hint="eastAsia" w:ascii="宋体" w:hAnsi="宋体" w:cs="宋体"/>
                <w:bCs/>
                <w:szCs w:val="21"/>
                <w:lang w:bidi="ar"/>
              </w:rPr>
              <w:t>最高投标限价为</w:t>
            </w:r>
            <w:r>
              <w:rPr>
                <w:rFonts w:hint="eastAsia" w:ascii="宋体" w:hAnsi="宋体" w:cs="宋体"/>
                <w:sz w:val="24"/>
                <w:u w:val="single"/>
              </w:rPr>
              <w:t>42.36</w:t>
            </w:r>
            <w:r>
              <w:rPr>
                <w:rFonts w:hint="eastAsia" w:ascii="宋体" w:hAnsi="宋体" w:cs="宋体"/>
                <w:bCs/>
                <w:szCs w:val="21"/>
                <w:lang w:bidi="ar"/>
              </w:rPr>
              <w:t>万元</w:t>
            </w:r>
            <w:r>
              <w:rPr>
                <w:rFonts w:hint="eastAsia" w:ascii="宋体" w:hAnsi="宋体" w:cs="宋体"/>
                <w:bCs/>
              </w:rPr>
              <w:t>。</w:t>
            </w:r>
          </w:p>
        </w:tc>
      </w:tr>
    </w:tbl>
    <w:p>
      <w:pPr>
        <w:spacing w:line="360" w:lineRule="auto"/>
        <w:rPr>
          <w:rFonts w:ascii="宋体" w:hAnsi="宋体" w:cs="宋体"/>
          <w:spacing w:val="4"/>
        </w:rPr>
      </w:pPr>
      <w:r>
        <w:rPr>
          <w:rFonts w:hint="eastAsia" w:ascii="宋体" w:hAnsi="宋体" w:cs="宋体"/>
        </w:rPr>
        <w:t>注：1、</w:t>
      </w:r>
      <w:r>
        <w:rPr>
          <w:rFonts w:hint="eastAsia" w:ascii="宋体" w:hAnsi="宋体" w:cs="宋体"/>
          <w:spacing w:val="4"/>
        </w:rPr>
        <w:t>投标阶段，招标文件给出的工程量不得调整，岩土勘察费每米综合包干单价已包括所有实物工作收费、进出场费、技术工作收费、税金等全部费用。岩土勘察费综合包干单价最高投标限价为</w:t>
      </w:r>
      <w:r>
        <w:rPr>
          <w:rFonts w:hint="eastAsia" w:ascii="宋体" w:hAnsi="宋体" w:cs="宋体"/>
          <w:spacing w:val="4"/>
          <w:u w:val="single"/>
        </w:rPr>
        <w:t>150</w:t>
      </w:r>
      <w:r>
        <w:rPr>
          <w:rFonts w:hint="eastAsia" w:ascii="宋体" w:hAnsi="宋体" w:cs="宋体"/>
          <w:spacing w:val="4"/>
        </w:rPr>
        <w:t>元/米，</w:t>
      </w:r>
      <w:r>
        <w:rPr>
          <w:rFonts w:hint="eastAsia" w:ascii="宋体" w:hAnsi="宋体" w:cs="宋体"/>
          <w:b/>
          <w:bCs/>
          <w:spacing w:val="4"/>
        </w:rPr>
        <w:t>投标报价金额出现小数，只保留小数点后二位，小数点后第三位及第三位数后做舍弃。</w:t>
      </w:r>
    </w:p>
    <w:p>
      <w:pPr>
        <w:spacing w:line="360" w:lineRule="auto"/>
        <w:rPr>
          <w:rFonts w:ascii="宋体" w:hAnsi="宋体" w:cs="宋体"/>
        </w:rPr>
      </w:pPr>
      <w:r>
        <w:rPr>
          <w:rFonts w:hint="eastAsia" w:ascii="宋体" w:hAnsi="宋体" w:cs="宋体"/>
        </w:rPr>
        <w:t>2、当乘积与汇总不一致时，按就低不就高原则确定其最终报价。如修正后的投标报价超出相应的最高投标限价，则由评标委员会作废标处理。</w:t>
      </w:r>
    </w:p>
    <w:p>
      <w:pPr>
        <w:rPr>
          <w:rFonts w:ascii="宋体" w:hAnsi="宋体" w:cs="宋体"/>
        </w:rPr>
      </w:pPr>
      <w:r>
        <w:rPr>
          <w:rFonts w:hint="eastAsia" w:ascii="宋体" w:hAnsi="宋体" w:cs="宋体"/>
        </w:rPr>
        <w:t>3、勘察费的结算原则具体详见合同条款的约定。</w:t>
      </w:r>
    </w:p>
    <w:p>
      <w:pPr>
        <w:spacing w:line="360" w:lineRule="auto"/>
        <w:jc w:val="left"/>
        <w:rPr>
          <w:rFonts w:ascii="宋体" w:hAnsi="宋体"/>
          <w:sz w:val="24"/>
          <w:szCs w:val="24"/>
        </w:rPr>
      </w:pPr>
      <w:r>
        <w:rPr>
          <w:rFonts w:hint="eastAsia" w:ascii="宋体" w:hAnsi="宋体" w:cs="宋体"/>
        </w:rPr>
        <w:br w:type="page"/>
      </w:r>
      <w:r>
        <w:rPr>
          <w:rFonts w:hint="eastAsia" w:ascii="宋体" w:hAnsi="宋体"/>
          <w:b/>
          <w:bCs/>
          <w:lang w:bidi="ar"/>
        </w:rPr>
        <w:t>附件（3）：BIM技术费计算表</w:t>
      </w:r>
    </w:p>
    <w:p>
      <w:pPr>
        <w:spacing w:line="360" w:lineRule="auto"/>
        <w:jc w:val="left"/>
        <w:rPr>
          <w:rFonts w:ascii="宋体" w:hAnsi="宋体"/>
          <w:bCs/>
          <w:szCs w:val="21"/>
        </w:rPr>
      </w:pPr>
      <w:r>
        <w:rPr>
          <w:rFonts w:hint="eastAsia" w:ascii="宋体" w:hAnsi="宋体"/>
          <w:bCs/>
          <w:szCs w:val="21"/>
          <w:lang w:bidi="ar"/>
        </w:rPr>
        <w:t xml:space="preserve"> </w:t>
      </w:r>
    </w:p>
    <w:p>
      <w:pPr>
        <w:spacing w:line="360" w:lineRule="auto"/>
        <w:jc w:val="center"/>
        <w:rPr>
          <w:rFonts w:ascii="宋体" w:hAnsi="宋体"/>
          <w:b/>
          <w:sz w:val="32"/>
          <w:szCs w:val="32"/>
        </w:rPr>
      </w:pPr>
      <w:r>
        <w:rPr>
          <w:rFonts w:hint="eastAsia" w:ascii="宋体" w:hAnsi="宋体" w:cs="宋体"/>
          <w:b/>
          <w:sz w:val="32"/>
          <w:szCs w:val="32"/>
          <w:lang w:bidi="ar"/>
        </w:rPr>
        <w:t>BIM技术费计算表</w:t>
      </w:r>
    </w:p>
    <w:p>
      <w:pPr>
        <w:spacing w:line="360" w:lineRule="auto"/>
        <w:jc w:val="left"/>
        <w:rPr>
          <w:rFonts w:ascii="宋体" w:hAnsi="宋体"/>
          <w:szCs w:val="21"/>
        </w:rPr>
      </w:pPr>
      <w:r>
        <w:rPr>
          <w:rFonts w:hint="eastAsia" w:ascii="宋体" w:hAnsi="宋体"/>
          <w:szCs w:val="21"/>
          <w:lang w:bidi="ar"/>
        </w:rPr>
        <w:t xml:space="preserve"> </w:t>
      </w:r>
    </w:p>
    <w:tbl>
      <w:tblPr>
        <w:tblStyle w:val="2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308"/>
        <w:gridCol w:w="1632"/>
        <w:gridCol w:w="1216"/>
        <w:gridCol w:w="909"/>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序号</w:t>
            </w:r>
          </w:p>
        </w:tc>
        <w:tc>
          <w:tcPr>
            <w:tcW w:w="23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费用名称</w:t>
            </w:r>
          </w:p>
        </w:tc>
        <w:tc>
          <w:tcPr>
            <w:tcW w:w="1632" w:type="dxa"/>
            <w:tcBorders>
              <w:top w:val="single" w:color="auto" w:sz="4" w:space="0"/>
              <w:left w:val="nil"/>
              <w:bottom w:val="single" w:color="auto" w:sz="4" w:space="0"/>
              <w:right w:val="single" w:color="auto" w:sz="4" w:space="0"/>
            </w:tcBorders>
            <w:vAlign w:val="center"/>
          </w:tcPr>
          <w:p>
            <w:pPr>
              <w:pStyle w:val="39"/>
              <w:spacing w:line="360" w:lineRule="auto"/>
              <w:jc w:val="center"/>
              <w:rPr>
                <w:rFonts w:cs="Calibri"/>
              </w:rPr>
            </w:pPr>
            <w:r>
              <w:rPr>
                <w:rFonts w:hint="eastAsia"/>
              </w:rPr>
              <w:t>暂定工程费限额</w:t>
            </w:r>
            <w:r>
              <w:rPr>
                <w:rFonts w:hint="eastAsia" w:cs="宋体"/>
              </w:rPr>
              <w:t>（元）</w:t>
            </w: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金额</w:t>
            </w:r>
          </w:p>
          <w:p>
            <w:pPr>
              <w:spacing w:line="360" w:lineRule="auto"/>
              <w:jc w:val="center"/>
              <w:rPr>
                <w:rFonts w:ascii="宋体" w:hAnsi="宋体" w:cs="Calibri"/>
                <w:szCs w:val="21"/>
              </w:rPr>
            </w:pPr>
            <w:r>
              <w:rPr>
                <w:rFonts w:hint="eastAsia" w:ascii="宋体" w:hAnsi="宋体" w:cs="宋体"/>
                <w:szCs w:val="21"/>
              </w:rPr>
              <w:t>（元）</w:t>
            </w:r>
          </w:p>
        </w:tc>
        <w:tc>
          <w:tcPr>
            <w:tcW w:w="909" w:type="dxa"/>
            <w:tcBorders>
              <w:top w:val="single" w:color="auto" w:sz="4" w:space="0"/>
              <w:left w:val="nil"/>
              <w:bottom w:val="single" w:color="auto" w:sz="4" w:space="0"/>
              <w:right w:val="single" w:color="auto" w:sz="4" w:space="0"/>
            </w:tcBorders>
            <w:vAlign w:val="center"/>
          </w:tcPr>
          <w:p>
            <w:pPr>
              <w:pStyle w:val="39"/>
              <w:spacing w:line="360" w:lineRule="auto"/>
              <w:jc w:val="center"/>
              <w:rPr>
                <w:u w:val="single"/>
              </w:rPr>
            </w:pPr>
            <w:r>
              <w:rPr>
                <w:rFonts w:hint="eastAsia"/>
              </w:rPr>
              <w:t>费率（%）</w:t>
            </w:r>
          </w:p>
        </w:tc>
        <w:tc>
          <w:tcPr>
            <w:tcW w:w="2450" w:type="dxa"/>
            <w:tcBorders>
              <w:top w:val="single" w:color="auto" w:sz="4" w:space="0"/>
              <w:left w:val="nil"/>
              <w:bottom w:val="single" w:color="auto" w:sz="4" w:space="0"/>
              <w:right w:val="single" w:color="auto" w:sz="4" w:space="0"/>
            </w:tcBorders>
            <w:vAlign w:val="center"/>
          </w:tcPr>
          <w:p>
            <w:pPr>
              <w:pStyle w:val="39"/>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Calibri"/>
                <w:szCs w:val="21"/>
              </w:rPr>
            </w:pPr>
            <w:r>
              <w:rPr>
                <w:rFonts w:hint="eastAsia" w:ascii="宋体" w:hAnsi="宋体" w:cs="宋体"/>
                <w:szCs w:val="21"/>
              </w:rPr>
              <w:t>1</w:t>
            </w: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Calibri"/>
                <w:szCs w:val="21"/>
              </w:rPr>
            </w:pPr>
            <w:r>
              <w:rPr>
                <w:rFonts w:ascii="宋体" w:hAnsi="宋体" w:cs="宋体"/>
                <w:szCs w:val="21"/>
              </w:rPr>
              <w:t>BIM</w:t>
            </w:r>
            <w:r>
              <w:rPr>
                <w:rFonts w:hint="eastAsia" w:ascii="宋体" w:hAnsi="宋体" w:cs="宋体"/>
                <w:szCs w:val="21"/>
              </w:rPr>
              <w:t>技术服务费</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450" w:type="dxa"/>
            <w:vMerge w:val="restart"/>
            <w:tcBorders>
              <w:top w:val="single" w:color="auto" w:sz="4" w:space="0"/>
              <w:left w:val="nil"/>
              <w:right w:val="single" w:color="auto" w:sz="4" w:space="0"/>
            </w:tcBorders>
            <w:vAlign w:val="center"/>
          </w:tcPr>
          <w:p>
            <w:pPr>
              <w:spacing w:line="360" w:lineRule="auto"/>
              <w:rPr>
                <w:rFonts w:ascii="宋体" w:hAnsi="宋体" w:cs="Calibri"/>
                <w:b/>
                <w:bCs/>
                <w:szCs w:val="21"/>
                <w:u w:val="single"/>
              </w:rPr>
            </w:pPr>
            <w:r>
              <w:rPr>
                <w:rFonts w:hint="eastAsia" w:ascii="宋体" w:hAnsi="宋体" w:cs="宋体"/>
                <w:bCs/>
                <w:szCs w:val="21"/>
                <w:lang w:bidi="ar"/>
              </w:rPr>
              <w:t>对应报价金额不得超过BIM技术应用费最高投标限价为36.93万元。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450" w:type="dxa"/>
            <w:vMerge w:val="continue"/>
            <w:tcBorders>
              <w:left w:val="nil"/>
              <w:right w:val="single" w:color="auto" w:sz="4" w:space="0"/>
            </w:tcBorders>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450" w:type="dxa"/>
            <w:vMerge w:val="continue"/>
            <w:tcBorders>
              <w:left w:val="nil"/>
              <w:right w:val="single" w:color="auto" w:sz="4" w:space="0"/>
            </w:tcBorders>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450" w:type="dxa"/>
            <w:vMerge w:val="continue"/>
            <w:tcBorders>
              <w:left w:val="nil"/>
              <w:right w:val="single" w:color="auto" w:sz="4" w:space="0"/>
            </w:tcBorders>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0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ascii="宋体" w:hAnsi="宋体" w:cs="宋体"/>
                <w:szCs w:val="21"/>
              </w:rPr>
              <w:t>BIM</w:t>
            </w:r>
            <w:r>
              <w:rPr>
                <w:rFonts w:hint="eastAsia" w:ascii="宋体" w:hAnsi="宋体" w:cs="宋体"/>
                <w:szCs w:val="21"/>
              </w:rPr>
              <w:t>技术服务费</w:t>
            </w:r>
            <w:r>
              <w:rPr>
                <w:rFonts w:hint="eastAsia" w:ascii="宋体" w:hAnsi="宋体" w:cs="仿宋_GB2312"/>
                <w:szCs w:val="21"/>
              </w:rPr>
              <w:t>投标报价小计</w:t>
            </w:r>
          </w:p>
        </w:tc>
        <w:tc>
          <w:tcPr>
            <w:tcW w:w="163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2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9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Calibri"/>
                <w:szCs w:val="21"/>
              </w:rPr>
            </w:pPr>
          </w:p>
        </w:tc>
        <w:tc>
          <w:tcPr>
            <w:tcW w:w="2450" w:type="dxa"/>
            <w:vMerge w:val="continue"/>
            <w:tcBorders>
              <w:left w:val="nil"/>
              <w:bottom w:val="single" w:color="auto" w:sz="4" w:space="0"/>
              <w:right w:val="single" w:color="auto" w:sz="4" w:space="0"/>
            </w:tcBorders>
            <w:vAlign w:val="center"/>
          </w:tcPr>
          <w:p>
            <w:pPr>
              <w:spacing w:line="360" w:lineRule="auto"/>
              <w:rPr>
                <w:rFonts w:ascii="宋体" w:hAnsi="宋体" w:cs="宋体"/>
                <w:szCs w:val="21"/>
              </w:rPr>
            </w:pPr>
          </w:p>
        </w:tc>
      </w:tr>
    </w:tbl>
    <w:p>
      <w:pPr>
        <w:topLinePunct/>
        <w:adjustRightInd w:val="0"/>
        <w:snapToGrid w:val="0"/>
        <w:spacing w:before="240" w:line="360" w:lineRule="auto"/>
        <w:rPr>
          <w:rFonts w:ascii="宋体" w:hAnsi="宋体"/>
          <w:spacing w:val="4"/>
          <w:szCs w:val="21"/>
        </w:rPr>
      </w:pPr>
      <w:r>
        <w:rPr>
          <w:rFonts w:hint="eastAsia" w:ascii="宋体" w:hAnsi="宋体" w:cs="宋体"/>
          <w:szCs w:val="21"/>
          <w:lang w:bidi="ar"/>
        </w:rPr>
        <w:t>注：1</w:t>
      </w:r>
      <w:r>
        <w:rPr>
          <w:rFonts w:hint="eastAsia" w:ascii="宋体" w:hAnsi="宋体" w:cs="宋体"/>
          <w:spacing w:val="4"/>
          <w:szCs w:val="21"/>
        </w:rPr>
        <w:t>、</w:t>
      </w:r>
      <w:r>
        <w:rPr>
          <w:rFonts w:ascii="宋体" w:hAnsi="宋体" w:cs="宋体"/>
          <w:spacing w:val="4"/>
          <w:szCs w:val="21"/>
        </w:rPr>
        <w:t>BIM</w:t>
      </w:r>
      <w:r>
        <w:rPr>
          <w:rFonts w:hint="eastAsia" w:ascii="宋体" w:hAnsi="宋体" w:cs="宋体"/>
          <w:spacing w:val="4"/>
          <w:szCs w:val="21"/>
        </w:rPr>
        <w:t>技术服务费为设计阶段的</w:t>
      </w:r>
      <w:r>
        <w:rPr>
          <w:rFonts w:ascii="宋体" w:hAnsi="宋体" w:cs="宋体"/>
          <w:spacing w:val="4"/>
          <w:szCs w:val="21"/>
        </w:rPr>
        <w:t>BIM</w:t>
      </w:r>
      <w:r>
        <w:rPr>
          <w:rFonts w:hint="eastAsia" w:ascii="宋体" w:hAnsi="宋体" w:cs="宋体"/>
          <w:spacing w:val="4"/>
          <w:szCs w:val="21"/>
        </w:rPr>
        <w:t>技术费用</w:t>
      </w:r>
      <w:r>
        <w:rPr>
          <w:rFonts w:hint="eastAsia"/>
        </w:rPr>
        <w:t>，</w:t>
      </w:r>
      <w:r>
        <w:rPr>
          <w:rFonts w:hint="eastAsia" w:ascii="宋体" w:hAnsi="宋体" w:cs="宋体"/>
          <w:spacing w:val="4"/>
          <w:szCs w:val="21"/>
        </w:rPr>
        <w:t>具体结算原则详见合同条款的约定。项目实施过程中，中标的费率不作调整。</w:t>
      </w:r>
    </w:p>
    <w:p>
      <w:pPr>
        <w:topLinePunct/>
        <w:adjustRightInd w:val="0"/>
        <w:snapToGrid w:val="0"/>
        <w:spacing w:line="360" w:lineRule="auto"/>
        <w:rPr>
          <w:rFonts w:ascii="宋体" w:hAnsi="宋体"/>
          <w:szCs w:val="21"/>
        </w:rPr>
      </w:pPr>
      <w:r>
        <w:rPr>
          <w:rFonts w:hint="eastAsia" w:ascii="宋体" w:hAnsi="宋体"/>
          <w:spacing w:val="4"/>
          <w:szCs w:val="21"/>
        </w:rPr>
        <w:t>2</w:t>
      </w:r>
      <w:r>
        <w:rPr>
          <w:rFonts w:hint="eastAsia" w:ascii="宋体" w:hAnsi="宋体" w:cs="宋体"/>
          <w:spacing w:val="4"/>
          <w:szCs w:val="21"/>
        </w:rPr>
        <w:t>、经算术复核的投标人报价与其投标报价不一致时，按就低不就高原则确定其最终报价。如修正后</w:t>
      </w:r>
      <w:r>
        <w:rPr>
          <w:rFonts w:hint="eastAsia" w:ascii="宋体" w:hAnsi="宋体" w:cs="宋体"/>
          <w:szCs w:val="21"/>
        </w:rPr>
        <w:t>的投标报价超出相应的最高投标限价，则由评标委员会作废标处理。</w:t>
      </w:r>
    </w:p>
    <w:p>
      <w:pPr>
        <w:spacing w:line="360" w:lineRule="auto"/>
        <w:rPr>
          <w:rFonts w:ascii="宋体" w:hAnsi="宋体" w:cs="宋体"/>
          <w:szCs w:val="21"/>
        </w:rPr>
      </w:pPr>
      <w:r>
        <w:rPr>
          <w:rFonts w:hint="eastAsia" w:ascii="宋体" w:hAnsi="宋体"/>
          <w:szCs w:val="21"/>
        </w:rPr>
        <w:t>3</w:t>
      </w:r>
      <w:r>
        <w:rPr>
          <w:rFonts w:hint="eastAsia" w:ascii="宋体" w:hAnsi="宋体" w:cs="宋体"/>
          <w:szCs w:val="21"/>
        </w:rPr>
        <w:t>、按上述修正错误的原则及方法调整或修正投标文件的投标总报价，调整后的投标总报价对投标人起约束作用。如果投标人不接受修正后的报价，则取消其投标资格。</w:t>
      </w:r>
    </w:p>
    <w:p>
      <w:pPr>
        <w:spacing w:line="360" w:lineRule="auto"/>
        <w:jc w:val="left"/>
      </w:pPr>
    </w:p>
    <w:p>
      <w:pPr>
        <w:spacing w:line="360" w:lineRule="auto"/>
        <w:rPr>
          <w:rFonts w:ascii="宋体" w:hAnsi="宋体"/>
          <w:spacing w:val="2"/>
          <w:position w:val="-1"/>
          <w:sz w:val="32"/>
          <w:szCs w:val="32"/>
        </w:rPr>
      </w:pPr>
    </w:p>
    <w:p>
      <w:pPr>
        <w:spacing w:line="360" w:lineRule="auto"/>
        <w:rPr>
          <w:rFonts w:ascii="宋体" w:hAnsi="宋体"/>
          <w:spacing w:val="2"/>
          <w:position w:val="-1"/>
          <w:sz w:val="32"/>
          <w:szCs w:val="32"/>
        </w:rPr>
      </w:pPr>
    </w:p>
    <w:p>
      <w:pPr>
        <w:spacing w:line="360" w:lineRule="auto"/>
        <w:rPr>
          <w:rFonts w:ascii="宋体" w:hAnsi="宋体"/>
          <w:spacing w:val="2"/>
          <w:position w:val="-1"/>
          <w:sz w:val="32"/>
          <w:szCs w:val="32"/>
        </w:rPr>
      </w:pPr>
    </w:p>
    <w:p>
      <w:pPr>
        <w:spacing w:line="360" w:lineRule="auto"/>
        <w:rPr>
          <w:rFonts w:ascii="宋体" w:hAnsi="宋体"/>
          <w:spacing w:val="2"/>
          <w:position w:val="-1"/>
          <w:sz w:val="32"/>
          <w:szCs w:val="32"/>
        </w:rPr>
      </w:pPr>
    </w:p>
    <w:p>
      <w:pPr>
        <w:spacing w:line="360" w:lineRule="auto"/>
        <w:rPr>
          <w:rFonts w:ascii="宋体" w:hAnsi="宋体"/>
          <w:spacing w:val="2"/>
          <w:position w:val="-1"/>
          <w:sz w:val="32"/>
          <w:szCs w:val="32"/>
        </w:rPr>
      </w:pPr>
    </w:p>
    <w:p>
      <w:pPr>
        <w:pStyle w:val="2"/>
        <w:ind w:firstLine="440"/>
        <w:rPr>
          <w:lang w:eastAsia="zh-CN"/>
        </w:rPr>
      </w:pPr>
    </w:p>
    <w:p>
      <w:pPr>
        <w:spacing w:line="360" w:lineRule="auto"/>
        <w:rPr>
          <w:rFonts w:ascii="宋体" w:hAnsi="宋体"/>
          <w:spacing w:val="2"/>
          <w:position w:val="-1"/>
          <w:sz w:val="32"/>
          <w:szCs w:val="32"/>
        </w:rPr>
      </w:pPr>
    </w:p>
    <w:p>
      <w:pPr>
        <w:pStyle w:val="2"/>
        <w:ind w:firstLine="648"/>
        <w:rPr>
          <w:rFonts w:ascii="宋体" w:hAnsi="宋体"/>
          <w:spacing w:val="2"/>
          <w:position w:val="-1"/>
          <w:sz w:val="32"/>
          <w:szCs w:val="32"/>
          <w:lang w:eastAsia="zh-CN"/>
        </w:rPr>
      </w:pPr>
    </w:p>
    <w:p/>
    <w:p>
      <w:pPr>
        <w:spacing w:line="360" w:lineRule="auto"/>
        <w:rPr>
          <w:rFonts w:ascii="宋体" w:hAnsi="宋体"/>
          <w:spacing w:val="2"/>
          <w:position w:val="-1"/>
          <w:sz w:val="32"/>
          <w:szCs w:val="32"/>
        </w:rPr>
      </w:pPr>
      <w:r>
        <w:rPr>
          <w:rFonts w:hint="eastAsia" w:ascii="宋体" w:hAnsi="宋体"/>
          <w:spacing w:val="2"/>
          <w:position w:val="-1"/>
          <w:sz w:val="32"/>
          <w:szCs w:val="32"/>
        </w:rPr>
        <w:t>格式六：拟委任的主要人员汇总表及主要人员简历表</w:t>
      </w:r>
    </w:p>
    <w:p>
      <w:pPr>
        <w:jc w:val="center"/>
        <w:rPr>
          <w:rFonts w:ascii="宋体" w:hAnsi="宋体"/>
          <w:spacing w:val="2"/>
          <w:position w:val="-1"/>
          <w:sz w:val="32"/>
          <w:szCs w:val="32"/>
        </w:rPr>
      </w:pPr>
    </w:p>
    <w:p>
      <w:pPr>
        <w:jc w:val="center"/>
        <w:rPr>
          <w:rFonts w:ascii="宋体" w:hAnsi="宋体"/>
          <w:spacing w:val="2"/>
          <w:position w:val="-1"/>
          <w:sz w:val="32"/>
          <w:szCs w:val="32"/>
        </w:rPr>
      </w:pPr>
      <w:r>
        <w:rPr>
          <w:rFonts w:hint="eastAsia" w:ascii="宋体" w:hAnsi="宋体"/>
          <w:b/>
          <w:bCs/>
          <w:spacing w:val="2"/>
          <w:position w:val="-1"/>
          <w:sz w:val="32"/>
          <w:szCs w:val="32"/>
        </w:rPr>
        <w:t>拟委任的主要人员汇总表</w:t>
      </w:r>
    </w:p>
    <w:tbl>
      <w:tblPr>
        <w:tblStyle w:val="24"/>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009"/>
        <w:gridCol w:w="700"/>
        <w:gridCol w:w="602"/>
        <w:gridCol w:w="626"/>
        <w:gridCol w:w="340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88"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20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人员安排分工</w:t>
            </w:r>
          </w:p>
        </w:tc>
        <w:tc>
          <w:tcPr>
            <w:tcW w:w="70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姓 名</w:t>
            </w:r>
          </w:p>
        </w:tc>
        <w:tc>
          <w:tcPr>
            <w:tcW w:w="602"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年龄</w:t>
            </w:r>
          </w:p>
        </w:tc>
        <w:tc>
          <w:tcPr>
            <w:tcW w:w="4029" w:type="dxa"/>
            <w:gridSpan w:val="2"/>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基本要求</w:t>
            </w:r>
          </w:p>
        </w:tc>
        <w:tc>
          <w:tcPr>
            <w:tcW w:w="883"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已完成类似的项目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rPr>
                <w:rFonts w:ascii="宋体" w:hAnsi="宋体" w:cs="Calibri"/>
                <w:szCs w:val="21"/>
              </w:rPr>
            </w:pPr>
          </w:p>
        </w:tc>
        <w:tc>
          <w:tcPr>
            <w:tcW w:w="20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Calibri"/>
                <w:szCs w:val="21"/>
              </w:rPr>
            </w:pPr>
          </w:p>
        </w:tc>
        <w:tc>
          <w:tcPr>
            <w:tcW w:w="700" w:type="dxa"/>
            <w:vMerge w:val="continue"/>
            <w:tcBorders>
              <w:top w:val="single" w:color="auto" w:sz="4" w:space="0"/>
              <w:left w:val="nil"/>
              <w:bottom w:val="single" w:color="auto" w:sz="4" w:space="0"/>
              <w:right w:val="single" w:color="auto" w:sz="4" w:space="0"/>
            </w:tcBorders>
            <w:vAlign w:val="center"/>
          </w:tcPr>
          <w:p>
            <w:pPr>
              <w:widowControl/>
              <w:rPr>
                <w:rFonts w:ascii="宋体" w:hAnsi="宋体" w:cs="Calibri"/>
                <w:szCs w:val="21"/>
              </w:rPr>
            </w:pPr>
          </w:p>
        </w:tc>
        <w:tc>
          <w:tcPr>
            <w:tcW w:w="602" w:type="dxa"/>
            <w:vMerge w:val="continue"/>
            <w:tcBorders>
              <w:top w:val="single" w:color="auto" w:sz="4" w:space="0"/>
              <w:left w:val="nil"/>
              <w:bottom w:val="single" w:color="auto" w:sz="4" w:space="0"/>
              <w:right w:val="single" w:color="auto" w:sz="4" w:space="0"/>
            </w:tcBorders>
            <w:vAlign w:val="center"/>
          </w:tcPr>
          <w:p>
            <w:pPr>
              <w:widowControl/>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人数</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szCs w:val="21"/>
              </w:rPr>
              <w:t>职务、执业资格、专业职称</w:t>
            </w:r>
          </w:p>
        </w:tc>
        <w:tc>
          <w:tcPr>
            <w:tcW w:w="883" w:type="dxa"/>
            <w:vMerge w:val="continue"/>
            <w:tcBorders>
              <w:top w:val="single" w:color="auto" w:sz="4" w:space="0"/>
              <w:left w:val="nil"/>
              <w:bottom w:val="single" w:color="auto" w:sz="4" w:space="0"/>
              <w:right w:val="single" w:color="auto" w:sz="4" w:space="0"/>
            </w:tcBorders>
            <w:vAlign w:val="center"/>
          </w:tcPr>
          <w:p>
            <w:pPr>
              <w:widowControl/>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项目负责人(设计负责人)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满足招标公告要求</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技术负责人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具有中级技术职称或持有一级注册结构工程师证或一级注册建筑师证（或备案的业务范围相当于一级注册结构工程师或一级注册建筑师的香港专业人士）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cs="宋体"/>
                <w:kern w:val="1"/>
                <w:szCs w:val="21"/>
              </w:rPr>
            </w:pPr>
            <w:r>
              <w:rPr>
                <w:rFonts w:hint="eastAsia" w:ascii="宋体" w:hAnsi="宋体" w:cs="宋体"/>
                <w:kern w:val="1"/>
                <w:szCs w:val="21"/>
              </w:rPr>
              <w:t>3</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szCs w:val="21"/>
              </w:rPr>
            </w:pPr>
            <w:r>
              <w:rPr>
                <w:rFonts w:hint="eastAsia" w:ascii="宋体" w:hAnsi="宋体" w:cs="宋体"/>
                <w:kern w:val="1"/>
                <w:szCs w:val="21"/>
              </w:rPr>
              <w:t>建筑专业负责人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持有一级注册建筑师证（或备案的业务范围相当于一级注册建筑师的香港专业人士）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cs="宋体"/>
                <w:kern w:val="1"/>
                <w:szCs w:val="21"/>
              </w:rPr>
            </w:pPr>
            <w:r>
              <w:rPr>
                <w:rFonts w:hint="eastAsia" w:ascii="宋体" w:hAnsi="宋体" w:cs="宋体"/>
                <w:kern w:val="1"/>
                <w:szCs w:val="21"/>
              </w:rPr>
              <w:t>4</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szCs w:val="21"/>
              </w:rPr>
            </w:pPr>
            <w:r>
              <w:rPr>
                <w:rFonts w:hint="eastAsia" w:ascii="宋体" w:hAnsi="宋体" w:cs="宋体"/>
                <w:kern w:val="1"/>
                <w:szCs w:val="21"/>
              </w:rPr>
              <w:t>结构专业负责人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持有一级注册结构工程师证（或备案的业务范围相当于一级注册结构工程师的香港专业人士）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cs="宋体"/>
                <w:kern w:val="1"/>
                <w:szCs w:val="21"/>
              </w:rPr>
            </w:pPr>
            <w:r>
              <w:rPr>
                <w:rFonts w:hint="eastAsia" w:ascii="宋体" w:hAnsi="宋体" w:cs="宋体"/>
                <w:kern w:val="1"/>
                <w:szCs w:val="21"/>
              </w:rPr>
              <w:t>5</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cs="宋体"/>
                <w:kern w:val="1"/>
                <w:szCs w:val="21"/>
              </w:rPr>
              <w:t>设备（给排水、电气、暖通空调任意一个）专业负责人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持有设备相关专业注册证（或备案的业务范围相当于相应注册证书的香港专业人士）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1"/>
                <w:szCs w:val="21"/>
              </w:rPr>
            </w:pPr>
            <w:r>
              <w:rPr>
                <w:rFonts w:hint="eastAsia" w:ascii="宋体" w:hAnsi="宋体" w:cs="宋体"/>
                <w:kern w:val="1"/>
                <w:szCs w:val="21"/>
              </w:rPr>
              <w:t>6</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szCs w:val="21"/>
              </w:rPr>
            </w:pPr>
            <w:r>
              <w:rPr>
                <w:rFonts w:hint="eastAsia" w:ascii="宋体" w:hAnsi="宋体" w:cs="宋体"/>
                <w:kern w:val="1"/>
                <w:szCs w:val="21"/>
              </w:rPr>
              <w:t>概预算（建筑工程造价）专业负责人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持有注册造价工程师（一级注册造价工程师）证（或备案的业务范围相当于一级注册造价工程师的香港专业人士）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cs="宋体"/>
                <w:kern w:val="1"/>
                <w:szCs w:val="21"/>
              </w:rPr>
            </w:pPr>
            <w:r>
              <w:rPr>
                <w:rFonts w:hint="eastAsia" w:ascii="宋体" w:hAnsi="宋体" w:cs="宋体"/>
                <w:kern w:val="1"/>
                <w:szCs w:val="21"/>
              </w:rPr>
              <w:t>7</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406" w:leftChars="35" w:hanging="333" w:hangingChars="159"/>
              <w:jc w:val="center"/>
              <w:rPr>
                <w:rFonts w:ascii="宋体" w:hAnsi="宋体"/>
                <w:szCs w:val="21"/>
              </w:rPr>
            </w:pPr>
            <w:r>
              <w:rPr>
                <w:rFonts w:hint="eastAsia" w:ascii="宋体" w:hAnsi="宋体" w:cs="宋体"/>
                <w:kern w:val="1"/>
                <w:szCs w:val="21"/>
              </w:rPr>
              <w:t>勘察专业负责人</w:t>
            </w:r>
          </w:p>
        </w:tc>
        <w:tc>
          <w:tcPr>
            <w:tcW w:w="700"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1</w:t>
            </w:r>
          </w:p>
        </w:tc>
        <w:tc>
          <w:tcPr>
            <w:tcW w:w="3403" w:type="dxa"/>
            <w:tcBorders>
              <w:top w:val="single" w:color="auto" w:sz="4" w:space="0"/>
              <w:left w:val="nil"/>
              <w:bottom w:val="single" w:color="auto" w:sz="4" w:space="0"/>
              <w:right w:val="single" w:color="auto" w:sz="4" w:space="0"/>
            </w:tcBorders>
            <w:vAlign w:val="center"/>
          </w:tcPr>
          <w:p>
            <w:pPr>
              <w:jc w:val="center"/>
              <w:rPr>
                <w:rFonts w:ascii="宋体" w:hAnsi="宋体" w:cs="Courier New"/>
                <w:szCs w:val="21"/>
              </w:rPr>
            </w:pPr>
            <w:r>
              <w:rPr>
                <w:rFonts w:hint="eastAsia" w:ascii="宋体" w:hAnsi="宋体" w:cs="宋体"/>
                <w:szCs w:val="21"/>
              </w:rPr>
              <w:t>持有注册土木工程师（岩土）证（或备案的业务范围相当于一级注册土木工程师（岩土）的香港专业人士）</w:t>
            </w: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0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700" w:type="dxa"/>
            <w:tcBorders>
              <w:top w:val="single" w:color="auto" w:sz="4" w:space="0"/>
              <w:left w:val="nil"/>
              <w:bottom w:val="single" w:color="auto" w:sz="4" w:space="0"/>
              <w:right w:val="single" w:color="auto" w:sz="4" w:space="0"/>
            </w:tcBorders>
            <w:vAlign w:val="center"/>
          </w:tcPr>
          <w:p>
            <w:pPr>
              <w:rPr>
                <w:rFonts w:ascii="宋体" w:hAnsi="宋体" w:cs="Calibri"/>
                <w:szCs w:val="21"/>
              </w:rPr>
            </w:pPr>
          </w:p>
        </w:tc>
        <w:tc>
          <w:tcPr>
            <w:tcW w:w="602"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6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3403" w:type="dxa"/>
            <w:tcBorders>
              <w:top w:val="single" w:color="auto" w:sz="4" w:space="0"/>
              <w:left w:val="nil"/>
              <w:bottom w:val="single" w:color="auto" w:sz="4" w:space="0"/>
              <w:right w:val="single" w:color="auto" w:sz="4" w:space="0"/>
            </w:tcBorders>
            <w:vAlign w:val="center"/>
          </w:tcPr>
          <w:p>
            <w:pPr>
              <w:rPr>
                <w:rFonts w:ascii="宋体" w:hAnsi="宋体"/>
                <w:szCs w:val="21"/>
              </w:rPr>
            </w:pPr>
          </w:p>
        </w:tc>
        <w:tc>
          <w:tcPr>
            <w:tcW w:w="883"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bl>
    <w:p>
      <w:pPr>
        <w:spacing w:line="360" w:lineRule="auto"/>
        <w:rPr>
          <w:rFonts w:ascii="宋体" w:hAnsi="宋体" w:cs="宋体"/>
          <w:szCs w:val="21"/>
        </w:rPr>
      </w:pPr>
      <w:r>
        <w:rPr>
          <w:rFonts w:hint="eastAsia" w:ascii="宋体" w:hAnsi="宋体" w:cs="宋体"/>
          <w:szCs w:val="21"/>
        </w:rPr>
        <w:t>备注：1、本表除项目负责人外，其他人员均不作为资格审查的条件，需提供相关证明文件。</w:t>
      </w:r>
    </w:p>
    <w:p>
      <w:pPr>
        <w:spacing w:line="360" w:lineRule="auto"/>
        <w:rPr>
          <w:rFonts w:ascii="宋体" w:hAnsi="宋体" w:cs="宋体"/>
          <w:szCs w:val="21"/>
        </w:rPr>
      </w:pPr>
      <w:r>
        <w:rPr>
          <w:rFonts w:hint="eastAsia" w:ascii="宋体" w:hAnsi="宋体" w:cs="宋体"/>
          <w:szCs w:val="21"/>
        </w:rPr>
        <w:t>2、上述项目负责人及各专业负责人不能兼任。</w:t>
      </w:r>
    </w:p>
    <w:p>
      <w:pPr>
        <w:widowControl/>
        <w:spacing w:line="360" w:lineRule="auto"/>
        <w:rPr>
          <w:rFonts w:ascii="宋体" w:hAnsi="宋体" w:cs="宋体"/>
          <w:szCs w:val="21"/>
        </w:rPr>
      </w:pPr>
      <w:r>
        <w:rPr>
          <w:rFonts w:hint="eastAsia" w:ascii="宋体" w:hAnsi="宋体" w:cs="宋体"/>
          <w:szCs w:val="21"/>
        </w:rPr>
        <w:t>3、投入人员必须为投标单位人员</w:t>
      </w:r>
      <w:r>
        <w:rPr>
          <w:rFonts w:ascii="宋体" w:hAnsi="宋体" w:cs="宋体"/>
          <w:szCs w:val="21"/>
        </w:rPr>
        <w:t>（</w:t>
      </w:r>
      <w:r>
        <w:rPr>
          <w:rFonts w:hint="eastAsia" w:ascii="宋体" w:hAnsi="宋体" w:cs="宋体"/>
          <w:szCs w:val="21"/>
          <w:lang w:bidi="ar"/>
        </w:rPr>
        <w:t>人员仅指投标人自身人员，如投标申请人为集团公司，则不含集团下属具有独立法人的子公司的人员，但包含非独立法人的分公司人员；同样下属具有独立法人的子公司也不得使用集团公司的人员。</w:t>
      </w:r>
      <w:r>
        <w:rPr>
          <w:rFonts w:ascii="宋体" w:hAnsi="宋体" w:cs="宋体"/>
          <w:szCs w:val="21"/>
          <w:lang w:bidi="ar"/>
        </w:rPr>
        <w:t>）</w:t>
      </w:r>
      <w:r>
        <w:rPr>
          <w:rFonts w:hint="eastAsia" w:ascii="宋体" w:hAnsi="宋体" w:cs="宋体"/>
          <w:szCs w:val="21"/>
        </w:rPr>
        <w:t>，须提供投入人员的2024年3月社保证明在投标人单位购买社保的证明。</w:t>
      </w:r>
    </w:p>
    <w:p>
      <w:pPr>
        <w:widowControl/>
        <w:spacing w:line="360" w:lineRule="auto"/>
        <w:rPr>
          <w:rFonts w:ascii="宋体" w:hAnsi="宋体" w:cs="宋体"/>
          <w:szCs w:val="21"/>
        </w:rPr>
      </w:pPr>
      <w:r>
        <w:rPr>
          <w:rFonts w:hint="eastAsia" w:ascii="宋体" w:hAnsi="宋体" w:cs="宋体"/>
          <w:szCs w:val="21"/>
        </w:rPr>
        <w:t>4、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pPr>
        <w:widowControl/>
        <w:spacing w:line="360" w:lineRule="auto"/>
        <w:rPr>
          <w:rFonts w:ascii="宋体" w:hAnsi="宋体" w:cs="宋体"/>
          <w:szCs w:val="21"/>
        </w:rPr>
      </w:pPr>
    </w:p>
    <w:p>
      <w:pPr>
        <w:jc w:val="center"/>
        <w:rPr>
          <w:rFonts w:ascii="宋体" w:hAnsi="宋体"/>
          <w:sz w:val="32"/>
          <w:szCs w:val="40"/>
        </w:rPr>
      </w:pPr>
      <w:r>
        <w:rPr>
          <w:rFonts w:hint="eastAsia" w:ascii="宋体" w:hAnsi="宋体"/>
        </w:rPr>
        <w:br w:type="page"/>
      </w:r>
      <w:r>
        <w:rPr>
          <w:rFonts w:hint="eastAsia" w:ascii="宋体" w:hAnsi="宋体"/>
          <w:spacing w:val="-3"/>
          <w:sz w:val="32"/>
          <w:szCs w:val="40"/>
        </w:rPr>
        <w:t>主</w:t>
      </w:r>
      <w:r>
        <w:rPr>
          <w:rFonts w:hint="eastAsia" w:ascii="宋体" w:hAnsi="宋体"/>
          <w:sz w:val="32"/>
          <w:szCs w:val="40"/>
        </w:rPr>
        <w:t>要人</w:t>
      </w:r>
      <w:r>
        <w:rPr>
          <w:rFonts w:hint="eastAsia" w:ascii="宋体" w:hAnsi="宋体"/>
          <w:spacing w:val="-3"/>
          <w:sz w:val="32"/>
          <w:szCs w:val="40"/>
        </w:rPr>
        <w:t>员简</w:t>
      </w:r>
      <w:r>
        <w:rPr>
          <w:rFonts w:hint="eastAsia" w:ascii="宋体" w:hAnsi="宋体"/>
          <w:sz w:val="32"/>
          <w:szCs w:val="40"/>
        </w:rPr>
        <w:t>历表</w:t>
      </w:r>
    </w:p>
    <w:p>
      <w:pPr>
        <w:autoSpaceDE w:val="0"/>
        <w:autoSpaceDN w:val="0"/>
        <w:adjustRightInd w:val="0"/>
        <w:spacing w:before="9" w:line="190" w:lineRule="exact"/>
        <w:rPr>
          <w:rFonts w:ascii="宋体" w:hAnsi="宋体"/>
          <w:sz w:val="20"/>
          <w:szCs w:val="20"/>
        </w:rPr>
      </w:pPr>
      <w:r>
        <w:rPr>
          <w:rFonts w:hint="eastAsia" w:ascii="宋体" w:hAnsi="宋体"/>
          <w:sz w:val="19"/>
          <w:szCs w:val="19"/>
        </w:rPr>
        <w:t xml:space="preserve"> </w:t>
      </w:r>
      <w:r>
        <w:rPr>
          <w:rFonts w:hint="eastAsia" w:ascii="宋体" w:hAnsi="宋体"/>
          <w:sz w:val="20"/>
          <w:szCs w:val="20"/>
        </w:rPr>
        <w:t xml:space="preserve"> </w:t>
      </w:r>
    </w:p>
    <w:tbl>
      <w:tblPr>
        <w:tblStyle w:val="24"/>
        <w:tblW w:w="8313" w:type="dxa"/>
        <w:jc w:val="center"/>
        <w:tblLayout w:type="fixed"/>
        <w:tblCellMar>
          <w:top w:w="0" w:type="dxa"/>
          <w:left w:w="0" w:type="dxa"/>
          <w:bottom w:w="0" w:type="dxa"/>
          <w:right w:w="0" w:type="dxa"/>
        </w:tblCellMar>
      </w:tblPr>
      <w:tblGrid>
        <w:gridCol w:w="1155"/>
        <w:gridCol w:w="349"/>
        <w:gridCol w:w="673"/>
        <w:gridCol w:w="933"/>
        <w:gridCol w:w="1041"/>
        <w:gridCol w:w="690"/>
        <w:gridCol w:w="1229"/>
        <w:gridCol w:w="391"/>
        <w:gridCol w:w="1852"/>
      </w:tblGrid>
      <w:tr>
        <w:tblPrEx>
          <w:tblCellMar>
            <w:top w:w="0" w:type="dxa"/>
            <w:left w:w="0" w:type="dxa"/>
            <w:bottom w:w="0" w:type="dxa"/>
            <w:right w:w="0" w:type="dxa"/>
          </w:tblCellMar>
        </w:tblPrEx>
        <w:trPr>
          <w:trHeight w:val="890" w:hRule="atLeast"/>
          <w:jc w:val="center"/>
        </w:trPr>
        <w:tc>
          <w:tcPr>
            <w:tcW w:w="115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9" w:line="260" w:lineRule="exact"/>
              <w:rPr>
                <w:rFonts w:ascii="宋体" w:hAnsi="宋体" w:cs="Calibri"/>
                <w:sz w:val="26"/>
                <w:szCs w:val="26"/>
              </w:rPr>
            </w:pPr>
          </w:p>
          <w:p>
            <w:pPr>
              <w:autoSpaceDE w:val="0"/>
              <w:autoSpaceDN w:val="0"/>
              <w:adjustRightInd w:val="0"/>
              <w:ind w:left="273" w:right="-20"/>
              <w:rPr>
                <w:rFonts w:ascii="宋体" w:hAnsi="宋体" w:cs="Calibri"/>
                <w:sz w:val="24"/>
              </w:rPr>
            </w:pPr>
            <w:r>
              <w:rPr>
                <w:rFonts w:hint="eastAsia" w:ascii="宋体" w:hAnsi="宋体"/>
              </w:rPr>
              <w:t>姓</w:t>
            </w:r>
            <w:r>
              <w:rPr>
                <w:rFonts w:hint="eastAsia" w:ascii="宋体" w:hAnsi="宋体"/>
              </w:rPr>
              <w:tab/>
            </w:r>
            <w:r>
              <w:rPr>
                <w:rFonts w:hint="eastAsia" w:ascii="宋体" w:hAnsi="宋体"/>
              </w:rPr>
              <w:t>名</w:t>
            </w:r>
          </w:p>
        </w:tc>
        <w:tc>
          <w:tcPr>
            <w:tcW w:w="1022"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933" w:type="dxa"/>
            <w:tcBorders>
              <w:top w:val="single" w:color="000000" w:sz="4" w:space="0"/>
              <w:left w:val="nil"/>
              <w:bottom w:val="single" w:color="000000" w:sz="4" w:space="0"/>
              <w:right w:val="single" w:color="000000" w:sz="4" w:space="0"/>
            </w:tcBorders>
          </w:tcPr>
          <w:p>
            <w:pPr>
              <w:autoSpaceDE w:val="0"/>
              <w:autoSpaceDN w:val="0"/>
              <w:adjustRightInd w:val="0"/>
              <w:spacing w:before="9" w:line="260" w:lineRule="exact"/>
              <w:rPr>
                <w:rFonts w:ascii="宋体" w:hAnsi="宋体" w:cs="Calibri"/>
                <w:sz w:val="26"/>
                <w:szCs w:val="26"/>
              </w:rPr>
            </w:pPr>
          </w:p>
          <w:p>
            <w:pPr>
              <w:autoSpaceDE w:val="0"/>
              <w:autoSpaceDN w:val="0"/>
              <w:adjustRightInd w:val="0"/>
              <w:ind w:left="263" w:right="-20"/>
              <w:rPr>
                <w:rFonts w:ascii="宋体" w:hAnsi="宋体" w:cs="Calibri"/>
                <w:sz w:val="24"/>
              </w:rPr>
            </w:pPr>
            <w:r>
              <w:rPr>
                <w:rFonts w:hint="eastAsia" w:ascii="宋体" w:hAnsi="宋体"/>
              </w:rPr>
              <w:t>年龄</w:t>
            </w:r>
          </w:p>
        </w:tc>
        <w:tc>
          <w:tcPr>
            <w:tcW w:w="1041"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310" w:type="dxa"/>
            <w:gridSpan w:val="3"/>
            <w:tcBorders>
              <w:top w:val="single" w:color="000000" w:sz="4" w:space="0"/>
              <w:left w:val="nil"/>
              <w:bottom w:val="single" w:color="000000" w:sz="4" w:space="0"/>
              <w:right w:val="single" w:color="000000" w:sz="4" w:space="0"/>
            </w:tcBorders>
          </w:tcPr>
          <w:p>
            <w:pPr>
              <w:autoSpaceDE w:val="0"/>
              <w:autoSpaceDN w:val="0"/>
              <w:adjustRightInd w:val="0"/>
              <w:spacing w:before="2" w:line="440" w:lineRule="exact"/>
              <w:ind w:left="652" w:right="50" w:hanging="523"/>
              <w:rPr>
                <w:rFonts w:ascii="宋体" w:hAnsi="宋体" w:cs="Calibri"/>
                <w:sz w:val="24"/>
              </w:rPr>
            </w:pPr>
            <w:r>
              <w:rPr>
                <w:rFonts w:hint="eastAsia" w:ascii="宋体" w:hAnsi="宋体"/>
              </w:rPr>
              <w:t>执业</w:t>
            </w:r>
            <w:r>
              <w:rPr>
                <w:rFonts w:hint="eastAsia" w:ascii="宋体" w:hAnsi="宋体"/>
                <w:spacing w:val="-2"/>
              </w:rPr>
              <w:t>资</w:t>
            </w:r>
            <w:r>
              <w:rPr>
                <w:rFonts w:hint="eastAsia" w:ascii="宋体" w:hAnsi="宋体"/>
              </w:rPr>
              <w:t>格</w:t>
            </w:r>
            <w:r>
              <w:rPr>
                <w:rFonts w:hint="eastAsia" w:ascii="宋体" w:hAnsi="宋体"/>
                <w:spacing w:val="-2"/>
              </w:rPr>
              <w:t>证</w:t>
            </w:r>
            <w:r>
              <w:rPr>
                <w:rFonts w:hint="eastAsia" w:ascii="宋体" w:hAnsi="宋体"/>
              </w:rPr>
              <w:t>书</w:t>
            </w:r>
            <w:r>
              <w:rPr>
                <w:rFonts w:hint="eastAsia" w:ascii="宋体" w:hAnsi="宋体"/>
                <w:spacing w:val="-2"/>
              </w:rPr>
              <w:t>（</w:t>
            </w:r>
            <w:r>
              <w:rPr>
                <w:rFonts w:hint="eastAsia" w:ascii="宋体" w:hAnsi="宋体"/>
              </w:rPr>
              <w:t>或</w:t>
            </w:r>
            <w:r>
              <w:rPr>
                <w:rFonts w:hint="eastAsia" w:ascii="宋体" w:hAnsi="宋体"/>
                <w:spacing w:val="-2"/>
              </w:rPr>
              <w:t>上</w:t>
            </w:r>
            <w:r>
              <w:rPr>
                <w:rFonts w:hint="eastAsia" w:ascii="宋体" w:hAnsi="宋体"/>
              </w:rPr>
              <w:t>岗证书</w:t>
            </w:r>
            <w:r>
              <w:rPr>
                <w:rFonts w:hint="eastAsia" w:ascii="宋体" w:hAnsi="宋体"/>
                <w:spacing w:val="-2"/>
              </w:rPr>
              <w:t>）</w:t>
            </w:r>
            <w:r>
              <w:rPr>
                <w:rFonts w:hint="eastAsia" w:ascii="宋体" w:hAnsi="宋体"/>
              </w:rPr>
              <w:t>名称</w:t>
            </w:r>
          </w:p>
        </w:tc>
        <w:tc>
          <w:tcPr>
            <w:tcW w:w="1852"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698" w:hRule="atLeast"/>
          <w:jc w:val="center"/>
        </w:trPr>
        <w:tc>
          <w:tcPr>
            <w:tcW w:w="115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 w:line="170" w:lineRule="exact"/>
              <w:rPr>
                <w:rFonts w:ascii="宋体" w:hAnsi="宋体" w:cs="Calibri"/>
                <w:sz w:val="17"/>
                <w:szCs w:val="17"/>
              </w:rPr>
            </w:pPr>
          </w:p>
          <w:p>
            <w:pPr>
              <w:autoSpaceDE w:val="0"/>
              <w:autoSpaceDN w:val="0"/>
              <w:adjustRightInd w:val="0"/>
              <w:ind w:left="273" w:right="-20"/>
              <w:rPr>
                <w:rFonts w:ascii="宋体" w:hAnsi="宋体" w:cs="Calibri"/>
                <w:sz w:val="24"/>
              </w:rPr>
            </w:pPr>
            <w:r>
              <w:rPr>
                <w:rFonts w:hint="eastAsia" w:ascii="宋体" w:hAnsi="宋体"/>
              </w:rPr>
              <w:t>职</w:t>
            </w:r>
            <w:r>
              <w:rPr>
                <w:rFonts w:hint="eastAsia" w:ascii="宋体" w:hAnsi="宋体"/>
              </w:rPr>
              <w:tab/>
            </w:r>
            <w:r>
              <w:rPr>
                <w:rFonts w:hint="eastAsia" w:ascii="宋体" w:hAnsi="宋体"/>
              </w:rPr>
              <w:t>称</w:t>
            </w:r>
          </w:p>
        </w:tc>
        <w:tc>
          <w:tcPr>
            <w:tcW w:w="1022"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933" w:type="dxa"/>
            <w:tcBorders>
              <w:top w:val="single" w:color="000000" w:sz="4" w:space="0"/>
              <w:left w:val="nil"/>
              <w:bottom w:val="single" w:color="000000" w:sz="4" w:space="0"/>
              <w:right w:val="single" w:color="000000" w:sz="4" w:space="0"/>
            </w:tcBorders>
          </w:tcPr>
          <w:p>
            <w:pPr>
              <w:autoSpaceDE w:val="0"/>
              <w:autoSpaceDN w:val="0"/>
              <w:adjustRightInd w:val="0"/>
              <w:spacing w:before="3" w:line="170" w:lineRule="exact"/>
              <w:rPr>
                <w:rFonts w:ascii="宋体" w:hAnsi="宋体" w:cs="Calibri"/>
                <w:sz w:val="17"/>
                <w:szCs w:val="17"/>
              </w:rPr>
            </w:pPr>
          </w:p>
          <w:p>
            <w:pPr>
              <w:autoSpaceDE w:val="0"/>
              <w:autoSpaceDN w:val="0"/>
              <w:adjustRightInd w:val="0"/>
              <w:ind w:left="263" w:right="-20"/>
              <w:rPr>
                <w:rFonts w:ascii="宋体" w:hAnsi="宋体" w:cs="Calibri"/>
                <w:sz w:val="24"/>
              </w:rPr>
            </w:pPr>
            <w:r>
              <w:rPr>
                <w:rFonts w:hint="eastAsia" w:ascii="宋体" w:hAnsi="宋体"/>
              </w:rPr>
              <w:t>学历</w:t>
            </w:r>
          </w:p>
        </w:tc>
        <w:tc>
          <w:tcPr>
            <w:tcW w:w="1041"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310" w:type="dxa"/>
            <w:gridSpan w:val="3"/>
            <w:tcBorders>
              <w:top w:val="single" w:color="000000" w:sz="4" w:space="0"/>
              <w:left w:val="nil"/>
              <w:bottom w:val="single" w:color="000000" w:sz="4" w:space="0"/>
              <w:right w:val="single" w:color="000000" w:sz="4" w:space="0"/>
            </w:tcBorders>
          </w:tcPr>
          <w:p>
            <w:pPr>
              <w:autoSpaceDE w:val="0"/>
              <w:autoSpaceDN w:val="0"/>
              <w:adjustRightInd w:val="0"/>
              <w:spacing w:before="3" w:line="170" w:lineRule="exact"/>
              <w:rPr>
                <w:rFonts w:ascii="宋体" w:hAnsi="宋体" w:cs="Calibri"/>
                <w:sz w:val="17"/>
                <w:szCs w:val="17"/>
              </w:rPr>
            </w:pPr>
          </w:p>
          <w:p>
            <w:pPr>
              <w:autoSpaceDE w:val="0"/>
              <w:autoSpaceDN w:val="0"/>
              <w:adjustRightInd w:val="0"/>
              <w:ind w:left="443" w:right="-20"/>
              <w:rPr>
                <w:rFonts w:ascii="宋体" w:hAnsi="宋体" w:cs="Calibri"/>
                <w:sz w:val="24"/>
              </w:rPr>
            </w:pPr>
            <w:r>
              <w:rPr>
                <w:rFonts w:hint="eastAsia" w:ascii="宋体" w:hAnsi="宋体"/>
              </w:rPr>
              <w:t>拟在</w:t>
            </w:r>
            <w:r>
              <w:rPr>
                <w:rFonts w:hint="eastAsia" w:ascii="宋体" w:hAnsi="宋体"/>
                <w:spacing w:val="-2"/>
              </w:rPr>
              <w:t>本</w:t>
            </w:r>
            <w:r>
              <w:rPr>
                <w:rFonts w:hint="eastAsia" w:ascii="宋体" w:hAnsi="宋体"/>
              </w:rPr>
              <w:t>项</w:t>
            </w:r>
            <w:r>
              <w:rPr>
                <w:rFonts w:hint="eastAsia" w:ascii="宋体" w:hAnsi="宋体"/>
                <w:spacing w:val="-2"/>
              </w:rPr>
              <w:t>目</w:t>
            </w:r>
            <w:r>
              <w:rPr>
                <w:rFonts w:hint="eastAsia" w:ascii="宋体" w:hAnsi="宋体"/>
              </w:rPr>
              <w:t>任职</w:t>
            </w:r>
          </w:p>
        </w:tc>
        <w:tc>
          <w:tcPr>
            <w:tcW w:w="1852"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01" w:hRule="atLeast"/>
          <w:jc w:val="center"/>
        </w:trPr>
        <w:tc>
          <w:tcPr>
            <w:tcW w:w="115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6" w:line="170" w:lineRule="exact"/>
              <w:rPr>
                <w:rFonts w:ascii="宋体" w:hAnsi="宋体" w:cs="Calibri"/>
                <w:sz w:val="17"/>
                <w:szCs w:val="17"/>
              </w:rPr>
            </w:pPr>
          </w:p>
          <w:p>
            <w:pPr>
              <w:autoSpaceDE w:val="0"/>
              <w:autoSpaceDN w:val="0"/>
              <w:adjustRightInd w:val="0"/>
              <w:ind w:left="167" w:right="-20"/>
              <w:rPr>
                <w:rFonts w:ascii="宋体" w:hAnsi="宋体" w:cs="Calibri"/>
                <w:sz w:val="24"/>
              </w:rPr>
            </w:pPr>
            <w:r>
              <w:rPr>
                <w:rFonts w:hint="eastAsia" w:ascii="宋体" w:hAnsi="宋体"/>
              </w:rPr>
              <w:t>工作</w:t>
            </w:r>
            <w:r>
              <w:rPr>
                <w:rFonts w:hint="eastAsia" w:ascii="宋体" w:hAnsi="宋体"/>
                <w:spacing w:val="-2"/>
              </w:rPr>
              <w:t>年</w:t>
            </w:r>
            <w:r>
              <w:rPr>
                <w:rFonts w:hint="eastAsia" w:ascii="宋体" w:hAnsi="宋体"/>
              </w:rPr>
              <w:t>限</w:t>
            </w:r>
          </w:p>
        </w:tc>
        <w:tc>
          <w:tcPr>
            <w:tcW w:w="2996"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310" w:type="dxa"/>
            <w:gridSpan w:val="3"/>
            <w:tcBorders>
              <w:top w:val="single" w:color="000000" w:sz="4" w:space="0"/>
              <w:left w:val="nil"/>
              <w:bottom w:val="single" w:color="000000" w:sz="4" w:space="0"/>
              <w:right w:val="single" w:color="000000" w:sz="4" w:space="0"/>
            </w:tcBorders>
          </w:tcPr>
          <w:p>
            <w:pPr>
              <w:autoSpaceDE w:val="0"/>
              <w:autoSpaceDN w:val="0"/>
              <w:adjustRightInd w:val="0"/>
              <w:spacing w:before="6" w:line="170" w:lineRule="exact"/>
              <w:rPr>
                <w:rFonts w:ascii="宋体" w:hAnsi="宋体" w:cs="Calibri"/>
                <w:sz w:val="17"/>
                <w:szCs w:val="17"/>
              </w:rPr>
            </w:pPr>
          </w:p>
          <w:p>
            <w:pPr>
              <w:autoSpaceDE w:val="0"/>
              <w:autoSpaceDN w:val="0"/>
              <w:adjustRightInd w:val="0"/>
              <w:ind w:left="337" w:right="-20"/>
              <w:rPr>
                <w:rFonts w:ascii="宋体" w:hAnsi="宋体" w:cs="Calibri"/>
                <w:sz w:val="24"/>
              </w:rPr>
            </w:pPr>
            <w:r>
              <w:rPr>
                <w:rFonts w:hint="eastAsia" w:ascii="宋体" w:hAnsi="宋体"/>
              </w:rPr>
              <w:t>从事</w:t>
            </w:r>
            <w:r>
              <w:rPr>
                <w:rFonts w:hint="eastAsia" w:ascii="宋体" w:hAnsi="宋体"/>
                <w:spacing w:val="-2"/>
              </w:rPr>
              <w:t>勘察或设计工</w:t>
            </w:r>
            <w:r>
              <w:rPr>
                <w:rFonts w:hint="eastAsia" w:ascii="宋体" w:hAnsi="宋体"/>
              </w:rPr>
              <w:t>作</w:t>
            </w:r>
            <w:r>
              <w:rPr>
                <w:rFonts w:hint="eastAsia" w:ascii="宋体" w:hAnsi="宋体"/>
                <w:spacing w:val="-2"/>
              </w:rPr>
              <w:t>年</w:t>
            </w:r>
            <w:r>
              <w:rPr>
                <w:rFonts w:hint="eastAsia" w:ascii="宋体" w:hAnsi="宋体"/>
              </w:rPr>
              <w:t>限</w:t>
            </w:r>
          </w:p>
        </w:tc>
        <w:tc>
          <w:tcPr>
            <w:tcW w:w="1852"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10" w:hRule="atLeast"/>
          <w:jc w:val="center"/>
        </w:trPr>
        <w:tc>
          <w:tcPr>
            <w:tcW w:w="115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 w:line="170" w:lineRule="exact"/>
              <w:rPr>
                <w:rFonts w:ascii="宋体" w:hAnsi="宋体" w:cs="Calibri"/>
                <w:sz w:val="17"/>
                <w:szCs w:val="17"/>
              </w:rPr>
            </w:pPr>
          </w:p>
          <w:p>
            <w:pPr>
              <w:autoSpaceDE w:val="0"/>
              <w:autoSpaceDN w:val="0"/>
              <w:adjustRightInd w:val="0"/>
              <w:ind w:left="167" w:right="-20"/>
              <w:rPr>
                <w:rFonts w:ascii="宋体" w:hAnsi="宋体" w:cs="Calibri"/>
                <w:sz w:val="24"/>
              </w:rPr>
            </w:pPr>
            <w:r>
              <w:rPr>
                <w:rFonts w:hint="eastAsia" w:ascii="宋体" w:hAnsi="宋体"/>
              </w:rPr>
              <w:t>毕业</w:t>
            </w:r>
            <w:r>
              <w:rPr>
                <w:rFonts w:hint="eastAsia" w:ascii="宋体" w:hAnsi="宋体"/>
                <w:spacing w:val="-2"/>
              </w:rPr>
              <w:t>学</w:t>
            </w:r>
            <w:r>
              <w:rPr>
                <w:rFonts w:hint="eastAsia" w:ascii="宋体" w:hAnsi="宋体"/>
              </w:rPr>
              <w:t>校</w:t>
            </w:r>
          </w:p>
        </w:tc>
        <w:tc>
          <w:tcPr>
            <w:tcW w:w="7158" w:type="dxa"/>
            <w:gridSpan w:val="8"/>
            <w:tcBorders>
              <w:top w:val="single" w:color="000000" w:sz="4" w:space="0"/>
              <w:left w:val="nil"/>
              <w:bottom w:val="single" w:color="000000" w:sz="4" w:space="0"/>
              <w:right w:val="single" w:color="000000" w:sz="4" w:space="0"/>
            </w:tcBorders>
          </w:tcPr>
          <w:p>
            <w:pPr>
              <w:autoSpaceDE w:val="0"/>
              <w:autoSpaceDN w:val="0"/>
              <w:adjustRightInd w:val="0"/>
              <w:spacing w:before="8" w:line="170" w:lineRule="exact"/>
              <w:rPr>
                <w:rFonts w:ascii="宋体" w:hAnsi="宋体" w:cs="Calibri"/>
                <w:sz w:val="17"/>
                <w:szCs w:val="17"/>
              </w:rPr>
            </w:pPr>
          </w:p>
          <w:p>
            <w:pPr>
              <w:autoSpaceDE w:val="0"/>
              <w:autoSpaceDN w:val="0"/>
              <w:adjustRightInd w:val="0"/>
              <w:ind w:left="1257" w:right="-20"/>
              <w:rPr>
                <w:rFonts w:ascii="宋体" w:hAnsi="宋体" w:cs="Calibri"/>
                <w:sz w:val="24"/>
              </w:rPr>
            </w:pPr>
            <w:r>
              <w:rPr>
                <w:rFonts w:hint="eastAsia" w:ascii="宋体" w:hAnsi="宋体"/>
              </w:rPr>
              <w:t>年毕</w:t>
            </w:r>
            <w:r>
              <w:rPr>
                <w:rFonts w:hint="eastAsia" w:ascii="宋体" w:hAnsi="宋体"/>
                <w:spacing w:val="-2"/>
              </w:rPr>
              <w:t>业</w:t>
            </w:r>
            <w:r>
              <w:rPr>
                <w:rFonts w:hint="eastAsia" w:ascii="宋体" w:hAnsi="宋体"/>
              </w:rPr>
              <w:t>于</w:t>
            </w:r>
            <w:r>
              <w:rPr>
                <w:rFonts w:hint="eastAsia" w:ascii="宋体" w:hAnsi="宋体"/>
              </w:rPr>
              <w:tab/>
            </w:r>
            <w:r>
              <w:rPr>
                <w:rFonts w:hint="eastAsia" w:ascii="宋体" w:hAnsi="宋体"/>
                <w:spacing w:val="-2"/>
              </w:rPr>
              <w:t>学</w:t>
            </w:r>
            <w:r>
              <w:rPr>
                <w:rFonts w:hint="eastAsia" w:ascii="宋体" w:hAnsi="宋体"/>
              </w:rPr>
              <w:t>校</w:t>
            </w:r>
            <w:r>
              <w:rPr>
                <w:rFonts w:hint="eastAsia" w:ascii="宋体" w:hAnsi="宋体"/>
              </w:rPr>
              <w:tab/>
            </w:r>
            <w:r>
              <w:rPr>
                <w:rFonts w:hint="eastAsia" w:ascii="宋体" w:hAnsi="宋体"/>
              </w:rPr>
              <w:t>专业</w:t>
            </w:r>
          </w:p>
        </w:tc>
      </w:tr>
      <w:tr>
        <w:tblPrEx>
          <w:tblCellMar>
            <w:top w:w="0" w:type="dxa"/>
            <w:left w:w="0" w:type="dxa"/>
            <w:bottom w:w="0" w:type="dxa"/>
            <w:right w:w="0" w:type="dxa"/>
          </w:tblCellMar>
        </w:tblPrEx>
        <w:trPr>
          <w:trHeight w:val="694" w:hRule="atLeast"/>
          <w:jc w:val="center"/>
        </w:trPr>
        <w:tc>
          <w:tcPr>
            <w:tcW w:w="8313"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170" w:lineRule="exact"/>
              <w:rPr>
                <w:rFonts w:ascii="宋体" w:hAnsi="宋体" w:cs="Calibri"/>
                <w:sz w:val="17"/>
                <w:szCs w:val="17"/>
              </w:rPr>
            </w:pPr>
          </w:p>
          <w:p>
            <w:pPr>
              <w:autoSpaceDE w:val="0"/>
              <w:autoSpaceDN w:val="0"/>
              <w:adjustRightInd w:val="0"/>
              <w:ind w:left="102" w:right="-20"/>
              <w:rPr>
                <w:rFonts w:ascii="宋体" w:hAnsi="宋体" w:cs="Calibri"/>
                <w:sz w:val="24"/>
              </w:rPr>
            </w:pPr>
            <w:r>
              <w:rPr>
                <w:rFonts w:hint="eastAsia" w:ascii="宋体" w:hAnsi="宋体"/>
              </w:rPr>
              <w:t>主要</w:t>
            </w:r>
            <w:r>
              <w:rPr>
                <w:rFonts w:hint="eastAsia" w:ascii="宋体" w:hAnsi="宋体"/>
                <w:spacing w:val="-2"/>
              </w:rPr>
              <w:t>工</w:t>
            </w:r>
            <w:r>
              <w:rPr>
                <w:rFonts w:hint="eastAsia" w:ascii="宋体" w:hAnsi="宋体"/>
              </w:rPr>
              <w:t>作</w:t>
            </w:r>
            <w:r>
              <w:rPr>
                <w:rFonts w:hint="eastAsia" w:ascii="宋体" w:hAnsi="宋体"/>
                <w:spacing w:val="-2"/>
              </w:rPr>
              <w:t>经</w:t>
            </w:r>
            <w:r>
              <w:rPr>
                <w:rFonts w:hint="eastAsia" w:ascii="宋体" w:hAnsi="宋体"/>
              </w:rPr>
              <w:t>历</w:t>
            </w:r>
          </w:p>
        </w:tc>
      </w:tr>
      <w:tr>
        <w:tblPrEx>
          <w:tblCellMar>
            <w:top w:w="0" w:type="dxa"/>
            <w:left w:w="0" w:type="dxa"/>
            <w:bottom w:w="0" w:type="dxa"/>
            <w:right w:w="0" w:type="dxa"/>
          </w:tblCellMar>
        </w:tblPrEx>
        <w:trPr>
          <w:trHeight w:val="718"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3" w:line="180" w:lineRule="exact"/>
              <w:rPr>
                <w:rFonts w:ascii="宋体" w:hAnsi="宋体" w:cs="Calibri"/>
                <w:sz w:val="18"/>
                <w:szCs w:val="18"/>
              </w:rPr>
            </w:pPr>
          </w:p>
          <w:p>
            <w:pPr>
              <w:autoSpaceDE w:val="0"/>
              <w:autoSpaceDN w:val="0"/>
              <w:adjustRightInd w:val="0"/>
              <w:ind w:left="450" w:right="-20"/>
              <w:rPr>
                <w:rFonts w:ascii="宋体" w:hAnsi="宋体" w:cs="Calibri"/>
                <w:sz w:val="24"/>
              </w:rPr>
            </w:pPr>
            <w:r>
              <w:rPr>
                <w:rFonts w:hint="eastAsia" w:ascii="宋体" w:hAnsi="宋体"/>
              </w:rPr>
              <w:t>时</w:t>
            </w:r>
            <w:r>
              <w:rPr>
                <w:rFonts w:hint="eastAsia" w:ascii="宋体" w:hAnsi="宋体"/>
              </w:rPr>
              <w:tab/>
            </w:r>
            <w:r>
              <w:rPr>
                <w:rFonts w:hint="eastAsia" w:ascii="宋体" w:hAnsi="宋体"/>
              </w:rPr>
              <w:t>间</w:t>
            </w: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spacing w:before="3" w:line="180" w:lineRule="exact"/>
              <w:rPr>
                <w:rFonts w:ascii="宋体" w:hAnsi="宋体" w:cs="Calibri"/>
                <w:sz w:val="18"/>
                <w:szCs w:val="18"/>
              </w:rPr>
            </w:pPr>
          </w:p>
          <w:p>
            <w:pPr>
              <w:autoSpaceDE w:val="0"/>
              <w:autoSpaceDN w:val="0"/>
              <w:adjustRightInd w:val="0"/>
              <w:ind w:left="864" w:right="-20"/>
              <w:rPr>
                <w:rFonts w:ascii="宋体" w:hAnsi="宋体" w:cs="Calibri"/>
                <w:sz w:val="24"/>
              </w:rPr>
            </w:pPr>
            <w:r>
              <w:rPr>
                <w:rFonts w:hint="eastAsia" w:ascii="宋体" w:hAnsi="宋体"/>
              </w:rPr>
              <w:t>参加</w:t>
            </w:r>
            <w:r>
              <w:rPr>
                <w:rFonts w:hint="eastAsia" w:ascii="宋体" w:hAnsi="宋体"/>
                <w:spacing w:val="-2"/>
              </w:rPr>
              <w:t>过</w:t>
            </w:r>
            <w:r>
              <w:rPr>
                <w:rFonts w:hint="eastAsia" w:ascii="宋体" w:hAnsi="宋体"/>
              </w:rPr>
              <w:t>的</w:t>
            </w:r>
            <w:r>
              <w:rPr>
                <w:rFonts w:hint="eastAsia" w:ascii="宋体" w:hAnsi="宋体"/>
                <w:spacing w:val="-2"/>
              </w:rPr>
              <w:t>类</w:t>
            </w:r>
            <w:r>
              <w:rPr>
                <w:rFonts w:hint="eastAsia" w:ascii="宋体" w:hAnsi="宋体"/>
              </w:rPr>
              <w:t>似</w:t>
            </w:r>
            <w:r>
              <w:rPr>
                <w:rFonts w:hint="eastAsia" w:ascii="宋体" w:hAnsi="宋体"/>
                <w:spacing w:val="-2"/>
              </w:rPr>
              <w:t>项</w:t>
            </w:r>
            <w:r>
              <w:rPr>
                <w:rFonts w:hint="eastAsia" w:ascii="宋体" w:hAnsi="宋体"/>
              </w:rPr>
              <w:t>目</w:t>
            </w: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spacing w:before="3" w:line="180" w:lineRule="exact"/>
              <w:rPr>
                <w:rFonts w:ascii="宋体" w:hAnsi="宋体" w:cs="Calibri"/>
                <w:sz w:val="18"/>
                <w:szCs w:val="18"/>
              </w:rPr>
            </w:pPr>
          </w:p>
          <w:p>
            <w:pPr>
              <w:autoSpaceDE w:val="0"/>
              <w:autoSpaceDN w:val="0"/>
              <w:adjustRightInd w:val="0"/>
              <w:ind w:left="203" w:right="-20"/>
              <w:rPr>
                <w:rFonts w:ascii="宋体" w:hAnsi="宋体" w:cs="Calibri"/>
                <w:sz w:val="24"/>
              </w:rPr>
            </w:pPr>
            <w:r>
              <w:rPr>
                <w:rFonts w:hint="eastAsia" w:ascii="宋体" w:hAnsi="宋体"/>
              </w:rPr>
              <w:t>担任</w:t>
            </w:r>
            <w:r>
              <w:rPr>
                <w:rFonts w:hint="eastAsia" w:ascii="宋体" w:hAnsi="宋体"/>
                <w:spacing w:val="-2"/>
              </w:rPr>
              <w:t>职</w:t>
            </w:r>
            <w:r>
              <w:rPr>
                <w:rFonts w:hint="eastAsia" w:ascii="宋体" w:hAnsi="宋体"/>
              </w:rPr>
              <w:t>务</w:t>
            </w: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spacing w:before="3" w:line="180" w:lineRule="exact"/>
              <w:rPr>
                <w:rFonts w:ascii="宋体" w:hAnsi="宋体" w:cs="Calibri"/>
                <w:sz w:val="18"/>
                <w:szCs w:val="18"/>
              </w:rPr>
            </w:pPr>
          </w:p>
          <w:p>
            <w:pPr>
              <w:autoSpaceDE w:val="0"/>
              <w:autoSpaceDN w:val="0"/>
              <w:adjustRightInd w:val="0"/>
              <w:ind w:left="301" w:right="-20"/>
              <w:rPr>
                <w:rFonts w:ascii="宋体" w:hAnsi="宋体" w:cs="Calibri"/>
                <w:sz w:val="24"/>
              </w:rPr>
            </w:pPr>
            <w:r>
              <w:rPr>
                <w:rFonts w:hint="eastAsia" w:ascii="宋体" w:hAnsi="宋体"/>
              </w:rPr>
              <w:t>发包</w:t>
            </w:r>
            <w:r>
              <w:rPr>
                <w:rFonts w:hint="eastAsia" w:ascii="宋体" w:hAnsi="宋体"/>
                <w:spacing w:val="-2"/>
              </w:rPr>
              <w:t>人</w:t>
            </w:r>
            <w:r>
              <w:rPr>
                <w:rFonts w:hint="eastAsia" w:ascii="宋体" w:hAnsi="宋体"/>
              </w:rPr>
              <w:t>及</w:t>
            </w:r>
            <w:r>
              <w:rPr>
                <w:rFonts w:hint="eastAsia" w:ascii="宋体" w:hAnsi="宋体"/>
                <w:spacing w:val="-2"/>
              </w:rPr>
              <w:t>联</w:t>
            </w:r>
            <w:r>
              <w:rPr>
                <w:rFonts w:hint="eastAsia" w:ascii="宋体" w:hAnsi="宋体"/>
              </w:rPr>
              <w:t>系</w:t>
            </w:r>
            <w:r>
              <w:rPr>
                <w:rFonts w:hint="eastAsia" w:ascii="宋体" w:hAnsi="宋体"/>
                <w:spacing w:val="-2"/>
              </w:rPr>
              <w:t>电</w:t>
            </w:r>
            <w:r>
              <w:rPr>
                <w:rFonts w:hint="eastAsia" w:ascii="宋体" w:hAnsi="宋体"/>
              </w:rPr>
              <w:t>话</w:t>
            </w:r>
          </w:p>
        </w:tc>
      </w:tr>
      <w:tr>
        <w:tblPrEx>
          <w:tblCellMar>
            <w:top w:w="0" w:type="dxa"/>
            <w:left w:w="0" w:type="dxa"/>
            <w:bottom w:w="0" w:type="dxa"/>
            <w:right w:w="0" w:type="dxa"/>
          </w:tblCellMar>
        </w:tblPrEx>
        <w:trPr>
          <w:trHeight w:val="701"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698"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01"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01"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699"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01"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r>
        <w:tblPrEx>
          <w:tblCellMar>
            <w:top w:w="0" w:type="dxa"/>
            <w:left w:w="0" w:type="dxa"/>
            <w:bottom w:w="0" w:type="dxa"/>
            <w:right w:w="0" w:type="dxa"/>
          </w:tblCellMar>
        </w:tblPrEx>
        <w:trPr>
          <w:trHeight w:val="701" w:hRule="atLeast"/>
          <w:jc w:val="center"/>
        </w:trPr>
        <w:tc>
          <w:tcPr>
            <w:tcW w:w="150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s="Calibri"/>
                <w:sz w:val="24"/>
              </w:rPr>
            </w:pPr>
          </w:p>
        </w:tc>
        <w:tc>
          <w:tcPr>
            <w:tcW w:w="3337" w:type="dxa"/>
            <w:gridSpan w:val="4"/>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1229" w:type="dxa"/>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c>
          <w:tcPr>
            <w:tcW w:w="2243" w:type="dxa"/>
            <w:gridSpan w:val="2"/>
            <w:tcBorders>
              <w:top w:val="single" w:color="000000" w:sz="4" w:space="0"/>
              <w:left w:val="nil"/>
              <w:bottom w:val="single" w:color="000000" w:sz="4" w:space="0"/>
              <w:right w:val="single" w:color="000000" w:sz="4" w:space="0"/>
            </w:tcBorders>
          </w:tcPr>
          <w:p>
            <w:pPr>
              <w:autoSpaceDE w:val="0"/>
              <w:autoSpaceDN w:val="0"/>
              <w:adjustRightInd w:val="0"/>
              <w:rPr>
                <w:rFonts w:ascii="宋体" w:hAnsi="宋体" w:cs="Calibri"/>
                <w:sz w:val="24"/>
              </w:rPr>
            </w:pPr>
          </w:p>
        </w:tc>
      </w:tr>
    </w:tbl>
    <w:p>
      <w:pPr>
        <w:autoSpaceDE w:val="0"/>
        <w:autoSpaceDN w:val="0"/>
        <w:adjustRightInd w:val="0"/>
        <w:spacing w:line="110" w:lineRule="exact"/>
        <w:rPr>
          <w:rFonts w:ascii="宋体" w:hAnsi="宋体" w:cs="Calibri"/>
          <w:sz w:val="11"/>
          <w:szCs w:val="11"/>
        </w:rPr>
      </w:pPr>
      <w:r>
        <w:rPr>
          <w:rFonts w:hint="eastAsia" w:ascii="宋体" w:hAnsi="宋体"/>
          <w:sz w:val="11"/>
          <w:szCs w:val="11"/>
        </w:rPr>
        <w:t xml:space="preserve"> </w:t>
      </w:r>
    </w:p>
    <w:p>
      <w:pPr>
        <w:autoSpaceDE w:val="0"/>
        <w:autoSpaceDN w:val="0"/>
        <w:adjustRightInd w:val="0"/>
        <w:spacing w:line="296" w:lineRule="exact"/>
        <w:ind w:left="100" w:right="-20"/>
        <w:rPr>
          <w:rFonts w:ascii="宋体" w:hAnsi="宋体"/>
          <w:szCs w:val="21"/>
        </w:rPr>
      </w:pPr>
      <w:r>
        <w:rPr>
          <w:rFonts w:hint="eastAsia" w:ascii="宋体" w:hAnsi="宋体"/>
        </w:rPr>
        <w:t>注：</w:t>
      </w:r>
      <w:r>
        <w:rPr>
          <w:rFonts w:hint="eastAsia" w:ascii="宋体" w:hAnsi="宋体"/>
          <w:spacing w:val="-2"/>
        </w:rPr>
        <w:t>投</w:t>
      </w:r>
      <w:r>
        <w:rPr>
          <w:rFonts w:hint="eastAsia" w:ascii="宋体" w:hAnsi="宋体"/>
        </w:rPr>
        <w:t>标</w:t>
      </w:r>
      <w:r>
        <w:rPr>
          <w:rFonts w:hint="eastAsia" w:ascii="宋体" w:hAnsi="宋体"/>
          <w:spacing w:val="-2"/>
        </w:rPr>
        <w:t>人</w:t>
      </w:r>
      <w:r>
        <w:rPr>
          <w:rFonts w:hint="eastAsia" w:ascii="宋体" w:hAnsi="宋体"/>
        </w:rPr>
        <w:t>应</w:t>
      </w:r>
      <w:r>
        <w:rPr>
          <w:rFonts w:hint="eastAsia" w:ascii="宋体" w:hAnsi="宋体"/>
          <w:spacing w:val="-2"/>
        </w:rPr>
        <w:t>根</w:t>
      </w:r>
      <w:r>
        <w:rPr>
          <w:rFonts w:hint="eastAsia" w:ascii="宋体" w:hAnsi="宋体"/>
        </w:rPr>
        <w:t>据</w:t>
      </w:r>
      <w:r>
        <w:rPr>
          <w:rFonts w:hint="eastAsia" w:ascii="宋体" w:hAnsi="宋体"/>
          <w:spacing w:val="-2"/>
        </w:rPr>
        <w:t>投</w:t>
      </w:r>
      <w:r>
        <w:rPr>
          <w:rFonts w:hint="eastAsia" w:ascii="宋体" w:hAnsi="宋体"/>
        </w:rPr>
        <w:t>标</w:t>
      </w:r>
      <w:r>
        <w:rPr>
          <w:rFonts w:hint="eastAsia" w:ascii="宋体" w:hAnsi="宋体"/>
          <w:spacing w:val="-2"/>
        </w:rPr>
        <w:t>人</w:t>
      </w:r>
      <w:r>
        <w:rPr>
          <w:rFonts w:hint="eastAsia" w:ascii="宋体" w:hAnsi="宋体"/>
        </w:rPr>
        <w:t>须</w:t>
      </w:r>
      <w:r>
        <w:rPr>
          <w:rFonts w:hint="eastAsia" w:ascii="宋体" w:hAnsi="宋体"/>
          <w:spacing w:val="-2"/>
        </w:rPr>
        <w:t>知</w:t>
      </w:r>
      <w:r>
        <w:rPr>
          <w:rFonts w:hint="eastAsia" w:ascii="宋体" w:hAnsi="宋体"/>
        </w:rPr>
        <w:t>的</w:t>
      </w:r>
      <w:r>
        <w:rPr>
          <w:rFonts w:hint="eastAsia" w:ascii="宋体" w:hAnsi="宋体"/>
          <w:spacing w:val="-2"/>
        </w:rPr>
        <w:t>要</w:t>
      </w:r>
      <w:r>
        <w:rPr>
          <w:rFonts w:hint="eastAsia" w:ascii="宋体" w:hAnsi="宋体"/>
        </w:rPr>
        <w:t>求</w:t>
      </w:r>
      <w:r>
        <w:rPr>
          <w:rFonts w:hint="eastAsia" w:ascii="宋体" w:hAnsi="宋体"/>
          <w:spacing w:val="-2"/>
        </w:rPr>
        <w:t>在本</w:t>
      </w:r>
      <w:r>
        <w:rPr>
          <w:rFonts w:hint="eastAsia" w:ascii="宋体" w:hAnsi="宋体"/>
        </w:rPr>
        <w:t>表后</w:t>
      </w:r>
      <w:r>
        <w:rPr>
          <w:rFonts w:hint="eastAsia" w:ascii="宋体" w:hAnsi="宋体"/>
          <w:spacing w:val="-2"/>
        </w:rPr>
        <w:t>附</w:t>
      </w:r>
      <w:r>
        <w:rPr>
          <w:rFonts w:hint="eastAsia" w:ascii="宋体" w:hAnsi="宋体"/>
        </w:rPr>
        <w:t>相</w:t>
      </w:r>
      <w:r>
        <w:rPr>
          <w:rFonts w:hint="eastAsia" w:ascii="宋体" w:hAnsi="宋体"/>
          <w:spacing w:val="-2"/>
        </w:rPr>
        <w:t>关</w:t>
      </w:r>
      <w:r>
        <w:rPr>
          <w:rFonts w:hint="eastAsia" w:ascii="宋体" w:hAnsi="宋体"/>
        </w:rPr>
        <w:t>证</w:t>
      </w:r>
      <w:r>
        <w:rPr>
          <w:rFonts w:hint="eastAsia" w:ascii="宋体" w:hAnsi="宋体"/>
          <w:spacing w:val="-2"/>
        </w:rPr>
        <w:t>明</w:t>
      </w:r>
      <w:r>
        <w:rPr>
          <w:rFonts w:hint="eastAsia" w:ascii="宋体" w:hAnsi="宋体"/>
        </w:rPr>
        <w:t>材</w:t>
      </w:r>
      <w:r>
        <w:rPr>
          <w:rFonts w:hint="eastAsia" w:ascii="宋体" w:hAnsi="宋体"/>
          <w:spacing w:val="-2"/>
        </w:rPr>
        <w:t>料扫描件</w:t>
      </w:r>
      <w:r>
        <w:rPr>
          <w:rFonts w:hint="eastAsia" w:ascii="宋体" w:hAnsi="宋体"/>
        </w:rPr>
        <w:t>。</w:t>
      </w:r>
    </w:p>
    <w:p>
      <w:pPr>
        <w:autoSpaceDE w:val="0"/>
        <w:autoSpaceDN w:val="0"/>
        <w:adjustRightInd w:val="0"/>
        <w:spacing w:line="466" w:lineRule="exact"/>
        <w:ind w:right="-20"/>
        <w:outlineLvl w:val="0"/>
        <w:rPr>
          <w:rFonts w:ascii="宋体" w:hAnsi="宋体"/>
          <w:spacing w:val="2"/>
          <w:position w:val="-1"/>
          <w:sz w:val="32"/>
          <w:szCs w:val="32"/>
        </w:rPr>
      </w:pPr>
      <w:r>
        <w:rPr>
          <w:rFonts w:hint="eastAsia" w:ascii="宋体" w:hAnsi="宋体"/>
        </w:rPr>
        <w:br w:type="page"/>
      </w:r>
      <w:bookmarkStart w:id="34" w:name="_Toc10594"/>
      <w:r>
        <w:rPr>
          <w:rFonts w:hint="eastAsia" w:ascii="宋体" w:hAnsi="宋体"/>
          <w:spacing w:val="2"/>
          <w:position w:val="-1"/>
          <w:sz w:val="32"/>
          <w:szCs w:val="32"/>
        </w:rPr>
        <w:t>格式七：企业类似工程业绩</w:t>
      </w:r>
      <w:bookmarkEnd w:id="34"/>
    </w:p>
    <w:p>
      <w:pPr>
        <w:jc w:val="center"/>
        <w:rPr>
          <w:rFonts w:ascii="宋体" w:hAnsi="宋体"/>
          <w:spacing w:val="2"/>
          <w:position w:val="-1"/>
          <w:sz w:val="32"/>
          <w:szCs w:val="32"/>
        </w:rPr>
      </w:pPr>
    </w:p>
    <w:p>
      <w:pPr>
        <w:jc w:val="center"/>
        <w:rPr>
          <w:rFonts w:ascii="宋体" w:hAnsi="宋体"/>
          <w:spacing w:val="2"/>
          <w:position w:val="-1"/>
          <w:sz w:val="32"/>
          <w:szCs w:val="32"/>
        </w:rPr>
      </w:pPr>
      <w:r>
        <w:rPr>
          <w:rFonts w:hint="eastAsia" w:ascii="宋体" w:hAnsi="宋体"/>
          <w:spacing w:val="2"/>
          <w:position w:val="-1"/>
          <w:sz w:val="32"/>
          <w:szCs w:val="32"/>
        </w:rPr>
        <w:t>企业类似工程业绩</w:t>
      </w:r>
    </w:p>
    <w:p>
      <w:pPr>
        <w:jc w:val="center"/>
        <w:rPr>
          <w:rFonts w:ascii="宋体" w:hAnsi="宋体"/>
          <w:spacing w:val="2"/>
          <w:position w:val="-1"/>
          <w:sz w:val="32"/>
          <w:szCs w:val="32"/>
        </w:rPr>
      </w:pPr>
      <w:r>
        <w:rPr>
          <w:rFonts w:hint="eastAsia" w:ascii="宋体" w:hAnsi="宋体"/>
          <w:spacing w:val="2"/>
          <w:position w:val="-1"/>
          <w:sz w:val="32"/>
          <w:szCs w:val="32"/>
        </w:rPr>
        <w:t xml:space="preserve"> </w:t>
      </w:r>
    </w:p>
    <w:tbl>
      <w:tblPr>
        <w:tblStyle w:val="2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6"/>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合同签订时间</w:t>
            </w: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项目概况</w:t>
            </w: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业主单位</w:t>
            </w: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完成情况</w:t>
            </w: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c>
          <w:tcPr>
            <w:tcW w:w="1706" w:type="dxa"/>
            <w:tcBorders>
              <w:top w:val="single" w:color="auto" w:sz="4" w:space="0"/>
              <w:left w:val="nil"/>
              <w:bottom w:val="single" w:color="auto" w:sz="4" w:space="0"/>
              <w:right w:val="single" w:color="auto" w:sz="4" w:space="0"/>
            </w:tcBorders>
            <w:vAlign w:val="center"/>
          </w:tcPr>
          <w:p>
            <w:pPr>
              <w:jc w:val="center"/>
              <w:rPr>
                <w:rFonts w:ascii="宋体" w:hAnsi="宋体" w:cs="Calibri"/>
                <w:szCs w:val="21"/>
              </w:rPr>
            </w:pPr>
          </w:p>
        </w:tc>
      </w:tr>
    </w:tbl>
    <w:p>
      <w:pPr>
        <w:pStyle w:val="40"/>
        <w:ind w:left="1480" w:hanging="1480"/>
        <w:jc w:val="left"/>
        <w:sectPr>
          <w:pgSz w:w="11906" w:h="16838"/>
          <w:pgMar w:top="1440" w:right="1800" w:bottom="1440" w:left="1800" w:header="851" w:footer="992" w:gutter="0"/>
          <w:cols w:space="720" w:num="1"/>
          <w:docGrid w:type="lines" w:linePitch="312" w:charSpace="0"/>
        </w:sectPr>
      </w:pPr>
      <w:r>
        <w:rPr>
          <w:rFonts w:hint="eastAsia" w:ascii="宋体" w:hAnsi="宋体"/>
          <w:u w:val="single"/>
        </w:rPr>
        <w:br w:type="page"/>
      </w:r>
    </w:p>
    <w:p>
      <w:pPr>
        <w:autoSpaceDE w:val="0"/>
        <w:autoSpaceDN w:val="0"/>
        <w:adjustRightInd w:val="0"/>
        <w:spacing w:line="466" w:lineRule="exact"/>
        <w:ind w:right="-20"/>
        <w:outlineLvl w:val="0"/>
        <w:rPr>
          <w:rFonts w:ascii="宋体" w:hAnsi="宋体"/>
          <w:spacing w:val="2"/>
          <w:position w:val="-1"/>
          <w:sz w:val="32"/>
          <w:szCs w:val="32"/>
        </w:rPr>
      </w:pPr>
      <w:r>
        <w:rPr>
          <w:rFonts w:hint="eastAsia" w:ascii="宋体" w:hAnsi="宋体"/>
          <w:spacing w:val="2"/>
          <w:position w:val="-1"/>
          <w:sz w:val="32"/>
          <w:szCs w:val="32"/>
        </w:rPr>
        <w:t>格式八：其他资料</w:t>
      </w:r>
    </w:p>
    <w:p>
      <w:pPr>
        <w:pStyle w:val="40"/>
        <w:ind w:left="1480" w:hanging="640"/>
        <w:rPr>
          <w:rFonts w:ascii="宋体" w:hAnsi="宋体" w:eastAsia="宋体"/>
          <w:sz w:val="32"/>
          <w:szCs w:val="32"/>
          <w:lang w:eastAsia="zh-CN"/>
        </w:rPr>
      </w:pPr>
    </w:p>
    <w:p>
      <w:pPr>
        <w:pStyle w:val="2"/>
        <w:rPr>
          <w:rFonts w:ascii="宋体" w:hAnsi="宋体" w:eastAsia="宋体"/>
          <w:kern w:val="2"/>
          <w:sz w:val="21"/>
          <w:szCs w:val="24"/>
          <w:lang w:eastAsia="zh-CN"/>
        </w:rPr>
      </w:pPr>
      <w:r>
        <w:rPr>
          <w:rFonts w:hint="eastAsia" w:ascii="宋体" w:hAnsi="宋体" w:eastAsia="宋体"/>
          <w:kern w:val="2"/>
          <w:sz w:val="21"/>
          <w:szCs w:val="24"/>
          <w:lang w:eastAsia="zh-CN"/>
        </w:rPr>
        <w:t>其他资料（投标人认为需要提供的其他资料，自行编辑提供）</w:t>
      </w: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rPr>
          <w:rFonts w:ascii="宋体" w:hAnsi="宋体" w:eastAsia="宋体"/>
          <w:kern w:val="2"/>
          <w:sz w:val="21"/>
          <w:szCs w:val="24"/>
          <w:lang w:eastAsia="zh-CN"/>
        </w:rPr>
      </w:pPr>
    </w:p>
    <w:p>
      <w:pPr>
        <w:pStyle w:val="2"/>
        <w:ind w:firstLine="0" w:firstLineChars="0"/>
        <w:rPr>
          <w:rFonts w:ascii="宋体" w:hAnsi="宋体" w:eastAsia="宋体"/>
          <w:kern w:val="2"/>
          <w:sz w:val="21"/>
          <w:szCs w:val="24"/>
          <w:lang w:eastAsia="zh-CN"/>
        </w:rPr>
      </w:pPr>
    </w:p>
    <w:sectPr>
      <w:headerReference r:id="rId13" w:type="default"/>
      <w:footerReference r:id="rId14" w:type="default"/>
      <w:pgSz w:w="11906" w:h="16838"/>
      <w:pgMar w:top="680" w:right="1134" w:bottom="680" w:left="113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51460" cy="1924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1460" cy="192405"/>
                      </a:xfrm>
                      <a:prstGeom prst="rect">
                        <a:avLst/>
                      </a:prstGeom>
                      <a:noFill/>
                      <a:ln>
                        <a:noFill/>
                      </a:ln>
                      <a:effectLst/>
                    </wps:spPr>
                    <wps:txbx>
                      <w:txbxContent>
                        <w:p>
                          <w:pPr>
                            <w:spacing w:line="203" w:lineRule="exact"/>
                            <w:ind w:left="40"/>
                            <w:rPr>
                              <w:rFonts w:cs="Calibri"/>
                              <w:sz w:val="18"/>
                              <w:szCs w:val="18"/>
                            </w:rPr>
                          </w:pPr>
                          <w:r>
                            <w:rPr>
                              <w:sz w:val="18"/>
                              <w:szCs w:val="18"/>
                            </w:rPr>
                            <w:fldChar w:fldCharType="begin"/>
                          </w:r>
                          <w:r>
                            <w:rPr>
                              <w:w w:val="99"/>
                              <w:sz w:val="18"/>
                              <w:szCs w:val="18"/>
                            </w:rPr>
                            <w:instrText xml:space="preserve"> PAGE </w:instrText>
                          </w:r>
                          <w:r>
                            <w:rPr>
                              <w:sz w:val="18"/>
                              <w:szCs w:val="18"/>
                            </w:rPr>
                            <w:fldChar w:fldCharType="separate"/>
                          </w:r>
                          <w:r>
                            <w:rPr>
                              <w:w w:val="99"/>
                              <w:sz w:val="18"/>
                              <w:szCs w:val="18"/>
                            </w:rPr>
                            <w:t>7</w:t>
                          </w:r>
                          <w:r>
                            <w:rPr>
                              <w:sz w:val="18"/>
                              <w:szCs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5.15pt;width:19.8pt;mso-position-horizontal:center;mso-position-horizontal-relative:margin;z-index:251660288;mso-width-relative:page;mso-height-relative:page;" filled="f" stroked="f" coordsize="21600,21600" o:gfxdata="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CBH70wAAAAMBAAAPAAAAAAAAAAEAIAAAACIAAABkcnMvZG93bnJldi54bWxQSwECFAAU&#10;AAAACACHTuJAF4GXOL0BAAB/AwAADgAAAAAAAAABACAAAAAiAQAAZHJzL2Uyb0RvYy54bWxQSwUG&#10;AAAAAAYABgBZAQAAUQUAAAAA&#10;">
              <v:fill on="f" focussize="0,0"/>
              <v:stroke on="f"/>
              <v:imagedata o:title=""/>
              <o:lock v:ext="edit" aspectratio="f"/>
              <v:textbox inset="0mm,0mm,0mm,0mm">
                <w:txbxContent>
                  <w:p>
                    <w:pPr>
                      <w:spacing w:line="203" w:lineRule="exact"/>
                      <w:ind w:left="40"/>
                      <w:rPr>
                        <w:rFonts w:cs="Calibri"/>
                        <w:sz w:val="18"/>
                        <w:szCs w:val="18"/>
                      </w:rPr>
                    </w:pPr>
                    <w:r>
                      <w:rPr>
                        <w:sz w:val="18"/>
                        <w:szCs w:val="18"/>
                      </w:rPr>
                      <w:fldChar w:fldCharType="begin"/>
                    </w:r>
                    <w:r>
                      <w:rPr>
                        <w:w w:val="99"/>
                        <w:sz w:val="18"/>
                        <w:szCs w:val="18"/>
                      </w:rPr>
                      <w:instrText xml:space="preserve"> PAGE </w:instrText>
                    </w:r>
                    <w:r>
                      <w:rPr>
                        <w:sz w:val="18"/>
                        <w:szCs w:val="18"/>
                      </w:rPr>
                      <w:fldChar w:fldCharType="separate"/>
                    </w:r>
                    <w:r>
                      <w:rPr>
                        <w:w w:val="99"/>
                        <w:sz w:val="18"/>
                        <w:szCs w:val="18"/>
                      </w:rPr>
                      <w:t>7</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PAGE   \* MERGEFORMAT</w:instrText>
                          </w:r>
                          <w:r>
                            <w:fldChar w:fldCharType="separate"/>
                          </w:r>
                          <w:r>
                            <w:rPr>
                              <w:lang w:val="zh-CN"/>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p>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5255" cy="1625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w="9525">
                        <a:noFill/>
                      </a:ln>
                      <a:effectLst/>
                    </wps:spPr>
                    <wps:txbx>
                      <w:txbxContent>
                        <w:p>
                          <w:pPr>
                            <w:jc w:val="center"/>
                          </w:pPr>
                          <w:r>
                            <w:fldChar w:fldCharType="begin"/>
                          </w:r>
                          <w:r>
                            <w:instrText xml:space="preserve"> PAGE  \* MERGEFORMAT </w:instrText>
                          </w:r>
                          <w:r>
                            <w:fldChar w:fldCharType="separate"/>
                          </w:r>
                          <w:r>
                            <w:t>63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pt;width:10.65pt;mso-position-horizontal:center;mso-position-horizontal-relative:margin;mso-wrap-style:none;z-index:251663360;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0cwdEAAAADAQAADwAAAAAAAAABACAA&#10;AAAiAAAAZHJzL2Rvd25yZXYueG1sUEsBAhQAFAAAAAgAh07iQD8+Y77bAQAArgMAAA4AAAAAAAAA&#10;AQAgAAAAIAEAAGRycy9lMm9Eb2MueG1sUEsFBgAAAAAGAAYAWQEAAG0FA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Align="top"/>
      <w:rPr>
        <w:rStyle w:val="27"/>
      </w:rPr>
    </w:pPr>
    <w:r>
      <w:fldChar w:fldCharType="begin"/>
    </w:r>
    <w:r>
      <w:rPr>
        <w:rStyle w:val="27"/>
      </w:rPr>
      <w:instrText xml:space="preserve">PAGE  </w:instrText>
    </w:r>
    <w:r>
      <w:fldChar w:fldCharType="separate"/>
    </w:r>
    <w:r>
      <w:rPr>
        <w:rStyle w:val="27"/>
      </w:rPr>
      <w:t>21</w:t>
    </w:r>
    <w:r>
      <w:fldChar w:fldCharType="end"/>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4"/>
                          </w:pPr>
                          <w:r>
                            <w:fldChar w:fldCharType="begin"/>
                          </w:r>
                          <w:r>
                            <w:rPr>
                              <w:rStyle w:val="27"/>
                            </w:rPr>
                            <w:instrText xml:space="preserve">PAGE  </w:instrText>
                          </w:r>
                          <w:r>
                            <w:fldChar w:fldCharType="separate"/>
                          </w:r>
                          <w:r>
                            <w:rPr>
                              <w:rStyle w:val="27"/>
                            </w:rPr>
                            <w:t>68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Xxrah2AEAALADAAAOAAAAAAAAAAEAIAAA&#10;AB4BAABkcnMvZTJvRG9jLnhtbFBLBQYAAAAABgAGAFkBAABoBQAAAAA=&#10;">
              <v:fill on="f" focussize="0,0"/>
              <v:stroke on="f"/>
              <v:imagedata o:title=""/>
              <o:lock v:ext="edit" aspectratio="f"/>
              <v:textbox inset="0mm,0mm,0mm,0mm" style="mso-fit-shape-to-text:t;">
                <w:txbxContent>
                  <w:p>
                    <w:pPr>
                      <w:pStyle w:val="14"/>
                    </w:pPr>
                    <w:r>
                      <w:fldChar w:fldCharType="begin"/>
                    </w:r>
                    <w:r>
                      <w:rPr>
                        <w:rStyle w:val="27"/>
                      </w:rPr>
                      <w:instrText xml:space="preserve">PAGE  </w:instrText>
                    </w:r>
                    <w:r>
                      <w:fldChar w:fldCharType="separate"/>
                    </w:r>
                    <w:r>
                      <w:rPr>
                        <w:rStyle w:val="27"/>
                      </w:rPr>
                      <w:t>68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4"/>
      <w:numFmt w:val="chineseCounting"/>
      <w:suff w:val="space"/>
      <w:lvlText w:val="第%1章"/>
      <w:lvlJc w:val="left"/>
      <w:rPr>
        <w:rFonts w:hint="eastAsia"/>
      </w:rPr>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6"/>
    <w:multiLevelType w:val="singleLevel"/>
    <w:tmpl w:val="00000006"/>
    <w:lvl w:ilvl="0" w:tentative="0">
      <w:start w:val="2"/>
      <w:numFmt w:val="decimal"/>
      <w:suff w:val="nothing"/>
      <w:lvlText w:val="%1、"/>
      <w:lvlJc w:val="left"/>
    </w:lvl>
  </w:abstractNum>
  <w:abstractNum w:abstractNumId="3">
    <w:nsid w:val="77A0F344"/>
    <w:multiLevelType w:val="singleLevel"/>
    <w:tmpl w:val="77A0F344"/>
    <w:lvl w:ilvl="0" w:tentative="0">
      <w:start w:val="2"/>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DZiOGRkZTEyMDY1OWQzZmIxMTY0YzVlNGI2ZDAifQ=="/>
  </w:docVars>
  <w:rsids>
    <w:rsidRoot w:val="306C596C"/>
    <w:rsid w:val="00000264"/>
    <w:rsid w:val="00030764"/>
    <w:rsid w:val="00044835"/>
    <w:rsid w:val="000A7104"/>
    <w:rsid w:val="00115DB3"/>
    <w:rsid w:val="00122CDE"/>
    <w:rsid w:val="00126FBE"/>
    <w:rsid w:val="001364B4"/>
    <w:rsid w:val="0017191D"/>
    <w:rsid w:val="00197E66"/>
    <w:rsid w:val="001A1507"/>
    <w:rsid w:val="001A4438"/>
    <w:rsid w:val="001F1821"/>
    <w:rsid w:val="002319F7"/>
    <w:rsid w:val="002469F2"/>
    <w:rsid w:val="00246AB4"/>
    <w:rsid w:val="00296BB5"/>
    <w:rsid w:val="002A0C7C"/>
    <w:rsid w:val="00303C15"/>
    <w:rsid w:val="00306EA4"/>
    <w:rsid w:val="00324867"/>
    <w:rsid w:val="0038201C"/>
    <w:rsid w:val="003A1CFC"/>
    <w:rsid w:val="003B1647"/>
    <w:rsid w:val="003F681F"/>
    <w:rsid w:val="00443541"/>
    <w:rsid w:val="00467D06"/>
    <w:rsid w:val="00496C3A"/>
    <w:rsid w:val="004A4092"/>
    <w:rsid w:val="004C0DB9"/>
    <w:rsid w:val="004D52E6"/>
    <w:rsid w:val="00513BBE"/>
    <w:rsid w:val="0051619F"/>
    <w:rsid w:val="00584390"/>
    <w:rsid w:val="005947FF"/>
    <w:rsid w:val="005B079D"/>
    <w:rsid w:val="005D3C9F"/>
    <w:rsid w:val="005D5F23"/>
    <w:rsid w:val="005E505F"/>
    <w:rsid w:val="00663D40"/>
    <w:rsid w:val="00666ABE"/>
    <w:rsid w:val="006B5A09"/>
    <w:rsid w:val="006D3FAB"/>
    <w:rsid w:val="006E5A04"/>
    <w:rsid w:val="00710CE2"/>
    <w:rsid w:val="007116A3"/>
    <w:rsid w:val="00736639"/>
    <w:rsid w:val="0074406D"/>
    <w:rsid w:val="00773044"/>
    <w:rsid w:val="00792BCE"/>
    <w:rsid w:val="007A3F21"/>
    <w:rsid w:val="007B5B54"/>
    <w:rsid w:val="007E57C4"/>
    <w:rsid w:val="007E75EE"/>
    <w:rsid w:val="00812AE5"/>
    <w:rsid w:val="00862A47"/>
    <w:rsid w:val="00913676"/>
    <w:rsid w:val="00925B73"/>
    <w:rsid w:val="00945384"/>
    <w:rsid w:val="00953302"/>
    <w:rsid w:val="009538B8"/>
    <w:rsid w:val="00984036"/>
    <w:rsid w:val="0098529F"/>
    <w:rsid w:val="00A00F91"/>
    <w:rsid w:val="00A35EB2"/>
    <w:rsid w:val="00A557D9"/>
    <w:rsid w:val="00A571A4"/>
    <w:rsid w:val="00A57A6A"/>
    <w:rsid w:val="00A62F2D"/>
    <w:rsid w:val="00A74F21"/>
    <w:rsid w:val="00AB281B"/>
    <w:rsid w:val="00AB2C92"/>
    <w:rsid w:val="00AE05FE"/>
    <w:rsid w:val="00B067DF"/>
    <w:rsid w:val="00B658C6"/>
    <w:rsid w:val="00BB4289"/>
    <w:rsid w:val="00BB5C33"/>
    <w:rsid w:val="00BB6EDC"/>
    <w:rsid w:val="00BB6F41"/>
    <w:rsid w:val="00BC2A44"/>
    <w:rsid w:val="00BD03ED"/>
    <w:rsid w:val="00BE6976"/>
    <w:rsid w:val="00BE74A6"/>
    <w:rsid w:val="00C028DB"/>
    <w:rsid w:val="00C10734"/>
    <w:rsid w:val="00C25390"/>
    <w:rsid w:val="00C33138"/>
    <w:rsid w:val="00C84CB6"/>
    <w:rsid w:val="00CA1E74"/>
    <w:rsid w:val="00CE0E5B"/>
    <w:rsid w:val="00CF6871"/>
    <w:rsid w:val="00D1049E"/>
    <w:rsid w:val="00D36466"/>
    <w:rsid w:val="00D755F6"/>
    <w:rsid w:val="00DA0265"/>
    <w:rsid w:val="00DA4244"/>
    <w:rsid w:val="00DA58A2"/>
    <w:rsid w:val="00E06B14"/>
    <w:rsid w:val="00E62AD6"/>
    <w:rsid w:val="00E8306F"/>
    <w:rsid w:val="00E94207"/>
    <w:rsid w:val="00EE1B33"/>
    <w:rsid w:val="00EF492A"/>
    <w:rsid w:val="00F440AB"/>
    <w:rsid w:val="00F46B2F"/>
    <w:rsid w:val="00F76035"/>
    <w:rsid w:val="00F81282"/>
    <w:rsid w:val="00FC7C9C"/>
    <w:rsid w:val="00FC7E98"/>
    <w:rsid w:val="012B4701"/>
    <w:rsid w:val="018571E5"/>
    <w:rsid w:val="019C74D7"/>
    <w:rsid w:val="019E0983"/>
    <w:rsid w:val="01A40D36"/>
    <w:rsid w:val="01AA21A1"/>
    <w:rsid w:val="01AF58E9"/>
    <w:rsid w:val="01EC3CCE"/>
    <w:rsid w:val="01FF0067"/>
    <w:rsid w:val="02094A42"/>
    <w:rsid w:val="021C3124"/>
    <w:rsid w:val="026C3AA9"/>
    <w:rsid w:val="027520D7"/>
    <w:rsid w:val="027910DD"/>
    <w:rsid w:val="028B36A9"/>
    <w:rsid w:val="028D7B6F"/>
    <w:rsid w:val="029D5D35"/>
    <w:rsid w:val="02A2361F"/>
    <w:rsid w:val="030D2E9E"/>
    <w:rsid w:val="039F0A2B"/>
    <w:rsid w:val="03D52EF5"/>
    <w:rsid w:val="041D6583"/>
    <w:rsid w:val="045A3D27"/>
    <w:rsid w:val="046046C1"/>
    <w:rsid w:val="046F0B92"/>
    <w:rsid w:val="0482288A"/>
    <w:rsid w:val="04911A8C"/>
    <w:rsid w:val="04956F3E"/>
    <w:rsid w:val="05166BE7"/>
    <w:rsid w:val="05233484"/>
    <w:rsid w:val="05420269"/>
    <w:rsid w:val="056F08F3"/>
    <w:rsid w:val="058D0F37"/>
    <w:rsid w:val="05B51E7D"/>
    <w:rsid w:val="05C3516B"/>
    <w:rsid w:val="05D90BCF"/>
    <w:rsid w:val="05DB3503"/>
    <w:rsid w:val="05ED44BD"/>
    <w:rsid w:val="062E2CC9"/>
    <w:rsid w:val="062F3B7B"/>
    <w:rsid w:val="064029FC"/>
    <w:rsid w:val="06675250"/>
    <w:rsid w:val="06A77B83"/>
    <w:rsid w:val="06AE0F37"/>
    <w:rsid w:val="06C21663"/>
    <w:rsid w:val="06D118A6"/>
    <w:rsid w:val="06D26447"/>
    <w:rsid w:val="06DF3FC3"/>
    <w:rsid w:val="06EB4D68"/>
    <w:rsid w:val="070C0151"/>
    <w:rsid w:val="07560FA3"/>
    <w:rsid w:val="078057A6"/>
    <w:rsid w:val="078625BF"/>
    <w:rsid w:val="07AF3EB7"/>
    <w:rsid w:val="07BA1C8D"/>
    <w:rsid w:val="07EA0E72"/>
    <w:rsid w:val="07ED61C7"/>
    <w:rsid w:val="08261FE6"/>
    <w:rsid w:val="084A35E7"/>
    <w:rsid w:val="089B1CC8"/>
    <w:rsid w:val="08EA41E9"/>
    <w:rsid w:val="08F44AB4"/>
    <w:rsid w:val="09246605"/>
    <w:rsid w:val="0940376A"/>
    <w:rsid w:val="09440A55"/>
    <w:rsid w:val="09835F85"/>
    <w:rsid w:val="09902D45"/>
    <w:rsid w:val="09B05932"/>
    <w:rsid w:val="09F6790F"/>
    <w:rsid w:val="0A155635"/>
    <w:rsid w:val="0A195A3E"/>
    <w:rsid w:val="0A5A40EC"/>
    <w:rsid w:val="0A892BC4"/>
    <w:rsid w:val="0AB84D0E"/>
    <w:rsid w:val="0AC459AA"/>
    <w:rsid w:val="0AFF4C34"/>
    <w:rsid w:val="0B332B30"/>
    <w:rsid w:val="0B436E72"/>
    <w:rsid w:val="0B531CB9"/>
    <w:rsid w:val="0B671CA8"/>
    <w:rsid w:val="0B755F77"/>
    <w:rsid w:val="0BD31C1D"/>
    <w:rsid w:val="0BEE0CBF"/>
    <w:rsid w:val="0BF73038"/>
    <w:rsid w:val="0C293807"/>
    <w:rsid w:val="0C5566CC"/>
    <w:rsid w:val="0C5B09D1"/>
    <w:rsid w:val="0C745671"/>
    <w:rsid w:val="0C7F9CFC"/>
    <w:rsid w:val="0C825C07"/>
    <w:rsid w:val="0C894A40"/>
    <w:rsid w:val="0C8E2713"/>
    <w:rsid w:val="0C963376"/>
    <w:rsid w:val="0CF54541"/>
    <w:rsid w:val="0CFD1108"/>
    <w:rsid w:val="0D272220"/>
    <w:rsid w:val="0D2A6522"/>
    <w:rsid w:val="0D5A0848"/>
    <w:rsid w:val="0D7C6A10"/>
    <w:rsid w:val="0D7F319B"/>
    <w:rsid w:val="0DB06633"/>
    <w:rsid w:val="0DD24C4F"/>
    <w:rsid w:val="0DD405FA"/>
    <w:rsid w:val="0DFC6B43"/>
    <w:rsid w:val="0E12469B"/>
    <w:rsid w:val="0E385D2E"/>
    <w:rsid w:val="0E482AB8"/>
    <w:rsid w:val="0E4D3F08"/>
    <w:rsid w:val="0E564D8B"/>
    <w:rsid w:val="0E5F0F4A"/>
    <w:rsid w:val="0E952D89"/>
    <w:rsid w:val="0EA92E5E"/>
    <w:rsid w:val="0EAB4FB2"/>
    <w:rsid w:val="0EB67CCA"/>
    <w:rsid w:val="0F0F37C5"/>
    <w:rsid w:val="0F3A448D"/>
    <w:rsid w:val="0F4065BF"/>
    <w:rsid w:val="0F5B4403"/>
    <w:rsid w:val="0FC12B51"/>
    <w:rsid w:val="0FF7795F"/>
    <w:rsid w:val="0FF79A79"/>
    <w:rsid w:val="1006421C"/>
    <w:rsid w:val="101616C1"/>
    <w:rsid w:val="10165AB4"/>
    <w:rsid w:val="1036498C"/>
    <w:rsid w:val="103E1D5B"/>
    <w:rsid w:val="1042171F"/>
    <w:rsid w:val="1054157E"/>
    <w:rsid w:val="108204E7"/>
    <w:rsid w:val="10A05CE5"/>
    <w:rsid w:val="10B37D6A"/>
    <w:rsid w:val="10EB474A"/>
    <w:rsid w:val="111D7A93"/>
    <w:rsid w:val="11634B10"/>
    <w:rsid w:val="117177E7"/>
    <w:rsid w:val="11811765"/>
    <w:rsid w:val="11982E53"/>
    <w:rsid w:val="119D242E"/>
    <w:rsid w:val="11C176E7"/>
    <w:rsid w:val="11C70189"/>
    <w:rsid w:val="11D605FD"/>
    <w:rsid w:val="11E66FB0"/>
    <w:rsid w:val="12024EBC"/>
    <w:rsid w:val="122D4130"/>
    <w:rsid w:val="1246548E"/>
    <w:rsid w:val="126600CC"/>
    <w:rsid w:val="12665599"/>
    <w:rsid w:val="1294189B"/>
    <w:rsid w:val="12B92E70"/>
    <w:rsid w:val="12D24D0B"/>
    <w:rsid w:val="1300437E"/>
    <w:rsid w:val="139F4BA8"/>
    <w:rsid w:val="13ED3E22"/>
    <w:rsid w:val="14211017"/>
    <w:rsid w:val="14224B11"/>
    <w:rsid w:val="14490184"/>
    <w:rsid w:val="14601A66"/>
    <w:rsid w:val="14653481"/>
    <w:rsid w:val="14707571"/>
    <w:rsid w:val="14816283"/>
    <w:rsid w:val="14835F09"/>
    <w:rsid w:val="14C1327C"/>
    <w:rsid w:val="14C81A92"/>
    <w:rsid w:val="14E76398"/>
    <w:rsid w:val="14F21366"/>
    <w:rsid w:val="14F31800"/>
    <w:rsid w:val="14F618E5"/>
    <w:rsid w:val="150E63FB"/>
    <w:rsid w:val="1553642E"/>
    <w:rsid w:val="15600397"/>
    <w:rsid w:val="15744470"/>
    <w:rsid w:val="15995C85"/>
    <w:rsid w:val="15A5462A"/>
    <w:rsid w:val="15A84FF5"/>
    <w:rsid w:val="15BB3E4D"/>
    <w:rsid w:val="15C727F2"/>
    <w:rsid w:val="15C77D75"/>
    <w:rsid w:val="15F1161D"/>
    <w:rsid w:val="1626681B"/>
    <w:rsid w:val="16591C66"/>
    <w:rsid w:val="165F6ECF"/>
    <w:rsid w:val="16792DDE"/>
    <w:rsid w:val="169C3C7F"/>
    <w:rsid w:val="169F21B6"/>
    <w:rsid w:val="16CC2F63"/>
    <w:rsid w:val="16DE4778"/>
    <w:rsid w:val="171113DA"/>
    <w:rsid w:val="171750B3"/>
    <w:rsid w:val="17206E3D"/>
    <w:rsid w:val="17224933"/>
    <w:rsid w:val="17397720"/>
    <w:rsid w:val="17A6653D"/>
    <w:rsid w:val="17A967EF"/>
    <w:rsid w:val="17FFEB3F"/>
    <w:rsid w:val="180919AB"/>
    <w:rsid w:val="1835628F"/>
    <w:rsid w:val="187D0E11"/>
    <w:rsid w:val="189F7A56"/>
    <w:rsid w:val="18A27FA1"/>
    <w:rsid w:val="18B563E2"/>
    <w:rsid w:val="18ED1857"/>
    <w:rsid w:val="1907198A"/>
    <w:rsid w:val="190D1FC3"/>
    <w:rsid w:val="19766A09"/>
    <w:rsid w:val="199863DB"/>
    <w:rsid w:val="199D3F96"/>
    <w:rsid w:val="19A21ADA"/>
    <w:rsid w:val="19A3687D"/>
    <w:rsid w:val="1A2C3D79"/>
    <w:rsid w:val="1A406505"/>
    <w:rsid w:val="1A7E580F"/>
    <w:rsid w:val="1AA670A0"/>
    <w:rsid w:val="1AEA1EE1"/>
    <w:rsid w:val="1B2C2540"/>
    <w:rsid w:val="1B344438"/>
    <w:rsid w:val="1B416BA3"/>
    <w:rsid w:val="1B572B4C"/>
    <w:rsid w:val="1B771271"/>
    <w:rsid w:val="1B911CCE"/>
    <w:rsid w:val="1BAA5A55"/>
    <w:rsid w:val="1BAA6B91"/>
    <w:rsid w:val="1BB07CB9"/>
    <w:rsid w:val="1BB62173"/>
    <w:rsid w:val="1BCC2B44"/>
    <w:rsid w:val="1BCE2B53"/>
    <w:rsid w:val="1BD17BE0"/>
    <w:rsid w:val="1BF218B3"/>
    <w:rsid w:val="1C3439EA"/>
    <w:rsid w:val="1C9D605B"/>
    <w:rsid w:val="1CF47C04"/>
    <w:rsid w:val="1D052EC6"/>
    <w:rsid w:val="1D5D5CE8"/>
    <w:rsid w:val="1DAC1906"/>
    <w:rsid w:val="1DB01DBE"/>
    <w:rsid w:val="1DD30E7B"/>
    <w:rsid w:val="1DDE4B7D"/>
    <w:rsid w:val="1DF06B88"/>
    <w:rsid w:val="1E177153"/>
    <w:rsid w:val="1E1850C7"/>
    <w:rsid w:val="1E384A67"/>
    <w:rsid w:val="1E5135A1"/>
    <w:rsid w:val="1E8A5DE0"/>
    <w:rsid w:val="1E967206"/>
    <w:rsid w:val="1E9A57DB"/>
    <w:rsid w:val="1EBE42AB"/>
    <w:rsid w:val="1EE6018D"/>
    <w:rsid w:val="1EEF37FC"/>
    <w:rsid w:val="1EF427F4"/>
    <w:rsid w:val="1F27197B"/>
    <w:rsid w:val="1F865935"/>
    <w:rsid w:val="1FA3679F"/>
    <w:rsid w:val="1FE569C1"/>
    <w:rsid w:val="20006BA5"/>
    <w:rsid w:val="200D3D8B"/>
    <w:rsid w:val="204E4338"/>
    <w:rsid w:val="20674625"/>
    <w:rsid w:val="20970E44"/>
    <w:rsid w:val="20C0517F"/>
    <w:rsid w:val="20D00718"/>
    <w:rsid w:val="20F85F56"/>
    <w:rsid w:val="2108553C"/>
    <w:rsid w:val="210D6279"/>
    <w:rsid w:val="211A56BD"/>
    <w:rsid w:val="21370DEC"/>
    <w:rsid w:val="216A4BF3"/>
    <w:rsid w:val="21CA13BF"/>
    <w:rsid w:val="21D52EAF"/>
    <w:rsid w:val="21E20408"/>
    <w:rsid w:val="21F40E28"/>
    <w:rsid w:val="2217240B"/>
    <w:rsid w:val="221943D6"/>
    <w:rsid w:val="22370D00"/>
    <w:rsid w:val="226B7C16"/>
    <w:rsid w:val="2288040C"/>
    <w:rsid w:val="230D782F"/>
    <w:rsid w:val="231846B2"/>
    <w:rsid w:val="23272B22"/>
    <w:rsid w:val="23383510"/>
    <w:rsid w:val="233F7E6C"/>
    <w:rsid w:val="23512ECE"/>
    <w:rsid w:val="235F29DD"/>
    <w:rsid w:val="2392745D"/>
    <w:rsid w:val="239A7798"/>
    <w:rsid w:val="23AE4FF1"/>
    <w:rsid w:val="23EE3BED"/>
    <w:rsid w:val="241466D4"/>
    <w:rsid w:val="243279D1"/>
    <w:rsid w:val="244D0A95"/>
    <w:rsid w:val="24602F0B"/>
    <w:rsid w:val="247D746D"/>
    <w:rsid w:val="2497591F"/>
    <w:rsid w:val="24BB57BD"/>
    <w:rsid w:val="24EC0364"/>
    <w:rsid w:val="254B0ECC"/>
    <w:rsid w:val="254B6F9C"/>
    <w:rsid w:val="25607EB6"/>
    <w:rsid w:val="258D6E88"/>
    <w:rsid w:val="25B15BA3"/>
    <w:rsid w:val="25B54F1B"/>
    <w:rsid w:val="25C10E69"/>
    <w:rsid w:val="25CF3820"/>
    <w:rsid w:val="25E47EF0"/>
    <w:rsid w:val="260634D0"/>
    <w:rsid w:val="262F4BAF"/>
    <w:rsid w:val="262F4EF0"/>
    <w:rsid w:val="26993D37"/>
    <w:rsid w:val="26BB47F7"/>
    <w:rsid w:val="26EA118B"/>
    <w:rsid w:val="26FC763B"/>
    <w:rsid w:val="2705317A"/>
    <w:rsid w:val="271D04C4"/>
    <w:rsid w:val="272D2D62"/>
    <w:rsid w:val="272F22E0"/>
    <w:rsid w:val="274F5706"/>
    <w:rsid w:val="277025F8"/>
    <w:rsid w:val="278103B5"/>
    <w:rsid w:val="27A110F5"/>
    <w:rsid w:val="27DFAE9C"/>
    <w:rsid w:val="27E4184D"/>
    <w:rsid w:val="28101DD7"/>
    <w:rsid w:val="2810627B"/>
    <w:rsid w:val="28327F9F"/>
    <w:rsid w:val="283F446A"/>
    <w:rsid w:val="28492D10"/>
    <w:rsid w:val="2877068C"/>
    <w:rsid w:val="28AF64A9"/>
    <w:rsid w:val="28F6564B"/>
    <w:rsid w:val="290A2CCA"/>
    <w:rsid w:val="293F39C8"/>
    <w:rsid w:val="29422464"/>
    <w:rsid w:val="295711B2"/>
    <w:rsid w:val="29662C92"/>
    <w:rsid w:val="296F0D7F"/>
    <w:rsid w:val="297B3BC8"/>
    <w:rsid w:val="298861E2"/>
    <w:rsid w:val="298C6E54"/>
    <w:rsid w:val="29BB62C0"/>
    <w:rsid w:val="29C60FDB"/>
    <w:rsid w:val="29DC183A"/>
    <w:rsid w:val="29EB1C59"/>
    <w:rsid w:val="2A03429A"/>
    <w:rsid w:val="2A341CA9"/>
    <w:rsid w:val="2A510485"/>
    <w:rsid w:val="2A657736"/>
    <w:rsid w:val="2A815DFB"/>
    <w:rsid w:val="2A8608CB"/>
    <w:rsid w:val="2AA50EFC"/>
    <w:rsid w:val="2AB7757A"/>
    <w:rsid w:val="2AD03F9F"/>
    <w:rsid w:val="2B2366F3"/>
    <w:rsid w:val="2B271352"/>
    <w:rsid w:val="2B3E4F87"/>
    <w:rsid w:val="2B3F32EA"/>
    <w:rsid w:val="2B667399"/>
    <w:rsid w:val="2BAC05D7"/>
    <w:rsid w:val="2BAE2D24"/>
    <w:rsid w:val="2BE9306B"/>
    <w:rsid w:val="2BF2400A"/>
    <w:rsid w:val="2C0313A8"/>
    <w:rsid w:val="2C147888"/>
    <w:rsid w:val="2C453EF6"/>
    <w:rsid w:val="2C4C5F9B"/>
    <w:rsid w:val="2C5D1363"/>
    <w:rsid w:val="2C6C5DDF"/>
    <w:rsid w:val="2C8525B0"/>
    <w:rsid w:val="2CAB7D5D"/>
    <w:rsid w:val="2D031F0A"/>
    <w:rsid w:val="2D224CED"/>
    <w:rsid w:val="2D3934C2"/>
    <w:rsid w:val="2D4F080D"/>
    <w:rsid w:val="2D957504"/>
    <w:rsid w:val="2D9D1037"/>
    <w:rsid w:val="2DAF5921"/>
    <w:rsid w:val="2DB06E2C"/>
    <w:rsid w:val="2DD36880"/>
    <w:rsid w:val="2DFF1639"/>
    <w:rsid w:val="2E5C6E12"/>
    <w:rsid w:val="2E627104"/>
    <w:rsid w:val="2EA930C6"/>
    <w:rsid w:val="2EC45814"/>
    <w:rsid w:val="2EDDD7E7"/>
    <w:rsid w:val="2EE63ABB"/>
    <w:rsid w:val="2EE64BD8"/>
    <w:rsid w:val="2EFFCCAE"/>
    <w:rsid w:val="2F52CF9D"/>
    <w:rsid w:val="2F7973C1"/>
    <w:rsid w:val="2F8829A6"/>
    <w:rsid w:val="2F912537"/>
    <w:rsid w:val="2F957368"/>
    <w:rsid w:val="2FB026FE"/>
    <w:rsid w:val="2FB310C1"/>
    <w:rsid w:val="2FB54ECF"/>
    <w:rsid w:val="2FDFC1B2"/>
    <w:rsid w:val="2FDFEA83"/>
    <w:rsid w:val="2FE783EB"/>
    <w:rsid w:val="2FF919C9"/>
    <w:rsid w:val="2FFF6C10"/>
    <w:rsid w:val="300A35B0"/>
    <w:rsid w:val="302F3BDF"/>
    <w:rsid w:val="304B661A"/>
    <w:rsid w:val="30627EF3"/>
    <w:rsid w:val="306C596C"/>
    <w:rsid w:val="307908F3"/>
    <w:rsid w:val="307D0225"/>
    <w:rsid w:val="30823E67"/>
    <w:rsid w:val="309E34D9"/>
    <w:rsid w:val="30C41C15"/>
    <w:rsid w:val="30DC2D0C"/>
    <w:rsid w:val="30EF5893"/>
    <w:rsid w:val="31065A7A"/>
    <w:rsid w:val="313E1763"/>
    <w:rsid w:val="314952F1"/>
    <w:rsid w:val="31694A56"/>
    <w:rsid w:val="317C672F"/>
    <w:rsid w:val="318849C7"/>
    <w:rsid w:val="318F4D46"/>
    <w:rsid w:val="31985960"/>
    <w:rsid w:val="31AF3BB6"/>
    <w:rsid w:val="31CD3C67"/>
    <w:rsid w:val="31EC1E63"/>
    <w:rsid w:val="32083730"/>
    <w:rsid w:val="32202587"/>
    <w:rsid w:val="32272ACB"/>
    <w:rsid w:val="325613EA"/>
    <w:rsid w:val="32595030"/>
    <w:rsid w:val="325A7B16"/>
    <w:rsid w:val="3279579B"/>
    <w:rsid w:val="327A16BC"/>
    <w:rsid w:val="328371BC"/>
    <w:rsid w:val="32C53C8A"/>
    <w:rsid w:val="32CB34CA"/>
    <w:rsid w:val="33040454"/>
    <w:rsid w:val="330469DC"/>
    <w:rsid w:val="330B246B"/>
    <w:rsid w:val="33225C67"/>
    <w:rsid w:val="33661FF0"/>
    <w:rsid w:val="33791178"/>
    <w:rsid w:val="339D0B63"/>
    <w:rsid w:val="339D2D41"/>
    <w:rsid w:val="33A90FE9"/>
    <w:rsid w:val="33B40177"/>
    <w:rsid w:val="33FF22A5"/>
    <w:rsid w:val="34020530"/>
    <w:rsid w:val="34984223"/>
    <w:rsid w:val="34A107F2"/>
    <w:rsid w:val="34AA2C62"/>
    <w:rsid w:val="34AF3A29"/>
    <w:rsid w:val="34B1337D"/>
    <w:rsid w:val="34CC6219"/>
    <w:rsid w:val="34F15007"/>
    <w:rsid w:val="351A4295"/>
    <w:rsid w:val="354518F6"/>
    <w:rsid w:val="355157DD"/>
    <w:rsid w:val="35704B1F"/>
    <w:rsid w:val="35E6061B"/>
    <w:rsid w:val="35EC6B2E"/>
    <w:rsid w:val="35EF5721"/>
    <w:rsid w:val="35FB648B"/>
    <w:rsid w:val="365E75BD"/>
    <w:rsid w:val="367B0D63"/>
    <w:rsid w:val="36BD137C"/>
    <w:rsid w:val="36DA3168"/>
    <w:rsid w:val="36FF85AE"/>
    <w:rsid w:val="37180CA8"/>
    <w:rsid w:val="37292428"/>
    <w:rsid w:val="372D6E3F"/>
    <w:rsid w:val="373F5302"/>
    <w:rsid w:val="37421881"/>
    <w:rsid w:val="37622A48"/>
    <w:rsid w:val="376856E5"/>
    <w:rsid w:val="377846DB"/>
    <w:rsid w:val="377F0D27"/>
    <w:rsid w:val="377FCEB6"/>
    <w:rsid w:val="378474D3"/>
    <w:rsid w:val="378803B8"/>
    <w:rsid w:val="37A50B0A"/>
    <w:rsid w:val="37A60062"/>
    <w:rsid w:val="380B4369"/>
    <w:rsid w:val="383B4C4E"/>
    <w:rsid w:val="38680C78"/>
    <w:rsid w:val="389D1465"/>
    <w:rsid w:val="38E07A8A"/>
    <w:rsid w:val="38E250CA"/>
    <w:rsid w:val="38E52A39"/>
    <w:rsid w:val="38F23E94"/>
    <w:rsid w:val="38FE7A29"/>
    <w:rsid w:val="39257FD4"/>
    <w:rsid w:val="39324A27"/>
    <w:rsid w:val="39342D33"/>
    <w:rsid w:val="39392CF5"/>
    <w:rsid w:val="39604CDB"/>
    <w:rsid w:val="39641F82"/>
    <w:rsid w:val="39E1094C"/>
    <w:rsid w:val="39EC70C4"/>
    <w:rsid w:val="39F65498"/>
    <w:rsid w:val="3A100D5F"/>
    <w:rsid w:val="3A2A3EAE"/>
    <w:rsid w:val="3A381BAC"/>
    <w:rsid w:val="3A6A4F01"/>
    <w:rsid w:val="3A8A302C"/>
    <w:rsid w:val="3AA94BD5"/>
    <w:rsid w:val="3AF5311B"/>
    <w:rsid w:val="3B5F2499"/>
    <w:rsid w:val="3B8A4046"/>
    <w:rsid w:val="3B8C78EB"/>
    <w:rsid w:val="3B9F54CE"/>
    <w:rsid w:val="3BA61F2E"/>
    <w:rsid w:val="3BB6F035"/>
    <w:rsid w:val="3BED2703"/>
    <w:rsid w:val="3BEFA308"/>
    <w:rsid w:val="3BF16BC3"/>
    <w:rsid w:val="3BF55CF3"/>
    <w:rsid w:val="3BF68361"/>
    <w:rsid w:val="3C2040C3"/>
    <w:rsid w:val="3C4226DD"/>
    <w:rsid w:val="3C480412"/>
    <w:rsid w:val="3C4A1903"/>
    <w:rsid w:val="3C6326EB"/>
    <w:rsid w:val="3C696C92"/>
    <w:rsid w:val="3C770A9D"/>
    <w:rsid w:val="3C8232FC"/>
    <w:rsid w:val="3CA35335"/>
    <w:rsid w:val="3CC316B6"/>
    <w:rsid w:val="3CDF6D0B"/>
    <w:rsid w:val="3D0E6E15"/>
    <w:rsid w:val="3D5C427D"/>
    <w:rsid w:val="3D5FE911"/>
    <w:rsid w:val="3D6975A4"/>
    <w:rsid w:val="3D8A4BCE"/>
    <w:rsid w:val="3D8F2D6E"/>
    <w:rsid w:val="3DA603A6"/>
    <w:rsid w:val="3DC123BA"/>
    <w:rsid w:val="3DEF7399"/>
    <w:rsid w:val="3DEFCBB7"/>
    <w:rsid w:val="3DFC50A5"/>
    <w:rsid w:val="3DFFAF13"/>
    <w:rsid w:val="3E056663"/>
    <w:rsid w:val="3E1D5B0F"/>
    <w:rsid w:val="3E29594A"/>
    <w:rsid w:val="3E2E5F95"/>
    <w:rsid w:val="3E3A6F92"/>
    <w:rsid w:val="3E5500EC"/>
    <w:rsid w:val="3E8D3F66"/>
    <w:rsid w:val="3E93F166"/>
    <w:rsid w:val="3EA925C8"/>
    <w:rsid w:val="3EA971BA"/>
    <w:rsid w:val="3EB58C4D"/>
    <w:rsid w:val="3EF75812"/>
    <w:rsid w:val="3F2D3F03"/>
    <w:rsid w:val="3F3D5E9F"/>
    <w:rsid w:val="3F453060"/>
    <w:rsid w:val="3F6F6C08"/>
    <w:rsid w:val="3F7248EE"/>
    <w:rsid w:val="3F732F1F"/>
    <w:rsid w:val="3F73B8DC"/>
    <w:rsid w:val="3F88086B"/>
    <w:rsid w:val="3F8823C7"/>
    <w:rsid w:val="3F9BCEFA"/>
    <w:rsid w:val="3F9F0707"/>
    <w:rsid w:val="3FA4325B"/>
    <w:rsid w:val="3FD715DF"/>
    <w:rsid w:val="3FFE2ED6"/>
    <w:rsid w:val="3FFE991D"/>
    <w:rsid w:val="401D767F"/>
    <w:rsid w:val="40381A73"/>
    <w:rsid w:val="404B1364"/>
    <w:rsid w:val="408A3A0D"/>
    <w:rsid w:val="4099049F"/>
    <w:rsid w:val="40A84E4B"/>
    <w:rsid w:val="40C96B6F"/>
    <w:rsid w:val="41151DB4"/>
    <w:rsid w:val="412179FD"/>
    <w:rsid w:val="414F5751"/>
    <w:rsid w:val="41712EC6"/>
    <w:rsid w:val="418F7DB9"/>
    <w:rsid w:val="419155DB"/>
    <w:rsid w:val="419D1708"/>
    <w:rsid w:val="41A82000"/>
    <w:rsid w:val="42002A64"/>
    <w:rsid w:val="42137699"/>
    <w:rsid w:val="421452F9"/>
    <w:rsid w:val="4250582B"/>
    <w:rsid w:val="425828A0"/>
    <w:rsid w:val="42A95044"/>
    <w:rsid w:val="42CD0FC1"/>
    <w:rsid w:val="42EA63DD"/>
    <w:rsid w:val="430C6E70"/>
    <w:rsid w:val="431847F0"/>
    <w:rsid w:val="434102C7"/>
    <w:rsid w:val="43650BF4"/>
    <w:rsid w:val="436C29AE"/>
    <w:rsid w:val="439B2A45"/>
    <w:rsid w:val="43AA2D8B"/>
    <w:rsid w:val="43AD2D63"/>
    <w:rsid w:val="43AF64F0"/>
    <w:rsid w:val="444E3BE8"/>
    <w:rsid w:val="445A3463"/>
    <w:rsid w:val="446D2EFB"/>
    <w:rsid w:val="4496320C"/>
    <w:rsid w:val="44A903C2"/>
    <w:rsid w:val="44AB7024"/>
    <w:rsid w:val="44D426B2"/>
    <w:rsid w:val="44E14296"/>
    <w:rsid w:val="44F763A1"/>
    <w:rsid w:val="450B0205"/>
    <w:rsid w:val="451707F1"/>
    <w:rsid w:val="45433394"/>
    <w:rsid w:val="45797C45"/>
    <w:rsid w:val="458F4990"/>
    <w:rsid w:val="45EA7D2B"/>
    <w:rsid w:val="45F446C0"/>
    <w:rsid w:val="46320A11"/>
    <w:rsid w:val="464078D3"/>
    <w:rsid w:val="468603E5"/>
    <w:rsid w:val="468E6F6C"/>
    <w:rsid w:val="46924078"/>
    <w:rsid w:val="46A10DA5"/>
    <w:rsid w:val="46AB11F1"/>
    <w:rsid w:val="46B76FBA"/>
    <w:rsid w:val="46D974A3"/>
    <w:rsid w:val="47145FB8"/>
    <w:rsid w:val="47255E82"/>
    <w:rsid w:val="47290BFE"/>
    <w:rsid w:val="473E6BD1"/>
    <w:rsid w:val="47522FFA"/>
    <w:rsid w:val="475F1FDB"/>
    <w:rsid w:val="4760316A"/>
    <w:rsid w:val="476D7B5D"/>
    <w:rsid w:val="47AD6D89"/>
    <w:rsid w:val="47D14C87"/>
    <w:rsid w:val="47E70BB6"/>
    <w:rsid w:val="47EB3C1D"/>
    <w:rsid w:val="48286816"/>
    <w:rsid w:val="48593977"/>
    <w:rsid w:val="486C6D18"/>
    <w:rsid w:val="48A653A0"/>
    <w:rsid w:val="48B34604"/>
    <w:rsid w:val="48C33E97"/>
    <w:rsid w:val="48C87A98"/>
    <w:rsid w:val="49162F08"/>
    <w:rsid w:val="492A6BB9"/>
    <w:rsid w:val="4957639F"/>
    <w:rsid w:val="49687EE9"/>
    <w:rsid w:val="49695BE6"/>
    <w:rsid w:val="497E1E4D"/>
    <w:rsid w:val="49890704"/>
    <w:rsid w:val="49935F7F"/>
    <w:rsid w:val="49B20AE8"/>
    <w:rsid w:val="49C727DC"/>
    <w:rsid w:val="49DA3918"/>
    <w:rsid w:val="49E006A9"/>
    <w:rsid w:val="49E03350"/>
    <w:rsid w:val="49F17361"/>
    <w:rsid w:val="4A010FC6"/>
    <w:rsid w:val="4A0D602E"/>
    <w:rsid w:val="4A0E53A1"/>
    <w:rsid w:val="4A176F71"/>
    <w:rsid w:val="4A8717C2"/>
    <w:rsid w:val="4AB0666C"/>
    <w:rsid w:val="4AE17457"/>
    <w:rsid w:val="4AF44F65"/>
    <w:rsid w:val="4B106E7B"/>
    <w:rsid w:val="4B1D0192"/>
    <w:rsid w:val="4B6169FA"/>
    <w:rsid w:val="4B88440B"/>
    <w:rsid w:val="4B9506C1"/>
    <w:rsid w:val="4B9F20AD"/>
    <w:rsid w:val="4BAC0733"/>
    <w:rsid w:val="4BB629E8"/>
    <w:rsid w:val="4BC44B03"/>
    <w:rsid w:val="4BEC42A6"/>
    <w:rsid w:val="4BF9017B"/>
    <w:rsid w:val="4C341BD2"/>
    <w:rsid w:val="4C586536"/>
    <w:rsid w:val="4C59524B"/>
    <w:rsid w:val="4C9149E5"/>
    <w:rsid w:val="4C9D782D"/>
    <w:rsid w:val="4CC742F4"/>
    <w:rsid w:val="4D3E2FAE"/>
    <w:rsid w:val="4D443AF6"/>
    <w:rsid w:val="4D4A7598"/>
    <w:rsid w:val="4D5679DC"/>
    <w:rsid w:val="4D6E2699"/>
    <w:rsid w:val="4D9549A9"/>
    <w:rsid w:val="4DBF26D1"/>
    <w:rsid w:val="4DFC24F5"/>
    <w:rsid w:val="4E375A60"/>
    <w:rsid w:val="4E402FAE"/>
    <w:rsid w:val="4E405508"/>
    <w:rsid w:val="4E863B24"/>
    <w:rsid w:val="4EA83FDC"/>
    <w:rsid w:val="4EB250E6"/>
    <w:rsid w:val="4EBB7C6B"/>
    <w:rsid w:val="4ED115C8"/>
    <w:rsid w:val="4ED71898"/>
    <w:rsid w:val="4F133DD7"/>
    <w:rsid w:val="4F3D55D0"/>
    <w:rsid w:val="4F7D515F"/>
    <w:rsid w:val="4F8A6056"/>
    <w:rsid w:val="4F9F79CA"/>
    <w:rsid w:val="4FBC446F"/>
    <w:rsid w:val="4FCB6C43"/>
    <w:rsid w:val="4FCE7CFE"/>
    <w:rsid w:val="4FEFBBD0"/>
    <w:rsid w:val="501C315F"/>
    <w:rsid w:val="50DC60A4"/>
    <w:rsid w:val="511F4E27"/>
    <w:rsid w:val="5129446D"/>
    <w:rsid w:val="513A5EAB"/>
    <w:rsid w:val="518039F8"/>
    <w:rsid w:val="51AD6515"/>
    <w:rsid w:val="51BC69A8"/>
    <w:rsid w:val="51D97AFF"/>
    <w:rsid w:val="51FBFAE8"/>
    <w:rsid w:val="52474DA5"/>
    <w:rsid w:val="52906AFF"/>
    <w:rsid w:val="52D65F63"/>
    <w:rsid w:val="52DD4D4B"/>
    <w:rsid w:val="52E31E79"/>
    <w:rsid w:val="52F62320"/>
    <w:rsid w:val="530121AE"/>
    <w:rsid w:val="53026AF8"/>
    <w:rsid w:val="532A5B93"/>
    <w:rsid w:val="5330338D"/>
    <w:rsid w:val="53426794"/>
    <w:rsid w:val="534722A1"/>
    <w:rsid w:val="53B63734"/>
    <w:rsid w:val="53CF6586"/>
    <w:rsid w:val="53EB19B1"/>
    <w:rsid w:val="53F41B45"/>
    <w:rsid w:val="53F50225"/>
    <w:rsid w:val="53FD9591"/>
    <w:rsid w:val="54036F2B"/>
    <w:rsid w:val="541D71A2"/>
    <w:rsid w:val="543A6075"/>
    <w:rsid w:val="544900F5"/>
    <w:rsid w:val="547E0F04"/>
    <w:rsid w:val="548810DB"/>
    <w:rsid w:val="549A15F7"/>
    <w:rsid w:val="549A523E"/>
    <w:rsid w:val="54CB5951"/>
    <w:rsid w:val="54DF3D86"/>
    <w:rsid w:val="54F57361"/>
    <w:rsid w:val="54F909A9"/>
    <w:rsid w:val="550541AA"/>
    <w:rsid w:val="5525195C"/>
    <w:rsid w:val="55536FDA"/>
    <w:rsid w:val="5569376F"/>
    <w:rsid w:val="55AA001C"/>
    <w:rsid w:val="55B44532"/>
    <w:rsid w:val="55C87F2E"/>
    <w:rsid w:val="55FE2CBA"/>
    <w:rsid w:val="561E7655"/>
    <w:rsid w:val="56534DCA"/>
    <w:rsid w:val="56890E23"/>
    <w:rsid w:val="56C57616"/>
    <w:rsid w:val="56DB4C3A"/>
    <w:rsid w:val="56FB363C"/>
    <w:rsid w:val="572E6CA7"/>
    <w:rsid w:val="574DB4D3"/>
    <w:rsid w:val="57594BA9"/>
    <w:rsid w:val="57596A47"/>
    <w:rsid w:val="576C6869"/>
    <w:rsid w:val="577915D9"/>
    <w:rsid w:val="57B932D4"/>
    <w:rsid w:val="57C91C8E"/>
    <w:rsid w:val="57E633BE"/>
    <w:rsid w:val="57F14ED1"/>
    <w:rsid w:val="57FF9EFE"/>
    <w:rsid w:val="581550E8"/>
    <w:rsid w:val="58240980"/>
    <w:rsid w:val="583118B4"/>
    <w:rsid w:val="583125CF"/>
    <w:rsid w:val="583C5BF3"/>
    <w:rsid w:val="58557DC3"/>
    <w:rsid w:val="587C4CF0"/>
    <w:rsid w:val="5881407B"/>
    <w:rsid w:val="588D1034"/>
    <w:rsid w:val="58911DCF"/>
    <w:rsid w:val="589C0FC7"/>
    <w:rsid w:val="58F6DF6E"/>
    <w:rsid w:val="58FB1305"/>
    <w:rsid w:val="592326D2"/>
    <w:rsid w:val="59377A52"/>
    <w:rsid w:val="595F5990"/>
    <w:rsid w:val="59794DEF"/>
    <w:rsid w:val="597DEF9B"/>
    <w:rsid w:val="59905198"/>
    <w:rsid w:val="59B14918"/>
    <w:rsid w:val="59B42CD8"/>
    <w:rsid w:val="59CC52AE"/>
    <w:rsid w:val="59CD275E"/>
    <w:rsid w:val="59F238A5"/>
    <w:rsid w:val="5A184D05"/>
    <w:rsid w:val="5A7FB14E"/>
    <w:rsid w:val="5A90652F"/>
    <w:rsid w:val="5AA61A39"/>
    <w:rsid w:val="5AD73437"/>
    <w:rsid w:val="5ADB3AB4"/>
    <w:rsid w:val="5AFF1586"/>
    <w:rsid w:val="5B160669"/>
    <w:rsid w:val="5B3F4C98"/>
    <w:rsid w:val="5B43467D"/>
    <w:rsid w:val="5B6A1223"/>
    <w:rsid w:val="5B78295E"/>
    <w:rsid w:val="5B7B2B66"/>
    <w:rsid w:val="5BA74018"/>
    <w:rsid w:val="5BB55715"/>
    <w:rsid w:val="5BD56A97"/>
    <w:rsid w:val="5BFA1B04"/>
    <w:rsid w:val="5C0A47B4"/>
    <w:rsid w:val="5C1A3E88"/>
    <w:rsid w:val="5C221281"/>
    <w:rsid w:val="5C295777"/>
    <w:rsid w:val="5C355933"/>
    <w:rsid w:val="5C4E7358"/>
    <w:rsid w:val="5C50666A"/>
    <w:rsid w:val="5C732194"/>
    <w:rsid w:val="5C734107"/>
    <w:rsid w:val="5CC171DB"/>
    <w:rsid w:val="5D1C7483"/>
    <w:rsid w:val="5D263E99"/>
    <w:rsid w:val="5D3A654F"/>
    <w:rsid w:val="5D427B53"/>
    <w:rsid w:val="5D4B64A7"/>
    <w:rsid w:val="5D7DCCBC"/>
    <w:rsid w:val="5D805C7A"/>
    <w:rsid w:val="5D94377A"/>
    <w:rsid w:val="5D9FBAFC"/>
    <w:rsid w:val="5DC463E8"/>
    <w:rsid w:val="5DD67616"/>
    <w:rsid w:val="5DFE20F6"/>
    <w:rsid w:val="5E05722B"/>
    <w:rsid w:val="5E070FAB"/>
    <w:rsid w:val="5E0E62FC"/>
    <w:rsid w:val="5E0F69C8"/>
    <w:rsid w:val="5E341674"/>
    <w:rsid w:val="5E8D3D14"/>
    <w:rsid w:val="5EBC027A"/>
    <w:rsid w:val="5EBF1023"/>
    <w:rsid w:val="5ECB9D66"/>
    <w:rsid w:val="5EF338F5"/>
    <w:rsid w:val="5EFF7613"/>
    <w:rsid w:val="5F0829E1"/>
    <w:rsid w:val="5F2A4A47"/>
    <w:rsid w:val="5F3348F7"/>
    <w:rsid w:val="5F3F3D70"/>
    <w:rsid w:val="5F5E8005"/>
    <w:rsid w:val="5F8D3BE4"/>
    <w:rsid w:val="5F903EF4"/>
    <w:rsid w:val="5F956F50"/>
    <w:rsid w:val="5F964192"/>
    <w:rsid w:val="5FB61234"/>
    <w:rsid w:val="5FB73326"/>
    <w:rsid w:val="5FBF0F34"/>
    <w:rsid w:val="5FC37153"/>
    <w:rsid w:val="5FD067AD"/>
    <w:rsid w:val="5FE7510C"/>
    <w:rsid w:val="5FF90DC7"/>
    <w:rsid w:val="5FF92D4C"/>
    <w:rsid w:val="60163069"/>
    <w:rsid w:val="60202472"/>
    <w:rsid w:val="602E0FA1"/>
    <w:rsid w:val="603718EF"/>
    <w:rsid w:val="605509A7"/>
    <w:rsid w:val="606062DD"/>
    <w:rsid w:val="60634492"/>
    <w:rsid w:val="60B94350"/>
    <w:rsid w:val="60CB3FBC"/>
    <w:rsid w:val="617C2D3A"/>
    <w:rsid w:val="619012B7"/>
    <w:rsid w:val="61973C7D"/>
    <w:rsid w:val="619B2CBC"/>
    <w:rsid w:val="61C11707"/>
    <w:rsid w:val="61E76653"/>
    <w:rsid w:val="61F14377"/>
    <w:rsid w:val="61FF3D53"/>
    <w:rsid w:val="62025CBF"/>
    <w:rsid w:val="629812AD"/>
    <w:rsid w:val="62A570F7"/>
    <w:rsid w:val="62AB1151"/>
    <w:rsid w:val="62D13935"/>
    <w:rsid w:val="62E77411"/>
    <w:rsid w:val="6313618E"/>
    <w:rsid w:val="63614889"/>
    <w:rsid w:val="636E5628"/>
    <w:rsid w:val="63A81A34"/>
    <w:rsid w:val="63B71F8B"/>
    <w:rsid w:val="63C94F54"/>
    <w:rsid w:val="63D630FB"/>
    <w:rsid w:val="6417295D"/>
    <w:rsid w:val="642511FD"/>
    <w:rsid w:val="64513E8C"/>
    <w:rsid w:val="645C1D5E"/>
    <w:rsid w:val="646D3391"/>
    <w:rsid w:val="647C1015"/>
    <w:rsid w:val="64C34B41"/>
    <w:rsid w:val="64FD223F"/>
    <w:rsid w:val="65052145"/>
    <w:rsid w:val="65147874"/>
    <w:rsid w:val="65271F32"/>
    <w:rsid w:val="653D1756"/>
    <w:rsid w:val="65515894"/>
    <w:rsid w:val="655F13CA"/>
    <w:rsid w:val="65781C1D"/>
    <w:rsid w:val="65874A9D"/>
    <w:rsid w:val="65CA4190"/>
    <w:rsid w:val="661A4315"/>
    <w:rsid w:val="66532A36"/>
    <w:rsid w:val="666A43E6"/>
    <w:rsid w:val="666D3882"/>
    <w:rsid w:val="668D14B1"/>
    <w:rsid w:val="66C56337"/>
    <w:rsid w:val="66DD4F9F"/>
    <w:rsid w:val="66F129A9"/>
    <w:rsid w:val="67194D2C"/>
    <w:rsid w:val="675D1C3B"/>
    <w:rsid w:val="677220A2"/>
    <w:rsid w:val="677C5E51"/>
    <w:rsid w:val="67A20577"/>
    <w:rsid w:val="67A57B70"/>
    <w:rsid w:val="67D60132"/>
    <w:rsid w:val="67E42B81"/>
    <w:rsid w:val="67EB28FC"/>
    <w:rsid w:val="67F26828"/>
    <w:rsid w:val="67F72BAF"/>
    <w:rsid w:val="67FEDA8B"/>
    <w:rsid w:val="681F3395"/>
    <w:rsid w:val="6833202D"/>
    <w:rsid w:val="68371133"/>
    <w:rsid w:val="684B58EB"/>
    <w:rsid w:val="6867044C"/>
    <w:rsid w:val="686849BD"/>
    <w:rsid w:val="68940D1E"/>
    <w:rsid w:val="68986BD8"/>
    <w:rsid w:val="68EF785A"/>
    <w:rsid w:val="691C6844"/>
    <w:rsid w:val="691E189E"/>
    <w:rsid w:val="692C5D69"/>
    <w:rsid w:val="69310870"/>
    <w:rsid w:val="694716C8"/>
    <w:rsid w:val="6954574C"/>
    <w:rsid w:val="699101CA"/>
    <w:rsid w:val="69914249"/>
    <w:rsid w:val="699A7177"/>
    <w:rsid w:val="699A7CFB"/>
    <w:rsid w:val="69A928F1"/>
    <w:rsid w:val="69AF3E5E"/>
    <w:rsid w:val="69C45FA2"/>
    <w:rsid w:val="69EB1208"/>
    <w:rsid w:val="69EE1271"/>
    <w:rsid w:val="69F74FA9"/>
    <w:rsid w:val="6A554996"/>
    <w:rsid w:val="6A6652AB"/>
    <w:rsid w:val="6ABA2D6A"/>
    <w:rsid w:val="6B011F74"/>
    <w:rsid w:val="6B13317F"/>
    <w:rsid w:val="6B593282"/>
    <w:rsid w:val="6B7B6EF8"/>
    <w:rsid w:val="6BA34FFB"/>
    <w:rsid w:val="6BE74F14"/>
    <w:rsid w:val="6BF7B891"/>
    <w:rsid w:val="6C066D46"/>
    <w:rsid w:val="6C305A14"/>
    <w:rsid w:val="6C3379A2"/>
    <w:rsid w:val="6C431FA0"/>
    <w:rsid w:val="6C6A238E"/>
    <w:rsid w:val="6C841DB5"/>
    <w:rsid w:val="6CAF3296"/>
    <w:rsid w:val="6CB82ACD"/>
    <w:rsid w:val="6CBD0B4C"/>
    <w:rsid w:val="6CD43DB7"/>
    <w:rsid w:val="6CDC1854"/>
    <w:rsid w:val="6CE01960"/>
    <w:rsid w:val="6CF92DA5"/>
    <w:rsid w:val="6D01750D"/>
    <w:rsid w:val="6D8543D3"/>
    <w:rsid w:val="6D8B6DD7"/>
    <w:rsid w:val="6DA94B4F"/>
    <w:rsid w:val="6DB657C7"/>
    <w:rsid w:val="6DDC6397"/>
    <w:rsid w:val="6DDCA2AC"/>
    <w:rsid w:val="6DDF750A"/>
    <w:rsid w:val="6E2A64EE"/>
    <w:rsid w:val="6E34121C"/>
    <w:rsid w:val="6E374E39"/>
    <w:rsid w:val="6E3F0E8B"/>
    <w:rsid w:val="6E478CCF"/>
    <w:rsid w:val="6E557B10"/>
    <w:rsid w:val="6E6D4619"/>
    <w:rsid w:val="6ECE536B"/>
    <w:rsid w:val="6EFC0F1C"/>
    <w:rsid w:val="6EFDC14F"/>
    <w:rsid w:val="6F5372C3"/>
    <w:rsid w:val="6F5B1F05"/>
    <w:rsid w:val="6F5C6C5F"/>
    <w:rsid w:val="6F6A3EB7"/>
    <w:rsid w:val="6F717C7A"/>
    <w:rsid w:val="6F7FA7DC"/>
    <w:rsid w:val="6F8040FF"/>
    <w:rsid w:val="6FB95E7D"/>
    <w:rsid w:val="6FC43198"/>
    <w:rsid w:val="6FEF90B4"/>
    <w:rsid w:val="6FFC1207"/>
    <w:rsid w:val="700C630D"/>
    <w:rsid w:val="702F4391"/>
    <w:rsid w:val="70346FC5"/>
    <w:rsid w:val="704036A5"/>
    <w:rsid w:val="70470551"/>
    <w:rsid w:val="704C06FA"/>
    <w:rsid w:val="706E3DA3"/>
    <w:rsid w:val="70707057"/>
    <w:rsid w:val="70920024"/>
    <w:rsid w:val="70956FE4"/>
    <w:rsid w:val="709B493A"/>
    <w:rsid w:val="70AB3A18"/>
    <w:rsid w:val="70B1597A"/>
    <w:rsid w:val="70BFCC90"/>
    <w:rsid w:val="70DA5A6D"/>
    <w:rsid w:val="71345BE7"/>
    <w:rsid w:val="71DE0949"/>
    <w:rsid w:val="71F3D316"/>
    <w:rsid w:val="72301D3E"/>
    <w:rsid w:val="727B38BE"/>
    <w:rsid w:val="729274A9"/>
    <w:rsid w:val="72A55F36"/>
    <w:rsid w:val="72CA520C"/>
    <w:rsid w:val="72FF1356"/>
    <w:rsid w:val="731E44E0"/>
    <w:rsid w:val="733D5BF1"/>
    <w:rsid w:val="734A8D0D"/>
    <w:rsid w:val="73550637"/>
    <w:rsid w:val="73A34E7A"/>
    <w:rsid w:val="73AA2FF3"/>
    <w:rsid w:val="73BD73DB"/>
    <w:rsid w:val="73DB2DE3"/>
    <w:rsid w:val="73EF1E6D"/>
    <w:rsid w:val="73F8A7B4"/>
    <w:rsid w:val="73FDD619"/>
    <w:rsid w:val="746FEE30"/>
    <w:rsid w:val="74AB7A5D"/>
    <w:rsid w:val="74B75C45"/>
    <w:rsid w:val="74D92E12"/>
    <w:rsid w:val="75004CFB"/>
    <w:rsid w:val="75140AA5"/>
    <w:rsid w:val="753F51A9"/>
    <w:rsid w:val="75422296"/>
    <w:rsid w:val="75476980"/>
    <w:rsid w:val="75AD6BA1"/>
    <w:rsid w:val="75AF0111"/>
    <w:rsid w:val="75B90985"/>
    <w:rsid w:val="75CF4C2A"/>
    <w:rsid w:val="75DB0B9A"/>
    <w:rsid w:val="75F0011F"/>
    <w:rsid w:val="76427D62"/>
    <w:rsid w:val="76557D5F"/>
    <w:rsid w:val="765DD1C1"/>
    <w:rsid w:val="76B7BA23"/>
    <w:rsid w:val="76E5092B"/>
    <w:rsid w:val="770D5AC1"/>
    <w:rsid w:val="770F0E04"/>
    <w:rsid w:val="77104560"/>
    <w:rsid w:val="772207AC"/>
    <w:rsid w:val="775440CB"/>
    <w:rsid w:val="775DEDF6"/>
    <w:rsid w:val="77671F5F"/>
    <w:rsid w:val="777A6AAE"/>
    <w:rsid w:val="777B1B0F"/>
    <w:rsid w:val="778B6351"/>
    <w:rsid w:val="77BA3348"/>
    <w:rsid w:val="77BE011C"/>
    <w:rsid w:val="77CFB02D"/>
    <w:rsid w:val="77D27E07"/>
    <w:rsid w:val="77D575CC"/>
    <w:rsid w:val="77DB3D40"/>
    <w:rsid w:val="77FBF427"/>
    <w:rsid w:val="77FCEEFE"/>
    <w:rsid w:val="780022C1"/>
    <w:rsid w:val="780A7A70"/>
    <w:rsid w:val="786A4AD7"/>
    <w:rsid w:val="786D53A9"/>
    <w:rsid w:val="789B3E8B"/>
    <w:rsid w:val="78D110A7"/>
    <w:rsid w:val="79513E1A"/>
    <w:rsid w:val="795B2114"/>
    <w:rsid w:val="79646E59"/>
    <w:rsid w:val="79690914"/>
    <w:rsid w:val="799E295C"/>
    <w:rsid w:val="79B80F53"/>
    <w:rsid w:val="79BD5DDD"/>
    <w:rsid w:val="7A4070C0"/>
    <w:rsid w:val="7A4A7FB0"/>
    <w:rsid w:val="7A6B6CDE"/>
    <w:rsid w:val="7AB7ABCF"/>
    <w:rsid w:val="7AB81AA1"/>
    <w:rsid w:val="7AB86962"/>
    <w:rsid w:val="7B3C23DD"/>
    <w:rsid w:val="7B482B48"/>
    <w:rsid w:val="7B4F1A6A"/>
    <w:rsid w:val="7B8B2DC3"/>
    <w:rsid w:val="7BAC67C0"/>
    <w:rsid w:val="7BBBF903"/>
    <w:rsid w:val="7BD21843"/>
    <w:rsid w:val="7BDD18BA"/>
    <w:rsid w:val="7BE72388"/>
    <w:rsid w:val="7C2A51D8"/>
    <w:rsid w:val="7C2D3A6A"/>
    <w:rsid w:val="7C2D40AF"/>
    <w:rsid w:val="7C5A72A5"/>
    <w:rsid w:val="7C944F3F"/>
    <w:rsid w:val="7CBA0A87"/>
    <w:rsid w:val="7CEA528D"/>
    <w:rsid w:val="7CF36E72"/>
    <w:rsid w:val="7CF647CE"/>
    <w:rsid w:val="7D017208"/>
    <w:rsid w:val="7D021039"/>
    <w:rsid w:val="7D354C5D"/>
    <w:rsid w:val="7D36082F"/>
    <w:rsid w:val="7D3F7641"/>
    <w:rsid w:val="7D425704"/>
    <w:rsid w:val="7D7F613C"/>
    <w:rsid w:val="7D862E0C"/>
    <w:rsid w:val="7D97463E"/>
    <w:rsid w:val="7D9B9AB7"/>
    <w:rsid w:val="7DBD122E"/>
    <w:rsid w:val="7DBE7642"/>
    <w:rsid w:val="7DDF3AEC"/>
    <w:rsid w:val="7DDF5855"/>
    <w:rsid w:val="7DE52138"/>
    <w:rsid w:val="7DE844FD"/>
    <w:rsid w:val="7E0A5B87"/>
    <w:rsid w:val="7E17E7FE"/>
    <w:rsid w:val="7E271180"/>
    <w:rsid w:val="7E2E2F16"/>
    <w:rsid w:val="7E3D770F"/>
    <w:rsid w:val="7E575E95"/>
    <w:rsid w:val="7E5F64E0"/>
    <w:rsid w:val="7E6F667C"/>
    <w:rsid w:val="7E7D57AD"/>
    <w:rsid w:val="7E7EBEC9"/>
    <w:rsid w:val="7ECC4D7D"/>
    <w:rsid w:val="7EDC16D9"/>
    <w:rsid w:val="7EDE4B74"/>
    <w:rsid w:val="7EE1B2E8"/>
    <w:rsid w:val="7EEF5C43"/>
    <w:rsid w:val="7F104172"/>
    <w:rsid w:val="7F1C6FBF"/>
    <w:rsid w:val="7F20513D"/>
    <w:rsid w:val="7F2DCC0F"/>
    <w:rsid w:val="7F3DBA81"/>
    <w:rsid w:val="7F6F0442"/>
    <w:rsid w:val="7F7D71C0"/>
    <w:rsid w:val="7F9DDBA2"/>
    <w:rsid w:val="7FA26627"/>
    <w:rsid w:val="7FBDF965"/>
    <w:rsid w:val="7FBF816F"/>
    <w:rsid w:val="7FE605F5"/>
    <w:rsid w:val="7FF151BF"/>
    <w:rsid w:val="7FF5EC34"/>
    <w:rsid w:val="7FF78B87"/>
    <w:rsid w:val="7FFD55ED"/>
    <w:rsid w:val="7FFF4922"/>
    <w:rsid w:val="8BFFBDCF"/>
    <w:rsid w:val="9BC6E34B"/>
    <w:rsid w:val="9EFDFDD9"/>
    <w:rsid w:val="A2E9BF0A"/>
    <w:rsid w:val="AAF9B338"/>
    <w:rsid w:val="AC8FC665"/>
    <w:rsid w:val="ACFFF825"/>
    <w:rsid w:val="AFBF0474"/>
    <w:rsid w:val="B18B7562"/>
    <w:rsid w:val="B297F98E"/>
    <w:rsid w:val="B4AD5343"/>
    <w:rsid w:val="B5FFDB98"/>
    <w:rsid w:val="B6EF5E02"/>
    <w:rsid w:val="B7AFA21A"/>
    <w:rsid w:val="B7F7B89B"/>
    <w:rsid w:val="B8F79F9E"/>
    <w:rsid w:val="BBFDA9C6"/>
    <w:rsid w:val="BEFB7107"/>
    <w:rsid w:val="BF67A0D0"/>
    <w:rsid w:val="BF684F3A"/>
    <w:rsid w:val="BFAF4CD5"/>
    <w:rsid w:val="BFB652B4"/>
    <w:rsid w:val="BFDFD5BA"/>
    <w:rsid w:val="C3A8578B"/>
    <w:rsid w:val="C3FBAE6E"/>
    <w:rsid w:val="C56B322B"/>
    <w:rsid w:val="C57B1EDB"/>
    <w:rsid w:val="C77C02FA"/>
    <w:rsid w:val="CBCFF975"/>
    <w:rsid w:val="D3CFD681"/>
    <w:rsid w:val="D5BEF10E"/>
    <w:rsid w:val="D5FDBE8C"/>
    <w:rsid w:val="D76E090B"/>
    <w:rsid w:val="D7D3BE55"/>
    <w:rsid w:val="DB3F9407"/>
    <w:rsid w:val="DEFD9A87"/>
    <w:rsid w:val="DF6A5B11"/>
    <w:rsid w:val="DF773765"/>
    <w:rsid w:val="DF7E0C2E"/>
    <w:rsid w:val="DFA6634A"/>
    <w:rsid w:val="DFECF4C1"/>
    <w:rsid w:val="DFFFE5B0"/>
    <w:rsid w:val="E4DB8413"/>
    <w:rsid w:val="E5F539FC"/>
    <w:rsid w:val="E6F70932"/>
    <w:rsid w:val="E6F72D27"/>
    <w:rsid w:val="E7FD48C9"/>
    <w:rsid w:val="EBDC6FF3"/>
    <w:rsid w:val="EBFC4E88"/>
    <w:rsid w:val="ECAFB66D"/>
    <w:rsid w:val="ED5B1C77"/>
    <w:rsid w:val="EDED7DA5"/>
    <w:rsid w:val="EDFFA1B3"/>
    <w:rsid w:val="EEFB44C7"/>
    <w:rsid w:val="EEFE3201"/>
    <w:rsid w:val="EF3D0123"/>
    <w:rsid w:val="EF5F1A39"/>
    <w:rsid w:val="EF7F3C37"/>
    <w:rsid w:val="EFDE5E1E"/>
    <w:rsid w:val="EFF7B320"/>
    <w:rsid w:val="EFF94FE0"/>
    <w:rsid w:val="F17FC5DD"/>
    <w:rsid w:val="F1BD2C02"/>
    <w:rsid w:val="F1CE00F3"/>
    <w:rsid w:val="F1D514D9"/>
    <w:rsid w:val="F37F3E99"/>
    <w:rsid w:val="F5D74F7C"/>
    <w:rsid w:val="F5FFED76"/>
    <w:rsid w:val="F6DB8EBA"/>
    <w:rsid w:val="F76F5F08"/>
    <w:rsid w:val="F7BDEEF6"/>
    <w:rsid w:val="F7DD57E3"/>
    <w:rsid w:val="F7EDC300"/>
    <w:rsid w:val="F7EF8029"/>
    <w:rsid w:val="F7FF691E"/>
    <w:rsid w:val="FB0F0988"/>
    <w:rsid w:val="FB37C769"/>
    <w:rsid w:val="FB7D8AA4"/>
    <w:rsid w:val="FBDF3BBC"/>
    <w:rsid w:val="FBEBCBD8"/>
    <w:rsid w:val="FBF76E69"/>
    <w:rsid w:val="FBFE4152"/>
    <w:rsid w:val="FCF9B662"/>
    <w:rsid w:val="FCFB06E9"/>
    <w:rsid w:val="FCFE3075"/>
    <w:rsid w:val="FD535991"/>
    <w:rsid w:val="FD9BE8F8"/>
    <w:rsid w:val="FDAA5150"/>
    <w:rsid w:val="FDDBA678"/>
    <w:rsid w:val="FDDBE9D6"/>
    <w:rsid w:val="FDDEA388"/>
    <w:rsid w:val="FDF120E3"/>
    <w:rsid w:val="FDFD971D"/>
    <w:rsid w:val="FDFF190B"/>
    <w:rsid w:val="FE674BDB"/>
    <w:rsid w:val="FE6E18DE"/>
    <w:rsid w:val="FE7F8329"/>
    <w:rsid w:val="FE856CEB"/>
    <w:rsid w:val="FECD5E06"/>
    <w:rsid w:val="FEF7ADDF"/>
    <w:rsid w:val="FEFD9655"/>
    <w:rsid w:val="FEFE955E"/>
    <w:rsid w:val="FF2FED21"/>
    <w:rsid w:val="FF370FDE"/>
    <w:rsid w:val="FF533007"/>
    <w:rsid w:val="FF5D845B"/>
    <w:rsid w:val="FF5EB924"/>
    <w:rsid w:val="FF5FA289"/>
    <w:rsid w:val="FF6F5870"/>
    <w:rsid w:val="FF7762D3"/>
    <w:rsid w:val="FF7B0F7D"/>
    <w:rsid w:val="FFBF04F4"/>
    <w:rsid w:val="FFBF2382"/>
    <w:rsid w:val="FFD6A4D0"/>
    <w:rsid w:val="FFDADF68"/>
    <w:rsid w:val="FFDBCF82"/>
    <w:rsid w:val="FFEF2757"/>
    <w:rsid w:val="FFEF39BA"/>
    <w:rsid w:val="FFEF90EC"/>
    <w:rsid w:val="FFFB12A7"/>
    <w:rsid w:val="FFFB86C7"/>
    <w:rsid w:val="FFFBB14C"/>
    <w:rsid w:val="FFFED030"/>
    <w:rsid w:val="FFFFDB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99"/>
    <w:pPr>
      <w:ind w:left="3"/>
      <w:jc w:val="left"/>
      <w:outlineLvl w:val="1"/>
    </w:pPr>
    <w:rPr>
      <w:rFonts w:ascii="宋体" w:hAnsi="宋体"/>
      <w:kern w:val="0"/>
      <w:sz w:val="44"/>
      <w:szCs w:val="44"/>
      <w:lang w:eastAsia="en-US"/>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Calibri Light" w:hAnsi="Calibri Light"/>
      <w:b/>
      <w:bCs/>
      <w:sz w:val="28"/>
      <w:szCs w:val="28"/>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99"/>
    <w:pPr>
      <w:ind w:firstLine="420" w:firstLineChars="200"/>
      <w:jc w:val="left"/>
    </w:pPr>
    <w:rPr>
      <w:rFonts w:ascii="Times New Roman" w:hAnsi="Times New Roman" w:eastAsia="Calibri"/>
      <w:kern w:val="0"/>
      <w:sz w:val="22"/>
      <w:lang w:eastAsia="en-US"/>
    </w:rPr>
  </w:style>
  <w:style w:type="paragraph" w:styleId="7">
    <w:name w:val="annotation text"/>
    <w:basedOn w:val="1"/>
    <w:link w:val="44"/>
    <w:autoRedefine/>
    <w:qFormat/>
    <w:uiPriority w:val="0"/>
    <w:pPr>
      <w:jc w:val="left"/>
    </w:pPr>
  </w:style>
  <w:style w:type="paragraph" w:styleId="8">
    <w:name w:val="Body Text 3"/>
    <w:basedOn w:val="1"/>
    <w:autoRedefine/>
    <w:qFormat/>
    <w:uiPriority w:val="0"/>
    <w:pPr>
      <w:spacing w:after="120"/>
    </w:pPr>
    <w:rPr>
      <w:sz w:val="16"/>
      <w:szCs w:val="16"/>
    </w:rPr>
  </w:style>
  <w:style w:type="paragraph" w:styleId="9">
    <w:name w:val="Body Text"/>
    <w:basedOn w:val="1"/>
    <w:next w:val="1"/>
    <w:autoRedefine/>
    <w:qFormat/>
    <w:uiPriority w:val="0"/>
    <w:pPr>
      <w:ind w:left="100"/>
      <w:jc w:val="left"/>
    </w:pPr>
    <w:rPr>
      <w:rFonts w:ascii="宋体" w:hAnsi="宋体"/>
      <w:kern w:val="0"/>
      <w:szCs w:val="21"/>
      <w:lang w:eastAsia="en-US"/>
    </w:rPr>
  </w:style>
  <w:style w:type="paragraph" w:styleId="10">
    <w:name w:val="Body Text Indent"/>
    <w:basedOn w:val="1"/>
    <w:next w:val="11"/>
    <w:autoRedefine/>
    <w:qFormat/>
    <w:uiPriority w:val="0"/>
    <w:pPr>
      <w:spacing w:after="120"/>
      <w:ind w:left="420" w:leftChars="200"/>
      <w:jc w:val="left"/>
    </w:pPr>
    <w:rPr>
      <w:rFonts w:ascii="宋体" w:hAnsi="宋体"/>
      <w:kern w:val="0"/>
      <w:sz w:val="22"/>
      <w:lang w:eastAsia="en-US"/>
    </w:rPr>
  </w:style>
  <w:style w:type="paragraph" w:styleId="11">
    <w:name w:val="envelope return"/>
    <w:basedOn w:val="1"/>
    <w:autoRedefine/>
    <w:qFormat/>
    <w:uiPriority w:val="0"/>
    <w:pPr>
      <w:snapToGrid w:val="0"/>
    </w:pPr>
    <w:rPr>
      <w:rFonts w:ascii="Arial" w:hAnsi="Arial"/>
      <w:szCs w:val="24"/>
    </w:rPr>
  </w:style>
  <w:style w:type="paragraph" w:styleId="12">
    <w:name w:val="Plain Text"/>
    <w:basedOn w:val="1"/>
    <w:next w:val="1"/>
    <w:autoRedefine/>
    <w:qFormat/>
    <w:uiPriority w:val="0"/>
    <w:pPr>
      <w:jc w:val="left"/>
    </w:pPr>
    <w:rPr>
      <w:rFonts w:ascii="宋体" w:hAnsi="Courier New" w:eastAsia="Calibri"/>
      <w:kern w:val="0"/>
      <w:sz w:val="22"/>
      <w:szCs w:val="20"/>
      <w:lang w:eastAsia="en-US"/>
    </w:rPr>
  </w:style>
  <w:style w:type="paragraph" w:styleId="13">
    <w:name w:val="Balloon Text"/>
    <w:basedOn w:val="1"/>
    <w:link w:val="43"/>
    <w:autoRedefine/>
    <w:qFormat/>
    <w:uiPriority w:val="0"/>
    <w:rPr>
      <w:sz w:val="18"/>
      <w:szCs w:val="18"/>
    </w:rPr>
  </w:style>
  <w:style w:type="paragraph" w:styleId="14">
    <w:name w:val="footer"/>
    <w:basedOn w:val="1"/>
    <w:autoRedefine/>
    <w:unhideWhenUsed/>
    <w:qFormat/>
    <w:uiPriority w:val="99"/>
    <w:pPr>
      <w:tabs>
        <w:tab w:val="center" w:pos="4153"/>
        <w:tab w:val="right" w:pos="8306"/>
      </w:tabs>
      <w:snapToGrid w:val="0"/>
      <w:jc w:val="left"/>
    </w:pPr>
    <w:rPr>
      <w:kern w:val="0"/>
      <w:sz w:val="18"/>
      <w:szCs w:val="18"/>
    </w:rPr>
  </w:style>
  <w:style w:type="paragraph" w:styleId="15">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autoRedefine/>
    <w:qFormat/>
    <w:uiPriority w:val="39"/>
    <w:pPr>
      <w:jc w:val="left"/>
    </w:pPr>
    <w:rPr>
      <w:rFonts w:ascii="宋体" w:hAnsi="宋体"/>
      <w:kern w:val="0"/>
      <w:szCs w:val="21"/>
      <w:lang w:eastAsia="en-US"/>
    </w:rPr>
  </w:style>
  <w:style w:type="paragraph" w:styleId="17">
    <w:name w:val="toc 2"/>
    <w:basedOn w:val="1"/>
    <w:next w:val="1"/>
    <w:autoRedefine/>
    <w:qFormat/>
    <w:uiPriority w:val="39"/>
    <w:pPr>
      <w:ind w:left="210"/>
    </w:pPr>
    <w:rPr>
      <w:rFonts w:cs="Calibri"/>
      <w:smallCaps/>
    </w:rPr>
  </w:style>
  <w:style w:type="paragraph" w:styleId="18">
    <w:name w:val="Body Text 2"/>
    <w:basedOn w:val="1"/>
    <w:autoRedefine/>
    <w:qFormat/>
    <w:uiPriority w:val="0"/>
    <w:pPr>
      <w:spacing w:after="120" w:line="480" w:lineRule="auto"/>
    </w:pPr>
    <w:rPr>
      <w:kern w:val="0"/>
      <w:sz w:val="20"/>
    </w:rPr>
  </w:style>
  <w:style w:type="paragraph" w:styleId="19">
    <w:name w:val="Normal (Web)"/>
    <w:basedOn w:val="1"/>
    <w:autoRedefine/>
    <w:qFormat/>
    <w:uiPriority w:val="0"/>
    <w:pPr>
      <w:widowControl/>
      <w:adjustRightInd w:val="0"/>
      <w:spacing w:line="23" w:lineRule="atLeast"/>
      <w:ind w:right="134" w:rightChars="64"/>
      <w:jc w:val="left"/>
    </w:pPr>
    <w:rPr>
      <w:rFonts w:ascii="宋体" w:hAnsi="宋体" w:cs="宋体"/>
      <w:color w:val="333333"/>
      <w:kern w:val="0"/>
      <w:szCs w:val="21"/>
    </w:rPr>
  </w:style>
  <w:style w:type="paragraph" w:styleId="20">
    <w:name w:val="Title"/>
    <w:basedOn w:val="1"/>
    <w:next w:val="1"/>
    <w:autoRedefine/>
    <w:qFormat/>
    <w:uiPriority w:val="0"/>
    <w:pPr>
      <w:spacing w:before="240" w:after="60"/>
      <w:jc w:val="center"/>
      <w:outlineLvl w:val="0"/>
    </w:pPr>
    <w:rPr>
      <w:rFonts w:ascii="Cambria" w:hAnsi="Cambria"/>
      <w:b/>
      <w:bCs/>
      <w:kern w:val="0"/>
      <w:sz w:val="32"/>
      <w:szCs w:val="32"/>
      <w:lang w:eastAsia="en-US"/>
    </w:rPr>
  </w:style>
  <w:style w:type="paragraph" w:styleId="21">
    <w:name w:val="annotation subject"/>
    <w:basedOn w:val="7"/>
    <w:next w:val="7"/>
    <w:link w:val="45"/>
    <w:autoRedefine/>
    <w:qFormat/>
    <w:uiPriority w:val="0"/>
    <w:rPr>
      <w:b/>
      <w:bCs/>
    </w:rPr>
  </w:style>
  <w:style w:type="paragraph" w:styleId="22">
    <w:name w:val="Body Text First Indent"/>
    <w:basedOn w:val="9"/>
    <w:autoRedefine/>
    <w:qFormat/>
    <w:uiPriority w:val="0"/>
    <w:pPr>
      <w:spacing w:line="312" w:lineRule="auto"/>
      <w:ind w:firstLine="420"/>
    </w:pPr>
    <w:rPr>
      <w:sz w:val="20"/>
      <w:szCs w:val="20"/>
    </w:rPr>
  </w:style>
  <w:style w:type="paragraph" w:styleId="23">
    <w:name w:val="Body Text First Indent 2"/>
    <w:basedOn w:val="10"/>
    <w:autoRedefine/>
    <w:qFormat/>
    <w:uiPriority w:val="0"/>
    <w:pPr>
      <w:ind w:firstLine="420"/>
    </w:pPr>
    <w:rPr>
      <w:rFonts w:ascii="Times New Roman" w:hAnsi="Calibri"/>
      <w:szCs w:val="24"/>
    </w:rPr>
  </w:style>
  <w:style w:type="character" w:styleId="26">
    <w:name w:val="Strong"/>
    <w:basedOn w:val="25"/>
    <w:autoRedefine/>
    <w:qFormat/>
    <w:uiPriority w:val="0"/>
    <w:rPr>
      <w:b/>
      <w:bCs/>
    </w:rPr>
  </w:style>
  <w:style w:type="character" w:styleId="27">
    <w:name w:val="page number"/>
    <w:autoRedefine/>
    <w:qFormat/>
    <w:uiPriority w:val="0"/>
    <w:rPr>
      <w:rFonts w:ascii="Times New Roman" w:hAnsi="Times New Roman" w:eastAsia="宋体" w:cs="Times New Roman"/>
    </w:rPr>
  </w:style>
  <w:style w:type="character" w:styleId="28">
    <w:name w:val="FollowedHyperlink"/>
    <w:basedOn w:val="25"/>
    <w:autoRedefine/>
    <w:qFormat/>
    <w:uiPriority w:val="0"/>
    <w:rPr>
      <w:rFonts w:hint="eastAsia" w:ascii="微软雅黑" w:hAnsi="微软雅黑" w:eastAsia="微软雅黑" w:cs="微软雅黑"/>
      <w:color w:val="337AB7"/>
      <w:u w:val="none"/>
    </w:rPr>
  </w:style>
  <w:style w:type="character" w:styleId="29">
    <w:name w:val="HTML Definition"/>
    <w:basedOn w:val="25"/>
    <w:autoRedefine/>
    <w:qFormat/>
    <w:uiPriority w:val="0"/>
    <w:rPr>
      <w:i/>
      <w:iCs/>
    </w:rPr>
  </w:style>
  <w:style w:type="character" w:styleId="30">
    <w:name w:val="Hyperlink"/>
    <w:autoRedefine/>
    <w:qFormat/>
    <w:uiPriority w:val="99"/>
    <w:rPr>
      <w:color w:val="0000FF"/>
      <w:u w:val="single"/>
    </w:rPr>
  </w:style>
  <w:style w:type="character" w:styleId="31">
    <w:name w:val="HTML Code"/>
    <w:basedOn w:val="25"/>
    <w:autoRedefine/>
    <w:qFormat/>
    <w:uiPriority w:val="0"/>
    <w:rPr>
      <w:rFonts w:ascii="Consolas" w:hAnsi="Consolas" w:eastAsia="Consolas" w:cs="Consolas"/>
      <w:color w:val="C7254E"/>
      <w:sz w:val="21"/>
      <w:szCs w:val="21"/>
      <w:bdr w:val="single" w:color="E1E1E1" w:sz="6" w:space="0"/>
      <w:shd w:val="clear" w:color="auto" w:fill="F9F2F4"/>
    </w:rPr>
  </w:style>
  <w:style w:type="character" w:styleId="32">
    <w:name w:val="annotation reference"/>
    <w:basedOn w:val="25"/>
    <w:autoRedefine/>
    <w:qFormat/>
    <w:uiPriority w:val="0"/>
    <w:rPr>
      <w:sz w:val="21"/>
      <w:szCs w:val="21"/>
    </w:rPr>
  </w:style>
  <w:style w:type="character" w:styleId="33">
    <w:name w:val="HTML Keyboard"/>
    <w:basedOn w:val="25"/>
    <w:autoRedefine/>
    <w:qFormat/>
    <w:uiPriority w:val="0"/>
    <w:rPr>
      <w:rFonts w:hint="default" w:ascii="Consolas" w:hAnsi="Consolas" w:eastAsia="Consolas" w:cs="Consolas"/>
      <w:color w:val="FFFFFF"/>
      <w:sz w:val="21"/>
      <w:szCs w:val="21"/>
      <w:shd w:val="clear" w:color="auto" w:fill="333333"/>
    </w:rPr>
  </w:style>
  <w:style w:type="character" w:styleId="34">
    <w:name w:val="HTML Sample"/>
    <w:basedOn w:val="25"/>
    <w:autoRedefine/>
    <w:qFormat/>
    <w:uiPriority w:val="0"/>
    <w:rPr>
      <w:rFonts w:hint="default" w:ascii="Consolas" w:hAnsi="Consolas" w:eastAsia="Consolas" w:cs="Consolas"/>
      <w:sz w:val="21"/>
      <w:szCs w:val="21"/>
    </w:rPr>
  </w:style>
  <w:style w:type="paragraph" w:customStyle="1" w:styleId="35">
    <w:name w:val="Table Paragraph"/>
    <w:basedOn w:val="1"/>
    <w:autoRedefine/>
    <w:qFormat/>
    <w:uiPriority w:val="0"/>
    <w:pPr>
      <w:jc w:val="left"/>
    </w:pPr>
    <w:rPr>
      <w:rFonts w:ascii="Times New Roman" w:hAnsi="Times New Roman" w:eastAsia="Calibri"/>
      <w:kern w:val="0"/>
      <w:sz w:val="22"/>
      <w:lang w:eastAsia="en-US"/>
    </w:rPr>
  </w:style>
  <w:style w:type="paragraph" w:styleId="36">
    <w:name w:val="List Paragraph"/>
    <w:basedOn w:val="1"/>
    <w:autoRedefine/>
    <w:qFormat/>
    <w:uiPriority w:val="34"/>
    <w:pPr>
      <w:jc w:val="left"/>
    </w:pPr>
    <w:rPr>
      <w:rFonts w:ascii="Times New Roman" w:hAnsi="Times New Roman" w:eastAsia="Calibri"/>
      <w:kern w:val="0"/>
      <w:sz w:val="22"/>
      <w:lang w:eastAsia="en-US"/>
    </w:rPr>
  </w:style>
  <w:style w:type="paragraph" w:customStyle="1" w:styleId="37">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8">
    <w:name w:val="发文落款"/>
    <w:basedOn w:val="37"/>
    <w:autoRedefine/>
    <w:qFormat/>
    <w:uiPriority w:val="0"/>
    <w:pPr>
      <w:ind w:left="4094" w:right="607" w:firstLine="0"/>
      <w:jc w:val="center"/>
    </w:pPr>
    <w:rPr>
      <w:rFonts w:ascii="Calibri" w:hAnsi="Calibri" w:eastAsia="宋体"/>
    </w:rPr>
  </w:style>
  <w:style w:type="paragraph" w:customStyle="1" w:styleId="39">
    <w:name w:val="文二"/>
    <w:basedOn w:val="1"/>
    <w:autoRedefine/>
    <w:qFormat/>
    <w:uiPriority w:val="0"/>
    <w:pPr>
      <w:jc w:val="left"/>
    </w:pPr>
    <w:rPr>
      <w:rFonts w:ascii="宋体" w:hAnsi="宋体"/>
      <w:szCs w:val="21"/>
    </w:rPr>
  </w:style>
  <w:style w:type="paragraph" w:customStyle="1" w:styleId="40">
    <w:name w:val="正题"/>
    <w:basedOn w:val="41"/>
    <w:next w:val="41"/>
    <w:autoRedefine/>
    <w:qFormat/>
    <w:uiPriority w:val="0"/>
    <w:pPr>
      <w:ind w:firstLine="0" w:firstLineChars="0"/>
      <w:jc w:val="center"/>
    </w:pPr>
    <w:rPr>
      <w:rFonts w:ascii="等线" w:hAnsi="等线" w:eastAsia="黑体"/>
      <w:b/>
      <w:sz w:val="36"/>
      <w:szCs w:val="36"/>
    </w:rPr>
  </w:style>
  <w:style w:type="paragraph" w:customStyle="1" w:styleId="41">
    <w:name w:val="文一"/>
    <w:basedOn w:val="1"/>
    <w:autoRedefine/>
    <w:qFormat/>
    <w:uiPriority w:val="0"/>
    <w:pPr>
      <w:topLinePunct/>
      <w:adjustRightInd w:val="0"/>
      <w:snapToGrid w:val="0"/>
      <w:spacing w:line="360" w:lineRule="auto"/>
      <w:ind w:firstLine="200" w:firstLineChars="200"/>
      <w:jc w:val="left"/>
    </w:pPr>
    <w:rPr>
      <w:rFonts w:ascii="Times New Roman" w:hAnsi="Times New Roman" w:eastAsia="Calibri"/>
      <w:spacing w:val="4"/>
      <w:kern w:val="0"/>
      <w:sz w:val="24"/>
      <w:lang w:eastAsia="en-US"/>
    </w:rPr>
  </w:style>
  <w:style w:type="paragraph" w:customStyle="1" w:styleId="4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3">
    <w:name w:val="批注框文本 Char"/>
    <w:basedOn w:val="25"/>
    <w:link w:val="13"/>
    <w:autoRedefine/>
    <w:qFormat/>
    <w:uiPriority w:val="0"/>
    <w:rPr>
      <w:rFonts w:ascii="Calibri" w:hAnsi="Calibri"/>
      <w:kern w:val="2"/>
      <w:sz w:val="18"/>
      <w:szCs w:val="18"/>
    </w:rPr>
  </w:style>
  <w:style w:type="character" w:customStyle="1" w:styleId="44">
    <w:name w:val="批注文字 Char"/>
    <w:basedOn w:val="25"/>
    <w:link w:val="7"/>
    <w:autoRedefine/>
    <w:qFormat/>
    <w:uiPriority w:val="0"/>
    <w:rPr>
      <w:rFonts w:ascii="Calibri" w:hAnsi="Calibri"/>
      <w:kern w:val="2"/>
      <w:sz w:val="21"/>
      <w:szCs w:val="22"/>
    </w:rPr>
  </w:style>
  <w:style w:type="character" w:customStyle="1" w:styleId="45">
    <w:name w:val="批注主题 Char"/>
    <w:basedOn w:val="44"/>
    <w:link w:val="21"/>
    <w:autoRedefine/>
    <w:qFormat/>
    <w:uiPriority w:val="0"/>
    <w:rPr>
      <w:rFonts w:ascii="Calibri" w:hAnsi="Calibri"/>
      <w:b/>
      <w:bCs/>
      <w:kern w:val="2"/>
      <w:sz w:val="21"/>
      <w:szCs w:val="22"/>
    </w:rPr>
  </w:style>
  <w:style w:type="character" w:customStyle="1" w:styleId="46">
    <w:name w:val="10"/>
    <w:basedOn w:val="25"/>
    <w:autoRedefine/>
    <w:qFormat/>
    <w:uiPriority w:val="0"/>
    <w:rPr>
      <w:rFonts w:hint="default" w:ascii="Times New Roman" w:hAnsi="Times New Roman" w:cs="Times New Roman"/>
    </w:rPr>
  </w:style>
  <w:style w:type="character" w:customStyle="1" w:styleId="47">
    <w:name w:val="15"/>
    <w:basedOn w:val="25"/>
    <w:autoRedefine/>
    <w:qFormat/>
    <w:uiPriority w:val="0"/>
    <w:rPr>
      <w:rFonts w:hint="default" w:ascii="Times New Roman" w:hAnsi="Times New Roman" w:cs="Times New Roman"/>
      <w:sz w:val="21"/>
      <w:szCs w:val="21"/>
    </w:rPr>
  </w:style>
  <w:style w:type="paragraph" w:customStyle="1" w:styleId="48">
    <w:name w:val="Other|1"/>
    <w:basedOn w:val="1"/>
    <w:autoRedefine/>
    <w:qFormat/>
    <w:uiPriority w:val="0"/>
    <w:pPr>
      <w:spacing w:line="228" w:lineRule="exact"/>
    </w:pPr>
    <w:rPr>
      <w:rFonts w:ascii="宋体" w:hAnsi="宋体" w:cs="宋体"/>
      <w:sz w:val="17"/>
      <w:szCs w:val="17"/>
      <w:lang w:val="zh-TW" w:eastAsia="zh-TW" w:bidi="zh-TW"/>
    </w:rPr>
  </w:style>
  <w:style w:type="paragraph" w:customStyle="1" w:styleId="49">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0">
    <w:name w:val="title24"/>
    <w:basedOn w:val="25"/>
    <w:autoRedefine/>
    <w:qFormat/>
    <w:uiPriority w:val="0"/>
  </w:style>
  <w:style w:type="character" w:customStyle="1" w:styleId="51">
    <w:name w:val="username"/>
    <w:basedOn w:val="25"/>
    <w:autoRedefine/>
    <w:qFormat/>
    <w:uiPriority w:val="0"/>
  </w:style>
  <w:style w:type="paragraph" w:customStyle="1" w:styleId="52">
    <w:name w:val="修订1"/>
    <w:autoRedefine/>
    <w:hidden/>
    <w:unhideWhenUsed/>
    <w:qFormat/>
    <w:uiPriority w:val="99"/>
    <w:rPr>
      <w:rFonts w:ascii="Calibri" w:hAnsi="Calibri" w:eastAsia="宋体" w:cs="Times New Roman"/>
      <w:kern w:val="2"/>
      <w:sz w:val="21"/>
      <w:szCs w:val="22"/>
      <w:lang w:val="en-US" w:eastAsia="zh-CN" w:bidi="ar-SA"/>
    </w:rPr>
  </w:style>
  <w:style w:type="paragraph" w:customStyle="1" w:styleId="53">
    <w:name w:val="修订2"/>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5298</Words>
  <Characters>30203</Characters>
  <Lines>251</Lines>
  <Paragraphs>70</Paragraphs>
  <TotalTime>0</TotalTime>
  <ScaleCrop>false</ScaleCrop>
  <LinksUpToDate>false</LinksUpToDate>
  <CharactersWithSpaces>35431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2023-07-17T19:29:00Z</dcterms:created>
  <dc:creator>Y.sisi</dc:creator>
  <cp:lastModifiedBy>Rain。</cp:lastModifiedBy>
  <dcterms:modified xsi:type="dcterms:W3CDTF">2024-04-25T09:16:19Z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60BB4F4237FF4593BE9CBA6D3A2DE53E_13</vt:lpwstr>
  </property>
</Properties>
</file>