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highlight w:val="none"/>
          <w:lang w:val="en-US"/>
        </w:rPr>
      </w:pPr>
    </w:p>
    <w:p>
      <w:pPr>
        <w:spacing w:line="560" w:lineRule="exact"/>
        <w:jc w:val="center"/>
        <w:rPr>
          <w:rFonts w:hint="eastAsia" w:ascii="微软雅黑" w:hAnsi="微软雅黑" w:eastAsia="微软雅黑" w:cs="微软雅黑"/>
          <w:b/>
          <w:bCs/>
          <w:color w:val="auto"/>
          <w:sz w:val="52"/>
          <w:szCs w:val="52"/>
          <w:highlight w:val="none"/>
          <w:lang w:val="en-US" w:eastAsia="zh-CN"/>
        </w:rPr>
      </w:pPr>
      <w:r>
        <w:rPr>
          <w:rFonts w:hint="eastAsia" w:ascii="微软雅黑" w:hAnsi="微软雅黑" w:eastAsia="微软雅黑" w:cs="微软雅黑"/>
          <w:b/>
          <w:bCs/>
          <w:color w:val="auto"/>
          <w:sz w:val="52"/>
          <w:szCs w:val="52"/>
          <w:highlight w:val="none"/>
          <w:lang w:val="en-US" w:eastAsia="zh-CN"/>
        </w:rPr>
        <w:t>广州220千伏国创输变电工程</w:t>
      </w:r>
    </w:p>
    <w:p>
      <w:pPr>
        <w:spacing w:line="560" w:lineRule="exact"/>
        <w:jc w:val="center"/>
        <w:rPr>
          <w:rFonts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52"/>
          <w:szCs w:val="52"/>
          <w:highlight w:val="none"/>
          <w:lang w:val="en-US" w:eastAsia="zh-CN"/>
        </w:rPr>
        <w:t>勘察设计任务书</w:t>
      </w:r>
    </w:p>
    <w:p>
      <w:pPr>
        <w:spacing w:line="560" w:lineRule="exact"/>
        <w:jc w:val="center"/>
        <w:rPr>
          <w:rFonts w:ascii="方正小标宋简体" w:hAnsi="Arial" w:eastAsia="方正小标宋简体"/>
          <w:bCs/>
          <w:color w:val="auto"/>
          <w:sz w:val="44"/>
          <w:szCs w:val="44"/>
          <w:highlight w:val="none"/>
        </w:rPr>
      </w:pPr>
    </w:p>
    <w:p>
      <w:pPr>
        <w:spacing w:line="560" w:lineRule="exact"/>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一、项目概况</w:t>
      </w:r>
    </w:p>
    <w:p>
      <w:pPr>
        <w:spacing w:line="560" w:lineRule="exact"/>
        <w:ind w:firstLine="240" w:firstLineChars="1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1、项目名称：</w:t>
      </w:r>
      <w:r>
        <w:rPr>
          <w:rFonts w:hint="eastAsia" w:ascii="仿宋" w:hAnsi="仿宋" w:eastAsia="仿宋" w:cs="仿宋"/>
          <w:bCs/>
          <w:color w:val="auto"/>
          <w:sz w:val="24"/>
          <w:highlight w:val="none"/>
          <w:lang w:val="en-US" w:eastAsia="zh-CN"/>
        </w:rPr>
        <w:t>广州</w:t>
      </w:r>
      <w:r>
        <w:rPr>
          <w:rFonts w:hint="eastAsia" w:ascii="仿宋" w:hAnsi="仿宋" w:eastAsia="仿宋" w:cs="仿宋"/>
          <w:bCs/>
          <w:color w:val="auto"/>
          <w:sz w:val="24"/>
          <w:highlight w:val="none"/>
        </w:rPr>
        <w:t>220千伏国创输变电工程</w:t>
      </w:r>
    </w:p>
    <w:p>
      <w:pPr>
        <w:spacing w:line="560" w:lineRule="exact"/>
        <w:ind w:firstLine="240" w:firstLineChars="1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2、项目定位：</w:t>
      </w:r>
      <w:r>
        <w:rPr>
          <w:rFonts w:hint="eastAsia" w:ascii="仿宋" w:hAnsi="仿宋" w:eastAsia="仿宋" w:cs="仿宋"/>
          <w:bCs/>
          <w:color w:val="auto"/>
          <w:sz w:val="24"/>
          <w:highlight w:val="none"/>
          <w:lang w:val="en-US" w:eastAsia="zh-CN"/>
        </w:rPr>
        <w:t>项目将为新型储能基地提供可靠的电力保障，同时可向白云区人和镇部分区域供电，是白云中北部220千伏电网的重要枢纽变电站，也是110千伏电网重要的电源支撑点。</w:t>
      </w:r>
    </w:p>
    <w:p>
      <w:pPr>
        <w:spacing w:line="560" w:lineRule="exact"/>
        <w:ind w:firstLine="240" w:firstLineChars="1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3 、项目位置：广州市白云区人和镇方岗西路东侧</w:t>
      </w:r>
      <w:r>
        <w:rPr>
          <w:rFonts w:hint="eastAsia" w:ascii="仿宋" w:hAnsi="仿宋" w:eastAsia="仿宋" w:cs="仿宋"/>
          <w:bCs/>
          <w:color w:val="auto"/>
          <w:sz w:val="24"/>
          <w:highlight w:val="none"/>
          <w:lang w:eastAsia="zh-CN"/>
        </w:rPr>
        <w:t>，站址中心位置北纬23°19′26″ 东经113°15′58″。</w:t>
      </w:r>
    </w:p>
    <w:p>
      <w:pPr>
        <w:spacing w:line="560" w:lineRule="exact"/>
        <w:ind w:firstLine="240" w:firstLine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4 、规划及用地情况：</w:t>
      </w:r>
      <w:r>
        <w:rPr>
          <w:rFonts w:hint="eastAsia" w:ascii="仿宋" w:hAnsi="仿宋" w:eastAsia="仿宋" w:cs="仿宋"/>
          <w:color w:val="auto"/>
          <w:sz w:val="24"/>
          <w:highlight w:val="none"/>
          <w:lang w:val="en-US" w:eastAsia="zh-CN"/>
        </w:rPr>
        <w:t>广州</w:t>
      </w:r>
      <w:r>
        <w:rPr>
          <w:rFonts w:hint="eastAsia" w:ascii="仿宋" w:hAnsi="仿宋" w:eastAsia="仿宋" w:cs="仿宋"/>
          <w:color w:val="auto"/>
          <w:sz w:val="24"/>
          <w:highlight w:val="none"/>
        </w:rPr>
        <w:t>220千伏变电站站址用地符合城乡规划要求，已取得广州市规划和自然资源局《建设项目用地预审与选址意见》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穗空港规划资源预选(2023)39号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pPr>
        <w:numPr>
          <w:ilvl w:val="0"/>
          <w:numId w:val="1"/>
        </w:numPr>
        <w:spacing w:line="560" w:lineRule="exact"/>
        <w:ind w:firstLine="240" w:firstLineChars="1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投资</w:t>
      </w:r>
      <w:r>
        <w:rPr>
          <w:rFonts w:hint="eastAsia" w:ascii="仿宋" w:hAnsi="仿宋" w:eastAsia="仿宋" w:cs="仿宋"/>
          <w:color w:val="auto"/>
          <w:sz w:val="24"/>
          <w:highlight w:val="none"/>
          <w:lang w:val="en-US" w:eastAsia="zh-CN"/>
        </w:rPr>
        <w:t>额</w:t>
      </w:r>
      <w:r>
        <w:rPr>
          <w:rFonts w:hint="eastAsia" w:ascii="仿宋" w:hAnsi="仿宋" w:eastAsia="仿宋" w:cs="仿宋"/>
          <w:color w:val="auto"/>
          <w:sz w:val="24"/>
          <w:highlight w:val="none"/>
        </w:rPr>
        <w:t>：本项目总投资</w:t>
      </w:r>
      <w:r>
        <w:rPr>
          <w:rFonts w:hint="eastAsia" w:ascii="仿宋" w:hAnsi="仿宋" w:eastAsia="仿宋" w:cs="仿宋"/>
          <w:color w:val="auto"/>
          <w:sz w:val="24"/>
          <w:highlight w:val="none"/>
          <w:lang w:val="en-US" w:eastAsia="zh-CN"/>
        </w:rPr>
        <w:t>暂定</w:t>
      </w:r>
      <w:r>
        <w:rPr>
          <w:rFonts w:hint="eastAsia" w:ascii="仿宋" w:hAnsi="仿宋" w:eastAsia="仿宋" w:cs="仿宋"/>
          <w:color w:val="auto"/>
          <w:sz w:val="24"/>
          <w:highlight w:val="none"/>
        </w:rPr>
        <w:t>约</w:t>
      </w:r>
      <w:r>
        <w:rPr>
          <w:rFonts w:hint="eastAsia" w:ascii="仿宋" w:hAnsi="仿宋" w:eastAsia="仿宋" w:cs="仿宋"/>
          <w:color w:val="auto"/>
          <w:sz w:val="24"/>
          <w:highlight w:val="none"/>
          <w:lang w:val="en-US" w:eastAsia="zh-CN"/>
        </w:rPr>
        <w:t>39452.04万元。</w:t>
      </w:r>
    </w:p>
    <w:p>
      <w:pPr>
        <w:numPr>
          <w:ilvl w:val="0"/>
          <w:numId w:val="1"/>
        </w:numPr>
        <w:spacing w:line="560" w:lineRule="exact"/>
        <w:ind w:firstLine="240" w:firstLineChars="100"/>
        <w:jc w:val="left"/>
        <w:rPr>
          <w:rFonts w:hint="eastAsia"/>
          <w:highlight w:val="none"/>
        </w:rPr>
      </w:pPr>
      <w:r>
        <w:rPr>
          <w:rFonts w:hint="eastAsia" w:ascii="仿宋" w:hAnsi="仿宋" w:eastAsia="仿宋" w:cs="仿宋"/>
          <w:color w:val="auto"/>
          <w:sz w:val="24"/>
          <w:highlight w:val="none"/>
        </w:rPr>
        <w:t>地基基础设计等级</w:t>
      </w:r>
      <w:r>
        <w:rPr>
          <w:rFonts w:hint="eastAsia" w:ascii="仿宋" w:hAnsi="仿宋" w:eastAsia="仿宋" w:cs="仿宋"/>
          <w:color w:val="auto"/>
          <w:sz w:val="24"/>
          <w:highlight w:val="none"/>
          <w:lang w:val="en-US" w:eastAsia="zh-CN"/>
        </w:rPr>
        <w:t>乙</w:t>
      </w:r>
      <w:r>
        <w:rPr>
          <w:rFonts w:hint="eastAsia" w:ascii="仿宋" w:hAnsi="仿宋" w:eastAsia="仿宋" w:cs="仿宋"/>
          <w:color w:val="auto"/>
          <w:sz w:val="24"/>
          <w:highlight w:val="none"/>
        </w:rPr>
        <w:t>级 ，建筑内最大</w:t>
      </w:r>
      <w:r>
        <w:rPr>
          <w:rFonts w:hint="eastAsia" w:ascii="仿宋" w:hAnsi="仿宋" w:eastAsia="仿宋" w:cs="仿宋"/>
          <w:color w:val="auto"/>
          <w:sz w:val="24"/>
          <w:highlight w:val="none"/>
          <w:lang w:val="en-US" w:eastAsia="zh-CN"/>
        </w:rPr>
        <w:t>约16</w:t>
      </w:r>
      <w:r>
        <w:rPr>
          <w:rFonts w:hint="eastAsia" w:ascii="仿宋" w:hAnsi="仿宋" w:eastAsia="仿宋" w:cs="仿宋"/>
          <w:color w:val="auto"/>
          <w:sz w:val="24"/>
          <w:highlight w:val="none"/>
        </w:rPr>
        <w:t>米柱跨，</w:t>
      </w:r>
      <w:r>
        <w:rPr>
          <w:rFonts w:hint="eastAsia" w:ascii="仿宋" w:hAnsi="仿宋" w:eastAsia="仿宋" w:cs="仿宋"/>
          <w:color w:val="auto"/>
          <w:sz w:val="24"/>
          <w:highlight w:val="none"/>
          <w:lang w:val="en-US" w:eastAsia="zh-CN"/>
        </w:rPr>
        <w:t>支护结构</w:t>
      </w:r>
      <w:r>
        <w:rPr>
          <w:rFonts w:hint="eastAsia" w:ascii="仿宋" w:hAnsi="仿宋" w:eastAsia="仿宋" w:cs="仿宋"/>
          <w:color w:val="auto"/>
          <w:sz w:val="24"/>
          <w:highlight w:val="none"/>
        </w:rPr>
        <w:t>安全等级</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级，基坑环境等级</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级</w:t>
      </w:r>
      <w:r>
        <w:rPr>
          <w:rFonts w:hint="eastAsia" w:ascii="仿宋" w:hAnsi="仿宋" w:eastAsia="仿宋" w:cs="仿宋"/>
          <w:color w:val="auto"/>
          <w:sz w:val="24"/>
          <w:highlight w:val="none"/>
          <w:lang w:eastAsia="zh-CN"/>
        </w:rPr>
        <w:t>，边坡安全等级三级</w:t>
      </w:r>
      <w:r>
        <w:rPr>
          <w:rFonts w:hint="eastAsia" w:ascii="仿宋" w:hAnsi="仿宋" w:eastAsia="仿宋" w:cs="仿宋"/>
          <w:color w:val="auto"/>
          <w:sz w:val="24"/>
          <w:highlight w:val="none"/>
        </w:rPr>
        <w:t>，最大建筑高度</w:t>
      </w:r>
      <w:r>
        <w:rPr>
          <w:rFonts w:hint="eastAsia" w:ascii="仿宋" w:hAnsi="仿宋" w:eastAsia="仿宋" w:cs="仿宋"/>
          <w:color w:val="auto"/>
          <w:sz w:val="24"/>
          <w:highlight w:val="none"/>
          <w:lang w:val="en-US" w:eastAsia="zh-CN"/>
        </w:rPr>
        <w:t>29.3米</w:t>
      </w:r>
      <w:r>
        <w:rPr>
          <w:rFonts w:hint="eastAsia" w:ascii="仿宋" w:hAnsi="仿宋" w:eastAsia="仿宋" w:cs="仿宋"/>
          <w:color w:val="auto"/>
          <w:sz w:val="24"/>
          <w:highlight w:val="none"/>
        </w:rPr>
        <w:t>，最大建筑面积</w:t>
      </w:r>
      <w:r>
        <w:rPr>
          <w:rFonts w:hint="eastAsia" w:ascii="仿宋" w:hAnsi="仿宋" w:eastAsia="仿宋" w:cs="仿宋"/>
          <w:color w:val="auto"/>
          <w:sz w:val="24"/>
          <w:highlight w:val="none"/>
          <w:lang w:val="en-US" w:eastAsia="zh-CN"/>
        </w:rPr>
        <w:t>暂估1</w:t>
      </w:r>
      <w:r>
        <w:rPr>
          <w:rFonts w:hint="eastAsia" w:ascii="仿宋" w:hAnsi="仿宋" w:eastAsia="仿宋" w:cs="仿宋"/>
          <w:color w:val="auto"/>
          <w:sz w:val="24"/>
          <w:highlight w:val="none"/>
        </w:rPr>
        <w:t>万</w:t>
      </w:r>
      <w:r>
        <w:rPr>
          <w:rFonts w:hint="eastAsia" w:ascii="仿宋" w:hAnsi="仿宋" w:eastAsia="仿宋" w:cs="仿宋"/>
          <w:color w:val="auto"/>
          <w:sz w:val="24"/>
          <w:highlight w:val="none"/>
          <w:lang w:val="en-US" w:eastAsia="zh-CN"/>
        </w:rPr>
        <w:t>平方米</w:t>
      </w:r>
      <w:r>
        <w:rPr>
          <w:rFonts w:hint="eastAsia" w:ascii="仿宋" w:hAnsi="仿宋" w:eastAsia="仿宋" w:cs="仿宋"/>
          <w:color w:val="auto"/>
          <w:sz w:val="24"/>
          <w:highlight w:val="none"/>
        </w:rPr>
        <w:t>。</w:t>
      </w:r>
    </w:p>
    <w:p>
      <w:pPr>
        <w:spacing w:line="560" w:lineRule="exact"/>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二、建设内容与规模</w:t>
      </w:r>
    </w:p>
    <w:p>
      <w:pPr>
        <w:spacing w:line="360" w:lineRule="auto"/>
        <w:ind w:firstLine="480" w:firstLineChars="200"/>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项目变电站总建筑面积约1</w:t>
      </w:r>
      <w:r>
        <w:rPr>
          <w:rFonts w:hint="eastAsia" w:ascii="仿宋" w:hAnsi="仿宋" w:eastAsia="仿宋" w:cs="仿宋"/>
          <w:bCs/>
          <w:color w:val="auto"/>
          <w:kern w:val="0"/>
          <w:sz w:val="24"/>
          <w:highlight w:val="none"/>
          <w:lang w:val="en-US" w:eastAsia="zh-CN"/>
        </w:rPr>
        <w:t>0000</w:t>
      </w:r>
      <w:r>
        <w:rPr>
          <w:rFonts w:hint="eastAsia" w:ascii="仿宋" w:hAnsi="仿宋" w:eastAsia="仿宋" w:cs="仿宋"/>
          <w:bCs/>
          <w:color w:val="auto"/>
          <w:kern w:val="0"/>
          <w:sz w:val="24"/>
          <w:highlight w:val="none"/>
        </w:rPr>
        <w:t>平方米，接入220</w:t>
      </w:r>
      <w:r>
        <w:rPr>
          <w:rFonts w:hint="eastAsia" w:ascii="仿宋" w:hAnsi="仿宋" w:eastAsia="仿宋" w:cs="仿宋"/>
          <w:bCs/>
          <w:color w:val="auto"/>
          <w:kern w:val="0"/>
          <w:sz w:val="24"/>
          <w:highlight w:val="none"/>
          <w:lang w:val="en-US" w:eastAsia="zh-CN"/>
        </w:rPr>
        <w:t>千伏</w:t>
      </w:r>
      <w:r>
        <w:rPr>
          <w:rFonts w:hint="eastAsia" w:ascii="仿宋" w:hAnsi="仿宋" w:eastAsia="仿宋" w:cs="仿宋"/>
          <w:bCs/>
          <w:color w:val="auto"/>
          <w:kern w:val="0"/>
          <w:sz w:val="24"/>
          <w:highlight w:val="none"/>
        </w:rPr>
        <w:t>蚌湖站电缆沟约4公里，</w:t>
      </w:r>
      <w:r>
        <w:rPr>
          <w:rFonts w:hint="eastAsia" w:ascii="仿宋" w:hAnsi="仿宋" w:eastAsia="仿宋" w:cs="仿宋"/>
          <w:bCs/>
          <w:color w:val="auto"/>
          <w:kern w:val="0"/>
          <w:sz w:val="24"/>
          <w:highlight w:val="none"/>
          <w:lang w:val="en-US" w:eastAsia="zh-CN"/>
        </w:rPr>
        <w:t>本期</w:t>
      </w:r>
      <w:r>
        <w:rPr>
          <w:rFonts w:hint="eastAsia" w:ascii="仿宋" w:hAnsi="仿宋" w:eastAsia="仿宋" w:cs="仿宋"/>
          <w:bCs/>
          <w:color w:val="auto"/>
          <w:kern w:val="0"/>
          <w:sz w:val="24"/>
          <w:highlight w:val="none"/>
        </w:rPr>
        <w:t>主要建设内容包括2台240 兆伏安主变、3回220千伏</w:t>
      </w:r>
      <w:r>
        <w:rPr>
          <w:rFonts w:hint="eastAsia" w:ascii="仿宋" w:hAnsi="仿宋" w:eastAsia="仿宋" w:cs="仿宋"/>
          <w:bCs/>
          <w:color w:val="auto"/>
          <w:kern w:val="0"/>
          <w:sz w:val="24"/>
          <w:highlight w:val="none"/>
          <w:lang w:val="en-US" w:eastAsia="zh-CN"/>
        </w:rPr>
        <w:t>出线</w:t>
      </w:r>
      <w:r>
        <w:rPr>
          <w:rFonts w:hint="eastAsia" w:ascii="仿宋" w:hAnsi="仿宋" w:eastAsia="仿宋" w:cs="仿宋"/>
          <w:bCs/>
          <w:color w:val="auto"/>
          <w:kern w:val="0"/>
          <w:sz w:val="24"/>
          <w:highlight w:val="none"/>
        </w:rPr>
        <w:t>、2回110千伏</w:t>
      </w:r>
      <w:r>
        <w:rPr>
          <w:rFonts w:hint="eastAsia" w:ascii="仿宋" w:hAnsi="仿宋" w:eastAsia="仿宋" w:cs="仿宋"/>
          <w:bCs/>
          <w:color w:val="auto"/>
          <w:kern w:val="0"/>
          <w:sz w:val="24"/>
          <w:highlight w:val="none"/>
          <w:lang w:val="en-US" w:eastAsia="zh-CN"/>
        </w:rPr>
        <w:t>出线、20回10千伏出线及相应</w:t>
      </w:r>
      <w:r>
        <w:rPr>
          <w:rFonts w:hint="default" w:ascii="仿宋" w:hAnsi="仿宋" w:eastAsia="仿宋" w:cs="仿宋"/>
          <w:bCs/>
          <w:color w:val="auto"/>
          <w:kern w:val="0"/>
          <w:sz w:val="24"/>
          <w:highlight w:val="none"/>
          <w:lang w:val="en-US" w:eastAsia="zh-CN"/>
        </w:rPr>
        <w:t>无功补偿装置</w:t>
      </w:r>
      <w:r>
        <w:rPr>
          <w:rFonts w:hint="eastAsia" w:ascii="仿宋" w:hAnsi="仿宋" w:eastAsia="仿宋" w:cs="仿宋"/>
          <w:bCs/>
          <w:color w:val="auto"/>
          <w:kern w:val="0"/>
          <w:sz w:val="24"/>
          <w:highlight w:val="none"/>
        </w:rPr>
        <w:t>等设备采购安装，220</w:t>
      </w:r>
      <w:r>
        <w:rPr>
          <w:rFonts w:hint="eastAsia" w:ascii="仿宋" w:hAnsi="仿宋" w:eastAsia="仿宋" w:cs="仿宋"/>
          <w:bCs/>
          <w:color w:val="auto"/>
          <w:kern w:val="0"/>
          <w:sz w:val="24"/>
          <w:highlight w:val="none"/>
          <w:lang w:val="en-US" w:eastAsia="zh-CN"/>
        </w:rPr>
        <w:t>千伏</w:t>
      </w:r>
      <w:r>
        <w:rPr>
          <w:rFonts w:hint="eastAsia" w:ascii="仿宋" w:hAnsi="仿宋" w:eastAsia="仿宋" w:cs="仿宋"/>
          <w:bCs/>
          <w:color w:val="auto"/>
          <w:kern w:val="0"/>
          <w:sz w:val="24"/>
          <w:highlight w:val="none"/>
        </w:rPr>
        <w:t>公用变电站主楼、消防水池、消防水泵房、事故油池、4公里电缆沟及22</w:t>
      </w:r>
      <w:r>
        <w:rPr>
          <w:rFonts w:hint="eastAsia" w:ascii="仿宋" w:hAnsi="仿宋" w:eastAsia="仿宋" w:cs="仿宋"/>
          <w:bCs/>
          <w:color w:val="auto"/>
          <w:kern w:val="0"/>
          <w:sz w:val="24"/>
          <w:highlight w:val="none"/>
          <w:lang w:val="en-US" w:eastAsia="zh-CN"/>
        </w:rPr>
        <w:t>0千伏</w:t>
      </w:r>
      <w:r>
        <w:rPr>
          <w:rFonts w:hint="eastAsia" w:ascii="仿宋" w:hAnsi="仿宋" w:eastAsia="仿宋" w:cs="仿宋"/>
          <w:bCs/>
          <w:color w:val="auto"/>
          <w:kern w:val="0"/>
          <w:sz w:val="24"/>
          <w:highlight w:val="none"/>
        </w:rPr>
        <w:t>蚌湖站扩建3个220</w:t>
      </w:r>
      <w:r>
        <w:rPr>
          <w:rFonts w:hint="eastAsia" w:ascii="仿宋" w:hAnsi="仿宋" w:eastAsia="仿宋" w:cs="仿宋"/>
          <w:bCs/>
          <w:color w:val="auto"/>
          <w:kern w:val="0"/>
          <w:sz w:val="24"/>
          <w:highlight w:val="none"/>
          <w:lang w:val="en-US" w:eastAsia="zh-CN"/>
        </w:rPr>
        <w:t>千伏</w:t>
      </w:r>
      <w:r>
        <w:rPr>
          <w:rFonts w:hint="eastAsia" w:ascii="仿宋" w:hAnsi="仿宋" w:eastAsia="仿宋" w:cs="仿宋"/>
          <w:bCs/>
          <w:color w:val="auto"/>
          <w:kern w:val="0"/>
          <w:sz w:val="24"/>
          <w:highlight w:val="none"/>
        </w:rPr>
        <w:t>电缆出线间隔等工程。</w:t>
      </w:r>
    </w:p>
    <w:p>
      <w:pPr>
        <w:spacing w:line="560" w:lineRule="exact"/>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三、设计范围及要求</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1、设计范围：</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广州220千伏国创输变电工程的设计工作主要为国创变电站红线范围内建设、国创站到蚌湖站路由设计、蚌湖站扩建间隔等设计，包括方案设计、</w:t>
      </w:r>
      <w:r>
        <w:rPr>
          <w:rFonts w:hint="eastAsia" w:ascii="仿宋" w:hAnsi="仿宋" w:eastAsia="仿宋" w:cs="仿宋"/>
          <w:color w:val="auto"/>
          <w:sz w:val="24"/>
          <w:highlight w:val="none"/>
        </w:rPr>
        <w:t>初步设计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施工图设计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概算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达到施工图深度）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施工图预算，配合</w:t>
      </w:r>
      <w:r>
        <w:rPr>
          <w:rFonts w:hint="eastAsia" w:ascii="仿宋" w:hAnsi="仿宋" w:eastAsia="仿宋" w:cs="仿宋"/>
          <w:color w:val="auto"/>
          <w:sz w:val="24"/>
          <w:highlight w:val="none"/>
          <w:lang w:val="en-US" w:eastAsia="zh-CN"/>
        </w:rPr>
        <w:t>建设单位</w:t>
      </w:r>
      <w:r>
        <w:rPr>
          <w:rFonts w:hint="eastAsia" w:ascii="仿宋" w:hAnsi="仿宋" w:eastAsia="仿宋" w:cs="仿宋"/>
          <w:color w:val="auto"/>
          <w:sz w:val="24"/>
          <w:highlight w:val="none"/>
        </w:rPr>
        <w:t>完成施工图</w:t>
      </w:r>
      <w:r>
        <w:rPr>
          <w:rFonts w:hint="eastAsia" w:ascii="仿宋" w:hAnsi="仿宋" w:eastAsia="仿宋" w:cs="仿宋"/>
          <w:color w:val="auto"/>
          <w:sz w:val="24"/>
          <w:highlight w:val="none"/>
          <w:lang w:val="en-US" w:eastAsia="zh-CN"/>
        </w:rPr>
        <w:t>及概</w:t>
      </w:r>
      <w:r>
        <w:rPr>
          <w:rFonts w:hint="eastAsia" w:ascii="仿宋" w:hAnsi="仿宋" w:eastAsia="仿宋" w:cs="仿宋"/>
          <w:color w:val="auto"/>
          <w:sz w:val="24"/>
          <w:highlight w:val="none"/>
        </w:rPr>
        <w:t>预算审查相关工作，并按</w:t>
      </w:r>
      <w:r>
        <w:rPr>
          <w:rFonts w:hint="eastAsia" w:ascii="仿宋" w:hAnsi="仿宋" w:eastAsia="仿宋" w:cs="仿宋"/>
          <w:color w:val="auto"/>
          <w:sz w:val="24"/>
          <w:highlight w:val="none"/>
          <w:lang w:eastAsia="zh-CN"/>
        </w:rPr>
        <w:t>建设单位</w:t>
      </w:r>
      <w:r>
        <w:rPr>
          <w:rFonts w:hint="eastAsia" w:ascii="仿宋" w:hAnsi="仿宋" w:eastAsia="仿宋" w:cs="仿宋"/>
          <w:color w:val="auto"/>
          <w:sz w:val="24"/>
          <w:highlight w:val="none"/>
        </w:rPr>
        <w:t>要求时间提供相应资料；</w:t>
      </w:r>
      <w:r>
        <w:rPr>
          <w:rFonts w:hint="eastAsia" w:ascii="仿宋" w:hAnsi="仿宋" w:eastAsia="仿宋" w:cs="仿宋"/>
          <w:color w:val="auto"/>
          <w:sz w:val="24"/>
          <w:highlight w:val="none"/>
          <w:lang w:val="en-US" w:eastAsia="zh-CN"/>
        </w:rPr>
        <w:t>提供</w:t>
      </w:r>
      <w:r>
        <w:rPr>
          <w:rFonts w:hint="eastAsia" w:ascii="仿宋" w:hAnsi="仿宋" w:eastAsia="仿宋" w:cs="仿宋"/>
          <w:color w:val="auto"/>
          <w:sz w:val="24"/>
          <w:highlight w:val="none"/>
        </w:rPr>
        <w:t>现场技术服务，</w:t>
      </w:r>
      <w:r>
        <w:rPr>
          <w:rFonts w:hint="eastAsia" w:ascii="仿宋" w:hAnsi="仿宋" w:eastAsia="仿宋" w:cs="仿宋"/>
          <w:color w:val="auto"/>
          <w:sz w:val="24"/>
          <w:highlight w:val="none"/>
          <w:lang w:val="en-US" w:eastAsia="zh-CN"/>
        </w:rPr>
        <w:t>负责</w:t>
      </w:r>
      <w:r>
        <w:rPr>
          <w:rFonts w:hint="eastAsia" w:ascii="仿宋" w:hAnsi="仿宋" w:eastAsia="仿宋" w:cs="仿宋"/>
          <w:color w:val="auto"/>
          <w:sz w:val="24"/>
          <w:highlight w:val="none"/>
        </w:rPr>
        <w:t>竣工图编制</w:t>
      </w:r>
      <w:r>
        <w:rPr>
          <w:rFonts w:hint="eastAsia" w:ascii="仿宋" w:hAnsi="仿宋" w:eastAsia="仿宋" w:cs="仿宋"/>
          <w:color w:val="auto"/>
          <w:sz w:val="24"/>
          <w:highlight w:val="none"/>
          <w:lang w:val="en-US" w:eastAsia="zh-CN"/>
        </w:rPr>
        <w:t>及盖章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配合结算及总结算报告编制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参加水土保持设施验收会议（参与现场查勘、会议汇报及会上答疑等)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成果文件</w:t>
      </w:r>
      <w:r>
        <w:rPr>
          <w:rFonts w:hint="eastAsia" w:ascii="仿宋" w:hAnsi="仿宋" w:eastAsia="仿宋" w:cs="仿宋"/>
          <w:color w:val="auto"/>
          <w:sz w:val="24"/>
          <w:highlight w:val="none"/>
        </w:rPr>
        <w:t>电子化移交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使用合法</w:t>
      </w:r>
      <w:r>
        <w:rPr>
          <w:rFonts w:hint="eastAsia" w:ascii="仿宋" w:hAnsi="仿宋" w:eastAsia="仿宋" w:cs="仿宋"/>
          <w:color w:val="auto"/>
          <w:sz w:val="24"/>
          <w:highlight w:val="none"/>
          <w:lang w:val="en-US" w:eastAsia="zh-CN"/>
        </w:rPr>
        <w:t>合规</w:t>
      </w:r>
      <w:r>
        <w:rPr>
          <w:rFonts w:hint="eastAsia" w:ascii="仿宋" w:hAnsi="仿宋" w:eastAsia="仿宋" w:cs="仿宋"/>
          <w:color w:val="auto"/>
          <w:sz w:val="24"/>
          <w:highlight w:val="none"/>
        </w:rPr>
        <w:t>的标准设计和典型造价文件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初步设计审查时按要求提供标准设计和典型造价应用的授权码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按要求在标准设计和典型造价应用管理平台备案和上报相关工程项目资料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协助办理竣工线路复测，物资设备录入，全面开展样板点的标准建设等，以及工程实施过程中相应的设计服务等工作。</w:t>
      </w:r>
    </w:p>
    <w:p>
      <w:pPr>
        <w:numPr>
          <w:ilvl w:val="0"/>
          <w:numId w:val="0"/>
        </w:numPr>
        <w:spacing w:line="360" w:lineRule="auto"/>
        <w:ind w:left="480" w:leftChars="0"/>
        <w:jc w:val="left"/>
        <w:rPr>
          <w:rFonts w:ascii="仿宋" w:hAnsi="仿宋" w:eastAsia="仿宋" w:cs="仿宋"/>
          <w:bCs/>
          <w:color w:val="auto"/>
          <w:kern w:val="0"/>
          <w:sz w:val="24"/>
          <w:highlight w:val="none"/>
        </w:rPr>
      </w:pPr>
      <w:r>
        <w:rPr>
          <w:rFonts w:hint="eastAsia" w:ascii="仿宋" w:hAnsi="仿宋" w:eastAsia="仿宋" w:cs="仿宋"/>
          <w:color w:val="auto"/>
          <w:sz w:val="24"/>
          <w:highlight w:val="none"/>
          <w:lang w:val="en-US" w:eastAsia="zh-CN"/>
        </w:rPr>
        <w:t>2、室内装修暂定按简易装修为准，具体要求满足南方电网</w:t>
      </w:r>
      <w:r>
        <w:rPr>
          <w:rFonts w:hint="eastAsia" w:ascii="仿宋" w:hAnsi="仿宋" w:eastAsia="仿宋" w:cs="仿宋"/>
          <w:color w:val="auto"/>
          <w:sz w:val="24"/>
          <w:highlight w:val="none"/>
        </w:rPr>
        <w:t>标准设计</w:t>
      </w:r>
      <w:r>
        <w:rPr>
          <w:rFonts w:hint="eastAsia" w:ascii="仿宋" w:hAnsi="仿宋" w:eastAsia="仿宋" w:cs="仿宋"/>
          <w:color w:val="auto"/>
          <w:sz w:val="24"/>
          <w:highlight w:val="none"/>
          <w:lang w:val="en-US" w:eastAsia="zh-CN"/>
        </w:rPr>
        <w:t>及使用。</w:t>
      </w:r>
    </w:p>
    <w:p>
      <w:pPr>
        <w:numPr>
          <w:ilvl w:val="0"/>
          <w:numId w:val="0"/>
        </w:numPr>
        <w:spacing w:line="360" w:lineRule="auto"/>
        <w:ind w:left="480" w:leftChars="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US" w:eastAsia="zh-CN"/>
        </w:rPr>
        <w:t>3、</w:t>
      </w:r>
      <w:r>
        <w:rPr>
          <w:rFonts w:hint="eastAsia" w:ascii="仿宋" w:hAnsi="仿宋" w:eastAsia="仿宋" w:cs="仿宋"/>
          <w:bCs/>
          <w:color w:val="auto"/>
          <w:kern w:val="0"/>
          <w:sz w:val="24"/>
          <w:highlight w:val="none"/>
        </w:rPr>
        <w:t>规划专项要求</w:t>
      </w:r>
    </w:p>
    <w:p>
      <w:pPr>
        <w:numPr>
          <w:ilvl w:val="0"/>
          <w:numId w:val="2"/>
        </w:numPr>
        <w:spacing w:line="360" w:lineRule="auto"/>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城市设计与市政要求：</w:t>
      </w:r>
    </w:p>
    <w:p>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建筑退让及间距应满足《广州市城乡规划技术规定》要求；</w:t>
      </w:r>
    </w:p>
    <w:p>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建筑设计方案应遵从相关城市设计导则要求执行；</w:t>
      </w:r>
    </w:p>
    <w:p>
      <w:pPr>
        <w:numPr>
          <w:ilvl w:val="0"/>
          <w:numId w:val="2"/>
        </w:numPr>
        <w:spacing w:line="360" w:lineRule="auto"/>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建筑形态及风格</w:t>
      </w:r>
    </w:p>
    <w:p>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本项目建筑形态根据项目功能定位和规划设计条件，按照功能分区明确、易于管理的原则进行设计；</w:t>
      </w:r>
    </w:p>
    <w:p>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建筑控高：以规划设计条件</w:t>
      </w:r>
      <w:r>
        <w:rPr>
          <w:rFonts w:ascii="仿宋" w:hAnsi="仿宋" w:eastAsia="仿宋" w:cs="仿宋"/>
          <w:bCs/>
          <w:color w:val="auto"/>
          <w:kern w:val="0"/>
          <w:sz w:val="24"/>
          <w:highlight w:val="none"/>
        </w:rPr>
        <w:t>所</w:t>
      </w:r>
      <w:r>
        <w:rPr>
          <w:rFonts w:hint="eastAsia" w:ascii="仿宋" w:hAnsi="仿宋" w:eastAsia="仿宋" w:cs="仿宋"/>
          <w:bCs/>
          <w:color w:val="auto"/>
          <w:kern w:val="0"/>
          <w:sz w:val="24"/>
          <w:highlight w:val="none"/>
        </w:rPr>
        <w:t>明确</w:t>
      </w:r>
      <w:r>
        <w:rPr>
          <w:rFonts w:ascii="仿宋" w:hAnsi="仿宋" w:eastAsia="仿宋" w:cs="仿宋"/>
          <w:bCs/>
          <w:color w:val="auto"/>
          <w:kern w:val="0"/>
          <w:sz w:val="24"/>
          <w:highlight w:val="none"/>
        </w:rPr>
        <w:t>的控制性高度为依据</w:t>
      </w:r>
      <w:r>
        <w:rPr>
          <w:rFonts w:hint="eastAsia" w:ascii="仿宋" w:hAnsi="仿宋" w:eastAsia="仿宋" w:cs="仿宋"/>
          <w:bCs/>
          <w:color w:val="auto"/>
          <w:kern w:val="0"/>
          <w:sz w:val="24"/>
          <w:highlight w:val="none"/>
        </w:rPr>
        <w:t>，并以管理部门批复意见及建设单位需求为准。</w:t>
      </w:r>
    </w:p>
    <w:p>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建筑立面：按照相关城市设计导则的相关要求执行</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建筑风格应与周边出让地块风格统筹考虑。</w:t>
      </w:r>
    </w:p>
    <w:p>
      <w:pPr>
        <w:numPr>
          <w:ilvl w:val="0"/>
          <w:numId w:val="2"/>
        </w:numPr>
        <w:spacing w:line="360" w:lineRule="auto"/>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停车配建</w:t>
      </w:r>
    </w:p>
    <w:p>
      <w:pPr>
        <w:spacing w:line="360" w:lineRule="auto"/>
        <w:ind w:firstLine="480" w:firstLineChars="200"/>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按照《广州市建设项目停车配建指标规定》及规划设计条件的要求，满足广州市停车配建相关规定</w:t>
      </w:r>
      <w:r>
        <w:rPr>
          <w:rFonts w:ascii="仿宋" w:hAnsi="仿宋" w:eastAsia="仿宋" w:cs="仿宋"/>
          <w:bCs/>
          <w:color w:val="auto"/>
          <w:kern w:val="0"/>
          <w:sz w:val="24"/>
          <w:highlight w:val="none"/>
        </w:rPr>
        <w:t>要求配建。</w:t>
      </w:r>
    </w:p>
    <w:p>
      <w:pPr>
        <w:numPr>
          <w:ilvl w:val="0"/>
          <w:numId w:val="3"/>
        </w:numPr>
        <w:spacing w:line="56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设计内容</w:t>
      </w:r>
    </w:p>
    <w:p>
      <w:pPr>
        <w:spacing w:line="56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1、主要设计内容：</w:t>
      </w:r>
    </w:p>
    <w:p>
      <w:pPr>
        <w:numPr>
          <w:ilvl w:val="0"/>
          <w:numId w:val="4"/>
        </w:numPr>
        <w:spacing w:line="560" w:lineRule="exact"/>
        <w:ind w:firstLine="480" w:firstLineChars="200"/>
        <w:jc w:val="left"/>
        <w:rPr>
          <w:rFonts w:ascii="仿宋" w:hAnsi="仿宋" w:eastAsia="仿宋" w:cs="仿宋"/>
          <w:bCs/>
          <w:color w:val="auto"/>
          <w:kern w:val="0"/>
          <w:sz w:val="24"/>
          <w:highlight w:val="none"/>
        </w:rPr>
      </w:pPr>
      <w:r>
        <w:rPr>
          <w:rFonts w:hint="eastAsia" w:ascii="仿宋" w:hAnsi="仿宋" w:eastAsia="仿宋" w:cs="仿宋"/>
          <w:color w:val="auto"/>
          <w:sz w:val="24"/>
          <w:highlight w:val="none"/>
        </w:rPr>
        <w:t>规划设计：修建性详细规划、管线综合规划、建筑单体报建图设计及报建通编制、配套市政道路报建图设计及报建通编制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如需要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ascii="仿宋" w:hAnsi="仿宋" w:eastAsia="仿宋" w:cs="仿宋"/>
          <w:color w:val="auto"/>
          <w:sz w:val="24"/>
          <w:highlight w:val="none"/>
        </w:rPr>
        <w:t>2）建筑工程；（3）结构工程</w:t>
      </w:r>
      <w:r>
        <w:rPr>
          <w:rFonts w:hint="eastAsia" w:ascii="仿宋" w:hAnsi="仿宋" w:eastAsia="仿宋" w:cs="仿宋"/>
          <w:color w:val="auto"/>
          <w:sz w:val="24"/>
          <w:highlight w:val="none"/>
        </w:rPr>
        <w:t>（包含钢结构）</w:t>
      </w:r>
      <w:r>
        <w:rPr>
          <w:rFonts w:ascii="仿宋" w:hAnsi="仿宋" w:eastAsia="仿宋" w:cs="仿宋"/>
          <w:color w:val="auto"/>
          <w:sz w:val="24"/>
          <w:highlight w:val="none"/>
        </w:rPr>
        <w:t>；（4</w:t>
      </w:r>
      <w:r>
        <w:rPr>
          <w:rFonts w:hint="eastAsia" w:ascii="仿宋" w:hAnsi="仿宋" w:eastAsia="仿宋" w:cs="仿宋"/>
          <w:color w:val="auto"/>
          <w:sz w:val="24"/>
          <w:highlight w:val="none"/>
        </w:rPr>
        <w:t>）装修工程；（</w:t>
      </w:r>
      <w:r>
        <w:rPr>
          <w:rFonts w:ascii="仿宋" w:hAnsi="仿宋" w:eastAsia="仿宋" w:cs="仿宋"/>
          <w:color w:val="auto"/>
          <w:sz w:val="24"/>
          <w:highlight w:val="none"/>
        </w:rPr>
        <w:t>5）给排水工程（含永久用水、临时</w:t>
      </w:r>
      <w:r>
        <w:rPr>
          <w:rFonts w:hint="eastAsia" w:ascii="仿宋" w:hAnsi="仿宋" w:eastAsia="仿宋" w:cs="仿宋"/>
          <w:color w:val="auto"/>
          <w:sz w:val="24"/>
          <w:highlight w:val="none"/>
        </w:rPr>
        <w:t>给</w:t>
      </w:r>
      <w:r>
        <w:rPr>
          <w:rFonts w:ascii="仿宋" w:hAnsi="仿宋" w:eastAsia="仿宋" w:cs="仿宋"/>
          <w:color w:val="auto"/>
          <w:sz w:val="24"/>
          <w:highlight w:val="none"/>
        </w:rPr>
        <w:t>排水）；（6）电气工程（含永久用电</w:t>
      </w:r>
      <w:r>
        <w:rPr>
          <w:rFonts w:hint="eastAsia" w:ascii="仿宋" w:hAnsi="仿宋" w:eastAsia="仿宋" w:cs="仿宋"/>
          <w:color w:val="auto"/>
          <w:sz w:val="24"/>
          <w:highlight w:val="none"/>
        </w:rPr>
        <w:t>、临时用电、</w:t>
      </w:r>
      <w:r>
        <w:rPr>
          <w:rFonts w:ascii="仿宋" w:hAnsi="仿宋" w:eastAsia="仿宋" w:cs="仿宋"/>
          <w:color w:val="auto"/>
          <w:sz w:val="24"/>
          <w:highlight w:val="none"/>
        </w:rPr>
        <w:t>建筑智能化）；（7）通风空调工程；（8）土方平衡；（9）抗震支架；</w:t>
      </w: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0</w:t>
      </w:r>
      <w:r>
        <w:rPr>
          <w:rFonts w:ascii="仿宋" w:hAnsi="仿宋" w:eastAsia="仿宋" w:cs="仿宋"/>
          <w:color w:val="auto"/>
          <w:sz w:val="24"/>
          <w:highlight w:val="none"/>
        </w:rPr>
        <w:t>）不良地质处理；（1</w:t>
      </w:r>
      <w:r>
        <w:rPr>
          <w:rFonts w:hint="eastAsia" w:ascii="仿宋" w:hAnsi="仿宋" w:eastAsia="仿宋" w:cs="仿宋"/>
          <w:color w:val="auto"/>
          <w:sz w:val="24"/>
          <w:highlight w:val="none"/>
        </w:rPr>
        <w:t>1）防雷节能；（</w:t>
      </w:r>
      <w:r>
        <w:rPr>
          <w:rFonts w:ascii="仿宋" w:hAnsi="仿宋" w:eastAsia="仿宋" w:cs="仿宋"/>
          <w:color w:val="auto"/>
          <w:sz w:val="24"/>
          <w:highlight w:val="none"/>
        </w:rPr>
        <w:t>1</w:t>
      </w:r>
      <w:r>
        <w:rPr>
          <w:rFonts w:hint="eastAsia" w:ascii="仿宋" w:hAnsi="仿宋" w:eastAsia="仿宋" w:cs="仿宋"/>
          <w:color w:val="auto"/>
          <w:sz w:val="24"/>
          <w:highlight w:val="none"/>
        </w:rPr>
        <w:t>2）绿色建筑；（</w:t>
      </w:r>
      <w:r>
        <w:rPr>
          <w:rFonts w:ascii="仿宋" w:hAnsi="仿宋" w:eastAsia="仿宋" w:cs="仿宋"/>
          <w:color w:val="auto"/>
          <w:sz w:val="24"/>
          <w:highlight w:val="none"/>
        </w:rPr>
        <w:t>1</w:t>
      </w:r>
      <w:r>
        <w:rPr>
          <w:rFonts w:hint="eastAsia" w:ascii="仿宋" w:hAnsi="仿宋" w:eastAsia="仿宋" w:cs="仿宋"/>
          <w:color w:val="auto"/>
          <w:sz w:val="24"/>
          <w:highlight w:val="none"/>
        </w:rPr>
        <w:t>3）装配式建筑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如需要）</w:t>
      </w: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4）海绵城市；（</w:t>
      </w:r>
      <w:r>
        <w:rPr>
          <w:rFonts w:ascii="仿宋" w:hAnsi="仿宋" w:eastAsia="仿宋" w:cs="仿宋"/>
          <w:color w:val="auto"/>
          <w:sz w:val="24"/>
          <w:highlight w:val="none"/>
        </w:rPr>
        <w:t>1</w:t>
      </w:r>
      <w:r>
        <w:rPr>
          <w:rFonts w:hint="eastAsia" w:ascii="仿宋" w:hAnsi="仿宋" w:eastAsia="仿宋" w:cs="仿宋"/>
          <w:color w:val="auto"/>
          <w:sz w:val="24"/>
          <w:highlight w:val="none"/>
        </w:rPr>
        <w:t>5）充电桩；（</w:t>
      </w:r>
      <w:r>
        <w:rPr>
          <w:rFonts w:ascii="仿宋" w:hAnsi="仿宋" w:eastAsia="仿宋" w:cs="仿宋"/>
          <w:color w:val="auto"/>
          <w:sz w:val="24"/>
          <w:highlight w:val="none"/>
        </w:rPr>
        <w:t>1</w:t>
      </w:r>
      <w:r>
        <w:rPr>
          <w:rFonts w:hint="eastAsia" w:ascii="仿宋" w:hAnsi="仿宋" w:eastAsia="仿宋" w:cs="仿宋"/>
          <w:color w:val="auto"/>
          <w:sz w:val="24"/>
          <w:highlight w:val="none"/>
        </w:rPr>
        <w:t>6）红线内园林景观；（</w:t>
      </w:r>
      <w:r>
        <w:rPr>
          <w:rFonts w:ascii="仿宋" w:hAnsi="仿宋" w:eastAsia="仿宋" w:cs="仿宋"/>
          <w:color w:val="auto"/>
          <w:sz w:val="24"/>
          <w:highlight w:val="none"/>
        </w:rPr>
        <w:t>1</w:t>
      </w:r>
      <w:r>
        <w:rPr>
          <w:rFonts w:hint="eastAsia" w:ascii="仿宋" w:hAnsi="仿宋" w:eastAsia="仿宋" w:cs="仿宋"/>
          <w:color w:val="auto"/>
          <w:sz w:val="24"/>
          <w:highlight w:val="none"/>
        </w:rPr>
        <w:t>7）人防工程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如需要）</w:t>
      </w: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8）消防系统；（19）标志标识设计</w:t>
      </w:r>
      <w:r>
        <w:rPr>
          <w:rFonts w:ascii="仿宋" w:hAnsi="仿宋" w:eastAsia="仿宋" w:cs="仿宋"/>
          <w:color w:val="auto"/>
          <w:sz w:val="24"/>
          <w:highlight w:val="none"/>
        </w:rPr>
        <w:t>(含户</w:t>
      </w:r>
      <w:r>
        <w:rPr>
          <w:rFonts w:hint="eastAsia" w:ascii="仿宋" w:hAnsi="仿宋" w:eastAsia="仿宋" w:cs="仿宋"/>
          <w:color w:val="auto"/>
          <w:sz w:val="24"/>
          <w:highlight w:val="none"/>
        </w:rPr>
        <w:t>内外标识</w:t>
      </w:r>
      <w:r>
        <w:rPr>
          <w:rFonts w:ascii="仿宋" w:hAnsi="仿宋" w:eastAsia="仿宋" w:cs="仿宋"/>
          <w:color w:val="auto"/>
          <w:sz w:val="24"/>
          <w:highlight w:val="none"/>
        </w:rPr>
        <w:t>)；（</w:t>
      </w:r>
      <w:r>
        <w:rPr>
          <w:rFonts w:hint="eastAsia" w:ascii="仿宋" w:hAnsi="仿宋" w:eastAsia="仿宋" w:cs="仿宋"/>
          <w:color w:val="auto"/>
          <w:sz w:val="24"/>
          <w:highlight w:val="none"/>
        </w:rPr>
        <w:t>20）室外与市政工程（给排水、燃气、</w:t>
      </w:r>
      <w:r>
        <w:rPr>
          <w:rFonts w:hint="eastAsia" w:ascii="仿宋" w:hAnsi="仿宋" w:eastAsia="仿宋" w:cs="仿宋"/>
          <w:color w:val="auto"/>
          <w:sz w:val="24"/>
          <w:highlight w:val="none"/>
          <w:lang w:eastAsia="zh-CN"/>
        </w:rPr>
        <w:t>电力及</w:t>
      </w:r>
      <w:r>
        <w:rPr>
          <w:rFonts w:hint="eastAsia" w:ascii="仿宋" w:hAnsi="仿宋" w:eastAsia="仿宋" w:cs="仿宋"/>
          <w:color w:val="auto"/>
          <w:sz w:val="24"/>
          <w:highlight w:val="none"/>
        </w:rPr>
        <w:t>电信）、电梯、临水、临电；（</w:t>
      </w:r>
      <w:r>
        <w:rPr>
          <w:rFonts w:ascii="仿宋" w:hAnsi="仿宋" w:eastAsia="仿宋" w:cs="仿宋"/>
          <w:color w:val="auto"/>
          <w:sz w:val="24"/>
          <w:highlight w:val="none"/>
        </w:rPr>
        <w:t>2</w:t>
      </w:r>
      <w:r>
        <w:rPr>
          <w:rFonts w:hint="eastAsia" w:ascii="仿宋" w:hAnsi="仿宋" w:eastAsia="仿宋" w:cs="仿宋"/>
          <w:color w:val="auto"/>
          <w:sz w:val="24"/>
          <w:highlight w:val="none"/>
        </w:rPr>
        <w:t>1）</w:t>
      </w:r>
      <w:r>
        <w:rPr>
          <w:rFonts w:ascii="仿宋" w:hAnsi="仿宋" w:eastAsia="仿宋" w:cs="仿宋"/>
          <w:color w:val="auto"/>
          <w:sz w:val="24"/>
          <w:highlight w:val="none"/>
        </w:rPr>
        <w:t>BIM</w:t>
      </w:r>
      <w:r>
        <w:rPr>
          <w:rFonts w:hint="eastAsia" w:ascii="仿宋" w:hAnsi="仿宋" w:eastAsia="仿宋" w:cs="仿宋"/>
          <w:color w:val="auto"/>
          <w:sz w:val="24"/>
          <w:highlight w:val="none"/>
        </w:rPr>
        <w:t>（符合政府相关部门规定及报建要求深度）；（22）配建市政道路（如需要）；（23）代征绿化用地</w:t>
      </w:r>
      <w:r>
        <w:rPr>
          <w:rFonts w:hint="eastAsia" w:ascii="仿宋" w:hAnsi="仿宋" w:eastAsia="仿宋" w:cs="仿宋"/>
          <w:color w:val="auto"/>
          <w:sz w:val="24"/>
          <w:highlight w:val="none"/>
          <w:lang w:eastAsia="zh-CN"/>
        </w:rPr>
        <w:t>设计</w:t>
      </w:r>
      <w:r>
        <w:rPr>
          <w:rFonts w:hint="eastAsia" w:ascii="仿宋" w:hAnsi="仿宋" w:eastAsia="仿宋" w:cs="仿宋"/>
          <w:color w:val="auto"/>
          <w:sz w:val="24"/>
          <w:highlight w:val="none"/>
        </w:rPr>
        <w:t>（如需要）；（24）节能设计；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新城建（如需要）；（26）管线迁改（如需要）；（27）光伏；（28）接入蚌湖站管线设计；（29）蚌湖站间隔扩建；（30）</w:t>
      </w:r>
      <w:r>
        <w:rPr>
          <w:rFonts w:hint="eastAsia" w:ascii="仿宋" w:hAnsi="仿宋" w:eastAsia="仿宋" w:cs="仿宋"/>
          <w:bCs/>
          <w:color w:val="auto"/>
          <w:kern w:val="0"/>
          <w:sz w:val="24"/>
          <w:highlight w:val="none"/>
          <w:lang w:val="en-US" w:eastAsia="zh-CN"/>
        </w:rPr>
        <w:t>环境保护；</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）其他需设计完成的工作</w:t>
      </w:r>
      <w:r>
        <w:rPr>
          <w:rFonts w:ascii="仿宋" w:hAnsi="仿宋" w:eastAsia="仿宋" w:cs="仿宋"/>
          <w:color w:val="auto"/>
          <w:sz w:val="24"/>
          <w:highlight w:val="none"/>
        </w:rPr>
        <w:t>等。</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2、以上设计内容包含但不仅限于幕墙、钢结构、电梯、智能化、标识、雨污排入市政管网、室外广场、标识等各专业的施工图二次深化设计工作和保证建筑物正常使用及交付要求的其他专业工程设计。</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室外市政配套工程设计，包括本项目用地红线范围内、外（总用地红线内）的道路（含规划市政道路接驳及小区道路）、市政管网接驳（包括通讯、永久用电及市政给排水等）、挡土墙（≤5m）护坡、围墙、室外广场、停车场、入口大门、道路照明、景观照明、室外广播、监控及停车管理系统、室外给排水系统等工程设计，以及总平面图、室外（总用地红线内）综合管线施工图设计。</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4、根据建设单位需求提供一个实体沙盘模型或数字沙盘。</w:t>
      </w:r>
    </w:p>
    <w:p>
      <w:pPr>
        <w:pStyle w:val="2"/>
        <w:rPr>
          <w:highlight w:val="none"/>
        </w:rPr>
      </w:pPr>
    </w:p>
    <w:p>
      <w:pPr>
        <w:spacing w:line="560" w:lineRule="exact"/>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五、各阶段的设计工作</w:t>
      </w:r>
    </w:p>
    <w:p>
      <w:pPr>
        <w:spacing w:line="560" w:lineRule="exact"/>
        <w:ind w:right="-57" w:rightChars="-27"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设计单位应根据本项目工程建设的要求和中国及地方有关法律、法规、规范，完成包括以下工作：</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在工程初步设计、施工图设计、实施阶段、结算阶段、总结等各环节，设计人应执行《中国南方电网公司输变电工程设计单位服务标准》，完成配合协议办理、工程策划、设计评审、设备材料采购、竣工图电子化移交、工程总结等服务；</w:t>
      </w:r>
    </w:p>
    <w:p>
      <w:pPr>
        <w:spacing w:line="56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2、在初步设计阶段、施工图设计阶段，设计人提交的设计成品深度和格式，应满足《中国南方电网公司输变电工程各阶段设计成品清册清单及管控标准》，成果文件必须满足供电局验收要求。</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3、设计人应配合进行项目总体策划，制定设计进度、质量及四新应用等方面的措施；</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4、根据验收需要，编制专项验收总结报告。参加专项验收会议，需要时按验收整改意见出具设计变更单；</w:t>
      </w:r>
    </w:p>
    <w:p>
      <w:pPr>
        <w:pStyle w:val="16"/>
        <w:spacing w:line="560" w:lineRule="exact"/>
        <w:ind w:right="-57" w:rightChars="-27" w:firstLine="48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5、如需要，负责</w:t>
      </w:r>
      <w:r>
        <w:rPr>
          <w:rFonts w:ascii="仿宋" w:hAnsi="仿宋" w:eastAsia="仿宋" w:cs="仿宋"/>
          <w:sz w:val="24"/>
          <w:szCs w:val="24"/>
          <w:highlight w:val="none"/>
        </w:rPr>
        <w:t>完成修详规及综合管线规划设计及报批；</w:t>
      </w:r>
    </w:p>
    <w:p>
      <w:pPr>
        <w:pStyle w:val="16"/>
        <w:spacing w:line="560" w:lineRule="exact"/>
        <w:ind w:right="-57" w:rightChars="-27" w:firstLine="48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ascii="仿宋" w:hAnsi="仿宋" w:eastAsia="仿宋" w:cs="仿宋"/>
          <w:sz w:val="24"/>
          <w:szCs w:val="24"/>
          <w:highlight w:val="none"/>
        </w:rPr>
        <w:t>编制初步设计文件及初步设计概算</w:t>
      </w:r>
      <w:r>
        <w:rPr>
          <w:rFonts w:hint="eastAsia" w:ascii="仿宋" w:hAnsi="仿宋" w:eastAsia="仿宋" w:cs="仿宋"/>
          <w:sz w:val="24"/>
          <w:szCs w:val="24"/>
          <w:highlight w:val="none"/>
        </w:rPr>
        <w:t>（预算深度）</w:t>
      </w:r>
      <w:r>
        <w:rPr>
          <w:rFonts w:ascii="仿宋" w:hAnsi="仿宋" w:eastAsia="仿宋" w:cs="仿宋"/>
          <w:sz w:val="24"/>
          <w:szCs w:val="24"/>
          <w:highlight w:val="none"/>
        </w:rPr>
        <w:t>，完成初步设计评审</w:t>
      </w:r>
      <w:r>
        <w:rPr>
          <w:rFonts w:hint="eastAsia" w:ascii="仿宋" w:hAnsi="仿宋" w:eastAsia="仿宋" w:cs="仿宋"/>
          <w:sz w:val="24"/>
          <w:szCs w:val="24"/>
          <w:highlight w:val="none"/>
        </w:rPr>
        <w:t>及完成装配式预评价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如需）</w:t>
      </w:r>
      <w:r>
        <w:rPr>
          <w:rFonts w:hint="eastAsia" w:ascii="仿宋" w:hAnsi="仿宋" w:eastAsia="仿宋" w:cs="仿宋"/>
          <w:sz w:val="24"/>
          <w:szCs w:val="24"/>
          <w:highlight w:val="none"/>
        </w:rPr>
        <w:t>、配合概算评审等工作</w:t>
      </w:r>
      <w:r>
        <w:rPr>
          <w:rFonts w:ascii="仿宋" w:hAnsi="仿宋" w:eastAsia="仿宋" w:cs="仿宋"/>
          <w:sz w:val="24"/>
          <w:szCs w:val="24"/>
          <w:highlight w:val="none"/>
        </w:rPr>
        <w:t>；</w:t>
      </w:r>
    </w:p>
    <w:p>
      <w:pPr>
        <w:pStyle w:val="16"/>
        <w:spacing w:line="560" w:lineRule="exact"/>
        <w:ind w:right="-57" w:rightChars="-27" w:firstLine="48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ascii="仿宋" w:hAnsi="仿宋" w:eastAsia="仿宋" w:cs="仿宋"/>
          <w:sz w:val="24"/>
          <w:szCs w:val="24"/>
          <w:highlight w:val="none"/>
        </w:rPr>
        <w:t>完成施工图设计，确保施工图设计文件通过施工图审查</w:t>
      </w:r>
      <w:r>
        <w:rPr>
          <w:rFonts w:hint="eastAsia" w:ascii="仿宋" w:hAnsi="仿宋" w:eastAsia="仿宋" w:cs="仿宋"/>
          <w:sz w:val="24"/>
          <w:szCs w:val="24"/>
          <w:highlight w:val="none"/>
        </w:rPr>
        <w:t>及消防设计审查</w:t>
      </w:r>
      <w:r>
        <w:rPr>
          <w:rFonts w:ascii="仿宋" w:hAnsi="仿宋" w:eastAsia="仿宋" w:cs="仿宋"/>
          <w:sz w:val="24"/>
          <w:szCs w:val="24"/>
          <w:highlight w:val="none"/>
        </w:rPr>
        <w:t>；</w:t>
      </w:r>
    </w:p>
    <w:p>
      <w:pPr>
        <w:spacing w:line="56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8、</w:t>
      </w:r>
      <w:r>
        <w:rPr>
          <w:rFonts w:hint="eastAsia" w:ascii="仿宋" w:hAnsi="仿宋" w:eastAsia="仿宋" w:cs="仿宋"/>
          <w:color w:val="auto"/>
          <w:sz w:val="24"/>
          <w:highlight w:val="none"/>
          <w:lang w:val="en-US" w:eastAsia="zh-CN"/>
        </w:rPr>
        <w:t>应配合进行设备材料采购，设备材料技术规范书，</w:t>
      </w:r>
      <w:r>
        <w:rPr>
          <w:rFonts w:hint="eastAsia" w:ascii="仿宋" w:hAnsi="仿宋" w:eastAsia="仿宋"/>
          <w:color w:val="auto"/>
          <w:sz w:val="24"/>
          <w:highlight w:val="none"/>
        </w:rPr>
        <w:t>负责设备、大宗材料采购时采购清单、技术参数</w:t>
      </w:r>
      <w:r>
        <w:rPr>
          <w:rFonts w:hint="eastAsia" w:ascii="仿宋" w:hAnsi="仿宋" w:eastAsia="仿宋"/>
          <w:color w:val="auto"/>
          <w:sz w:val="24"/>
          <w:highlight w:val="none"/>
          <w:lang w:eastAsia="zh-CN"/>
        </w:rPr>
        <w:t>、</w:t>
      </w:r>
      <w:r>
        <w:rPr>
          <w:rFonts w:hint="eastAsia" w:ascii="仿宋" w:hAnsi="仿宋" w:eastAsia="仿宋" w:cs="仿宋"/>
          <w:color w:val="auto"/>
          <w:sz w:val="24"/>
          <w:highlight w:val="none"/>
          <w:lang w:val="en-US" w:eastAsia="zh-CN"/>
        </w:rPr>
        <w:t>设备材料技术规范书</w:t>
      </w:r>
      <w:r>
        <w:rPr>
          <w:rFonts w:hint="eastAsia" w:ascii="仿宋" w:hAnsi="仿宋" w:eastAsia="仿宋"/>
          <w:color w:val="auto"/>
          <w:sz w:val="24"/>
          <w:highlight w:val="none"/>
        </w:rPr>
        <w:t>等编制工作，还包括各阶段方案比选、技术选型比选的投资分析、施工阶段的设计变更造价变化分析等，要求初步设计的成果达到施工图深度，概算建安费达到施工图预算深度；</w:t>
      </w:r>
    </w:p>
    <w:p>
      <w:pPr>
        <w:spacing w:line="560" w:lineRule="exact"/>
        <w:ind w:firstLine="480" w:firstLineChars="200"/>
        <w:jc w:val="left"/>
        <w:rPr>
          <w:rFonts w:ascii="仿宋" w:hAnsi="仿宋" w:eastAsia="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olor w:val="auto"/>
          <w:sz w:val="24"/>
          <w:highlight w:val="none"/>
        </w:rPr>
        <w:t>配合开展前期报建报批、方案审查、B</w:t>
      </w:r>
      <w:r>
        <w:rPr>
          <w:rFonts w:ascii="仿宋" w:hAnsi="仿宋" w:eastAsia="仿宋"/>
          <w:color w:val="auto"/>
          <w:sz w:val="24"/>
          <w:highlight w:val="none"/>
        </w:rPr>
        <w:t>IM</w:t>
      </w:r>
      <w:r>
        <w:rPr>
          <w:rFonts w:hint="eastAsia" w:ascii="仿宋" w:hAnsi="仿宋" w:eastAsia="仿宋"/>
          <w:color w:val="auto"/>
          <w:sz w:val="24"/>
          <w:highlight w:val="none"/>
        </w:rPr>
        <w:t>审查、装配式预评价</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如需要）</w:t>
      </w:r>
      <w:r>
        <w:rPr>
          <w:rFonts w:hint="eastAsia" w:ascii="仿宋" w:hAnsi="仿宋" w:eastAsia="仿宋"/>
          <w:color w:val="auto"/>
          <w:sz w:val="24"/>
          <w:highlight w:val="none"/>
        </w:rPr>
        <w:t>、专业报建、设计图纸评审、概预算评审、施工图审查，以及从开工至项目竣工验收的现场服务及专人驻场服务（包括现场指导与监督、图纸修改、工程变更等工作）、配合完成工程验收和</w:t>
      </w:r>
      <w:r>
        <w:rPr>
          <w:rFonts w:hint="eastAsia" w:ascii="仿宋" w:hAnsi="仿宋" w:eastAsia="仿宋"/>
          <w:color w:val="auto"/>
          <w:sz w:val="24"/>
          <w:highlight w:val="none"/>
          <w:lang w:val="en-US" w:eastAsia="zh-CN"/>
        </w:rPr>
        <w:t>编制</w:t>
      </w:r>
      <w:r>
        <w:rPr>
          <w:rFonts w:hint="eastAsia" w:ascii="仿宋" w:hAnsi="仿宋" w:eastAsia="仿宋"/>
          <w:color w:val="auto"/>
          <w:sz w:val="24"/>
          <w:highlight w:val="none"/>
        </w:rPr>
        <w:t>竣工图（含验收通过）等；包括申请临时用水、临时排水、临时用电，以及永久外水、永久外电、燃气管道的设计报批和出图。</w:t>
      </w:r>
    </w:p>
    <w:p>
      <w:pPr>
        <w:pStyle w:val="16"/>
        <w:spacing w:line="560" w:lineRule="exact"/>
        <w:ind w:right="-57" w:rightChars="-27" w:firstLine="48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除应按合同规定的时间和要求向发包人提出设计成果外，还应承担工程施工过程直至竣工验收前的设计服务等工作，保证设计变更满足施工进度要求，并按发包人要求准备汇报材料；</w:t>
      </w:r>
    </w:p>
    <w:p>
      <w:pPr>
        <w:pStyle w:val="16"/>
        <w:spacing w:line="560" w:lineRule="exact"/>
        <w:ind w:right="-57" w:rightChars="-27" w:firstLine="48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负责根据建设方要求组织各项专家评审（包含但不限于技术方案、设计变更、初步设计等），并承担相应的专家评审费用和差旅费用；</w:t>
      </w:r>
    </w:p>
    <w:p>
      <w:pPr>
        <w:pStyle w:val="16"/>
        <w:spacing w:line="560" w:lineRule="exact"/>
        <w:ind w:right="-57" w:rightChars="-27" w:firstLine="48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负责项目竣工图</w:t>
      </w:r>
      <w:r>
        <w:rPr>
          <w:rFonts w:hint="eastAsia" w:ascii="仿宋" w:hAnsi="仿宋" w:eastAsia="仿宋" w:cs="仿宋"/>
          <w:sz w:val="24"/>
          <w:szCs w:val="24"/>
          <w:highlight w:val="none"/>
          <w:lang w:val="en-US" w:eastAsia="zh-CN"/>
        </w:rPr>
        <w:t>的编制及</w:t>
      </w:r>
      <w:r>
        <w:rPr>
          <w:rFonts w:hint="eastAsia" w:ascii="仿宋" w:hAnsi="仿宋" w:eastAsia="仿宋" w:cs="仿宋"/>
          <w:sz w:val="24"/>
          <w:szCs w:val="24"/>
          <w:highlight w:val="none"/>
        </w:rPr>
        <w:t>盖章工作。</w:t>
      </w:r>
    </w:p>
    <w:p>
      <w:pPr>
        <w:pStyle w:val="16"/>
        <w:spacing w:line="560" w:lineRule="exact"/>
        <w:ind w:right="-57" w:rightChars="-27" w:firstLine="48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提供各阶段设计成果内审文件</w:t>
      </w:r>
    </w:p>
    <w:p>
      <w:pPr>
        <w:pStyle w:val="16"/>
        <w:spacing w:line="560" w:lineRule="exact"/>
        <w:ind w:right="-57" w:rightChars="-27"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负责本项目数字沙盘和</w:t>
      </w:r>
      <w:r>
        <w:rPr>
          <w:rFonts w:ascii="仿宋" w:hAnsi="仿宋" w:eastAsia="仿宋" w:cs="仿宋"/>
          <w:sz w:val="24"/>
          <w:szCs w:val="24"/>
          <w:highlight w:val="none"/>
        </w:rPr>
        <w:t>方案阶段的</w:t>
      </w:r>
      <w:r>
        <w:rPr>
          <w:rFonts w:hint="eastAsia" w:ascii="仿宋" w:hAnsi="仿宋" w:eastAsia="仿宋" w:cs="仿宋"/>
          <w:sz w:val="24"/>
          <w:szCs w:val="24"/>
          <w:highlight w:val="none"/>
        </w:rPr>
        <w:t>三维媒体制作。</w:t>
      </w:r>
    </w:p>
    <w:p>
      <w:pPr>
        <w:pStyle w:val="16"/>
        <w:spacing w:line="560" w:lineRule="exact"/>
        <w:ind w:right="-57" w:rightChars="-27"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负责绿色建筑的申报、报告编制及相关报批程序办理。</w:t>
      </w:r>
    </w:p>
    <w:p>
      <w:pPr>
        <w:pStyle w:val="16"/>
        <w:spacing w:line="560" w:lineRule="exact"/>
        <w:ind w:right="-57" w:rightChars="-27" w:firstLine="48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负责配合营销工作：负责配合项目展示需要提供各项专业设计服务</w:t>
      </w:r>
      <w:r>
        <w:rPr>
          <w:rFonts w:ascii="仿宋" w:hAnsi="仿宋" w:eastAsia="仿宋" w:cs="仿宋"/>
          <w:sz w:val="24"/>
          <w:szCs w:val="24"/>
          <w:highlight w:val="none"/>
        </w:rPr>
        <w:t>。</w:t>
      </w:r>
    </w:p>
    <w:p>
      <w:pPr>
        <w:pStyle w:val="16"/>
        <w:spacing w:line="560" w:lineRule="exact"/>
        <w:ind w:right="-57" w:rightChars="-27"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设计院应根据现场施工进展选派中级职称或以上设计人员驻场服务，至少每天驻场8小时并执行现场打卡制度。</w:t>
      </w:r>
    </w:p>
    <w:p>
      <w:pPr>
        <w:pStyle w:val="16"/>
        <w:spacing w:line="560" w:lineRule="exact"/>
        <w:ind w:right="-57" w:rightChars="-27"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满足本项目使用功能（设备）的建筑面积指标要求，不得有：</w:t>
      </w:r>
      <w:r>
        <w:rPr>
          <w:rFonts w:hint="eastAsia" w:ascii="仿宋" w:hAnsi="仿宋" w:eastAsia="仿宋" w:cs="仿宋"/>
          <w:sz w:val="24"/>
          <w:szCs w:val="24"/>
          <w:highlight w:val="none"/>
          <w:lang w:eastAsia="zh-CN"/>
        </w:rPr>
        <w:t>建设单位</w:t>
      </w:r>
      <w:r>
        <w:rPr>
          <w:rFonts w:hint="eastAsia" w:ascii="仿宋" w:hAnsi="仿宋" w:eastAsia="仿宋" w:cs="仿宋"/>
          <w:sz w:val="24"/>
          <w:szCs w:val="24"/>
          <w:highlight w:val="none"/>
        </w:rPr>
        <w:t>自行建设、和详见深化设计字样，必须委托专业分包单位设计，满足施工图审查要求；全部建筑和设备必须满足投资估算和</w:t>
      </w:r>
      <w:r>
        <w:rPr>
          <w:rFonts w:hint="eastAsia" w:ascii="仿宋" w:hAnsi="仿宋" w:eastAsia="仿宋" w:cs="仿宋"/>
          <w:sz w:val="24"/>
          <w:szCs w:val="24"/>
          <w:highlight w:val="none"/>
          <w:lang w:eastAsia="zh-CN"/>
        </w:rPr>
        <w:t>建设单位</w:t>
      </w:r>
      <w:r>
        <w:rPr>
          <w:rFonts w:hint="eastAsia" w:ascii="仿宋" w:hAnsi="仿宋" w:eastAsia="仿宋" w:cs="仿宋"/>
          <w:sz w:val="24"/>
          <w:szCs w:val="24"/>
          <w:highlight w:val="none"/>
        </w:rPr>
        <w:t>使用功能要求。</w:t>
      </w:r>
    </w:p>
    <w:p>
      <w:pPr>
        <w:pStyle w:val="16"/>
        <w:spacing w:line="560" w:lineRule="exact"/>
        <w:ind w:right="-57" w:rightChars="-27" w:firstLine="48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19、配合项目其他服务单位的工作开展，负责提供必要的资料并审查相应技术文件。</w:t>
      </w:r>
    </w:p>
    <w:p>
      <w:pPr>
        <w:spacing w:line="56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六、设计要求</w:t>
      </w:r>
    </w:p>
    <w:p>
      <w:pPr>
        <w:spacing w:line="5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总体要求</w:t>
      </w:r>
    </w:p>
    <w:p>
      <w:pPr>
        <w:spacing w:line="560" w:lineRule="exact"/>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ascii="仿宋" w:hAnsi="仿宋" w:eastAsia="仿宋" w:cs="仿宋"/>
          <w:color w:val="auto"/>
          <w:sz w:val="24"/>
          <w:szCs w:val="24"/>
          <w:highlight w:val="none"/>
        </w:rPr>
        <w:t>设计文件包括但不仅限于以下内容：建筑、结构、电气、给排水、暖通、</w:t>
      </w:r>
      <w:r>
        <w:rPr>
          <w:rFonts w:hint="eastAsia" w:ascii="仿宋" w:hAnsi="仿宋" w:eastAsia="仿宋" w:cs="仿宋"/>
          <w:color w:val="auto"/>
          <w:sz w:val="24"/>
          <w:szCs w:val="24"/>
          <w:highlight w:val="none"/>
        </w:rPr>
        <w:t>B</w:t>
      </w:r>
      <w:r>
        <w:rPr>
          <w:rFonts w:ascii="仿宋" w:hAnsi="仿宋" w:eastAsia="仿宋" w:cs="仿宋"/>
          <w:color w:val="auto"/>
          <w:sz w:val="24"/>
          <w:szCs w:val="24"/>
          <w:highlight w:val="none"/>
        </w:rPr>
        <w:t>IM</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动力、消防、</w:t>
      </w:r>
      <w:r>
        <w:rPr>
          <w:rFonts w:hint="eastAsia" w:ascii="仿宋" w:hAnsi="仿宋" w:eastAsia="仿宋" w:cs="仿宋"/>
          <w:color w:val="auto"/>
          <w:sz w:val="24"/>
          <w:szCs w:val="24"/>
          <w:highlight w:val="none"/>
          <w:lang w:val="en-US" w:eastAsia="zh-CN"/>
        </w:rPr>
        <w:t>接入蚌湖站路由、蚌湖站扩建间隔、</w:t>
      </w:r>
      <w:r>
        <w:rPr>
          <w:rFonts w:ascii="仿宋" w:hAnsi="仿宋" w:eastAsia="仿宋" w:cs="仿宋"/>
          <w:color w:val="auto"/>
          <w:sz w:val="24"/>
          <w:szCs w:val="24"/>
          <w:highlight w:val="none"/>
        </w:rPr>
        <w:t>室内室外管线综合、幕墙、日照分析、设计各阶段的节能专篇、</w:t>
      </w:r>
      <w:r>
        <w:rPr>
          <w:rFonts w:hint="eastAsia" w:ascii="仿宋" w:hAnsi="仿宋" w:eastAsia="仿宋" w:cs="仿宋"/>
          <w:color w:val="auto"/>
          <w:sz w:val="24"/>
          <w:szCs w:val="24"/>
          <w:highlight w:val="none"/>
          <w:lang w:eastAsia="zh-CN"/>
        </w:rPr>
        <w:t>智能化专篇、</w:t>
      </w:r>
      <w:r>
        <w:rPr>
          <w:rFonts w:ascii="仿宋" w:hAnsi="仿宋" w:eastAsia="仿宋" w:cs="仿宋"/>
          <w:color w:val="auto"/>
          <w:sz w:val="24"/>
          <w:szCs w:val="24"/>
          <w:highlight w:val="none"/>
        </w:rPr>
        <w:t>消防专篇、交通设计、环保专篇、卫生防疫、防雷、抗震专篇、海绵城市专篇</w:t>
      </w:r>
      <w:r>
        <w:rPr>
          <w:rFonts w:hint="eastAsia" w:ascii="仿宋" w:hAnsi="仿宋" w:eastAsia="仿宋" w:cs="仿宋"/>
          <w:color w:val="auto"/>
          <w:sz w:val="24"/>
          <w:szCs w:val="24"/>
          <w:highlight w:val="none"/>
        </w:rPr>
        <w:t>、装配式设计专篇（</w:t>
      </w:r>
      <w:r>
        <w:rPr>
          <w:rFonts w:hint="eastAsia" w:ascii="仿宋" w:hAnsi="仿宋" w:eastAsia="仿宋" w:cs="仿宋"/>
          <w:color w:val="auto"/>
          <w:sz w:val="24"/>
          <w:szCs w:val="24"/>
          <w:highlight w:val="none"/>
          <w:lang w:val="en-US" w:eastAsia="zh-CN"/>
        </w:rPr>
        <w:t>如需要，</w:t>
      </w:r>
      <w:r>
        <w:rPr>
          <w:rFonts w:hint="eastAsia" w:ascii="仿宋" w:hAnsi="仿宋" w:eastAsia="仿宋" w:cs="仿宋"/>
          <w:color w:val="auto"/>
          <w:sz w:val="24"/>
          <w:szCs w:val="24"/>
          <w:highlight w:val="none"/>
        </w:rPr>
        <w:t>含深化设计）</w:t>
      </w:r>
      <w:r>
        <w:rPr>
          <w:rFonts w:ascii="仿宋" w:hAnsi="仿宋" w:eastAsia="仿宋" w:cs="仿宋"/>
          <w:color w:val="auto"/>
          <w:sz w:val="24"/>
          <w:szCs w:val="24"/>
          <w:highlight w:val="none"/>
        </w:rPr>
        <w:t>，方案投资估算、初步设计概算以</w:t>
      </w:r>
      <w:r>
        <w:rPr>
          <w:rFonts w:hint="eastAsia" w:ascii="仿宋" w:hAnsi="仿宋" w:eastAsia="仿宋" w:cs="仿宋"/>
          <w:color w:val="auto"/>
          <w:sz w:val="24"/>
          <w:szCs w:val="24"/>
          <w:highlight w:val="none"/>
        </w:rPr>
        <w:t>及当地政府及行业报批报建所需的专业设计工作和成果。设计成果应达到建设部颁发的《建筑工程设计文件编制深度规定》（</w:t>
      </w:r>
      <w:r>
        <w:rPr>
          <w:rFonts w:ascii="仿宋" w:hAnsi="仿宋" w:eastAsia="仿宋" w:cs="仿宋"/>
          <w:color w:val="auto"/>
          <w:sz w:val="24"/>
          <w:szCs w:val="24"/>
          <w:highlight w:val="none"/>
        </w:rPr>
        <w:t>2016年版）。</w:t>
      </w:r>
    </w:p>
    <w:p>
      <w:pPr>
        <w:spacing w:line="5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本项目采用实行限额、限规模设计，具体规划指标应严格满足规划设计条件的要求，设计方案应遵从相关城市设计导则（如有）的要求进行设计。</w:t>
      </w:r>
    </w:p>
    <w:p>
      <w:pPr>
        <w:spacing w:line="5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highlight w:val="none"/>
        </w:rPr>
        <w:t>设计单位应依据建设单位的投资开发、</w:t>
      </w:r>
      <w:r>
        <w:rPr>
          <w:rFonts w:hint="eastAsia" w:ascii="仿宋" w:hAnsi="仿宋" w:eastAsia="仿宋" w:cs="仿宋"/>
          <w:color w:val="auto"/>
          <w:sz w:val="24"/>
          <w:highlight w:val="none"/>
          <w:lang w:val="en-US" w:eastAsia="zh-CN"/>
        </w:rPr>
        <w:t>供电局的</w:t>
      </w:r>
      <w:r>
        <w:rPr>
          <w:rFonts w:hint="eastAsia" w:ascii="仿宋" w:hAnsi="仿宋" w:eastAsia="仿宋" w:cs="仿宋"/>
          <w:color w:val="auto"/>
          <w:sz w:val="24"/>
          <w:highlight w:val="none"/>
        </w:rPr>
        <w:t>要求确定建筑物设计方案，提交设计选型成果报告（含造价、运营方案费用对比优化）。同时应注意选用节能、环保、健康的材料，合理的施工技术和工期，严格控制成本造价，降低运营费用。</w:t>
      </w:r>
    </w:p>
    <w:p>
      <w:pPr>
        <w:spacing w:line="5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highlight w:val="none"/>
        </w:rPr>
        <w:t>在项目报建阶段满足建设单位报批各种手续的要求，分阶段提供所需的设计文件。</w:t>
      </w:r>
    </w:p>
    <w:p>
      <w:pPr>
        <w:spacing w:line="5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highlight w:val="none"/>
        </w:rPr>
        <w:t>各专业图纸必须符合国家现行的技术规范及标准要求，达到《建筑工程设计文件编制深度规定》（</w:t>
      </w:r>
      <w:r>
        <w:rPr>
          <w:rFonts w:ascii="仿宋" w:hAnsi="仿宋" w:eastAsia="仿宋" w:cs="仿宋"/>
          <w:color w:val="auto"/>
          <w:sz w:val="24"/>
          <w:highlight w:val="none"/>
        </w:rPr>
        <w:t>2016年版）深度要求。施工阶段需要对施工单位深化设计成果进行</w:t>
      </w:r>
      <w:r>
        <w:rPr>
          <w:rFonts w:hint="eastAsia" w:ascii="仿宋" w:hAnsi="仿宋" w:eastAsia="仿宋" w:cs="仿宋"/>
          <w:color w:val="auto"/>
          <w:sz w:val="24"/>
          <w:highlight w:val="none"/>
          <w:lang w:val="en-US" w:eastAsia="zh-CN"/>
        </w:rPr>
        <w:t>审核</w:t>
      </w:r>
      <w:r>
        <w:rPr>
          <w:rFonts w:ascii="仿宋" w:hAnsi="仿宋" w:eastAsia="仿宋" w:cs="仿宋"/>
          <w:color w:val="auto"/>
          <w:sz w:val="24"/>
          <w:highlight w:val="none"/>
        </w:rPr>
        <w:t>确认，并加盖</w:t>
      </w:r>
      <w:r>
        <w:rPr>
          <w:rFonts w:hint="eastAsia" w:ascii="仿宋" w:hAnsi="仿宋" w:eastAsia="仿宋" w:cs="仿宋"/>
          <w:color w:val="auto"/>
          <w:sz w:val="24"/>
          <w:highlight w:val="none"/>
        </w:rPr>
        <w:t>审核章。</w:t>
      </w:r>
    </w:p>
    <w:p>
      <w:pPr>
        <w:spacing w:line="5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highlight w:val="none"/>
        </w:rPr>
        <w:t>海绵城市建设要求：建设项目应采取雨污分流系统、下沉花园、调蓄池等设计，同时按照《广州市建设项目雨水径流控制办法》的有关规定采取雨水径流控制措施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满足规划设计条件要求。</w:t>
      </w:r>
    </w:p>
    <w:p>
      <w:pPr>
        <w:spacing w:line="560" w:lineRule="exact"/>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7）根据建设单位的要求，如需要提供BIM，则</w:t>
      </w:r>
      <w:r>
        <w:rPr>
          <w:rFonts w:hint="eastAsia" w:ascii="仿宋" w:hAnsi="仿宋" w:eastAsia="仿宋" w:cs="仿宋"/>
          <w:color w:val="auto"/>
          <w:sz w:val="24"/>
          <w:szCs w:val="24"/>
          <w:highlight w:val="none"/>
        </w:rPr>
        <w:t>BIM设计要满足《广州市施工图三维数字化审查技术标准》及其他现行相关标准规范的要求进行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提供净高分析、碰撞分析报告等文件</w:t>
      </w:r>
      <w:r>
        <w:rPr>
          <w:rFonts w:hint="eastAsia" w:ascii="仿宋" w:hAnsi="仿宋" w:eastAsia="仿宋" w:cs="仿宋"/>
          <w:color w:val="auto"/>
          <w:sz w:val="24"/>
          <w:szCs w:val="24"/>
          <w:highlight w:val="none"/>
        </w:rPr>
        <w:t>。</w:t>
      </w:r>
    </w:p>
    <w:p>
      <w:pPr>
        <w:spacing w:line="56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8）站内</w:t>
      </w:r>
      <w:r>
        <w:rPr>
          <w:rFonts w:hint="eastAsia" w:ascii="仿宋" w:hAnsi="仿宋" w:eastAsia="仿宋" w:cs="仿宋"/>
          <w:color w:val="auto"/>
          <w:sz w:val="24"/>
          <w:szCs w:val="24"/>
          <w:highlight w:val="none"/>
        </w:rPr>
        <w:t>设计须满足科学合理、集约利用、交通及人流流线合理、行车安全的原则。</w:t>
      </w:r>
    </w:p>
    <w:p>
      <w:pPr>
        <w:spacing w:line="56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提供专业设计计算书、全过程中要求提供的指标及数据的统计；成果文件包括但不限于DWG、PPT、WORD、EXCEL等形式。</w:t>
      </w:r>
    </w:p>
    <w:p>
      <w:pPr>
        <w:spacing w:line="56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站区规划和总平面布置方案、路径方案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站区布置方式、主控楼位置选择及出线走廊规划等内容描述详实，严谨合理，论述全面，且采用南方电网标准设计模块，并有对比方案。</w:t>
      </w:r>
    </w:p>
    <w:p>
      <w:pPr>
        <w:spacing w:line="560" w:lineRule="exact"/>
        <w:ind w:firstLine="360" w:firstLineChars="15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（11）工程环境保护措施。</w:t>
      </w:r>
      <w:r>
        <w:rPr>
          <w:rFonts w:hint="default" w:ascii="仿宋" w:hAnsi="仿宋" w:eastAsia="仿宋" w:cs="仿宋"/>
          <w:color w:val="auto"/>
          <w:sz w:val="24"/>
          <w:szCs w:val="24"/>
          <w:highlight w:val="none"/>
          <w:lang w:val="en-US" w:eastAsia="zh-CN"/>
        </w:rPr>
        <w:t>拟建项目环保措施，包含生产废水排放量及防治措施、生产污水排放量及防治措施、环境影响分析及措施等；分析工程污染并提出防治措施；分析电磁环境及噪声环境影响并提出防治措施。</w:t>
      </w:r>
    </w:p>
    <w:p>
      <w:pPr>
        <w:spacing w:line="560" w:lineRule="exact"/>
        <w:ind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（12）工程水土保持措施。拟建项目水土保持总体要求，分析水土保持方案，提出具体有效的防治措施。</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（13）气象条件选择。详细论述拟建项目气象站概况及气候特征；详细论述变电站气象条件、线路气象条件，包含基本气候特征值、环境温度取值、地温取值及设计气象条件汇总等内容。</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（14）地块内建筑的绿色建筑等级暂定为一星。</w:t>
      </w:r>
    </w:p>
    <w:p>
      <w:pPr>
        <w:spacing w:line="5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建筑总图设计</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在修建性详细规划设</w:t>
      </w:r>
      <w:r>
        <w:rPr>
          <w:rFonts w:hint="eastAsia" w:ascii="仿宋" w:hAnsi="仿宋" w:eastAsia="仿宋" w:cs="仿宋"/>
          <w:color w:val="auto"/>
          <w:sz w:val="24"/>
          <w:highlight w:val="none"/>
        </w:rPr>
        <w:t>计与建筑方案设计基础上，进行深化设计，主要完成总图专业各项内容的初步设计、技术设计和施工图设计，含总平面设计、竖向标高设计、交通道路广场设计、景观绿化设计、总平面管线综合设计、土方平衡计算与设计，在符合规划部门批复意见前提下，可合理优化布局。</w:t>
      </w:r>
    </w:p>
    <w:p>
      <w:pPr>
        <w:spacing w:line="5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ascii="仿宋" w:hAnsi="仿宋" w:eastAsia="仿宋" w:cs="仿宋"/>
          <w:color w:val="auto"/>
          <w:sz w:val="24"/>
          <w:highlight w:val="none"/>
        </w:rPr>
        <w:t>完成汇总各层总体平面图。</w:t>
      </w:r>
    </w:p>
    <w:p>
      <w:pPr>
        <w:spacing w:line="560" w:lineRule="exact"/>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bCs/>
          <w:color w:val="auto"/>
          <w:kern w:val="0"/>
          <w:sz w:val="24"/>
          <w:highlight w:val="none"/>
        </w:rPr>
        <w:t>充分尊重与利用自然环境，与周围自然环境相协调、统一。</w:t>
      </w:r>
      <w:r>
        <w:rPr>
          <w:rFonts w:ascii="仿宋" w:hAnsi="仿宋" w:eastAsia="仿宋" w:cs="仿宋"/>
          <w:color w:val="auto"/>
          <w:sz w:val="24"/>
          <w:highlight w:val="none"/>
        </w:rPr>
        <w:t>应结合朝向、周围环境合理地组织自然通风和景观，同时处理好区域</w:t>
      </w:r>
      <w:r>
        <w:rPr>
          <w:rFonts w:hint="eastAsia" w:ascii="仿宋" w:hAnsi="仿宋" w:eastAsia="仿宋" w:cs="仿宋"/>
          <w:color w:val="auto"/>
          <w:sz w:val="24"/>
          <w:highlight w:val="none"/>
        </w:rPr>
        <w:t>内外的水、电、燃气、通信等市政设施的衔接。</w:t>
      </w:r>
    </w:p>
    <w:p>
      <w:pPr>
        <w:spacing w:line="560" w:lineRule="exact"/>
        <w:ind w:firstLine="360" w:firstLineChars="15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ascii="仿宋" w:hAnsi="仿宋" w:eastAsia="仿宋" w:cs="仿宋"/>
          <w:color w:val="auto"/>
          <w:sz w:val="24"/>
          <w:highlight w:val="none"/>
        </w:rPr>
        <w:t>交通组织便捷、经济、合理，道路网络层次适当，架构清晰，衔接合理</w:t>
      </w:r>
      <w:r>
        <w:rPr>
          <w:rFonts w:hint="eastAsia" w:ascii="仿宋" w:hAnsi="仿宋" w:eastAsia="仿宋" w:cs="仿宋"/>
          <w:color w:val="auto"/>
          <w:sz w:val="24"/>
          <w:highlight w:val="none"/>
        </w:rPr>
        <w:t>，</w:t>
      </w:r>
      <w:r>
        <w:rPr>
          <w:rFonts w:ascii="仿宋" w:hAnsi="仿宋" w:eastAsia="仿宋" w:cs="仿宋"/>
          <w:color w:val="auto"/>
          <w:sz w:val="24"/>
          <w:highlight w:val="none"/>
        </w:rPr>
        <w:t>管线布置经济合理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在近期规划道路未建设的情况下，需要合理的场地出入方案。</w:t>
      </w:r>
    </w:p>
    <w:p>
      <w:pPr>
        <w:spacing w:line="560" w:lineRule="exact"/>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ascii="仿宋" w:hAnsi="仿宋" w:eastAsia="仿宋" w:cs="仿宋"/>
          <w:color w:val="auto"/>
          <w:sz w:val="24"/>
          <w:highlight w:val="none"/>
        </w:rPr>
        <w:t>建筑布局应适应气候特点，满足通风、采光、遮阳、防水等功能使用要求。</w:t>
      </w:r>
    </w:p>
    <w:p>
      <w:pPr>
        <w:spacing w:line="560" w:lineRule="exact"/>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ascii="仿宋" w:hAnsi="仿宋" w:eastAsia="仿宋" w:cs="仿宋"/>
          <w:color w:val="auto"/>
          <w:sz w:val="24"/>
          <w:highlight w:val="none"/>
        </w:rPr>
        <w:t>总平面设计</w:t>
      </w:r>
      <w:r>
        <w:rPr>
          <w:rFonts w:hint="eastAsia" w:ascii="仿宋" w:hAnsi="仿宋" w:eastAsia="仿宋" w:cs="仿宋"/>
          <w:color w:val="auto"/>
          <w:sz w:val="24"/>
          <w:highlight w:val="none"/>
        </w:rPr>
        <w:t>满足根据项目功能合理分区，动线合理，便于管理</w:t>
      </w:r>
      <w:r>
        <w:rPr>
          <w:rFonts w:hint="eastAsia" w:ascii="仿宋" w:hAnsi="仿宋" w:eastAsia="仿宋" w:cs="仿宋"/>
          <w:color w:val="auto"/>
          <w:sz w:val="24"/>
          <w:highlight w:val="none"/>
          <w:lang w:val="en-US" w:eastAsia="zh-CN"/>
        </w:rPr>
        <w:t>的</w:t>
      </w:r>
      <w:r>
        <w:rPr>
          <w:rFonts w:ascii="仿宋" w:hAnsi="仿宋" w:eastAsia="仿宋" w:cs="仿宋"/>
          <w:color w:val="auto"/>
          <w:sz w:val="24"/>
          <w:highlight w:val="none"/>
        </w:rPr>
        <w:t>要求</w:t>
      </w:r>
      <w:r>
        <w:rPr>
          <w:rFonts w:hint="eastAsia" w:ascii="仿宋" w:hAnsi="仿宋" w:eastAsia="仿宋" w:cs="仿宋"/>
          <w:color w:val="auto"/>
          <w:sz w:val="24"/>
          <w:highlight w:val="none"/>
        </w:rPr>
        <w:t>，</w:t>
      </w:r>
      <w:r>
        <w:rPr>
          <w:rFonts w:ascii="仿宋" w:hAnsi="仿宋" w:eastAsia="仿宋" w:cs="仿宋"/>
          <w:color w:val="auto"/>
          <w:sz w:val="24"/>
          <w:highlight w:val="none"/>
        </w:rPr>
        <w:t>应符合无障碍设计要求，并应符合现行行业标准《建筑与市政工程无障碍通用规范》（GB55019-2021）的有关规定。</w:t>
      </w:r>
    </w:p>
    <w:p>
      <w:pPr>
        <w:spacing w:line="560" w:lineRule="exact"/>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建筑退让间距，建筑间距，退界应按照经批准的《广州市城乡规划技术规定》的要求执行。</w:t>
      </w:r>
    </w:p>
    <w:p>
      <w:pPr>
        <w:spacing w:line="5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建筑设计</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主要在修建性详细规划设计与建筑方案设计基础上，进行深化设计，完成建筑的初步设计、技术设计和施工图设计，具体如下：</w:t>
      </w:r>
    </w:p>
    <w:p>
      <w:pPr>
        <w:spacing w:line="560" w:lineRule="exact"/>
        <w:ind w:firstLine="480" w:firstLineChars="200"/>
        <w:jc w:val="left"/>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highlight w:val="none"/>
          <w:lang w:val="en-US"/>
        </w:rPr>
        <w:t>绿色低碳：项目应通过怡人的尺度及舒适的体量，使用简洁的建筑语言，建筑体量轻盈通透，具有虚实对比，符合青年创业者的审美需</w:t>
      </w:r>
    </w:p>
    <w:p>
      <w:pPr>
        <w:spacing w:line="5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建筑设计标准：设计使用年限</w:t>
      </w:r>
      <w:r>
        <w:rPr>
          <w:rFonts w:hint="eastAsia" w:ascii="仿宋" w:hAnsi="仿宋" w:eastAsia="仿宋" w:cs="仿宋"/>
          <w:color w:val="auto"/>
          <w:sz w:val="24"/>
          <w:highlight w:val="none"/>
          <w:lang w:val="en-US" w:eastAsia="zh-CN"/>
        </w:rPr>
        <w:t>满足规范要求</w:t>
      </w:r>
      <w:r>
        <w:rPr>
          <w:rFonts w:ascii="仿宋" w:hAnsi="仿宋" w:eastAsia="仿宋" w:cs="仿宋"/>
          <w:color w:val="auto"/>
          <w:sz w:val="24"/>
          <w:highlight w:val="none"/>
        </w:rPr>
        <w:t>，建筑耐火等级按照《建筑设计防火规范》（GB50016-2018）要求执行</w:t>
      </w:r>
      <w:r>
        <w:rPr>
          <w:rFonts w:hint="eastAsia" w:ascii="仿宋" w:hAnsi="仿宋" w:eastAsia="仿宋" w:cs="仿宋"/>
          <w:color w:val="auto"/>
          <w:sz w:val="24"/>
          <w:highlight w:val="none"/>
          <w:lang w:eastAsia="zh-CN"/>
        </w:rPr>
        <w:t>。</w:t>
      </w:r>
    </w:p>
    <w:p>
      <w:pPr>
        <w:spacing w:line="560" w:lineRule="exact"/>
        <w:ind w:firstLine="480" w:firstLineChars="200"/>
        <w:jc w:val="left"/>
        <w:rPr>
          <w:color w:val="auto"/>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highlight w:val="none"/>
        </w:rPr>
        <w:t>建筑间距应符合《广州市城乡规划技术规定》有关要求，需满足我国现行建筑设计、建筑防火等规范要求，消防和防火安全间距应在本用地红线内落实</w:t>
      </w:r>
      <w:r>
        <w:rPr>
          <w:rFonts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highlight w:val="none"/>
        </w:rPr>
        <w:t>根据规划设计条件完善建筑设计方案、建筑功能划分，细化流线设计及竖向设计。</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ascii="仿宋" w:hAnsi="仿宋" w:eastAsia="仿宋" w:cs="仿宋"/>
          <w:color w:val="auto"/>
          <w:sz w:val="24"/>
          <w:highlight w:val="none"/>
        </w:rPr>
        <w:t>建筑外立面：</w:t>
      </w:r>
      <w:r>
        <w:rPr>
          <w:rFonts w:hint="eastAsia" w:ascii="仿宋" w:hAnsi="仿宋" w:eastAsia="仿宋" w:cs="仿宋"/>
          <w:color w:val="auto"/>
          <w:sz w:val="24"/>
          <w:highlight w:val="none"/>
        </w:rPr>
        <w:t>建筑立面应结合项目定位设计，能体现</w:t>
      </w:r>
      <w:r>
        <w:rPr>
          <w:rFonts w:hint="eastAsia" w:ascii="仿宋" w:hAnsi="仿宋" w:eastAsia="仿宋" w:cs="仿宋"/>
          <w:color w:val="auto"/>
          <w:sz w:val="24"/>
          <w:highlight w:val="none"/>
          <w:lang w:val="en-US" w:eastAsia="zh-CN"/>
        </w:rPr>
        <w:t>公用变电站</w:t>
      </w:r>
      <w:r>
        <w:rPr>
          <w:rFonts w:hint="eastAsia" w:ascii="仿宋" w:hAnsi="仿宋" w:eastAsia="仿宋" w:cs="仿宋"/>
          <w:color w:val="auto"/>
          <w:sz w:val="24"/>
          <w:highlight w:val="none"/>
        </w:rPr>
        <w:t>的建筑特色，避免繁复，夸张的建筑风格与大量装饰性构件，建筑外表面不得使用影响飞行员视线的反光材料。鼓励使用节能材料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建筑立面设计凸显昭示性。</w:t>
      </w:r>
    </w:p>
    <w:p>
      <w:pPr>
        <w:spacing w:line="5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highlight w:val="none"/>
        </w:rPr>
        <w:t>停车配建：按照《广州市城乡规划技术规定》及规划设计条件</w:t>
      </w:r>
      <w:r>
        <w:rPr>
          <w:rFonts w:ascii="仿宋" w:hAnsi="仿宋" w:eastAsia="仿宋" w:cs="仿宋"/>
          <w:color w:val="auto"/>
          <w:sz w:val="24"/>
          <w:highlight w:val="none"/>
        </w:rPr>
        <w:t>核定，满足现行规范停车指标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装配式建筑：按照《建设用地规划许可证》及国家、广东省及其它相关要求设计</w:t>
      </w:r>
      <w:r>
        <w:rPr>
          <w:rFonts w:hint="eastAsia" w:ascii="仿宋" w:hAnsi="仿宋" w:eastAsia="仿宋" w:cs="仿宋"/>
          <w:color w:val="auto"/>
          <w:sz w:val="24"/>
          <w:highlight w:val="none"/>
          <w:lang w:eastAsia="zh-CN"/>
        </w:rPr>
        <w:t>。</w:t>
      </w:r>
    </w:p>
    <w:p>
      <w:pPr>
        <w:pStyle w:val="2"/>
        <w:spacing w:line="360" w:lineRule="auto"/>
        <w:rPr>
          <w:rFonts w:ascii="仿宋" w:hAnsi="仿宋" w:eastAsia="仿宋" w:cs="仿宋"/>
          <w:bCs/>
          <w:color w:val="auto"/>
          <w:sz w:val="24"/>
          <w:szCs w:val="22"/>
          <w:highlight w:val="none"/>
          <w:lang w:val="en-US"/>
        </w:rPr>
      </w:pPr>
      <w:r>
        <w:rPr>
          <w:rFonts w:hint="eastAsia" w:ascii="仿宋" w:hAnsi="仿宋" w:eastAsia="仿宋" w:cs="仿宋"/>
          <w:bCs/>
          <w:color w:val="auto"/>
          <w:sz w:val="24"/>
          <w:szCs w:val="22"/>
          <w:highlight w:val="none"/>
          <w:lang w:val="en-US"/>
        </w:rPr>
        <w:t xml:space="preserve"> </w:t>
      </w:r>
      <w:r>
        <w:rPr>
          <w:rFonts w:hint="eastAsia" w:ascii="仿宋" w:hAnsi="仿宋" w:eastAsia="仿宋" w:cs="仿宋"/>
          <w:bCs/>
          <w:color w:val="auto"/>
          <w:sz w:val="24"/>
          <w:szCs w:val="22"/>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bCs/>
          <w:color w:val="auto"/>
          <w:sz w:val="24"/>
          <w:szCs w:val="22"/>
          <w:highlight w:val="none"/>
          <w:lang w:val="en-US"/>
        </w:rPr>
        <w:t>满足本项目使用功能（设备）的建筑面积指标要求，不得有：</w:t>
      </w:r>
      <w:r>
        <w:rPr>
          <w:rFonts w:hint="eastAsia" w:ascii="仿宋" w:hAnsi="仿宋" w:eastAsia="仿宋" w:cs="仿宋"/>
          <w:bCs/>
          <w:color w:val="auto"/>
          <w:sz w:val="24"/>
          <w:szCs w:val="22"/>
          <w:highlight w:val="none"/>
          <w:lang w:val="en-US" w:eastAsia="zh-CN"/>
        </w:rPr>
        <w:t>建设单位</w:t>
      </w:r>
      <w:r>
        <w:rPr>
          <w:rFonts w:hint="eastAsia" w:ascii="仿宋" w:hAnsi="仿宋" w:eastAsia="仿宋" w:cs="仿宋"/>
          <w:bCs/>
          <w:color w:val="auto"/>
          <w:sz w:val="24"/>
          <w:szCs w:val="22"/>
          <w:highlight w:val="none"/>
          <w:lang w:val="en-US"/>
        </w:rPr>
        <w:t>自行建设、和详见深化设计字样，必须委托专业分包单位设计，满足施工图审查要求；全部建筑和设备必须满足投资估算和</w:t>
      </w:r>
      <w:r>
        <w:rPr>
          <w:rFonts w:hint="eastAsia" w:ascii="仿宋" w:hAnsi="仿宋" w:eastAsia="仿宋" w:cs="仿宋"/>
          <w:bCs/>
          <w:color w:val="auto"/>
          <w:sz w:val="24"/>
          <w:szCs w:val="22"/>
          <w:highlight w:val="none"/>
          <w:lang w:val="en-US" w:eastAsia="zh-CN"/>
        </w:rPr>
        <w:t>建设单位</w:t>
      </w:r>
      <w:r>
        <w:rPr>
          <w:rFonts w:hint="eastAsia" w:ascii="仿宋" w:hAnsi="仿宋" w:eastAsia="仿宋" w:cs="仿宋"/>
          <w:bCs/>
          <w:color w:val="auto"/>
          <w:sz w:val="24"/>
          <w:szCs w:val="22"/>
          <w:highlight w:val="none"/>
          <w:lang w:val="en-US"/>
        </w:rPr>
        <w:t>使用功能要求。</w:t>
      </w:r>
    </w:p>
    <w:p>
      <w:pPr>
        <w:pStyle w:val="2"/>
        <w:spacing w:line="360" w:lineRule="auto"/>
        <w:rPr>
          <w:rFonts w:ascii="仿宋" w:hAnsi="仿宋" w:eastAsia="仿宋" w:cs="仿宋"/>
          <w:bCs/>
          <w:color w:val="auto"/>
          <w:sz w:val="24"/>
          <w:szCs w:val="22"/>
          <w:highlight w:val="none"/>
          <w:lang w:val="en-US"/>
        </w:rPr>
      </w:pPr>
      <w:r>
        <w:rPr>
          <w:rFonts w:hint="eastAsia" w:ascii="仿宋" w:hAnsi="仿宋" w:eastAsia="仿宋" w:cs="仿宋"/>
          <w:bCs/>
          <w:color w:val="auto"/>
          <w:sz w:val="24"/>
          <w:szCs w:val="22"/>
          <w:highlight w:val="none"/>
          <w:lang w:val="en-US"/>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bCs/>
          <w:color w:val="auto"/>
          <w:sz w:val="24"/>
          <w:szCs w:val="22"/>
          <w:highlight w:val="none"/>
          <w:lang w:val="en-US"/>
        </w:rPr>
        <w:t>设计应全面考虑应设必设的设备机房、连廊、车道顶棚等必须满足报建建筑面积要求，不得出现‘规划验收后再实施</w:t>
      </w:r>
      <w:r>
        <w:rPr>
          <w:rFonts w:ascii="仿宋" w:hAnsi="仿宋" w:eastAsia="仿宋" w:cs="仿宋"/>
          <w:bCs/>
          <w:color w:val="auto"/>
          <w:sz w:val="24"/>
          <w:szCs w:val="22"/>
          <w:highlight w:val="none"/>
          <w:lang w:val="en-US"/>
        </w:rPr>
        <w:t>’</w:t>
      </w:r>
      <w:r>
        <w:rPr>
          <w:rFonts w:hint="eastAsia" w:ascii="仿宋" w:hAnsi="仿宋" w:eastAsia="仿宋" w:cs="仿宋"/>
          <w:bCs/>
          <w:color w:val="auto"/>
          <w:sz w:val="24"/>
          <w:szCs w:val="22"/>
          <w:highlight w:val="none"/>
          <w:lang w:val="en-US"/>
        </w:rPr>
        <w:t>字样。门窗和幕墙满足使用需求：功能场</w:t>
      </w:r>
      <w:r>
        <w:rPr>
          <w:rFonts w:ascii="仿宋" w:hAnsi="仿宋" w:eastAsia="仿宋" w:cs="仿宋"/>
          <w:bCs/>
          <w:color w:val="auto"/>
          <w:sz w:val="24"/>
          <w:szCs w:val="22"/>
          <w:highlight w:val="none"/>
        </w:rPr>
        <w:t>所</w:t>
      </w:r>
      <w:r>
        <w:rPr>
          <w:rFonts w:hint="eastAsia" w:ascii="仿宋" w:hAnsi="仿宋" w:eastAsia="仿宋" w:cs="仿宋"/>
          <w:bCs/>
          <w:color w:val="auto"/>
          <w:sz w:val="24"/>
          <w:szCs w:val="22"/>
          <w:highlight w:val="none"/>
          <w:lang w:val="en-US"/>
        </w:rPr>
        <w:t>的透光私密性，各种外门的防雨雨棚设置、各种室内外标高的合理设置，防倒灌。市政和</w:t>
      </w:r>
      <w:r>
        <w:rPr>
          <w:rFonts w:ascii="仿宋" w:hAnsi="仿宋" w:eastAsia="仿宋" w:cs="仿宋"/>
          <w:bCs/>
          <w:color w:val="auto"/>
          <w:sz w:val="24"/>
          <w:szCs w:val="22"/>
          <w:highlight w:val="none"/>
        </w:rPr>
        <w:t>园</w:t>
      </w:r>
      <w:r>
        <w:rPr>
          <w:rFonts w:hint="eastAsia" w:ascii="仿宋" w:hAnsi="仿宋" w:eastAsia="仿宋" w:cs="仿宋"/>
          <w:bCs/>
          <w:color w:val="auto"/>
          <w:sz w:val="24"/>
          <w:szCs w:val="22"/>
          <w:highlight w:val="none"/>
          <w:lang w:val="en-US"/>
        </w:rPr>
        <w:t>区道路与室内标高的合理性。护窗栏杆和防跌落的限位设计。</w:t>
      </w:r>
    </w:p>
    <w:p>
      <w:pPr>
        <w:pStyle w:val="2"/>
        <w:spacing w:line="360" w:lineRule="auto"/>
        <w:rPr>
          <w:rFonts w:ascii="仿宋" w:hAnsi="仿宋" w:eastAsia="仿宋" w:cs="仿宋"/>
          <w:bCs/>
          <w:color w:val="auto"/>
          <w:sz w:val="24"/>
          <w:szCs w:val="22"/>
          <w:highlight w:val="none"/>
          <w:lang w:val="en-US"/>
        </w:rPr>
      </w:pPr>
      <w:r>
        <w:rPr>
          <w:rFonts w:hint="eastAsia" w:ascii="仿宋" w:hAnsi="仿宋" w:eastAsia="仿宋" w:cs="仿宋"/>
          <w:bCs/>
          <w:color w:val="auto"/>
          <w:sz w:val="24"/>
          <w:szCs w:val="22"/>
          <w:highlight w:val="none"/>
          <w:lang w:val="en-US"/>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bCs/>
          <w:color w:val="auto"/>
          <w:sz w:val="24"/>
          <w:szCs w:val="22"/>
          <w:highlight w:val="none"/>
          <w:lang w:val="en-US"/>
        </w:rPr>
        <w:t>建筑与各专业之间的协调配合性，设置每层强弱电间的合理性，防止线路损耗，</w:t>
      </w:r>
    </w:p>
    <w:p>
      <w:pPr>
        <w:pStyle w:val="2"/>
        <w:spacing w:line="360" w:lineRule="auto"/>
        <w:rPr>
          <w:rFonts w:ascii="仿宋" w:hAnsi="仿宋" w:eastAsia="仿宋" w:cs="仿宋"/>
          <w:bCs/>
          <w:color w:val="auto"/>
          <w:sz w:val="24"/>
          <w:szCs w:val="22"/>
          <w:highlight w:val="none"/>
          <w:lang w:val="en-US"/>
        </w:rPr>
      </w:pPr>
      <w:r>
        <w:rPr>
          <w:rFonts w:hint="eastAsia" w:ascii="仿宋" w:hAnsi="仿宋" w:eastAsia="仿宋" w:cs="仿宋"/>
          <w:bCs/>
          <w:color w:val="auto"/>
          <w:sz w:val="24"/>
          <w:szCs w:val="22"/>
          <w:highlight w:val="none"/>
          <w:lang w:val="en-US"/>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bCs/>
          <w:color w:val="auto"/>
          <w:sz w:val="24"/>
          <w:szCs w:val="22"/>
          <w:highlight w:val="none"/>
          <w:lang w:val="en-US"/>
        </w:rPr>
        <w:t>设备（建筑大型设备）安装孔的预留设计</w:t>
      </w:r>
    </w:p>
    <w:p>
      <w:pPr>
        <w:pStyle w:val="2"/>
        <w:spacing w:line="360" w:lineRule="auto"/>
        <w:rPr>
          <w:rFonts w:ascii="仿宋" w:hAnsi="仿宋" w:eastAsia="仿宋" w:cs="仿宋"/>
          <w:bCs/>
          <w:color w:val="auto"/>
          <w:sz w:val="24"/>
          <w:szCs w:val="22"/>
          <w:highlight w:val="none"/>
          <w:lang w:val="en-US"/>
        </w:rPr>
      </w:pPr>
      <w:r>
        <w:rPr>
          <w:rFonts w:hint="eastAsia" w:ascii="仿宋" w:hAnsi="仿宋" w:eastAsia="仿宋" w:cs="仿宋"/>
          <w:bCs/>
          <w:color w:val="auto"/>
          <w:sz w:val="24"/>
          <w:szCs w:val="22"/>
          <w:highlight w:val="none"/>
          <w:lang w:val="en-US"/>
        </w:rPr>
        <w:t xml:space="preserve">   </w:t>
      </w:r>
      <w:r>
        <w:rPr>
          <w:rFonts w:hint="eastAsia" w:ascii="仿宋" w:hAnsi="仿宋" w:eastAsia="仿宋" w:cs="仿宋"/>
          <w:bCs/>
          <w:color w:val="auto"/>
          <w:sz w:val="24"/>
          <w:szCs w:val="22"/>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bCs/>
          <w:color w:val="auto"/>
          <w:sz w:val="24"/>
          <w:szCs w:val="22"/>
          <w:highlight w:val="none"/>
          <w:lang w:val="en-US"/>
        </w:rPr>
        <w:t>各种管道后的天花净高满足使用要求。</w:t>
      </w:r>
    </w:p>
    <w:p>
      <w:pPr>
        <w:pStyle w:val="2"/>
        <w:spacing w:line="360" w:lineRule="auto"/>
        <w:ind w:firstLine="480"/>
        <w:rPr>
          <w:rFonts w:ascii="仿宋" w:hAnsi="仿宋" w:eastAsia="仿宋" w:cs="仿宋"/>
          <w:bCs/>
          <w:color w:val="auto"/>
          <w:sz w:val="24"/>
          <w:szCs w:val="22"/>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ascii="仿宋" w:hAnsi="仿宋" w:eastAsia="仿宋" w:cs="仿宋"/>
          <w:bCs/>
          <w:color w:val="auto"/>
          <w:sz w:val="24"/>
          <w:szCs w:val="22"/>
          <w:highlight w:val="none"/>
          <w:lang w:val="en-US"/>
        </w:rPr>
        <w:t>避免在高低压电房，开关房，信息机房等各类设备用房上方设置厕所等易漏水功能用房，避免各类排水管穿越设备用房。</w:t>
      </w:r>
    </w:p>
    <w:p>
      <w:pPr>
        <w:spacing w:line="5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结构设计</w:t>
      </w:r>
    </w:p>
    <w:p>
      <w:pPr>
        <w:spacing w:line="56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包括设计范围内建筑体的结构设计</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幕墙等装修工程的结构设计，结构设计一般要求。</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ascii="仿宋" w:hAnsi="仿宋" w:eastAsia="仿宋" w:cs="仿宋"/>
          <w:color w:val="auto"/>
          <w:sz w:val="24"/>
          <w:highlight w:val="none"/>
        </w:rPr>
        <w:t>结构设计基准期为50年，结构设计使用年限为50年。</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ascii="仿宋" w:hAnsi="仿宋" w:eastAsia="仿宋" w:cs="仿宋"/>
          <w:color w:val="auto"/>
          <w:sz w:val="24"/>
          <w:highlight w:val="none"/>
        </w:rPr>
        <w:t>具体抗震等级应根据具体部位的设防类别、烈度、结构类型和建筑高度确定。</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ascii="仿宋" w:hAnsi="仿宋" w:eastAsia="仿宋" w:cs="仿宋"/>
          <w:color w:val="auto"/>
          <w:sz w:val="24"/>
          <w:highlight w:val="none"/>
        </w:rPr>
        <w:t>风荷载按50年一遇的基本风压取值。特殊结构的风荷载体型系数应通过风洞试验确定。</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highlight w:val="none"/>
        </w:rPr>
        <w:t>结构设计应充分考虑广州地区建筑物抗震设防的特点，选择对抗震有利的结构体系，力求受力合理、安全可靠、舒适环保、节能、美观、经济耐用。建筑结构材料合理采用高性能混凝土、高强度钢。</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5）如有人防设计要求，则</w:t>
      </w:r>
      <w:r>
        <w:rPr>
          <w:rFonts w:ascii="仿宋" w:hAnsi="仿宋" w:eastAsia="仿宋" w:cs="仿宋"/>
          <w:color w:val="auto"/>
          <w:sz w:val="24"/>
          <w:highlight w:val="none"/>
        </w:rPr>
        <w:t>防空地下室的设防等级与规模应符合民防主管部门的批复文件。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ascii="仿宋" w:hAnsi="仿宋" w:eastAsia="仿宋" w:cs="仿宋"/>
          <w:color w:val="auto"/>
          <w:sz w:val="24"/>
          <w:highlight w:val="none"/>
        </w:rPr>
        <w:t>结构设计应阐述对特殊施工条件及验收标准的要求。</w:t>
      </w:r>
    </w:p>
    <w:p>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ascii="仿宋" w:hAnsi="仿宋" w:eastAsia="仿宋" w:cs="仿宋"/>
          <w:color w:val="auto"/>
          <w:sz w:val="24"/>
          <w:highlight w:val="none"/>
        </w:rPr>
        <w:t>在确保工程质量与安全，对工期和工程造价影响不大的前提下，结构设计应积极采用和推广成熟的新结构、新技术、新材料和新工艺</w:t>
      </w:r>
      <w:r>
        <w:rPr>
          <w:rFonts w:hint="eastAsia" w:ascii="仿宋" w:hAnsi="仿宋" w:eastAsia="仿宋" w:cs="仿宋"/>
          <w:color w:val="auto"/>
          <w:sz w:val="24"/>
          <w:highlight w:val="none"/>
          <w:lang w:eastAsia="zh-CN"/>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ascii="仿宋" w:hAnsi="仿宋" w:eastAsia="仿宋" w:cs="仿宋"/>
          <w:color w:val="auto"/>
          <w:sz w:val="24"/>
          <w:highlight w:val="none"/>
        </w:rPr>
        <w:t>进行结构计算时，所使用的软件应通过有关部门的鉴定，计算软件的技术条件应符合现行工程建设标准的规定。</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当结构体系复杂时，结构分析采用不少于两个不同的力学模型的软件进行计算，并对其计算结果分析比较，确认合理有效后方可用于工程设计。</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ascii="仿宋" w:hAnsi="仿宋" w:eastAsia="仿宋" w:cs="仿宋"/>
          <w:color w:val="auto"/>
          <w:sz w:val="24"/>
          <w:highlight w:val="none"/>
        </w:rPr>
        <w:t>对于复杂结构，如转换层、大悬臂等应进行必要的有限元分析</w:t>
      </w:r>
      <w:r>
        <w:rPr>
          <w:rFonts w:hint="eastAsia" w:ascii="仿宋" w:hAnsi="仿宋" w:eastAsia="仿宋" w:cs="仿宋"/>
          <w:color w:val="auto"/>
          <w:sz w:val="24"/>
          <w:highlight w:val="none"/>
        </w:rPr>
        <w:t>；对于危大工程必须提交专项设计文本和注明具体位置</w:t>
      </w:r>
      <w:r>
        <w:rPr>
          <w:rFonts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ascii="仿宋" w:hAnsi="仿宋" w:eastAsia="仿宋" w:cs="仿宋"/>
          <w:color w:val="auto"/>
          <w:sz w:val="24"/>
          <w:highlight w:val="none"/>
        </w:rPr>
        <w:t>结构上应考虑基础地基，</w:t>
      </w:r>
      <w:r>
        <w:rPr>
          <w:rFonts w:hint="eastAsia" w:ascii="仿宋" w:hAnsi="仿宋" w:eastAsia="仿宋" w:cs="仿宋"/>
          <w:color w:val="auto"/>
          <w:sz w:val="24"/>
          <w:highlight w:val="none"/>
        </w:rPr>
        <w:t>基础设计等级为</w:t>
      </w:r>
      <w:r>
        <w:rPr>
          <w:rFonts w:hint="eastAsia" w:ascii="仿宋" w:hAnsi="仿宋" w:eastAsia="仿宋" w:cs="仿宋"/>
          <w:color w:val="auto"/>
          <w:sz w:val="24"/>
          <w:highlight w:val="none"/>
          <w:lang w:val="en-US" w:eastAsia="zh-CN"/>
        </w:rPr>
        <w:t>乙</w:t>
      </w:r>
      <w:r>
        <w:rPr>
          <w:rFonts w:hint="eastAsia" w:ascii="仿宋" w:hAnsi="仿宋" w:eastAsia="仿宋" w:cs="仿宋"/>
          <w:color w:val="auto"/>
          <w:sz w:val="24"/>
          <w:highlight w:val="none"/>
        </w:rPr>
        <w:t>级。基</w:t>
      </w:r>
      <w:r>
        <w:rPr>
          <w:rFonts w:ascii="仿宋" w:hAnsi="仿宋" w:eastAsia="仿宋" w:cs="仿宋"/>
          <w:color w:val="auto"/>
          <w:sz w:val="24"/>
          <w:highlight w:val="none"/>
        </w:rPr>
        <w:t>础设计必须根据审查合格的工程地质详细勘察报告和物探报告进行。基础选型应根据工程地质和水文条件、建筑体型、荷载分布情况、施工条件，选择经济合理的基础形式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并根据建设单位需求组织专家会评审</w:t>
      </w:r>
      <w:r>
        <w:rPr>
          <w:rFonts w:ascii="仿宋" w:hAnsi="仿宋" w:eastAsia="仿宋" w:cs="仿宋"/>
          <w:color w:val="auto"/>
          <w:sz w:val="24"/>
          <w:highlight w:val="none"/>
        </w:rPr>
        <w:t>。</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ascii="仿宋" w:hAnsi="仿宋" w:eastAsia="仿宋" w:cs="仿宋"/>
          <w:color w:val="auto"/>
          <w:sz w:val="24"/>
          <w:highlight w:val="none"/>
        </w:rPr>
        <w:t>在设计选材时考虑材料的可循环使用性能。</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ascii="仿宋" w:hAnsi="仿宋" w:eastAsia="仿宋" w:cs="仿宋"/>
          <w:color w:val="auto"/>
          <w:sz w:val="24"/>
          <w:highlight w:val="none"/>
        </w:rPr>
        <w:t>新型结构或材料应进行试验或振动台试验进行验证。</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ascii="仿宋" w:hAnsi="仿宋" w:eastAsia="仿宋" w:cs="仿宋"/>
          <w:color w:val="auto"/>
          <w:sz w:val="24"/>
          <w:highlight w:val="none"/>
        </w:rPr>
        <w:t>如有需要，应配合进行超限建筑工程抗震设防专项审查。</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ascii="仿宋" w:hAnsi="仿宋" w:eastAsia="仿宋" w:cs="仿宋"/>
          <w:color w:val="auto"/>
          <w:sz w:val="24"/>
          <w:highlight w:val="none"/>
        </w:rPr>
        <w:t>选型设计及施工时尽量减少对周围环境的影响。</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highlight w:val="none"/>
        </w:rPr>
        <w:t>提交基坑支护、挡土墙、主体结构基础等的勘察钻孔，原则上勘察钻孔必须在结构柱位上。</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施工图包含危大工程专篇。对高支模大跨度等部位要有指明和技术要求意见。</w:t>
      </w:r>
    </w:p>
    <w:p>
      <w:pPr>
        <w:spacing w:line="560" w:lineRule="exact"/>
        <w:ind w:firstLine="480" w:firstLineChars="200"/>
        <w:jc w:val="left"/>
        <w:rPr>
          <w:rFonts w:ascii="仿宋" w:hAnsi="仿宋" w:eastAsia="仿宋" w:cs="仿宋"/>
          <w:color w:val="auto"/>
          <w:sz w:val="24"/>
          <w:highlight w:val="none"/>
          <w:lang w:val="en-US"/>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lang w:val="en-US"/>
        </w:rPr>
        <w:t>提交满足施工进度要求的各项结构合理设计。满足造价和施工进度要求。</w:t>
      </w:r>
    </w:p>
    <w:p>
      <w:pPr>
        <w:spacing w:line="560" w:lineRule="exact"/>
        <w:ind w:firstLine="720" w:firstLineChars="300"/>
        <w:jc w:val="left"/>
        <w:rPr>
          <w:rFonts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lang w:val="en-US"/>
        </w:rPr>
        <w:t>楼面附加恒荷载及活荷载按《工程结构通用规范》（GB55001-2021），取值按照最终使用功能确定</w:t>
      </w:r>
      <w:r>
        <w:rPr>
          <w:rFonts w:hint="eastAsia" w:ascii="仿宋" w:hAnsi="仿宋" w:eastAsia="仿宋" w:cs="仿宋"/>
          <w:color w:val="auto"/>
          <w:sz w:val="24"/>
          <w:highlight w:val="none"/>
          <w:lang w:val="en-US" w:eastAsia="zh-CN"/>
        </w:rPr>
        <w:t>，且</w:t>
      </w:r>
      <w:r>
        <w:rPr>
          <w:rFonts w:hint="eastAsia" w:ascii="仿宋" w:hAnsi="仿宋" w:eastAsia="仿宋" w:cs="仿宋"/>
          <w:color w:val="auto"/>
          <w:sz w:val="24"/>
          <w:highlight w:val="none"/>
          <w:lang w:val="en-US"/>
        </w:rPr>
        <w:t>满足配合设备的结构荷载和尺寸规格的设计要求；</w:t>
      </w:r>
    </w:p>
    <w:p>
      <w:pPr>
        <w:spacing w:line="560" w:lineRule="exact"/>
        <w:ind w:firstLine="720" w:firstLineChars="300"/>
        <w:jc w:val="left"/>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lang w:val="en-US"/>
        </w:rPr>
        <w:t>建筑作为统筹协调的主体，保证各专业设备管道完成后满足使用空间（净空尺寸和高度）要求。</w:t>
      </w:r>
    </w:p>
    <w:p>
      <w:pPr>
        <w:spacing w:line="560" w:lineRule="exact"/>
        <w:ind w:firstLine="720" w:firstLineChars="3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lang w:val="en-US"/>
        </w:rPr>
        <w:t>高边坡、地基处理方案</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en-US"/>
        </w:rPr>
        <w:t>方案中根据不同荷载情况说明不同处理方式，选用类型；对各种处理方案进行详细论述，对土层、岩层进行分层分析；对站址水文地质情况进行简单论述</w:t>
      </w:r>
      <w:r>
        <w:rPr>
          <w:rFonts w:hint="eastAsia" w:ascii="仿宋" w:hAnsi="仿宋" w:eastAsia="仿宋" w:cs="仿宋"/>
          <w:color w:val="auto"/>
          <w:sz w:val="24"/>
          <w:highlight w:val="none"/>
        </w:rPr>
        <w:t>。</w:t>
      </w:r>
    </w:p>
    <w:p>
      <w:pPr>
        <w:spacing w:line="5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建筑给排水设计：</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包括但不限于本项目用地范围内室内外给排水系统设计（建筑给水、排水、热水系统等）、用地内与市政管道的接驳、路由等满足通水的所有设计、消防给水系统设计、气体消防设计等。</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ascii="仿宋" w:hAnsi="仿宋" w:eastAsia="仿宋" w:cs="仿宋"/>
          <w:color w:val="auto"/>
          <w:sz w:val="24"/>
          <w:highlight w:val="none"/>
        </w:rPr>
        <w:t>建筑给水排水设计应设室内外给排水及消防给水系统，以满足生活、</w:t>
      </w:r>
      <w:r>
        <w:rPr>
          <w:rFonts w:hint="eastAsia" w:ascii="仿宋" w:hAnsi="仿宋" w:eastAsia="仿宋" w:cs="仿宋"/>
          <w:color w:val="auto"/>
          <w:sz w:val="24"/>
          <w:highlight w:val="none"/>
        </w:rPr>
        <w:t>生产</w:t>
      </w:r>
      <w:r>
        <w:rPr>
          <w:rFonts w:ascii="仿宋" w:hAnsi="仿宋" w:eastAsia="仿宋" w:cs="仿宋"/>
          <w:color w:val="auto"/>
          <w:sz w:val="24"/>
          <w:highlight w:val="none"/>
        </w:rPr>
        <w:t>、冲洗道路和绿化及消防用水的要求。</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ascii="仿宋" w:hAnsi="仿宋" w:eastAsia="仿宋" w:cs="仿宋"/>
          <w:color w:val="auto"/>
          <w:sz w:val="24"/>
          <w:highlight w:val="none"/>
        </w:rPr>
        <w:t>在保障功能和经济性的条件下，尽可能使用可再生能源。</w:t>
      </w:r>
    </w:p>
    <w:p>
      <w:pPr>
        <w:spacing w:line="5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ascii="仿宋" w:hAnsi="仿宋" w:eastAsia="仿宋" w:cs="仿宋"/>
          <w:color w:val="auto"/>
          <w:sz w:val="24"/>
          <w:highlight w:val="none"/>
        </w:rPr>
        <w:t>根据城市排水体制，生活污水与雨水分系统排入市政污水管道与雨水管道，生活污水中的粪水经室外化粪池处理后排至市政污水管道</w:t>
      </w:r>
      <w:r>
        <w:rPr>
          <w:rFonts w:hint="eastAsia" w:ascii="仿宋" w:hAnsi="仿宋" w:eastAsia="仿宋" w:cs="仿宋"/>
          <w:color w:val="auto"/>
          <w:sz w:val="24"/>
          <w:highlight w:val="none"/>
          <w:lang w:eastAsia="zh-CN"/>
        </w:rPr>
        <w:t>。</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ascii="仿宋" w:hAnsi="仿宋" w:eastAsia="仿宋" w:cs="仿宋"/>
          <w:color w:val="auto"/>
          <w:sz w:val="24"/>
          <w:highlight w:val="none"/>
        </w:rPr>
        <w:t>采用节水型卫生器具。绿化灌溉宜采用滴灌、微灌、渗灌或管灌等节水浇灌方式，以满足绿色建筑设计要求。</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ascii="仿宋" w:hAnsi="仿宋" w:eastAsia="仿宋" w:cs="仿宋"/>
          <w:color w:val="auto"/>
          <w:sz w:val="24"/>
          <w:highlight w:val="none"/>
        </w:rPr>
        <w:t>建筑设备选型应考虑技术先进、维护方便、经济合理的原则；体现科技、环保、可持续发展的理念。</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ascii="仿宋" w:hAnsi="仿宋" w:eastAsia="仿宋" w:cs="仿宋"/>
          <w:color w:val="auto"/>
          <w:sz w:val="24"/>
          <w:highlight w:val="none"/>
        </w:rPr>
        <w:t>根据国家有关规范和广东省标准及所提供的资料对消防系统进行设计，包括室外消火栓系统、室内消火栓系统、自动喷水灭火系统、气体灭火系统和建筑灭火器配置设计。</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ascii="仿宋" w:hAnsi="仿宋" w:eastAsia="仿宋" w:cs="仿宋"/>
          <w:color w:val="auto"/>
          <w:sz w:val="24"/>
          <w:highlight w:val="none"/>
        </w:rPr>
        <w:t>应充分考虑</w:t>
      </w:r>
      <w:r>
        <w:rPr>
          <w:rFonts w:hint="eastAsia" w:ascii="仿宋" w:hAnsi="仿宋" w:eastAsia="仿宋" w:cs="仿宋"/>
          <w:color w:val="auto"/>
          <w:sz w:val="24"/>
          <w:highlight w:val="none"/>
          <w:lang w:val="en-US" w:eastAsia="zh-CN"/>
        </w:rPr>
        <w:t>运营</w:t>
      </w:r>
      <w:r>
        <w:rPr>
          <w:rFonts w:ascii="仿宋" w:hAnsi="仿宋" w:eastAsia="仿宋" w:cs="仿宋"/>
          <w:color w:val="auto"/>
          <w:sz w:val="24"/>
          <w:highlight w:val="none"/>
        </w:rPr>
        <w:t>模式，以利于系统的设计能满足日后的计量及使用管理要求。</w:t>
      </w:r>
    </w:p>
    <w:p>
      <w:pPr>
        <w:pStyle w:val="2"/>
        <w:spacing w:line="560" w:lineRule="exact"/>
        <w:ind w:firstLine="480" w:firstLineChars="200"/>
        <w:rPr>
          <w:rFonts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highlight w:val="none"/>
          <w:lang w:val="en-US"/>
        </w:rPr>
        <w:t>永久用水</w:t>
      </w:r>
      <w:r>
        <w:rPr>
          <w:rFonts w:hint="eastAsia" w:ascii="仿宋" w:hAnsi="仿宋" w:eastAsia="仿宋" w:cs="仿宋"/>
          <w:color w:val="auto"/>
          <w:sz w:val="24"/>
          <w:highlight w:val="none"/>
          <w:lang w:val="en-US" w:eastAsia="zh-CN"/>
        </w:rPr>
        <w:t>、临时用水</w:t>
      </w:r>
      <w:r>
        <w:rPr>
          <w:rFonts w:hint="eastAsia" w:ascii="仿宋" w:hAnsi="仿宋" w:eastAsia="仿宋" w:cs="仿宋"/>
          <w:color w:val="auto"/>
          <w:sz w:val="24"/>
          <w:highlight w:val="none"/>
          <w:lang w:val="en-US"/>
        </w:rPr>
        <w:t>报审必须由有广州市自来水公司承认的设计资质分包设计单位提交报审和施工图设计。</w:t>
      </w:r>
    </w:p>
    <w:p>
      <w:pPr>
        <w:pStyle w:val="2"/>
        <w:spacing w:line="560" w:lineRule="exact"/>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highlight w:val="none"/>
          <w:lang w:val="en-US"/>
        </w:rPr>
        <w:t>海绵城市建设专项设计目标应满足《广州市建设项目雨水径流控制办法》（广州市人民政府令书（第 107 号）（ 2019 年第二次修订）、 《广州市海绵城市建设管理办法》（穗府办规〔 2020〕27 号）、《广州市海绵城市建设指标体系（试行）》（穗水[2017]16号）、《广州市海绵城市规划设计导则（试行）》（穗水〔 2017〕 247号）、《广州市建设项目海绵城市建设管控指标分类指引（试行）》（穗水河湖〔 2020〕 7 号）、《广州市海绵城市建设技术指引及标准图集（试行）》（穗水〔 2017〕 12 号）、 《广州市水务局关于印发广州市城市开发建设项目海绵城市建设——洪涝安全评估技术指引（试行）的通知》（穗水规计〔 2021〕 10 号），市、区及重点建设片区海绵城市建设规划 及相关行业行政主管部门印发的指引等文件的要求。</w:t>
      </w:r>
    </w:p>
    <w:p>
      <w:pPr>
        <w:spacing w:line="5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电气设计</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val="en-US" w:eastAsia="zh-CN"/>
        </w:rPr>
        <w:t>电气设计包括但不仅限于：</w:t>
      </w:r>
    </w:p>
    <w:p>
      <w:pPr>
        <w:spacing w:line="5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220千伏变配电一次、二次设计：为电气主接线方案设计、主变压器设计选型、短路电流计算、全站继电保护及自动装置的规划、无功补偿方案的确定和设备选择、高压侧配电系统设计、低压侧配电系统设计、直流系统及不间断电源设计、主控制室和继电室设计等</w:t>
      </w:r>
      <w:r>
        <w:rPr>
          <w:rFonts w:hint="eastAsia" w:ascii="仿宋" w:hAnsi="仿宋" w:eastAsia="仿宋" w:cs="仿宋"/>
          <w:color w:val="auto"/>
          <w:sz w:val="24"/>
          <w:highlight w:val="none"/>
          <w:lang w:eastAsia="zh-CN"/>
        </w:rPr>
        <w:t>。</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站内用电的</w:t>
      </w:r>
      <w:r>
        <w:rPr>
          <w:rFonts w:hint="eastAsia" w:ascii="仿宋" w:hAnsi="仿宋" w:eastAsia="仿宋" w:cs="仿宋"/>
          <w:color w:val="auto"/>
          <w:sz w:val="24"/>
          <w:highlight w:val="none"/>
        </w:rPr>
        <w:t>配电系统、动力系统、照明配电系统、消防应急照明和疏散指示系统、电气消防（包括火灾自动报警及消防联动系统、消防应急广播系统、电气火灾监控系统、消防电源监控系统、防火门监控系统等）、防雷及接地系统、景观道路照明工程及</w:t>
      </w:r>
      <w:r>
        <w:rPr>
          <w:rFonts w:hint="eastAsia" w:ascii="仿宋" w:hAnsi="仿宋" w:eastAsia="仿宋" w:cs="仿宋"/>
          <w:color w:val="auto"/>
          <w:sz w:val="24"/>
          <w:highlight w:val="none"/>
          <w:lang w:val="en-US" w:eastAsia="zh-CN"/>
        </w:rPr>
        <w:t>进出线电缆</w:t>
      </w:r>
      <w:r>
        <w:rPr>
          <w:rFonts w:ascii="仿宋" w:hAnsi="仿宋" w:eastAsia="仿宋" w:cs="仿宋"/>
          <w:color w:val="auto"/>
          <w:sz w:val="24"/>
          <w:highlight w:val="none"/>
        </w:rPr>
        <w:t>市政电源接入条件和路由预留。</w:t>
      </w:r>
    </w:p>
    <w:p>
      <w:pPr>
        <w:spacing w:line="56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1、站内用电设计要求：</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ascii="仿宋" w:hAnsi="仿宋" w:eastAsia="仿宋" w:cs="仿宋"/>
          <w:color w:val="auto"/>
          <w:sz w:val="24"/>
          <w:highlight w:val="none"/>
        </w:rPr>
        <w:t>强电系统设计应满足运营基本要求。</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低压配电设计应尽量避免全部采用放射式供电，应与其它供电方式综合考虑，以减少低压柜出线回路数量，限额设计。</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highlight w:val="none"/>
          <w:lang w:val="en-US" w:eastAsia="zh-CN"/>
        </w:rPr>
        <w:t>配电</w:t>
      </w:r>
      <w:r>
        <w:rPr>
          <w:rFonts w:hint="eastAsia" w:ascii="仿宋" w:hAnsi="仿宋" w:eastAsia="仿宋" w:cs="仿宋"/>
          <w:color w:val="auto"/>
          <w:sz w:val="24"/>
          <w:highlight w:val="none"/>
        </w:rPr>
        <w:t>设备布置在满足供电局要求前提下尽量节约造价（如缩短密集母线长度），不能片面追求机房布置的舒适性。变配电所平面布置，优先考虑节省面积（关系到气体消防造价），对于机房内部的无用空间尽量用墙体分隔到机房以外，由建筑考虑其它用途或列为备用间。</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highlight w:val="none"/>
        </w:rPr>
        <w:t>航空障碍灯（如有）设置需咨询当地航空管理局，符合相关要求。</w:t>
      </w:r>
    </w:p>
    <w:p>
      <w:pPr>
        <w:pStyle w:val="2"/>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ascii="仿宋" w:hAnsi="仿宋" w:eastAsia="仿宋" w:cs="仿宋"/>
          <w:color w:val="auto"/>
          <w:sz w:val="24"/>
          <w:highlight w:val="none"/>
        </w:rPr>
        <w:t>应采用适宜的照明设备，高效节能。</w:t>
      </w:r>
    </w:p>
    <w:p>
      <w:pPr>
        <w:pStyle w:val="2"/>
        <w:spacing w:line="560" w:lineRule="exact"/>
        <w:ind w:firstLine="480" w:firstLineChars="200"/>
        <w:rPr>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highlight w:val="none"/>
          <w:lang w:val="en-US"/>
        </w:rPr>
        <w:t>应采用适宜的照明设备，高效节能。</w:t>
      </w:r>
    </w:p>
    <w:p>
      <w:pPr>
        <w:pStyle w:val="2"/>
        <w:spacing w:line="560" w:lineRule="exact"/>
        <w:ind w:firstLine="480" w:firstLineChars="200"/>
        <w:rPr>
          <w:rFonts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highlight w:val="none"/>
          <w:lang w:val="en-US"/>
        </w:rPr>
        <w:t>永久用电</w:t>
      </w:r>
      <w:r>
        <w:rPr>
          <w:rFonts w:hint="eastAsia" w:ascii="仿宋" w:hAnsi="仿宋" w:eastAsia="仿宋" w:cs="仿宋"/>
          <w:color w:val="auto"/>
          <w:sz w:val="24"/>
          <w:highlight w:val="none"/>
          <w:lang w:val="en-US" w:eastAsia="zh-CN"/>
        </w:rPr>
        <w:t>、临时用电</w:t>
      </w:r>
      <w:r>
        <w:rPr>
          <w:rFonts w:hint="eastAsia" w:ascii="仿宋" w:hAnsi="仿宋" w:eastAsia="仿宋" w:cs="仿宋"/>
          <w:color w:val="auto"/>
          <w:sz w:val="24"/>
          <w:highlight w:val="none"/>
          <w:lang w:val="en-US"/>
        </w:rPr>
        <w:t>报审必须由有广州市供电局承认的设计资质分包设计单位提交报审和施工图设计。</w:t>
      </w:r>
    </w:p>
    <w:p>
      <w:pPr>
        <w:pStyle w:val="2"/>
        <w:spacing w:line="560" w:lineRule="exact"/>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highlight w:val="none"/>
          <w:lang w:val="en-US"/>
        </w:rPr>
        <w:t>应采用适宜的照明设备，高效节能。涉及</w:t>
      </w:r>
      <w:r>
        <w:rPr>
          <w:rFonts w:hint="eastAsia" w:ascii="仿宋" w:hAnsi="仿宋" w:eastAsia="仿宋" w:cs="仿宋"/>
          <w:color w:val="auto"/>
          <w:sz w:val="24"/>
          <w:highlight w:val="none"/>
          <w:lang w:val="en-US" w:eastAsia="zh-CN"/>
        </w:rPr>
        <w:t>建设单位</w:t>
      </w:r>
      <w:r>
        <w:rPr>
          <w:rFonts w:hint="eastAsia" w:ascii="仿宋" w:hAnsi="仿宋" w:eastAsia="仿宋" w:cs="仿宋"/>
          <w:color w:val="auto"/>
          <w:sz w:val="24"/>
          <w:highlight w:val="none"/>
          <w:lang w:val="en-US"/>
        </w:rPr>
        <w:t>后续深化设计的区域需结合实际使用及未来发展需求预留足够用电。</w:t>
      </w:r>
    </w:p>
    <w:p>
      <w:pPr>
        <w:ind w:firstLine="480" w:firstLineChars="200"/>
        <w:rPr>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highlight w:val="none"/>
          <w:lang w:val="en-US"/>
        </w:rPr>
        <w:t>建筑物防雷接地设计应提供小比例总体引下线布置图。</w:t>
      </w:r>
    </w:p>
    <w:p>
      <w:pPr>
        <w:pStyle w:val="2"/>
        <w:spacing w:line="560" w:lineRule="exact"/>
        <w:ind w:firstLine="480" w:firstLineChars="200"/>
        <w:rPr>
          <w:rFonts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highlight w:val="none"/>
          <w:lang w:val="en-US"/>
        </w:rPr>
        <w:t>合理配置层强弱电间的设置，足够设备线路空间，并有一定的富余，减少线路损耗。合理设置紧急开关位置。</w:t>
      </w:r>
    </w:p>
    <w:p>
      <w:pPr>
        <w:pStyle w:val="2"/>
        <w:spacing w:line="560" w:lineRule="exact"/>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highlight w:val="none"/>
          <w:lang w:val="en-US"/>
        </w:rPr>
        <w:t>电缆沟、电缆桥架内电缆应标注回路编号；主电缆沟、主干电缆桥架应有剖面图，表示线缆在电缆沟、电缆桥架内敷设情况。</w:t>
      </w:r>
    </w:p>
    <w:p>
      <w:pPr>
        <w:pStyle w:val="2"/>
        <w:spacing w:line="560" w:lineRule="exact"/>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highlight w:val="none"/>
          <w:lang w:val="en-US"/>
        </w:rPr>
        <w:t>末端配电系统应详细注明用途和容量；例如变配电室照明，地下车库排风机等。配电箱、盘（包括预留）符号或代号标注应有文字及图例说明。</w:t>
      </w:r>
    </w:p>
    <w:p>
      <w:pPr>
        <w:pStyle w:val="2"/>
        <w:spacing w:line="560" w:lineRule="exact"/>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highlight w:val="none"/>
          <w:lang w:val="en-US"/>
        </w:rPr>
        <w:t>配电箱、盘应提供外形及安装参考尺寸（mm）。重要设备及主要安装场所如电气竖井应提供安装大样图。嵌墙安装的配电箱应提供安装高度及预留洞口尺寸。</w:t>
      </w:r>
    </w:p>
    <w:p>
      <w:pPr>
        <w:pStyle w:val="2"/>
        <w:spacing w:line="560" w:lineRule="exact"/>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highlight w:val="none"/>
          <w:lang w:val="en-US"/>
        </w:rPr>
        <w:t>应按《建设工程质量管理条例》第二十二条注明设备规格、型号、性能等技术参数与数量，但不得指定制造商和供应商，不得使用淘汰产品，一般情况下，设计中对低压断路器不得标注具体型号。对0.4kV低压断路器的表示为：ACB—框架断路器MCCB—塑壳断路器、MCB—微型断路器、ATS—PC级双电源切换装置、RCB—带剩余电流保护的断路器。</w:t>
      </w:r>
    </w:p>
    <w:p>
      <w:pPr>
        <w:pStyle w:val="2"/>
        <w:spacing w:line="560" w:lineRule="exact"/>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highlight w:val="none"/>
          <w:lang w:val="en-US"/>
        </w:rPr>
        <w:t>0.4kV配电系统中，凡电动操作的断路器，设计中需注明“电动操作”（或以带说明的符号来表示）；未加注明者均视为手动操作。</w:t>
      </w:r>
    </w:p>
    <w:p>
      <w:pPr>
        <w:pStyle w:val="2"/>
        <w:spacing w:line="560" w:lineRule="exact"/>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highlight w:val="none"/>
          <w:lang w:val="en-US"/>
        </w:rPr>
        <w:t>设计中应详细给出断路器等配电柜、箱内主要元器件的主要技术参数及相关整定值，明确变压器、发电机组或其他应急电源设备主要技术参数；明确高、低压配电柜母排等主要技术参数。对在设计中有连锁等方面控制要求的设备，应提供设计要求。</w:t>
      </w:r>
    </w:p>
    <w:p>
      <w:pPr>
        <w:pStyle w:val="2"/>
        <w:spacing w:line="560" w:lineRule="exact"/>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highlight w:val="none"/>
          <w:lang w:val="en-US"/>
        </w:rPr>
        <w:t>对设计中阻燃及耐火电缆的标示：采用最新实施的规范中推荐的方式。</w:t>
      </w:r>
    </w:p>
    <w:p>
      <w:pPr>
        <w:pStyle w:val="2"/>
        <w:spacing w:line="5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2、220千伏变配电的设计要求</w:t>
      </w:r>
    </w:p>
    <w:p>
      <w:pPr>
        <w:pStyle w:val="2"/>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（1）电气主接线。</w:t>
      </w:r>
      <w:r>
        <w:rPr>
          <w:rFonts w:hint="eastAsia" w:ascii="仿宋" w:hAnsi="仿宋" w:eastAsia="仿宋" w:cs="仿宋"/>
          <w:color w:val="auto"/>
          <w:sz w:val="24"/>
          <w:highlight w:val="none"/>
          <w:lang w:val="en-US"/>
        </w:rPr>
        <w:t>详细论述电气主接线型式，并附有主接线图，接线图准确无误</w:t>
      </w:r>
      <w:r>
        <w:rPr>
          <w:rFonts w:hint="eastAsia" w:ascii="仿宋" w:hAnsi="仿宋" w:eastAsia="仿宋" w:cs="仿宋"/>
          <w:color w:val="auto"/>
          <w:sz w:val="24"/>
          <w:highlight w:val="none"/>
          <w:lang w:val="en-US" w:eastAsia="zh-CN"/>
        </w:rPr>
        <w:t>。</w:t>
      </w:r>
    </w:p>
    <w:p>
      <w:pPr>
        <w:pStyle w:val="2"/>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（2）配电装置及主要电气设备选型 。论述配电装置选型，包含主变压器，相应电压等级的配电装置及相应无功补偿装置；详细论述主要电气设备选型，影响因素等。</w:t>
      </w:r>
    </w:p>
    <w:p>
      <w:pPr>
        <w:pStyle w:val="2"/>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（3）电缆规格、敷设型式选择。论述电缆规格及附件选型内容，包含电缆型式和导体截面积、电缆终端、中间接头等内容；详细论述电缆敷设方案，分析比较各方案差别。</w:t>
      </w:r>
    </w:p>
    <w:p>
      <w:pPr>
        <w:pStyle w:val="2"/>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（4）本次建设2台主变，3回220KV电缆出线，2回110KV电缆出线，2*10回10kv电缆出线预留最终设计4台主变、8回220KV电缆进线，14回110KV电缆出线、3*10回10kv电缆出线设计。</w:t>
      </w:r>
    </w:p>
    <w:p>
      <w:pPr>
        <w:pStyle w:val="2"/>
        <w:spacing w:line="5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5）变电站的电气主接线应根据变电站在电力系统中的地位、变电站的规划容量、负荷性质、线路和变压器连接元件总数、设备特点等条件确定,并应满足供电可靠、运行灵活、操作检修方便、投资节约和便于过渡或扩建等要求。</w:t>
      </w:r>
    </w:p>
    <w:p>
      <w:pPr>
        <w:pStyle w:val="2"/>
        <w:spacing w:line="560" w:lineRule="exact"/>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en-US"/>
        </w:rPr>
        <w:t>高压配电装置的设计,应根据变电站负荷性质、环境条件、运行维护要求,优先选用资源节约、占地省的设备和布置方案。</w:t>
      </w:r>
    </w:p>
    <w:p>
      <w:pPr>
        <w:pStyle w:val="2"/>
        <w:spacing w:line="560" w:lineRule="exact"/>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en-US"/>
        </w:rPr>
        <w:t>变电站低压无功补偿装置的配置,应根据无功分层分区平衡的需要,经技术经济综合论证确定。</w:t>
      </w:r>
    </w:p>
    <w:p>
      <w:pPr>
        <w:pStyle w:val="2"/>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en-US"/>
        </w:rPr>
        <w:t>变电站应按电力系统安全运行需要,</w:t>
      </w:r>
      <w:r>
        <w:rPr>
          <w:rFonts w:hint="eastAsia" w:ascii="仿宋" w:hAnsi="仿宋" w:eastAsia="仿宋" w:cs="仿宋"/>
          <w:color w:val="auto"/>
          <w:sz w:val="24"/>
          <w:highlight w:val="none"/>
          <w:lang w:val="en-US" w:eastAsia="zh-CN"/>
        </w:rPr>
        <w:t>参考广州市内220千伏变电站的配置，考虑</w:t>
      </w:r>
      <w:r>
        <w:rPr>
          <w:rFonts w:hint="eastAsia" w:ascii="仿宋" w:hAnsi="仿宋" w:eastAsia="仿宋" w:cs="仿宋"/>
          <w:color w:val="auto"/>
          <w:sz w:val="24"/>
          <w:highlight w:val="none"/>
          <w:lang w:val="en-US"/>
        </w:rPr>
        <w:t>装设线路保护、辅助保护、故障录波装置</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en-US"/>
        </w:rPr>
        <w:t>母线保护</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en-US"/>
        </w:rPr>
        <w:t>安全自动控制装置</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en-US"/>
        </w:rPr>
        <w:t>主变压器保护</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en-US"/>
        </w:rPr>
        <w:t>无功装置保护、站用变保护</w:t>
      </w:r>
      <w:r>
        <w:rPr>
          <w:rFonts w:hint="eastAsia" w:ascii="仿宋" w:hAnsi="仿宋" w:eastAsia="仿宋" w:cs="仿宋"/>
          <w:color w:val="auto"/>
          <w:sz w:val="24"/>
          <w:highlight w:val="none"/>
          <w:lang w:val="en-US" w:eastAsia="zh-CN"/>
        </w:rPr>
        <w:t>。</w:t>
      </w:r>
    </w:p>
    <w:p>
      <w:pPr>
        <w:pStyle w:val="2"/>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变电站应根据电力系统调度安全运行、监控需要，参考广州市内220千伏变电站的配置，考虑装设远动通信设备、电能量计量装置、同步相量测量装置、调度数据网接人设备、二次系统安全防护设备、电能质量谐波监测装置。</w:t>
      </w:r>
    </w:p>
    <w:p>
      <w:pPr>
        <w:spacing w:line="5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建筑智能化设计</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建筑智能化各子系统的设计应保证</w:t>
      </w:r>
      <w:r>
        <w:rPr>
          <w:rFonts w:hint="eastAsia" w:ascii="仿宋" w:hAnsi="仿宋" w:eastAsia="仿宋" w:cs="仿宋"/>
          <w:color w:val="auto"/>
          <w:sz w:val="24"/>
          <w:highlight w:val="none"/>
          <w:lang w:val="en-US" w:eastAsia="zh-CN"/>
        </w:rPr>
        <w:t>满足国家现行规范标准、南方电网的使用要求，参考近三年广州市内220千伏变电站的配置标准进行设计</w:t>
      </w:r>
      <w:r>
        <w:rPr>
          <w:rFonts w:hint="eastAsia" w:ascii="仿宋" w:hAnsi="仿宋" w:eastAsia="仿宋" w:cs="仿宋"/>
          <w:color w:val="auto"/>
          <w:sz w:val="24"/>
          <w:highlight w:val="none"/>
        </w:rPr>
        <w:t>。各子系统在设计时，应充分考虑其兼容性、扩展性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合理安排竖井及中央控制机构位置及结构。本项目所有智能化系统设计内容，包括但不限于以下系统：</w:t>
      </w:r>
    </w:p>
    <w:p>
      <w:pPr>
        <w:numPr>
          <w:ilvl w:val="0"/>
          <w:numId w:val="5"/>
        </w:numPr>
        <w:spacing w:line="56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信息网络系统包括：</w:t>
      </w:r>
      <w:r>
        <w:rPr>
          <w:rFonts w:hint="eastAsia" w:ascii="仿宋" w:hAnsi="仿宋" w:eastAsia="仿宋" w:cs="仿宋"/>
          <w:bCs/>
          <w:color w:val="auto"/>
          <w:kern w:val="0"/>
          <w:sz w:val="24"/>
          <w:highlight w:val="none"/>
        </w:rPr>
        <w:t>光纤到户FTTH系统</w:t>
      </w:r>
      <w:r>
        <w:rPr>
          <w:rFonts w:hint="eastAsia" w:ascii="仿宋" w:hAnsi="仿宋" w:eastAsia="仿宋" w:cs="仿宋"/>
          <w:color w:val="auto"/>
          <w:sz w:val="24"/>
          <w:highlight w:val="none"/>
          <w:lang w:val="en-US" w:eastAsia="zh-CN"/>
        </w:rPr>
        <w:t>、</w:t>
      </w:r>
      <w:r>
        <w:rPr>
          <w:rFonts w:ascii="仿宋" w:hAnsi="仿宋" w:eastAsia="仿宋" w:cs="仿宋"/>
          <w:color w:val="auto"/>
          <w:sz w:val="24"/>
          <w:highlight w:val="none"/>
        </w:rPr>
        <w:t>计算机网络系统、语音（电话）网络系统、综合布线系统、公共广播系统等。</w:t>
      </w:r>
    </w:p>
    <w:p>
      <w:pPr>
        <w:numPr>
          <w:ilvl w:val="0"/>
          <w:numId w:val="0"/>
        </w:num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系统通信方案，论述系统一次计入系统概况，拟建项目变电站通信设计范围、调度管理等内容；负责编制光缆建设、传输网、调度数据网方案及设计等；提供有设备材料清单；对侧配套工程通信方案及设计。</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ascii="仿宋" w:hAnsi="仿宋" w:eastAsia="仿宋" w:cs="仿宋"/>
          <w:color w:val="auto"/>
          <w:sz w:val="24"/>
          <w:highlight w:val="none"/>
        </w:rPr>
        <w:t>建筑设备监控系统：设置设备监控系统，对其内部的动力、电力、空调、照明（</w:t>
      </w:r>
      <w:r>
        <w:rPr>
          <w:rFonts w:hint="eastAsia" w:ascii="仿宋" w:hAnsi="仿宋" w:eastAsia="仿宋" w:cs="仿宋"/>
          <w:color w:val="auto"/>
          <w:sz w:val="24"/>
          <w:highlight w:val="none"/>
        </w:rPr>
        <w:t>包括</w:t>
      </w:r>
      <w:r>
        <w:rPr>
          <w:rFonts w:ascii="仿宋" w:hAnsi="仿宋" w:eastAsia="仿宋" w:cs="仿宋"/>
          <w:color w:val="auto"/>
          <w:sz w:val="24"/>
          <w:highlight w:val="none"/>
        </w:rPr>
        <w:t>空调和照明采用物联网的技术，感知环境状态和人流状态，实现自动控制）、给排水等机电设备进行监视、控制、协调、运行管理</w:t>
      </w:r>
      <w:r>
        <w:rPr>
          <w:rFonts w:hint="eastAsia" w:ascii="仿宋" w:hAnsi="仿宋" w:eastAsia="仿宋" w:cs="仿宋"/>
          <w:color w:val="auto"/>
          <w:sz w:val="24"/>
          <w:highlight w:val="none"/>
        </w:rPr>
        <w:t>，具体待</w:t>
      </w:r>
      <w:r>
        <w:rPr>
          <w:rFonts w:hint="eastAsia" w:ascii="仿宋" w:hAnsi="仿宋" w:eastAsia="仿宋" w:cs="仿宋"/>
          <w:color w:val="auto"/>
          <w:sz w:val="24"/>
          <w:highlight w:val="none"/>
          <w:lang w:val="en-US" w:eastAsia="zh-CN"/>
        </w:rPr>
        <w:t>专项</w:t>
      </w:r>
      <w:r>
        <w:rPr>
          <w:rFonts w:hint="eastAsia" w:ascii="仿宋" w:hAnsi="仿宋" w:eastAsia="仿宋" w:cs="仿宋"/>
          <w:color w:val="auto"/>
          <w:sz w:val="24"/>
          <w:highlight w:val="none"/>
        </w:rPr>
        <w:t>方案汇报后再确定</w:t>
      </w:r>
      <w:r>
        <w:rPr>
          <w:rFonts w:ascii="仿宋" w:hAnsi="仿宋" w:eastAsia="仿宋" w:cs="仿宋"/>
          <w:color w:val="auto"/>
          <w:sz w:val="24"/>
          <w:highlight w:val="none"/>
        </w:rPr>
        <w:t>。</w:t>
      </w:r>
    </w:p>
    <w:p>
      <w:pPr>
        <w:spacing w:line="56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ascii="仿宋" w:hAnsi="仿宋" w:eastAsia="仿宋" w:cs="仿宋"/>
          <w:color w:val="auto"/>
          <w:sz w:val="24"/>
          <w:highlight w:val="none"/>
        </w:rPr>
        <w:t>安全防范系统包括：入侵报警系统、视频监控系统、出入口控制系统、安全防范系统集成。</w:t>
      </w:r>
      <w:r>
        <w:rPr>
          <w:rFonts w:hint="default" w:ascii="仿宋" w:hAnsi="仿宋" w:eastAsia="仿宋" w:cs="仿宋"/>
          <w:color w:val="auto"/>
          <w:sz w:val="24"/>
          <w:highlight w:val="none"/>
          <w:lang w:val="en-US" w:eastAsia="zh-CN"/>
        </w:rPr>
        <w:t>视频安全监控系统应分别按照有、无人值班管理变电站要求布置摄像监视点。宜具备与变电站内事件、设备操控、事故处理、照明控制协同联动功能,并具有就地、远程视频巡检、红外测温巡检及视频工作指导的功能</w:t>
      </w:r>
      <w:r>
        <w:rPr>
          <w:rFonts w:hint="eastAsia" w:ascii="仿宋" w:hAnsi="仿宋" w:eastAsia="仿宋" w:cs="仿宋"/>
          <w:color w:val="auto"/>
          <w:sz w:val="24"/>
          <w:highlight w:val="none"/>
          <w:lang w:val="en-US" w:eastAsia="zh-CN"/>
        </w:rPr>
        <w:t>；</w:t>
      </w:r>
    </w:p>
    <w:p>
      <w:pPr>
        <w:numPr>
          <w:ilvl w:val="0"/>
          <w:numId w:val="0"/>
        </w:numPr>
        <w:spacing w:line="560" w:lineRule="exact"/>
        <w:ind w:firstLine="480" w:firstLineChars="200"/>
        <w:jc w:val="left"/>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宜在围墙四周设置电子围栏,实现视频监控与安全警卫系统的联动。</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ascii="仿宋" w:hAnsi="仿宋" w:eastAsia="仿宋" w:cs="仿宋"/>
          <w:color w:val="auto"/>
          <w:sz w:val="24"/>
          <w:highlight w:val="none"/>
        </w:rPr>
        <w:t>火灾自动报警系统（包括：手动、自动报警系统、联动控制系统、紧急广播系统）</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ascii="仿宋" w:hAnsi="仿宋" w:eastAsia="仿宋" w:cs="仿宋"/>
          <w:color w:val="auto"/>
          <w:sz w:val="24"/>
          <w:highlight w:val="none"/>
        </w:rPr>
        <w:t>智能化系统集成</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highlight w:val="none"/>
        </w:rPr>
        <w:t>智能化各子系统的供电、防雷及接地</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ascii="仿宋" w:hAnsi="仿宋" w:eastAsia="仿宋" w:cs="仿宋"/>
          <w:color w:val="auto"/>
          <w:sz w:val="24"/>
          <w:highlight w:val="none"/>
        </w:rPr>
        <w:t>机房工程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包括消防监控中心、</w:t>
      </w:r>
      <w:r>
        <w:rPr>
          <w:rFonts w:hint="eastAsia" w:ascii="仿宋" w:hAnsi="仿宋" w:eastAsia="仿宋" w:cs="仿宋"/>
          <w:color w:val="auto"/>
          <w:sz w:val="24"/>
          <w:highlight w:val="none"/>
          <w:lang w:val="en-US" w:eastAsia="zh-CN"/>
        </w:rPr>
        <w:t>主控室、计算机室、继电器室、通信机房</w:t>
      </w:r>
      <w:r>
        <w:rPr>
          <w:rFonts w:hint="eastAsia" w:ascii="仿宋" w:hAnsi="仿宋" w:eastAsia="仿宋" w:cs="仿宋"/>
          <w:color w:val="auto"/>
          <w:sz w:val="24"/>
          <w:highlight w:val="none"/>
        </w:rPr>
        <w:t>。</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ascii="仿宋" w:hAnsi="仿宋" w:eastAsia="仿宋" w:cs="仿宋"/>
          <w:color w:val="auto"/>
          <w:sz w:val="24"/>
          <w:highlight w:val="none"/>
        </w:rPr>
        <w:t>能源分项计量及监控</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highlight w:val="none"/>
        </w:rPr>
        <w:t>UPS电源及配电系统。</w:t>
      </w:r>
    </w:p>
    <w:p>
      <w:pPr>
        <w:numPr>
          <w:ilvl w:val="0"/>
          <w:numId w:val="0"/>
        </w:num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变电站配置1套公用的时钟同步系统,时钟源双重化配置。时钟同步系统对时范围包括:监控系统站控层设备、保护及故障信息管理子站、保护装置、测控装置、故障录波装置、故障测距、相量测量装置及站内其他智能设备等。时钟同步精度和守时精度满足站内所有设备的对时精度要求。</w:t>
      </w:r>
    </w:p>
    <w:p>
      <w:pPr>
        <w:spacing w:line="56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r>
        <w:rPr>
          <w:rFonts w:hint="default" w:ascii="仿宋" w:hAnsi="仿宋" w:eastAsia="仿宋" w:cs="仿宋"/>
          <w:color w:val="auto"/>
          <w:sz w:val="24"/>
          <w:highlight w:val="none"/>
          <w:lang w:val="en-US" w:eastAsia="zh-CN"/>
        </w:rPr>
        <w:t>主控制室的位置选择应满足便于巡视和观察屋外主要设备、节省控制电缆、噪声干扰小和有较好的朝向等要求。</w:t>
      </w:r>
    </w:p>
    <w:p>
      <w:pPr>
        <w:spacing w:line="56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计算机监控系统应能实现对变电站可靠、合理、完善的监视:测量、控制,并具备遥测、遥信、遥调、遥控等全部的远动功能,具有与调度通信中心交换信息的能力。监控系统宜采用开放式分层分布式结构,由站控层、间隔层,以及网络设备构成。</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highlight w:val="none"/>
        </w:rPr>
        <w:t>需要从功能、造价等方面对智能化系统进行专项汇报，以确定最终建设的系统。</w:t>
      </w:r>
    </w:p>
    <w:p>
      <w:pPr>
        <w:ind w:firstLine="480"/>
        <w:rPr>
          <w:rFonts w:hint="default"/>
          <w:color w:val="auto"/>
          <w:highlight w:val="none"/>
          <w:lang w:val="en-US" w:eastAsia="zh-CN"/>
        </w:rPr>
      </w:pPr>
    </w:p>
    <w:p>
      <w:pPr>
        <w:spacing w:line="560" w:lineRule="exact"/>
        <w:jc w:val="left"/>
        <w:rPr>
          <w:rFonts w:ascii="仿宋" w:hAnsi="仿宋" w:eastAsia="仿宋" w:cs="仿宋"/>
          <w:color w:val="auto"/>
          <w:sz w:val="24"/>
          <w:highlight w:val="none"/>
        </w:rPr>
      </w:pP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空调通风设计</w:t>
      </w:r>
      <w:r>
        <w:rPr>
          <w:rFonts w:hint="eastAsia" w:ascii="仿宋" w:hAnsi="仿宋" w:eastAsia="仿宋" w:cs="仿宋"/>
          <w:color w:val="auto"/>
          <w:sz w:val="24"/>
          <w:highlight w:val="none"/>
        </w:rPr>
        <w:t>：</w:t>
      </w:r>
      <w:r>
        <w:rPr>
          <w:rFonts w:ascii="仿宋" w:hAnsi="仿宋" w:eastAsia="仿宋" w:cs="仿宋"/>
          <w:color w:val="auto"/>
          <w:sz w:val="24"/>
          <w:highlight w:val="none"/>
        </w:rPr>
        <w:t xml:space="preserve"> </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包括但不限于建筑物内部空气调节系统、供冷供热系统及通风系统设计。</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ascii="仿宋" w:hAnsi="仿宋" w:eastAsia="仿宋" w:cs="仿宋"/>
          <w:color w:val="auto"/>
          <w:sz w:val="24"/>
          <w:highlight w:val="none"/>
        </w:rPr>
        <w:t>采暖通风与空气调节设计应符合现行</w:t>
      </w:r>
      <w:r>
        <w:rPr>
          <w:rFonts w:hint="eastAsia" w:ascii="仿宋" w:hAnsi="仿宋" w:eastAsia="仿宋" w:cs="仿宋"/>
          <w:color w:val="auto"/>
          <w:sz w:val="24"/>
          <w:highlight w:val="none"/>
          <w:lang w:val="en-US" w:eastAsia="zh-CN"/>
        </w:rPr>
        <w:t>规范、行业标准</w:t>
      </w:r>
      <w:r>
        <w:rPr>
          <w:rFonts w:ascii="仿宋" w:hAnsi="仿宋" w:eastAsia="仿宋" w:cs="仿宋"/>
          <w:color w:val="auto"/>
          <w:sz w:val="24"/>
          <w:highlight w:val="none"/>
        </w:rPr>
        <w:t>的规定。</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ascii="仿宋" w:hAnsi="仿宋" w:eastAsia="仿宋" w:cs="仿宋"/>
          <w:color w:val="auto"/>
          <w:sz w:val="24"/>
          <w:highlight w:val="none"/>
        </w:rPr>
        <w:t>应结合不同区域</w:t>
      </w:r>
      <w:r>
        <w:rPr>
          <w:rFonts w:hint="eastAsia" w:ascii="仿宋" w:hAnsi="仿宋" w:eastAsia="仿宋" w:cs="仿宋"/>
          <w:color w:val="auto"/>
          <w:sz w:val="24"/>
          <w:highlight w:val="none"/>
          <w:lang w:val="en-US" w:eastAsia="zh-CN"/>
        </w:rPr>
        <w:t>或设备用房</w:t>
      </w:r>
      <w:r>
        <w:rPr>
          <w:rFonts w:ascii="仿宋" w:hAnsi="仿宋" w:eastAsia="仿宋" w:cs="仿宋"/>
          <w:color w:val="auto"/>
          <w:sz w:val="24"/>
          <w:highlight w:val="none"/>
        </w:rPr>
        <w:t>的空间大小、使用特点进行设计，</w:t>
      </w:r>
      <w:r>
        <w:rPr>
          <w:rFonts w:hint="eastAsia" w:ascii="仿宋" w:hAnsi="仿宋" w:eastAsia="仿宋" w:cs="仿宋"/>
          <w:color w:val="auto"/>
          <w:sz w:val="24"/>
          <w:highlight w:val="none"/>
          <w:lang w:val="en-US" w:eastAsia="zh-CN"/>
        </w:rPr>
        <w:t>根据设备的散热量考虑通风量，</w:t>
      </w:r>
      <w:r>
        <w:rPr>
          <w:rFonts w:ascii="仿宋" w:hAnsi="仿宋" w:eastAsia="仿宋" w:cs="仿宋"/>
          <w:color w:val="auto"/>
          <w:sz w:val="24"/>
          <w:highlight w:val="none"/>
        </w:rPr>
        <w:t>确保环保</w:t>
      </w:r>
      <w:r>
        <w:rPr>
          <w:rFonts w:hint="eastAsia" w:ascii="仿宋" w:hAnsi="仿宋" w:eastAsia="仿宋" w:cs="仿宋"/>
          <w:color w:val="auto"/>
          <w:sz w:val="24"/>
          <w:highlight w:val="none"/>
          <w:lang w:val="en-US" w:eastAsia="zh-CN"/>
        </w:rPr>
        <w:t>设备的运行；配电装置室事故排风量每小时不应少于12次换气次数，事故风机可兼作通风机。</w:t>
      </w:r>
    </w:p>
    <w:p>
      <w:pPr>
        <w:spacing w:line="560" w:lineRule="exact"/>
        <w:ind w:firstLine="480" w:firstLineChars="200"/>
        <w:jc w:val="left"/>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（3）干式变压器室的通风量应满足排出变压器发热最的要求。变压器室的通风按夏季排风温度不超过45℃计算,进风与排风温差不超过 15℃计算。变压器室的通风应独立设置。</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ascii="仿宋" w:hAnsi="仿宋" w:eastAsia="仿宋" w:cs="仿宋"/>
          <w:color w:val="auto"/>
          <w:sz w:val="24"/>
          <w:highlight w:val="none"/>
        </w:rPr>
        <w:t>根据《建筑工程设计文件编制深度》（2016年版）的规定，空调、</w:t>
      </w:r>
      <w:r>
        <w:rPr>
          <w:rFonts w:hint="eastAsia" w:ascii="仿宋" w:hAnsi="仿宋" w:eastAsia="仿宋" w:cs="仿宋"/>
          <w:color w:val="auto"/>
          <w:sz w:val="24"/>
          <w:highlight w:val="none"/>
        </w:rPr>
        <w:t>制冷系统有自动监控时，宜绘制原理图，图中以图例绘出设备、传感器及执行器位置；说明控制要求和必要的控制参数。</w:t>
      </w:r>
    </w:p>
    <w:p>
      <w:pPr>
        <w:spacing w:line="56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5）变电站的主控室、计算机室、继电器室、通信机房及其他工艺设备要求的房间宜设置空调。空调房间的室内温度、湿度应满足工艺要求,</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ascii="仿宋" w:hAnsi="仿宋" w:eastAsia="仿宋" w:cs="仿宋"/>
          <w:color w:val="auto"/>
          <w:sz w:val="24"/>
          <w:highlight w:val="none"/>
        </w:rPr>
        <w:t>根据《公共建筑节能设计标准》（GB50189-2015）的规定，在人员密度相对较大且变化较大的房间，宜采用新风需求控制。即根据室内CO2浓度监测值增加或减少新风量，使CO2浓度始终维持在卫生标准规定的限制内。</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highlight w:val="none"/>
        </w:rPr>
        <w:t>所有空调制冷设备、消防设备中的有关冷制剂不得采用对臭氧层破坏的物质，相关选材和型号应符合国家环保要求。</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highlight w:val="none"/>
        </w:rPr>
        <w:t>设备选型应考虑技术先进、维护方便、经济合理的原则；体现科技、环保、可持续发展的理念。</w:t>
      </w:r>
    </w:p>
    <w:p>
      <w:pPr>
        <w:spacing w:line="5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消防设计</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ascii="仿宋" w:hAnsi="仿宋" w:eastAsia="仿宋" w:cs="仿宋"/>
          <w:color w:val="auto"/>
          <w:sz w:val="24"/>
          <w:highlight w:val="none"/>
        </w:rPr>
        <w:t>建筑消防水池及消防泵房设在地下室，消防水泵房设甲级防火门并直通安全出口。</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ascii="仿宋" w:hAnsi="仿宋" w:eastAsia="仿宋" w:cs="仿宋"/>
          <w:color w:val="auto"/>
          <w:sz w:val="24"/>
          <w:highlight w:val="none"/>
        </w:rPr>
        <w:t>建筑物内走道、楼梯、安全出口宽度、安全出口数量及安全疏散距离均按消防有关规范设计。</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ascii="仿宋" w:hAnsi="仿宋" w:eastAsia="仿宋" w:cs="仿宋"/>
          <w:color w:val="auto"/>
          <w:sz w:val="24"/>
          <w:highlight w:val="none"/>
        </w:rPr>
        <w:t>各种构配件其燃烧性能及耐火极限均满足规范要求。</w:t>
      </w:r>
    </w:p>
    <w:p>
      <w:pPr>
        <w:spacing w:line="560" w:lineRule="exact"/>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highlight w:val="none"/>
        </w:rPr>
        <w:t>防排烟等系统</w:t>
      </w:r>
      <w:r>
        <w:rPr>
          <w:rFonts w:ascii="仿宋" w:hAnsi="仿宋" w:eastAsia="仿宋" w:cs="仿宋"/>
          <w:color w:val="auto"/>
          <w:sz w:val="24"/>
          <w:highlight w:val="none"/>
        </w:rPr>
        <w:t>按照《建筑设计防火规范》GB50016-2014（2018版）进行设计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优先选用自然防排烟系统</w:t>
      </w:r>
      <w:r>
        <w:rPr>
          <w:rFonts w:ascii="仿宋" w:hAnsi="仿宋" w:eastAsia="仿宋" w:cs="仿宋"/>
          <w:color w:val="auto"/>
          <w:sz w:val="24"/>
          <w:highlight w:val="none"/>
        </w:rPr>
        <w:t>。</w:t>
      </w:r>
    </w:p>
    <w:p>
      <w:pPr>
        <w:spacing w:line="560" w:lineRule="exact"/>
        <w:ind w:firstLine="360" w:firstLineChars="15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highlight w:val="none"/>
        </w:rPr>
        <w:t>消防设计</w:t>
      </w:r>
      <w:r>
        <w:rPr>
          <w:rFonts w:hint="eastAsia" w:ascii="仿宋" w:hAnsi="仿宋" w:eastAsia="仿宋" w:cs="仿宋"/>
          <w:color w:val="auto"/>
          <w:sz w:val="24"/>
          <w:highlight w:val="none"/>
          <w:lang w:val="en-US" w:eastAsia="zh-CN"/>
        </w:rPr>
        <w:t>需满足</w:t>
      </w:r>
      <w:r>
        <w:rPr>
          <w:rFonts w:hint="eastAsia" w:ascii="仿宋" w:hAnsi="仿宋" w:eastAsia="仿宋" w:cs="仿宋"/>
          <w:color w:val="auto"/>
          <w:sz w:val="24"/>
          <w:highlight w:val="none"/>
        </w:rPr>
        <w:t>《建筑防火通用规范》、《消防设施通用规范》</w:t>
      </w:r>
      <w:r>
        <w:rPr>
          <w:rFonts w:hint="eastAsia" w:ascii="仿宋" w:hAnsi="仿宋" w:eastAsia="仿宋" w:cs="仿宋"/>
          <w:color w:val="auto"/>
          <w:sz w:val="24"/>
          <w:highlight w:val="none"/>
          <w:lang w:val="en-US" w:eastAsia="zh-CN"/>
        </w:rPr>
        <w:t>等现行规范的要求。</w:t>
      </w:r>
    </w:p>
    <w:p>
      <w:pPr>
        <w:spacing w:line="560" w:lineRule="exact"/>
        <w:ind w:firstLine="360" w:firstLineChars="15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highlight w:val="none"/>
          <w:lang w:val="en-US" w:eastAsia="zh-CN"/>
        </w:rPr>
        <w:t>对于需报住建部门审核消防设计的，成果需要满足审核要求，并负责图纸的扫描上传等相关费用。</w:t>
      </w:r>
    </w:p>
    <w:p>
      <w:pPr>
        <w:pStyle w:val="2"/>
        <w:rPr>
          <w:color w:val="auto"/>
          <w:highlight w:val="none"/>
        </w:rPr>
      </w:pPr>
    </w:p>
    <w:p>
      <w:pPr>
        <w:spacing w:line="5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景观环境空间设计</w:t>
      </w:r>
    </w:p>
    <w:p>
      <w:pPr>
        <w:pStyle w:val="17"/>
        <w:spacing w:line="360" w:lineRule="auto"/>
        <w:ind w:left="360" w:firstLine="480"/>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景观工程</w:t>
      </w:r>
      <w:r>
        <w:rPr>
          <w:rFonts w:hint="eastAsia" w:ascii="仿宋" w:hAnsi="仿宋" w:eastAsia="仿宋" w:cs="仿宋"/>
          <w:bCs/>
          <w:color w:val="auto"/>
          <w:kern w:val="0"/>
          <w:sz w:val="24"/>
          <w:highlight w:val="none"/>
          <w:lang w:val="en-US" w:eastAsia="zh-CN"/>
        </w:rPr>
        <w:t>需考虑检修用地、消防登高面、绿化等设计</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绿化树种选择：</w:t>
      </w:r>
      <w:r>
        <w:rPr>
          <w:rFonts w:hint="eastAsia" w:ascii="仿宋" w:hAnsi="仿宋" w:eastAsia="仿宋" w:cs="仿宋"/>
          <w:color w:val="auto"/>
          <w:sz w:val="24"/>
          <w:highlight w:val="none"/>
          <w:lang w:val="en-US" w:eastAsia="zh-CN"/>
        </w:rPr>
        <w:t>根据公用变电站的使用或运营需求，考虑检修区域，分析是否需要种植树木或苗木品类</w:t>
      </w:r>
      <w:r>
        <w:rPr>
          <w:rFonts w:hint="eastAsia" w:ascii="仿宋" w:hAnsi="仿宋" w:eastAsia="仿宋" w:cs="仿宋"/>
          <w:color w:val="auto"/>
          <w:sz w:val="24"/>
          <w:highlight w:val="none"/>
        </w:rPr>
        <w:t>，还有维护交通安全、保护环境卫生等多方面</w:t>
      </w:r>
      <w:r>
        <w:rPr>
          <w:rFonts w:hint="eastAsia" w:ascii="仿宋" w:hAnsi="仿宋" w:eastAsia="仿宋" w:cs="仿宋"/>
          <w:color w:val="auto"/>
          <w:sz w:val="24"/>
          <w:highlight w:val="none"/>
          <w:lang w:val="en-US" w:eastAsia="zh-CN"/>
        </w:rPr>
        <w:t>考虑。</w:t>
      </w:r>
    </w:p>
    <w:p>
      <w:pPr>
        <w:spacing w:line="56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道路及广场设计：</w:t>
      </w:r>
      <w:r>
        <w:rPr>
          <w:rFonts w:hint="eastAsia" w:ascii="仿宋" w:hAnsi="仿宋" w:eastAsia="仿宋" w:cs="仿宋"/>
          <w:color w:val="auto"/>
          <w:sz w:val="24"/>
          <w:highlight w:val="none"/>
          <w:lang w:val="en-US" w:eastAsia="zh-CN"/>
        </w:rPr>
        <w:t>站</w:t>
      </w:r>
      <w:r>
        <w:rPr>
          <w:rFonts w:hint="eastAsia" w:ascii="仿宋" w:hAnsi="仿宋" w:eastAsia="仿宋" w:cs="仿宋"/>
          <w:color w:val="auto"/>
          <w:sz w:val="24"/>
          <w:highlight w:val="none"/>
        </w:rPr>
        <w:t>区内尽量做到人车分流，保证安全性。同时也要满足消防需求。车行道路宜采用混凝土路面，人行道宜采用室外透水地砖路</w:t>
      </w:r>
      <w:r>
        <w:rPr>
          <w:rFonts w:hint="eastAsia" w:ascii="仿宋" w:hAnsi="仿宋" w:eastAsia="仿宋" w:cs="仿宋"/>
          <w:color w:val="auto"/>
          <w:sz w:val="24"/>
          <w:highlight w:val="none"/>
          <w:lang w:eastAsia="zh-CN"/>
        </w:rPr>
        <w:t>。</w:t>
      </w:r>
    </w:p>
    <w:p>
      <w:pPr>
        <w:spacing w:line="5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12、</w:t>
      </w:r>
      <w:r>
        <w:rPr>
          <w:rFonts w:hint="eastAsia" w:ascii="仿宋" w:hAnsi="仿宋" w:eastAsia="仿宋" w:cs="仿宋"/>
          <w:b/>
          <w:color w:val="auto"/>
          <w:sz w:val="24"/>
          <w:highlight w:val="none"/>
        </w:rPr>
        <w:t>室内装修设计</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本项目的建筑外立面</w:t>
      </w:r>
      <w:r>
        <w:rPr>
          <w:rFonts w:hint="eastAsia" w:ascii="仿宋" w:hAnsi="仿宋" w:eastAsia="仿宋" w:cs="仿宋"/>
          <w:bCs/>
          <w:color w:val="auto"/>
          <w:kern w:val="0"/>
          <w:sz w:val="24"/>
          <w:highlight w:val="none"/>
          <w:lang w:val="en-US" w:eastAsia="zh-CN"/>
        </w:rPr>
        <w:t>满足公用变电站的特色和标准要求，室内</w:t>
      </w:r>
      <w:r>
        <w:rPr>
          <w:rFonts w:hint="eastAsia" w:ascii="仿宋" w:hAnsi="仿宋" w:eastAsia="仿宋" w:cs="仿宋"/>
          <w:bCs/>
          <w:color w:val="auto"/>
          <w:kern w:val="0"/>
          <w:sz w:val="24"/>
          <w:highlight w:val="none"/>
        </w:rPr>
        <w:t>装修材料选择因地制宜、就地取材。装修范围及部位</w:t>
      </w:r>
      <w:r>
        <w:rPr>
          <w:rFonts w:hint="eastAsia" w:ascii="仿宋" w:hAnsi="仿宋" w:eastAsia="仿宋" w:cs="仿宋"/>
          <w:color w:val="auto"/>
          <w:sz w:val="24"/>
          <w:highlight w:val="none"/>
        </w:rPr>
        <w:t>以建设单位最终确定的装修范围为准。具体工作内容包括但不限于以下工作内容：</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highlight w:val="none"/>
        </w:rPr>
        <w:t>室内设计说明，表达设计构想及设计意向：</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铺地平面图、天花平面图、重点位置立面图、剖面图以及室内空间效果图等</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highlight w:val="none"/>
        </w:rPr>
        <w:t>提供材料样板以及工程预算概算表；</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highlight w:val="none"/>
        </w:rPr>
        <w:t>灯具选型、五金洁具、水电推荐品牌表；</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highlight w:val="none"/>
        </w:rPr>
        <w:t>二次装饰消防机电设计、包括喷淋、烟感、消防栓等与一次消防位置不一致的调整及出图；</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highlight w:val="none"/>
        </w:rPr>
        <w:t>施工期间需对现场进行效果把控，设计单位需要派驻场代表，中级工程师以上职称，驻场代表随着现场施工的专业变化而调整，或能准确对照图纸和转达各专业设计与施工的存在问题或解决。</w:t>
      </w:r>
      <w:r>
        <w:rPr>
          <w:rFonts w:ascii="仿宋" w:hAnsi="仿宋" w:eastAsia="仿宋" w:cs="仿宋"/>
          <w:color w:val="auto"/>
          <w:sz w:val="24"/>
          <w:highlight w:val="none"/>
        </w:rPr>
        <w:t>施工前期每周两次</w:t>
      </w:r>
      <w:r>
        <w:rPr>
          <w:rFonts w:hint="eastAsia" w:ascii="仿宋" w:hAnsi="仿宋" w:eastAsia="仿宋" w:cs="仿宋"/>
          <w:color w:val="auto"/>
          <w:sz w:val="24"/>
          <w:highlight w:val="none"/>
        </w:rPr>
        <w:t>、</w:t>
      </w:r>
      <w:r>
        <w:rPr>
          <w:rFonts w:ascii="仿宋" w:hAnsi="仿宋" w:eastAsia="仿宋" w:cs="仿宋"/>
          <w:color w:val="auto"/>
          <w:sz w:val="24"/>
          <w:highlight w:val="none"/>
        </w:rPr>
        <w:t>施工后期即完工前一个月每周一次</w:t>
      </w:r>
      <w:r>
        <w:rPr>
          <w:rFonts w:hint="eastAsia" w:ascii="仿宋" w:hAnsi="仿宋" w:eastAsia="仿宋" w:cs="仿宋"/>
          <w:color w:val="auto"/>
          <w:sz w:val="24"/>
          <w:highlight w:val="none"/>
        </w:rPr>
        <w:t>等需要设计团队</w:t>
      </w:r>
      <w:r>
        <w:rPr>
          <w:rFonts w:ascii="仿宋" w:hAnsi="仿宋" w:eastAsia="仿宋" w:cs="仿宋"/>
          <w:color w:val="auto"/>
          <w:sz w:val="24"/>
          <w:highlight w:val="none"/>
        </w:rPr>
        <w:t>到现场进行</w:t>
      </w:r>
      <w:r>
        <w:rPr>
          <w:rFonts w:hint="eastAsia" w:ascii="仿宋" w:hAnsi="仿宋" w:eastAsia="仿宋" w:cs="仿宋"/>
          <w:color w:val="auto"/>
          <w:sz w:val="24"/>
          <w:highlight w:val="none"/>
        </w:rPr>
        <w:t>巡场检查并出具报告。交监理和施工单位回复。设计人和项目负责人，需要每周</w:t>
      </w:r>
      <w:r>
        <w:rPr>
          <w:rFonts w:ascii="仿宋" w:hAnsi="仿宋" w:eastAsia="仿宋" w:cs="仿宋"/>
          <w:color w:val="auto"/>
          <w:sz w:val="24"/>
          <w:highlight w:val="none"/>
        </w:rPr>
        <w:t>到现场</w:t>
      </w:r>
      <w:r>
        <w:rPr>
          <w:rFonts w:hint="eastAsia" w:ascii="仿宋" w:hAnsi="仿宋" w:eastAsia="仿宋" w:cs="仿宋"/>
          <w:color w:val="auto"/>
          <w:sz w:val="24"/>
          <w:highlight w:val="none"/>
        </w:rPr>
        <w:t>参加工程例会。设计人随时根据施工需要参与现场专题会议：图纸会审、设计技术交底、</w:t>
      </w:r>
      <w:r>
        <w:rPr>
          <w:rFonts w:ascii="仿宋" w:hAnsi="仿宋" w:eastAsia="仿宋" w:cs="仿宋"/>
          <w:color w:val="auto"/>
          <w:sz w:val="24"/>
          <w:highlight w:val="none"/>
        </w:rPr>
        <w:t>材料定板</w:t>
      </w:r>
      <w:r>
        <w:rPr>
          <w:rFonts w:hint="eastAsia" w:ascii="仿宋" w:hAnsi="仿宋" w:eastAsia="仿宋" w:cs="仿宋"/>
          <w:color w:val="auto"/>
          <w:sz w:val="24"/>
          <w:highlight w:val="none"/>
        </w:rPr>
        <w:t>。参与</w:t>
      </w:r>
      <w:r>
        <w:rPr>
          <w:rFonts w:ascii="仿宋" w:hAnsi="仿宋" w:eastAsia="仿宋" w:cs="仿宋"/>
          <w:color w:val="auto"/>
          <w:sz w:val="24"/>
          <w:highlight w:val="none"/>
        </w:rPr>
        <w:t>对设计错漏碰缺补充变更图纸以及图纸更新管理；</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ascii="仿宋" w:hAnsi="仿宋" w:eastAsia="仿宋" w:cs="仿宋"/>
          <w:color w:val="auto"/>
          <w:sz w:val="24"/>
          <w:highlight w:val="none"/>
        </w:rPr>
        <w:t>施工完成后，协助提供以下资料：</w:t>
      </w:r>
    </w:p>
    <w:p>
      <w:pPr>
        <w:spacing w:line="560" w:lineRule="exact"/>
        <w:ind w:left="1200"/>
        <w:jc w:val="left"/>
        <w:rPr>
          <w:rFonts w:ascii="仿宋" w:hAnsi="仿宋" w:eastAsia="仿宋" w:cs="仿宋"/>
          <w:color w:val="auto"/>
          <w:sz w:val="24"/>
          <w:highlight w:val="none"/>
        </w:rPr>
      </w:pPr>
      <w:r>
        <w:rPr>
          <w:rFonts w:ascii="仿宋" w:hAnsi="仿宋" w:eastAsia="仿宋" w:cs="仿宋"/>
          <w:color w:val="auto"/>
          <w:sz w:val="24"/>
          <w:highlight w:val="none"/>
        </w:rPr>
        <w:t xml:space="preserve">A、最终版全套施工图（含材料清单、样板照片、洁具、五金、工程灯清单）电子版； </w:t>
      </w:r>
    </w:p>
    <w:p>
      <w:pPr>
        <w:spacing w:line="560" w:lineRule="exact"/>
        <w:ind w:left="1200"/>
        <w:jc w:val="left"/>
        <w:rPr>
          <w:rFonts w:ascii="仿宋" w:hAnsi="仿宋" w:eastAsia="仿宋" w:cs="仿宋"/>
          <w:color w:val="auto"/>
          <w:sz w:val="24"/>
          <w:highlight w:val="none"/>
        </w:rPr>
      </w:pPr>
      <w:r>
        <w:rPr>
          <w:rFonts w:ascii="仿宋" w:hAnsi="仿宋" w:eastAsia="仿宋" w:cs="仿宋"/>
          <w:color w:val="auto"/>
          <w:sz w:val="24"/>
          <w:highlight w:val="none"/>
        </w:rPr>
        <w:t>B、全套报消防图纸及后期配合消防报建的手续；</w:t>
      </w:r>
    </w:p>
    <w:p>
      <w:pPr>
        <w:rPr>
          <w:rFonts w:hint="default"/>
          <w:color w:val="auto"/>
          <w:highlight w:val="none"/>
          <w:lang w:val="en-US" w:eastAsia="zh-CN"/>
        </w:rPr>
      </w:pPr>
    </w:p>
    <w:p>
      <w:pPr>
        <w:spacing w:line="56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13、</w:t>
      </w:r>
      <w:r>
        <w:rPr>
          <w:rFonts w:hint="eastAsia" w:ascii="仿宋" w:hAnsi="仿宋" w:eastAsia="仿宋" w:cs="仿宋"/>
          <w:b/>
          <w:color w:val="auto"/>
          <w:sz w:val="24"/>
          <w:highlight w:val="none"/>
        </w:rPr>
        <w:t>配建道路（如有）</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highlight w:val="none"/>
        </w:rPr>
        <w:t>负责配建道路报建图纸、方案设计、初步及施工图设计工作。</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设计成果能通过专家评审、住建局或其他主管部门审批。</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highlight w:val="none"/>
        </w:rPr>
        <w:t>设计成果满足《广州市市政道路建设指南》等规范要求。</w:t>
      </w:r>
    </w:p>
    <w:p>
      <w:pPr>
        <w:spacing w:line="560" w:lineRule="exact"/>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14、装配式设计部分</w:t>
      </w:r>
      <w:r>
        <w:rPr>
          <w:rFonts w:hint="eastAsia" w:ascii="仿宋" w:hAnsi="仿宋" w:eastAsia="仿宋" w:cs="仿宋"/>
          <w:b/>
          <w:color w:val="auto"/>
          <w:sz w:val="24"/>
          <w:highlight w:val="none"/>
        </w:rPr>
        <w:t>（如有）</w:t>
      </w:r>
    </w:p>
    <w:p>
      <w:pPr>
        <w:pStyle w:val="17"/>
        <w:spacing w:line="360" w:lineRule="auto"/>
        <w:ind w:left="360" w:firstLine="48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推动建筑产业现代化，鼓励开展装配式工程建设，按照《广州市住房和城乡建设局关于加强设计阶段落实装配式建筑实施要求的通知》（穗建技【2020】79号）、《装配式建筑评价标准》（DBJ／T15-163-2019）、《广州市住房和城乡建设局 广州市规划和自然资源局关于优化装配式建筑实施范围的通知》（穗建技【2020】125号）、《广州市住房和城乡建设局关于明确在施工及竣工验</w:t>
      </w:r>
      <w:bookmarkStart w:id="4" w:name="_GoBack"/>
      <w:bookmarkEnd w:id="4"/>
      <w:r>
        <w:rPr>
          <w:rFonts w:hint="eastAsia" w:ascii="仿宋" w:hAnsi="仿宋" w:eastAsia="仿宋" w:cs="仿宋"/>
          <w:bCs/>
          <w:color w:val="auto"/>
          <w:kern w:val="0"/>
          <w:sz w:val="24"/>
          <w:highlight w:val="none"/>
        </w:rPr>
        <w:t>收阶段落实装配式建筑实施要求的通知》（穗建质〔2020〕176号）等要求执行。</w:t>
      </w:r>
    </w:p>
    <w:p>
      <w:pPr>
        <w:pStyle w:val="17"/>
        <w:spacing w:line="360" w:lineRule="auto"/>
        <w:ind w:left="360" w:firstLine="48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1）</w:t>
      </w:r>
      <w:r>
        <w:rPr>
          <w:rFonts w:hint="eastAsia" w:ascii="仿宋" w:hAnsi="仿宋" w:eastAsia="仿宋" w:cs="仿宋"/>
          <w:bCs/>
          <w:color w:val="auto"/>
          <w:kern w:val="0"/>
          <w:sz w:val="24"/>
          <w:highlight w:val="none"/>
        </w:rPr>
        <w:t>应满足所在区域相关要求，在规划、设计、施工及竣工验收阶段采用BIM技术</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并提高净高分析、碰撞分析等文件</w:t>
      </w:r>
      <w:r>
        <w:rPr>
          <w:rFonts w:hint="eastAsia" w:ascii="仿宋" w:hAnsi="仿宋" w:eastAsia="仿宋" w:cs="仿宋"/>
          <w:bCs/>
          <w:color w:val="auto"/>
          <w:kern w:val="0"/>
          <w:sz w:val="24"/>
          <w:highlight w:val="none"/>
        </w:rPr>
        <w:t>。</w:t>
      </w:r>
    </w:p>
    <w:p>
      <w:pPr>
        <w:pStyle w:val="17"/>
        <w:spacing w:line="360" w:lineRule="auto"/>
        <w:ind w:left="360" w:firstLine="48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rPr>
        <w:t>装配式建筑设计：应优先考虑功能布置、建筑造型、部品部件、结构构件等的统一性，提高项目的标准化、模数化和精细化水平。满足广东省或广州市最新相关装配式建筑政策要求，并通过装配式建筑技术预评价。</w:t>
      </w:r>
    </w:p>
    <w:p>
      <w:pPr>
        <w:pStyle w:val="17"/>
        <w:spacing w:line="360" w:lineRule="auto"/>
        <w:ind w:left="360" w:firstLine="48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3）</w:t>
      </w:r>
      <w:r>
        <w:rPr>
          <w:rFonts w:hint="eastAsia" w:ascii="仿宋" w:hAnsi="仿宋" w:eastAsia="仿宋" w:cs="仿宋"/>
          <w:bCs/>
          <w:color w:val="auto"/>
          <w:kern w:val="0"/>
          <w:sz w:val="24"/>
          <w:highlight w:val="none"/>
        </w:rPr>
        <w:t>设计需说明装配式建筑设计目标，采用的主要装配式建筑技术和措施。（如采用装配式时管材材质及接口方式，预留孔洞、沟槽做法要求，预埋套管、管道安装方式和原则等。）</w:t>
      </w:r>
    </w:p>
    <w:p>
      <w:pPr>
        <w:pStyle w:val="17"/>
        <w:spacing w:line="360" w:lineRule="auto"/>
        <w:ind w:left="360" w:firstLine="48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4）</w:t>
      </w:r>
      <w:r>
        <w:rPr>
          <w:rFonts w:hint="eastAsia" w:ascii="仿宋" w:hAnsi="仿宋" w:eastAsia="仿宋" w:cs="仿宋"/>
          <w:bCs/>
          <w:color w:val="auto"/>
          <w:kern w:val="0"/>
          <w:sz w:val="24"/>
          <w:highlight w:val="none"/>
        </w:rPr>
        <w:t>按照“标准化设计、工厂化生产、装配化施工、一体化装修、信息化管理”的原则，进行装配式建造。</w:t>
      </w:r>
    </w:p>
    <w:p>
      <w:pPr>
        <w:pStyle w:val="17"/>
        <w:spacing w:line="360" w:lineRule="auto"/>
        <w:ind w:left="360" w:firstLine="48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5）</w:t>
      </w:r>
      <w:r>
        <w:rPr>
          <w:rFonts w:hint="eastAsia" w:ascii="仿宋" w:hAnsi="仿宋" w:eastAsia="仿宋" w:cs="仿宋"/>
          <w:bCs/>
          <w:color w:val="auto"/>
          <w:kern w:val="0"/>
          <w:sz w:val="24"/>
          <w:highlight w:val="none"/>
        </w:rPr>
        <w:t>部品部件工厂化生产。本次设计应考虑采用装配式混凝土结构或钢结构配套部品构件。可以采用成品门窗、成品阳台栏杆、预制内隔墙条板、轻钢龙骨石膏板隔墙、保温隔热、橱柜收纳等装修装饰部品以及水、电、空调等专业集成部品的使用。</w:t>
      </w:r>
    </w:p>
    <w:p>
      <w:pPr>
        <w:pStyle w:val="17"/>
        <w:spacing w:line="360" w:lineRule="auto"/>
        <w:ind w:left="360" w:firstLine="48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6）</w:t>
      </w:r>
      <w:r>
        <w:rPr>
          <w:rFonts w:hint="eastAsia" w:ascii="仿宋" w:hAnsi="仿宋" w:eastAsia="仿宋" w:cs="仿宋"/>
          <w:bCs/>
          <w:color w:val="auto"/>
          <w:kern w:val="0"/>
          <w:sz w:val="24"/>
          <w:highlight w:val="none"/>
        </w:rPr>
        <w:t>装配式设计内容</w:t>
      </w:r>
    </w:p>
    <w:p>
      <w:pPr>
        <w:pStyle w:val="17"/>
        <w:spacing w:line="360" w:lineRule="auto"/>
        <w:ind w:left="360" w:firstLine="48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US" w:eastAsia="zh-CN"/>
        </w:rPr>
        <w:t>1、</w:t>
      </w:r>
      <w:r>
        <w:rPr>
          <w:rFonts w:hint="eastAsia" w:ascii="仿宋" w:hAnsi="仿宋" w:eastAsia="仿宋" w:cs="仿宋"/>
          <w:bCs/>
          <w:color w:val="auto"/>
          <w:kern w:val="0"/>
          <w:sz w:val="24"/>
          <w:highlight w:val="none"/>
        </w:rPr>
        <w:t>装配式方案设计</w:t>
      </w:r>
    </w:p>
    <w:p>
      <w:pPr>
        <w:pStyle w:val="17"/>
        <w:spacing w:line="360" w:lineRule="auto"/>
        <w:ind w:left="360" w:firstLine="48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1)对常规设计的方案提出优化的建议；</w:t>
      </w:r>
    </w:p>
    <w:p>
      <w:pPr>
        <w:pStyle w:val="17"/>
        <w:spacing w:line="360" w:lineRule="auto"/>
        <w:ind w:left="360" w:firstLine="48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2)协助参与政策沟通；</w:t>
      </w:r>
    </w:p>
    <w:p>
      <w:pPr>
        <w:pStyle w:val="17"/>
        <w:spacing w:line="360" w:lineRule="auto"/>
        <w:ind w:left="360" w:firstLine="48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3)完成装配式的方案设计；</w:t>
      </w:r>
    </w:p>
    <w:p>
      <w:pPr>
        <w:pStyle w:val="17"/>
        <w:spacing w:line="360" w:lineRule="auto"/>
        <w:ind w:left="360" w:firstLine="48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rPr>
        <w:t>装配式初步设计</w:t>
      </w:r>
    </w:p>
    <w:p>
      <w:pPr>
        <w:pStyle w:val="17"/>
        <w:spacing w:line="360" w:lineRule="auto"/>
        <w:ind w:left="360" w:firstLine="48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1)完成装配式方案优化设计；</w:t>
      </w:r>
    </w:p>
    <w:p>
      <w:pPr>
        <w:pStyle w:val="17"/>
        <w:spacing w:line="360" w:lineRule="auto"/>
        <w:ind w:left="360" w:firstLine="48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2)确定装配式方案，提供装配式部分设计条件；</w:t>
      </w:r>
    </w:p>
    <w:p>
      <w:pPr>
        <w:pStyle w:val="17"/>
        <w:spacing w:line="360" w:lineRule="auto"/>
        <w:ind w:left="360" w:firstLine="48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3)完成装配式建筑技术认定文本的设计部分内容。</w:t>
      </w:r>
    </w:p>
    <w:p>
      <w:pPr>
        <w:pStyle w:val="17"/>
        <w:spacing w:line="360" w:lineRule="auto"/>
        <w:ind w:left="360" w:firstLine="48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US" w:eastAsia="zh-CN"/>
        </w:rPr>
        <w:t>3、</w:t>
      </w:r>
      <w:r>
        <w:rPr>
          <w:rFonts w:hint="eastAsia" w:ascii="仿宋" w:hAnsi="仿宋" w:eastAsia="仿宋" w:cs="仿宋"/>
          <w:bCs/>
          <w:color w:val="auto"/>
          <w:kern w:val="0"/>
          <w:sz w:val="24"/>
          <w:highlight w:val="none"/>
        </w:rPr>
        <w:t>装配式施工图设计</w:t>
      </w:r>
    </w:p>
    <w:p>
      <w:pPr>
        <w:pStyle w:val="17"/>
        <w:spacing w:line="360" w:lineRule="auto"/>
        <w:ind w:left="360" w:firstLine="48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1)完成装配式施工图深化设计；</w:t>
      </w:r>
    </w:p>
    <w:p>
      <w:pPr>
        <w:pStyle w:val="17"/>
        <w:spacing w:line="360" w:lineRule="auto"/>
        <w:ind w:left="360" w:firstLine="48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2)完成装配式建筑技术认定文本的设计部分内容。</w:t>
      </w:r>
    </w:p>
    <w:p>
      <w:pPr>
        <w:spacing w:line="560" w:lineRule="exact"/>
        <w:jc w:val="left"/>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15、人防工程设计（如有）</w:t>
      </w:r>
    </w:p>
    <w:p>
      <w:pPr>
        <w:pStyle w:val="17"/>
        <w:spacing w:line="360" w:lineRule="auto"/>
        <w:ind w:left="360" w:firstLine="48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配合通过人防设计审查，以及现场技术服务直至人防工程竣工验收。主要内容包括，人防建筑工程、结构设计；平时及战时通风、给排水、供电、消防等专业设计；平战功能转换设计，并编制相应的工程概算。</w:t>
      </w:r>
    </w:p>
    <w:p>
      <w:pPr>
        <w:pStyle w:val="17"/>
        <w:spacing w:line="360" w:lineRule="auto"/>
        <w:ind w:left="360" w:firstLine="480"/>
        <w:rPr>
          <w:rFonts w:hint="eastAsia" w:ascii="仿宋" w:hAnsi="仿宋" w:eastAsia="仿宋" w:cs="仿宋"/>
          <w:bCs/>
          <w:color w:val="auto"/>
          <w:kern w:val="0"/>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bCs/>
          <w:color w:val="auto"/>
          <w:kern w:val="0"/>
          <w:sz w:val="24"/>
          <w:highlight w:val="none"/>
        </w:rPr>
        <w:t>人防建筑设计应与结构、暖通、水、电专业设计协调统一，避免各专业图纸不一致的地方；</w:t>
      </w:r>
    </w:p>
    <w:p>
      <w:pPr>
        <w:pStyle w:val="17"/>
        <w:spacing w:line="360" w:lineRule="auto"/>
        <w:ind w:left="360" w:firstLine="480"/>
        <w:rPr>
          <w:rFonts w:hint="eastAsia" w:ascii="仿宋" w:hAnsi="仿宋" w:eastAsia="仿宋" w:cs="仿宋"/>
          <w:bCs/>
          <w:color w:val="auto"/>
          <w:kern w:val="0"/>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bCs/>
          <w:color w:val="auto"/>
          <w:kern w:val="0"/>
          <w:sz w:val="24"/>
          <w:highlight w:val="none"/>
        </w:rPr>
        <w:t>各管线走向及相应预埋套管位置不能相互干涉、影响、应避开人防门开启范围和战时封堵框及封堵梁板区域等；</w:t>
      </w:r>
    </w:p>
    <w:p>
      <w:pPr>
        <w:pStyle w:val="17"/>
        <w:spacing w:line="360" w:lineRule="auto"/>
        <w:ind w:left="360" w:firstLine="480"/>
        <w:rPr>
          <w:rFonts w:hint="eastAsia" w:ascii="仿宋" w:hAnsi="仿宋" w:eastAsia="仿宋" w:cs="仿宋"/>
          <w:bCs/>
          <w:color w:val="auto"/>
          <w:kern w:val="0"/>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bCs/>
          <w:color w:val="auto"/>
          <w:kern w:val="0"/>
          <w:sz w:val="24"/>
          <w:highlight w:val="none"/>
        </w:rPr>
        <w:t>人防工程各专业图纸需在设计说明及图纸中明确“平时施工内容”及“战时施工内容”以利于指导现场施工；</w:t>
      </w:r>
    </w:p>
    <w:p>
      <w:pPr>
        <w:spacing w:line="560" w:lineRule="exact"/>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16、接入蚌湖站路由设计</w:t>
      </w:r>
    </w:p>
    <w:p>
      <w:pPr>
        <w:pStyle w:val="17"/>
        <w:spacing w:line="360" w:lineRule="auto"/>
        <w:ind w:left="0" w:leftChars="0" w:firstLine="480" w:firstLineChars="200"/>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（1）负责管线工程方案、报建通、图纸等设计工作，设计成果需满足规划、住建、行业主管部门的要求。</w:t>
      </w:r>
    </w:p>
    <w:p>
      <w:pPr>
        <w:pStyle w:val="17"/>
        <w:spacing w:line="360" w:lineRule="auto"/>
        <w:ind w:left="0" w:leftChars="0" w:firstLine="480" w:firstLineChars="200"/>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（2）如涉及铁路、高速公路、镇街等权属单位，成果文件需满足对应单位的审查要求，并需配合</w:t>
      </w:r>
      <w:r>
        <w:rPr>
          <w:rFonts w:hint="default" w:ascii="仿宋" w:hAnsi="仿宋" w:eastAsia="仿宋" w:cs="仿宋"/>
          <w:bCs/>
          <w:color w:val="auto"/>
          <w:kern w:val="0"/>
          <w:sz w:val="24"/>
          <w:highlight w:val="none"/>
          <w:lang w:val="en-US" w:eastAsia="zh-CN"/>
        </w:rPr>
        <w:t>征求沿线政府、职能部门、相关</w:t>
      </w:r>
      <w:r>
        <w:rPr>
          <w:rFonts w:hint="eastAsia" w:ascii="仿宋" w:hAnsi="仿宋" w:eastAsia="仿宋" w:cs="仿宋"/>
          <w:bCs/>
          <w:color w:val="auto"/>
          <w:kern w:val="0"/>
          <w:sz w:val="24"/>
          <w:highlight w:val="none"/>
          <w:lang w:val="en-US" w:eastAsia="zh-CN"/>
        </w:rPr>
        <w:t>权属单位</w:t>
      </w:r>
      <w:r>
        <w:rPr>
          <w:rFonts w:hint="default" w:ascii="仿宋" w:hAnsi="仿宋" w:eastAsia="仿宋" w:cs="仿宋"/>
          <w:bCs/>
          <w:color w:val="auto"/>
          <w:kern w:val="0"/>
          <w:sz w:val="24"/>
          <w:highlight w:val="none"/>
          <w:lang w:val="en-US" w:eastAsia="zh-CN"/>
        </w:rPr>
        <w:t>的意见，统筹考虑线路路径方案。</w:t>
      </w:r>
    </w:p>
    <w:p>
      <w:pPr>
        <w:pStyle w:val="17"/>
        <w:spacing w:line="360" w:lineRule="auto"/>
        <w:ind w:left="0" w:leftChars="0" w:firstLine="480" w:firstLineChars="200"/>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（3）配合涉铁路段的设计，确保路径方案满足电力及铁路部门的审批要求。</w:t>
      </w:r>
    </w:p>
    <w:p>
      <w:pPr>
        <w:pStyle w:val="17"/>
        <w:spacing w:line="360" w:lineRule="auto"/>
        <w:ind w:left="0" w:leftChars="0" w:firstLine="480" w:firstLineChars="200"/>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（4）</w:t>
      </w:r>
      <w:r>
        <w:rPr>
          <w:rFonts w:hint="default" w:ascii="仿宋" w:hAnsi="仿宋" w:eastAsia="仿宋" w:cs="仿宋"/>
          <w:bCs/>
          <w:color w:val="auto"/>
          <w:kern w:val="0"/>
          <w:sz w:val="24"/>
          <w:highlight w:val="none"/>
          <w:lang w:val="en-US" w:eastAsia="zh-CN"/>
        </w:rPr>
        <w:t>路径方案选择本着统筹兼顾、相互协调，综合协调本线路路径与沿线已建成线路和规划待建线路或其它设施的矛盾</w:t>
      </w:r>
      <w:r>
        <w:rPr>
          <w:rFonts w:hint="eastAsia" w:ascii="仿宋" w:hAnsi="仿宋" w:eastAsia="仿宋" w:cs="仿宋"/>
          <w:bCs/>
          <w:color w:val="auto"/>
          <w:kern w:val="0"/>
          <w:sz w:val="24"/>
          <w:highlight w:val="none"/>
          <w:lang w:val="en-US" w:eastAsia="zh-CN"/>
        </w:rPr>
        <w:t>，</w:t>
      </w:r>
      <w:r>
        <w:rPr>
          <w:rFonts w:hint="default" w:ascii="仿宋" w:hAnsi="仿宋" w:eastAsia="仿宋" w:cs="仿宋"/>
          <w:bCs/>
          <w:color w:val="auto"/>
          <w:kern w:val="0"/>
          <w:sz w:val="24"/>
          <w:highlight w:val="none"/>
          <w:lang w:val="en-US" w:eastAsia="zh-CN"/>
        </w:rPr>
        <w:t>充分考虑沿线的交通条件，路径尽量靠近现有道路，以方便施工、运行及维护</w:t>
      </w:r>
      <w:r>
        <w:rPr>
          <w:rFonts w:hint="eastAsia" w:ascii="仿宋" w:hAnsi="仿宋" w:eastAsia="仿宋" w:cs="仿宋"/>
          <w:bCs/>
          <w:color w:val="auto"/>
          <w:kern w:val="0"/>
          <w:sz w:val="24"/>
          <w:highlight w:val="none"/>
          <w:lang w:val="en-US" w:eastAsia="zh-CN"/>
        </w:rPr>
        <w:t>。</w:t>
      </w:r>
    </w:p>
    <w:p>
      <w:pPr>
        <w:pStyle w:val="17"/>
        <w:spacing w:line="360" w:lineRule="auto"/>
        <w:ind w:left="0" w:leftChars="0" w:firstLine="480" w:firstLineChars="200"/>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（5）</w:t>
      </w:r>
      <w:r>
        <w:rPr>
          <w:rFonts w:hint="default" w:ascii="仿宋" w:hAnsi="仿宋" w:eastAsia="仿宋" w:cs="仿宋"/>
          <w:bCs/>
          <w:color w:val="auto"/>
          <w:kern w:val="0"/>
          <w:sz w:val="24"/>
          <w:highlight w:val="none"/>
          <w:lang w:val="en-US" w:eastAsia="zh-CN"/>
        </w:rPr>
        <w:t>新建电缆线路宜选择沿现状道路敷设或与规划道路统筹建设</w:t>
      </w:r>
      <w:r>
        <w:rPr>
          <w:rFonts w:hint="eastAsia" w:ascii="仿宋" w:hAnsi="仿宋" w:eastAsia="仿宋" w:cs="仿宋"/>
          <w:bCs/>
          <w:color w:val="auto"/>
          <w:kern w:val="0"/>
          <w:sz w:val="24"/>
          <w:highlight w:val="none"/>
          <w:lang w:val="en-US" w:eastAsia="zh-CN"/>
        </w:rPr>
        <w:t>，</w:t>
      </w:r>
      <w:r>
        <w:rPr>
          <w:rFonts w:hint="default" w:ascii="仿宋" w:hAnsi="仿宋" w:eastAsia="仿宋" w:cs="仿宋"/>
          <w:bCs/>
          <w:color w:val="auto"/>
          <w:kern w:val="0"/>
          <w:sz w:val="24"/>
          <w:highlight w:val="none"/>
          <w:lang w:val="en-US" w:eastAsia="zh-CN"/>
        </w:rPr>
        <w:t>线路路径尽量利用原线路走廊升高改造。</w:t>
      </w:r>
    </w:p>
    <w:p>
      <w:pPr>
        <w:pStyle w:val="17"/>
        <w:spacing w:line="360" w:lineRule="auto"/>
        <w:ind w:left="0" w:leftChars="0" w:firstLine="480" w:firstLineChars="200"/>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（6）</w:t>
      </w:r>
      <w:r>
        <w:rPr>
          <w:rFonts w:hint="default" w:ascii="仿宋" w:hAnsi="仿宋" w:eastAsia="仿宋" w:cs="仿宋"/>
          <w:bCs/>
          <w:color w:val="auto"/>
          <w:kern w:val="0"/>
          <w:sz w:val="24"/>
          <w:highlight w:val="none"/>
          <w:lang w:val="en-US" w:eastAsia="zh-CN"/>
        </w:rPr>
        <w:t>电缆的金属外护层</w:t>
      </w:r>
      <w:r>
        <w:rPr>
          <w:rFonts w:hint="eastAsia" w:ascii="仿宋" w:hAnsi="仿宋" w:eastAsia="仿宋" w:cs="仿宋"/>
          <w:bCs/>
          <w:color w:val="auto"/>
          <w:kern w:val="0"/>
          <w:sz w:val="24"/>
          <w:highlight w:val="none"/>
          <w:lang w:val="en-US" w:eastAsia="zh-CN"/>
        </w:rPr>
        <w:t>应</w:t>
      </w:r>
      <w:r>
        <w:rPr>
          <w:rFonts w:hint="default" w:ascii="仿宋" w:hAnsi="仿宋" w:eastAsia="仿宋" w:cs="仿宋"/>
          <w:bCs/>
          <w:color w:val="auto"/>
          <w:kern w:val="0"/>
          <w:sz w:val="24"/>
          <w:highlight w:val="none"/>
          <w:lang w:val="en-US" w:eastAsia="zh-CN"/>
        </w:rPr>
        <w:t>具有非常良好的电磁屏蔽作用，不影响附近无线电收发信台的正常运行</w:t>
      </w:r>
      <w:r>
        <w:rPr>
          <w:rFonts w:hint="eastAsia" w:ascii="仿宋" w:hAnsi="仿宋" w:eastAsia="仿宋" w:cs="仿宋"/>
          <w:bCs/>
          <w:color w:val="auto"/>
          <w:kern w:val="0"/>
          <w:sz w:val="24"/>
          <w:highlight w:val="none"/>
          <w:lang w:val="en-US" w:eastAsia="zh-CN"/>
        </w:rPr>
        <w:t>。</w:t>
      </w:r>
    </w:p>
    <w:p>
      <w:pPr>
        <w:keepNext w:val="0"/>
        <w:keepLines w:val="0"/>
        <w:pageBreakBefore w:val="0"/>
        <w:widowControl/>
        <w:kinsoku/>
        <w:wordWrap/>
        <w:overflowPunct/>
        <w:topLinePunct w:val="0"/>
        <w:autoSpaceDE/>
        <w:autoSpaceDN/>
        <w:bidi w:val="0"/>
        <w:adjustRightInd/>
        <w:spacing w:line="460" w:lineRule="exact"/>
        <w:ind w:firstLine="480" w:firstLineChars="200"/>
        <w:textAlignment w:val="auto"/>
        <w:outlineLvl w:val="9"/>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highlight w:val="none"/>
          <w:lang w:val="en-US" w:eastAsia="zh-CN"/>
        </w:rPr>
        <w:t>（7）</w:t>
      </w:r>
      <w:r>
        <w:rPr>
          <w:rFonts w:hint="default" w:ascii="仿宋" w:hAnsi="仿宋" w:eastAsia="仿宋" w:cs="仿宋"/>
          <w:bCs/>
          <w:color w:val="auto"/>
          <w:kern w:val="0"/>
          <w:sz w:val="24"/>
          <w:szCs w:val="24"/>
          <w:highlight w:val="none"/>
          <w:lang w:val="en-US" w:eastAsia="zh-CN" w:bidi="ar-SA"/>
        </w:rPr>
        <w:t>满足</w:t>
      </w:r>
      <w:r>
        <w:rPr>
          <w:rFonts w:hint="eastAsia" w:ascii="仿宋" w:hAnsi="仿宋" w:eastAsia="仿宋" w:cs="仿宋"/>
          <w:bCs/>
          <w:color w:val="auto"/>
          <w:kern w:val="0"/>
          <w:sz w:val="24"/>
          <w:szCs w:val="24"/>
          <w:highlight w:val="none"/>
          <w:lang w:val="en-US" w:eastAsia="zh-CN" w:bidi="ar-SA"/>
        </w:rPr>
        <w:t>储能基地</w:t>
      </w:r>
      <w:r>
        <w:rPr>
          <w:rFonts w:hint="default" w:ascii="仿宋" w:hAnsi="仿宋" w:eastAsia="仿宋" w:cs="仿宋"/>
          <w:bCs/>
          <w:color w:val="auto"/>
          <w:kern w:val="0"/>
          <w:sz w:val="24"/>
          <w:szCs w:val="24"/>
          <w:highlight w:val="none"/>
          <w:lang w:val="en-US" w:eastAsia="zh-CN" w:bidi="ar-SA"/>
        </w:rPr>
        <w:t>充放电输送容量需求方面考虑，每回电缆长期最大载流量</w:t>
      </w:r>
      <w:r>
        <w:rPr>
          <w:rFonts w:hint="eastAsia" w:ascii="仿宋" w:hAnsi="仿宋" w:eastAsia="仿宋" w:cs="仿宋"/>
          <w:bCs/>
          <w:color w:val="auto"/>
          <w:kern w:val="0"/>
          <w:sz w:val="24"/>
          <w:szCs w:val="24"/>
          <w:highlight w:val="none"/>
          <w:lang w:val="en-US" w:eastAsia="zh-CN" w:bidi="ar-SA"/>
        </w:rPr>
        <w:t>满足相应要求，确保用电安全。</w:t>
      </w:r>
    </w:p>
    <w:p>
      <w:pPr>
        <w:keepNext w:val="0"/>
        <w:keepLines w:val="0"/>
        <w:pageBreakBefore w:val="0"/>
        <w:widowControl/>
        <w:kinsoku/>
        <w:wordWrap/>
        <w:overflowPunct/>
        <w:topLinePunct w:val="0"/>
        <w:autoSpaceDE/>
        <w:autoSpaceDN/>
        <w:bidi w:val="0"/>
        <w:adjustRightInd/>
        <w:spacing w:line="460" w:lineRule="exact"/>
        <w:ind w:firstLine="480" w:firstLineChars="200"/>
        <w:textAlignment w:val="auto"/>
        <w:outlineLvl w:val="9"/>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（8）电缆需满足防蚁、防震、防火、过电压等要求。</w:t>
      </w:r>
    </w:p>
    <w:p>
      <w:pPr>
        <w:keepNext w:val="0"/>
        <w:keepLines w:val="0"/>
        <w:pageBreakBefore w:val="0"/>
        <w:widowControl/>
        <w:kinsoku/>
        <w:wordWrap/>
        <w:overflowPunct/>
        <w:topLinePunct w:val="0"/>
        <w:autoSpaceDE/>
        <w:autoSpaceDN/>
        <w:bidi w:val="0"/>
        <w:adjustRightInd/>
        <w:spacing w:line="460" w:lineRule="exact"/>
        <w:ind w:firstLine="480" w:firstLineChars="200"/>
        <w:textAlignment w:val="auto"/>
        <w:outlineLvl w:val="9"/>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（9）</w:t>
      </w:r>
      <w:r>
        <w:rPr>
          <w:rFonts w:hint="default" w:ascii="仿宋" w:hAnsi="仿宋" w:eastAsia="仿宋" w:cs="仿宋"/>
          <w:bCs/>
          <w:color w:val="auto"/>
          <w:kern w:val="0"/>
          <w:sz w:val="24"/>
          <w:szCs w:val="24"/>
          <w:highlight w:val="none"/>
          <w:lang w:val="en-US" w:eastAsia="zh-CN" w:bidi="ar-SA"/>
        </w:rPr>
        <w:t>电缆线路在</w:t>
      </w:r>
      <w:r>
        <w:rPr>
          <w:rFonts w:hint="eastAsia" w:ascii="仿宋" w:hAnsi="仿宋" w:eastAsia="仿宋" w:cs="仿宋"/>
          <w:bCs/>
          <w:color w:val="auto"/>
          <w:kern w:val="0"/>
          <w:sz w:val="24"/>
          <w:szCs w:val="24"/>
          <w:highlight w:val="none"/>
          <w:lang w:val="en-US" w:eastAsia="zh-CN" w:bidi="ar-SA"/>
        </w:rPr>
        <w:t>变电站内宜</w:t>
      </w:r>
      <w:r>
        <w:rPr>
          <w:rFonts w:hint="default" w:ascii="仿宋" w:hAnsi="仿宋" w:eastAsia="仿宋" w:cs="仿宋"/>
          <w:bCs/>
          <w:color w:val="auto"/>
          <w:kern w:val="0"/>
          <w:sz w:val="24"/>
          <w:szCs w:val="24"/>
          <w:highlight w:val="none"/>
          <w:lang w:val="en-US" w:eastAsia="zh-CN" w:bidi="ar-SA"/>
        </w:rPr>
        <w:t>采用</w:t>
      </w:r>
      <w:r>
        <w:rPr>
          <w:rFonts w:hint="eastAsia" w:ascii="仿宋" w:hAnsi="仿宋" w:eastAsia="仿宋" w:cs="仿宋"/>
          <w:bCs/>
          <w:color w:val="auto"/>
          <w:kern w:val="0"/>
          <w:sz w:val="24"/>
          <w:szCs w:val="24"/>
          <w:highlight w:val="none"/>
          <w:lang w:val="en-US" w:eastAsia="zh-CN" w:bidi="ar-SA"/>
        </w:rPr>
        <w:t>GIS电缆</w:t>
      </w:r>
      <w:r>
        <w:rPr>
          <w:rFonts w:hint="default" w:ascii="仿宋" w:hAnsi="仿宋" w:eastAsia="仿宋" w:cs="仿宋"/>
          <w:bCs/>
          <w:color w:val="auto"/>
          <w:kern w:val="0"/>
          <w:sz w:val="24"/>
          <w:szCs w:val="24"/>
          <w:highlight w:val="none"/>
          <w:lang w:val="en-US" w:eastAsia="zh-CN" w:bidi="ar-SA"/>
        </w:rPr>
        <w:t>电缆终端</w:t>
      </w:r>
      <w:r>
        <w:rPr>
          <w:rFonts w:hint="eastAsia" w:ascii="仿宋" w:hAnsi="仿宋" w:eastAsia="仿宋" w:cs="仿宋"/>
          <w:bCs/>
          <w:color w:val="auto"/>
          <w:kern w:val="0"/>
          <w:sz w:val="24"/>
          <w:szCs w:val="24"/>
          <w:highlight w:val="none"/>
          <w:lang w:val="en-US" w:eastAsia="zh-CN" w:bidi="ar-SA"/>
        </w:rPr>
        <w:t>，</w:t>
      </w:r>
      <w:r>
        <w:rPr>
          <w:rFonts w:hint="default" w:ascii="仿宋" w:hAnsi="仿宋" w:eastAsia="仿宋" w:cs="仿宋"/>
          <w:bCs/>
          <w:color w:val="auto"/>
          <w:kern w:val="0"/>
          <w:sz w:val="24"/>
          <w:szCs w:val="24"/>
          <w:highlight w:val="none"/>
          <w:lang w:val="en-US" w:eastAsia="zh-CN" w:bidi="ar-SA"/>
        </w:rPr>
        <w:t>GIS终端与GIS的安装连接尺寸配合要求应符合IEC 62271-209的规定</w:t>
      </w:r>
      <w:r>
        <w:rPr>
          <w:rFonts w:hint="eastAsia" w:ascii="仿宋" w:hAnsi="仿宋" w:eastAsia="仿宋" w:cs="仿宋"/>
          <w:bCs/>
          <w:color w:val="auto"/>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pacing w:line="460" w:lineRule="exact"/>
        <w:ind w:firstLine="480" w:firstLineChars="200"/>
        <w:textAlignment w:val="auto"/>
        <w:outlineLvl w:val="9"/>
        <w:rPr>
          <w:rFonts w:hint="default"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（10）</w:t>
      </w:r>
      <w:r>
        <w:rPr>
          <w:rFonts w:hint="default" w:ascii="仿宋" w:hAnsi="仿宋" w:eastAsia="仿宋" w:cs="仿宋"/>
          <w:bCs/>
          <w:color w:val="auto"/>
          <w:kern w:val="0"/>
          <w:sz w:val="24"/>
          <w:szCs w:val="24"/>
          <w:highlight w:val="none"/>
          <w:lang w:val="en-US" w:eastAsia="zh-CN" w:bidi="ar-SA"/>
        </w:rPr>
        <w:t>电缆连接选用绝缘接头</w:t>
      </w:r>
      <w:r>
        <w:rPr>
          <w:rFonts w:hint="eastAsia" w:ascii="仿宋" w:hAnsi="仿宋" w:eastAsia="仿宋" w:cs="仿宋"/>
          <w:bCs/>
          <w:color w:val="auto"/>
          <w:kern w:val="0"/>
          <w:sz w:val="24"/>
          <w:szCs w:val="24"/>
          <w:highlight w:val="none"/>
          <w:lang w:val="en-US" w:eastAsia="zh-CN" w:bidi="ar-SA"/>
        </w:rPr>
        <w:t>，</w:t>
      </w:r>
      <w:r>
        <w:rPr>
          <w:rFonts w:hint="default" w:ascii="仿宋" w:hAnsi="仿宋" w:eastAsia="仿宋" w:cs="仿宋"/>
          <w:bCs/>
          <w:color w:val="auto"/>
          <w:kern w:val="0"/>
          <w:sz w:val="24"/>
          <w:szCs w:val="24"/>
          <w:highlight w:val="none"/>
          <w:lang w:val="en-US" w:eastAsia="zh-CN" w:bidi="ar-SA"/>
        </w:rPr>
        <w:t>玻璃钢保护盒</w:t>
      </w:r>
      <w:r>
        <w:rPr>
          <w:rFonts w:hint="eastAsia" w:ascii="仿宋" w:hAnsi="仿宋" w:eastAsia="仿宋" w:cs="仿宋"/>
          <w:bCs/>
          <w:color w:val="auto"/>
          <w:kern w:val="0"/>
          <w:sz w:val="24"/>
          <w:szCs w:val="24"/>
          <w:highlight w:val="none"/>
          <w:lang w:val="en-US" w:eastAsia="zh-CN" w:bidi="ar-SA"/>
        </w:rPr>
        <w:t>，</w:t>
      </w:r>
      <w:r>
        <w:rPr>
          <w:rFonts w:hint="default" w:ascii="仿宋" w:hAnsi="仿宋" w:eastAsia="仿宋" w:cs="仿宋"/>
          <w:bCs/>
          <w:color w:val="auto"/>
          <w:kern w:val="0"/>
          <w:sz w:val="24"/>
          <w:szCs w:val="24"/>
          <w:highlight w:val="none"/>
          <w:lang w:val="en-US" w:eastAsia="zh-CN" w:bidi="ar-SA"/>
        </w:rPr>
        <w:t>接头接线管与电缆铜导体必须采用压接方法进行连接，电缆导体连接应有良好的导电性能和机械强度。接头应有与电缆金属护套和外护套相同电气和机械性能的结构，防水防腐性能良好，与金属护套有可靠电气连接。</w:t>
      </w:r>
    </w:p>
    <w:p>
      <w:pPr>
        <w:keepNext w:val="0"/>
        <w:keepLines w:val="0"/>
        <w:pageBreakBefore w:val="0"/>
        <w:widowControl/>
        <w:kinsoku/>
        <w:wordWrap/>
        <w:overflowPunct/>
        <w:topLinePunct w:val="0"/>
        <w:autoSpaceDE/>
        <w:autoSpaceDN/>
        <w:bidi w:val="0"/>
        <w:adjustRightInd/>
        <w:spacing w:line="460" w:lineRule="exact"/>
        <w:ind w:firstLine="480" w:firstLineChars="200"/>
        <w:textAlignment w:val="auto"/>
        <w:outlineLvl w:val="9"/>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（11）</w:t>
      </w:r>
      <w:r>
        <w:rPr>
          <w:rFonts w:hint="default" w:ascii="仿宋" w:hAnsi="仿宋" w:eastAsia="仿宋" w:cs="仿宋"/>
          <w:bCs/>
          <w:color w:val="auto"/>
          <w:kern w:val="0"/>
          <w:sz w:val="24"/>
          <w:szCs w:val="24"/>
          <w:highlight w:val="none"/>
          <w:lang w:val="en-US" w:eastAsia="zh-CN" w:bidi="ar-SA"/>
        </w:rPr>
        <w:t>接地线导体对地绝缘水平应不低于电缆非金属外护层的绝缘水平</w:t>
      </w:r>
      <w:r>
        <w:rPr>
          <w:rFonts w:hint="eastAsia" w:ascii="仿宋" w:hAnsi="仿宋" w:eastAsia="仿宋" w:cs="仿宋"/>
          <w:bCs/>
          <w:color w:val="auto"/>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pacing w:line="460" w:lineRule="exact"/>
        <w:ind w:firstLine="480" w:firstLineChars="200"/>
        <w:textAlignment w:val="auto"/>
        <w:outlineLvl w:val="9"/>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（12）</w:t>
      </w:r>
      <w:r>
        <w:rPr>
          <w:rFonts w:hint="default" w:ascii="仿宋" w:hAnsi="仿宋" w:eastAsia="仿宋" w:cs="仿宋"/>
          <w:bCs/>
          <w:color w:val="auto"/>
          <w:kern w:val="0"/>
          <w:sz w:val="24"/>
          <w:szCs w:val="24"/>
          <w:highlight w:val="none"/>
          <w:lang w:val="en-US" w:eastAsia="zh-CN" w:bidi="ar-SA"/>
        </w:rPr>
        <w:t>电缆金属护套在变电站侧接地时，必须直接接到变电站的主地网上，且接地电阻与变电站地网的工频接地电阻一致，要求不大于0.5Ω</w:t>
      </w:r>
      <w:r>
        <w:rPr>
          <w:rFonts w:hint="eastAsia" w:ascii="仿宋" w:hAnsi="仿宋" w:eastAsia="仿宋" w:cs="仿宋"/>
          <w:bCs/>
          <w:color w:val="auto"/>
          <w:kern w:val="0"/>
          <w:sz w:val="24"/>
          <w:szCs w:val="24"/>
          <w:highlight w:val="none"/>
          <w:lang w:val="en-US" w:eastAsia="zh-CN" w:bidi="ar-SA"/>
        </w:rPr>
        <w:t>；</w:t>
      </w:r>
      <w:r>
        <w:rPr>
          <w:rFonts w:hint="default" w:ascii="仿宋" w:hAnsi="仿宋" w:eastAsia="仿宋" w:cs="仿宋"/>
          <w:bCs/>
          <w:color w:val="auto"/>
          <w:kern w:val="0"/>
          <w:sz w:val="24"/>
          <w:szCs w:val="24"/>
          <w:highlight w:val="none"/>
          <w:lang w:val="en-US" w:eastAsia="zh-CN" w:bidi="ar-SA"/>
        </w:rPr>
        <w:t>电缆金属护套在中间接头井接地时，接入接头井地网，且接地电阻要求不大于</w:t>
      </w:r>
      <w:r>
        <w:rPr>
          <w:rFonts w:hint="eastAsia" w:ascii="仿宋" w:hAnsi="仿宋" w:eastAsia="仿宋" w:cs="仿宋"/>
          <w:bCs/>
          <w:color w:val="auto"/>
          <w:kern w:val="0"/>
          <w:sz w:val="24"/>
          <w:szCs w:val="24"/>
          <w:highlight w:val="none"/>
          <w:lang w:val="en-US" w:eastAsia="zh-CN" w:bidi="ar-SA"/>
        </w:rPr>
        <w:t>5</w:t>
      </w:r>
      <w:r>
        <w:rPr>
          <w:rFonts w:hint="default" w:ascii="仿宋" w:hAnsi="仿宋" w:eastAsia="仿宋" w:cs="仿宋"/>
          <w:bCs/>
          <w:color w:val="auto"/>
          <w:kern w:val="0"/>
          <w:sz w:val="24"/>
          <w:szCs w:val="24"/>
          <w:highlight w:val="none"/>
          <w:lang w:val="en-US" w:eastAsia="zh-CN" w:bidi="ar-SA"/>
        </w:rPr>
        <w:t>Ω</w:t>
      </w:r>
      <w:r>
        <w:rPr>
          <w:rFonts w:hint="eastAsia" w:ascii="仿宋" w:hAnsi="仿宋" w:eastAsia="仿宋" w:cs="仿宋"/>
          <w:bCs/>
          <w:color w:val="auto"/>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pacing w:line="460" w:lineRule="exact"/>
        <w:ind w:firstLine="480" w:firstLineChars="200"/>
        <w:textAlignment w:val="auto"/>
        <w:outlineLvl w:val="9"/>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（13）</w:t>
      </w:r>
      <w:r>
        <w:rPr>
          <w:rFonts w:hint="default" w:ascii="仿宋" w:hAnsi="仿宋" w:eastAsia="仿宋" w:cs="仿宋"/>
          <w:bCs/>
          <w:color w:val="auto"/>
          <w:kern w:val="0"/>
          <w:sz w:val="24"/>
          <w:szCs w:val="24"/>
          <w:highlight w:val="none"/>
          <w:lang w:val="en-US" w:eastAsia="zh-CN" w:bidi="ar-SA"/>
        </w:rPr>
        <w:t>电缆金属护套感应电压一般要求控制在50V以内，当电缆金属护层采取隔离措施后不得超过300V</w:t>
      </w:r>
      <w:r>
        <w:rPr>
          <w:rFonts w:hint="eastAsia" w:ascii="仿宋" w:hAnsi="仿宋" w:eastAsia="仿宋" w:cs="仿宋"/>
          <w:bCs/>
          <w:color w:val="auto"/>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pacing w:line="460" w:lineRule="exact"/>
        <w:ind w:firstLine="480" w:firstLineChars="200"/>
        <w:textAlignment w:val="auto"/>
        <w:outlineLvl w:val="9"/>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（14）结合广州市内220千伏电缆敷设项目，</w:t>
      </w:r>
      <w:r>
        <w:rPr>
          <w:rFonts w:hint="default" w:ascii="仿宋" w:hAnsi="仿宋" w:eastAsia="仿宋" w:cs="仿宋"/>
          <w:bCs/>
          <w:color w:val="auto"/>
          <w:kern w:val="0"/>
          <w:sz w:val="24"/>
          <w:szCs w:val="24"/>
          <w:highlight w:val="none"/>
          <w:lang w:val="en-US" w:eastAsia="zh-CN" w:bidi="ar-SA"/>
        </w:rPr>
        <w:t>考虑配置电力电缆护层接地环流在线监测装置、电力电缆故障定位监测装置</w:t>
      </w:r>
      <w:r>
        <w:rPr>
          <w:rFonts w:hint="eastAsia" w:ascii="仿宋" w:hAnsi="仿宋" w:eastAsia="仿宋" w:cs="仿宋"/>
          <w:bCs/>
          <w:color w:val="auto"/>
          <w:kern w:val="0"/>
          <w:sz w:val="24"/>
          <w:szCs w:val="24"/>
          <w:highlight w:val="none"/>
          <w:lang w:val="en-US" w:eastAsia="zh-CN" w:bidi="ar-SA"/>
        </w:rPr>
        <w:t>。</w:t>
      </w:r>
    </w:p>
    <w:p>
      <w:pPr>
        <w:pStyle w:val="5"/>
        <w:spacing w:line="600" w:lineRule="exact"/>
        <w:ind w:firstLine="480" w:firstLineChars="200"/>
        <w:rPr>
          <w:rFonts w:hint="default" w:ascii="Times New Roman" w:hAnsi="Times New Roman" w:eastAsia="宋体" w:cs="Times New Roman"/>
          <w:color w:val="auto"/>
          <w:sz w:val="24"/>
          <w:szCs w:val="24"/>
          <w:highlight w:val="none"/>
          <w:lang w:val="en-US"/>
        </w:rPr>
      </w:pPr>
      <w:r>
        <w:rPr>
          <w:rFonts w:hint="eastAsia" w:ascii="仿宋" w:hAnsi="仿宋" w:eastAsia="仿宋" w:cs="仿宋"/>
          <w:bCs/>
          <w:color w:val="auto"/>
          <w:kern w:val="0"/>
          <w:sz w:val="24"/>
          <w:szCs w:val="24"/>
          <w:highlight w:val="none"/>
          <w:lang w:val="en-US" w:eastAsia="zh-CN" w:bidi="ar-SA"/>
        </w:rPr>
        <w:t>（15）</w:t>
      </w:r>
      <w:r>
        <w:rPr>
          <w:rFonts w:hint="eastAsia" w:ascii="Times New Roman" w:hAnsi="Times New Roman" w:cs="Times New Roman"/>
          <w:color w:val="auto"/>
          <w:sz w:val="24"/>
          <w:szCs w:val="24"/>
          <w:highlight w:val="none"/>
          <w:lang w:val="en-US" w:eastAsia="zh-CN"/>
        </w:rPr>
        <w:t>220</w:t>
      </w:r>
      <w:r>
        <w:rPr>
          <w:rFonts w:hint="default" w:ascii="仿宋" w:hAnsi="仿宋" w:eastAsia="仿宋" w:cs="仿宋"/>
          <w:bCs/>
          <w:color w:val="auto"/>
          <w:kern w:val="0"/>
          <w:sz w:val="24"/>
          <w:szCs w:val="24"/>
          <w:highlight w:val="none"/>
          <w:lang w:val="en-US" w:eastAsia="zh-CN" w:bidi="ar-SA"/>
        </w:rPr>
        <w:t>kV</w:t>
      </w:r>
      <w:r>
        <w:rPr>
          <w:rFonts w:hint="eastAsia" w:ascii="仿宋" w:hAnsi="仿宋" w:eastAsia="仿宋" w:cs="仿宋"/>
          <w:bCs/>
          <w:color w:val="auto"/>
          <w:kern w:val="0"/>
          <w:sz w:val="24"/>
          <w:szCs w:val="24"/>
          <w:highlight w:val="none"/>
          <w:lang w:val="en-US" w:eastAsia="zh-CN" w:bidi="ar-SA"/>
        </w:rPr>
        <w:t>国创</w:t>
      </w:r>
      <w:r>
        <w:rPr>
          <w:rFonts w:hint="default" w:ascii="仿宋" w:hAnsi="仿宋" w:eastAsia="仿宋" w:cs="仿宋"/>
          <w:bCs/>
          <w:color w:val="auto"/>
          <w:kern w:val="0"/>
          <w:sz w:val="24"/>
          <w:szCs w:val="24"/>
          <w:highlight w:val="none"/>
          <w:lang w:val="en-US" w:eastAsia="zh-CN" w:bidi="ar-SA"/>
        </w:rPr>
        <w:t>站</w:t>
      </w:r>
      <w:r>
        <w:rPr>
          <w:rFonts w:hint="eastAsia" w:ascii="仿宋" w:hAnsi="仿宋" w:eastAsia="仿宋" w:cs="仿宋"/>
          <w:bCs/>
          <w:color w:val="auto"/>
          <w:kern w:val="0"/>
          <w:sz w:val="24"/>
          <w:szCs w:val="24"/>
          <w:highlight w:val="none"/>
          <w:lang w:val="en-US" w:eastAsia="zh-CN" w:bidi="ar-SA"/>
        </w:rPr>
        <w:t>、蚌湖站</w:t>
      </w:r>
      <w:r>
        <w:rPr>
          <w:rFonts w:hint="default" w:ascii="仿宋" w:hAnsi="仿宋" w:eastAsia="仿宋" w:cs="仿宋"/>
          <w:bCs/>
          <w:color w:val="auto"/>
          <w:kern w:val="0"/>
          <w:sz w:val="24"/>
          <w:szCs w:val="24"/>
          <w:highlight w:val="none"/>
          <w:lang w:val="en-US" w:eastAsia="zh-CN" w:bidi="ar-SA"/>
        </w:rPr>
        <w:t>内，电缆线路经站内电缆沟进入</w:t>
      </w:r>
      <w:r>
        <w:rPr>
          <w:rFonts w:hint="eastAsia" w:ascii="仿宋" w:hAnsi="仿宋" w:eastAsia="仿宋" w:cs="仿宋"/>
          <w:bCs/>
          <w:color w:val="auto"/>
          <w:kern w:val="0"/>
          <w:sz w:val="24"/>
          <w:szCs w:val="24"/>
          <w:highlight w:val="none"/>
          <w:lang w:val="en-US" w:eastAsia="zh-CN" w:bidi="ar-SA"/>
        </w:rPr>
        <w:t>配电装置楼</w:t>
      </w:r>
      <w:r>
        <w:rPr>
          <w:rFonts w:hint="default" w:ascii="仿宋" w:hAnsi="仿宋" w:eastAsia="仿宋" w:cs="仿宋"/>
          <w:bCs/>
          <w:color w:val="auto"/>
          <w:kern w:val="0"/>
          <w:sz w:val="24"/>
          <w:szCs w:val="24"/>
          <w:highlight w:val="none"/>
          <w:lang w:val="en-US" w:eastAsia="zh-CN" w:bidi="ar-SA"/>
        </w:rPr>
        <w:t>，然后沿电缆</w:t>
      </w:r>
      <w:r>
        <w:rPr>
          <w:rFonts w:hint="eastAsia" w:ascii="仿宋" w:hAnsi="仿宋" w:eastAsia="仿宋" w:cs="仿宋"/>
          <w:bCs/>
          <w:color w:val="auto"/>
          <w:kern w:val="0"/>
          <w:sz w:val="24"/>
          <w:szCs w:val="24"/>
          <w:highlight w:val="none"/>
          <w:lang w:val="en-US" w:eastAsia="zh-CN" w:bidi="ar-SA"/>
        </w:rPr>
        <w:t>夹层、电缆</w:t>
      </w:r>
      <w:r>
        <w:rPr>
          <w:rFonts w:hint="default" w:ascii="仿宋" w:hAnsi="仿宋" w:eastAsia="仿宋" w:cs="仿宋"/>
          <w:bCs/>
          <w:color w:val="auto"/>
          <w:kern w:val="0"/>
          <w:sz w:val="24"/>
          <w:szCs w:val="24"/>
          <w:highlight w:val="none"/>
          <w:lang w:val="en-US" w:eastAsia="zh-CN" w:bidi="ar-SA"/>
        </w:rPr>
        <w:t>竖井敷设至对应的220kVGIS间隔</w:t>
      </w:r>
      <w:r>
        <w:rPr>
          <w:rFonts w:hint="eastAsia" w:ascii="仿宋" w:hAnsi="仿宋" w:eastAsia="仿宋" w:cs="仿宋"/>
          <w:bCs/>
          <w:color w:val="auto"/>
          <w:kern w:val="0"/>
          <w:sz w:val="24"/>
          <w:szCs w:val="24"/>
          <w:highlight w:val="none"/>
          <w:lang w:val="en-US" w:eastAsia="zh-CN" w:bidi="ar-SA"/>
        </w:rPr>
        <w:t>。其中，蚌湖站如没有相应间隔，需负责蚌湖站的间隔设计。</w:t>
      </w:r>
    </w:p>
    <w:p>
      <w:pPr>
        <w:spacing w:line="560" w:lineRule="exact"/>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17、环境保护</w:t>
      </w:r>
    </w:p>
    <w:p>
      <w:pPr>
        <w:pStyle w:val="17"/>
        <w:spacing w:line="360" w:lineRule="auto"/>
        <w:ind w:left="0" w:leftChars="0" w:firstLine="480" w:firstLineChars="200"/>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（1）</w:t>
      </w:r>
      <w:r>
        <w:rPr>
          <w:rFonts w:hint="default" w:ascii="仿宋" w:hAnsi="仿宋" w:eastAsia="仿宋" w:cs="仿宋"/>
          <w:bCs/>
          <w:color w:val="auto"/>
          <w:kern w:val="0"/>
          <w:sz w:val="24"/>
          <w:highlight w:val="none"/>
          <w:lang w:val="en-US" w:eastAsia="zh-CN"/>
        </w:rPr>
        <w:t>变电站的设计中应对废水、噪声、电磁辐射等污染因子采取必要的防治措施,减少其对周围环境的影响。</w:t>
      </w:r>
    </w:p>
    <w:p>
      <w:pPr>
        <w:pStyle w:val="17"/>
        <w:spacing w:line="360" w:lineRule="auto"/>
        <w:ind w:left="0" w:leftChars="0" w:firstLine="480" w:firstLineChars="200"/>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（2）在变电站的设计中应选用电磁辐射水平低的设备。</w:t>
      </w:r>
    </w:p>
    <w:p>
      <w:pPr>
        <w:pStyle w:val="17"/>
        <w:spacing w:line="360" w:lineRule="auto"/>
        <w:ind w:left="0" w:leftChars="0" w:firstLine="480" w:firstLineChars="200"/>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（3）变电站进出线应选择避开居民密集区，主变压器及高压配电装置宜布置在远离居民侧。变电站附近高压危险区域设置相应警告牌。</w:t>
      </w:r>
    </w:p>
    <w:p>
      <w:pPr>
        <w:pStyle w:val="17"/>
        <w:spacing w:line="360" w:lineRule="auto"/>
        <w:ind w:left="0" w:leftChars="0" w:firstLine="480" w:firstLineChars="200"/>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（4）变电站噪声首先应从声源上进行控制,选用低噪声设备对于声源上无法根治的生产噪声应采取有效的噪声控制措施。</w:t>
      </w:r>
    </w:p>
    <w:p>
      <w:pPr>
        <w:pStyle w:val="17"/>
        <w:spacing w:line="360" w:lineRule="auto"/>
        <w:ind w:left="0" w:leftChars="0" w:firstLine="480" w:firstLineChars="200"/>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（5）在变电站的总平面布置中利用建筑物的隔声、消声、吸声等作用,以降低变电站噪声对环境的影响。</w:t>
      </w:r>
    </w:p>
    <w:p>
      <w:pPr>
        <w:pStyle w:val="17"/>
        <w:spacing w:line="360" w:lineRule="auto"/>
        <w:ind w:left="0" w:leftChars="0" w:firstLine="480" w:firstLineChars="200"/>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（6）变电站内应设置事故油坑和总事故储油池以接受变电站突发事故时,变压器、电抗器等设备的漏油和可能产生的油污水，事故贮油油坑、事故油池的容积须能保证事故时废油和含油废水不污染环境。</w:t>
      </w:r>
    </w:p>
    <w:p>
      <w:pPr>
        <w:spacing w:line="560" w:lineRule="exact"/>
        <w:jc w:val="lef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18、</w:t>
      </w:r>
      <w:r>
        <w:rPr>
          <w:rFonts w:hint="eastAsia" w:ascii="仿宋" w:hAnsi="仿宋" w:eastAsia="仿宋" w:cs="仿宋"/>
          <w:b/>
          <w:color w:val="auto"/>
          <w:sz w:val="24"/>
          <w:highlight w:val="none"/>
        </w:rPr>
        <w:t>新城建设计要求</w:t>
      </w:r>
      <w:r>
        <w:rPr>
          <w:rFonts w:hint="eastAsia" w:ascii="仿宋" w:hAnsi="仿宋" w:eastAsia="仿宋" w:cs="仿宋"/>
          <w:b/>
          <w:color w:val="auto"/>
          <w:sz w:val="24"/>
          <w:highlight w:val="none"/>
          <w:lang w:eastAsia="zh-CN"/>
        </w:rPr>
        <w:t>（如需要）</w:t>
      </w:r>
    </w:p>
    <w:p>
      <w:pPr>
        <w:pStyle w:val="17"/>
        <w:spacing w:line="360" w:lineRule="auto"/>
        <w:ind w:left="360" w:firstLine="480"/>
        <w:rPr>
          <w:rFonts w:hint="eastAsia" w:ascii="仿宋" w:hAnsi="仿宋" w:eastAsia="仿宋" w:cs="仿宋"/>
          <w:bCs/>
          <w:color w:val="auto"/>
          <w:kern w:val="0"/>
          <w:sz w:val="24"/>
          <w:highlight w:val="none"/>
          <w:lang w:val="en-US"/>
        </w:rPr>
      </w:pPr>
      <w:r>
        <w:rPr>
          <w:rFonts w:hint="eastAsia" w:ascii="仿宋" w:hAnsi="仿宋" w:eastAsia="仿宋" w:cs="仿宋"/>
          <w:bCs/>
          <w:color w:val="auto"/>
          <w:kern w:val="0"/>
          <w:sz w:val="24"/>
          <w:highlight w:val="none"/>
          <w:lang w:val="en-US"/>
        </w:rPr>
        <w:t>结合白云区新城建“6+1”工作要求，包括CIM《城市信息模型（CIM）基础平台技术导则》、智慧市政、智慧交通、智能安全、智慧园区/智慧社区、绿色低碳6个维度加建筑工业化与智能建造结合具体实施，核对新城建清单及标准，在设计方案中落实新城建内容。</w:t>
      </w:r>
    </w:p>
    <w:p>
      <w:pPr>
        <w:spacing w:line="5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其他专业设计</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按照相关规范要求执行。</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如铝合金门窗二次深化设计，范围包括铝合</w:t>
      </w:r>
      <w:r>
        <w:rPr>
          <w:rFonts w:hint="eastAsia" w:ascii="仿宋" w:hAnsi="仿宋" w:eastAsia="仿宋" w:cs="仿宋"/>
          <w:color w:val="auto"/>
          <w:sz w:val="24"/>
          <w:highlight w:val="none"/>
        </w:rPr>
        <w:t>金门、铝合金门联窗、铝合金窗、铝合金百叶四个部分。设计内容包括：设计说明、立面图、大样图、节点图、型材截面图等、相应计算书。</w:t>
      </w:r>
    </w:p>
    <w:p>
      <w:pPr>
        <w:spacing w:line="560" w:lineRule="exact"/>
        <w:ind w:firstLine="420" w:firstLineChars="200"/>
        <w:jc w:val="left"/>
        <w:rPr>
          <w:rFonts w:ascii="仿宋" w:hAnsi="仿宋" w:eastAsia="仿宋" w:cs="仿宋"/>
          <w:color w:val="auto"/>
          <w:sz w:val="24"/>
          <w:highlight w:val="none"/>
        </w:rPr>
      </w:pPr>
      <w:r>
        <w:rPr>
          <w:rFonts w:hint="eastAsia"/>
          <w:color w:val="auto"/>
          <w:highlight w:val="none"/>
        </w:rPr>
        <w:t xml:space="preserve"> </w:t>
      </w:r>
      <w:r>
        <w:rPr>
          <w:rFonts w:hint="eastAsia" w:ascii="仿宋" w:hAnsi="仿宋" w:eastAsia="仿宋" w:cs="仿宋"/>
          <w:color w:val="auto"/>
          <w:sz w:val="24"/>
          <w:highlight w:val="none"/>
        </w:rPr>
        <w:t>其他如钢结构、电梯、抗震支架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泛光、光伏发电</w:t>
      </w:r>
      <w:r>
        <w:rPr>
          <w:rFonts w:hint="eastAsia" w:ascii="仿宋" w:hAnsi="仿宋" w:eastAsia="仿宋" w:cs="仿宋"/>
          <w:color w:val="auto"/>
          <w:sz w:val="24"/>
          <w:highlight w:val="none"/>
        </w:rPr>
        <w:t>等深化设计，需要提交厂家资质和营业执照、具有开料深度的深化施工图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提交参建单位审查并盖章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深化设计不得超越概算造价。</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在验收前，如有建设验收部门</w:t>
      </w:r>
      <w:r>
        <w:rPr>
          <w:rFonts w:hint="eastAsia" w:ascii="仿宋" w:hAnsi="仿宋" w:eastAsia="仿宋" w:cs="仿宋"/>
          <w:color w:val="auto"/>
          <w:sz w:val="24"/>
          <w:highlight w:val="none"/>
          <w:lang w:val="en-US" w:eastAsia="zh-CN"/>
        </w:rPr>
        <w:t>或行建设单位管部门</w:t>
      </w:r>
      <w:r>
        <w:rPr>
          <w:rFonts w:hint="eastAsia" w:ascii="仿宋" w:hAnsi="仿宋" w:eastAsia="仿宋" w:cs="仿宋"/>
          <w:color w:val="auto"/>
          <w:sz w:val="24"/>
          <w:highlight w:val="none"/>
        </w:rPr>
        <w:t>要求的新增内容，设计单位必须无条件配合出变更图满足验收要求。</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雨污排放检查口确定，必须按照白云区水务局要求指定的位置进行室外雨水分流管井的标高调整设计施工图。</w:t>
      </w:r>
    </w:p>
    <w:p>
      <w:pPr>
        <w:spacing w:line="560" w:lineRule="exact"/>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20、限额设计要求</w:t>
      </w:r>
    </w:p>
    <w:p>
      <w:pPr>
        <w:pStyle w:val="17"/>
        <w:spacing w:line="360" w:lineRule="auto"/>
        <w:ind w:left="360" w:firstLine="480"/>
        <w:rPr>
          <w:rFonts w:hint="eastAsia" w:ascii="仿宋" w:hAnsi="仿宋" w:eastAsia="仿宋" w:cs="仿宋"/>
          <w:bCs/>
          <w:color w:val="auto"/>
          <w:kern w:val="0"/>
          <w:sz w:val="24"/>
          <w:highlight w:val="none"/>
          <w:lang w:val="en-US"/>
        </w:rPr>
      </w:pPr>
      <w:r>
        <w:rPr>
          <w:rFonts w:hint="eastAsia" w:ascii="仿宋" w:hAnsi="仿宋" w:eastAsia="仿宋" w:cs="仿宋"/>
          <w:bCs/>
          <w:color w:val="auto"/>
          <w:kern w:val="0"/>
          <w:sz w:val="24"/>
          <w:highlight w:val="none"/>
          <w:lang w:val="en-US" w:eastAsia="zh-CN"/>
        </w:rPr>
        <w:t>1、</w:t>
      </w:r>
      <w:r>
        <w:rPr>
          <w:rFonts w:hint="eastAsia" w:ascii="仿宋" w:hAnsi="仿宋" w:eastAsia="仿宋" w:cs="仿宋"/>
          <w:bCs/>
          <w:color w:val="auto"/>
          <w:kern w:val="0"/>
          <w:sz w:val="24"/>
          <w:highlight w:val="none"/>
          <w:lang w:val="en-US"/>
        </w:rPr>
        <w:t>本工程项目投资必须按照</w:t>
      </w:r>
      <w:r>
        <w:rPr>
          <w:rFonts w:hint="eastAsia" w:ascii="仿宋" w:hAnsi="仿宋" w:eastAsia="仿宋" w:cs="仿宋"/>
          <w:bCs/>
          <w:color w:val="auto"/>
          <w:kern w:val="0"/>
          <w:sz w:val="24"/>
          <w:highlight w:val="none"/>
          <w:lang w:val="en-US" w:eastAsia="zh-CN"/>
        </w:rPr>
        <w:t>建设单位</w:t>
      </w:r>
      <w:r>
        <w:rPr>
          <w:rFonts w:hint="eastAsia" w:ascii="仿宋" w:hAnsi="仿宋" w:eastAsia="仿宋" w:cs="仿宋"/>
          <w:bCs/>
          <w:color w:val="auto"/>
          <w:kern w:val="0"/>
          <w:sz w:val="24"/>
          <w:highlight w:val="none"/>
          <w:lang w:val="en-US"/>
        </w:rPr>
        <w:t>单位及相关行政主管部门要求的投资限额要求严格控制。发包人据此制定投资分解目标，实行限额设计。在保证设计质量的前提下，承包人应按投资限额进行设计，严格控制施工图设计的变更，确保工程概、预算不突破限额目标。</w:t>
      </w:r>
    </w:p>
    <w:p>
      <w:pPr>
        <w:pStyle w:val="17"/>
        <w:spacing w:line="360" w:lineRule="auto"/>
        <w:ind w:left="360" w:firstLine="480"/>
        <w:rPr>
          <w:rFonts w:hint="eastAsia" w:ascii="仿宋" w:hAnsi="仿宋" w:eastAsia="仿宋" w:cs="仿宋"/>
          <w:bCs/>
          <w:color w:val="auto"/>
          <w:kern w:val="0"/>
          <w:sz w:val="24"/>
          <w:highlight w:val="none"/>
          <w:lang w:val="en-US"/>
        </w:rPr>
      </w:pP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lang w:val="en-US"/>
        </w:rPr>
        <w:t>承包人应遵循功能适用、标准合理、经济合理的原则开展设计，在投资限额目标的基础上结合项目设计内容进一步分解投资，明确投资控制主要目标，在编制设计概、预算时逐步细化落实。</w:t>
      </w:r>
    </w:p>
    <w:p>
      <w:pPr>
        <w:pStyle w:val="17"/>
        <w:spacing w:line="360" w:lineRule="auto"/>
        <w:ind w:left="360" w:firstLine="480"/>
        <w:rPr>
          <w:rFonts w:hint="eastAsia" w:ascii="仿宋" w:hAnsi="仿宋" w:eastAsia="仿宋" w:cs="仿宋"/>
          <w:bCs/>
          <w:color w:val="auto"/>
          <w:kern w:val="0"/>
          <w:sz w:val="24"/>
          <w:highlight w:val="none"/>
          <w:lang w:val="en-US"/>
        </w:rPr>
      </w:pPr>
      <w:r>
        <w:rPr>
          <w:rFonts w:hint="eastAsia" w:ascii="仿宋" w:hAnsi="仿宋" w:eastAsia="仿宋" w:cs="仿宋"/>
          <w:bCs/>
          <w:color w:val="auto"/>
          <w:kern w:val="0"/>
          <w:sz w:val="24"/>
          <w:highlight w:val="none"/>
          <w:lang w:val="en-US" w:eastAsia="zh-CN"/>
        </w:rPr>
        <w:t>3、</w:t>
      </w:r>
      <w:r>
        <w:rPr>
          <w:rFonts w:hint="eastAsia" w:ascii="仿宋" w:hAnsi="仿宋" w:eastAsia="仿宋" w:cs="仿宋"/>
          <w:bCs/>
          <w:color w:val="auto"/>
          <w:kern w:val="0"/>
          <w:sz w:val="24"/>
          <w:highlight w:val="none"/>
          <w:lang w:val="en-US"/>
        </w:rPr>
        <w:t>承包人应在设计进展过程中及阶段设计完成时，及时对已经完成的图纸内容进行估价，并与限额设计指标进行比较，使设计满足限额设计指标的要求。</w:t>
      </w:r>
    </w:p>
    <w:p>
      <w:pPr>
        <w:pStyle w:val="17"/>
        <w:spacing w:line="360" w:lineRule="auto"/>
        <w:ind w:left="360" w:firstLine="480"/>
        <w:rPr>
          <w:rFonts w:hint="eastAsia" w:ascii="仿宋" w:hAnsi="仿宋" w:eastAsia="仿宋" w:cs="仿宋"/>
          <w:bCs/>
          <w:color w:val="auto"/>
          <w:kern w:val="0"/>
          <w:sz w:val="24"/>
          <w:highlight w:val="none"/>
          <w:lang w:val="en-US"/>
        </w:rPr>
      </w:pPr>
      <w:r>
        <w:rPr>
          <w:rFonts w:hint="eastAsia" w:ascii="仿宋" w:hAnsi="仿宋" w:eastAsia="仿宋" w:cs="仿宋"/>
          <w:bCs/>
          <w:color w:val="auto"/>
          <w:kern w:val="0"/>
          <w:sz w:val="24"/>
          <w:highlight w:val="none"/>
          <w:lang w:val="en-US" w:eastAsia="zh-CN"/>
        </w:rPr>
        <w:t>4、</w:t>
      </w:r>
      <w:r>
        <w:rPr>
          <w:rFonts w:hint="eastAsia" w:ascii="仿宋" w:hAnsi="仿宋" w:eastAsia="仿宋" w:cs="仿宋"/>
          <w:bCs/>
          <w:color w:val="auto"/>
          <w:kern w:val="0"/>
          <w:sz w:val="24"/>
          <w:highlight w:val="none"/>
          <w:lang w:val="en-US"/>
        </w:rPr>
        <w:t>设计预算超过限额，应配合</w:t>
      </w:r>
      <w:r>
        <w:rPr>
          <w:rFonts w:hint="eastAsia" w:ascii="仿宋" w:hAnsi="仿宋" w:eastAsia="仿宋" w:cs="仿宋"/>
          <w:bCs/>
          <w:color w:val="auto"/>
          <w:kern w:val="0"/>
          <w:sz w:val="24"/>
          <w:highlight w:val="none"/>
          <w:lang w:val="en-US" w:eastAsia="zh-CN"/>
        </w:rPr>
        <w:t>建设单位</w:t>
      </w:r>
      <w:r>
        <w:rPr>
          <w:rFonts w:hint="eastAsia" w:ascii="仿宋" w:hAnsi="仿宋" w:eastAsia="仿宋" w:cs="仿宋"/>
          <w:bCs/>
          <w:color w:val="auto"/>
          <w:kern w:val="0"/>
          <w:sz w:val="24"/>
          <w:highlight w:val="none"/>
          <w:lang w:val="en-US"/>
        </w:rPr>
        <w:t>单位要求无偿重新调整或修改设计直至满足限额要求，并接受建设单位处罚。</w:t>
      </w:r>
    </w:p>
    <w:p>
      <w:pPr>
        <w:pStyle w:val="17"/>
        <w:spacing w:line="360" w:lineRule="auto"/>
        <w:ind w:left="360" w:firstLine="480"/>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5、主要技术经济指标。对比全面、合理，数据准确。</w:t>
      </w:r>
    </w:p>
    <w:p>
      <w:pPr>
        <w:pStyle w:val="17"/>
        <w:spacing w:line="360" w:lineRule="auto"/>
        <w:ind w:left="360" w:firstLine="480"/>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6、 标准设计和典型造价。采用南网典设模块，有应用模块情况列表；采用南网典型造价，有应用模块情况列表。</w:t>
      </w:r>
    </w:p>
    <w:p>
      <w:pPr>
        <w:pStyle w:val="17"/>
        <w:spacing w:line="360" w:lineRule="auto"/>
        <w:ind w:left="360" w:firstLine="480"/>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7、工程估算合理性分析。</w:t>
      </w:r>
      <w:r>
        <w:rPr>
          <w:rFonts w:hint="default" w:ascii="仿宋" w:hAnsi="仿宋" w:eastAsia="仿宋" w:cs="仿宋"/>
          <w:bCs/>
          <w:color w:val="auto"/>
          <w:kern w:val="0"/>
          <w:sz w:val="24"/>
          <w:highlight w:val="none"/>
          <w:lang w:val="en-US" w:eastAsia="zh-CN"/>
        </w:rPr>
        <w:t>论述项目投资估算编制原则，对投资合理性进行详细分析，包含估算汇总表，并与典设造价、类似工程造价进行对比分析。</w:t>
      </w:r>
    </w:p>
    <w:p>
      <w:pPr>
        <w:pStyle w:val="17"/>
        <w:spacing w:line="360" w:lineRule="auto"/>
        <w:ind w:left="360" w:firstLine="480"/>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8、工程估算合理性分析 。</w:t>
      </w:r>
      <w:r>
        <w:rPr>
          <w:rFonts w:hint="default" w:ascii="仿宋" w:hAnsi="仿宋" w:eastAsia="仿宋" w:cs="仿宋"/>
          <w:bCs/>
          <w:color w:val="auto"/>
          <w:kern w:val="0"/>
          <w:sz w:val="24"/>
          <w:highlight w:val="none"/>
          <w:lang w:val="en-US" w:eastAsia="zh-CN"/>
        </w:rPr>
        <w:t>详细论述项目控制造价的措施，包含变电站工程及线路工程，提出具体的，合理可行的降低造价的措施。</w:t>
      </w:r>
    </w:p>
    <w:p>
      <w:pPr>
        <w:pStyle w:val="17"/>
        <w:spacing w:line="360" w:lineRule="auto"/>
        <w:ind w:left="360" w:firstLine="480"/>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9、工程估算合理性分析 。</w:t>
      </w:r>
      <w:r>
        <w:rPr>
          <w:rFonts w:hint="default" w:ascii="仿宋" w:hAnsi="仿宋" w:eastAsia="仿宋" w:cs="仿宋"/>
          <w:bCs/>
          <w:color w:val="auto"/>
          <w:kern w:val="0"/>
          <w:sz w:val="24"/>
          <w:highlight w:val="none"/>
          <w:lang w:val="en-US" w:eastAsia="zh-CN"/>
        </w:rPr>
        <w:t>提出拟建项目绿色目标等级，论述绿色电网设计原则，列出绿色指标表,包含变电站工程及线路工程。</w:t>
      </w:r>
    </w:p>
    <w:p>
      <w:pPr>
        <w:spacing w:line="560" w:lineRule="exact"/>
        <w:jc w:val="left"/>
        <w:rPr>
          <w:rFonts w:hint="eastAsia" w:ascii="仿宋" w:hAnsi="仿宋" w:eastAsia="仿宋" w:cs="仿宋"/>
          <w:b/>
          <w:color w:val="auto"/>
          <w:sz w:val="28"/>
          <w:szCs w:val="28"/>
          <w:highlight w:val="none"/>
        </w:rPr>
      </w:pPr>
      <w:bookmarkStart w:id="0" w:name="_Toc356777878"/>
      <w:bookmarkStart w:id="1" w:name="_Toc356777682"/>
      <w:r>
        <w:rPr>
          <w:rFonts w:hint="eastAsia" w:ascii="仿宋" w:hAnsi="仿宋" w:eastAsia="仿宋" w:cs="仿宋"/>
          <w:b/>
          <w:color w:val="auto"/>
          <w:sz w:val="28"/>
          <w:szCs w:val="28"/>
          <w:highlight w:val="none"/>
        </w:rPr>
        <w:t>七、设计</w:t>
      </w:r>
      <w:r>
        <w:rPr>
          <w:rFonts w:hint="eastAsia" w:ascii="仿宋" w:hAnsi="仿宋" w:eastAsia="仿宋" w:cs="仿宋"/>
          <w:b/>
          <w:color w:val="auto"/>
          <w:sz w:val="28"/>
          <w:szCs w:val="28"/>
          <w:highlight w:val="none"/>
          <w:lang w:val="en-US" w:eastAsia="zh-CN"/>
        </w:rPr>
        <w:t>服务</w:t>
      </w:r>
      <w:r>
        <w:rPr>
          <w:rFonts w:hint="eastAsia" w:ascii="仿宋" w:hAnsi="仿宋" w:eastAsia="仿宋" w:cs="仿宋"/>
          <w:b/>
          <w:color w:val="auto"/>
          <w:sz w:val="28"/>
          <w:szCs w:val="28"/>
          <w:highlight w:val="none"/>
        </w:rPr>
        <w:t>要求</w:t>
      </w:r>
      <w:bookmarkEnd w:id="0"/>
      <w:bookmarkEnd w:id="1"/>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1、总的要求</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 设计单位的服务周期应涵盖中标后至设计回访的设计全过程。</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 在项目实施过程中，设计单位需严格遵守相关法律法规及南网企业标准，解决设计过程中的技术问题，积极做好建设单位项目部的技术支撑，确保设计质量、进度及费用目标的实现。</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（3）设计单位服务应及时响应本标准规定的各类服务。</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ascii="仿宋" w:hAnsi="仿宋" w:eastAsia="仿宋" w:cs="仿宋"/>
          <w:color w:val="auto"/>
          <w:sz w:val="24"/>
          <w:highlight w:val="none"/>
        </w:rPr>
        <w:t>设计成果应达到建设部颁发的《建筑工程设计文件编制深度规定》（2016年版）。</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3、</w:t>
      </w:r>
      <w:r>
        <w:rPr>
          <w:rFonts w:ascii="仿宋" w:hAnsi="仿宋" w:eastAsia="仿宋" w:cs="仿宋"/>
          <w:color w:val="auto"/>
          <w:sz w:val="24"/>
          <w:highlight w:val="none"/>
        </w:rPr>
        <w:t>设计文件应满足广州市、白云区各专业部门的要求，如规划、国土、消防、民防、环保、卫生、交委、交警等部门的报建报审报批要求。在项目报建阶段应满足建设单位报批各种手续的要求，分阶段提供所需的设计文件。</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4、</w:t>
      </w:r>
      <w:r>
        <w:rPr>
          <w:rFonts w:ascii="仿宋" w:hAnsi="仿宋" w:eastAsia="仿宋" w:cs="仿宋"/>
          <w:color w:val="auto"/>
          <w:sz w:val="24"/>
          <w:highlight w:val="none"/>
        </w:rPr>
        <w:t>设计成果要求：总平面布置图、市政设施总体规划、景观绿化总体规划、竖向关系规划、总体功能布局、效果图、鸟瞰图，以及景观绿化广场等各类型建筑单体的平面图（标准层、首层、二层、地下室等）和立面图、</w:t>
      </w:r>
      <w:r>
        <w:rPr>
          <w:rFonts w:hint="eastAsia" w:ascii="仿宋" w:hAnsi="仿宋" w:eastAsia="仿宋" w:cs="仿宋"/>
          <w:color w:val="auto"/>
          <w:sz w:val="24"/>
          <w:highlight w:val="none"/>
        </w:rPr>
        <w:t>室内装修图纸</w:t>
      </w:r>
      <w:r>
        <w:rPr>
          <w:rFonts w:ascii="仿宋" w:hAnsi="仿宋" w:eastAsia="仿宋" w:cs="仿宋"/>
          <w:color w:val="auto"/>
          <w:sz w:val="24"/>
          <w:highlight w:val="none"/>
        </w:rPr>
        <w:t>及其他相关图纸等。</w:t>
      </w:r>
    </w:p>
    <w:p>
      <w:pPr>
        <w:pStyle w:val="2"/>
        <w:spacing w:line="360" w:lineRule="auto"/>
        <w:ind w:firstLine="480" w:firstLineChars="200"/>
        <w:rPr>
          <w:rFonts w:ascii="仿宋" w:hAnsi="仿宋" w:eastAsia="仿宋" w:cs="仿宋"/>
          <w:color w:val="auto"/>
          <w:sz w:val="24"/>
          <w:szCs w:val="22"/>
          <w:highlight w:val="none"/>
          <w:lang w:val="en-US"/>
        </w:rPr>
      </w:pPr>
      <w:r>
        <w:rPr>
          <w:rFonts w:hint="eastAsia" w:ascii="仿宋" w:hAnsi="仿宋" w:eastAsia="仿宋" w:cs="仿宋"/>
          <w:color w:val="auto"/>
          <w:sz w:val="24"/>
          <w:szCs w:val="22"/>
          <w:highlight w:val="none"/>
          <w:lang w:val="en-US"/>
        </w:rPr>
        <w:t xml:space="preserve"> </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2"/>
          <w:highlight w:val="none"/>
          <w:lang w:val="en-US"/>
        </w:rPr>
        <w:t>初步设计深度达到施工图设计深度，概算建安费达到施工图预算的深度。</w:t>
      </w:r>
    </w:p>
    <w:p>
      <w:pPr>
        <w:pStyle w:val="2"/>
        <w:spacing w:line="360" w:lineRule="auto"/>
        <w:ind w:firstLine="600" w:firstLineChars="250"/>
        <w:rPr>
          <w:rFonts w:ascii="仿宋" w:hAnsi="仿宋" w:eastAsia="仿宋" w:cs="仿宋"/>
          <w:color w:val="auto"/>
          <w:sz w:val="24"/>
          <w:szCs w:val="22"/>
          <w:highlight w:val="none"/>
          <w:lang w:val="en-US"/>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2"/>
          <w:highlight w:val="none"/>
          <w:lang w:val="en-US"/>
        </w:rPr>
        <w:t>所有技术方案：包括但不限于设计方案、初步设计、智能化、及其他变更的技术专家论证，全部费用和技术支持由设计单位负责。</w:t>
      </w:r>
    </w:p>
    <w:p>
      <w:pPr>
        <w:pStyle w:val="2"/>
        <w:spacing w:line="360" w:lineRule="auto"/>
        <w:ind w:firstLine="600" w:firstLineChars="250"/>
        <w:rPr>
          <w:rFonts w:ascii="仿宋" w:hAnsi="仿宋" w:eastAsia="仿宋" w:cs="仿宋"/>
          <w:color w:val="auto"/>
          <w:sz w:val="24"/>
          <w:szCs w:val="22"/>
          <w:highlight w:val="none"/>
          <w:lang w:val="en-US"/>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2"/>
          <w:highlight w:val="none"/>
          <w:lang w:val="en-US"/>
        </w:rPr>
        <w:t>各专业图纸及BIM模型必须符合国家现行的技术规范及标准要求，达到规范深度要求，并满足各独立建筑的使用要求。</w:t>
      </w:r>
    </w:p>
    <w:p>
      <w:pPr>
        <w:pStyle w:val="2"/>
        <w:spacing w:line="360" w:lineRule="auto"/>
        <w:ind w:firstLine="600" w:firstLineChars="250"/>
        <w:rPr>
          <w:rFonts w:ascii="仿宋" w:hAnsi="仿宋" w:eastAsia="仿宋" w:cs="仿宋"/>
          <w:color w:val="auto"/>
          <w:sz w:val="24"/>
          <w:szCs w:val="22"/>
          <w:highlight w:val="none"/>
          <w:lang w:val="en-US"/>
        </w:rPr>
      </w:pPr>
      <w:r>
        <w:rPr>
          <w:rFonts w:hint="eastAsia" w:ascii="仿宋" w:hAnsi="仿宋" w:eastAsia="仿宋" w:cs="仿宋"/>
          <w:color w:val="auto"/>
          <w:sz w:val="24"/>
          <w:szCs w:val="22"/>
          <w:highlight w:val="none"/>
          <w:lang w:val="en-US" w:eastAsia="zh-CN"/>
        </w:rPr>
        <w:t>8、</w:t>
      </w:r>
      <w:r>
        <w:rPr>
          <w:rFonts w:hint="eastAsia" w:ascii="仿宋" w:hAnsi="仿宋" w:eastAsia="仿宋" w:cs="仿宋"/>
          <w:color w:val="auto"/>
          <w:sz w:val="24"/>
          <w:szCs w:val="22"/>
          <w:highlight w:val="none"/>
          <w:lang w:val="en-US"/>
        </w:rPr>
        <w:t>施工图设计涉及专业设计不得标示后期由施工单位深化设计，确有必要的须经建设单位和建设管理单位同意。</w:t>
      </w:r>
    </w:p>
    <w:p>
      <w:pPr>
        <w:pStyle w:val="2"/>
        <w:spacing w:line="360" w:lineRule="auto"/>
        <w:ind w:firstLine="600" w:firstLineChars="250"/>
        <w:rPr>
          <w:rFonts w:hint="eastAsia" w:ascii="仿宋" w:hAnsi="仿宋" w:eastAsia="仿宋" w:cs="仿宋"/>
          <w:color w:val="auto"/>
          <w:sz w:val="24"/>
          <w:szCs w:val="22"/>
          <w:highlight w:val="none"/>
          <w:lang w:val="en-US"/>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2"/>
          <w:highlight w:val="none"/>
          <w:lang w:val="en-US"/>
        </w:rPr>
        <w:t>设计单位须根据项目建设单位节点要求以及工程建设进展，按照设计管理人员要求提交项目整体出图计划、月度以及周出图计划，不符合出图计划和出图质量问题（含涉及错漏、设计问题不足产生的重大设计变更等）的按照签订合同进行考核。</w:t>
      </w:r>
    </w:p>
    <w:p>
      <w:pPr>
        <w:pStyle w:val="2"/>
        <w:spacing w:line="360" w:lineRule="auto"/>
        <w:ind w:firstLine="600" w:firstLineChars="250"/>
        <w:rPr>
          <w:rFonts w:hint="eastAsia" w:ascii="仿宋" w:hAnsi="仿宋" w:eastAsia="仿宋" w:cs="仿宋"/>
          <w:color w:val="auto"/>
          <w:sz w:val="24"/>
          <w:szCs w:val="22"/>
          <w:highlight w:val="none"/>
          <w:lang w:val="en-US"/>
        </w:rPr>
      </w:pPr>
      <w:r>
        <w:rPr>
          <w:rFonts w:hint="eastAsia" w:ascii="仿宋" w:hAnsi="仿宋" w:eastAsia="仿宋" w:cs="仿宋"/>
          <w:color w:val="auto"/>
          <w:sz w:val="24"/>
          <w:szCs w:val="22"/>
          <w:highlight w:val="none"/>
          <w:lang w:val="en-US" w:eastAsia="zh-CN"/>
        </w:rPr>
        <w:t>10、各专业图纸必须符合国家现行的技术规范及标准要求，达到有关审批和审查部门的报送要求，并满足相关专业的下一阶段的招标工作。施工图深度和质量必须满足其编制规范及要求，并满足预算编制，确保不出现图纸漏项漏量，并具有施工实施的可行性。</w:t>
      </w:r>
    </w:p>
    <w:p>
      <w:pPr>
        <w:pStyle w:val="2"/>
        <w:spacing w:line="360" w:lineRule="auto"/>
        <w:ind w:firstLine="600" w:firstLineChars="250"/>
        <w:rPr>
          <w:rFonts w:ascii="仿宋" w:hAnsi="仿宋" w:eastAsia="仿宋" w:cs="仿宋"/>
          <w:color w:val="auto"/>
          <w:sz w:val="24"/>
          <w:szCs w:val="22"/>
          <w:highlight w:val="none"/>
          <w:lang w:val="en-US"/>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2"/>
          <w:highlight w:val="none"/>
          <w:lang w:val="en-US"/>
        </w:rPr>
        <w:t>承担设计问题产生的设计变更、重点设计方案论证以及设计成本质量评估相关会议费用。</w:t>
      </w:r>
    </w:p>
    <w:p>
      <w:pPr>
        <w:pStyle w:val="2"/>
        <w:spacing w:line="360" w:lineRule="auto"/>
        <w:ind w:firstLine="600" w:firstLineChars="250"/>
        <w:rPr>
          <w:rFonts w:ascii="仿宋" w:hAnsi="仿宋" w:eastAsia="仿宋" w:cs="仿宋"/>
          <w:color w:val="auto"/>
          <w:sz w:val="24"/>
          <w:szCs w:val="22"/>
          <w:highlight w:val="none"/>
          <w:lang w:val="en-US"/>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2"/>
          <w:highlight w:val="none"/>
          <w:lang w:val="en-US"/>
        </w:rPr>
        <w:t>设计文件需满足相关主管部门和相关单位的概算审核要求。</w:t>
      </w:r>
    </w:p>
    <w:p>
      <w:pPr>
        <w:pStyle w:val="2"/>
        <w:spacing w:line="360" w:lineRule="auto"/>
        <w:ind w:firstLine="600" w:firstLineChars="250"/>
        <w:rPr>
          <w:rFonts w:hint="eastAsia" w:ascii="仿宋" w:hAnsi="仿宋" w:eastAsia="仿宋" w:cs="仿宋"/>
          <w:color w:val="auto"/>
          <w:sz w:val="24"/>
          <w:szCs w:val="22"/>
          <w:highlight w:val="none"/>
          <w:lang w:val="en-US"/>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2"/>
          <w:highlight w:val="none"/>
          <w:lang w:val="en-US"/>
        </w:rPr>
        <w:t>设计文件含盖初步设计、施工图审查章蓝图16份，CAD和PDF电子版文件光盘一个。满足广州市工程建设项目联合审批平台——联合审图备案条件</w:t>
      </w:r>
      <w:r>
        <w:rPr>
          <w:rFonts w:hint="eastAsia" w:ascii="仿宋" w:hAnsi="仿宋" w:eastAsia="仿宋" w:cs="仿宋"/>
          <w:color w:val="auto"/>
          <w:sz w:val="24"/>
          <w:szCs w:val="22"/>
          <w:highlight w:val="none"/>
          <w:lang w:val="en-US" w:eastAsia="zh-CN"/>
        </w:rPr>
        <w:t>，</w:t>
      </w:r>
      <w:r>
        <w:rPr>
          <w:rFonts w:hint="eastAsia" w:ascii="仿宋" w:hAnsi="仿宋" w:eastAsia="仿宋" w:cs="仿宋"/>
          <w:color w:val="auto"/>
          <w:sz w:val="24"/>
          <w:szCs w:val="22"/>
          <w:highlight w:val="none"/>
          <w:lang w:val="en-US"/>
        </w:rPr>
        <w:t>以及报审各部门所需要的图纸份数。</w:t>
      </w:r>
    </w:p>
    <w:p>
      <w:pPr>
        <w:spacing w:line="56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14、初步设计阶段设计服务要求，包括单不仅限于以下内容：</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 根据建设单位提供的可行性研究阶段应该完成的行政批复意见或协议清单及附件，梳理可研阶段协议办理的情况，如发现有未取得项或遗漏项应及时提醒建设单位督促原可研单位及时补办，并及时跟进。</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在可研阶段取得的协议基础上，进一步办理县（区）的次级行政单位的协议。根据设计深度，在设计方案满足相关跨越的规程规范要求的前提下，办理可研阶段无法办理的一些交叉跨越协议，如铁路、高速公路、航道等。设计方案如出现变更，需协助建设单位重新办理相关协议。</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（3）工程创优策划</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配合建设单位开展创优策划。明确设计质量管理目标，制定质量、进度保证措施，确保设计进度及质量目标的完成。确定“四新”在本工程中的应用情况，梳理本项目的设计亮点和保障措施。</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（4）初步设计评审</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在初步设计审查之前，应组织内部评审会，对设计资料进行预审查，设计单位需提供相应的设计资料，以便内部评审会上讨论并确定建设单位的需求。根据内审意见完善初步设计方案。</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参加由评审单位评审的初步设计正式评审会，并按相关要求进行方案汇报；审查后根据上述评审所提出的意见进行修改并完成初步设计收口报告。</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在满足规程规范的基础上，对建设单位提出的特殊技术要求应进行充分讨论合理性、可行性，必要时敦促相关责任方组织评审会讨论，设计单位执行评审意见。</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设备材料采购和申报。在完成初步设计评审工作后，设计单位配合建设单位开展设备、材料采购工作。设计单位应根据评审意见编写设备材料的技术规范书，于初步设计收口阶段提交，并在最终审定后配合建设单位开展相关设备物资录入工作。</w:t>
      </w:r>
    </w:p>
    <w:p>
      <w:pPr>
        <w:spacing w:line="56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15、施工图设计阶段设计服务要求，包括单不仅限于以下内容：</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（1）施工图及预算审查阶段，设计单位应编制施工图、预算。应当配合建设单位参加施工图及预算审查会，详尽介绍项目施工图卷册及预算编制情况，并对审查单位的意见进行书面回复，并落实相关评审意见。</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施工图设计审查会设计单位汇报应包含如下内容：</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1）初设的执行情况；</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2）标准设计 G3\G4 层应用情况；</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3）强制性条文执行情况；</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4）设计优化情况；</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5）现阶段项目建设实际情况。</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（2）设备材料采购和申报</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完成施工图设计评审工作后，设计单位配合建设单位开展本阶段相关设备材料采购工作。设计单位应根据评审意见编写设备材料的技术规范书，于施工图设计收口阶段提交，并在最终审定后配合建设单位开展相关设备物资录入工作。</w:t>
      </w:r>
    </w:p>
    <w:p>
      <w:pPr>
        <w:spacing w:line="56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16、工程实施阶段设计服务要求，，包括单不仅限于以下内容：</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（1）配合工程报建</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在工程报建阶段，设计单位应配合建设单位项目部提供相关总平面布置图、建筑图或征地图等。</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（2）设计交底</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主设人应当参加由建设单位、设计单位、施工单位、监理单位共同参与的施工图交底会，对项目进行必要的交底阐述，需要答复的内容在会后作出书面答复，交底时需注意以下内容。</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 设计文件的主要内容及应注意的事项</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 安全措施和施工特殊工艺要求；</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 设计遗留问题；</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 征询上述有关单位对勘测设计成品的意见， 并作好会议纪要。</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根据纪要的要求，研究解决方案并做相应的回复。必要时出具“设计变更通知单”交付现场施工。</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（4）驻场服务</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1）在工程实施阶段，设计单位应派出该工程主设人或具有同等资历的设计人员担任工地代表，负责与建设单位、施工单位、监理单位接洽，处理建设阶段遇到的设计问题。</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现场工代主要负责向建设单位解释设计图纸，贯彻专业设计意图；及时解决施工图纸中的技术问题，加强设计与施工、生产之间的配合，共同确保工程建设质量和工期；贯彻执行国家和行业标准，共同努力控制工程造价，实现设计预期要求和投资效益；做好现场服务，促进工程顺利竣工和投产。</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3）根据 WHS 要求参加工地现场旁站及验收，发现问题以工程联系单形式将问题反馈现场监理和建设单位单位。</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（5）设计变更</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根据《中国南方电网有限责任公司基建项目设计管理业务指导书》、《中国南方电网有限责任公司基建项目管理办法》，及时出具设计变更，重大设计变更应参加相关重大设计变更评审；并配合复核变更工程量。</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（6）竣工图电子化移交</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按南网相关要求进行竣工图电子化移交。</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17、工程结算阶段</w:t>
      </w:r>
    </w:p>
    <w:p>
      <w:pPr>
        <w:spacing w:line="56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设计单位应配合建设单位进行工程结算及总结算工作。</w:t>
      </w:r>
    </w:p>
    <w:p>
      <w:pPr>
        <w:spacing w:line="56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18、负责报批报建所需的图纸扫描及费用，如消防设计审查阶段，需负责将各方盖章确认的图纸扫描PDF后上传相应系统。</w:t>
      </w:r>
    </w:p>
    <w:p>
      <w:pPr>
        <w:pStyle w:val="4"/>
        <w:spacing w:before="120" w:after="120" w:line="560" w:lineRule="exact"/>
        <w:ind w:firstLine="0"/>
        <w:jc w:val="left"/>
        <w:rPr>
          <w:rFonts w:ascii="仿宋" w:hAnsi="仿宋" w:eastAsia="仿宋" w:cs="仿宋"/>
          <w:b/>
          <w:color w:val="000000" w:themeColor="text1"/>
          <w:highlight w:val="none"/>
          <w:shd w:val="clear" w:color="auto" w:fill="FFFFFF"/>
          <w:lang w:val="zh-TW"/>
          <w14:textFill>
            <w14:solidFill>
              <w14:schemeClr w14:val="tx1"/>
            </w14:solidFill>
          </w14:textFill>
        </w:rPr>
      </w:pPr>
      <w:r>
        <w:rPr>
          <w:rFonts w:hint="eastAsia" w:ascii="仿宋" w:hAnsi="仿宋" w:eastAsia="仿宋" w:cs="仿宋"/>
          <w:b/>
          <w:color w:val="000000" w:themeColor="text1"/>
          <w:highlight w:val="none"/>
          <w:shd w:val="clear" w:color="auto" w:fill="FFFFFF"/>
          <w:lang w:val="en-US" w:eastAsia="zh-CN"/>
          <w14:textFill>
            <w14:solidFill>
              <w14:schemeClr w14:val="tx1"/>
            </w14:solidFill>
          </w14:textFill>
        </w:rPr>
        <w:t>8</w:t>
      </w:r>
      <w:r>
        <w:rPr>
          <w:rFonts w:hint="eastAsia" w:ascii="仿宋" w:hAnsi="仿宋" w:eastAsia="仿宋" w:cs="仿宋"/>
          <w:b/>
          <w:color w:val="000000" w:themeColor="text1"/>
          <w:highlight w:val="none"/>
          <w:shd w:val="clear" w:color="auto" w:fill="FFFFFF"/>
          <w:lang w:val="zh-TW"/>
          <w14:textFill>
            <w14:solidFill>
              <w14:schemeClr w14:val="tx1"/>
            </w14:solidFill>
          </w14:textFill>
        </w:rPr>
        <w:t>、勘察要求</w:t>
      </w:r>
    </w:p>
    <w:p>
      <w:pPr>
        <w:spacing w:line="56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勘察内容</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本项目地基基础设计等级为乙级，</w:t>
      </w:r>
      <w:r>
        <w:rPr>
          <w:rFonts w:hint="eastAsia" w:ascii="仿宋" w:hAnsi="仿宋" w:eastAsia="仿宋" w:cs="仿宋"/>
          <w:color w:val="auto"/>
          <w:sz w:val="24"/>
          <w:highlight w:val="none"/>
          <w:lang w:val="en-US" w:eastAsia="zh-CN"/>
        </w:rPr>
        <w:t>主要范围为国创变电站及接入蚌湖站约4公里电缆沟，</w:t>
      </w:r>
      <w:r>
        <w:rPr>
          <w:rFonts w:hint="eastAsia" w:ascii="仿宋" w:hAnsi="仿宋" w:eastAsia="仿宋" w:cs="仿宋"/>
          <w:color w:val="auto"/>
          <w:sz w:val="24"/>
          <w:highlight w:val="none"/>
        </w:rPr>
        <w:t>勘察工作包括但不限于以下内容（具体以签订的合同为准）：</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岩土工程勘察，包括初步勘察、详细勘察及施工阶段勘察；</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 xml:space="preserve">地下物探测； </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氡浓度检测；</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噪声检测；</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剪切波速；</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抽水试验；</w:t>
      </w:r>
    </w:p>
    <w:p>
      <w:pPr>
        <w:spacing w:line="560" w:lineRule="exact"/>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7）电阻率；</w:t>
      </w:r>
    </w:p>
    <w:p>
      <w:pPr>
        <w:spacing w:line="56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勘察依据</w:t>
      </w:r>
    </w:p>
    <w:p>
      <w:pPr>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所有勘察工作，应按《岩土工程勘察规范》（</w:t>
      </w:r>
      <w:r>
        <w:rPr>
          <w:rFonts w:ascii="仿宋" w:hAnsi="仿宋" w:eastAsia="仿宋" w:cs="仿宋"/>
          <w:color w:val="000000" w:themeColor="text1"/>
          <w:sz w:val="24"/>
          <w:highlight w:val="none"/>
          <w14:textFill>
            <w14:solidFill>
              <w14:schemeClr w14:val="tx1"/>
            </w14:solidFill>
          </w14:textFill>
        </w:rPr>
        <w:t>GB50021—2001</w:t>
      </w:r>
      <w:r>
        <w:rPr>
          <w:rFonts w:hint="eastAsia" w:ascii="仿宋" w:hAnsi="仿宋" w:eastAsia="仿宋" w:cs="仿宋"/>
          <w:color w:val="000000" w:themeColor="text1"/>
          <w:sz w:val="24"/>
          <w:highlight w:val="none"/>
          <w14:textFill>
            <w14:solidFill>
              <w14:schemeClr w14:val="tx1"/>
            </w14:solidFill>
          </w14:textFill>
        </w:rPr>
        <w:t>）（</w:t>
      </w:r>
      <w:r>
        <w:rPr>
          <w:rFonts w:ascii="仿宋" w:hAnsi="仿宋" w:eastAsia="仿宋" w:cs="仿宋"/>
          <w:color w:val="000000" w:themeColor="text1"/>
          <w:sz w:val="24"/>
          <w:highlight w:val="none"/>
          <w14:textFill>
            <w14:solidFill>
              <w14:schemeClr w14:val="tx1"/>
            </w14:solidFill>
          </w14:textFill>
        </w:rPr>
        <w:t>2009</w:t>
      </w:r>
      <w:r>
        <w:rPr>
          <w:rFonts w:hint="eastAsia" w:ascii="仿宋" w:hAnsi="仿宋" w:eastAsia="仿宋" w:cs="仿宋"/>
          <w:color w:val="000000" w:themeColor="text1"/>
          <w:sz w:val="24"/>
          <w:highlight w:val="none"/>
          <w14:textFill>
            <w14:solidFill>
              <w14:schemeClr w14:val="tx1"/>
            </w14:solidFill>
          </w14:textFill>
        </w:rPr>
        <w:t>版）规定的有关技术要求执行。如勘察结果表明场地存在特殊问题，则在钻探过程中或施工前另行增补技术措施。</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《岩土工程勘察规范》（</w:t>
      </w:r>
      <w:r>
        <w:rPr>
          <w:rFonts w:ascii="仿宋" w:hAnsi="仿宋" w:eastAsia="仿宋" w:cs="仿宋"/>
          <w:color w:val="000000" w:themeColor="text1"/>
          <w:sz w:val="24"/>
          <w:highlight w:val="none"/>
          <w14:textFill>
            <w14:solidFill>
              <w14:schemeClr w14:val="tx1"/>
            </w14:solidFill>
          </w14:textFill>
        </w:rPr>
        <w:t>GB50021-2001</w:t>
      </w:r>
      <w:r>
        <w:rPr>
          <w:rFonts w:hint="eastAsia" w:ascii="仿宋" w:hAnsi="仿宋" w:eastAsia="仿宋" w:cs="仿宋"/>
          <w:color w:val="000000" w:themeColor="text1"/>
          <w:sz w:val="24"/>
          <w:highlight w:val="none"/>
          <w14:textFill>
            <w14:solidFill>
              <w14:schemeClr w14:val="tx1"/>
            </w14:solidFill>
          </w14:textFill>
        </w:rPr>
        <w:t>）（</w:t>
      </w:r>
      <w:r>
        <w:rPr>
          <w:rFonts w:ascii="仿宋" w:hAnsi="仿宋" w:eastAsia="仿宋" w:cs="仿宋"/>
          <w:color w:val="000000" w:themeColor="text1"/>
          <w:sz w:val="24"/>
          <w:highlight w:val="none"/>
          <w14:textFill>
            <w14:solidFill>
              <w14:schemeClr w14:val="tx1"/>
            </w14:solidFill>
          </w14:textFill>
        </w:rPr>
        <w:t>2009</w:t>
      </w:r>
      <w:r>
        <w:rPr>
          <w:rFonts w:hint="eastAsia" w:ascii="仿宋" w:hAnsi="仿宋" w:eastAsia="仿宋" w:cs="仿宋"/>
          <w:color w:val="000000" w:themeColor="text1"/>
          <w:sz w:val="24"/>
          <w:highlight w:val="none"/>
          <w14:textFill>
            <w14:solidFill>
              <w14:schemeClr w14:val="tx1"/>
            </w14:solidFill>
          </w14:textFill>
        </w:rPr>
        <w:t>年版）</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《工程勘察通用规范》（GB55017-2021）；</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 xml:space="preserve">《建筑与市政工程抗震通用规范》（GB55002-2021）； </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《建筑与市政地基基础通用规范》（GB 55003-2021）；</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《岩土工程勘察安全标准》（GB 50585-2019）</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《高层建筑岩土工程勘察规程》 （JGJ/T72-2017)</w:t>
      </w:r>
    </w:p>
    <w:p>
      <w:pPr>
        <w:spacing w:line="56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ascii="仿宋" w:hAnsi="仿宋" w:eastAsia="仿宋" w:cs="仿宋"/>
          <w:color w:val="000000" w:themeColor="text1"/>
          <w:sz w:val="24"/>
          <w:highlight w:val="none"/>
          <w14:textFill>
            <w14:solidFill>
              <w14:schemeClr w14:val="tx1"/>
            </w14:solidFill>
          </w14:textFill>
        </w:rPr>
        <w:t>《建筑桩基技术规范》（JGJ94-2008）</w:t>
      </w:r>
    </w:p>
    <w:p>
      <w:pPr>
        <w:spacing w:line="56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ascii="仿宋" w:hAnsi="仿宋" w:eastAsia="仿宋" w:cs="仿宋"/>
          <w:color w:val="000000" w:themeColor="text1"/>
          <w:sz w:val="24"/>
          <w:highlight w:val="none"/>
          <w14:textFill>
            <w14:solidFill>
              <w14:schemeClr w14:val="tx1"/>
            </w14:solidFill>
          </w14:textFill>
        </w:rPr>
        <w:t>《建筑抗震设计规范》（GB50011-2010）(2016年版）</w:t>
      </w:r>
    </w:p>
    <w:p>
      <w:pPr>
        <w:spacing w:line="56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ascii="仿宋" w:hAnsi="仿宋" w:eastAsia="仿宋" w:cs="仿宋"/>
          <w:color w:val="000000" w:themeColor="text1"/>
          <w:sz w:val="24"/>
          <w:highlight w:val="none"/>
          <w14:textFill>
            <w14:solidFill>
              <w14:schemeClr w14:val="tx1"/>
            </w14:solidFill>
          </w14:textFill>
        </w:rPr>
        <w:t>《建筑工程地质勘探与取样技术规程》（JGJ/T87-2012）</w:t>
      </w:r>
    </w:p>
    <w:p>
      <w:pPr>
        <w:spacing w:line="56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ascii="仿宋" w:hAnsi="仿宋" w:eastAsia="仿宋" w:cs="仿宋"/>
          <w:color w:val="000000" w:themeColor="text1"/>
          <w:sz w:val="24"/>
          <w:highlight w:val="none"/>
          <w14:textFill>
            <w14:solidFill>
              <w14:schemeClr w14:val="tx1"/>
            </w14:solidFill>
          </w14:textFill>
        </w:rPr>
        <w:t>《静压预制混凝土桩基础技术规程》（DBJ/T15-94-2013)</w:t>
      </w:r>
    </w:p>
    <w:p>
      <w:pPr>
        <w:spacing w:line="56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ascii="仿宋" w:hAnsi="仿宋" w:eastAsia="仿宋" w:cs="仿宋"/>
          <w:color w:val="000000" w:themeColor="text1"/>
          <w:sz w:val="24"/>
          <w:highlight w:val="none"/>
          <w14:textFill>
            <w14:solidFill>
              <w14:schemeClr w14:val="tx1"/>
            </w14:solidFill>
          </w14:textFill>
        </w:rPr>
        <w:t xml:space="preserve">《建筑工程抗震设防分类标准》 </w:t>
      </w:r>
      <w:r>
        <w:rPr>
          <w:rFonts w:hint="eastAsia" w:ascii="仿宋" w:hAnsi="仿宋" w:eastAsia="仿宋" w:cs="仿宋"/>
          <w:color w:val="000000" w:themeColor="text1"/>
          <w:sz w:val="24"/>
          <w:highlight w:val="none"/>
          <w14:textFill>
            <w14:solidFill>
              <w14:schemeClr w14:val="tx1"/>
            </w14:solidFill>
          </w14:textFill>
        </w:rPr>
        <w:t>（</w:t>
      </w:r>
      <w:r>
        <w:rPr>
          <w:rFonts w:ascii="仿宋" w:hAnsi="仿宋" w:eastAsia="仿宋" w:cs="仿宋"/>
          <w:color w:val="000000" w:themeColor="text1"/>
          <w:sz w:val="24"/>
          <w:highlight w:val="none"/>
          <w14:textFill>
            <w14:solidFill>
              <w14:schemeClr w14:val="tx1"/>
            </w14:solidFill>
          </w14:textFill>
        </w:rPr>
        <w:t>GB50223-2008)</w:t>
      </w:r>
    </w:p>
    <w:p>
      <w:pPr>
        <w:spacing w:line="56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w:t>
      </w:r>
      <w:r>
        <w:rPr>
          <w:rFonts w:ascii="仿宋" w:hAnsi="仿宋" w:eastAsia="仿宋" w:cs="仿宋"/>
          <w:color w:val="000000" w:themeColor="text1"/>
          <w:sz w:val="24"/>
          <w:highlight w:val="none"/>
          <w14:textFill>
            <w14:solidFill>
              <w14:schemeClr w14:val="tx1"/>
            </w14:solidFill>
          </w14:textFill>
        </w:rPr>
        <w:t>《民用建筑工程室内环境污染控制规范》（GB50325-20</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ascii="仿宋" w:hAnsi="仿宋" w:eastAsia="仿宋" w:cs="仿宋"/>
          <w:color w:val="000000" w:themeColor="text1"/>
          <w:sz w:val="24"/>
          <w:highlight w:val="none"/>
          <w14:textFill>
            <w14:solidFill>
              <w14:schemeClr w14:val="tx1"/>
            </w14:solidFill>
          </w14:textFill>
        </w:rPr>
        <w:t xml:space="preserve">) </w:t>
      </w:r>
    </w:p>
    <w:p>
      <w:pPr>
        <w:spacing w:line="56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13</w:t>
      </w:r>
      <w:r>
        <w:rPr>
          <w:rFonts w:hint="eastAsia" w:ascii="仿宋" w:hAnsi="仿宋" w:eastAsia="仿宋" w:cs="仿宋"/>
          <w:color w:val="000000" w:themeColor="text1"/>
          <w:sz w:val="24"/>
          <w:highlight w:val="none"/>
          <w14:textFill>
            <w14:solidFill>
              <w14:schemeClr w14:val="tx1"/>
            </w14:solidFill>
          </w14:textFill>
        </w:rPr>
        <w:t>《建筑地基处理技术规范》</w:t>
      </w:r>
      <w:r>
        <w:rPr>
          <w:rFonts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ascii="仿宋" w:hAnsi="仿宋" w:eastAsia="仿宋" w:cs="仿宋"/>
          <w:color w:val="000000" w:themeColor="text1"/>
          <w:sz w:val="24"/>
          <w:highlight w:val="none"/>
          <w14:textFill>
            <w14:solidFill>
              <w14:schemeClr w14:val="tx1"/>
            </w14:solidFill>
          </w14:textFill>
        </w:rPr>
        <w:t>JGJ79-2012，DBT15-38-2019)</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14</w:t>
      </w:r>
      <w:r>
        <w:rPr>
          <w:rFonts w:hint="eastAsia" w:ascii="仿宋" w:hAnsi="仿宋" w:eastAsia="仿宋" w:cs="仿宋"/>
          <w:color w:val="000000" w:themeColor="text1"/>
          <w:sz w:val="24"/>
          <w:highlight w:val="none"/>
          <w14:textFill>
            <w14:solidFill>
              <w14:schemeClr w14:val="tx1"/>
            </w14:solidFill>
          </w14:textFill>
        </w:rPr>
        <w:t>《岩溶地区建筑地基基础技术标准》（GB／T 51238-2018）</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广东省标准《建筑地基基础设计规范》（DBJ 15-31-2016）；</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16</w:t>
      </w:r>
      <w:r>
        <w:rPr>
          <w:rFonts w:hint="eastAsia" w:ascii="仿宋" w:hAnsi="仿宋" w:eastAsia="仿宋" w:cs="仿宋"/>
          <w:color w:val="000000" w:themeColor="text1"/>
          <w:sz w:val="24"/>
          <w:highlight w:val="none"/>
          <w14:textFill>
            <w14:solidFill>
              <w14:schemeClr w14:val="tx1"/>
            </w14:solidFill>
          </w14:textFill>
        </w:rPr>
        <w:t>广东省标准《建筑基坑工程技术规程》（DBJ/T 15-20-2016）；</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17</w:t>
      </w:r>
      <w:r>
        <w:rPr>
          <w:rFonts w:hint="eastAsia" w:ascii="仿宋" w:hAnsi="仿宋" w:eastAsia="仿宋" w:cs="仿宋"/>
          <w:color w:val="000000" w:themeColor="text1"/>
          <w:sz w:val="24"/>
          <w:highlight w:val="none"/>
          <w14:textFill>
            <w14:solidFill>
              <w14:schemeClr w14:val="tx1"/>
            </w14:solidFill>
          </w14:textFill>
        </w:rPr>
        <w:t>广东省标准《建筑地基基础检测规范》 （DBJ15-60-2019）；</w:t>
      </w:r>
    </w:p>
    <w:p>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18</w:t>
      </w:r>
      <w:r>
        <w:rPr>
          <w:rFonts w:hint="eastAsia" w:ascii="仿宋" w:hAnsi="仿宋" w:eastAsia="仿宋" w:cs="仿宋"/>
          <w:color w:val="000000" w:themeColor="text1"/>
          <w:sz w:val="24"/>
          <w:highlight w:val="none"/>
          <w14:textFill>
            <w14:solidFill>
              <w14:schemeClr w14:val="tx1"/>
            </w14:solidFill>
          </w14:textFill>
        </w:rPr>
        <w:t>广东省标准《建筑地基处理技术规范》 （DBJ/T15-38-2019）；</w:t>
      </w:r>
    </w:p>
    <w:p>
      <w:pPr>
        <w:spacing w:line="560" w:lineRule="exact"/>
        <w:jc w:val="left"/>
        <w:rPr>
          <w:rFonts w:hint="eastAsia"/>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19</w:t>
      </w:r>
      <w:r>
        <w:rPr>
          <w:rFonts w:hint="eastAsia" w:ascii="仿宋" w:hAnsi="仿宋" w:eastAsia="仿宋" w:cs="仿宋"/>
          <w:color w:val="000000" w:themeColor="text1"/>
          <w:sz w:val="24"/>
          <w:highlight w:val="none"/>
          <w14:textFill>
            <w14:solidFill>
              <w14:schemeClr w14:val="tx1"/>
            </w14:solidFill>
          </w14:textFill>
        </w:rPr>
        <w:t>广东省标准《岩溶地区建筑地基基础技术规范》》 (DBJT15-136-2018)；</w:t>
      </w:r>
    </w:p>
    <w:p>
      <w:pPr>
        <w:spacing w:line="56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3</w:t>
      </w:r>
      <w:r>
        <w:rPr>
          <w:rFonts w:hint="eastAsia" w:ascii="仿宋" w:hAnsi="仿宋" w:eastAsia="仿宋" w:cs="仿宋"/>
          <w:b/>
          <w:bCs/>
          <w:color w:val="000000" w:themeColor="text1"/>
          <w:sz w:val="24"/>
          <w:highlight w:val="none"/>
          <w14:textFill>
            <w14:solidFill>
              <w14:schemeClr w14:val="tx1"/>
            </w14:solidFill>
          </w14:textFill>
        </w:rPr>
        <w:t>岩土工程勘察要求：</w:t>
      </w:r>
    </w:p>
    <w:p>
      <w:pPr>
        <w:autoSpaceDE w:val="0"/>
        <w:autoSpaceDN w:val="0"/>
        <w:spacing w:line="56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ascii="仿宋" w:hAnsi="仿宋" w:eastAsia="仿宋" w:cs="仿宋"/>
          <w:color w:val="000000" w:themeColor="text1"/>
          <w:sz w:val="24"/>
          <w:highlight w:val="none"/>
          <w:lang w:val="zh-CN"/>
          <w14:textFill>
            <w14:solidFill>
              <w14:schemeClr w14:val="tx1"/>
            </w14:solidFill>
          </w14:textFill>
        </w:rPr>
        <w:t>勘探点布置：</w:t>
      </w:r>
    </w:p>
    <w:p>
      <w:pPr>
        <w:autoSpaceDE w:val="0"/>
        <w:autoSpaceDN w:val="0"/>
        <w:spacing w:line="56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ascii="仿宋" w:hAnsi="仿宋" w:eastAsia="仿宋" w:cs="仿宋"/>
          <w:color w:val="000000" w:themeColor="text1"/>
          <w:sz w:val="24"/>
          <w:highlight w:val="none"/>
          <w:lang w:val="zh-CN"/>
          <w14:textFill>
            <w14:solidFill>
              <w14:schemeClr w14:val="tx1"/>
            </w14:solidFill>
          </w14:textFill>
        </w:rPr>
        <w:t>1</w:t>
      </w:r>
      <w:r>
        <w:rPr>
          <w:rFonts w:hint="eastAsia" w:ascii="仿宋" w:hAnsi="仿宋" w:eastAsia="仿宋" w:cs="仿宋"/>
          <w:color w:val="000000" w:themeColor="text1"/>
          <w:sz w:val="24"/>
          <w:highlight w:val="none"/>
          <w:lang w:val="zh-CN"/>
          <w14:textFill>
            <w14:solidFill>
              <w14:schemeClr w14:val="tx1"/>
            </w14:solidFill>
          </w14:textFill>
        </w:rPr>
        <w:t>．初勘、详勘</w:t>
      </w:r>
    </w:p>
    <w:p>
      <w:pPr>
        <w:autoSpaceDE w:val="0"/>
        <w:autoSpaceDN w:val="0"/>
        <w:spacing w:line="56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初步勘察</w:t>
      </w:r>
      <w:r>
        <w:rPr>
          <w:rFonts w:hint="eastAsia" w:ascii="仿宋" w:hAnsi="仿宋" w:eastAsia="仿宋" w:cs="仿宋"/>
          <w:color w:val="000000" w:themeColor="text1"/>
          <w:sz w:val="24"/>
          <w:highlight w:val="none"/>
          <w:lang w:val="en-US" w:eastAsia="zh-CN"/>
          <w14:textFill>
            <w14:solidFill>
              <w14:schemeClr w14:val="tx1"/>
            </w14:solidFill>
          </w14:textFill>
        </w:rPr>
        <w:t>可与</w:t>
      </w:r>
      <w:r>
        <w:rPr>
          <w:rFonts w:hint="eastAsia" w:ascii="仿宋" w:hAnsi="仿宋" w:eastAsia="仿宋" w:cs="仿宋"/>
          <w:color w:val="000000" w:themeColor="text1"/>
          <w:sz w:val="24"/>
          <w:highlight w:val="none"/>
          <w:lang w:val="zh-CN"/>
          <w14:textFill>
            <w14:solidFill>
              <w14:schemeClr w14:val="tx1"/>
            </w14:solidFill>
          </w14:textFill>
        </w:rPr>
        <w:t>详细勘察同步进行，如若布置钻孔时，建筑方案已定，则有针对性地布置，主要依据地块范围、场地情况、建筑方案、建筑轮廓、柱网及基坑等布孔，按现有情况估计本项目采用的基础形式，钻孔深度要求等；如若方案暂未确定则依据现有资料、规范规定孔距及附近地质资料等布孔，孔距可考虑</w:t>
      </w:r>
      <w:r>
        <w:rPr>
          <w:rFonts w:hint="eastAsia" w:ascii="仿宋" w:hAnsi="仿宋" w:eastAsia="仿宋" w:cs="仿宋"/>
          <w:color w:val="000000" w:themeColor="text1"/>
          <w:sz w:val="24"/>
          <w:highlight w:val="none"/>
          <w:lang w:val="en-US" w:eastAsia="zh-CN"/>
          <w14:textFill>
            <w14:solidFill>
              <w14:schemeClr w14:val="tx1"/>
            </w14:solidFill>
          </w14:textFill>
        </w:rPr>
        <w:t>按照</w:t>
      </w:r>
      <w:r>
        <w:rPr>
          <w:rFonts w:hint="eastAsia" w:ascii="仿宋" w:hAnsi="仿宋" w:eastAsia="仿宋" w:cs="仿宋"/>
          <w:color w:val="000000" w:themeColor="text1"/>
          <w:sz w:val="24"/>
          <w:highlight w:val="none"/>
          <w14:textFill>
            <w14:solidFill>
              <w14:schemeClr w14:val="tx1"/>
            </w14:solidFill>
          </w14:textFill>
        </w:rPr>
        <w:t>岩土工程勘察规范》（</w:t>
      </w:r>
      <w:r>
        <w:rPr>
          <w:rFonts w:ascii="仿宋" w:hAnsi="仿宋" w:eastAsia="仿宋" w:cs="仿宋"/>
          <w:color w:val="000000" w:themeColor="text1"/>
          <w:sz w:val="24"/>
          <w:highlight w:val="none"/>
          <w14:textFill>
            <w14:solidFill>
              <w14:schemeClr w14:val="tx1"/>
            </w14:solidFill>
          </w14:textFill>
        </w:rPr>
        <w:t>GB50021-2001</w:t>
      </w:r>
      <w:r>
        <w:rPr>
          <w:rFonts w:hint="eastAsia" w:ascii="仿宋" w:hAnsi="仿宋" w:eastAsia="仿宋" w:cs="仿宋"/>
          <w:color w:val="000000" w:themeColor="text1"/>
          <w:sz w:val="24"/>
          <w:highlight w:val="none"/>
          <w14:textFill>
            <w14:solidFill>
              <w14:schemeClr w14:val="tx1"/>
            </w14:solidFill>
          </w14:textFill>
        </w:rPr>
        <w:t>）（</w:t>
      </w:r>
      <w:r>
        <w:rPr>
          <w:rFonts w:ascii="仿宋" w:hAnsi="仿宋" w:eastAsia="仿宋" w:cs="仿宋"/>
          <w:color w:val="000000" w:themeColor="text1"/>
          <w:sz w:val="24"/>
          <w:highlight w:val="none"/>
          <w14:textFill>
            <w14:solidFill>
              <w14:schemeClr w14:val="tx1"/>
            </w14:solidFill>
          </w14:textFill>
        </w:rPr>
        <w:t>2009</w:t>
      </w:r>
      <w:r>
        <w:rPr>
          <w:rFonts w:hint="eastAsia" w:ascii="仿宋" w:hAnsi="仿宋" w:eastAsia="仿宋" w:cs="仿宋"/>
          <w:color w:val="000000" w:themeColor="text1"/>
          <w:sz w:val="24"/>
          <w:highlight w:val="none"/>
          <w14:textFill>
            <w14:solidFill>
              <w14:schemeClr w14:val="tx1"/>
            </w14:solidFill>
          </w14:textFill>
        </w:rPr>
        <w:t>年版）</w:t>
      </w:r>
      <w:r>
        <w:rPr>
          <w:rFonts w:hint="eastAsia" w:ascii="仿宋" w:hAnsi="仿宋" w:eastAsia="仿宋" w:cs="仿宋"/>
          <w:color w:val="000000" w:themeColor="text1"/>
          <w:sz w:val="24"/>
          <w:highlight w:val="none"/>
          <w:lang w:val="en-US" w:eastAsia="zh-CN"/>
          <w14:textFill>
            <w14:solidFill>
              <w14:schemeClr w14:val="tx1"/>
            </w14:solidFill>
          </w14:textFill>
        </w:rPr>
        <w:t>4.1.15条，复杂地基的</w:t>
      </w:r>
      <w:r>
        <w:rPr>
          <w:rFonts w:ascii="仿宋" w:hAnsi="仿宋" w:eastAsia="仿宋" w:cs="仿宋"/>
          <w:color w:val="000000" w:themeColor="text1"/>
          <w:sz w:val="24"/>
          <w:highlight w:val="none"/>
          <w:lang w:val="zh-CN"/>
          <w14:textFill>
            <w14:solidFill>
              <w14:schemeClr w14:val="tx1"/>
            </w14:solidFill>
          </w14:textFill>
        </w:rPr>
        <w:t>10~</w:t>
      </w:r>
      <w:r>
        <w:rPr>
          <w:rFonts w:hint="eastAsia" w:ascii="仿宋" w:hAnsi="仿宋" w:eastAsia="仿宋" w:cs="仿宋"/>
          <w:color w:val="000000" w:themeColor="text1"/>
          <w:sz w:val="24"/>
          <w:highlight w:val="none"/>
          <w:lang w:val="en-US" w:eastAsia="zh-CN"/>
          <w14:textFill>
            <w14:solidFill>
              <w14:schemeClr w14:val="tx1"/>
            </w14:solidFill>
          </w14:textFill>
        </w:rPr>
        <w:t>15</w:t>
      </w:r>
      <w:r>
        <w:rPr>
          <w:rFonts w:ascii="仿宋" w:hAnsi="仿宋" w:eastAsia="仿宋" w:cs="仿宋"/>
          <w:color w:val="000000" w:themeColor="text1"/>
          <w:sz w:val="24"/>
          <w:highlight w:val="none"/>
          <w:lang w:val="zh-CN"/>
          <w14:textFill>
            <w14:solidFill>
              <w14:schemeClr w14:val="tx1"/>
            </w14:solidFill>
          </w14:textFill>
        </w:rPr>
        <w:t>m</w:t>
      </w:r>
      <w:r>
        <w:rPr>
          <w:rFonts w:hint="eastAsia" w:ascii="仿宋" w:hAnsi="仿宋" w:eastAsia="仿宋" w:cs="仿宋"/>
          <w:color w:val="000000" w:themeColor="text1"/>
          <w:sz w:val="24"/>
          <w:highlight w:val="none"/>
          <w:lang w:val="en-US" w:eastAsia="zh-CN"/>
          <w14:textFill>
            <w14:solidFill>
              <w14:schemeClr w14:val="tx1"/>
            </w14:solidFill>
          </w14:textFill>
        </w:rPr>
        <w:t>来布置</w:t>
      </w:r>
      <w:r>
        <w:rPr>
          <w:rFonts w:ascii="仿宋" w:hAnsi="仿宋" w:eastAsia="仿宋" w:cs="仿宋"/>
          <w:color w:val="000000" w:themeColor="text1"/>
          <w:sz w:val="24"/>
          <w:highlight w:val="none"/>
          <w:lang w:val="zh-CN"/>
          <w14:textFill>
            <w14:solidFill>
              <w14:schemeClr w14:val="tx1"/>
            </w14:solidFill>
          </w14:textFill>
        </w:rPr>
        <w:t>（最终以勘察布孔图为准），</w:t>
      </w:r>
      <w:r>
        <w:rPr>
          <w:rFonts w:hint="eastAsia" w:ascii="仿宋" w:hAnsi="仿宋" w:eastAsia="仿宋" w:cs="仿宋"/>
          <w:color w:val="000000" w:themeColor="text1"/>
          <w:sz w:val="24"/>
          <w:highlight w:val="none"/>
          <w:lang w:val="en-US" w:eastAsia="zh-CN"/>
          <w14:textFill>
            <w14:solidFill>
              <w14:schemeClr w14:val="tx1"/>
            </w14:solidFill>
          </w14:textFill>
        </w:rPr>
        <w:t>同时结合建筑周边线及角点综合考虑，</w:t>
      </w:r>
      <w:r>
        <w:rPr>
          <w:rFonts w:ascii="仿宋" w:hAnsi="仿宋" w:eastAsia="仿宋" w:cs="仿宋"/>
          <w:color w:val="000000" w:themeColor="text1"/>
          <w:sz w:val="24"/>
          <w:highlight w:val="none"/>
          <w:lang w:val="zh-CN"/>
          <w14:textFill>
            <w14:solidFill>
              <w14:schemeClr w14:val="tx1"/>
            </w14:solidFill>
          </w14:textFill>
        </w:rPr>
        <w:t>布孔及终孔条件将在满足条件的基础上，尽量节约成本，最终钻孔平面布置图及勘察技术要求将提交业主、设计进行确认，钻进深度以满足设计要求为准。</w:t>
      </w:r>
      <w:r>
        <w:rPr>
          <w:rFonts w:hint="eastAsia" w:ascii="仿宋" w:hAnsi="仿宋" w:eastAsia="仿宋" w:cs="仿宋"/>
          <w:color w:val="000000" w:themeColor="text1"/>
          <w:sz w:val="24"/>
          <w:highlight w:val="none"/>
          <w14:textFill>
            <w14:solidFill>
              <w14:schemeClr w14:val="tx1"/>
            </w14:solidFill>
          </w14:textFill>
        </w:rPr>
        <w:t>暂定工程量为</w:t>
      </w:r>
      <w:r>
        <w:rPr>
          <w:rFonts w:hint="eastAsia" w:ascii="仿宋" w:hAnsi="仿宋" w:eastAsia="仿宋" w:cs="仿宋"/>
          <w:color w:val="000000" w:themeColor="text1"/>
          <w:sz w:val="24"/>
          <w:highlight w:val="none"/>
          <w:lang w:val="en-US" w:eastAsia="zh-CN"/>
          <w14:textFill>
            <w14:solidFill>
              <w14:schemeClr w14:val="tx1"/>
            </w14:solidFill>
          </w14:textFill>
        </w:rPr>
        <w:t>1800</w:t>
      </w:r>
      <w:r>
        <w:rPr>
          <w:rFonts w:ascii="仿宋" w:hAnsi="仿宋" w:eastAsia="仿宋" w:cs="仿宋"/>
          <w:color w:val="000000" w:themeColor="text1"/>
          <w:sz w:val="24"/>
          <w:highlight w:val="none"/>
          <w:lang w:val="zh-CN"/>
          <w14:textFill>
            <w14:solidFill>
              <w14:schemeClr w14:val="tx1"/>
            </w14:solidFill>
          </w14:textFill>
        </w:rPr>
        <w:t>m</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具体结算工程量以实际发生工程量为准。</w:t>
      </w:r>
    </w:p>
    <w:p>
      <w:pPr>
        <w:autoSpaceDE w:val="0"/>
        <w:autoSpaceDN w:val="0"/>
        <w:spacing w:line="56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钻孔要求：</w:t>
      </w:r>
    </w:p>
    <w:p>
      <w:pPr>
        <w:numPr>
          <w:ilvl w:val="0"/>
          <w:numId w:val="6"/>
        </w:numPr>
        <w:autoSpaceDE w:val="0"/>
        <w:autoSpaceDN w:val="0"/>
        <w:spacing w:line="560" w:lineRule="exact"/>
        <w:ind w:firstLine="480"/>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勘察</w:t>
      </w:r>
      <w:r>
        <w:rPr>
          <w:rFonts w:hint="eastAsia" w:ascii="仿宋" w:hAnsi="仿宋" w:eastAsia="仿宋" w:cs="仿宋"/>
          <w:color w:val="000000" w:themeColor="text1"/>
          <w:sz w:val="24"/>
          <w:szCs w:val="24"/>
          <w:highlight w:val="none"/>
          <w:lang w:val="zh-CN"/>
          <w14:textFill>
            <w14:solidFill>
              <w14:schemeClr w14:val="tx1"/>
            </w14:solidFill>
          </w14:textFill>
        </w:rPr>
        <w:t>：钻入完整中</w:t>
      </w:r>
      <w:r>
        <w:rPr>
          <w:rFonts w:hint="eastAsia" w:ascii="仿宋" w:hAnsi="仿宋" w:eastAsia="仿宋" w:cs="仿宋"/>
          <w:color w:val="000000" w:themeColor="text1"/>
          <w:sz w:val="24"/>
          <w:szCs w:val="24"/>
          <w:highlight w:val="none"/>
          <w:lang w:val="zh-CN" w:eastAsia="zh-CN"/>
          <w14:textFill>
            <w14:solidFill>
              <w14:schemeClr w14:val="tx1"/>
            </w14:solidFill>
          </w14:textFill>
        </w:rPr>
        <w:t>、微</w:t>
      </w:r>
      <w:r>
        <w:rPr>
          <w:rFonts w:hint="eastAsia" w:ascii="仿宋" w:hAnsi="仿宋" w:eastAsia="仿宋" w:cs="仿宋"/>
          <w:color w:val="000000" w:themeColor="text1"/>
          <w:sz w:val="24"/>
          <w:szCs w:val="24"/>
          <w:highlight w:val="none"/>
          <w:lang w:val="zh-CN"/>
          <w14:textFill>
            <w14:solidFill>
              <w14:schemeClr w14:val="tx1"/>
            </w14:solidFill>
          </w14:textFill>
        </w:rPr>
        <w:t>风化岩层内不得小于5m，一般性钻孔钻至</w:t>
      </w:r>
      <w:r>
        <w:rPr>
          <w:rFonts w:hint="eastAsia" w:ascii="仿宋" w:hAnsi="仿宋" w:eastAsia="仿宋" w:cs="仿宋"/>
          <w:color w:val="000000" w:themeColor="text1"/>
          <w:sz w:val="24"/>
          <w:szCs w:val="24"/>
          <w:highlight w:val="none"/>
          <w:lang w:val="zh-CN" w:eastAsia="zh-CN"/>
          <w14:textFill>
            <w14:solidFill>
              <w14:schemeClr w14:val="tx1"/>
            </w14:solidFill>
          </w14:textFill>
        </w:rPr>
        <w:t>基坑</w:t>
      </w:r>
      <w:r>
        <w:rPr>
          <w:rFonts w:hint="eastAsia" w:ascii="仿宋" w:hAnsi="仿宋" w:eastAsia="仿宋" w:cs="仿宋"/>
          <w:color w:val="000000" w:themeColor="text1"/>
          <w:sz w:val="24"/>
          <w:szCs w:val="24"/>
          <w:highlight w:val="none"/>
          <w:lang w:val="zh-CN"/>
          <w14:textFill>
            <w14:solidFill>
              <w14:schemeClr w14:val="tx1"/>
            </w14:solidFill>
          </w14:textFill>
        </w:rPr>
        <w:t>底板下</w:t>
      </w:r>
      <w:r>
        <w:rPr>
          <w:rFonts w:hint="eastAsia" w:ascii="仿宋" w:hAnsi="仿宋" w:eastAsia="仿宋" w:cs="仿宋"/>
          <w:color w:val="000000" w:themeColor="text1"/>
          <w:sz w:val="24"/>
          <w:szCs w:val="24"/>
          <w:highlight w:val="none"/>
          <w:lang w:val="zh-CN" w:eastAsia="zh-CN"/>
          <w14:textFill>
            <w14:solidFill>
              <w14:schemeClr w14:val="tx1"/>
            </w14:solidFill>
          </w14:textFill>
        </w:rPr>
        <w:t>连续、</w:t>
      </w:r>
      <w:r>
        <w:rPr>
          <w:rFonts w:hint="eastAsia" w:ascii="仿宋" w:hAnsi="仿宋" w:eastAsia="仿宋" w:cs="仿宋"/>
          <w:color w:val="000000" w:themeColor="text1"/>
          <w:sz w:val="24"/>
          <w:szCs w:val="24"/>
          <w:highlight w:val="none"/>
          <w:lang w:val="zh-CN"/>
          <w14:textFill>
            <w14:solidFill>
              <w14:schemeClr w14:val="tx1"/>
            </w14:solidFill>
          </w14:textFill>
        </w:rPr>
        <w:t>稳定微风化</w:t>
      </w:r>
      <w:r>
        <w:rPr>
          <w:rFonts w:hint="eastAsia" w:ascii="仿宋" w:hAnsi="仿宋" w:eastAsia="仿宋" w:cs="仿宋"/>
          <w:color w:val="000000" w:themeColor="text1"/>
          <w:sz w:val="24"/>
          <w:szCs w:val="24"/>
          <w:highlight w:val="none"/>
          <w:lang w:val="zh-CN" w:eastAsia="zh-CN"/>
          <w14:textFill>
            <w14:solidFill>
              <w14:schemeClr w14:val="tx1"/>
            </w14:solidFill>
          </w14:textFill>
        </w:rPr>
        <w:t>基</w:t>
      </w:r>
      <w:r>
        <w:rPr>
          <w:rFonts w:hint="eastAsia" w:ascii="仿宋" w:hAnsi="仿宋" w:eastAsia="仿宋" w:cs="仿宋"/>
          <w:color w:val="000000" w:themeColor="text1"/>
          <w:sz w:val="24"/>
          <w:szCs w:val="24"/>
          <w:highlight w:val="none"/>
          <w:lang w:val="zh-CN"/>
          <w14:textFill>
            <w14:solidFill>
              <w14:schemeClr w14:val="tx1"/>
            </w14:solidFill>
          </w14:textFill>
        </w:rPr>
        <w:t>岩不小于</w:t>
      </w:r>
      <w:r>
        <w:rPr>
          <w:rFonts w:hint="eastAsia" w:ascii="仿宋" w:hAnsi="仿宋" w:eastAsia="仿宋" w:cs="仿宋"/>
          <w:color w:val="000000" w:themeColor="text1"/>
          <w:sz w:val="24"/>
          <w:szCs w:val="24"/>
          <w:highlight w:val="none"/>
          <w:lang w:val="zh-CN" w:eastAsia="zh-CN"/>
          <w14:textFill>
            <w14:solidFill>
              <w14:schemeClr w14:val="tx1"/>
            </w14:solidFill>
          </w14:textFill>
        </w:rPr>
        <w:t>5</w:t>
      </w:r>
      <w:r>
        <w:rPr>
          <w:rFonts w:hint="eastAsia" w:ascii="仿宋" w:hAnsi="仿宋" w:eastAsia="仿宋" w:cs="仿宋"/>
          <w:color w:val="000000" w:themeColor="text1"/>
          <w:sz w:val="24"/>
          <w:szCs w:val="24"/>
          <w:highlight w:val="none"/>
          <w:lang w:val="zh-CN"/>
          <w14:textFill>
            <w14:solidFill>
              <w14:schemeClr w14:val="tx1"/>
            </w14:solidFill>
          </w14:textFill>
        </w:rPr>
        <w:t>米。并需穿过溶（</w:t>
      </w:r>
      <w:r>
        <w:rPr>
          <w:rFonts w:hint="eastAsia" w:ascii="仿宋" w:hAnsi="仿宋" w:eastAsia="仿宋" w:cs="仿宋"/>
          <w:color w:val="000000" w:themeColor="text1"/>
          <w:sz w:val="24"/>
          <w:szCs w:val="24"/>
          <w:highlight w:val="none"/>
          <w:lang w:val="zh-CN" w:eastAsia="zh-CN"/>
          <w14:textFill>
            <w14:solidFill>
              <w14:schemeClr w14:val="tx1"/>
            </w14:solidFill>
          </w14:textFill>
        </w:rPr>
        <w:t>土</w:t>
      </w:r>
      <w:r>
        <w:rPr>
          <w:rFonts w:hint="eastAsia" w:ascii="仿宋" w:hAnsi="仿宋" w:eastAsia="仿宋" w:cs="仿宋"/>
          <w:color w:val="000000" w:themeColor="text1"/>
          <w:sz w:val="24"/>
          <w:szCs w:val="24"/>
          <w:highlight w:val="none"/>
          <w:lang w:val="zh-CN"/>
          <w14:textFill>
            <w14:solidFill>
              <w14:schemeClr w14:val="tx1"/>
            </w14:solidFill>
          </w14:textFill>
        </w:rPr>
        <w:t>）洞、</w:t>
      </w:r>
      <w:r>
        <w:rPr>
          <w:rFonts w:hint="eastAsia" w:ascii="仿宋" w:hAnsi="仿宋" w:eastAsia="仿宋" w:cs="仿宋"/>
          <w:color w:val="000000" w:themeColor="text1"/>
          <w:sz w:val="24"/>
          <w:szCs w:val="24"/>
          <w:highlight w:val="none"/>
          <w:lang w:val="zh-CN" w:eastAsia="zh-CN"/>
          <w14:textFill>
            <w14:solidFill>
              <w14:schemeClr w14:val="tx1"/>
            </w14:solidFill>
          </w14:textFill>
        </w:rPr>
        <w:t>软弱夹层、</w:t>
      </w:r>
      <w:r>
        <w:rPr>
          <w:rFonts w:hint="eastAsia" w:ascii="仿宋" w:hAnsi="仿宋" w:eastAsia="仿宋" w:cs="仿宋"/>
          <w:color w:val="000000" w:themeColor="text1"/>
          <w:sz w:val="24"/>
          <w:szCs w:val="24"/>
          <w:highlight w:val="none"/>
          <w:lang w:val="zh-CN"/>
          <w14:textFill>
            <w14:solidFill>
              <w14:schemeClr w14:val="tx1"/>
            </w14:solidFill>
          </w14:textFill>
        </w:rPr>
        <w:t>破碎带等不良</w:t>
      </w:r>
      <w:r>
        <w:rPr>
          <w:rFonts w:hint="eastAsia" w:ascii="仿宋" w:hAnsi="仿宋" w:eastAsia="仿宋" w:cs="仿宋"/>
          <w:color w:val="000000" w:themeColor="text1"/>
          <w:sz w:val="24"/>
          <w:szCs w:val="24"/>
          <w:highlight w:val="none"/>
          <w:lang w:val="zh-CN" w:eastAsia="zh-CN"/>
          <w14:textFill>
            <w14:solidFill>
              <w14:schemeClr w14:val="tx1"/>
            </w14:solidFill>
          </w14:textFill>
        </w:rPr>
        <w:t>地</w:t>
      </w:r>
      <w:r>
        <w:rPr>
          <w:rFonts w:hint="eastAsia" w:ascii="仿宋" w:hAnsi="仿宋" w:eastAsia="仿宋" w:cs="仿宋"/>
          <w:color w:val="000000" w:themeColor="text1"/>
          <w:sz w:val="24"/>
          <w:szCs w:val="24"/>
          <w:highlight w:val="none"/>
          <w:lang w:val="zh-CN"/>
          <w14:textFill>
            <w14:solidFill>
              <w14:schemeClr w14:val="tx1"/>
            </w14:solidFill>
          </w14:textFill>
        </w:rPr>
        <w:t>层，到达稳定地层。</w:t>
      </w:r>
    </w:p>
    <w:p>
      <w:pPr>
        <w:numPr>
          <w:ilvl w:val="0"/>
          <w:numId w:val="0"/>
        </w:numPr>
        <w:autoSpaceDE w:val="0"/>
        <w:autoSpaceDN w:val="0"/>
        <w:spacing w:line="560" w:lineRule="exact"/>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ascii="仿宋" w:hAnsi="仿宋" w:eastAsia="仿宋" w:cs="仿宋"/>
          <w:color w:val="000000" w:themeColor="text1"/>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lang w:val="zh-CN"/>
          <w14:textFill>
            <w14:solidFill>
              <w14:schemeClr w14:val="tx1"/>
            </w14:solidFill>
          </w14:textFill>
        </w:rPr>
        <w:t>如钻孔深度</w:t>
      </w:r>
      <w:r>
        <w:rPr>
          <w:rFonts w:hint="eastAsia" w:ascii="仿宋" w:hAnsi="仿宋" w:eastAsia="仿宋" w:cs="仿宋"/>
          <w:color w:val="000000" w:themeColor="text1"/>
          <w:sz w:val="24"/>
          <w:szCs w:val="24"/>
          <w:highlight w:val="none"/>
          <w:lang w:val="en-US" w:eastAsia="zh-CN"/>
          <w14:textFill>
            <w14:solidFill>
              <w14:schemeClr w14:val="tx1"/>
            </w14:solidFill>
          </w14:textFill>
        </w:rPr>
        <w:t>达40m</w:t>
      </w:r>
      <w:r>
        <w:rPr>
          <w:rFonts w:ascii="仿宋" w:hAnsi="仿宋" w:eastAsia="仿宋" w:cs="仿宋"/>
          <w:color w:val="000000" w:themeColor="text1"/>
          <w:sz w:val="24"/>
          <w:szCs w:val="24"/>
          <w:highlight w:val="none"/>
          <w:lang w:val="zh-CN"/>
          <w14:textFill>
            <w14:solidFill>
              <w14:schemeClr w14:val="tx1"/>
            </w14:solidFill>
          </w14:textFill>
        </w:rPr>
        <w:t>仍</w:t>
      </w:r>
      <w:r>
        <w:rPr>
          <w:rFonts w:hint="eastAsia" w:ascii="仿宋" w:hAnsi="仿宋" w:eastAsia="仿宋" w:cs="仿宋"/>
          <w:color w:val="000000" w:themeColor="text1"/>
          <w:sz w:val="24"/>
          <w:szCs w:val="24"/>
          <w:highlight w:val="none"/>
          <w:lang w:val="zh-CN"/>
          <w14:textFill>
            <w14:solidFill>
              <w14:schemeClr w14:val="tx1"/>
            </w14:solidFill>
          </w14:textFill>
        </w:rPr>
        <w:t>未见中风化岩或微风化岩层时</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ascii="仿宋" w:hAnsi="仿宋" w:eastAsia="仿宋" w:cs="仿宋"/>
          <w:color w:val="000000" w:themeColor="text1"/>
          <w:sz w:val="24"/>
          <w:szCs w:val="24"/>
          <w:highlight w:val="none"/>
          <w:lang w:val="zh-CN"/>
          <w14:textFill>
            <w14:solidFill>
              <w14:schemeClr w14:val="tx1"/>
            </w14:solidFill>
          </w14:textFill>
        </w:rPr>
        <w:t>应通知设计人员另做</w:t>
      </w:r>
      <w:r>
        <w:rPr>
          <w:rFonts w:hint="eastAsia" w:ascii="仿宋" w:hAnsi="仿宋" w:eastAsia="仿宋" w:cs="仿宋"/>
          <w:color w:val="000000" w:themeColor="text1"/>
          <w:sz w:val="24"/>
          <w:szCs w:val="24"/>
          <w:highlight w:val="none"/>
          <w14:textFill>
            <w14:solidFill>
              <w14:schemeClr w14:val="tx1"/>
            </w14:solidFill>
          </w14:textFill>
        </w:rPr>
        <w:t>处理</w:t>
      </w:r>
      <w:r>
        <w:rPr>
          <w:rFonts w:ascii="仿宋" w:hAnsi="仿宋" w:eastAsia="仿宋" w:cs="仿宋"/>
          <w:color w:val="000000" w:themeColor="text1"/>
          <w:sz w:val="24"/>
          <w:szCs w:val="24"/>
          <w:highlight w:val="none"/>
          <w:lang w:val="zh-CN"/>
          <w14:textFill>
            <w14:solidFill>
              <w14:schemeClr w14:val="tx1"/>
            </w14:solidFill>
          </w14:textFill>
        </w:rPr>
        <w:t>；</w:t>
      </w:r>
    </w:p>
    <w:p>
      <w:pPr>
        <w:autoSpaceDE w:val="0"/>
        <w:autoSpaceDN w:val="0"/>
        <w:adjustRightInd w:val="0"/>
        <w:snapToGrid w:val="0"/>
        <w:spacing w:line="56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ascii="仿宋" w:hAnsi="仿宋" w:eastAsia="仿宋" w:cs="仿宋"/>
          <w:color w:val="000000" w:themeColor="text1"/>
          <w:sz w:val="24"/>
          <w:highlight w:val="none"/>
          <w:lang w:val="zh-CN"/>
          <w14:textFill>
            <w14:solidFill>
              <w14:schemeClr w14:val="tx1"/>
            </w14:solidFill>
          </w14:textFill>
        </w:rPr>
        <w:t>3</w:t>
      </w:r>
      <w:r>
        <w:rPr>
          <w:rFonts w:hint="eastAsia" w:ascii="仿宋" w:hAnsi="仿宋" w:eastAsia="仿宋" w:cs="仿宋"/>
          <w:color w:val="000000" w:themeColor="text1"/>
          <w:sz w:val="24"/>
          <w:highlight w:val="none"/>
          <w:lang w:val="zh-CN"/>
          <w14:textFill>
            <w14:solidFill>
              <w14:schemeClr w14:val="tx1"/>
            </w14:solidFill>
          </w14:textFill>
        </w:rPr>
        <w:t>．控制孔应取土、岩样作常规的物理力学实验，所有钻孔应作原位测试（标</w:t>
      </w:r>
      <w:r>
        <w:rPr>
          <w:rFonts w:hint="eastAsia" w:ascii="仿宋" w:hAnsi="仿宋" w:eastAsia="仿宋" w:cs="仿宋"/>
          <w:color w:val="000000" w:themeColor="text1"/>
          <w:sz w:val="24"/>
          <w:highlight w:val="none"/>
          <w:lang w:val="en-US" w:eastAsia="zh-CN"/>
          <w14:textFill>
            <w14:solidFill>
              <w14:schemeClr w14:val="tx1"/>
            </w14:solidFill>
          </w14:textFill>
        </w:rPr>
        <w:t>准贯入试验</w:t>
      </w:r>
      <w:r>
        <w:rPr>
          <w:rFonts w:ascii="仿宋" w:hAnsi="仿宋" w:eastAsia="仿宋" w:cs="仿宋"/>
          <w:color w:val="000000" w:themeColor="text1"/>
          <w:sz w:val="24"/>
          <w:highlight w:val="none"/>
          <w:lang w:val="zh-CN"/>
          <w14:textFill>
            <w14:solidFill>
              <w14:schemeClr w14:val="tx1"/>
            </w14:solidFill>
          </w14:textFill>
        </w:rPr>
        <w:t>）。</w:t>
      </w:r>
    </w:p>
    <w:p>
      <w:pPr>
        <w:autoSpaceDE w:val="0"/>
        <w:autoSpaceDN w:val="0"/>
        <w:adjustRightInd w:val="0"/>
        <w:snapToGrid w:val="0"/>
        <w:spacing w:line="56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ascii="仿宋" w:hAnsi="仿宋" w:eastAsia="仿宋" w:cs="仿宋"/>
          <w:color w:val="000000" w:themeColor="text1"/>
          <w:sz w:val="24"/>
          <w:highlight w:val="none"/>
          <w:lang w:val="zh-CN"/>
          <w14:textFill>
            <w14:solidFill>
              <w14:schemeClr w14:val="tx1"/>
            </w14:solidFill>
          </w14:textFill>
        </w:rPr>
        <w:t>4</w:t>
      </w:r>
      <w:r>
        <w:rPr>
          <w:rFonts w:hint="eastAsia" w:ascii="仿宋" w:hAnsi="仿宋" w:eastAsia="仿宋" w:cs="仿宋"/>
          <w:color w:val="000000" w:themeColor="text1"/>
          <w:sz w:val="24"/>
          <w:highlight w:val="none"/>
          <w:lang w:val="zh-CN"/>
          <w14:textFill>
            <w14:solidFill>
              <w14:schemeClr w14:val="tx1"/>
            </w14:solidFill>
          </w14:textFill>
        </w:rPr>
        <w:t>．取土岩式样和原位测试的钻探点，每一主要土层的原状土式样或原位测试不应少于</w:t>
      </w:r>
      <w:r>
        <w:rPr>
          <w:rFonts w:ascii="仿宋" w:hAnsi="仿宋" w:eastAsia="仿宋" w:cs="仿宋"/>
          <w:color w:val="000000" w:themeColor="text1"/>
          <w:sz w:val="24"/>
          <w:highlight w:val="none"/>
          <w:lang w:val="zh-CN"/>
          <w14:textFill>
            <w14:solidFill>
              <w14:schemeClr w14:val="tx1"/>
            </w14:solidFill>
          </w14:textFill>
        </w:rPr>
        <w:t>6</w:t>
      </w:r>
      <w:r>
        <w:rPr>
          <w:rFonts w:hint="eastAsia" w:ascii="仿宋" w:hAnsi="仿宋" w:eastAsia="仿宋" w:cs="仿宋"/>
          <w:color w:val="000000" w:themeColor="text1"/>
          <w:sz w:val="24"/>
          <w:highlight w:val="none"/>
          <w:lang w:val="zh-CN"/>
          <w14:textFill>
            <w14:solidFill>
              <w14:schemeClr w14:val="tx1"/>
            </w14:solidFill>
          </w14:textFill>
        </w:rPr>
        <w:t>件。对厚度大于</w:t>
      </w:r>
      <w:r>
        <w:rPr>
          <w:rFonts w:ascii="仿宋" w:hAnsi="仿宋" w:eastAsia="仿宋" w:cs="仿宋"/>
          <w:color w:val="000000" w:themeColor="text1"/>
          <w:sz w:val="24"/>
          <w:highlight w:val="none"/>
          <w:lang w:val="zh-CN"/>
          <w14:textFill>
            <w14:solidFill>
              <w14:schemeClr w14:val="tx1"/>
            </w14:solidFill>
          </w14:textFill>
        </w:rPr>
        <w:t>0.5m的夹层或透镜体，应采取土</w:t>
      </w:r>
      <w:r>
        <w:rPr>
          <w:rFonts w:hint="eastAsia" w:ascii="仿宋" w:hAnsi="仿宋" w:eastAsia="仿宋" w:cs="仿宋"/>
          <w:color w:val="000000" w:themeColor="text1"/>
          <w:sz w:val="24"/>
          <w:highlight w:val="none"/>
          <w:lang w:val="zh-CN"/>
          <w14:textFill>
            <w14:solidFill>
              <w14:schemeClr w14:val="tx1"/>
            </w14:solidFill>
          </w14:textFill>
        </w:rPr>
        <w:t>试样</w:t>
      </w:r>
      <w:r>
        <w:rPr>
          <w:rFonts w:ascii="仿宋" w:hAnsi="仿宋" w:eastAsia="仿宋" w:cs="仿宋"/>
          <w:color w:val="000000" w:themeColor="text1"/>
          <w:sz w:val="24"/>
          <w:highlight w:val="none"/>
          <w:lang w:val="zh-CN"/>
          <w14:textFill>
            <w14:solidFill>
              <w14:schemeClr w14:val="tx1"/>
            </w14:solidFill>
          </w14:textFill>
        </w:rPr>
        <w:t>或进行原位测试；</w:t>
      </w:r>
    </w:p>
    <w:p>
      <w:pPr>
        <w:autoSpaceDE w:val="0"/>
        <w:autoSpaceDN w:val="0"/>
        <w:adjustRightInd w:val="0"/>
        <w:snapToGrid w:val="0"/>
        <w:spacing w:line="56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ascii="仿宋" w:hAnsi="仿宋" w:eastAsia="仿宋" w:cs="仿宋"/>
          <w:color w:val="000000" w:themeColor="text1"/>
          <w:sz w:val="24"/>
          <w:highlight w:val="none"/>
          <w:lang w:val="zh-CN"/>
          <w14:textFill>
            <w14:solidFill>
              <w14:schemeClr w14:val="tx1"/>
            </w14:solidFill>
          </w14:textFill>
        </w:rPr>
        <w:t>5</w:t>
      </w:r>
      <w:r>
        <w:rPr>
          <w:rFonts w:hint="eastAsia" w:ascii="仿宋" w:hAnsi="仿宋" w:eastAsia="仿宋" w:cs="仿宋"/>
          <w:color w:val="000000" w:themeColor="text1"/>
          <w:sz w:val="24"/>
          <w:highlight w:val="none"/>
          <w:lang w:val="zh-CN"/>
          <w14:textFill>
            <w14:solidFill>
              <w14:schemeClr w14:val="tx1"/>
            </w14:solidFill>
          </w14:textFill>
        </w:rPr>
        <w:t>．岩样均分别取样进行天然湿度状态或饱和状态下的单轴抗压强度试验，并提供极限抗压强度，软化系数等参数；</w:t>
      </w:r>
    </w:p>
    <w:p>
      <w:pPr>
        <w:autoSpaceDE w:val="0"/>
        <w:autoSpaceDN w:val="0"/>
        <w:spacing w:line="560" w:lineRule="exact"/>
        <w:ind w:firstLine="480"/>
        <w:jc w:val="lef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val="zh-CN"/>
          <w14:textFill>
            <w14:solidFill>
              <w14:schemeClr w14:val="tx1"/>
            </w14:solidFill>
          </w14:textFill>
        </w:rPr>
        <w:t>岩土工程勘察，包括但不限于以下工作：</w:t>
      </w:r>
    </w:p>
    <w:p>
      <w:pPr>
        <w:autoSpaceDE w:val="0"/>
        <w:autoSpaceDN w:val="0"/>
        <w:spacing w:line="56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ascii="仿宋" w:hAnsi="仿宋" w:eastAsia="仿宋" w:cs="仿宋"/>
          <w:color w:val="000000" w:themeColor="text1"/>
          <w:sz w:val="24"/>
          <w:highlight w:val="none"/>
          <w:lang w:val="zh-CN"/>
          <w14:textFill>
            <w14:solidFill>
              <w14:schemeClr w14:val="tx1"/>
            </w14:solidFill>
          </w14:textFill>
        </w:rPr>
        <w:t>1 .查明建筑范围内岩土的类型、深度、分布、工程特性和变化规律，分析和评价地基的稳定性、均匀性和承载力。</w:t>
      </w:r>
      <w:r>
        <w:rPr>
          <w:rFonts w:hint="eastAsia" w:ascii="仿宋" w:hAnsi="仿宋" w:eastAsia="仿宋" w:cs="仿宋"/>
          <w:color w:val="000000" w:themeColor="text1"/>
          <w:sz w:val="24"/>
          <w:highlight w:val="none"/>
          <w14:textFill>
            <w14:solidFill>
              <w14:schemeClr w14:val="tx1"/>
            </w14:solidFill>
          </w14:textFill>
        </w:rPr>
        <w:t>岩石地基除提出各岩层的承载力特征值，尚需提出不同岩层的饱和或天然单轴抗压强度标准值；</w:t>
      </w:r>
    </w:p>
    <w:p>
      <w:pPr>
        <w:autoSpaceDE w:val="0"/>
        <w:autoSpaceDN w:val="0"/>
        <w:spacing w:line="56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ascii="仿宋" w:hAnsi="仿宋" w:eastAsia="仿宋" w:cs="仿宋"/>
          <w:color w:val="000000" w:themeColor="text1"/>
          <w:sz w:val="24"/>
          <w:highlight w:val="none"/>
          <w:lang w:val="zh-CN"/>
          <w14:textFill>
            <w14:solidFill>
              <w14:schemeClr w14:val="tx1"/>
            </w14:solidFill>
          </w14:textFill>
        </w:rPr>
        <w:t>2 .</w:t>
      </w:r>
      <w:r>
        <w:rPr>
          <w:rFonts w:hint="eastAsia" w:ascii="仿宋" w:hAnsi="仿宋" w:eastAsia="仿宋" w:cs="仿宋"/>
          <w:color w:val="000000" w:themeColor="text1"/>
          <w:sz w:val="24"/>
          <w:highlight w:val="none"/>
          <w:lang w:val="zh-CN"/>
          <w14:textFill>
            <w14:solidFill>
              <w14:schemeClr w14:val="tx1"/>
            </w14:solidFill>
          </w14:textFill>
        </w:rPr>
        <w:t>划分场地土类型和场地类别，分析预测地震效应，判定饱和砂土或饱和粉土的地震液化，并应确定液化指数和液化等级。</w:t>
      </w:r>
    </w:p>
    <w:p>
      <w:pPr>
        <w:autoSpaceDE w:val="0"/>
        <w:autoSpaceDN w:val="0"/>
        <w:spacing w:line="56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ascii="仿宋" w:hAnsi="仿宋" w:eastAsia="仿宋" w:cs="仿宋"/>
          <w:color w:val="000000" w:themeColor="text1"/>
          <w:sz w:val="24"/>
          <w:highlight w:val="none"/>
          <w:lang w:val="zh-CN"/>
          <w14:textFill>
            <w14:solidFill>
              <w14:schemeClr w14:val="tx1"/>
            </w14:solidFill>
          </w14:textFill>
        </w:rPr>
        <w:t xml:space="preserve">3. </w:t>
      </w:r>
      <w:r>
        <w:rPr>
          <w:rFonts w:hint="eastAsia" w:ascii="仿宋" w:hAnsi="仿宋" w:eastAsia="仿宋" w:cs="仿宋"/>
          <w:color w:val="000000" w:themeColor="text1"/>
          <w:sz w:val="24"/>
          <w:highlight w:val="none"/>
          <w14:textFill>
            <w14:solidFill>
              <w14:schemeClr w14:val="tx1"/>
            </w14:solidFill>
          </w14:textFill>
        </w:rPr>
        <w:t>查明不良地质（如溶洞）作用的类型、成因、分布范围、发展趋势，可液化土层和特殊性岩土的分布及其对桩基的危害程度，并提出防治措施的建议；勘探过程中如发现特殊的地质现象，如软弱土层、暗沟或溶洞等，应及时知会设计单位，并商讨勘探点的增减。</w:t>
      </w:r>
    </w:p>
    <w:p>
      <w:pPr>
        <w:autoSpaceDE w:val="0"/>
        <w:autoSpaceDN w:val="0"/>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lang w:val="zh-CN"/>
          <w14:textFill>
            <w14:solidFill>
              <w14:schemeClr w14:val="tx1"/>
            </w14:solidFill>
          </w14:textFill>
        </w:rPr>
        <w:t xml:space="preserve">4. </w:t>
      </w:r>
      <w:r>
        <w:rPr>
          <w:rFonts w:hint="eastAsia" w:ascii="仿宋" w:hAnsi="仿宋" w:eastAsia="仿宋" w:cs="仿宋"/>
          <w:color w:val="000000" w:themeColor="text1"/>
          <w:sz w:val="24"/>
          <w:highlight w:val="none"/>
          <w14:textFill>
            <w14:solidFill>
              <w14:schemeClr w14:val="tx1"/>
            </w14:solidFill>
          </w14:textFill>
        </w:rPr>
        <w:t>查明埋藏的河道、沟滨、墓穴、防空洞、孤石等对基础不利的埋藏物；</w:t>
      </w:r>
    </w:p>
    <w:p>
      <w:pPr>
        <w:autoSpaceDE w:val="0"/>
        <w:autoSpaceDN w:val="0"/>
        <w:spacing w:line="56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ascii="仿宋" w:hAnsi="仿宋" w:eastAsia="仿宋" w:cs="仿宋"/>
          <w:color w:val="000000" w:themeColor="text1"/>
          <w:sz w:val="24"/>
          <w:highlight w:val="none"/>
          <w:lang w:val="zh-CN"/>
          <w14:textFill>
            <w14:solidFill>
              <w14:schemeClr w14:val="tx1"/>
            </w14:solidFill>
          </w14:textFill>
        </w:rPr>
        <w:t>5 .</w:t>
      </w:r>
      <w:r>
        <w:rPr>
          <w:rFonts w:hint="eastAsia" w:ascii="仿宋" w:hAnsi="仿宋" w:eastAsia="仿宋" w:cs="仿宋"/>
          <w:color w:val="000000" w:themeColor="text1"/>
          <w:sz w:val="24"/>
          <w:highlight w:val="none"/>
          <w14:textFill>
            <w14:solidFill>
              <w14:schemeClr w14:val="tx1"/>
            </w14:solidFill>
          </w14:textFill>
        </w:rPr>
        <w:t>查明地下水的性质、补给条件、各土层的渗透性及水流量，提供降水设计所需的计算参数和方案提议。提供地下水位及其变化幅度，明确抗浮设计设防水位。评价地下水对桩基设计和施工的影响，判定环境水和土对混凝土的金属</w:t>
      </w:r>
      <w:r>
        <w:rPr>
          <w:rFonts w:hint="eastAsia" w:ascii="仿宋" w:hAnsi="仿宋" w:eastAsia="仿宋" w:cs="仿宋"/>
          <w:color w:val="000000" w:themeColor="text1"/>
          <w:sz w:val="24"/>
          <w:highlight w:val="none"/>
          <w:lang w:val="zh-CN"/>
          <w14:textFill>
            <w14:solidFill>
              <w14:schemeClr w14:val="tx1"/>
            </w14:solidFill>
          </w14:textFill>
        </w:rPr>
        <w:t>材料的腐蚀性。</w:t>
      </w:r>
    </w:p>
    <w:p>
      <w:pPr>
        <w:autoSpaceDE w:val="0"/>
        <w:autoSpaceDN w:val="0"/>
        <w:spacing w:line="56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ascii="仿宋" w:hAnsi="仿宋" w:eastAsia="仿宋" w:cs="仿宋"/>
          <w:color w:val="000000" w:themeColor="text1"/>
          <w:sz w:val="24"/>
          <w:highlight w:val="none"/>
          <w:lang w:val="zh-CN"/>
          <w14:textFill>
            <w14:solidFill>
              <w14:schemeClr w14:val="tx1"/>
            </w14:solidFill>
          </w14:textFill>
        </w:rPr>
        <w:t xml:space="preserve">6. </w:t>
      </w:r>
      <w:r>
        <w:rPr>
          <w:rFonts w:hint="eastAsia" w:ascii="仿宋" w:hAnsi="仿宋" w:eastAsia="仿宋" w:cs="仿宋"/>
          <w:color w:val="000000" w:themeColor="text1"/>
          <w:sz w:val="24"/>
          <w:highlight w:val="none"/>
          <w:lang w:val="zh-CN"/>
          <w14:textFill>
            <w14:solidFill>
              <w14:schemeClr w14:val="tx1"/>
            </w14:solidFill>
          </w14:textFill>
        </w:rPr>
        <w:t>查明建筑范围内岩土层的类型、深度、分布、工程特性和变化规律，分析和评价地基的稳定性、均匀性和承载力。</w:t>
      </w:r>
    </w:p>
    <w:p>
      <w:pPr>
        <w:pStyle w:val="2"/>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szCs w:val="22"/>
          <w:highlight w:val="none"/>
          <w14:textFill>
            <w14:solidFill>
              <w14:schemeClr w14:val="tx1"/>
            </w14:solidFill>
          </w14:textFill>
        </w:rPr>
        <w:t>7.</w:t>
      </w:r>
      <w:r>
        <w:rPr>
          <w:rFonts w:hint="eastAsia" w:ascii="仿宋" w:hAnsi="仿宋" w:eastAsia="仿宋" w:cs="仿宋"/>
          <w:color w:val="000000" w:themeColor="text1"/>
          <w:sz w:val="24"/>
          <w:szCs w:val="22"/>
          <w:highlight w:val="none"/>
          <w14:textFill>
            <w14:solidFill>
              <w14:schemeClr w14:val="tx1"/>
            </w14:solidFill>
          </w14:textFill>
        </w:rPr>
        <w:t>土壤中氡浓度检测</w:t>
      </w:r>
      <w:r>
        <w:rPr>
          <w:rFonts w:hint="eastAsia" w:ascii="仿宋" w:hAnsi="仿宋" w:eastAsia="仿宋" w:cs="仿宋"/>
          <w:color w:val="000000" w:themeColor="text1"/>
          <w:sz w:val="24"/>
          <w:szCs w:val="22"/>
          <w:highlight w:val="none"/>
          <w:lang w:eastAsia="zh-CN"/>
          <w14:textFill>
            <w14:solidFill>
              <w14:schemeClr w14:val="tx1"/>
            </w14:solidFill>
          </w14:textFill>
        </w:rPr>
        <w:t>、</w:t>
      </w:r>
      <w:r>
        <w:rPr>
          <w:rFonts w:hint="eastAsia" w:ascii="仿宋" w:hAnsi="仿宋" w:eastAsia="仿宋" w:cs="仿宋"/>
          <w:color w:val="000000" w:themeColor="text1"/>
          <w:sz w:val="24"/>
          <w:szCs w:val="22"/>
          <w:highlight w:val="none"/>
          <w:lang w:val="en-US" w:eastAsia="zh-CN"/>
          <w14:textFill>
            <w14:solidFill>
              <w14:schemeClr w14:val="tx1"/>
            </w14:solidFill>
          </w14:textFill>
        </w:rPr>
        <w:t>电阻率测试</w:t>
      </w:r>
      <w:r>
        <w:rPr>
          <w:rFonts w:hint="eastAsia" w:ascii="仿宋" w:hAnsi="仿宋" w:eastAsia="仿宋" w:cs="仿宋"/>
          <w:color w:val="000000" w:themeColor="text1"/>
          <w:sz w:val="24"/>
          <w:szCs w:val="22"/>
          <w:highlight w:val="none"/>
          <w14:textFill>
            <w14:solidFill>
              <w14:schemeClr w14:val="tx1"/>
            </w14:solidFill>
          </w14:textFill>
        </w:rPr>
        <w:t>及</w:t>
      </w:r>
      <w:r>
        <w:rPr>
          <w:rFonts w:hint="eastAsia" w:ascii="仿宋" w:hAnsi="仿宋" w:eastAsia="仿宋" w:cs="仿宋"/>
          <w:color w:val="000000" w:themeColor="text1"/>
          <w:sz w:val="24"/>
          <w:szCs w:val="22"/>
          <w:highlight w:val="none"/>
          <w:lang w:val="en-US" w:eastAsia="zh-CN"/>
          <w14:textFill>
            <w14:solidFill>
              <w14:schemeClr w14:val="tx1"/>
            </w14:solidFill>
          </w14:textFill>
        </w:rPr>
        <w:t>拟建工程场地</w:t>
      </w:r>
      <w:r>
        <w:rPr>
          <w:rFonts w:hint="eastAsia" w:ascii="仿宋" w:hAnsi="仿宋" w:eastAsia="仿宋" w:cs="仿宋"/>
          <w:color w:val="000000" w:themeColor="text1"/>
          <w:sz w:val="24"/>
          <w:szCs w:val="22"/>
          <w:highlight w:val="none"/>
          <w14:textFill>
            <w14:solidFill>
              <w14:schemeClr w14:val="tx1"/>
            </w14:solidFill>
          </w14:textFill>
        </w:rPr>
        <w:t>噪声检测</w:t>
      </w:r>
      <w:r>
        <w:rPr>
          <w:rFonts w:hint="eastAsia" w:ascii="仿宋" w:hAnsi="仿宋" w:eastAsia="仿宋" w:cs="仿宋"/>
          <w:color w:val="000000" w:themeColor="text1"/>
          <w:sz w:val="24"/>
          <w:szCs w:val="22"/>
          <w:highlight w:val="none"/>
          <w:lang w:eastAsia="zh-CN"/>
          <w14:textFill>
            <w14:solidFill>
              <w14:schemeClr w14:val="tx1"/>
            </w14:solidFill>
          </w14:textFill>
        </w:rPr>
        <w:t>。</w:t>
      </w:r>
    </w:p>
    <w:p>
      <w:pPr>
        <w:autoSpaceDE w:val="0"/>
        <w:autoSpaceDN w:val="0"/>
        <w:spacing w:line="560" w:lineRule="exact"/>
        <w:ind w:firstLine="480" w:firstLineChars="200"/>
        <w:jc w:val="left"/>
        <w:rPr>
          <w:color w:val="000000" w:themeColor="text1"/>
          <w:highlight w:val="none"/>
          <w:lang w:val="zh-CN"/>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当有软弱下卧层时，需勘察提供参数，供设计验算软弱下卧层强度</w:t>
      </w:r>
    </w:p>
    <w:p>
      <w:pPr>
        <w:autoSpaceDE w:val="0"/>
        <w:autoSpaceDN w:val="0"/>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9</w:t>
      </w:r>
      <w:r>
        <w:rPr>
          <w:rFonts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持力层为倾斜地层，基岩面凹凸不平或岩土中有溶洞时，应评价基础的稳定性，并提出处理措施的建议。</w:t>
      </w:r>
    </w:p>
    <w:p>
      <w:pPr>
        <w:autoSpaceDE w:val="0"/>
        <w:autoSpaceDN w:val="0"/>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10</w:t>
      </w:r>
      <w:r>
        <w:rPr>
          <w:rFonts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对可能采用的基础形式提出建议：</w:t>
      </w:r>
    </w:p>
    <w:p>
      <w:pPr>
        <w:numPr>
          <w:ilvl w:val="0"/>
          <w:numId w:val="7"/>
        </w:numPr>
        <w:autoSpaceDE w:val="0"/>
        <w:autoSpaceDN w:val="0"/>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评价成桩可能性，论证桩的施工条件及其对环境的影响。提供桩基设计所需的岩土技术参数，提出桩的类型、长度、和施工方法等建议。</w:t>
      </w:r>
    </w:p>
    <w:p>
      <w:pPr>
        <w:numPr>
          <w:ilvl w:val="0"/>
          <w:numId w:val="7"/>
        </w:numPr>
        <w:autoSpaceDE w:val="0"/>
        <w:autoSpaceDN w:val="0"/>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提出估算的有关岩土的基桩侧阻力和端阻力，。</w:t>
      </w:r>
    </w:p>
    <w:p>
      <w:pPr>
        <w:numPr>
          <w:ilvl w:val="0"/>
          <w:numId w:val="7"/>
        </w:numPr>
        <w:autoSpaceDE w:val="0"/>
        <w:autoSpaceDN w:val="0"/>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应提供计算所需的各层岩土的变形参数，，并预测建筑物的变形特征。</w:t>
      </w:r>
    </w:p>
    <w:p>
      <w:pPr>
        <w:numPr>
          <w:ilvl w:val="0"/>
          <w:numId w:val="7"/>
        </w:numPr>
        <w:autoSpaceDE w:val="0"/>
        <w:autoSpaceDN w:val="0"/>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查明不良地质作用，可液化土层和特殊性岩土以及溶洞的分布及对桩基的危害程度，并提出防治措施的建议。</w:t>
      </w:r>
    </w:p>
    <w:p>
      <w:pPr>
        <w:numPr>
          <w:ilvl w:val="0"/>
          <w:numId w:val="7"/>
        </w:numPr>
        <w:autoSpaceDE w:val="0"/>
        <w:autoSpaceDN w:val="0"/>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当桩基持力层为基岩时，应查明基岩的岩性、构造、岩面变化、风化程度，确定基坚硬程度、完整程度和基本质量等级，判定有无洞穴、临空面、破碎岩体或软弱岩层。</w:t>
      </w:r>
    </w:p>
    <w:p>
      <w:pPr>
        <w:numPr>
          <w:ilvl w:val="0"/>
          <w:numId w:val="7"/>
        </w:numPr>
        <w:autoSpaceDE w:val="0"/>
        <w:autoSpaceDN w:val="0"/>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桩基岩土工程勘察宜采用钻探和触探以及基他原位测试相结合的方式进行，对软土宜采用静力触探试验，对粘性土、粉土和砂土宜采用标准贯入试验，对碎石土宜采用重型或超重型圆锥动力触探。</w:t>
      </w:r>
    </w:p>
    <w:p>
      <w:pPr>
        <w:autoSpaceDE w:val="0"/>
        <w:autoSpaceDN w:val="0"/>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lang w:val="zh-CN"/>
          <w14:textFill>
            <w14:solidFill>
              <w14:schemeClr w14:val="tx1"/>
            </w14:solidFill>
          </w14:textFill>
        </w:rPr>
        <w:t>1</w:t>
      </w:r>
      <w:r>
        <w:rPr>
          <w:rFonts w:ascii="仿宋" w:hAnsi="仿宋" w:eastAsia="仿宋" w:cs="仿宋"/>
          <w:color w:val="000000" w:themeColor="text1"/>
          <w:sz w:val="24"/>
          <w:highlight w:val="none"/>
          <w14:textFill>
            <w14:solidFill>
              <w14:schemeClr w14:val="tx1"/>
            </w14:solidFill>
          </w14:textFill>
        </w:rPr>
        <w:t>1</w:t>
      </w:r>
      <w:r>
        <w:rPr>
          <w:rFonts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基坑</w:t>
      </w:r>
      <w:r>
        <w:rPr>
          <w:rFonts w:hint="eastAsia" w:ascii="仿宋" w:hAnsi="仿宋" w:eastAsia="仿宋" w:cs="仿宋"/>
          <w:color w:val="000000" w:themeColor="text1"/>
          <w:sz w:val="24"/>
          <w:highlight w:val="none"/>
          <w:lang w:val="en-US" w:eastAsia="zh-CN"/>
          <w14:textFill>
            <w14:solidFill>
              <w14:schemeClr w14:val="tx1"/>
            </w14:solidFill>
          </w14:textFill>
        </w:rPr>
        <w:t>或挡墙</w:t>
      </w:r>
      <w:r>
        <w:rPr>
          <w:rFonts w:hint="eastAsia" w:ascii="仿宋" w:hAnsi="仿宋" w:eastAsia="仿宋" w:cs="仿宋"/>
          <w:color w:val="000000" w:themeColor="text1"/>
          <w:sz w:val="24"/>
          <w:highlight w:val="none"/>
          <w14:textFill>
            <w14:solidFill>
              <w14:schemeClr w14:val="tx1"/>
            </w14:solidFill>
          </w14:textFill>
        </w:rPr>
        <w:t>工程勘察部分应对应一下内容进行分析，并提供有关技术参数和建议：</w:t>
      </w:r>
    </w:p>
    <w:p>
      <w:pPr>
        <w:numPr>
          <w:ilvl w:val="0"/>
          <w:numId w:val="8"/>
        </w:numPr>
        <w:autoSpaceDE w:val="0"/>
        <w:autoSpaceDN w:val="0"/>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边坡的局部稳定性、整体稳定性和坑底抗隆起稳定性；</w:t>
      </w:r>
    </w:p>
    <w:p>
      <w:pPr>
        <w:numPr>
          <w:ilvl w:val="0"/>
          <w:numId w:val="8"/>
        </w:numPr>
        <w:autoSpaceDE w:val="0"/>
        <w:autoSpaceDN w:val="0"/>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坑底和侧壁的渗透稳定性；</w:t>
      </w:r>
    </w:p>
    <w:p>
      <w:pPr>
        <w:numPr>
          <w:ilvl w:val="0"/>
          <w:numId w:val="8"/>
        </w:numPr>
        <w:autoSpaceDE w:val="0"/>
        <w:autoSpaceDN w:val="0"/>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挡土结构和边坡可能发生的变形；</w:t>
      </w:r>
    </w:p>
    <w:p>
      <w:pPr>
        <w:numPr>
          <w:ilvl w:val="0"/>
          <w:numId w:val="8"/>
        </w:numPr>
        <w:autoSpaceDE w:val="0"/>
        <w:autoSpaceDN w:val="0"/>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降水效果和降水对环境的影响；</w:t>
      </w:r>
    </w:p>
    <w:p>
      <w:pPr>
        <w:numPr>
          <w:ilvl w:val="0"/>
          <w:numId w:val="8"/>
        </w:numPr>
        <w:autoSpaceDE w:val="0"/>
        <w:autoSpaceDN w:val="0"/>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开挖和降水对邻边建筑和地下设施的影响。</w:t>
      </w:r>
    </w:p>
    <w:p>
      <w:pPr>
        <w:numPr>
          <w:ilvl w:val="0"/>
          <w:numId w:val="9"/>
        </w:numPr>
        <w:autoSpaceDE w:val="0"/>
        <w:autoSpaceDN w:val="0"/>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除说明外，均按照《岩土工程勘察规范》（</w:t>
      </w:r>
      <w:r>
        <w:rPr>
          <w:rFonts w:ascii="仿宋" w:hAnsi="仿宋" w:eastAsia="仿宋" w:cs="仿宋"/>
          <w:color w:val="000000" w:themeColor="text1"/>
          <w:sz w:val="24"/>
          <w:highlight w:val="none"/>
          <w14:textFill>
            <w14:solidFill>
              <w14:schemeClr w14:val="tx1"/>
            </w14:solidFill>
          </w14:textFill>
        </w:rPr>
        <w:t>GB50021-2017）（2017年版）规定的有关技术要求执行。如本次勘察结果表明场地存在特殊问题，则在钻探过程中或基础工程施工前另行增补技术措施。</w:t>
      </w:r>
    </w:p>
    <w:p>
      <w:pPr>
        <w:numPr>
          <w:ilvl w:val="0"/>
          <w:numId w:val="9"/>
        </w:numPr>
        <w:autoSpaceDE w:val="0"/>
        <w:autoSpaceDN w:val="0"/>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视现场钻孔揭露地层情况，选取具有代表性的钻孔位置（砂层深厚、分布连续地段）进行抽水试验</w:t>
      </w:r>
    </w:p>
    <w:p>
      <w:pPr>
        <w:numPr>
          <w:ilvl w:val="0"/>
          <w:numId w:val="9"/>
        </w:numPr>
        <w:autoSpaceDE w:val="0"/>
        <w:autoSpaceDN w:val="0"/>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根据要求在建筑周边布设噪声测量点主要执行以下依据</w:t>
      </w:r>
    </w:p>
    <w:p>
      <w:pPr>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1、《建筑节能工程施工质量验收标准》GB50411-2019</w:t>
      </w:r>
    </w:p>
    <w:p>
      <w:pPr>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2、《绿色建筑评价标准》GB50378-2014</w:t>
      </w:r>
    </w:p>
    <w:p>
      <w:pPr>
        <w:spacing w:line="560" w:lineRule="exact"/>
        <w:ind w:firstLine="480" w:firstLineChars="200"/>
        <w:jc w:val="left"/>
        <w:rPr>
          <w:highlight w:val="none"/>
        </w:rPr>
      </w:pPr>
      <w:r>
        <w:rPr>
          <w:rFonts w:hint="eastAsia" w:ascii="仿宋" w:hAnsi="仿宋" w:eastAsia="仿宋" w:cs="仿宋"/>
          <w:color w:val="000000" w:themeColor="text1"/>
          <w:sz w:val="24"/>
          <w:highlight w:val="none"/>
          <w14:textFill>
            <w14:solidFill>
              <w14:schemeClr w14:val="tx1"/>
            </w14:solidFill>
          </w14:textFill>
        </w:rPr>
        <w:t>3、《广东省绿色建筑评价标准》DJB15-86-2011</w:t>
      </w:r>
    </w:p>
    <w:p>
      <w:pPr>
        <w:spacing w:line="56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4、</w:t>
      </w:r>
      <w:r>
        <w:rPr>
          <w:rFonts w:hint="eastAsia" w:ascii="仿宋" w:hAnsi="仿宋" w:eastAsia="仿宋" w:cs="仿宋"/>
          <w:b/>
          <w:bCs/>
          <w:color w:val="000000" w:themeColor="text1"/>
          <w:sz w:val="24"/>
          <w:highlight w:val="none"/>
          <w14:textFill>
            <w14:solidFill>
              <w14:schemeClr w14:val="tx1"/>
            </w14:solidFill>
          </w14:textFill>
        </w:rPr>
        <w:t>地下物探测要求</w:t>
      </w:r>
    </w:p>
    <w:p>
      <w:pPr>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根据广州市城乡建设委员会《关于加强地下工程施工前地下管线探测工作的通知》（穗建质</w:t>
      </w:r>
      <w:r>
        <w:rPr>
          <w:rFonts w:ascii="仿宋" w:hAnsi="仿宋" w:eastAsia="仿宋" w:cs="仿宋"/>
          <w:color w:val="000000" w:themeColor="text1"/>
          <w:sz w:val="24"/>
          <w:highlight w:val="none"/>
          <w14:textFill>
            <w14:solidFill>
              <w14:schemeClr w14:val="tx1"/>
            </w14:solidFill>
          </w14:textFill>
        </w:rPr>
        <w:t>[2013]845号），对本项目</w:t>
      </w:r>
      <w:r>
        <w:rPr>
          <w:rFonts w:hint="eastAsia" w:ascii="仿宋" w:hAnsi="仿宋" w:eastAsia="仿宋" w:cs="仿宋"/>
          <w:color w:val="000000" w:themeColor="text1"/>
          <w:sz w:val="24"/>
          <w:highlight w:val="none"/>
          <w14:textFill>
            <w14:solidFill>
              <w14:schemeClr w14:val="tx1"/>
            </w14:solidFill>
          </w14:textFill>
        </w:rPr>
        <w:t>用地红线范围进行物探，探测工作包括查明探测范围内各专业管线及排洪渠走向、位置和标高等，作为设计和施工的基础数据。探测单位应当根据《城市地下管线探测技术规程》</w:t>
      </w:r>
      <w:r>
        <w:rPr>
          <w:rFonts w:ascii="仿宋" w:hAnsi="仿宋" w:eastAsia="仿宋" w:cs="仿宋"/>
          <w:color w:val="000000" w:themeColor="text1"/>
          <w:sz w:val="24"/>
          <w:highlight w:val="none"/>
          <w14:textFill>
            <w14:solidFill>
              <w14:schemeClr w14:val="tx1"/>
            </w14:solidFill>
          </w14:textFill>
        </w:rPr>
        <w:t>(CJJ6  1-2003)和探测合同开展工作，确保工作质量，出具的探测报告需加盖CMA章。</w:t>
      </w:r>
    </w:p>
    <w:p>
      <w:pPr>
        <w:spacing w:line="560" w:lineRule="exact"/>
        <w:ind w:firstLine="562" w:firstLineChars="200"/>
        <w:jc w:val="left"/>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五、勘察报告内容</w:t>
      </w:r>
    </w:p>
    <w:p>
      <w:pPr>
        <w:spacing w:beforeLines="50" w:afterLines="50"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勘察报告应满足现行相关规范、规程、标准等的要求，满足项目设计及施工的要求。满足施工图审查要求，盖注册岩土工程师章和施工图审查章，管线物探报告盖质量认证的CMA章。</w:t>
      </w:r>
    </w:p>
    <w:p>
      <w:pPr>
        <w:spacing w:beforeLines="50" w:afterLines="50" w:line="56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岩土勘察报告</w:t>
      </w:r>
    </w:p>
    <w:p>
      <w:pPr>
        <w:spacing w:line="560" w:lineRule="exact"/>
        <w:ind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lang w:val="zh-CN"/>
          <w14:textFill>
            <w14:solidFill>
              <w14:schemeClr w14:val="tx1"/>
            </w14:solidFill>
          </w14:textFill>
        </w:rPr>
        <w:t>文字部分：</w:t>
      </w:r>
    </w:p>
    <w:p>
      <w:pPr>
        <w:spacing w:line="560" w:lineRule="exact"/>
        <w:ind w:left="44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 xml:space="preserve">1)  </w:t>
      </w:r>
      <w:r>
        <w:rPr>
          <w:rFonts w:hint="eastAsia" w:ascii="仿宋" w:hAnsi="仿宋" w:eastAsia="仿宋" w:cs="仿宋"/>
          <w:color w:val="000000" w:themeColor="text1"/>
          <w:sz w:val="24"/>
          <w:highlight w:val="none"/>
          <w14:textFill>
            <w14:solidFill>
              <w14:schemeClr w14:val="tx1"/>
            </w14:solidFill>
          </w14:textFill>
        </w:rPr>
        <w:t>工程地质勘察目的、任务要求和依据的技术标准；</w:t>
      </w:r>
    </w:p>
    <w:p>
      <w:pPr>
        <w:spacing w:line="560" w:lineRule="exact"/>
        <w:ind w:left="44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 xml:space="preserve">2)  </w:t>
      </w:r>
      <w:r>
        <w:rPr>
          <w:rFonts w:hint="eastAsia" w:ascii="仿宋" w:hAnsi="仿宋" w:eastAsia="仿宋" w:cs="仿宋"/>
          <w:color w:val="000000" w:themeColor="text1"/>
          <w:sz w:val="24"/>
          <w:highlight w:val="none"/>
          <w14:textFill>
            <w14:solidFill>
              <w14:schemeClr w14:val="tx1"/>
            </w14:solidFill>
          </w14:textFill>
        </w:rPr>
        <w:t>拟建工程概况；</w:t>
      </w:r>
    </w:p>
    <w:p>
      <w:pPr>
        <w:spacing w:line="560" w:lineRule="exact"/>
        <w:ind w:left="44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3）勘察方法和勘察工作布置；</w:t>
      </w:r>
    </w:p>
    <w:p>
      <w:pPr>
        <w:spacing w:line="560" w:lineRule="exact"/>
        <w:ind w:left="44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 xml:space="preserve">4)  </w:t>
      </w:r>
      <w:r>
        <w:rPr>
          <w:rFonts w:hint="eastAsia" w:ascii="仿宋" w:hAnsi="仿宋" w:eastAsia="仿宋" w:cs="仿宋"/>
          <w:color w:val="000000" w:themeColor="text1"/>
          <w:sz w:val="24"/>
          <w:highlight w:val="none"/>
          <w14:textFill>
            <w14:solidFill>
              <w14:schemeClr w14:val="tx1"/>
            </w14:solidFill>
          </w14:textFill>
        </w:rPr>
        <w:t>场地地形、地貌、地质、地质构造、岩石性质及其均匀性；</w:t>
      </w:r>
    </w:p>
    <w:p>
      <w:pPr>
        <w:spacing w:line="560" w:lineRule="exact"/>
        <w:ind w:left="44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 xml:space="preserve">5)  </w:t>
      </w:r>
      <w:r>
        <w:rPr>
          <w:rFonts w:hint="eastAsia" w:ascii="仿宋" w:hAnsi="仿宋" w:eastAsia="仿宋" w:cs="仿宋"/>
          <w:color w:val="000000" w:themeColor="text1"/>
          <w:sz w:val="24"/>
          <w:highlight w:val="none"/>
          <w14:textFill>
            <w14:solidFill>
              <w14:schemeClr w14:val="tx1"/>
            </w14:solidFill>
          </w14:textFill>
        </w:rPr>
        <w:t>各项岩土性质指标，岩土的强度参数、变形参数、地基承载力的建议值；</w:t>
      </w:r>
    </w:p>
    <w:p>
      <w:pPr>
        <w:spacing w:line="560" w:lineRule="exact"/>
        <w:ind w:left="44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 xml:space="preserve">6)  </w:t>
      </w:r>
      <w:r>
        <w:rPr>
          <w:rFonts w:hint="eastAsia" w:ascii="仿宋" w:hAnsi="仿宋" w:eastAsia="仿宋" w:cs="仿宋"/>
          <w:color w:val="000000" w:themeColor="text1"/>
          <w:sz w:val="24"/>
          <w:highlight w:val="none"/>
          <w14:textFill>
            <w14:solidFill>
              <w14:schemeClr w14:val="tx1"/>
            </w14:solidFill>
          </w14:textFill>
        </w:rPr>
        <w:t>地上水埋藏情况、类型、水位及其变化；</w:t>
      </w:r>
    </w:p>
    <w:p>
      <w:pPr>
        <w:spacing w:line="560" w:lineRule="exact"/>
        <w:ind w:left="44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 xml:space="preserve">7)  </w:t>
      </w:r>
      <w:r>
        <w:rPr>
          <w:rFonts w:hint="eastAsia" w:ascii="仿宋" w:hAnsi="仿宋" w:eastAsia="仿宋" w:cs="仿宋"/>
          <w:color w:val="000000" w:themeColor="text1"/>
          <w:sz w:val="24"/>
          <w:highlight w:val="none"/>
          <w14:textFill>
            <w14:solidFill>
              <w14:schemeClr w14:val="tx1"/>
            </w14:solidFill>
          </w14:textFill>
        </w:rPr>
        <w:t>土和水对建筑材料的腐蚀性；</w:t>
      </w:r>
    </w:p>
    <w:p>
      <w:pPr>
        <w:spacing w:line="560" w:lineRule="exact"/>
        <w:ind w:left="44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 xml:space="preserve">8)  </w:t>
      </w:r>
      <w:r>
        <w:rPr>
          <w:rFonts w:hint="eastAsia" w:ascii="仿宋" w:hAnsi="仿宋" w:eastAsia="仿宋" w:cs="仿宋"/>
          <w:color w:val="000000" w:themeColor="text1"/>
          <w:sz w:val="24"/>
          <w:highlight w:val="none"/>
          <w14:textFill>
            <w14:solidFill>
              <w14:schemeClr w14:val="tx1"/>
            </w14:solidFill>
          </w14:textFill>
        </w:rPr>
        <w:t>可能影响工程稳定的不良地质作用的描述和对工程危害的程度的评价，及提供防治措施的建议；</w:t>
      </w:r>
    </w:p>
    <w:p>
      <w:pPr>
        <w:spacing w:line="560" w:lineRule="exact"/>
        <w:ind w:left="44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 xml:space="preserve">9)  </w:t>
      </w:r>
      <w:r>
        <w:rPr>
          <w:rFonts w:hint="eastAsia" w:ascii="仿宋" w:hAnsi="仿宋" w:eastAsia="仿宋" w:cs="仿宋"/>
          <w:color w:val="000000" w:themeColor="text1"/>
          <w:sz w:val="24"/>
          <w:highlight w:val="none"/>
          <w14:textFill>
            <w14:solidFill>
              <w14:schemeClr w14:val="tx1"/>
            </w14:solidFill>
          </w14:textFill>
        </w:rPr>
        <w:t>场地的稳定性和适宜性、地下水的影响、地震基本烈度、场地类别以及由于工程建筑可能引起的工程地质问题等的结论和建议；</w:t>
      </w:r>
    </w:p>
    <w:p>
      <w:pPr>
        <w:spacing w:line="560" w:lineRule="exact"/>
        <w:ind w:left="44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 xml:space="preserve">10)  </w:t>
      </w:r>
      <w:r>
        <w:rPr>
          <w:rFonts w:hint="eastAsia" w:ascii="仿宋" w:hAnsi="仿宋" w:eastAsia="仿宋" w:cs="仿宋"/>
          <w:color w:val="000000" w:themeColor="text1"/>
          <w:sz w:val="24"/>
          <w:highlight w:val="none"/>
          <w14:textFill>
            <w14:solidFill>
              <w14:schemeClr w14:val="tx1"/>
            </w14:solidFill>
          </w14:textFill>
        </w:rPr>
        <w:t>基坑开挖所需的岩土技术参数；</w:t>
      </w:r>
    </w:p>
    <w:p>
      <w:pPr>
        <w:spacing w:line="560" w:lineRule="exact"/>
        <w:ind w:left="44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 xml:space="preserve">11)  </w:t>
      </w:r>
      <w:r>
        <w:rPr>
          <w:rFonts w:hint="eastAsia" w:ascii="仿宋" w:hAnsi="仿宋" w:eastAsia="仿宋" w:cs="仿宋"/>
          <w:color w:val="000000" w:themeColor="text1"/>
          <w:sz w:val="24"/>
          <w:highlight w:val="none"/>
          <w14:textFill>
            <w14:solidFill>
              <w14:schemeClr w14:val="tx1"/>
            </w14:solidFill>
          </w14:textFill>
        </w:rPr>
        <w:t>基坑施工降水的有关技术参数及施工降水方法的建议；</w:t>
      </w:r>
    </w:p>
    <w:p>
      <w:pPr>
        <w:spacing w:line="560" w:lineRule="exact"/>
        <w:ind w:left="44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 xml:space="preserve">12)  </w:t>
      </w:r>
      <w:r>
        <w:rPr>
          <w:rFonts w:hint="eastAsia" w:ascii="仿宋" w:hAnsi="仿宋" w:eastAsia="仿宋" w:cs="仿宋"/>
          <w:color w:val="000000" w:themeColor="text1"/>
          <w:sz w:val="24"/>
          <w:highlight w:val="none"/>
          <w14:textFill>
            <w14:solidFill>
              <w14:schemeClr w14:val="tx1"/>
            </w14:solidFill>
          </w14:textFill>
        </w:rPr>
        <w:t>提供抗剪强度指标、变形参数指标和触探资料；</w:t>
      </w:r>
    </w:p>
    <w:p>
      <w:pPr>
        <w:spacing w:line="560" w:lineRule="exact"/>
        <w:ind w:left="44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 xml:space="preserve">13)  </w:t>
      </w:r>
      <w:r>
        <w:rPr>
          <w:rFonts w:hint="eastAsia" w:ascii="仿宋" w:hAnsi="仿宋" w:eastAsia="仿宋" w:cs="仿宋"/>
          <w:color w:val="000000" w:themeColor="text1"/>
          <w:sz w:val="24"/>
          <w:highlight w:val="none"/>
          <w14:textFill>
            <w14:solidFill>
              <w14:schemeClr w14:val="tx1"/>
            </w14:solidFill>
          </w14:textFill>
        </w:rPr>
        <w:t>满足工程地质勘察任务书提出的其它各项要求；</w:t>
      </w:r>
    </w:p>
    <w:p>
      <w:pPr>
        <w:spacing w:line="560" w:lineRule="exact"/>
        <w:ind w:left="44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 xml:space="preserve">14)  </w:t>
      </w:r>
      <w:r>
        <w:rPr>
          <w:rFonts w:hint="eastAsia" w:ascii="仿宋" w:hAnsi="仿宋" w:eastAsia="仿宋" w:cs="仿宋"/>
          <w:color w:val="000000" w:themeColor="text1"/>
          <w:sz w:val="24"/>
          <w:highlight w:val="none"/>
          <w14:textFill>
            <w14:solidFill>
              <w14:schemeClr w14:val="tx1"/>
            </w14:solidFill>
          </w14:textFill>
        </w:rPr>
        <w:t>提供抗浮验算的各项计算参数；</w:t>
      </w:r>
    </w:p>
    <w:p>
      <w:pPr>
        <w:spacing w:line="560" w:lineRule="exact"/>
        <w:ind w:left="440"/>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 xml:space="preserve">15)  </w:t>
      </w:r>
      <w:r>
        <w:rPr>
          <w:rFonts w:hint="eastAsia" w:ascii="仿宋" w:hAnsi="仿宋" w:eastAsia="仿宋" w:cs="仿宋"/>
          <w:color w:val="000000" w:themeColor="text1"/>
          <w:sz w:val="24"/>
          <w:highlight w:val="none"/>
          <w14:textFill>
            <w14:solidFill>
              <w14:schemeClr w14:val="tx1"/>
            </w14:solidFill>
          </w14:textFill>
        </w:rPr>
        <w:t>提供基础选型、持力层选择的建议。</w:t>
      </w:r>
    </w:p>
    <w:p>
      <w:pPr>
        <w:spacing w:beforeLines="25" w:afterLines="25" w:line="560" w:lineRule="exact"/>
        <w:ind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图表部分：</w:t>
      </w:r>
    </w:p>
    <w:p>
      <w:pPr>
        <w:numPr>
          <w:ilvl w:val="0"/>
          <w:numId w:val="10"/>
        </w:numPr>
        <w:tabs>
          <w:tab w:val="left" w:pos="900"/>
        </w:tabs>
        <w:spacing w:line="560" w:lineRule="exact"/>
        <w:ind w:left="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勘探点平面布置图；</w:t>
      </w:r>
    </w:p>
    <w:p>
      <w:pPr>
        <w:numPr>
          <w:ilvl w:val="0"/>
          <w:numId w:val="10"/>
        </w:numPr>
        <w:tabs>
          <w:tab w:val="left" w:pos="900"/>
        </w:tabs>
        <w:spacing w:line="560" w:lineRule="exact"/>
        <w:ind w:left="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综合</w:t>
      </w:r>
      <w:r>
        <w:rPr>
          <w:rFonts w:hint="eastAsia" w:ascii="仿宋" w:hAnsi="仿宋" w:eastAsia="仿宋" w:cs="仿宋"/>
          <w:color w:val="000000" w:themeColor="text1"/>
          <w:sz w:val="24"/>
          <w:highlight w:val="none"/>
          <w:lang w:val="en-US" w:eastAsia="zh-CN"/>
          <w14:textFill>
            <w14:solidFill>
              <w14:schemeClr w14:val="tx1"/>
            </w14:solidFill>
          </w14:textFill>
        </w:rPr>
        <w:t>图例</w:t>
      </w:r>
      <w:r>
        <w:rPr>
          <w:rFonts w:hint="eastAsia" w:ascii="仿宋" w:hAnsi="仿宋" w:eastAsia="仿宋" w:cs="仿宋"/>
          <w:color w:val="000000" w:themeColor="text1"/>
          <w:sz w:val="24"/>
          <w:highlight w:val="none"/>
          <w14:textFill>
            <w14:solidFill>
              <w14:schemeClr w14:val="tx1"/>
            </w14:solidFill>
          </w14:textFill>
        </w:rPr>
        <w:t>；</w:t>
      </w:r>
    </w:p>
    <w:p>
      <w:pPr>
        <w:numPr>
          <w:ilvl w:val="0"/>
          <w:numId w:val="10"/>
        </w:numPr>
        <w:tabs>
          <w:tab w:val="left" w:pos="900"/>
        </w:tabs>
        <w:spacing w:line="560" w:lineRule="exact"/>
        <w:ind w:left="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工程地质剖面图；</w:t>
      </w:r>
    </w:p>
    <w:p>
      <w:pPr>
        <w:numPr>
          <w:ilvl w:val="0"/>
          <w:numId w:val="10"/>
        </w:numPr>
        <w:tabs>
          <w:tab w:val="left" w:pos="900"/>
        </w:tabs>
        <w:spacing w:line="560" w:lineRule="exact"/>
        <w:ind w:left="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工程地质柱状图或综合地质柱状图；</w:t>
      </w:r>
    </w:p>
    <w:p>
      <w:pPr>
        <w:numPr>
          <w:ilvl w:val="0"/>
          <w:numId w:val="10"/>
        </w:numPr>
        <w:tabs>
          <w:tab w:val="left" w:pos="900"/>
        </w:tabs>
        <w:spacing w:line="560" w:lineRule="exact"/>
        <w:ind w:left="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室内实验成果图表；</w:t>
      </w:r>
    </w:p>
    <w:p>
      <w:pPr>
        <w:numPr>
          <w:ilvl w:val="0"/>
          <w:numId w:val="10"/>
        </w:numPr>
        <w:tabs>
          <w:tab w:val="left" w:pos="900"/>
        </w:tabs>
        <w:spacing w:line="560" w:lineRule="exact"/>
        <w:ind w:left="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原位测试成果图表；</w:t>
      </w:r>
    </w:p>
    <w:p>
      <w:pPr>
        <w:numPr>
          <w:ilvl w:val="0"/>
          <w:numId w:val="10"/>
        </w:numPr>
        <w:tabs>
          <w:tab w:val="left" w:pos="900"/>
        </w:tabs>
        <w:spacing w:line="560" w:lineRule="exact"/>
        <w:ind w:left="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有关测试图表等；</w:t>
      </w:r>
    </w:p>
    <w:p>
      <w:pPr>
        <w:numPr>
          <w:ilvl w:val="0"/>
          <w:numId w:val="10"/>
        </w:numPr>
        <w:tabs>
          <w:tab w:val="left" w:pos="900"/>
        </w:tabs>
        <w:spacing w:line="560" w:lineRule="exact"/>
        <w:ind w:left="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岩面等高线图；</w:t>
      </w:r>
    </w:p>
    <w:p>
      <w:pPr>
        <w:numPr>
          <w:ilvl w:val="0"/>
          <w:numId w:val="10"/>
        </w:numPr>
        <w:tabs>
          <w:tab w:val="left" w:pos="900"/>
        </w:tabs>
        <w:spacing w:line="560" w:lineRule="exact"/>
        <w:ind w:left="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岩</w:t>
      </w:r>
      <w:r>
        <w:rPr>
          <w:rFonts w:hint="eastAsia" w:ascii="仿宋" w:hAnsi="仿宋" w:eastAsia="仿宋" w:cs="仿宋"/>
          <w:color w:val="000000" w:themeColor="text1"/>
          <w:sz w:val="24"/>
          <w:highlight w:val="none"/>
          <w:lang w:val="en-US" w:eastAsia="zh-CN"/>
          <w14:textFill>
            <w14:solidFill>
              <w14:schemeClr w14:val="tx1"/>
            </w14:solidFill>
          </w14:textFill>
        </w:rPr>
        <w:t>芯</w:t>
      </w:r>
      <w:r>
        <w:rPr>
          <w:rFonts w:hint="eastAsia" w:ascii="仿宋" w:hAnsi="仿宋" w:eastAsia="仿宋" w:cs="仿宋"/>
          <w:color w:val="000000" w:themeColor="text1"/>
          <w:sz w:val="24"/>
          <w:highlight w:val="none"/>
          <w14:textFill>
            <w14:solidFill>
              <w14:schemeClr w14:val="tx1"/>
            </w14:solidFill>
          </w14:textFill>
        </w:rPr>
        <w:t>照片；</w:t>
      </w:r>
    </w:p>
    <w:p>
      <w:pPr>
        <w:numPr>
          <w:ilvl w:val="0"/>
          <w:numId w:val="10"/>
        </w:numPr>
        <w:tabs>
          <w:tab w:val="left" w:pos="900"/>
        </w:tabs>
        <w:spacing w:line="560" w:lineRule="exact"/>
        <w:ind w:left="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不良地质（如有，如孤石、岩溶等）情况分布图及相关列表。</w:t>
      </w:r>
    </w:p>
    <w:p>
      <w:pPr>
        <w:spacing w:beforeLines="50" w:afterLines="50" w:line="56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地形测量报告</w:t>
      </w:r>
    </w:p>
    <w:p>
      <w:pPr>
        <w:numPr>
          <w:ilvl w:val="0"/>
          <w:numId w:val="11"/>
        </w:numPr>
        <w:tabs>
          <w:tab w:val="left" w:pos="900"/>
        </w:tabs>
        <w:spacing w:line="560" w:lineRule="exact"/>
        <w:ind w:left="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地形测量报告书；</w:t>
      </w:r>
    </w:p>
    <w:p>
      <w:pPr>
        <w:numPr>
          <w:ilvl w:val="0"/>
          <w:numId w:val="11"/>
        </w:numPr>
        <w:tabs>
          <w:tab w:val="left" w:pos="900"/>
        </w:tabs>
        <w:spacing w:line="560" w:lineRule="exact"/>
        <w:ind w:left="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控制点坐标表；</w:t>
      </w:r>
    </w:p>
    <w:p>
      <w:pPr>
        <w:numPr>
          <w:ilvl w:val="0"/>
          <w:numId w:val="11"/>
        </w:numPr>
        <w:tabs>
          <w:tab w:val="left" w:pos="900"/>
        </w:tabs>
        <w:spacing w:line="560" w:lineRule="exact"/>
        <w:ind w:left="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地形图；</w:t>
      </w:r>
    </w:p>
    <w:p>
      <w:pPr>
        <w:numPr>
          <w:ilvl w:val="0"/>
          <w:numId w:val="11"/>
        </w:numPr>
        <w:tabs>
          <w:tab w:val="left" w:pos="900"/>
        </w:tabs>
        <w:spacing w:line="560" w:lineRule="exact"/>
        <w:ind w:left="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以上资料的数据光盘。</w:t>
      </w:r>
    </w:p>
    <w:p>
      <w:pPr>
        <w:spacing w:beforeLines="50" w:afterLines="50" w:line="56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地下物探测（含管线探测）</w:t>
      </w:r>
    </w:p>
    <w:p>
      <w:pPr>
        <w:numPr>
          <w:ilvl w:val="0"/>
          <w:numId w:val="12"/>
        </w:numPr>
        <w:tabs>
          <w:tab w:val="left" w:pos="900"/>
        </w:tabs>
        <w:spacing w:line="560" w:lineRule="exact"/>
        <w:ind w:left="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管线探测报告；</w:t>
      </w:r>
    </w:p>
    <w:p>
      <w:pPr>
        <w:numPr>
          <w:ilvl w:val="0"/>
          <w:numId w:val="12"/>
        </w:numPr>
        <w:tabs>
          <w:tab w:val="left" w:pos="900"/>
        </w:tabs>
        <w:spacing w:line="560" w:lineRule="exact"/>
        <w:ind w:left="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附表管线成果表；</w:t>
      </w:r>
    </w:p>
    <w:p>
      <w:pPr>
        <w:numPr>
          <w:ilvl w:val="0"/>
          <w:numId w:val="12"/>
        </w:numPr>
        <w:tabs>
          <w:tab w:val="left" w:pos="900"/>
        </w:tabs>
        <w:spacing w:line="560" w:lineRule="exact"/>
        <w:ind w:left="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附图综合管线图；</w:t>
      </w:r>
    </w:p>
    <w:p>
      <w:pPr>
        <w:numPr>
          <w:ilvl w:val="0"/>
          <w:numId w:val="12"/>
        </w:numPr>
        <w:tabs>
          <w:tab w:val="left" w:pos="900"/>
        </w:tabs>
        <w:spacing w:line="560" w:lineRule="exact"/>
        <w:ind w:left="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以上资料的数据光盘。</w:t>
      </w:r>
    </w:p>
    <w:p>
      <w:pPr>
        <w:spacing w:beforeLines="50" w:afterLines="50" w:line="560" w:lineRule="exact"/>
        <w:rPr>
          <w:rFonts w:hint="default"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4、电阻率报告</w:t>
      </w:r>
    </w:p>
    <w:p>
      <w:pPr>
        <w:spacing w:before="156" w:after="156" w:line="560" w:lineRule="exact"/>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六、工期要求</w:t>
      </w:r>
    </w:p>
    <w:p>
      <w:pPr>
        <w:spacing w:beforeLines="50" w:afterLines="50"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1、岩土工程勘察：承包人应在发包人通知进场后15日内提交中间成果资料，30日内提交正式成果文件；</w:t>
      </w:r>
    </w:p>
    <w:p>
      <w:pPr>
        <w:spacing w:beforeLines="50" w:afterLines="50"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、地下物探测：承包人应在发包人通知进场后15日内提交中间成果资料，30日内提交正式成果文件；</w:t>
      </w:r>
    </w:p>
    <w:p>
      <w:pPr>
        <w:spacing w:beforeLines="50" w:afterLines="50" w:line="560" w:lineRule="exact"/>
        <w:ind w:firstLine="480" w:firstLineChars="200"/>
        <w:rPr>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、其它勘察成果：按本工程进度要求提供，不得耽误项目推进工期。</w:t>
      </w:r>
    </w:p>
    <w:p>
      <w:pPr>
        <w:spacing w:line="560" w:lineRule="exact"/>
        <w:ind w:firstLine="480" w:firstLineChars="200"/>
        <w:jc w:val="left"/>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spacing w:line="360" w:lineRule="auto"/>
        <w:jc w:val="center"/>
        <w:outlineLvl w:val="0"/>
        <w:rPr>
          <w:rFonts w:ascii="宋体" w:hAnsi="宋体" w:eastAsia="仿宋_GB2312" w:cs="宋体"/>
          <w:b/>
          <w:color w:val="auto"/>
          <w:kern w:val="2"/>
          <w:sz w:val="36"/>
          <w:szCs w:val="36"/>
          <w:highlight w:val="none"/>
        </w:rPr>
      </w:pPr>
      <w:bookmarkStart w:id="2" w:name="_Hlk111539117"/>
      <w:r>
        <w:rPr>
          <w:rFonts w:hint="eastAsia" w:ascii="宋体" w:hAnsi="宋体" w:eastAsia="仿宋_GB2312" w:cs="宋体"/>
          <w:b/>
          <w:color w:val="auto"/>
          <w:kern w:val="2"/>
          <w:sz w:val="36"/>
          <w:szCs w:val="36"/>
          <w:highlight w:val="none"/>
        </w:rPr>
        <w:t>附件：</w:t>
      </w:r>
      <w:bookmarkEnd w:id="2"/>
      <w:r>
        <w:rPr>
          <w:rFonts w:ascii="宋体" w:hAnsi="宋体" w:eastAsia="仿宋_GB2312" w:cs="宋体"/>
          <w:b/>
          <w:color w:val="auto"/>
          <w:kern w:val="2"/>
          <w:sz w:val="36"/>
          <w:szCs w:val="36"/>
          <w:highlight w:val="none"/>
        </w:rPr>
        <w:t>勘察设计单位履约考核</w:t>
      </w:r>
      <w:r>
        <w:rPr>
          <w:rFonts w:hint="eastAsia" w:ascii="宋体" w:hAnsi="宋体" w:eastAsia="仿宋_GB2312" w:cs="宋体"/>
          <w:b/>
          <w:color w:val="auto"/>
          <w:kern w:val="2"/>
          <w:sz w:val="36"/>
          <w:szCs w:val="36"/>
          <w:highlight w:val="none"/>
        </w:rPr>
        <w:t>办法</w:t>
      </w:r>
    </w:p>
    <w:p>
      <w:pPr>
        <w:spacing w:line="360" w:lineRule="auto"/>
        <w:ind w:firstLine="562" w:firstLineChars="200"/>
        <w:jc w:val="left"/>
        <w:rPr>
          <w:rFonts w:ascii="宋体" w:hAnsi="宋体" w:cs="Times New Roman"/>
          <w:b/>
          <w:color w:val="auto"/>
          <w:spacing w:val="20"/>
          <w:kern w:val="2"/>
          <w:sz w:val="24"/>
          <w:szCs w:val="20"/>
          <w:highlight w:val="none"/>
        </w:rPr>
      </w:pPr>
    </w:p>
    <w:p>
      <w:pPr>
        <w:spacing w:line="360" w:lineRule="auto"/>
        <w:ind w:firstLine="480"/>
        <w:jc w:val="left"/>
        <w:rPr>
          <w:rFonts w:ascii="宋体" w:hAnsi="宋体" w:cs="Times New Roman"/>
          <w:color w:val="auto"/>
          <w:kern w:val="2"/>
          <w:sz w:val="24"/>
          <w:szCs w:val="20"/>
          <w:highlight w:val="none"/>
        </w:rPr>
      </w:pPr>
      <w:r>
        <w:rPr>
          <w:rFonts w:hint="eastAsia" w:cs="Times New Roman"/>
          <w:color w:val="auto"/>
          <w:kern w:val="2"/>
          <w:sz w:val="24"/>
          <w:szCs w:val="20"/>
          <w:highlight w:val="none"/>
        </w:rPr>
        <w:t>为加强对勘察设计单位的管控，确保勘察设计各阶段成果质量、设计进度能满足总体计划要求，增加勘察设计单位的服务水平，在《勘察设计施工总承包（EPC）合同》（以下简称“本项目合同”）的基础上，从勘察设计团队、勘察设计要求、勘察设计进度管理、勘察设计质量管理、勘察设计成本管理、勘察设计服务等方面对勘察设计单位进行考核，</w:t>
      </w:r>
      <w:r>
        <w:rPr>
          <w:rFonts w:hint="eastAsia" w:ascii="宋体" w:hAnsi="宋体" w:cs="Times New Roman"/>
          <w:color w:val="auto"/>
          <w:kern w:val="2"/>
          <w:sz w:val="24"/>
          <w:szCs w:val="20"/>
          <w:highlight w:val="none"/>
        </w:rPr>
        <w:t>制定本办法。</w:t>
      </w:r>
    </w:p>
    <w:p>
      <w:pPr>
        <w:spacing w:line="360" w:lineRule="auto"/>
        <w:ind w:firstLine="480"/>
        <w:jc w:val="left"/>
        <w:rPr>
          <w:rFonts w:cs="Times New Roman"/>
          <w:color w:val="auto"/>
          <w:kern w:val="2"/>
          <w:sz w:val="24"/>
          <w:szCs w:val="20"/>
          <w:highlight w:val="none"/>
        </w:rPr>
      </w:pPr>
      <w:r>
        <w:rPr>
          <w:rFonts w:hint="eastAsia" w:cs="Times New Roman"/>
          <w:color w:val="auto"/>
          <w:kern w:val="2"/>
          <w:sz w:val="24"/>
          <w:szCs w:val="20"/>
          <w:highlight w:val="none"/>
        </w:rPr>
        <w:t>勘察设计单位应重视《勘察设计单位履约考核表》所列条款内容并予以配合。《勘察设计单位履约考核表》仅对勘察设计单位考核评分，所列条款内容与本项目合同条款内容表述不一致，以本项目合同为准，考核项目涉及违约金及扣款的以本项目合同为准。</w:t>
      </w:r>
    </w:p>
    <w:p>
      <w:pPr>
        <w:spacing w:line="360" w:lineRule="auto"/>
        <w:ind w:firstLine="480"/>
        <w:jc w:val="left"/>
        <w:rPr>
          <w:rFonts w:cs="Times New Roman"/>
          <w:color w:val="auto"/>
          <w:kern w:val="2"/>
          <w:sz w:val="24"/>
          <w:szCs w:val="20"/>
          <w:highlight w:val="none"/>
        </w:rPr>
      </w:pPr>
      <w:r>
        <w:rPr>
          <w:rFonts w:hint="eastAsia" w:cs="Times New Roman"/>
          <w:color w:val="auto"/>
          <w:kern w:val="2"/>
          <w:sz w:val="24"/>
          <w:szCs w:val="20"/>
          <w:highlight w:val="none"/>
        </w:rPr>
        <w:t>一、考核办法</w:t>
      </w:r>
    </w:p>
    <w:p>
      <w:pPr>
        <w:spacing w:line="360" w:lineRule="auto"/>
        <w:ind w:firstLine="480"/>
        <w:jc w:val="left"/>
        <w:rPr>
          <w:rFonts w:cs="Times New Roman"/>
          <w:color w:val="auto"/>
          <w:kern w:val="2"/>
          <w:sz w:val="24"/>
          <w:szCs w:val="20"/>
          <w:highlight w:val="none"/>
        </w:rPr>
      </w:pPr>
      <w:r>
        <w:rPr>
          <w:rFonts w:hint="eastAsia" w:cs="Times New Roman"/>
          <w:color w:val="auto"/>
          <w:kern w:val="2"/>
          <w:sz w:val="24"/>
          <w:szCs w:val="20"/>
          <w:highlight w:val="none"/>
        </w:rPr>
        <w:t>1、考核人员：建设单位代表1人，代建单位代表4人（设计管理代表2人、合同代表1人、现场代表1人）。</w:t>
      </w:r>
    </w:p>
    <w:p>
      <w:pPr>
        <w:spacing w:line="360" w:lineRule="auto"/>
        <w:ind w:firstLine="480"/>
        <w:jc w:val="left"/>
        <w:rPr>
          <w:rFonts w:cs="Times New Roman"/>
          <w:color w:val="auto"/>
          <w:kern w:val="2"/>
          <w:sz w:val="24"/>
          <w:szCs w:val="20"/>
          <w:highlight w:val="none"/>
        </w:rPr>
      </w:pPr>
      <w:r>
        <w:rPr>
          <w:rFonts w:hint="eastAsia" w:cs="Times New Roman"/>
          <w:color w:val="auto"/>
          <w:kern w:val="2"/>
          <w:sz w:val="24"/>
          <w:szCs w:val="20"/>
          <w:highlight w:val="none"/>
        </w:rPr>
        <w:t>2、考核期限：分为过程考核和项目考核，过程考核每半年组织一次，项目考核在完成项目竣工验收后实施，其中设计周期不足6个月的采用项目考核。</w:t>
      </w:r>
    </w:p>
    <w:p>
      <w:pPr>
        <w:spacing w:line="360" w:lineRule="auto"/>
        <w:ind w:firstLine="480"/>
        <w:jc w:val="left"/>
        <w:rPr>
          <w:rFonts w:cs="Times New Roman"/>
          <w:color w:val="auto"/>
          <w:kern w:val="2"/>
          <w:sz w:val="24"/>
          <w:szCs w:val="20"/>
          <w:highlight w:val="none"/>
        </w:rPr>
      </w:pPr>
      <w:r>
        <w:rPr>
          <w:rFonts w:hint="eastAsia" w:cs="Times New Roman"/>
          <w:color w:val="auto"/>
          <w:kern w:val="2"/>
          <w:sz w:val="24"/>
          <w:szCs w:val="20"/>
          <w:highlight w:val="none"/>
        </w:rPr>
        <w:t>3、考核方式：考核采用勘察设计单位履约考核表，采用百分扣分制（总分100分），根据检查内容及扣分标准进行评分，考核结果分“优”</w:t>
      </w:r>
      <w:r>
        <w:rPr>
          <w:rFonts w:hint="eastAsia" w:cs="Times New Roman"/>
          <w:color w:val="auto"/>
          <w:kern w:val="2"/>
          <w:szCs w:val="21"/>
          <w:highlight w:val="none"/>
        </w:rPr>
        <w:t>（</w:t>
      </w:r>
      <w:r>
        <w:rPr>
          <w:rFonts w:cs="Times New Roman"/>
          <w:color w:val="auto"/>
          <w:kern w:val="2"/>
          <w:szCs w:val="21"/>
          <w:highlight w:val="none"/>
        </w:rPr>
        <w:t>得分</w:t>
      </w:r>
      <w:r>
        <w:rPr>
          <w:rFonts w:hint="eastAsia" w:cs="Times New Roman"/>
          <w:color w:val="auto"/>
          <w:kern w:val="2"/>
          <w:szCs w:val="21"/>
          <w:highlight w:val="none"/>
        </w:rPr>
        <w:t>≥</w:t>
      </w:r>
      <w:r>
        <w:rPr>
          <w:rFonts w:cs="Times New Roman"/>
          <w:color w:val="auto"/>
          <w:kern w:val="2"/>
          <w:szCs w:val="21"/>
          <w:highlight w:val="none"/>
        </w:rPr>
        <w:t>9</w:t>
      </w:r>
      <w:r>
        <w:rPr>
          <w:rFonts w:hint="eastAsia" w:cs="Times New Roman"/>
          <w:color w:val="auto"/>
          <w:kern w:val="2"/>
          <w:szCs w:val="21"/>
          <w:highlight w:val="none"/>
        </w:rPr>
        <w:t>0</w:t>
      </w:r>
      <w:r>
        <w:rPr>
          <w:rFonts w:cs="Times New Roman"/>
          <w:color w:val="auto"/>
          <w:kern w:val="2"/>
          <w:szCs w:val="21"/>
          <w:highlight w:val="none"/>
        </w:rPr>
        <w:t>分</w:t>
      </w:r>
      <w:r>
        <w:rPr>
          <w:rFonts w:hint="eastAsia" w:cs="Times New Roman"/>
          <w:color w:val="auto"/>
          <w:kern w:val="2"/>
          <w:szCs w:val="21"/>
          <w:highlight w:val="none"/>
        </w:rPr>
        <w:t>）</w:t>
      </w:r>
      <w:r>
        <w:rPr>
          <w:rFonts w:hint="eastAsia" w:cs="Times New Roman"/>
          <w:color w:val="auto"/>
          <w:kern w:val="2"/>
          <w:sz w:val="24"/>
          <w:szCs w:val="20"/>
          <w:highlight w:val="none"/>
        </w:rPr>
        <w:t>、 “良”</w:t>
      </w:r>
      <w:r>
        <w:rPr>
          <w:rFonts w:hint="eastAsia" w:cs="Times New Roman"/>
          <w:color w:val="auto"/>
          <w:kern w:val="2"/>
          <w:szCs w:val="21"/>
          <w:highlight w:val="none"/>
        </w:rPr>
        <w:t>（80</w:t>
      </w:r>
      <w:r>
        <w:rPr>
          <w:rFonts w:cs="Times New Roman"/>
          <w:color w:val="auto"/>
          <w:kern w:val="2"/>
          <w:szCs w:val="21"/>
          <w:highlight w:val="none"/>
        </w:rPr>
        <w:t>分≤得分＜9</w:t>
      </w:r>
      <w:r>
        <w:rPr>
          <w:rFonts w:hint="eastAsia" w:cs="Times New Roman"/>
          <w:color w:val="auto"/>
          <w:kern w:val="2"/>
          <w:szCs w:val="21"/>
          <w:highlight w:val="none"/>
        </w:rPr>
        <w:t>0</w:t>
      </w:r>
      <w:r>
        <w:rPr>
          <w:rFonts w:cs="Times New Roman"/>
          <w:color w:val="auto"/>
          <w:kern w:val="2"/>
          <w:szCs w:val="21"/>
          <w:highlight w:val="none"/>
        </w:rPr>
        <w:t>分</w:t>
      </w:r>
      <w:r>
        <w:rPr>
          <w:rFonts w:hint="eastAsia" w:cs="Times New Roman"/>
          <w:color w:val="auto"/>
          <w:kern w:val="2"/>
          <w:szCs w:val="21"/>
          <w:highlight w:val="none"/>
        </w:rPr>
        <w:t>）</w:t>
      </w:r>
      <w:r>
        <w:rPr>
          <w:rFonts w:hint="eastAsia" w:cs="Times New Roman"/>
          <w:color w:val="auto"/>
          <w:kern w:val="2"/>
          <w:sz w:val="24"/>
          <w:szCs w:val="20"/>
          <w:highlight w:val="none"/>
        </w:rPr>
        <w:t>、“中”</w:t>
      </w:r>
      <w:r>
        <w:rPr>
          <w:rFonts w:hint="eastAsia" w:cs="Times New Roman"/>
          <w:color w:val="auto"/>
          <w:kern w:val="2"/>
          <w:szCs w:val="21"/>
          <w:highlight w:val="none"/>
        </w:rPr>
        <w:t>（60</w:t>
      </w:r>
      <w:r>
        <w:rPr>
          <w:rFonts w:cs="Times New Roman"/>
          <w:color w:val="auto"/>
          <w:kern w:val="2"/>
          <w:szCs w:val="21"/>
          <w:highlight w:val="none"/>
        </w:rPr>
        <w:t>分≤得分＜80分</w:t>
      </w:r>
      <w:r>
        <w:rPr>
          <w:rFonts w:hint="eastAsia" w:cs="Times New Roman"/>
          <w:color w:val="auto"/>
          <w:kern w:val="2"/>
          <w:szCs w:val="21"/>
          <w:highlight w:val="none"/>
        </w:rPr>
        <w:t>）</w:t>
      </w:r>
      <w:r>
        <w:rPr>
          <w:rFonts w:hint="eastAsia" w:cs="Times New Roman"/>
          <w:color w:val="auto"/>
          <w:kern w:val="2"/>
          <w:sz w:val="24"/>
          <w:szCs w:val="20"/>
          <w:highlight w:val="none"/>
        </w:rPr>
        <w:t>、“差”</w:t>
      </w:r>
      <w:r>
        <w:rPr>
          <w:rFonts w:hint="eastAsia" w:cs="Times New Roman"/>
          <w:color w:val="auto"/>
          <w:kern w:val="2"/>
          <w:szCs w:val="21"/>
          <w:highlight w:val="none"/>
        </w:rPr>
        <w:t>（</w:t>
      </w:r>
      <w:r>
        <w:rPr>
          <w:rFonts w:cs="Times New Roman"/>
          <w:color w:val="auto"/>
          <w:kern w:val="2"/>
          <w:szCs w:val="21"/>
          <w:highlight w:val="none"/>
        </w:rPr>
        <w:t>得分＜</w:t>
      </w:r>
      <w:r>
        <w:rPr>
          <w:rFonts w:hint="eastAsia" w:cs="Times New Roman"/>
          <w:color w:val="auto"/>
          <w:kern w:val="2"/>
          <w:szCs w:val="21"/>
          <w:highlight w:val="none"/>
        </w:rPr>
        <w:t>60</w:t>
      </w:r>
      <w:r>
        <w:rPr>
          <w:rFonts w:cs="Times New Roman"/>
          <w:color w:val="auto"/>
          <w:kern w:val="2"/>
          <w:szCs w:val="21"/>
          <w:highlight w:val="none"/>
        </w:rPr>
        <w:t>分</w:t>
      </w:r>
      <w:r>
        <w:rPr>
          <w:rFonts w:hint="eastAsia" w:cs="Times New Roman"/>
          <w:color w:val="auto"/>
          <w:kern w:val="2"/>
          <w:szCs w:val="21"/>
          <w:highlight w:val="none"/>
        </w:rPr>
        <w:t>）</w:t>
      </w:r>
      <w:r>
        <w:rPr>
          <w:rFonts w:hint="eastAsia" w:cs="Times New Roman"/>
          <w:color w:val="auto"/>
          <w:kern w:val="2"/>
          <w:sz w:val="24"/>
          <w:szCs w:val="20"/>
          <w:highlight w:val="none"/>
        </w:rPr>
        <w:t>四个等次，结果通报勘察设计单位项目负责人签字确认。根据考核结果，结合勘察设计合同以及勘察设计单位考核奖惩办法进行相应的奖惩。</w:t>
      </w:r>
    </w:p>
    <w:tbl>
      <w:tblPr>
        <w:tblStyle w:val="12"/>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6858"/>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jc w:val="center"/>
        </w:trPr>
        <w:tc>
          <w:tcPr>
            <w:tcW w:w="852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Times New Roman"/>
                <w:color w:val="auto"/>
                <w:kern w:val="2"/>
                <w:sz w:val="24"/>
                <w:szCs w:val="20"/>
                <w:highlight w:val="none"/>
              </w:rPr>
            </w:pPr>
            <w:r>
              <w:rPr>
                <w:rFonts w:hint="eastAsia" w:cs="Times New Roman"/>
                <w:color w:val="auto"/>
                <w:kern w:val="2"/>
                <w:sz w:val="24"/>
                <w:szCs w:val="20"/>
                <w:highlight w:val="none"/>
              </w:rPr>
              <w:t>勘察设计单位履约考核表</w:t>
            </w:r>
          </w:p>
          <w:p>
            <w:pPr>
              <w:spacing w:line="320" w:lineRule="exact"/>
              <w:jc w:val="right"/>
              <w:rPr>
                <w:rFonts w:cs="Times New Roman"/>
                <w:color w:val="auto"/>
                <w:kern w:val="2"/>
                <w:sz w:val="24"/>
                <w:szCs w:val="20"/>
                <w:highlight w:val="none"/>
              </w:rPr>
            </w:pPr>
            <w:r>
              <w:rPr>
                <w:rFonts w:hint="eastAsia" w:ascii="宋体" w:hAnsi="宋体" w:cs="Times New Roman"/>
                <w:color w:val="auto"/>
                <w:kern w:val="2"/>
                <w:szCs w:val="21"/>
                <w:highlight w:val="none"/>
              </w:rPr>
              <w:t xml:space="preserve">□过程考核 </w:t>
            </w:r>
            <w:r>
              <w:rPr>
                <w:rFonts w:ascii="宋体" w:hAnsi="宋体" w:cs="Times New Roman"/>
                <w:color w:val="auto"/>
                <w:kern w:val="2"/>
                <w:szCs w:val="21"/>
                <w:highlight w:val="none"/>
              </w:rPr>
              <w:t xml:space="preserve"> </w:t>
            </w:r>
            <w:r>
              <w:rPr>
                <w:rFonts w:hint="eastAsia" w:ascii="宋体" w:hAnsi="宋体" w:cs="Times New Roman"/>
                <w:color w:val="auto"/>
                <w:kern w:val="2"/>
                <w:szCs w:val="21"/>
                <w:highlight w:val="none"/>
              </w:rPr>
              <w:t>□项目考核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765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考核项目</w:t>
            </w:r>
          </w:p>
        </w:tc>
        <w:tc>
          <w:tcPr>
            <w:tcW w:w="866"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扣分</w:t>
            </w:r>
          </w:p>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blHeader/>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序号</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检查内容及扣分标准</w:t>
            </w:r>
          </w:p>
        </w:tc>
        <w:tc>
          <w:tcPr>
            <w:tcW w:w="866" w:type="dxa"/>
            <w:vMerge w:val="continue"/>
            <w:tcBorders>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1</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设计人员设置未达到合同约定的质量和数量要求。如实际人员与投标文件中设计团队人员以及职称不符或过程中随便安排不熟悉本项目或实习生的设计人员驻场等情况，扣20分；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2</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在未征得发包人同意的情况下对设计人员随意更换，每发生1人次扣10分；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3</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未按要求提交详细可行设计计划，扣10分；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4</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方案设计、初步设计、施工图设计、设计变更未按设计计划或开会商定好的时间节点提交成果，每发生1次扣10分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5</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没有统筹协调分包设计单位，对分包设计单位（外电外水燃气及专业设计）衔接跟不上设计进度计划的，造成总进度延误的，每延误1天扣10分。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6</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未按建设单位、项目管理单位、审图单位、造价咨询单位等各参建单位提供的修改意见进行完善图纸和回复说明，每发生1次扣10分；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7</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每次修改图纸后，图纸未标注修改的位置或标注不全，每发生1次扣10分；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8</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设计单位不按流程私自向施工单位发放图纸（纸质或电子版）及工程资料，每发生1次扣10分；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9</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设计单位没有经过代建和</w:t>
            </w:r>
            <w:r>
              <w:rPr>
                <w:rFonts w:hint="eastAsia" w:ascii="宋体" w:hAnsi="宋体" w:cs="Times New Roman"/>
                <w:color w:val="auto"/>
                <w:kern w:val="2"/>
                <w:szCs w:val="21"/>
                <w:highlight w:val="none"/>
                <w:lang w:eastAsia="zh-CN"/>
              </w:rPr>
              <w:t>建设单位</w:t>
            </w:r>
            <w:r>
              <w:rPr>
                <w:rFonts w:hint="eastAsia" w:ascii="宋体" w:hAnsi="宋体" w:cs="Times New Roman"/>
                <w:color w:val="auto"/>
                <w:kern w:val="2"/>
                <w:szCs w:val="21"/>
                <w:highlight w:val="none"/>
              </w:rPr>
              <w:t>的同意，私自与施工单位沟通变更图纸，每发生1次扣20分；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10</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设计单位内部各专业之间对接失误，造成施工返工的或影响</w:t>
            </w:r>
            <w:r>
              <w:rPr>
                <w:rFonts w:hint="eastAsia" w:ascii="宋体" w:hAnsi="宋体" w:cs="Times New Roman"/>
                <w:color w:val="auto"/>
                <w:kern w:val="2"/>
                <w:szCs w:val="21"/>
                <w:highlight w:val="none"/>
                <w:lang w:eastAsia="zh-CN"/>
              </w:rPr>
              <w:t>建设单位</w:t>
            </w:r>
            <w:r>
              <w:rPr>
                <w:rFonts w:hint="eastAsia" w:ascii="宋体" w:hAnsi="宋体" w:cs="Times New Roman"/>
                <w:color w:val="auto"/>
                <w:kern w:val="2"/>
                <w:szCs w:val="21"/>
                <w:highlight w:val="none"/>
              </w:rPr>
              <w:t>使用的，如管线产生冲突而导致施工返工的，或因管线布置不合理等情况，每发生1次扣10分；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11</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设计单位对现场地形和实际情况了解不到位或自身原因失误或对没按</w:t>
            </w:r>
            <w:r>
              <w:rPr>
                <w:rFonts w:hint="eastAsia" w:ascii="宋体" w:hAnsi="宋体" w:cs="Times New Roman"/>
                <w:color w:val="auto"/>
                <w:kern w:val="2"/>
                <w:szCs w:val="21"/>
                <w:highlight w:val="none"/>
                <w:lang w:eastAsia="zh-CN"/>
              </w:rPr>
              <w:t>建设单位</w:t>
            </w:r>
            <w:r>
              <w:rPr>
                <w:rFonts w:hint="eastAsia" w:ascii="宋体" w:hAnsi="宋体" w:cs="Times New Roman"/>
                <w:color w:val="auto"/>
                <w:kern w:val="2"/>
                <w:szCs w:val="21"/>
                <w:highlight w:val="none"/>
              </w:rPr>
              <w:t>使用意图进行设计，造成返工的、错漏、耽误工期、预算漏项漏量，每发生1次扣10分；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12</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未达到限额设计，初步设计总概算超过可行性研究报告批复投资，扣20分；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13</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因设计原因引起的变更超过概算批复投资3%的，扣10分；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14</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未提供概算总投资与可研批复总投资对比表，每发生1次扣5分；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15</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未配合发包人提供比选方案，每发生1次扣10分；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16</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未积极主动配合发包人进行设计交底，每发生1次扣10分；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17</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参加设计交底会人员不齐或设计交底不清晰，每发生1次扣10分；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18</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对施工现场配合、地基验槽、中间验收、竣工验收等接到发包人电话未在规定的时间内赶到现场服务，每发生1次扣10分；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19</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未积极配合发包人对政府审批部门提出的问题进行详细阐述和说明，每推诿1次扣10分；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ascii="宋体" w:hAnsi="宋体" w:cs="Times New Roman"/>
                <w:color w:val="auto"/>
                <w:kern w:val="2"/>
                <w:szCs w:val="21"/>
                <w:highlight w:val="none"/>
              </w:rPr>
              <w:t>2</w:t>
            </w:r>
            <w:r>
              <w:rPr>
                <w:rFonts w:hint="eastAsia" w:ascii="宋体" w:hAnsi="宋体" w:cs="Times New Roman"/>
                <w:color w:val="auto"/>
                <w:kern w:val="2"/>
                <w:szCs w:val="21"/>
                <w:highlight w:val="none"/>
              </w:rPr>
              <w:t>0</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提交方案设计、初步设计、施工图设计、各专项方案时，未提交内部三级校审表，每发生1次扣10分；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2</w:t>
            </w:r>
            <w:r>
              <w:rPr>
                <w:rFonts w:ascii="宋体" w:hAnsi="宋体" w:cs="Times New Roman"/>
                <w:color w:val="auto"/>
                <w:kern w:val="2"/>
                <w:szCs w:val="21"/>
                <w:highlight w:val="none"/>
              </w:rPr>
              <w:t>1</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设计成果、设计变更成果是否按计划或相关会议要求的时间节点提交。每发生1次扣1</w:t>
            </w:r>
            <w:r>
              <w:rPr>
                <w:rFonts w:ascii="宋体" w:hAnsi="宋体" w:cs="Times New Roman"/>
                <w:color w:val="auto"/>
                <w:kern w:val="2"/>
                <w:szCs w:val="21"/>
                <w:highlight w:val="none"/>
              </w:rPr>
              <w:t>0</w:t>
            </w:r>
            <w:r>
              <w:rPr>
                <w:rFonts w:hint="eastAsia" w:ascii="宋体" w:hAnsi="宋体" w:cs="Times New Roman"/>
                <w:color w:val="auto"/>
                <w:kern w:val="2"/>
                <w:szCs w:val="21"/>
                <w:highlight w:val="none"/>
              </w:rPr>
              <w:t>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ascii="宋体" w:hAnsi="宋体" w:cs="Times New Roman"/>
                <w:color w:val="auto"/>
                <w:kern w:val="2"/>
                <w:szCs w:val="21"/>
                <w:highlight w:val="none"/>
              </w:rPr>
              <w:t>22</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物探成果与实际不符的，实际施工发现与物探报告有其他管线没有表示出来的。每发生1次扣20分；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ascii="宋体" w:hAnsi="宋体" w:cs="Times New Roman"/>
                <w:color w:val="auto"/>
                <w:kern w:val="2"/>
                <w:szCs w:val="21"/>
                <w:highlight w:val="none"/>
              </w:rPr>
              <w:t>23</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勘察进度不能满足约定要求，每延误1天扣10分；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ascii="宋体" w:hAnsi="宋体" w:cs="Times New Roman"/>
                <w:color w:val="auto"/>
                <w:kern w:val="2"/>
                <w:szCs w:val="21"/>
                <w:highlight w:val="none"/>
              </w:rPr>
              <w:t>24</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勘察单位造假，钻孔岩芯土样与真实不符，每发生1次扣30分；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Times New Roman"/>
                <w:color w:val="auto"/>
                <w:kern w:val="2"/>
                <w:szCs w:val="21"/>
                <w:highlight w:val="none"/>
                <w:lang w:eastAsia="zh-CN"/>
              </w:rPr>
            </w:pPr>
            <w:r>
              <w:rPr>
                <w:rFonts w:ascii="宋体" w:hAnsi="宋体" w:cs="Times New Roman"/>
                <w:color w:val="auto"/>
                <w:kern w:val="2"/>
                <w:szCs w:val="21"/>
                <w:highlight w:val="none"/>
              </w:rPr>
              <w:t>2</w:t>
            </w:r>
            <w:r>
              <w:rPr>
                <w:rFonts w:hint="eastAsia" w:ascii="宋体" w:hAnsi="宋体" w:cs="Times New Roman"/>
                <w:color w:val="auto"/>
                <w:kern w:val="2"/>
                <w:szCs w:val="21"/>
                <w:highlight w:val="none"/>
                <w:lang w:val="en-US" w:eastAsia="zh-CN"/>
              </w:rPr>
              <w:t>5</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勘察报告中岩芯抗压强度与实际桩基础抽芯持力层强度和描述差别较大的，每发生1次扣10分；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Times New Roman"/>
                <w:color w:val="auto"/>
                <w:kern w:val="2"/>
                <w:szCs w:val="21"/>
                <w:highlight w:val="none"/>
                <w:lang w:eastAsia="zh-CN"/>
              </w:rPr>
            </w:pPr>
            <w:r>
              <w:rPr>
                <w:rFonts w:ascii="宋体" w:hAnsi="宋体" w:cs="Times New Roman"/>
                <w:color w:val="auto"/>
                <w:kern w:val="2"/>
                <w:szCs w:val="21"/>
                <w:highlight w:val="none"/>
              </w:rPr>
              <w:t>2</w:t>
            </w:r>
            <w:r>
              <w:rPr>
                <w:rFonts w:hint="eastAsia" w:ascii="宋体" w:hAnsi="宋体" w:cs="Times New Roman"/>
                <w:color w:val="auto"/>
                <w:kern w:val="2"/>
                <w:szCs w:val="21"/>
                <w:highlight w:val="none"/>
                <w:lang w:val="en-US" w:eastAsia="zh-CN"/>
              </w:rPr>
              <w:t>6</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Times New Roman"/>
                <w:color w:val="auto"/>
                <w:kern w:val="2"/>
                <w:szCs w:val="21"/>
                <w:highlight w:val="none"/>
              </w:rPr>
            </w:pPr>
            <w:r>
              <w:rPr>
                <w:rFonts w:hint="eastAsia" w:ascii="宋体" w:hAnsi="宋体" w:cs="Times New Roman"/>
                <w:color w:val="auto"/>
                <w:kern w:val="2"/>
                <w:szCs w:val="21"/>
                <w:highlight w:val="none"/>
              </w:rPr>
              <w:t>对于外地的勘察设计单位，提交成果（报建资料、图纸、变更手续等文件）时间超过约定时间，每发生1次扣5分。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5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扣分总数</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5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得分总数（100-扣分总数）</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5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考核结果等次</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5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Times New Roman"/>
                <w:color w:val="auto"/>
                <w:kern w:val="2"/>
                <w:szCs w:val="21"/>
                <w:highlight w:val="none"/>
              </w:rPr>
            </w:pPr>
            <w:r>
              <w:rPr>
                <w:rFonts w:hint="eastAsia" w:ascii="宋体" w:hAnsi="宋体" w:cs="Times New Roman"/>
                <w:color w:val="auto"/>
                <w:kern w:val="2"/>
                <w:szCs w:val="21"/>
                <w:highlight w:val="none"/>
              </w:rPr>
              <w:t>勘察设计单位项目负责人（签字）：</w:t>
            </w:r>
          </w:p>
        </w:tc>
      </w:tr>
    </w:tbl>
    <w:p>
      <w:pPr>
        <w:spacing w:line="360" w:lineRule="auto"/>
        <w:rPr>
          <w:rFonts w:ascii="宋体" w:hAnsi="Courier New" w:eastAsia="仿宋_GB2312" w:cs="Times New Roman"/>
          <w:color w:val="auto"/>
          <w:kern w:val="2"/>
          <w:sz w:val="19"/>
          <w:szCs w:val="20"/>
          <w:highlight w:val="none"/>
        </w:rPr>
      </w:pPr>
    </w:p>
    <w:p>
      <w:pPr>
        <w:jc w:val="right"/>
        <w:rPr>
          <w:rFonts w:cs="Times New Roman"/>
          <w:color w:val="auto"/>
          <w:kern w:val="2"/>
          <w:szCs w:val="21"/>
          <w:highlight w:val="none"/>
        </w:rPr>
      </w:pPr>
    </w:p>
    <w:p>
      <w:pPr>
        <w:spacing w:line="360" w:lineRule="auto"/>
        <w:ind w:firstLine="480"/>
        <w:jc w:val="left"/>
        <w:rPr>
          <w:rFonts w:cs="Times New Roman"/>
          <w:color w:val="auto"/>
          <w:kern w:val="2"/>
          <w:sz w:val="24"/>
          <w:szCs w:val="20"/>
          <w:highlight w:val="none"/>
        </w:rPr>
      </w:pPr>
      <w:bookmarkStart w:id="3" w:name="_Toc58255902"/>
      <w:r>
        <w:rPr>
          <w:rFonts w:hint="eastAsia" w:cs="Times New Roman"/>
          <w:color w:val="auto"/>
          <w:kern w:val="2"/>
          <w:sz w:val="24"/>
          <w:szCs w:val="20"/>
          <w:highlight w:val="none"/>
        </w:rPr>
        <w:t>二、设计单位考核处罚办法</w:t>
      </w:r>
      <w:bookmarkEnd w:id="3"/>
    </w:p>
    <w:p>
      <w:pPr>
        <w:spacing w:line="360" w:lineRule="auto"/>
        <w:ind w:firstLine="480"/>
        <w:jc w:val="left"/>
        <w:rPr>
          <w:rFonts w:cs="Times New Roman"/>
          <w:color w:val="auto"/>
          <w:kern w:val="2"/>
          <w:sz w:val="24"/>
          <w:szCs w:val="20"/>
          <w:highlight w:val="none"/>
        </w:rPr>
      </w:pPr>
      <w:r>
        <w:rPr>
          <w:rFonts w:hint="eastAsia" w:cs="Times New Roman"/>
          <w:color w:val="auto"/>
          <w:kern w:val="2"/>
          <w:sz w:val="24"/>
          <w:szCs w:val="20"/>
          <w:highlight w:val="none"/>
        </w:rPr>
        <w:t xml:space="preserve">（1）当考核结果为“优”和“良”等次者。不做奖惩。  </w:t>
      </w:r>
    </w:p>
    <w:p>
      <w:pPr>
        <w:spacing w:line="360" w:lineRule="auto"/>
        <w:ind w:firstLine="480"/>
        <w:jc w:val="left"/>
        <w:rPr>
          <w:rFonts w:cs="Times New Roman"/>
          <w:color w:val="auto"/>
          <w:kern w:val="2"/>
          <w:sz w:val="24"/>
          <w:szCs w:val="20"/>
          <w:highlight w:val="none"/>
        </w:rPr>
      </w:pPr>
      <w:r>
        <w:rPr>
          <w:rFonts w:hint="eastAsia" w:cs="Times New Roman"/>
          <w:color w:val="auto"/>
          <w:kern w:val="2"/>
          <w:sz w:val="24"/>
          <w:szCs w:val="20"/>
          <w:highlight w:val="none"/>
        </w:rPr>
        <w:t>（2）当考核结果为“中”等次者，建设单位或项目管理单位将针对其存在的问题下达《项目监管函》促其整改，如无法完成限期整改，将下达《约谈法定代表人通知书》直至完成整改。</w:t>
      </w:r>
    </w:p>
    <w:p>
      <w:pPr>
        <w:spacing w:line="360" w:lineRule="auto"/>
        <w:ind w:firstLine="480"/>
        <w:jc w:val="left"/>
        <w:rPr>
          <w:rFonts w:cs="Times New Roman"/>
          <w:color w:val="auto"/>
          <w:kern w:val="2"/>
          <w:sz w:val="24"/>
          <w:szCs w:val="20"/>
          <w:highlight w:val="none"/>
        </w:rPr>
      </w:pPr>
      <w:r>
        <w:rPr>
          <w:rFonts w:hint="eastAsia" w:cs="Times New Roman"/>
          <w:color w:val="auto"/>
          <w:kern w:val="2"/>
          <w:sz w:val="24"/>
          <w:szCs w:val="20"/>
          <w:highlight w:val="none"/>
        </w:rPr>
        <w:t>（3）当考核结果为“差”等次者，建设单位或项目管理单位将针对其存在的问题下达《约谈法定代表人通知书》促其整改，并根据整改情况和相关合同的约定采取扣罚履约保证金，如无法完成限期整改，建设单位或项目管理单位有权解除该项目勘察设计合同。</w:t>
      </w:r>
    </w:p>
    <w:p>
      <w:pPr>
        <w:spacing w:line="360" w:lineRule="auto"/>
        <w:ind w:firstLine="480"/>
        <w:jc w:val="left"/>
        <w:rPr>
          <w:rFonts w:cs="Times New Roman"/>
          <w:color w:val="auto"/>
          <w:kern w:val="2"/>
          <w:sz w:val="24"/>
          <w:szCs w:val="20"/>
          <w:highlight w:val="none"/>
        </w:rPr>
      </w:pPr>
      <w:r>
        <w:rPr>
          <w:rFonts w:hint="eastAsia" w:cs="Times New Roman"/>
          <w:color w:val="auto"/>
          <w:kern w:val="2"/>
          <w:sz w:val="24"/>
          <w:szCs w:val="20"/>
          <w:highlight w:val="none"/>
        </w:rPr>
        <w:t>（4）对于连续两次考核结果为“差”等次者，建设单位或项目管理单位有权解除该项目勘察设计合同，将勘察设计单位列入黑名单，并按照有关规定处理。</w:t>
      </w:r>
    </w:p>
    <w:p>
      <w:pPr>
        <w:spacing w:line="360" w:lineRule="auto"/>
        <w:ind w:firstLine="480"/>
        <w:jc w:val="left"/>
        <w:rPr>
          <w:rFonts w:cs="Times New Roman"/>
          <w:color w:val="auto"/>
          <w:kern w:val="2"/>
          <w:sz w:val="24"/>
          <w:szCs w:val="20"/>
          <w:highlight w:val="none"/>
        </w:rPr>
      </w:pPr>
      <w:r>
        <w:rPr>
          <w:rFonts w:cs="Times New Roman"/>
          <w:color w:val="auto"/>
          <w:kern w:val="2"/>
          <w:sz w:val="24"/>
          <w:szCs w:val="20"/>
          <w:highlight w:val="none"/>
        </w:rPr>
        <w:t>（5）</w:t>
      </w:r>
      <w:r>
        <w:rPr>
          <w:rFonts w:hint="eastAsia" w:cs="Times New Roman"/>
          <w:color w:val="auto"/>
          <w:kern w:val="2"/>
          <w:sz w:val="24"/>
          <w:szCs w:val="20"/>
          <w:highlight w:val="none"/>
        </w:rPr>
        <w:t>考核结果在项目管理单位所有合作设计单位考核排名末位的，列入黑名单，并按照有关规定处理。</w:t>
      </w:r>
    </w:p>
    <w:p>
      <w:pPr>
        <w:spacing w:line="360" w:lineRule="auto"/>
        <w:ind w:firstLine="480"/>
        <w:jc w:val="left"/>
        <w:rPr>
          <w:rFonts w:cs="Times New Roman"/>
          <w:color w:val="auto"/>
          <w:kern w:val="2"/>
          <w:sz w:val="24"/>
          <w:szCs w:val="20"/>
          <w:highlight w:val="none"/>
        </w:rPr>
      </w:pPr>
      <w:r>
        <w:rPr>
          <w:rFonts w:cs="Times New Roman"/>
          <w:color w:val="auto"/>
          <w:kern w:val="2"/>
          <w:sz w:val="24"/>
          <w:szCs w:val="20"/>
          <w:highlight w:val="none"/>
        </w:rPr>
        <w:t>（6）</w:t>
      </w:r>
      <w:r>
        <w:rPr>
          <w:rFonts w:hint="eastAsia" w:cs="Times New Roman"/>
          <w:color w:val="auto"/>
          <w:kern w:val="2"/>
          <w:sz w:val="24"/>
          <w:szCs w:val="20"/>
          <w:highlight w:val="none"/>
        </w:rPr>
        <w:t>项目全过程，建设单位或项目管理单位的项目管理人员发现勘察设计单位存在《勘察设计单位履约考核表》中不配合的情况，扣分超过20（含20分），有权下达《项目监管函》促其整改，如无法完成限期整改，有权下达《约谈法定代表人通知书》。</w:t>
      </w:r>
    </w:p>
    <w:p>
      <w:pPr>
        <w:spacing w:line="360" w:lineRule="auto"/>
        <w:ind w:firstLine="480"/>
        <w:jc w:val="left"/>
        <w:rPr>
          <w:rFonts w:cs="Times New Roman"/>
          <w:color w:val="auto"/>
          <w:kern w:val="2"/>
          <w:sz w:val="24"/>
          <w:szCs w:val="20"/>
          <w:highlight w:val="none"/>
        </w:rPr>
      </w:pPr>
      <w:r>
        <w:rPr>
          <w:rFonts w:hint="eastAsia" w:cs="Times New Roman"/>
          <w:color w:val="auto"/>
          <w:kern w:val="2"/>
          <w:sz w:val="24"/>
          <w:szCs w:val="20"/>
          <w:highlight w:val="none"/>
        </w:rPr>
        <w:t>（7）乙方每下发一份项目监管函扣罚合同价款5000元，乙方每下发一份约谈法人通知书扣罚合同价款10000元；违法合同约定的执行违约条款。</w:t>
      </w:r>
    </w:p>
    <w:p>
      <w:pPr>
        <w:pStyle w:val="2"/>
        <w:rPr>
          <w:color w:val="auto"/>
          <w:highlight w:val="none"/>
          <w:lang w:val="en-US"/>
        </w:rPr>
      </w:pPr>
    </w:p>
    <w:p>
      <w:pPr>
        <w:spacing w:line="360" w:lineRule="auto"/>
        <w:rPr>
          <w:color w:val="auto"/>
          <w:highlight w:val="none"/>
        </w:rPr>
      </w:pPr>
    </w:p>
    <w:p>
      <w:pPr>
        <w:pStyle w:val="2"/>
        <w:spacing w:line="360" w:lineRule="auto"/>
        <w:rPr>
          <w:color w:val="auto"/>
          <w:highlight w:val="none"/>
          <w:lang w:val="en-US"/>
        </w:rPr>
      </w:pPr>
    </w:p>
    <w:p>
      <w:pPr>
        <w:pStyle w:val="2"/>
        <w:rPr>
          <w:color w:val="auto"/>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8"/>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u8AFjRAAAAAgEAAA8AAAAAAAAAAQAgAAAAIgAA&#10;AGRycy9kb3ducmV2LnhtbFBLAQIUABQAAAAIAIdO4kAt/mTe1gEAAJ8DAAAOAAAAAAAAAAEAIAAA&#10;ACABAABkcnMvZTJvRG9jLnhtbFBLBQYAAAAABgAGAFkBAABo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60897"/>
    <w:multiLevelType w:val="singleLevel"/>
    <w:tmpl w:val="87460897"/>
    <w:lvl w:ilvl="0" w:tentative="0">
      <w:start w:val="1"/>
      <w:numFmt w:val="decimal"/>
      <w:suff w:val="nothing"/>
      <w:lvlText w:val="（%1）"/>
      <w:lvlJc w:val="left"/>
    </w:lvl>
  </w:abstractNum>
  <w:abstractNum w:abstractNumId="1">
    <w:nsid w:val="87A0519A"/>
    <w:multiLevelType w:val="singleLevel"/>
    <w:tmpl w:val="87A0519A"/>
    <w:lvl w:ilvl="0" w:tentative="0">
      <w:start w:val="1"/>
      <w:numFmt w:val="decimal"/>
      <w:suff w:val="nothing"/>
      <w:lvlText w:val="（%1）"/>
      <w:lvlJc w:val="left"/>
    </w:lvl>
  </w:abstractNum>
  <w:abstractNum w:abstractNumId="2">
    <w:nsid w:val="8DE55372"/>
    <w:multiLevelType w:val="singleLevel"/>
    <w:tmpl w:val="8DE55372"/>
    <w:lvl w:ilvl="0" w:tentative="0">
      <w:start w:val="1"/>
      <w:numFmt w:val="decimal"/>
      <w:suff w:val="nothing"/>
      <w:lvlText w:val="%1．"/>
      <w:lvlJc w:val="left"/>
    </w:lvl>
  </w:abstractNum>
  <w:abstractNum w:abstractNumId="3">
    <w:nsid w:val="A49B3691"/>
    <w:multiLevelType w:val="singleLevel"/>
    <w:tmpl w:val="A49B3691"/>
    <w:lvl w:ilvl="0" w:tentative="0">
      <w:start w:val="12"/>
      <w:numFmt w:val="decimal"/>
      <w:suff w:val="space"/>
      <w:lvlText w:val="%1."/>
      <w:lvlJc w:val="left"/>
    </w:lvl>
  </w:abstractNum>
  <w:abstractNum w:abstractNumId="4">
    <w:nsid w:val="09B2297F"/>
    <w:multiLevelType w:val="multilevel"/>
    <w:tmpl w:val="09B2297F"/>
    <w:lvl w:ilvl="0" w:tentative="0">
      <w:start w:val="1"/>
      <w:numFmt w:val="decimal"/>
      <w:lvlText w:val="%1)"/>
      <w:lvlJc w:val="left"/>
      <w:pPr>
        <w:tabs>
          <w:tab w:val="left" w:pos="927"/>
        </w:tabs>
        <w:ind w:left="927" w:hanging="360"/>
      </w:pPr>
      <w:rPr>
        <w:rFonts w:hint="eastAsia"/>
      </w:rPr>
    </w:lvl>
    <w:lvl w:ilvl="1" w:tentative="0">
      <w:start w:val="1"/>
      <w:numFmt w:val="lowerLetter"/>
      <w:lvlText w:val="%2)"/>
      <w:lvlJc w:val="left"/>
      <w:pPr>
        <w:tabs>
          <w:tab w:val="left" w:pos="1407"/>
        </w:tabs>
        <w:ind w:left="1407" w:hanging="4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abstractNum w:abstractNumId="5">
    <w:nsid w:val="115F3AF5"/>
    <w:multiLevelType w:val="singleLevel"/>
    <w:tmpl w:val="115F3AF5"/>
    <w:lvl w:ilvl="0" w:tentative="0">
      <w:start w:val="1"/>
      <w:numFmt w:val="decimalEnclosedCircleChinese"/>
      <w:suff w:val="nothing"/>
      <w:lvlText w:val="%1　"/>
      <w:lvlJc w:val="left"/>
      <w:pPr>
        <w:ind w:left="0" w:firstLine="400"/>
      </w:pPr>
      <w:rPr>
        <w:rFonts w:hint="eastAsia"/>
      </w:rPr>
    </w:lvl>
  </w:abstractNum>
  <w:abstractNum w:abstractNumId="6">
    <w:nsid w:val="297B8AA7"/>
    <w:multiLevelType w:val="singleLevel"/>
    <w:tmpl w:val="297B8AA7"/>
    <w:lvl w:ilvl="0" w:tentative="0">
      <w:start w:val="1"/>
      <w:numFmt w:val="decimalEnclosedCircleChinese"/>
      <w:suff w:val="nothing"/>
      <w:lvlText w:val="%1　"/>
      <w:lvlJc w:val="left"/>
      <w:pPr>
        <w:ind w:left="0" w:firstLine="400"/>
      </w:pPr>
      <w:rPr>
        <w:rFonts w:hint="eastAsia"/>
      </w:rPr>
    </w:lvl>
  </w:abstractNum>
  <w:abstractNum w:abstractNumId="7">
    <w:nsid w:val="50865AA1"/>
    <w:multiLevelType w:val="multilevel"/>
    <w:tmpl w:val="50865AA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2C81106"/>
    <w:multiLevelType w:val="multilevel"/>
    <w:tmpl w:val="52C8110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1407"/>
        </w:tabs>
        <w:ind w:left="1407" w:hanging="4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abstractNum w:abstractNumId="9">
    <w:nsid w:val="5992067B"/>
    <w:multiLevelType w:val="multilevel"/>
    <w:tmpl w:val="5992067B"/>
    <w:lvl w:ilvl="0" w:tentative="0">
      <w:start w:val="1"/>
      <w:numFmt w:val="decimal"/>
      <w:lvlText w:val="%1)"/>
      <w:lvlJc w:val="left"/>
      <w:pPr>
        <w:tabs>
          <w:tab w:val="left" w:pos="927"/>
        </w:tabs>
        <w:ind w:left="927" w:hanging="360"/>
      </w:pPr>
      <w:rPr>
        <w:rFonts w:hint="eastAsia"/>
      </w:rPr>
    </w:lvl>
    <w:lvl w:ilvl="1" w:tentative="0">
      <w:start w:val="1"/>
      <w:numFmt w:val="lowerLetter"/>
      <w:lvlText w:val="%2)"/>
      <w:lvlJc w:val="left"/>
      <w:pPr>
        <w:tabs>
          <w:tab w:val="left" w:pos="1407"/>
        </w:tabs>
        <w:ind w:left="1407" w:hanging="4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abstractNum w:abstractNumId="10">
    <w:nsid w:val="714372AD"/>
    <w:multiLevelType w:val="singleLevel"/>
    <w:tmpl w:val="714372AD"/>
    <w:lvl w:ilvl="0" w:tentative="0">
      <w:start w:val="5"/>
      <w:numFmt w:val="decimal"/>
      <w:suff w:val="nothing"/>
      <w:lvlText w:val="%1、"/>
      <w:lvlJc w:val="left"/>
    </w:lvl>
  </w:abstractNum>
  <w:abstractNum w:abstractNumId="11">
    <w:nsid w:val="7372A920"/>
    <w:multiLevelType w:val="singleLevel"/>
    <w:tmpl w:val="7372A920"/>
    <w:lvl w:ilvl="0" w:tentative="0">
      <w:start w:val="4"/>
      <w:numFmt w:val="chineseCounting"/>
      <w:suff w:val="nothing"/>
      <w:lvlText w:val="%1、"/>
      <w:lvlJc w:val="left"/>
      <w:rPr>
        <w:rFonts w:hint="eastAsia"/>
      </w:rPr>
    </w:lvl>
  </w:abstractNum>
  <w:num w:numId="1">
    <w:abstractNumId w:val="10"/>
  </w:num>
  <w:num w:numId="2">
    <w:abstractNumId w:val="7"/>
  </w:num>
  <w:num w:numId="3">
    <w:abstractNumId w:val="11"/>
  </w:num>
  <w:num w:numId="4">
    <w:abstractNumId w:val="0"/>
  </w:num>
  <w:num w:numId="5">
    <w:abstractNumId w:val="1"/>
  </w:num>
  <w:num w:numId="6">
    <w:abstractNumId w:val="2"/>
  </w:num>
  <w:num w:numId="7">
    <w:abstractNumId w:val="5"/>
  </w:num>
  <w:num w:numId="8">
    <w:abstractNumId w:val="6"/>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NzViZjJiNDA5NTlkZmI4NTJkMzYwMWIwM2QzZmYifQ=="/>
  </w:docVars>
  <w:rsids>
    <w:rsidRoot w:val="560E18F2"/>
    <w:rsid w:val="00005477"/>
    <w:rsid w:val="00013554"/>
    <w:rsid w:val="0004697C"/>
    <w:rsid w:val="00075E4D"/>
    <w:rsid w:val="00084A9F"/>
    <w:rsid w:val="000A0C67"/>
    <w:rsid w:val="000A737B"/>
    <w:rsid w:val="000F15AB"/>
    <w:rsid w:val="000F2729"/>
    <w:rsid w:val="00134D8A"/>
    <w:rsid w:val="001849B6"/>
    <w:rsid w:val="00192989"/>
    <w:rsid w:val="001B14A3"/>
    <w:rsid w:val="001C05AF"/>
    <w:rsid w:val="001C3998"/>
    <w:rsid w:val="001C5475"/>
    <w:rsid w:val="00214566"/>
    <w:rsid w:val="00214CCD"/>
    <w:rsid w:val="0022091B"/>
    <w:rsid w:val="00232A78"/>
    <w:rsid w:val="0023317B"/>
    <w:rsid w:val="00235DE9"/>
    <w:rsid w:val="0024097D"/>
    <w:rsid w:val="00272FC6"/>
    <w:rsid w:val="00281FDC"/>
    <w:rsid w:val="002A37A0"/>
    <w:rsid w:val="002A5C4E"/>
    <w:rsid w:val="002C55CC"/>
    <w:rsid w:val="002E19A6"/>
    <w:rsid w:val="002F71E8"/>
    <w:rsid w:val="00325003"/>
    <w:rsid w:val="0033213B"/>
    <w:rsid w:val="003357C6"/>
    <w:rsid w:val="00337F69"/>
    <w:rsid w:val="0035192A"/>
    <w:rsid w:val="003D63D7"/>
    <w:rsid w:val="00427E11"/>
    <w:rsid w:val="004511F9"/>
    <w:rsid w:val="004671E6"/>
    <w:rsid w:val="004C1BB9"/>
    <w:rsid w:val="0051702C"/>
    <w:rsid w:val="00570E84"/>
    <w:rsid w:val="005C7E8D"/>
    <w:rsid w:val="005E2BCF"/>
    <w:rsid w:val="00602FBC"/>
    <w:rsid w:val="00611A9D"/>
    <w:rsid w:val="00617727"/>
    <w:rsid w:val="00624557"/>
    <w:rsid w:val="00674564"/>
    <w:rsid w:val="00675A9B"/>
    <w:rsid w:val="006E1566"/>
    <w:rsid w:val="006E3589"/>
    <w:rsid w:val="00722798"/>
    <w:rsid w:val="00745D60"/>
    <w:rsid w:val="0075404B"/>
    <w:rsid w:val="007576C2"/>
    <w:rsid w:val="007704C9"/>
    <w:rsid w:val="0077532D"/>
    <w:rsid w:val="007808AB"/>
    <w:rsid w:val="007832E5"/>
    <w:rsid w:val="0079053D"/>
    <w:rsid w:val="007968EA"/>
    <w:rsid w:val="0080268D"/>
    <w:rsid w:val="00822B9F"/>
    <w:rsid w:val="00850388"/>
    <w:rsid w:val="00857654"/>
    <w:rsid w:val="00863EB9"/>
    <w:rsid w:val="00873182"/>
    <w:rsid w:val="00886BD8"/>
    <w:rsid w:val="008A33AB"/>
    <w:rsid w:val="008F4423"/>
    <w:rsid w:val="009034E4"/>
    <w:rsid w:val="00930EE4"/>
    <w:rsid w:val="00941B39"/>
    <w:rsid w:val="00991635"/>
    <w:rsid w:val="009A5CF6"/>
    <w:rsid w:val="009A79FE"/>
    <w:rsid w:val="009B46BB"/>
    <w:rsid w:val="009E6725"/>
    <w:rsid w:val="009F05F0"/>
    <w:rsid w:val="00A33963"/>
    <w:rsid w:val="00A43451"/>
    <w:rsid w:val="00A557FD"/>
    <w:rsid w:val="00A65A38"/>
    <w:rsid w:val="00A96AB6"/>
    <w:rsid w:val="00AB2952"/>
    <w:rsid w:val="00AB2BB0"/>
    <w:rsid w:val="00AB7B19"/>
    <w:rsid w:val="00AD6A9A"/>
    <w:rsid w:val="00B22A69"/>
    <w:rsid w:val="00B44F63"/>
    <w:rsid w:val="00B56BDF"/>
    <w:rsid w:val="00B8660E"/>
    <w:rsid w:val="00BD692A"/>
    <w:rsid w:val="00BD6B74"/>
    <w:rsid w:val="00C02FB6"/>
    <w:rsid w:val="00C17A04"/>
    <w:rsid w:val="00C35E93"/>
    <w:rsid w:val="00C362AC"/>
    <w:rsid w:val="00C517E2"/>
    <w:rsid w:val="00C744E2"/>
    <w:rsid w:val="00C74689"/>
    <w:rsid w:val="00C82F0B"/>
    <w:rsid w:val="00C91384"/>
    <w:rsid w:val="00CC6842"/>
    <w:rsid w:val="00CD26AD"/>
    <w:rsid w:val="00CF38AF"/>
    <w:rsid w:val="00D0566B"/>
    <w:rsid w:val="00D13E98"/>
    <w:rsid w:val="00D14072"/>
    <w:rsid w:val="00D15248"/>
    <w:rsid w:val="00D322FB"/>
    <w:rsid w:val="00D366E3"/>
    <w:rsid w:val="00D63BE6"/>
    <w:rsid w:val="00DA67E2"/>
    <w:rsid w:val="00DD436E"/>
    <w:rsid w:val="00DE5E50"/>
    <w:rsid w:val="00DE76A1"/>
    <w:rsid w:val="00DF34D3"/>
    <w:rsid w:val="00E135AE"/>
    <w:rsid w:val="00E60C24"/>
    <w:rsid w:val="00E70137"/>
    <w:rsid w:val="00E812BF"/>
    <w:rsid w:val="00E840F2"/>
    <w:rsid w:val="00EA119C"/>
    <w:rsid w:val="00ED4FA8"/>
    <w:rsid w:val="00ED5E1F"/>
    <w:rsid w:val="00EE69A0"/>
    <w:rsid w:val="00EF5EE3"/>
    <w:rsid w:val="00EF6770"/>
    <w:rsid w:val="00F030C9"/>
    <w:rsid w:val="00F135E7"/>
    <w:rsid w:val="00F17263"/>
    <w:rsid w:val="00F2593F"/>
    <w:rsid w:val="00F3580E"/>
    <w:rsid w:val="00F46D7B"/>
    <w:rsid w:val="00F7565B"/>
    <w:rsid w:val="00FE2367"/>
    <w:rsid w:val="038C196A"/>
    <w:rsid w:val="04EA729C"/>
    <w:rsid w:val="05A475BD"/>
    <w:rsid w:val="069964AA"/>
    <w:rsid w:val="086B41A3"/>
    <w:rsid w:val="0AC7497F"/>
    <w:rsid w:val="0BE6162C"/>
    <w:rsid w:val="0C46155C"/>
    <w:rsid w:val="0EC52F32"/>
    <w:rsid w:val="13807EE7"/>
    <w:rsid w:val="162E461F"/>
    <w:rsid w:val="16B51548"/>
    <w:rsid w:val="18AB133A"/>
    <w:rsid w:val="195C7135"/>
    <w:rsid w:val="1BA10F06"/>
    <w:rsid w:val="1BF13457"/>
    <w:rsid w:val="1F4467F5"/>
    <w:rsid w:val="21C359E6"/>
    <w:rsid w:val="21F8558C"/>
    <w:rsid w:val="24AE631F"/>
    <w:rsid w:val="257701DC"/>
    <w:rsid w:val="270A374A"/>
    <w:rsid w:val="27365196"/>
    <w:rsid w:val="28100562"/>
    <w:rsid w:val="2B0E58B3"/>
    <w:rsid w:val="2CED4D1A"/>
    <w:rsid w:val="337A2295"/>
    <w:rsid w:val="33A37092"/>
    <w:rsid w:val="35E10043"/>
    <w:rsid w:val="38D13A7E"/>
    <w:rsid w:val="395D0BF4"/>
    <w:rsid w:val="3DE302A2"/>
    <w:rsid w:val="3E231E51"/>
    <w:rsid w:val="3ECC6F33"/>
    <w:rsid w:val="420942E2"/>
    <w:rsid w:val="45283967"/>
    <w:rsid w:val="452B365B"/>
    <w:rsid w:val="45D97318"/>
    <w:rsid w:val="45DF4CC9"/>
    <w:rsid w:val="471C3C9E"/>
    <w:rsid w:val="484719D9"/>
    <w:rsid w:val="49CD33C4"/>
    <w:rsid w:val="51D93039"/>
    <w:rsid w:val="52155681"/>
    <w:rsid w:val="560E18F2"/>
    <w:rsid w:val="574638F0"/>
    <w:rsid w:val="581C3A3B"/>
    <w:rsid w:val="58D7422C"/>
    <w:rsid w:val="5C224670"/>
    <w:rsid w:val="63857AFD"/>
    <w:rsid w:val="661E2F2F"/>
    <w:rsid w:val="6A0E184F"/>
    <w:rsid w:val="6AB401C1"/>
    <w:rsid w:val="6B8A6D77"/>
    <w:rsid w:val="6CAC592E"/>
    <w:rsid w:val="6D081E60"/>
    <w:rsid w:val="6D3B7435"/>
    <w:rsid w:val="6D712E48"/>
    <w:rsid w:val="703754E5"/>
    <w:rsid w:val="706D1B2A"/>
    <w:rsid w:val="7189006F"/>
    <w:rsid w:val="74933140"/>
    <w:rsid w:val="75504207"/>
    <w:rsid w:val="77764653"/>
    <w:rsid w:val="78DA243B"/>
    <w:rsid w:val="7A5A276B"/>
    <w:rsid w:val="7AEA0D3E"/>
    <w:rsid w:val="7BC54A35"/>
    <w:rsid w:val="7C1517D2"/>
    <w:rsid w:val="7EFC5B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Calibri"/>
      <w:color w:val="000000"/>
      <w:sz w:val="21"/>
      <w:szCs w:val="22"/>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autoRedefine/>
    <w:qFormat/>
    <w:uiPriority w:val="0"/>
    <w:pPr>
      <w:keepNext/>
      <w:keepLines/>
      <w:spacing w:before="260" w:after="260" w:line="413" w:lineRule="auto"/>
      <w:ind w:firstLine="137"/>
      <w:outlineLvl w:val="2"/>
    </w:pPr>
    <w:rPr>
      <w:rFonts w:ascii="黑体" w:hAnsi="黑体" w:eastAsia="黑体" w:cs="宋体"/>
      <w:sz w:val="28"/>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1"/>
    <w:autoRedefine/>
    <w:qFormat/>
    <w:uiPriority w:val="0"/>
    <w:rPr>
      <w:rFonts w:ascii="宋体" w:hAnsi="宋体" w:cs="Courier New"/>
      <w:sz w:val="20"/>
      <w:szCs w:val="20"/>
      <w:lang w:val="zh-CN"/>
    </w:rPr>
  </w:style>
  <w:style w:type="paragraph" w:styleId="5">
    <w:name w:val="Normal Indent"/>
    <w:basedOn w:val="1"/>
    <w:next w:val="1"/>
    <w:autoRedefine/>
    <w:qFormat/>
    <w:uiPriority w:val="0"/>
    <w:pPr>
      <w:ind w:firstLine="420"/>
    </w:pPr>
    <w:rPr>
      <w:rFonts w:ascii="Calibri" w:hAnsi="Calibri" w:eastAsia="宋体" w:cs="Times New Roman"/>
      <w:szCs w:val="22"/>
    </w:rPr>
  </w:style>
  <w:style w:type="paragraph" w:styleId="6">
    <w:name w:val="annotation text"/>
    <w:basedOn w:val="1"/>
    <w:link w:val="21"/>
    <w:autoRedefine/>
    <w:qFormat/>
    <w:uiPriority w:val="0"/>
    <w:pPr>
      <w:jc w:val="left"/>
    </w:pPr>
  </w:style>
  <w:style w:type="paragraph" w:styleId="7">
    <w:name w:val="Balloon Text"/>
    <w:basedOn w:val="1"/>
    <w:link w:val="20"/>
    <w:autoRedefine/>
    <w:qFormat/>
    <w:uiPriority w:val="0"/>
    <w:rPr>
      <w:sz w:val="18"/>
      <w:szCs w:val="18"/>
    </w:rPr>
  </w:style>
  <w:style w:type="paragraph" w:styleId="8">
    <w:name w:val="footer"/>
    <w:basedOn w:val="1"/>
    <w:autoRedefine/>
    <w:qFormat/>
    <w:uiPriority w:val="0"/>
    <w:pPr>
      <w:tabs>
        <w:tab w:val="center" w:pos="4153"/>
        <w:tab w:val="right" w:pos="8306"/>
      </w:tabs>
      <w:jc w:val="left"/>
    </w:pPr>
    <w:rPr>
      <w:rFonts w:cs="Times New Roman"/>
      <w:color w:val="auto"/>
      <w:sz w:val="18"/>
      <w:szCs w:val="24"/>
    </w:rPr>
  </w:style>
  <w:style w:type="paragraph" w:styleId="9">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rPr>
      <w:sz w:val="24"/>
    </w:rPr>
  </w:style>
  <w:style w:type="paragraph" w:styleId="11">
    <w:name w:val="annotation subject"/>
    <w:basedOn w:val="6"/>
    <w:next w:val="6"/>
    <w:link w:val="22"/>
    <w:autoRedefine/>
    <w:qFormat/>
    <w:uiPriority w:val="0"/>
    <w:rPr>
      <w:b/>
      <w:bCs/>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autoRedefine/>
    <w:qFormat/>
    <w:uiPriority w:val="0"/>
    <w:rPr>
      <w:sz w:val="21"/>
      <w:szCs w:val="21"/>
    </w:rPr>
  </w:style>
  <w:style w:type="paragraph" w:customStyle="1" w:styleId="16">
    <w:name w:val="_Style 6"/>
    <w:basedOn w:val="1"/>
    <w:next w:val="17"/>
    <w:autoRedefine/>
    <w:qFormat/>
    <w:uiPriority w:val="34"/>
    <w:pPr>
      <w:adjustRightInd w:val="0"/>
      <w:snapToGrid w:val="0"/>
      <w:spacing w:line="312" w:lineRule="auto"/>
      <w:ind w:firstLine="420" w:firstLineChars="200"/>
    </w:pPr>
    <w:rPr>
      <w:rFonts w:cs="Times New Roman"/>
      <w:color w:val="auto"/>
      <w:kern w:val="2"/>
      <w:sz w:val="20"/>
      <w:szCs w:val="20"/>
    </w:rPr>
  </w:style>
  <w:style w:type="paragraph" w:styleId="17">
    <w:name w:val="List Paragraph"/>
    <w:basedOn w:val="1"/>
    <w:autoRedefine/>
    <w:qFormat/>
    <w:uiPriority w:val="99"/>
    <w:pPr>
      <w:ind w:firstLine="420" w:firstLineChars="200"/>
    </w:pPr>
    <w:rPr>
      <w:rFonts w:cs="Times New Roman"/>
      <w:color w:val="auto"/>
      <w:kern w:val="2"/>
      <w:szCs w:val="24"/>
    </w:rPr>
  </w:style>
  <w:style w:type="paragraph" w:customStyle="1" w:styleId="18">
    <w:name w:val="纯文本11"/>
    <w:basedOn w:val="1"/>
    <w:autoRedefine/>
    <w:qFormat/>
    <w:uiPriority w:val="0"/>
    <w:rPr>
      <w:rFonts w:ascii="宋体" w:hAnsi="Courier New" w:cs="Courier New"/>
      <w:szCs w:val="21"/>
    </w:rPr>
  </w:style>
  <w:style w:type="character" w:customStyle="1" w:styleId="19">
    <w:name w:val="页眉 字符"/>
    <w:basedOn w:val="14"/>
    <w:link w:val="9"/>
    <w:autoRedefine/>
    <w:qFormat/>
    <w:uiPriority w:val="0"/>
    <w:rPr>
      <w:rFonts w:cs="Calibri"/>
      <w:color w:val="000000"/>
      <w:sz w:val="18"/>
      <w:szCs w:val="18"/>
    </w:rPr>
  </w:style>
  <w:style w:type="character" w:customStyle="1" w:styleId="20">
    <w:name w:val="批注框文本 字符"/>
    <w:basedOn w:val="14"/>
    <w:link w:val="7"/>
    <w:autoRedefine/>
    <w:qFormat/>
    <w:uiPriority w:val="0"/>
    <w:rPr>
      <w:rFonts w:cs="Calibri"/>
      <w:color w:val="000000"/>
      <w:sz w:val="18"/>
      <w:szCs w:val="18"/>
    </w:rPr>
  </w:style>
  <w:style w:type="character" w:customStyle="1" w:styleId="21">
    <w:name w:val="批注文字 字符"/>
    <w:basedOn w:val="14"/>
    <w:link w:val="6"/>
    <w:autoRedefine/>
    <w:qFormat/>
    <w:uiPriority w:val="0"/>
    <w:rPr>
      <w:rFonts w:cs="Calibri"/>
      <w:color w:val="000000"/>
      <w:sz w:val="21"/>
      <w:szCs w:val="22"/>
    </w:rPr>
  </w:style>
  <w:style w:type="character" w:customStyle="1" w:styleId="22">
    <w:name w:val="批注主题 字符"/>
    <w:basedOn w:val="21"/>
    <w:link w:val="11"/>
    <w:autoRedefine/>
    <w:qFormat/>
    <w:uiPriority w:val="0"/>
    <w:rPr>
      <w:rFonts w:cs="Calibri"/>
      <w:b/>
      <w:bCs/>
      <w:color w:val="000000"/>
      <w:sz w:val="21"/>
      <w:szCs w:val="22"/>
    </w:rPr>
  </w:style>
  <w:style w:type="character" w:customStyle="1" w:styleId="23">
    <w:name w:val="fontstyle01"/>
    <w:basedOn w:val="14"/>
    <w:autoRedefine/>
    <w:qFormat/>
    <w:uiPriority w:val="0"/>
    <w:rPr>
      <w:rFonts w:ascii="宋体" w:hAnsi="宋体" w:eastAsia="宋体" w:cs="宋体"/>
      <w:color w:val="000000"/>
      <w:sz w:val="22"/>
      <w:szCs w:val="22"/>
    </w:rPr>
  </w:style>
  <w:style w:type="character" w:customStyle="1" w:styleId="24">
    <w:name w:val="fontstyle21"/>
    <w:basedOn w:val="14"/>
    <w:autoRedefine/>
    <w:qFormat/>
    <w:uiPriority w:val="0"/>
    <w:rPr>
      <w:rFonts w:ascii="宋体" w:hAnsi="宋体" w:eastAsia="宋体" w:cs="宋体"/>
      <w:b/>
      <w:bCs/>
      <w:color w:val="000000"/>
      <w:sz w:val="22"/>
      <w:szCs w:val="22"/>
    </w:rPr>
  </w:style>
  <w:style w:type="character" w:customStyle="1" w:styleId="25">
    <w:name w:val="fontstyle31"/>
    <w:basedOn w:val="14"/>
    <w:autoRedefine/>
    <w:qFormat/>
    <w:uiPriority w:val="0"/>
    <w:rPr>
      <w:rFonts w:ascii="黑体" w:hAnsi="宋体" w:eastAsia="黑体" w:cs="黑体"/>
      <w:color w:val="000000"/>
      <w:sz w:val="22"/>
      <w:szCs w:val="22"/>
    </w:rPr>
  </w:style>
  <w:style w:type="character" w:customStyle="1" w:styleId="26">
    <w:name w:val="fontstyle41"/>
    <w:basedOn w:val="14"/>
    <w:autoRedefine/>
    <w:qFormat/>
    <w:uiPriority w:val="0"/>
    <w:rPr>
      <w:rFonts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14433</Words>
  <Characters>15586</Characters>
  <Lines>110</Lines>
  <Paragraphs>31</Paragraphs>
  <TotalTime>7</TotalTime>
  <ScaleCrop>false</ScaleCrop>
  <LinksUpToDate>false</LinksUpToDate>
  <CharactersWithSpaces>15674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2022-10-17T08:20:00Z</dcterms:created>
  <dc:creator>罗辉凤</dc:creator>
  <cp:lastModifiedBy>徐锋</cp:lastModifiedBy>
  <cp:lastPrinted>2020-12-17T04:16:00Z</cp:lastPrinted>
  <dcterms:modified xsi:type="dcterms:W3CDTF">2024-03-22T00:53:31Z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D02BFAD0697B427F9E305B0D200E26C2_13</vt:lpwstr>
  </property>
</Properties>
</file>