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仿宋" w:hAnsi="仿宋" w:eastAsia="仿宋" w:cs="宋体"/>
          <w:b/>
          <w:sz w:val="52"/>
          <w:szCs w:val="52"/>
        </w:rPr>
      </w:pPr>
    </w:p>
    <w:p>
      <w:pPr>
        <w:spacing w:line="360" w:lineRule="auto"/>
        <w:jc w:val="center"/>
        <w:rPr>
          <w:rFonts w:ascii="仿宋" w:hAnsi="仿宋" w:eastAsia="仿宋" w:cs="宋体"/>
          <w:b/>
          <w:sz w:val="52"/>
          <w:szCs w:val="52"/>
        </w:rPr>
      </w:pPr>
    </w:p>
    <w:p>
      <w:pPr>
        <w:spacing w:line="360" w:lineRule="auto"/>
        <w:jc w:val="center"/>
        <w:rPr>
          <w:rFonts w:ascii="仿宋" w:hAnsi="仿宋" w:eastAsia="仿宋" w:cs="宋体"/>
          <w:sz w:val="52"/>
          <w:szCs w:val="52"/>
        </w:rPr>
      </w:pPr>
      <w:r>
        <w:rPr>
          <w:rFonts w:hint="eastAsia" w:ascii="仿宋" w:hAnsi="仿宋" w:eastAsia="仿宋" w:cs="宋体"/>
          <w:sz w:val="52"/>
          <w:szCs w:val="52"/>
        </w:rPr>
        <w:t>番禺丽江花园渔人码头商业中心更新改造项目机电</w:t>
      </w:r>
      <w:r>
        <w:rPr>
          <w:rFonts w:ascii="仿宋" w:hAnsi="仿宋" w:eastAsia="仿宋" w:cs="宋体"/>
          <w:sz w:val="52"/>
          <w:szCs w:val="52"/>
        </w:rPr>
        <w:t>安装</w:t>
      </w:r>
      <w:r>
        <w:rPr>
          <w:rFonts w:hint="eastAsia" w:ascii="仿宋" w:hAnsi="仿宋" w:eastAsia="仿宋" w:cs="宋体"/>
          <w:sz w:val="52"/>
          <w:szCs w:val="52"/>
        </w:rPr>
        <w:t>工程专业承包</w:t>
      </w:r>
    </w:p>
    <w:p>
      <w:pPr>
        <w:spacing w:line="360" w:lineRule="auto"/>
        <w:jc w:val="center"/>
        <w:rPr>
          <w:rFonts w:ascii="仿宋" w:hAnsi="仿宋" w:eastAsia="仿宋" w:cs="宋体"/>
          <w:sz w:val="52"/>
          <w:szCs w:val="52"/>
        </w:rPr>
      </w:pPr>
      <w:r>
        <w:rPr>
          <w:rFonts w:hint="eastAsia" w:ascii="仿宋" w:hAnsi="仿宋" w:eastAsia="仿宋" w:cs="宋体"/>
          <w:sz w:val="52"/>
          <w:szCs w:val="52"/>
        </w:rPr>
        <w:t>专用合同条款</w:t>
      </w:r>
      <w:r>
        <w:rPr>
          <w:rFonts w:hint="eastAsia" w:ascii="仿宋" w:hAnsi="仿宋" w:eastAsia="仿宋" w:cs="宋体"/>
          <w:sz w:val="52"/>
          <w:szCs w:val="52"/>
        </w:rPr>
        <w:br w:type="textWrapping"/>
      </w:r>
    </w:p>
    <w:p>
      <w:pPr>
        <w:spacing w:line="360" w:lineRule="auto"/>
        <w:jc w:val="center"/>
        <w:rPr>
          <w:rFonts w:ascii="仿宋" w:hAnsi="仿宋" w:eastAsia="仿宋" w:cs="宋体"/>
          <w:b/>
          <w:sz w:val="72"/>
          <w:szCs w:val="72"/>
        </w:rPr>
      </w:pPr>
    </w:p>
    <w:p>
      <w:pPr>
        <w:spacing w:line="360" w:lineRule="auto"/>
        <w:jc w:val="center"/>
        <w:rPr>
          <w:rFonts w:ascii="仿宋" w:hAnsi="仿宋" w:eastAsia="仿宋" w:cs="宋体"/>
          <w:b/>
          <w:sz w:val="52"/>
          <w:szCs w:val="52"/>
        </w:rPr>
      </w:pPr>
    </w:p>
    <w:p>
      <w:pPr>
        <w:spacing w:line="360" w:lineRule="auto"/>
        <w:rPr>
          <w:rFonts w:ascii="仿宋" w:hAnsi="仿宋" w:eastAsia="仿宋" w:cs="宋体"/>
          <w:b/>
          <w:sz w:val="28"/>
          <w:szCs w:val="28"/>
        </w:rPr>
      </w:pPr>
    </w:p>
    <w:p>
      <w:pPr>
        <w:spacing w:line="360" w:lineRule="auto"/>
        <w:rPr>
          <w:rFonts w:ascii="仿宋" w:hAnsi="仿宋" w:eastAsia="仿宋" w:cs="宋体"/>
          <w:b/>
          <w:sz w:val="28"/>
          <w:szCs w:val="28"/>
        </w:rPr>
      </w:pPr>
    </w:p>
    <w:p>
      <w:pPr>
        <w:spacing w:line="360" w:lineRule="auto"/>
        <w:rPr>
          <w:rFonts w:ascii="仿宋" w:hAnsi="仿宋" w:eastAsia="仿宋" w:cs="宋体"/>
          <w:b/>
          <w:sz w:val="28"/>
          <w:szCs w:val="28"/>
        </w:rPr>
      </w:pPr>
    </w:p>
    <w:p>
      <w:pPr>
        <w:pStyle w:val="68"/>
        <w:spacing w:line="360" w:lineRule="auto"/>
        <w:jc w:val="both"/>
        <w:outlineLvl w:val="9"/>
        <w:rPr>
          <w:rFonts w:ascii="仿宋" w:hAnsi="仿宋" w:eastAsia="仿宋" w:cs="宋体"/>
        </w:rPr>
        <w:sectPr>
          <w:headerReference r:id="rId5" w:type="first"/>
          <w:footerReference r:id="rId8" w:type="first"/>
          <w:headerReference r:id="rId3" w:type="default"/>
          <w:footerReference r:id="rId6" w:type="default"/>
          <w:headerReference r:id="rId4" w:type="even"/>
          <w:footerReference r:id="rId7" w:type="even"/>
          <w:pgSz w:w="11906" w:h="16838"/>
          <w:pgMar w:top="1418" w:right="1555" w:bottom="1418" w:left="1531" w:header="851" w:footer="992" w:gutter="0"/>
          <w:pgNumType w:start="1"/>
          <w:cols w:space="720" w:num="1"/>
          <w:titlePg/>
          <w:docGrid w:type="lines" w:linePitch="312" w:charSpace="0"/>
        </w:sectPr>
      </w:pPr>
    </w:p>
    <w:p>
      <w:pPr>
        <w:pStyle w:val="68"/>
        <w:spacing w:line="360" w:lineRule="auto"/>
        <w:outlineLvl w:val="9"/>
        <w:rPr>
          <w:rFonts w:ascii="仿宋" w:hAnsi="仿宋" w:eastAsia="仿宋" w:cs="宋体"/>
          <w:lang w:val="zh-CN"/>
        </w:rPr>
      </w:pPr>
      <w:bookmarkStart w:id="0" w:name="_Toc19479"/>
      <w:bookmarkStart w:id="1" w:name="_Toc2368"/>
      <w:bookmarkStart w:id="2" w:name="_Toc29629"/>
      <w:bookmarkStart w:id="3" w:name="_Toc19523"/>
      <w:bookmarkStart w:id="4" w:name="_Toc91613489"/>
      <w:bookmarkStart w:id="5" w:name="_Toc14238"/>
      <w:bookmarkStart w:id="6" w:name="_Toc13620"/>
      <w:bookmarkStart w:id="7" w:name="_Toc14701"/>
      <w:bookmarkStart w:id="8" w:name="_Toc31549"/>
      <w:bookmarkStart w:id="9" w:name="_Toc17580"/>
      <w:r>
        <w:rPr>
          <w:rFonts w:hint="eastAsia" w:ascii="仿宋" w:hAnsi="仿宋" w:eastAsia="仿宋" w:cs="宋体"/>
          <w:lang w:val="zh-CN"/>
        </w:rPr>
        <w:t>总目录</w:t>
      </w:r>
      <w:bookmarkEnd w:id="0"/>
      <w:bookmarkEnd w:id="1"/>
      <w:bookmarkEnd w:id="2"/>
      <w:bookmarkEnd w:id="3"/>
      <w:bookmarkEnd w:id="4"/>
      <w:bookmarkEnd w:id="5"/>
      <w:bookmarkEnd w:id="6"/>
      <w:bookmarkEnd w:id="7"/>
      <w:bookmarkEnd w:id="8"/>
      <w:bookmarkEnd w:id="9"/>
    </w:p>
    <w:p>
      <w:pPr>
        <w:pStyle w:val="26"/>
        <w:tabs>
          <w:tab w:val="right" w:leader="dot" w:pos="8820"/>
          <w:tab w:val="clear" w:pos="8296"/>
        </w:tabs>
      </w:pPr>
      <w:r>
        <w:rPr>
          <w:rFonts w:hint="eastAsia" w:cs="宋体" w:asciiTheme="minorEastAsia" w:hAnsiTheme="minorEastAsia" w:eastAsiaTheme="minorEastAsia"/>
          <w:b w:val="0"/>
          <w:szCs w:val="28"/>
        </w:rPr>
        <w:fldChar w:fldCharType="begin"/>
      </w:r>
      <w:r>
        <w:rPr>
          <w:rFonts w:hint="eastAsia" w:cs="宋体" w:asciiTheme="minorEastAsia" w:hAnsiTheme="minorEastAsia" w:eastAsiaTheme="minorEastAsia"/>
          <w:b w:val="0"/>
          <w:szCs w:val="28"/>
        </w:rPr>
        <w:instrText xml:space="preserve"> TOC \o "1-1" \h \z \u </w:instrText>
      </w:r>
      <w:r>
        <w:rPr>
          <w:rFonts w:hint="eastAsia" w:cs="宋体" w:asciiTheme="minorEastAsia" w:hAnsiTheme="minorEastAsia" w:eastAsiaTheme="minorEastAsia"/>
          <w:b w:val="0"/>
          <w:szCs w:val="28"/>
        </w:rPr>
        <w:fldChar w:fldCharType="separate"/>
      </w: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_Toc14701 </w:instrText>
      </w:r>
      <w:r>
        <w:rPr>
          <w:rFonts w:hint="eastAsia" w:cs="宋体" w:asciiTheme="minorEastAsia" w:hAnsiTheme="minorEastAsia" w:eastAsiaTheme="minorEastAsia"/>
        </w:rPr>
        <w:fldChar w:fldCharType="separate"/>
      </w:r>
      <w:r>
        <w:rPr>
          <w:rFonts w:hint="eastAsia" w:ascii="仿宋" w:hAnsi="仿宋" w:eastAsia="仿宋" w:cs="宋体"/>
          <w:lang w:val="zh-CN"/>
        </w:rPr>
        <w:t>总目录</w:t>
      </w:r>
      <w:r>
        <w:tab/>
      </w:r>
      <w:r>
        <w:fldChar w:fldCharType="begin"/>
      </w:r>
      <w:r>
        <w:instrText xml:space="preserve"> PAGEREF _Toc14701 \h </w:instrText>
      </w:r>
      <w:r>
        <w:fldChar w:fldCharType="separate"/>
      </w:r>
      <w:r>
        <w:t>2</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_Toc5377 </w:instrText>
      </w:r>
      <w:r>
        <w:rPr>
          <w:rFonts w:hint="eastAsia" w:cs="宋体" w:asciiTheme="minorEastAsia" w:hAnsiTheme="minorEastAsia" w:eastAsiaTheme="minorEastAsia"/>
        </w:rPr>
        <w:fldChar w:fldCharType="separate"/>
      </w:r>
      <w:r>
        <w:rPr>
          <w:rFonts w:hint="eastAsia" w:ascii="仿宋" w:hAnsi="仿宋" w:eastAsia="仿宋"/>
          <w:szCs w:val="28"/>
        </w:rPr>
        <w:t>附件1 合同范围及边界</w:t>
      </w:r>
      <w:r>
        <w:tab/>
      </w:r>
      <w:r>
        <w:fldChar w:fldCharType="begin"/>
      </w:r>
      <w:r>
        <w:instrText xml:space="preserve"> PAGEREF _Toc5377 \h </w:instrText>
      </w:r>
      <w:r>
        <w:fldChar w:fldCharType="separate"/>
      </w:r>
      <w:r>
        <w:t>26</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_Toc21311 </w:instrText>
      </w:r>
      <w:r>
        <w:rPr>
          <w:rFonts w:hint="eastAsia" w:cs="宋体" w:asciiTheme="minorEastAsia" w:hAnsiTheme="minorEastAsia" w:eastAsiaTheme="minorEastAsia"/>
        </w:rPr>
        <w:fldChar w:fldCharType="separate"/>
      </w:r>
      <w:r>
        <w:rPr>
          <w:rFonts w:hint="eastAsia" w:ascii="仿宋" w:hAnsi="仿宋" w:eastAsia="仿宋"/>
          <w:szCs w:val="28"/>
        </w:rPr>
        <w:t>附件2施工技术要求（另册）</w:t>
      </w:r>
      <w:r>
        <w:tab/>
      </w:r>
      <w:r>
        <w:fldChar w:fldCharType="begin"/>
      </w:r>
      <w:r>
        <w:instrText xml:space="preserve"> PAGEREF _Toc21311 \h </w:instrText>
      </w:r>
      <w:r>
        <w:fldChar w:fldCharType="separate"/>
      </w:r>
      <w:r>
        <w:t>27</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_Toc29572 </w:instrText>
      </w:r>
      <w:r>
        <w:rPr>
          <w:rFonts w:hint="eastAsia" w:cs="宋体" w:asciiTheme="minorEastAsia" w:hAnsiTheme="minorEastAsia" w:eastAsiaTheme="minorEastAsia"/>
        </w:rPr>
        <w:fldChar w:fldCharType="separate"/>
      </w:r>
      <w:r>
        <w:rPr>
          <w:rFonts w:hint="eastAsia"/>
          <w:szCs w:val="30"/>
        </w:rPr>
        <w:t>附件</w:t>
      </w:r>
      <w:r>
        <w:rPr>
          <w:rFonts w:hint="eastAsia"/>
          <w:bCs w:val="0"/>
          <w:szCs w:val="30"/>
        </w:rPr>
        <w:t>3履约保函（样式）</w:t>
      </w:r>
      <w:r>
        <w:tab/>
      </w:r>
      <w:r>
        <w:fldChar w:fldCharType="begin"/>
      </w:r>
      <w:r>
        <w:instrText xml:space="preserve"> PAGEREF _Toc29572 \h </w:instrText>
      </w:r>
      <w:r>
        <w:fldChar w:fldCharType="separate"/>
      </w:r>
      <w:r>
        <w:t>28</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_Toc22502 </w:instrText>
      </w:r>
      <w:r>
        <w:rPr>
          <w:rFonts w:hint="eastAsia" w:cs="宋体" w:asciiTheme="minorEastAsia" w:hAnsiTheme="minorEastAsia" w:eastAsiaTheme="minorEastAsia"/>
        </w:rPr>
        <w:fldChar w:fldCharType="separate"/>
      </w:r>
      <w:r>
        <w:rPr>
          <w:rFonts w:hint="eastAsia"/>
          <w:szCs w:val="30"/>
        </w:rPr>
        <w:t>附件4材料设备品牌推荐表（另册）</w:t>
      </w:r>
      <w:r>
        <w:tab/>
      </w:r>
      <w:r>
        <w:fldChar w:fldCharType="begin"/>
      </w:r>
      <w:r>
        <w:instrText xml:space="preserve"> PAGEREF _Toc22502 \h </w:instrText>
      </w:r>
      <w:r>
        <w:fldChar w:fldCharType="separate"/>
      </w:r>
      <w:r>
        <w:t>29</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_Toc6303 </w:instrText>
      </w:r>
      <w:r>
        <w:rPr>
          <w:rFonts w:hint="eastAsia" w:cs="宋体" w:asciiTheme="minorEastAsia" w:hAnsiTheme="minorEastAsia" w:eastAsiaTheme="minorEastAsia"/>
        </w:rPr>
        <w:fldChar w:fldCharType="separate"/>
      </w:r>
      <w:r>
        <w:rPr>
          <w:rFonts w:hint="eastAsia" w:ascii="仿宋" w:hAnsi="仿宋" w:eastAsia="仿宋"/>
          <w:szCs w:val="30"/>
        </w:rPr>
        <w:t>附件5 工程质量保修书</w:t>
      </w:r>
      <w:r>
        <w:tab/>
      </w:r>
      <w:r>
        <w:fldChar w:fldCharType="begin"/>
      </w:r>
      <w:r>
        <w:instrText xml:space="preserve"> PAGEREF _Toc6303 \h </w:instrText>
      </w:r>
      <w:r>
        <w:fldChar w:fldCharType="separate"/>
      </w:r>
      <w:r>
        <w:t>30</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_Toc5257 </w:instrText>
      </w:r>
      <w:r>
        <w:rPr>
          <w:rFonts w:hint="eastAsia" w:cs="宋体" w:asciiTheme="minorEastAsia" w:hAnsiTheme="minorEastAsia" w:eastAsiaTheme="minorEastAsia"/>
        </w:rPr>
        <w:fldChar w:fldCharType="separate"/>
      </w:r>
      <w:r>
        <w:rPr>
          <w:rFonts w:hint="eastAsia" w:ascii="仿宋" w:hAnsi="仿宋" w:eastAsia="仿宋"/>
          <w:szCs w:val="30"/>
        </w:rPr>
        <w:t>附件6 已标价工程量清单（另册）</w:t>
      </w:r>
      <w:r>
        <w:tab/>
      </w:r>
      <w:r>
        <w:fldChar w:fldCharType="begin"/>
      </w:r>
      <w:r>
        <w:instrText xml:space="preserve"> PAGEREF _Toc5257 \h </w:instrText>
      </w:r>
      <w:r>
        <w:fldChar w:fldCharType="separate"/>
      </w:r>
      <w:r>
        <w:t>32</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_Toc3963 </w:instrText>
      </w:r>
      <w:r>
        <w:rPr>
          <w:rFonts w:hint="eastAsia" w:cs="宋体" w:asciiTheme="minorEastAsia" w:hAnsiTheme="minorEastAsia" w:eastAsiaTheme="minorEastAsia"/>
        </w:rPr>
        <w:fldChar w:fldCharType="separate"/>
      </w:r>
      <w:r>
        <w:rPr>
          <w:rFonts w:hint="eastAsia" w:ascii="仿宋" w:hAnsi="仿宋" w:eastAsia="仿宋"/>
          <w:bCs w:val="0"/>
          <w:szCs w:val="30"/>
        </w:rPr>
        <w:t>附件7 图纸目录（另册）</w:t>
      </w:r>
      <w:r>
        <w:tab/>
      </w:r>
      <w:r>
        <w:fldChar w:fldCharType="begin"/>
      </w:r>
      <w:r>
        <w:instrText xml:space="preserve"> PAGEREF _Toc3963 \h </w:instrText>
      </w:r>
      <w:r>
        <w:fldChar w:fldCharType="separate"/>
      </w:r>
      <w:r>
        <w:t>32</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_Toc6087 </w:instrText>
      </w:r>
      <w:r>
        <w:rPr>
          <w:rFonts w:hint="eastAsia" w:cs="宋体" w:asciiTheme="minorEastAsia" w:hAnsiTheme="minorEastAsia" w:eastAsiaTheme="minorEastAsia"/>
        </w:rPr>
        <w:fldChar w:fldCharType="separate"/>
      </w:r>
      <w:r>
        <w:rPr>
          <w:rFonts w:hint="eastAsia" w:ascii="仿宋" w:hAnsi="仿宋" w:eastAsia="仿宋"/>
          <w:bCs w:val="0"/>
          <w:szCs w:val="30"/>
        </w:rPr>
        <w:t>附件</w:t>
      </w:r>
      <w:r>
        <w:rPr>
          <w:rFonts w:hint="eastAsia" w:ascii="仿宋" w:hAnsi="仿宋" w:eastAsia="仿宋"/>
          <w:szCs w:val="30"/>
        </w:rPr>
        <w:t>8 项目管理班子及其他管理人员配备情况表（按投标文件）</w:t>
      </w:r>
      <w:r>
        <w:tab/>
      </w:r>
      <w:r>
        <w:fldChar w:fldCharType="begin"/>
      </w:r>
      <w:r>
        <w:instrText xml:space="preserve"> PAGEREF _Toc6087 \h </w:instrText>
      </w:r>
      <w:r>
        <w:fldChar w:fldCharType="separate"/>
      </w:r>
      <w:r>
        <w:t>32</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_Toc1006 </w:instrText>
      </w:r>
      <w:r>
        <w:rPr>
          <w:rFonts w:hint="eastAsia" w:cs="宋体" w:asciiTheme="minorEastAsia" w:hAnsiTheme="minorEastAsia" w:eastAsiaTheme="minorEastAsia"/>
        </w:rPr>
        <w:fldChar w:fldCharType="separate"/>
      </w:r>
      <w:r>
        <w:rPr>
          <w:rFonts w:hint="eastAsia" w:ascii="Cambria" w:hAnsi="Cambria"/>
          <w:bCs w:val="0"/>
          <w:szCs w:val="30"/>
        </w:rPr>
        <w:t>附件</w:t>
      </w:r>
      <w:r>
        <w:rPr>
          <w:rFonts w:hint="eastAsia" w:ascii="仿宋" w:hAnsi="仿宋" w:eastAsia="仿宋"/>
          <w:szCs w:val="30"/>
        </w:rPr>
        <w:t>9 主要</w:t>
      </w:r>
      <w:r>
        <w:rPr>
          <w:rFonts w:hint="eastAsia" w:ascii="Cambria" w:hAnsi="Cambria"/>
          <w:bCs w:val="0"/>
          <w:szCs w:val="30"/>
        </w:rPr>
        <w:t>施工机械设备表（</w:t>
      </w:r>
      <w:r>
        <w:rPr>
          <w:rFonts w:hint="eastAsia" w:ascii="Cambria" w:hAnsi="Cambria"/>
          <w:bCs w:val="0"/>
          <w:szCs w:val="30"/>
          <w:lang w:val="en-US" w:eastAsia="zh-CN"/>
        </w:rPr>
        <w:t>无</w:t>
      </w:r>
      <w:r>
        <w:rPr>
          <w:rFonts w:hint="eastAsia" w:ascii="Cambria" w:hAnsi="Cambria"/>
          <w:bCs w:val="0"/>
          <w:szCs w:val="30"/>
        </w:rPr>
        <w:t>）</w:t>
      </w:r>
      <w:r>
        <w:tab/>
      </w:r>
      <w:r>
        <w:fldChar w:fldCharType="begin"/>
      </w:r>
      <w:r>
        <w:instrText xml:space="preserve"> PAGEREF _Toc1006 \h </w:instrText>
      </w:r>
      <w:r>
        <w:fldChar w:fldCharType="separate"/>
      </w:r>
      <w:r>
        <w:t>32</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_Toc7940 </w:instrText>
      </w:r>
      <w:r>
        <w:rPr>
          <w:rFonts w:hint="eastAsia" w:cs="宋体" w:asciiTheme="minorEastAsia" w:hAnsiTheme="minorEastAsia" w:eastAsiaTheme="minorEastAsia"/>
        </w:rPr>
        <w:fldChar w:fldCharType="separate"/>
      </w:r>
      <w:r>
        <w:rPr>
          <w:rFonts w:hint="eastAsia" w:ascii="仿宋" w:hAnsi="仿宋" w:eastAsia="仿宋"/>
          <w:szCs w:val="28"/>
        </w:rPr>
        <w:t>附件10 安全生产不良行为扣分条款</w:t>
      </w:r>
      <w:r>
        <w:tab/>
      </w:r>
      <w:r>
        <w:fldChar w:fldCharType="begin"/>
      </w:r>
      <w:r>
        <w:instrText xml:space="preserve"> PAGEREF _Toc7940 \h </w:instrText>
      </w:r>
      <w:r>
        <w:fldChar w:fldCharType="separate"/>
      </w:r>
      <w:r>
        <w:t>33</w:t>
      </w:r>
      <w:r>
        <w:fldChar w:fldCharType="end"/>
      </w:r>
      <w:r>
        <w:rPr>
          <w:rFonts w:hint="eastAsia" w:cs="宋体" w:asciiTheme="minorEastAsia" w:hAnsiTheme="minorEastAsia" w:eastAsiaTheme="minorEastAsia"/>
        </w:rPr>
        <w:fldChar w:fldCharType="end"/>
      </w:r>
    </w:p>
    <w:p>
      <w:pPr>
        <w:pStyle w:val="26"/>
        <w:tabs>
          <w:tab w:val="right" w:leader="dot" w:pos="8820"/>
          <w:tab w:val="clear" w:pos="8296"/>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_Toc8975 </w:instrText>
      </w:r>
      <w:r>
        <w:rPr>
          <w:rFonts w:hint="eastAsia" w:cs="宋体" w:asciiTheme="minorEastAsia" w:hAnsiTheme="minorEastAsia" w:eastAsiaTheme="minorEastAsia"/>
        </w:rPr>
        <w:fldChar w:fldCharType="separate"/>
      </w:r>
      <w:r>
        <w:rPr>
          <w:rFonts w:hint="eastAsia" w:ascii="仿宋" w:hAnsi="仿宋" w:eastAsia="仿宋"/>
          <w:bCs w:val="0"/>
          <w:szCs w:val="30"/>
        </w:rPr>
        <w:t>附件</w:t>
      </w:r>
      <w:r>
        <w:rPr>
          <w:rFonts w:hint="eastAsia" w:ascii="仿宋" w:hAnsi="仿宋" w:eastAsia="仿宋"/>
          <w:szCs w:val="30"/>
        </w:rPr>
        <w:t>11 粤海置地第三方质量安全评估标准（另册）</w:t>
      </w:r>
      <w:r>
        <w:tab/>
      </w:r>
      <w:r>
        <w:fldChar w:fldCharType="begin"/>
      </w:r>
      <w:r>
        <w:instrText xml:space="preserve"> PAGEREF _Toc8975 \h </w:instrText>
      </w:r>
      <w:r>
        <w:fldChar w:fldCharType="separate"/>
      </w:r>
      <w:r>
        <w:t>38</w:t>
      </w:r>
      <w:r>
        <w:fldChar w:fldCharType="end"/>
      </w:r>
      <w:r>
        <w:rPr>
          <w:rFonts w:hint="eastAsia" w:cs="宋体" w:asciiTheme="minorEastAsia" w:hAnsiTheme="minorEastAsia" w:eastAsiaTheme="minorEastAsia"/>
        </w:rPr>
        <w:fldChar w:fldCharType="end"/>
      </w:r>
    </w:p>
    <w:p>
      <w:pPr>
        <w:pStyle w:val="26"/>
        <w:spacing w:line="360" w:lineRule="auto"/>
        <w:rPr>
          <w:rFonts w:ascii="仿宋" w:hAnsi="仿宋" w:eastAsia="仿宋" w:cs="宋体"/>
        </w:rPr>
        <w:sectPr>
          <w:footerReference r:id="rId9" w:type="first"/>
          <w:pgSz w:w="11906" w:h="16838"/>
          <w:pgMar w:top="1418" w:right="1555" w:bottom="1418" w:left="1531" w:header="851" w:footer="992" w:gutter="0"/>
          <w:cols w:space="720" w:num="1"/>
          <w:titlePg/>
          <w:docGrid w:type="lines" w:linePitch="312" w:charSpace="0"/>
        </w:sectPr>
      </w:pPr>
      <w:r>
        <w:rPr>
          <w:rFonts w:hint="eastAsia" w:cs="宋体" w:asciiTheme="minorEastAsia" w:hAnsiTheme="minorEastAsia" w:eastAsiaTheme="minorEastAsia"/>
          <w:b w:val="0"/>
        </w:rPr>
        <w:fldChar w:fldCharType="end"/>
      </w:r>
      <w:bookmarkStart w:id="10" w:name="_Toc351203480"/>
    </w:p>
    <w:bookmarkEnd w:id="10"/>
    <w:p>
      <w:pPr>
        <w:pStyle w:val="52"/>
        <w:ind w:firstLine="422"/>
        <w:rPr>
          <w:rFonts w:ascii="仿宋" w:hAnsi="仿宋" w:eastAsia="仿宋" w:cs="宋体"/>
          <w:b/>
          <w:color w:val="auto"/>
          <w:kern w:val="2"/>
          <w:szCs w:val="21"/>
        </w:rPr>
      </w:pPr>
      <w:bookmarkStart w:id="11" w:name="_Toc44492553"/>
      <w:bookmarkStart w:id="12" w:name="_Toc105"/>
      <w:bookmarkStart w:id="13" w:name="_Toc6960"/>
      <w:bookmarkStart w:id="14" w:name="p3"/>
      <w:r>
        <w:rPr>
          <w:rFonts w:hint="eastAsia" w:ascii="仿宋" w:hAnsi="仿宋" w:eastAsia="仿宋" w:cs="宋体"/>
          <w:b/>
          <w:color w:val="auto"/>
          <w:kern w:val="2"/>
          <w:szCs w:val="21"/>
        </w:rPr>
        <w:t>本专用条款的编号对应总承包合同中专用条款编号。</w:t>
      </w:r>
    </w:p>
    <w:p>
      <w:pPr>
        <w:pStyle w:val="52"/>
        <w:ind w:firstLine="422"/>
        <w:rPr>
          <w:rFonts w:ascii="仿宋" w:hAnsi="仿宋" w:eastAsia="仿宋" w:cs="宋体"/>
          <w:b/>
          <w:color w:val="auto"/>
          <w:szCs w:val="21"/>
          <w:u w:val="single"/>
        </w:rPr>
      </w:pPr>
      <w:r>
        <w:rPr>
          <w:rFonts w:hint="eastAsia" w:ascii="仿宋" w:hAnsi="仿宋" w:eastAsia="仿宋" w:cs="宋体"/>
          <w:b/>
          <w:color w:val="auto"/>
          <w:kern w:val="2"/>
          <w:szCs w:val="21"/>
        </w:rPr>
        <w:t xml:space="preserve">1.12 </w:t>
      </w:r>
      <w:r>
        <w:rPr>
          <w:rFonts w:hint="eastAsia" w:ascii="仿宋" w:hAnsi="仿宋" w:eastAsia="仿宋" w:cs="宋体"/>
          <w:b/>
          <w:color w:val="auto"/>
          <w:kern w:val="2"/>
          <w:szCs w:val="21"/>
          <w:u w:val="single"/>
        </w:rPr>
        <w:t>关于</w:t>
      </w:r>
      <w:r>
        <w:rPr>
          <w:rFonts w:hint="eastAsia" w:ascii="仿宋" w:hAnsi="仿宋" w:eastAsia="仿宋" w:cs="宋体"/>
          <w:b/>
          <w:color w:val="auto"/>
          <w:u w:val="single"/>
        </w:rPr>
        <w:t>原合同范围内的暂估价专业工程的一般约定</w:t>
      </w:r>
    </w:p>
    <w:p>
      <w:pPr>
        <w:pStyle w:val="52"/>
        <w:ind w:firstLine="420"/>
        <w:rPr>
          <w:rFonts w:ascii="仿宋" w:hAnsi="仿宋" w:eastAsia="仿宋" w:cs="宋体"/>
          <w:bCs/>
          <w:color w:val="auto"/>
        </w:rPr>
      </w:pPr>
      <w:r>
        <w:rPr>
          <w:rFonts w:hint="eastAsia" w:ascii="仿宋" w:hAnsi="仿宋" w:eastAsia="仿宋" w:cs="宋体"/>
          <w:bCs/>
          <w:color w:val="auto"/>
        </w:rPr>
        <w:t>（1）发包人现已就原合同范围内的暂估价专业工程</w:t>
      </w:r>
      <w:r>
        <w:rPr>
          <w:rFonts w:hint="eastAsia" w:ascii="仿宋" w:hAnsi="仿宋" w:eastAsia="仿宋" w:cs="宋体"/>
          <w:bCs/>
          <w:color w:val="auto"/>
          <w:u w:val="single"/>
        </w:rPr>
        <w:t>番禺丽江花园渔人码头商业中心更新改造项目机电</w:t>
      </w:r>
      <w:r>
        <w:rPr>
          <w:rFonts w:ascii="仿宋" w:hAnsi="仿宋" w:eastAsia="仿宋" w:cs="宋体"/>
          <w:bCs/>
          <w:color w:val="auto"/>
          <w:u w:val="single"/>
        </w:rPr>
        <w:t>安装</w:t>
      </w:r>
      <w:r>
        <w:rPr>
          <w:rFonts w:hint="eastAsia" w:ascii="仿宋" w:hAnsi="仿宋" w:eastAsia="仿宋" w:cs="宋体"/>
          <w:bCs/>
          <w:color w:val="auto"/>
          <w:u w:val="single"/>
        </w:rPr>
        <w:t>工程专业承包（以下称本工程）</w:t>
      </w:r>
      <w:r>
        <w:rPr>
          <w:rFonts w:hint="eastAsia" w:ascii="仿宋" w:hAnsi="仿宋" w:eastAsia="仿宋" w:cs="宋体"/>
          <w:bCs/>
          <w:color w:val="auto"/>
        </w:rPr>
        <w:t>组织公开招标，承包人参与了本工程投标并中标。发包人与承包人就本工程订立《番禺丽江花园渔人码头商业中心更新改造项目机电</w:t>
      </w:r>
      <w:r>
        <w:rPr>
          <w:rFonts w:ascii="仿宋" w:hAnsi="仿宋" w:eastAsia="仿宋" w:cs="宋体"/>
          <w:bCs/>
          <w:color w:val="auto"/>
        </w:rPr>
        <w:t>安装</w:t>
      </w:r>
      <w:r>
        <w:rPr>
          <w:rFonts w:hint="eastAsia" w:ascii="仿宋" w:hAnsi="仿宋" w:eastAsia="仿宋" w:cs="宋体"/>
          <w:bCs/>
          <w:color w:val="auto"/>
        </w:rPr>
        <w:t>工程专业承包专用合同条款》（以下称本专用合同条款），作为原合同补充协议的补充约定。</w:t>
      </w:r>
    </w:p>
    <w:p>
      <w:pPr>
        <w:pStyle w:val="52"/>
        <w:ind w:firstLine="420"/>
        <w:rPr>
          <w:rFonts w:ascii="仿宋" w:hAnsi="仿宋" w:eastAsia="仿宋" w:cs="宋体"/>
          <w:b/>
          <w:color w:val="auto"/>
          <w:u w:val="single"/>
        </w:rPr>
      </w:pPr>
      <w:r>
        <w:rPr>
          <w:rFonts w:hint="eastAsia" w:ascii="仿宋" w:hAnsi="仿宋" w:eastAsia="仿宋" w:cs="宋体"/>
          <w:bCs/>
          <w:color w:val="auto"/>
        </w:rPr>
        <w:t xml:space="preserve">（2）本专用合同条款为 </w:t>
      </w:r>
      <w:r>
        <w:rPr>
          <w:rFonts w:hint="eastAsia" w:ascii="仿宋" w:hAnsi="仿宋" w:eastAsia="仿宋" w:cs="宋体"/>
          <w:b/>
          <w:color w:val="auto"/>
          <w:u w:val="single"/>
        </w:rPr>
        <w:t>番禺丽江花园渔人码头商业中心更新改造项目机电</w:t>
      </w:r>
      <w:r>
        <w:rPr>
          <w:rFonts w:ascii="仿宋" w:hAnsi="仿宋" w:eastAsia="仿宋" w:cs="宋体"/>
          <w:b/>
          <w:color w:val="auto"/>
          <w:u w:val="single"/>
        </w:rPr>
        <w:t>安装</w:t>
      </w:r>
      <w:r>
        <w:rPr>
          <w:rFonts w:hint="eastAsia" w:ascii="仿宋" w:hAnsi="仿宋" w:eastAsia="仿宋" w:cs="宋体"/>
          <w:b/>
          <w:color w:val="auto"/>
          <w:u w:val="single"/>
        </w:rPr>
        <w:t>工程专业承包</w:t>
      </w:r>
      <w:r>
        <w:rPr>
          <w:rFonts w:hint="eastAsia" w:ascii="仿宋" w:hAnsi="仿宋" w:eastAsia="仿宋" w:cs="宋体"/>
          <w:bCs/>
          <w:color w:val="auto"/>
        </w:rPr>
        <w:t xml:space="preserve"> 专用合同条款，以下所称本合同工程、本工程，以及述及本合同时所指的工程均为</w:t>
      </w:r>
      <w:r>
        <w:rPr>
          <w:rFonts w:hint="eastAsia" w:ascii="仿宋" w:hAnsi="仿宋" w:eastAsia="仿宋" w:cs="宋体"/>
          <w:b/>
          <w:color w:val="auto"/>
          <w:u w:val="single"/>
        </w:rPr>
        <w:t>番禺丽江花园渔人码头商业中心更新改造项目机电</w:t>
      </w:r>
      <w:r>
        <w:rPr>
          <w:rFonts w:ascii="仿宋" w:hAnsi="仿宋" w:eastAsia="仿宋" w:cs="宋体"/>
          <w:b/>
          <w:color w:val="auto"/>
          <w:u w:val="single"/>
        </w:rPr>
        <w:t>安装</w:t>
      </w:r>
      <w:r>
        <w:rPr>
          <w:rFonts w:hint="eastAsia" w:ascii="仿宋" w:hAnsi="仿宋" w:eastAsia="仿宋" w:cs="宋体"/>
          <w:b/>
          <w:color w:val="auto"/>
          <w:u w:val="single"/>
        </w:rPr>
        <w:t>工程专业承包。</w:t>
      </w:r>
    </w:p>
    <w:p>
      <w:pPr>
        <w:pStyle w:val="52"/>
        <w:ind w:firstLine="422"/>
        <w:rPr>
          <w:rFonts w:ascii="仿宋" w:hAnsi="仿宋" w:eastAsia="仿宋" w:cs="宋体"/>
          <w:b/>
          <w:color w:val="auto"/>
          <w:u w:val="single"/>
        </w:rPr>
      </w:pPr>
      <w:r>
        <w:rPr>
          <w:rFonts w:hint="eastAsia" w:ascii="仿宋" w:hAnsi="仿宋" w:eastAsia="仿宋" w:cs="宋体"/>
          <w:b/>
          <w:color w:val="auto"/>
          <w:u w:val="single"/>
        </w:rPr>
        <w:t>（3）本专用合同条款为适用于番禺丽江花园渔人码头商业中心更新改造项目机电</w:t>
      </w:r>
      <w:r>
        <w:rPr>
          <w:rFonts w:ascii="仿宋" w:hAnsi="仿宋" w:eastAsia="仿宋" w:cs="宋体"/>
          <w:b/>
          <w:color w:val="auto"/>
          <w:u w:val="single"/>
        </w:rPr>
        <w:t>安装</w:t>
      </w:r>
      <w:r>
        <w:rPr>
          <w:rFonts w:hint="eastAsia" w:ascii="仿宋" w:hAnsi="仿宋" w:eastAsia="仿宋" w:cs="宋体"/>
          <w:b/>
          <w:color w:val="auto"/>
          <w:u w:val="single"/>
        </w:rPr>
        <w:t>工程专业承包的原合同专用条款的补充约定；本工程优先执行本专用合同条款的约定。</w:t>
      </w:r>
    </w:p>
    <w:p>
      <w:pPr>
        <w:pStyle w:val="52"/>
        <w:ind w:firstLine="420"/>
        <w:rPr>
          <w:rFonts w:ascii="仿宋" w:hAnsi="仿宋" w:eastAsia="仿宋"/>
          <w:color w:val="auto"/>
          <w:sz w:val="24"/>
          <w:szCs w:val="24"/>
        </w:rPr>
      </w:pPr>
      <w:r>
        <w:rPr>
          <w:rFonts w:hint="eastAsia" w:ascii="仿宋" w:hAnsi="仿宋" w:eastAsia="仿宋" w:cs="宋体"/>
          <w:bCs/>
          <w:color w:val="auto"/>
        </w:rPr>
        <w:t>（4）按以上第1.12（3）条所述约定，除本专用合同条款做出明确修改的条款外，其余按原合同约定履行</w:t>
      </w:r>
      <w:r>
        <w:rPr>
          <w:rFonts w:hint="eastAsia" w:ascii="仿宋" w:hAnsi="仿宋" w:eastAsia="仿宋"/>
          <w:color w:val="auto"/>
          <w:sz w:val="24"/>
          <w:szCs w:val="24"/>
        </w:rPr>
        <w:t>。</w:t>
      </w:r>
    </w:p>
    <w:p>
      <w:pPr>
        <w:pStyle w:val="52"/>
        <w:ind w:firstLine="420" w:firstLineChars="0"/>
        <w:rPr>
          <w:rFonts w:ascii="仿宋" w:hAnsi="仿宋" w:eastAsia="仿宋" w:cs="宋体"/>
          <w:b/>
          <w:color w:val="auto"/>
        </w:rPr>
      </w:pPr>
      <w:r>
        <w:rPr>
          <w:rFonts w:hint="eastAsia" w:ascii="仿宋" w:hAnsi="仿宋" w:eastAsia="仿宋" w:cs="宋体"/>
          <w:b/>
          <w:color w:val="auto"/>
        </w:rPr>
        <w:t>1.4 本专用合同条款文件的优先顺序</w:t>
      </w:r>
    </w:p>
    <w:p>
      <w:pPr>
        <w:pStyle w:val="52"/>
        <w:ind w:firstLine="420"/>
      </w:pPr>
      <w:r>
        <w:rPr>
          <w:rFonts w:hint="eastAsia"/>
        </w:rPr>
        <w:t>下列文件均为</w:t>
      </w:r>
      <w:r>
        <w:rPr>
          <w:rFonts w:hint="eastAsia" w:ascii="仿宋" w:hAnsi="仿宋" w:eastAsia="仿宋" w:cs="宋体"/>
          <w:bCs/>
          <w:color w:val="auto"/>
        </w:rPr>
        <w:t>本专用合同条款</w:t>
      </w:r>
      <w:r>
        <w:rPr>
          <w:rFonts w:hint="eastAsia"/>
        </w:rPr>
        <w:t>的组成部分，互为补充和解释。若合同文件中对工程范围、工程质量、建设工期、工程价款（含相关的计价条款）、安全管理要求等实质性内容有不一致的，承包人应当自发现或应当发现之日起及时向发包人提出，除发包人明确要求适用何种约定外，以对承包人义务、责任要求高者、严者为准；合同文件的其他内容出现不一致的，除</w:t>
      </w:r>
      <w:r>
        <w:rPr>
          <w:rFonts w:hint="eastAsia" w:ascii="仿宋" w:hAnsi="仿宋" w:eastAsia="仿宋" w:cs="宋体"/>
          <w:bCs/>
          <w:color w:val="auto"/>
        </w:rPr>
        <w:t>本专用合同条款</w:t>
      </w:r>
      <w:r>
        <w:rPr>
          <w:rFonts w:hint="eastAsia"/>
        </w:rPr>
        <w:t>另有明文约定外，按顺序排列在前者为准，同一顺序文件出现不一致的，以时间在后者为准。但经发包人认定承包人的有关承诺比顺序在前的文件对发包人更有利的，就该承诺事项以该特定承诺为准；当同一份合同文件中内容相互矛盾或冲突，以发包人意见为准。</w:t>
      </w:r>
    </w:p>
    <w:p>
      <w:pPr>
        <w:pStyle w:val="52"/>
        <w:ind w:firstLine="420" w:firstLineChars="0"/>
        <w:rPr>
          <w:rFonts w:ascii="仿宋" w:hAnsi="仿宋" w:eastAsia="仿宋" w:cs="宋体"/>
          <w:bCs/>
          <w:color w:val="auto"/>
        </w:rPr>
      </w:pPr>
      <w:r>
        <w:rPr>
          <w:rFonts w:hint="eastAsia" w:ascii="仿宋" w:hAnsi="仿宋" w:eastAsia="仿宋" w:cs="宋体"/>
          <w:bCs/>
          <w:color w:val="auto"/>
        </w:rPr>
        <w:t>1）本工程中标通知书；</w:t>
      </w:r>
    </w:p>
    <w:p>
      <w:pPr>
        <w:pStyle w:val="52"/>
        <w:ind w:firstLine="420" w:firstLineChars="0"/>
        <w:rPr>
          <w:rFonts w:ascii="仿宋" w:hAnsi="仿宋" w:eastAsia="仿宋" w:cs="宋体"/>
          <w:bCs/>
          <w:color w:val="auto"/>
        </w:rPr>
      </w:pPr>
      <w:r>
        <w:rPr>
          <w:rFonts w:hint="eastAsia" w:ascii="仿宋" w:hAnsi="仿宋" w:eastAsia="仿宋" w:cs="宋体"/>
          <w:bCs/>
          <w:color w:val="auto"/>
        </w:rPr>
        <w:t>2）本专用合同条款；</w:t>
      </w:r>
    </w:p>
    <w:p>
      <w:pPr>
        <w:pStyle w:val="52"/>
        <w:ind w:firstLine="420" w:firstLineChars="0"/>
        <w:rPr>
          <w:rFonts w:ascii="仿宋" w:hAnsi="仿宋" w:eastAsia="仿宋" w:cs="宋体"/>
          <w:bCs/>
          <w:color w:val="auto"/>
        </w:rPr>
      </w:pPr>
      <w:r>
        <w:rPr>
          <w:rFonts w:hint="eastAsia" w:ascii="仿宋" w:hAnsi="仿宋" w:eastAsia="仿宋" w:cs="宋体"/>
          <w:bCs/>
          <w:color w:val="auto"/>
        </w:rPr>
        <w:t>3）原合同专用条款、通用条款（若专用条款和通用条款有不一致的，则按照专用条款执行）；</w:t>
      </w:r>
    </w:p>
    <w:p>
      <w:pPr>
        <w:pStyle w:val="52"/>
        <w:ind w:firstLine="420" w:firstLineChars="0"/>
        <w:rPr>
          <w:rFonts w:ascii="仿宋" w:hAnsi="仿宋" w:eastAsia="仿宋" w:cs="宋体"/>
          <w:bCs/>
          <w:color w:val="auto"/>
        </w:rPr>
      </w:pPr>
      <w:r>
        <w:rPr>
          <w:rFonts w:hint="eastAsia" w:ascii="仿宋" w:hAnsi="仿宋" w:eastAsia="仿宋" w:cs="宋体"/>
          <w:bCs/>
          <w:color w:val="auto"/>
        </w:rPr>
        <w:t>4）本合同专用条款附件</w:t>
      </w:r>
    </w:p>
    <w:p>
      <w:pPr>
        <w:pStyle w:val="52"/>
        <w:ind w:firstLine="420" w:firstLineChars="0"/>
        <w:rPr>
          <w:rFonts w:ascii="仿宋" w:hAnsi="仿宋" w:eastAsia="仿宋" w:cs="宋体"/>
          <w:bCs/>
          <w:color w:val="auto"/>
        </w:rPr>
      </w:pPr>
      <w:r>
        <w:rPr>
          <w:rFonts w:hint="eastAsia" w:ascii="仿宋" w:hAnsi="仿宋" w:eastAsia="仿宋" w:cs="宋体"/>
          <w:bCs/>
          <w:color w:val="auto"/>
        </w:rPr>
        <w:t>5）图纸；</w:t>
      </w:r>
    </w:p>
    <w:p>
      <w:pPr>
        <w:pStyle w:val="52"/>
        <w:ind w:firstLine="420" w:firstLineChars="0"/>
        <w:rPr>
          <w:rFonts w:ascii="仿宋" w:hAnsi="仿宋" w:eastAsia="仿宋" w:cs="宋体"/>
          <w:bCs/>
          <w:color w:val="auto"/>
        </w:rPr>
      </w:pPr>
      <w:r>
        <w:rPr>
          <w:rFonts w:hint="eastAsia" w:ascii="仿宋" w:hAnsi="仿宋" w:eastAsia="仿宋" w:cs="宋体"/>
          <w:bCs/>
          <w:color w:val="auto"/>
        </w:rPr>
        <w:t>6）已标价的工程量清单（另册）；</w:t>
      </w:r>
    </w:p>
    <w:p>
      <w:pPr>
        <w:pStyle w:val="52"/>
        <w:ind w:firstLine="420" w:firstLineChars="0"/>
        <w:rPr>
          <w:rFonts w:ascii="仿宋" w:hAnsi="仿宋" w:eastAsia="仿宋" w:cs="宋体"/>
          <w:bCs/>
          <w:color w:val="auto"/>
        </w:rPr>
      </w:pPr>
      <w:r>
        <w:rPr>
          <w:rFonts w:hint="eastAsia" w:ascii="仿宋" w:hAnsi="仿宋" w:eastAsia="仿宋" w:cs="宋体"/>
          <w:bCs/>
          <w:color w:val="auto"/>
        </w:rPr>
        <w:t>7）本工程技术标准和要求；</w:t>
      </w:r>
    </w:p>
    <w:p>
      <w:pPr>
        <w:pStyle w:val="52"/>
        <w:ind w:firstLine="420" w:firstLineChars="0"/>
        <w:rPr>
          <w:rFonts w:ascii="仿宋" w:hAnsi="仿宋" w:eastAsia="仿宋" w:cs="宋体"/>
          <w:bCs/>
          <w:color w:val="auto"/>
        </w:rPr>
      </w:pPr>
      <w:r>
        <w:rPr>
          <w:rFonts w:hint="eastAsia" w:ascii="仿宋" w:hAnsi="仿宋" w:eastAsia="仿宋" w:cs="宋体"/>
          <w:bCs/>
          <w:color w:val="auto"/>
        </w:rPr>
        <w:t>8）本工程投标文件（另册；但投标文件以符合招标文件和经招标人书面同意者为准，投标文件承诺的投标人的义务、责任比招标文件更高更严者，适用该等对招标人有利的承诺；投标文件低于招标文件要求的或对招标人不利的，以招标文件为准。）；</w:t>
      </w:r>
    </w:p>
    <w:p>
      <w:pPr>
        <w:pStyle w:val="52"/>
        <w:ind w:firstLine="420" w:firstLineChars="0"/>
        <w:rPr>
          <w:rFonts w:ascii="仿宋" w:hAnsi="仿宋" w:eastAsia="仿宋" w:cs="宋体"/>
          <w:bCs/>
          <w:color w:val="auto"/>
        </w:rPr>
      </w:pPr>
      <w:r>
        <w:rPr>
          <w:rFonts w:hint="eastAsia" w:ascii="仿宋" w:hAnsi="仿宋" w:eastAsia="仿宋" w:cs="宋体"/>
          <w:bCs/>
          <w:color w:val="auto"/>
        </w:rPr>
        <w:t>9）本工程招标文件（另册）；</w:t>
      </w:r>
    </w:p>
    <w:p>
      <w:pPr>
        <w:pStyle w:val="52"/>
        <w:ind w:firstLine="420"/>
        <w:rPr>
          <w:rFonts w:ascii="仿宋" w:hAnsi="仿宋" w:eastAsia="仿宋" w:cs="宋体"/>
          <w:bCs/>
          <w:color w:val="auto"/>
        </w:rPr>
      </w:pPr>
      <w:r>
        <w:rPr>
          <w:rFonts w:hint="eastAsia" w:ascii="仿宋" w:hAnsi="仿宋" w:eastAsia="仿宋" w:cs="宋体"/>
          <w:bCs/>
          <w:color w:val="auto"/>
        </w:rPr>
        <w:t>10）经双方认可的其他有关书面文件。</w:t>
      </w:r>
    </w:p>
    <w:p>
      <w:pPr>
        <w:pStyle w:val="52"/>
        <w:ind w:firstLine="422"/>
        <w:rPr>
          <w:rFonts w:ascii="仿宋" w:hAnsi="仿宋" w:eastAsia="仿宋" w:cs="宋体"/>
          <w:b/>
          <w:bCs/>
          <w:color w:val="auto"/>
        </w:rPr>
      </w:pPr>
      <w:r>
        <w:rPr>
          <w:rFonts w:hint="eastAsia" w:ascii="仿宋" w:hAnsi="仿宋" w:eastAsia="仿宋" w:cs="宋体"/>
          <w:b/>
          <w:bCs/>
          <w:color w:val="auto"/>
        </w:rPr>
        <w:t>1.6. 图纸和承包人文件</w:t>
      </w:r>
      <w:bookmarkEnd w:id="11"/>
      <w:bookmarkEnd w:id="12"/>
      <w:bookmarkEnd w:id="13"/>
    </w:p>
    <w:p>
      <w:pPr>
        <w:pStyle w:val="75"/>
        <w:ind w:firstLine="422"/>
        <w:rPr>
          <w:rFonts w:ascii="仿宋" w:hAnsi="仿宋" w:eastAsia="仿宋" w:cs="宋体"/>
          <w:color w:val="auto"/>
        </w:rPr>
      </w:pPr>
      <w:r>
        <w:rPr>
          <w:rFonts w:hint="eastAsia" w:ascii="仿宋" w:hAnsi="仿宋" w:eastAsia="仿宋" w:cs="宋体"/>
          <w:color w:val="auto"/>
        </w:rPr>
        <w:t>1.6.2. 承包人提供的图纸</w:t>
      </w:r>
    </w:p>
    <w:p>
      <w:pPr>
        <w:pStyle w:val="52"/>
        <w:ind w:firstLine="420"/>
        <w:rPr>
          <w:color w:val="auto"/>
          <w:u w:val="single"/>
        </w:rPr>
      </w:pPr>
      <w:r>
        <w:rPr>
          <w:rFonts w:hint="eastAsia" w:ascii="仿宋" w:hAnsi="仿宋" w:eastAsia="仿宋" w:cs="宋体"/>
          <w:color w:val="auto"/>
        </w:rPr>
        <w:t>1)</w:t>
      </w:r>
      <w:r>
        <w:rPr>
          <w:rFonts w:hint="eastAsia" w:ascii="仿宋" w:hAnsi="仿宋" w:eastAsia="仿宋" w:cs="宋体"/>
          <w:color w:val="auto"/>
        </w:rPr>
        <w:tab/>
      </w:r>
      <w:r>
        <w:rPr>
          <w:rFonts w:hint="eastAsia" w:ascii="仿宋" w:hAnsi="仿宋" w:eastAsia="仿宋" w:cs="宋体"/>
          <w:color w:val="auto"/>
        </w:rPr>
        <w:t>承包人需提交的深化设计图纸：</w:t>
      </w:r>
      <w:r>
        <w:rPr>
          <w:rFonts w:hint="eastAsia"/>
          <w:color w:val="auto"/>
        </w:rPr>
        <w:t>提交的数量为：壹式八份。所提交的资料需同时包括纸质版与电子版（CAD文档与PDF文档）。</w:t>
      </w:r>
    </w:p>
    <w:p>
      <w:pPr>
        <w:pStyle w:val="52"/>
        <w:ind w:firstLine="420"/>
        <w:rPr>
          <w:color w:val="auto"/>
        </w:rPr>
      </w:pPr>
      <w:r>
        <w:rPr>
          <w:rFonts w:hint="eastAsia"/>
          <w:color w:val="auto"/>
        </w:rPr>
        <w:t>深化设计的相关费用、施工期间因各方原因之深化设计修改费用、深化设计图审核费及深化设计出图费用已含于本合同签约合同价格中，由承包人承担，发包人不再另行支付。承包人在图纸会审后20天内完成施工图纸节点方案深化设计。否则，每超过一天，承包人须支付1万元/天的违约金，且不免除承包人需完成的深化设计任务。</w:t>
      </w:r>
    </w:p>
    <w:p>
      <w:pPr>
        <w:pStyle w:val="52"/>
        <w:ind w:firstLine="420"/>
        <w:rPr>
          <w:color w:val="auto"/>
        </w:rPr>
      </w:pPr>
      <w:r>
        <w:rPr>
          <w:rFonts w:hint="eastAsia"/>
          <w:color w:val="auto"/>
        </w:rPr>
        <w:t>2)</w:t>
      </w:r>
      <w:r>
        <w:rPr>
          <w:rFonts w:hint="eastAsia"/>
          <w:color w:val="auto"/>
        </w:rPr>
        <w:tab/>
      </w:r>
      <w:r>
        <w:rPr>
          <w:rFonts w:hint="eastAsia"/>
          <w:color w:val="auto"/>
        </w:rPr>
        <w:t>承包人提供的竣工图的份数：竣工图纸壹式叁份及相应的电子磁盘资料叁套。</w:t>
      </w:r>
    </w:p>
    <w:p>
      <w:pPr>
        <w:pStyle w:val="52"/>
        <w:ind w:firstLine="420"/>
        <w:rPr>
          <w:bCs/>
          <w:color w:val="auto"/>
        </w:rPr>
      </w:pPr>
      <w:r>
        <w:rPr>
          <w:rFonts w:hint="eastAsia"/>
          <w:color w:val="auto"/>
        </w:rPr>
        <w:t>3)</w:t>
      </w:r>
      <w:r>
        <w:rPr>
          <w:rFonts w:hint="eastAsia"/>
          <w:color w:val="auto"/>
        </w:rPr>
        <w:tab/>
      </w:r>
      <w:r>
        <w:rPr>
          <w:rFonts w:hint="eastAsia"/>
          <w:color w:val="auto"/>
        </w:rPr>
        <w:t>其他需承包人提供的图纸及其要求：</w:t>
      </w:r>
      <w:r>
        <w:rPr>
          <w:rFonts w:hint="eastAsia"/>
          <w:bCs/>
          <w:color w:val="auto"/>
        </w:rPr>
        <w:t>竣工资料及竣工图纸必须准确真实的反映实际施工情况（含电子版文件叁套）。竣工图（含整改前、整改后）由承包人编制，相关费用（包括但不限于编制费及出图费（如需）由承包人承担）在合同签约合同价格中综合考虑。</w:t>
      </w:r>
    </w:p>
    <w:p>
      <w:pPr>
        <w:pStyle w:val="52"/>
        <w:ind w:firstLine="420"/>
        <w:rPr>
          <w:color w:val="auto"/>
        </w:rPr>
      </w:pPr>
      <w:bookmarkStart w:id="15" w:name="_Toc1125"/>
      <w:bookmarkStart w:id="16" w:name="_Toc44228156"/>
      <w:bookmarkStart w:id="17" w:name="_Toc44492561"/>
      <w:bookmarkStart w:id="18" w:name="_Toc16975"/>
      <w:bookmarkStart w:id="19" w:name="_Toc19988"/>
      <w:bookmarkStart w:id="20" w:name="_Toc24371"/>
      <w:bookmarkStart w:id="21" w:name="_Toc38987273"/>
      <w:r>
        <w:rPr>
          <w:rFonts w:hint="eastAsia"/>
          <w:color w:val="auto"/>
        </w:rPr>
        <w:t>4)  深化设计相关要求：</w:t>
      </w:r>
    </w:p>
    <w:p>
      <w:pPr>
        <w:pStyle w:val="52"/>
        <w:ind w:firstLine="420"/>
        <w:rPr>
          <w:color w:val="auto"/>
        </w:rPr>
      </w:pPr>
      <w:r>
        <w:rPr>
          <w:rFonts w:hint="eastAsia"/>
          <w:color w:val="auto"/>
        </w:rPr>
        <w:t>①由承包人负责专业工程设计深化的，深化设计费用已在投标报价中综合考虑，不另行支付。设计深化是在原招标图及下发施工图基础上结合现场实际情况对图纸进行完善、补充、细化后，绘制成具有可实施性的现场施工图纸，通过发包人审查，图形合一，直接指导现场施工。深化设计文件深度要满足施工、维护等工程需求，包含但不限于以下内容：图纸、计算书、技术文档、调试安装手册等。深化设计文件需要符合本工程资质的设计院盖章。</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7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864" w:type="dxa"/>
          </w:tcPr>
          <w:p>
            <w:pPr>
              <w:pStyle w:val="52"/>
              <w:ind w:firstLine="0" w:firstLineChars="0"/>
              <w:jc w:val="center"/>
              <w:rPr>
                <w:rFonts w:hint="eastAsia" w:ascii="仿宋" w:hAnsi="仿宋" w:eastAsia="仿宋" w:cs="宋体"/>
                <w:b/>
                <w:bCs/>
                <w:color w:val="auto"/>
                <w:sz w:val="21"/>
                <w:szCs w:val="21"/>
                <w:vertAlign w:val="baseline"/>
                <w:lang w:val="en-US" w:eastAsia="zh-CN"/>
              </w:rPr>
            </w:pPr>
            <w:r>
              <w:rPr>
                <w:rFonts w:hint="eastAsia" w:ascii="仿宋" w:hAnsi="仿宋" w:eastAsia="仿宋" w:cs="宋体"/>
                <w:b/>
                <w:bCs/>
                <w:color w:val="auto"/>
                <w:sz w:val="21"/>
                <w:szCs w:val="21"/>
                <w:vertAlign w:val="baseline"/>
                <w:lang w:val="en-US" w:eastAsia="zh-CN"/>
              </w:rPr>
              <w:t>序号</w:t>
            </w:r>
          </w:p>
        </w:tc>
        <w:tc>
          <w:tcPr>
            <w:tcW w:w="7095" w:type="dxa"/>
          </w:tcPr>
          <w:p>
            <w:pPr>
              <w:pStyle w:val="52"/>
              <w:ind w:firstLine="0" w:firstLineChars="0"/>
              <w:jc w:val="center"/>
              <w:rPr>
                <w:rFonts w:hint="eastAsia" w:ascii="仿宋" w:hAnsi="仿宋" w:eastAsia="仿宋" w:cs="宋体"/>
                <w:b/>
                <w:bCs/>
                <w:color w:val="auto"/>
                <w:sz w:val="21"/>
                <w:szCs w:val="21"/>
                <w:vertAlign w:val="baseline"/>
              </w:rPr>
            </w:pPr>
            <w:r>
              <w:rPr>
                <w:rFonts w:hint="eastAsia" w:ascii="仿宋" w:hAnsi="仿宋" w:eastAsia="仿宋" w:cs="宋体"/>
                <w:b/>
                <w:bCs/>
                <w:color w:val="auto"/>
                <w:sz w:val="21"/>
                <w:szCs w:val="21"/>
                <w:vertAlign w:val="baseline"/>
              </w:rPr>
              <w:t>深化设计图纸名称(系统名称)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1</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机电综合管线图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2</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机电管井综合图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3</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机房深化综合图(含暖通专业高效机房深化、智能化专业机房工程)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4</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设备基础深化图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5</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抗震支架/支吊架深化设计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6</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电梯深化设计图纸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7</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配电箱的深化设计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8</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火灾自动报警系统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eastAsia"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9</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消防广播系统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10</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消防应急照明与疏散指示系统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11</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防火门监控系统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12</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消防电源监控系统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13</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电气火灾报警系统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14</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可燃气体报警系统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15</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智能照明系统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16</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建筑立面泛光照明系统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17</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远程抄表系统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18</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综合布线系统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19</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计算机网络系统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20</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装配式给水箱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21</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消火栓全自动气压供水设备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22</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rPr>
              <w:t>自动喷水灭火系统供水设备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64" w:type="dxa"/>
          </w:tcPr>
          <w:p>
            <w:pPr>
              <w:pStyle w:val="52"/>
              <w:ind w:firstLine="0" w:firstLineChars="0"/>
              <w:jc w:val="center"/>
              <w:rPr>
                <w:rFonts w:hint="default" w:ascii="仿宋" w:hAnsi="仿宋" w:eastAsia="仿宋" w:cs="宋体"/>
                <w:color w:val="auto"/>
                <w:vertAlign w:val="baseline"/>
                <w:lang w:val="en-US" w:eastAsia="zh-CN"/>
              </w:rPr>
            </w:pPr>
            <w:r>
              <w:rPr>
                <w:rFonts w:hint="eastAsia" w:ascii="仿宋" w:hAnsi="仿宋" w:eastAsia="仿宋" w:cs="宋体"/>
                <w:color w:val="auto"/>
                <w:vertAlign w:val="baseline"/>
                <w:lang w:val="en-US" w:eastAsia="zh-CN"/>
              </w:rPr>
              <w:t>23</w:t>
            </w:r>
          </w:p>
        </w:tc>
        <w:tc>
          <w:tcPr>
            <w:tcW w:w="7095" w:type="dxa"/>
          </w:tcPr>
          <w:p>
            <w:pPr>
              <w:pStyle w:val="52"/>
              <w:ind w:firstLine="0" w:firstLineChars="0"/>
              <w:jc w:val="center"/>
              <w:rPr>
                <w:rFonts w:hint="eastAsia" w:ascii="仿宋" w:hAnsi="仿宋" w:eastAsia="仿宋" w:cs="宋体"/>
                <w:color w:val="auto"/>
                <w:vertAlign w:val="baseline"/>
              </w:rPr>
            </w:pPr>
            <w:r>
              <w:rPr>
                <w:rFonts w:hint="eastAsia" w:ascii="仿宋" w:hAnsi="仿宋" w:eastAsia="仿宋" w:cs="宋体"/>
                <w:color w:val="auto"/>
                <w:vertAlign w:val="baseline"/>
                <w:lang w:val="en-US" w:eastAsia="zh-CN"/>
              </w:rPr>
              <w:t>消防</w:t>
            </w:r>
            <w:r>
              <w:rPr>
                <w:rFonts w:hint="eastAsia" w:ascii="仿宋" w:hAnsi="仿宋" w:eastAsia="仿宋" w:cs="宋体"/>
                <w:color w:val="auto"/>
                <w:vertAlign w:val="baseline"/>
              </w:rPr>
              <w:t>水炮系统</w:t>
            </w:r>
          </w:p>
        </w:tc>
      </w:tr>
    </w:tbl>
    <w:p>
      <w:pPr>
        <w:pStyle w:val="52"/>
        <w:ind w:firstLine="420"/>
        <w:rPr>
          <w:color w:val="auto"/>
        </w:rPr>
      </w:pPr>
      <w:r>
        <w:rPr>
          <w:rFonts w:hint="eastAsia"/>
          <w:color w:val="auto"/>
        </w:rPr>
        <w:t>②深化设计必须实现原设计所有功能，并不低于原有设计要求。不因设计深化图纸经发包人审核确认而免除承包人深化设计后图纸不满足原方案设计、技术要求、设计施工规范之违约责任。深化设计不能改变原设计的使用功能及其效果，除因发包人发出的变更外，任何因深化而增加的费用都不予增加，因深化减少的费用，相应调减。</w:t>
      </w:r>
    </w:p>
    <w:p>
      <w:pPr>
        <w:pStyle w:val="52"/>
        <w:ind w:firstLine="420"/>
        <w:rPr>
          <w:color w:val="auto"/>
        </w:rPr>
      </w:pPr>
      <w:r>
        <w:rPr>
          <w:rFonts w:hint="eastAsia"/>
          <w:color w:val="auto"/>
        </w:rPr>
        <w:t>③承包人提交的深化设计图纸必须一次性满足发包人的深化设计要求，否则，每超过一次，承包人须按专用条款第22.1条向发包人承担违约责任，且不免除承包人需完成的深化设计义务。</w:t>
      </w:r>
    </w:p>
    <w:p>
      <w:pPr>
        <w:pStyle w:val="52"/>
        <w:ind w:firstLine="420"/>
        <w:rPr>
          <w:color w:val="auto"/>
        </w:rPr>
      </w:pPr>
      <w:r>
        <w:rPr>
          <w:rFonts w:hint="eastAsia"/>
          <w:color w:val="auto"/>
        </w:rPr>
        <w:t>④施工方案由承包人负责编制，发包人确认后方可实施。符合以下特点的工作需要编制施工方案：危险性较大、工序较多、工作时间长、涉及多 个单位配合协调及其他需要报发包人批准方可实施的工作。</w:t>
      </w:r>
    </w:p>
    <w:p>
      <w:pPr>
        <w:pStyle w:val="52"/>
        <w:ind w:firstLine="420"/>
        <w:rPr>
          <w:color w:val="auto"/>
        </w:rPr>
      </w:pPr>
      <w:r>
        <w:rPr>
          <w:rFonts w:hint="eastAsia" w:ascii="仿宋" w:hAnsi="仿宋" w:eastAsia="仿宋"/>
          <w:color w:val="auto"/>
        </w:rPr>
        <w:t>⑤</w:t>
      </w:r>
      <w:r>
        <w:rPr>
          <w:rFonts w:hint="eastAsia"/>
          <w:color w:val="auto"/>
        </w:rPr>
        <w:t>如承包人的施工组织设计无法满足工期要求的，由承包人自行优化达到发包人的工期要求，相关费用由承包人承担。</w:t>
      </w:r>
    </w:p>
    <w:p>
      <w:pPr>
        <w:widowControl/>
        <w:spacing w:line="360" w:lineRule="auto"/>
        <w:ind w:firstLine="420" w:firstLineChars="200"/>
        <w:rPr>
          <w:rFonts w:ascii="Times New Roman" w:hAnsi="Times New Roman" w:eastAsia="仿宋_GB2312"/>
          <w:kern w:val="0"/>
          <w:szCs w:val="32"/>
        </w:rPr>
      </w:pPr>
      <w:r>
        <w:rPr>
          <w:rFonts w:hint="eastAsia"/>
        </w:rPr>
        <w:t>⑥</w:t>
      </w:r>
      <w:r>
        <w:rPr>
          <w:rFonts w:hint="eastAsia" w:ascii="Times New Roman" w:hAnsi="Times New Roman" w:eastAsia="仿宋_GB2312"/>
          <w:kern w:val="0"/>
          <w:szCs w:val="32"/>
        </w:rPr>
        <w:t>由承包人负责完成的图纸深化设计、施工组织设计等存在缺陷造成的任何支出，由承包人承担。</w:t>
      </w:r>
    </w:p>
    <w:p>
      <w:pPr>
        <w:widowControl/>
        <w:spacing w:line="360" w:lineRule="auto"/>
        <w:ind w:firstLine="420" w:firstLineChars="200"/>
        <w:rPr>
          <w:rFonts w:ascii="Times New Roman" w:hAnsi="Times New Roman" w:eastAsia="仿宋_GB2312"/>
          <w:kern w:val="0"/>
          <w:szCs w:val="32"/>
        </w:rPr>
      </w:pPr>
      <w:r>
        <w:rPr>
          <w:rFonts w:hint="eastAsia" w:ascii="宋体" w:hAnsi="宋体"/>
          <w:kern w:val="0"/>
          <w:szCs w:val="32"/>
        </w:rPr>
        <w:t>⑦</w:t>
      </w:r>
      <w:r>
        <w:rPr>
          <w:rFonts w:hint="eastAsia" w:ascii="Times New Roman" w:hAnsi="Times New Roman" w:eastAsia="仿宋_GB2312"/>
          <w:kern w:val="0"/>
          <w:szCs w:val="32"/>
          <w:highlight w:val="yellow"/>
        </w:rPr>
        <w:t>承包人</w:t>
      </w:r>
      <w:r>
        <w:rPr>
          <w:rFonts w:hint="eastAsia" w:ascii="Times New Roman" w:hAnsi="Times New Roman" w:eastAsia="仿宋_GB2312"/>
          <w:kern w:val="0"/>
          <w:szCs w:val="32"/>
        </w:rPr>
        <w:t>需提交的深化设计图纸包括但不限于：本项目所有机电管线（包括但不限于机电、消防、智能化等工程中的机电管线）的综合平衡深化设计图纸、一体化隔渣除油设备深化图纸（包括但不限于设备房综合布置、控制柜及管道连接等）；其中，机电管线综合平衡深化设计图纸的设计范围为本项目所有建设开发区域，包括但不限于所有精装修区域、地下车库、走道及各类设备房等。</w:t>
      </w:r>
      <w:r>
        <w:rPr>
          <w:rFonts w:hint="eastAsia" w:ascii="Times New Roman" w:hAnsi="Times New Roman" w:eastAsia="仿宋_GB2312"/>
          <w:kern w:val="0"/>
          <w:szCs w:val="32"/>
          <w:highlight w:val="yellow"/>
        </w:rPr>
        <w:t>承包人需严格按</w:t>
      </w:r>
      <w:r>
        <w:rPr>
          <w:rFonts w:hint="eastAsia" w:ascii="Times New Roman" w:hAnsi="Times New Roman" w:eastAsia="仿宋_GB2312"/>
          <w:kern w:val="0"/>
          <w:szCs w:val="32"/>
          <w:highlight w:val="green"/>
        </w:rPr>
        <w:t>发包人</w:t>
      </w:r>
      <w:r>
        <w:rPr>
          <w:rFonts w:hint="eastAsia" w:ascii="Times New Roman" w:hAnsi="Times New Roman" w:eastAsia="仿宋_GB2312"/>
          <w:kern w:val="0"/>
          <w:szCs w:val="32"/>
        </w:rPr>
        <w:t>提供的净高要求进行机电管线综合平衡深化设计，确保施工完毕后净高满足</w:t>
      </w:r>
      <w:r>
        <w:rPr>
          <w:rFonts w:hint="eastAsia" w:ascii="Times New Roman" w:hAnsi="Times New Roman" w:eastAsia="仿宋_GB2312"/>
          <w:kern w:val="0"/>
          <w:szCs w:val="32"/>
          <w:highlight w:val="yellow"/>
        </w:rPr>
        <w:t>项目</w:t>
      </w:r>
      <w:r>
        <w:rPr>
          <w:rFonts w:hint="eastAsia" w:ascii="Times New Roman" w:hAnsi="Times New Roman" w:eastAsia="仿宋_GB2312"/>
          <w:kern w:val="0"/>
          <w:szCs w:val="32"/>
        </w:rPr>
        <w:t>要求。</w:t>
      </w:r>
    </w:p>
    <w:p>
      <w:pPr>
        <w:pStyle w:val="73"/>
        <w:spacing w:before="60" w:after="60"/>
        <w:rPr>
          <w:rFonts w:ascii="仿宋" w:hAnsi="仿宋" w:eastAsia="仿宋" w:cs="宋体"/>
          <w:color w:val="auto"/>
        </w:rPr>
      </w:pPr>
      <w:r>
        <w:rPr>
          <w:rFonts w:hint="eastAsia" w:ascii="仿宋" w:hAnsi="仿宋" w:eastAsia="仿宋" w:cs="宋体"/>
          <w:color w:val="auto"/>
        </w:rPr>
        <w:t>4.</w:t>
      </w:r>
      <w:bookmarkEnd w:id="15"/>
      <w:bookmarkEnd w:id="16"/>
      <w:bookmarkEnd w:id="17"/>
      <w:bookmarkEnd w:id="18"/>
      <w:bookmarkEnd w:id="19"/>
      <w:bookmarkEnd w:id="20"/>
      <w:bookmarkEnd w:id="21"/>
      <w:r>
        <w:rPr>
          <w:rFonts w:hint="eastAsia" w:ascii="仿宋" w:hAnsi="仿宋" w:eastAsia="仿宋" w:cs="宋体"/>
          <w:color w:val="auto"/>
        </w:rPr>
        <w:t>承包人</w:t>
      </w:r>
    </w:p>
    <w:p>
      <w:pPr>
        <w:pStyle w:val="52"/>
        <w:ind w:firstLine="420"/>
        <w:rPr>
          <w:rFonts w:ascii="仿宋" w:hAnsi="仿宋" w:eastAsia="仿宋" w:cs="宋体"/>
          <w:color w:val="auto"/>
        </w:rPr>
      </w:pPr>
      <w:bookmarkStart w:id="22" w:name="_Toc44492563"/>
      <w:bookmarkStart w:id="23" w:name="_Toc10013"/>
      <w:bookmarkStart w:id="24" w:name="_Toc9254"/>
      <w:r>
        <w:rPr>
          <w:rFonts w:hint="eastAsia" w:ascii="仿宋" w:hAnsi="仿宋" w:eastAsia="仿宋" w:cs="宋体"/>
          <w:color w:val="auto"/>
        </w:rPr>
        <w:t>4.2. 履约担保</w:t>
      </w:r>
      <w:bookmarkEnd w:id="22"/>
      <w:bookmarkEnd w:id="23"/>
      <w:bookmarkEnd w:id="24"/>
    </w:p>
    <w:p>
      <w:pPr>
        <w:pStyle w:val="52"/>
        <w:ind w:firstLine="420"/>
        <w:rPr>
          <w:rFonts w:ascii="仿宋" w:hAnsi="仿宋" w:eastAsia="仿宋" w:cs="宋体"/>
          <w:color w:val="auto"/>
        </w:rPr>
      </w:pPr>
      <w:r>
        <w:rPr>
          <w:rFonts w:hint="eastAsia" w:ascii="仿宋" w:hAnsi="仿宋" w:eastAsia="仿宋" w:cs="宋体"/>
          <w:color w:val="auto"/>
        </w:rPr>
        <w:t>4.2.3.本专业工程履约保函的担保额度为合同价款中合同暂定总价（扣除：</w:t>
      </w:r>
      <w:r>
        <w:rPr>
          <w:rFonts w:hint="eastAsia" w:ascii="仿宋" w:hAnsi="仿宋" w:eastAsia="仿宋" w:cs="宋体"/>
          <w:color w:val="auto"/>
          <w:u w:val="single"/>
        </w:rPr>
        <w:t xml:space="preserve"> 无  </w:t>
      </w:r>
      <w:r>
        <w:rPr>
          <w:rFonts w:hint="eastAsia" w:ascii="仿宋" w:hAnsi="仿宋" w:eastAsia="仿宋" w:cs="宋体"/>
          <w:color w:val="auto"/>
        </w:rPr>
        <w:t xml:space="preserve"> ）的</w:t>
      </w:r>
      <w:r>
        <w:rPr>
          <w:rFonts w:hint="eastAsia" w:ascii="仿宋" w:hAnsi="仿宋" w:eastAsia="仿宋" w:cs="宋体"/>
          <w:color w:val="auto"/>
          <w:u w:val="single"/>
        </w:rPr>
        <w:t xml:space="preserve"> 10 %，为               元</w:t>
      </w:r>
      <w:r>
        <w:rPr>
          <w:rFonts w:hint="eastAsia" w:ascii="仿宋" w:hAnsi="仿宋" w:eastAsia="仿宋" w:cs="宋体"/>
          <w:color w:val="auto"/>
        </w:rPr>
        <w:t>。</w:t>
      </w:r>
    </w:p>
    <w:p>
      <w:pPr>
        <w:pStyle w:val="77"/>
        <w:ind w:firstLine="480"/>
        <w:rPr>
          <w:rFonts w:ascii="仿宋" w:hAnsi="仿宋" w:eastAsia="仿宋" w:cs="宋体"/>
          <w:color w:val="auto"/>
        </w:rPr>
      </w:pPr>
      <w:bookmarkStart w:id="25" w:name="_Toc44492566"/>
      <w:bookmarkStart w:id="26" w:name="_Toc19792"/>
      <w:bookmarkStart w:id="27" w:name="_Toc32468"/>
      <w:r>
        <w:rPr>
          <w:rFonts w:hint="eastAsia" w:ascii="仿宋" w:hAnsi="仿宋" w:eastAsia="仿宋" w:cs="宋体"/>
          <w:color w:val="auto"/>
        </w:rPr>
        <w:t>4.5 承包人人员的管理</w:t>
      </w:r>
      <w:bookmarkEnd w:id="25"/>
      <w:bookmarkEnd w:id="26"/>
      <w:bookmarkEnd w:id="27"/>
    </w:p>
    <w:p>
      <w:pPr>
        <w:pStyle w:val="52"/>
        <w:ind w:firstLine="420"/>
        <w:rPr>
          <w:rFonts w:ascii="仿宋" w:hAnsi="仿宋" w:eastAsia="仿宋" w:cs="宋体"/>
          <w:color w:val="auto"/>
        </w:rPr>
      </w:pPr>
      <w:r>
        <w:rPr>
          <w:rFonts w:hint="eastAsia" w:ascii="仿宋" w:hAnsi="仿宋" w:eastAsia="仿宋" w:cs="宋体"/>
          <w:color w:val="auto"/>
        </w:rPr>
        <w:t>4.5.2为完成合同约定的各项工作，承包人应向施工场地派遣或雇佣足够数量的下列人员：</w:t>
      </w:r>
    </w:p>
    <w:p>
      <w:pPr>
        <w:pStyle w:val="52"/>
        <w:ind w:firstLine="420"/>
        <w:rPr>
          <w:rFonts w:ascii="仿宋" w:hAnsi="仿宋" w:eastAsia="仿宋" w:cs="宋体"/>
          <w:color w:val="auto"/>
        </w:rPr>
      </w:pPr>
      <w:r>
        <w:rPr>
          <w:rFonts w:hint="eastAsia" w:ascii="仿宋" w:hAnsi="仿宋" w:eastAsia="仿宋" w:cs="宋体"/>
          <w:color w:val="auto"/>
        </w:rPr>
        <w:t>承包人应按投标文件中承诺的项目团队配置标准和数量为本工程施工场地配置人员，详见本合同</w:t>
      </w:r>
      <w:r>
        <w:rPr>
          <w:rFonts w:hint="eastAsia" w:ascii="仿宋" w:hAnsi="仿宋" w:eastAsia="仿宋" w:cs="宋体"/>
          <w:color w:val="auto"/>
          <w:highlight w:val="cyan"/>
        </w:rPr>
        <w:t>附件8</w:t>
      </w:r>
      <w:r>
        <w:rPr>
          <w:rFonts w:hint="eastAsia" w:ascii="仿宋" w:hAnsi="仿宋" w:eastAsia="仿宋" w:cs="宋体"/>
          <w:color w:val="auto"/>
        </w:rPr>
        <w:t>《项目管理班子及其他管理人员配备情况表》。</w:t>
      </w:r>
    </w:p>
    <w:p>
      <w:pPr>
        <w:pStyle w:val="73"/>
        <w:spacing w:before="60" w:after="60"/>
        <w:rPr>
          <w:rFonts w:ascii="仿宋" w:hAnsi="仿宋" w:eastAsia="仿宋" w:cs="宋体"/>
          <w:color w:val="auto"/>
        </w:rPr>
      </w:pPr>
      <w:bookmarkStart w:id="28" w:name="_Toc19482"/>
      <w:bookmarkStart w:id="29" w:name="_Toc38987274"/>
      <w:bookmarkStart w:id="30" w:name="_Toc44492570"/>
      <w:bookmarkStart w:id="31" w:name="_Toc18650"/>
      <w:bookmarkStart w:id="32" w:name="_Toc19925"/>
      <w:bookmarkStart w:id="33" w:name="_Toc44228157"/>
      <w:bookmarkStart w:id="34" w:name="_Toc6484"/>
      <w:r>
        <w:rPr>
          <w:rFonts w:hint="eastAsia" w:ascii="仿宋" w:hAnsi="仿宋" w:eastAsia="仿宋" w:cs="宋体"/>
          <w:color w:val="auto"/>
        </w:rPr>
        <w:t>5.材料和工程设备</w:t>
      </w:r>
      <w:bookmarkEnd w:id="28"/>
      <w:bookmarkEnd w:id="29"/>
      <w:bookmarkEnd w:id="30"/>
      <w:bookmarkEnd w:id="31"/>
      <w:bookmarkEnd w:id="32"/>
      <w:bookmarkEnd w:id="33"/>
      <w:bookmarkEnd w:id="34"/>
    </w:p>
    <w:p>
      <w:pPr>
        <w:pStyle w:val="77"/>
        <w:ind w:firstLine="480"/>
        <w:rPr>
          <w:rFonts w:ascii="仿宋" w:hAnsi="仿宋" w:eastAsia="仿宋" w:cs="宋体"/>
          <w:color w:val="auto"/>
        </w:rPr>
      </w:pPr>
      <w:bookmarkStart w:id="35" w:name="_Toc10882"/>
      <w:bookmarkStart w:id="36" w:name="_Toc44492571"/>
      <w:bookmarkStart w:id="37" w:name="_Toc27607"/>
      <w:r>
        <w:rPr>
          <w:rFonts w:hint="eastAsia" w:ascii="仿宋" w:hAnsi="仿宋" w:eastAsia="仿宋" w:cs="宋体"/>
          <w:color w:val="auto"/>
        </w:rPr>
        <w:t>5.1. 承包人提供的材料和工程设备</w:t>
      </w:r>
      <w:bookmarkEnd w:id="35"/>
      <w:bookmarkEnd w:id="36"/>
      <w:bookmarkEnd w:id="37"/>
    </w:p>
    <w:p>
      <w:pPr>
        <w:pStyle w:val="52"/>
        <w:ind w:firstLine="420"/>
        <w:rPr>
          <w:rFonts w:ascii="仿宋" w:hAnsi="仿宋" w:eastAsia="仿宋" w:cs="宋体"/>
          <w:color w:val="auto"/>
        </w:rPr>
      </w:pPr>
      <w:r>
        <w:rPr>
          <w:rFonts w:hint="eastAsia" w:ascii="仿宋" w:hAnsi="仿宋" w:eastAsia="仿宋" w:cs="宋体"/>
          <w:color w:val="auto"/>
        </w:rPr>
        <w:t>5.1.1.</w:t>
      </w:r>
      <w:r>
        <w:rPr>
          <w:rFonts w:hint="eastAsia" w:ascii="仿宋" w:hAnsi="仿宋" w:eastAsia="仿宋"/>
          <w:color w:val="auto"/>
        </w:rPr>
        <w:t>承包人进场后30天内须完成材料设备品牌、系列型号的报审工作，包括：清单内的所有主材、设备、合同附件4约定的材料设备，有技术文件约定参数的材料设备，其他需要报审的材料设备。品牌报审同时完成以下计划申报工作：《材料设备进场计划》、《材料设备排产计划》。承包人原则上必须选用合同材料设备品牌推荐表（详合同附件4） 中明确的材料设备品牌，并报发包人审批同意后方可用于本合同工程。如承包人使用“或相当于的品牌”，则报发包人最终书面确认后方可使用，如发包人认为该品牌不属于“或相当于的品牌”的，发包人有权要求承包人按合同材料设各品牌推荐表确定最终选用品牌，且相关费用将不再增加。</w:t>
      </w:r>
    </w:p>
    <w:p>
      <w:pPr>
        <w:pStyle w:val="52"/>
        <w:ind w:firstLine="420"/>
        <w:rPr>
          <w:rFonts w:ascii="仿宋" w:hAnsi="仿宋" w:eastAsia="仿宋" w:cs="宋体"/>
          <w:color w:val="auto"/>
        </w:rPr>
      </w:pPr>
      <w:r>
        <w:rPr>
          <w:rFonts w:hint="eastAsia" w:ascii="仿宋" w:hAnsi="仿宋" w:eastAsia="仿宋" w:cs="宋体"/>
          <w:color w:val="auto"/>
        </w:rPr>
        <w:t>5.1.4. 承包人自行采购的材料设备，订货前至少</w:t>
      </w:r>
      <w:r>
        <w:rPr>
          <w:rFonts w:hint="eastAsia" w:ascii="仿宋" w:hAnsi="仿宋" w:eastAsia="仿宋" w:cs="宋体"/>
          <w:color w:val="auto"/>
          <w:u w:val="single"/>
        </w:rPr>
        <w:t>3天（属监造设备的订货前至少/天），</w:t>
      </w:r>
      <w:r>
        <w:rPr>
          <w:rFonts w:hint="eastAsia" w:ascii="仿宋" w:hAnsi="仿宋" w:eastAsia="仿宋" w:cs="宋体"/>
          <w:color w:val="auto"/>
        </w:rPr>
        <w:t xml:space="preserve">向监理人及发包人提供相关的材料、设备文件（包括但不限于品牌、产地、规格、等级、技术性能指标检测检验报告等证明材料、设备满足招标图纸及技术文件要求，且与发包人推荐品牌相当档次的文件、资料），报发包人审批同意后方可采购；并对需要封样的产品进行三方封样, 作为进场验收和施工复核的依据。承包人所购材料设备必须是原厂、正品、全新的产品。 </w:t>
      </w:r>
    </w:p>
    <w:p>
      <w:pPr>
        <w:pStyle w:val="52"/>
        <w:ind w:firstLine="420"/>
        <w:rPr>
          <w:color w:val="auto"/>
        </w:rPr>
      </w:pPr>
      <w:r>
        <w:rPr>
          <w:rFonts w:hint="eastAsia"/>
          <w:color w:val="auto"/>
        </w:rPr>
        <w:t>承包人自行采购的材料、设备（或元件）未按合同约定报发包人审批同意的，承包人应按该批材料、设备（或元件）的“数量×分项清单价”20％（且不少于1000元）支付违约金。发包人有权要求承包人拆除、退场或重新采购，并承担由此发生的费用，工期不予顺延。</w:t>
      </w:r>
    </w:p>
    <w:p>
      <w:pPr>
        <w:pStyle w:val="73"/>
        <w:spacing w:before="60" w:after="60"/>
        <w:rPr>
          <w:rFonts w:ascii="仿宋" w:hAnsi="仿宋" w:eastAsia="仿宋" w:cs="宋体"/>
          <w:color w:val="auto"/>
        </w:rPr>
      </w:pPr>
      <w:bookmarkStart w:id="38" w:name="_Toc20736"/>
      <w:bookmarkStart w:id="39" w:name="_Toc44228158"/>
      <w:bookmarkStart w:id="40" w:name="_Toc44492573"/>
      <w:bookmarkStart w:id="41" w:name="_Toc3378"/>
      <w:bookmarkStart w:id="42" w:name="_Toc31629"/>
      <w:bookmarkStart w:id="43" w:name="_Toc13460"/>
      <w:bookmarkStart w:id="44" w:name="_Toc38987275"/>
      <w:r>
        <w:rPr>
          <w:rFonts w:hint="eastAsia" w:ascii="仿宋" w:hAnsi="仿宋" w:eastAsia="仿宋" w:cs="宋体"/>
          <w:color w:val="auto"/>
        </w:rPr>
        <w:t>6.施工设备和临时设施</w:t>
      </w:r>
      <w:bookmarkEnd w:id="38"/>
      <w:bookmarkEnd w:id="39"/>
      <w:bookmarkEnd w:id="40"/>
      <w:bookmarkEnd w:id="41"/>
      <w:bookmarkEnd w:id="42"/>
      <w:bookmarkEnd w:id="43"/>
      <w:bookmarkEnd w:id="44"/>
    </w:p>
    <w:p>
      <w:pPr>
        <w:pStyle w:val="77"/>
        <w:ind w:firstLine="482"/>
        <w:rPr>
          <w:rFonts w:ascii="仿宋" w:hAnsi="仿宋" w:eastAsia="仿宋" w:cs="宋体"/>
          <w:b/>
          <w:color w:val="auto"/>
        </w:rPr>
      </w:pPr>
      <w:bookmarkStart w:id="45" w:name="_Toc25127"/>
      <w:bookmarkStart w:id="46" w:name="_Toc44492574"/>
      <w:bookmarkStart w:id="47" w:name="_Toc2314"/>
      <w:r>
        <w:rPr>
          <w:rFonts w:hint="eastAsia" w:ascii="仿宋" w:hAnsi="仿宋" w:eastAsia="仿宋" w:cs="宋体"/>
          <w:b/>
          <w:color w:val="auto"/>
        </w:rPr>
        <w:t>6.1. 承包人提供的施工设备和临时设施</w:t>
      </w:r>
      <w:bookmarkEnd w:id="45"/>
      <w:bookmarkEnd w:id="46"/>
      <w:bookmarkEnd w:id="47"/>
    </w:p>
    <w:p>
      <w:pPr>
        <w:pStyle w:val="52"/>
        <w:ind w:firstLine="420"/>
        <w:rPr>
          <w:rFonts w:ascii="仿宋" w:hAnsi="仿宋" w:eastAsia="仿宋" w:cs="宋体"/>
          <w:color w:val="auto"/>
        </w:rPr>
      </w:pPr>
      <w:r>
        <w:rPr>
          <w:rFonts w:hint="eastAsia" w:ascii="仿宋" w:hAnsi="仿宋" w:eastAsia="仿宋" w:cs="宋体"/>
          <w:color w:val="auto"/>
        </w:rPr>
        <w:t>6.1.2. 承包人提供的施工设备或临时设施：</w:t>
      </w:r>
      <w:r>
        <w:rPr>
          <w:rFonts w:hint="eastAsia" w:ascii="仿宋" w:hAnsi="仿宋" w:eastAsia="仿宋" w:cs="宋体"/>
          <w:color w:val="auto"/>
          <w:u w:val="single"/>
        </w:rPr>
        <w:t>承包人提供的施工设备或临时设施不得低于承包人投标文件中明确的数量、规格及投入时间等承诺标准，详见本合同</w:t>
      </w:r>
      <w:r>
        <w:rPr>
          <w:rFonts w:hint="eastAsia" w:ascii="仿宋" w:hAnsi="仿宋" w:eastAsia="仿宋" w:cs="宋体"/>
          <w:color w:val="auto"/>
          <w:highlight w:val="cyan"/>
          <w:u w:val="single"/>
        </w:rPr>
        <w:t>附件9</w:t>
      </w:r>
      <w:r>
        <w:rPr>
          <w:rFonts w:hint="eastAsia" w:ascii="仿宋" w:hAnsi="仿宋" w:eastAsia="仿宋" w:cs="宋体"/>
          <w:color w:val="auto"/>
          <w:u w:val="single"/>
        </w:rPr>
        <w:t>《主要施工机械设备表》；如投标承诺中提供的施工设备或临时设施无法满足按约定的时间、质量标准等完成本合同工程的要求，承包人应自行增加、完善投入的施工设备和临时设施；如发包人认为承包人投入的施工设备或临时设施不足，已影响到工程进度、安全、质量，发包人有权要求承包人在48小时内增加及完善投入的施工设备和临时设施，否则承包人每次须向发包人按下述6.1.3条约定承担违约责任，</w:t>
      </w:r>
      <w:r>
        <w:rPr>
          <w:rFonts w:hint="eastAsia" w:hAnsi="宋体"/>
          <w:color w:val="auto"/>
          <w:u w:val="single"/>
        </w:rPr>
        <w:t>且不免除工期违约责任。</w:t>
      </w:r>
      <w:r>
        <w:rPr>
          <w:rFonts w:hint="eastAsia" w:ascii="仿宋" w:hAnsi="仿宋" w:eastAsia="仿宋" w:cs="宋体"/>
          <w:color w:val="auto"/>
          <w:u w:val="single"/>
        </w:rPr>
        <w:t>增加及完善投入的施工设备和临时设施相关费用由承包人承担，</w:t>
      </w:r>
      <w:r>
        <w:rPr>
          <w:rFonts w:hint="eastAsia" w:hAnsi="宋体"/>
          <w:color w:val="auto"/>
          <w:u w:val="single"/>
        </w:rPr>
        <w:t>包含在签约合同价格中</w:t>
      </w:r>
      <w:r>
        <w:rPr>
          <w:rFonts w:hint="eastAsia" w:ascii="仿宋" w:hAnsi="仿宋" w:eastAsia="仿宋" w:cs="宋体"/>
          <w:color w:val="auto"/>
        </w:rPr>
        <w:t>。</w:t>
      </w:r>
    </w:p>
    <w:p>
      <w:pPr>
        <w:pStyle w:val="52"/>
        <w:ind w:firstLine="420"/>
        <w:rPr>
          <w:rFonts w:ascii="仿宋" w:hAnsi="仿宋" w:eastAsia="仿宋" w:cs="宋体"/>
          <w:color w:val="auto"/>
        </w:rPr>
      </w:pPr>
      <w:r>
        <w:rPr>
          <w:rFonts w:hint="eastAsia" w:ascii="仿宋" w:hAnsi="仿宋" w:eastAsia="仿宋" w:cs="宋体"/>
          <w:color w:val="auto"/>
        </w:rPr>
        <w:t>6.1.3承包人不得以任何理由中途停工，或变相减少施工组织中规定的施工设备，否则经发包人和监理人确认，视为承包人违约，违约金规定如下：</w:t>
      </w:r>
      <w:r>
        <w:rPr>
          <w:rFonts w:hint="eastAsia" w:ascii="仿宋" w:hAnsi="仿宋" w:eastAsia="仿宋" w:cs="宋体"/>
          <w:color w:val="auto"/>
          <w:u w:val="single"/>
        </w:rPr>
        <w:t>施工设备2000元/台/天</w:t>
      </w:r>
      <w:r>
        <w:rPr>
          <w:rFonts w:hint="eastAsia" w:ascii="仿宋" w:hAnsi="仿宋" w:eastAsia="仿宋" w:cs="宋体"/>
          <w:color w:val="auto"/>
        </w:rPr>
        <w:t>。</w:t>
      </w:r>
    </w:p>
    <w:p>
      <w:pPr>
        <w:pStyle w:val="52"/>
        <w:ind w:firstLine="420"/>
        <w:rPr>
          <w:rFonts w:ascii="仿宋" w:hAnsi="仿宋" w:eastAsia="仿宋" w:cs="宋体"/>
          <w:color w:val="auto"/>
        </w:rPr>
      </w:pPr>
      <w:r>
        <w:rPr>
          <w:rFonts w:hint="eastAsia" w:ascii="仿宋" w:hAnsi="仿宋" w:eastAsia="仿宋" w:cs="宋体"/>
          <w:color w:val="auto"/>
        </w:rPr>
        <w:t>6.1.4 承包人施工所需的临时设施应全部在拟建工程占地范围内布置，发包人不提供额外的施工用地。如果承包人出于任何正当的理由，要求临时占用任何额外的施工用地，发包人应尽可能协助承包人获得其所需的临时用地，但所有的费用都应由承包人承担。发包人不承诺保证获得或提供承包人要求的任何临时用地。</w:t>
      </w:r>
    </w:p>
    <w:p>
      <w:pPr>
        <w:pStyle w:val="73"/>
        <w:spacing w:before="60" w:after="60"/>
        <w:rPr>
          <w:rFonts w:ascii="仿宋" w:hAnsi="仿宋" w:eastAsia="仿宋" w:cs="宋体"/>
          <w:color w:val="auto"/>
        </w:rPr>
      </w:pPr>
      <w:bookmarkStart w:id="48" w:name="_Toc23142"/>
      <w:bookmarkStart w:id="49" w:name="_Toc44492579"/>
      <w:bookmarkStart w:id="50" w:name="_Toc38987278"/>
      <w:bookmarkStart w:id="51" w:name="_Toc16520"/>
      <w:bookmarkStart w:id="52" w:name="_Toc44228161"/>
      <w:bookmarkStart w:id="53" w:name="_Toc23381"/>
      <w:bookmarkStart w:id="54" w:name="_Toc789"/>
      <w:r>
        <w:rPr>
          <w:rFonts w:hint="eastAsia" w:ascii="仿宋" w:hAnsi="仿宋" w:eastAsia="仿宋" w:cs="宋体"/>
          <w:color w:val="auto"/>
        </w:rPr>
        <w:t>9.施工安全、治安保卫和环境保护</w:t>
      </w:r>
      <w:bookmarkEnd w:id="48"/>
      <w:bookmarkEnd w:id="49"/>
      <w:bookmarkEnd w:id="50"/>
      <w:bookmarkEnd w:id="51"/>
      <w:bookmarkEnd w:id="52"/>
      <w:bookmarkEnd w:id="53"/>
      <w:bookmarkEnd w:id="54"/>
    </w:p>
    <w:p>
      <w:pPr>
        <w:pStyle w:val="77"/>
        <w:ind w:firstLine="480"/>
        <w:rPr>
          <w:rFonts w:ascii="仿宋" w:hAnsi="仿宋" w:eastAsia="仿宋" w:cs="宋体"/>
          <w:color w:val="auto"/>
        </w:rPr>
      </w:pPr>
      <w:bookmarkStart w:id="55" w:name="_Toc44492580"/>
      <w:bookmarkStart w:id="56" w:name="_Toc28038"/>
      <w:bookmarkStart w:id="57" w:name="_Toc30574"/>
      <w:r>
        <w:rPr>
          <w:rFonts w:hint="eastAsia" w:ascii="仿宋" w:hAnsi="仿宋" w:eastAsia="仿宋" w:cs="宋体"/>
          <w:color w:val="auto"/>
        </w:rPr>
        <w:t>9.1.</w:t>
      </w:r>
      <w:r>
        <w:rPr>
          <w:rFonts w:hint="eastAsia" w:ascii="仿宋" w:hAnsi="仿宋" w:eastAsia="仿宋" w:cs="宋体"/>
          <w:color w:val="auto"/>
        </w:rPr>
        <w:tab/>
      </w:r>
      <w:r>
        <w:rPr>
          <w:rFonts w:hint="eastAsia" w:ascii="仿宋" w:hAnsi="仿宋" w:eastAsia="仿宋" w:cs="宋体"/>
          <w:color w:val="auto"/>
        </w:rPr>
        <w:t>承包人的施工安全责任</w:t>
      </w:r>
      <w:bookmarkEnd w:id="55"/>
      <w:bookmarkEnd w:id="56"/>
      <w:bookmarkEnd w:id="57"/>
    </w:p>
    <w:p>
      <w:pPr>
        <w:pStyle w:val="52"/>
        <w:ind w:firstLine="420"/>
        <w:rPr>
          <w:rFonts w:ascii="仿宋" w:hAnsi="仿宋" w:eastAsia="仿宋" w:cs="宋体"/>
          <w:color w:val="auto"/>
        </w:rPr>
      </w:pPr>
      <w:r>
        <w:rPr>
          <w:rFonts w:hint="eastAsia" w:ascii="仿宋" w:hAnsi="仿宋" w:eastAsia="仿宋" w:cs="宋体"/>
          <w:color w:val="auto"/>
        </w:rPr>
        <w:t>9.1.2. 承包人向监理人及发包人报送施工安全措施计划的期限：进场后3天内。</w:t>
      </w:r>
    </w:p>
    <w:p>
      <w:pPr>
        <w:pStyle w:val="52"/>
        <w:ind w:firstLine="420"/>
        <w:rPr>
          <w:rFonts w:ascii="仿宋" w:hAnsi="仿宋" w:eastAsia="仿宋" w:cs="宋体"/>
          <w:color w:val="auto"/>
        </w:rPr>
      </w:pPr>
      <w:r>
        <w:rPr>
          <w:rFonts w:hint="eastAsia" w:ascii="仿宋" w:hAnsi="仿宋" w:eastAsia="仿宋" w:cs="宋体"/>
          <w:color w:val="auto"/>
        </w:rPr>
        <w:t>9.1.14 承包人应遵守本项目发包人的有关现场安全的相关规定，并按原合同附件《安全管理专篇》中要求落实其承包范围内的安全措施并负安全责任，违约的应按《安全管理专篇》违约条款向发包人支付违约金。</w:t>
      </w:r>
    </w:p>
    <w:p>
      <w:pPr>
        <w:pStyle w:val="52"/>
        <w:ind w:firstLine="420"/>
        <w:rPr>
          <w:rFonts w:ascii="仿宋" w:hAnsi="仿宋" w:eastAsia="仿宋" w:cs="宋体"/>
          <w:color w:val="auto"/>
        </w:rPr>
      </w:pPr>
      <w:bookmarkStart w:id="58" w:name="_Toc44228162"/>
      <w:bookmarkStart w:id="59" w:name="_Toc38987279"/>
      <w:bookmarkStart w:id="60" w:name="_Toc17702"/>
      <w:bookmarkStart w:id="61" w:name="_Toc18500"/>
      <w:bookmarkStart w:id="62" w:name="_Toc9378"/>
      <w:bookmarkStart w:id="63" w:name="_Toc44492582"/>
      <w:bookmarkStart w:id="64" w:name="_Toc31420"/>
      <w:r>
        <w:rPr>
          <w:rFonts w:hint="eastAsia" w:ascii="仿宋" w:hAnsi="仿宋" w:eastAsia="仿宋" w:cs="宋体"/>
          <w:color w:val="auto"/>
        </w:rPr>
        <w:t>9.1.15 承包人应严格遵守发包人及其上级公司已颁布和合同签订后再颁布的安全生产、环境保护等方面制度。</w:t>
      </w:r>
    </w:p>
    <w:p>
      <w:pPr>
        <w:pStyle w:val="52"/>
        <w:ind w:firstLine="420"/>
        <w:rPr>
          <w:rFonts w:ascii="仿宋" w:hAnsi="仿宋" w:eastAsia="仿宋" w:cs="宋体"/>
          <w:color w:val="auto"/>
        </w:rPr>
      </w:pPr>
      <w:r>
        <w:rPr>
          <w:rFonts w:hint="eastAsia" w:ascii="仿宋" w:hAnsi="仿宋" w:eastAsia="仿宋" w:cs="宋体"/>
          <w:color w:val="auto"/>
        </w:rPr>
        <w:t>9.1.16 发包人及其上级单位根据公司制度对承包人定期进行安全生产考核，承包人应无条件配合。发包人可将本合同承包人履约情况及时通报上级单位粤海集团。粤海集团有权对承包人的履约情况进行评价（含扣分处理），有权对粤海集团系内承包商进行统筹考核排名并在粤海集团及其下属公司范围内进行公示。</w:t>
      </w:r>
    </w:p>
    <w:p>
      <w:pPr>
        <w:pStyle w:val="73"/>
        <w:spacing w:before="60" w:after="60"/>
        <w:rPr>
          <w:rFonts w:ascii="仿宋" w:hAnsi="仿宋" w:eastAsia="仿宋" w:cs="宋体"/>
          <w:color w:val="auto"/>
        </w:rPr>
      </w:pPr>
      <w:r>
        <w:rPr>
          <w:rFonts w:hint="eastAsia" w:ascii="仿宋" w:hAnsi="仿宋" w:eastAsia="仿宋" w:cs="宋体"/>
          <w:color w:val="auto"/>
        </w:rPr>
        <w:t>10.进度计划</w:t>
      </w:r>
      <w:bookmarkEnd w:id="58"/>
      <w:bookmarkEnd w:id="59"/>
      <w:bookmarkEnd w:id="60"/>
      <w:bookmarkEnd w:id="61"/>
      <w:bookmarkEnd w:id="62"/>
      <w:bookmarkEnd w:id="63"/>
      <w:bookmarkEnd w:id="64"/>
    </w:p>
    <w:p>
      <w:pPr>
        <w:pStyle w:val="77"/>
        <w:ind w:firstLine="480"/>
        <w:rPr>
          <w:rFonts w:ascii="仿宋" w:hAnsi="仿宋" w:eastAsia="仿宋" w:cs="宋体"/>
          <w:color w:val="auto"/>
        </w:rPr>
      </w:pPr>
      <w:bookmarkStart w:id="65" w:name="_Toc44492583"/>
      <w:bookmarkStart w:id="66" w:name="_Toc11459"/>
      <w:bookmarkStart w:id="67" w:name="_Toc29779"/>
      <w:r>
        <w:rPr>
          <w:rFonts w:hint="eastAsia" w:ascii="仿宋" w:hAnsi="仿宋" w:eastAsia="仿宋" w:cs="宋体"/>
          <w:color w:val="auto"/>
        </w:rPr>
        <w:t>10.1.   合同进度计划</w:t>
      </w:r>
      <w:bookmarkEnd w:id="65"/>
      <w:bookmarkEnd w:id="66"/>
      <w:bookmarkEnd w:id="67"/>
    </w:p>
    <w:p>
      <w:pPr>
        <w:pStyle w:val="52"/>
        <w:ind w:firstLine="420"/>
        <w:rPr>
          <w:color w:val="auto"/>
        </w:rPr>
      </w:pPr>
      <w:r>
        <w:rPr>
          <w:rFonts w:hint="eastAsia" w:ascii="仿宋" w:hAnsi="仿宋" w:eastAsia="仿宋" w:cs="宋体"/>
          <w:color w:val="auto"/>
        </w:rPr>
        <w:t xml:space="preserve">10.1.1.  </w:t>
      </w:r>
      <w:r>
        <w:rPr>
          <w:rFonts w:hint="eastAsia" w:hAnsi="宋体"/>
          <w:color w:val="auto"/>
        </w:rPr>
        <w:t>承包人向发包人提供的计划、报表名称及提交时间：</w:t>
      </w:r>
      <w:r>
        <w:rPr>
          <w:rFonts w:hint="eastAsia"/>
          <w:color w:val="auto"/>
        </w:rPr>
        <w:t>承包人签订合同后7天内</w:t>
      </w:r>
      <w:r>
        <w:rPr>
          <w:rFonts w:hint="eastAsia"/>
          <w:color w:val="auto"/>
          <w:u w:val="single"/>
        </w:rPr>
        <w:t>按监理人、发包人要求提供施工组织计划及总进度计划、材料设备报批及采购计划（包括按合同要求报审报批材料设备、提供材料设备样品及材料设备进场及施工安装等计划）总计划等资料。</w:t>
      </w:r>
      <w:r>
        <w:rPr>
          <w:rFonts w:hint="eastAsia"/>
          <w:color w:val="auto"/>
        </w:rPr>
        <w:t>如承包人未按时提交或中标后7天内提交的施工计划不满足要求，则需按照5000元/天向发包人支付违约金，直至提交计划合格。</w:t>
      </w:r>
    </w:p>
    <w:p>
      <w:pPr>
        <w:pStyle w:val="52"/>
        <w:ind w:firstLine="420"/>
        <w:rPr>
          <w:rFonts w:ascii="仿宋" w:hAnsi="仿宋" w:eastAsia="仿宋" w:cs="宋体"/>
          <w:color w:val="auto"/>
        </w:rPr>
      </w:pPr>
      <w:r>
        <w:rPr>
          <w:rFonts w:hint="eastAsia" w:ascii="仿宋" w:hAnsi="仿宋" w:eastAsia="仿宋" w:cs="宋体"/>
          <w:color w:val="auto"/>
        </w:rPr>
        <w:t>10.1.2. 合同实施过程中发包人控制的关键工期节点时间及违约金如下表：</w:t>
      </w:r>
    </w:p>
    <w:p>
      <w:pPr>
        <w:pStyle w:val="52"/>
        <w:ind w:firstLine="0" w:firstLineChars="0"/>
        <w:rPr>
          <w:rFonts w:ascii="仿宋" w:hAnsi="仿宋" w:eastAsia="仿宋" w:cs="宋体"/>
          <w:color w:val="auto"/>
        </w:rPr>
      </w:pPr>
    </w:p>
    <w:tbl>
      <w:tblPr>
        <w:tblStyle w:val="37"/>
        <w:tblW w:w="89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04"/>
        <w:gridCol w:w="2127"/>
        <w:gridCol w:w="1984"/>
        <w:gridCol w:w="1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 w:hRule="atLeast"/>
          <w:jc w:val="center"/>
        </w:trPr>
        <w:tc>
          <w:tcPr>
            <w:tcW w:w="3104" w:type="dxa"/>
            <w:vAlign w:val="center"/>
          </w:tcPr>
          <w:p>
            <w:pPr>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工期节点</w:t>
            </w:r>
          </w:p>
        </w:tc>
        <w:tc>
          <w:tcPr>
            <w:tcW w:w="2127" w:type="dxa"/>
            <w:vAlign w:val="center"/>
          </w:tcPr>
          <w:p>
            <w:pPr>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开始时间</w:t>
            </w:r>
          </w:p>
        </w:tc>
        <w:tc>
          <w:tcPr>
            <w:tcW w:w="1984" w:type="dxa"/>
            <w:vAlign w:val="center"/>
          </w:tcPr>
          <w:p>
            <w:pPr>
              <w:spacing w:line="360" w:lineRule="auto"/>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完成时间</w:t>
            </w:r>
          </w:p>
        </w:tc>
        <w:tc>
          <w:tcPr>
            <w:tcW w:w="1716" w:type="dxa"/>
            <w:vAlign w:val="center"/>
          </w:tcPr>
          <w:p>
            <w:pPr>
              <w:spacing w:line="360" w:lineRule="auto"/>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工期（日历天）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0" w:hRule="atLeast"/>
          <w:jc w:val="center"/>
        </w:trPr>
        <w:tc>
          <w:tcPr>
            <w:tcW w:w="3104" w:type="dxa"/>
            <w:vAlign w:val="center"/>
          </w:tcPr>
          <w:p>
            <w:pPr>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机电及消防工程安装、单机调试完成</w:t>
            </w:r>
          </w:p>
        </w:tc>
        <w:tc>
          <w:tcPr>
            <w:tcW w:w="2127" w:type="dxa"/>
            <w:vAlign w:val="center"/>
          </w:tcPr>
          <w:p>
            <w:pPr>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暂定</w:t>
            </w:r>
            <w:r>
              <w:rPr>
                <w:rFonts w:ascii="Times New Roman" w:hAnsi="Times New Roman" w:eastAsia="仿宋_GB2312"/>
                <w:color w:val="FF0000"/>
                <w:kern w:val="0"/>
                <w:szCs w:val="32"/>
              </w:rPr>
              <w:t>为</w:t>
            </w:r>
            <w:ins w:id="0" w:author="gaoxu" w:date="2024-04-21T00:09:50Z">
              <w:r>
                <w:rPr>
                  <w:rFonts w:hint="eastAsia" w:ascii="Times New Roman" w:hAnsi="Times New Roman" w:eastAsia="仿宋_GB2312"/>
                  <w:color w:val="FF0000"/>
                  <w:kern w:val="0"/>
                  <w:szCs w:val="32"/>
                  <w:rPrChange w:id="1" w:author="gaoxu" w:date="2024-04-21T00:09:50Z">
                    <w:rPr>
                      <w:rFonts w:hint="eastAsia"/>
                    </w:rPr>
                  </w:rPrChange>
                </w:rPr>
                <w:t>2024年6月16日</w:t>
              </w:r>
            </w:ins>
            <w:del w:id="2" w:author="gaoxu" w:date="2024-04-21T00:09:50Z">
              <w:r>
                <w:rPr>
                  <w:rFonts w:ascii="Times New Roman" w:hAnsi="Times New Roman" w:eastAsia="仿宋_GB2312"/>
                  <w:color w:val="FF0000"/>
                  <w:kern w:val="0"/>
                  <w:szCs w:val="32"/>
                </w:rPr>
                <w:delText>2024</w:delText>
              </w:r>
            </w:del>
            <w:del w:id="3" w:author="gaoxu" w:date="2024-04-21T00:09:50Z">
              <w:r>
                <w:rPr>
                  <w:rFonts w:hint="eastAsia" w:ascii="Times New Roman" w:hAnsi="Times New Roman" w:eastAsia="仿宋_GB2312"/>
                  <w:color w:val="FF0000"/>
                  <w:kern w:val="0"/>
                  <w:szCs w:val="32"/>
                </w:rPr>
                <w:delText>年</w:delText>
              </w:r>
            </w:del>
            <w:del w:id="4" w:author="gaoxu" w:date="2024-04-21T00:09:50Z">
              <w:r>
                <w:rPr>
                  <w:rFonts w:ascii="Times New Roman" w:hAnsi="Times New Roman" w:eastAsia="仿宋_GB2312"/>
                  <w:color w:val="FF0000"/>
                  <w:kern w:val="0"/>
                  <w:szCs w:val="32"/>
                </w:rPr>
                <w:delText>4</w:delText>
              </w:r>
            </w:del>
            <w:del w:id="5" w:author="gaoxu" w:date="2024-04-21T00:09:50Z">
              <w:r>
                <w:rPr>
                  <w:rFonts w:hint="eastAsia" w:ascii="Times New Roman" w:hAnsi="Times New Roman" w:eastAsia="仿宋_GB2312"/>
                  <w:color w:val="FF0000"/>
                  <w:kern w:val="0"/>
                  <w:szCs w:val="32"/>
                </w:rPr>
                <w:delText>月</w:delText>
              </w:r>
            </w:del>
            <w:del w:id="6" w:author="gaoxu" w:date="2024-04-21T00:09:50Z">
              <w:r>
                <w:rPr>
                  <w:rFonts w:ascii="Times New Roman" w:hAnsi="Times New Roman" w:eastAsia="仿宋_GB2312"/>
                  <w:color w:val="FF0000"/>
                  <w:kern w:val="0"/>
                  <w:szCs w:val="32"/>
                </w:rPr>
                <w:delText>21</w:delText>
              </w:r>
            </w:del>
            <w:del w:id="7" w:author="gaoxu" w:date="2024-04-21T00:09:50Z">
              <w:r>
                <w:rPr>
                  <w:rFonts w:hint="eastAsia" w:ascii="Times New Roman" w:hAnsi="Times New Roman" w:eastAsia="仿宋_GB2312"/>
                  <w:color w:val="FF0000"/>
                  <w:kern w:val="0"/>
                  <w:szCs w:val="32"/>
                </w:rPr>
                <w:delText>日</w:delText>
              </w:r>
            </w:del>
            <w:r>
              <w:rPr>
                <w:rFonts w:ascii="Times New Roman" w:hAnsi="Times New Roman" w:eastAsia="仿宋_GB2312"/>
                <w:color w:val="FF0000"/>
                <w:kern w:val="0"/>
                <w:szCs w:val="32"/>
              </w:rPr>
              <w:t>，具体以发包人</w:t>
            </w:r>
            <w:r>
              <w:rPr>
                <w:rFonts w:hint="eastAsia" w:ascii="Times New Roman" w:hAnsi="Times New Roman" w:eastAsia="仿宋_GB2312"/>
                <w:color w:val="FF0000"/>
                <w:kern w:val="0"/>
                <w:szCs w:val="32"/>
              </w:rPr>
              <w:t>签发开工指令要求为准</w:t>
            </w:r>
          </w:p>
        </w:tc>
        <w:tc>
          <w:tcPr>
            <w:tcW w:w="1984" w:type="dxa"/>
            <w:vAlign w:val="center"/>
          </w:tcPr>
          <w:p>
            <w:pPr>
              <w:spacing w:line="360" w:lineRule="auto"/>
              <w:jc w:val="center"/>
              <w:rPr>
                <w:rFonts w:ascii="Times New Roman" w:hAnsi="Times New Roman" w:eastAsia="仿宋_GB2312"/>
                <w:color w:val="FF0000"/>
                <w:kern w:val="0"/>
                <w:szCs w:val="32"/>
              </w:rPr>
            </w:pPr>
          </w:p>
          <w:p>
            <w:pPr>
              <w:spacing w:line="360" w:lineRule="auto"/>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暂定为</w:t>
            </w:r>
            <w:ins w:id="8" w:author="gaoxu" w:date="2024-04-21T00:10:00Z">
              <w:r>
                <w:rPr>
                  <w:rFonts w:hint="eastAsia" w:ascii="Times New Roman" w:hAnsi="Times New Roman" w:eastAsia="仿宋_GB2312"/>
                  <w:color w:val="FF0000"/>
                  <w:kern w:val="0"/>
                  <w:szCs w:val="32"/>
                  <w:rPrChange w:id="9" w:author="gaoxu" w:date="2024-04-21T00:10:00Z">
                    <w:rPr>
                      <w:rFonts w:hint="eastAsia"/>
                    </w:rPr>
                  </w:rPrChange>
                </w:rPr>
                <w:t>2024年11月23日</w:t>
              </w:r>
            </w:ins>
            <w:del w:id="10" w:author="gaoxu" w:date="2024-04-21T00:10:00Z">
              <w:r>
                <w:rPr>
                  <w:rFonts w:ascii="Times New Roman" w:hAnsi="Times New Roman" w:eastAsia="仿宋_GB2312"/>
                  <w:color w:val="FF0000"/>
                  <w:kern w:val="0"/>
                  <w:szCs w:val="32"/>
                </w:rPr>
                <w:delText>2024</w:delText>
              </w:r>
            </w:del>
            <w:del w:id="11" w:author="gaoxu" w:date="2024-04-21T00:10:00Z">
              <w:r>
                <w:rPr>
                  <w:rFonts w:hint="eastAsia" w:ascii="Times New Roman" w:hAnsi="Times New Roman" w:eastAsia="仿宋_GB2312"/>
                  <w:color w:val="FF0000"/>
                  <w:kern w:val="0"/>
                  <w:szCs w:val="32"/>
                </w:rPr>
                <w:delText>年9月</w:delText>
              </w:r>
            </w:del>
            <w:del w:id="12" w:author="gaoxu" w:date="2024-04-21T00:10:00Z">
              <w:r>
                <w:rPr>
                  <w:rFonts w:ascii="Times New Roman" w:hAnsi="Times New Roman" w:eastAsia="仿宋_GB2312"/>
                  <w:color w:val="FF0000"/>
                  <w:kern w:val="0"/>
                  <w:szCs w:val="32"/>
                </w:rPr>
                <w:delText>2</w:delText>
              </w:r>
            </w:del>
            <w:del w:id="13" w:author="gaoxu" w:date="2024-04-21T00:10:00Z">
              <w:r>
                <w:rPr>
                  <w:rFonts w:hint="eastAsia" w:ascii="Times New Roman" w:hAnsi="Times New Roman" w:eastAsia="仿宋_GB2312"/>
                  <w:color w:val="FF0000"/>
                  <w:kern w:val="0"/>
                  <w:szCs w:val="32"/>
                </w:rPr>
                <w:delText>8日</w:delText>
              </w:r>
            </w:del>
          </w:p>
          <w:p>
            <w:pPr>
              <w:spacing w:line="360" w:lineRule="auto"/>
              <w:jc w:val="center"/>
              <w:rPr>
                <w:rFonts w:ascii="Times New Roman" w:hAnsi="Times New Roman" w:eastAsia="仿宋_GB2312"/>
                <w:color w:val="FF0000"/>
                <w:kern w:val="0"/>
                <w:szCs w:val="32"/>
              </w:rPr>
            </w:pPr>
          </w:p>
          <w:p>
            <w:pPr>
              <w:spacing w:line="360" w:lineRule="auto"/>
              <w:jc w:val="center"/>
              <w:rPr>
                <w:rFonts w:ascii="Times New Roman" w:hAnsi="Times New Roman" w:eastAsia="仿宋_GB2312"/>
                <w:color w:val="FF0000"/>
                <w:kern w:val="0"/>
                <w:szCs w:val="32"/>
              </w:rPr>
            </w:pPr>
          </w:p>
        </w:tc>
        <w:tc>
          <w:tcPr>
            <w:tcW w:w="1716" w:type="dxa"/>
            <w:vAlign w:val="center"/>
          </w:tcPr>
          <w:p>
            <w:pPr>
              <w:spacing w:line="360" w:lineRule="auto"/>
              <w:jc w:val="center"/>
              <w:rPr>
                <w:rFonts w:ascii="Times New Roman" w:hAnsi="Times New Roman" w:eastAsia="仿宋_GB2312"/>
                <w:color w:val="FF0000"/>
                <w:kern w:val="0"/>
                <w:szCs w:val="32"/>
              </w:rPr>
            </w:pPr>
            <w:r>
              <w:rPr>
                <w:rFonts w:ascii="Times New Roman" w:hAnsi="Times New Roman" w:eastAsia="仿宋_GB2312"/>
                <w:color w:val="FF0000"/>
                <w:kern w:val="0"/>
                <w:szCs w:val="32"/>
              </w:rPr>
              <w:t>1</w:t>
            </w:r>
            <w:r>
              <w:rPr>
                <w:rFonts w:hint="eastAsia" w:ascii="Times New Roman" w:hAnsi="Times New Roman" w:eastAsia="仿宋_GB2312"/>
                <w:color w:val="FF0000"/>
                <w:kern w:val="0"/>
                <w:szCs w:val="32"/>
              </w:rPr>
              <w:t>6</w:t>
            </w:r>
            <w:r>
              <w:rPr>
                <w:rFonts w:ascii="Times New Roman" w:hAnsi="Times New Roman" w:eastAsia="仿宋_GB2312"/>
                <w:color w:val="FF0000"/>
                <w:kern w:val="0"/>
                <w:szCs w:val="32"/>
              </w:rPr>
              <w:t>0</w:t>
            </w:r>
            <w:r>
              <w:rPr>
                <w:rFonts w:hint="eastAsia" w:ascii="Times New Roman" w:hAnsi="Times New Roman" w:eastAsia="仿宋_GB2312"/>
                <w:color w:val="FF0000"/>
                <w:kern w:val="0"/>
                <w:szCs w:val="32"/>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04" w:type="dxa"/>
            <w:vAlign w:val="center"/>
          </w:tcPr>
          <w:p>
            <w:pPr>
              <w:keepNext/>
              <w:keepLines/>
              <w:tabs>
                <w:tab w:val="center" w:pos="1260"/>
              </w:tabs>
              <w:spacing w:before="260" w:after="260" w:line="413" w:lineRule="auto"/>
              <w:jc w:val="center"/>
              <w:outlineLvl w:val="1"/>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电梯安装及验收</w:t>
            </w:r>
          </w:p>
        </w:tc>
        <w:tc>
          <w:tcPr>
            <w:tcW w:w="2127" w:type="dxa"/>
            <w:vAlign w:val="center"/>
          </w:tcPr>
          <w:p>
            <w:pPr>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暂定</w:t>
            </w:r>
            <w:ins w:id="14" w:author="gaoxu" w:date="2024-04-21T00:10:14Z">
              <w:r>
                <w:rPr>
                  <w:rFonts w:hint="eastAsia" w:ascii="Times New Roman" w:hAnsi="Times New Roman" w:eastAsia="仿宋_GB2312"/>
                  <w:color w:val="FF0000"/>
                  <w:kern w:val="0"/>
                  <w:szCs w:val="32"/>
                  <w:rPrChange w:id="15" w:author="gaoxu" w:date="2024-04-21T00:10:14Z">
                    <w:rPr>
                      <w:rFonts w:hint="eastAsia"/>
                    </w:rPr>
                  </w:rPrChange>
                </w:rPr>
                <w:t>2024年8月25日</w:t>
              </w:r>
            </w:ins>
            <w:del w:id="16" w:author="gaoxu" w:date="2024-04-21T00:10:14Z">
              <w:r>
                <w:rPr>
                  <w:rFonts w:ascii="Times New Roman" w:hAnsi="Times New Roman" w:eastAsia="仿宋_GB2312"/>
                  <w:color w:val="FF0000"/>
                  <w:kern w:val="0"/>
                  <w:szCs w:val="32"/>
                </w:rPr>
                <w:delText>2024</w:delText>
              </w:r>
            </w:del>
            <w:del w:id="17" w:author="gaoxu" w:date="2024-04-21T00:10:14Z">
              <w:r>
                <w:rPr>
                  <w:rFonts w:hint="eastAsia" w:ascii="Times New Roman" w:hAnsi="Times New Roman" w:eastAsia="仿宋_GB2312"/>
                  <w:color w:val="FF0000"/>
                  <w:kern w:val="0"/>
                  <w:szCs w:val="32"/>
                </w:rPr>
                <w:delText>年6月</w:delText>
              </w:r>
            </w:del>
            <w:del w:id="18" w:author="gaoxu" w:date="2024-04-21T00:10:14Z">
              <w:r>
                <w:rPr>
                  <w:rFonts w:ascii="Times New Roman" w:hAnsi="Times New Roman" w:eastAsia="仿宋_GB2312"/>
                  <w:color w:val="FF0000"/>
                  <w:kern w:val="0"/>
                  <w:szCs w:val="32"/>
                </w:rPr>
                <w:delText>30</w:delText>
              </w:r>
            </w:del>
            <w:del w:id="19" w:author="gaoxu" w:date="2024-04-21T00:10:14Z">
              <w:r>
                <w:rPr>
                  <w:rFonts w:hint="eastAsia" w:ascii="Times New Roman" w:hAnsi="Times New Roman" w:eastAsia="仿宋_GB2312"/>
                  <w:color w:val="FF0000"/>
                  <w:kern w:val="0"/>
                  <w:szCs w:val="32"/>
                </w:rPr>
                <w:delText>日</w:delText>
              </w:r>
            </w:del>
          </w:p>
        </w:tc>
        <w:tc>
          <w:tcPr>
            <w:tcW w:w="1984" w:type="dxa"/>
            <w:vAlign w:val="center"/>
          </w:tcPr>
          <w:p>
            <w:pPr>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暂定</w:t>
            </w:r>
            <w:ins w:id="20" w:author="gaoxu" w:date="2024-04-21T00:10:26Z">
              <w:r>
                <w:rPr>
                  <w:rFonts w:hint="eastAsia" w:ascii="Times New Roman" w:hAnsi="Times New Roman" w:eastAsia="仿宋_GB2312"/>
                  <w:color w:val="FF0000"/>
                  <w:kern w:val="0"/>
                  <w:szCs w:val="32"/>
                  <w:rPrChange w:id="21" w:author="gaoxu" w:date="2024-04-21T00:10:26Z">
                    <w:rPr>
                      <w:rFonts w:hint="eastAsia"/>
                    </w:rPr>
                  </w:rPrChange>
                </w:rPr>
                <w:t>2024年11月23日</w:t>
              </w:r>
            </w:ins>
            <w:del w:id="22" w:author="gaoxu" w:date="2024-04-21T00:10:26Z">
              <w:r>
                <w:rPr>
                  <w:rFonts w:ascii="Times New Roman" w:hAnsi="Times New Roman" w:eastAsia="仿宋_GB2312"/>
                  <w:color w:val="FF0000"/>
                  <w:kern w:val="0"/>
                  <w:szCs w:val="32"/>
                </w:rPr>
                <w:delText>2024</w:delText>
              </w:r>
            </w:del>
            <w:del w:id="23" w:author="gaoxu" w:date="2024-04-21T00:10:26Z">
              <w:r>
                <w:rPr>
                  <w:rFonts w:hint="eastAsia" w:ascii="Times New Roman" w:hAnsi="Times New Roman" w:eastAsia="仿宋_GB2312"/>
                  <w:color w:val="FF0000"/>
                  <w:kern w:val="0"/>
                  <w:szCs w:val="32"/>
                </w:rPr>
                <w:delText>年9月</w:delText>
              </w:r>
            </w:del>
            <w:del w:id="24" w:author="gaoxu" w:date="2024-04-21T00:10:26Z">
              <w:r>
                <w:rPr>
                  <w:rFonts w:ascii="Times New Roman" w:hAnsi="Times New Roman" w:eastAsia="仿宋_GB2312"/>
                  <w:color w:val="FF0000"/>
                  <w:kern w:val="0"/>
                  <w:szCs w:val="32"/>
                </w:rPr>
                <w:delText>2</w:delText>
              </w:r>
            </w:del>
            <w:del w:id="25" w:author="gaoxu" w:date="2024-04-21T00:10:26Z">
              <w:r>
                <w:rPr>
                  <w:rFonts w:hint="eastAsia" w:ascii="Times New Roman" w:hAnsi="Times New Roman" w:eastAsia="仿宋_GB2312"/>
                  <w:color w:val="FF0000"/>
                  <w:kern w:val="0"/>
                  <w:szCs w:val="32"/>
                </w:rPr>
                <w:delText>8日</w:delText>
              </w:r>
            </w:del>
          </w:p>
        </w:tc>
        <w:tc>
          <w:tcPr>
            <w:tcW w:w="1716" w:type="dxa"/>
            <w:vAlign w:val="center"/>
          </w:tcPr>
          <w:p>
            <w:pPr>
              <w:keepNext/>
              <w:keepLines/>
              <w:spacing w:before="260" w:after="260" w:line="360" w:lineRule="auto"/>
              <w:jc w:val="center"/>
              <w:outlineLvl w:val="1"/>
              <w:rPr>
                <w:rFonts w:ascii="Times New Roman" w:hAnsi="Times New Roman" w:eastAsia="仿宋_GB2312"/>
                <w:color w:val="FF0000"/>
                <w:kern w:val="0"/>
                <w:szCs w:val="32"/>
              </w:rPr>
            </w:pPr>
            <w:r>
              <w:rPr>
                <w:rFonts w:ascii="Times New Roman" w:hAnsi="Times New Roman" w:eastAsia="仿宋_GB2312"/>
                <w:color w:val="FF0000"/>
                <w:kern w:val="0"/>
                <w:szCs w:val="32"/>
              </w:rPr>
              <w:t>90</w:t>
            </w:r>
            <w:r>
              <w:rPr>
                <w:rFonts w:hint="eastAsia" w:ascii="Times New Roman" w:hAnsi="Times New Roman" w:eastAsia="仿宋_GB2312"/>
                <w:color w:val="FF0000"/>
                <w:kern w:val="0"/>
                <w:szCs w:val="32"/>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04" w:type="dxa"/>
            <w:vAlign w:val="center"/>
          </w:tcPr>
          <w:p>
            <w:pPr>
              <w:keepNext/>
              <w:keepLines/>
              <w:tabs>
                <w:tab w:val="center" w:pos="1260"/>
              </w:tabs>
              <w:spacing w:before="260" w:after="260" w:line="413" w:lineRule="auto"/>
              <w:jc w:val="center"/>
              <w:outlineLvl w:val="1"/>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设备联动调试及消防、竣工验收</w:t>
            </w:r>
          </w:p>
        </w:tc>
        <w:tc>
          <w:tcPr>
            <w:tcW w:w="2127" w:type="dxa"/>
            <w:vAlign w:val="center"/>
          </w:tcPr>
          <w:p>
            <w:pPr>
              <w:jc w:val="center"/>
              <w:rPr>
                <w:rFonts w:eastAsia="仿宋_GB2312"/>
                <w:color w:val="FF0000"/>
                <w:kern w:val="0"/>
                <w:szCs w:val="32"/>
              </w:rPr>
            </w:pPr>
            <w:r>
              <w:rPr>
                <w:rFonts w:hint="eastAsia" w:eastAsia="仿宋_GB2312"/>
                <w:color w:val="FF0000"/>
                <w:kern w:val="0"/>
                <w:szCs w:val="32"/>
              </w:rPr>
              <w:t>暂定</w:t>
            </w:r>
            <w:ins w:id="26" w:author="gaoxu" w:date="2024-04-21T00:10:37Z">
              <w:r>
                <w:rPr>
                  <w:rFonts w:hint="eastAsia" w:eastAsia="仿宋_GB2312"/>
                  <w:color w:val="FF0000"/>
                  <w:kern w:val="0"/>
                  <w:szCs w:val="32"/>
                  <w:rPrChange w:id="27" w:author="gaoxu" w:date="2024-04-21T00:10:37Z">
                    <w:rPr>
                      <w:rFonts w:hint="eastAsia"/>
                    </w:rPr>
                  </w:rPrChange>
                </w:rPr>
                <w:t>2024年11月23日</w:t>
              </w:r>
            </w:ins>
            <w:del w:id="28" w:author="gaoxu" w:date="2024-04-21T00:10:37Z">
              <w:r>
                <w:rPr>
                  <w:rFonts w:eastAsia="仿宋_GB2312"/>
                  <w:color w:val="FF0000"/>
                  <w:kern w:val="0"/>
                  <w:szCs w:val="32"/>
                </w:rPr>
                <w:delText>2024</w:delText>
              </w:r>
            </w:del>
            <w:del w:id="29" w:author="gaoxu" w:date="2024-04-21T00:10:37Z">
              <w:r>
                <w:rPr>
                  <w:rFonts w:hint="eastAsia" w:eastAsia="仿宋_GB2312"/>
                  <w:color w:val="FF0000"/>
                  <w:kern w:val="0"/>
                  <w:szCs w:val="32"/>
                </w:rPr>
                <w:delText>年9月</w:delText>
              </w:r>
            </w:del>
            <w:del w:id="30" w:author="gaoxu" w:date="2024-04-21T00:10:37Z">
              <w:r>
                <w:rPr>
                  <w:rFonts w:eastAsia="仿宋_GB2312"/>
                  <w:color w:val="FF0000"/>
                  <w:kern w:val="0"/>
                  <w:szCs w:val="32"/>
                </w:rPr>
                <w:delText>2</w:delText>
              </w:r>
            </w:del>
            <w:del w:id="31" w:author="gaoxu" w:date="2024-04-21T00:10:37Z">
              <w:r>
                <w:rPr>
                  <w:rFonts w:hint="eastAsia" w:eastAsia="仿宋_GB2312"/>
                  <w:color w:val="FF0000"/>
                  <w:kern w:val="0"/>
                  <w:szCs w:val="32"/>
                </w:rPr>
                <w:delText>8日</w:delText>
              </w:r>
            </w:del>
          </w:p>
        </w:tc>
        <w:tc>
          <w:tcPr>
            <w:tcW w:w="1984" w:type="dxa"/>
            <w:vAlign w:val="center"/>
          </w:tcPr>
          <w:p>
            <w:pPr>
              <w:jc w:val="center"/>
              <w:rPr>
                <w:rFonts w:eastAsia="仿宋_GB2312"/>
                <w:color w:val="FF0000"/>
                <w:kern w:val="0"/>
                <w:szCs w:val="32"/>
              </w:rPr>
            </w:pPr>
            <w:r>
              <w:rPr>
                <w:rFonts w:hint="eastAsia" w:eastAsia="仿宋_GB2312"/>
                <w:color w:val="FF0000"/>
                <w:kern w:val="0"/>
                <w:szCs w:val="32"/>
              </w:rPr>
              <w:t>暂定</w:t>
            </w:r>
            <w:ins w:id="32" w:author="gaoxu" w:date="2024-04-21T00:10:48Z">
              <w:r>
                <w:rPr>
                  <w:rFonts w:hint="eastAsia" w:eastAsia="仿宋_GB2312"/>
                  <w:color w:val="FF0000"/>
                  <w:kern w:val="0"/>
                  <w:szCs w:val="32"/>
                  <w:rPrChange w:id="33" w:author="gaoxu" w:date="2024-04-21T00:10:48Z">
                    <w:rPr>
                      <w:rFonts w:hint="eastAsia"/>
                    </w:rPr>
                  </w:rPrChange>
                </w:rPr>
                <w:t>2025年1月12日</w:t>
              </w:r>
            </w:ins>
            <w:del w:id="34" w:author="gaoxu" w:date="2024-04-21T00:10:48Z">
              <w:r>
                <w:rPr>
                  <w:rFonts w:eastAsia="仿宋_GB2312"/>
                  <w:color w:val="FF0000"/>
                  <w:kern w:val="0"/>
                  <w:szCs w:val="32"/>
                </w:rPr>
                <w:delText>2024</w:delText>
              </w:r>
            </w:del>
            <w:del w:id="35" w:author="gaoxu" w:date="2024-04-21T00:10:48Z">
              <w:r>
                <w:rPr>
                  <w:rFonts w:hint="eastAsia" w:eastAsia="仿宋_GB2312"/>
                  <w:color w:val="FF0000"/>
                  <w:kern w:val="0"/>
                  <w:szCs w:val="32"/>
                </w:rPr>
                <w:delText>年</w:delText>
              </w:r>
            </w:del>
            <w:del w:id="36" w:author="gaoxu" w:date="2024-04-21T00:10:48Z">
              <w:r>
                <w:rPr>
                  <w:rFonts w:eastAsia="仿宋_GB2312"/>
                  <w:color w:val="FF0000"/>
                  <w:kern w:val="0"/>
                  <w:szCs w:val="32"/>
                </w:rPr>
                <w:delText>1</w:delText>
              </w:r>
            </w:del>
            <w:del w:id="37" w:author="gaoxu" w:date="2024-04-21T00:10:48Z">
              <w:r>
                <w:rPr>
                  <w:rFonts w:hint="eastAsia" w:eastAsia="仿宋_GB2312"/>
                  <w:color w:val="FF0000"/>
                  <w:kern w:val="0"/>
                  <w:szCs w:val="32"/>
                </w:rPr>
                <w:delText>1月17日</w:delText>
              </w:r>
            </w:del>
          </w:p>
        </w:tc>
        <w:tc>
          <w:tcPr>
            <w:tcW w:w="1716" w:type="dxa"/>
            <w:vAlign w:val="center"/>
          </w:tcPr>
          <w:p>
            <w:pPr>
              <w:spacing w:line="360" w:lineRule="auto"/>
              <w:jc w:val="center"/>
              <w:rPr>
                <w:rFonts w:ascii="Times New Roman" w:hAnsi="Times New Roman" w:eastAsia="仿宋_GB2312"/>
                <w:color w:val="FF0000"/>
                <w:kern w:val="0"/>
                <w:szCs w:val="32"/>
              </w:rPr>
            </w:pPr>
            <w:r>
              <w:rPr>
                <w:rFonts w:hint="eastAsia" w:ascii="Times New Roman" w:hAnsi="Times New Roman" w:eastAsia="仿宋_GB2312"/>
                <w:color w:val="FF0000"/>
                <w:kern w:val="0"/>
                <w:szCs w:val="32"/>
              </w:rPr>
              <w:t>50天</w:t>
            </w:r>
          </w:p>
        </w:tc>
      </w:tr>
    </w:tbl>
    <w:p>
      <w:pPr>
        <w:pStyle w:val="52"/>
        <w:ind w:firstLine="0" w:firstLineChars="0"/>
        <w:rPr>
          <w:rFonts w:ascii="仿宋" w:hAnsi="仿宋" w:eastAsia="仿宋" w:cs="宋体"/>
          <w:color w:val="auto"/>
        </w:rPr>
      </w:pPr>
    </w:p>
    <w:p>
      <w:pPr>
        <w:pStyle w:val="52"/>
        <w:numPr>
          <w:ilvl w:val="0"/>
          <w:numId w:val="2"/>
        </w:numPr>
        <w:ind w:firstLine="420" w:firstLineChars="0"/>
        <w:rPr>
          <w:rFonts w:ascii="仿宋" w:hAnsi="仿宋" w:eastAsia="仿宋" w:cs="宋体"/>
          <w:color w:val="auto"/>
        </w:rPr>
      </w:pPr>
      <w:r>
        <w:rPr>
          <w:rFonts w:hint="eastAsia" w:ascii="仿宋" w:hAnsi="仿宋" w:eastAsia="仿宋" w:cs="宋体"/>
          <w:color w:val="auto"/>
        </w:rPr>
        <w:t>以上工期节点为本合同的关键控制节点，除本合同另有约定外，承包人未在上述约定的工期节点完成的，每延迟一天，发包人有权按</w:t>
      </w:r>
      <w:r>
        <w:rPr>
          <w:rFonts w:hint="eastAsia" w:ascii="仿宋" w:hAnsi="仿宋" w:eastAsia="仿宋" w:cs="宋体"/>
          <w:color w:val="auto"/>
          <w:u w:val="single"/>
        </w:rPr>
        <w:t xml:space="preserve"> 2 </w:t>
      </w:r>
      <w:r>
        <w:rPr>
          <w:rFonts w:hint="eastAsia" w:ascii="仿宋" w:hAnsi="仿宋" w:eastAsia="仿宋" w:cs="宋体"/>
          <w:color w:val="auto"/>
        </w:rPr>
        <w:t>万元/天的标准暂缓支付当期应付工程款。如承包人在下一个关键工期完成节点将累计已延误的工期赶回的（即下一个工期节点按时完成），则发包人将前期因工期延误而暂缓支付的工程款返还给承包人；如承包人未能在下一个关键工期完成节点赶回已延误工期的，除暂缓支付当期工程款外，上期已暂缓支付的工程款转为承包人节点工期延误违约金处理。本合同对工期延误违约约定与关键工期节点重叠的，按并处违约执行。工期延误违约处理并不免除承包人需按本合同约定完成履约的义务。</w:t>
      </w:r>
    </w:p>
    <w:p>
      <w:pPr>
        <w:pStyle w:val="52"/>
        <w:numPr>
          <w:ilvl w:val="0"/>
          <w:numId w:val="2"/>
        </w:numPr>
        <w:ind w:firstLine="420" w:firstLineChars="0"/>
        <w:rPr>
          <w:rFonts w:ascii="仿宋" w:hAnsi="仿宋" w:eastAsia="仿宋" w:cs="宋体"/>
          <w:color w:val="auto"/>
        </w:rPr>
      </w:pPr>
      <w:r>
        <w:rPr>
          <w:rFonts w:hint="eastAsia" w:eastAsia="仿宋"/>
          <w:color w:val="auto"/>
        </w:rPr>
        <w:t>承包</w:t>
      </w:r>
      <w:r>
        <w:rPr>
          <w:rFonts w:hint="eastAsia"/>
          <w:color w:val="auto"/>
        </w:rPr>
        <w:t>人原因导致逾期开工15天以内的，每逾期一天，应向发包人偿付</w:t>
      </w:r>
      <w:r>
        <w:rPr>
          <w:rFonts w:hint="eastAsia"/>
          <w:color w:val="auto"/>
          <w:u w:val="single"/>
        </w:rPr>
        <w:t>本工程签约合同价格千分之一</w:t>
      </w:r>
      <w:r>
        <w:rPr>
          <w:rFonts w:hint="eastAsia"/>
          <w:color w:val="auto"/>
        </w:rPr>
        <w:t>的违约金；累计逾期15天以上的，发包人有权单方面解除合同，同时补偿因逾期开工而发生的发包人的所有损失。</w:t>
      </w:r>
    </w:p>
    <w:p>
      <w:pPr>
        <w:pStyle w:val="52"/>
        <w:numPr>
          <w:ilvl w:val="0"/>
          <w:numId w:val="2"/>
        </w:numPr>
        <w:ind w:firstLine="420" w:firstLineChars="0"/>
        <w:rPr>
          <w:color w:val="auto"/>
        </w:rPr>
      </w:pPr>
      <w:r>
        <w:rPr>
          <w:rFonts w:hint="eastAsia" w:eastAsia="仿宋"/>
          <w:color w:val="auto"/>
        </w:rPr>
        <w:t>承包</w:t>
      </w:r>
      <w:r>
        <w:rPr>
          <w:rFonts w:hint="eastAsia"/>
          <w:color w:val="auto"/>
        </w:rPr>
        <w:t>人原因导致逾期竣工，每逾期一天，应向发包人偿付</w:t>
      </w:r>
      <w:r>
        <w:rPr>
          <w:rFonts w:hint="eastAsia"/>
          <w:color w:val="auto"/>
          <w:u w:val="single"/>
        </w:rPr>
        <w:t>签约合同价格的千分之一</w:t>
      </w:r>
      <w:r>
        <w:rPr>
          <w:rFonts w:hint="eastAsia"/>
          <w:color w:val="auto"/>
        </w:rPr>
        <w:t>的违约金。</w:t>
      </w:r>
    </w:p>
    <w:p>
      <w:pPr>
        <w:pStyle w:val="52"/>
        <w:numPr>
          <w:ilvl w:val="0"/>
          <w:numId w:val="2"/>
        </w:numPr>
        <w:ind w:firstLine="420" w:firstLineChars="0"/>
        <w:rPr>
          <w:rFonts w:ascii="仿宋" w:hAnsi="仿宋" w:eastAsia="仿宋" w:cs="宋体"/>
          <w:color w:val="auto"/>
        </w:rPr>
      </w:pPr>
      <w:r>
        <w:rPr>
          <w:rFonts w:hint="eastAsia" w:ascii="仿宋" w:hAnsi="仿宋" w:eastAsia="仿宋" w:cs="宋体"/>
          <w:color w:val="auto"/>
        </w:rPr>
        <w:t>承包人原因导致工期延误引起第三方索赔的，承包人除按上述工期延误或节点延误承担违约责任外，另应承担第三方索赔及发包人全部损失。</w:t>
      </w:r>
    </w:p>
    <w:p>
      <w:pPr>
        <w:pStyle w:val="52"/>
        <w:numPr>
          <w:ilvl w:val="2"/>
          <w:numId w:val="0"/>
        </w:numPr>
        <w:tabs>
          <w:tab w:val="left" w:pos="0"/>
        </w:tabs>
        <w:ind w:firstLine="420" w:firstLineChars="200"/>
        <w:rPr>
          <w:rFonts w:ascii="仿宋" w:hAnsi="仿宋" w:eastAsia="仿宋" w:cs="宋体"/>
          <w:color w:val="auto"/>
        </w:rPr>
      </w:pPr>
      <w:r>
        <w:rPr>
          <w:rFonts w:hint="eastAsia" w:ascii="仿宋" w:hAnsi="仿宋" w:eastAsia="仿宋" w:cs="宋体"/>
          <w:color w:val="auto"/>
        </w:rPr>
        <w:t>10.1.3.承包人按照发包人要求根据总工期计划按时制定月度计划及周计划报予发包人审核并实施，发包人将根据经审批通过的月度计划及周计划考核承包人。承包人未按经审批通过的月度计划完成施工任务或延期完成的，发包人有权视影响进度的严重程度依据考核结果向承包人索赔，承包人未按月度或周计划完成施工任务，每延误一天且对工期产生实质性影响的，承包人则应向发包人按</w:t>
      </w:r>
      <w:r>
        <w:rPr>
          <w:rFonts w:hint="eastAsia" w:ascii="仿宋" w:hAnsi="仿宋" w:eastAsia="仿宋" w:cs="宋体"/>
          <w:color w:val="auto"/>
          <w:u w:val="single"/>
        </w:rPr>
        <w:t xml:space="preserve"> 500~3000  </w:t>
      </w:r>
      <w:r>
        <w:rPr>
          <w:rFonts w:hint="eastAsia" w:ascii="仿宋" w:hAnsi="仿宋" w:eastAsia="仿宋" w:cs="宋体"/>
          <w:color w:val="auto"/>
        </w:rPr>
        <w:t>元/天的标准支付违约金，并不免除承包人需完成的施工任务。若因承包人原因未能于下月内完成上月重要的原计划事项的，则违约金将加倍收取，以此类推。</w:t>
      </w:r>
    </w:p>
    <w:p>
      <w:pPr>
        <w:pStyle w:val="52"/>
        <w:ind w:firstLine="420"/>
        <w:rPr>
          <w:rFonts w:ascii="仿宋" w:hAnsi="仿宋" w:eastAsia="仿宋" w:cs="宋体"/>
          <w:color w:val="auto"/>
        </w:rPr>
      </w:pPr>
      <w:r>
        <w:rPr>
          <w:rFonts w:hint="eastAsia" w:ascii="仿宋" w:hAnsi="仿宋" w:eastAsia="仿宋" w:cs="宋体"/>
          <w:color w:val="auto"/>
        </w:rPr>
        <w:t>10.1.4. 承包人每月</w:t>
      </w:r>
      <w:r>
        <w:rPr>
          <w:rFonts w:hint="eastAsia" w:ascii="仿宋" w:hAnsi="仿宋" w:eastAsia="仿宋" w:cs="宋体"/>
          <w:color w:val="auto"/>
          <w:u w:val="single"/>
        </w:rPr>
        <w:t>25</w:t>
      </w:r>
      <w:r>
        <w:rPr>
          <w:rFonts w:hint="eastAsia" w:ascii="仿宋" w:hAnsi="仿宋" w:eastAsia="仿宋" w:cs="宋体"/>
          <w:color w:val="auto"/>
        </w:rPr>
        <w:t>日前分别向发包人及监理人提供详细的</w:t>
      </w:r>
      <w:r>
        <w:rPr>
          <w:rFonts w:hint="eastAsia" w:ascii="仿宋" w:hAnsi="仿宋" w:eastAsia="仿宋" w:cs="宋体"/>
          <w:color w:val="auto"/>
          <w:u w:val="single"/>
        </w:rPr>
        <w:t xml:space="preserve">上月20日至当月20日  </w:t>
      </w:r>
      <w:r>
        <w:rPr>
          <w:rFonts w:hint="eastAsia" w:ascii="仿宋" w:hAnsi="仿宋" w:eastAsia="仿宋" w:cs="宋体"/>
          <w:color w:val="auto"/>
        </w:rPr>
        <w:t>已完形象进度与工程量报表（含材料进场记录等报表资料、设计变更及工程签证）及下月施工进度计划。</w:t>
      </w:r>
    </w:p>
    <w:p>
      <w:pPr>
        <w:pStyle w:val="52"/>
        <w:ind w:firstLine="422"/>
        <w:rPr>
          <w:rFonts w:ascii="仿宋" w:hAnsi="仿宋" w:eastAsia="仿宋" w:cs="宋体"/>
          <w:b/>
          <w:bCs/>
          <w:color w:val="auto"/>
        </w:rPr>
      </w:pPr>
      <w:r>
        <w:rPr>
          <w:rFonts w:hint="eastAsia" w:ascii="仿宋" w:hAnsi="仿宋" w:eastAsia="仿宋" w:cs="宋体"/>
          <w:b/>
          <w:bCs/>
          <w:color w:val="auto"/>
        </w:rPr>
        <w:t>10.3计划管理</w:t>
      </w:r>
    </w:p>
    <w:p>
      <w:pPr>
        <w:pStyle w:val="52"/>
        <w:ind w:firstLine="420"/>
        <w:rPr>
          <w:rFonts w:ascii="仿宋" w:hAnsi="仿宋" w:eastAsia="仿宋" w:cs="宋体"/>
          <w:color w:val="auto"/>
        </w:rPr>
      </w:pPr>
      <w:r>
        <w:rPr>
          <w:rFonts w:hint="eastAsia" w:ascii="仿宋" w:hAnsi="仿宋" w:eastAsia="仿宋" w:cs="宋体"/>
          <w:color w:val="auto"/>
        </w:rPr>
        <w:t>10.3.1施工计划的提交：承包人中标后7天内应提交满足以下要求的项目施工计划至监理人及发包单位审核。</w:t>
      </w:r>
    </w:p>
    <w:p>
      <w:pPr>
        <w:pStyle w:val="52"/>
        <w:ind w:firstLine="420"/>
        <w:rPr>
          <w:rFonts w:ascii="仿宋" w:hAnsi="仿宋" w:eastAsia="仿宋" w:cs="宋体"/>
          <w:color w:val="auto"/>
        </w:rPr>
      </w:pPr>
      <w:r>
        <w:rPr>
          <w:rFonts w:hint="eastAsia" w:ascii="仿宋" w:hAnsi="仿宋" w:eastAsia="仿宋" w:cs="宋体"/>
          <w:color w:val="auto"/>
        </w:rPr>
        <w:t>1）施工计划各节点均不得超出投标版本计划；</w:t>
      </w:r>
    </w:p>
    <w:p>
      <w:pPr>
        <w:pStyle w:val="52"/>
        <w:ind w:firstLine="420"/>
        <w:rPr>
          <w:rFonts w:ascii="仿宋" w:hAnsi="仿宋" w:eastAsia="仿宋" w:cs="宋体"/>
          <w:color w:val="auto"/>
        </w:rPr>
      </w:pPr>
      <w:r>
        <w:rPr>
          <w:rFonts w:hint="eastAsia" w:ascii="仿宋" w:hAnsi="仿宋" w:eastAsia="仿宋" w:cs="宋体"/>
          <w:color w:val="auto"/>
        </w:rPr>
        <w:t>2）施工计划中各期计划必须包含10.1.2表内的关键施工节点；</w:t>
      </w:r>
    </w:p>
    <w:p>
      <w:pPr>
        <w:pStyle w:val="52"/>
        <w:ind w:firstLine="420"/>
        <w:rPr>
          <w:rFonts w:ascii="仿宋" w:hAnsi="仿宋" w:eastAsia="仿宋" w:cs="宋体"/>
          <w:color w:val="auto"/>
        </w:rPr>
      </w:pPr>
      <w:r>
        <w:rPr>
          <w:rFonts w:hint="eastAsia" w:ascii="仿宋" w:hAnsi="仿宋" w:eastAsia="仿宋" w:cs="宋体"/>
          <w:color w:val="auto"/>
        </w:rPr>
        <w:t>3）施工计划应加盖承包人公章并获发包人书面确认；</w:t>
      </w:r>
    </w:p>
    <w:p>
      <w:pPr>
        <w:pStyle w:val="52"/>
        <w:ind w:firstLine="420"/>
        <w:rPr>
          <w:rFonts w:ascii="仿宋" w:hAnsi="仿宋" w:eastAsia="仿宋" w:cs="宋体"/>
          <w:color w:val="auto"/>
        </w:rPr>
      </w:pPr>
      <w:r>
        <w:rPr>
          <w:rFonts w:hint="eastAsia" w:ascii="仿宋" w:hAnsi="仿宋" w:eastAsia="仿宋" w:cs="宋体"/>
          <w:color w:val="auto"/>
        </w:rPr>
        <w:t>4）不得超出招标文件中对工期的要求；</w:t>
      </w:r>
    </w:p>
    <w:p>
      <w:pPr>
        <w:pStyle w:val="73"/>
        <w:spacing w:before="60" w:after="60"/>
        <w:ind w:firstLine="420"/>
        <w:rPr>
          <w:rFonts w:ascii="仿宋" w:hAnsi="仿宋" w:eastAsia="仿宋" w:cs="宋体"/>
          <w:color w:val="auto"/>
        </w:rPr>
      </w:pPr>
      <w:bookmarkStart w:id="68" w:name="_Toc44492584"/>
      <w:bookmarkStart w:id="69" w:name="_Toc1274"/>
      <w:bookmarkStart w:id="70" w:name="_Toc44228163"/>
      <w:bookmarkStart w:id="71" w:name="_Toc12033"/>
      <w:bookmarkStart w:id="72" w:name="_Toc26413"/>
      <w:bookmarkStart w:id="73" w:name="_Toc26381"/>
      <w:bookmarkStart w:id="74" w:name="_Toc38987280"/>
      <w:r>
        <w:rPr>
          <w:rFonts w:hint="eastAsia" w:ascii="仿宋" w:hAnsi="仿宋" w:eastAsia="仿宋" w:cs="宋体"/>
          <w:color w:val="auto"/>
        </w:rPr>
        <w:t>11.开工和竣工</w:t>
      </w:r>
      <w:bookmarkEnd w:id="68"/>
      <w:bookmarkEnd w:id="69"/>
      <w:bookmarkEnd w:id="70"/>
      <w:bookmarkEnd w:id="71"/>
      <w:bookmarkEnd w:id="72"/>
      <w:bookmarkEnd w:id="73"/>
      <w:bookmarkEnd w:id="74"/>
    </w:p>
    <w:p>
      <w:pPr>
        <w:pStyle w:val="77"/>
        <w:ind w:firstLine="480"/>
        <w:rPr>
          <w:rFonts w:ascii="仿宋" w:hAnsi="仿宋" w:eastAsia="仿宋" w:cs="宋体"/>
          <w:color w:val="auto"/>
        </w:rPr>
      </w:pPr>
      <w:bookmarkStart w:id="75" w:name="_Toc44492588"/>
      <w:bookmarkStart w:id="76" w:name="_Toc18931"/>
      <w:bookmarkStart w:id="77" w:name="_Toc27301"/>
      <w:r>
        <w:rPr>
          <w:rFonts w:hint="eastAsia" w:ascii="仿宋" w:hAnsi="仿宋" w:eastAsia="仿宋" w:cs="宋体"/>
          <w:color w:val="auto"/>
        </w:rPr>
        <w:t>11.5. 承包人的工期延误</w:t>
      </w:r>
      <w:bookmarkEnd w:id="75"/>
      <w:bookmarkEnd w:id="76"/>
      <w:bookmarkEnd w:id="77"/>
    </w:p>
    <w:p>
      <w:pPr>
        <w:pStyle w:val="75"/>
        <w:ind w:firstLine="422"/>
        <w:rPr>
          <w:rFonts w:ascii="仿宋" w:hAnsi="仿宋" w:eastAsia="仿宋" w:cs="宋体"/>
          <w:color w:val="auto"/>
        </w:rPr>
      </w:pPr>
      <w:bookmarkStart w:id="78" w:name="_Toc26971"/>
      <w:r>
        <w:rPr>
          <w:rFonts w:hint="eastAsia" w:ascii="仿宋" w:hAnsi="仿宋" w:eastAsia="仿宋" w:cs="宋体"/>
          <w:color w:val="auto"/>
        </w:rPr>
        <w:t>11.5.1. 对承包人工期延误的约定</w:t>
      </w:r>
      <w:bookmarkEnd w:id="78"/>
    </w:p>
    <w:p>
      <w:pPr>
        <w:adjustRightInd w:val="0"/>
        <w:snapToGrid w:val="0"/>
        <w:spacing w:line="360" w:lineRule="auto"/>
        <w:ind w:firstLine="420" w:firstLineChars="200"/>
        <w:rPr>
          <w:rFonts w:ascii="仿宋" w:hAnsi="仿宋" w:eastAsia="仿宋" w:cs="宋体"/>
          <w:u w:val="single"/>
        </w:rPr>
      </w:pPr>
      <w:r>
        <w:rPr>
          <w:rFonts w:hint="eastAsia" w:ascii="仿宋" w:hAnsi="仿宋" w:eastAsia="仿宋" w:cs="宋体"/>
          <w:kern w:val="0"/>
          <w:szCs w:val="32"/>
          <w:u w:val="single"/>
        </w:rPr>
        <w:t>2）如因承包人责任造成实际施工进度严重滞后于合同规定的控制节点超过20天，发包人有权单方面解除合同或将承包人所承包的部分工程委托给第三方单位负责施工，由此造成的一切损失均由承包人负责。经发包人书面同意，发包人将该部分工程直接委托给第三方单位负责施工且与第三方单位直接发生合同关系的，则应相应调减本合同承包范围及合同价款，同时承包人应按第三方单位实施该部分工程造价的20%向发包人支付违约金，同时承担工期等违约责任及发包人相关损失。发包人单方面解除合同的，承包人应补偿发包人及其他相关专业承包人等的所有损失。</w:t>
      </w:r>
    </w:p>
    <w:p>
      <w:pPr>
        <w:pStyle w:val="73"/>
        <w:spacing w:before="60" w:after="60"/>
        <w:rPr>
          <w:rFonts w:ascii="仿宋" w:hAnsi="仿宋" w:eastAsia="仿宋" w:cs="宋体"/>
          <w:color w:val="auto"/>
        </w:rPr>
      </w:pPr>
      <w:bookmarkStart w:id="79" w:name="_Toc44492590"/>
      <w:bookmarkStart w:id="80" w:name="_Toc44228164"/>
      <w:bookmarkStart w:id="81" w:name="_Toc8585"/>
      <w:bookmarkStart w:id="82" w:name="_Toc27745"/>
      <w:bookmarkStart w:id="83" w:name="_Toc3842"/>
      <w:bookmarkStart w:id="84" w:name="_Toc38987281"/>
      <w:bookmarkStart w:id="85" w:name="_Toc6620"/>
      <w:r>
        <w:rPr>
          <w:rFonts w:hint="eastAsia" w:ascii="仿宋" w:hAnsi="仿宋" w:eastAsia="仿宋" w:cs="宋体"/>
          <w:color w:val="auto"/>
        </w:rPr>
        <w:t>12.暂停施工</w:t>
      </w:r>
      <w:bookmarkEnd w:id="79"/>
      <w:bookmarkEnd w:id="80"/>
      <w:bookmarkEnd w:id="81"/>
      <w:bookmarkEnd w:id="82"/>
      <w:bookmarkEnd w:id="83"/>
      <w:bookmarkEnd w:id="84"/>
      <w:bookmarkEnd w:id="85"/>
    </w:p>
    <w:p>
      <w:pPr>
        <w:pStyle w:val="77"/>
        <w:ind w:firstLine="480"/>
        <w:rPr>
          <w:rFonts w:ascii="仿宋" w:hAnsi="仿宋" w:eastAsia="仿宋" w:cs="宋体"/>
          <w:color w:val="auto"/>
        </w:rPr>
      </w:pPr>
      <w:bookmarkStart w:id="86" w:name="_Toc29712"/>
      <w:bookmarkStart w:id="87" w:name="_Toc18790"/>
      <w:bookmarkStart w:id="88" w:name="_Toc44492591"/>
      <w:r>
        <w:rPr>
          <w:rFonts w:hint="eastAsia" w:ascii="仿宋" w:hAnsi="仿宋" w:eastAsia="仿宋" w:cs="宋体"/>
          <w:color w:val="auto"/>
        </w:rPr>
        <w:t>12.1.承包人暂停施工的责任</w:t>
      </w:r>
    </w:p>
    <w:p>
      <w:pPr>
        <w:pStyle w:val="77"/>
        <w:ind w:firstLine="480"/>
        <w:rPr>
          <w:rFonts w:ascii="仿宋" w:hAnsi="仿宋" w:eastAsia="仿宋" w:cs="宋体"/>
          <w:color w:val="auto"/>
        </w:rPr>
      </w:pPr>
      <w:r>
        <w:rPr>
          <w:rFonts w:hint="eastAsia" w:ascii="仿宋" w:hAnsi="仿宋" w:eastAsia="仿宋" w:cs="宋体"/>
          <w:color w:val="auto"/>
        </w:rPr>
        <w:t xml:space="preserve">12.1.1 </w:t>
      </w:r>
    </w:p>
    <w:p>
      <w:pPr>
        <w:pStyle w:val="77"/>
        <w:ind w:firstLine="420"/>
        <w:rPr>
          <w:rFonts w:ascii="仿宋" w:hAnsi="仿宋" w:eastAsia="仿宋" w:cs="宋体"/>
          <w:color w:val="auto"/>
        </w:rPr>
      </w:pPr>
      <w:r>
        <w:rPr>
          <w:rFonts w:hint="eastAsia" w:ascii="仿宋" w:hAnsi="仿宋" w:eastAsia="仿宋" w:cs="宋体"/>
          <w:color w:val="auto"/>
          <w:kern w:val="0"/>
          <w:sz w:val="21"/>
          <w:u w:val="single"/>
        </w:rPr>
        <w:t>5）按政府通知要求的必要停工。</w:t>
      </w:r>
    </w:p>
    <w:p>
      <w:pPr>
        <w:pStyle w:val="77"/>
        <w:ind w:firstLine="480"/>
        <w:rPr>
          <w:rFonts w:ascii="仿宋" w:hAnsi="仿宋" w:eastAsia="仿宋" w:cs="宋体"/>
          <w:color w:val="auto"/>
        </w:rPr>
      </w:pPr>
      <w:r>
        <w:rPr>
          <w:rFonts w:hint="eastAsia" w:ascii="仿宋" w:hAnsi="仿宋" w:eastAsia="仿宋" w:cs="宋体"/>
          <w:color w:val="auto"/>
        </w:rPr>
        <w:t>12.2. 发包人暂停施工的责任</w:t>
      </w:r>
      <w:bookmarkEnd w:id="86"/>
      <w:bookmarkEnd w:id="87"/>
      <w:bookmarkEnd w:id="88"/>
    </w:p>
    <w:p>
      <w:pPr>
        <w:pStyle w:val="52"/>
        <w:ind w:firstLine="420"/>
        <w:rPr>
          <w:rFonts w:ascii="仿宋" w:hAnsi="仿宋" w:eastAsia="仿宋" w:cs="仿宋"/>
          <w:color w:val="auto"/>
          <w:u w:val="single"/>
        </w:rPr>
      </w:pPr>
      <w:r>
        <w:rPr>
          <w:rFonts w:hint="eastAsia" w:ascii="仿宋" w:hAnsi="仿宋" w:eastAsia="仿宋" w:cs="仿宋"/>
          <w:color w:val="auto"/>
        </w:rPr>
        <w:t xml:space="preserve">12.2.1. </w:t>
      </w:r>
      <w:r>
        <w:rPr>
          <w:rFonts w:hint="eastAsia" w:ascii="仿宋" w:hAnsi="仿宋" w:eastAsia="仿宋" w:cs="仿宋"/>
          <w:color w:val="auto"/>
          <w:u w:val="single"/>
        </w:rPr>
        <w:t>由于发包人的原因导致承包人未能按本合同的约定提供开工条件（包括未按合同约定提供施工现场、施工条件、基础资料、许可、批准等开工条件及征地拆迁补偿等问题）造成承包人延期开工，或因发包人原因导致承包人暂停施工、承包人无法按时复工的，如因上述原因导致的全面停工</w:t>
      </w:r>
      <w:r>
        <w:rPr>
          <w:rFonts w:hint="eastAsia" w:ascii="仿宋" w:hAnsi="仿宋" w:eastAsia="仿宋" w:cs="仿宋"/>
          <w:color w:val="auto"/>
          <w:u w:val="single"/>
          <w:lang w:val="en-US" w:eastAsia="zh-CN"/>
        </w:rPr>
        <w:t>1</w:t>
      </w:r>
      <w:r>
        <w:rPr>
          <w:rFonts w:hint="eastAsia" w:ascii="仿宋" w:hAnsi="仿宋" w:eastAsia="仿宋" w:cs="仿宋"/>
          <w:color w:val="auto"/>
          <w:u w:val="single"/>
        </w:rPr>
        <w:t>个月内（含</w:t>
      </w:r>
      <w:r>
        <w:rPr>
          <w:rFonts w:hint="eastAsia" w:ascii="仿宋" w:hAnsi="仿宋" w:eastAsia="仿宋" w:cs="仿宋"/>
          <w:color w:val="auto"/>
          <w:u w:val="single"/>
          <w:lang w:val="en-US" w:eastAsia="zh-CN"/>
        </w:rPr>
        <w:t>1</w:t>
      </w:r>
      <w:r>
        <w:rPr>
          <w:rFonts w:hint="eastAsia" w:ascii="仿宋" w:hAnsi="仿宋" w:eastAsia="仿宋" w:cs="仿宋"/>
          <w:color w:val="auto"/>
          <w:u w:val="single"/>
        </w:rPr>
        <w:t>个月），仅顺延工期，承包人不得主张任何利润或费用补偿。</w:t>
      </w:r>
    </w:p>
    <w:p>
      <w:pPr>
        <w:pStyle w:val="52"/>
        <w:ind w:firstLine="420"/>
        <w:rPr>
          <w:rFonts w:ascii="仿宋" w:hAnsi="仿宋" w:eastAsia="仿宋" w:cs="仿宋"/>
          <w:color w:val="auto"/>
          <w:u w:val="single"/>
        </w:rPr>
      </w:pPr>
      <w:r>
        <w:rPr>
          <w:rFonts w:hint="eastAsia" w:ascii="仿宋" w:hAnsi="仿宋" w:eastAsia="仿宋" w:cs="仿宋"/>
          <w:color w:val="auto"/>
          <w:u w:val="single"/>
        </w:rPr>
        <w:t>如因发包人的原因导致的全面停工超过1个月的，除可顺延工期外，经双方（发承包）协商，可支付承包人自第2个月起的停工增加费用。</w:t>
      </w:r>
    </w:p>
    <w:p>
      <w:pPr>
        <w:pStyle w:val="52"/>
        <w:ind w:firstLine="420"/>
        <w:rPr>
          <w:rFonts w:ascii="仿宋" w:hAnsi="仿宋" w:eastAsia="仿宋" w:cs="仿宋"/>
          <w:color w:val="auto"/>
          <w:u w:val="single"/>
        </w:rPr>
      </w:pPr>
      <w:r>
        <w:rPr>
          <w:rFonts w:hint="eastAsia" w:ascii="仿宋" w:hAnsi="仿宋" w:eastAsia="仿宋" w:cs="仿宋"/>
          <w:color w:val="auto"/>
          <w:u w:val="single"/>
        </w:rPr>
        <w:t>工期延误，是指有确凿证据证实发包人原因造成关键节点工期延误，否则均视为承包人原因造成的工期延误或未构成工期延误。</w:t>
      </w:r>
    </w:p>
    <w:p>
      <w:pPr>
        <w:pStyle w:val="52"/>
        <w:ind w:firstLine="420"/>
        <w:rPr>
          <w:rFonts w:ascii="仿宋" w:hAnsi="仿宋" w:eastAsia="仿宋" w:cs="仿宋"/>
          <w:color w:val="auto"/>
          <w:u w:val="single"/>
        </w:rPr>
      </w:pPr>
      <w:r>
        <w:rPr>
          <w:rFonts w:hint="eastAsia" w:ascii="仿宋" w:hAnsi="仿宋" w:eastAsia="仿宋" w:cs="仿宋"/>
          <w:color w:val="auto"/>
          <w:u w:val="single"/>
        </w:rPr>
        <w:t>对于发包人原因发生的工期延误，承包人应当在工期延误发生后7天内就延误的内容、工期需调整的情况及相关证明文件向发包人提出书面报告；逾期不报告的，发包人不予确认。</w:t>
      </w:r>
    </w:p>
    <w:p>
      <w:pPr>
        <w:pStyle w:val="52"/>
        <w:ind w:firstLine="420"/>
        <w:rPr>
          <w:rFonts w:ascii="仿宋" w:hAnsi="仿宋" w:eastAsia="仿宋" w:cs="仿宋"/>
          <w:color w:val="auto"/>
          <w:u w:val="single"/>
        </w:rPr>
      </w:pPr>
      <w:r>
        <w:rPr>
          <w:rFonts w:hint="eastAsia" w:ascii="仿宋" w:hAnsi="仿宋" w:eastAsia="仿宋" w:cs="仿宋"/>
          <w:color w:val="auto"/>
          <w:u w:val="single"/>
        </w:rPr>
        <w:t>因停工增加费用，承包人需按索赔流程办理，承包人应及时向发包人报审停工期间的处置方案（包括驻守人员、机械情况，工程保管情况等），双方根据处置方案及时确认需签证确认的停窝工及机械停滞等情况，凡处置方案未经发包人审批同意或未及时按索赔流程通知及报审或未及时办理签证的，视为无效，不得计算费用。停工增加费用计算办法如下：</w:t>
      </w:r>
    </w:p>
    <w:p>
      <w:pPr>
        <w:pStyle w:val="52"/>
        <w:ind w:firstLine="420"/>
        <w:rPr>
          <w:rFonts w:ascii="仿宋" w:hAnsi="仿宋" w:eastAsia="仿宋" w:cs="仿宋"/>
          <w:color w:val="auto"/>
          <w:u w:val="single"/>
        </w:rPr>
      </w:pPr>
      <w:r>
        <w:rPr>
          <w:rFonts w:hint="eastAsia" w:ascii="仿宋" w:hAnsi="仿宋" w:eastAsia="仿宋" w:cs="仿宋"/>
          <w:color w:val="auto"/>
          <w:u w:val="single"/>
        </w:rPr>
        <w:t>①停工过程中发生的停窝工按广州市建设工程造价管理站发布的当期《广州市建设工程价格信息及有关计价办法的通知》中规定的停工的日工资计算停窝工费，规定如下：工程发生停工，其日工资价格按普工劳务日工资中值的 75%计算，并计取税金。窝工费不分工种及技术等级，均按普工计算。</w:t>
      </w:r>
    </w:p>
    <w:p>
      <w:pPr>
        <w:pStyle w:val="52"/>
        <w:ind w:firstLine="420"/>
        <w:rPr>
          <w:rFonts w:ascii="仿宋" w:hAnsi="仿宋" w:eastAsia="仿宋" w:cs="仿宋"/>
          <w:color w:val="auto"/>
          <w:u w:val="single"/>
        </w:rPr>
      </w:pPr>
      <w:r>
        <w:rPr>
          <w:rFonts w:hint="eastAsia" w:ascii="仿宋" w:hAnsi="仿宋" w:eastAsia="仿宋" w:cs="仿宋"/>
          <w:color w:val="auto"/>
          <w:u w:val="single"/>
        </w:rPr>
        <w:t>②停工过程中发生的机械停滞费按《广东省建设工程施工机具台班费用编制规则2018》规定计算，并计取税金。规定如下：机械台班停滞费=折旧费+机上人工费+其他费用。机械停滞费不分自有设备和租赁设备，均按此约定计价。当停工期间的停滞费超过原机械价值时，不得再计取停滞费。</w:t>
      </w:r>
    </w:p>
    <w:p>
      <w:pPr>
        <w:pStyle w:val="52"/>
        <w:ind w:firstLine="420"/>
        <w:rPr>
          <w:rFonts w:ascii="仿宋" w:hAnsi="仿宋" w:eastAsia="仿宋" w:cs="仿宋"/>
          <w:color w:val="auto"/>
          <w:u w:val="single"/>
        </w:rPr>
      </w:pPr>
      <w:r>
        <w:rPr>
          <w:rFonts w:hint="eastAsia" w:ascii="仿宋" w:hAnsi="仿宋" w:eastAsia="仿宋" w:cs="仿宋"/>
          <w:color w:val="auto"/>
          <w:u w:val="single"/>
        </w:rPr>
        <w:t>③一旦合同当事人双方对于停工损失费用发生争议，则承包人应提供合同要求提供的相关文件予以佐证。</w:t>
      </w:r>
    </w:p>
    <w:p>
      <w:pPr>
        <w:pStyle w:val="73"/>
        <w:spacing w:before="60" w:after="60"/>
        <w:rPr>
          <w:rFonts w:ascii="仿宋" w:hAnsi="仿宋" w:eastAsia="仿宋" w:cs="宋体"/>
          <w:color w:val="auto"/>
        </w:rPr>
      </w:pPr>
      <w:bookmarkStart w:id="89" w:name="_Toc27159"/>
      <w:bookmarkStart w:id="90" w:name="_Toc15004"/>
      <w:bookmarkStart w:id="91" w:name="_Toc44228165"/>
      <w:bookmarkStart w:id="92" w:name="_Toc44492594"/>
      <w:bookmarkStart w:id="93" w:name="_Toc38987282"/>
      <w:bookmarkStart w:id="94" w:name="_Toc19727"/>
      <w:bookmarkStart w:id="95" w:name="_Toc13570"/>
      <w:r>
        <w:rPr>
          <w:rFonts w:hint="eastAsia" w:ascii="仿宋" w:hAnsi="仿宋" w:eastAsia="仿宋" w:cs="宋体"/>
          <w:color w:val="auto"/>
        </w:rPr>
        <w:t>13.工程质量</w:t>
      </w:r>
      <w:bookmarkEnd w:id="89"/>
      <w:bookmarkEnd w:id="90"/>
      <w:bookmarkEnd w:id="91"/>
      <w:bookmarkEnd w:id="92"/>
      <w:bookmarkEnd w:id="93"/>
      <w:bookmarkEnd w:id="94"/>
      <w:bookmarkEnd w:id="95"/>
    </w:p>
    <w:p>
      <w:pPr>
        <w:pStyle w:val="77"/>
        <w:ind w:firstLine="480"/>
        <w:rPr>
          <w:rFonts w:ascii="仿宋" w:hAnsi="仿宋" w:eastAsia="仿宋" w:cs="宋体"/>
          <w:color w:val="auto"/>
        </w:rPr>
      </w:pPr>
      <w:bookmarkStart w:id="96" w:name="_Toc44492595"/>
      <w:bookmarkStart w:id="97" w:name="_Toc11122"/>
      <w:bookmarkStart w:id="98" w:name="_Toc24372"/>
      <w:r>
        <w:rPr>
          <w:rFonts w:hint="eastAsia" w:ascii="仿宋" w:hAnsi="仿宋" w:eastAsia="仿宋" w:cs="宋体"/>
          <w:color w:val="auto"/>
        </w:rPr>
        <w:t>13.1. 工程质量要求</w:t>
      </w:r>
      <w:bookmarkEnd w:id="96"/>
      <w:bookmarkEnd w:id="97"/>
      <w:bookmarkEnd w:id="98"/>
    </w:p>
    <w:p>
      <w:pPr>
        <w:pStyle w:val="52"/>
        <w:ind w:firstLine="420"/>
        <w:rPr>
          <w:rFonts w:ascii="仿宋" w:hAnsi="仿宋" w:eastAsia="仿宋" w:cs="宋体"/>
          <w:color w:val="auto"/>
        </w:rPr>
      </w:pPr>
      <w:r>
        <w:rPr>
          <w:rFonts w:hint="eastAsia" w:ascii="仿宋" w:hAnsi="仿宋" w:eastAsia="仿宋" w:cs="宋体"/>
          <w:color w:val="auto"/>
        </w:rPr>
        <w:t>13.1.3.承包人在施工过程中，因质量问题需对已完工程进行整改、返工的，产生的费用由承包人全部负责。若承包人有违反质量评定标准的质量问题，视情节轻重，每次（项）须按本合同专用条款第22条承担对应违约责任，同时亦不免除、也不减轻承包人对不合格工程进行整改、返工的责任。</w:t>
      </w:r>
    </w:p>
    <w:p>
      <w:pPr>
        <w:pStyle w:val="52"/>
        <w:ind w:firstLine="420"/>
        <w:rPr>
          <w:rFonts w:ascii="仿宋" w:hAnsi="仿宋" w:eastAsia="仿宋" w:cs="宋体"/>
          <w:color w:val="auto"/>
        </w:rPr>
      </w:pPr>
      <w:r>
        <w:rPr>
          <w:rFonts w:hint="eastAsia" w:ascii="仿宋" w:hAnsi="仿宋" w:eastAsia="仿宋" w:cs="宋体"/>
          <w:color w:val="auto"/>
        </w:rPr>
        <w:t>13.1.4.承包人未按发包人审定的施工方案、施工工艺进行施工的，每次（项）须按本合同专用条款第22条承担对应违约责任，同时亦不免除、也不减轻承包人对不合格施工方案、施工工艺的整改责任。</w:t>
      </w:r>
    </w:p>
    <w:p>
      <w:pPr>
        <w:pStyle w:val="52"/>
        <w:ind w:firstLine="420"/>
        <w:rPr>
          <w:rFonts w:ascii="仿宋" w:hAnsi="仿宋" w:eastAsia="仿宋" w:cs="宋体"/>
          <w:color w:val="auto"/>
        </w:rPr>
      </w:pPr>
      <w:r>
        <w:rPr>
          <w:rFonts w:hint="eastAsia" w:ascii="仿宋" w:hAnsi="仿宋" w:eastAsia="仿宋" w:cs="宋体"/>
          <w:color w:val="auto"/>
        </w:rPr>
        <w:t>13.1.5.承包人对监理通知指出的质量问题未按时整改并回复，承包人应限期整改完成并按本合同专用条款第22条向发包人承担对应违约责任。</w:t>
      </w:r>
    </w:p>
    <w:p>
      <w:pPr>
        <w:pStyle w:val="52"/>
        <w:ind w:firstLine="420"/>
        <w:rPr>
          <w:rFonts w:ascii="仿宋" w:hAnsi="仿宋" w:eastAsia="仿宋" w:cs="宋体"/>
          <w:color w:val="auto"/>
        </w:rPr>
      </w:pPr>
      <w:r>
        <w:rPr>
          <w:rFonts w:hint="eastAsia" w:ascii="仿宋" w:hAnsi="仿宋" w:eastAsia="仿宋" w:cs="宋体"/>
          <w:color w:val="auto"/>
        </w:rPr>
        <w:t>13.1.6.因承包人原因出现质量问题影响其他专业工程施工的，承包人应限期整改完成并向发包人承担工期违约责任且专业工程因此而提出的索赔应由承包人承担。</w:t>
      </w:r>
    </w:p>
    <w:p>
      <w:pPr>
        <w:pStyle w:val="52"/>
        <w:ind w:firstLine="420"/>
        <w:rPr>
          <w:rFonts w:ascii="仿宋" w:hAnsi="仿宋" w:eastAsia="仿宋" w:cs="宋体"/>
          <w:color w:val="auto"/>
        </w:rPr>
      </w:pPr>
      <w:r>
        <w:rPr>
          <w:rFonts w:hint="eastAsia" w:ascii="仿宋" w:hAnsi="仿宋" w:eastAsia="仿宋" w:cs="宋体"/>
          <w:color w:val="auto"/>
        </w:rPr>
        <w:t>13.1.7.工程施工期间和工程质量保修期内，由于承包人责任出现质量问题、安全事故或者其他原因，使发包人或项目受到报纸、电视等媒体的曝光或政府有关主管部门的通报批评的，每出现一次，承包人应按本合同专用条款第22条向发包人承担对应违约责任。</w:t>
      </w:r>
    </w:p>
    <w:p>
      <w:pPr>
        <w:pStyle w:val="52"/>
        <w:ind w:firstLine="420"/>
        <w:rPr>
          <w:rFonts w:ascii="仿宋" w:hAnsi="仿宋" w:eastAsia="仿宋" w:cs="宋体"/>
          <w:color w:val="auto"/>
        </w:rPr>
      </w:pPr>
      <w:r>
        <w:rPr>
          <w:rFonts w:hint="eastAsia" w:ascii="仿宋" w:hAnsi="仿宋" w:eastAsia="仿宋" w:cs="宋体"/>
          <w:color w:val="auto"/>
        </w:rPr>
        <w:t>13.1.8.承包人未经报验，擅自进行下道工序施工的，承包人应拆除擅自施工的部位，并按本合同专用条款第22条向发包人承担对应违约责任。</w:t>
      </w:r>
    </w:p>
    <w:p>
      <w:pPr>
        <w:pStyle w:val="52"/>
        <w:ind w:firstLine="420"/>
        <w:rPr>
          <w:rFonts w:ascii="仿宋" w:hAnsi="仿宋" w:eastAsia="仿宋" w:cs="宋体"/>
          <w:color w:val="auto"/>
        </w:rPr>
      </w:pPr>
      <w:r>
        <w:rPr>
          <w:rFonts w:hint="eastAsia" w:ascii="仿宋" w:hAnsi="仿宋" w:eastAsia="仿宋" w:cs="宋体"/>
          <w:color w:val="auto"/>
        </w:rPr>
        <w:t>13.1.9.在发包人上级单位粤海置地集团组织的第三方工程评估中，承包人须无条件配合发包人完成“管理行为”、“安全生产”、“文明施工”、“安全管理行为”、“实测实量”、“质量风险”等评估内容所必须完成的工作。</w:t>
      </w:r>
    </w:p>
    <w:p>
      <w:pPr>
        <w:pStyle w:val="52"/>
        <w:ind w:firstLine="422"/>
        <w:rPr>
          <w:rFonts w:ascii="仿宋" w:hAnsi="仿宋" w:eastAsia="仿宋" w:cs="宋体"/>
          <w:b/>
          <w:bCs/>
          <w:color w:val="auto"/>
        </w:rPr>
      </w:pPr>
    </w:p>
    <w:p>
      <w:pPr>
        <w:pStyle w:val="73"/>
        <w:spacing w:before="60" w:after="60"/>
        <w:rPr>
          <w:rFonts w:ascii="仿宋" w:hAnsi="仿宋" w:eastAsia="仿宋" w:cs="宋体"/>
          <w:color w:val="auto"/>
        </w:rPr>
      </w:pPr>
      <w:bookmarkStart w:id="99" w:name="_Toc44228166"/>
      <w:bookmarkStart w:id="100" w:name="_Toc44492596"/>
      <w:bookmarkStart w:id="101" w:name="_Toc813"/>
      <w:bookmarkStart w:id="102" w:name="_Toc9834"/>
      <w:bookmarkStart w:id="103" w:name="_Toc38987283"/>
      <w:bookmarkStart w:id="104" w:name="_Toc18906"/>
      <w:r>
        <w:rPr>
          <w:rFonts w:hint="eastAsia" w:ascii="仿宋" w:hAnsi="仿宋" w:eastAsia="仿宋" w:cs="宋体"/>
          <w:color w:val="auto"/>
        </w:rPr>
        <w:t>14.试验和检验</w:t>
      </w:r>
      <w:bookmarkEnd w:id="99"/>
      <w:bookmarkEnd w:id="100"/>
      <w:bookmarkEnd w:id="101"/>
      <w:bookmarkEnd w:id="102"/>
      <w:bookmarkEnd w:id="103"/>
      <w:bookmarkEnd w:id="104"/>
    </w:p>
    <w:p>
      <w:pPr>
        <w:pStyle w:val="52"/>
        <w:ind w:firstLine="420"/>
        <w:rPr>
          <w:rFonts w:ascii="仿宋" w:hAnsi="仿宋" w:eastAsia="仿宋" w:cs="宋体"/>
          <w:color w:val="auto"/>
        </w:rPr>
      </w:pPr>
      <w:r>
        <w:rPr>
          <w:rFonts w:hint="eastAsia" w:ascii="仿宋" w:hAnsi="仿宋" w:eastAsia="仿宋" w:cs="宋体"/>
          <w:color w:val="auto"/>
        </w:rPr>
        <w:t>14.1.4发包人抽检：除根据政策要求的第三方检测和监理相关检测外，根据工程实际情况，发包人对有疑问、高价值、对效果有重大影响、易产生不合格品的材料设备有权实施抽检，发包人抽检清单内的抽检不得提出工期索赔。检验的结果证明该项材料、设备不符合合同要求的，因此增加的费用和（或）工期延误由承包人承担，如果因此给发包人造成损失，承包人应当全额赔偿；检验结果证明该项材料、设备符合合同要求的，由发包人承担本次抽检的检验费用，工期不予顺延。</w:t>
      </w:r>
      <w:bookmarkStart w:id="105" w:name="_Toc7025"/>
      <w:bookmarkStart w:id="106" w:name="_Toc44492597"/>
      <w:bookmarkStart w:id="107" w:name="_Toc5829"/>
      <w:bookmarkStart w:id="108" w:name="_Toc44228167"/>
      <w:bookmarkStart w:id="109" w:name="_Toc38987284"/>
      <w:bookmarkStart w:id="110" w:name="_Toc11237"/>
      <w:bookmarkStart w:id="111" w:name="_Toc17971"/>
    </w:p>
    <w:p>
      <w:pPr>
        <w:pStyle w:val="73"/>
        <w:spacing w:before="60" w:after="60"/>
        <w:rPr>
          <w:rFonts w:ascii="仿宋" w:hAnsi="仿宋" w:eastAsia="仿宋" w:cs="宋体"/>
          <w:color w:val="auto"/>
        </w:rPr>
      </w:pPr>
      <w:r>
        <w:rPr>
          <w:rFonts w:hint="eastAsia" w:ascii="仿宋" w:hAnsi="仿宋" w:eastAsia="仿宋" w:cs="宋体"/>
          <w:color w:val="auto"/>
        </w:rPr>
        <w:t>15.变更</w:t>
      </w:r>
      <w:bookmarkEnd w:id="105"/>
      <w:bookmarkEnd w:id="106"/>
      <w:bookmarkEnd w:id="107"/>
      <w:bookmarkEnd w:id="108"/>
      <w:bookmarkEnd w:id="109"/>
      <w:bookmarkEnd w:id="110"/>
      <w:bookmarkEnd w:id="111"/>
    </w:p>
    <w:p>
      <w:pPr>
        <w:pStyle w:val="73"/>
        <w:outlineLvl w:val="9"/>
        <w:rPr>
          <w:rFonts w:ascii="仿宋" w:hAnsi="仿宋" w:eastAsia="仿宋" w:cs="宋体"/>
          <w:color w:val="auto"/>
          <w:sz w:val="24"/>
        </w:rPr>
      </w:pPr>
      <w:r>
        <w:rPr>
          <w:rFonts w:hint="eastAsia" w:ascii="仿宋" w:hAnsi="仿宋" w:eastAsia="仿宋" w:cs="宋体"/>
          <w:color w:val="auto"/>
          <w:sz w:val="24"/>
        </w:rPr>
        <w:tab/>
      </w:r>
      <w:bookmarkStart w:id="112" w:name="_Toc939"/>
      <w:bookmarkStart w:id="113" w:name="_Toc18109"/>
      <w:bookmarkStart w:id="114" w:name="_Toc27548"/>
      <w:bookmarkStart w:id="115" w:name="_Toc15158"/>
      <w:r>
        <w:rPr>
          <w:rFonts w:hint="eastAsia" w:ascii="仿宋" w:hAnsi="仿宋" w:eastAsia="仿宋" w:cs="宋体"/>
          <w:color w:val="auto"/>
          <w:sz w:val="24"/>
        </w:rPr>
        <w:t>15.1变更程序</w:t>
      </w:r>
      <w:bookmarkEnd w:id="112"/>
      <w:bookmarkEnd w:id="113"/>
      <w:bookmarkEnd w:id="114"/>
      <w:bookmarkEnd w:id="115"/>
    </w:p>
    <w:p>
      <w:pPr>
        <w:pStyle w:val="52"/>
        <w:ind w:firstLine="420"/>
        <w:rPr>
          <w:rFonts w:ascii="仿宋" w:hAnsi="仿宋" w:cs="宋体"/>
          <w:color w:val="auto"/>
        </w:rPr>
      </w:pPr>
      <w:bookmarkStart w:id="116" w:name="_Toc44492598"/>
      <w:bookmarkStart w:id="117" w:name="_Toc32378"/>
      <w:bookmarkStart w:id="118" w:name="_Toc18456"/>
      <w:r>
        <w:rPr>
          <w:rFonts w:hint="eastAsia" w:ascii="仿宋" w:hAnsi="仿宋" w:eastAsia="仿宋" w:cs="宋体"/>
          <w:color w:val="auto"/>
        </w:rPr>
        <w:t>15.1.7.</w:t>
      </w:r>
      <w:r>
        <w:rPr>
          <w:rFonts w:hint="eastAsia" w:hAnsi="宋体"/>
          <w:color w:val="auto"/>
        </w:rPr>
        <w:t>设计人提出的设计变更，必须经发包人书面批准及承包人书面确认后，承包人才能按图进行施工，如设计变更未经发包人批准书面确认的，承包人安排施工，所需费用由承包人承担；如设计变更未经发包人批准书面确认的，承包人安排施工，且设计变更不合理，发包人有权提出拆除及恢复，承包人承担由此造成的费用，其施工费用、恢复费用、延误工期及由此造成的损失由承包人承担，同时承包人每次须按</w:t>
      </w:r>
      <w:r>
        <w:rPr>
          <w:rFonts w:hAnsi="宋体"/>
          <w:color w:val="auto"/>
          <w:u w:val="single"/>
        </w:rPr>
        <w:t>2000</w:t>
      </w:r>
      <w:r>
        <w:rPr>
          <w:rFonts w:hint="eastAsia" w:hAnsi="宋体"/>
          <w:color w:val="auto"/>
        </w:rPr>
        <w:t>元/次向发包人承担违约责任。</w:t>
      </w:r>
    </w:p>
    <w:p>
      <w:pPr>
        <w:pStyle w:val="52"/>
        <w:ind w:firstLine="420"/>
        <w:rPr>
          <w:rFonts w:ascii="仿宋" w:hAnsi="仿宋" w:eastAsia="仿宋" w:cs="宋体"/>
          <w:color w:val="auto"/>
        </w:rPr>
      </w:pPr>
      <w:r>
        <w:rPr>
          <w:rFonts w:hint="eastAsia" w:ascii="仿宋" w:hAnsi="仿宋" w:eastAsia="仿宋" w:cs="宋体"/>
          <w:color w:val="auto"/>
        </w:rPr>
        <w:t>15.1.8.发包人有权对材料设备的品牌、规格、型号进行变更。</w:t>
      </w:r>
    </w:p>
    <w:p>
      <w:pPr>
        <w:pStyle w:val="77"/>
        <w:ind w:firstLine="480"/>
        <w:rPr>
          <w:rFonts w:ascii="仿宋" w:hAnsi="仿宋" w:eastAsia="仿宋" w:cs="宋体"/>
          <w:color w:val="auto"/>
        </w:rPr>
      </w:pPr>
      <w:r>
        <w:rPr>
          <w:rFonts w:hint="eastAsia" w:ascii="仿宋" w:hAnsi="仿宋" w:eastAsia="仿宋" w:cs="宋体"/>
          <w:color w:val="auto"/>
        </w:rPr>
        <w:t>15.2. 招标合同清单项以外的价款的确定</w:t>
      </w:r>
      <w:bookmarkEnd w:id="116"/>
      <w:bookmarkEnd w:id="117"/>
      <w:bookmarkEnd w:id="118"/>
    </w:p>
    <w:p>
      <w:pPr>
        <w:pStyle w:val="77"/>
        <w:ind w:firstLine="420"/>
        <w:rPr>
          <w:rFonts w:ascii="仿宋" w:hAnsi="仿宋" w:eastAsia="仿宋" w:cs="仿宋"/>
          <w:color w:val="auto"/>
          <w:kern w:val="0"/>
          <w:sz w:val="21"/>
        </w:rPr>
      </w:pPr>
      <w:r>
        <w:rPr>
          <w:rFonts w:hint="eastAsia" w:ascii="仿宋" w:hAnsi="仿宋" w:eastAsia="仿宋" w:cs="仿宋"/>
          <w:color w:val="auto"/>
          <w:kern w:val="0"/>
          <w:sz w:val="21"/>
        </w:rPr>
        <w:t>招标合同清单项以外的变更、签证工程、新增工程及其他工程包括但不限于：由于设计需要或项目建设实际需要，会引致招标工程量清单内数量发生变化、或招标工程量清单内项目的局部内容发生变化、或新增了工程量清单内没有的项目；原设计没有而由招标人批准设计变更产生的工程项目及经监理人和发包人现场签证确认的工程项目；合同所确定的工程内容以外，非施工单位原因造成而施工过程中实际发生且需支付工程费用的，并经监理人和发包人确认的工程实际内容；工程项目实施期间和结算时，招标文件工程量清单中漏列而施工图纸或竣工图纸中有显示或由监理人和发包人确认的工程项目等。</w:t>
      </w:r>
    </w:p>
    <w:p>
      <w:pPr>
        <w:spacing w:line="360" w:lineRule="auto"/>
        <w:ind w:firstLine="422" w:firstLineChars="200"/>
        <w:rPr>
          <w:rFonts w:ascii="仿宋" w:hAnsi="仿宋" w:eastAsia="仿宋" w:cs="仿宋"/>
          <w:kern w:val="0"/>
          <w:szCs w:val="32"/>
          <w:u w:val="single"/>
        </w:rPr>
      </w:pPr>
      <w:r>
        <w:rPr>
          <w:rFonts w:hint="eastAsia" w:ascii="仿宋" w:hAnsi="仿宋" w:eastAsia="仿宋" w:cs="仿宋"/>
          <w:b/>
          <w:bCs/>
          <w:kern w:val="0"/>
          <w:szCs w:val="32"/>
        </w:rPr>
        <w:t>15.2.1上述项目引致超出招标合同清单的部分严格按照以下先后顺序确定价格：</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15.2.1.1合同工程量清单中有相同适用项目的，则采用该项目综合单价（但发包人认为综合单价明显不合理的除外）；合同工程量清单中相同适用项目有多个的，取最有利于发包人的相同适用项目综合单价（但发包人认为综合单价明显不合理的除外）。若合同单价合理，不论工程量怎样增加或减少，综合单价都不予调整，本合同另有约定的除外。</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15.2.1.2合同工程量清单中无相同适用项目、只有类似适用项目的，则按类似项目的综合单价对相应子目、消耗量、材料设备价格等进行调整换算，原管理费、利润计价方式保持不变（但发包人认为综合单价明显不合理的除外）。换算方法如下：</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(1)只是主要材料和主要设备发生变更时，只调整该材料和设备价格，其他单价组成部分均不予调整，材料设备价格按照本条第（4）点的约定执行；</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(2)工程量清单报价表中已有类似项目的综合单价，只是个别工作内容增加或调整的，按原单价分析表套取新工作内容，只在类似综合单价基础上调整该新工作内容价差，原管理费、利润计价方式保持不变；</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(3)如果工程量清单报价表中类似项目的综合单价有两个或两个以上，则以按上述换算方法得出的最低换算结果作为最终综合单价（但发包人认为综合单价明显不合理的除外）；</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(4)材料设备价格的确定方式及优先次序（发包人认为合同材料价格不合理的除外）：</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①合同中有适用或类似的材料：a）合同中有适用的价格按已有价格计入；b）合同中没有适用材料、有相同类型但规格（或型号、标号等）不同的材料，参照合同已有最接近规格（或型号、标号等）材料的价格，采用插值法换算新增主材价格。换算结果高于市场价的，按市场价执行；换算结果低于市场价的，按换算结果执行；c）合同中没有适用及相同类型材料，但有类似材料的，按类似材料价格乘以相应浮动率（即：相应浮动率=该新增材料在本工程投标截止月份2024年04月《广州地区建筑工程常用材料税前综合价格》/类似材料在本工程投标截止月份2024年04月《广州地区建筑工程常用材料税前综合价格》*100%）进行换算，经换算新增主材价格结果如果高于市场价的，按市场价执行，低于市场价的按换算价格执行；</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②合同中没有适用或类似的材料，执行工程造价管理机构在本工程投标截止月份发布的《2024年04月广州地区建设工程常用材料税前综合价格》下浮10%；</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③合同中没有适用或类似的材料，且《2024年04月广州地区建设工程常用材料税前综合价格》没有的主材及设备单价，由发包人、监理单位、承包人结合市场价共同协商确定，本项【即：第③点】协商价格不适用于本合同专用条款第16条相关价格调整的约定。</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15.2.1.3合同工程量清单报价中没有相同或类似适用项目的，或者合同工程量清单报价中有相同或类似适用项目，但发包人认为综合单价明显不合理的，按以下原则计价：</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合同工程量清单报价中有相同或类似适用项目，但发包人认为综合单价明显不合理的，按《房屋建筑与装饰工程工程量计算规范（2013）》、《房屋建筑安装工程工程量计算规范（2013）》、《市政工程工程量计算规范（2013）》、《园林绿化工程工程量计算规范（2013）》，执行《广东省建筑与装饰工程综合定额》（2018年）、《广东省安装工程综合定额》（2018年）、《广东省市政工程综合定额》（2018年）、《广东省园林绿化工程综合定额》（2018年）、《广东省建设工程施工机具台班费用编制规则（2018）》等相关定额标准及本工程投标截止月份工程造价管理机构发布的《2024年04月广州地区建设工程常用材料税前综合价格》材料设备参考价格编制综合单价并下浮10%作为不含税综合单价。</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2）合同工程量清单没有相同或类似、无相关定额以及《2024年04月广州地区建设工程常用材料税前综合价格》没有的材料、设备单价，由发包人、监理单位、承包人结合市场价共同协商确定，本项【即：第（2）条】协商价格不适用于本合同专用条款第16条相关价格调整的约定。</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15.2.1.4在发包人未回复具体的审核价前，</w:t>
      </w:r>
      <w:r>
        <w:rPr>
          <w:rFonts w:hint="eastAsia" w:ascii="仿宋" w:hAnsi="仿宋" w:eastAsia="仿宋" w:cs="仿宋"/>
          <w:kern w:val="0"/>
          <w:szCs w:val="32"/>
          <w:lang w:val="en-US" w:eastAsia="zh-CN"/>
        </w:rPr>
        <w:t>承</w:t>
      </w:r>
      <w:r>
        <w:rPr>
          <w:rFonts w:hint="eastAsia" w:ascii="仿宋" w:hAnsi="仿宋" w:eastAsia="仿宋" w:cs="仿宋"/>
          <w:kern w:val="0"/>
          <w:szCs w:val="32"/>
        </w:rPr>
        <w:t>包人不得以任何理由作为停工或拖延施工为借口，若由此导致的工期延误，由</w:t>
      </w:r>
      <w:r>
        <w:rPr>
          <w:rFonts w:hint="eastAsia" w:ascii="仿宋" w:hAnsi="仿宋" w:eastAsia="仿宋" w:cs="仿宋"/>
          <w:kern w:val="0"/>
          <w:szCs w:val="32"/>
          <w:lang w:val="en-US" w:eastAsia="zh-CN"/>
        </w:rPr>
        <w:t>承</w:t>
      </w:r>
      <w:r>
        <w:rPr>
          <w:rFonts w:hint="eastAsia" w:ascii="仿宋" w:hAnsi="仿宋" w:eastAsia="仿宋" w:cs="仿宋"/>
          <w:kern w:val="0"/>
          <w:szCs w:val="32"/>
        </w:rPr>
        <w:t>包人自行承担。</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15.2.1.5变更、签证工程和新增工程除按本条款计取分部分项及固定单价措施项目外，仅另行计取绿色施工安全防护措施费、文明工地增加费和税金，其余相关费用均视为已包含在原合同价款内，不再另行计取。除以下条件外，本合同暂定价款中总价包干措施费不得调整：</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（1）基于本合同承包范围，当单纯性调整整项施工内容，据实整项扣除该项对应的措施费用。</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（2）发包人书面审批同意的其他可调整总价包干措施费的情形。</w:t>
      </w:r>
    </w:p>
    <w:p>
      <w:pPr>
        <w:pStyle w:val="75"/>
        <w:ind w:firstLine="422"/>
        <w:rPr>
          <w:rFonts w:ascii="仿宋" w:hAnsi="仿宋" w:eastAsia="仿宋" w:cs="仿宋"/>
          <w:color w:val="auto"/>
        </w:rPr>
      </w:pPr>
      <w:r>
        <w:rPr>
          <w:rFonts w:hint="eastAsia" w:ascii="仿宋" w:hAnsi="仿宋" w:eastAsia="仿宋" w:cs="仿宋"/>
          <w:color w:val="auto"/>
        </w:rPr>
        <w:t>15.2.2. 对于变更价款确定的其他约定</w:t>
      </w:r>
    </w:p>
    <w:p>
      <w:pPr>
        <w:pStyle w:val="52"/>
        <w:ind w:firstLine="420"/>
        <w:rPr>
          <w:rFonts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val="en-US" w:eastAsia="zh-CN"/>
        </w:rPr>
        <w:t>承包</w:t>
      </w:r>
      <w:r>
        <w:rPr>
          <w:rFonts w:hint="eastAsia" w:ascii="仿宋" w:hAnsi="仿宋" w:eastAsia="仿宋" w:cs="仿宋"/>
          <w:color w:val="auto"/>
        </w:rPr>
        <w:t>人递交的关于任何变更的估价或报价应包括相应变更的工程量计算；计算书应具有充分的可追溯性，用于计算的原始数字仅能来源于有关设计人确认的图纸、发包人确认的签证、招投标文件的技术说明中的约定；计算书应注明计算所依据的图纸、签证或其他文件的编号、发生的区段位置（轴线和标高）、构件或房间号等索引信息，且应写明算术运算的过程，以便监理人及发包人能方便和快捷地根据合同文件进行追溯校核；变更工程量计算书和报价书的格式需经过监理人及发包人的审批。如果监理人或发包人要求，</w:t>
      </w:r>
      <w:r>
        <w:rPr>
          <w:rFonts w:hint="eastAsia" w:ascii="仿宋" w:hAnsi="仿宋" w:eastAsia="仿宋" w:cs="仿宋"/>
          <w:color w:val="auto"/>
          <w:lang w:val="en-US" w:eastAsia="zh-CN"/>
        </w:rPr>
        <w:t>承包</w:t>
      </w:r>
      <w:r>
        <w:rPr>
          <w:rFonts w:hint="eastAsia" w:ascii="仿宋" w:hAnsi="仿宋" w:eastAsia="仿宋" w:cs="仿宋"/>
          <w:color w:val="auto"/>
        </w:rPr>
        <w:t>人应确保其工程量计算人员在要求的任何合理时间就其工程量计算的过程、计算书和价格组成明细等向监理人或发包人作必要解释，以确保变更计量和计价工作的及时性和准确性。</w:t>
      </w:r>
    </w:p>
    <w:p>
      <w:pPr>
        <w:pStyle w:val="52"/>
        <w:ind w:firstLine="420"/>
        <w:rPr>
          <w:rFonts w:ascii="仿宋" w:hAnsi="仿宋" w:eastAsia="仿宋" w:cs="仿宋"/>
          <w:color w:val="auto"/>
        </w:rPr>
      </w:pPr>
      <w:r>
        <w:rPr>
          <w:rFonts w:hint="eastAsia" w:ascii="仿宋" w:hAnsi="仿宋" w:eastAsia="仿宋" w:cs="仿宋"/>
          <w:color w:val="auto"/>
        </w:rPr>
        <w:t>2）经监理人和发包人确认增加的工程变更价款作为追加合同价款，施工完成且完成核价后，按工程进度款的付款比例与工程款同期支付。</w:t>
      </w:r>
    </w:p>
    <w:p>
      <w:pPr>
        <w:pStyle w:val="52"/>
        <w:ind w:firstLine="420"/>
        <w:rPr>
          <w:rFonts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lang w:val="en-US" w:eastAsia="zh-CN"/>
        </w:rPr>
        <w:t>承包</w:t>
      </w:r>
      <w:r>
        <w:rPr>
          <w:rFonts w:hint="eastAsia" w:ascii="仿宋" w:hAnsi="仿宋" w:eastAsia="仿宋" w:cs="仿宋"/>
          <w:color w:val="auto"/>
        </w:rPr>
        <w:t>人对图纸的不明确部分做出的任何澄清、明确和确认（除设计技术漏项外）不属于变更，发包人不再增补任何费用。</w:t>
      </w:r>
    </w:p>
    <w:p>
      <w:pPr>
        <w:pStyle w:val="52"/>
        <w:ind w:firstLine="420"/>
        <w:rPr>
          <w:rFonts w:ascii="仿宋" w:hAnsi="仿宋" w:eastAsia="仿宋" w:cs="仿宋"/>
          <w:color w:val="auto"/>
        </w:rPr>
      </w:pPr>
      <w:r>
        <w:rPr>
          <w:rFonts w:hint="eastAsia" w:ascii="仿宋" w:hAnsi="仿宋" w:eastAsia="仿宋" w:cs="仿宋"/>
          <w:color w:val="auto"/>
        </w:rPr>
        <w:t>4）深化设计内容不属于变更。</w:t>
      </w:r>
    </w:p>
    <w:p>
      <w:pPr>
        <w:pStyle w:val="52"/>
        <w:ind w:firstLine="420"/>
        <w:rPr>
          <w:rFonts w:ascii="仿宋" w:hAnsi="仿宋" w:eastAsia="仿宋" w:cs="仿宋"/>
          <w:color w:val="auto"/>
        </w:rPr>
      </w:pPr>
      <w:r>
        <w:rPr>
          <w:rFonts w:hint="eastAsia" w:ascii="仿宋" w:hAnsi="仿宋" w:eastAsia="仿宋" w:cs="仿宋"/>
          <w:color w:val="auto"/>
        </w:rPr>
        <w:t>5）工程签证的资料要求：工程签证申报资料包括具有发包人签字盖章的《工程指令单》、《工程签证申请表》、《工程签证现场收方单》、《工程签证确认表》（须附上竣工图及验收单（如有））等。签证资料需体现签证原因、内容、数量、部位、日期、费用等，并附相应的图纸、会议纪要、工程音像资料、工程量计算书、费用计算书等支持材料，如资料不全，工程造价增加的视为承包人放弃此项权利，工程造价减少的按实结算扣除。</w:t>
      </w:r>
    </w:p>
    <w:p>
      <w:pPr>
        <w:spacing w:line="360" w:lineRule="auto"/>
        <w:ind w:firstLine="420" w:firstLineChars="200"/>
        <w:rPr>
          <w:rFonts w:hint="eastAsia" w:ascii="仿宋" w:hAnsi="仿宋" w:eastAsia="仿宋" w:cs="仿宋"/>
          <w:kern w:val="0"/>
          <w:szCs w:val="32"/>
        </w:rPr>
      </w:pPr>
      <w:r>
        <w:rPr>
          <w:rFonts w:hint="eastAsia" w:ascii="仿宋" w:hAnsi="仿宋" w:eastAsia="仿宋" w:cs="仿宋"/>
          <w:color w:val="auto"/>
        </w:rPr>
        <w:t>6）工程签证的时限要求：施工中发生的应由发包人承担责任的签证，</w:t>
      </w:r>
      <w:r>
        <w:rPr>
          <w:rFonts w:hint="eastAsia" w:ascii="仿宋" w:hAnsi="仿宋" w:eastAsia="仿宋" w:cs="仿宋"/>
          <w:color w:val="auto"/>
          <w:lang w:val="en-US" w:eastAsia="zh-CN"/>
        </w:rPr>
        <w:t>承包</w:t>
      </w:r>
      <w:r>
        <w:rPr>
          <w:rFonts w:hint="eastAsia" w:ascii="仿宋" w:hAnsi="仿宋" w:eastAsia="仿宋" w:cs="仿宋"/>
          <w:color w:val="auto"/>
        </w:rPr>
        <w:t>人应在工程签证执行前提出工程签证申请，经监理人和发包人签章同意后实施，并报一式伍份签证单原件交发包人备案。签证手续不完整的，发包人不予认可，不能作为结算依据；对不能做到事前控制，同时又必须立即执行，而且延缓实施会造成更大损失的紧急的工程签证，项目以书面通知或指令的形式指示施工单位现场实施。项目公司在施工开始后，把完成签章手续后的《工程签证申请表》补发给施工单位；对于引起合同金额减少的工程签证，</w:t>
      </w:r>
      <w:r>
        <w:rPr>
          <w:rFonts w:hint="eastAsia" w:ascii="仿宋" w:hAnsi="仿宋" w:eastAsia="仿宋" w:cs="仿宋"/>
          <w:color w:val="auto"/>
          <w:lang w:val="en-US" w:eastAsia="zh-CN"/>
        </w:rPr>
        <w:t>承包</w:t>
      </w:r>
      <w:r>
        <w:rPr>
          <w:rFonts w:hint="eastAsia" w:ascii="仿宋" w:hAnsi="仿宋" w:eastAsia="仿宋" w:cs="仿宋"/>
          <w:color w:val="auto"/>
        </w:rPr>
        <w:t>人未按要求上报的，除按核定价扣减造价外，发包人另外收取该部分造价的10%作为违约金并从承包人的结算款中扣除。签证事件完成后，</w:t>
      </w:r>
      <w:r>
        <w:rPr>
          <w:rFonts w:hint="eastAsia" w:ascii="仿宋" w:hAnsi="仿宋" w:eastAsia="仿宋" w:cs="仿宋"/>
          <w:color w:val="auto"/>
          <w:lang w:val="en-US" w:eastAsia="zh-CN"/>
        </w:rPr>
        <w:t>承包</w:t>
      </w:r>
      <w:r>
        <w:rPr>
          <w:rFonts w:hint="eastAsia" w:ascii="仿宋" w:hAnsi="仿宋" w:eastAsia="仿宋" w:cs="仿宋"/>
          <w:color w:val="auto"/>
        </w:rPr>
        <w:t>人应在2天内通知现场监理，由监理、发包人工程安全部人员进行施工情况的检查、验收（属于隐蔽工程的，应在部位隐蔽前进行工程量的现场确认），并及时填写《工程签证现场收方单》；</w:t>
      </w:r>
      <w:r>
        <w:rPr>
          <w:rFonts w:hint="eastAsia" w:ascii="仿宋" w:hAnsi="仿宋" w:eastAsia="仿宋" w:cs="仿宋"/>
          <w:color w:val="auto"/>
          <w:lang w:val="en-US" w:eastAsia="zh-CN"/>
        </w:rPr>
        <w:t>承包</w:t>
      </w:r>
      <w:r>
        <w:rPr>
          <w:rFonts w:hint="eastAsia" w:ascii="仿宋" w:hAnsi="仿宋" w:eastAsia="仿宋" w:cs="仿宋"/>
          <w:color w:val="auto"/>
        </w:rPr>
        <w:t>人必须在施工完成及验收后15天内向监理单位提供《工程签证确认表》并附完善的支持材料；另，</w:t>
      </w:r>
      <w:r>
        <w:rPr>
          <w:rFonts w:hint="eastAsia" w:ascii="仿宋" w:hAnsi="仿宋" w:eastAsia="仿宋" w:cs="仿宋"/>
          <w:color w:val="auto"/>
          <w:lang w:val="en-US" w:eastAsia="zh-CN"/>
        </w:rPr>
        <w:t>承包</w:t>
      </w:r>
      <w:r>
        <w:rPr>
          <w:rFonts w:hint="eastAsia" w:ascii="仿宋" w:hAnsi="仿宋" w:eastAsia="仿宋" w:cs="仿宋"/>
          <w:color w:val="auto"/>
        </w:rPr>
        <w:t>人须在收到变更签证资料后20天内按要求提交《工程核价申请单》及成本核价资料</w:t>
      </w:r>
      <w:r>
        <w:rPr>
          <w:rFonts w:hint="eastAsia" w:ascii="仿宋" w:hAnsi="仿宋" w:eastAsia="仿宋" w:cs="仿宋"/>
          <w:kern w:val="0"/>
          <w:szCs w:val="32"/>
        </w:rPr>
        <w:t>。</w:t>
      </w:r>
    </w:p>
    <w:p>
      <w:pPr>
        <w:spacing w:line="360" w:lineRule="auto"/>
        <w:ind w:firstLine="480" w:firstLineChars="200"/>
        <w:jc w:val="left"/>
        <w:rPr>
          <w:rFonts w:hint="eastAsia" w:ascii="Times New Roman" w:hAnsi="Times New Roman" w:eastAsia="黑体"/>
          <w:bCs/>
          <w:kern w:val="2"/>
          <w:sz w:val="24"/>
          <w:szCs w:val="32"/>
        </w:rPr>
      </w:pPr>
      <w:r>
        <w:rPr>
          <w:rFonts w:hint="eastAsia" w:ascii="Times New Roman" w:hAnsi="Times New Roman" w:eastAsia="黑体"/>
          <w:bCs/>
          <w:kern w:val="2"/>
          <w:sz w:val="24"/>
          <w:szCs w:val="32"/>
        </w:rPr>
        <w:t xml:space="preserve">15.3. </w:t>
      </w:r>
      <w:r>
        <w:rPr>
          <w:rFonts w:hint="eastAsia" w:ascii="Times New Roman" w:hAnsi="Times New Roman" w:eastAsia="黑体"/>
          <w:bCs/>
          <w:kern w:val="2"/>
          <w:sz w:val="24"/>
          <w:szCs w:val="32"/>
          <w:lang w:val="en-US" w:eastAsia="zh-CN"/>
        </w:rPr>
        <w:t>承包</w:t>
      </w:r>
      <w:r>
        <w:rPr>
          <w:rFonts w:hint="eastAsia" w:ascii="Times New Roman" w:hAnsi="Times New Roman" w:eastAsia="黑体"/>
          <w:bCs/>
          <w:kern w:val="2"/>
          <w:sz w:val="24"/>
          <w:szCs w:val="32"/>
        </w:rPr>
        <w:t>人的合理化建议</w:t>
      </w:r>
    </w:p>
    <w:p>
      <w:pPr>
        <w:spacing w:line="360" w:lineRule="auto"/>
        <w:ind w:firstLine="420" w:firstLineChars="200"/>
        <w:jc w:val="left"/>
        <w:rPr>
          <w:rFonts w:hint="eastAsia" w:eastAsia="仿宋_GB2312"/>
          <w:kern w:val="0"/>
          <w:szCs w:val="32"/>
        </w:rPr>
      </w:pPr>
      <w:r>
        <w:rPr>
          <w:rFonts w:hint="eastAsia" w:eastAsia="仿宋_GB2312"/>
          <w:kern w:val="0"/>
          <w:szCs w:val="32"/>
        </w:rPr>
        <w:t>15.3.</w:t>
      </w:r>
      <w:r>
        <w:rPr>
          <w:rFonts w:hint="eastAsia" w:eastAsia="仿宋_GB2312"/>
          <w:kern w:val="0"/>
          <w:szCs w:val="32"/>
          <w:lang w:val="en-US" w:eastAsia="zh-CN"/>
        </w:rPr>
        <w:t>1</w:t>
      </w:r>
      <w:r>
        <w:rPr>
          <w:rFonts w:hint="eastAsia" w:eastAsia="仿宋_GB2312"/>
          <w:kern w:val="0"/>
          <w:szCs w:val="32"/>
        </w:rPr>
        <w:t xml:space="preserve">. </w:t>
      </w:r>
      <w:r>
        <w:rPr>
          <w:rFonts w:hint="eastAsia" w:eastAsia="仿宋_GB2312"/>
          <w:kern w:val="0"/>
          <w:szCs w:val="32"/>
          <w:lang w:val="en-US" w:eastAsia="zh-CN"/>
        </w:rPr>
        <w:t>承包</w:t>
      </w:r>
      <w:r>
        <w:rPr>
          <w:rFonts w:hint="eastAsia" w:eastAsia="仿宋_GB2312"/>
          <w:kern w:val="0"/>
          <w:szCs w:val="32"/>
        </w:rPr>
        <w:t>人提出的合理化建议：</w:t>
      </w:r>
    </w:p>
    <w:p>
      <w:pPr>
        <w:spacing w:line="360" w:lineRule="auto"/>
        <w:ind w:firstLine="420" w:firstLineChars="200"/>
        <w:jc w:val="left"/>
        <w:rPr>
          <w:rFonts w:hint="eastAsia" w:eastAsia="仿宋_GB2312"/>
          <w:kern w:val="0"/>
          <w:szCs w:val="32"/>
        </w:rPr>
      </w:pPr>
      <w:r>
        <w:rPr>
          <w:rFonts w:hint="eastAsia" w:eastAsia="仿宋_GB2312"/>
          <w:kern w:val="0"/>
          <w:szCs w:val="32"/>
        </w:rPr>
        <w:t>1）经发包人组织评审，</w:t>
      </w:r>
      <w:r>
        <w:rPr>
          <w:rFonts w:hint="eastAsia" w:eastAsia="仿宋_GB2312"/>
          <w:kern w:val="0"/>
          <w:szCs w:val="32"/>
          <w:lang w:val="en-US" w:eastAsia="zh-CN"/>
        </w:rPr>
        <w:t>承包</w:t>
      </w:r>
      <w:r>
        <w:rPr>
          <w:rFonts w:hint="eastAsia" w:eastAsia="仿宋_GB2312"/>
          <w:kern w:val="0"/>
          <w:szCs w:val="32"/>
        </w:rPr>
        <w:t>人的合理化建议能有效缩短合同工期且承包人不因此向发包人主张增加本合同价款的，应优先考虑采纳。</w:t>
      </w:r>
    </w:p>
    <w:p>
      <w:pPr>
        <w:spacing w:line="360" w:lineRule="auto"/>
        <w:ind w:firstLine="420" w:firstLineChars="200"/>
        <w:jc w:val="left"/>
        <w:rPr>
          <w:rFonts w:hint="eastAsia" w:eastAsia="仿宋_GB2312"/>
          <w:kern w:val="0"/>
          <w:szCs w:val="32"/>
        </w:rPr>
      </w:pPr>
      <w:r>
        <w:rPr>
          <w:rFonts w:hint="eastAsia" w:eastAsia="仿宋_GB2312"/>
          <w:kern w:val="0"/>
          <w:szCs w:val="32"/>
        </w:rPr>
        <w:t>2）经发包人组织评审，</w:t>
      </w:r>
      <w:r>
        <w:rPr>
          <w:rFonts w:hint="eastAsia" w:eastAsia="仿宋_GB2312"/>
          <w:kern w:val="0"/>
          <w:szCs w:val="32"/>
          <w:lang w:val="en-US" w:eastAsia="zh-CN"/>
        </w:rPr>
        <w:t>承包</w:t>
      </w:r>
      <w:r>
        <w:rPr>
          <w:rFonts w:hint="eastAsia" w:eastAsia="仿宋_GB2312"/>
          <w:kern w:val="0"/>
          <w:szCs w:val="32"/>
        </w:rPr>
        <w:t>人的合理化建议能有效缩短合同工期且降低发包人投资成本的，应优先考虑采纳。</w:t>
      </w:r>
    </w:p>
    <w:p>
      <w:pPr>
        <w:spacing w:line="360" w:lineRule="auto"/>
        <w:ind w:firstLine="420" w:firstLineChars="200"/>
        <w:jc w:val="left"/>
        <w:rPr>
          <w:rFonts w:hint="eastAsia" w:ascii="仿宋" w:hAnsi="仿宋" w:eastAsia="仿宋" w:cs="仿宋"/>
          <w:kern w:val="0"/>
          <w:szCs w:val="32"/>
        </w:rPr>
      </w:pPr>
      <w:r>
        <w:rPr>
          <w:rFonts w:hint="eastAsia" w:eastAsia="仿宋_GB2312"/>
          <w:kern w:val="0"/>
          <w:szCs w:val="32"/>
        </w:rPr>
        <w:t>3）</w:t>
      </w:r>
      <w:r>
        <w:rPr>
          <w:rFonts w:hint="eastAsia" w:eastAsia="仿宋_GB2312"/>
          <w:kern w:val="0"/>
          <w:szCs w:val="32"/>
          <w:lang w:val="en-US" w:eastAsia="zh-CN"/>
        </w:rPr>
        <w:t>承包</w:t>
      </w:r>
      <w:r>
        <w:rPr>
          <w:rFonts w:hint="eastAsia" w:eastAsia="仿宋_GB2312"/>
          <w:kern w:val="0"/>
          <w:szCs w:val="32"/>
        </w:rPr>
        <w:t>人提出的合理化建议对发包人投资收益影响因素，应分别从本合同工期、质量、安全、成本等多维度综合考虑，并结合优化建议对建设项目全专业、全过程（施工、预售、竣工、移交、销售或运营维保等）的影响，进行科学、客观的综合评定；仅对某分部分项工程、单一专业工程、特定建设阶段进行的评定结果不能作为投资收益依据；</w:t>
      </w:r>
      <w:r>
        <w:rPr>
          <w:rFonts w:hint="eastAsia" w:eastAsia="仿宋_GB2312"/>
          <w:kern w:val="0"/>
          <w:szCs w:val="32"/>
          <w:lang w:val="en-US" w:eastAsia="zh-CN"/>
        </w:rPr>
        <w:t>承包</w:t>
      </w:r>
      <w:r>
        <w:rPr>
          <w:rFonts w:hint="eastAsia" w:eastAsia="仿宋_GB2312"/>
          <w:kern w:val="0"/>
          <w:szCs w:val="32"/>
        </w:rPr>
        <w:t>人有义务在提出合理化建议时，同时按以上要求提交合理化建议对项目建设的影响分析报告。</w:t>
      </w:r>
    </w:p>
    <w:p>
      <w:pPr>
        <w:spacing w:line="360" w:lineRule="auto"/>
        <w:ind w:firstLine="480" w:firstLineChars="200"/>
        <w:rPr>
          <w:rFonts w:ascii="Times New Roman" w:hAnsi="Times New Roman" w:eastAsia="黑体" w:cs="Times New Roman"/>
          <w:bCs/>
          <w:kern w:val="2"/>
          <w:sz w:val="24"/>
          <w:szCs w:val="32"/>
        </w:rPr>
      </w:pPr>
      <w:r>
        <w:rPr>
          <w:rFonts w:ascii="Times New Roman" w:hAnsi="Times New Roman" w:eastAsia="黑体" w:cs="Times New Roman"/>
          <w:bCs/>
          <w:kern w:val="2"/>
          <w:sz w:val="24"/>
          <w:szCs w:val="32"/>
        </w:rPr>
        <w:t>15.</w:t>
      </w:r>
      <w:r>
        <w:rPr>
          <w:rFonts w:hint="eastAsia" w:ascii="Times New Roman" w:hAnsi="Times New Roman" w:eastAsia="黑体" w:cs="Times New Roman"/>
          <w:bCs/>
          <w:kern w:val="2"/>
          <w:sz w:val="24"/>
          <w:szCs w:val="32"/>
          <w:lang w:eastAsia="zh-CN"/>
        </w:rPr>
        <w:t>4</w:t>
      </w:r>
      <w:r>
        <w:rPr>
          <w:rFonts w:ascii="Times New Roman" w:hAnsi="Times New Roman" w:eastAsia="黑体" w:cs="Times New Roman"/>
          <w:bCs/>
          <w:kern w:val="2"/>
          <w:sz w:val="24"/>
          <w:szCs w:val="32"/>
        </w:rPr>
        <w:t xml:space="preserve">. </w:t>
      </w:r>
      <w:r>
        <w:rPr>
          <w:rFonts w:hint="eastAsia" w:ascii="Times New Roman" w:hAnsi="Times New Roman" w:eastAsia="黑体" w:cs="Times New Roman"/>
          <w:bCs/>
          <w:kern w:val="2"/>
          <w:sz w:val="24"/>
          <w:szCs w:val="32"/>
        </w:rPr>
        <w:t>不予办理变更或签证的情形</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下列情形的工作内容不予办理工程变更或工程签证：</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1）招标文件及施工合同约定或已包括在合同价款内应由</w:t>
      </w:r>
      <w:r>
        <w:rPr>
          <w:rFonts w:hint="eastAsia" w:ascii="仿宋" w:hAnsi="仿宋" w:eastAsia="仿宋" w:cs="仿宋"/>
          <w:kern w:val="0"/>
          <w:szCs w:val="32"/>
          <w:lang w:val="en-US" w:eastAsia="zh-CN"/>
        </w:rPr>
        <w:t>承包</w:t>
      </w:r>
      <w:r>
        <w:rPr>
          <w:rFonts w:hint="eastAsia" w:ascii="仿宋" w:hAnsi="仿宋" w:eastAsia="仿宋" w:cs="仿宋"/>
          <w:kern w:val="0"/>
          <w:szCs w:val="32"/>
        </w:rPr>
        <w:t>人自行承担的；</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2）</w:t>
      </w:r>
      <w:r>
        <w:rPr>
          <w:rFonts w:hint="eastAsia" w:ascii="仿宋" w:hAnsi="仿宋" w:eastAsia="仿宋" w:cs="仿宋"/>
          <w:kern w:val="0"/>
          <w:szCs w:val="32"/>
          <w:lang w:val="en-US" w:eastAsia="zh-CN"/>
        </w:rPr>
        <w:t>承包</w:t>
      </w:r>
      <w:r>
        <w:rPr>
          <w:rFonts w:hint="eastAsia" w:ascii="仿宋" w:hAnsi="仿宋" w:eastAsia="仿宋" w:cs="仿宋"/>
          <w:kern w:val="0"/>
          <w:szCs w:val="32"/>
        </w:rPr>
        <w:t>人在投标文件中承诺自行承担的或投标时应预见的风险；</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3）非发包人原因，</w:t>
      </w:r>
      <w:r>
        <w:rPr>
          <w:rFonts w:hint="eastAsia" w:ascii="仿宋" w:hAnsi="仿宋" w:eastAsia="仿宋" w:cs="仿宋"/>
          <w:kern w:val="0"/>
          <w:szCs w:val="32"/>
          <w:lang w:val="en-US" w:eastAsia="zh-CN"/>
        </w:rPr>
        <w:t>承包</w:t>
      </w:r>
      <w:r>
        <w:rPr>
          <w:rFonts w:hint="eastAsia" w:ascii="仿宋" w:hAnsi="仿宋" w:eastAsia="仿宋" w:cs="仿宋"/>
          <w:kern w:val="0"/>
          <w:szCs w:val="32"/>
        </w:rPr>
        <w:t>人为了便于组织施工需采取的技术措施的变更或临时工程变更；</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4）由</w:t>
      </w:r>
      <w:r>
        <w:rPr>
          <w:rFonts w:hint="eastAsia" w:ascii="仿宋" w:hAnsi="仿宋" w:eastAsia="仿宋" w:cs="仿宋"/>
          <w:kern w:val="0"/>
          <w:szCs w:val="32"/>
          <w:lang w:val="en-US" w:eastAsia="zh-CN"/>
        </w:rPr>
        <w:t>承包</w:t>
      </w:r>
      <w:r>
        <w:rPr>
          <w:rFonts w:hint="eastAsia" w:ascii="仿宋" w:hAnsi="仿宋" w:eastAsia="仿宋" w:cs="仿宋"/>
          <w:kern w:val="0"/>
          <w:szCs w:val="32"/>
        </w:rPr>
        <w:t>人责任造成的工程量增加；</w:t>
      </w:r>
    </w:p>
    <w:p>
      <w:pPr>
        <w:spacing w:line="360" w:lineRule="auto"/>
        <w:ind w:firstLine="420" w:firstLineChars="200"/>
        <w:rPr>
          <w:rFonts w:ascii="仿宋" w:hAnsi="仿宋" w:eastAsia="仿宋" w:cs="仿宋"/>
          <w:kern w:val="0"/>
          <w:szCs w:val="32"/>
        </w:rPr>
      </w:pPr>
      <w:r>
        <w:rPr>
          <w:rFonts w:hint="eastAsia" w:ascii="仿宋" w:hAnsi="仿宋" w:eastAsia="仿宋" w:cs="仿宋"/>
          <w:kern w:val="0"/>
          <w:szCs w:val="32"/>
        </w:rPr>
        <w:t>5）法律、法规、规章规定不能办理的。</w:t>
      </w:r>
    </w:p>
    <w:p>
      <w:pPr>
        <w:pStyle w:val="73"/>
        <w:spacing w:before="60" w:after="60"/>
        <w:rPr>
          <w:rFonts w:ascii="仿宋" w:hAnsi="仿宋" w:eastAsia="仿宋" w:cs="宋体"/>
          <w:color w:val="auto"/>
        </w:rPr>
      </w:pPr>
      <w:bookmarkStart w:id="119" w:name="_Toc44492600"/>
      <w:bookmarkStart w:id="120" w:name="_Toc44228168"/>
      <w:bookmarkStart w:id="121" w:name="_Toc5484"/>
      <w:bookmarkStart w:id="122" w:name="_Toc24599"/>
      <w:bookmarkStart w:id="123" w:name="_Toc38987285"/>
      <w:bookmarkStart w:id="124" w:name="_Toc27433"/>
      <w:bookmarkStart w:id="125" w:name="_Toc27085"/>
      <w:r>
        <w:rPr>
          <w:rFonts w:hint="eastAsia" w:ascii="仿宋" w:hAnsi="仿宋" w:eastAsia="仿宋" w:cs="宋体"/>
          <w:color w:val="auto"/>
        </w:rPr>
        <w:t>16.价格调整</w:t>
      </w:r>
      <w:bookmarkEnd w:id="119"/>
      <w:bookmarkEnd w:id="120"/>
      <w:bookmarkEnd w:id="121"/>
      <w:bookmarkEnd w:id="122"/>
      <w:bookmarkEnd w:id="123"/>
      <w:bookmarkEnd w:id="124"/>
      <w:bookmarkEnd w:id="125"/>
    </w:p>
    <w:p>
      <w:pPr>
        <w:pStyle w:val="77"/>
        <w:ind w:firstLine="480"/>
        <w:rPr>
          <w:rFonts w:hint="eastAsia" w:ascii="仿宋" w:hAnsi="仿宋" w:eastAsia="仿宋" w:cs="仿宋"/>
          <w:bCs w:val="0"/>
          <w:szCs w:val="20"/>
        </w:rPr>
      </w:pPr>
      <w:bookmarkStart w:id="126" w:name="_Toc1376"/>
      <w:bookmarkStart w:id="127" w:name="_Toc44492601"/>
      <w:bookmarkStart w:id="128" w:name="_Toc615"/>
      <w:r>
        <w:rPr>
          <w:rFonts w:hint="eastAsia" w:ascii="仿宋" w:hAnsi="仿宋" w:eastAsia="仿宋" w:cs="宋体"/>
          <w:color w:val="auto"/>
        </w:rPr>
        <w:t>16.1 物价波动引起的价格调整</w:t>
      </w:r>
      <w:bookmarkEnd w:id="126"/>
      <w:bookmarkEnd w:id="127"/>
      <w:bookmarkEnd w:id="128"/>
      <w:r>
        <w:rPr>
          <w:rFonts w:hint="eastAsia" w:ascii="仿宋" w:hAnsi="仿宋" w:eastAsia="仿宋" w:cs="仿宋"/>
        </w:rPr>
        <w:t>：</w:t>
      </w:r>
    </w:p>
    <w:p>
      <w:pPr>
        <w:pStyle w:val="77"/>
        <w:ind w:firstLine="480"/>
        <w:rPr>
          <w:rFonts w:hint="eastAsia" w:eastAsia="仿宋_GB2312"/>
          <w:kern w:val="0"/>
          <w:sz w:val="21"/>
        </w:rPr>
      </w:pPr>
      <w:r>
        <w:rPr>
          <w:rFonts w:hint="eastAsia" w:eastAsia="仿宋_GB2312"/>
          <w:kern w:val="0"/>
          <w:sz w:val="21"/>
        </w:rPr>
        <w:t>16.1.1 在合同履行期间，</w:t>
      </w:r>
      <w:del w:id="38" w:author="gaoxu" w:date="2024-04-22T11:17:08Z">
        <w:r>
          <w:rPr>
            <w:rFonts w:hint="eastAsia" w:eastAsia="仿宋_GB2312"/>
            <w:kern w:val="0"/>
            <w:sz w:val="21"/>
          </w:rPr>
          <w:delText>出现在工程造价管理机构发布的《广州市建设工程造价信息》中的</w:delText>
        </w:r>
      </w:del>
      <w:r>
        <w:rPr>
          <w:rFonts w:hint="eastAsia" w:eastAsia="仿宋_GB2312"/>
          <w:kern w:val="0"/>
          <w:sz w:val="21"/>
        </w:rPr>
        <w:t>电线电缆的</w:t>
      </w:r>
      <w:ins w:id="39" w:author="gaoxu" w:date="2024-04-22T11:17:12Z">
        <w:r>
          <w:rPr>
            <w:rFonts w:hint="eastAsia" w:eastAsia="仿宋_GB2312"/>
            <w:kern w:val="0"/>
            <w:sz w:val="21"/>
            <w:lang w:val="en-US" w:eastAsia="zh-CN"/>
          </w:rPr>
          <w:t>铜</w:t>
        </w:r>
      </w:ins>
      <w:r>
        <w:rPr>
          <w:rFonts w:hint="eastAsia" w:eastAsia="仿宋_GB2312"/>
          <w:kern w:val="0"/>
          <w:sz w:val="21"/>
        </w:rPr>
        <w:t>材料</w:t>
      </w:r>
      <w:del w:id="40" w:author="gaoxu" w:date="2024-04-22T11:17:15Z">
        <w:r>
          <w:rPr>
            <w:rFonts w:hint="default" w:eastAsia="仿宋_GB2312"/>
            <w:kern w:val="0"/>
            <w:sz w:val="21"/>
            <w:lang w:val="en-US"/>
          </w:rPr>
          <w:delText>单价</w:delText>
        </w:r>
      </w:del>
      <w:ins w:id="41" w:author="gaoxu" w:date="2024-04-22T11:17:16Z">
        <w:r>
          <w:rPr>
            <w:rFonts w:hint="eastAsia" w:eastAsia="仿宋_GB2312"/>
            <w:kern w:val="0"/>
            <w:sz w:val="21"/>
            <w:lang w:val="en-US" w:eastAsia="zh-CN"/>
          </w:rPr>
          <w:t>价格</w:t>
        </w:r>
      </w:ins>
      <w:r>
        <w:rPr>
          <w:rFonts w:hint="eastAsia" w:eastAsia="仿宋_GB2312"/>
          <w:kern w:val="0"/>
          <w:sz w:val="21"/>
        </w:rPr>
        <w:t>涨跌比例符合以下规定的，按下述方式调整合同价款，除此之外，其他任何材料、人工、设备、机械台班等以及工程量清单中的</w:t>
      </w:r>
      <w:del w:id="42" w:author="gaoxu" w:date="2024-04-22T11:17:45Z">
        <w:r>
          <w:rPr>
            <w:rFonts w:hint="default" w:eastAsia="仿宋_GB2312"/>
            <w:kern w:val="0"/>
            <w:sz w:val="21"/>
            <w:lang w:val="en-US"/>
          </w:rPr>
          <w:delText>“总价承包项目”</w:delText>
        </w:r>
      </w:del>
      <w:ins w:id="43" w:author="gaoxu" w:date="2024-04-22T11:17:46Z">
        <w:r>
          <w:rPr>
            <w:rFonts w:hint="eastAsia" w:eastAsia="仿宋_GB2312"/>
            <w:kern w:val="0"/>
            <w:sz w:val="21"/>
            <w:lang w:val="en-US" w:eastAsia="zh-CN"/>
          </w:rPr>
          <w:t>单价</w:t>
        </w:r>
      </w:ins>
      <w:r>
        <w:rPr>
          <w:rFonts w:hint="eastAsia" w:eastAsia="仿宋_GB2312"/>
          <w:kern w:val="0"/>
          <w:sz w:val="21"/>
        </w:rPr>
        <w:t>（无论涨跌幅度多少）在结算时都不予价格调整。</w:t>
      </w:r>
    </w:p>
    <w:p>
      <w:pPr>
        <w:pStyle w:val="77"/>
        <w:ind w:firstLine="480"/>
        <w:rPr>
          <w:rFonts w:hint="eastAsia" w:eastAsia="仿宋_GB2312"/>
          <w:kern w:val="0"/>
          <w:sz w:val="21"/>
        </w:rPr>
      </w:pPr>
      <w:r>
        <w:rPr>
          <w:rFonts w:hint="eastAsia" w:eastAsia="仿宋_GB2312"/>
          <w:kern w:val="0"/>
          <w:sz w:val="21"/>
        </w:rPr>
        <w:t>16.1.1.1</w:t>
      </w:r>
      <w:ins w:id="44" w:author="gaoxu" w:date="2024-04-21T00:32:37Z">
        <w:r>
          <w:rPr>
            <w:rFonts w:hint="eastAsia" w:eastAsia="仿宋_GB2312"/>
            <w:kern w:val="0"/>
            <w:sz w:val="21"/>
          </w:rPr>
          <w:t>价格调整幅度及风险分担：当价格调整计量周期内可调价的材料的</w:t>
        </w:r>
      </w:ins>
      <w:ins w:id="45" w:author="gaoxu" w:date="2024-04-21T00:34:03Z">
        <w:r>
          <w:rPr>
            <w:rFonts w:hint="eastAsia" w:eastAsia="仿宋_GB2312"/>
            <w:kern w:val="0"/>
            <w:sz w:val="21"/>
            <w:lang w:val="en-US" w:eastAsia="zh-CN"/>
          </w:rPr>
          <w:t>价格</w:t>
        </w:r>
      </w:ins>
      <w:ins w:id="46" w:author="gaoxu" w:date="2024-04-21T00:32:37Z">
        <w:r>
          <w:rPr>
            <w:rFonts w:hint="eastAsia" w:eastAsia="仿宋_GB2312"/>
            <w:kern w:val="0"/>
            <w:sz w:val="21"/>
          </w:rPr>
          <w:t>与基准价相比，下跌5%或上涨【xx%】(中标人投标时承诺的调差比例，含本数；承诺比例小于5%的按5%处理）以内时，价格涨跌风险由</w:t>
        </w:r>
      </w:ins>
      <w:ins w:id="47" w:author="gaoxu" w:date="2024-04-22T10:40:07Z">
        <w:r>
          <w:rPr>
            <w:rFonts w:hint="eastAsia" w:eastAsia="仿宋_GB2312"/>
            <w:kern w:val="0"/>
            <w:sz w:val="21"/>
            <w:lang w:val="en-US" w:eastAsia="zh-CN"/>
          </w:rPr>
          <w:t>承</w:t>
        </w:r>
      </w:ins>
      <w:ins w:id="48" w:author="gaoxu" w:date="2024-04-21T00:32:37Z">
        <w:r>
          <w:rPr>
            <w:rFonts w:hint="eastAsia" w:eastAsia="仿宋_GB2312"/>
            <w:kern w:val="0"/>
            <w:sz w:val="21"/>
          </w:rPr>
          <w:t>发包双方各自自行承担，合同价格不予调整；当下跌超过5%或上涨超过【xx%】(中标人投标时承诺的调差比例，含本数；承诺比例小于5%的按5%处理）</w:t>
        </w:r>
      </w:ins>
      <w:ins w:id="49" w:author="gaoxu" w:date="2024-04-22T11:18:27Z">
        <w:r>
          <w:rPr>
            <w:rFonts w:hint="eastAsia" w:eastAsia="仿宋_GB2312"/>
            <w:kern w:val="0"/>
            <w:sz w:val="21"/>
            <w:lang w:val="en-US" w:eastAsia="zh-CN"/>
          </w:rPr>
          <w:t>时</w:t>
        </w:r>
      </w:ins>
      <w:ins w:id="50" w:author="gaoxu" w:date="2024-04-21T00:32:37Z">
        <w:r>
          <w:rPr>
            <w:rFonts w:hint="eastAsia" w:eastAsia="仿宋_GB2312"/>
            <w:kern w:val="0"/>
            <w:sz w:val="21"/>
          </w:rPr>
          <w:t>，</w:t>
        </w:r>
      </w:ins>
      <w:ins w:id="51" w:author="gaoxu" w:date="2024-04-22T10:42:03Z">
        <w:r>
          <w:rPr>
            <w:rFonts w:hint="eastAsia" w:eastAsia="仿宋_GB2312"/>
            <w:kern w:val="0"/>
            <w:sz w:val="21"/>
            <w:rPrChange w:id="52" w:author="gaoxu" w:date="2024-04-22T10:42:03Z">
              <w:rPr>
                <w:rFonts w:hint="eastAsia"/>
              </w:rPr>
            </w:rPrChange>
          </w:rPr>
          <w:t>合同价格调整额按专用条款 16.1.1.2价格调整公式计算</w:t>
        </w:r>
      </w:ins>
      <w:r>
        <w:rPr>
          <w:rFonts w:hint="eastAsia" w:eastAsia="仿宋_GB2312"/>
          <w:kern w:val="0"/>
          <w:sz w:val="21"/>
        </w:rPr>
        <w:t>。</w:t>
      </w:r>
    </w:p>
    <w:p>
      <w:pPr>
        <w:pStyle w:val="77"/>
        <w:ind w:firstLine="480"/>
        <w:rPr>
          <w:rFonts w:hint="eastAsia" w:eastAsia="仿宋_GB2312"/>
          <w:kern w:val="0"/>
          <w:sz w:val="21"/>
        </w:rPr>
      </w:pPr>
      <w:r>
        <w:rPr>
          <w:rFonts w:hint="eastAsia" w:eastAsia="仿宋_GB2312"/>
          <w:kern w:val="0"/>
          <w:sz w:val="21"/>
        </w:rPr>
        <w:t>16.1.1.2材料调差按下列公式计算：</w:t>
      </w:r>
    </w:p>
    <w:p>
      <w:pPr>
        <w:pStyle w:val="77"/>
        <w:ind w:firstLine="480"/>
        <w:rPr>
          <w:rFonts w:hint="eastAsia" w:eastAsia="仿宋_GB2312"/>
          <w:kern w:val="0"/>
          <w:sz w:val="21"/>
        </w:rPr>
      </w:pPr>
      <w:r>
        <w:rPr>
          <w:rFonts w:hint="eastAsia" w:eastAsia="仿宋_GB2312"/>
          <w:kern w:val="0"/>
          <w:sz w:val="21"/>
        </w:rPr>
        <w:t>1）电线电缆按如下方式调差</w:t>
      </w:r>
    </w:p>
    <w:p>
      <w:pPr>
        <w:pStyle w:val="77"/>
        <w:ind w:firstLine="480"/>
        <w:rPr>
          <w:rFonts w:hint="eastAsia" w:eastAsia="仿宋_GB2312"/>
          <w:kern w:val="0"/>
          <w:sz w:val="21"/>
        </w:rPr>
      </w:pPr>
      <w:r>
        <w:rPr>
          <w:rFonts w:hint="eastAsia" w:eastAsia="仿宋_GB2312"/>
          <w:kern w:val="0"/>
          <w:sz w:val="21"/>
        </w:rPr>
        <w:t>①电线电缆按其原材料铜的价格涨</w:t>
      </w:r>
      <w:r>
        <w:rPr>
          <w:rFonts w:hint="eastAsia" w:eastAsia="仿宋_GB2312"/>
          <w:kern w:val="0"/>
          <w:sz w:val="21"/>
          <w:lang w:val="en-US" w:eastAsia="zh-CN"/>
        </w:rPr>
        <w:t>跌</w:t>
      </w:r>
      <w:r>
        <w:rPr>
          <w:rFonts w:hint="eastAsia" w:eastAsia="仿宋_GB2312"/>
          <w:kern w:val="0"/>
          <w:sz w:val="21"/>
        </w:rPr>
        <w:t>幅计算材料价差。</w:t>
      </w:r>
    </w:p>
    <w:p>
      <w:pPr>
        <w:pStyle w:val="77"/>
        <w:ind w:firstLine="480"/>
        <w:rPr>
          <w:rFonts w:hint="eastAsia" w:eastAsia="仿宋_GB2312"/>
          <w:kern w:val="0"/>
          <w:sz w:val="21"/>
        </w:rPr>
      </w:pPr>
      <w:r>
        <w:rPr>
          <w:rFonts w:hint="eastAsia" w:eastAsia="仿宋_GB2312"/>
          <w:kern w:val="0"/>
          <w:sz w:val="21"/>
        </w:rPr>
        <w:t>②电线电缆按以下办法调价：取</w:t>
      </w:r>
      <w:del w:id="53" w:author="gaoxu" w:date="2024-04-22T15:59:02Z">
        <w:r>
          <w:rPr>
            <w:rFonts w:hint="eastAsia" w:eastAsia="仿宋_GB2312"/>
            <w:kern w:val="0"/>
            <w:sz w:val="21"/>
          </w:rPr>
          <w:delText>投标截止基准日（即</w:delText>
        </w:r>
      </w:del>
      <w:ins w:id="54" w:author="gaoxu" w:date="2024-04-21T00:25:22Z">
        <w:r>
          <w:rPr>
            <w:rFonts w:hint="eastAsia" w:eastAsia="仿宋_GB2312"/>
            <w:kern w:val="0"/>
            <w:sz w:val="21"/>
          </w:rPr>
          <w:t>2024年4月15日</w:t>
        </w:r>
      </w:ins>
      <w:del w:id="55" w:author="gaoxu" w:date="2024-04-22T15:59:05Z">
        <w:bookmarkStart w:id="283" w:name="_GoBack"/>
        <w:bookmarkEnd w:id="283"/>
        <w:r>
          <w:rPr>
            <w:rFonts w:hint="eastAsia" w:eastAsia="仿宋_GB2312"/>
            <w:kern w:val="0"/>
            <w:sz w:val="21"/>
          </w:rPr>
          <w:delText>20**年**月**日）</w:delText>
        </w:r>
      </w:del>
      <w:r>
        <w:rPr>
          <w:rFonts w:hint="eastAsia" w:eastAsia="仿宋_GB2312"/>
          <w:kern w:val="0"/>
          <w:sz w:val="21"/>
        </w:rPr>
        <w:t>上海有色网(https://www.smm.cn/ )首页的SMM价格/SMM 1#电解铜均价为基准价A</w:t>
      </w:r>
      <w:ins w:id="56" w:author="gaoxu" w:date="2024-04-21T00:25:33Z">
        <w:r>
          <w:rPr>
            <w:rFonts w:hint="eastAsia" w:eastAsia="仿宋_GB2312"/>
            <w:kern w:val="0"/>
            <w:sz w:val="21"/>
          </w:rPr>
          <w:t>（SMM 广东1#电解铜</w:t>
        </w:r>
      </w:ins>
      <w:ins w:id="57" w:author="gaoxu" w:date="2024-04-22T10:54:44Z">
        <w:r>
          <w:rPr>
            <w:rFonts w:hint="eastAsia" w:eastAsia="仿宋_GB2312"/>
            <w:kern w:val="0"/>
            <w:sz w:val="21"/>
            <w:lang w:val="en-US" w:eastAsia="zh-CN"/>
          </w:rPr>
          <w:t>不含税</w:t>
        </w:r>
      </w:ins>
      <w:ins w:id="58" w:author="gaoxu" w:date="2024-04-21T00:25:33Z">
        <w:r>
          <w:rPr>
            <w:rFonts w:hint="eastAsia" w:eastAsia="仿宋_GB2312"/>
            <w:kern w:val="0"/>
            <w:sz w:val="21"/>
          </w:rPr>
          <w:t>均价</w:t>
        </w:r>
      </w:ins>
      <w:ins w:id="59" w:author="gaoxu" w:date="2024-04-22T10:52:56Z">
        <w:r>
          <w:rPr>
            <w:rFonts w:hint="eastAsia" w:eastAsia="仿宋_GB2312"/>
            <w:kern w:val="0"/>
            <w:sz w:val="21"/>
            <w:rPrChange w:id="60" w:author="gaoxu" w:date="2024-04-22T10:52:56Z">
              <w:rPr>
                <w:rFonts w:hint="eastAsia"/>
              </w:rPr>
            </w:rPrChange>
          </w:rPr>
          <w:t>67350</w:t>
        </w:r>
      </w:ins>
      <w:ins w:id="61" w:author="gaoxu" w:date="2024-04-21T00:25:33Z">
        <w:r>
          <w:rPr>
            <w:rFonts w:hint="eastAsia" w:eastAsia="仿宋_GB2312"/>
            <w:kern w:val="0"/>
            <w:sz w:val="21"/>
          </w:rPr>
          <w:t>元/吨）</w:t>
        </w:r>
      </w:ins>
      <w:r>
        <w:rPr>
          <w:rFonts w:hint="eastAsia" w:eastAsia="仿宋_GB2312"/>
          <w:kern w:val="0"/>
          <w:sz w:val="21"/>
        </w:rPr>
        <w:t>，价格调整计量周期上海有色网上各日SMM 1#电解铜均价的算术平均值为价格调整计量周期信息价B。以上价格均取不含税价格。</w:t>
      </w:r>
    </w:p>
    <w:p>
      <w:pPr>
        <w:pStyle w:val="77"/>
        <w:ind w:firstLine="480"/>
        <w:rPr>
          <w:rFonts w:hint="eastAsia" w:eastAsia="仿宋_GB2312"/>
          <w:kern w:val="0"/>
          <w:sz w:val="21"/>
        </w:rPr>
      </w:pPr>
      <w:r>
        <w:rPr>
          <w:rFonts w:hint="eastAsia" w:eastAsia="仿宋_GB2312"/>
          <w:kern w:val="0"/>
          <w:sz w:val="21"/>
        </w:rPr>
        <w:t>涨价时：调整价差=【价格调整计量周期信息价B-基准价A*（1+</w:t>
      </w:r>
      <w:r>
        <w:rPr>
          <w:rFonts w:hint="eastAsia" w:eastAsia="仿宋_GB2312"/>
          <w:kern w:val="0"/>
          <w:sz w:val="21"/>
          <w:lang w:eastAsia="zh-CN"/>
        </w:rPr>
        <w:t>x</w:t>
      </w:r>
      <w:r>
        <w:rPr>
          <w:rFonts w:hint="eastAsia" w:eastAsia="仿宋_GB2312"/>
          <w:kern w:val="0"/>
          <w:sz w:val="21"/>
          <w:lang w:val="en-US" w:eastAsia="zh-CN"/>
        </w:rPr>
        <w:t>x</w:t>
      </w:r>
      <w:r>
        <w:rPr>
          <w:rFonts w:hint="eastAsia" w:eastAsia="仿宋_GB2312"/>
          <w:kern w:val="0"/>
          <w:sz w:val="21"/>
        </w:rPr>
        <w:t>%）】*当期的实际用量</w:t>
      </w:r>
    </w:p>
    <w:p>
      <w:pPr>
        <w:pStyle w:val="77"/>
        <w:ind w:firstLine="480"/>
        <w:rPr>
          <w:rFonts w:hint="eastAsia" w:eastAsia="仿宋_GB2312"/>
          <w:kern w:val="0"/>
          <w:sz w:val="21"/>
        </w:rPr>
      </w:pPr>
      <w:r>
        <w:rPr>
          <w:rFonts w:hint="eastAsia" w:eastAsia="仿宋_GB2312"/>
          <w:kern w:val="0"/>
          <w:sz w:val="21"/>
        </w:rPr>
        <w:t>降价时：调整价差=【价格调整计量周期信息价B-基准价A*（1-5%）】*当期的实际用量</w:t>
      </w:r>
    </w:p>
    <w:p>
      <w:pPr>
        <w:pStyle w:val="77"/>
        <w:ind w:firstLine="480"/>
        <w:rPr>
          <w:rFonts w:hint="eastAsia" w:eastAsia="仿宋_GB2312"/>
          <w:kern w:val="0"/>
          <w:sz w:val="21"/>
        </w:rPr>
      </w:pPr>
      <w:r>
        <w:rPr>
          <w:rFonts w:hint="eastAsia" w:eastAsia="仿宋_GB2312"/>
          <w:kern w:val="0"/>
          <w:sz w:val="21"/>
        </w:rPr>
        <w:t>备注：</w:t>
      </w:r>
    </w:p>
    <w:p>
      <w:pPr>
        <w:pStyle w:val="77"/>
        <w:ind w:firstLine="480"/>
        <w:rPr>
          <w:rFonts w:hint="eastAsia" w:eastAsia="仿宋_GB2312"/>
          <w:kern w:val="0"/>
          <w:sz w:val="21"/>
        </w:rPr>
      </w:pPr>
      <w:r>
        <w:rPr>
          <w:rFonts w:hint="eastAsia" w:eastAsia="仿宋_GB2312"/>
          <w:kern w:val="0"/>
          <w:sz w:val="21"/>
        </w:rPr>
        <w:t>①上述款项的补差公式中的“价格调整计量周期”，按照合同约定的付款形象节点，每个付款形象节点施工周期为一个“价格调整计量周期”，具体以合同实际付款确认时间为准；</w:t>
      </w:r>
    </w:p>
    <w:p>
      <w:pPr>
        <w:pStyle w:val="77"/>
        <w:ind w:firstLine="480"/>
        <w:rPr>
          <w:rFonts w:hint="eastAsia" w:eastAsia="仿宋_GB2312"/>
          <w:kern w:val="0"/>
          <w:sz w:val="21"/>
        </w:rPr>
      </w:pPr>
      <w:r>
        <w:rPr>
          <w:rFonts w:hint="eastAsia" w:eastAsia="仿宋_GB2312"/>
          <w:kern w:val="0"/>
          <w:sz w:val="21"/>
        </w:rPr>
        <w:t>②上述款项的补差公式中的“当期的实际用量”的计算方法为：按照图示工程量（不计损耗）计算的电线电缆长度折算铜重量。电线电缆每米铜重量（单位：kg/m）=线缆截面积（㎡）*铜密度*1000，铜密度为8.96吨/m3。</w:t>
      </w:r>
    </w:p>
    <w:p>
      <w:pPr>
        <w:pStyle w:val="77"/>
        <w:ind w:firstLine="480"/>
        <w:rPr>
          <w:rFonts w:hint="eastAsia" w:eastAsia="仿宋_GB2312"/>
          <w:kern w:val="0"/>
          <w:sz w:val="21"/>
        </w:rPr>
      </w:pPr>
      <w:r>
        <w:rPr>
          <w:rFonts w:hint="eastAsia" w:eastAsia="仿宋_GB2312"/>
          <w:kern w:val="0"/>
          <w:sz w:val="21"/>
        </w:rPr>
        <w:t>16.1.2由于</w:t>
      </w:r>
      <w:r>
        <w:rPr>
          <w:rFonts w:hint="eastAsia" w:eastAsia="仿宋_GB2312" w:cs="Times New Roman"/>
          <w:kern w:val="0"/>
          <w:sz w:val="21"/>
          <w:lang w:val="en-US" w:eastAsia="zh-CN"/>
        </w:rPr>
        <w:t>承</w:t>
      </w:r>
      <w:r>
        <w:rPr>
          <w:rFonts w:hint="eastAsia" w:eastAsia="仿宋_GB2312"/>
          <w:kern w:val="0"/>
          <w:sz w:val="21"/>
        </w:rPr>
        <w:t>包人原因导致工期延误的，所延误时段内物价上涨的风险全部由</w:t>
      </w:r>
      <w:r>
        <w:rPr>
          <w:rFonts w:hint="eastAsia" w:eastAsia="仿宋_GB2312" w:cs="Times New Roman"/>
          <w:kern w:val="0"/>
          <w:sz w:val="21"/>
          <w:lang w:val="en-US" w:eastAsia="zh-CN"/>
        </w:rPr>
        <w:t>承</w:t>
      </w:r>
      <w:r>
        <w:rPr>
          <w:rFonts w:hint="eastAsia" w:eastAsia="仿宋_GB2312"/>
          <w:kern w:val="0"/>
          <w:sz w:val="21"/>
        </w:rPr>
        <w:t>包人承担，不予调整；如物价下跌，则仍按16.1.1约定计算及扣回相应价款。</w:t>
      </w:r>
    </w:p>
    <w:p>
      <w:pPr>
        <w:pStyle w:val="77"/>
        <w:ind w:firstLine="480"/>
        <w:rPr>
          <w:rFonts w:hint="eastAsia" w:ascii="仿宋" w:hAnsi="仿宋" w:eastAsia="仿宋" w:cs="宋体"/>
          <w:color w:val="auto"/>
        </w:rPr>
      </w:pPr>
      <w:r>
        <w:rPr>
          <w:rFonts w:hint="eastAsia" w:eastAsia="仿宋_GB2312"/>
          <w:kern w:val="0"/>
          <w:sz w:val="21"/>
        </w:rPr>
        <w:t>16.1.3本合同材差调整的工程价款按照结算工程量再加税金进行结算，其款项在审定竣工结算后按合同相关约定支付</w:t>
      </w:r>
      <w:r>
        <w:rPr>
          <w:rFonts w:hint="eastAsia" w:ascii="Times New Roman" w:hAnsi="Times New Roman" w:eastAsia="仿宋_GB2312" w:cs="Times New Roman"/>
          <w:kern w:val="0"/>
          <w:sz w:val="21"/>
        </w:rPr>
        <w:t>。</w:t>
      </w:r>
      <w:r>
        <w:rPr>
          <w:rFonts w:hint="eastAsia" w:ascii="仿宋" w:hAnsi="仿宋" w:eastAsia="仿宋" w:cs="宋体"/>
          <w:color w:val="auto"/>
        </w:rPr>
        <w:t xml:space="preserve"> </w:t>
      </w:r>
    </w:p>
    <w:p>
      <w:pPr>
        <w:pStyle w:val="77"/>
        <w:ind w:firstLine="480"/>
        <w:rPr>
          <w:rFonts w:hint="eastAsia" w:ascii="仿宋" w:hAnsi="仿宋" w:eastAsia="仿宋" w:cs="宋体"/>
          <w:color w:val="auto"/>
        </w:rPr>
      </w:pPr>
      <w:r>
        <w:rPr>
          <w:rFonts w:hint="eastAsia" w:ascii="仿宋" w:hAnsi="仿宋" w:eastAsia="仿宋" w:cs="宋体"/>
          <w:color w:val="auto"/>
        </w:rPr>
        <w:t>16.2价格不予调整的情形</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 xml:space="preserve">16.2.1 </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在投标报价时及签订本合同前已对本工程的全部招标文件、工程所在地周围环境、交通道路、现场地质资料、周围地下管网等情况详细研究，投标报价中已按招标文件和合同条款及施工组织设计中的工程承包范围、质量标准、工期、付款条件、临设要求、安全维护、文明施工措施等要求充分考虑了人工、材料、机械、包装运输、施工技术、成品保护、甲供材料保管、设备调试、检验试验、验收、样品、管理、利润、税金并已考虑垃圾排放（包括建筑垃圾）、冬雨季气候条件等价格风险因素（合同约定因物价波动引起的可进行价格调整的除外）。</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16.2.2任何合同综合单价中对</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包人不利的组价不当或差错（包括但不限于工作内容理解的偏差、工料耗量水平的确定、生产要素市场价格的判断、取费等）等，均视为</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包人采取投标技巧将相关费用包含在相应的综合单价中，结算时不作调整（合同另有约定的除外）。按独立费计价的项目（即不按定额计价的子目）不在上述调价范围内。</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16.2.3因</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包人的成员、雇员、</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包人及进入施工现场的其它各方发生的各种事故、异常事件、人身伤害等给</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包人造成的任何支出和损失均由</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包人承担，</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包人不得以此向发包人要求增加费用。</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16.2.4 除非发生本合同规定的不可抗力事件外，因</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包人原因导致的任何支出和损失均由</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包人承担，</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包人不得以此向发包人要求增加费用。</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16.2.5 由</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包人负责完成的图纸深化设计、施工组织设计等存在缺陷造成的任何支出，由</w:t>
      </w:r>
      <w:r>
        <w:rPr>
          <w:rFonts w:hint="eastAsia" w:eastAsia="仿宋_GB2312" w:cs="Times New Roman"/>
          <w:color w:val="000000"/>
          <w:kern w:val="0"/>
          <w:sz w:val="21"/>
          <w:lang w:val="en-US" w:eastAsia="zh-CN"/>
        </w:rPr>
        <w:t>承</w:t>
      </w:r>
      <w:r>
        <w:rPr>
          <w:rFonts w:hint="eastAsia" w:ascii="Times New Roman" w:hAnsi="Times New Roman" w:eastAsia="仿宋_GB2312" w:cs="Times New Roman"/>
          <w:color w:val="000000"/>
          <w:kern w:val="0"/>
          <w:sz w:val="21"/>
        </w:rPr>
        <w:t>包人承担，即使此类内容已经获得发包人的审批。</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16.2.6. 发包人提供暂估价（含暂估材料、工程设备价）不适用以上调差约定。</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16.2.7 风险费用包括在已标价的工程量及单价清单所列各项目的综合单价及报价中，不得调整。</w:t>
      </w:r>
    </w:p>
    <w:p>
      <w:pPr>
        <w:pStyle w:val="77"/>
        <w:ind w:firstLine="480"/>
        <w:rPr>
          <w:rFonts w:hint="eastAsia" w:ascii="Times New Roman" w:hAnsi="Times New Roman" w:eastAsia="仿宋_GB2312" w:cs="Times New Roman"/>
          <w:color w:val="000000"/>
          <w:kern w:val="0"/>
          <w:sz w:val="21"/>
        </w:rPr>
      </w:pPr>
      <w:r>
        <w:rPr>
          <w:rFonts w:hint="eastAsia" w:ascii="Times New Roman" w:hAnsi="Times New Roman" w:eastAsia="仿宋_GB2312" w:cs="Times New Roman"/>
          <w:color w:val="000000"/>
          <w:kern w:val="0"/>
          <w:sz w:val="21"/>
        </w:rPr>
        <w:t>16.2.8 其他约定事项：   无  。</w:t>
      </w:r>
    </w:p>
    <w:p>
      <w:pPr>
        <w:widowControl/>
        <w:spacing w:line="360" w:lineRule="auto"/>
        <w:ind w:firstLine="480" w:firstLineChars="200"/>
        <w:rPr>
          <w:rFonts w:ascii="仿宋" w:hAnsi="仿宋" w:eastAsia="仿宋" w:cs="宋体"/>
          <w:bCs/>
          <w:sz w:val="24"/>
          <w:szCs w:val="32"/>
        </w:rPr>
      </w:pPr>
      <w:bookmarkStart w:id="129" w:name="_Toc22042"/>
      <w:bookmarkStart w:id="130" w:name="_Toc30626"/>
      <w:bookmarkStart w:id="131" w:name="_Toc44492603"/>
      <w:r>
        <w:rPr>
          <w:rFonts w:hint="eastAsia" w:ascii="仿宋" w:hAnsi="仿宋" w:eastAsia="仿宋" w:cs="宋体"/>
          <w:bCs/>
          <w:sz w:val="24"/>
          <w:szCs w:val="32"/>
        </w:rPr>
        <w:t>16.3  价格调整的补充说明</w:t>
      </w:r>
      <w:bookmarkEnd w:id="129"/>
      <w:bookmarkEnd w:id="130"/>
      <w:bookmarkEnd w:id="131"/>
    </w:p>
    <w:p>
      <w:pPr>
        <w:pStyle w:val="52"/>
        <w:ind w:firstLine="420"/>
      </w:pPr>
      <w:r>
        <w:rPr>
          <w:rFonts w:hint="eastAsia"/>
        </w:rPr>
        <w:t>16.3.1 投标清单的不平衡报价</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rPr>
      </w:pPr>
      <w:r>
        <w:rPr>
          <w:rFonts w:hint="eastAsia" w:ascii="Times New Roman" w:hAnsi="Times New Roman" w:eastAsia="仿宋_GB2312" w:cs="Times New Roman"/>
          <w:color w:val="000000"/>
          <w:kern w:val="0"/>
          <w:szCs w:val="32"/>
          <w:highlight w:val="none"/>
        </w:rPr>
        <w:t>合同履约期间不平衡报价清单项目的综合单价按如下方式执行：</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rPr>
      </w:pPr>
      <w:r>
        <w:rPr>
          <w:rFonts w:hint="eastAsia" w:ascii="Times New Roman" w:hAnsi="Times New Roman" w:eastAsia="仿宋_GB2312" w:cs="Times New Roman"/>
          <w:color w:val="000000"/>
          <w:kern w:val="0"/>
          <w:szCs w:val="32"/>
          <w:highlight w:val="none"/>
        </w:rPr>
        <w:t>（1）合同履约期不平衡报价的认定标准</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rPr>
      </w:pPr>
      <w:r>
        <w:rPr>
          <w:rFonts w:hint="eastAsia" w:ascii="Times New Roman" w:hAnsi="Times New Roman" w:eastAsia="仿宋_GB2312"/>
          <w:color w:val="000000"/>
          <w:kern w:val="0"/>
          <w:szCs w:val="32"/>
          <w:highlight w:val="none"/>
        </w:rPr>
        <w:t>合同履约期不平衡报价指【中标人投标清单的综合单价】与【按2013清单规范及相应工程计价规范编制的对应清单项目综合单价（注，即招标控制价的对应清单项目综合单价）*（1-中标人的净下浮率）后的价格】对比，超出±30%的中标人清单项目综合单价，或招标人有对标证据或合理解释证明明显高于或低于市场合理价格的中标人清单项目综合单价。{注，中标人的净下浮率=[1-（中标金额-不可竞争费）/（招标控制价-不可竞争费）]*100%}</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rPr>
      </w:pPr>
      <w:r>
        <w:rPr>
          <w:rFonts w:hint="eastAsia" w:ascii="Times New Roman" w:hAnsi="Times New Roman" w:eastAsia="仿宋_GB2312" w:cs="Times New Roman"/>
          <w:color w:val="000000"/>
          <w:kern w:val="0"/>
          <w:szCs w:val="32"/>
          <w:highlight w:val="none"/>
        </w:rPr>
        <w:t>（2）合同履约期不平衡报价的修正原则</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rPr>
      </w:pPr>
      <w:r>
        <w:rPr>
          <w:rFonts w:hint="eastAsia" w:ascii="Times New Roman" w:hAnsi="Times New Roman" w:eastAsia="仿宋_GB2312" w:cs="Times New Roman"/>
          <w:color w:val="000000"/>
          <w:kern w:val="0"/>
          <w:szCs w:val="32"/>
          <w:highlight w:val="none"/>
        </w:rPr>
        <w:t>招标控制价的对应清单子目综合单价*（1-中标人的净下浮率）为不平衡报价修订后的综合单价；若发包人认为招标控制价的清单子目综合单价有明显不合理的，则按专用条款15.2相关约定对不平衡报价进行修正。</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rPr>
      </w:pPr>
      <w:r>
        <w:rPr>
          <w:rFonts w:hint="eastAsia" w:ascii="Times New Roman" w:hAnsi="Times New Roman" w:eastAsia="仿宋_GB2312" w:cs="Times New Roman"/>
          <w:color w:val="000000"/>
          <w:kern w:val="0"/>
          <w:szCs w:val="32"/>
          <w:highlight w:val="none"/>
        </w:rPr>
        <w:t>（3）合同履约期不平衡报价的执行</w:t>
      </w:r>
    </w:p>
    <w:p>
      <w:pPr>
        <w:adjustRightInd w:val="0"/>
        <w:snapToGrid w:val="0"/>
        <w:spacing w:line="360" w:lineRule="auto"/>
        <w:ind w:firstLine="420" w:firstLineChars="200"/>
        <w:jc w:val="left"/>
        <w:rPr>
          <w:rFonts w:hint="eastAsia" w:ascii="Times New Roman" w:hAnsi="Times New Roman" w:eastAsia="仿宋_GB2312" w:cs="Times New Roman"/>
          <w:color w:val="000000"/>
          <w:kern w:val="0"/>
          <w:szCs w:val="32"/>
          <w:highlight w:val="none"/>
          <w:u w:val="none"/>
        </w:rPr>
      </w:pPr>
      <w:r>
        <w:rPr>
          <w:rFonts w:hint="eastAsia" w:ascii="Times New Roman" w:hAnsi="Times New Roman" w:eastAsia="仿宋_GB2312" w:cs="Times New Roman"/>
          <w:color w:val="000000"/>
          <w:kern w:val="0"/>
          <w:szCs w:val="32"/>
          <w:highlight w:val="none"/>
          <w:u w:val="none"/>
        </w:rPr>
        <w:t>当不平衡报价清单项目的履约实际工程量（以最终结算工程量为准）与对应招标清单工程量相比不一致时，不一致部分的综合单价按照如下四种情形确认是否执行修正价：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159"/>
        <w:gridCol w:w="3273"/>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序号</w:t>
            </w:r>
          </w:p>
        </w:tc>
        <w:tc>
          <w:tcPr>
            <w:tcW w:w="2340"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不平衡报价情况</w:t>
            </w:r>
          </w:p>
        </w:tc>
        <w:tc>
          <w:tcPr>
            <w:tcW w:w="3571"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结算工程量与招标清单的差异</w:t>
            </w:r>
          </w:p>
        </w:tc>
        <w:tc>
          <w:tcPr>
            <w:tcW w:w="2866"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是否执行修正价（合理价）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1</w:t>
            </w:r>
          </w:p>
        </w:tc>
        <w:tc>
          <w:tcPr>
            <w:tcW w:w="2340"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报价偏高</w:t>
            </w:r>
          </w:p>
        </w:tc>
        <w:tc>
          <w:tcPr>
            <w:tcW w:w="3571"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结算工程量大于招标清单</w:t>
            </w:r>
          </w:p>
        </w:tc>
        <w:tc>
          <w:tcPr>
            <w:tcW w:w="2866"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2</w:t>
            </w:r>
          </w:p>
        </w:tc>
        <w:tc>
          <w:tcPr>
            <w:tcW w:w="2340"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报价偏高</w:t>
            </w:r>
          </w:p>
        </w:tc>
        <w:tc>
          <w:tcPr>
            <w:tcW w:w="3571"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结算工程量小于招标清单</w:t>
            </w:r>
          </w:p>
        </w:tc>
        <w:tc>
          <w:tcPr>
            <w:tcW w:w="2866"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3</w:t>
            </w:r>
          </w:p>
        </w:tc>
        <w:tc>
          <w:tcPr>
            <w:tcW w:w="2340"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报价偏低</w:t>
            </w:r>
          </w:p>
        </w:tc>
        <w:tc>
          <w:tcPr>
            <w:tcW w:w="3571"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结算工程量大于招标清单</w:t>
            </w:r>
          </w:p>
        </w:tc>
        <w:tc>
          <w:tcPr>
            <w:tcW w:w="2866"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4</w:t>
            </w:r>
          </w:p>
        </w:tc>
        <w:tc>
          <w:tcPr>
            <w:tcW w:w="2340"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报价偏低</w:t>
            </w:r>
          </w:p>
        </w:tc>
        <w:tc>
          <w:tcPr>
            <w:tcW w:w="3571"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结算工程量小于招标清单</w:t>
            </w:r>
          </w:p>
        </w:tc>
        <w:tc>
          <w:tcPr>
            <w:tcW w:w="2866" w:type="dxa"/>
          </w:tcPr>
          <w:p>
            <w:pPr>
              <w:adjustRightInd w:val="0"/>
              <w:snapToGrid w:val="0"/>
              <w:jc w:val="center"/>
              <w:rPr>
                <w:rFonts w:ascii="仿宋" w:hAnsi="仿宋" w:eastAsia="仿宋" w:cs="仿宋"/>
                <w:szCs w:val="21"/>
                <w:highlight w:val="none"/>
              </w:rPr>
            </w:pPr>
            <w:r>
              <w:rPr>
                <w:rFonts w:hint="eastAsia" w:ascii="仿宋" w:hAnsi="仿宋" w:eastAsia="仿宋" w:cs="仿宋"/>
                <w:szCs w:val="21"/>
                <w:highlight w:val="none"/>
              </w:rPr>
              <w:t>是</w:t>
            </w:r>
          </w:p>
        </w:tc>
      </w:tr>
    </w:tbl>
    <w:p>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u w:val="single"/>
        </w:rPr>
        <w:t>备注：修正价（合理价）即为按照上述条款（2）修正后的合理价格。</w:t>
      </w:r>
    </w:p>
    <w:p>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u w:val="single"/>
        </w:rPr>
        <w:t>执行修正价格的结算公式：结算总价=投标工程量*投标单价+（结算工程量-投标工程量）*结算修正单价</w:t>
      </w:r>
    </w:p>
    <w:p>
      <w:pPr>
        <w:adjustRightInd w:val="0"/>
        <w:snapToGrid w:val="0"/>
        <w:spacing w:line="360" w:lineRule="auto"/>
        <w:ind w:firstLine="420" w:firstLineChars="200"/>
        <w:jc w:val="left"/>
        <w:rPr>
          <w:rFonts w:ascii="仿宋" w:hAnsi="仿宋" w:eastAsia="仿宋" w:cs="仿宋"/>
          <w:b/>
          <w:bCs/>
          <w:snapToGrid w:val="0"/>
          <w:kern w:val="0"/>
          <w:szCs w:val="21"/>
          <w:highlight w:val="none"/>
        </w:rPr>
      </w:pPr>
      <w:r>
        <w:rPr>
          <w:rFonts w:hint="eastAsia" w:ascii="仿宋" w:hAnsi="仿宋" w:eastAsia="仿宋" w:cs="仿宋"/>
          <w:szCs w:val="21"/>
          <w:highlight w:val="none"/>
          <w:u w:val="single"/>
        </w:rPr>
        <w:t>不执行修正价格的结算公式：结算总价=结算工程量*投标单价</w:t>
      </w:r>
    </w:p>
    <w:p>
      <w:pPr>
        <w:pStyle w:val="73"/>
        <w:spacing w:before="60" w:after="60"/>
        <w:rPr>
          <w:rFonts w:ascii="仿宋" w:hAnsi="仿宋" w:eastAsia="仿宋" w:cs="宋体"/>
          <w:color w:val="auto"/>
        </w:rPr>
      </w:pPr>
      <w:bookmarkStart w:id="132" w:name="_Toc28107"/>
      <w:bookmarkStart w:id="133" w:name="_Toc44492604"/>
      <w:bookmarkStart w:id="134" w:name="_Toc8652"/>
      <w:bookmarkStart w:id="135" w:name="_Toc7487"/>
      <w:bookmarkStart w:id="136" w:name="_Toc44228169"/>
      <w:bookmarkStart w:id="137" w:name="_Toc12032"/>
      <w:bookmarkStart w:id="138" w:name="_Toc38987286"/>
      <w:r>
        <w:rPr>
          <w:rFonts w:hint="eastAsia" w:ascii="仿宋" w:hAnsi="仿宋" w:eastAsia="仿宋" w:cs="宋体"/>
          <w:color w:val="auto"/>
        </w:rPr>
        <w:t>17.计量与支付</w:t>
      </w:r>
      <w:bookmarkEnd w:id="132"/>
      <w:bookmarkEnd w:id="133"/>
      <w:bookmarkEnd w:id="134"/>
      <w:bookmarkEnd w:id="135"/>
      <w:bookmarkEnd w:id="136"/>
      <w:bookmarkEnd w:id="137"/>
      <w:bookmarkEnd w:id="138"/>
    </w:p>
    <w:p>
      <w:pPr>
        <w:pStyle w:val="77"/>
        <w:ind w:firstLine="480"/>
        <w:rPr>
          <w:rFonts w:ascii="仿宋" w:hAnsi="仿宋" w:eastAsia="仿宋" w:cs="宋体"/>
          <w:color w:val="auto"/>
        </w:rPr>
      </w:pPr>
      <w:bookmarkStart w:id="139" w:name="_Toc32282"/>
      <w:bookmarkStart w:id="140" w:name="_Toc44492605"/>
      <w:bookmarkStart w:id="141" w:name="_Toc28599"/>
      <w:r>
        <w:rPr>
          <w:rFonts w:hint="eastAsia" w:ascii="仿宋" w:hAnsi="仿宋" w:eastAsia="仿宋" w:cs="宋体"/>
          <w:color w:val="auto"/>
        </w:rPr>
        <w:t>17.1. 计量</w:t>
      </w:r>
      <w:bookmarkEnd w:id="139"/>
      <w:bookmarkEnd w:id="140"/>
      <w:bookmarkEnd w:id="141"/>
    </w:p>
    <w:p>
      <w:pPr>
        <w:snapToGrid w:val="0"/>
        <w:spacing w:line="360" w:lineRule="auto"/>
        <w:ind w:firstLine="420" w:firstLineChars="200"/>
        <w:rPr>
          <w:rFonts w:ascii="仿宋" w:hAnsi="仿宋" w:eastAsia="仿宋" w:cs="宋体"/>
          <w:kern w:val="0"/>
          <w:szCs w:val="21"/>
        </w:rPr>
      </w:pPr>
      <w:r>
        <w:rPr>
          <w:rFonts w:hint="eastAsia" w:ascii="仿宋" w:hAnsi="仿宋" w:eastAsia="仿宋" w:cs="宋体"/>
        </w:rPr>
        <w:t>17.1.4.</w:t>
      </w:r>
      <w:r>
        <w:rPr>
          <w:rFonts w:hint="eastAsia" w:ascii="仿宋" w:hAnsi="仿宋" w:eastAsia="仿宋" w:cs="仿宋"/>
        </w:rPr>
        <w:t>工程量计算规则确定方式按合同</w:t>
      </w:r>
      <w:r>
        <w:rPr>
          <w:rFonts w:hint="eastAsia" w:ascii="仿宋" w:hAnsi="仿宋" w:eastAsia="仿宋" w:cs="仿宋"/>
          <w:highlight w:val="cyan"/>
        </w:rPr>
        <w:t>附件6</w:t>
      </w:r>
      <w:r>
        <w:rPr>
          <w:rFonts w:hint="eastAsia" w:ascii="仿宋" w:hAnsi="仿宋" w:eastAsia="仿宋" w:cs="仿宋"/>
        </w:rPr>
        <w:t>“已标价工程量清单”中的“投标报价须知”的相关规定执行。</w:t>
      </w:r>
    </w:p>
    <w:p>
      <w:pPr>
        <w:pStyle w:val="52"/>
        <w:ind w:firstLine="420"/>
        <w:rPr>
          <w:color w:val="auto"/>
        </w:rPr>
      </w:pPr>
      <w:r>
        <w:rPr>
          <w:rFonts w:hint="eastAsia"/>
          <w:color w:val="auto"/>
        </w:rPr>
        <w:t>17.2.1. 本</w:t>
      </w:r>
      <w:r>
        <w:rPr>
          <w:rFonts w:hint="eastAsia" w:ascii="仿宋" w:hAnsi="仿宋" w:eastAsia="仿宋" w:cs="仿宋"/>
          <w:color w:val="auto"/>
          <w:u w:val="single"/>
        </w:rPr>
        <w:t>补充协议</w:t>
      </w:r>
      <w:r>
        <w:rPr>
          <w:rFonts w:hint="eastAsia"/>
          <w:color w:val="auto"/>
        </w:rPr>
        <w:t>采用工程量清单计价，暂定总价；分部分项工程采用综合单价包干；措施项目费【除绿色施工安全防护措施费费采用费率包干外】采用固定总价包干，若基于本合同承包范围，当单纯性调减整项施工内容，扣除整项相关费用；其他项目费均采用固定总价包干。</w:t>
      </w:r>
    </w:p>
    <w:p>
      <w:pPr>
        <w:pStyle w:val="77"/>
        <w:ind w:firstLine="480"/>
        <w:rPr>
          <w:rFonts w:ascii="仿宋" w:hAnsi="仿宋" w:eastAsia="仿宋" w:cs="宋体"/>
          <w:color w:val="auto"/>
          <w:u w:val="single"/>
        </w:rPr>
      </w:pPr>
      <w:r>
        <w:rPr>
          <w:rFonts w:ascii="仿宋" w:hAnsi="仿宋" w:eastAsia="仿宋" w:cs="宋体"/>
          <w:color w:val="auto"/>
          <w:u w:val="single"/>
        </w:rPr>
        <w:t xml:space="preserve">17.2.2 </w:t>
      </w:r>
      <w:r>
        <w:rPr>
          <w:rFonts w:hint="eastAsia" w:ascii="仿宋" w:hAnsi="仿宋" w:eastAsia="仿宋" w:cs="宋体"/>
          <w:color w:val="auto"/>
          <w:u w:val="single"/>
        </w:rPr>
        <w:t>工程款支付方式</w:t>
      </w:r>
    </w:p>
    <w:p>
      <w:pPr>
        <w:pStyle w:val="52"/>
        <w:ind w:firstLine="420"/>
        <w:rPr>
          <w:rFonts w:ascii="仿宋" w:hAnsi="仿宋" w:eastAsia="仿宋" w:cs="仿宋"/>
          <w:color w:val="auto"/>
          <w:u w:val="single"/>
        </w:rPr>
      </w:pPr>
      <w:r>
        <w:rPr>
          <w:rFonts w:hint="eastAsia" w:ascii="仿宋" w:hAnsi="仿宋" w:eastAsia="仿宋" w:cs="仿宋"/>
          <w:color w:val="auto"/>
          <w:u w:val="single"/>
        </w:rPr>
        <w:t>1）本补充协议每期含税应付工程款100%采用现金支付。</w:t>
      </w:r>
    </w:p>
    <w:p>
      <w:pPr>
        <w:pStyle w:val="77"/>
        <w:ind w:firstLine="480"/>
        <w:rPr>
          <w:rFonts w:ascii="仿宋" w:hAnsi="仿宋" w:eastAsia="仿宋" w:cs="宋体"/>
          <w:bCs w:val="0"/>
          <w:color w:val="auto"/>
        </w:rPr>
      </w:pPr>
      <w:bookmarkStart w:id="142" w:name="_Toc44492607"/>
      <w:bookmarkStart w:id="143" w:name="_Toc21731"/>
      <w:bookmarkStart w:id="144" w:name="_Toc3610"/>
      <w:r>
        <w:rPr>
          <w:rFonts w:hint="eastAsia" w:ascii="仿宋" w:hAnsi="仿宋" w:eastAsia="仿宋" w:cs="宋体"/>
          <w:color w:val="auto"/>
        </w:rPr>
        <w:t>17.4.</w:t>
      </w:r>
      <w:r>
        <w:rPr>
          <w:rFonts w:hint="eastAsia" w:ascii="仿宋" w:hAnsi="仿宋" w:eastAsia="仿宋" w:cs="宋体"/>
          <w:color w:val="auto"/>
        </w:rPr>
        <w:tab/>
      </w:r>
      <w:r>
        <w:rPr>
          <w:rFonts w:hint="eastAsia" w:ascii="仿宋" w:hAnsi="仿宋" w:eastAsia="仿宋" w:cs="宋体"/>
          <w:color w:val="auto"/>
        </w:rPr>
        <w:t>预付款</w:t>
      </w:r>
      <w:bookmarkEnd w:id="142"/>
      <w:bookmarkEnd w:id="143"/>
      <w:bookmarkEnd w:id="144"/>
    </w:p>
    <w:p>
      <w:pPr>
        <w:adjustRightInd w:val="0"/>
        <w:snapToGrid w:val="0"/>
        <w:spacing w:line="360" w:lineRule="auto"/>
        <w:ind w:firstLine="420" w:firstLineChars="200"/>
        <w:jc w:val="left"/>
        <w:outlineLvl w:val="2"/>
        <w:rPr>
          <w:rFonts w:ascii="仿宋" w:hAnsi="仿宋" w:eastAsia="仿宋" w:cs="宋体"/>
          <w:kern w:val="0"/>
          <w:szCs w:val="21"/>
        </w:rPr>
      </w:pPr>
      <w:bookmarkStart w:id="145" w:name="_Toc44492608"/>
      <w:bookmarkStart w:id="146" w:name="_Toc26072"/>
      <w:bookmarkStart w:id="147" w:name="_Toc30989"/>
      <w:r>
        <w:rPr>
          <w:rFonts w:hint="eastAsia" w:ascii="仿宋" w:hAnsi="仿宋" w:eastAsia="仿宋" w:cs="宋体"/>
          <w:kern w:val="0"/>
          <w:szCs w:val="21"/>
        </w:rPr>
        <w:t>17.4.1 本补充协议不设置预付款。</w:t>
      </w:r>
    </w:p>
    <w:p>
      <w:pPr>
        <w:adjustRightInd w:val="0"/>
        <w:snapToGrid w:val="0"/>
        <w:spacing w:line="360" w:lineRule="auto"/>
        <w:ind w:firstLine="420" w:firstLineChars="200"/>
        <w:jc w:val="left"/>
        <w:rPr>
          <w:rFonts w:ascii="仿宋" w:hAnsi="仿宋" w:eastAsia="仿宋" w:cs="宋体"/>
          <w:kern w:val="0"/>
          <w:szCs w:val="21"/>
        </w:rPr>
      </w:pPr>
      <w:r>
        <w:rPr>
          <w:rFonts w:hint="eastAsia" w:ascii="仿宋" w:hAnsi="仿宋" w:eastAsia="仿宋" w:cs="宋体"/>
          <w:kern w:val="0"/>
          <w:szCs w:val="21"/>
        </w:rPr>
        <w:t>若</w:t>
      </w:r>
      <w:r>
        <w:rPr>
          <w:rFonts w:ascii="仿宋" w:hAnsi="仿宋" w:eastAsia="仿宋" w:cs="宋体"/>
          <w:kern w:val="0"/>
          <w:szCs w:val="21"/>
        </w:rPr>
        <w:t>发包人</w:t>
      </w:r>
      <w:r>
        <w:rPr>
          <w:rFonts w:hint="eastAsia" w:ascii="仿宋" w:hAnsi="仿宋" w:eastAsia="仿宋" w:cs="宋体"/>
          <w:kern w:val="0"/>
          <w:szCs w:val="21"/>
        </w:rPr>
        <w:t>为承包人代缴了劳动保险金，则在支付款或者最近一期进度款</w:t>
      </w:r>
      <w:r>
        <w:rPr>
          <w:rFonts w:ascii="仿宋" w:hAnsi="仿宋" w:eastAsia="仿宋" w:cs="宋体"/>
          <w:kern w:val="0"/>
          <w:szCs w:val="21"/>
        </w:rPr>
        <w:t>时，</w:t>
      </w:r>
      <w:r>
        <w:rPr>
          <w:rFonts w:hint="eastAsia" w:ascii="仿宋" w:hAnsi="仿宋" w:eastAsia="仿宋" w:cs="宋体"/>
          <w:kern w:val="0"/>
          <w:szCs w:val="21"/>
        </w:rPr>
        <w:t>一次性抵</w:t>
      </w:r>
      <w:r>
        <w:rPr>
          <w:rFonts w:ascii="仿宋" w:hAnsi="仿宋" w:eastAsia="仿宋" w:cs="宋体"/>
          <w:kern w:val="0"/>
          <w:szCs w:val="21"/>
        </w:rPr>
        <w:t>回发包人已缴劳动保险金额</w:t>
      </w:r>
      <w:r>
        <w:rPr>
          <w:rFonts w:hint="eastAsia" w:ascii="仿宋" w:hAnsi="仿宋" w:eastAsia="仿宋" w:cs="宋体"/>
          <w:kern w:val="0"/>
          <w:szCs w:val="21"/>
        </w:rPr>
        <w:t>。</w:t>
      </w:r>
    </w:p>
    <w:p>
      <w:pPr>
        <w:pStyle w:val="77"/>
        <w:ind w:firstLine="480"/>
        <w:rPr>
          <w:rFonts w:ascii="仿宋" w:hAnsi="仿宋" w:eastAsia="仿宋" w:cs="宋体"/>
          <w:color w:val="auto"/>
        </w:rPr>
      </w:pPr>
      <w:r>
        <w:rPr>
          <w:rFonts w:hint="eastAsia" w:ascii="仿宋" w:hAnsi="仿宋" w:eastAsia="仿宋" w:cs="宋体"/>
          <w:color w:val="auto"/>
        </w:rPr>
        <w:t>17.5.</w:t>
      </w:r>
      <w:r>
        <w:rPr>
          <w:rFonts w:hint="eastAsia" w:ascii="仿宋" w:hAnsi="仿宋" w:eastAsia="仿宋" w:cs="宋体"/>
          <w:color w:val="auto"/>
        </w:rPr>
        <w:tab/>
      </w:r>
      <w:r>
        <w:rPr>
          <w:rFonts w:hint="eastAsia" w:ascii="仿宋" w:hAnsi="仿宋" w:eastAsia="仿宋" w:cs="宋体"/>
          <w:color w:val="auto"/>
        </w:rPr>
        <w:t>工程进度付款</w:t>
      </w:r>
      <w:bookmarkEnd w:id="145"/>
      <w:bookmarkEnd w:id="146"/>
      <w:bookmarkEnd w:id="147"/>
    </w:p>
    <w:p>
      <w:pPr>
        <w:pStyle w:val="52"/>
        <w:ind w:firstLine="420"/>
        <w:rPr>
          <w:rFonts w:ascii="仿宋" w:hAnsi="仿宋" w:eastAsia="仿宋" w:cs="宋体"/>
          <w:color w:val="auto"/>
        </w:rPr>
      </w:pPr>
      <w:r>
        <w:rPr>
          <w:rFonts w:hint="eastAsia" w:ascii="仿宋" w:hAnsi="仿宋" w:eastAsia="仿宋" w:cs="宋体"/>
          <w:color w:val="auto"/>
        </w:rPr>
        <w:t>17.5.2. 工程进度款根据以下各施工节点形象进度完成情况支付:</w:t>
      </w:r>
    </w:p>
    <w:p>
      <w:pPr>
        <w:pStyle w:val="52"/>
        <w:ind w:firstLine="420"/>
        <w:rPr>
          <w:rFonts w:ascii="仿宋" w:hAnsi="仿宋" w:eastAsia="仿宋" w:cs="宋体"/>
          <w:color w:val="auto"/>
        </w:rPr>
      </w:pPr>
      <w:r>
        <w:rPr>
          <w:rFonts w:hint="eastAsia" w:ascii="仿宋" w:hAnsi="仿宋" w:eastAsia="仿宋" w:cs="宋体"/>
          <w:color w:val="auto"/>
        </w:rPr>
        <w:t>（1）绿色施工安全防护措施费支付方式：</w:t>
      </w:r>
    </w:p>
    <w:p>
      <w:pPr>
        <w:pStyle w:val="52"/>
        <w:ind w:firstLine="420"/>
        <w:rPr>
          <w:color w:val="auto"/>
        </w:rPr>
      </w:pPr>
      <w:r>
        <w:rPr>
          <w:rFonts w:hint="eastAsia"/>
          <w:color w:val="auto"/>
        </w:rPr>
        <w:t>安全文明施工费支付方式：在本工程开工日起计第28天内，且承包人已向发包人提交满足本工程要求的绿色施工安全防护措施方案与计划后，承包人可向发包人申请预付绿色施工安全防护措施费。经发包人审核满足支付条件后30天内，向承包人支付至绿色施工安全防护措施费总额的50%，同时扣减应扣款项。该预付款项从发包人支付第一期工程进度款时逐步扣回，每次回扣标准为当期已完工且合格工程估值中的对应绿色施工安全防护措施费，直至预付款项全部扣回为止。自该预付款全部扣回之日起，绿色施工安全防护措施费以当期工程进度完成的工程量为基础进行计算并随进度款同期、同比例支付。</w:t>
      </w:r>
    </w:p>
    <w:p>
      <w:pPr>
        <w:pStyle w:val="52"/>
        <w:ind w:firstLine="420"/>
        <w:rPr>
          <w:color w:val="auto"/>
        </w:rPr>
      </w:pPr>
      <w:r>
        <w:rPr>
          <w:rFonts w:hint="eastAsia"/>
          <w:color w:val="auto"/>
        </w:rPr>
        <w:t>承包人应建立绿色施工安全防护措施费账户，确保转款专用，在财务管理中单独列出安全防护、文明施工措施费清单；发包人有权对建设工程安全防护、文明施工措施的组织实施进行现场监督检查。</w:t>
      </w:r>
    </w:p>
    <w:p>
      <w:pPr>
        <w:pStyle w:val="52"/>
        <w:ind w:firstLine="420"/>
        <w:rPr>
          <w:rFonts w:ascii="仿宋" w:hAnsi="仿宋" w:eastAsia="仿宋" w:cs="宋体"/>
          <w:color w:val="auto"/>
        </w:rPr>
      </w:pPr>
      <w:r>
        <w:rPr>
          <w:rFonts w:hint="eastAsia" w:ascii="仿宋" w:hAnsi="仿宋" w:eastAsia="仿宋" w:cs="宋体"/>
          <w:color w:val="auto"/>
        </w:rPr>
        <w:t>（2）工程进度款</w:t>
      </w:r>
    </w:p>
    <w:p>
      <w:pPr>
        <w:adjustRightInd w:val="0"/>
        <w:snapToGrid w:val="0"/>
        <w:spacing w:line="360" w:lineRule="auto"/>
        <w:ind w:firstLine="420" w:firstLineChars="200"/>
        <w:jc w:val="left"/>
        <w:outlineLvl w:val="3"/>
        <w:rPr>
          <w:rFonts w:ascii="仿宋" w:hAnsi="仿宋" w:eastAsia="仿宋" w:cs="宋体"/>
          <w:bCs/>
          <w:kern w:val="0"/>
          <w:szCs w:val="28"/>
        </w:rPr>
      </w:pPr>
      <w:r>
        <w:rPr>
          <w:rFonts w:hint="eastAsia" w:ascii="仿宋" w:hAnsi="仿宋" w:eastAsia="仿宋" w:cs="宋体"/>
          <w:bCs/>
          <w:kern w:val="0"/>
          <w:szCs w:val="28"/>
        </w:rPr>
        <w:t>1）</w:t>
      </w:r>
      <w:r>
        <w:rPr>
          <w:rFonts w:hint="eastAsia" w:ascii="仿宋" w:hAnsi="仿宋" w:eastAsia="仿宋" w:cs="仿宋"/>
          <w:b/>
          <w:bCs/>
          <w:kern w:val="0"/>
          <w:szCs w:val="28"/>
        </w:rPr>
        <w:t>工人工资费用由</w:t>
      </w:r>
      <w:r>
        <w:rPr>
          <w:rFonts w:hint="eastAsia" w:ascii="仿宋" w:hAnsi="仿宋" w:eastAsia="仿宋" w:cs="仿宋"/>
          <w:bCs/>
          <w:kern w:val="0"/>
          <w:szCs w:val="28"/>
        </w:rPr>
        <w:t>发包人支付至承包人工人工资支付专用账户，其余部分款项发包人支付至协议书所注明的承包人银行账户。本合同条款中有关工人工资的约定与穗建筑【2020】431号不一致的，以穗建筑【2020】431号文为准，具体实施细节由发包人及承包人后续另行协商约定。如后续政府颁发有关工人工资的新要求，则以政府最新要求为准。</w:t>
      </w:r>
    </w:p>
    <w:p>
      <w:pPr>
        <w:adjustRightInd w:val="0"/>
        <w:snapToGrid w:val="0"/>
        <w:spacing w:line="360" w:lineRule="auto"/>
        <w:ind w:firstLine="420" w:firstLineChars="200"/>
        <w:jc w:val="left"/>
        <w:outlineLvl w:val="3"/>
        <w:rPr>
          <w:rFonts w:ascii="仿宋_GB2312" w:hAnsi="宋体" w:eastAsia="仿宋_GB2312" w:cs="宋体"/>
          <w:bCs/>
          <w:kern w:val="0"/>
          <w:szCs w:val="28"/>
        </w:rPr>
      </w:pPr>
      <w:r>
        <w:rPr>
          <w:rFonts w:hint="eastAsia" w:ascii="仿宋_GB2312" w:hAnsi="宋体" w:eastAsia="仿宋_GB2312" w:cs="宋体"/>
          <w:bCs/>
          <w:kern w:val="0"/>
          <w:szCs w:val="28"/>
        </w:rPr>
        <w:t>2）工程进度款每月支付一次,每月25日前由承包人提出书面支付申请，经发包人审核确认无误后，发包人向承包人支付上月内已完成合格工程量估算价值的 80%（含已支付的材料设备进度款）；如本工程的主要材料设备（仅限于母线槽、电缆、电线及发电机组）到场未安装的，则经监理单位及发包人验收合格后，可按货到现场的材料设备对应的合同货款的50%请款（合同货款=经确认的货到现场的工程量×合同主材单价×（1+税金9%）），已支付的货款在该等材料设备已完成安装合格的当期进度款支付时扣回。工人工资每月支付一次，经发包人审定应付进度款后，按合同约定比例支付至承包人的工人工资专户中。</w:t>
      </w:r>
    </w:p>
    <w:p>
      <w:pPr>
        <w:adjustRightInd w:val="0"/>
        <w:snapToGrid w:val="0"/>
        <w:spacing w:line="360" w:lineRule="auto"/>
        <w:ind w:firstLine="420" w:firstLineChars="200"/>
        <w:jc w:val="left"/>
        <w:outlineLvl w:val="3"/>
        <w:rPr>
          <w:rFonts w:ascii="仿宋_GB2312" w:hAnsi="宋体" w:eastAsia="仿宋_GB2312" w:cs="宋体"/>
          <w:bCs/>
          <w:kern w:val="0"/>
          <w:szCs w:val="28"/>
        </w:rPr>
      </w:pPr>
      <w:r>
        <w:rPr>
          <w:rFonts w:hint="eastAsia" w:ascii="仿宋_GB2312" w:hAnsi="宋体" w:eastAsia="仿宋_GB2312" w:cs="宋体"/>
          <w:bCs/>
          <w:kern w:val="0"/>
          <w:szCs w:val="28"/>
        </w:rPr>
        <w:t>3）现场签证和设计变更费用支付：发包人已完工且核价完成的现场签证和设计变更的增减费用，在随后最近一期进度款中按已完成合格工程产值的80%支付或扣减，同时扣除其他应扣款项。但累计变更、签证工程价款超出合同价款10%，则暂停支付。</w:t>
      </w:r>
    </w:p>
    <w:p>
      <w:pPr>
        <w:adjustRightInd w:val="0"/>
        <w:snapToGrid w:val="0"/>
        <w:spacing w:line="360" w:lineRule="auto"/>
        <w:ind w:firstLine="420" w:firstLineChars="200"/>
        <w:jc w:val="left"/>
        <w:outlineLvl w:val="3"/>
        <w:rPr>
          <w:rFonts w:ascii="仿宋_GB2312" w:hAnsi="宋体" w:eastAsia="仿宋_GB2312" w:cs="宋体"/>
          <w:bCs/>
          <w:kern w:val="0"/>
          <w:szCs w:val="28"/>
        </w:rPr>
      </w:pPr>
      <w:r>
        <w:rPr>
          <w:rFonts w:hint="eastAsia" w:ascii="仿宋_GB2312" w:hAnsi="宋体" w:eastAsia="仿宋_GB2312" w:cs="宋体"/>
          <w:bCs/>
          <w:kern w:val="0"/>
          <w:szCs w:val="28"/>
        </w:rPr>
        <w:t>4）本工程竣工验收合格、工程备案完成、承包人的全部设备、机械、材料及其他物品撤离施工场地，且按合同约定提交全部发包人和监理单位确认的竣工资料并经监理人及发包人审核通过后，工程进度款累计支付至经发包人确认的已完成且质量合格工程产值的83%，同时扣除其他应扣款项。</w:t>
      </w:r>
    </w:p>
    <w:p>
      <w:pPr>
        <w:adjustRightInd w:val="0"/>
        <w:snapToGrid w:val="0"/>
        <w:spacing w:line="360" w:lineRule="auto"/>
        <w:ind w:firstLine="420" w:firstLineChars="200"/>
        <w:jc w:val="left"/>
        <w:outlineLvl w:val="3"/>
        <w:rPr>
          <w:rFonts w:ascii="仿宋_GB2312" w:hAnsi="宋体" w:eastAsia="仿宋_GB2312" w:cs="宋体"/>
          <w:bCs/>
          <w:kern w:val="0"/>
          <w:szCs w:val="28"/>
        </w:rPr>
      </w:pPr>
      <w:r>
        <w:rPr>
          <w:rFonts w:hint="eastAsia" w:ascii="仿宋_GB2312" w:hAnsi="宋体" w:eastAsia="仿宋_GB2312" w:cs="宋体"/>
          <w:bCs/>
          <w:kern w:val="0"/>
          <w:szCs w:val="28"/>
        </w:rPr>
        <w:t>5）承包人应按本合同竣工结算相关要求提交发包人认可的完整竣工结算资料支付至已完成且质量合格工程产值的 85%。积极配合发包人组织的竣工结算审核，经承发包双方书面确认竣工结算后，承包人向发包人申请工程款支付至发包人书面确认的竣工结算总额的97%，同时扣除其他应扣款项。质量保证金为本合同工程总结算价的3%，根据本合同附件《工程质量保修书》约定无息支付，同时扣除应扣款项 。</w:t>
      </w:r>
    </w:p>
    <w:p>
      <w:pPr>
        <w:adjustRightInd w:val="0"/>
        <w:snapToGrid w:val="0"/>
        <w:spacing w:line="360" w:lineRule="auto"/>
        <w:ind w:firstLine="420" w:firstLineChars="200"/>
        <w:jc w:val="left"/>
        <w:outlineLvl w:val="3"/>
        <w:rPr>
          <w:rFonts w:ascii="仿宋_GB2312" w:hAnsi="宋体" w:eastAsia="仿宋" w:cs="宋体"/>
          <w:bCs/>
          <w:kern w:val="0"/>
          <w:szCs w:val="28"/>
        </w:rPr>
      </w:pPr>
      <w:r>
        <w:rPr>
          <w:rFonts w:hint="eastAsia" w:ascii="仿宋_GB2312" w:hAnsi="宋体" w:eastAsia="仿宋_GB2312" w:cs="宋体"/>
          <w:bCs/>
          <w:kern w:val="0"/>
          <w:szCs w:val="28"/>
        </w:rPr>
        <w:t>6）</w:t>
      </w:r>
      <w:r>
        <w:rPr>
          <w:rFonts w:hint="eastAsia" w:ascii="仿宋" w:hAnsi="仿宋" w:eastAsia="仿宋" w:cs="仿宋"/>
        </w:rPr>
        <w:t>上述付款条件成立后，承包人向发包人提出书面支付申请，并提供与应付款金额等额的税务部门验证合格的增值税专用发票（结算款支付时，承包人按合同总结算价向发包人提供余额增值税专用发票），工程进度款审批期限为28天，自承包人向发包人书面提出付款申请或经发包人要求后重新提出付款申请并附齐相关证明之日起计。若承包人未提供书面付款申请或提供非正规（不合格）增值税专用发票，发包人有权不予支付任何款项且无需承担逾期付款的违约责任。</w:t>
      </w:r>
    </w:p>
    <w:p>
      <w:pPr>
        <w:pStyle w:val="52"/>
        <w:ind w:firstLine="420"/>
        <w:rPr>
          <w:color w:val="auto"/>
        </w:rPr>
      </w:pPr>
      <w:r>
        <w:rPr>
          <w:rFonts w:hint="eastAsia"/>
          <w:color w:val="auto"/>
        </w:rPr>
        <w:t>承包人付款申请经发包人审核确认后，发包人通知承包人本期工程款应支付金额,承包人应根据发包人审核确认的应付工程进度款金额的100%向发包人开具合规增值税专用发票（结算款支付时，承包人按合同总结算价向发包人提供余额的增值税专用发票），发包人在收到承包人提供的增值税专用发票后28天内支付工程款。对付款金额有异议的，发包人将在该期限内先支付已确认部分的款项。承包人应及时报送工程验收资料，资料不完整的视作该项工作未完成，进度款中不予确认。</w:t>
      </w:r>
    </w:p>
    <w:p>
      <w:pPr>
        <w:adjustRightInd w:val="0"/>
        <w:snapToGrid w:val="0"/>
        <w:spacing w:line="360" w:lineRule="auto"/>
        <w:ind w:firstLine="420" w:firstLineChars="200"/>
        <w:jc w:val="left"/>
        <w:outlineLvl w:val="3"/>
        <w:rPr>
          <w:rFonts w:ascii="仿宋_GB2312" w:hAnsi="宋体" w:eastAsia="仿宋_GB2312" w:cs="宋体"/>
          <w:bCs/>
          <w:kern w:val="0"/>
          <w:szCs w:val="28"/>
        </w:rPr>
      </w:pPr>
      <w:r>
        <w:rPr>
          <w:rFonts w:hint="eastAsia" w:ascii="仿宋_GB2312" w:hAnsi="宋体" w:eastAsia="仿宋_GB2312" w:cs="宋体"/>
          <w:bCs/>
          <w:kern w:val="0"/>
          <w:szCs w:val="28"/>
        </w:rPr>
        <w:t>7）工程进度款支付时，应满足当地政府主管部门对工人工资管理与支付的相关规定，承包人应及时办理工人工资支付专户开户及签署监管协议相关事宜。</w:t>
      </w:r>
    </w:p>
    <w:p>
      <w:pPr>
        <w:pStyle w:val="52"/>
        <w:numPr>
          <w:ilvl w:val="255"/>
          <w:numId w:val="0"/>
        </w:numPr>
        <w:ind w:firstLine="420"/>
        <w:rPr>
          <w:color w:val="auto"/>
        </w:rPr>
      </w:pPr>
      <w:bookmarkStart w:id="148" w:name="_Toc27342"/>
      <w:bookmarkStart w:id="149" w:name="_Toc44492610"/>
      <w:bookmarkStart w:id="150" w:name="_Toc17933"/>
      <w:r>
        <w:rPr>
          <w:rFonts w:hint="eastAsia" w:ascii="仿宋_GB2312" w:hAnsi="宋体" w:cs="宋体"/>
          <w:bCs/>
          <w:szCs w:val="28"/>
        </w:rPr>
        <w:t>8）</w:t>
      </w:r>
      <w:r>
        <w:rPr>
          <w:rFonts w:hint="eastAsia"/>
          <w:color w:val="auto"/>
        </w:rPr>
        <w:t>每笔工程进度款支付时，甲方按该笔工程资金15%的比例，将资金划入工资支付专用账户。</w:t>
      </w:r>
    </w:p>
    <w:p>
      <w:pPr>
        <w:pStyle w:val="77"/>
        <w:ind w:firstLine="480"/>
        <w:rPr>
          <w:rFonts w:ascii="仿宋" w:hAnsi="仿宋" w:eastAsia="仿宋" w:cs="宋体"/>
          <w:color w:val="auto"/>
        </w:rPr>
      </w:pPr>
      <w:r>
        <w:rPr>
          <w:rFonts w:hint="eastAsia" w:ascii="仿宋" w:hAnsi="仿宋" w:eastAsia="仿宋" w:cs="宋体"/>
          <w:color w:val="auto"/>
        </w:rPr>
        <w:t>17.7.</w:t>
      </w:r>
      <w:r>
        <w:rPr>
          <w:rFonts w:hint="eastAsia" w:ascii="仿宋" w:hAnsi="仿宋" w:eastAsia="仿宋" w:cs="宋体"/>
          <w:color w:val="auto"/>
        </w:rPr>
        <w:tab/>
      </w:r>
      <w:r>
        <w:rPr>
          <w:rFonts w:hint="eastAsia" w:ascii="仿宋" w:hAnsi="仿宋" w:eastAsia="仿宋" w:cs="宋体"/>
          <w:color w:val="auto"/>
        </w:rPr>
        <w:t>竣工结算</w:t>
      </w:r>
      <w:bookmarkEnd w:id="148"/>
      <w:bookmarkEnd w:id="149"/>
      <w:bookmarkEnd w:id="150"/>
    </w:p>
    <w:p>
      <w:pPr>
        <w:spacing w:line="360" w:lineRule="auto"/>
        <w:ind w:firstLine="420" w:firstLineChars="200"/>
        <w:rPr>
          <w:rFonts w:ascii="仿宋" w:hAnsi="仿宋" w:eastAsia="仿宋" w:cs="宋体"/>
          <w:kern w:val="0"/>
          <w:szCs w:val="32"/>
        </w:rPr>
      </w:pPr>
      <w:r>
        <w:rPr>
          <w:rFonts w:hint="eastAsia" w:ascii="仿宋" w:hAnsi="仿宋" w:eastAsia="仿宋" w:cs="宋体"/>
          <w:kern w:val="0"/>
          <w:szCs w:val="32"/>
        </w:rPr>
        <w:t xml:space="preserve">17.7.2  </w:t>
      </w:r>
      <w:r>
        <w:rPr>
          <w:rFonts w:hint="eastAsia" w:ascii="仿宋" w:hAnsi="仿宋" w:eastAsia="仿宋" w:cs="仿宋"/>
        </w:rPr>
        <w:t>自本补充协议施工内容完成并验收合格后，承包人应在验收之日起90天内上报完整、有效的结算书及相关资料，发包人在收到承包人提交的工程结算书之日起120天内进行审核，给予确认或提出修改意见，并将审核结果通知承包人。承包人确认同意的，则发包人审定的价款为本工程的竣工结算价款的最终依据；如承包人不同意的，双方针对争议部分进行核对和协商；经核对协商不能解决的争议部分，按本合同关于争议的约定处理。发包人与承包人就结算问题进行的沟通、协商、确认仅为协商过程性的行为。除非发包人法定代表人签字并加盖发包人公章，任何形式的文件以及任何人的行为都不能视为发包人对本工程结算的认可。</w:t>
      </w:r>
    </w:p>
    <w:p>
      <w:pPr>
        <w:pStyle w:val="52"/>
        <w:ind w:firstLine="420"/>
        <w:rPr>
          <w:rFonts w:ascii="仿宋" w:hAnsi="仿宋" w:eastAsia="仿宋" w:cs="宋体"/>
          <w:color w:val="auto"/>
        </w:rPr>
      </w:pPr>
      <w:r>
        <w:rPr>
          <w:rFonts w:hint="eastAsia" w:ascii="仿宋" w:hAnsi="仿宋" w:eastAsia="仿宋" w:cs="宋体"/>
          <w:color w:val="auto"/>
        </w:rPr>
        <w:t>17.7.7 对于竣工结算的其他约定：</w:t>
      </w:r>
    </w:p>
    <w:p>
      <w:pPr>
        <w:pStyle w:val="52"/>
        <w:ind w:firstLine="0" w:firstLineChars="0"/>
        <w:rPr>
          <w:rFonts w:ascii="仿宋" w:hAnsi="仿宋" w:eastAsia="仿宋" w:cs="宋体"/>
          <w:color w:val="auto"/>
          <w:u w:val="single"/>
        </w:rPr>
      </w:pPr>
      <w:r>
        <w:rPr>
          <w:rFonts w:hint="eastAsia" w:ascii="仿宋" w:hAnsi="仿宋" w:eastAsia="仿宋" w:cs="宋体"/>
          <w:color w:val="auto"/>
        </w:rPr>
        <w:t>8）本工程竣工结算方式</w:t>
      </w:r>
      <w:r>
        <w:rPr>
          <w:rFonts w:hint="eastAsia" w:ascii="仿宋" w:hAnsi="仿宋" w:eastAsia="仿宋" w:cs="宋体"/>
          <w:b/>
          <w:bCs/>
          <w:color w:val="auto"/>
        </w:rPr>
        <w:t>：</w:t>
      </w:r>
    </w:p>
    <w:p>
      <w:pPr>
        <w:pStyle w:val="52"/>
        <w:ind w:firstLine="420"/>
        <w:rPr>
          <w:color w:val="auto"/>
        </w:rPr>
      </w:pPr>
      <w:bookmarkStart w:id="151" w:name="_Toc44228171"/>
      <w:bookmarkStart w:id="152" w:name="_Toc38987288"/>
      <w:bookmarkStart w:id="153" w:name="_Toc30044"/>
      <w:bookmarkStart w:id="154" w:name="_Toc19809"/>
      <w:bookmarkStart w:id="155" w:name="_Toc1433"/>
      <w:bookmarkStart w:id="156" w:name="_Toc44492616"/>
      <w:bookmarkStart w:id="157" w:name="_Toc8364"/>
      <w:r>
        <w:rPr>
          <w:rFonts w:hint="eastAsia"/>
          <w:color w:val="auto"/>
        </w:rPr>
        <w:t>竣工结算=竣工图（含设计变更）+签证+索赔+其他；</w:t>
      </w:r>
    </w:p>
    <w:p>
      <w:pPr>
        <w:pStyle w:val="52"/>
        <w:ind w:firstLine="420"/>
        <w:rPr>
          <w:color w:val="auto"/>
        </w:rPr>
      </w:pPr>
      <w:r>
        <w:rPr>
          <w:rFonts w:hint="eastAsia"/>
          <w:color w:val="auto"/>
        </w:rPr>
        <w:t>承包人申报结算时不得高估冒算，承包人结算价超报率超过10%时，承包人应承担结算超报违约责任，结算超报违约金计算原则如下：</w:t>
      </w:r>
    </w:p>
    <w:p>
      <w:pPr>
        <w:pStyle w:val="52"/>
        <w:ind w:firstLine="420"/>
        <w:rPr>
          <w:color w:val="auto"/>
        </w:rPr>
      </w:pPr>
      <w:r>
        <w:rPr>
          <w:rFonts w:hint="eastAsia"/>
          <w:color w:val="auto"/>
        </w:rPr>
        <w:t>结算价超报率=（承包人结算送审造价－发包人结算审定价）/发包人结算审定价</w:t>
      </w:r>
    </w:p>
    <w:p>
      <w:pPr>
        <w:pStyle w:val="52"/>
        <w:ind w:firstLine="420"/>
        <w:rPr>
          <w:color w:val="auto"/>
        </w:rPr>
      </w:pPr>
      <w:r>
        <w:rPr>
          <w:rFonts w:hint="eastAsia"/>
          <w:color w:val="auto"/>
        </w:rPr>
        <w:t>①承包人结算价超报率在10%（不含本数）~20%（含本数）时：</w:t>
      </w:r>
    </w:p>
    <w:p>
      <w:pPr>
        <w:pStyle w:val="52"/>
        <w:ind w:firstLine="420"/>
        <w:rPr>
          <w:color w:val="auto"/>
        </w:rPr>
      </w:pPr>
      <w:r>
        <w:rPr>
          <w:rFonts w:hint="eastAsia"/>
          <w:color w:val="auto"/>
        </w:rPr>
        <w:t>违约金＝(承包人结算送审造价－发包人结算审定价×1.</w:t>
      </w:r>
      <w:r>
        <w:rPr>
          <w:color w:val="auto"/>
        </w:rPr>
        <w:t>1)×5%</w:t>
      </w:r>
      <w:r>
        <w:rPr>
          <w:rFonts w:hint="eastAsia"/>
          <w:color w:val="auto"/>
        </w:rPr>
        <w:t>。</w:t>
      </w:r>
    </w:p>
    <w:p>
      <w:pPr>
        <w:pStyle w:val="52"/>
        <w:ind w:left="420" w:firstLine="0" w:firstLineChars="0"/>
        <w:rPr>
          <w:color w:val="auto"/>
        </w:rPr>
      </w:pPr>
      <w:r>
        <w:rPr>
          <w:rFonts w:hint="eastAsia" w:ascii="宋体" w:hAnsi="宋体" w:eastAsia="宋体" w:cs="宋体"/>
          <w:color w:val="auto"/>
        </w:rPr>
        <w:t>②</w:t>
      </w:r>
      <w:r>
        <w:rPr>
          <w:rFonts w:hint="eastAsia" w:eastAsia="宋体"/>
          <w:color w:val="auto"/>
        </w:rPr>
        <w:t>承包</w:t>
      </w:r>
      <w:r>
        <w:rPr>
          <w:rFonts w:hint="eastAsia"/>
          <w:color w:val="auto"/>
        </w:rPr>
        <w:t>人结算价超报率在</w:t>
      </w:r>
      <w:r>
        <w:rPr>
          <w:color w:val="auto"/>
        </w:rPr>
        <w:t>2</w:t>
      </w:r>
      <w:r>
        <w:rPr>
          <w:rFonts w:hint="eastAsia"/>
          <w:color w:val="auto"/>
        </w:rPr>
        <w:t>0%以上时：</w:t>
      </w:r>
    </w:p>
    <w:p>
      <w:pPr>
        <w:pStyle w:val="52"/>
        <w:ind w:firstLine="420"/>
        <w:rPr>
          <w:color w:val="auto"/>
        </w:rPr>
      </w:pPr>
      <w:r>
        <w:rPr>
          <w:rFonts w:hint="eastAsia"/>
          <w:color w:val="auto"/>
        </w:rPr>
        <w:t>违约金＝发包人结算审定价×0.1</w:t>
      </w:r>
      <w:r>
        <w:rPr>
          <w:color w:val="auto"/>
        </w:rPr>
        <w:t>×5%</w:t>
      </w:r>
      <w:r>
        <w:rPr>
          <w:rFonts w:hint="eastAsia"/>
          <w:color w:val="auto"/>
        </w:rPr>
        <w:t>+(承包人结算送审造价－发包人结算审定价×1.2)×</w:t>
      </w:r>
      <w:r>
        <w:rPr>
          <w:color w:val="auto"/>
        </w:rPr>
        <w:t>10</w:t>
      </w:r>
      <w:r>
        <w:rPr>
          <w:rFonts w:hint="eastAsia"/>
          <w:color w:val="auto"/>
        </w:rPr>
        <w:t>%。</w:t>
      </w:r>
    </w:p>
    <w:p>
      <w:pPr>
        <w:pStyle w:val="73"/>
        <w:spacing w:before="60" w:after="60"/>
        <w:rPr>
          <w:rFonts w:ascii="仿宋" w:hAnsi="仿宋" w:eastAsia="仿宋" w:cs="宋体"/>
          <w:color w:val="auto"/>
        </w:rPr>
      </w:pPr>
      <w:r>
        <w:rPr>
          <w:rFonts w:hint="eastAsia" w:ascii="仿宋" w:hAnsi="仿宋" w:eastAsia="仿宋" w:cs="宋体"/>
          <w:color w:val="auto"/>
        </w:rPr>
        <w:t>19.缺陷责任</w:t>
      </w:r>
      <w:bookmarkEnd w:id="151"/>
      <w:bookmarkEnd w:id="152"/>
      <w:bookmarkEnd w:id="153"/>
      <w:bookmarkEnd w:id="154"/>
      <w:bookmarkEnd w:id="155"/>
      <w:bookmarkEnd w:id="156"/>
      <w:bookmarkStart w:id="158" w:name="_Toc9017"/>
      <w:bookmarkStart w:id="159" w:name="_Toc15926"/>
      <w:bookmarkStart w:id="160" w:name="_Toc44492617"/>
      <w:r>
        <w:rPr>
          <w:rFonts w:hint="eastAsia" w:ascii="仿宋" w:hAnsi="仿宋" w:eastAsia="仿宋" w:cs="宋体"/>
          <w:color w:val="auto"/>
        </w:rPr>
        <w:t>与保修</w:t>
      </w:r>
      <w:bookmarkEnd w:id="157"/>
    </w:p>
    <w:p>
      <w:pPr>
        <w:pStyle w:val="77"/>
        <w:ind w:firstLine="480"/>
        <w:rPr>
          <w:rFonts w:ascii="仿宋" w:hAnsi="仿宋" w:eastAsia="仿宋" w:cs="宋体"/>
          <w:color w:val="auto"/>
        </w:rPr>
      </w:pPr>
      <w:r>
        <w:rPr>
          <w:rFonts w:hint="eastAsia" w:ascii="仿宋" w:hAnsi="仿宋" w:eastAsia="仿宋" w:cs="宋体"/>
          <w:color w:val="auto"/>
        </w:rPr>
        <w:t>19.2.</w:t>
      </w:r>
      <w:r>
        <w:rPr>
          <w:rFonts w:hint="eastAsia" w:ascii="仿宋" w:hAnsi="仿宋" w:eastAsia="仿宋" w:cs="宋体"/>
          <w:color w:val="auto"/>
        </w:rPr>
        <w:tab/>
      </w:r>
      <w:r>
        <w:rPr>
          <w:rFonts w:hint="eastAsia" w:ascii="仿宋" w:hAnsi="仿宋" w:eastAsia="仿宋" w:cs="宋体"/>
          <w:color w:val="auto"/>
        </w:rPr>
        <w:t xml:space="preserve"> 缺陷责任期</w:t>
      </w:r>
      <w:bookmarkEnd w:id="158"/>
      <w:bookmarkEnd w:id="159"/>
      <w:bookmarkEnd w:id="160"/>
    </w:p>
    <w:p>
      <w:pPr>
        <w:pStyle w:val="52"/>
        <w:ind w:firstLine="420"/>
        <w:rPr>
          <w:color w:val="auto"/>
        </w:rPr>
      </w:pPr>
      <w:r>
        <w:rPr>
          <w:rFonts w:hint="eastAsia" w:ascii="仿宋" w:hAnsi="仿宋" w:eastAsia="仿宋" w:cs="宋体"/>
          <w:color w:val="auto"/>
        </w:rPr>
        <w:t xml:space="preserve">19.2.1. </w:t>
      </w:r>
      <w:r>
        <w:rPr>
          <w:rFonts w:hint="eastAsia"/>
          <w:color w:val="auto"/>
        </w:rPr>
        <w:t>本合同中的缺陷责任期为两年，自项目</w:t>
      </w:r>
      <w:r>
        <w:rPr>
          <w:rFonts w:hint="eastAsia"/>
          <w:color w:val="auto"/>
          <w:u w:val="single"/>
        </w:rPr>
        <w:t xml:space="preserve">竣工验收合格之日 </w:t>
      </w:r>
      <w:r>
        <w:rPr>
          <w:rFonts w:hint="eastAsia"/>
          <w:color w:val="auto"/>
        </w:rPr>
        <w:t>起计算，缺陷责任</w:t>
      </w:r>
      <w:r>
        <w:rPr>
          <w:color w:val="auto"/>
        </w:rPr>
        <w:t>期内，</w:t>
      </w:r>
      <w:r>
        <w:rPr>
          <w:rFonts w:hint="eastAsia"/>
          <w:color w:val="auto"/>
        </w:rPr>
        <w:t>由承包</w:t>
      </w:r>
      <w:r>
        <w:rPr>
          <w:color w:val="auto"/>
        </w:rPr>
        <w:t>人原因造成的缺陷，</w:t>
      </w:r>
      <w:r>
        <w:rPr>
          <w:rFonts w:hint="eastAsia"/>
          <w:color w:val="auto"/>
        </w:rPr>
        <w:t>承包人</w:t>
      </w:r>
      <w:r>
        <w:rPr>
          <w:color w:val="auto"/>
        </w:rPr>
        <w:t>应负责维修，并承担鉴定及维修费用</w:t>
      </w:r>
      <w:r>
        <w:rPr>
          <w:rFonts w:hint="eastAsia"/>
          <w:color w:val="auto"/>
        </w:rPr>
        <w:t>。如承包</w:t>
      </w:r>
      <w:r>
        <w:rPr>
          <w:color w:val="auto"/>
        </w:rPr>
        <w:t>人不维修也不承担费用，</w:t>
      </w:r>
      <w:r>
        <w:rPr>
          <w:rFonts w:hint="eastAsia"/>
          <w:color w:val="auto"/>
        </w:rPr>
        <w:t>发包人</w:t>
      </w:r>
      <w:r>
        <w:rPr>
          <w:color w:val="auto"/>
        </w:rPr>
        <w:t>可按合同约定从预留的</w:t>
      </w:r>
      <w:r>
        <w:rPr>
          <w:rFonts w:hint="eastAsia"/>
          <w:color w:val="auto"/>
        </w:rPr>
        <w:t>质量</w:t>
      </w:r>
      <w:r>
        <w:rPr>
          <w:color w:val="auto"/>
        </w:rPr>
        <w:t>保证金中扣除，费用超出</w:t>
      </w:r>
      <w:r>
        <w:rPr>
          <w:rFonts w:hint="eastAsia"/>
          <w:color w:val="auto"/>
        </w:rPr>
        <w:t>质量</w:t>
      </w:r>
      <w:r>
        <w:rPr>
          <w:color w:val="auto"/>
        </w:rPr>
        <w:t>保证金金额的，</w:t>
      </w:r>
      <w:r>
        <w:rPr>
          <w:rFonts w:hint="eastAsia"/>
          <w:color w:val="auto"/>
        </w:rPr>
        <w:t>承包人应补足。承包</w:t>
      </w:r>
      <w:r>
        <w:rPr>
          <w:color w:val="auto"/>
        </w:rPr>
        <w:t>人</w:t>
      </w:r>
      <w:r>
        <w:rPr>
          <w:rFonts w:hint="eastAsia"/>
          <w:color w:val="auto"/>
        </w:rPr>
        <w:t>维修</w:t>
      </w:r>
      <w:r>
        <w:rPr>
          <w:color w:val="auto"/>
        </w:rPr>
        <w:t>并承担相应费用后，不免除对工程</w:t>
      </w:r>
      <w:r>
        <w:rPr>
          <w:rFonts w:hint="eastAsia"/>
          <w:color w:val="auto"/>
        </w:rPr>
        <w:t>的</w:t>
      </w:r>
      <w:r>
        <w:rPr>
          <w:color w:val="auto"/>
        </w:rPr>
        <w:t>损失赔偿责任。</w:t>
      </w:r>
    </w:p>
    <w:p>
      <w:pPr>
        <w:pStyle w:val="52"/>
        <w:ind w:firstLine="420"/>
        <w:rPr>
          <w:rFonts w:ascii="仿宋" w:hAnsi="仿宋" w:eastAsia="仿宋" w:cs="宋体"/>
          <w:color w:val="auto"/>
        </w:rPr>
      </w:pPr>
      <w:r>
        <w:rPr>
          <w:color w:val="auto"/>
        </w:rPr>
        <w:t>工程质量</w:t>
      </w:r>
      <w:r>
        <w:rPr>
          <w:rFonts w:hint="eastAsia"/>
          <w:color w:val="auto"/>
        </w:rPr>
        <w:t>保修时间、责任及程序详细约定见附件5 《工程质量保修书》。</w:t>
      </w:r>
    </w:p>
    <w:p>
      <w:pPr>
        <w:pStyle w:val="73"/>
        <w:spacing w:before="60" w:after="60"/>
        <w:rPr>
          <w:rFonts w:ascii="仿宋" w:hAnsi="仿宋" w:eastAsia="仿宋" w:cs="宋体"/>
          <w:color w:val="auto"/>
        </w:rPr>
      </w:pPr>
      <w:bookmarkStart w:id="161" w:name="_Toc38987291"/>
      <w:bookmarkStart w:id="162" w:name="_Toc21471"/>
      <w:bookmarkStart w:id="163" w:name="_Toc8129"/>
      <w:bookmarkStart w:id="164" w:name="_Toc9988"/>
      <w:bookmarkStart w:id="165" w:name="_Toc20588"/>
      <w:bookmarkStart w:id="166" w:name="_Toc44492622"/>
      <w:bookmarkStart w:id="167" w:name="_Toc44228174"/>
      <w:r>
        <w:rPr>
          <w:rFonts w:hint="eastAsia" w:ascii="仿宋" w:hAnsi="仿宋" w:eastAsia="仿宋" w:cs="宋体"/>
          <w:color w:val="auto"/>
        </w:rPr>
        <w:t>22.违约</w:t>
      </w:r>
      <w:bookmarkEnd w:id="161"/>
      <w:bookmarkEnd w:id="162"/>
      <w:bookmarkEnd w:id="163"/>
      <w:bookmarkEnd w:id="164"/>
      <w:bookmarkEnd w:id="165"/>
      <w:bookmarkEnd w:id="166"/>
      <w:bookmarkEnd w:id="167"/>
      <w:bookmarkStart w:id="168" w:name="_Toc20484"/>
      <w:bookmarkStart w:id="169" w:name="_Toc44492623"/>
      <w:bookmarkStart w:id="170" w:name="_Toc13732"/>
    </w:p>
    <w:bookmarkEnd w:id="168"/>
    <w:bookmarkEnd w:id="169"/>
    <w:bookmarkEnd w:id="170"/>
    <w:p>
      <w:pPr>
        <w:pStyle w:val="77"/>
        <w:ind w:firstLine="420"/>
        <w:rPr>
          <w:rFonts w:eastAsia="仿宋_GB2312"/>
          <w:bCs w:val="0"/>
          <w:color w:val="auto"/>
          <w:kern w:val="0"/>
          <w:sz w:val="21"/>
        </w:rPr>
      </w:pPr>
      <w:bookmarkStart w:id="171" w:name="_Toc44492625"/>
      <w:r>
        <w:rPr>
          <w:rFonts w:hint="eastAsia" w:eastAsia="仿宋_GB2312"/>
          <w:bCs w:val="0"/>
          <w:color w:val="auto"/>
          <w:kern w:val="0"/>
          <w:sz w:val="21"/>
        </w:rPr>
        <w:t>22.1.7</w:t>
      </w:r>
      <w:r>
        <w:rPr>
          <w:rFonts w:eastAsia="仿宋_GB2312"/>
          <w:bCs w:val="0"/>
          <w:color w:val="auto"/>
          <w:kern w:val="0"/>
          <w:sz w:val="21"/>
        </w:rPr>
        <w:t xml:space="preserve"> </w:t>
      </w:r>
      <w:r>
        <w:rPr>
          <w:rFonts w:hint="eastAsia" w:eastAsia="仿宋_GB2312"/>
          <w:bCs w:val="0"/>
          <w:color w:val="auto"/>
          <w:kern w:val="0"/>
          <w:sz w:val="21"/>
        </w:rPr>
        <w:t>承包人</w:t>
      </w:r>
      <w:r>
        <w:rPr>
          <w:rFonts w:eastAsia="仿宋_GB2312"/>
          <w:bCs w:val="0"/>
          <w:color w:val="auto"/>
          <w:kern w:val="0"/>
          <w:sz w:val="21"/>
        </w:rPr>
        <w:t>其他违约情况</w:t>
      </w:r>
      <w:r>
        <w:rPr>
          <w:rFonts w:hint="eastAsia" w:eastAsia="仿宋_GB2312"/>
          <w:bCs w:val="0"/>
          <w:color w:val="auto"/>
          <w:kern w:val="0"/>
          <w:sz w:val="21"/>
        </w:rPr>
        <w:t>：</w:t>
      </w:r>
    </w:p>
    <w:p>
      <w:pPr>
        <w:pStyle w:val="52"/>
        <w:ind w:firstLine="420"/>
        <w:rPr>
          <w:color w:val="auto"/>
        </w:rPr>
      </w:pPr>
      <w:r>
        <w:rPr>
          <w:color w:val="auto"/>
        </w:rPr>
        <w:t>22.1.</w:t>
      </w:r>
      <w:r>
        <w:rPr>
          <w:rFonts w:hint="eastAsia"/>
          <w:color w:val="auto"/>
        </w:rPr>
        <w:t>7</w:t>
      </w:r>
      <w:r>
        <w:rPr>
          <w:color w:val="auto"/>
        </w:rPr>
        <w:t>.1</w:t>
      </w:r>
      <w:r>
        <w:rPr>
          <w:rFonts w:hint="eastAsia"/>
          <w:color w:val="auto"/>
        </w:rPr>
        <w:t>.承包</w:t>
      </w:r>
      <w:r>
        <w:rPr>
          <w:color w:val="auto"/>
        </w:rPr>
        <w:t>人人员管理方面：</w:t>
      </w:r>
    </w:p>
    <w:p>
      <w:pPr>
        <w:pStyle w:val="52"/>
        <w:ind w:firstLine="420"/>
        <w:rPr>
          <w:color w:val="auto"/>
        </w:rPr>
      </w:pPr>
      <w:r>
        <w:rPr>
          <w:color w:val="auto"/>
        </w:rPr>
        <w:t>1）</w:t>
      </w:r>
      <w:r>
        <w:rPr>
          <w:rFonts w:hint="eastAsia"/>
          <w:color w:val="auto"/>
        </w:rPr>
        <w:t>承包</w:t>
      </w:r>
      <w:r>
        <w:rPr>
          <w:color w:val="auto"/>
        </w:rPr>
        <w:t>人的所有管理人员均应向发包人提供</w:t>
      </w:r>
      <w:r>
        <w:rPr>
          <w:rFonts w:hint="eastAsia"/>
          <w:color w:val="auto"/>
        </w:rPr>
        <w:t>不少于一年</w:t>
      </w:r>
      <w:r>
        <w:rPr>
          <w:color w:val="auto"/>
        </w:rPr>
        <w:t>在</w:t>
      </w:r>
      <w:r>
        <w:rPr>
          <w:rFonts w:hint="eastAsia"/>
          <w:color w:val="auto"/>
        </w:rPr>
        <w:t>承包</w:t>
      </w:r>
      <w:r>
        <w:rPr>
          <w:color w:val="auto"/>
        </w:rPr>
        <w:t>人公司的社保证明，</w:t>
      </w:r>
      <w:r>
        <w:rPr>
          <w:rFonts w:hint="eastAsia"/>
          <w:color w:val="auto"/>
        </w:rPr>
        <w:t>承包</w:t>
      </w:r>
      <w:r>
        <w:rPr>
          <w:color w:val="auto"/>
        </w:rPr>
        <w:t>人未能提供社保证明须向</w:t>
      </w:r>
      <w:r>
        <w:rPr>
          <w:rFonts w:hint="eastAsia"/>
          <w:color w:val="auto"/>
        </w:rPr>
        <w:t>发包人</w:t>
      </w:r>
      <w:r>
        <w:rPr>
          <w:color w:val="auto"/>
        </w:rPr>
        <w:t>支付每人每天1000元违约金，直到提供社保证明为止或另派管理人员。</w:t>
      </w:r>
    </w:p>
    <w:p>
      <w:pPr>
        <w:pStyle w:val="52"/>
        <w:ind w:firstLine="420"/>
        <w:rPr>
          <w:color w:val="auto"/>
        </w:rPr>
      </w:pPr>
      <w:r>
        <w:rPr>
          <w:color w:val="auto"/>
        </w:rPr>
        <w:t>2）</w:t>
      </w:r>
      <w:r>
        <w:rPr>
          <w:rFonts w:hint="eastAsia"/>
          <w:color w:val="auto"/>
        </w:rPr>
        <w:t>承包</w:t>
      </w:r>
      <w:r>
        <w:rPr>
          <w:color w:val="auto"/>
        </w:rPr>
        <w:t>人项目管理部主要管理人员须常驻现场：</w:t>
      </w:r>
      <w:r>
        <w:rPr>
          <w:rFonts w:hint="eastAsia"/>
          <w:color w:val="auto"/>
        </w:rPr>
        <w:t>项目负责人、项目技术负责人、质量负责人、安全负责人、专职安全员每月在现场工作时间不得少于26天、每天工作时间不得少于8小时；项目管理人员离开工地需经发包人及监理人同意；若无正当理由且未经发包人及监理人同意不在工地的或出勤不满足以上要求的，发包人有权视情况按每天每人向承包人收取违约金（项目负责人2万元/天，项目技术负责人、安全负责人1.5万元/天，其他主要管理人员1万元/天），发包人有权将违约金在当期进度款中直接扣减；若承包人主要管理人员无故连续3天不在工地，又无发包人可以接受的理由，则发包人有权要求承包人将其更换</w:t>
      </w:r>
      <w:r>
        <w:rPr>
          <w:color w:val="auto"/>
        </w:rPr>
        <w:t>。</w:t>
      </w:r>
    </w:p>
    <w:p>
      <w:pPr>
        <w:pStyle w:val="52"/>
        <w:ind w:firstLine="420"/>
        <w:rPr>
          <w:color w:val="auto"/>
        </w:rPr>
      </w:pPr>
      <w:r>
        <w:rPr>
          <w:rFonts w:hint="eastAsia"/>
          <w:color w:val="auto"/>
        </w:rPr>
        <w:t>3）如承包人未按合同</w:t>
      </w:r>
      <w:r>
        <w:rPr>
          <w:rFonts w:hint="eastAsia"/>
          <w:color w:val="auto"/>
          <w:highlight w:val="cyan"/>
        </w:rPr>
        <w:t>附件8</w:t>
      </w:r>
      <w:r>
        <w:rPr>
          <w:rFonts w:hint="eastAsia"/>
          <w:color w:val="auto"/>
        </w:rPr>
        <w:t>约定（当投标文件中人员配备高于招标文件要求时以投标文件人员配备为准，当投标文件中人员配备低于招标文件要求时以招标文件中人员配备要求为准）投入</w:t>
      </w:r>
      <w:r>
        <w:rPr>
          <w:color w:val="auto"/>
        </w:rPr>
        <w:t>主要</w:t>
      </w:r>
      <w:r>
        <w:rPr>
          <w:rFonts w:hint="eastAsia"/>
          <w:color w:val="auto"/>
        </w:rPr>
        <w:t>管理人员，经发现后，需在24小时内增补至合同约定的人数，否则承包人应按10万/人标准向发包人支付违约金，如逾期超过3天未补充完整的或承包人擅自更换投标文件委派的项目管理人员或擅自再行更换已被发包人同意更换的项目管理人员，发包人有权视情况选择全部或部分解除合同。</w:t>
      </w:r>
    </w:p>
    <w:p>
      <w:pPr>
        <w:pStyle w:val="52"/>
        <w:ind w:firstLine="420"/>
        <w:rPr>
          <w:color w:val="auto"/>
        </w:rPr>
      </w:pPr>
      <w:r>
        <w:rPr>
          <w:rFonts w:hint="eastAsia"/>
          <w:color w:val="auto"/>
        </w:rPr>
        <w:t>4）如出现承包人工程施工期间无</w:t>
      </w:r>
      <w:r>
        <w:rPr>
          <w:color w:val="auto"/>
        </w:rPr>
        <w:t>主要</w:t>
      </w:r>
      <w:r>
        <w:rPr>
          <w:rFonts w:hint="eastAsia"/>
          <w:color w:val="auto"/>
        </w:rPr>
        <w:t>管理人员在岗的，一经发现，承包人应按10万</w:t>
      </w:r>
      <w:r>
        <w:rPr>
          <w:color w:val="auto"/>
        </w:rPr>
        <w:t>/</w:t>
      </w:r>
      <w:r>
        <w:rPr>
          <w:rFonts w:hint="eastAsia"/>
          <w:color w:val="auto"/>
        </w:rPr>
        <w:t>次标准向发包人支付违约金。</w:t>
      </w:r>
    </w:p>
    <w:p>
      <w:pPr>
        <w:pStyle w:val="52"/>
        <w:ind w:firstLine="420"/>
        <w:rPr>
          <w:color w:val="auto"/>
        </w:rPr>
      </w:pPr>
      <w:r>
        <w:rPr>
          <w:rFonts w:hint="eastAsia"/>
          <w:color w:val="auto"/>
        </w:rPr>
        <w:t>5</w:t>
      </w:r>
      <w:r>
        <w:rPr>
          <w:color w:val="auto"/>
        </w:rPr>
        <w:t>）关于更换项目管理人员的</w:t>
      </w:r>
      <w:r>
        <w:rPr>
          <w:rFonts w:hint="eastAsia"/>
          <w:color w:val="auto"/>
        </w:rPr>
        <w:t>约定：</w:t>
      </w:r>
    </w:p>
    <w:p>
      <w:pPr>
        <w:pStyle w:val="52"/>
        <w:ind w:firstLine="420"/>
        <w:rPr>
          <w:color w:val="auto"/>
        </w:rPr>
      </w:pPr>
      <w:r>
        <w:rPr>
          <w:rFonts w:hint="eastAsia" w:ascii="宋体" w:hAnsi="宋体" w:eastAsia="宋体"/>
          <w:color w:val="auto"/>
        </w:rPr>
        <w:t>①</w:t>
      </w:r>
      <w:r>
        <w:rPr>
          <w:color w:val="auto"/>
        </w:rPr>
        <w:t>经发包人和监理单位审核明确的项目管理人员</w:t>
      </w:r>
      <w:r>
        <w:rPr>
          <w:rFonts w:hint="eastAsia"/>
          <w:color w:val="auto"/>
        </w:rPr>
        <w:t>，承包人</w:t>
      </w:r>
      <w:r>
        <w:rPr>
          <w:color w:val="auto"/>
        </w:rPr>
        <w:t>不得擅自变更</w:t>
      </w:r>
      <w:r>
        <w:rPr>
          <w:rFonts w:hint="eastAsia"/>
          <w:color w:val="auto"/>
        </w:rPr>
        <w:t>主要</w:t>
      </w:r>
      <w:r>
        <w:rPr>
          <w:color w:val="auto"/>
        </w:rPr>
        <w:t>管理人员。</w:t>
      </w:r>
      <w:r>
        <w:rPr>
          <w:rFonts w:hint="eastAsia"/>
          <w:color w:val="auto"/>
        </w:rPr>
        <w:t>否</w:t>
      </w:r>
      <w:r>
        <w:rPr>
          <w:color w:val="auto"/>
        </w:rPr>
        <w:t>则</w:t>
      </w:r>
      <w:r>
        <w:rPr>
          <w:rFonts w:hint="eastAsia"/>
          <w:color w:val="auto"/>
        </w:rPr>
        <w:t>承包</w:t>
      </w:r>
      <w:r>
        <w:rPr>
          <w:color w:val="auto"/>
        </w:rPr>
        <w:t>人应向</w:t>
      </w:r>
      <w:r>
        <w:rPr>
          <w:rFonts w:hint="eastAsia"/>
          <w:color w:val="auto"/>
        </w:rPr>
        <w:t>发包人</w:t>
      </w:r>
      <w:r>
        <w:rPr>
          <w:color w:val="auto"/>
        </w:rPr>
        <w:t>支付的违约金，具体约定金额为：</w:t>
      </w:r>
    </w:p>
    <w:tbl>
      <w:tblPr>
        <w:tblStyle w:val="37"/>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449"/>
        <w:gridCol w:w="1276"/>
        <w:gridCol w:w="1559"/>
        <w:gridCol w:w="1276"/>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vAlign w:val="center"/>
          </w:tcPr>
          <w:p>
            <w:pPr>
              <w:jc w:val="left"/>
              <w:rPr>
                <w:rFonts w:eastAsia="仿宋_GB2312"/>
                <w:kern w:val="0"/>
                <w:szCs w:val="32"/>
              </w:rPr>
            </w:pPr>
            <w:r>
              <w:rPr>
                <w:rFonts w:eastAsia="仿宋_GB2312"/>
                <w:kern w:val="0"/>
                <w:szCs w:val="32"/>
              </w:rPr>
              <w:t>岗位人员</w:t>
            </w:r>
          </w:p>
        </w:tc>
        <w:tc>
          <w:tcPr>
            <w:tcW w:w="1449" w:type="dxa"/>
            <w:vAlign w:val="center"/>
          </w:tcPr>
          <w:p>
            <w:pPr>
              <w:spacing w:line="360" w:lineRule="auto"/>
              <w:jc w:val="center"/>
              <w:rPr>
                <w:rFonts w:eastAsia="仿宋_GB2312"/>
                <w:color w:val="000000"/>
                <w:kern w:val="0"/>
                <w:szCs w:val="32"/>
              </w:rPr>
            </w:pPr>
            <w:r>
              <w:rPr>
                <w:rFonts w:eastAsia="仿宋_GB2312"/>
                <w:color w:val="000000"/>
                <w:kern w:val="0"/>
                <w:szCs w:val="32"/>
              </w:rPr>
              <w:t>项目</w:t>
            </w:r>
            <w:r>
              <w:rPr>
                <w:rFonts w:hint="eastAsia" w:eastAsia="仿宋_GB2312"/>
                <w:color w:val="000000"/>
                <w:kern w:val="0"/>
                <w:szCs w:val="32"/>
              </w:rPr>
              <w:t>负责人</w:t>
            </w:r>
          </w:p>
        </w:tc>
        <w:tc>
          <w:tcPr>
            <w:tcW w:w="1276" w:type="dxa"/>
            <w:vAlign w:val="center"/>
          </w:tcPr>
          <w:p>
            <w:pPr>
              <w:spacing w:line="360" w:lineRule="auto"/>
              <w:jc w:val="center"/>
              <w:rPr>
                <w:rFonts w:eastAsia="仿宋_GB2312"/>
                <w:color w:val="000000"/>
                <w:kern w:val="0"/>
                <w:szCs w:val="32"/>
              </w:rPr>
            </w:pPr>
            <w:r>
              <w:rPr>
                <w:rFonts w:eastAsia="仿宋_GB2312"/>
                <w:color w:val="000000"/>
                <w:kern w:val="0"/>
                <w:szCs w:val="32"/>
              </w:rPr>
              <w:t>项目技术负责人</w:t>
            </w:r>
          </w:p>
        </w:tc>
        <w:tc>
          <w:tcPr>
            <w:tcW w:w="1559" w:type="dxa"/>
            <w:vAlign w:val="center"/>
          </w:tcPr>
          <w:p>
            <w:pPr>
              <w:spacing w:line="360" w:lineRule="auto"/>
              <w:jc w:val="center"/>
              <w:rPr>
                <w:rFonts w:eastAsia="仿宋_GB2312"/>
                <w:color w:val="000000"/>
                <w:kern w:val="0"/>
                <w:szCs w:val="32"/>
              </w:rPr>
            </w:pPr>
            <w:r>
              <w:rPr>
                <w:rFonts w:hint="eastAsia" w:eastAsia="仿宋_GB2312"/>
                <w:color w:val="000000"/>
                <w:kern w:val="0"/>
                <w:szCs w:val="32"/>
              </w:rPr>
              <w:t>质量负责人</w:t>
            </w:r>
          </w:p>
        </w:tc>
        <w:tc>
          <w:tcPr>
            <w:tcW w:w="1276" w:type="dxa"/>
            <w:vAlign w:val="center"/>
          </w:tcPr>
          <w:p>
            <w:pPr>
              <w:spacing w:line="360" w:lineRule="auto"/>
              <w:jc w:val="center"/>
              <w:rPr>
                <w:rFonts w:eastAsia="仿宋_GB2312"/>
                <w:color w:val="000000"/>
                <w:kern w:val="0"/>
                <w:szCs w:val="32"/>
              </w:rPr>
            </w:pPr>
            <w:r>
              <w:rPr>
                <w:rFonts w:eastAsia="仿宋_GB2312"/>
                <w:color w:val="000000"/>
                <w:kern w:val="0"/>
                <w:szCs w:val="32"/>
              </w:rPr>
              <w:t>施工员</w:t>
            </w:r>
          </w:p>
        </w:tc>
        <w:tc>
          <w:tcPr>
            <w:tcW w:w="1276" w:type="dxa"/>
            <w:vAlign w:val="center"/>
          </w:tcPr>
          <w:p>
            <w:pPr>
              <w:spacing w:line="360" w:lineRule="auto"/>
              <w:jc w:val="center"/>
              <w:rPr>
                <w:rFonts w:eastAsia="仿宋_GB2312"/>
                <w:color w:val="000000"/>
                <w:kern w:val="0"/>
                <w:szCs w:val="32"/>
              </w:rPr>
            </w:pPr>
            <w:r>
              <w:rPr>
                <w:rFonts w:hint="eastAsia" w:eastAsia="仿宋_GB2312"/>
                <w:color w:val="000000"/>
                <w:kern w:val="0"/>
                <w:szCs w:val="32"/>
              </w:rPr>
              <w:t>造价负责人</w:t>
            </w:r>
          </w:p>
        </w:tc>
        <w:tc>
          <w:tcPr>
            <w:tcW w:w="1417" w:type="dxa"/>
            <w:vAlign w:val="center"/>
          </w:tcPr>
          <w:p>
            <w:pPr>
              <w:spacing w:line="360" w:lineRule="auto"/>
              <w:jc w:val="center"/>
              <w:rPr>
                <w:rFonts w:eastAsia="仿宋_GB2312"/>
                <w:color w:val="000000"/>
                <w:kern w:val="0"/>
                <w:szCs w:val="32"/>
              </w:rPr>
            </w:pPr>
            <w:r>
              <w:rPr>
                <w:rFonts w:eastAsia="仿宋_GB2312"/>
                <w:color w:val="000000"/>
                <w:kern w:val="0"/>
                <w:szCs w:val="32"/>
              </w:rPr>
              <w:t>安全负责人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069" w:type="dxa"/>
            <w:vAlign w:val="center"/>
          </w:tcPr>
          <w:p>
            <w:pPr>
              <w:ind w:left="105" w:hanging="105" w:hangingChars="50"/>
              <w:jc w:val="left"/>
              <w:rPr>
                <w:rFonts w:eastAsia="仿宋_GB2312"/>
                <w:kern w:val="0"/>
                <w:szCs w:val="32"/>
              </w:rPr>
            </w:pPr>
            <w:r>
              <w:rPr>
                <w:rFonts w:eastAsia="仿宋_GB2312"/>
                <w:kern w:val="0"/>
                <w:szCs w:val="32"/>
              </w:rPr>
              <w:t>违约金额（元）</w:t>
            </w:r>
          </w:p>
        </w:tc>
        <w:tc>
          <w:tcPr>
            <w:tcW w:w="1449" w:type="dxa"/>
            <w:vAlign w:val="center"/>
          </w:tcPr>
          <w:p>
            <w:pPr>
              <w:spacing w:line="360" w:lineRule="auto"/>
              <w:ind w:firstLine="174" w:firstLineChars="83"/>
              <w:rPr>
                <w:rFonts w:eastAsia="仿宋_GB2312"/>
                <w:color w:val="000000"/>
                <w:kern w:val="0"/>
                <w:szCs w:val="32"/>
              </w:rPr>
            </w:pPr>
            <w:r>
              <w:rPr>
                <w:rFonts w:hint="eastAsia" w:eastAsia="仿宋_GB2312"/>
                <w:color w:val="000000"/>
                <w:kern w:val="0"/>
                <w:szCs w:val="32"/>
                <w:u w:val="single"/>
              </w:rPr>
              <w:t>200000</w:t>
            </w:r>
          </w:p>
        </w:tc>
        <w:tc>
          <w:tcPr>
            <w:tcW w:w="1276" w:type="dxa"/>
            <w:vAlign w:val="center"/>
          </w:tcPr>
          <w:p>
            <w:pPr>
              <w:spacing w:line="360" w:lineRule="auto"/>
              <w:ind w:firstLine="174" w:firstLineChars="83"/>
              <w:rPr>
                <w:rFonts w:eastAsia="仿宋_GB2312"/>
                <w:color w:val="000000"/>
                <w:kern w:val="0"/>
                <w:szCs w:val="32"/>
              </w:rPr>
            </w:pPr>
            <w:r>
              <w:rPr>
                <w:rFonts w:hint="eastAsia" w:eastAsia="仿宋_GB2312"/>
                <w:color w:val="000000"/>
                <w:kern w:val="0"/>
                <w:szCs w:val="32"/>
                <w:u w:val="single"/>
              </w:rPr>
              <w:t>100000</w:t>
            </w:r>
          </w:p>
        </w:tc>
        <w:tc>
          <w:tcPr>
            <w:tcW w:w="1559" w:type="dxa"/>
            <w:vAlign w:val="center"/>
          </w:tcPr>
          <w:p>
            <w:pPr>
              <w:spacing w:line="360" w:lineRule="auto"/>
              <w:ind w:firstLine="210" w:firstLineChars="100"/>
              <w:rPr>
                <w:rFonts w:eastAsia="仿宋_GB2312"/>
                <w:color w:val="000000"/>
                <w:kern w:val="0"/>
                <w:szCs w:val="32"/>
              </w:rPr>
            </w:pPr>
            <w:r>
              <w:rPr>
                <w:rFonts w:hint="eastAsia" w:eastAsia="仿宋_GB2312"/>
                <w:color w:val="000000"/>
                <w:kern w:val="0"/>
                <w:szCs w:val="32"/>
                <w:u w:val="single"/>
              </w:rPr>
              <w:t>100000</w:t>
            </w:r>
          </w:p>
        </w:tc>
        <w:tc>
          <w:tcPr>
            <w:tcW w:w="1276" w:type="dxa"/>
            <w:vAlign w:val="center"/>
          </w:tcPr>
          <w:p>
            <w:pPr>
              <w:spacing w:line="360" w:lineRule="auto"/>
              <w:jc w:val="center"/>
              <w:rPr>
                <w:rFonts w:eastAsia="仿宋_GB2312"/>
                <w:color w:val="000000"/>
                <w:kern w:val="0"/>
                <w:szCs w:val="32"/>
              </w:rPr>
            </w:pPr>
            <w:r>
              <w:rPr>
                <w:rFonts w:hint="eastAsia" w:eastAsia="仿宋_GB2312"/>
                <w:color w:val="000000"/>
                <w:kern w:val="0"/>
                <w:szCs w:val="32"/>
                <w:u w:val="single"/>
              </w:rPr>
              <w:t>50</w:t>
            </w:r>
            <w:r>
              <w:rPr>
                <w:rFonts w:eastAsia="仿宋_GB2312"/>
                <w:color w:val="000000"/>
                <w:kern w:val="0"/>
                <w:szCs w:val="32"/>
                <w:u w:val="single"/>
              </w:rPr>
              <w:t>000</w:t>
            </w:r>
          </w:p>
        </w:tc>
        <w:tc>
          <w:tcPr>
            <w:tcW w:w="1276" w:type="dxa"/>
            <w:vAlign w:val="center"/>
          </w:tcPr>
          <w:p>
            <w:pPr>
              <w:spacing w:line="360" w:lineRule="auto"/>
              <w:ind w:firstLine="174" w:firstLineChars="83"/>
              <w:jc w:val="center"/>
              <w:rPr>
                <w:rFonts w:eastAsia="仿宋_GB2312"/>
                <w:color w:val="000000"/>
                <w:kern w:val="0"/>
                <w:szCs w:val="32"/>
              </w:rPr>
            </w:pPr>
            <w:r>
              <w:rPr>
                <w:rFonts w:hint="eastAsia" w:eastAsia="仿宋_GB2312"/>
                <w:color w:val="000000"/>
                <w:kern w:val="0"/>
                <w:szCs w:val="32"/>
                <w:u w:val="single"/>
              </w:rPr>
              <w:t>50</w:t>
            </w:r>
            <w:r>
              <w:rPr>
                <w:rFonts w:eastAsia="仿宋_GB2312"/>
                <w:color w:val="000000"/>
                <w:kern w:val="0"/>
                <w:szCs w:val="32"/>
                <w:u w:val="single"/>
              </w:rPr>
              <w:t>000</w:t>
            </w:r>
          </w:p>
        </w:tc>
        <w:tc>
          <w:tcPr>
            <w:tcW w:w="1417" w:type="dxa"/>
            <w:vAlign w:val="center"/>
          </w:tcPr>
          <w:p>
            <w:pPr>
              <w:spacing w:line="360" w:lineRule="auto"/>
              <w:ind w:firstLine="174" w:firstLineChars="83"/>
              <w:rPr>
                <w:rFonts w:eastAsia="仿宋_GB2312"/>
                <w:color w:val="000000"/>
                <w:kern w:val="0"/>
                <w:szCs w:val="32"/>
              </w:rPr>
            </w:pPr>
            <w:r>
              <w:rPr>
                <w:rFonts w:hint="eastAsia" w:eastAsia="仿宋_GB2312"/>
                <w:color w:val="000000"/>
                <w:kern w:val="0"/>
                <w:szCs w:val="32"/>
                <w:u w:val="single"/>
              </w:rPr>
              <w:t>50</w:t>
            </w:r>
            <w:r>
              <w:rPr>
                <w:rFonts w:eastAsia="仿宋_GB2312"/>
                <w:color w:val="000000"/>
                <w:kern w:val="0"/>
                <w:szCs w:val="32"/>
                <w:u w:val="single"/>
              </w:rPr>
              <w:t>000</w:t>
            </w:r>
          </w:p>
        </w:tc>
      </w:tr>
    </w:tbl>
    <w:p>
      <w:pPr>
        <w:pStyle w:val="52"/>
        <w:spacing w:before="120" w:beforeLines="50"/>
        <w:ind w:firstLine="420"/>
        <w:rPr>
          <w:color w:val="auto"/>
        </w:rPr>
      </w:pPr>
      <w:r>
        <w:rPr>
          <w:rFonts w:hint="eastAsia" w:ascii="宋体" w:hAnsi="宋体" w:eastAsia="宋体"/>
          <w:color w:val="auto"/>
        </w:rPr>
        <w:t>②</w:t>
      </w:r>
      <w:r>
        <w:rPr>
          <w:rFonts w:hint="eastAsia" w:eastAsia="宋体"/>
          <w:color w:val="auto"/>
        </w:rPr>
        <w:t>承包</w:t>
      </w:r>
      <w:r>
        <w:rPr>
          <w:rFonts w:hint="eastAsia"/>
          <w:color w:val="auto"/>
        </w:rPr>
        <w:t>人应确保项目管理人员在合同生效后半年内不发生变更，合同期内项目管理人员变更比例不得超过30%。如承包人项目管理人员存在</w:t>
      </w:r>
      <w:r>
        <w:rPr>
          <w:rFonts w:hint="eastAsia"/>
          <w:color w:val="auto"/>
        </w:rPr>
        <w:tab/>
      </w:r>
      <w:r>
        <w:rPr>
          <w:rFonts w:hint="eastAsia"/>
          <w:color w:val="auto"/>
        </w:rPr>
        <w:t>疾病、辞职、退休等无法克服、避免的客观情形确需更换的，原则上承包人应至少提前30天内向监理人、发包人报送变更申请（附更换原因证明材料和更换人员的详细履历资料，属于疾病需更换的应由三甲医院出具证明），拟更换后的项目管理人员应不低于招投标文件等合同文件中资质、资历、职称、业绩等有关要求、承诺，经监理人审核、发包人同意后方能更换。承包人应确保申请材料真实、完整、合法有效，如经发包人发现变更申请存在弄虚作假等违背诚实信用原则的行为，均按20万元/次向发包人支付违约金。除上述无法克服、避免的客观情形外，承包人在合同期内项目管理人员变更比例超过30%的，承包人应向发包人支付20万元违约金</w:t>
      </w:r>
      <w:r>
        <w:rPr>
          <w:rFonts w:hint="eastAsia"/>
          <w:color w:val="auto"/>
          <w:highlight w:val="cyan"/>
        </w:rPr>
        <w:t>。发包人有权解除合同</w:t>
      </w:r>
      <w:r>
        <w:rPr>
          <w:rFonts w:hint="eastAsia"/>
          <w:color w:val="auto"/>
        </w:rPr>
        <w:t>。</w:t>
      </w:r>
    </w:p>
    <w:p>
      <w:pPr>
        <w:pStyle w:val="52"/>
        <w:ind w:firstLine="420"/>
        <w:rPr>
          <w:color w:val="auto"/>
        </w:rPr>
      </w:pPr>
      <w:r>
        <w:rPr>
          <w:rFonts w:hint="eastAsia" w:ascii="宋体" w:hAnsi="宋体" w:eastAsia="宋体"/>
          <w:color w:val="auto"/>
        </w:rPr>
        <w:t>③</w:t>
      </w:r>
      <w:r>
        <w:rPr>
          <w:rFonts w:hint="eastAsia" w:ascii="仿宋" w:hAnsi="仿宋" w:eastAsia="仿宋"/>
          <w:color w:val="auto"/>
        </w:rPr>
        <w:t>因已知或可预见的原因（包括非突发性重大疾病、离职后到原单位的关联单位任职等），承包人须在合同生效后半年内申请更换项目负责人或其他项目管理人员的，经发包人同意，</w:t>
      </w:r>
      <w:r>
        <w:rPr>
          <w:rFonts w:hint="eastAsia"/>
          <w:color w:val="auto"/>
        </w:rPr>
        <w:t>更换</w:t>
      </w:r>
      <w:r>
        <w:rPr>
          <w:rFonts w:hint="eastAsia" w:ascii="仿宋" w:hAnsi="仿宋" w:eastAsia="仿宋"/>
          <w:color w:val="auto"/>
        </w:rPr>
        <w:t>项目负责人</w:t>
      </w:r>
      <w:r>
        <w:rPr>
          <w:rFonts w:hint="eastAsia"/>
          <w:color w:val="auto"/>
        </w:rPr>
        <w:t>的违约金为5万元/次，更换安全负责人、技术负责人的违约金3万元/次，更换其他项目管理人员的违约金为1万元/次。承包人在合同生效半年后更换项目负责人的，经发包人同意，首次更换需支付违约金1万元/次，后续如有更换则每次更换的违约金标准较上一次上浮50%；经发包人同意，承包人更换其他项目管理人员的，首次更换需支付违约金1万元/次，后续如有更换则每次更换的违约金标准较上一次上浮50%。</w:t>
      </w:r>
    </w:p>
    <w:p>
      <w:pPr>
        <w:pStyle w:val="52"/>
        <w:ind w:firstLine="420"/>
        <w:rPr>
          <w:color w:val="auto"/>
        </w:rPr>
      </w:pPr>
      <w:r>
        <w:rPr>
          <w:rFonts w:hint="eastAsia"/>
          <w:color w:val="auto"/>
        </w:rPr>
        <w:t>6</w:t>
      </w:r>
      <w:r>
        <w:rPr>
          <w:color w:val="auto"/>
        </w:rPr>
        <w:t>）</w:t>
      </w:r>
      <w:r>
        <w:rPr>
          <w:rFonts w:hint="eastAsia"/>
          <w:color w:val="auto"/>
        </w:rPr>
        <w:t>承包</w:t>
      </w:r>
      <w:r>
        <w:rPr>
          <w:color w:val="auto"/>
        </w:rPr>
        <w:t>人项目</w:t>
      </w:r>
      <w:r>
        <w:rPr>
          <w:rFonts w:hint="eastAsia"/>
          <w:color w:val="auto"/>
        </w:rPr>
        <w:t>主要管理人员</w:t>
      </w:r>
      <w:r>
        <w:rPr>
          <w:color w:val="auto"/>
        </w:rPr>
        <w:t>等专业知识、业务水平及管理、协调能力须能满足</w:t>
      </w:r>
      <w:r>
        <w:rPr>
          <w:rFonts w:hint="eastAsia"/>
          <w:color w:val="auto"/>
        </w:rPr>
        <w:t>工作</w:t>
      </w:r>
      <w:r>
        <w:rPr>
          <w:color w:val="auto"/>
        </w:rPr>
        <w:t>要求和服从</w:t>
      </w:r>
      <w:r>
        <w:rPr>
          <w:rFonts w:hint="eastAsia"/>
          <w:color w:val="auto"/>
        </w:rPr>
        <w:t>发包人</w:t>
      </w:r>
      <w:r>
        <w:rPr>
          <w:color w:val="auto"/>
        </w:rPr>
        <w:t>的管理</w:t>
      </w:r>
      <w:r>
        <w:rPr>
          <w:rFonts w:hint="eastAsia"/>
          <w:color w:val="auto"/>
        </w:rPr>
        <w:t>，对不能满足要求者，</w:t>
      </w:r>
      <w:r>
        <w:rPr>
          <w:color w:val="auto"/>
        </w:rPr>
        <w:t>发包人有权要求</w:t>
      </w:r>
      <w:r>
        <w:rPr>
          <w:rFonts w:hint="eastAsia"/>
          <w:color w:val="auto"/>
        </w:rPr>
        <w:t>承包</w:t>
      </w:r>
      <w:r>
        <w:rPr>
          <w:color w:val="auto"/>
        </w:rPr>
        <w:t>人在收到书面通知后</w:t>
      </w:r>
      <w:r>
        <w:rPr>
          <w:rFonts w:hint="eastAsia"/>
          <w:color w:val="auto"/>
        </w:rPr>
        <w:t>7天内无条件更换。如承包人拒不更换，或者7天内更换的人员不符合合同约定或发包人要求的，应按以下标准支付违约金，项目负责人为5万元/天，其他项目管理人员为3万元/天，直至更换人员符合发包人要求为止。同时，发包人有权解除合同，全部责任由承包人承担。</w:t>
      </w:r>
    </w:p>
    <w:p>
      <w:pPr>
        <w:pStyle w:val="52"/>
        <w:ind w:firstLine="420"/>
        <w:rPr>
          <w:color w:val="auto"/>
        </w:rPr>
      </w:pPr>
      <w:r>
        <w:rPr>
          <w:rFonts w:hint="eastAsia"/>
          <w:color w:val="auto"/>
        </w:rPr>
        <w:t>7</w:t>
      </w:r>
      <w:r>
        <w:rPr>
          <w:color w:val="auto"/>
        </w:rPr>
        <w:t>) 在与造价咨询人进行结算核对过程中，</w:t>
      </w:r>
      <w:r>
        <w:rPr>
          <w:rFonts w:hint="eastAsia"/>
          <w:color w:val="auto"/>
        </w:rPr>
        <w:t>承包</w:t>
      </w:r>
      <w:r>
        <w:rPr>
          <w:color w:val="auto"/>
        </w:rPr>
        <w:t>人不得向造价咨询人人员请客送礼、赠送钱物，发现一次，</w:t>
      </w:r>
      <w:r>
        <w:rPr>
          <w:rFonts w:hint="eastAsia"/>
          <w:color w:val="auto"/>
        </w:rPr>
        <w:t>视情节</w:t>
      </w:r>
      <w:r>
        <w:rPr>
          <w:color w:val="auto"/>
        </w:rPr>
        <w:t>严重程度</w:t>
      </w:r>
      <w:r>
        <w:rPr>
          <w:rFonts w:hint="eastAsia"/>
          <w:color w:val="auto"/>
        </w:rPr>
        <w:t>承包</w:t>
      </w:r>
      <w:r>
        <w:rPr>
          <w:color w:val="auto"/>
        </w:rPr>
        <w:t>人须向</w:t>
      </w:r>
      <w:r>
        <w:rPr>
          <w:rFonts w:hint="eastAsia"/>
          <w:color w:val="auto"/>
        </w:rPr>
        <w:t>发包人</w:t>
      </w:r>
      <w:r>
        <w:rPr>
          <w:color w:val="auto"/>
        </w:rPr>
        <w:t>支付违约金10</w:t>
      </w:r>
      <w:r>
        <w:rPr>
          <w:rFonts w:hint="eastAsia"/>
          <w:color w:val="auto"/>
        </w:rPr>
        <w:t>~</w:t>
      </w:r>
      <w:r>
        <w:rPr>
          <w:color w:val="auto"/>
        </w:rPr>
        <w:t>50万元。</w:t>
      </w:r>
    </w:p>
    <w:p>
      <w:pPr>
        <w:pStyle w:val="52"/>
        <w:ind w:firstLine="420"/>
        <w:rPr>
          <w:color w:val="auto"/>
        </w:rPr>
      </w:pPr>
      <w:r>
        <w:rPr>
          <w:rFonts w:hint="eastAsia"/>
          <w:color w:val="auto"/>
        </w:rPr>
        <w:t>8</w:t>
      </w:r>
      <w:r>
        <w:rPr>
          <w:color w:val="auto"/>
        </w:rPr>
        <w:t>）合同约定的施工期按日历天计算，不考虑假期，</w:t>
      </w:r>
      <w:r>
        <w:rPr>
          <w:rFonts w:hint="eastAsia"/>
          <w:color w:val="auto"/>
        </w:rPr>
        <w:t>承包</w:t>
      </w:r>
      <w:r>
        <w:rPr>
          <w:color w:val="auto"/>
        </w:rPr>
        <w:t>人根据有关规定或自行安排员工假期的，</w:t>
      </w:r>
      <w:r>
        <w:rPr>
          <w:rFonts w:hint="eastAsia"/>
          <w:color w:val="auto"/>
        </w:rPr>
        <w:t>承包</w:t>
      </w:r>
      <w:r>
        <w:rPr>
          <w:color w:val="auto"/>
        </w:rPr>
        <w:t>人应将项目部管理人员值班名单于放假前7个日历天交</w:t>
      </w:r>
      <w:r>
        <w:rPr>
          <w:rFonts w:hint="eastAsia"/>
          <w:color w:val="auto"/>
        </w:rPr>
        <w:t>发包人</w:t>
      </w:r>
      <w:r>
        <w:rPr>
          <w:color w:val="auto"/>
        </w:rPr>
        <w:t>审批，审批后需变更人员的，</w:t>
      </w:r>
      <w:r>
        <w:rPr>
          <w:rFonts w:hint="eastAsia"/>
          <w:color w:val="auto"/>
        </w:rPr>
        <w:t>承包</w:t>
      </w:r>
      <w:r>
        <w:rPr>
          <w:color w:val="auto"/>
        </w:rPr>
        <w:t>人应及时通知工程师补办审批手续。</w:t>
      </w:r>
      <w:r>
        <w:rPr>
          <w:rFonts w:hint="eastAsia"/>
          <w:color w:val="auto"/>
        </w:rPr>
        <w:t>承包</w:t>
      </w:r>
      <w:r>
        <w:rPr>
          <w:color w:val="auto"/>
        </w:rPr>
        <w:t>人安排放假而无人值班的，按1万元每人次每天向</w:t>
      </w:r>
      <w:r>
        <w:rPr>
          <w:rFonts w:hint="eastAsia"/>
          <w:color w:val="auto"/>
        </w:rPr>
        <w:t>发包人</w:t>
      </w:r>
      <w:r>
        <w:rPr>
          <w:color w:val="auto"/>
        </w:rPr>
        <w:t>支付违约金，造成工程进度滞后或其他质量、安全事故的，由</w:t>
      </w:r>
      <w:r>
        <w:rPr>
          <w:rFonts w:hint="eastAsia"/>
          <w:color w:val="auto"/>
        </w:rPr>
        <w:t>承包</w:t>
      </w:r>
      <w:r>
        <w:rPr>
          <w:color w:val="auto"/>
        </w:rPr>
        <w:t>人承担全部责任。</w:t>
      </w:r>
    </w:p>
    <w:p>
      <w:pPr>
        <w:pStyle w:val="52"/>
        <w:ind w:firstLine="420"/>
        <w:rPr>
          <w:color w:val="auto"/>
        </w:rPr>
      </w:pPr>
      <w:r>
        <w:rPr>
          <w:rFonts w:hint="eastAsia"/>
          <w:color w:val="auto"/>
        </w:rPr>
        <w:t>9）项目负责人、项目技术负责人、安全负责人、质量负责人必须按时参加工程会议，因故不能参加的应至少提前5小时提出申请并获得监理人批准方可缺席，否则承包人应按2万元/人次的标准向发包人支付违约金。</w:t>
      </w:r>
    </w:p>
    <w:p>
      <w:pPr>
        <w:pStyle w:val="52"/>
        <w:ind w:firstLine="420"/>
        <w:rPr>
          <w:color w:val="auto"/>
        </w:rPr>
      </w:pPr>
      <w:r>
        <w:rPr>
          <w:color w:val="auto"/>
        </w:rPr>
        <w:t>22.1.</w:t>
      </w:r>
      <w:r>
        <w:rPr>
          <w:rFonts w:hint="eastAsia"/>
          <w:color w:val="auto"/>
        </w:rPr>
        <w:t>7</w:t>
      </w:r>
      <w:r>
        <w:rPr>
          <w:color w:val="auto"/>
        </w:rPr>
        <w:t>.2</w:t>
      </w:r>
      <w:r>
        <w:rPr>
          <w:rFonts w:hint="eastAsia"/>
          <w:color w:val="auto"/>
        </w:rPr>
        <w:t>.</w:t>
      </w:r>
      <w:r>
        <w:rPr>
          <w:color w:val="auto"/>
        </w:rPr>
        <w:t>工程进度方面：</w:t>
      </w:r>
    </w:p>
    <w:p>
      <w:pPr>
        <w:pStyle w:val="52"/>
        <w:ind w:firstLine="420"/>
        <w:rPr>
          <w:color w:val="auto"/>
        </w:rPr>
      </w:pPr>
      <w:r>
        <w:rPr>
          <w:color w:val="auto"/>
        </w:rPr>
        <w:t>1）</w:t>
      </w:r>
      <w:r>
        <w:rPr>
          <w:rFonts w:hint="eastAsia"/>
          <w:color w:val="auto"/>
        </w:rPr>
        <w:t>本</w:t>
      </w:r>
      <w:r>
        <w:rPr>
          <w:color w:val="auto"/>
        </w:rPr>
        <w:t>工程</w:t>
      </w:r>
      <w:r>
        <w:rPr>
          <w:rFonts w:hint="eastAsia"/>
          <w:color w:val="auto"/>
        </w:rPr>
        <w:t>竣工</w:t>
      </w:r>
      <w:r>
        <w:rPr>
          <w:color w:val="auto"/>
        </w:rPr>
        <w:t>验收</w:t>
      </w:r>
      <w:r>
        <w:rPr>
          <w:rFonts w:hint="eastAsia"/>
          <w:color w:val="auto"/>
        </w:rPr>
        <w:t>且移交</w:t>
      </w:r>
      <w:r>
        <w:rPr>
          <w:color w:val="auto"/>
        </w:rPr>
        <w:t>后，</w:t>
      </w:r>
      <w:r>
        <w:rPr>
          <w:rFonts w:hint="eastAsia"/>
          <w:color w:val="auto"/>
        </w:rPr>
        <w:t>承包</w:t>
      </w:r>
      <w:r>
        <w:rPr>
          <w:color w:val="auto"/>
        </w:rPr>
        <w:t>人的施工人员、材料、设备必须在</w:t>
      </w:r>
      <w:r>
        <w:rPr>
          <w:rFonts w:hint="eastAsia"/>
          <w:color w:val="auto"/>
          <w:u w:val="single"/>
        </w:rPr>
        <w:t xml:space="preserve"> 15</w:t>
      </w:r>
      <w:r>
        <w:rPr>
          <w:color w:val="auto"/>
          <w:u w:val="single"/>
        </w:rPr>
        <w:t>天</w:t>
      </w:r>
      <w:r>
        <w:rPr>
          <w:color w:val="auto"/>
        </w:rPr>
        <w:t>内全部退出现场，每延迟一天退场</w:t>
      </w:r>
      <w:r>
        <w:rPr>
          <w:rFonts w:hint="eastAsia"/>
          <w:color w:val="auto"/>
        </w:rPr>
        <w:t>发包人</w:t>
      </w:r>
      <w:r>
        <w:rPr>
          <w:color w:val="auto"/>
        </w:rPr>
        <w:t>收取</w:t>
      </w:r>
      <w:r>
        <w:rPr>
          <w:rFonts w:hint="eastAsia"/>
          <w:color w:val="auto"/>
        </w:rPr>
        <w:t>承包</w:t>
      </w:r>
      <w:r>
        <w:rPr>
          <w:color w:val="auto"/>
        </w:rPr>
        <w:t>人</w:t>
      </w:r>
      <w:r>
        <w:rPr>
          <w:rFonts w:hint="eastAsia"/>
          <w:color w:val="auto"/>
          <w:u w:val="single"/>
        </w:rPr>
        <w:t>5</w:t>
      </w:r>
      <w:r>
        <w:rPr>
          <w:color w:val="auto"/>
          <w:u w:val="single"/>
        </w:rPr>
        <w:t>000元</w:t>
      </w:r>
      <w:r>
        <w:rPr>
          <w:color w:val="auto"/>
        </w:rPr>
        <w:t>违约金</w:t>
      </w:r>
    </w:p>
    <w:p>
      <w:pPr>
        <w:pStyle w:val="52"/>
        <w:ind w:firstLine="420"/>
        <w:rPr>
          <w:color w:val="auto"/>
        </w:rPr>
      </w:pPr>
      <w:r>
        <w:rPr>
          <w:color w:val="auto"/>
        </w:rPr>
        <w:t>2）无论因何原因按照约定或法定解除合同的，</w:t>
      </w:r>
      <w:r>
        <w:rPr>
          <w:rFonts w:hint="eastAsia"/>
          <w:color w:val="auto"/>
        </w:rPr>
        <w:t>承包</w:t>
      </w:r>
      <w:r>
        <w:rPr>
          <w:color w:val="auto"/>
        </w:rPr>
        <w:t>人的施工人员、材料、设备必须在1</w:t>
      </w:r>
      <w:r>
        <w:rPr>
          <w:rFonts w:hint="eastAsia"/>
          <w:color w:val="auto"/>
        </w:rPr>
        <w:t>5</w:t>
      </w:r>
      <w:r>
        <w:rPr>
          <w:color w:val="auto"/>
        </w:rPr>
        <w:t>天内清场并全部退出现场，如逾期退场或拒绝退场的，每延迟一天退场，</w:t>
      </w:r>
      <w:r>
        <w:rPr>
          <w:rFonts w:hint="eastAsia"/>
          <w:color w:val="auto"/>
        </w:rPr>
        <w:t>发包人</w:t>
      </w:r>
      <w:r>
        <w:rPr>
          <w:color w:val="auto"/>
        </w:rPr>
        <w:t>收取</w:t>
      </w:r>
      <w:r>
        <w:rPr>
          <w:rFonts w:hint="eastAsia"/>
          <w:color w:val="auto"/>
        </w:rPr>
        <w:t>承包</w:t>
      </w:r>
      <w:r>
        <w:rPr>
          <w:color w:val="auto"/>
        </w:rPr>
        <w:t>人5000元违约金。</w:t>
      </w:r>
      <w:r>
        <w:rPr>
          <w:rFonts w:hint="eastAsia"/>
          <w:color w:val="auto"/>
        </w:rPr>
        <w:t>承包</w:t>
      </w:r>
      <w:r>
        <w:rPr>
          <w:color w:val="auto"/>
        </w:rPr>
        <w:t>人拒绝清场的，应同时承担</w:t>
      </w:r>
      <w:r>
        <w:rPr>
          <w:rFonts w:hint="eastAsia"/>
          <w:color w:val="auto"/>
        </w:rPr>
        <w:t>发包人</w:t>
      </w:r>
      <w:r>
        <w:rPr>
          <w:color w:val="auto"/>
        </w:rPr>
        <w:t>委托第三方清场的费用。</w:t>
      </w:r>
    </w:p>
    <w:p>
      <w:pPr>
        <w:pStyle w:val="52"/>
        <w:ind w:firstLine="420"/>
        <w:rPr>
          <w:color w:val="auto"/>
        </w:rPr>
      </w:pPr>
      <w:r>
        <w:rPr>
          <w:color w:val="auto"/>
        </w:rPr>
        <w:t>3）</w:t>
      </w:r>
      <w:r>
        <w:rPr>
          <w:rFonts w:hint="eastAsia"/>
          <w:color w:val="auto"/>
        </w:rPr>
        <w:t>承包</w:t>
      </w:r>
      <w:r>
        <w:rPr>
          <w:color w:val="auto"/>
        </w:rPr>
        <w:t>人延迟提供符合以上规定的竣工图纸及竣工资料的，每延迟1天，</w:t>
      </w:r>
      <w:r>
        <w:rPr>
          <w:rFonts w:hint="eastAsia"/>
          <w:color w:val="auto"/>
        </w:rPr>
        <w:t>须向发包人支付签约合同价格的</w:t>
      </w:r>
      <w:r>
        <w:rPr>
          <w:rFonts w:hint="eastAsia"/>
          <w:color w:val="auto"/>
          <w:u w:val="single"/>
        </w:rPr>
        <w:t>千分之一</w:t>
      </w:r>
      <w:r>
        <w:rPr>
          <w:rFonts w:hint="eastAsia"/>
          <w:color w:val="auto"/>
        </w:rPr>
        <w:t>作为违约金。</w:t>
      </w:r>
    </w:p>
    <w:p>
      <w:pPr>
        <w:pStyle w:val="52"/>
        <w:ind w:firstLine="420"/>
        <w:rPr>
          <w:color w:val="auto"/>
        </w:rPr>
      </w:pPr>
      <w:r>
        <w:rPr>
          <w:color w:val="auto"/>
        </w:rPr>
        <w:t>22.1.</w:t>
      </w:r>
      <w:r>
        <w:rPr>
          <w:rFonts w:hint="eastAsia"/>
          <w:color w:val="auto"/>
        </w:rPr>
        <w:t>7</w:t>
      </w:r>
      <w:r>
        <w:rPr>
          <w:color w:val="auto"/>
        </w:rPr>
        <w:t>.3工程质量方面：</w:t>
      </w:r>
    </w:p>
    <w:p>
      <w:pPr>
        <w:pStyle w:val="52"/>
        <w:ind w:firstLine="420"/>
        <w:rPr>
          <w:color w:val="auto"/>
        </w:rPr>
      </w:pPr>
      <w:r>
        <w:rPr>
          <w:color w:val="auto"/>
        </w:rPr>
        <w:t>1）</w:t>
      </w:r>
      <w:r>
        <w:rPr>
          <w:rFonts w:hint="eastAsia"/>
          <w:color w:val="auto"/>
        </w:rPr>
        <w:t>承包</w:t>
      </w:r>
      <w:r>
        <w:rPr>
          <w:color w:val="auto"/>
        </w:rPr>
        <w:t>人在施工过程中，因质量问题需对已完工程进行整改、返工的，产生的费用增加由</w:t>
      </w:r>
      <w:r>
        <w:rPr>
          <w:rFonts w:hint="eastAsia"/>
          <w:color w:val="auto"/>
        </w:rPr>
        <w:t>承包</w:t>
      </w:r>
      <w:r>
        <w:rPr>
          <w:color w:val="auto"/>
        </w:rPr>
        <w:t>人全部负责。若</w:t>
      </w:r>
      <w:r>
        <w:rPr>
          <w:rFonts w:hint="eastAsia"/>
          <w:color w:val="auto"/>
        </w:rPr>
        <w:t>承包</w:t>
      </w:r>
      <w:r>
        <w:rPr>
          <w:color w:val="auto"/>
        </w:rPr>
        <w:t>人有违反质量评定标准的质量问题，</w:t>
      </w:r>
      <w:r>
        <w:rPr>
          <w:rFonts w:hint="eastAsia"/>
          <w:color w:val="auto"/>
        </w:rPr>
        <w:t>或者导致发包人、监理人、建设主管部门就质量问题发出停工整改通知的，</w:t>
      </w:r>
      <w:r>
        <w:rPr>
          <w:color w:val="auto"/>
        </w:rPr>
        <w:t>视情节轻重，每次（项）须承担1-5万元的违约金，同时亦不免除</w:t>
      </w:r>
      <w:r>
        <w:rPr>
          <w:rFonts w:hint="eastAsia"/>
          <w:color w:val="auto"/>
        </w:rPr>
        <w:t>承包</w:t>
      </w:r>
      <w:r>
        <w:rPr>
          <w:color w:val="auto"/>
        </w:rPr>
        <w:t>人对不合格工程进行整改、返工的责任、工期不予顺延。</w:t>
      </w:r>
    </w:p>
    <w:p>
      <w:pPr>
        <w:pStyle w:val="52"/>
        <w:ind w:firstLine="420"/>
        <w:rPr>
          <w:color w:val="auto"/>
        </w:rPr>
      </w:pPr>
      <w:r>
        <w:rPr>
          <w:color w:val="auto"/>
        </w:rPr>
        <w:t>2）</w:t>
      </w:r>
      <w:r>
        <w:rPr>
          <w:rFonts w:hint="eastAsia"/>
          <w:color w:val="auto"/>
        </w:rPr>
        <w:t>承包</w:t>
      </w:r>
      <w:r>
        <w:rPr>
          <w:color w:val="auto"/>
        </w:rPr>
        <w:t>人未按发包人审定的施工方案、施工工艺</w:t>
      </w:r>
      <w:r>
        <w:rPr>
          <w:rFonts w:hint="eastAsia"/>
          <w:color w:val="auto"/>
        </w:rPr>
        <w:t>和图纸</w:t>
      </w:r>
      <w:r>
        <w:rPr>
          <w:color w:val="auto"/>
        </w:rPr>
        <w:t>进行施工的，每次（项）须承担</w:t>
      </w:r>
      <w:r>
        <w:rPr>
          <w:rFonts w:hint="eastAsia"/>
          <w:color w:val="auto"/>
        </w:rPr>
        <w:t>2</w:t>
      </w:r>
      <w:r>
        <w:rPr>
          <w:color w:val="auto"/>
        </w:rPr>
        <w:t>万元的违约金，同时亦不免除</w:t>
      </w:r>
      <w:r>
        <w:rPr>
          <w:rFonts w:hint="eastAsia"/>
          <w:color w:val="auto"/>
        </w:rPr>
        <w:t>承包</w:t>
      </w:r>
      <w:r>
        <w:rPr>
          <w:color w:val="auto"/>
        </w:rPr>
        <w:t xml:space="preserve">人对不合格施工方案、施工工艺的整改责任。  </w:t>
      </w:r>
    </w:p>
    <w:p>
      <w:pPr>
        <w:pStyle w:val="52"/>
        <w:ind w:firstLine="420"/>
        <w:rPr>
          <w:color w:val="auto"/>
        </w:rPr>
      </w:pPr>
      <w:r>
        <w:rPr>
          <w:color w:val="auto"/>
        </w:rPr>
        <w:t>3）</w:t>
      </w:r>
      <w:r>
        <w:rPr>
          <w:rFonts w:hint="eastAsia"/>
          <w:color w:val="auto"/>
        </w:rPr>
        <w:t>承包</w:t>
      </w:r>
      <w:r>
        <w:rPr>
          <w:color w:val="auto"/>
        </w:rPr>
        <w:t>人对</w:t>
      </w:r>
      <w:r>
        <w:rPr>
          <w:rFonts w:hint="eastAsia"/>
          <w:color w:val="auto"/>
        </w:rPr>
        <w:t>发包人</w:t>
      </w:r>
      <w:r>
        <w:rPr>
          <w:color w:val="auto"/>
        </w:rPr>
        <w:t>指出的质量问题未按时整改并回复，</w:t>
      </w:r>
      <w:r>
        <w:rPr>
          <w:rFonts w:hint="eastAsia"/>
          <w:color w:val="auto"/>
        </w:rPr>
        <w:t>承包</w:t>
      </w:r>
      <w:r>
        <w:rPr>
          <w:color w:val="auto"/>
        </w:rPr>
        <w:t>人应限期整改完成并向</w:t>
      </w:r>
      <w:r>
        <w:rPr>
          <w:rFonts w:hint="eastAsia"/>
          <w:color w:val="auto"/>
        </w:rPr>
        <w:t>发包人</w:t>
      </w:r>
      <w:r>
        <w:rPr>
          <w:color w:val="auto"/>
        </w:rPr>
        <w:t>支付1000元/条/天的违约金。</w:t>
      </w:r>
    </w:p>
    <w:p>
      <w:pPr>
        <w:pStyle w:val="52"/>
        <w:ind w:firstLine="420"/>
        <w:rPr>
          <w:color w:val="auto"/>
        </w:rPr>
      </w:pPr>
      <w:r>
        <w:rPr>
          <w:rFonts w:hint="eastAsia"/>
          <w:color w:val="auto"/>
        </w:rPr>
        <w:t>4</w:t>
      </w:r>
      <w:r>
        <w:rPr>
          <w:color w:val="auto"/>
        </w:rPr>
        <w:t>）工程施工期间和缺陷责任期内，由于</w:t>
      </w:r>
      <w:r>
        <w:rPr>
          <w:rFonts w:hint="eastAsia"/>
          <w:color w:val="auto"/>
        </w:rPr>
        <w:t>承包</w:t>
      </w:r>
      <w:r>
        <w:rPr>
          <w:color w:val="auto"/>
        </w:rPr>
        <w:t>人责任出现质量问题、安全事故或者其他原因，使发包人或项目受到报纸、电视等媒体的曝光或政府有关主管部门的通报批评的，每出现一次，</w:t>
      </w:r>
      <w:r>
        <w:rPr>
          <w:rFonts w:hint="eastAsia"/>
          <w:color w:val="auto"/>
        </w:rPr>
        <w:t>承包</w:t>
      </w:r>
      <w:r>
        <w:rPr>
          <w:color w:val="auto"/>
        </w:rPr>
        <w:t>人应向</w:t>
      </w:r>
      <w:r>
        <w:rPr>
          <w:rFonts w:hint="eastAsia"/>
          <w:color w:val="auto"/>
        </w:rPr>
        <w:t>发包人</w:t>
      </w:r>
      <w:r>
        <w:rPr>
          <w:color w:val="auto"/>
        </w:rPr>
        <w:t>支付</w:t>
      </w:r>
      <w:r>
        <w:rPr>
          <w:rFonts w:hint="eastAsia"/>
          <w:color w:val="auto"/>
        </w:rPr>
        <w:t>2</w:t>
      </w:r>
      <w:r>
        <w:rPr>
          <w:color w:val="auto"/>
        </w:rPr>
        <w:t>0万元违约金。</w:t>
      </w:r>
    </w:p>
    <w:p>
      <w:pPr>
        <w:pStyle w:val="52"/>
        <w:ind w:firstLine="420"/>
        <w:rPr>
          <w:color w:val="auto"/>
        </w:rPr>
      </w:pPr>
      <w:r>
        <w:rPr>
          <w:rFonts w:hint="eastAsia"/>
          <w:color w:val="auto"/>
        </w:rPr>
        <w:t>5</w:t>
      </w:r>
      <w:r>
        <w:rPr>
          <w:color w:val="auto"/>
        </w:rPr>
        <w:t>）</w:t>
      </w:r>
      <w:r>
        <w:rPr>
          <w:rFonts w:hint="eastAsia"/>
          <w:color w:val="auto"/>
        </w:rPr>
        <w:t>承包</w:t>
      </w:r>
      <w:r>
        <w:rPr>
          <w:color w:val="auto"/>
        </w:rPr>
        <w:t>人未经报验，擅自进行下道工序施工的，</w:t>
      </w:r>
      <w:r>
        <w:rPr>
          <w:rFonts w:hint="eastAsia"/>
          <w:color w:val="auto"/>
        </w:rPr>
        <w:t>承包</w:t>
      </w:r>
      <w:r>
        <w:rPr>
          <w:color w:val="auto"/>
        </w:rPr>
        <w:t>人应拆除擅自施工的部位，并向</w:t>
      </w:r>
      <w:r>
        <w:rPr>
          <w:rFonts w:hint="eastAsia"/>
          <w:color w:val="auto"/>
        </w:rPr>
        <w:t>发包人</w:t>
      </w:r>
      <w:r>
        <w:rPr>
          <w:color w:val="auto"/>
        </w:rPr>
        <w:t>支付</w:t>
      </w:r>
      <w:r>
        <w:rPr>
          <w:rFonts w:hint="eastAsia"/>
          <w:color w:val="auto"/>
        </w:rPr>
        <w:t>1万</w:t>
      </w:r>
      <w:r>
        <w:rPr>
          <w:color w:val="auto"/>
        </w:rPr>
        <w:t>元/次的违约金。</w:t>
      </w:r>
    </w:p>
    <w:p>
      <w:pPr>
        <w:pStyle w:val="52"/>
        <w:ind w:firstLine="420"/>
        <w:rPr>
          <w:color w:val="auto"/>
        </w:rPr>
      </w:pPr>
      <w:r>
        <w:rPr>
          <w:rFonts w:hint="eastAsia"/>
          <w:color w:val="auto"/>
        </w:rPr>
        <w:t>6）隐蔽工程未经发包人同意承包人私自进行隐蔽的，承包人应向发包人支付1~5万元的违约金，且承包人应无条件配合发包人进行检验，如检验不合格承包人须无条件返工直至验收合格。该等检验、返工等所发生的费用、工期延误由承包人自行承担，同时承包人应承担因此而发生的发包人与第三方单位的损失，且第三方单位的工期索赔应由承包人承担。</w:t>
      </w:r>
    </w:p>
    <w:p>
      <w:pPr>
        <w:pStyle w:val="52"/>
        <w:ind w:firstLine="420"/>
        <w:rPr>
          <w:color w:val="auto"/>
        </w:rPr>
      </w:pPr>
      <w:r>
        <w:rPr>
          <w:rFonts w:hint="eastAsia"/>
          <w:color w:val="auto"/>
        </w:rPr>
        <w:t>7</w:t>
      </w:r>
      <w:r>
        <w:rPr>
          <w:color w:val="auto"/>
        </w:rPr>
        <w:t>）</w:t>
      </w:r>
      <w:r>
        <w:rPr>
          <w:rFonts w:hint="eastAsia"/>
          <w:color w:val="auto"/>
        </w:rPr>
        <w:t>因承包人施工质量问题造成发包人损失的，承包人应赔偿发包人一切损失，并按以下约定向发包人支付违约金：</w:t>
      </w:r>
    </w:p>
    <w:p>
      <w:pPr>
        <w:pStyle w:val="52"/>
        <w:ind w:firstLine="420"/>
        <w:rPr>
          <w:color w:val="auto"/>
        </w:rPr>
      </w:pPr>
      <w:r>
        <w:rPr>
          <w:color w:val="auto"/>
        </w:rPr>
        <w:t>因</w:t>
      </w:r>
      <w:r>
        <w:rPr>
          <w:rFonts w:hint="eastAsia"/>
          <w:color w:val="auto"/>
        </w:rPr>
        <w:t>承包</w:t>
      </w:r>
      <w:r>
        <w:rPr>
          <w:color w:val="auto"/>
        </w:rPr>
        <w:t>人施工质量问题造成发包人损失100万以上的，每出现一次，</w:t>
      </w:r>
      <w:r>
        <w:rPr>
          <w:rFonts w:hint="eastAsia"/>
          <w:color w:val="auto"/>
        </w:rPr>
        <w:t>承包</w:t>
      </w:r>
      <w:r>
        <w:rPr>
          <w:color w:val="auto"/>
        </w:rPr>
        <w:t>人应向</w:t>
      </w:r>
      <w:r>
        <w:rPr>
          <w:rFonts w:hint="eastAsia"/>
          <w:color w:val="auto"/>
        </w:rPr>
        <w:t>发包人</w:t>
      </w:r>
      <w:r>
        <w:rPr>
          <w:color w:val="auto"/>
        </w:rPr>
        <w:t>支付20万元违约金；造成发包人损失50万以上、100万以下的，每出现一次</w:t>
      </w:r>
      <w:r>
        <w:rPr>
          <w:rFonts w:hint="eastAsia"/>
          <w:color w:val="auto"/>
        </w:rPr>
        <w:t>承包</w:t>
      </w:r>
      <w:r>
        <w:rPr>
          <w:color w:val="auto"/>
        </w:rPr>
        <w:t>人应向</w:t>
      </w:r>
      <w:r>
        <w:rPr>
          <w:rFonts w:hint="eastAsia"/>
          <w:color w:val="auto"/>
        </w:rPr>
        <w:t>发包人</w:t>
      </w:r>
      <w:r>
        <w:rPr>
          <w:color w:val="auto"/>
        </w:rPr>
        <w:t>支付15万元违约金；造成发包人损失20万以上、50万以下的，每出现一次</w:t>
      </w:r>
      <w:r>
        <w:rPr>
          <w:rFonts w:hint="eastAsia"/>
          <w:color w:val="auto"/>
        </w:rPr>
        <w:t>承包</w:t>
      </w:r>
      <w:r>
        <w:rPr>
          <w:color w:val="auto"/>
        </w:rPr>
        <w:t>人应向</w:t>
      </w:r>
      <w:r>
        <w:rPr>
          <w:rFonts w:hint="eastAsia"/>
          <w:color w:val="auto"/>
        </w:rPr>
        <w:t>发包人</w:t>
      </w:r>
      <w:r>
        <w:rPr>
          <w:color w:val="auto"/>
        </w:rPr>
        <w:t>支付10万元违约金；造成发包人损失20万以下的，每出现一次</w:t>
      </w:r>
      <w:r>
        <w:rPr>
          <w:rFonts w:hint="eastAsia"/>
          <w:color w:val="auto"/>
        </w:rPr>
        <w:t>承包</w:t>
      </w:r>
      <w:r>
        <w:rPr>
          <w:color w:val="auto"/>
        </w:rPr>
        <w:t>人应向</w:t>
      </w:r>
      <w:r>
        <w:rPr>
          <w:rFonts w:hint="eastAsia"/>
          <w:color w:val="auto"/>
        </w:rPr>
        <w:t>发包人</w:t>
      </w:r>
      <w:r>
        <w:rPr>
          <w:color w:val="auto"/>
        </w:rPr>
        <w:t>支付5万元违约金。</w:t>
      </w:r>
    </w:p>
    <w:p>
      <w:pPr>
        <w:pStyle w:val="52"/>
        <w:ind w:firstLine="420"/>
        <w:rPr>
          <w:color w:val="auto"/>
        </w:rPr>
      </w:pPr>
      <w:r>
        <w:rPr>
          <w:rFonts w:hint="eastAsia"/>
          <w:color w:val="auto"/>
        </w:rPr>
        <w:t>8）</w:t>
      </w:r>
      <w:r>
        <w:rPr>
          <w:color w:val="auto"/>
        </w:rPr>
        <w:t>发包人在施工过程中发现</w:t>
      </w:r>
      <w:r>
        <w:rPr>
          <w:rFonts w:hint="eastAsia"/>
          <w:color w:val="auto"/>
        </w:rPr>
        <w:t>承包</w:t>
      </w:r>
      <w:r>
        <w:rPr>
          <w:color w:val="auto"/>
        </w:rPr>
        <w:t>人未按照本项目的质量控制点要求进行施工的，其中，每发现一次一类控制点的，</w:t>
      </w:r>
      <w:r>
        <w:rPr>
          <w:rFonts w:hint="eastAsia"/>
          <w:color w:val="auto"/>
        </w:rPr>
        <w:t>承包</w:t>
      </w:r>
      <w:r>
        <w:rPr>
          <w:color w:val="auto"/>
        </w:rPr>
        <w:t>人应向</w:t>
      </w:r>
      <w:r>
        <w:rPr>
          <w:rFonts w:hint="eastAsia"/>
          <w:color w:val="auto"/>
        </w:rPr>
        <w:t>发包人</w:t>
      </w:r>
      <w:r>
        <w:rPr>
          <w:color w:val="auto"/>
        </w:rPr>
        <w:t>支付</w:t>
      </w:r>
      <w:r>
        <w:rPr>
          <w:rFonts w:hint="eastAsia"/>
          <w:color w:val="auto"/>
          <w:u w:val="single"/>
        </w:rPr>
        <w:t>5</w:t>
      </w:r>
      <w:r>
        <w:rPr>
          <w:color w:val="auto"/>
          <w:u w:val="single"/>
        </w:rPr>
        <w:t>000元</w:t>
      </w:r>
      <w:r>
        <w:rPr>
          <w:color w:val="auto"/>
        </w:rPr>
        <w:t>违约金；每发现一次二类控制点的，</w:t>
      </w:r>
      <w:r>
        <w:rPr>
          <w:rFonts w:hint="eastAsia"/>
          <w:color w:val="auto"/>
        </w:rPr>
        <w:t>承包</w:t>
      </w:r>
      <w:r>
        <w:rPr>
          <w:color w:val="auto"/>
        </w:rPr>
        <w:t>人应向</w:t>
      </w:r>
      <w:r>
        <w:rPr>
          <w:rFonts w:hint="eastAsia"/>
          <w:color w:val="auto"/>
        </w:rPr>
        <w:t>发包人</w:t>
      </w:r>
      <w:r>
        <w:rPr>
          <w:color w:val="auto"/>
        </w:rPr>
        <w:t>支付</w:t>
      </w:r>
      <w:r>
        <w:rPr>
          <w:rFonts w:hint="eastAsia"/>
          <w:color w:val="auto"/>
          <w:u w:val="single"/>
        </w:rPr>
        <w:t>30</w:t>
      </w:r>
      <w:r>
        <w:rPr>
          <w:color w:val="auto"/>
          <w:u w:val="single"/>
        </w:rPr>
        <w:t>00元</w:t>
      </w:r>
      <w:r>
        <w:rPr>
          <w:color w:val="auto"/>
        </w:rPr>
        <w:t>违约金；每发现一次三类控制点的，</w:t>
      </w:r>
      <w:r>
        <w:rPr>
          <w:rFonts w:hint="eastAsia"/>
          <w:color w:val="auto"/>
        </w:rPr>
        <w:t>承包</w:t>
      </w:r>
      <w:r>
        <w:rPr>
          <w:color w:val="auto"/>
        </w:rPr>
        <w:t>人应向</w:t>
      </w:r>
      <w:r>
        <w:rPr>
          <w:rFonts w:hint="eastAsia"/>
          <w:color w:val="auto"/>
        </w:rPr>
        <w:t>发包人</w:t>
      </w:r>
      <w:r>
        <w:rPr>
          <w:color w:val="auto"/>
        </w:rPr>
        <w:t>支付</w:t>
      </w:r>
      <w:r>
        <w:rPr>
          <w:rFonts w:hint="eastAsia"/>
          <w:color w:val="auto"/>
          <w:u w:val="single"/>
        </w:rPr>
        <w:t>10</w:t>
      </w:r>
      <w:r>
        <w:rPr>
          <w:color w:val="auto"/>
          <w:u w:val="single"/>
        </w:rPr>
        <w:t>00元</w:t>
      </w:r>
      <w:r>
        <w:rPr>
          <w:color w:val="auto"/>
        </w:rPr>
        <w:t>违约金。（一类控制点与主体结构安全相关，整改难度极大；二类控制点对项目整体工程质量起指导性或关键性作用；三类控制点需要按质量规范执行，对施工过程中工序、工艺进行纠偏。）</w:t>
      </w:r>
    </w:p>
    <w:p>
      <w:pPr>
        <w:pStyle w:val="52"/>
        <w:ind w:firstLine="420"/>
        <w:rPr>
          <w:color w:val="auto"/>
        </w:rPr>
      </w:pPr>
      <w:r>
        <w:rPr>
          <w:rFonts w:hint="eastAsia"/>
          <w:color w:val="auto"/>
        </w:rPr>
        <w:t>9）承包人使用了不合格材料或工程设备，工程质量达不到标准要求，要求承包人立即采取措施进行补救，直至达到合同要求的质量标准，由此增加的费用和（或）工期延误由承包人承担。每发生一次该事项承包人还需向发包人支付5万元违约金。</w:t>
      </w:r>
    </w:p>
    <w:p>
      <w:pPr>
        <w:pStyle w:val="52"/>
        <w:ind w:firstLine="420"/>
        <w:rPr>
          <w:color w:val="auto"/>
        </w:rPr>
      </w:pPr>
      <w:r>
        <w:rPr>
          <w:rFonts w:hint="eastAsia"/>
          <w:color w:val="auto"/>
        </w:rPr>
        <w:t>10）承包人提交的深化设计图纸必须一次性满足发包人的深化设计要求，否则，每超过一次，承包人须向发包人承担1000元/次违约责任，且不免除承包人需完成的深化设计任务。</w:t>
      </w:r>
    </w:p>
    <w:p>
      <w:pPr>
        <w:pStyle w:val="52"/>
        <w:ind w:firstLine="420"/>
        <w:rPr>
          <w:color w:val="auto"/>
        </w:rPr>
      </w:pPr>
      <w:r>
        <w:rPr>
          <w:color w:val="auto"/>
        </w:rPr>
        <w:t>22.1.</w:t>
      </w:r>
      <w:r>
        <w:rPr>
          <w:rFonts w:hint="eastAsia"/>
          <w:color w:val="auto"/>
        </w:rPr>
        <w:t>7</w:t>
      </w:r>
      <w:r>
        <w:rPr>
          <w:color w:val="auto"/>
        </w:rPr>
        <w:t>.4</w:t>
      </w:r>
      <w:r>
        <w:rPr>
          <w:rFonts w:hint="eastAsia"/>
          <w:color w:val="auto"/>
        </w:rPr>
        <w:t>绿色施工安全防护措施</w:t>
      </w:r>
      <w:r>
        <w:rPr>
          <w:color w:val="auto"/>
        </w:rPr>
        <w:t>方面：</w:t>
      </w:r>
    </w:p>
    <w:p>
      <w:pPr>
        <w:pStyle w:val="52"/>
        <w:ind w:firstLine="420"/>
        <w:rPr>
          <w:color w:val="auto"/>
        </w:rPr>
      </w:pPr>
      <w:r>
        <w:rPr>
          <w:rFonts w:hint="eastAsia"/>
          <w:color w:val="auto"/>
        </w:rPr>
        <w:t>1）发生承包人施工人员或者劳务人员以非正常手段索取工程款或者聚众滋事或到党政机关、司法部门、发包人所在单位及其上级主管公司非法上访、聚众闹事、拉横幅、静坐、游行等事件的，每发生一次，承包人应向发包人支付人民币</w:t>
      </w:r>
      <w:r>
        <w:rPr>
          <w:rFonts w:hint="eastAsia"/>
          <w:color w:val="auto"/>
          <w:u w:val="single"/>
        </w:rPr>
        <w:t xml:space="preserve"> 20 </w:t>
      </w:r>
      <w:r>
        <w:rPr>
          <w:rFonts w:hint="eastAsia"/>
          <w:color w:val="auto"/>
        </w:rPr>
        <w:t>万元/次的违约金。</w:t>
      </w:r>
    </w:p>
    <w:p>
      <w:pPr>
        <w:pStyle w:val="52"/>
        <w:ind w:firstLine="420"/>
        <w:rPr>
          <w:color w:val="auto"/>
        </w:rPr>
      </w:pPr>
      <w:r>
        <w:rPr>
          <w:rFonts w:hint="eastAsia"/>
          <w:color w:val="auto"/>
        </w:rPr>
        <w:t>2）安全文明施工若达不到项目所在地市级建设行政主管部门安全文明验收标准或者验收后不能保持到工程移交完毕的，承包人应限期整改完成，并向发包人支付人民币</w:t>
      </w:r>
      <w:r>
        <w:rPr>
          <w:rFonts w:hint="eastAsia"/>
          <w:color w:val="auto"/>
          <w:u w:val="single"/>
        </w:rPr>
        <w:t xml:space="preserve"> 1万 </w:t>
      </w:r>
      <w:r>
        <w:rPr>
          <w:rFonts w:hint="eastAsia"/>
          <w:color w:val="auto"/>
        </w:rPr>
        <w:t>元的违约金。</w:t>
      </w:r>
    </w:p>
    <w:p>
      <w:pPr>
        <w:pStyle w:val="52"/>
        <w:ind w:firstLine="420"/>
        <w:rPr>
          <w:color w:val="auto"/>
        </w:rPr>
      </w:pPr>
      <w:r>
        <w:rPr>
          <w:rFonts w:hint="eastAsia"/>
          <w:color w:val="auto"/>
        </w:rPr>
        <w:t>3）承包人违反发包人现场管理制度有关规定的，按照发包人现场管理制度的有关规定处理，并视实际情况支付违约金人民币</w:t>
      </w:r>
      <w:r>
        <w:rPr>
          <w:rFonts w:hint="eastAsia"/>
          <w:color w:val="auto"/>
          <w:u w:val="single"/>
        </w:rPr>
        <w:t xml:space="preserve"> 5000 </w:t>
      </w:r>
      <w:r>
        <w:rPr>
          <w:rFonts w:hint="eastAsia"/>
          <w:color w:val="auto"/>
        </w:rPr>
        <w:t>元。</w:t>
      </w:r>
    </w:p>
    <w:p>
      <w:pPr>
        <w:pStyle w:val="52"/>
        <w:ind w:firstLine="420"/>
        <w:rPr>
          <w:color w:val="auto"/>
        </w:rPr>
      </w:pPr>
      <w:r>
        <w:rPr>
          <w:color w:val="auto"/>
        </w:rPr>
        <w:t>4）</w:t>
      </w:r>
      <w:r>
        <w:rPr>
          <w:rFonts w:hint="eastAsia"/>
          <w:color w:val="auto"/>
        </w:rPr>
        <w:t>承包</w:t>
      </w:r>
      <w:r>
        <w:rPr>
          <w:color w:val="auto"/>
        </w:rPr>
        <w:t>人对监理通知或发包人指出的安全问题未按时整改并回复，</w:t>
      </w:r>
      <w:r>
        <w:rPr>
          <w:rFonts w:hint="eastAsia"/>
          <w:color w:val="auto"/>
        </w:rPr>
        <w:t>承包</w:t>
      </w:r>
      <w:r>
        <w:rPr>
          <w:color w:val="auto"/>
        </w:rPr>
        <w:t>人应限期整改完成并向</w:t>
      </w:r>
      <w:r>
        <w:rPr>
          <w:rFonts w:hint="eastAsia"/>
          <w:color w:val="auto"/>
        </w:rPr>
        <w:t>发包人</w:t>
      </w:r>
      <w:r>
        <w:rPr>
          <w:color w:val="auto"/>
        </w:rPr>
        <w:t>支付</w:t>
      </w:r>
      <w:r>
        <w:rPr>
          <w:color w:val="auto"/>
          <w:u w:val="single"/>
        </w:rPr>
        <w:t>5000元/次</w:t>
      </w:r>
      <w:r>
        <w:rPr>
          <w:color w:val="auto"/>
        </w:rPr>
        <w:t>违约金，对严重安全隐患未及时整改的，</w:t>
      </w:r>
      <w:r>
        <w:rPr>
          <w:rFonts w:hint="eastAsia"/>
          <w:color w:val="auto"/>
        </w:rPr>
        <w:t>承包</w:t>
      </w:r>
      <w:r>
        <w:rPr>
          <w:color w:val="auto"/>
        </w:rPr>
        <w:t>人向</w:t>
      </w:r>
      <w:r>
        <w:rPr>
          <w:rFonts w:hint="eastAsia"/>
          <w:color w:val="auto"/>
        </w:rPr>
        <w:t>发包人</w:t>
      </w:r>
      <w:r>
        <w:rPr>
          <w:color w:val="auto"/>
        </w:rPr>
        <w:t>支付</w:t>
      </w:r>
      <w:r>
        <w:rPr>
          <w:color w:val="auto"/>
          <w:u w:val="single"/>
        </w:rPr>
        <w:t>10000元/次</w:t>
      </w:r>
      <w:r>
        <w:rPr>
          <w:color w:val="auto"/>
        </w:rPr>
        <w:t>的违约金，并在当月进度款中扣除。</w:t>
      </w:r>
    </w:p>
    <w:p>
      <w:pPr>
        <w:pStyle w:val="52"/>
        <w:ind w:firstLine="420"/>
        <w:rPr>
          <w:color w:val="auto"/>
        </w:rPr>
      </w:pPr>
      <w:r>
        <w:rPr>
          <w:color w:val="auto"/>
        </w:rPr>
        <w:t>5）</w:t>
      </w:r>
      <w:r>
        <w:rPr>
          <w:rFonts w:hint="eastAsia"/>
          <w:color w:val="auto"/>
        </w:rPr>
        <w:t>承包</w:t>
      </w:r>
      <w:r>
        <w:rPr>
          <w:color w:val="auto"/>
        </w:rPr>
        <w:t>人应保证施工场地清洁符合环境卫生管理的有关要求，做到工完场清，即建筑垃圾须及时清运出场，否则</w:t>
      </w:r>
      <w:r>
        <w:rPr>
          <w:rFonts w:hint="eastAsia"/>
          <w:color w:val="auto"/>
        </w:rPr>
        <w:t>，发包人</w:t>
      </w:r>
      <w:r>
        <w:rPr>
          <w:color w:val="auto"/>
        </w:rPr>
        <w:t>有权另行委托他人清理，发生的费用由</w:t>
      </w:r>
      <w:r>
        <w:rPr>
          <w:rFonts w:hint="eastAsia"/>
          <w:color w:val="auto"/>
        </w:rPr>
        <w:t>承包</w:t>
      </w:r>
      <w:r>
        <w:rPr>
          <w:color w:val="auto"/>
        </w:rPr>
        <w:t>人双倍承担，且不低于</w:t>
      </w:r>
      <w:r>
        <w:rPr>
          <w:color w:val="auto"/>
          <w:u w:val="single"/>
        </w:rPr>
        <w:t>2000元/次</w:t>
      </w:r>
      <w:r>
        <w:rPr>
          <w:color w:val="auto"/>
        </w:rPr>
        <w:t>。</w:t>
      </w:r>
    </w:p>
    <w:p>
      <w:pPr>
        <w:pStyle w:val="52"/>
        <w:ind w:firstLine="420"/>
        <w:rPr>
          <w:color w:val="auto"/>
        </w:rPr>
      </w:pPr>
      <w:r>
        <w:rPr>
          <w:rFonts w:hint="eastAsia"/>
          <w:color w:val="auto"/>
        </w:rPr>
        <w:t>6</w:t>
      </w:r>
      <w:r>
        <w:rPr>
          <w:color w:val="auto"/>
        </w:rPr>
        <w:t>）对于</w:t>
      </w:r>
      <w:r>
        <w:rPr>
          <w:rFonts w:hint="eastAsia"/>
          <w:color w:val="auto"/>
        </w:rPr>
        <w:t>承包</w:t>
      </w:r>
      <w:r>
        <w:rPr>
          <w:color w:val="auto"/>
        </w:rPr>
        <w:t>人未予实施的分项安全文明措施项目，</w:t>
      </w:r>
      <w:r>
        <w:rPr>
          <w:rFonts w:hint="eastAsia"/>
          <w:color w:val="auto"/>
        </w:rPr>
        <w:t>发包人</w:t>
      </w:r>
      <w:r>
        <w:rPr>
          <w:color w:val="auto"/>
        </w:rPr>
        <w:t>将对包干安全文明措施费作相应的扣减，该费用将直接从合同总价中扣除。其他违反本规定的行为，</w:t>
      </w:r>
      <w:r>
        <w:rPr>
          <w:rFonts w:hint="eastAsia"/>
          <w:color w:val="auto"/>
        </w:rPr>
        <w:t>发包人</w:t>
      </w:r>
      <w:r>
        <w:rPr>
          <w:color w:val="auto"/>
        </w:rPr>
        <w:t>有权按照本合同的条款收取违约金。</w:t>
      </w:r>
    </w:p>
    <w:p>
      <w:pPr>
        <w:pStyle w:val="52"/>
        <w:ind w:firstLine="420"/>
        <w:rPr>
          <w:color w:val="auto"/>
        </w:rPr>
      </w:pPr>
      <w:r>
        <w:rPr>
          <w:rFonts w:hint="eastAsia"/>
          <w:color w:val="auto"/>
        </w:rPr>
        <w:t>7</w:t>
      </w:r>
      <w:r>
        <w:rPr>
          <w:color w:val="auto"/>
        </w:rPr>
        <w:t>）</w:t>
      </w:r>
      <w:r>
        <w:rPr>
          <w:rFonts w:hint="eastAsia"/>
          <w:color w:val="auto"/>
        </w:rPr>
        <w:t>承包</w:t>
      </w:r>
      <w:r>
        <w:rPr>
          <w:color w:val="auto"/>
        </w:rPr>
        <w:t>人因自身原因造成安全事故（含工程质量事故）的，除按国家规定</w:t>
      </w:r>
      <w:r>
        <w:rPr>
          <w:rFonts w:hint="eastAsia"/>
          <w:color w:val="auto"/>
        </w:rPr>
        <w:t>（《中华人民共和国安全生产法》《建设工程安全生产管理条例》（国务院令第393 号）等安全生产相关法律法规）</w:t>
      </w:r>
      <w:r>
        <w:rPr>
          <w:color w:val="auto"/>
        </w:rPr>
        <w:t>由行政主管部门处罚外，</w:t>
      </w:r>
      <w:r>
        <w:rPr>
          <w:rFonts w:hint="eastAsia"/>
          <w:color w:val="auto"/>
        </w:rPr>
        <w:t>承包</w:t>
      </w:r>
      <w:r>
        <w:rPr>
          <w:color w:val="auto"/>
        </w:rPr>
        <w:t>人应承担事故处理的所有责任和费用、赔偿发包人的一切损失</w:t>
      </w:r>
      <w:r>
        <w:rPr>
          <w:rFonts w:hint="eastAsia"/>
          <w:color w:val="auto"/>
        </w:rPr>
        <w:t>（包括但不限于行政主管部门的罚款、工期等延误损失、第三方索赔、名誉损害、因此增加的费用支出等）</w:t>
      </w:r>
      <w:r>
        <w:rPr>
          <w:color w:val="auto"/>
        </w:rPr>
        <w:t>，</w:t>
      </w:r>
      <w:r>
        <w:rPr>
          <w:rFonts w:hint="eastAsia"/>
          <w:color w:val="auto"/>
        </w:rPr>
        <w:t>并视安全或质量事故严重程度，发包人保留随时解除合同的权利。</w:t>
      </w:r>
    </w:p>
    <w:p>
      <w:pPr>
        <w:pStyle w:val="52"/>
        <w:ind w:firstLine="420"/>
        <w:rPr>
          <w:color w:val="auto"/>
        </w:rPr>
      </w:pPr>
      <w:r>
        <w:rPr>
          <w:color w:val="auto"/>
        </w:rPr>
        <w:t>8</w:t>
      </w:r>
      <w:r>
        <w:rPr>
          <w:rFonts w:hint="eastAsia"/>
          <w:color w:val="auto"/>
        </w:rPr>
        <w:t>）承包人因自身原因造成安全事故（含工程质量事故）的，还应当承担以下违约责任：（1）发生一般事故，向发包人支付20万元/次的违约金；发生较大事故，向发包人支付50万元/次的违约金；发生重大事故，向发包人支付100万/次的违约金；发生特别重大事故，向发包人支付200万/次的违约金。同时，发包人有权并报请主管部门认定不良行为。事故等级的界定按照《生产安全事故报告和处理条例》（国务院令第493 号）、《生产安全事故信息报告和处置办法》（国家安全生产监督管理总局令第21 号）执行；（2）造成人员轻伤的，承包人应另外支付安全违约金5万元/人次，造成人员重伤的，承包人应支付安全违约金50万元/人次，造成人员死亡的，承包人应支付安全违约金100 万元/人次。发生事故隐瞒不报的，按前述标准加倍扣收。死亡、重伤和轻伤的界定按照《企业职工伤亡事故分类标准》GB6441—86 执行。（3）因发生生产安全事故、涉险事故或产生事故隐患，被媒体传播造成严重社会负面影响，或导致发包人及其上级单位被政府有关部门通报、约谈、批评或函告警示的，以及因施工不当被有关部门责令停工等情形对发包人造成严重不利影响的，承包人应支付违约金50万元/次；（4）承包人发生重大及以上生产安全事故，或发生2 次较大生产安全事故，或一年内发生3 次生产安全事故，或出现上述第（3）点情形的，发包人有权选择全部或部分解除合同。合同解除不免除承包人继续依法妥善处理已发生违约情形的责任。。</w:t>
      </w:r>
    </w:p>
    <w:p>
      <w:pPr>
        <w:pStyle w:val="52"/>
        <w:ind w:firstLine="420"/>
        <w:rPr>
          <w:color w:val="auto"/>
        </w:rPr>
      </w:pPr>
      <w:r>
        <w:rPr>
          <w:color w:val="auto"/>
        </w:rPr>
        <w:t>22.1.</w:t>
      </w:r>
      <w:r>
        <w:rPr>
          <w:rFonts w:hint="eastAsia"/>
          <w:color w:val="auto"/>
        </w:rPr>
        <w:t>7</w:t>
      </w:r>
      <w:r>
        <w:rPr>
          <w:color w:val="auto"/>
        </w:rPr>
        <w:t>.5工程组织管理方面：</w:t>
      </w:r>
    </w:p>
    <w:p>
      <w:pPr>
        <w:pStyle w:val="52"/>
        <w:ind w:firstLine="420"/>
        <w:rPr>
          <w:color w:val="auto"/>
        </w:rPr>
      </w:pPr>
      <w:r>
        <w:rPr>
          <w:color w:val="auto"/>
        </w:rPr>
        <w:t>1）</w:t>
      </w:r>
      <w:r>
        <w:rPr>
          <w:rFonts w:hint="eastAsia"/>
          <w:color w:val="auto"/>
        </w:rPr>
        <w:t>承包</w:t>
      </w:r>
      <w:r>
        <w:rPr>
          <w:color w:val="auto"/>
        </w:rPr>
        <w:t>人违反本合同的约定，不服从发包人及</w:t>
      </w:r>
      <w:r>
        <w:rPr>
          <w:rFonts w:hint="eastAsia"/>
          <w:color w:val="auto"/>
        </w:rPr>
        <w:t>监理人</w:t>
      </w:r>
      <w:r>
        <w:rPr>
          <w:color w:val="auto"/>
        </w:rPr>
        <w:t>的管理，对发包人、</w:t>
      </w:r>
      <w:r>
        <w:rPr>
          <w:rFonts w:hint="eastAsia"/>
          <w:color w:val="auto"/>
        </w:rPr>
        <w:t>监理人</w:t>
      </w:r>
      <w:r>
        <w:rPr>
          <w:color w:val="auto"/>
        </w:rPr>
        <w:t>的指令和书面通知（具体形式包括但不限于设计变更通知、工程指令、现场签证、工程联系单、会议纪要等）公开或变相拒不执行的，</w:t>
      </w:r>
      <w:r>
        <w:rPr>
          <w:rFonts w:hint="eastAsia"/>
          <w:color w:val="auto"/>
        </w:rPr>
        <w:t>发包人</w:t>
      </w:r>
      <w:r>
        <w:rPr>
          <w:color w:val="auto"/>
        </w:rPr>
        <w:t>视情节严重程度有权要求</w:t>
      </w:r>
      <w:r>
        <w:rPr>
          <w:rFonts w:hint="eastAsia"/>
          <w:color w:val="auto"/>
        </w:rPr>
        <w:t>承包</w:t>
      </w:r>
      <w:r>
        <w:rPr>
          <w:color w:val="auto"/>
        </w:rPr>
        <w:t>人支付违约金人民币5000元至50000元，并由</w:t>
      </w:r>
      <w:r>
        <w:rPr>
          <w:rFonts w:hint="eastAsia"/>
          <w:color w:val="auto"/>
        </w:rPr>
        <w:t>承包</w:t>
      </w:r>
      <w:r>
        <w:rPr>
          <w:color w:val="auto"/>
        </w:rPr>
        <w:t>人承担由此造成的一切经济损失。情节特别严重的，</w:t>
      </w:r>
      <w:r>
        <w:rPr>
          <w:rFonts w:hint="eastAsia"/>
          <w:color w:val="auto"/>
        </w:rPr>
        <w:t>发包人</w:t>
      </w:r>
      <w:r>
        <w:rPr>
          <w:color w:val="auto"/>
        </w:rPr>
        <w:t>有权单方面部分解除合同或解除合同。</w:t>
      </w:r>
    </w:p>
    <w:p>
      <w:pPr>
        <w:pStyle w:val="52"/>
        <w:ind w:firstLine="420"/>
        <w:rPr>
          <w:color w:val="auto"/>
        </w:rPr>
      </w:pPr>
      <w:r>
        <w:rPr>
          <w:color w:val="auto"/>
        </w:rPr>
        <w:t>2）</w:t>
      </w:r>
      <w:r>
        <w:rPr>
          <w:rFonts w:hint="eastAsia"/>
          <w:color w:val="auto"/>
        </w:rPr>
        <w:t>承包</w:t>
      </w:r>
      <w:r>
        <w:rPr>
          <w:color w:val="auto"/>
        </w:rPr>
        <w:t>人</w:t>
      </w:r>
      <w:r>
        <w:rPr>
          <w:rFonts w:hint="eastAsia"/>
          <w:color w:val="auto"/>
        </w:rPr>
        <w:t>项目负责人</w:t>
      </w:r>
      <w:r>
        <w:rPr>
          <w:color w:val="auto"/>
        </w:rPr>
        <w:t>未经发包人同意不参加会议的，每人次须向</w:t>
      </w:r>
      <w:r>
        <w:rPr>
          <w:rFonts w:hint="eastAsia"/>
          <w:color w:val="auto"/>
        </w:rPr>
        <w:t>发包人</w:t>
      </w:r>
      <w:r>
        <w:rPr>
          <w:color w:val="auto"/>
        </w:rPr>
        <w:t>支付5000元违约金。</w:t>
      </w:r>
    </w:p>
    <w:p>
      <w:pPr>
        <w:pStyle w:val="52"/>
        <w:ind w:firstLine="420"/>
        <w:rPr>
          <w:color w:val="auto"/>
        </w:rPr>
      </w:pPr>
      <w:r>
        <w:rPr>
          <w:color w:val="auto"/>
        </w:rPr>
        <w:t>22.1.</w:t>
      </w:r>
      <w:r>
        <w:rPr>
          <w:rFonts w:hint="eastAsia"/>
          <w:color w:val="auto"/>
        </w:rPr>
        <w:t>7</w:t>
      </w:r>
      <w:r>
        <w:rPr>
          <w:color w:val="auto"/>
        </w:rPr>
        <w:t>.6 本合同因</w:t>
      </w:r>
      <w:r>
        <w:rPr>
          <w:rFonts w:hint="eastAsia"/>
          <w:color w:val="auto"/>
          <w:lang w:val="en-US" w:eastAsia="zh-CN"/>
        </w:rPr>
        <w:t>承包</w:t>
      </w:r>
      <w:r>
        <w:rPr>
          <w:color w:val="auto"/>
        </w:rPr>
        <w:t>人的原因解除的，</w:t>
      </w:r>
      <w:r>
        <w:rPr>
          <w:rFonts w:hint="eastAsia"/>
          <w:color w:val="auto"/>
        </w:rPr>
        <w:t>承包</w:t>
      </w:r>
      <w:r>
        <w:rPr>
          <w:color w:val="auto"/>
        </w:rPr>
        <w:t>人应向</w:t>
      </w:r>
      <w:r>
        <w:rPr>
          <w:rFonts w:hint="eastAsia"/>
          <w:color w:val="auto"/>
        </w:rPr>
        <w:t>发包人</w:t>
      </w:r>
      <w:r>
        <w:rPr>
          <w:color w:val="auto"/>
        </w:rPr>
        <w:t>支付合同</w:t>
      </w:r>
      <w:r>
        <w:rPr>
          <w:rFonts w:hint="eastAsia"/>
          <w:color w:val="auto"/>
        </w:rPr>
        <w:t>签约合同价格</w:t>
      </w:r>
      <w:r>
        <w:rPr>
          <w:color w:val="auto"/>
        </w:rPr>
        <w:t>20%的违约金，</w:t>
      </w:r>
      <w:r>
        <w:rPr>
          <w:rFonts w:hint="eastAsia"/>
          <w:color w:val="auto"/>
        </w:rPr>
        <w:t>发包人</w:t>
      </w:r>
      <w:r>
        <w:rPr>
          <w:color w:val="auto"/>
        </w:rPr>
        <w:t>有权从结算款中直接扣除上述违约金。如上述违约金不足以弥补发包人由此所遭受损失的，</w:t>
      </w:r>
      <w:r>
        <w:rPr>
          <w:rFonts w:hint="eastAsia"/>
          <w:color w:val="auto"/>
        </w:rPr>
        <w:t>承包</w:t>
      </w:r>
      <w:r>
        <w:rPr>
          <w:color w:val="auto"/>
        </w:rPr>
        <w:t>人还应承担赔偿责任。</w:t>
      </w:r>
    </w:p>
    <w:p>
      <w:pPr>
        <w:pStyle w:val="52"/>
        <w:ind w:firstLine="420"/>
        <w:rPr>
          <w:color w:val="auto"/>
        </w:rPr>
      </w:pPr>
      <w:r>
        <w:rPr>
          <w:color w:val="auto"/>
        </w:rPr>
        <w:t>22.1.</w:t>
      </w:r>
      <w:r>
        <w:rPr>
          <w:rFonts w:hint="eastAsia"/>
          <w:color w:val="auto"/>
        </w:rPr>
        <w:t>7</w:t>
      </w:r>
      <w:r>
        <w:rPr>
          <w:color w:val="auto"/>
        </w:rPr>
        <w:t>.7 除本合同另有约定外，</w:t>
      </w:r>
      <w:r>
        <w:rPr>
          <w:rFonts w:hint="eastAsia"/>
          <w:color w:val="auto"/>
        </w:rPr>
        <w:t>承包</w:t>
      </w:r>
      <w:r>
        <w:rPr>
          <w:color w:val="auto"/>
        </w:rPr>
        <w:t>人违约造成发包人损失的，除应支付本合同约定的违约金外，还应赔偿发包人的损失，</w:t>
      </w:r>
      <w:r>
        <w:rPr>
          <w:rFonts w:hint="eastAsia"/>
          <w:color w:val="auto"/>
        </w:rPr>
        <w:t>承包</w:t>
      </w:r>
      <w:r>
        <w:rPr>
          <w:color w:val="auto"/>
        </w:rPr>
        <w:t>人承担违约赔偿责任的范围包括但不限于发包人的直接经济损失、向第三方承担的违约责任以及发生的诉讼费、仲裁费、律师费等费用支出。</w:t>
      </w:r>
    </w:p>
    <w:p>
      <w:pPr>
        <w:pStyle w:val="52"/>
        <w:ind w:firstLine="420"/>
        <w:rPr>
          <w:color w:val="auto"/>
        </w:rPr>
      </w:pPr>
      <w:r>
        <w:rPr>
          <w:rFonts w:hint="eastAsia"/>
          <w:color w:val="auto"/>
        </w:rPr>
        <w:t>22.1.7</w:t>
      </w:r>
      <w:r>
        <w:rPr>
          <w:color w:val="auto"/>
        </w:rPr>
        <w:t>.</w:t>
      </w:r>
      <w:r>
        <w:rPr>
          <w:rFonts w:hint="eastAsia"/>
          <w:color w:val="auto"/>
        </w:rPr>
        <w:t>8</w:t>
      </w:r>
      <w:r>
        <w:rPr>
          <w:color w:val="auto"/>
        </w:rPr>
        <w:t xml:space="preserve"> </w:t>
      </w:r>
      <w:r>
        <w:rPr>
          <w:rFonts w:hint="eastAsia"/>
          <w:color w:val="auto"/>
        </w:rPr>
        <w:t>在出现以下情况时，发包人有权拒绝承包人参与发包人后续招标项目的投标：</w:t>
      </w:r>
    </w:p>
    <w:p>
      <w:pPr>
        <w:pStyle w:val="52"/>
        <w:ind w:firstLine="420"/>
        <w:rPr>
          <w:color w:val="auto"/>
        </w:rPr>
      </w:pPr>
      <w:r>
        <w:rPr>
          <w:rFonts w:hint="eastAsia"/>
          <w:color w:val="auto"/>
        </w:rPr>
        <w:t>（1）承包人因过错行为被生效法律文书认定承担违约或侵权责任的；</w:t>
      </w:r>
    </w:p>
    <w:p>
      <w:pPr>
        <w:pStyle w:val="52"/>
        <w:ind w:firstLine="420"/>
        <w:rPr>
          <w:color w:val="auto"/>
        </w:rPr>
      </w:pPr>
      <w:r>
        <w:rPr>
          <w:rFonts w:hint="eastAsia"/>
          <w:color w:val="auto"/>
        </w:rPr>
        <w:t>（2）承包人就其与发包人之间的争议问题向人民法院提起诉讼或向仲裁机构提请仲裁，且该诉讼或仲裁案件尚未审理终结的；</w:t>
      </w:r>
    </w:p>
    <w:p>
      <w:pPr>
        <w:pStyle w:val="52"/>
        <w:ind w:firstLine="420"/>
        <w:rPr>
          <w:color w:val="auto"/>
        </w:rPr>
      </w:pPr>
      <w:r>
        <w:rPr>
          <w:rFonts w:hint="eastAsia"/>
          <w:color w:val="auto"/>
        </w:rPr>
        <w:t>（3）因承包人原因导致发包人被其他单位或个人以诉讼或仲裁方式追索工程款或其他费用，但承包人未按照合同约定承担发包人由此产生的一切经济损失（包括但不限于发包人由此支出的所有诉讼或仲裁费用、律师代理费及其他费用），在收到发包人赔付通知后拒绝赔付的；</w:t>
      </w:r>
    </w:p>
    <w:p>
      <w:pPr>
        <w:pStyle w:val="52"/>
        <w:ind w:firstLine="420"/>
        <w:rPr>
          <w:color w:val="auto"/>
        </w:rPr>
      </w:pPr>
      <w:r>
        <w:rPr>
          <w:rFonts w:hint="eastAsia"/>
          <w:color w:val="auto"/>
        </w:rPr>
        <w:t>（4）发包人无法接受的承包人严重违约行为。</w:t>
      </w:r>
    </w:p>
    <w:p>
      <w:pPr>
        <w:pStyle w:val="52"/>
        <w:ind w:firstLine="420"/>
        <w:rPr>
          <w:color w:val="auto"/>
        </w:rPr>
      </w:pPr>
      <w:r>
        <w:rPr>
          <w:rFonts w:hint="eastAsia"/>
          <w:color w:val="auto"/>
        </w:rPr>
        <w:t>22.1.7</w:t>
      </w:r>
      <w:r>
        <w:rPr>
          <w:color w:val="auto"/>
        </w:rPr>
        <w:t>.</w:t>
      </w:r>
      <w:r>
        <w:rPr>
          <w:rFonts w:hint="eastAsia"/>
          <w:color w:val="auto"/>
        </w:rPr>
        <w:t>9 承包人不按期支付货款或工人工资的违约责任</w:t>
      </w:r>
    </w:p>
    <w:p>
      <w:pPr>
        <w:pStyle w:val="52"/>
        <w:ind w:firstLine="420"/>
        <w:rPr>
          <w:color w:val="auto"/>
        </w:rPr>
      </w:pPr>
      <w:r>
        <w:rPr>
          <w:rFonts w:hint="eastAsia"/>
          <w:color w:val="auto"/>
        </w:rPr>
        <w:t>如发现承包人无正当理由不按供货合同约定的费用足额支付或延迟支付给供货单位，承包人须向发包人承担10000元/每次违约责任。</w:t>
      </w:r>
    </w:p>
    <w:p>
      <w:pPr>
        <w:pStyle w:val="52"/>
        <w:ind w:firstLine="420"/>
        <w:rPr>
          <w:color w:val="auto"/>
        </w:rPr>
      </w:pPr>
      <w:r>
        <w:rPr>
          <w:rFonts w:hint="eastAsia"/>
          <w:color w:val="auto"/>
        </w:rPr>
        <w:t>若因承包人原因使得发包人为其垫付有关费用的，自垫付之日起，承包人应按中国人民银行同期同类存款基准利率向发包人支付利息，直至垫付费用及利息被发包人在当期应支付的进度款或结算款中抵扣完毕或承包人直接向发包人偿还该垫付费用及利息为止。同时，除本合同另有约定外，每发生一次垫付行为，发包人有权要求承包人按垫付金额的</w:t>
      </w:r>
      <w:r>
        <w:rPr>
          <w:rFonts w:hint="eastAsia"/>
          <w:color w:val="auto"/>
          <w:u w:val="single"/>
        </w:rPr>
        <w:t>20％</w:t>
      </w:r>
      <w:r>
        <w:rPr>
          <w:rFonts w:hint="eastAsia"/>
          <w:color w:val="auto"/>
        </w:rPr>
        <w:t>向垫付方支付违约金。</w:t>
      </w:r>
    </w:p>
    <w:p>
      <w:pPr>
        <w:pStyle w:val="52"/>
        <w:ind w:firstLine="420"/>
        <w:rPr>
          <w:color w:val="auto"/>
        </w:rPr>
      </w:pPr>
      <w:r>
        <w:rPr>
          <w:rFonts w:hint="eastAsia"/>
          <w:color w:val="auto"/>
        </w:rPr>
        <w:t>22.1.7</w:t>
      </w:r>
      <w:r>
        <w:rPr>
          <w:color w:val="auto"/>
        </w:rPr>
        <w:t>.</w:t>
      </w:r>
      <w:r>
        <w:rPr>
          <w:rFonts w:hint="eastAsia"/>
          <w:color w:val="auto"/>
        </w:rPr>
        <w:t>10 承包人发生重大诉讼或仲裁、经营状况严重恶化、资质吊销或降级、重大不利报道、银行账户被冻结及其他对本合同继续履行构成重大不利情形，或进入破产、重整、解散或清算程序的，或者因承包人自身债务问题造成发包人被法院要求协助诉讼保全、协助执行（法院的法律文书形式包括但不限于协助执行通知、履行到期债务通知等协助执行函件），承包人在发包人通知后14日内不能妥善解决的，发包人有权通知承包人解除本合同，并在约定或承包人指示的期限内完成清场和撤离。</w:t>
      </w:r>
    </w:p>
    <w:p>
      <w:pPr>
        <w:pStyle w:val="52"/>
        <w:ind w:firstLine="420"/>
        <w:rPr>
          <w:color w:val="auto"/>
        </w:rPr>
      </w:pPr>
      <w:r>
        <w:rPr>
          <w:rFonts w:hint="eastAsia"/>
          <w:color w:val="auto"/>
        </w:rPr>
        <w:t>22.1.7</w:t>
      </w:r>
      <w:r>
        <w:rPr>
          <w:color w:val="auto"/>
        </w:rPr>
        <w:t>.</w:t>
      </w:r>
      <w:r>
        <w:rPr>
          <w:rFonts w:hint="eastAsia"/>
          <w:color w:val="auto"/>
        </w:rPr>
        <w:t>11 承包人未能按照合同约定履行其他义务，又未能在监理单位或发包人指定的期限内有效改正的，每逾期一日，应向发包人承担合同签约合同价格的万分之一的违约金（专用条款另外有明确约定违约金的，按该等约定执行），且发包人有权随时向承包人发出解除合同通知。</w:t>
      </w:r>
    </w:p>
    <w:p>
      <w:pPr>
        <w:pStyle w:val="52"/>
        <w:ind w:firstLine="420"/>
        <w:rPr>
          <w:color w:val="auto"/>
        </w:rPr>
      </w:pPr>
      <w:r>
        <w:rPr>
          <w:rFonts w:hint="eastAsia"/>
          <w:color w:val="auto"/>
        </w:rPr>
        <w:t>22.1.7</w:t>
      </w:r>
      <w:r>
        <w:rPr>
          <w:color w:val="auto"/>
        </w:rPr>
        <w:t>.</w:t>
      </w:r>
      <w:r>
        <w:rPr>
          <w:rFonts w:hint="eastAsia"/>
          <w:color w:val="auto"/>
        </w:rPr>
        <w:t>12 合同解除不免除承包人履行合同项下的清理和结算责任。承包人应将解除合同时的工程现状及经其签署盖章的施工资料全部妥善、清楚地移交予发包人并经发包人审核确认，承包人须配合发包人另行发包或完成工程善后事宜及向政府部门申报或办理相关手续直至工程完工及验收，并按发包人要求清理和撤离现场，否则发包人有权不支付合同价款并要求承包人承担损失赔偿责任。</w:t>
      </w:r>
    </w:p>
    <w:p>
      <w:pPr>
        <w:pStyle w:val="52"/>
        <w:ind w:firstLine="420"/>
        <w:rPr>
          <w:color w:val="auto"/>
        </w:rPr>
      </w:pPr>
      <w:r>
        <w:rPr>
          <w:rFonts w:hint="eastAsia"/>
          <w:color w:val="auto"/>
        </w:rPr>
        <w:t>22.1.7</w:t>
      </w:r>
      <w:r>
        <w:rPr>
          <w:color w:val="auto"/>
        </w:rPr>
        <w:t>.</w:t>
      </w:r>
      <w:r>
        <w:rPr>
          <w:rFonts w:hint="eastAsia"/>
          <w:color w:val="auto"/>
        </w:rPr>
        <w:t>13 本合同条款约定的违约责任与其他合同文件或附件约定不一致的，以较严格的责任为准。</w:t>
      </w:r>
    </w:p>
    <w:p>
      <w:pPr>
        <w:pStyle w:val="52"/>
        <w:ind w:firstLine="420"/>
        <w:rPr>
          <w:color w:val="auto"/>
        </w:rPr>
      </w:pPr>
      <w:r>
        <w:rPr>
          <w:rFonts w:hint="eastAsia"/>
          <w:color w:val="auto"/>
        </w:rPr>
        <w:t>22.1.8 关于违约的补充约定：</w:t>
      </w:r>
    </w:p>
    <w:p>
      <w:pPr>
        <w:pStyle w:val="52"/>
        <w:ind w:firstLine="420"/>
        <w:rPr>
          <w:color w:val="auto"/>
        </w:rPr>
      </w:pPr>
      <w:r>
        <w:rPr>
          <w:rFonts w:hint="eastAsia"/>
          <w:color w:val="auto"/>
        </w:rPr>
        <w:t>1）发包人有权直接从工程款中扣除承包人应支付的违约金或赔偿金，也有权从履约担保中直接扣除。如承包人因此被发包人提取履约担保金额的，承包人应在接到发包人关于提取履约担保金额的通知后7天内补足被提取的履约担保金额。如按本合同相关条款承担违约责任后不足以补偿给发包人造成的实际损失的，违约金自动按发包人全部损失额确定。</w:t>
      </w:r>
    </w:p>
    <w:p>
      <w:pPr>
        <w:pStyle w:val="52"/>
        <w:ind w:firstLine="420"/>
        <w:rPr>
          <w:color w:val="auto"/>
        </w:rPr>
      </w:pPr>
      <w:r>
        <w:rPr>
          <w:rFonts w:hint="eastAsia"/>
          <w:color w:val="auto"/>
        </w:rPr>
        <w:t>2）发包人上级单位“广东粤海控股集团有限公司”（以下简称“粤海控股集团”）将定期对承包人进行信用评价，相关评价结果将在粤海控股集团网站等渠道实时予以公布。承包人的不良行为导致其信用评价分在60分以下的，将拒绝承包人参与粤海控股集团及其附属公司工程项目的投标。出现相关情形后，发包人将书面通知承包人。</w:t>
      </w:r>
    </w:p>
    <w:p>
      <w:pPr>
        <w:pStyle w:val="52"/>
        <w:ind w:firstLine="420"/>
        <w:rPr>
          <w:color w:val="auto"/>
        </w:rPr>
      </w:pPr>
      <w:r>
        <w:rPr>
          <w:rFonts w:hint="eastAsia"/>
          <w:color w:val="auto"/>
        </w:rPr>
        <w:t>3）因承包单位违约或侵害第三方权益，包括但不限于承包人未按时支付人员工资、劳务费用、材料设备款项，发生安全责任事故，邻近设施受损等原因，出现承包人或第三方投诉、罢工、集会、游行、示威、闹事、集聚、围阻发包人或发包人股东、上级主管单位的办公地点或者政府办公部门等情形的，发包人有权要求承包人支付违约金10 万元/次。如上述行为在新闻、报纸等媒体（介）传播或被政府部门通报、批评的，发包人有权要求承包人支付违约金20 万元/次。发包人有权视情况选择全部或部分解除合同。</w:t>
      </w:r>
    </w:p>
    <w:p>
      <w:pPr>
        <w:pStyle w:val="52"/>
        <w:ind w:firstLine="420"/>
        <w:rPr>
          <w:color w:val="auto"/>
        </w:rPr>
      </w:pPr>
      <w:r>
        <w:rPr>
          <w:rFonts w:hint="eastAsia"/>
          <w:color w:val="auto"/>
        </w:rPr>
        <w:t>22.1.9关于安全生产的补充约定：</w:t>
      </w:r>
    </w:p>
    <w:p>
      <w:pPr>
        <w:pStyle w:val="52"/>
        <w:ind w:firstLine="420"/>
        <w:rPr>
          <w:color w:val="auto"/>
        </w:rPr>
      </w:pPr>
      <w:r>
        <w:rPr>
          <w:rFonts w:hint="eastAsia"/>
          <w:color w:val="auto"/>
        </w:rPr>
        <w:t>1）发包人或发包人的上级单位对本项目，每月开展不少于一次的项目现场检查，对检查发现的工程承包人安全生产不良行为进行扣分。</w:t>
      </w:r>
    </w:p>
    <w:p>
      <w:pPr>
        <w:pStyle w:val="52"/>
        <w:ind w:firstLine="420"/>
        <w:rPr>
          <w:color w:val="auto"/>
        </w:rPr>
      </w:pPr>
      <w:r>
        <w:rPr>
          <w:rFonts w:hint="eastAsia"/>
          <w:color w:val="auto"/>
        </w:rPr>
        <w:t>2）工程承包人不良扣分以项目为单位按年度进行累计，计分周期为每年1月1日至12月31日，每年12月31日24:00当年度累计扣分自动归零。</w:t>
      </w:r>
    </w:p>
    <w:p>
      <w:pPr>
        <w:pStyle w:val="52"/>
        <w:ind w:firstLine="420"/>
        <w:rPr>
          <w:color w:val="auto"/>
        </w:rPr>
      </w:pPr>
      <w:r>
        <w:rPr>
          <w:rFonts w:hint="eastAsia"/>
          <w:color w:val="auto"/>
        </w:rPr>
        <w:t>3）承包人不良扣分情况通过广东粤海控股集团有限公司（发包人上级单位）统一管理。</w:t>
      </w:r>
    </w:p>
    <w:p>
      <w:pPr>
        <w:pStyle w:val="52"/>
        <w:ind w:firstLine="420"/>
        <w:rPr>
          <w:color w:val="auto"/>
        </w:rPr>
      </w:pPr>
      <w:r>
        <w:rPr>
          <w:rFonts w:hint="eastAsia"/>
          <w:color w:val="auto"/>
        </w:rPr>
        <w:t>4）若承包人承接的单个项目累计扣分</w:t>
      </w:r>
      <w:r>
        <w:rPr>
          <w:color w:val="auto"/>
        </w:rPr>
        <w:t>N</w:t>
      </w:r>
      <w:r>
        <w:rPr>
          <w:rFonts w:hint="eastAsia"/>
          <w:color w:val="auto"/>
        </w:rPr>
        <w:t>≥</w:t>
      </w:r>
      <w:r>
        <w:rPr>
          <w:color w:val="auto"/>
        </w:rPr>
        <w:t>6</w:t>
      </w:r>
      <w:r>
        <w:rPr>
          <w:rFonts w:hint="eastAsia"/>
          <w:color w:val="auto"/>
        </w:rPr>
        <w:t>分、</w:t>
      </w:r>
      <w:r>
        <w:rPr>
          <w:color w:val="auto"/>
        </w:rPr>
        <w:t>N</w:t>
      </w:r>
      <w:r>
        <w:rPr>
          <w:rFonts w:hint="eastAsia"/>
          <w:color w:val="auto"/>
        </w:rPr>
        <w:t>≥</w:t>
      </w:r>
      <w:r>
        <w:rPr>
          <w:color w:val="auto"/>
        </w:rPr>
        <w:t>9</w:t>
      </w:r>
      <w:r>
        <w:rPr>
          <w:rFonts w:hint="eastAsia"/>
          <w:color w:val="auto"/>
        </w:rPr>
        <w:t>分、</w:t>
      </w:r>
      <w:r>
        <w:rPr>
          <w:color w:val="auto"/>
        </w:rPr>
        <w:t>N</w:t>
      </w:r>
      <w:r>
        <w:rPr>
          <w:rFonts w:hint="eastAsia"/>
          <w:color w:val="auto"/>
        </w:rPr>
        <w:t>≥</w:t>
      </w:r>
      <w:r>
        <w:rPr>
          <w:color w:val="auto"/>
        </w:rPr>
        <w:t>12</w:t>
      </w:r>
      <w:r>
        <w:rPr>
          <w:rFonts w:hint="eastAsia"/>
          <w:color w:val="auto"/>
        </w:rPr>
        <w:t>分时，该承包商分别显示黄灯、橙灯、红灯状态，其中</w:t>
      </w:r>
      <w:r>
        <w:rPr>
          <w:color w:val="auto"/>
        </w:rPr>
        <w:t>N</w:t>
      </w:r>
      <w:r>
        <w:rPr>
          <w:rFonts w:hint="eastAsia"/>
          <w:color w:val="auto"/>
        </w:rPr>
        <w:t>≥</w:t>
      </w:r>
      <w:r>
        <w:rPr>
          <w:color w:val="auto"/>
        </w:rPr>
        <w:t>9</w:t>
      </w:r>
      <w:r>
        <w:rPr>
          <w:rFonts w:hint="eastAsia"/>
          <w:color w:val="auto"/>
        </w:rPr>
        <w:t>分将根据扣分程度和不良行为情况对承包商后续投标粤海集团及其下属企业项目予以相应扣分处理。</w:t>
      </w:r>
    </w:p>
    <w:p>
      <w:pPr>
        <w:pStyle w:val="52"/>
        <w:ind w:firstLine="420"/>
        <w:rPr>
          <w:bCs/>
          <w:color w:val="auto"/>
        </w:rPr>
      </w:pPr>
      <w:r>
        <w:rPr>
          <w:rFonts w:hint="eastAsia"/>
          <w:bCs/>
          <w:color w:val="auto"/>
        </w:rPr>
        <w:t>5）具体的扣分条款详</w:t>
      </w:r>
      <w:r>
        <w:rPr>
          <w:rFonts w:hint="eastAsia"/>
          <w:bCs/>
          <w:color w:val="auto"/>
          <w:highlight w:val="cyan"/>
        </w:rPr>
        <w:t>附件</w:t>
      </w:r>
      <w:r>
        <w:rPr>
          <w:bCs/>
          <w:color w:val="auto"/>
          <w:highlight w:val="cyan"/>
        </w:rPr>
        <w:t>1</w:t>
      </w:r>
      <w:r>
        <w:rPr>
          <w:rFonts w:hint="eastAsia"/>
          <w:bCs/>
          <w:color w:val="auto"/>
          <w:highlight w:val="cyan"/>
        </w:rPr>
        <w:t>0</w:t>
      </w:r>
      <w:r>
        <w:rPr>
          <w:rFonts w:hint="eastAsia"/>
          <w:bCs/>
          <w:color w:val="auto"/>
        </w:rPr>
        <w:t>。</w:t>
      </w:r>
    </w:p>
    <w:p>
      <w:pPr>
        <w:pStyle w:val="52"/>
        <w:ind w:firstLine="420"/>
        <w:rPr>
          <w:bCs/>
          <w:color w:val="auto"/>
        </w:rPr>
      </w:pPr>
      <w:r>
        <w:rPr>
          <w:rFonts w:hint="eastAsia"/>
          <w:bCs/>
          <w:color w:val="auto"/>
        </w:rPr>
        <w:t>22.1.10 关于不良履约结果应用：</w:t>
      </w:r>
    </w:p>
    <w:p>
      <w:pPr>
        <w:pStyle w:val="52"/>
        <w:ind w:firstLine="420"/>
        <w:rPr>
          <w:bCs/>
          <w:color w:val="auto"/>
        </w:rPr>
      </w:pPr>
      <w:r>
        <w:rPr>
          <w:rFonts w:hint="eastAsia"/>
          <w:bCs/>
          <w:color w:val="auto"/>
        </w:rPr>
        <w:t>1）承包人承诺遵守发包人已制定或修订的项目管理规定和要求；</w:t>
      </w:r>
    </w:p>
    <w:p>
      <w:pPr>
        <w:pStyle w:val="52"/>
        <w:ind w:firstLine="420"/>
        <w:rPr>
          <w:bCs/>
          <w:color w:val="auto"/>
        </w:rPr>
      </w:pPr>
      <w:r>
        <w:rPr>
          <w:rFonts w:hint="eastAsia"/>
          <w:bCs/>
          <w:color w:val="auto"/>
        </w:rPr>
        <w:t>2）发包人可将本合同承包人履约情况及时通报上级单位广东粤海控股集团有限公司（下称“粤海集团”）。粤海集团有权对承包人的履约情况进行评价（含扣分处理），有权对粤海集团系内供应商进行统筹考核排名并在粤海集团及其下属公司范围内进行公示；</w:t>
      </w:r>
    </w:p>
    <w:p>
      <w:pPr>
        <w:pStyle w:val="52"/>
        <w:ind w:firstLine="420"/>
        <w:rPr>
          <w:bCs/>
          <w:color w:val="auto"/>
        </w:rPr>
      </w:pPr>
      <w:r>
        <w:rPr>
          <w:rFonts w:hint="eastAsia"/>
          <w:bCs/>
          <w:color w:val="auto"/>
        </w:rPr>
        <w:t>3）发包人可将承包人拒不履行合同、不诚信行为或廉洁问题等情况向信用评级机构以及行业主管部门等披露或报送。</w:t>
      </w:r>
    </w:p>
    <w:p>
      <w:pPr>
        <w:pStyle w:val="52"/>
        <w:ind w:firstLine="420"/>
        <w:rPr>
          <w:bCs/>
          <w:color w:val="auto"/>
        </w:rPr>
      </w:pPr>
      <w:r>
        <w:rPr>
          <w:rFonts w:hint="eastAsia"/>
          <w:bCs/>
          <w:color w:val="auto"/>
        </w:rPr>
        <w:t>22.1.11 合同解除后的工程款结算</w:t>
      </w:r>
    </w:p>
    <w:p>
      <w:pPr>
        <w:pStyle w:val="52"/>
        <w:ind w:firstLine="420"/>
        <w:rPr>
          <w:bCs/>
          <w:color w:val="auto"/>
        </w:rPr>
      </w:pPr>
      <w:r>
        <w:rPr>
          <w:rFonts w:hint="eastAsia"/>
          <w:bCs/>
          <w:color w:val="auto"/>
        </w:rPr>
        <w:t>合同约定因承包人违约，发包人有权选择解除合同的情形，如发包人最终选择解除合同，承包人除承担相应的违约责任外，承包人还应向发包人另行支付签约合同价款（适用于合同解除）或解除部分价款（适用于部分解除）20%的违约金。</w:t>
      </w:r>
    </w:p>
    <w:p>
      <w:pPr>
        <w:pStyle w:val="52"/>
        <w:ind w:firstLine="420"/>
        <w:rPr>
          <w:bCs/>
          <w:color w:val="auto"/>
        </w:rPr>
      </w:pPr>
      <w:r>
        <w:rPr>
          <w:rFonts w:hint="eastAsia"/>
          <w:bCs/>
          <w:color w:val="auto"/>
        </w:rPr>
        <w:t>承包人在收到合同解除通知之日起15 天内必须组织施工人员、材料、设备全部退出现场，不得以工程量未经确认而拒绝移交施工场地，每延迟一天退场，承包人须支付5 万元/天的违约金，并且发包人有权直接进入施工场地，如有承包人员工或农民工、材料商等聚众闹事阻挠发包人进场施工，因此造成的损失和法律后果与责任全部由承包人承担。承包人必须在前述事件发生后7 日内按合同价或结算价（以价高者为准）的15％另向发包人支付施工场地移交延误的违约金，违约金累计，上不封顶。发包人根据现场施工安排通知承包人现场验收已完工工程并核对工程量，承包人不予配合或未在通知的时间签字确认工程量的，以发包人验收结果与发包人现场核对的工程量为准。已完成的工程质量不合格的，承包人应当完成全部整改并承担修复费用，承包人在发包人提出的合理时限内仍拒不整改的，发包人可委托第三方单位实施，相关所有费用在承包人结算款中扣除。由此导致工期延误的，按照合同中有关工期延误的违约责任条款执行。</w:t>
      </w:r>
    </w:p>
    <w:p>
      <w:pPr>
        <w:pStyle w:val="52"/>
        <w:ind w:firstLine="420"/>
        <w:rPr>
          <w:bCs/>
          <w:color w:val="auto"/>
        </w:rPr>
      </w:pPr>
      <w:r>
        <w:rPr>
          <w:rFonts w:hint="eastAsia"/>
          <w:bCs/>
          <w:color w:val="auto"/>
        </w:rPr>
        <w:t>承包人应自已完成工程验收合格且本条前述条款确认工程量之日起30 天内向发包人提交完整的结算资料，未按时提交结算资料或提交结算资料后未在限定的时间内按要求补充、修改资料的，发包人有权不予支付工程价款。</w:t>
      </w:r>
    </w:p>
    <w:p>
      <w:pPr>
        <w:pStyle w:val="52"/>
        <w:ind w:firstLine="420"/>
        <w:rPr>
          <w:bCs/>
          <w:color w:val="auto"/>
        </w:rPr>
      </w:pPr>
      <w:r>
        <w:rPr>
          <w:rFonts w:hint="eastAsia"/>
          <w:bCs/>
          <w:color w:val="auto"/>
        </w:rPr>
        <w:t>质量保证金扣留、退还属于合同的清理和结算条款，合同解除后，承包人仍应对其施工的工程承担缺陷保证责任与保修责任，发包人有权扣留3%的结算款作为质量保证金，合同解除的保修期与缺陷责任期自工程整体验收合格、双方（发包人、承包人）完成工程款结算并交付发包人之日起算。</w:t>
      </w:r>
    </w:p>
    <w:bookmarkEnd w:id="171"/>
    <w:p>
      <w:pPr>
        <w:spacing w:line="360" w:lineRule="auto"/>
        <w:rPr>
          <w:rFonts w:ascii="仿宋" w:hAnsi="仿宋" w:eastAsia="仿宋" w:cs="宋体"/>
        </w:rPr>
      </w:pPr>
      <w:bookmarkStart w:id="172" w:name="_Toc11470"/>
      <w:bookmarkStart w:id="173" w:name="_Toc38987292"/>
      <w:bookmarkStart w:id="174" w:name="_Toc12456"/>
      <w:r>
        <w:rPr>
          <w:rFonts w:hint="eastAsia" w:ascii="仿宋" w:hAnsi="仿宋" w:eastAsia="仿宋" w:cs="宋体"/>
        </w:rPr>
        <w:br w:type="page"/>
      </w:r>
    </w:p>
    <w:p>
      <w:pPr>
        <w:pStyle w:val="73"/>
        <w:rPr>
          <w:rFonts w:ascii="仿宋" w:hAnsi="仿宋" w:eastAsia="仿宋" w:cs="宋体"/>
          <w:color w:val="auto"/>
        </w:rPr>
      </w:pPr>
    </w:p>
    <w:bookmarkEnd w:id="14"/>
    <w:bookmarkEnd w:id="172"/>
    <w:bookmarkEnd w:id="173"/>
    <w:bookmarkEnd w:id="174"/>
    <w:p>
      <w:pPr>
        <w:widowControl/>
        <w:spacing w:line="360" w:lineRule="auto"/>
        <w:jc w:val="left"/>
        <w:rPr>
          <w:rFonts w:ascii="仿宋" w:hAnsi="仿宋" w:eastAsia="仿宋" w:cs="宋体"/>
          <w:b/>
          <w:sz w:val="24"/>
          <w:szCs w:val="24"/>
        </w:rPr>
      </w:pPr>
      <w:bookmarkStart w:id="175" w:name="_Toc402450479"/>
      <w:r>
        <w:rPr>
          <w:rFonts w:hint="eastAsia" w:ascii="仿宋" w:hAnsi="仿宋" w:eastAsia="仿宋" w:cs="宋体"/>
          <w:b/>
          <w:sz w:val="24"/>
          <w:szCs w:val="24"/>
        </w:rPr>
        <w:t>附件</w:t>
      </w:r>
      <w:bookmarkEnd w:id="175"/>
    </w:p>
    <w:p>
      <w:pPr>
        <w:pStyle w:val="52"/>
        <w:ind w:firstLine="0" w:firstLineChars="0"/>
        <w:rPr>
          <w:rFonts w:ascii="仿宋" w:hAnsi="仿宋" w:eastAsia="仿宋" w:cs="宋体"/>
          <w:color w:val="auto"/>
        </w:rPr>
      </w:pPr>
      <w:bookmarkStart w:id="176" w:name="_Toc40186515"/>
      <w:r>
        <w:rPr>
          <w:rFonts w:hint="eastAsia" w:ascii="仿宋" w:hAnsi="仿宋" w:eastAsia="仿宋" w:cs="宋体"/>
          <w:color w:val="auto"/>
        </w:rPr>
        <w:t>附件1 合同范围及边界</w:t>
      </w:r>
      <w:r>
        <w:rPr>
          <w:rFonts w:hint="eastAsia" w:ascii="仿宋" w:hAnsi="仿宋" w:eastAsia="仿宋" w:cs="宋体"/>
          <w:color w:val="FF0000"/>
        </w:rPr>
        <w:t>（另册）</w:t>
      </w:r>
      <w:r>
        <w:rPr>
          <w:rFonts w:hint="eastAsia" w:ascii="仿宋" w:hAnsi="仿宋" w:eastAsia="仿宋" w:cs="宋体"/>
          <w:color w:val="auto"/>
        </w:rPr>
        <w:t xml:space="preserve">    </w:t>
      </w:r>
      <w:bookmarkEnd w:id="176"/>
    </w:p>
    <w:p>
      <w:pPr>
        <w:pStyle w:val="52"/>
        <w:ind w:firstLine="0" w:firstLineChars="0"/>
        <w:rPr>
          <w:rFonts w:ascii="仿宋" w:hAnsi="仿宋" w:eastAsia="仿宋" w:cs="宋体"/>
          <w:color w:val="auto"/>
        </w:rPr>
      </w:pPr>
      <w:bookmarkStart w:id="177" w:name="_Toc40186516"/>
      <w:r>
        <w:rPr>
          <w:rFonts w:hint="eastAsia" w:ascii="仿宋" w:hAnsi="仿宋" w:eastAsia="仿宋" w:cs="宋体"/>
          <w:color w:val="auto"/>
        </w:rPr>
        <w:t xml:space="preserve">附件2 施工技术要求（另册）     </w:t>
      </w:r>
      <w:bookmarkEnd w:id="177"/>
    </w:p>
    <w:p>
      <w:pPr>
        <w:pStyle w:val="52"/>
        <w:ind w:firstLine="0" w:firstLineChars="0"/>
        <w:rPr>
          <w:rFonts w:ascii="仿宋" w:hAnsi="仿宋" w:eastAsia="仿宋" w:cs="宋体"/>
          <w:color w:val="auto"/>
        </w:rPr>
      </w:pPr>
      <w:bookmarkStart w:id="178" w:name="_Toc40186517"/>
      <w:r>
        <w:rPr>
          <w:rFonts w:hint="eastAsia" w:ascii="仿宋" w:hAnsi="仿宋" w:eastAsia="仿宋" w:cs="宋体"/>
          <w:color w:val="auto"/>
        </w:rPr>
        <w:t xml:space="preserve">附件3 履约保函（样式）   </w:t>
      </w:r>
      <w:bookmarkEnd w:id="178"/>
    </w:p>
    <w:p>
      <w:pPr>
        <w:pStyle w:val="52"/>
        <w:ind w:firstLine="0" w:firstLineChars="0"/>
        <w:rPr>
          <w:rFonts w:ascii="仿宋" w:hAnsi="仿宋" w:eastAsia="仿宋" w:cs="宋体"/>
          <w:color w:val="auto"/>
        </w:rPr>
      </w:pPr>
      <w:bookmarkStart w:id="179" w:name="_Toc40186519"/>
      <w:r>
        <w:rPr>
          <w:rFonts w:hint="eastAsia" w:ascii="仿宋" w:hAnsi="仿宋" w:eastAsia="仿宋" w:cs="宋体"/>
          <w:color w:val="auto"/>
        </w:rPr>
        <w:t xml:space="preserve">附件4 材料设备品牌推荐表（另册）    </w:t>
      </w:r>
      <w:bookmarkEnd w:id="179"/>
    </w:p>
    <w:p>
      <w:pPr>
        <w:pStyle w:val="52"/>
        <w:ind w:firstLine="0" w:firstLineChars="0"/>
        <w:rPr>
          <w:rFonts w:ascii="仿宋" w:hAnsi="仿宋" w:eastAsia="仿宋" w:cs="宋体"/>
          <w:color w:val="auto"/>
        </w:rPr>
      </w:pPr>
      <w:bookmarkStart w:id="180" w:name="_Toc40186520"/>
      <w:r>
        <w:rPr>
          <w:rFonts w:hint="eastAsia" w:ascii="仿宋" w:hAnsi="仿宋" w:eastAsia="仿宋" w:cs="宋体"/>
          <w:color w:val="auto"/>
        </w:rPr>
        <w:t xml:space="preserve">附件5 工程质量保修书    </w:t>
      </w:r>
      <w:bookmarkEnd w:id="180"/>
    </w:p>
    <w:p>
      <w:pPr>
        <w:pStyle w:val="52"/>
        <w:ind w:firstLine="0" w:firstLineChars="0"/>
        <w:rPr>
          <w:rFonts w:ascii="仿宋" w:hAnsi="仿宋" w:eastAsia="仿宋" w:cs="宋体"/>
          <w:color w:val="auto"/>
        </w:rPr>
      </w:pPr>
      <w:bookmarkStart w:id="181" w:name="_Toc40186524"/>
      <w:r>
        <w:rPr>
          <w:rFonts w:hint="eastAsia" w:ascii="仿宋" w:hAnsi="仿宋" w:eastAsia="仿宋" w:cs="宋体"/>
          <w:color w:val="auto"/>
        </w:rPr>
        <w:t xml:space="preserve">附件6 已标价工程量清单（另册）    </w:t>
      </w:r>
      <w:bookmarkEnd w:id="181"/>
    </w:p>
    <w:p>
      <w:pPr>
        <w:pStyle w:val="52"/>
        <w:ind w:firstLine="0" w:firstLineChars="0"/>
        <w:rPr>
          <w:rFonts w:ascii="仿宋" w:hAnsi="仿宋" w:eastAsia="仿宋" w:cs="宋体"/>
          <w:color w:val="auto"/>
        </w:rPr>
      </w:pPr>
      <w:r>
        <w:rPr>
          <w:rFonts w:hint="eastAsia" w:ascii="仿宋" w:hAnsi="仿宋" w:eastAsia="仿宋" w:cs="宋体"/>
          <w:color w:val="auto"/>
        </w:rPr>
        <w:t>附件7 图纸目录（无）</w:t>
      </w:r>
    </w:p>
    <w:p>
      <w:pPr>
        <w:pStyle w:val="52"/>
        <w:ind w:firstLine="0" w:firstLineChars="0"/>
        <w:rPr>
          <w:rFonts w:ascii="仿宋" w:hAnsi="仿宋" w:eastAsia="仿宋" w:cs="宋体"/>
          <w:color w:val="auto"/>
        </w:rPr>
      </w:pPr>
      <w:r>
        <w:rPr>
          <w:rFonts w:hint="eastAsia" w:ascii="仿宋" w:hAnsi="仿宋" w:eastAsia="仿宋" w:cs="宋体"/>
          <w:color w:val="auto"/>
        </w:rPr>
        <w:t>附件8 项目管理班子及其他管理人员配备情况表（按投标文件）</w:t>
      </w:r>
    </w:p>
    <w:p>
      <w:pPr>
        <w:spacing w:line="360" w:lineRule="auto"/>
        <w:rPr>
          <w:rFonts w:ascii="仿宋" w:hAnsi="仿宋" w:eastAsia="仿宋" w:cs="宋体"/>
        </w:rPr>
      </w:pPr>
      <w:r>
        <w:rPr>
          <w:rFonts w:hint="eastAsia" w:ascii="仿宋" w:hAnsi="仿宋" w:eastAsia="仿宋" w:cs="宋体"/>
        </w:rPr>
        <w:t>附件9 主要施工机械设备表（按投标文件）</w:t>
      </w:r>
    </w:p>
    <w:p>
      <w:pPr>
        <w:pStyle w:val="52"/>
        <w:ind w:firstLine="0" w:firstLineChars="0"/>
        <w:rPr>
          <w:rFonts w:ascii="仿宋" w:hAnsi="仿宋" w:eastAsia="仿宋" w:cs="宋体"/>
          <w:color w:val="auto"/>
        </w:rPr>
      </w:pPr>
      <w:r>
        <w:rPr>
          <w:rFonts w:hint="eastAsia" w:ascii="仿宋" w:hAnsi="仿宋" w:eastAsia="仿宋" w:cs="宋体"/>
          <w:color w:val="auto"/>
        </w:rPr>
        <w:t>附件10 安全生产不良行为扣分条款</w:t>
      </w:r>
    </w:p>
    <w:p>
      <w:pPr>
        <w:spacing w:line="360" w:lineRule="auto"/>
        <w:rPr>
          <w:rFonts w:ascii="仿宋" w:hAnsi="仿宋" w:eastAsia="仿宋" w:cs="宋体"/>
        </w:rPr>
      </w:pPr>
      <w:r>
        <w:rPr>
          <w:rFonts w:hint="eastAsia" w:ascii="仿宋" w:hAnsi="仿宋" w:eastAsia="仿宋" w:cs="宋体"/>
        </w:rPr>
        <w:t>附件11 粤海置地第三方质量安全评估标准（另册）</w:t>
      </w:r>
    </w:p>
    <w:p>
      <w:pPr>
        <w:widowControl/>
        <w:jc w:val="left"/>
        <w:rPr>
          <w:rFonts w:ascii="仿宋" w:hAnsi="仿宋" w:eastAsia="仿宋" w:cs="宋体"/>
        </w:rPr>
      </w:pPr>
      <w:r>
        <w:rPr>
          <w:rFonts w:ascii="仿宋" w:hAnsi="仿宋" w:eastAsia="仿宋" w:cs="宋体"/>
        </w:rPr>
        <w:br w:type="page"/>
      </w:r>
    </w:p>
    <w:p>
      <w:pPr>
        <w:pStyle w:val="52"/>
        <w:ind w:firstLine="0" w:firstLineChars="0"/>
        <w:rPr>
          <w:color w:val="auto"/>
        </w:rPr>
        <w:sectPr>
          <w:headerReference r:id="rId12" w:type="first"/>
          <w:footerReference r:id="rId15" w:type="first"/>
          <w:headerReference r:id="rId10" w:type="default"/>
          <w:footerReference r:id="rId13" w:type="default"/>
          <w:headerReference r:id="rId11" w:type="even"/>
          <w:footerReference r:id="rId14" w:type="even"/>
          <w:pgSz w:w="11906" w:h="16838"/>
          <w:pgMar w:top="1134" w:right="1418" w:bottom="1134" w:left="1701" w:header="851" w:footer="992" w:gutter="0"/>
          <w:cols w:space="720" w:num="1"/>
          <w:titlePg/>
          <w:docGrid w:linePitch="312" w:charSpace="0"/>
        </w:sectPr>
      </w:pPr>
      <w:bookmarkStart w:id="182" w:name="_Toc44227951"/>
      <w:bookmarkStart w:id="183" w:name="_Toc44492628"/>
      <w:bookmarkStart w:id="184" w:name="_Toc27297"/>
      <w:bookmarkStart w:id="185" w:name="_Toc10027"/>
    </w:p>
    <w:p>
      <w:pPr>
        <w:pStyle w:val="2"/>
        <w:spacing w:before="0" w:after="0" w:line="240" w:lineRule="auto"/>
        <w:rPr>
          <w:rFonts w:ascii="仿宋" w:hAnsi="仿宋" w:eastAsia="仿宋"/>
          <w:sz w:val="28"/>
          <w:szCs w:val="28"/>
        </w:rPr>
      </w:pPr>
      <w:bookmarkStart w:id="186" w:name="_Toc15540"/>
      <w:bookmarkStart w:id="187" w:name="_Toc22879"/>
      <w:bookmarkStart w:id="188" w:name="_Toc23953"/>
      <w:bookmarkStart w:id="189" w:name="_Toc63618695"/>
      <w:bookmarkStart w:id="190" w:name="_Toc15124"/>
      <w:bookmarkStart w:id="191" w:name="_Toc13091"/>
      <w:bookmarkStart w:id="192" w:name="_Toc5377"/>
      <w:bookmarkStart w:id="193" w:name="_Toc91613490"/>
      <w:r>
        <w:rPr>
          <w:rFonts w:hint="eastAsia" w:ascii="仿宋" w:hAnsi="仿宋" w:eastAsia="仿宋"/>
          <w:sz w:val="28"/>
          <w:szCs w:val="28"/>
        </w:rPr>
        <w:t>附件1 合同范围及边界</w:t>
      </w:r>
      <w:bookmarkEnd w:id="186"/>
      <w:bookmarkEnd w:id="187"/>
      <w:bookmarkEnd w:id="188"/>
      <w:bookmarkEnd w:id="189"/>
      <w:bookmarkEnd w:id="190"/>
      <w:bookmarkEnd w:id="191"/>
      <w:bookmarkEnd w:id="192"/>
      <w:bookmarkEnd w:id="193"/>
    </w:p>
    <w:p/>
    <w:p>
      <w:pPr>
        <w:rPr>
          <w:rFonts w:ascii="仿宋" w:hAnsi="仿宋" w:eastAsia="仿宋"/>
          <w:sz w:val="28"/>
          <w:szCs w:val="28"/>
        </w:rPr>
      </w:pPr>
    </w:p>
    <w:p>
      <w:pPr>
        <w:ind w:firstLine="480"/>
        <w:rPr>
          <w:rFonts w:ascii="宋体" w:hAnsi="宋体" w:cs="宋体"/>
          <w:b/>
          <w:bCs/>
          <w:kern w:val="0"/>
          <w:sz w:val="22"/>
        </w:rPr>
      </w:pPr>
    </w:p>
    <w:p>
      <w:pPr>
        <w:widowControl/>
        <w:jc w:val="left"/>
        <w:rPr>
          <w:rFonts w:ascii="仿宋" w:hAnsi="仿宋" w:eastAsia="仿宋"/>
          <w:sz w:val="28"/>
          <w:szCs w:val="28"/>
        </w:rPr>
        <w:sectPr>
          <w:pgSz w:w="16838" w:h="11906" w:orient="landscape"/>
          <w:pgMar w:top="1701" w:right="1134" w:bottom="1418" w:left="1134" w:header="851" w:footer="992" w:gutter="0"/>
          <w:cols w:space="720" w:num="1"/>
          <w:titlePg/>
          <w:docGrid w:linePitch="312" w:charSpace="0"/>
        </w:sectPr>
      </w:pPr>
      <w:r>
        <w:rPr>
          <w:rFonts w:ascii="仿宋" w:hAnsi="仿宋" w:eastAsia="仿宋"/>
          <w:sz w:val="28"/>
          <w:szCs w:val="28"/>
        </w:rPr>
        <w:br w:type="page"/>
      </w:r>
    </w:p>
    <w:p>
      <w:pPr>
        <w:pStyle w:val="2"/>
        <w:spacing w:before="0" w:after="0" w:line="240" w:lineRule="auto"/>
        <w:rPr>
          <w:rFonts w:ascii="仿宋" w:hAnsi="仿宋" w:eastAsia="仿宋"/>
          <w:sz w:val="30"/>
          <w:szCs w:val="30"/>
        </w:rPr>
      </w:pPr>
      <w:bookmarkStart w:id="194" w:name="_Toc12253"/>
      <w:bookmarkStart w:id="195" w:name="_Toc21488"/>
      <w:bookmarkStart w:id="196" w:name="_Toc21311"/>
      <w:bookmarkStart w:id="197" w:name="_Toc922"/>
      <w:bookmarkStart w:id="198" w:name="_Toc11544"/>
      <w:bookmarkStart w:id="199" w:name="_Toc91613491"/>
      <w:bookmarkStart w:id="200" w:name="_Toc63618696"/>
      <w:bookmarkStart w:id="201" w:name="_Toc14624"/>
      <w:r>
        <w:rPr>
          <w:rFonts w:hint="eastAsia" w:ascii="仿宋" w:hAnsi="仿宋" w:eastAsia="仿宋"/>
          <w:sz w:val="28"/>
          <w:szCs w:val="28"/>
        </w:rPr>
        <w:t>附件2施工技术要求</w:t>
      </w:r>
      <w:bookmarkEnd w:id="182"/>
      <w:bookmarkEnd w:id="183"/>
      <w:bookmarkEnd w:id="194"/>
      <w:r>
        <w:rPr>
          <w:rFonts w:hint="eastAsia" w:ascii="仿宋" w:hAnsi="仿宋" w:eastAsia="仿宋"/>
          <w:sz w:val="28"/>
          <w:szCs w:val="28"/>
        </w:rPr>
        <w:t>（另册）</w:t>
      </w:r>
      <w:bookmarkEnd w:id="184"/>
      <w:bookmarkEnd w:id="185"/>
      <w:bookmarkEnd w:id="195"/>
      <w:bookmarkEnd w:id="196"/>
      <w:bookmarkEnd w:id="197"/>
      <w:bookmarkEnd w:id="198"/>
      <w:bookmarkEnd w:id="199"/>
      <w:bookmarkEnd w:id="200"/>
      <w:bookmarkEnd w:id="201"/>
    </w:p>
    <w:p>
      <w:pPr>
        <w:spacing w:line="360" w:lineRule="auto"/>
        <w:ind w:left="851"/>
        <w:rPr>
          <w:rFonts w:ascii="宋体" w:hAnsi="宋体"/>
          <w:szCs w:val="21"/>
        </w:rPr>
      </w:pPr>
    </w:p>
    <w:p>
      <w:pPr>
        <w:spacing w:line="360" w:lineRule="auto"/>
        <w:ind w:left="851"/>
        <w:rPr>
          <w:rFonts w:ascii="宋体" w:hAnsi="宋体"/>
          <w:szCs w:val="21"/>
        </w:rPr>
      </w:pPr>
    </w:p>
    <w:p>
      <w:pPr>
        <w:spacing w:line="360" w:lineRule="auto"/>
        <w:ind w:left="851"/>
        <w:rPr>
          <w:rFonts w:ascii="宋体" w:hAnsi="宋体"/>
          <w:szCs w:val="21"/>
        </w:rPr>
      </w:pPr>
    </w:p>
    <w:p>
      <w:pPr>
        <w:pStyle w:val="2"/>
        <w:spacing w:before="0" w:after="0" w:line="240" w:lineRule="auto"/>
        <w:ind w:left="883" w:hanging="883" w:hangingChars="200"/>
      </w:pPr>
      <w:r>
        <w:rPr>
          <w:rFonts w:hint="eastAsia"/>
        </w:rPr>
        <w:br w:type="page"/>
      </w:r>
      <w:bookmarkStart w:id="202" w:name="_Toc25590"/>
      <w:bookmarkStart w:id="203" w:name="_Toc63618697"/>
      <w:bookmarkStart w:id="204" w:name="_Toc44227952"/>
      <w:bookmarkStart w:id="205" w:name="_Toc23448"/>
      <w:bookmarkStart w:id="206" w:name="_Toc7324"/>
      <w:bookmarkStart w:id="207" w:name="_Toc28209"/>
      <w:bookmarkStart w:id="208" w:name="_Toc23359"/>
      <w:bookmarkStart w:id="209" w:name="_Toc91613492"/>
      <w:bookmarkStart w:id="210" w:name="_Toc29823"/>
      <w:bookmarkStart w:id="211" w:name="_Toc29572"/>
      <w:bookmarkStart w:id="212" w:name="_Toc44492629"/>
      <w:bookmarkStart w:id="213" w:name="_Toc30930"/>
      <w:r>
        <w:rPr>
          <w:rFonts w:hint="eastAsia"/>
          <w:sz w:val="30"/>
          <w:szCs w:val="30"/>
        </w:rPr>
        <w:t>附件</w:t>
      </w:r>
      <w:r>
        <w:rPr>
          <w:rFonts w:hint="eastAsia"/>
          <w:bCs w:val="0"/>
          <w:sz w:val="30"/>
          <w:szCs w:val="30"/>
        </w:rPr>
        <w:t>3履约保函（样式）</w:t>
      </w:r>
      <w:bookmarkEnd w:id="202"/>
      <w:bookmarkEnd w:id="203"/>
      <w:bookmarkEnd w:id="204"/>
      <w:bookmarkEnd w:id="205"/>
      <w:bookmarkEnd w:id="206"/>
      <w:bookmarkEnd w:id="207"/>
      <w:bookmarkEnd w:id="208"/>
      <w:bookmarkEnd w:id="209"/>
      <w:bookmarkEnd w:id="210"/>
      <w:bookmarkEnd w:id="211"/>
      <w:bookmarkEnd w:id="212"/>
      <w:bookmarkEnd w:id="213"/>
    </w:p>
    <w:p>
      <w:pPr>
        <w:spacing w:line="276" w:lineRule="auto"/>
        <w:ind w:firstLine="640" w:firstLineChars="200"/>
        <w:jc w:val="center"/>
        <w:rPr>
          <w:rFonts w:ascii="仿宋" w:hAnsi="仿宋" w:eastAsia="仿宋"/>
          <w:kern w:val="0"/>
          <w:sz w:val="32"/>
          <w:szCs w:val="32"/>
          <w:u w:val="single"/>
        </w:rPr>
      </w:pPr>
      <w:r>
        <w:rPr>
          <w:rFonts w:hint="eastAsia" w:ascii="仿宋" w:hAnsi="仿宋" w:eastAsia="仿宋"/>
          <w:kern w:val="0"/>
          <w:sz w:val="32"/>
          <w:szCs w:val="32"/>
          <w:u w:val="single"/>
        </w:rPr>
        <w:t>履约保函（格式）</w:t>
      </w:r>
    </w:p>
    <w:p>
      <w:pPr>
        <w:adjustRightInd w:val="0"/>
        <w:snapToGrid w:val="0"/>
        <w:spacing w:line="380" w:lineRule="exact"/>
        <w:jc w:val="left"/>
        <w:rPr>
          <w:rFonts w:ascii="仿宋" w:hAnsi="仿宋" w:eastAsia="仿宋"/>
          <w:szCs w:val="21"/>
          <w:u w:val="single"/>
        </w:rPr>
      </w:pPr>
      <w:r>
        <w:rPr>
          <w:rFonts w:hint="eastAsia" w:ascii="仿宋" w:hAnsi="仿宋" w:eastAsia="仿宋"/>
          <w:szCs w:val="21"/>
        </w:rPr>
        <w:t>致：</w:t>
      </w:r>
      <w:r>
        <w:rPr>
          <w:rFonts w:hint="eastAsia" w:ascii="仿宋" w:hAnsi="仿宋" w:eastAsia="仿宋"/>
          <w:szCs w:val="21"/>
          <w:u w:val="single"/>
        </w:rPr>
        <w:t xml:space="preserve">               </w:t>
      </w:r>
      <w:r>
        <w:rPr>
          <w:rFonts w:hint="eastAsia" w:ascii="仿宋" w:hAnsi="仿宋" w:eastAsia="仿宋"/>
          <w:szCs w:val="21"/>
        </w:rPr>
        <w:t>（以下简称“受益人”）：</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鉴于</w:t>
      </w:r>
      <w:r>
        <w:rPr>
          <w:rFonts w:hint="eastAsia" w:ascii="仿宋" w:hAnsi="仿宋" w:eastAsia="仿宋"/>
          <w:szCs w:val="21"/>
          <w:u w:val="single"/>
        </w:rPr>
        <w:t xml:space="preserve">                     </w:t>
      </w:r>
      <w:r>
        <w:rPr>
          <w:rFonts w:hint="eastAsia" w:ascii="仿宋" w:hAnsi="仿宋" w:eastAsia="仿宋"/>
          <w:szCs w:val="21"/>
        </w:rPr>
        <w:t>（以下简称“被担保人”）已与受益人签订了编号为</w:t>
      </w:r>
      <w:r>
        <w:rPr>
          <w:rFonts w:hint="eastAsia" w:ascii="仿宋" w:hAnsi="仿宋" w:eastAsia="仿宋"/>
          <w:szCs w:val="21"/>
          <w:u w:val="single"/>
        </w:rPr>
        <w:t xml:space="preserve">            </w:t>
      </w:r>
      <w:r>
        <w:rPr>
          <w:rFonts w:hint="eastAsia" w:ascii="仿宋" w:hAnsi="仿宋" w:eastAsia="仿宋"/>
          <w:szCs w:val="21"/>
        </w:rPr>
        <w:t>的《</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 （以下简称“合同”），金额 （大写）：人民币</w:t>
      </w:r>
      <w:r>
        <w:rPr>
          <w:rFonts w:hint="eastAsia" w:ascii="仿宋" w:hAnsi="仿宋" w:eastAsia="仿宋"/>
          <w:szCs w:val="21"/>
          <w:u w:val="single"/>
        </w:rPr>
        <w:t xml:space="preserve">             </w:t>
      </w:r>
      <w:r>
        <w:rPr>
          <w:rFonts w:hint="eastAsia" w:ascii="仿宋" w:hAnsi="仿宋" w:eastAsia="仿宋"/>
          <w:szCs w:val="21"/>
        </w:rPr>
        <w:t>元（RMB</w:t>
      </w:r>
      <w:r>
        <w:rPr>
          <w:rFonts w:hint="eastAsia" w:ascii="仿宋" w:hAnsi="仿宋" w:eastAsia="仿宋"/>
          <w:szCs w:val="21"/>
          <w:u w:val="single"/>
        </w:rPr>
        <w:t xml:space="preserve">        </w:t>
      </w:r>
      <w:r>
        <w:rPr>
          <w:rFonts w:hint="eastAsia" w:ascii="仿宋" w:hAnsi="仿宋" w:eastAsia="仿宋"/>
          <w:szCs w:val="21"/>
        </w:rPr>
        <w:t>）。我方作为保证人，在此向受益人就被担保人履行合同提供</w:t>
      </w:r>
      <w:r>
        <w:rPr>
          <w:rFonts w:hint="eastAsia" w:ascii="仿宋" w:hAnsi="仿宋" w:eastAsia="仿宋"/>
          <w:b/>
          <w:szCs w:val="21"/>
        </w:rPr>
        <w:t>不可撤销</w:t>
      </w:r>
      <w:r>
        <w:rPr>
          <w:rFonts w:hint="eastAsia" w:ascii="仿宋" w:hAnsi="仿宋" w:eastAsia="仿宋"/>
          <w:szCs w:val="21"/>
        </w:rPr>
        <w:t>的</w:t>
      </w:r>
      <w:r>
        <w:rPr>
          <w:rFonts w:hint="eastAsia" w:ascii="仿宋" w:hAnsi="仿宋" w:eastAsia="仿宋"/>
          <w:b/>
          <w:szCs w:val="21"/>
        </w:rPr>
        <w:t>连带责任保证担保</w:t>
      </w:r>
      <w:r>
        <w:rPr>
          <w:rFonts w:hint="eastAsia" w:ascii="仿宋" w:hAnsi="仿宋" w:eastAsia="仿宋"/>
          <w:szCs w:val="21"/>
        </w:rPr>
        <w:t>：</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一、本保函担保的金额为（大写）人民币</w:t>
      </w:r>
      <w:r>
        <w:rPr>
          <w:rFonts w:hint="eastAsia" w:ascii="仿宋" w:hAnsi="仿宋" w:eastAsia="仿宋"/>
          <w:szCs w:val="21"/>
          <w:u w:val="single"/>
        </w:rPr>
        <w:t xml:space="preserve">    </w:t>
      </w:r>
      <w:r>
        <w:rPr>
          <w:rFonts w:hint="eastAsia" w:ascii="仿宋" w:hAnsi="仿宋" w:eastAsia="仿宋"/>
          <w:szCs w:val="21"/>
        </w:rPr>
        <w:t>元（RMB</w:t>
      </w:r>
      <w:r>
        <w:rPr>
          <w:rFonts w:hint="eastAsia" w:ascii="仿宋" w:hAnsi="仿宋" w:eastAsia="仿宋"/>
          <w:szCs w:val="21"/>
          <w:u w:val="single"/>
        </w:rPr>
        <w:t xml:space="preserve">   </w:t>
      </w:r>
      <w:r>
        <w:rPr>
          <w:rFonts w:hint="eastAsia" w:ascii="仿宋" w:hAnsi="仿宋" w:eastAsia="仿宋"/>
          <w:szCs w:val="21"/>
        </w:rPr>
        <w:t>）。</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二、本保函的有效期从合同生效之日起至合同项下工程竣工验收合格、结算完成且工程交付发包人（以时间较晚者为准）后第30天止。本保函有效期即为本保函的担保期限。</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三、本保函为</w:t>
      </w:r>
      <w:r>
        <w:rPr>
          <w:rFonts w:hint="eastAsia" w:ascii="仿宋" w:hAnsi="仿宋" w:eastAsia="仿宋"/>
          <w:b/>
          <w:szCs w:val="21"/>
        </w:rPr>
        <w:t>见索即付</w:t>
      </w:r>
      <w:r>
        <w:rPr>
          <w:rFonts w:hint="eastAsia" w:ascii="仿宋" w:hAnsi="仿宋" w:eastAsia="仿宋"/>
          <w:szCs w:val="21"/>
        </w:rPr>
        <w:t>保函，在本保函的担保期限内，我方将在收到受益人经法定代表人或其授权委托代理人签字并加盖公章的书面索赔通知原件后</w:t>
      </w:r>
      <w:r>
        <w:rPr>
          <w:rFonts w:hint="eastAsia" w:ascii="仿宋" w:hAnsi="仿宋" w:eastAsia="仿宋"/>
          <w:szCs w:val="21"/>
          <w:u w:val="single"/>
        </w:rPr>
        <w:t xml:space="preserve">    </w:t>
      </w:r>
      <w:r>
        <w:rPr>
          <w:rFonts w:hint="eastAsia" w:ascii="仿宋" w:hAnsi="仿宋" w:eastAsia="仿宋"/>
          <w:szCs w:val="21"/>
        </w:rPr>
        <w:t>个工作日内，</w:t>
      </w:r>
      <w:r>
        <w:rPr>
          <w:rFonts w:hint="eastAsia" w:ascii="仿宋" w:hAnsi="仿宋" w:eastAsia="仿宋"/>
          <w:b/>
          <w:szCs w:val="21"/>
        </w:rPr>
        <w:t>不争辩、不挑剔、不可撤销</w:t>
      </w:r>
      <w:r>
        <w:rPr>
          <w:rFonts w:hint="eastAsia" w:ascii="仿宋" w:hAnsi="仿宋" w:eastAsia="仿宋"/>
          <w:szCs w:val="21"/>
        </w:rPr>
        <w:t>地向受益人支付索赔款，直至本保函担保的最高金额。</w:t>
      </w:r>
      <w:r>
        <w:rPr>
          <w:rFonts w:hint="eastAsia" w:ascii="仿宋" w:hAnsi="仿宋" w:eastAsia="仿宋"/>
          <w:b/>
          <w:szCs w:val="21"/>
        </w:rPr>
        <w:t>受益人出具的书面索赔通知书无需要求证明被担保人是否违约或索赔金额是否恰当</w:t>
      </w:r>
      <w:r>
        <w:rPr>
          <w:rFonts w:hint="eastAsia" w:ascii="仿宋" w:hAnsi="仿宋" w:eastAsia="仿宋"/>
          <w:szCs w:val="21"/>
        </w:rPr>
        <w:t>。</w:t>
      </w:r>
    </w:p>
    <w:p>
      <w:pPr>
        <w:adjustRightInd w:val="0"/>
        <w:snapToGrid w:val="0"/>
        <w:spacing w:line="380" w:lineRule="exact"/>
        <w:ind w:firstLine="420" w:firstLineChars="200"/>
        <w:jc w:val="left"/>
        <w:rPr>
          <w:rFonts w:ascii="仿宋" w:hAnsi="仿宋" w:eastAsia="仿宋"/>
          <w:szCs w:val="21"/>
        </w:rPr>
      </w:pPr>
      <w:r>
        <w:rPr>
          <w:rFonts w:ascii="仿宋" w:hAnsi="仿宋" w:eastAsia="仿宋"/>
          <w:szCs w:val="21"/>
        </w:rPr>
        <w:t>四</w:t>
      </w:r>
      <w:r>
        <w:rPr>
          <w:rFonts w:hint="eastAsia" w:ascii="仿宋" w:hAnsi="仿宋" w:eastAsia="仿宋"/>
          <w:szCs w:val="21"/>
        </w:rPr>
        <w:t>、我方出具本保函后，</w:t>
      </w:r>
      <w:r>
        <w:rPr>
          <w:rFonts w:hint="eastAsia" w:ascii="仿宋" w:hAnsi="仿宋" w:eastAsia="仿宋"/>
          <w:b/>
          <w:szCs w:val="21"/>
        </w:rPr>
        <w:t>受益人与被担保人对合同进行的任何修订，或受益人对合同有关事项的任何豁免或未追究皆不会解除或减轻我方于本保函担保项下的责任</w:t>
      </w:r>
      <w:r>
        <w:rPr>
          <w:rFonts w:hint="eastAsia" w:ascii="仿宋" w:hAnsi="仿宋" w:eastAsia="仿宋"/>
          <w:szCs w:val="21"/>
        </w:rPr>
        <w:t>。</w:t>
      </w:r>
    </w:p>
    <w:p>
      <w:pPr>
        <w:adjustRightInd w:val="0"/>
        <w:snapToGrid w:val="0"/>
        <w:spacing w:line="380" w:lineRule="exact"/>
        <w:ind w:firstLine="420" w:firstLineChars="200"/>
        <w:jc w:val="left"/>
        <w:rPr>
          <w:rFonts w:ascii="仿宋" w:hAnsi="仿宋" w:eastAsia="仿宋"/>
          <w:szCs w:val="21"/>
        </w:rPr>
      </w:pPr>
      <w:r>
        <w:rPr>
          <w:rFonts w:ascii="仿宋" w:hAnsi="仿宋" w:eastAsia="仿宋"/>
          <w:szCs w:val="21"/>
        </w:rPr>
        <w:t>五</w:t>
      </w:r>
      <w:r>
        <w:rPr>
          <w:rFonts w:hint="eastAsia" w:ascii="仿宋" w:hAnsi="仿宋" w:eastAsia="仿宋"/>
          <w:szCs w:val="21"/>
        </w:rPr>
        <w:t>、本保函有效期届满，或我方向受益人支付索赔款已达本保函担保的最高金额，我方的担保责任免除，以两者中较早发生者为准。本保函到期后无论本保函原件是否退还我方，本保函到期即自动失效。</w:t>
      </w:r>
    </w:p>
    <w:p>
      <w:pPr>
        <w:adjustRightInd w:val="0"/>
        <w:snapToGrid w:val="0"/>
        <w:spacing w:line="380" w:lineRule="exact"/>
        <w:ind w:firstLine="420" w:firstLineChars="200"/>
        <w:jc w:val="left"/>
        <w:rPr>
          <w:rFonts w:ascii="仿宋" w:hAnsi="仿宋" w:eastAsia="仿宋"/>
          <w:szCs w:val="21"/>
        </w:rPr>
      </w:pPr>
      <w:r>
        <w:rPr>
          <w:rFonts w:ascii="仿宋" w:hAnsi="仿宋" w:eastAsia="仿宋"/>
          <w:szCs w:val="21"/>
        </w:rPr>
        <w:t>六</w:t>
      </w:r>
      <w:r>
        <w:rPr>
          <w:rFonts w:hint="eastAsia" w:ascii="仿宋" w:hAnsi="仿宋" w:eastAsia="仿宋"/>
          <w:szCs w:val="21"/>
        </w:rPr>
        <w:t>、本保函对我方及我方继受人有不可撤销的约束力，我方自愿作出上述承诺，并清楚了解本保函法律含义。</w:t>
      </w:r>
    </w:p>
    <w:p>
      <w:pPr>
        <w:adjustRightInd w:val="0"/>
        <w:snapToGrid w:val="0"/>
        <w:spacing w:line="380" w:lineRule="exact"/>
        <w:ind w:firstLine="420" w:firstLineChars="200"/>
        <w:jc w:val="left"/>
        <w:rPr>
          <w:rFonts w:ascii="仿宋" w:hAnsi="仿宋" w:eastAsia="仿宋"/>
          <w:szCs w:val="21"/>
        </w:rPr>
      </w:pPr>
      <w:r>
        <w:rPr>
          <w:rFonts w:ascii="仿宋" w:hAnsi="仿宋" w:eastAsia="仿宋"/>
          <w:szCs w:val="21"/>
        </w:rPr>
        <w:t>七</w:t>
      </w:r>
      <w:r>
        <w:rPr>
          <w:rFonts w:hint="eastAsia" w:ascii="仿宋" w:hAnsi="仿宋" w:eastAsia="仿宋"/>
          <w:szCs w:val="21"/>
        </w:rPr>
        <w:t>、本保函担保项下的权利不得转让或出让，但可由受益人之继承人或其受让人继承。</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八、受益人提出索赔的，应按以下通讯信息向我方发出书面通知：</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收件人：</w:t>
      </w:r>
    </w:p>
    <w:p>
      <w:pPr>
        <w:adjustRightInd w:val="0"/>
        <w:snapToGrid w:val="0"/>
        <w:spacing w:line="380" w:lineRule="exact"/>
        <w:ind w:firstLine="420" w:firstLineChars="200"/>
        <w:jc w:val="left"/>
        <w:rPr>
          <w:rFonts w:ascii="仿宋" w:hAnsi="仿宋" w:eastAsia="仿宋"/>
          <w:szCs w:val="21"/>
        </w:rPr>
      </w:pPr>
      <w:r>
        <w:rPr>
          <w:rFonts w:ascii="仿宋" w:hAnsi="仿宋" w:eastAsia="仿宋"/>
          <w:szCs w:val="21"/>
        </w:rPr>
        <w:t>通讯地址：</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联系电话</w:t>
      </w:r>
      <w:r>
        <w:rPr>
          <w:rFonts w:ascii="仿宋" w:hAnsi="仿宋" w:eastAsia="仿宋"/>
          <w:szCs w:val="21"/>
        </w:rPr>
        <w:t>：</w:t>
      </w:r>
    </w:p>
    <w:p>
      <w:pPr>
        <w:adjustRightInd w:val="0"/>
        <w:snapToGrid w:val="0"/>
        <w:spacing w:line="380" w:lineRule="exact"/>
        <w:ind w:firstLine="420" w:firstLineChars="200"/>
        <w:jc w:val="left"/>
        <w:rPr>
          <w:rFonts w:ascii="仿宋" w:hAnsi="仿宋" w:eastAsia="仿宋"/>
          <w:szCs w:val="21"/>
        </w:rPr>
      </w:pPr>
      <w:r>
        <w:rPr>
          <w:rFonts w:hint="eastAsia" w:ascii="仿宋" w:hAnsi="仿宋" w:eastAsia="仿宋"/>
          <w:szCs w:val="21"/>
        </w:rPr>
        <w:t>索赔通知如果通过专人送达，该通知在接收时即视为已经送达；如果通过信函邮寄方式送达，该通知在发出之日后【三】个工作日即视为已经送达。</w:t>
      </w:r>
    </w:p>
    <w:p>
      <w:pPr>
        <w:adjustRightInd w:val="0"/>
        <w:snapToGrid w:val="0"/>
        <w:spacing w:line="380" w:lineRule="exact"/>
        <w:ind w:firstLine="420" w:firstLineChars="200"/>
        <w:jc w:val="left"/>
        <w:rPr>
          <w:rFonts w:ascii="仿宋" w:hAnsi="仿宋" w:eastAsia="仿宋"/>
          <w:szCs w:val="21"/>
        </w:rPr>
      </w:pPr>
      <w:r>
        <w:rPr>
          <w:rFonts w:ascii="仿宋" w:hAnsi="仿宋" w:eastAsia="仿宋"/>
          <w:szCs w:val="21"/>
        </w:rPr>
        <w:t>九</w:t>
      </w:r>
      <w:r>
        <w:rPr>
          <w:rFonts w:hint="eastAsia" w:ascii="仿宋" w:hAnsi="仿宋" w:eastAsia="仿宋"/>
          <w:szCs w:val="21"/>
        </w:rPr>
        <w:t>、本保函适用中华人民共和国法律法规。</w:t>
      </w:r>
    </w:p>
    <w:p>
      <w:pPr>
        <w:adjustRightInd w:val="0"/>
        <w:snapToGrid w:val="0"/>
        <w:spacing w:line="380" w:lineRule="exact"/>
        <w:ind w:firstLine="420" w:firstLineChars="200"/>
        <w:rPr>
          <w:rFonts w:ascii="仿宋" w:hAnsi="仿宋" w:eastAsia="仿宋"/>
          <w:sz w:val="28"/>
          <w:szCs w:val="28"/>
        </w:rPr>
      </w:pPr>
      <w:r>
        <w:rPr>
          <w:rFonts w:hint="eastAsia" w:ascii="仿宋" w:hAnsi="仿宋" w:eastAsia="仿宋"/>
          <w:szCs w:val="21"/>
        </w:rPr>
        <w:t xml:space="preserve">出具银行： </w:t>
      </w:r>
      <w:r>
        <w:rPr>
          <w:rFonts w:ascii="仿宋" w:hAnsi="仿宋" w:eastAsia="仿宋"/>
          <w:szCs w:val="21"/>
        </w:rPr>
        <w:t xml:space="preserve">             </w:t>
      </w:r>
      <w:r>
        <w:rPr>
          <w:rFonts w:ascii="仿宋" w:hAnsi="仿宋" w:eastAsia="仿宋"/>
          <w:sz w:val="28"/>
          <w:szCs w:val="28"/>
        </w:rPr>
        <w:t xml:space="preserve"> </w:t>
      </w:r>
    </w:p>
    <w:p>
      <w:pPr>
        <w:adjustRightInd w:val="0"/>
        <w:snapToGrid w:val="0"/>
        <w:spacing w:line="380" w:lineRule="exact"/>
        <w:ind w:firstLine="560" w:firstLineChars="200"/>
        <w:rPr>
          <w:rFonts w:ascii="仿宋" w:hAnsi="仿宋" w:eastAsia="仿宋"/>
          <w:sz w:val="28"/>
          <w:szCs w:val="28"/>
        </w:rPr>
      </w:pPr>
    </w:p>
    <w:p>
      <w:pPr>
        <w:adjustRightInd w:val="0"/>
        <w:snapToGrid w:val="0"/>
        <w:spacing w:line="380" w:lineRule="exact"/>
        <w:ind w:firstLine="420" w:firstLineChars="200"/>
        <w:rPr>
          <w:rFonts w:ascii="仿宋" w:hAnsi="仿宋" w:eastAsia="仿宋"/>
          <w:sz w:val="28"/>
          <w:szCs w:val="28"/>
        </w:rPr>
      </w:pPr>
      <w:r>
        <w:rPr>
          <w:rFonts w:hint="eastAsia" w:ascii="仿宋" w:hAnsi="仿宋" w:eastAsia="仿宋"/>
          <w:szCs w:val="21"/>
        </w:rPr>
        <w:t>【备注要求：根据中国人民银行、银保监会发布的我国系统重要性银行名单，系统重要性银行包括 6 家国有商业银行、9家股份制商业银行和 4家城市商业银行，按系统重要性得分从低到高分为四组：第一组：平安银行、中国光大银行、华夏银行、广发银行、宁波银行、上海银行、江苏银行、北京银行；第二组：浦发银行、中信银行、中国民生银行、中国邮政储蓄银行；第三组：交通银行、招商银行、兴业银行；第四组：中国工商银行、中国银行、中国建设银行、中国农业银行。】</w:t>
      </w:r>
    </w:p>
    <w:p>
      <w:pPr>
        <w:widowControl/>
        <w:adjustRightInd w:val="0"/>
        <w:snapToGrid w:val="0"/>
        <w:spacing w:line="360" w:lineRule="auto"/>
        <w:ind w:firstLine="480" w:firstLineChars="200"/>
        <w:jc w:val="left"/>
        <w:rPr>
          <w:rFonts w:ascii="仿宋_GB2312" w:hAnsi="宋体" w:eastAsia="仿宋_GB2312"/>
          <w:sz w:val="24"/>
          <w:szCs w:val="24"/>
        </w:rPr>
      </w:pPr>
      <w:r>
        <w:rPr>
          <w:rFonts w:ascii="仿宋_GB2312" w:hAnsi="宋体" w:eastAsia="仿宋_GB2312"/>
          <w:sz w:val="24"/>
          <w:szCs w:val="24"/>
        </w:rPr>
        <w:br w:type="page"/>
      </w:r>
    </w:p>
    <w:p>
      <w:pPr>
        <w:pStyle w:val="2"/>
        <w:spacing w:before="0" w:after="0"/>
        <w:ind w:left="602" w:hanging="602" w:hangingChars="200"/>
        <w:rPr>
          <w:sz w:val="30"/>
          <w:szCs w:val="30"/>
        </w:rPr>
      </w:pPr>
      <w:bookmarkStart w:id="214" w:name="_Toc4792"/>
      <w:bookmarkStart w:id="215" w:name="_Toc44492630"/>
      <w:bookmarkStart w:id="216" w:name="_Toc18036"/>
      <w:bookmarkStart w:id="217" w:name="_Toc1066"/>
      <w:bookmarkStart w:id="218" w:name="_Toc44227953"/>
      <w:bookmarkStart w:id="219" w:name="_Toc5230"/>
      <w:bookmarkStart w:id="220" w:name="_Toc27203"/>
      <w:bookmarkStart w:id="221" w:name="_Toc17726"/>
      <w:bookmarkStart w:id="222" w:name="_Toc8907"/>
      <w:bookmarkStart w:id="223" w:name="_Toc22502"/>
      <w:bookmarkStart w:id="224" w:name="_Toc91613493"/>
      <w:bookmarkStart w:id="225" w:name="_Toc63618698"/>
      <w:r>
        <w:rPr>
          <w:rFonts w:hint="eastAsia"/>
          <w:sz w:val="30"/>
          <w:szCs w:val="30"/>
        </w:rPr>
        <w:t>附件4材料设备品牌推荐表</w:t>
      </w:r>
      <w:bookmarkEnd w:id="214"/>
      <w:bookmarkEnd w:id="215"/>
      <w:bookmarkEnd w:id="216"/>
      <w:bookmarkEnd w:id="217"/>
      <w:bookmarkEnd w:id="218"/>
      <w:r>
        <w:rPr>
          <w:rFonts w:hint="eastAsia"/>
          <w:sz w:val="30"/>
          <w:szCs w:val="30"/>
        </w:rPr>
        <w:t>（另册）</w:t>
      </w:r>
      <w:bookmarkEnd w:id="219"/>
      <w:bookmarkEnd w:id="220"/>
      <w:bookmarkEnd w:id="221"/>
      <w:bookmarkEnd w:id="222"/>
      <w:bookmarkEnd w:id="223"/>
      <w:bookmarkEnd w:id="224"/>
      <w:bookmarkEnd w:id="225"/>
    </w:p>
    <w:p>
      <w:pPr>
        <w:widowControl/>
        <w:jc w:val="left"/>
        <w:rPr>
          <w:rFonts w:ascii="Times New Roman" w:hAnsi="Times New Roman"/>
          <w:b/>
          <w:bCs/>
          <w:kern w:val="44"/>
          <w:sz w:val="30"/>
          <w:szCs w:val="30"/>
        </w:rPr>
      </w:pPr>
      <w:r>
        <w:rPr>
          <w:sz w:val="30"/>
          <w:szCs w:val="30"/>
        </w:rPr>
        <w:br w:type="page"/>
      </w:r>
    </w:p>
    <w:p>
      <w:pPr>
        <w:pStyle w:val="2"/>
        <w:rPr>
          <w:rFonts w:ascii="仿宋" w:hAnsi="仿宋" w:eastAsia="仿宋"/>
          <w:sz w:val="30"/>
          <w:szCs w:val="30"/>
        </w:rPr>
      </w:pPr>
      <w:bookmarkStart w:id="226" w:name="_Toc63618699"/>
      <w:bookmarkStart w:id="227" w:name="_Toc44227954"/>
      <w:bookmarkStart w:id="228" w:name="_Toc15771"/>
      <w:bookmarkStart w:id="229" w:name="_Toc29522"/>
      <w:bookmarkStart w:id="230" w:name="_Toc10821"/>
      <w:bookmarkStart w:id="231" w:name="_Toc6303"/>
      <w:bookmarkStart w:id="232" w:name="_Toc44492631"/>
      <w:bookmarkStart w:id="233" w:name="_Toc23898"/>
      <w:bookmarkStart w:id="234" w:name="_Toc593"/>
      <w:bookmarkStart w:id="235" w:name="_Toc15731"/>
      <w:bookmarkStart w:id="236" w:name="_Toc91613494"/>
      <w:bookmarkStart w:id="237" w:name="_Toc57"/>
      <w:r>
        <w:rPr>
          <w:rFonts w:hint="eastAsia" w:ascii="仿宋" w:hAnsi="仿宋" w:eastAsia="仿宋"/>
          <w:sz w:val="30"/>
          <w:szCs w:val="30"/>
        </w:rPr>
        <w:t>附件5 工程质量保修书</w:t>
      </w:r>
      <w:bookmarkEnd w:id="226"/>
      <w:bookmarkEnd w:id="227"/>
      <w:bookmarkEnd w:id="228"/>
      <w:bookmarkEnd w:id="229"/>
      <w:bookmarkEnd w:id="230"/>
      <w:bookmarkEnd w:id="231"/>
      <w:bookmarkEnd w:id="232"/>
      <w:bookmarkEnd w:id="233"/>
      <w:bookmarkEnd w:id="234"/>
      <w:bookmarkEnd w:id="235"/>
      <w:bookmarkEnd w:id="236"/>
      <w:bookmarkEnd w:id="237"/>
    </w:p>
    <w:p>
      <w:pPr>
        <w:jc w:val="center"/>
        <w:rPr>
          <w:rFonts w:ascii="仿宋" w:hAnsi="仿宋" w:eastAsia="仿宋"/>
          <w:b/>
          <w:sz w:val="30"/>
          <w:szCs w:val="30"/>
        </w:rPr>
      </w:pPr>
      <w:r>
        <w:rPr>
          <w:rFonts w:hint="eastAsia" w:ascii="仿宋" w:hAnsi="仿宋" w:eastAsia="仿宋"/>
          <w:b/>
          <w:sz w:val="30"/>
          <w:szCs w:val="30"/>
        </w:rPr>
        <w:t>工程质量保修书</w:t>
      </w:r>
    </w:p>
    <w:p>
      <w:pPr>
        <w:rPr>
          <w:rFonts w:ascii="仿宋_GB2312" w:hAnsi="宋体" w:eastAsia="仿宋_GB2312"/>
        </w:rPr>
      </w:pPr>
    </w:p>
    <w:p>
      <w:pPr>
        <w:pStyle w:val="16"/>
        <w:snapToGrid w:val="0"/>
        <w:spacing w:line="360" w:lineRule="auto"/>
        <w:ind w:left="63" w:right="63"/>
        <w:jc w:val="left"/>
        <w:rPr>
          <w:rFonts w:ascii="仿宋_GB2312" w:eastAsia="仿宋_GB2312"/>
          <w:b/>
          <w:szCs w:val="21"/>
          <w:u w:val="single"/>
        </w:rPr>
      </w:pPr>
      <w:r>
        <w:rPr>
          <w:rFonts w:hint="eastAsia" w:ascii="仿宋_GB2312" w:eastAsia="仿宋_GB2312"/>
          <w:szCs w:val="21"/>
        </w:rPr>
        <w:t>发包人：</w:t>
      </w:r>
      <w:r>
        <w:rPr>
          <w:rFonts w:hint="eastAsia" w:ascii="仿宋_GB2312" w:eastAsia="仿宋_GB2312"/>
          <w:szCs w:val="21"/>
          <w:u w:val="single"/>
        </w:rPr>
        <w:t xml:space="preserve">             有限公司   </w:t>
      </w:r>
    </w:p>
    <w:p>
      <w:pPr>
        <w:pStyle w:val="16"/>
        <w:snapToGrid w:val="0"/>
        <w:spacing w:line="360" w:lineRule="auto"/>
        <w:ind w:left="63" w:right="63"/>
        <w:jc w:val="left"/>
        <w:rPr>
          <w:rFonts w:ascii="仿宋_GB2312" w:eastAsia="仿宋_GB2312"/>
          <w:szCs w:val="21"/>
          <w:u w:val="single"/>
        </w:rPr>
      </w:pPr>
      <w:r>
        <w:rPr>
          <w:rFonts w:hint="eastAsia" w:ascii="仿宋_GB2312" w:eastAsia="仿宋_GB2312"/>
          <w:szCs w:val="21"/>
        </w:rPr>
        <w:t>承包人：</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为保证工程在合理使用期限内正常使用，发包人、承包人经协商一致签订本工程质量保修书。承包人在工程质量保修期内按照有关管理规定及双方约定承担工程质量保修责任。</w:t>
      </w:r>
    </w:p>
    <w:p>
      <w:pPr>
        <w:pStyle w:val="107"/>
        <w:numPr>
          <w:ilvl w:val="0"/>
          <w:numId w:val="3"/>
        </w:numPr>
        <w:adjustRightInd w:val="0"/>
        <w:snapToGrid w:val="0"/>
        <w:spacing w:line="360" w:lineRule="auto"/>
        <w:ind w:hanging="60" w:firstLineChars="0"/>
        <w:rPr>
          <w:rFonts w:ascii="仿宋_GB2312" w:hAnsi="宋体" w:eastAsia="仿宋_GB2312"/>
        </w:rPr>
      </w:pPr>
      <w:r>
        <w:rPr>
          <w:rFonts w:hint="eastAsia" w:ascii="仿宋_GB2312" w:hAnsi="宋体" w:eastAsia="仿宋_GB2312"/>
        </w:rPr>
        <w:t>工程质量保修范围和内容</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质量保修范围包括但不限于包括：</w:t>
      </w:r>
      <w:r>
        <w:rPr>
          <w:rFonts w:hint="eastAsia" w:ascii="仿宋_GB2312" w:hAnsi="宋体" w:eastAsia="仿宋_GB2312"/>
          <w:szCs w:val="21"/>
          <w:u w:val="single"/>
        </w:rPr>
        <w:t>详见合同承包范围内容</w:t>
      </w:r>
      <w:r>
        <w:rPr>
          <w:rFonts w:hint="eastAsia" w:ascii="仿宋_GB2312" w:hAnsi="宋体" w:eastAsia="仿宋_GB2312"/>
          <w:szCs w:val="21"/>
        </w:rPr>
        <w:t>。</w:t>
      </w:r>
    </w:p>
    <w:p>
      <w:pPr>
        <w:pStyle w:val="107"/>
        <w:numPr>
          <w:ilvl w:val="0"/>
          <w:numId w:val="3"/>
        </w:numPr>
        <w:adjustRightInd w:val="0"/>
        <w:snapToGrid w:val="0"/>
        <w:spacing w:line="360" w:lineRule="auto"/>
        <w:ind w:hanging="60" w:firstLineChars="0"/>
        <w:rPr>
          <w:rFonts w:ascii="仿宋_GB2312" w:hAnsi="宋体" w:eastAsia="仿宋_GB2312"/>
        </w:rPr>
      </w:pPr>
      <w:r>
        <w:rPr>
          <w:rFonts w:hint="eastAsia" w:ascii="仿宋_GB2312" w:hAnsi="宋体" w:eastAsia="仿宋_GB2312"/>
        </w:rPr>
        <w:t>工程质量保修期</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rPr>
        <w:t>工程质量保修</w:t>
      </w:r>
      <w:r>
        <w:rPr>
          <w:rFonts w:hint="eastAsia" w:ascii="仿宋_GB2312" w:hAnsi="宋体" w:eastAsia="仿宋_GB2312"/>
          <w:szCs w:val="21"/>
        </w:rPr>
        <w:t>期从工程实际竣工验收合格并移交发包人之日算起。双方根据国家有关规定，结合具体工程约定</w:t>
      </w:r>
      <w:r>
        <w:rPr>
          <w:rFonts w:hint="eastAsia" w:ascii="仿宋_GB2312" w:hAnsi="宋体" w:eastAsia="仿宋_GB2312"/>
        </w:rPr>
        <w:t>质量保修</w:t>
      </w:r>
      <w:r>
        <w:rPr>
          <w:rFonts w:hint="eastAsia" w:ascii="仿宋_GB2312" w:hAnsi="宋体" w:eastAsia="仿宋_GB2312"/>
          <w:szCs w:val="21"/>
        </w:rPr>
        <w:t>期如下：</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主体结构工程为设计文件规定的该工程合理使用年限；</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防水工程、有防水要求的卫生间、房间和外墙面的防渗漏，为</w:t>
      </w:r>
      <w:r>
        <w:rPr>
          <w:rFonts w:hint="eastAsia" w:ascii="仿宋_GB2312" w:hAnsi="宋体" w:eastAsia="仿宋_GB2312"/>
          <w:u w:val="single"/>
        </w:rPr>
        <w:t xml:space="preserve"> 伍 </w:t>
      </w:r>
      <w:r>
        <w:rPr>
          <w:rFonts w:hint="eastAsia" w:ascii="仿宋_GB2312" w:hAnsi="宋体" w:eastAsia="仿宋_GB2312"/>
        </w:rPr>
        <w:t>年；</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装饰装修工程为</w:t>
      </w:r>
      <w:r>
        <w:rPr>
          <w:rFonts w:hint="eastAsia" w:ascii="仿宋_GB2312" w:hAnsi="宋体" w:eastAsia="仿宋_GB2312"/>
          <w:u w:val="single"/>
        </w:rPr>
        <w:t xml:space="preserve"> 贰 </w:t>
      </w:r>
      <w:r>
        <w:rPr>
          <w:rFonts w:hint="eastAsia" w:ascii="仿宋_GB2312" w:hAnsi="宋体" w:eastAsia="仿宋_GB2312"/>
        </w:rPr>
        <w:t>年；</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电气管线、给排水管道、设备安装工程为</w:t>
      </w:r>
      <w:r>
        <w:rPr>
          <w:rFonts w:hint="eastAsia" w:ascii="仿宋_GB2312" w:hAnsi="宋体" w:eastAsia="仿宋_GB2312"/>
          <w:u w:val="single"/>
        </w:rPr>
        <w:t xml:space="preserve"> 贰 </w:t>
      </w:r>
      <w:r>
        <w:rPr>
          <w:rFonts w:hint="eastAsia" w:ascii="仿宋_GB2312" w:hAnsi="宋体" w:eastAsia="仿宋_GB2312"/>
        </w:rPr>
        <w:t>年；</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供热及供冷为</w:t>
      </w:r>
      <w:r>
        <w:rPr>
          <w:rFonts w:hint="eastAsia" w:ascii="仿宋_GB2312" w:hAnsi="宋体" w:eastAsia="仿宋_GB2312"/>
          <w:u w:val="single"/>
        </w:rPr>
        <w:t xml:space="preserve">  贰  </w:t>
      </w:r>
      <w:r>
        <w:rPr>
          <w:rFonts w:hint="eastAsia" w:ascii="仿宋_GB2312" w:hAnsi="宋体" w:eastAsia="仿宋_GB2312"/>
        </w:rPr>
        <w:t>个采暖期、供冷期；</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其他项目质量保修期限约定如下：质量保修</w:t>
      </w:r>
      <w:r>
        <w:rPr>
          <w:rFonts w:hint="eastAsia" w:ascii="仿宋_GB2312" w:hAnsi="宋体" w:eastAsia="仿宋_GB2312"/>
          <w:u w:val="single"/>
        </w:rPr>
        <w:t>期为工程整体竣工验收合格并移交发包人后的24个月</w:t>
      </w:r>
      <w:r>
        <w:rPr>
          <w:rFonts w:hint="eastAsia" w:ascii="仿宋_GB2312" w:hAnsi="宋体" w:eastAsia="仿宋_GB2312"/>
        </w:rPr>
        <w:t>。</w:t>
      </w:r>
    </w:p>
    <w:p>
      <w:pPr>
        <w:pStyle w:val="107"/>
        <w:numPr>
          <w:ilvl w:val="0"/>
          <w:numId w:val="4"/>
        </w:numPr>
        <w:adjustRightInd w:val="0"/>
        <w:snapToGrid w:val="0"/>
        <w:spacing w:line="360" w:lineRule="auto"/>
        <w:ind w:left="0" w:firstLine="420"/>
        <w:rPr>
          <w:rFonts w:ascii="仿宋_GB2312" w:hAnsi="宋体" w:eastAsia="仿宋_GB2312"/>
        </w:rPr>
      </w:pPr>
      <w:r>
        <w:rPr>
          <w:rFonts w:hint="eastAsia" w:ascii="仿宋_GB2312" w:hAnsi="宋体" w:eastAsia="仿宋_GB2312"/>
        </w:rPr>
        <w:t>其他约定：未尽事宜按国家现行规程、规范执行。</w:t>
      </w:r>
    </w:p>
    <w:p>
      <w:pPr>
        <w:pStyle w:val="107"/>
        <w:numPr>
          <w:ilvl w:val="0"/>
          <w:numId w:val="3"/>
        </w:numPr>
        <w:adjustRightInd w:val="0"/>
        <w:snapToGrid w:val="0"/>
        <w:spacing w:line="360" w:lineRule="auto"/>
        <w:ind w:hanging="60" w:firstLineChars="0"/>
        <w:rPr>
          <w:rFonts w:ascii="仿宋_GB2312" w:hAnsi="宋体" w:eastAsia="仿宋_GB2312"/>
        </w:rPr>
      </w:pPr>
      <w:r>
        <w:rPr>
          <w:rFonts w:hint="eastAsia" w:ascii="仿宋_GB2312" w:hAnsi="宋体" w:eastAsia="仿宋_GB2312"/>
        </w:rPr>
        <w:t>质量保修责任</w:t>
      </w:r>
    </w:p>
    <w:p>
      <w:pPr>
        <w:pStyle w:val="107"/>
        <w:numPr>
          <w:ilvl w:val="0"/>
          <w:numId w:val="5"/>
        </w:numPr>
        <w:adjustRightInd w:val="0"/>
        <w:snapToGrid w:val="0"/>
        <w:spacing w:line="360" w:lineRule="auto"/>
        <w:ind w:left="19" w:leftChars="9" w:firstLine="396" w:firstLineChars="189"/>
        <w:rPr>
          <w:rFonts w:ascii="仿宋_GB2312" w:hAnsi="宋体" w:eastAsia="仿宋_GB2312"/>
        </w:rPr>
      </w:pPr>
      <w:r>
        <w:rPr>
          <w:rFonts w:hint="eastAsia" w:ascii="仿宋_GB2312" w:hAnsi="宋体" w:eastAsia="仿宋_GB2312"/>
        </w:rPr>
        <w:t>属于保修范围、内容的项目，承包人应当在接到发包人（或发包人的物业公司）保修通知之日起</w:t>
      </w:r>
      <w:r>
        <w:rPr>
          <w:rFonts w:hint="eastAsia" w:ascii="仿宋_GB2312" w:hAnsi="宋体" w:eastAsia="仿宋_GB2312"/>
          <w:u w:val="single"/>
        </w:rPr>
        <w:t xml:space="preserve">  24  </w:t>
      </w:r>
      <w:r>
        <w:rPr>
          <w:rFonts w:hint="eastAsia" w:ascii="仿宋_GB2312" w:hAnsi="宋体" w:eastAsia="仿宋_GB2312"/>
        </w:rPr>
        <w:t>小时内派人保修。渗水、漏水、给排水、供电设施及线路出现等故障影响居民正常生活或商家经营活动时，承包人承诺在发包人通知后</w:t>
      </w:r>
      <w:r>
        <w:rPr>
          <w:rFonts w:hint="eastAsia" w:ascii="仿宋_GB2312" w:hAnsi="宋体" w:eastAsia="仿宋_GB2312"/>
          <w:u w:val="single"/>
        </w:rPr>
        <w:t xml:space="preserve"> 4 </w:t>
      </w:r>
      <w:r>
        <w:rPr>
          <w:rFonts w:hint="eastAsia" w:ascii="仿宋_GB2312" w:hAnsi="宋体" w:eastAsia="仿宋_GB2312"/>
        </w:rPr>
        <w:t>小时内赶到现场并于</w:t>
      </w:r>
      <w:r>
        <w:rPr>
          <w:rFonts w:hint="eastAsia" w:ascii="仿宋_GB2312" w:hAnsi="宋体" w:eastAsia="仿宋_GB2312"/>
          <w:u w:val="single"/>
        </w:rPr>
        <w:t xml:space="preserve"> 6 </w:t>
      </w:r>
      <w:r>
        <w:rPr>
          <w:rFonts w:hint="eastAsia" w:ascii="仿宋_GB2312" w:hAnsi="宋体" w:eastAsia="仿宋_GB2312"/>
        </w:rPr>
        <w:t>小时内完成维修。</w:t>
      </w:r>
    </w:p>
    <w:p>
      <w:pPr>
        <w:pStyle w:val="107"/>
        <w:numPr>
          <w:ilvl w:val="0"/>
          <w:numId w:val="5"/>
        </w:numPr>
        <w:adjustRightInd w:val="0"/>
        <w:snapToGrid w:val="0"/>
        <w:spacing w:line="360" w:lineRule="auto"/>
        <w:ind w:left="19" w:leftChars="9" w:firstLine="396" w:firstLineChars="189"/>
        <w:rPr>
          <w:rFonts w:ascii="仿宋_GB2312" w:hAnsi="宋体" w:eastAsia="仿宋_GB2312"/>
          <w:u w:val="single"/>
        </w:rPr>
      </w:pPr>
      <w:r>
        <w:rPr>
          <w:rFonts w:hint="eastAsia" w:ascii="仿宋_GB2312" w:hAnsi="宋体" w:eastAsia="仿宋_GB2312"/>
          <w:u w:val="single"/>
        </w:rPr>
        <w:t>发生紧急抢修事故(</w:t>
      </w:r>
      <w:r>
        <w:rPr>
          <w:rFonts w:hint="eastAsia" w:eastAsia="仿宋_GB2312"/>
          <w:u w:val="single"/>
        </w:rPr>
        <w:t>如电梯事故）</w:t>
      </w:r>
      <w:r>
        <w:rPr>
          <w:rFonts w:hint="eastAsia" w:ascii="仿宋_GB2312" w:hAnsi="宋体" w:eastAsia="仿宋_GB2312"/>
          <w:u w:val="single"/>
        </w:rPr>
        <w:t>的，承包人接到事故通知后，应当立即到达事故现场抢修。</w:t>
      </w:r>
    </w:p>
    <w:p>
      <w:pPr>
        <w:pStyle w:val="107"/>
        <w:numPr>
          <w:ilvl w:val="0"/>
          <w:numId w:val="5"/>
        </w:numPr>
        <w:adjustRightInd w:val="0"/>
        <w:snapToGrid w:val="0"/>
        <w:spacing w:line="360" w:lineRule="auto"/>
        <w:ind w:left="19" w:leftChars="9" w:firstLine="396" w:firstLineChars="189"/>
        <w:rPr>
          <w:rFonts w:ascii="仿宋_GB2312" w:hAnsi="宋体" w:eastAsia="仿宋_GB2312"/>
        </w:rPr>
      </w:pPr>
      <w:r>
        <w:rPr>
          <w:rFonts w:hint="eastAsia" w:ascii="仿宋_GB2312" w:hAnsi="宋体" w:eastAsia="仿宋_GB2312"/>
        </w:rPr>
        <w:t>对于涉及结构安全的质量问题，应当按照《房屋建筑工程质量保修办法》的规定，立即向当地建设行政主管部门报告，采取安全防范措施；由原设计单位或者具有相应资质等级的设计单位提出保修方法，承包人实施保修。</w:t>
      </w:r>
    </w:p>
    <w:p>
      <w:pPr>
        <w:pStyle w:val="107"/>
        <w:numPr>
          <w:ilvl w:val="0"/>
          <w:numId w:val="5"/>
        </w:numPr>
        <w:adjustRightInd w:val="0"/>
        <w:snapToGrid w:val="0"/>
        <w:spacing w:line="360" w:lineRule="auto"/>
        <w:ind w:left="19" w:leftChars="9" w:firstLine="396" w:firstLineChars="189"/>
        <w:rPr>
          <w:rFonts w:ascii="仿宋_GB2312" w:hAnsi="宋体" w:eastAsia="仿宋_GB2312"/>
        </w:rPr>
      </w:pPr>
      <w:r>
        <w:rPr>
          <w:rFonts w:hint="eastAsia" w:ascii="仿宋_GB2312" w:hAnsi="宋体" w:eastAsia="仿宋_GB2312"/>
        </w:rPr>
        <w:t>承包人不在约定期限内派人保修，发包人（或发包人的物业公司）可以委托他人维修，所需维修费用由承包人承担，直接从工程质量保证金冲抵，质量保证金不足以支付保修费用时，发包人有权进一步向承包人追索。</w:t>
      </w:r>
    </w:p>
    <w:p>
      <w:pPr>
        <w:pStyle w:val="107"/>
        <w:numPr>
          <w:ilvl w:val="0"/>
          <w:numId w:val="5"/>
        </w:numPr>
        <w:adjustRightInd w:val="0"/>
        <w:snapToGrid w:val="0"/>
        <w:spacing w:line="360" w:lineRule="auto"/>
        <w:ind w:left="19" w:leftChars="9" w:firstLine="396" w:firstLineChars="189"/>
        <w:rPr>
          <w:rFonts w:ascii="仿宋_GB2312" w:hAnsi="宋体" w:eastAsia="仿宋_GB2312"/>
        </w:rPr>
      </w:pPr>
      <w:r>
        <w:rPr>
          <w:rFonts w:hint="eastAsia" w:ascii="仿宋_GB2312" w:hAnsi="宋体" w:eastAsia="仿宋_GB2312"/>
        </w:rPr>
        <w:t>质量保修完成后，由发包人组织验收，由于承包人工程质量问题造成发包人和业主的全部和间接损失，由承包人无条件承担。</w:t>
      </w:r>
    </w:p>
    <w:p>
      <w:pPr>
        <w:pStyle w:val="107"/>
        <w:numPr>
          <w:ilvl w:val="0"/>
          <w:numId w:val="3"/>
        </w:numPr>
        <w:adjustRightInd w:val="0"/>
        <w:snapToGrid w:val="0"/>
        <w:spacing w:line="360" w:lineRule="auto"/>
        <w:ind w:left="19" w:leftChars="9" w:firstLine="396" w:firstLineChars="189"/>
        <w:rPr>
          <w:rFonts w:ascii="仿宋_GB2312" w:hAnsi="宋体" w:eastAsia="仿宋_GB2312"/>
        </w:rPr>
      </w:pPr>
      <w:r>
        <w:rPr>
          <w:rFonts w:hint="eastAsia" w:ascii="仿宋_GB2312" w:hAnsi="宋体" w:eastAsia="仿宋_GB2312"/>
        </w:rPr>
        <w:t>质量保证金的支付</w:t>
      </w:r>
    </w:p>
    <w:p>
      <w:pPr>
        <w:adjustRightInd w:val="0"/>
        <w:snapToGrid w:val="0"/>
        <w:spacing w:line="360" w:lineRule="auto"/>
        <w:ind w:left="19" w:leftChars="9" w:firstLine="396" w:firstLineChars="189"/>
        <w:rPr>
          <w:rFonts w:ascii="仿宋_GB2312" w:hAnsi="宋体" w:eastAsia="仿宋_GB2312"/>
          <w:szCs w:val="21"/>
        </w:rPr>
      </w:pPr>
      <w:r>
        <w:rPr>
          <w:rFonts w:hint="eastAsia" w:ascii="仿宋_GB2312" w:hAnsi="宋体" w:eastAsia="仿宋_GB2312"/>
          <w:szCs w:val="21"/>
        </w:rPr>
        <w:t>本工程约定的工程质量保证金为该工程结算价款的</w:t>
      </w:r>
      <w:r>
        <w:rPr>
          <w:rFonts w:hint="eastAsia" w:ascii="仿宋_GB2312" w:hAnsi="宋体" w:eastAsia="仿宋_GB2312"/>
          <w:szCs w:val="21"/>
          <w:u w:val="single"/>
        </w:rPr>
        <w:t xml:space="preserve">   3%   </w:t>
      </w:r>
      <w:r>
        <w:rPr>
          <w:rFonts w:hint="eastAsia" w:ascii="仿宋_GB2312" w:hAnsi="宋体" w:eastAsia="仿宋_GB2312"/>
          <w:szCs w:val="21"/>
        </w:rPr>
        <w:t>。</w:t>
      </w:r>
    </w:p>
    <w:p>
      <w:pPr>
        <w:pStyle w:val="107"/>
        <w:numPr>
          <w:ilvl w:val="0"/>
          <w:numId w:val="6"/>
        </w:numPr>
        <w:adjustRightInd w:val="0"/>
        <w:snapToGrid w:val="0"/>
        <w:spacing w:line="360" w:lineRule="auto"/>
        <w:ind w:hanging="60" w:firstLineChars="0"/>
        <w:rPr>
          <w:rFonts w:eastAsia="仿宋_GB2312"/>
          <w:kern w:val="0"/>
          <w:szCs w:val="32"/>
        </w:rPr>
      </w:pPr>
      <w:r>
        <w:rPr>
          <w:rFonts w:hint="eastAsia" w:eastAsia="仿宋_GB2312"/>
          <w:kern w:val="0"/>
          <w:szCs w:val="32"/>
        </w:rPr>
        <w:t>质量保证金的返还</w:t>
      </w:r>
    </w:p>
    <w:p>
      <w:pPr>
        <w:pStyle w:val="107"/>
        <w:numPr>
          <w:ilvl w:val="255"/>
          <w:numId w:val="0"/>
        </w:numPr>
        <w:adjustRightInd w:val="0"/>
        <w:snapToGrid w:val="0"/>
        <w:spacing w:line="360" w:lineRule="auto"/>
        <w:ind w:firstLine="420" w:firstLineChars="200"/>
        <w:rPr>
          <w:rFonts w:ascii="仿宋_GB2312" w:hAnsi="宋体" w:eastAsia="仿宋_GB2312"/>
        </w:rPr>
      </w:pPr>
      <w:r>
        <w:rPr>
          <w:rFonts w:hint="eastAsia" w:ascii="仿宋_GB2312" w:hAnsi="宋体" w:eastAsia="仿宋_GB2312"/>
        </w:rPr>
        <w:t>缺陷责任期满、完成本项目工程结算，且承包人已全部完成缺陷修复责任时，承包人向发包人申请到期退还质量保证金，发包人应在 30天内会同承包人按照合同、保修书约定的内容和相关法律法规规章核实承包人是否完成缺陷修复、整改责任。如无异议，发包人在核实后将剩余的质量保证金无息退还承包人。</w:t>
      </w:r>
    </w:p>
    <w:p>
      <w:pPr>
        <w:pStyle w:val="107"/>
        <w:numPr>
          <w:ilvl w:val="0"/>
          <w:numId w:val="6"/>
        </w:numPr>
        <w:adjustRightInd w:val="0"/>
        <w:snapToGrid w:val="0"/>
        <w:spacing w:line="360" w:lineRule="auto"/>
        <w:ind w:left="0" w:firstLine="420"/>
        <w:rPr>
          <w:rFonts w:eastAsia="仿宋_GB2312"/>
          <w:kern w:val="0"/>
          <w:szCs w:val="32"/>
        </w:rPr>
      </w:pPr>
      <w:r>
        <w:rPr>
          <w:rFonts w:hint="eastAsia" w:eastAsia="仿宋_GB2312"/>
          <w:kern w:val="0"/>
          <w:szCs w:val="32"/>
        </w:rPr>
        <w:t>缺陷责任期间，承包人未按《工程质量保修书》要求到场维修，发包人有权委托第三方维修，所需维修费用由承包人承担，直接从工程质量保证金冲抵，质量保证金不足以支付保修费用时，发包人有权进一步向承包人追索。</w:t>
      </w:r>
    </w:p>
    <w:p>
      <w:pPr>
        <w:pStyle w:val="107"/>
        <w:numPr>
          <w:ilvl w:val="0"/>
          <w:numId w:val="6"/>
        </w:numPr>
        <w:adjustRightInd w:val="0"/>
        <w:snapToGrid w:val="0"/>
        <w:spacing w:line="360" w:lineRule="auto"/>
        <w:ind w:left="0" w:firstLine="420"/>
        <w:rPr>
          <w:rFonts w:eastAsia="仿宋_GB2312"/>
          <w:kern w:val="0"/>
          <w:szCs w:val="32"/>
        </w:rPr>
      </w:pPr>
      <w:r>
        <w:rPr>
          <w:rFonts w:hint="eastAsia" w:eastAsia="仿宋_GB2312"/>
          <w:kern w:val="0"/>
          <w:szCs w:val="32"/>
        </w:rPr>
        <w:t>在缺陷责任期满时，承包人没有完成保修责任的，发包人有权要求延长缺陷责任期，直至完成缺陷修复工作为止。并有权主张质量</w:t>
      </w:r>
      <w:r>
        <w:rPr>
          <w:rFonts w:hint="eastAsia" w:ascii="仿宋_GB2312" w:hAnsi="宋体" w:eastAsia="仿宋_GB2312"/>
        </w:rPr>
        <w:t>保证金</w:t>
      </w:r>
      <w:r>
        <w:rPr>
          <w:rFonts w:hint="eastAsia" w:eastAsia="仿宋_GB2312"/>
          <w:kern w:val="0"/>
          <w:szCs w:val="32"/>
        </w:rPr>
        <w:t>项下的付款权利。</w:t>
      </w:r>
    </w:p>
    <w:p>
      <w:pPr>
        <w:pStyle w:val="107"/>
        <w:numPr>
          <w:ilvl w:val="0"/>
          <w:numId w:val="6"/>
        </w:numPr>
        <w:adjustRightInd w:val="0"/>
        <w:snapToGrid w:val="0"/>
        <w:spacing w:line="360" w:lineRule="auto"/>
        <w:ind w:left="0" w:firstLine="420"/>
      </w:pPr>
      <w:r>
        <w:rPr>
          <w:rFonts w:hint="eastAsia" w:eastAsia="仿宋_GB2312"/>
          <w:kern w:val="0"/>
          <w:szCs w:val="32"/>
        </w:rPr>
        <w:t>质量</w:t>
      </w:r>
      <w:r>
        <w:rPr>
          <w:rFonts w:hint="eastAsia" w:ascii="仿宋_GB2312" w:hAnsi="宋体" w:eastAsia="仿宋_GB2312"/>
        </w:rPr>
        <w:t>保证金</w:t>
      </w:r>
      <w:r>
        <w:rPr>
          <w:rFonts w:hint="eastAsia" w:eastAsia="仿宋_GB2312"/>
          <w:kern w:val="0"/>
          <w:szCs w:val="32"/>
        </w:rPr>
        <w:t>的退还并不表示承包人保修责任的结束，承包人仍须按照相关法律法规规章及本合同，包括但不限于专用条款的规定继续履行保修责任、质量责任。</w:t>
      </w:r>
    </w:p>
    <w:p>
      <w:pPr>
        <w:pStyle w:val="107"/>
        <w:numPr>
          <w:ilvl w:val="0"/>
          <w:numId w:val="6"/>
        </w:numPr>
        <w:adjustRightInd w:val="0"/>
        <w:snapToGrid w:val="0"/>
        <w:spacing w:line="360" w:lineRule="auto"/>
        <w:ind w:left="0" w:firstLine="420"/>
      </w:pPr>
      <w:r>
        <w:rPr>
          <w:rFonts w:hint="eastAsia" w:eastAsia="仿宋_GB2312"/>
          <w:kern w:val="0"/>
          <w:szCs w:val="32"/>
        </w:rPr>
        <w:t>其他</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双方约定的其他工程质量保修事项：</w:t>
      </w:r>
      <w:r>
        <w:rPr>
          <w:rFonts w:hint="eastAsia" w:ascii="仿宋_GB2312" w:hAnsi="宋体" w:eastAsia="仿宋_GB2312"/>
          <w:szCs w:val="21"/>
          <w:u w:val="single"/>
        </w:rPr>
        <w:t>另行协商</w:t>
      </w:r>
      <w:r>
        <w:rPr>
          <w:rFonts w:hint="eastAsia" w:ascii="仿宋_GB2312" w:hAnsi="宋体" w:eastAsia="仿宋_GB2312"/>
          <w:szCs w:val="21"/>
        </w:rPr>
        <w:t>。</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本工程质量保修书作为施工合同附件，由施工合同发包人承包人双方共同签署。</w:t>
      </w:r>
    </w:p>
    <w:p>
      <w:pPr>
        <w:adjustRightInd w:val="0"/>
        <w:snapToGrid w:val="0"/>
        <w:spacing w:line="360" w:lineRule="auto"/>
        <w:ind w:firstLine="420" w:firstLineChars="200"/>
        <w:rPr>
          <w:rFonts w:ascii="仿宋_GB2312" w:hAnsi="宋体" w:eastAsia="仿宋_GB2312"/>
          <w:szCs w:val="21"/>
        </w:rPr>
      </w:pP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发  包  人(公章)：                          承  包  人(公章)：</w:t>
      </w:r>
    </w:p>
    <w:p>
      <w:pPr>
        <w:adjustRightInd w:val="0"/>
        <w:snapToGrid w:val="0"/>
        <w:spacing w:line="360" w:lineRule="auto"/>
        <w:rPr>
          <w:rFonts w:ascii="仿宋_GB2312" w:hAnsi="宋体" w:eastAsia="仿宋_GB2312"/>
          <w:szCs w:val="21"/>
        </w:rPr>
      </w:pP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法定代表人或委托代理人(签署)：              法定代表人或委托代理人(签署)：</w:t>
      </w:r>
    </w:p>
    <w:p>
      <w:pPr>
        <w:adjustRightInd w:val="0"/>
        <w:snapToGrid w:val="0"/>
        <w:spacing w:line="360" w:lineRule="auto"/>
        <w:rPr>
          <w:rFonts w:ascii="仿宋_GB2312" w:hAnsi="宋体" w:eastAsia="仿宋_GB2312"/>
          <w:szCs w:val="21"/>
          <w:u w:val="single"/>
        </w:rPr>
      </w:pPr>
    </w:p>
    <w:p>
      <w:pPr>
        <w:adjustRightInd w:val="0"/>
        <w:snapToGrid w:val="0"/>
        <w:spacing w:line="360" w:lineRule="auto"/>
        <w:ind w:firstLine="1260" w:firstLineChars="600"/>
        <w:rPr>
          <w:rFonts w:ascii="仿宋_GB2312" w:hAnsi="宋体" w:eastAsia="仿宋_GB2312"/>
          <w:szCs w:val="21"/>
        </w:rPr>
      </w:pPr>
      <w:r>
        <w:rPr>
          <w:rFonts w:hint="eastAsia" w:ascii="仿宋_GB2312" w:hAnsi="宋体" w:eastAsia="仿宋_GB2312"/>
          <w:szCs w:val="21"/>
        </w:rPr>
        <w:t>年  月  日                                年  月  日</w:t>
      </w:r>
    </w:p>
    <w:p>
      <w:pPr>
        <w:spacing w:line="360" w:lineRule="auto"/>
        <w:jc w:val="left"/>
      </w:pPr>
    </w:p>
    <w:p>
      <w:pPr>
        <w:pStyle w:val="2"/>
        <w:spacing w:line="240" w:lineRule="auto"/>
        <w:rPr>
          <w:rFonts w:ascii="仿宋" w:hAnsi="仿宋" w:eastAsia="仿宋"/>
          <w:sz w:val="30"/>
          <w:szCs w:val="30"/>
        </w:rPr>
      </w:pPr>
      <w:r>
        <w:br w:type="page"/>
      </w:r>
      <w:bookmarkStart w:id="238" w:name="_Toc63618702"/>
      <w:bookmarkStart w:id="239" w:name="_Toc22912"/>
      <w:bookmarkStart w:id="240" w:name="_Toc7459"/>
      <w:bookmarkStart w:id="241" w:name="_Toc11990"/>
      <w:bookmarkStart w:id="242" w:name="_Toc44492633"/>
      <w:bookmarkStart w:id="243" w:name="_Toc44227956"/>
    </w:p>
    <w:p>
      <w:pPr>
        <w:pStyle w:val="2"/>
        <w:rPr>
          <w:rFonts w:ascii="仿宋" w:hAnsi="仿宋" w:eastAsia="仿宋"/>
          <w:sz w:val="30"/>
          <w:szCs w:val="30"/>
        </w:rPr>
      </w:pPr>
      <w:bookmarkStart w:id="244" w:name="_Toc20266"/>
      <w:bookmarkStart w:id="245" w:name="_Toc7924"/>
      <w:bookmarkStart w:id="246" w:name="_Toc26951"/>
      <w:bookmarkStart w:id="247" w:name="_Toc5257"/>
      <w:bookmarkStart w:id="248" w:name="_Toc91613495"/>
      <w:bookmarkStart w:id="249" w:name="_Toc14003"/>
      <w:r>
        <w:rPr>
          <w:rFonts w:hint="eastAsia" w:ascii="仿宋" w:hAnsi="仿宋" w:eastAsia="仿宋"/>
          <w:sz w:val="30"/>
          <w:szCs w:val="30"/>
        </w:rPr>
        <w:t>附件6 已标价工程量清单（另册）</w:t>
      </w:r>
      <w:bookmarkEnd w:id="238"/>
      <w:bookmarkEnd w:id="239"/>
      <w:bookmarkEnd w:id="244"/>
      <w:bookmarkEnd w:id="245"/>
      <w:bookmarkEnd w:id="246"/>
      <w:bookmarkEnd w:id="247"/>
      <w:bookmarkEnd w:id="248"/>
      <w:bookmarkEnd w:id="249"/>
    </w:p>
    <w:bookmarkEnd w:id="240"/>
    <w:bookmarkEnd w:id="241"/>
    <w:bookmarkEnd w:id="242"/>
    <w:bookmarkEnd w:id="243"/>
    <w:p>
      <w:pPr>
        <w:pStyle w:val="2"/>
        <w:rPr>
          <w:rFonts w:ascii="仿宋" w:hAnsi="仿宋" w:eastAsia="仿宋"/>
          <w:bCs w:val="0"/>
          <w:sz w:val="30"/>
          <w:szCs w:val="30"/>
        </w:rPr>
      </w:pPr>
      <w:bookmarkStart w:id="250" w:name="_Toc27457"/>
      <w:bookmarkStart w:id="251" w:name="_Toc20409"/>
      <w:bookmarkStart w:id="252" w:name="_Toc63618710"/>
      <w:bookmarkStart w:id="253" w:name="_Toc3963"/>
      <w:bookmarkStart w:id="254" w:name="_Toc91613496"/>
      <w:bookmarkStart w:id="255" w:name="_Toc12003"/>
      <w:bookmarkStart w:id="256" w:name="_Toc10641"/>
      <w:bookmarkStart w:id="257" w:name="_Toc4345"/>
      <w:r>
        <w:rPr>
          <w:rFonts w:hint="eastAsia" w:ascii="仿宋" w:hAnsi="仿宋" w:eastAsia="仿宋"/>
          <w:bCs w:val="0"/>
          <w:sz w:val="30"/>
          <w:szCs w:val="30"/>
        </w:rPr>
        <w:t>附件7 图纸目录</w:t>
      </w:r>
      <w:bookmarkEnd w:id="250"/>
      <w:r>
        <w:rPr>
          <w:rFonts w:hint="eastAsia" w:ascii="仿宋" w:hAnsi="仿宋" w:eastAsia="仿宋"/>
          <w:bCs w:val="0"/>
          <w:sz w:val="30"/>
          <w:szCs w:val="30"/>
        </w:rPr>
        <w:t>（另册）</w:t>
      </w:r>
      <w:bookmarkEnd w:id="251"/>
      <w:bookmarkEnd w:id="252"/>
      <w:bookmarkEnd w:id="253"/>
      <w:bookmarkEnd w:id="254"/>
      <w:bookmarkEnd w:id="255"/>
      <w:bookmarkEnd w:id="256"/>
      <w:bookmarkEnd w:id="257"/>
    </w:p>
    <w:p>
      <w:pPr>
        <w:pStyle w:val="2"/>
        <w:rPr>
          <w:rFonts w:ascii="仿宋" w:hAnsi="仿宋" w:eastAsia="仿宋"/>
          <w:sz w:val="30"/>
          <w:szCs w:val="30"/>
        </w:rPr>
      </w:pPr>
      <w:bookmarkStart w:id="258" w:name="_Toc6253"/>
      <w:bookmarkStart w:id="259" w:name="_Toc7845"/>
      <w:bookmarkStart w:id="260" w:name="_Toc6087"/>
      <w:bookmarkStart w:id="261" w:name="_Toc63618715"/>
      <w:bookmarkStart w:id="262" w:name="_Toc3411"/>
      <w:bookmarkStart w:id="263" w:name="_Toc28123"/>
      <w:bookmarkStart w:id="264" w:name="_Toc29897"/>
      <w:bookmarkStart w:id="265" w:name="_Toc91613497"/>
      <w:r>
        <w:rPr>
          <w:rFonts w:hint="eastAsia" w:ascii="仿宋" w:hAnsi="仿宋" w:eastAsia="仿宋"/>
          <w:bCs w:val="0"/>
          <w:sz w:val="30"/>
          <w:szCs w:val="30"/>
        </w:rPr>
        <w:t>附件</w:t>
      </w:r>
      <w:r>
        <w:rPr>
          <w:rFonts w:hint="eastAsia" w:ascii="仿宋" w:hAnsi="仿宋" w:eastAsia="仿宋"/>
          <w:sz w:val="30"/>
          <w:szCs w:val="30"/>
        </w:rPr>
        <w:t>8 项目管理班子及其他管理人员配备情况表</w:t>
      </w:r>
      <w:bookmarkEnd w:id="258"/>
      <w:r>
        <w:rPr>
          <w:rFonts w:hint="eastAsia" w:ascii="仿宋" w:hAnsi="仿宋" w:eastAsia="仿宋"/>
          <w:sz w:val="30"/>
          <w:szCs w:val="30"/>
        </w:rPr>
        <w:t>（按投标文件）</w:t>
      </w:r>
      <w:bookmarkEnd w:id="259"/>
      <w:bookmarkEnd w:id="260"/>
      <w:bookmarkEnd w:id="261"/>
      <w:bookmarkEnd w:id="262"/>
      <w:bookmarkEnd w:id="263"/>
      <w:bookmarkEnd w:id="264"/>
      <w:bookmarkEnd w:id="265"/>
    </w:p>
    <w:p>
      <w:pPr>
        <w:pStyle w:val="2"/>
        <w:rPr>
          <w:rFonts w:ascii="仿宋" w:hAnsi="仿宋" w:eastAsia="仿宋"/>
          <w:bCs w:val="0"/>
          <w:sz w:val="30"/>
          <w:szCs w:val="30"/>
        </w:rPr>
      </w:pPr>
      <w:bookmarkStart w:id="266" w:name="_Toc29346"/>
      <w:bookmarkStart w:id="267" w:name="_Toc63618716"/>
      <w:bookmarkStart w:id="268" w:name="_Toc91613498"/>
      <w:bookmarkStart w:id="269" w:name="_Toc9495"/>
      <w:bookmarkStart w:id="270" w:name="_Toc25063"/>
      <w:bookmarkStart w:id="271" w:name="_Toc1006"/>
      <w:bookmarkStart w:id="272" w:name="_Toc9103"/>
      <w:bookmarkStart w:id="273" w:name="_Toc26513"/>
      <w:r>
        <w:rPr>
          <w:rFonts w:hint="eastAsia" w:ascii="Cambria" w:hAnsi="Cambria"/>
          <w:bCs w:val="0"/>
          <w:sz w:val="30"/>
          <w:szCs w:val="30"/>
        </w:rPr>
        <w:t>附件</w:t>
      </w:r>
      <w:r>
        <w:rPr>
          <w:rFonts w:hint="eastAsia" w:ascii="仿宋" w:hAnsi="仿宋" w:eastAsia="仿宋"/>
          <w:sz w:val="30"/>
          <w:szCs w:val="30"/>
        </w:rPr>
        <w:t>9 主要</w:t>
      </w:r>
      <w:r>
        <w:rPr>
          <w:rFonts w:hint="eastAsia" w:ascii="Cambria" w:hAnsi="Cambria"/>
          <w:bCs w:val="0"/>
          <w:sz w:val="30"/>
          <w:szCs w:val="30"/>
        </w:rPr>
        <w:t>施工机械设备表</w:t>
      </w:r>
      <w:bookmarkEnd w:id="266"/>
      <w:r>
        <w:rPr>
          <w:rFonts w:hint="eastAsia" w:ascii="Cambria" w:hAnsi="Cambria"/>
          <w:bCs w:val="0"/>
          <w:sz w:val="30"/>
          <w:szCs w:val="30"/>
        </w:rPr>
        <w:t>（</w:t>
      </w:r>
      <w:r>
        <w:rPr>
          <w:rFonts w:hint="eastAsia" w:ascii="Cambria" w:hAnsi="Cambria"/>
          <w:bCs w:val="0"/>
          <w:sz w:val="30"/>
          <w:szCs w:val="30"/>
          <w:lang w:val="en-US" w:eastAsia="zh-CN"/>
        </w:rPr>
        <w:t>无</w:t>
      </w:r>
      <w:r>
        <w:rPr>
          <w:rFonts w:hint="eastAsia" w:ascii="Cambria" w:hAnsi="Cambria"/>
          <w:bCs w:val="0"/>
          <w:sz w:val="30"/>
          <w:szCs w:val="30"/>
        </w:rPr>
        <w:t>）</w:t>
      </w:r>
      <w:bookmarkEnd w:id="267"/>
      <w:bookmarkEnd w:id="268"/>
      <w:bookmarkEnd w:id="269"/>
      <w:bookmarkEnd w:id="270"/>
      <w:bookmarkEnd w:id="271"/>
      <w:bookmarkEnd w:id="272"/>
      <w:bookmarkEnd w:id="273"/>
    </w:p>
    <w:p>
      <w:pPr>
        <w:spacing w:line="360" w:lineRule="auto"/>
        <w:rPr>
          <w:rFonts w:ascii="仿宋" w:hAnsi="仿宋" w:eastAsia="仿宋" w:cs="宋体"/>
        </w:rPr>
      </w:pPr>
    </w:p>
    <w:p>
      <w:pPr>
        <w:widowControl/>
        <w:jc w:val="left"/>
        <w:rPr>
          <w:rFonts w:ascii="仿宋" w:hAnsi="仿宋" w:eastAsia="仿宋" w:cs="宋体"/>
        </w:rPr>
      </w:pPr>
      <w:r>
        <w:rPr>
          <w:rFonts w:ascii="仿宋" w:hAnsi="仿宋" w:eastAsia="仿宋" w:cs="宋体"/>
        </w:rPr>
        <w:br w:type="page"/>
      </w:r>
    </w:p>
    <w:p>
      <w:pPr>
        <w:pStyle w:val="52"/>
        <w:ind w:firstLine="0" w:firstLineChars="0"/>
        <w:rPr>
          <w:color w:val="auto"/>
        </w:rPr>
        <w:sectPr>
          <w:headerReference r:id="rId18" w:type="first"/>
          <w:footerReference r:id="rId21" w:type="first"/>
          <w:headerReference r:id="rId16" w:type="default"/>
          <w:footerReference r:id="rId19" w:type="default"/>
          <w:headerReference r:id="rId17" w:type="even"/>
          <w:footerReference r:id="rId20" w:type="even"/>
          <w:pgSz w:w="11906" w:h="16838"/>
          <w:pgMar w:top="1134" w:right="1418" w:bottom="1134" w:left="1701" w:header="851" w:footer="992" w:gutter="0"/>
          <w:cols w:space="720" w:num="1"/>
          <w:titlePg/>
          <w:docGrid w:linePitch="312" w:charSpace="0"/>
        </w:sectPr>
      </w:pPr>
    </w:p>
    <w:p>
      <w:pPr>
        <w:pStyle w:val="2"/>
        <w:spacing w:before="0" w:after="0" w:line="240" w:lineRule="auto"/>
        <w:rPr>
          <w:rFonts w:ascii="仿宋" w:hAnsi="仿宋" w:eastAsia="仿宋"/>
          <w:sz w:val="28"/>
          <w:szCs w:val="28"/>
        </w:rPr>
      </w:pPr>
      <w:bookmarkStart w:id="274" w:name="_Toc23405"/>
      <w:bookmarkStart w:id="275" w:name="_Toc7940"/>
      <w:bookmarkStart w:id="276" w:name="_Toc9925"/>
      <w:bookmarkStart w:id="277" w:name="_Toc13458"/>
      <w:r>
        <w:rPr>
          <w:rFonts w:hint="eastAsia" w:ascii="仿宋" w:hAnsi="仿宋" w:eastAsia="仿宋"/>
          <w:sz w:val="28"/>
          <w:szCs w:val="28"/>
        </w:rPr>
        <w:t>附件10 安全生产不良行为扣分条款</w:t>
      </w:r>
      <w:bookmarkEnd w:id="274"/>
      <w:bookmarkEnd w:id="275"/>
      <w:bookmarkEnd w:id="276"/>
      <w:bookmarkEnd w:id="277"/>
    </w:p>
    <w:p/>
    <w:p>
      <w:pPr>
        <w:jc w:val="center"/>
      </w:pPr>
      <w:r>
        <w:rPr>
          <w:rFonts w:hint="eastAsia"/>
          <w:b/>
          <w:sz w:val="28"/>
          <w:szCs w:val="28"/>
        </w:rPr>
        <w:t>广东粤海控股集团有限公司工程建设承包商安全生产不良行为扣分条款</w:t>
      </w:r>
    </w:p>
    <w:tbl>
      <w:tblPr>
        <w:tblStyle w:val="37"/>
        <w:tblW w:w="14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3563"/>
        <w:gridCol w:w="851"/>
        <w:gridCol w:w="1134"/>
        <w:gridCol w:w="708"/>
        <w:gridCol w:w="7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序号</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不良行为现象</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不良行为代码</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责任承包商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扣分</w:t>
            </w:r>
            <w:r>
              <w:rPr>
                <w:rFonts w:hint="eastAsia"/>
                <w:bCs/>
                <w:sz w:val="20"/>
                <w:szCs w:val="20"/>
              </w:rPr>
              <w:br w:type="textWrapping"/>
            </w:r>
            <w:r>
              <w:rPr>
                <w:rFonts w:hint="eastAsia"/>
                <w:bCs/>
                <w:sz w:val="20"/>
                <w:szCs w:val="20"/>
              </w:rPr>
              <w:t>上限</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扣分细则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承包商主要管理人员现场管理缺位。</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1</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施工单位项目经理、监理单位项目总监理师驻施工现场时间少于合同约定时间，安全管理缺位扣1分。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2</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未建立安全生产责任制；监理单位、施工单位管理人员未持证上岗，或证书与岗位不对应；特种作业人员未持证上岗；作业人员进场前未经现场安全教育培训合格即上岗作业。</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1</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1、施工、监理项目部未建立安全生产责任制，扣1分。</w:t>
            </w:r>
            <w:r>
              <w:rPr>
                <w:rFonts w:hint="eastAsia"/>
                <w:bCs/>
                <w:sz w:val="20"/>
                <w:szCs w:val="20"/>
              </w:rPr>
              <w:br w:type="textWrapping"/>
            </w:r>
            <w:r>
              <w:rPr>
                <w:rFonts w:hint="eastAsia"/>
                <w:bCs/>
                <w:sz w:val="20"/>
                <w:szCs w:val="20"/>
              </w:rPr>
              <w:t>2、现场总监理师未持有国家或行业相应资格证书每人每次扣1分；资格证书失效，每人每次扣0.5分。</w:t>
            </w:r>
            <w:r>
              <w:rPr>
                <w:rFonts w:hint="eastAsia"/>
                <w:bCs/>
                <w:sz w:val="20"/>
                <w:szCs w:val="20"/>
              </w:rPr>
              <w:br w:type="textWrapping"/>
            </w:r>
            <w:r>
              <w:rPr>
                <w:rFonts w:hint="eastAsia"/>
                <w:bCs/>
                <w:sz w:val="20"/>
                <w:szCs w:val="20"/>
              </w:rPr>
              <w:t>3、需持证上岗的现场监理工程师、监理员未持有国家或行业相应资格证书或证书失效，每人每次扣0.2分。</w:t>
            </w:r>
            <w:r>
              <w:rPr>
                <w:rFonts w:hint="eastAsia"/>
                <w:bCs/>
                <w:sz w:val="20"/>
                <w:szCs w:val="20"/>
              </w:rPr>
              <w:br w:type="textWrapping"/>
            </w:r>
            <w:r>
              <w:rPr>
                <w:rFonts w:hint="eastAsia"/>
                <w:bCs/>
                <w:sz w:val="20"/>
                <w:szCs w:val="20"/>
              </w:rPr>
              <w:t>4、施工单位项目经理未持有相应的注册建造师资格证书每人每次扣1分；资格证书失效，每人每次扣0.5分。</w:t>
            </w:r>
            <w:r>
              <w:rPr>
                <w:rFonts w:hint="eastAsia"/>
                <w:bCs/>
                <w:sz w:val="20"/>
                <w:szCs w:val="20"/>
              </w:rPr>
              <w:br w:type="textWrapping"/>
            </w:r>
            <w:r>
              <w:rPr>
                <w:rFonts w:hint="eastAsia"/>
                <w:bCs/>
                <w:sz w:val="20"/>
                <w:szCs w:val="20"/>
              </w:rPr>
              <w:t>5、施工单位安全员未持有相应资格证书或证书失效，或与岗位不对应，每人每次扣0.2分。</w:t>
            </w:r>
            <w:r>
              <w:rPr>
                <w:rFonts w:hint="eastAsia"/>
                <w:bCs/>
                <w:sz w:val="20"/>
                <w:szCs w:val="20"/>
              </w:rPr>
              <w:br w:type="textWrapping"/>
            </w:r>
            <w:r>
              <w:rPr>
                <w:rFonts w:hint="eastAsia"/>
                <w:bCs/>
                <w:sz w:val="20"/>
                <w:szCs w:val="20"/>
              </w:rPr>
              <w:t>6、施工单位特殊工种人员未持有执业资格证书或证书失效，或与岗位不对应，每人每次扣0.2分。</w:t>
            </w:r>
            <w:r>
              <w:rPr>
                <w:rFonts w:hint="eastAsia"/>
                <w:bCs/>
                <w:sz w:val="20"/>
                <w:szCs w:val="20"/>
              </w:rPr>
              <w:br w:type="textWrapping"/>
            </w:r>
            <w:r>
              <w:rPr>
                <w:rFonts w:hint="eastAsia"/>
                <w:bCs/>
                <w:sz w:val="20"/>
                <w:szCs w:val="20"/>
              </w:rPr>
              <w:t>7、作业现场未进行安全技术交底，每人每次扣0.2分。</w:t>
            </w:r>
            <w:r>
              <w:rPr>
                <w:rFonts w:hint="eastAsia"/>
                <w:bCs/>
                <w:sz w:val="20"/>
                <w:szCs w:val="20"/>
              </w:rPr>
              <w:br w:type="textWrapping"/>
            </w:r>
            <w:r>
              <w:rPr>
                <w:rFonts w:hint="eastAsia"/>
                <w:bCs/>
                <w:sz w:val="20"/>
                <w:szCs w:val="20"/>
              </w:rPr>
              <w:t>8、监理日志/监理日记不健全或未及时发现现场重大安全隐患并提出整改要求的，每次扣0.1分。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3</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施工机具（含特种设备）管理不规范或使用违反操作规程。</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1</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bCs/>
                <w:sz w:val="20"/>
                <w:szCs w:val="20"/>
              </w:rPr>
              <w:t>1</w:t>
            </w:r>
            <w:r>
              <w:rPr>
                <w:rFonts w:hint="eastAsia"/>
                <w:bCs/>
                <w:sz w:val="20"/>
                <w:szCs w:val="20"/>
              </w:rPr>
              <w:t>、特种设备出现以下任一不良行为的，扣</w:t>
            </w:r>
            <w:r>
              <w:rPr>
                <w:bCs/>
                <w:sz w:val="20"/>
                <w:szCs w:val="20"/>
              </w:rPr>
              <w:t>1</w:t>
            </w:r>
            <w:r>
              <w:rPr>
                <w:rFonts w:hint="eastAsia"/>
                <w:bCs/>
                <w:sz w:val="20"/>
                <w:szCs w:val="20"/>
              </w:rPr>
              <w:t>分：</w:t>
            </w:r>
            <w:r>
              <w:rPr>
                <w:bCs/>
                <w:sz w:val="20"/>
                <w:szCs w:val="20"/>
              </w:rPr>
              <w:br w:type="textWrapping"/>
            </w:r>
            <w:r>
              <w:rPr>
                <w:rFonts w:hint="eastAsia"/>
                <w:bCs/>
                <w:sz w:val="20"/>
                <w:szCs w:val="20"/>
              </w:rPr>
              <w:t>①进场未报审、未定期进行检查、维护保养和检验（检测）；</w:t>
            </w:r>
            <w:r>
              <w:rPr>
                <w:bCs/>
                <w:sz w:val="20"/>
                <w:szCs w:val="20"/>
              </w:rPr>
              <w:br w:type="textWrapping"/>
            </w:r>
            <w:r>
              <w:rPr>
                <w:rFonts w:hint="eastAsia"/>
                <w:bCs/>
                <w:sz w:val="20"/>
                <w:szCs w:val="20"/>
              </w:rPr>
              <w:t>②安装和拆卸单位不具备资质；安装、拆卸方案未经审查；</w:t>
            </w:r>
            <w:r>
              <w:rPr>
                <w:bCs/>
                <w:sz w:val="20"/>
                <w:szCs w:val="20"/>
              </w:rPr>
              <w:br w:type="textWrapping"/>
            </w:r>
            <w:r>
              <w:rPr>
                <w:rFonts w:hint="eastAsia"/>
                <w:bCs/>
                <w:sz w:val="20"/>
                <w:szCs w:val="20"/>
              </w:rPr>
              <w:t>③未办理使用登记证。</w:t>
            </w:r>
            <w:r>
              <w:rPr>
                <w:bCs/>
                <w:sz w:val="20"/>
                <w:szCs w:val="20"/>
              </w:rPr>
              <w:br w:type="textWrapping"/>
            </w:r>
            <w:r>
              <w:rPr>
                <w:bCs/>
                <w:sz w:val="20"/>
                <w:szCs w:val="20"/>
              </w:rPr>
              <w:t>2</w:t>
            </w:r>
            <w:r>
              <w:rPr>
                <w:rFonts w:hint="eastAsia"/>
                <w:bCs/>
                <w:sz w:val="20"/>
                <w:szCs w:val="20"/>
              </w:rPr>
              <w:t>、施工升降机、起重机械、手拉葫芦、手扳葫芦、钢丝绳套、卡线器、紧线器等受力机具、工器具未按要求进行检验、校验的，每项扣</w:t>
            </w:r>
            <w:r>
              <w:rPr>
                <w:bCs/>
                <w:sz w:val="20"/>
                <w:szCs w:val="20"/>
              </w:rPr>
              <w:t>0.2</w:t>
            </w:r>
            <w:r>
              <w:rPr>
                <w:rFonts w:hint="eastAsia"/>
                <w:bCs/>
                <w:sz w:val="20"/>
                <w:szCs w:val="20"/>
              </w:rPr>
              <w:t>分，累计扣至</w:t>
            </w:r>
            <w:r>
              <w:rPr>
                <w:bCs/>
                <w:sz w:val="20"/>
                <w:szCs w:val="20"/>
              </w:rPr>
              <w:t>1</w:t>
            </w:r>
            <w:r>
              <w:rPr>
                <w:rFonts w:hint="eastAsia"/>
                <w:bCs/>
                <w:sz w:val="20"/>
                <w:szCs w:val="20"/>
              </w:rPr>
              <w:t>分为止。</w:t>
            </w:r>
            <w:r>
              <w:rPr>
                <w:bCs/>
                <w:sz w:val="20"/>
                <w:szCs w:val="20"/>
              </w:rPr>
              <w:br w:type="textWrapping"/>
            </w:r>
            <w:r>
              <w:rPr>
                <w:bCs/>
                <w:sz w:val="20"/>
                <w:szCs w:val="20"/>
              </w:rPr>
              <w:t>3</w:t>
            </w:r>
            <w:r>
              <w:rPr>
                <w:rFonts w:hint="eastAsia"/>
                <w:bCs/>
                <w:sz w:val="20"/>
                <w:szCs w:val="20"/>
              </w:rPr>
              <w:t>、砂轮片、切割机、锯木机刀片等有裂纹、破损仍在使用；机械转动部分保护罩破损或缺失，每项扣</w:t>
            </w:r>
            <w:r>
              <w:rPr>
                <w:bCs/>
                <w:sz w:val="20"/>
                <w:szCs w:val="20"/>
              </w:rPr>
              <w:t>0.2</w:t>
            </w:r>
            <w:r>
              <w:rPr>
                <w:rFonts w:hint="eastAsia"/>
                <w:bCs/>
                <w:sz w:val="20"/>
                <w:szCs w:val="20"/>
              </w:rPr>
              <w:t>分，累计扣至</w:t>
            </w:r>
            <w:r>
              <w:rPr>
                <w:bCs/>
                <w:sz w:val="20"/>
                <w:szCs w:val="20"/>
              </w:rPr>
              <w:t>1</w:t>
            </w:r>
            <w:r>
              <w:rPr>
                <w:rFonts w:hint="eastAsia"/>
                <w:bCs/>
                <w:sz w:val="20"/>
                <w:szCs w:val="20"/>
              </w:rPr>
              <w:t>分为止。</w:t>
            </w:r>
            <w:r>
              <w:rPr>
                <w:bCs/>
                <w:sz w:val="20"/>
                <w:szCs w:val="20"/>
              </w:rPr>
              <w:br w:type="textWrapping"/>
            </w:r>
            <w:r>
              <w:rPr>
                <w:bCs/>
                <w:sz w:val="20"/>
                <w:szCs w:val="20"/>
              </w:rPr>
              <w:t>4</w:t>
            </w:r>
            <w:r>
              <w:rPr>
                <w:rFonts w:hint="eastAsia"/>
                <w:bCs/>
                <w:sz w:val="20"/>
                <w:szCs w:val="20"/>
              </w:rPr>
              <w:t>、邻近带电设备施工时，现场处于使用状态的施工机械（具）和设备无人看护，对运行设备构成安全隐患，扣</w:t>
            </w:r>
            <w:r>
              <w:rPr>
                <w:bCs/>
                <w:sz w:val="20"/>
                <w:szCs w:val="20"/>
              </w:rPr>
              <w:t>1</w:t>
            </w:r>
            <w:r>
              <w:rPr>
                <w:rFonts w:hint="eastAsia"/>
                <w:bCs/>
                <w:sz w:val="20"/>
                <w:szCs w:val="20"/>
              </w:rPr>
              <w:t>分。</w:t>
            </w:r>
          </w:p>
          <w:p>
            <w:pPr>
              <w:rPr>
                <w:bCs/>
                <w:sz w:val="20"/>
                <w:szCs w:val="20"/>
              </w:rPr>
            </w:pPr>
            <w:r>
              <w:rPr>
                <w:bCs/>
                <w:sz w:val="20"/>
                <w:szCs w:val="20"/>
              </w:rPr>
              <w:t>5</w:t>
            </w:r>
            <w:r>
              <w:rPr>
                <w:rFonts w:hint="eastAsia"/>
                <w:bCs/>
                <w:sz w:val="20"/>
                <w:szCs w:val="20"/>
              </w:rPr>
              <w:t>、操作施工机具时违反操作规程，每次扣</w:t>
            </w:r>
            <w:r>
              <w:rPr>
                <w:bCs/>
                <w:sz w:val="20"/>
                <w:szCs w:val="20"/>
              </w:rPr>
              <w:t>0.2</w:t>
            </w:r>
            <w:r>
              <w:rPr>
                <w:rFonts w:hint="eastAsia"/>
                <w:bCs/>
                <w:sz w:val="20"/>
                <w:szCs w:val="20"/>
              </w:rPr>
              <w:t>分。</w:t>
            </w:r>
            <w:r>
              <w:rPr>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4</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作业人员个人防护用品配备或使用不符合要求。</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bCs/>
                <w:sz w:val="20"/>
                <w:szCs w:val="20"/>
              </w:rPr>
              <w:t>1</w:t>
            </w:r>
            <w:r>
              <w:rPr>
                <w:rFonts w:hint="eastAsia"/>
                <w:bCs/>
                <w:sz w:val="20"/>
                <w:szCs w:val="20"/>
              </w:rPr>
              <w:t>、出现以下任一不良行为扣</w:t>
            </w:r>
            <w:r>
              <w:rPr>
                <w:bCs/>
                <w:sz w:val="20"/>
                <w:szCs w:val="20"/>
              </w:rPr>
              <w:t>0.1</w:t>
            </w:r>
            <w:r>
              <w:rPr>
                <w:rFonts w:hint="eastAsia"/>
                <w:bCs/>
                <w:sz w:val="20"/>
                <w:szCs w:val="20"/>
              </w:rPr>
              <w:t>分：</w:t>
            </w:r>
            <w:r>
              <w:rPr>
                <w:bCs/>
                <w:sz w:val="20"/>
                <w:szCs w:val="20"/>
              </w:rPr>
              <w:br w:type="textWrapping"/>
            </w:r>
            <w:r>
              <w:rPr>
                <w:rFonts w:hint="eastAsia"/>
                <w:bCs/>
                <w:sz w:val="20"/>
                <w:szCs w:val="20"/>
              </w:rPr>
              <w:t>①用人单位未按规定给作业人员配备合格的安全帽、安全带、劳保鞋等防护用品；</w:t>
            </w:r>
            <w:r>
              <w:rPr>
                <w:bCs/>
                <w:sz w:val="20"/>
                <w:szCs w:val="20"/>
              </w:rPr>
              <w:br w:type="textWrapping"/>
            </w:r>
            <w:r>
              <w:rPr>
                <w:rFonts w:hint="eastAsia"/>
                <w:bCs/>
                <w:sz w:val="20"/>
                <w:szCs w:val="20"/>
              </w:rPr>
              <w:t>②个人防护用品未进行定期检验。</w:t>
            </w:r>
            <w:r>
              <w:rPr>
                <w:bCs/>
                <w:sz w:val="20"/>
                <w:szCs w:val="20"/>
              </w:rPr>
              <w:br w:type="textWrapping"/>
            </w:r>
            <w:r>
              <w:rPr>
                <w:bCs/>
                <w:sz w:val="20"/>
                <w:szCs w:val="20"/>
              </w:rPr>
              <w:t>2</w:t>
            </w:r>
            <w:r>
              <w:rPr>
                <w:rFonts w:hint="eastAsia"/>
                <w:bCs/>
                <w:sz w:val="20"/>
                <w:szCs w:val="20"/>
              </w:rPr>
              <w:t>、施工人员未佩戴劳动防护用品或与作业任务不符，每处扣</w:t>
            </w:r>
            <w:r>
              <w:rPr>
                <w:bCs/>
                <w:sz w:val="20"/>
                <w:szCs w:val="20"/>
              </w:rPr>
              <w:t>0.1</w:t>
            </w:r>
            <w:r>
              <w:rPr>
                <w:rFonts w:hint="eastAsia"/>
                <w:bCs/>
                <w:sz w:val="20"/>
                <w:szCs w:val="20"/>
              </w:rPr>
              <w:t>分。</w:t>
            </w:r>
            <w:r>
              <w:rPr>
                <w:bCs/>
                <w:sz w:val="20"/>
                <w:szCs w:val="20"/>
              </w:rPr>
              <w:br w:type="textWrapping"/>
            </w:r>
            <w:r>
              <w:rPr>
                <w:bCs/>
                <w:sz w:val="20"/>
                <w:szCs w:val="20"/>
              </w:rPr>
              <w:t>3</w:t>
            </w:r>
            <w:r>
              <w:rPr>
                <w:rFonts w:hint="eastAsia"/>
                <w:bCs/>
                <w:sz w:val="20"/>
                <w:szCs w:val="20"/>
              </w:rPr>
              <w:t>、施工人员使用个人防护用品不规范，每处扣</w:t>
            </w:r>
            <w:r>
              <w:rPr>
                <w:bCs/>
                <w:sz w:val="20"/>
                <w:szCs w:val="20"/>
              </w:rPr>
              <w:t>0.1</w:t>
            </w:r>
            <w:r>
              <w:rPr>
                <w:rFonts w:hint="eastAsia"/>
                <w:bCs/>
                <w:sz w:val="20"/>
                <w:szCs w:val="20"/>
              </w:rPr>
              <w:t>分。</w:t>
            </w:r>
            <w:r>
              <w:rPr>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5</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起重吊装区域未设警戒标志、无专人指挥；吊件或起重臂下方有人通过或逗留。</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0.5</w:t>
            </w:r>
            <w:r>
              <w:rPr>
                <w:rFonts w:hint="eastAsia"/>
                <w:bCs/>
                <w:sz w:val="20"/>
                <w:szCs w:val="20"/>
              </w:rPr>
              <w:t>分：</w:t>
            </w:r>
            <w:r>
              <w:rPr>
                <w:bCs/>
                <w:sz w:val="20"/>
                <w:szCs w:val="20"/>
              </w:rPr>
              <w:br w:type="textWrapping"/>
            </w:r>
            <w:r>
              <w:rPr>
                <w:rFonts w:hint="eastAsia"/>
                <w:bCs/>
                <w:sz w:val="20"/>
                <w:szCs w:val="20"/>
              </w:rPr>
              <w:t>①起重吊装区域未设警戒线（围栏或隔离带）和悬挂警示标志；</w:t>
            </w:r>
            <w:r>
              <w:rPr>
                <w:bCs/>
                <w:sz w:val="20"/>
                <w:szCs w:val="20"/>
              </w:rPr>
              <w:br w:type="textWrapping"/>
            </w:r>
            <w:r>
              <w:rPr>
                <w:rFonts w:hint="eastAsia"/>
                <w:bCs/>
                <w:sz w:val="20"/>
                <w:szCs w:val="20"/>
              </w:rPr>
              <w:t>②起重吊装作业相关岗位职责不清，分工不明；</w:t>
            </w:r>
            <w:r>
              <w:rPr>
                <w:bCs/>
                <w:sz w:val="20"/>
                <w:szCs w:val="20"/>
              </w:rPr>
              <w:br w:type="textWrapping"/>
            </w:r>
            <w:r>
              <w:rPr>
                <w:rFonts w:hint="eastAsia"/>
                <w:bCs/>
                <w:sz w:val="20"/>
                <w:szCs w:val="20"/>
              </w:rPr>
              <w:t>③起重吊装作业未设专人指挥；</w:t>
            </w:r>
            <w:r>
              <w:rPr>
                <w:bCs/>
                <w:sz w:val="20"/>
                <w:szCs w:val="20"/>
              </w:rPr>
              <w:br w:type="textWrapping"/>
            </w:r>
            <w:r>
              <w:rPr>
                <w:rFonts w:hint="eastAsia"/>
                <w:bCs/>
                <w:sz w:val="20"/>
                <w:szCs w:val="20"/>
              </w:rPr>
              <w:t>④吊件或起重臂下方有人逗留或通过。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6</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脚手架搭设和拆除、使用、管理不规范。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G6</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0.5</w:t>
            </w:r>
            <w:r>
              <w:rPr>
                <w:rFonts w:hint="eastAsia"/>
                <w:bCs/>
                <w:sz w:val="20"/>
                <w:szCs w:val="20"/>
              </w:rPr>
              <w:t>分：</w:t>
            </w:r>
            <w:r>
              <w:rPr>
                <w:bCs/>
                <w:sz w:val="20"/>
                <w:szCs w:val="20"/>
              </w:rPr>
              <w:br w:type="textWrapping"/>
            </w:r>
            <w:r>
              <w:rPr>
                <w:rFonts w:hint="eastAsia"/>
                <w:bCs/>
                <w:sz w:val="20"/>
                <w:szCs w:val="20"/>
              </w:rPr>
              <w:t>①脚手架搭设和拆除无施工方案，未按规定进行审核、审批；</w:t>
            </w:r>
            <w:r>
              <w:rPr>
                <w:bCs/>
                <w:sz w:val="20"/>
                <w:szCs w:val="20"/>
              </w:rPr>
              <w:br w:type="textWrapping"/>
            </w:r>
            <w:r>
              <w:rPr>
                <w:rFonts w:hint="eastAsia"/>
                <w:bCs/>
                <w:sz w:val="20"/>
                <w:szCs w:val="20"/>
              </w:rPr>
              <w:t>②脚手架未经监理单位、使用单位验收合格，未挂牌即投入使用；</w:t>
            </w:r>
            <w:r>
              <w:rPr>
                <w:bCs/>
                <w:sz w:val="20"/>
                <w:szCs w:val="20"/>
              </w:rPr>
              <w:t xml:space="preserve">                                               </w:t>
            </w:r>
            <w:r>
              <w:rPr>
                <w:bCs/>
                <w:sz w:val="20"/>
                <w:szCs w:val="20"/>
              </w:rPr>
              <w:br w:type="textWrapping"/>
            </w:r>
            <w:r>
              <w:rPr>
                <w:rFonts w:hint="eastAsia"/>
                <w:bCs/>
                <w:sz w:val="20"/>
                <w:szCs w:val="20"/>
              </w:rPr>
              <w:t>③脚手架长时间停止使用或在强风（</w:t>
            </w:r>
            <w:r>
              <w:rPr>
                <w:bCs/>
                <w:sz w:val="20"/>
                <w:szCs w:val="20"/>
              </w:rPr>
              <w:t>6</w:t>
            </w:r>
            <w:r>
              <w:rPr>
                <w:rFonts w:hint="eastAsia"/>
                <w:bCs/>
                <w:sz w:val="20"/>
                <w:szCs w:val="20"/>
              </w:rPr>
              <w:t>级以上）、暴雨过后，未经检查合格就投入使用；</w:t>
            </w:r>
            <w:r>
              <w:rPr>
                <w:bCs/>
                <w:sz w:val="20"/>
                <w:szCs w:val="20"/>
              </w:rPr>
              <w:br w:type="textWrapping"/>
            </w:r>
            <w:r>
              <w:rPr>
                <w:rFonts w:hint="eastAsia"/>
                <w:bCs/>
                <w:sz w:val="20"/>
                <w:szCs w:val="20"/>
              </w:rPr>
              <w:t>④脚手架未按规定搭设和拆除，未设置扫地杆、剪刀撑、抛撑、连墙件；</w:t>
            </w:r>
            <w:r>
              <w:rPr>
                <w:bCs/>
                <w:sz w:val="20"/>
                <w:szCs w:val="20"/>
              </w:rPr>
              <w:br w:type="textWrapping"/>
            </w:r>
            <w:r>
              <w:rPr>
                <w:rFonts w:hint="eastAsia"/>
                <w:bCs/>
                <w:sz w:val="20"/>
                <w:szCs w:val="20"/>
              </w:rPr>
              <w:t>⑤脚手架的脚手板材质、规格不符合规范要求，铺板不严密、牢靠；架体外侧无封闭密目式安全网，网间不严密；</w:t>
            </w:r>
            <w:r>
              <w:rPr>
                <w:bCs/>
                <w:sz w:val="20"/>
                <w:szCs w:val="20"/>
              </w:rPr>
              <w:br w:type="textWrapping"/>
            </w:r>
            <w:r>
              <w:rPr>
                <w:rFonts w:hint="eastAsia"/>
                <w:bCs/>
                <w:sz w:val="20"/>
                <w:szCs w:val="20"/>
              </w:rPr>
              <w:t>⑥靠近带电设施的脚手架未采取封闭措施。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7</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爆破品安全管理要求执行不到位。</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G7</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0.5</w:t>
            </w:r>
            <w:r>
              <w:rPr>
                <w:rFonts w:hint="eastAsia"/>
                <w:bCs/>
                <w:sz w:val="20"/>
                <w:szCs w:val="20"/>
              </w:rPr>
              <w:t>分：</w:t>
            </w:r>
            <w:r>
              <w:rPr>
                <w:bCs/>
                <w:sz w:val="20"/>
                <w:szCs w:val="20"/>
              </w:rPr>
              <w:br w:type="textWrapping"/>
            </w:r>
            <w:r>
              <w:rPr>
                <w:rFonts w:hint="eastAsia"/>
                <w:bCs/>
                <w:sz w:val="20"/>
                <w:szCs w:val="20"/>
              </w:rPr>
              <w:t>①爆炸物品安全管理人员、仓库管理人员和爆破作业人员等不具备资格；</w:t>
            </w:r>
            <w:r>
              <w:rPr>
                <w:bCs/>
                <w:sz w:val="20"/>
                <w:szCs w:val="20"/>
              </w:rPr>
              <w:br w:type="textWrapping"/>
            </w:r>
            <w:r>
              <w:rPr>
                <w:rFonts w:hint="eastAsia"/>
                <w:bCs/>
                <w:sz w:val="20"/>
                <w:szCs w:val="20"/>
              </w:rPr>
              <w:t>②将爆炸物品存放在不具备安全存放条件场所；</w:t>
            </w:r>
            <w:r>
              <w:rPr>
                <w:bCs/>
                <w:sz w:val="20"/>
                <w:szCs w:val="20"/>
              </w:rPr>
              <w:br w:type="textWrapping"/>
            </w:r>
            <w:r>
              <w:rPr>
                <w:rFonts w:hint="eastAsia"/>
                <w:bCs/>
                <w:sz w:val="20"/>
                <w:szCs w:val="20"/>
              </w:rPr>
              <w:t>③爆破作业时安全防护措施不符合规范要求。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8</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站班会安全技术交底未落实，施工方案管理不规范，危险性较大的分部分项工程安全管理不到位。</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G8</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设计/施工/监理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1</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bCs/>
                <w:sz w:val="20"/>
                <w:szCs w:val="20"/>
              </w:rPr>
              <w:t>1</w:t>
            </w:r>
            <w:r>
              <w:rPr>
                <w:rFonts w:hint="eastAsia"/>
                <w:bCs/>
                <w:sz w:val="20"/>
                <w:szCs w:val="20"/>
              </w:rPr>
              <w:t>、出现以下任一不良行为扣</w:t>
            </w:r>
            <w:r>
              <w:rPr>
                <w:bCs/>
                <w:sz w:val="20"/>
                <w:szCs w:val="20"/>
              </w:rPr>
              <w:t>0.2</w:t>
            </w:r>
            <w:r>
              <w:rPr>
                <w:rFonts w:hint="eastAsia"/>
                <w:bCs/>
                <w:sz w:val="20"/>
                <w:szCs w:val="20"/>
              </w:rPr>
              <w:t>分：</w:t>
            </w:r>
          </w:p>
          <w:p>
            <w:pPr>
              <w:jc w:val="left"/>
              <w:rPr>
                <w:bCs/>
                <w:sz w:val="20"/>
                <w:szCs w:val="20"/>
              </w:rPr>
            </w:pPr>
            <w:r>
              <w:rPr>
                <w:rFonts w:hint="eastAsia"/>
                <w:bCs/>
                <w:sz w:val="20"/>
                <w:szCs w:val="20"/>
              </w:rPr>
              <w:t>①现场作业未进行安全风险分析及预控，或与实际情况不符；</w:t>
            </w:r>
            <w:r>
              <w:rPr>
                <w:bCs/>
                <w:sz w:val="20"/>
                <w:szCs w:val="20"/>
              </w:rPr>
              <w:t xml:space="preserve">                                          </w:t>
            </w:r>
            <w:r>
              <w:rPr>
                <w:bCs/>
                <w:sz w:val="20"/>
                <w:szCs w:val="20"/>
              </w:rPr>
              <w:br w:type="page"/>
            </w:r>
            <w:r>
              <w:rPr>
                <w:rFonts w:hint="eastAsia"/>
                <w:bCs/>
                <w:sz w:val="20"/>
                <w:szCs w:val="20"/>
              </w:rPr>
              <w:t>②未开站班会，或站班会安全技术交底等“三交”、“三查”工作与现场实际不符，安全控制措施未真正落实。</w:t>
            </w:r>
            <w:r>
              <w:rPr>
                <w:bCs/>
                <w:sz w:val="20"/>
                <w:szCs w:val="20"/>
              </w:rPr>
              <w:t xml:space="preserve">                                            </w:t>
            </w:r>
            <w:r>
              <w:rPr>
                <w:bCs/>
                <w:sz w:val="20"/>
                <w:szCs w:val="20"/>
              </w:rPr>
              <w:br w:type="page"/>
            </w:r>
            <w:r>
              <w:rPr>
                <w:bCs/>
                <w:sz w:val="20"/>
                <w:szCs w:val="20"/>
              </w:rPr>
              <w:t>2</w:t>
            </w:r>
            <w:r>
              <w:rPr>
                <w:rFonts w:hint="eastAsia"/>
                <w:bCs/>
                <w:sz w:val="20"/>
                <w:szCs w:val="20"/>
              </w:rPr>
              <w:t>、未落实施工方案“四个必须”，每项扣</w:t>
            </w:r>
            <w:r>
              <w:rPr>
                <w:bCs/>
                <w:sz w:val="20"/>
                <w:szCs w:val="20"/>
              </w:rPr>
              <w:t>0.2</w:t>
            </w:r>
            <w:r>
              <w:rPr>
                <w:rFonts w:hint="eastAsia"/>
                <w:bCs/>
                <w:sz w:val="20"/>
                <w:szCs w:val="20"/>
              </w:rPr>
              <w:t>分：</w:t>
            </w:r>
            <w:r>
              <w:rPr>
                <w:bCs/>
                <w:sz w:val="20"/>
                <w:szCs w:val="20"/>
              </w:rPr>
              <w:br w:type="page"/>
            </w:r>
          </w:p>
          <w:p>
            <w:pPr>
              <w:rPr>
                <w:bCs/>
                <w:sz w:val="20"/>
                <w:szCs w:val="20"/>
              </w:rPr>
            </w:pPr>
            <w:r>
              <w:rPr>
                <w:rFonts w:hint="eastAsia"/>
                <w:bCs/>
                <w:sz w:val="20"/>
                <w:szCs w:val="20"/>
              </w:rPr>
              <w:t>①施工作业前未编制施工方案或方案未通过审批；</w:t>
            </w:r>
          </w:p>
          <w:p>
            <w:pPr>
              <w:rPr>
                <w:bCs/>
                <w:sz w:val="20"/>
                <w:szCs w:val="20"/>
              </w:rPr>
            </w:pPr>
            <w:r>
              <w:rPr>
                <w:bCs/>
                <w:sz w:val="20"/>
                <w:szCs w:val="20"/>
              </w:rPr>
              <w:br w:type="page"/>
            </w:r>
            <w:r>
              <w:rPr>
                <w:rFonts w:hint="eastAsia"/>
                <w:bCs/>
                <w:sz w:val="20"/>
                <w:szCs w:val="20"/>
              </w:rPr>
              <w:t>②施工作业前未进行安全技术交底；</w:t>
            </w:r>
          </w:p>
          <w:p>
            <w:pPr>
              <w:rPr>
                <w:bCs/>
                <w:sz w:val="20"/>
                <w:szCs w:val="20"/>
              </w:rPr>
            </w:pPr>
            <w:r>
              <w:rPr>
                <w:bCs/>
                <w:sz w:val="20"/>
                <w:szCs w:val="20"/>
              </w:rPr>
              <w:br w:type="page"/>
            </w:r>
            <w:r>
              <w:rPr>
                <w:rFonts w:hint="eastAsia"/>
                <w:bCs/>
                <w:sz w:val="20"/>
                <w:szCs w:val="20"/>
              </w:rPr>
              <w:t>③施工过程未按施工方案施工；</w:t>
            </w:r>
          </w:p>
          <w:p>
            <w:pPr>
              <w:rPr>
                <w:bCs/>
                <w:sz w:val="20"/>
                <w:szCs w:val="20"/>
              </w:rPr>
            </w:pPr>
            <w:r>
              <w:rPr>
                <w:bCs/>
                <w:sz w:val="20"/>
                <w:szCs w:val="20"/>
              </w:rPr>
              <w:br w:type="page"/>
            </w:r>
            <w:r>
              <w:rPr>
                <w:rFonts w:hint="eastAsia"/>
                <w:bCs/>
                <w:sz w:val="20"/>
                <w:szCs w:val="20"/>
              </w:rPr>
              <w:t>④施工方案完成后未经验收合格即进入下道程序。</w:t>
            </w:r>
            <w:r>
              <w:rPr>
                <w:bCs/>
                <w:sz w:val="20"/>
                <w:szCs w:val="20"/>
              </w:rPr>
              <w:br w:type="page"/>
            </w:r>
          </w:p>
          <w:p>
            <w:pPr>
              <w:rPr>
                <w:bCs/>
                <w:sz w:val="20"/>
                <w:szCs w:val="20"/>
              </w:rPr>
            </w:pPr>
            <w:r>
              <w:rPr>
                <w:bCs/>
                <w:sz w:val="20"/>
                <w:szCs w:val="20"/>
              </w:rPr>
              <w:t>3</w:t>
            </w:r>
            <w:r>
              <w:rPr>
                <w:rFonts w:hint="eastAsia"/>
                <w:bCs/>
                <w:sz w:val="20"/>
                <w:szCs w:val="20"/>
              </w:rPr>
              <w:t>、危险性较大的分部分项工程未编制安全专项方案，安全专项方案未经技术负责人审批，超过一定规模的危险性较大的分部分项工程未召开专家论证会，每项扣</w:t>
            </w:r>
            <w:r>
              <w:rPr>
                <w:bCs/>
                <w:sz w:val="20"/>
                <w:szCs w:val="20"/>
              </w:rPr>
              <w:t>0.2</w:t>
            </w:r>
            <w:r>
              <w:rPr>
                <w:rFonts w:hint="eastAsia"/>
                <w:bCs/>
                <w:sz w:val="20"/>
                <w:szCs w:val="20"/>
              </w:rPr>
              <w:t>分。</w:t>
            </w:r>
          </w:p>
          <w:p>
            <w:pPr>
              <w:rPr>
                <w:bCs/>
                <w:sz w:val="20"/>
                <w:szCs w:val="20"/>
              </w:rPr>
            </w:pPr>
            <w:r>
              <w:rPr>
                <w:bCs/>
                <w:sz w:val="20"/>
                <w:szCs w:val="20"/>
              </w:rPr>
              <w:t>4</w:t>
            </w:r>
            <w:r>
              <w:rPr>
                <w:rFonts w:hint="eastAsia"/>
                <w:bCs/>
                <w:sz w:val="20"/>
                <w:szCs w:val="20"/>
              </w:rPr>
              <w:t>、危险性较大的分部分项工程施工过程中，监理无人员旁站监督，发现问题未制止或责令整改，每次扣</w:t>
            </w:r>
            <w:r>
              <w:rPr>
                <w:bCs/>
                <w:sz w:val="20"/>
                <w:szCs w:val="20"/>
              </w:rPr>
              <w:t>0.2</w:t>
            </w:r>
            <w:r>
              <w:rPr>
                <w:rFonts w:hint="eastAsia"/>
                <w:bCs/>
                <w:sz w:val="20"/>
                <w:szCs w:val="2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9</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施工临时用电不规范。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bCs/>
                <w:sz w:val="20"/>
                <w:szCs w:val="20"/>
              </w:rPr>
              <w:t>WG9</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w:t>
            </w:r>
            <w:r>
              <w:rPr>
                <w:bCs/>
                <w:sz w:val="20"/>
                <w:szCs w:val="20"/>
              </w:rPr>
              <w:t>/</w:t>
            </w:r>
            <w:r>
              <w:rPr>
                <w:rFonts w:hint="eastAsia"/>
                <w:bCs/>
                <w:sz w:val="20"/>
                <w:szCs w:val="20"/>
              </w:rPr>
              <w:t>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0.2</w:t>
            </w:r>
            <w:r>
              <w:rPr>
                <w:rFonts w:hint="eastAsia"/>
                <w:bCs/>
                <w:sz w:val="20"/>
                <w:szCs w:val="20"/>
              </w:rPr>
              <w:t>分，累计扣至</w:t>
            </w:r>
            <w:r>
              <w:rPr>
                <w:bCs/>
                <w:sz w:val="20"/>
                <w:szCs w:val="20"/>
              </w:rPr>
              <w:t>0.5</w:t>
            </w:r>
            <w:r>
              <w:rPr>
                <w:rFonts w:hint="eastAsia"/>
                <w:bCs/>
                <w:sz w:val="20"/>
                <w:szCs w:val="20"/>
              </w:rPr>
              <w:t>分为止：</w:t>
            </w:r>
            <w:r>
              <w:rPr>
                <w:bCs/>
                <w:sz w:val="20"/>
                <w:szCs w:val="20"/>
              </w:rPr>
              <w:br w:type="textWrapping"/>
            </w:r>
            <w:r>
              <w:rPr>
                <w:rFonts w:hint="eastAsia"/>
                <w:bCs/>
                <w:sz w:val="20"/>
                <w:szCs w:val="20"/>
              </w:rPr>
              <w:t>①施工现场专用的电源中性点直接接地的低压配电系统未采用</w:t>
            </w:r>
            <w:r>
              <w:rPr>
                <w:bCs/>
                <w:sz w:val="20"/>
                <w:szCs w:val="20"/>
              </w:rPr>
              <w:t>TN-S</w:t>
            </w:r>
            <w:r>
              <w:rPr>
                <w:rFonts w:hint="eastAsia"/>
                <w:bCs/>
                <w:sz w:val="20"/>
                <w:szCs w:val="20"/>
              </w:rPr>
              <w:t>接零保护系统；</w:t>
            </w:r>
            <w:r>
              <w:rPr>
                <w:bCs/>
                <w:sz w:val="20"/>
                <w:szCs w:val="20"/>
              </w:rPr>
              <w:br w:type="textWrapping"/>
            </w:r>
            <w:r>
              <w:rPr>
                <w:rFonts w:hint="eastAsia"/>
                <w:bCs/>
                <w:sz w:val="20"/>
                <w:szCs w:val="20"/>
              </w:rPr>
              <w:t>②电源箱设置不符合“一机、一闸、一保护”要求；</w:t>
            </w:r>
            <w:r>
              <w:rPr>
                <w:bCs/>
                <w:sz w:val="20"/>
                <w:szCs w:val="20"/>
              </w:rPr>
              <w:br w:type="textWrapping"/>
            </w:r>
            <w:r>
              <w:rPr>
                <w:rFonts w:hint="eastAsia"/>
                <w:bCs/>
                <w:sz w:val="20"/>
                <w:szCs w:val="20"/>
              </w:rPr>
              <w:t>③漏电保护器的选用与供电方式、作业环境不一致、不匹配；</w:t>
            </w:r>
            <w:r>
              <w:rPr>
                <w:bCs/>
                <w:sz w:val="20"/>
                <w:szCs w:val="20"/>
              </w:rPr>
              <w:t xml:space="preserve"> </w:t>
            </w:r>
            <w:r>
              <w:rPr>
                <w:bCs/>
                <w:sz w:val="20"/>
                <w:szCs w:val="20"/>
              </w:rPr>
              <w:br w:type="textWrapping"/>
            </w:r>
            <w:r>
              <w:rPr>
                <w:rFonts w:hint="eastAsia"/>
                <w:bCs/>
                <w:sz w:val="20"/>
                <w:szCs w:val="20"/>
              </w:rPr>
              <w:t>④未使用插头而直接用导线插入插座，或挂在刀闸上供电；</w:t>
            </w:r>
            <w:r>
              <w:rPr>
                <w:bCs/>
                <w:sz w:val="20"/>
                <w:szCs w:val="20"/>
              </w:rPr>
              <w:br w:type="textWrapping"/>
            </w:r>
            <w:r>
              <w:rPr>
                <w:rFonts w:hint="eastAsia"/>
                <w:bCs/>
                <w:sz w:val="20"/>
                <w:szCs w:val="20"/>
              </w:rPr>
              <w:t>⑤电源箱和用电机具未接地或接地不规范；</w:t>
            </w:r>
            <w:r>
              <w:rPr>
                <w:bCs/>
                <w:sz w:val="20"/>
                <w:szCs w:val="20"/>
              </w:rPr>
              <w:br w:type="textWrapping"/>
            </w:r>
            <w:r>
              <w:rPr>
                <w:rFonts w:hint="eastAsia"/>
                <w:bCs/>
                <w:sz w:val="20"/>
                <w:szCs w:val="20"/>
              </w:rPr>
              <w:t>⑥电源线的截面、绝缘、架设（敷设）、接线、刀闸安装等不满足规范要求。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10</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动火作业不规范。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bCs/>
                <w:sz w:val="20"/>
                <w:szCs w:val="20"/>
              </w:rPr>
              <w:t>WG10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w:t>
            </w:r>
            <w:r>
              <w:rPr>
                <w:bCs/>
                <w:sz w:val="20"/>
                <w:szCs w:val="20"/>
              </w:rPr>
              <w:t>/</w:t>
            </w:r>
            <w:r>
              <w:rPr>
                <w:rFonts w:hint="eastAsia"/>
                <w:bCs/>
                <w:sz w:val="20"/>
                <w:szCs w:val="20"/>
              </w:rPr>
              <w:t>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0.2</w:t>
            </w:r>
            <w:r>
              <w:rPr>
                <w:rFonts w:hint="eastAsia"/>
                <w:bCs/>
                <w:sz w:val="20"/>
                <w:szCs w:val="20"/>
              </w:rPr>
              <w:t>分，累计扣至</w:t>
            </w:r>
            <w:r>
              <w:rPr>
                <w:bCs/>
                <w:sz w:val="20"/>
                <w:szCs w:val="20"/>
              </w:rPr>
              <w:t>0.5</w:t>
            </w:r>
            <w:r>
              <w:rPr>
                <w:rFonts w:hint="eastAsia"/>
                <w:bCs/>
                <w:sz w:val="20"/>
                <w:szCs w:val="20"/>
              </w:rPr>
              <w:t>分为止：</w:t>
            </w:r>
            <w:r>
              <w:rPr>
                <w:bCs/>
                <w:sz w:val="20"/>
                <w:szCs w:val="20"/>
              </w:rPr>
              <w:br w:type="textWrapping"/>
            </w:r>
            <w:r>
              <w:rPr>
                <w:rFonts w:hint="eastAsia"/>
                <w:bCs/>
                <w:sz w:val="20"/>
                <w:szCs w:val="20"/>
              </w:rPr>
              <w:t>①动火作业人员未持证上岗，未经培训；</w:t>
            </w:r>
          </w:p>
          <w:p>
            <w:pPr>
              <w:rPr>
                <w:bCs/>
                <w:sz w:val="20"/>
                <w:szCs w:val="20"/>
              </w:rPr>
            </w:pPr>
            <w:r>
              <w:rPr>
                <w:rFonts w:hint="eastAsia"/>
                <w:bCs/>
                <w:sz w:val="20"/>
                <w:szCs w:val="20"/>
              </w:rPr>
              <w:t>②未按规定办理动火审批手续，重大活动期间未执行动火作业审批上提一级管理；</w:t>
            </w:r>
          </w:p>
          <w:p>
            <w:pPr>
              <w:rPr>
                <w:bCs/>
                <w:sz w:val="20"/>
                <w:szCs w:val="20"/>
              </w:rPr>
            </w:pPr>
            <w:r>
              <w:rPr>
                <w:rFonts w:hint="eastAsia"/>
                <w:bCs/>
                <w:sz w:val="20"/>
                <w:szCs w:val="20"/>
              </w:rPr>
              <w:t>③未严格落实动火作业“三个一律”，动火前未清理可燃物、未按规定进行可燃气体检测，现场存在交叉作业；</w:t>
            </w:r>
          </w:p>
          <w:p>
            <w:pPr>
              <w:rPr>
                <w:bCs/>
                <w:sz w:val="20"/>
                <w:szCs w:val="20"/>
              </w:rPr>
            </w:pPr>
            <w:r>
              <w:rPr>
                <w:rFonts w:hint="eastAsia"/>
                <w:bCs/>
                <w:sz w:val="20"/>
                <w:szCs w:val="20"/>
              </w:rPr>
              <w:t>④动火作业时监护人未在现场监督；</w:t>
            </w:r>
          </w:p>
          <w:p>
            <w:pPr>
              <w:rPr>
                <w:bCs/>
                <w:sz w:val="20"/>
                <w:szCs w:val="20"/>
              </w:rPr>
            </w:pPr>
            <w:r>
              <w:rPr>
                <w:rFonts w:hint="eastAsia"/>
                <w:bCs/>
                <w:sz w:val="20"/>
                <w:szCs w:val="20"/>
              </w:rPr>
              <w:t>⑤动火作业现场防火措施不到位，未有效设置灭火器、接火斗、阻燃挡板等；</w:t>
            </w:r>
          </w:p>
          <w:p>
            <w:pPr>
              <w:rPr>
                <w:bCs/>
                <w:sz w:val="20"/>
                <w:szCs w:val="20"/>
              </w:rPr>
            </w:pPr>
            <w:r>
              <w:rPr>
                <w:rFonts w:hint="eastAsia"/>
                <w:bCs/>
                <w:sz w:val="20"/>
                <w:szCs w:val="20"/>
              </w:rPr>
              <w:t>⑥氧气、乙炔瓶间距不足</w:t>
            </w:r>
            <w:r>
              <w:rPr>
                <w:bCs/>
                <w:sz w:val="20"/>
                <w:szCs w:val="20"/>
              </w:rPr>
              <w:t>5</w:t>
            </w:r>
            <w:r>
              <w:rPr>
                <w:rFonts w:hint="eastAsia"/>
                <w:bCs/>
                <w:sz w:val="20"/>
                <w:szCs w:val="20"/>
              </w:rPr>
              <w:t>米，距离动火作业点不足</w:t>
            </w:r>
            <w:r>
              <w:rPr>
                <w:bCs/>
                <w:sz w:val="20"/>
                <w:szCs w:val="20"/>
              </w:rPr>
              <w:t>10</w:t>
            </w:r>
            <w:r>
              <w:rPr>
                <w:rFonts w:hint="eastAsia"/>
                <w:bCs/>
                <w:sz w:val="20"/>
                <w:szCs w:val="20"/>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11</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有限空间作业不规范。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bCs/>
                <w:sz w:val="20"/>
                <w:szCs w:val="20"/>
              </w:rPr>
              <w:t>WG11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w:t>
            </w:r>
            <w:r>
              <w:rPr>
                <w:bCs/>
                <w:sz w:val="20"/>
                <w:szCs w:val="20"/>
              </w:rPr>
              <w:t>/</w:t>
            </w:r>
            <w:r>
              <w:rPr>
                <w:rFonts w:hint="eastAsia"/>
                <w:bCs/>
                <w:sz w:val="20"/>
                <w:szCs w:val="20"/>
              </w:rPr>
              <w:t>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0.2</w:t>
            </w:r>
            <w:r>
              <w:rPr>
                <w:rFonts w:hint="eastAsia"/>
                <w:bCs/>
                <w:sz w:val="20"/>
                <w:szCs w:val="20"/>
              </w:rPr>
              <w:t>分，累计扣至</w:t>
            </w:r>
            <w:r>
              <w:rPr>
                <w:bCs/>
                <w:sz w:val="20"/>
                <w:szCs w:val="20"/>
              </w:rPr>
              <w:t>0.5</w:t>
            </w:r>
            <w:r>
              <w:rPr>
                <w:rFonts w:hint="eastAsia"/>
                <w:bCs/>
                <w:sz w:val="20"/>
                <w:szCs w:val="20"/>
              </w:rPr>
              <w:t>分为止：</w:t>
            </w:r>
            <w:r>
              <w:rPr>
                <w:bCs/>
                <w:sz w:val="20"/>
                <w:szCs w:val="20"/>
              </w:rPr>
              <w:br w:type="textWrapping"/>
            </w:r>
            <w:r>
              <w:rPr>
                <w:rFonts w:hint="eastAsia"/>
                <w:bCs/>
                <w:sz w:val="20"/>
                <w:szCs w:val="20"/>
              </w:rPr>
              <w:t>①未经风险辨识；</w:t>
            </w:r>
          </w:p>
          <w:p>
            <w:pPr>
              <w:rPr>
                <w:bCs/>
                <w:sz w:val="20"/>
                <w:szCs w:val="20"/>
              </w:rPr>
            </w:pPr>
            <w:r>
              <w:rPr>
                <w:rFonts w:hint="eastAsia"/>
                <w:bCs/>
                <w:sz w:val="20"/>
                <w:szCs w:val="20"/>
              </w:rPr>
              <w:t>②未进行通风和气体检测；</w:t>
            </w:r>
          </w:p>
          <w:p>
            <w:pPr>
              <w:rPr>
                <w:bCs/>
                <w:sz w:val="20"/>
                <w:szCs w:val="20"/>
              </w:rPr>
            </w:pPr>
            <w:r>
              <w:rPr>
                <w:rFonts w:hint="eastAsia"/>
                <w:bCs/>
                <w:sz w:val="20"/>
                <w:szCs w:val="20"/>
              </w:rPr>
              <w:t>③不佩戴劳动防护用品；</w:t>
            </w:r>
          </w:p>
          <w:p>
            <w:pPr>
              <w:rPr>
                <w:bCs/>
                <w:sz w:val="20"/>
                <w:szCs w:val="20"/>
              </w:rPr>
            </w:pPr>
            <w:r>
              <w:rPr>
                <w:rFonts w:hint="eastAsia"/>
                <w:bCs/>
                <w:sz w:val="20"/>
                <w:szCs w:val="20"/>
              </w:rPr>
              <w:t>④作业现场无人监护；</w:t>
            </w:r>
          </w:p>
          <w:p>
            <w:pPr>
              <w:rPr>
                <w:bCs/>
                <w:sz w:val="20"/>
                <w:szCs w:val="20"/>
              </w:rPr>
            </w:pPr>
            <w:r>
              <w:rPr>
                <w:rFonts w:hint="eastAsia"/>
                <w:bCs/>
                <w:sz w:val="20"/>
                <w:szCs w:val="20"/>
              </w:rPr>
              <w:t>⑤电气设备不符合规定；</w:t>
            </w:r>
          </w:p>
          <w:p>
            <w:pPr>
              <w:rPr>
                <w:bCs/>
                <w:sz w:val="20"/>
                <w:szCs w:val="20"/>
              </w:rPr>
            </w:pPr>
            <w:r>
              <w:rPr>
                <w:rFonts w:hint="eastAsia"/>
                <w:bCs/>
                <w:sz w:val="20"/>
                <w:szCs w:val="20"/>
              </w:rPr>
              <w:t>⑥未按规定办理有限空间作业手续；</w:t>
            </w:r>
          </w:p>
          <w:p>
            <w:pPr>
              <w:rPr>
                <w:bCs/>
                <w:sz w:val="20"/>
                <w:szCs w:val="20"/>
              </w:rPr>
            </w:pPr>
            <w:r>
              <w:rPr>
                <w:rFonts w:hint="eastAsia"/>
                <w:bCs/>
                <w:sz w:val="20"/>
                <w:szCs w:val="20"/>
              </w:rPr>
              <w:t>⑦未经培训演练。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12</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四口”、“五临边”未设置明显标识及防护措施；在车行道、人行道上施工，未根据属地区域规定选用围蔽装置，或未在来车方向设置警示牌；施工作业人员在夜间或道路、地下洞室作业时未穿着符合规范的反光衣；施工区域未按规定设置夜间警示装置。</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G1</w:t>
            </w:r>
            <w:r>
              <w:rPr>
                <w:rFonts w:hint="eastAsia"/>
                <w:bCs/>
                <w:sz w:val="20"/>
                <w:szCs w:val="20"/>
              </w:rPr>
              <w:t>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0.2</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0.2</w:t>
            </w:r>
            <w:r>
              <w:rPr>
                <w:rFonts w:hint="eastAsia"/>
                <w:bCs/>
                <w:sz w:val="20"/>
                <w:szCs w:val="20"/>
              </w:rPr>
              <w:t>分：</w:t>
            </w:r>
            <w:r>
              <w:rPr>
                <w:bCs/>
                <w:sz w:val="20"/>
                <w:szCs w:val="20"/>
              </w:rPr>
              <w:br w:type="textWrapping"/>
            </w:r>
            <w:r>
              <w:rPr>
                <w:rFonts w:hint="eastAsia"/>
                <w:bCs/>
                <w:sz w:val="20"/>
                <w:szCs w:val="20"/>
              </w:rPr>
              <w:t>①“四口”、“五临边”未设置可靠防护安全围栏、盖板，未设置明显的标示牌、警示牌；</w:t>
            </w:r>
            <w:r>
              <w:rPr>
                <w:bCs/>
                <w:sz w:val="20"/>
                <w:szCs w:val="20"/>
              </w:rPr>
              <w:br w:type="textWrapping"/>
            </w:r>
            <w:r>
              <w:rPr>
                <w:rFonts w:hint="eastAsia"/>
                <w:bCs/>
                <w:sz w:val="20"/>
                <w:szCs w:val="20"/>
              </w:rPr>
              <w:t>②</w:t>
            </w:r>
            <w:r>
              <w:rPr>
                <w:bCs/>
                <w:sz w:val="20"/>
                <w:szCs w:val="20"/>
              </w:rPr>
              <w:t xml:space="preserve"> </w:t>
            </w:r>
            <w:r>
              <w:rPr>
                <w:rFonts w:hint="eastAsia"/>
                <w:bCs/>
                <w:sz w:val="20"/>
                <w:szCs w:val="20"/>
              </w:rPr>
              <w:t>在车行道、人行道上施工，未根据属地区域规定选用围蔽装置，或未在来车方向设置警示牌；</w:t>
            </w:r>
            <w:r>
              <w:rPr>
                <w:bCs/>
                <w:sz w:val="20"/>
                <w:szCs w:val="20"/>
              </w:rPr>
              <w:br w:type="textWrapping"/>
            </w:r>
            <w:r>
              <w:rPr>
                <w:rFonts w:hint="eastAsia"/>
                <w:bCs/>
                <w:sz w:val="20"/>
                <w:szCs w:val="20"/>
              </w:rPr>
              <w:t>③施工作业人员在夜间作业或道路、地下洞室作业时未穿着符合规范的反光衣；</w:t>
            </w:r>
            <w:r>
              <w:rPr>
                <w:bCs/>
                <w:sz w:val="20"/>
                <w:szCs w:val="20"/>
              </w:rPr>
              <w:br w:type="textWrapping"/>
            </w:r>
            <w:r>
              <w:rPr>
                <w:rFonts w:hint="eastAsia"/>
                <w:bCs/>
                <w:sz w:val="20"/>
                <w:szCs w:val="20"/>
              </w:rPr>
              <w:t>④施工区域未按规定设置夜间警示装置。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13</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隧洞通风、排水、爆破、通讯、施工支护、超前地质预报等不符合要求的。</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G1</w:t>
            </w:r>
            <w:r>
              <w:rPr>
                <w:rFonts w:hint="eastAsia"/>
                <w:bCs/>
                <w:sz w:val="20"/>
                <w:szCs w:val="20"/>
              </w:rPr>
              <w:t>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出现以下任一不良行为扣</w:t>
            </w:r>
            <w:r>
              <w:rPr>
                <w:bCs/>
                <w:sz w:val="20"/>
                <w:szCs w:val="20"/>
              </w:rPr>
              <w:t>0.2</w:t>
            </w:r>
            <w:r>
              <w:rPr>
                <w:rFonts w:hint="eastAsia"/>
                <w:bCs/>
                <w:sz w:val="20"/>
                <w:szCs w:val="20"/>
              </w:rPr>
              <w:t>分：</w:t>
            </w:r>
            <w:r>
              <w:rPr>
                <w:bCs/>
                <w:sz w:val="20"/>
                <w:szCs w:val="20"/>
              </w:rPr>
              <w:br w:type="textWrapping"/>
            </w:r>
            <w:r>
              <w:rPr>
                <w:rFonts w:hint="eastAsia"/>
                <w:bCs/>
                <w:sz w:val="20"/>
                <w:szCs w:val="20"/>
              </w:rPr>
              <w:t>①未编制隧洞工程专项施工方案；专项施工方案未按规定审核、审批；未按规定组织专家论证；</w:t>
            </w:r>
            <w:r>
              <w:rPr>
                <w:bCs/>
                <w:sz w:val="20"/>
                <w:szCs w:val="20"/>
              </w:rPr>
              <w:br w:type="textWrapping"/>
            </w:r>
            <w:r>
              <w:rPr>
                <w:rFonts w:hint="eastAsia"/>
                <w:bCs/>
                <w:sz w:val="20"/>
                <w:szCs w:val="20"/>
              </w:rPr>
              <w:t>②未配备通风设施；未配备有毒有害气体检测设备；</w:t>
            </w:r>
            <w:r>
              <w:rPr>
                <w:bCs/>
                <w:sz w:val="20"/>
                <w:szCs w:val="20"/>
              </w:rPr>
              <w:br w:type="textWrapping"/>
            </w:r>
            <w:r>
              <w:rPr>
                <w:rFonts w:hint="eastAsia"/>
                <w:bCs/>
                <w:sz w:val="20"/>
                <w:szCs w:val="20"/>
              </w:rPr>
              <w:t>③未设置排水沟、泄水孔等排水措施，隧洞内抽水泵功率不满足排水需求；</w:t>
            </w:r>
            <w:r>
              <w:rPr>
                <w:bCs/>
                <w:sz w:val="20"/>
                <w:szCs w:val="20"/>
              </w:rPr>
              <w:br w:type="textWrapping"/>
            </w:r>
            <w:r>
              <w:rPr>
                <w:rFonts w:hint="eastAsia"/>
                <w:bCs/>
                <w:sz w:val="20"/>
                <w:szCs w:val="20"/>
              </w:rPr>
              <w:t>④洞内爆破作业未确定指挥人员、警戒人员、起爆人员，未进行统一指挥的；</w:t>
            </w:r>
            <w:r>
              <w:rPr>
                <w:bCs/>
                <w:sz w:val="20"/>
                <w:szCs w:val="20"/>
              </w:rPr>
              <w:br w:type="textWrapping"/>
            </w:r>
            <w:r>
              <w:rPr>
                <w:rFonts w:hint="eastAsia"/>
                <w:bCs/>
                <w:sz w:val="20"/>
                <w:szCs w:val="20"/>
              </w:rPr>
              <w:t>⑤未配备通讯设备的；</w:t>
            </w:r>
            <w:r>
              <w:rPr>
                <w:bCs/>
                <w:sz w:val="20"/>
                <w:szCs w:val="20"/>
              </w:rPr>
              <w:br w:type="textWrapping"/>
            </w:r>
            <w:r>
              <w:rPr>
                <w:rFonts w:hint="eastAsia"/>
                <w:bCs/>
                <w:sz w:val="20"/>
                <w:szCs w:val="20"/>
              </w:rPr>
              <w:t>⑥洞内爆破后通风排烟不足</w:t>
            </w:r>
            <w:r>
              <w:rPr>
                <w:bCs/>
                <w:sz w:val="20"/>
                <w:szCs w:val="20"/>
              </w:rPr>
              <w:t>15</w:t>
            </w:r>
            <w:r>
              <w:rPr>
                <w:rFonts w:hint="eastAsia"/>
                <w:bCs/>
                <w:sz w:val="20"/>
                <w:szCs w:val="20"/>
              </w:rPr>
              <w:t>分钟，爆破后未进行检查的；</w:t>
            </w:r>
            <w:r>
              <w:rPr>
                <w:bCs/>
                <w:sz w:val="20"/>
                <w:szCs w:val="20"/>
              </w:rPr>
              <w:br w:type="textWrapping"/>
            </w:r>
            <w:r>
              <w:rPr>
                <w:rFonts w:hint="eastAsia"/>
                <w:bCs/>
                <w:sz w:val="20"/>
                <w:szCs w:val="20"/>
              </w:rPr>
              <w:t>⑦隧洞支护作业程序不符合要求；支护方式不符合设计及规范要求；</w:t>
            </w:r>
          </w:p>
          <w:p>
            <w:pPr>
              <w:rPr>
                <w:bCs/>
                <w:sz w:val="20"/>
                <w:szCs w:val="20"/>
              </w:rPr>
            </w:pPr>
            <w:r>
              <w:rPr>
                <w:rFonts w:hint="eastAsia"/>
                <w:bCs/>
                <w:sz w:val="20"/>
                <w:szCs w:val="20"/>
              </w:rPr>
              <w:t>⑧未按要求编制超前地质预报实施大纲；</w:t>
            </w:r>
          </w:p>
          <w:p>
            <w:pPr>
              <w:rPr>
                <w:bCs/>
                <w:sz w:val="20"/>
                <w:szCs w:val="20"/>
              </w:rPr>
            </w:pPr>
            <w:r>
              <w:rPr>
                <w:rFonts w:hint="eastAsia"/>
                <w:bCs/>
                <w:sz w:val="20"/>
                <w:szCs w:val="20"/>
              </w:rPr>
              <w:t>⑨未严格执行开挖前超前地质预报措施；未将超前地质预报纳入施工组织设计和工序管理。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14</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安全文明施工费用的提取和使用管理不规范。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G1</w:t>
            </w:r>
            <w:r>
              <w:rPr>
                <w:rFonts w:hint="eastAsia"/>
                <w:bCs/>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施工</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0.5</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在使用安全生产费用过程中，出现以下任一不良行为，每处扣</w:t>
            </w:r>
            <w:r>
              <w:rPr>
                <w:bCs/>
                <w:sz w:val="20"/>
                <w:szCs w:val="20"/>
              </w:rPr>
              <w:t>0.2</w:t>
            </w:r>
            <w:r>
              <w:rPr>
                <w:rFonts w:hint="eastAsia"/>
                <w:bCs/>
                <w:sz w:val="20"/>
                <w:szCs w:val="20"/>
              </w:rPr>
              <w:t>分，累计扣至</w:t>
            </w:r>
            <w:r>
              <w:rPr>
                <w:bCs/>
                <w:sz w:val="20"/>
                <w:szCs w:val="20"/>
              </w:rPr>
              <w:t>0.5</w:t>
            </w:r>
            <w:r>
              <w:rPr>
                <w:rFonts w:hint="eastAsia"/>
                <w:bCs/>
                <w:sz w:val="20"/>
                <w:szCs w:val="20"/>
              </w:rPr>
              <w:t>分为止：</w:t>
            </w:r>
            <w:r>
              <w:rPr>
                <w:bCs/>
                <w:sz w:val="20"/>
                <w:szCs w:val="20"/>
              </w:rPr>
              <w:br w:type="textWrapping"/>
            </w:r>
            <w:r>
              <w:rPr>
                <w:rFonts w:hint="eastAsia"/>
                <w:bCs/>
                <w:sz w:val="20"/>
                <w:szCs w:val="20"/>
              </w:rPr>
              <w:t>①未按照国家有关规定计列和使用安全生产费用的；</w:t>
            </w:r>
            <w:r>
              <w:rPr>
                <w:bCs/>
                <w:sz w:val="20"/>
                <w:szCs w:val="20"/>
              </w:rPr>
              <w:br w:type="textWrapping"/>
            </w:r>
            <w:r>
              <w:rPr>
                <w:rFonts w:hint="eastAsia"/>
                <w:bCs/>
                <w:sz w:val="20"/>
                <w:szCs w:val="20"/>
              </w:rPr>
              <w:t>②未编制安全生产费用使用计划，专款专用的；</w:t>
            </w:r>
            <w:r>
              <w:rPr>
                <w:bCs/>
                <w:sz w:val="20"/>
                <w:szCs w:val="20"/>
              </w:rPr>
              <w:br w:type="textWrapping"/>
            </w:r>
            <w:r>
              <w:rPr>
                <w:rFonts w:hint="eastAsia"/>
                <w:bCs/>
                <w:sz w:val="20"/>
                <w:szCs w:val="20"/>
              </w:rPr>
              <w:t>③未明确安全费用提取和使用的程序、职责及权限的。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15</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因设计工作不到位造成险情的。</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G1</w:t>
            </w:r>
            <w:r>
              <w:rPr>
                <w:rFonts w:hint="eastAsia"/>
                <w:bCs/>
                <w:sz w:val="20"/>
                <w:szCs w:val="20"/>
              </w:rPr>
              <w:t>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勘察/设计</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1</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1、因设计方案不合理造成工程施工过程出现险情的，扣1分；</w:t>
            </w:r>
            <w:r>
              <w:rPr>
                <w:rFonts w:hint="eastAsia"/>
                <w:bCs/>
                <w:sz w:val="20"/>
                <w:szCs w:val="20"/>
              </w:rPr>
              <w:br w:type="textWrapping"/>
            </w:r>
            <w:r>
              <w:rPr>
                <w:rFonts w:hint="eastAsia"/>
                <w:bCs/>
                <w:sz w:val="20"/>
                <w:szCs w:val="20"/>
              </w:rPr>
              <w:t>2、因现场设计代表履职不到位造成施工现场出现险情的，扣1分；</w:t>
            </w:r>
            <w:r>
              <w:rPr>
                <w:rFonts w:hint="eastAsia"/>
                <w:bCs/>
                <w:sz w:val="20"/>
                <w:szCs w:val="20"/>
              </w:rPr>
              <w:br w:type="textWrapping"/>
            </w:r>
            <w:r>
              <w:rPr>
                <w:rFonts w:hint="eastAsia"/>
                <w:bCs/>
                <w:sz w:val="20"/>
                <w:szCs w:val="20"/>
              </w:rPr>
              <w:t>3、因前期地质勘察工作遗留问题造成工程现场出现险情的，扣1分。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16</w:t>
            </w:r>
          </w:p>
        </w:tc>
        <w:tc>
          <w:tcPr>
            <w:tcW w:w="35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项目建设阶段发生生产安全事故的。</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W</w:t>
            </w:r>
            <w:r>
              <w:rPr>
                <w:bCs/>
                <w:sz w:val="20"/>
                <w:szCs w:val="20"/>
              </w:rPr>
              <w:t>G1</w:t>
            </w:r>
            <w:r>
              <w:rPr>
                <w:rFonts w:hint="eastAsia"/>
                <w:bCs/>
                <w:sz w:val="20"/>
                <w:szCs w:val="20"/>
              </w:rPr>
              <w:t>6</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Cs/>
                <w:sz w:val="20"/>
                <w:szCs w:val="20"/>
              </w:rPr>
            </w:pPr>
            <w:r>
              <w:rPr>
                <w:rFonts w:hint="eastAsia"/>
                <w:bCs/>
                <w:sz w:val="20"/>
                <w:szCs w:val="20"/>
              </w:rPr>
              <w:t>设计/施工/监理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sz w:val="20"/>
                <w:szCs w:val="20"/>
              </w:rPr>
            </w:pPr>
            <w:r>
              <w:rPr>
                <w:rFonts w:hint="eastAsia"/>
                <w:bCs/>
                <w:sz w:val="20"/>
                <w:szCs w:val="20"/>
              </w:rPr>
              <w:t>12</w:t>
            </w:r>
          </w:p>
        </w:tc>
        <w:tc>
          <w:tcPr>
            <w:tcW w:w="7129" w:type="dxa"/>
            <w:tcBorders>
              <w:top w:val="single" w:color="auto" w:sz="4" w:space="0"/>
              <w:left w:val="single" w:color="auto" w:sz="4" w:space="0"/>
              <w:bottom w:val="single" w:color="auto" w:sz="4" w:space="0"/>
              <w:right w:val="single" w:color="auto" w:sz="4" w:space="0"/>
            </w:tcBorders>
            <w:shd w:val="clear" w:color="auto" w:fill="auto"/>
            <w:vAlign w:val="center"/>
          </w:tcPr>
          <w:p>
            <w:pPr>
              <w:rPr>
                <w:bCs/>
                <w:sz w:val="20"/>
                <w:szCs w:val="20"/>
              </w:rPr>
            </w:pPr>
            <w:r>
              <w:rPr>
                <w:rFonts w:hint="eastAsia"/>
                <w:bCs/>
                <w:sz w:val="20"/>
                <w:szCs w:val="20"/>
              </w:rPr>
              <w:t>发生亡人生产安全事故的，根据生产安全事故责任扣分。</w:t>
            </w:r>
          </w:p>
        </w:tc>
      </w:tr>
    </w:tbl>
    <w:p>
      <w:pPr>
        <w:ind w:firstLine="480"/>
        <w:rPr>
          <w:rFonts w:ascii="宋体" w:hAnsi="宋体" w:cs="宋体"/>
          <w:b/>
          <w:bCs/>
          <w:kern w:val="0"/>
          <w:sz w:val="22"/>
        </w:rPr>
      </w:pPr>
    </w:p>
    <w:p>
      <w:pPr>
        <w:rPr>
          <w:rFonts w:ascii="仿宋" w:hAnsi="仿宋" w:eastAsia="仿宋"/>
          <w:sz w:val="28"/>
          <w:szCs w:val="28"/>
        </w:rPr>
      </w:pPr>
    </w:p>
    <w:p>
      <w:pPr>
        <w:ind w:firstLine="480"/>
        <w:rPr>
          <w:rFonts w:ascii="宋体" w:hAnsi="宋体" w:cs="宋体"/>
          <w:b/>
          <w:bCs/>
          <w:kern w:val="0"/>
          <w:sz w:val="22"/>
        </w:rPr>
      </w:pPr>
    </w:p>
    <w:p>
      <w:pPr>
        <w:widowControl/>
        <w:jc w:val="left"/>
        <w:rPr>
          <w:rFonts w:ascii="仿宋" w:hAnsi="仿宋" w:eastAsia="仿宋"/>
          <w:sz w:val="28"/>
          <w:szCs w:val="28"/>
        </w:rPr>
        <w:sectPr>
          <w:pgSz w:w="16838" w:h="11906" w:orient="landscape"/>
          <w:pgMar w:top="1701" w:right="1134" w:bottom="1418" w:left="1134" w:header="851" w:footer="992" w:gutter="0"/>
          <w:cols w:space="720" w:num="1"/>
          <w:titlePg/>
          <w:docGrid w:linePitch="312" w:charSpace="0"/>
        </w:sectPr>
      </w:pPr>
      <w:r>
        <w:rPr>
          <w:rFonts w:ascii="仿宋" w:hAnsi="仿宋" w:eastAsia="仿宋"/>
          <w:sz w:val="28"/>
          <w:szCs w:val="28"/>
        </w:rPr>
        <w:br w:type="page"/>
      </w:r>
    </w:p>
    <w:p>
      <w:pPr>
        <w:pStyle w:val="2"/>
        <w:rPr>
          <w:rFonts w:ascii="仿宋" w:hAnsi="仿宋" w:eastAsia="仿宋"/>
          <w:sz w:val="30"/>
          <w:szCs w:val="30"/>
        </w:rPr>
      </w:pPr>
      <w:bookmarkStart w:id="278" w:name="_Toc3062"/>
      <w:bookmarkStart w:id="279" w:name="_Toc29769"/>
      <w:bookmarkStart w:id="280" w:name="_Toc8975"/>
      <w:bookmarkStart w:id="281" w:name="_Toc26714"/>
      <w:bookmarkStart w:id="282" w:name="_Toc13024"/>
      <w:r>
        <w:rPr>
          <w:rFonts w:hint="eastAsia" w:ascii="仿宋" w:hAnsi="仿宋" w:eastAsia="仿宋"/>
          <w:bCs w:val="0"/>
          <w:sz w:val="30"/>
          <w:szCs w:val="30"/>
        </w:rPr>
        <w:t>附件</w:t>
      </w:r>
      <w:r>
        <w:rPr>
          <w:rFonts w:hint="eastAsia" w:ascii="仿宋" w:hAnsi="仿宋" w:eastAsia="仿宋"/>
          <w:sz w:val="30"/>
          <w:szCs w:val="30"/>
        </w:rPr>
        <w:t>11 粤海置地第三方质量安全评估标准（另册）</w:t>
      </w:r>
      <w:bookmarkEnd w:id="278"/>
      <w:bookmarkEnd w:id="279"/>
      <w:bookmarkEnd w:id="280"/>
      <w:bookmarkEnd w:id="281"/>
      <w:bookmarkEnd w:id="282"/>
    </w:p>
    <w:p/>
    <w:sectPr>
      <w:headerReference r:id="rId23" w:type="first"/>
      <w:footerReference r:id="rId25" w:type="first"/>
      <w:headerReference r:id="rId22" w:type="default"/>
      <w:footerReference r:id="rId24" w:type="default"/>
      <w:pgSz w:w="11906" w:h="16838"/>
      <w:pgMar w:top="1418" w:right="1554"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107</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rPr>
        <w:rStyle w:val="41"/>
      </w:rPr>
      <w:instrText xml:space="preserve">PAGE  </w:instrText>
    </w:r>
    <w:r>
      <w:fldChar w:fldCharType="separate"/>
    </w:r>
    <w:r>
      <w:rPr>
        <w:rStyle w:val="41"/>
      </w:rPr>
      <w:t>32</w:t>
    </w:r>
    <w:r>
      <w:fldChar w:fldCharType="end"/>
    </w:r>
    <w:r>
      <w:rPr>
        <w:rStyle w:val="41"/>
        <w:rFonts w:hint="eastAsia"/>
      </w:rPr>
      <w:t>/</w:t>
    </w:r>
    <w:r>
      <w:fldChar w:fldCharType="begin"/>
    </w:r>
    <w:r>
      <w:rPr>
        <w:rStyle w:val="41"/>
      </w:rPr>
      <w:instrText xml:space="preserve"> NUMPAGES </w:instrText>
    </w:r>
    <w:r>
      <w:fldChar w:fldCharType="separate"/>
    </w:r>
    <w:r>
      <w:rPr>
        <w:rStyle w:val="41"/>
      </w:rPr>
      <w:t>37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188213"/>
    </w:sdtPr>
    <w:sdtContent>
      <w:sdt>
        <w:sdtPr>
          <w:id w:val="-1669238322"/>
        </w:sdtPr>
        <w:sdtContent>
          <w:p>
            <w:pPr>
              <w:pStyle w:val="24"/>
              <w:jc w:val="center"/>
            </w:pPr>
            <w:r>
              <w:rPr>
                <w:b/>
                <w:bCs/>
                <w:sz w:val="24"/>
                <w:szCs w:val="24"/>
              </w:rPr>
              <w:fldChar w:fldCharType="begin"/>
            </w:r>
            <w:r>
              <w:rPr>
                <w:b/>
                <w:bCs/>
              </w:rPr>
              <w:instrText xml:space="preserve">PAGE</w:instrText>
            </w:r>
            <w:r>
              <w:rPr>
                <w:b/>
                <w:bCs/>
                <w:sz w:val="24"/>
                <w:szCs w:val="24"/>
              </w:rPr>
              <w:fldChar w:fldCharType="separate"/>
            </w:r>
            <w:r>
              <w:rPr>
                <w:b/>
                <w:bCs/>
              </w:rPr>
              <w:t>41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sdtContent>
      </w:sdt>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b/>
      </w:rPr>
    </w:pPr>
    <w:r>
      <w:rPr>
        <w:b/>
      </w:rPr>
      <w:fldChar w:fldCharType="begin"/>
    </w:r>
    <w:r>
      <w:rPr>
        <w:rStyle w:val="41"/>
        <w:b/>
      </w:rPr>
      <w:instrText xml:space="preserve">PAGE  </w:instrText>
    </w:r>
    <w:r>
      <w:rPr>
        <w:b/>
      </w:rPr>
      <w:fldChar w:fldCharType="separate"/>
    </w:r>
    <w:r>
      <w:rPr>
        <w:rStyle w:val="41"/>
        <w:b/>
      </w:rPr>
      <w:t>37</w:t>
    </w:r>
    <w:r>
      <w:rPr>
        <w:b/>
      </w:rPr>
      <w:fldChar w:fldCharType="end"/>
    </w:r>
    <w:r>
      <w:rPr>
        <w:rStyle w:val="41"/>
        <w:rFonts w:hint="eastAsia"/>
        <w:b/>
      </w:rPr>
      <w:t>/</w:t>
    </w:r>
    <w:r>
      <w:rPr>
        <w:b/>
      </w:rPr>
      <w:fldChar w:fldCharType="begin"/>
    </w:r>
    <w:r>
      <w:rPr>
        <w:rStyle w:val="41"/>
        <w:b/>
      </w:rPr>
      <w:instrText xml:space="preserve"> NUMPAGES </w:instrText>
    </w:r>
    <w:r>
      <w:rPr>
        <w:b/>
      </w:rPr>
      <w:fldChar w:fldCharType="separate"/>
    </w:r>
    <w:r>
      <w:rPr>
        <w:rStyle w:val="41"/>
        <w:b/>
      </w:rPr>
      <w:t>37</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b/>
      </w:rPr>
    </w:pPr>
    <w:r>
      <w:rPr>
        <w:b/>
      </w:rPr>
      <w:fldChar w:fldCharType="begin"/>
    </w:r>
    <w:r>
      <w:rPr>
        <w:rStyle w:val="41"/>
        <w:b/>
      </w:rPr>
      <w:instrText xml:space="preserve">PAGE  </w:instrText>
    </w:r>
    <w:r>
      <w:rPr>
        <w:b/>
      </w:rPr>
      <w:fldChar w:fldCharType="separate"/>
    </w:r>
    <w:r>
      <w:rPr>
        <w:rStyle w:val="41"/>
        <w:b/>
      </w:rPr>
      <w:t>1</w:t>
    </w:r>
    <w:r>
      <w:rPr>
        <w:b/>
      </w:rPr>
      <w:fldChar w:fldCharType="end"/>
    </w:r>
    <w:r>
      <w:rPr>
        <w:rStyle w:val="41"/>
        <w:rFonts w:hint="eastAsia"/>
        <w:b/>
      </w:rPr>
      <w:t>/</w:t>
    </w:r>
    <w:r>
      <w:rPr>
        <w:b/>
      </w:rPr>
      <w:fldChar w:fldCharType="begin"/>
    </w:r>
    <w:r>
      <w:rPr>
        <w:rStyle w:val="41"/>
        <w:b/>
      </w:rPr>
      <w:instrText xml:space="preserve"> NUMPAGES </w:instrText>
    </w:r>
    <w:r>
      <w:rPr>
        <w:b/>
      </w:rPr>
      <w:fldChar w:fldCharType="separate"/>
    </w:r>
    <w:r>
      <w:rPr>
        <w:rStyle w:val="41"/>
        <w:b/>
      </w:rPr>
      <w:t>37</w:t>
    </w:r>
    <w:r>
      <w:rPr>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b/>
      </w:rPr>
    </w:pPr>
    <w:r>
      <w:rPr>
        <w:b/>
      </w:rPr>
      <w:fldChar w:fldCharType="begin"/>
    </w:r>
    <w:r>
      <w:rPr>
        <w:rStyle w:val="41"/>
        <w:b/>
      </w:rPr>
      <w:instrText xml:space="preserve">PAGE  </w:instrText>
    </w:r>
    <w:r>
      <w:rPr>
        <w:b/>
      </w:rPr>
      <w:fldChar w:fldCharType="separate"/>
    </w:r>
    <w:r>
      <w:rPr>
        <w:rStyle w:val="41"/>
        <w:b/>
      </w:rPr>
      <w:t>2</w:t>
    </w:r>
    <w:r>
      <w:rPr>
        <w:b/>
      </w:rPr>
      <w:fldChar w:fldCharType="end"/>
    </w:r>
    <w:r>
      <w:rPr>
        <w:rStyle w:val="41"/>
        <w:rFonts w:hint="eastAsia"/>
        <w:b/>
      </w:rPr>
      <w:t>/</w:t>
    </w:r>
    <w:r>
      <w:rPr>
        <w:b/>
      </w:rPr>
      <w:fldChar w:fldCharType="begin"/>
    </w:r>
    <w:r>
      <w:rPr>
        <w:rStyle w:val="41"/>
        <w:b/>
      </w:rPr>
      <w:instrText xml:space="preserve"> NUMPAGES </w:instrText>
    </w:r>
    <w:r>
      <w:rPr>
        <w:b/>
      </w:rPr>
      <w:fldChar w:fldCharType="separate"/>
    </w:r>
    <w:r>
      <w:rPr>
        <w:rStyle w:val="41"/>
        <w:b/>
      </w:rPr>
      <w:t>37</w:t>
    </w:r>
    <w:r>
      <w:rPr>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rPr>
        <w:b/>
        <w:bCs/>
      </w:rPr>
      <w:fldChar w:fldCharType="begin"/>
    </w:r>
    <w:r>
      <w:rPr>
        <w:b/>
        <w:bCs/>
      </w:rPr>
      <w:instrText xml:space="preserve">PAGE  \* Arabic  \* MERGEFORMAT</w:instrText>
    </w:r>
    <w:r>
      <w:rPr>
        <w:b/>
        <w:bCs/>
      </w:rPr>
      <w:fldChar w:fldCharType="separate"/>
    </w:r>
    <w:r>
      <w:rPr>
        <w:b/>
        <w:bCs/>
        <w:lang w:val="zh-CN"/>
      </w:rPr>
      <w:t>4</w:t>
    </w:r>
    <w:r>
      <w:rPr>
        <w:b/>
        <w:bCs/>
      </w:rPr>
      <w:fldChar w:fldCharType="end"/>
    </w:r>
    <w:r>
      <w:rPr>
        <w:lang w:val="zh-CN"/>
      </w:rPr>
      <w:t xml:space="preserve"> / </w:t>
    </w:r>
    <w:r>
      <w:fldChar w:fldCharType="begin"/>
    </w:r>
    <w:r>
      <w:instrText xml:space="preserve">NUMPAGES  \* Arabic  \* MERGEFORMAT</w:instrText>
    </w:r>
    <w:r>
      <w:fldChar w:fldCharType="separate"/>
    </w:r>
    <w:r>
      <w:rPr>
        <w:b/>
        <w:bCs/>
        <w:lang w:val="zh-CN"/>
      </w:rPr>
      <w:t>37</w:t>
    </w:r>
    <w:r>
      <w:rPr>
        <w:b/>
        <w:bCs/>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41"/>
      </w:rPr>
    </w:pPr>
    <w:r>
      <w:fldChar w:fldCharType="begin"/>
    </w:r>
    <w:r>
      <w:rPr>
        <w:rStyle w:val="41"/>
      </w:rPr>
      <w:instrText xml:space="preserve">PAGE  </w:instrText>
    </w:r>
    <w:r>
      <w:fldChar w:fldCharType="end"/>
    </w:r>
  </w:p>
  <w:p>
    <w:pPr>
      <w:pStyle w:val="2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rPr>
        <w:rStyle w:val="41"/>
      </w:rPr>
      <w:instrText xml:space="preserve">PAGE  </w:instrText>
    </w:r>
    <w:r>
      <w:fldChar w:fldCharType="separate"/>
    </w:r>
    <w:r>
      <w:rPr>
        <w:rStyle w:val="41"/>
      </w:rPr>
      <w:t>3</w:t>
    </w:r>
    <w:r>
      <w:fldChar w:fldCharType="end"/>
    </w:r>
    <w:r>
      <w:rPr>
        <w:rStyle w:val="41"/>
        <w:rFonts w:hint="eastAsia"/>
      </w:rPr>
      <w:t>/</w:t>
    </w:r>
    <w:r>
      <w:fldChar w:fldCharType="begin"/>
    </w:r>
    <w:r>
      <w:rPr>
        <w:rStyle w:val="41"/>
      </w:rPr>
      <w:instrText xml:space="preserve"> NUMPAGES </w:instrText>
    </w:r>
    <w:r>
      <w:fldChar w:fldCharType="separate"/>
    </w:r>
    <w:r>
      <w:rPr>
        <w:rStyle w:val="41"/>
      </w:rPr>
      <w:t>37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rPr>
        <w:b/>
        <w:bCs/>
      </w:rPr>
      <w:fldChar w:fldCharType="begin"/>
    </w:r>
    <w:r>
      <w:rPr>
        <w:b/>
        <w:bCs/>
      </w:rPr>
      <w:instrText xml:space="preserve">PAGE  \* Arabic  \* MERGEFORMAT</w:instrText>
    </w:r>
    <w:r>
      <w:rPr>
        <w:b/>
        <w:bCs/>
      </w:rPr>
      <w:fldChar w:fldCharType="separate"/>
    </w:r>
    <w:r>
      <w:rPr>
        <w:b/>
        <w:bCs/>
        <w:lang w:val="zh-CN"/>
      </w:rPr>
      <w:t>36</w:t>
    </w:r>
    <w:r>
      <w:rPr>
        <w:b/>
        <w:bCs/>
      </w:rPr>
      <w:fldChar w:fldCharType="end"/>
    </w:r>
    <w:r>
      <w:rPr>
        <w:lang w:val="zh-CN"/>
      </w:rPr>
      <w:t xml:space="preserve"> / </w:t>
    </w:r>
    <w:r>
      <w:fldChar w:fldCharType="begin"/>
    </w:r>
    <w:r>
      <w:instrText xml:space="preserve">NUMPAGES  \* Arabic  \* MERGEFORMAT</w:instrText>
    </w:r>
    <w:r>
      <w:fldChar w:fldCharType="separate"/>
    </w:r>
    <w:r>
      <w:rPr>
        <w:b/>
        <w:bCs/>
        <w:lang w:val="zh-CN"/>
      </w:rPr>
      <w:t>37</w:t>
    </w:r>
    <w:r>
      <w:rPr>
        <w:b/>
        <w:bCs/>
        <w:lang w:val="zh-C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41"/>
      </w:rPr>
    </w:pPr>
    <w:r>
      <w:fldChar w:fldCharType="begin"/>
    </w:r>
    <w:r>
      <w:rPr>
        <w:rStyle w:val="41"/>
      </w:rPr>
      <w:instrText xml:space="preserve">PAGE  </w:instrText>
    </w:r>
    <w:r>
      <w:fldChar w:fldCharType="end"/>
    </w:r>
  </w:p>
  <w:p>
    <w:pPr>
      <w:pStyle w:val="2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83"/>
      <w:lvlText w:val="%1)"/>
      <w:lvlJc w:val="left"/>
      <w:pPr>
        <w:ind w:left="987" w:hanging="420"/>
      </w:pPr>
      <w:rPr>
        <w:rFonts w:hint="eastAsia"/>
      </w:rPr>
    </w:lvl>
    <w:lvl w:ilvl="1" w:tentative="0">
      <w:start w:val="1"/>
      <w:numFmt w:val="lowerLetter"/>
      <w:lvlText w:val="%2)"/>
      <w:lvlJc w:val="left"/>
      <w:pPr>
        <w:ind w:left="976" w:hanging="420"/>
      </w:pPr>
      <w:rPr>
        <w:rFonts w:hint="eastAsia"/>
      </w:rPr>
    </w:lvl>
    <w:lvl w:ilvl="2" w:tentative="0">
      <w:start w:val="1"/>
      <w:numFmt w:val="lowerRoman"/>
      <w:lvlText w:val="%3."/>
      <w:lvlJc w:val="right"/>
      <w:pPr>
        <w:ind w:left="1396" w:hanging="420"/>
      </w:pPr>
      <w:rPr>
        <w:rFonts w:hint="eastAsia"/>
      </w:rPr>
    </w:lvl>
    <w:lvl w:ilvl="3" w:tentative="0">
      <w:start w:val="1"/>
      <w:numFmt w:val="decimal"/>
      <w:lvlText w:val="%4."/>
      <w:lvlJc w:val="left"/>
      <w:pPr>
        <w:ind w:left="1816" w:hanging="420"/>
      </w:pPr>
      <w:rPr>
        <w:rFonts w:hint="eastAsia"/>
      </w:rPr>
    </w:lvl>
    <w:lvl w:ilvl="4" w:tentative="0">
      <w:start w:val="1"/>
      <w:numFmt w:val="lowerLetter"/>
      <w:lvlText w:val="%5)"/>
      <w:lvlJc w:val="left"/>
      <w:pPr>
        <w:ind w:left="2236" w:hanging="420"/>
      </w:pPr>
      <w:rPr>
        <w:rFonts w:hint="eastAsia"/>
      </w:rPr>
    </w:lvl>
    <w:lvl w:ilvl="5" w:tentative="0">
      <w:start w:val="1"/>
      <w:numFmt w:val="lowerRoman"/>
      <w:lvlText w:val="%6."/>
      <w:lvlJc w:val="right"/>
      <w:pPr>
        <w:ind w:left="2656" w:hanging="420"/>
      </w:pPr>
      <w:rPr>
        <w:rFonts w:hint="eastAsia"/>
      </w:rPr>
    </w:lvl>
    <w:lvl w:ilvl="6" w:tentative="0">
      <w:start w:val="1"/>
      <w:numFmt w:val="decimal"/>
      <w:lvlText w:val="%7."/>
      <w:lvlJc w:val="left"/>
      <w:pPr>
        <w:ind w:left="3076" w:hanging="420"/>
      </w:pPr>
      <w:rPr>
        <w:rFonts w:hint="eastAsia"/>
      </w:rPr>
    </w:lvl>
    <w:lvl w:ilvl="7" w:tentative="0">
      <w:start w:val="1"/>
      <w:numFmt w:val="lowerLetter"/>
      <w:lvlText w:val="%8)"/>
      <w:lvlJc w:val="left"/>
      <w:pPr>
        <w:ind w:left="3496" w:hanging="420"/>
      </w:pPr>
      <w:rPr>
        <w:rFonts w:hint="eastAsia"/>
      </w:rPr>
    </w:lvl>
    <w:lvl w:ilvl="8" w:tentative="0">
      <w:start w:val="1"/>
      <w:numFmt w:val="lowerRoman"/>
      <w:lvlText w:val="%9."/>
      <w:lvlJc w:val="right"/>
      <w:pPr>
        <w:ind w:left="3916" w:hanging="420"/>
      </w:pPr>
      <w:rPr>
        <w:rFonts w:hint="eastAsia"/>
      </w:rPr>
    </w:lvl>
  </w:abstractNum>
  <w:abstractNum w:abstractNumId="1">
    <w:nsid w:val="0000000F"/>
    <w:multiLevelType w:val="multilevel"/>
    <w:tmpl w:val="0000000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1"/>
    <w:multiLevelType w:val="multilevel"/>
    <w:tmpl w:val="00000011"/>
    <w:lvl w:ilvl="0" w:tentative="0">
      <w:start w:val="1"/>
      <w:numFmt w:val="japaneseCounting"/>
      <w:lvlText w:val="%1、"/>
      <w:lvlJc w:val="left"/>
      <w:pPr>
        <w:ind w:left="480" w:hanging="48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8"/>
    <w:multiLevelType w:val="multilevel"/>
    <w:tmpl w:val="00000018"/>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21EECFB"/>
    <w:multiLevelType w:val="singleLevel"/>
    <w:tmpl w:val="321EECFB"/>
    <w:lvl w:ilvl="0" w:tentative="0">
      <w:start w:val="1"/>
      <w:numFmt w:val="decimal"/>
      <w:suff w:val="nothing"/>
      <w:lvlText w:val="%1）"/>
      <w:lvlJc w:val="left"/>
    </w:lvl>
  </w:abstractNum>
  <w:num w:numId="1">
    <w:abstractNumId w:val="0"/>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oxu">
    <w15:presenceInfo w15:providerId="None" w15:userId="gao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trackRevisions w:val="1"/>
  <w:documentProtection w:enforcement="0"/>
  <w:defaultTabStop w:val="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g4OTJkMzQ5MzRmY2Q0M2I3NWM3ZWZjODVjYWU5ZmQifQ=="/>
  </w:docVars>
  <w:rsids>
    <w:rsidRoot w:val="00172A27"/>
    <w:rsid w:val="00000BF7"/>
    <w:rsid w:val="00000FEF"/>
    <w:rsid w:val="00001823"/>
    <w:rsid w:val="00002277"/>
    <w:rsid w:val="00002874"/>
    <w:rsid w:val="000029D7"/>
    <w:rsid w:val="00003517"/>
    <w:rsid w:val="00003AD5"/>
    <w:rsid w:val="000046B4"/>
    <w:rsid w:val="0000615D"/>
    <w:rsid w:val="00006519"/>
    <w:rsid w:val="00007B06"/>
    <w:rsid w:val="000100E6"/>
    <w:rsid w:val="0001091C"/>
    <w:rsid w:val="0001198C"/>
    <w:rsid w:val="00011D32"/>
    <w:rsid w:val="00012BDE"/>
    <w:rsid w:val="000134A1"/>
    <w:rsid w:val="00013900"/>
    <w:rsid w:val="00013FA2"/>
    <w:rsid w:val="000144A3"/>
    <w:rsid w:val="00014707"/>
    <w:rsid w:val="0001540F"/>
    <w:rsid w:val="000163CA"/>
    <w:rsid w:val="000202D1"/>
    <w:rsid w:val="0002145E"/>
    <w:rsid w:val="00023074"/>
    <w:rsid w:val="00023184"/>
    <w:rsid w:val="0002406F"/>
    <w:rsid w:val="00027136"/>
    <w:rsid w:val="000275FC"/>
    <w:rsid w:val="000304FA"/>
    <w:rsid w:val="0003076E"/>
    <w:rsid w:val="00031069"/>
    <w:rsid w:val="00031281"/>
    <w:rsid w:val="00031D65"/>
    <w:rsid w:val="0003224B"/>
    <w:rsid w:val="00032684"/>
    <w:rsid w:val="00032F63"/>
    <w:rsid w:val="00034082"/>
    <w:rsid w:val="0003474C"/>
    <w:rsid w:val="000353C0"/>
    <w:rsid w:val="0003569A"/>
    <w:rsid w:val="0003636E"/>
    <w:rsid w:val="00036E55"/>
    <w:rsid w:val="00036F2A"/>
    <w:rsid w:val="00037927"/>
    <w:rsid w:val="00040D3A"/>
    <w:rsid w:val="0004196B"/>
    <w:rsid w:val="000426CE"/>
    <w:rsid w:val="00042C4F"/>
    <w:rsid w:val="00043443"/>
    <w:rsid w:val="00043F4F"/>
    <w:rsid w:val="00044C4D"/>
    <w:rsid w:val="00044E82"/>
    <w:rsid w:val="00045091"/>
    <w:rsid w:val="000451C6"/>
    <w:rsid w:val="00045717"/>
    <w:rsid w:val="00045AAA"/>
    <w:rsid w:val="00046866"/>
    <w:rsid w:val="000469A0"/>
    <w:rsid w:val="00046C2B"/>
    <w:rsid w:val="0004769A"/>
    <w:rsid w:val="00050173"/>
    <w:rsid w:val="000501D0"/>
    <w:rsid w:val="000505A0"/>
    <w:rsid w:val="000507AF"/>
    <w:rsid w:val="00050C04"/>
    <w:rsid w:val="00051F06"/>
    <w:rsid w:val="00052326"/>
    <w:rsid w:val="0005266A"/>
    <w:rsid w:val="00052807"/>
    <w:rsid w:val="00053414"/>
    <w:rsid w:val="00053853"/>
    <w:rsid w:val="000557EA"/>
    <w:rsid w:val="00056AF6"/>
    <w:rsid w:val="00060448"/>
    <w:rsid w:val="00060D59"/>
    <w:rsid w:val="00064AD0"/>
    <w:rsid w:val="00064AF6"/>
    <w:rsid w:val="00065FEC"/>
    <w:rsid w:val="000669BD"/>
    <w:rsid w:val="00070299"/>
    <w:rsid w:val="000715DD"/>
    <w:rsid w:val="00073A95"/>
    <w:rsid w:val="00073C4B"/>
    <w:rsid w:val="0007402C"/>
    <w:rsid w:val="00074E6F"/>
    <w:rsid w:val="000753A9"/>
    <w:rsid w:val="00076546"/>
    <w:rsid w:val="0007727E"/>
    <w:rsid w:val="0007742A"/>
    <w:rsid w:val="000778EF"/>
    <w:rsid w:val="00077C47"/>
    <w:rsid w:val="000800C8"/>
    <w:rsid w:val="000808B0"/>
    <w:rsid w:val="000815DA"/>
    <w:rsid w:val="000816EB"/>
    <w:rsid w:val="000816F3"/>
    <w:rsid w:val="00082747"/>
    <w:rsid w:val="00083ADD"/>
    <w:rsid w:val="00084ADF"/>
    <w:rsid w:val="00085770"/>
    <w:rsid w:val="00085784"/>
    <w:rsid w:val="00090C1F"/>
    <w:rsid w:val="00090DAA"/>
    <w:rsid w:val="000911FA"/>
    <w:rsid w:val="00091585"/>
    <w:rsid w:val="00091F2F"/>
    <w:rsid w:val="00091FC0"/>
    <w:rsid w:val="000929DE"/>
    <w:rsid w:val="000934FF"/>
    <w:rsid w:val="00093681"/>
    <w:rsid w:val="00093CCC"/>
    <w:rsid w:val="000956C6"/>
    <w:rsid w:val="00095D3C"/>
    <w:rsid w:val="00096106"/>
    <w:rsid w:val="000976F3"/>
    <w:rsid w:val="000979D5"/>
    <w:rsid w:val="00097C0C"/>
    <w:rsid w:val="00097E4C"/>
    <w:rsid w:val="000A253C"/>
    <w:rsid w:val="000A2856"/>
    <w:rsid w:val="000A28E1"/>
    <w:rsid w:val="000A341E"/>
    <w:rsid w:val="000A3AE7"/>
    <w:rsid w:val="000A4013"/>
    <w:rsid w:val="000A4EB4"/>
    <w:rsid w:val="000A59DE"/>
    <w:rsid w:val="000A6523"/>
    <w:rsid w:val="000B02B4"/>
    <w:rsid w:val="000B03FE"/>
    <w:rsid w:val="000B0B1F"/>
    <w:rsid w:val="000B27E4"/>
    <w:rsid w:val="000B3468"/>
    <w:rsid w:val="000B517C"/>
    <w:rsid w:val="000B5868"/>
    <w:rsid w:val="000B5879"/>
    <w:rsid w:val="000B6BFE"/>
    <w:rsid w:val="000B6FFB"/>
    <w:rsid w:val="000B77DD"/>
    <w:rsid w:val="000B7EC9"/>
    <w:rsid w:val="000C05C5"/>
    <w:rsid w:val="000C094F"/>
    <w:rsid w:val="000C0F33"/>
    <w:rsid w:val="000C10BE"/>
    <w:rsid w:val="000C4705"/>
    <w:rsid w:val="000C5A14"/>
    <w:rsid w:val="000C6E6C"/>
    <w:rsid w:val="000D0923"/>
    <w:rsid w:val="000D1A88"/>
    <w:rsid w:val="000D1E03"/>
    <w:rsid w:val="000D22EC"/>
    <w:rsid w:val="000D234B"/>
    <w:rsid w:val="000D3668"/>
    <w:rsid w:val="000D3854"/>
    <w:rsid w:val="000D4658"/>
    <w:rsid w:val="000D4A98"/>
    <w:rsid w:val="000D64DB"/>
    <w:rsid w:val="000D7B59"/>
    <w:rsid w:val="000E1C66"/>
    <w:rsid w:val="000E1C91"/>
    <w:rsid w:val="000E41C5"/>
    <w:rsid w:val="000E564B"/>
    <w:rsid w:val="000E60F8"/>
    <w:rsid w:val="000E65FF"/>
    <w:rsid w:val="000F09B7"/>
    <w:rsid w:val="000F0A1D"/>
    <w:rsid w:val="000F1445"/>
    <w:rsid w:val="000F18FB"/>
    <w:rsid w:val="000F220A"/>
    <w:rsid w:val="000F32D2"/>
    <w:rsid w:val="000F3C1D"/>
    <w:rsid w:val="000F3CB8"/>
    <w:rsid w:val="000F4829"/>
    <w:rsid w:val="000F5011"/>
    <w:rsid w:val="000F59A7"/>
    <w:rsid w:val="000F5DE4"/>
    <w:rsid w:val="000F6A23"/>
    <w:rsid w:val="000F7CB7"/>
    <w:rsid w:val="000F7F23"/>
    <w:rsid w:val="00100A22"/>
    <w:rsid w:val="00101065"/>
    <w:rsid w:val="00101487"/>
    <w:rsid w:val="001015C9"/>
    <w:rsid w:val="00101BD3"/>
    <w:rsid w:val="00102FF4"/>
    <w:rsid w:val="0010458E"/>
    <w:rsid w:val="001046F5"/>
    <w:rsid w:val="00104962"/>
    <w:rsid w:val="00105D0A"/>
    <w:rsid w:val="001060A8"/>
    <w:rsid w:val="001066B3"/>
    <w:rsid w:val="00107001"/>
    <w:rsid w:val="00107489"/>
    <w:rsid w:val="001075BF"/>
    <w:rsid w:val="00107A21"/>
    <w:rsid w:val="001100A4"/>
    <w:rsid w:val="00110602"/>
    <w:rsid w:val="00110E36"/>
    <w:rsid w:val="00110E7C"/>
    <w:rsid w:val="001110E8"/>
    <w:rsid w:val="001116E6"/>
    <w:rsid w:val="00113678"/>
    <w:rsid w:val="00116A4A"/>
    <w:rsid w:val="0011730D"/>
    <w:rsid w:val="001175D8"/>
    <w:rsid w:val="00117779"/>
    <w:rsid w:val="00121701"/>
    <w:rsid w:val="00121790"/>
    <w:rsid w:val="00122910"/>
    <w:rsid w:val="00122992"/>
    <w:rsid w:val="00124614"/>
    <w:rsid w:val="00124E95"/>
    <w:rsid w:val="001251A1"/>
    <w:rsid w:val="00125D81"/>
    <w:rsid w:val="00126DBC"/>
    <w:rsid w:val="00131065"/>
    <w:rsid w:val="001317DA"/>
    <w:rsid w:val="00133EF8"/>
    <w:rsid w:val="00134C53"/>
    <w:rsid w:val="0013500E"/>
    <w:rsid w:val="00135095"/>
    <w:rsid w:val="00135731"/>
    <w:rsid w:val="00135C64"/>
    <w:rsid w:val="001366A5"/>
    <w:rsid w:val="00137357"/>
    <w:rsid w:val="00137CE2"/>
    <w:rsid w:val="0014124C"/>
    <w:rsid w:val="00143D41"/>
    <w:rsid w:val="001440F9"/>
    <w:rsid w:val="0014535E"/>
    <w:rsid w:val="0014635B"/>
    <w:rsid w:val="001475D4"/>
    <w:rsid w:val="001505B6"/>
    <w:rsid w:val="00151355"/>
    <w:rsid w:val="001518C4"/>
    <w:rsid w:val="00152348"/>
    <w:rsid w:val="00153056"/>
    <w:rsid w:val="001534E2"/>
    <w:rsid w:val="00153501"/>
    <w:rsid w:val="001537D8"/>
    <w:rsid w:val="00153FFA"/>
    <w:rsid w:val="001543A1"/>
    <w:rsid w:val="00154CA5"/>
    <w:rsid w:val="00155454"/>
    <w:rsid w:val="001554B9"/>
    <w:rsid w:val="00155578"/>
    <w:rsid w:val="001556AC"/>
    <w:rsid w:val="001577E4"/>
    <w:rsid w:val="001607EE"/>
    <w:rsid w:val="00160D12"/>
    <w:rsid w:val="0016112C"/>
    <w:rsid w:val="0016164C"/>
    <w:rsid w:val="00161A38"/>
    <w:rsid w:val="00161DDA"/>
    <w:rsid w:val="0016368F"/>
    <w:rsid w:val="00164A06"/>
    <w:rsid w:val="00165AEF"/>
    <w:rsid w:val="001667F7"/>
    <w:rsid w:val="001675F7"/>
    <w:rsid w:val="0016776F"/>
    <w:rsid w:val="00167DC6"/>
    <w:rsid w:val="001704AE"/>
    <w:rsid w:val="00172428"/>
    <w:rsid w:val="00172A27"/>
    <w:rsid w:val="00172E01"/>
    <w:rsid w:val="00174F3C"/>
    <w:rsid w:val="0017575B"/>
    <w:rsid w:val="00175CFB"/>
    <w:rsid w:val="00176B16"/>
    <w:rsid w:val="00176DA4"/>
    <w:rsid w:val="00177D11"/>
    <w:rsid w:val="001802D0"/>
    <w:rsid w:val="00180763"/>
    <w:rsid w:val="00180996"/>
    <w:rsid w:val="00180D20"/>
    <w:rsid w:val="00181533"/>
    <w:rsid w:val="00181DF8"/>
    <w:rsid w:val="001832D2"/>
    <w:rsid w:val="00183C2E"/>
    <w:rsid w:val="001845A8"/>
    <w:rsid w:val="00184795"/>
    <w:rsid w:val="00185235"/>
    <w:rsid w:val="001859AA"/>
    <w:rsid w:val="00185B68"/>
    <w:rsid w:val="00185E3E"/>
    <w:rsid w:val="00187B33"/>
    <w:rsid w:val="00191773"/>
    <w:rsid w:val="00193535"/>
    <w:rsid w:val="001962AA"/>
    <w:rsid w:val="00197247"/>
    <w:rsid w:val="001A06F1"/>
    <w:rsid w:val="001A0CFD"/>
    <w:rsid w:val="001A0D27"/>
    <w:rsid w:val="001A1559"/>
    <w:rsid w:val="001A19CD"/>
    <w:rsid w:val="001A1DCE"/>
    <w:rsid w:val="001A3195"/>
    <w:rsid w:val="001A3B3F"/>
    <w:rsid w:val="001A4024"/>
    <w:rsid w:val="001A515C"/>
    <w:rsid w:val="001A5A84"/>
    <w:rsid w:val="001A65D0"/>
    <w:rsid w:val="001A74B5"/>
    <w:rsid w:val="001A778B"/>
    <w:rsid w:val="001A7D86"/>
    <w:rsid w:val="001B1A4F"/>
    <w:rsid w:val="001B247F"/>
    <w:rsid w:val="001B280B"/>
    <w:rsid w:val="001B29AF"/>
    <w:rsid w:val="001B2F1A"/>
    <w:rsid w:val="001B740B"/>
    <w:rsid w:val="001B77A2"/>
    <w:rsid w:val="001B79CD"/>
    <w:rsid w:val="001B7D4B"/>
    <w:rsid w:val="001C0395"/>
    <w:rsid w:val="001C0D4D"/>
    <w:rsid w:val="001C1F85"/>
    <w:rsid w:val="001C30F5"/>
    <w:rsid w:val="001D24C3"/>
    <w:rsid w:val="001D38CD"/>
    <w:rsid w:val="001D3FB4"/>
    <w:rsid w:val="001D4C95"/>
    <w:rsid w:val="001D6FCD"/>
    <w:rsid w:val="001E01EE"/>
    <w:rsid w:val="001E0C07"/>
    <w:rsid w:val="001E0CD3"/>
    <w:rsid w:val="001E1482"/>
    <w:rsid w:val="001E2138"/>
    <w:rsid w:val="001E4385"/>
    <w:rsid w:val="001E4D48"/>
    <w:rsid w:val="001E52D8"/>
    <w:rsid w:val="001E6335"/>
    <w:rsid w:val="001E6E0F"/>
    <w:rsid w:val="001E723B"/>
    <w:rsid w:val="001E7360"/>
    <w:rsid w:val="001E7604"/>
    <w:rsid w:val="001F0ECB"/>
    <w:rsid w:val="001F1020"/>
    <w:rsid w:val="001F1589"/>
    <w:rsid w:val="001F31F0"/>
    <w:rsid w:val="001F4180"/>
    <w:rsid w:val="001F62C6"/>
    <w:rsid w:val="001F6C44"/>
    <w:rsid w:val="001F785F"/>
    <w:rsid w:val="001F79B7"/>
    <w:rsid w:val="002015E9"/>
    <w:rsid w:val="00201963"/>
    <w:rsid w:val="00201C59"/>
    <w:rsid w:val="00201F23"/>
    <w:rsid w:val="00203FA0"/>
    <w:rsid w:val="00207307"/>
    <w:rsid w:val="00207B70"/>
    <w:rsid w:val="00210A81"/>
    <w:rsid w:val="00210B80"/>
    <w:rsid w:val="00212833"/>
    <w:rsid w:val="00212ADE"/>
    <w:rsid w:val="002133A7"/>
    <w:rsid w:val="00213EDF"/>
    <w:rsid w:val="0021410C"/>
    <w:rsid w:val="00214EB8"/>
    <w:rsid w:val="00214FD4"/>
    <w:rsid w:val="00215903"/>
    <w:rsid w:val="00215EF6"/>
    <w:rsid w:val="002178CD"/>
    <w:rsid w:val="00217A7C"/>
    <w:rsid w:val="002201EA"/>
    <w:rsid w:val="00220A82"/>
    <w:rsid w:val="00221794"/>
    <w:rsid w:val="00221E34"/>
    <w:rsid w:val="00221F67"/>
    <w:rsid w:val="002221BC"/>
    <w:rsid w:val="002232B6"/>
    <w:rsid w:val="00224091"/>
    <w:rsid w:val="00224470"/>
    <w:rsid w:val="002247F1"/>
    <w:rsid w:val="00224E3E"/>
    <w:rsid w:val="00225560"/>
    <w:rsid w:val="00227015"/>
    <w:rsid w:val="002270EA"/>
    <w:rsid w:val="00230C6E"/>
    <w:rsid w:val="002319FF"/>
    <w:rsid w:val="0023224E"/>
    <w:rsid w:val="0023229E"/>
    <w:rsid w:val="00232437"/>
    <w:rsid w:val="002335C8"/>
    <w:rsid w:val="00233AA8"/>
    <w:rsid w:val="00233BAA"/>
    <w:rsid w:val="00233BF8"/>
    <w:rsid w:val="00233E2C"/>
    <w:rsid w:val="0023626C"/>
    <w:rsid w:val="0023664F"/>
    <w:rsid w:val="00236D9B"/>
    <w:rsid w:val="00237EDC"/>
    <w:rsid w:val="00242591"/>
    <w:rsid w:val="002426BC"/>
    <w:rsid w:val="00242CAE"/>
    <w:rsid w:val="00243295"/>
    <w:rsid w:val="00243901"/>
    <w:rsid w:val="00243A77"/>
    <w:rsid w:val="00243B4F"/>
    <w:rsid w:val="00243CEF"/>
    <w:rsid w:val="00244F54"/>
    <w:rsid w:val="002450A7"/>
    <w:rsid w:val="0024512C"/>
    <w:rsid w:val="00245398"/>
    <w:rsid w:val="00245AF2"/>
    <w:rsid w:val="00247390"/>
    <w:rsid w:val="002474DB"/>
    <w:rsid w:val="00247BE2"/>
    <w:rsid w:val="00251119"/>
    <w:rsid w:val="00251AEC"/>
    <w:rsid w:val="002525D0"/>
    <w:rsid w:val="00253B73"/>
    <w:rsid w:val="00254C09"/>
    <w:rsid w:val="00255C60"/>
    <w:rsid w:val="00255E59"/>
    <w:rsid w:val="00257E7F"/>
    <w:rsid w:val="002605D9"/>
    <w:rsid w:val="00260A2D"/>
    <w:rsid w:val="00260CFC"/>
    <w:rsid w:val="00261647"/>
    <w:rsid w:val="00261B06"/>
    <w:rsid w:val="002639FB"/>
    <w:rsid w:val="00264D11"/>
    <w:rsid w:val="00265464"/>
    <w:rsid w:val="002663AA"/>
    <w:rsid w:val="00267ACC"/>
    <w:rsid w:val="00267CB2"/>
    <w:rsid w:val="0027072D"/>
    <w:rsid w:val="0027088E"/>
    <w:rsid w:val="00271F58"/>
    <w:rsid w:val="002730C4"/>
    <w:rsid w:val="00273129"/>
    <w:rsid w:val="002746DE"/>
    <w:rsid w:val="002746E5"/>
    <w:rsid w:val="00275192"/>
    <w:rsid w:val="0027781C"/>
    <w:rsid w:val="00280DEE"/>
    <w:rsid w:val="002831A1"/>
    <w:rsid w:val="002831CA"/>
    <w:rsid w:val="00283F97"/>
    <w:rsid w:val="00285642"/>
    <w:rsid w:val="00287B6F"/>
    <w:rsid w:val="00291BDD"/>
    <w:rsid w:val="00293F5A"/>
    <w:rsid w:val="00293F82"/>
    <w:rsid w:val="0029401A"/>
    <w:rsid w:val="0029578B"/>
    <w:rsid w:val="002958C4"/>
    <w:rsid w:val="00295AB8"/>
    <w:rsid w:val="002966D2"/>
    <w:rsid w:val="00297239"/>
    <w:rsid w:val="002A1D0C"/>
    <w:rsid w:val="002A2F4E"/>
    <w:rsid w:val="002A36E1"/>
    <w:rsid w:val="002A48BB"/>
    <w:rsid w:val="002A49A9"/>
    <w:rsid w:val="002A5487"/>
    <w:rsid w:val="002A60F7"/>
    <w:rsid w:val="002A6E0C"/>
    <w:rsid w:val="002A6F1A"/>
    <w:rsid w:val="002B23A1"/>
    <w:rsid w:val="002B336E"/>
    <w:rsid w:val="002B3EC0"/>
    <w:rsid w:val="002B4181"/>
    <w:rsid w:val="002B49E1"/>
    <w:rsid w:val="002B4F5F"/>
    <w:rsid w:val="002B70DA"/>
    <w:rsid w:val="002B72A6"/>
    <w:rsid w:val="002B7F30"/>
    <w:rsid w:val="002C19ED"/>
    <w:rsid w:val="002C1B13"/>
    <w:rsid w:val="002C3228"/>
    <w:rsid w:val="002C34D7"/>
    <w:rsid w:val="002C3FC6"/>
    <w:rsid w:val="002C4520"/>
    <w:rsid w:val="002C5857"/>
    <w:rsid w:val="002C59A4"/>
    <w:rsid w:val="002C5F99"/>
    <w:rsid w:val="002C7655"/>
    <w:rsid w:val="002D00D8"/>
    <w:rsid w:val="002D0628"/>
    <w:rsid w:val="002D0DE4"/>
    <w:rsid w:val="002D1091"/>
    <w:rsid w:val="002D1AFF"/>
    <w:rsid w:val="002D2737"/>
    <w:rsid w:val="002D317F"/>
    <w:rsid w:val="002D364E"/>
    <w:rsid w:val="002D5ED6"/>
    <w:rsid w:val="002D63F1"/>
    <w:rsid w:val="002D640A"/>
    <w:rsid w:val="002D6C8A"/>
    <w:rsid w:val="002D7362"/>
    <w:rsid w:val="002D7A1D"/>
    <w:rsid w:val="002E0D2D"/>
    <w:rsid w:val="002E131A"/>
    <w:rsid w:val="002E1711"/>
    <w:rsid w:val="002E22D0"/>
    <w:rsid w:val="002E3172"/>
    <w:rsid w:val="002E414F"/>
    <w:rsid w:val="002E4A45"/>
    <w:rsid w:val="002E5E72"/>
    <w:rsid w:val="002E6784"/>
    <w:rsid w:val="002E7824"/>
    <w:rsid w:val="002E785B"/>
    <w:rsid w:val="002F037E"/>
    <w:rsid w:val="002F1CCE"/>
    <w:rsid w:val="002F2707"/>
    <w:rsid w:val="002F28EA"/>
    <w:rsid w:val="002F3037"/>
    <w:rsid w:val="002F343B"/>
    <w:rsid w:val="002F4FBB"/>
    <w:rsid w:val="002F5E2B"/>
    <w:rsid w:val="002F73CA"/>
    <w:rsid w:val="002F76F0"/>
    <w:rsid w:val="003002F6"/>
    <w:rsid w:val="00300826"/>
    <w:rsid w:val="00300BBA"/>
    <w:rsid w:val="00301263"/>
    <w:rsid w:val="0030189E"/>
    <w:rsid w:val="003040BA"/>
    <w:rsid w:val="0030594E"/>
    <w:rsid w:val="00306033"/>
    <w:rsid w:val="00306DE7"/>
    <w:rsid w:val="00310087"/>
    <w:rsid w:val="0031054B"/>
    <w:rsid w:val="00311ACF"/>
    <w:rsid w:val="00312AEB"/>
    <w:rsid w:val="00314842"/>
    <w:rsid w:val="00314E63"/>
    <w:rsid w:val="00315E66"/>
    <w:rsid w:val="00316096"/>
    <w:rsid w:val="003163A3"/>
    <w:rsid w:val="003163F4"/>
    <w:rsid w:val="00316A09"/>
    <w:rsid w:val="00316C85"/>
    <w:rsid w:val="00316F82"/>
    <w:rsid w:val="00317911"/>
    <w:rsid w:val="00317F1E"/>
    <w:rsid w:val="00321B0A"/>
    <w:rsid w:val="0032249B"/>
    <w:rsid w:val="00322F26"/>
    <w:rsid w:val="0032316C"/>
    <w:rsid w:val="00324A8D"/>
    <w:rsid w:val="003254D4"/>
    <w:rsid w:val="0032581E"/>
    <w:rsid w:val="0032625D"/>
    <w:rsid w:val="003268A4"/>
    <w:rsid w:val="00327052"/>
    <w:rsid w:val="00327226"/>
    <w:rsid w:val="00330039"/>
    <w:rsid w:val="00330271"/>
    <w:rsid w:val="0033043A"/>
    <w:rsid w:val="00331B1D"/>
    <w:rsid w:val="0033262D"/>
    <w:rsid w:val="00332B15"/>
    <w:rsid w:val="00332D31"/>
    <w:rsid w:val="00333439"/>
    <w:rsid w:val="003335C1"/>
    <w:rsid w:val="00333C86"/>
    <w:rsid w:val="00334402"/>
    <w:rsid w:val="00334A93"/>
    <w:rsid w:val="00334E84"/>
    <w:rsid w:val="00335408"/>
    <w:rsid w:val="0033644C"/>
    <w:rsid w:val="003369DD"/>
    <w:rsid w:val="00336DD2"/>
    <w:rsid w:val="00336E8A"/>
    <w:rsid w:val="00340BF8"/>
    <w:rsid w:val="003434F0"/>
    <w:rsid w:val="0034485F"/>
    <w:rsid w:val="0034606C"/>
    <w:rsid w:val="003467E2"/>
    <w:rsid w:val="00347A06"/>
    <w:rsid w:val="00347C4A"/>
    <w:rsid w:val="00350B9F"/>
    <w:rsid w:val="0035350C"/>
    <w:rsid w:val="003537AB"/>
    <w:rsid w:val="0035531C"/>
    <w:rsid w:val="00355EAC"/>
    <w:rsid w:val="003560C8"/>
    <w:rsid w:val="003561AB"/>
    <w:rsid w:val="0035649C"/>
    <w:rsid w:val="00360D48"/>
    <w:rsid w:val="003628A6"/>
    <w:rsid w:val="003637A3"/>
    <w:rsid w:val="00363D70"/>
    <w:rsid w:val="00363E1B"/>
    <w:rsid w:val="00364154"/>
    <w:rsid w:val="003644DF"/>
    <w:rsid w:val="00365A6D"/>
    <w:rsid w:val="00365D5F"/>
    <w:rsid w:val="003667D7"/>
    <w:rsid w:val="003674E8"/>
    <w:rsid w:val="00372A32"/>
    <w:rsid w:val="00372DA7"/>
    <w:rsid w:val="00373637"/>
    <w:rsid w:val="00373FB7"/>
    <w:rsid w:val="00374CFE"/>
    <w:rsid w:val="00374EF5"/>
    <w:rsid w:val="0037706C"/>
    <w:rsid w:val="00377628"/>
    <w:rsid w:val="003802E8"/>
    <w:rsid w:val="0038088C"/>
    <w:rsid w:val="00381F90"/>
    <w:rsid w:val="0038270F"/>
    <w:rsid w:val="0038382A"/>
    <w:rsid w:val="00385929"/>
    <w:rsid w:val="00387858"/>
    <w:rsid w:val="00390525"/>
    <w:rsid w:val="00390791"/>
    <w:rsid w:val="00390B5B"/>
    <w:rsid w:val="003910FD"/>
    <w:rsid w:val="003911E5"/>
    <w:rsid w:val="003926D8"/>
    <w:rsid w:val="003927C9"/>
    <w:rsid w:val="003929F1"/>
    <w:rsid w:val="00392E36"/>
    <w:rsid w:val="00392FA8"/>
    <w:rsid w:val="003930C8"/>
    <w:rsid w:val="003940AE"/>
    <w:rsid w:val="00394954"/>
    <w:rsid w:val="00394D06"/>
    <w:rsid w:val="00395C45"/>
    <w:rsid w:val="003964F2"/>
    <w:rsid w:val="00396F58"/>
    <w:rsid w:val="00397947"/>
    <w:rsid w:val="003A1066"/>
    <w:rsid w:val="003A1942"/>
    <w:rsid w:val="003A2B72"/>
    <w:rsid w:val="003A3F30"/>
    <w:rsid w:val="003A4FC1"/>
    <w:rsid w:val="003A5DA7"/>
    <w:rsid w:val="003A69C6"/>
    <w:rsid w:val="003A7236"/>
    <w:rsid w:val="003A79F1"/>
    <w:rsid w:val="003B0820"/>
    <w:rsid w:val="003B1A94"/>
    <w:rsid w:val="003B3348"/>
    <w:rsid w:val="003B4095"/>
    <w:rsid w:val="003B5388"/>
    <w:rsid w:val="003B5728"/>
    <w:rsid w:val="003B682D"/>
    <w:rsid w:val="003B786C"/>
    <w:rsid w:val="003C047C"/>
    <w:rsid w:val="003C2A2E"/>
    <w:rsid w:val="003C2DBC"/>
    <w:rsid w:val="003C3B5F"/>
    <w:rsid w:val="003C429F"/>
    <w:rsid w:val="003C4835"/>
    <w:rsid w:val="003C6A08"/>
    <w:rsid w:val="003C74C4"/>
    <w:rsid w:val="003C76CF"/>
    <w:rsid w:val="003D2355"/>
    <w:rsid w:val="003D2A8A"/>
    <w:rsid w:val="003D5ED0"/>
    <w:rsid w:val="003D6D08"/>
    <w:rsid w:val="003D710F"/>
    <w:rsid w:val="003E0E6C"/>
    <w:rsid w:val="003E1F6E"/>
    <w:rsid w:val="003E23E3"/>
    <w:rsid w:val="003E2D4C"/>
    <w:rsid w:val="003E3518"/>
    <w:rsid w:val="003E3A57"/>
    <w:rsid w:val="003E3AE8"/>
    <w:rsid w:val="003E47C4"/>
    <w:rsid w:val="003E47C7"/>
    <w:rsid w:val="003E577B"/>
    <w:rsid w:val="003E5837"/>
    <w:rsid w:val="003E6167"/>
    <w:rsid w:val="003F1941"/>
    <w:rsid w:val="003F1E9C"/>
    <w:rsid w:val="003F3829"/>
    <w:rsid w:val="003F3C2F"/>
    <w:rsid w:val="003F5347"/>
    <w:rsid w:val="003F60F3"/>
    <w:rsid w:val="003F6531"/>
    <w:rsid w:val="004006B4"/>
    <w:rsid w:val="004014D9"/>
    <w:rsid w:val="004020EC"/>
    <w:rsid w:val="00402C41"/>
    <w:rsid w:val="00404057"/>
    <w:rsid w:val="00404B01"/>
    <w:rsid w:val="00404D32"/>
    <w:rsid w:val="0040572C"/>
    <w:rsid w:val="0040591C"/>
    <w:rsid w:val="00405B53"/>
    <w:rsid w:val="004103F4"/>
    <w:rsid w:val="00410E88"/>
    <w:rsid w:val="004117CB"/>
    <w:rsid w:val="00411E9C"/>
    <w:rsid w:val="00411EE9"/>
    <w:rsid w:val="004128BB"/>
    <w:rsid w:val="00413A5F"/>
    <w:rsid w:val="004140E0"/>
    <w:rsid w:val="00415513"/>
    <w:rsid w:val="0041634E"/>
    <w:rsid w:val="00416EFF"/>
    <w:rsid w:val="00420C7F"/>
    <w:rsid w:val="00421CA1"/>
    <w:rsid w:val="00421F22"/>
    <w:rsid w:val="00422239"/>
    <w:rsid w:val="004235E1"/>
    <w:rsid w:val="00424033"/>
    <w:rsid w:val="00425DCA"/>
    <w:rsid w:val="00426496"/>
    <w:rsid w:val="00426A65"/>
    <w:rsid w:val="00426E13"/>
    <w:rsid w:val="004313E7"/>
    <w:rsid w:val="00431BDC"/>
    <w:rsid w:val="00432B37"/>
    <w:rsid w:val="00432C07"/>
    <w:rsid w:val="00433FCC"/>
    <w:rsid w:val="00434744"/>
    <w:rsid w:val="00436B2D"/>
    <w:rsid w:val="00437EF8"/>
    <w:rsid w:val="00441788"/>
    <w:rsid w:val="004421CF"/>
    <w:rsid w:val="00442B6F"/>
    <w:rsid w:val="00443A6E"/>
    <w:rsid w:val="00445532"/>
    <w:rsid w:val="00445668"/>
    <w:rsid w:val="004457DF"/>
    <w:rsid w:val="004475E3"/>
    <w:rsid w:val="004507A4"/>
    <w:rsid w:val="00450F9D"/>
    <w:rsid w:val="0045139E"/>
    <w:rsid w:val="00451EBE"/>
    <w:rsid w:val="00452238"/>
    <w:rsid w:val="004523D6"/>
    <w:rsid w:val="0045276F"/>
    <w:rsid w:val="004527D0"/>
    <w:rsid w:val="00452A4F"/>
    <w:rsid w:val="00452F00"/>
    <w:rsid w:val="004543AF"/>
    <w:rsid w:val="00454AC0"/>
    <w:rsid w:val="00454DD1"/>
    <w:rsid w:val="00457D1C"/>
    <w:rsid w:val="004606C2"/>
    <w:rsid w:val="00462C90"/>
    <w:rsid w:val="0046301F"/>
    <w:rsid w:val="00463350"/>
    <w:rsid w:val="00463589"/>
    <w:rsid w:val="004636FD"/>
    <w:rsid w:val="004659F9"/>
    <w:rsid w:val="004662AD"/>
    <w:rsid w:val="00466F95"/>
    <w:rsid w:val="00467685"/>
    <w:rsid w:val="00471150"/>
    <w:rsid w:val="00471558"/>
    <w:rsid w:val="00471AE3"/>
    <w:rsid w:val="00472209"/>
    <w:rsid w:val="00475330"/>
    <w:rsid w:val="00475B9E"/>
    <w:rsid w:val="00477729"/>
    <w:rsid w:val="00480082"/>
    <w:rsid w:val="0048148D"/>
    <w:rsid w:val="00481EB9"/>
    <w:rsid w:val="00482DCC"/>
    <w:rsid w:val="00482EE6"/>
    <w:rsid w:val="004831DE"/>
    <w:rsid w:val="004834A8"/>
    <w:rsid w:val="00484EA7"/>
    <w:rsid w:val="00485BA4"/>
    <w:rsid w:val="00485BC8"/>
    <w:rsid w:val="00486A35"/>
    <w:rsid w:val="004873F9"/>
    <w:rsid w:val="004876DE"/>
    <w:rsid w:val="00487FCC"/>
    <w:rsid w:val="00490B5D"/>
    <w:rsid w:val="00493EE7"/>
    <w:rsid w:val="0049469F"/>
    <w:rsid w:val="00494CA5"/>
    <w:rsid w:val="00496D48"/>
    <w:rsid w:val="00497382"/>
    <w:rsid w:val="004A37BF"/>
    <w:rsid w:val="004A3840"/>
    <w:rsid w:val="004A39B6"/>
    <w:rsid w:val="004A479F"/>
    <w:rsid w:val="004A6C89"/>
    <w:rsid w:val="004A6FA5"/>
    <w:rsid w:val="004A7399"/>
    <w:rsid w:val="004A7D23"/>
    <w:rsid w:val="004B1D94"/>
    <w:rsid w:val="004B2197"/>
    <w:rsid w:val="004B2F7D"/>
    <w:rsid w:val="004B30E8"/>
    <w:rsid w:val="004B3288"/>
    <w:rsid w:val="004B33AE"/>
    <w:rsid w:val="004B4CB7"/>
    <w:rsid w:val="004B5635"/>
    <w:rsid w:val="004B5970"/>
    <w:rsid w:val="004B730F"/>
    <w:rsid w:val="004B7687"/>
    <w:rsid w:val="004C044A"/>
    <w:rsid w:val="004C1DE8"/>
    <w:rsid w:val="004C2009"/>
    <w:rsid w:val="004C2574"/>
    <w:rsid w:val="004C4086"/>
    <w:rsid w:val="004C4A3D"/>
    <w:rsid w:val="004C5059"/>
    <w:rsid w:val="004C54C8"/>
    <w:rsid w:val="004C5AD8"/>
    <w:rsid w:val="004C7198"/>
    <w:rsid w:val="004C7A92"/>
    <w:rsid w:val="004D0079"/>
    <w:rsid w:val="004D041B"/>
    <w:rsid w:val="004D2607"/>
    <w:rsid w:val="004D33D4"/>
    <w:rsid w:val="004D34D5"/>
    <w:rsid w:val="004D36F2"/>
    <w:rsid w:val="004D3863"/>
    <w:rsid w:val="004D554B"/>
    <w:rsid w:val="004D5AC9"/>
    <w:rsid w:val="004D67A7"/>
    <w:rsid w:val="004D72FE"/>
    <w:rsid w:val="004D7656"/>
    <w:rsid w:val="004D7E66"/>
    <w:rsid w:val="004E055B"/>
    <w:rsid w:val="004E0610"/>
    <w:rsid w:val="004E0ADF"/>
    <w:rsid w:val="004E1433"/>
    <w:rsid w:val="004E2C9A"/>
    <w:rsid w:val="004E2FAD"/>
    <w:rsid w:val="004E3A1F"/>
    <w:rsid w:val="004E3D61"/>
    <w:rsid w:val="004E43F5"/>
    <w:rsid w:val="004E455E"/>
    <w:rsid w:val="004E4AC6"/>
    <w:rsid w:val="004E4BB8"/>
    <w:rsid w:val="004E569D"/>
    <w:rsid w:val="004E5ABE"/>
    <w:rsid w:val="004E66E4"/>
    <w:rsid w:val="004E7FDC"/>
    <w:rsid w:val="004F0413"/>
    <w:rsid w:val="004F0C82"/>
    <w:rsid w:val="004F1B0F"/>
    <w:rsid w:val="004F1EB7"/>
    <w:rsid w:val="004F2FF1"/>
    <w:rsid w:val="004F3111"/>
    <w:rsid w:val="004F3477"/>
    <w:rsid w:val="004F34DD"/>
    <w:rsid w:val="004F489D"/>
    <w:rsid w:val="004F583B"/>
    <w:rsid w:val="004F6AE0"/>
    <w:rsid w:val="004F6B48"/>
    <w:rsid w:val="004F6C3B"/>
    <w:rsid w:val="004F6EFF"/>
    <w:rsid w:val="004F6FBB"/>
    <w:rsid w:val="00501096"/>
    <w:rsid w:val="00501F3E"/>
    <w:rsid w:val="0050298B"/>
    <w:rsid w:val="005040A6"/>
    <w:rsid w:val="00504CB1"/>
    <w:rsid w:val="00506E90"/>
    <w:rsid w:val="005072E3"/>
    <w:rsid w:val="00511800"/>
    <w:rsid w:val="00511BF6"/>
    <w:rsid w:val="0051232F"/>
    <w:rsid w:val="005146AB"/>
    <w:rsid w:val="00515036"/>
    <w:rsid w:val="00515EFF"/>
    <w:rsid w:val="005163C6"/>
    <w:rsid w:val="00516664"/>
    <w:rsid w:val="00516B78"/>
    <w:rsid w:val="00516BB6"/>
    <w:rsid w:val="00517B90"/>
    <w:rsid w:val="005213D3"/>
    <w:rsid w:val="00522B42"/>
    <w:rsid w:val="00523698"/>
    <w:rsid w:val="00524AA7"/>
    <w:rsid w:val="0052527F"/>
    <w:rsid w:val="005264BB"/>
    <w:rsid w:val="00527D1D"/>
    <w:rsid w:val="00527D76"/>
    <w:rsid w:val="00527EBF"/>
    <w:rsid w:val="00530017"/>
    <w:rsid w:val="00530C35"/>
    <w:rsid w:val="00530E05"/>
    <w:rsid w:val="00532974"/>
    <w:rsid w:val="0053335B"/>
    <w:rsid w:val="00533B88"/>
    <w:rsid w:val="00533D2A"/>
    <w:rsid w:val="005360AF"/>
    <w:rsid w:val="00536524"/>
    <w:rsid w:val="00536FF3"/>
    <w:rsid w:val="00537258"/>
    <w:rsid w:val="005375FC"/>
    <w:rsid w:val="005379A5"/>
    <w:rsid w:val="00537B9B"/>
    <w:rsid w:val="00540457"/>
    <w:rsid w:val="005410B5"/>
    <w:rsid w:val="00541276"/>
    <w:rsid w:val="00543199"/>
    <w:rsid w:val="00543FE3"/>
    <w:rsid w:val="005466D0"/>
    <w:rsid w:val="00547412"/>
    <w:rsid w:val="00550B84"/>
    <w:rsid w:val="005511E4"/>
    <w:rsid w:val="00553579"/>
    <w:rsid w:val="005535F8"/>
    <w:rsid w:val="00553633"/>
    <w:rsid w:val="00553744"/>
    <w:rsid w:val="00553C12"/>
    <w:rsid w:val="00553DD6"/>
    <w:rsid w:val="00555F3F"/>
    <w:rsid w:val="00557D6B"/>
    <w:rsid w:val="00557F44"/>
    <w:rsid w:val="00561B0E"/>
    <w:rsid w:val="00562317"/>
    <w:rsid w:val="00562425"/>
    <w:rsid w:val="0056317B"/>
    <w:rsid w:val="0056338A"/>
    <w:rsid w:val="00563D95"/>
    <w:rsid w:val="00564F91"/>
    <w:rsid w:val="00565A38"/>
    <w:rsid w:val="00565D41"/>
    <w:rsid w:val="00570B2A"/>
    <w:rsid w:val="0057235A"/>
    <w:rsid w:val="00572E52"/>
    <w:rsid w:val="00572FE1"/>
    <w:rsid w:val="00573447"/>
    <w:rsid w:val="005735F1"/>
    <w:rsid w:val="0057384A"/>
    <w:rsid w:val="00573867"/>
    <w:rsid w:val="00573E63"/>
    <w:rsid w:val="00576857"/>
    <w:rsid w:val="00576894"/>
    <w:rsid w:val="00580187"/>
    <w:rsid w:val="00580263"/>
    <w:rsid w:val="00581F75"/>
    <w:rsid w:val="00584FA0"/>
    <w:rsid w:val="00585017"/>
    <w:rsid w:val="005857FC"/>
    <w:rsid w:val="005863FC"/>
    <w:rsid w:val="0058678E"/>
    <w:rsid w:val="0058725D"/>
    <w:rsid w:val="00587F64"/>
    <w:rsid w:val="00590AF7"/>
    <w:rsid w:val="0059171D"/>
    <w:rsid w:val="00591DEA"/>
    <w:rsid w:val="00592A89"/>
    <w:rsid w:val="00592C17"/>
    <w:rsid w:val="005931B8"/>
    <w:rsid w:val="005948EF"/>
    <w:rsid w:val="0059576F"/>
    <w:rsid w:val="005957C9"/>
    <w:rsid w:val="00597D94"/>
    <w:rsid w:val="005A0246"/>
    <w:rsid w:val="005A1F28"/>
    <w:rsid w:val="005A2D15"/>
    <w:rsid w:val="005A451A"/>
    <w:rsid w:val="005A52DE"/>
    <w:rsid w:val="005A69FE"/>
    <w:rsid w:val="005A7A7F"/>
    <w:rsid w:val="005B102B"/>
    <w:rsid w:val="005B17AD"/>
    <w:rsid w:val="005B190C"/>
    <w:rsid w:val="005B254E"/>
    <w:rsid w:val="005B294B"/>
    <w:rsid w:val="005B5352"/>
    <w:rsid w:val="005B60BD"/>
    <w:rsid w:val="005B6418"/>
    <w:rsid w:val="005C07AE"/>
    <w:rsid w:val="005C0C33"/>
    <w:rsid w:val="005C0C94"/>
    <w:rsid w:val="005C18ED"/>
    <w:rsid w:val="005C2707"/>
    <w:rsid w:val="005C2EC8"/>
    <w:rsid w:val="005C425B"/>
    <w:rsid w:val="005C5902"/>
    <w:rsid w:val="005C6A5A"/>
    <w:rsid w:val="005D05E3"/>
    <w:rsid w:val="005D0653"/>
    <w:rsid w:val="005D0AA1"/>
    <w:rsid w:val="005D1C8E"/>
    <w:rsid w:val="005D291E"/>
    <w:rsid w:val="005D3298"/>
    <w:rsid w:val="005D3806"/>
    <w:rsid w:val="005D3D1D"/>
    <w:rsid w:val="005D5D29"/>
    <w:rsid w:val="005D5E1A"/>
    <w:rsid w:val="005D61FD"/>
    <w:rsid w:val="005D747A"/>
    <w:rsid w:val="005D7639"/>
    <w:rsid w:val="005D78A6"/>
    <w:rsid w:val="005E0379"/>
    <w:rsid w:val="005E133F"/>
    <w:rsid w:val="005E1488"/>
    <w:rsid w:val="005E1749"/>
    <w:rsid w:val="005E289F"/>
    <w:rsid w:val="005E2C3C"/>
    <w:rsid w:val="005E376E"/>
    <w:rsid w:val="005E3DCF"/>
    <w:rsid w:val="005E4082"/>
    <w:rsid w:val="005E4712"/>
    <w:rsid w:val="005E4917"/>
    <w:rsid w:val="005E7E31"/>
    <w:rsid w:val="005F222C"/>
    <w:rsid w:val="005F2348"/>
    <w:rsid w:val="005F2B21"/>
    <w:rsid w:val="005F2FC4"/>
    <w:rsid w:val="005F4062"/>
    <w:rsid w:val="005F62AA"/>
    <w:rsid w:val="005F646A"/>
    <w:rsid w:val="005F6487"/>
    <w:rsid w:val="005F7116"/>
    <w:rsid w:val="0060141B"/>
    <w:rsid w:val="0060155F"/>
    <w:rsid w:val="0060177F"/>
    <w:rsid w:val="00602AD3"/>
    <w:rsid w:val="006048C6"/>
    <w:rsid w:val="00604EF0"/>
    <w:rsid w:val="00605619"/>
    <w:rsid w:val="00605DF5"/>
    <w:rsid w:val="00605F85"/>
    <w:rsid w:val="00605F9C"/>
    <w:rsid w:val="00607CE0"/>
    <w:rsid w:val="00607CE4"/>
    <w:rsid w:val="00610C5F"/>
    <w:rsid w:val="00611C33"/>
    <w:rsid w:val="00612729"/>
    <w:rsid w:val="006133EB"/>
    <w:rsid w:val="00614420"/>
    <w:rsid w:val="00614521"/>
    <w:rsid w:val="00615E0A"/>
    <w:rsid w:val="00621248"/>
    <w:rsid w:val="00621CEE"/>
    <w:rsid w:val="00622A60"/>
    <w:rsid w:val="00625325"/>
    <w:rsid w:val="00626612"/>
    <w:rsid w:val="006269FE"/>
    <w:rsid w:val="006277E8"/>
    <w:rsid w:val="0063075F"/>
    <w:rsid w:val="00634F75"/>
    <w:rsid w:val="006355AD"/>
    <w:rsid w:val="006355D0"/>
    <w:rsid w:val="00636354"/>
    <w:rsid w:val="00636858"/>
    <w:rsid w:val="006371B3"/>
    <w:rsid w:val="006377A5"/>
    <w:rsid w:val="0064087F"/>
    <w:rsid w:val="00640D8B"/>
    <w:rsid w:val="00641C86"/>
    <w:rsid w:val="006441BC"/>
    <w:rsid w:val="006453AD"/>
    <w:rsid w:val="00647015"/>
    <w:rsid w:val="00650941"/>
    <w:rsid w:val="006513CB"/>
    <w:rsid w:val="00651E4F"/>
    <w:rsid w:val="006526C7"/>
    <w:rsid w:val="00652CD3"/>
    <w:rsid w:val="00652F91"/>
    <w:rsid w:val="00654C56"/>
    <w:rsid w:val="006553C9"/>
    <w:rsid w:val="006574B6"/>
    <w:rsid w:val="00660CE8"/>
    <w:rsid w:val="00663003"/>
    <w:rsid w:val="0066336B"/>
    <w:rsid w:val="00664C32"/>
    <w:rsid w:val="00664C7B"/>
    <w:rsid w:val="0066583B"/>
    <w:rsid w:val="006659A0"/>
    <w:rsid w:val="0066640C"/>
    <w:rsid w:val="00666E7B"/>
    <w:rsid w:val="00667B40"/>
    <w:rsid w:val="00667C90"/>
    <w:rsid w:val="00671F87"/>
    <w:rsid w:val="006730CD"/>
    <w:rsid w:val="00673215"/>
    <w:rsid w:val="00675016"/>
    <w:rsid w:val="006752F4"/>
    <w:rsid w:val="00675A37"/>
    <w:rsid w:val="0067667F"/>
    <w:rsid w:val="00680648"/>
    <w:rsid w:val="006806DA"/>
    <w:rsid w:val="00680982"/>
    <w:rsid w:val="00680CE5"/>
    <w:rsid w:val="00681B02"/>
    <w:rsid w:val="00681E5E"/>
    <w:rsid w:val="00682411"/>
    <w:rsid w:val="0068407F"/>
    <w:rsid w:val="0068411D"/>
    <w:rsid w:val="00684B14"/>
    <w:rsid w:val="006857F7"/>
    <w:rsid w:val="006875BD"/>
    <w:rsid w:val="006900B6"/>
    <w:rsid w:val="00691A22"/>
    <w:rsid w:val="006921E8"/>
    <w:rsid w:val="00692505"/>
    <w:rsid w:val="0069288F"/>
    <w:rsid w:val="00692C95"/>
    <w:rsid w:val="0069495E"/>
    <w:rsid w:val="00697892"/>
    <w:rsid w:val="00697F4C"/>
    <w:rsid w:val="006A0779"/>
    <w:rsid w:val="006A0AD7"/>
    <w:rsid w:val="006A16CB"/>
    <w:rsid w:val="006A216C"/>
    <w:rsid w:val="006A3729"/>
    <w:rsid w:val="006A4867"/>
    <w:rsid w:val="006A6059"/>
    <w:rsid w:val="006A691C"/>
    <w:rsid w:val="006A6AC9"/>
    <w:rsid w:val="006B1211"/>
    <w:rsid w:val="006B13EE"/>
    <w:rsid w:val="006B206E"/>
    <w:rsid w:val="006B20A9"/>
    <w:rsid w:val="006B2BDA"/>
    <w:rsid w:val="006B35CE"/>
    <w:rsid w:val="006B3F91"/>
    <w:rsid w:val="006B49B4"/>
    <w:rsid w:val="006B4FBF"/>
    <w:rsid w:val="006B7441"/>
    <w:rsid w:val="006C008A"/>
    <w:rsid w:val="006C1007"/>
    <w:rsid w:val="006C2223"/>
    <w:rsid w:val="006C2498"/>
    <w:rsid w:val="006C3F13"/>
    <w:rsid w:val="006C4FD9"/>
    <w:rsid w:val="006C55B4"/>
    <w:rsid w:val="006C5B50"/>
    <w:rsid w:val="006C5F16"/>
    <w:rsid w:val="006C6E2B"/>
    <w:rsid w:val="006C70A1"/>
    <w:rsid w:val="006D4E28"/>
    <w:rsid w:val="006D506E"/>
    <w:rsid w:val="006D5E0B"/>
    <w:rsid w:val="006D5E79"/>
    <w:rsid w:val="006D67AD"/>
    <w:rsid w:val="006D75E7"/>
    <w:rsid w:val="006E022F"/>
    <w:rsid w:val="006E19B4"/>
    <w:rsid w:val="006E1AFF"/>
    <w:rsid w:val="006E1DA3"/>
    <w:rsid w:val="006E2BB4"/>
    <w:rsid w:val="006E355E"/>
    <w:rsid w:val="006E46F8"/>
    <w:rsid w:val="006E475A"/>
    <w:rsid w:val="006E4BE2"/>
    <w:rsid w:val="006E6066"/>
    <w:rsid w:val="006E616B"/>
    <w:rsid w:val="006E63F8"/>
    <w:rsid w:val="006E65F6"/>
    <w:rsid w:val="006E67F3"/>
    <w:rsid w:val="006E73F3"/>
    <w:rsid w:val="006E78A1"/>
    <w:rsid w:val="006E7B58"/>
    <w:rsid w:val="006E7D5E"/>
    <w:rsid w:val="006F1D58"/>
    <w:rsid w:val="006F57E5"/>
    <w:rsid w:val="006F64F4"/>
    <w:rsid w:val="006F6813"/>
    <w:rsid w:val="00700447"/>
    <w:rsid w:val="00700858"/>
    <w:rsid w:val="0070169D"/>
    <w:rsid w:val="00701AD9"/>
    <w:rsid w:val="00701C5A"/>
    <w:rsid w:val="0070219A"/>
    <w:rsid w:val="00702FC1"/>
    <w:rsid w:val="007060C5"/>
    <w:rsid w:val="007064A6"/>
    <w:rsid w:val="00706F2F"/>
    <w:rsid w:val="00707185"/>
    <w:rsid w:val="00710014"/>
    <w:rsid w:val="007104C5"/>
    <w:rsid w:val="00710B31"/>
    <w:rsid w:val="00710FAD"/>
    <w:rsid w:val="007121F5"/>
    <w:rsid w:val="007136B5"/>
    <w:rsid w:val="007139D6"/>
    <w:rsid w:val="0071455F"/>
    <w:rsid w:val="00714D71"/>
    <w:rsid w:val="00715808"/>
    <w:rsid w:val="00715DFC"/>
    <w:rsid w:val="0071624F"/>
    <w:rsid w:val="00716390"/>
    <w:rsid w:val="0071709A"/>
    <w:rsid w:val="00717990"/>
    <w:rsid w:val="007179F2"/>
    <w:rsid w:val="007206E6"/>
    <w:rsid w:val="007213C4"/>
    <w:rsid w:val="007219BF"/>
    <w:rsid w:val="00721CD1"/>
    <w:rsid w:val="00721D08"/>
    <w:rsid w:val="00721E1C"/>
    <w:rsid w:val="00722BC2"/>
    <w:rsid w:val="0072303F"/>
    <w:rsid w:val="00723C2F"/>
    <w:rsid w:val="00723E50"/>
    <w:rsid w:val="007253A7"/>
    <w:rsid w:val="007264C5"/>
    <w:rsid w:val="00726A7C"/>
    <w:rsid w:val="007270CF"/>
    <w:rsid w:val="007272EE"/>
    <w:rsid w:val="0072762A"/>
    <w:rsid w:val="00727714"/>
    <w:rsid w:val="007279D9"/>
    <w:rsid w:val="00727A5B"/>
    <w:rsid w:val="00727A61"/>
    <w:rsid w:val="00731DEC"/>
    <w:rsid w:val="00734241"/>
    <w:rsid w:val="00734BF9"/>
    <w:rsid w:val="0073516B"/>
    <w:rsid w:val="00735B2A"/>
    <w:rsid w:val="0073667F"/>
    <w:rsid w:val="007378EE"/>
    <w:rsid w:val="00737AF0"/>
    <w:rsid w:val="00737F30"/>
    <w:rsid w:val="00743EC5"/>
    <w:rsid w:val="007443D4"/>
    <w:rsid w:val="00745CAF"/>
    <w:rsid w:val="007466A0"/>
    <w:rsid w:val="00751DF5"/>
    <w:rsid w:val="00752545"/>
    <w:rsid w:val="00753814"/>
    <w:rsid w:val="00753AC2"/>
    <w:rsid w:val="00756694"/>
    <w:rsid w:val="00757F97"/>
    <w:rsid w:val="007602F9"/>
    <w:rsid w:val="0076097D"/>
    <w:rsid w:val="00762B0E"/>
    <w:rsid w:val="00762F96"/>
    <w:rsid w:val="00763C72"/>
    <w:rsid w:val="00765991"/>
    <w:rsid w:val="00766FCE"/>
    <w:rsid w:val="00767571"/>
    <w:rsid w:val="00767916"/>
    <w:rsid w:val="00767B44"/>
    <w:rsid w:val="00772CC0"/>
    <w:rsid w:val="00773D88"/>
    <w:rsid w:val="00774680"/>
    <w:rsid w:val="00776998"/>
    <w:rsid w:val="00777911"/>
    <w:rsid w:val="007779C1"/>
    <w:rsid w:val="00780B7B"/>
    <w:rsid w:val="00783253"/>
    <w:rsid w:val="00783CEA"/>
    <w:rsid w:val="0078456F"/>
    <w:rsid w:val="00784B2B"/>
    <w:rsid w:val="00784EE0"/>
    <w:rsid w:val="00785EA9"/>
    <w:rsid w:val="007861AF"/>
    <w:rsid w:val="007861CC"/>
    <w:rsid w:val="00786304"/>
    <w:rsid w:val="00787893"/>
    <w:rsid w:val="00787D6C"/>
    <w:rsid w:val="0079038B"/>
    <w:rsid w:val="007922E1"/>
    <w:rsid w:val="0079427F"/>
    <w:rsid w:val="00794604"/>
    <w:rsid w:val="00794AAC"/>
    <w:rsid w:val="00795193"/>
    <w:rsid w:val="00797322"/>
    <w:rsid w:val="007A102A"/>
    <w:rsid w:val="007A1FCB"/>
    <w:rsid w:val="007A31D8"/>
    <w:rsid w:val="007A3F3F"/>
    <w:rsid w:val="007A4136"/>
    <w:rsid w:val="007A453D"/>
    <w:rsid w:val="007A4D5A"/>
    <w:rsid w:val="007A51F6"/>
    <w:rsid w:val="007A7E5A"/>
    <w:rsid w:val="007B0A38"/>
    <w:rsid w:val="007B2003"/>
    <w:rsid w:val="007B2D08"/>
    <w:rsid w:val="007B35ED"/>
    <w:rsid w:val="007B396D"/>
    <w:rsid w:val="007B3B82"/>
    <w:rsid w:val="007B3DF4"/>
    <w:rsid w:val="007B42BE"/>
    <w:rsid w:val="007B5609"/>
    <w:rsid w:val="007B5766"/>
    <w:rsid w:val="007B5F01"/>
    <w:rsid w:val="007C0163"/>
    <w:rsid w:val="007C1AE0"/>
    <w:rsid w:val="007C1E6D"/>
    <w:rsid w:val="007C2A0B"/>
    <w:rsid w:val="007C2A65"/>
    <w:rsid w:val="007C2DB8"/>
    <w:rsid w:val="007C2EF0"/>
    <w:rsid w:val="007C2F7E"/>
    <w:rsid w:val="007C2F84"/>
    <w:rsid w:val="007C5666"/>
    <w:rsid w:val="007C5E36"/>
    <w:rsid w:val="007C6023"/>
    <w:rsid w:val="007C679B"/>
    <w:rsid w:val="007C6A71"/>
    <w:rsid w:val="007D006E"/>
    <w:rsid w:val="007D0374"/>
    <w:rsid w:val="007D0940"/>
    <w:rsid w:val="007D0ABD"/>
    <w:rsid w:val="007D11BC"/>
    <w:rsid w:val="007D1B8C"/>
    <w:rsid w:val="007D20E9"/>
    <w:rsid w:val="007D2F08"/>
    <w:rsid w:val="007D32D2"/>
    <w:rsid w:val="007D3562"/>
    <w:rsid w:val="007D4190"/>
    <w:rsid w:val="007D4247"/>
    <w:rsid w:val="007D4393"/>
    <w:rsid w:val="007D5056"/>
    <w:rsid w:val="007D52EE"/>
    <w:rsid w:val="007D7378"/>
    <w:rsid w:val="007E0642"/>
    <w:rsid w:val="007E09A5"/>
    <w:rsid w:val="007E0DD8"/>
    <w:rsid w:val="007E1D7A"/>
    <w:rsid w:val="007E1EF3"/>
    <w:rsid w:val="007E21E1"/>
    <w:rsid w:val="007E34F1"/>
    <w:rsid w:val="007E5D12"/>
    <w:rsid w:val="007E5DBB"/>
    <w:rsid w:val="007E63C0"/>
    <w:rsid w:val="007E666E"/>
    <w:rsid w:val="007E6B79"/>
    <w:rsid w:val="007E6B9A"/>
    <w:rsid w:val="007E70C7"/>
    <w:rsid w:val="007F0FAE"/>
    <w:rsid w:val="007F137B"/>
    <w:rsid w:val="007F154D"/>
    <w:rsid w:val="007F1667"/>
    <w:rsid w:val="007F181F"/>
    <w:rsid w:val="007F343F"/>
    <w:rsid w:val="007F4076"/>
    <w:rsid w:val="007F5796"/>
    <w:rsid w:val="007F76A8"/>
    <w:rsid w:val="007F7ABF"/>
    <w:rsid w:val="0080004D"/>
    <w:rsid w:val="00800845"/>
    <w:rsid w:val="00801444"/>
    <w:rsid w:val="00801F39"/>
    <w:rsid w:val="008024D8"/>
    <w:rsid w:val="008024DE"/>
    <w:rsid w:val="00803B02"/>
    <w:rsid w:val="0080449F"/>
    <w:rsid w:val="00804CC6"/>
    <w:rsid w:val="00804E13"/>
    <w:rsid w:val="0080607A"/>
    <w:rsid w:val="00806FBA"/>
    <w:rsid w:val="0080790D"/>
    <w:rsid w:val="00810557"/>
    <w:rsid w:val="008106B8"/>
    <w:rsid w:val="00810F6A"/>
    <w:rsid w:val="00811B99"/>
    <w:rsid w:val="00812E94"/>
    <w:rsid w:val="00813495"/>
    <w:rsid w:val="00813BEE"/>
    <w:rsid w:val="00814684"/>
    <w:rsid w:val="008161FD"/>
    <w:rsid w:val="00817327"/>
    <w:rsid w:val="00820197"/>
    <w:rsid w:val="00820D7C"/>
    <w:rsid w:val="0082118A"/>
    <w:rsid w:val="00821837"/>
    <w:rsid w:val="00821B8D"/>
    <w:rsid w:val="00821F19"/>
    <w:rsid w:val="008224BB"/>
    <w:rsid w:val="00822DFB"/>
    <w:rsid w:val="00822EBB"/>
    <w:rsid w:val="00823269"/>
    <w:rsid w:val="0082348E"/>
    <w:rsid w:val="00824C5A"/>
    <w:rsid w:val="00824DFF"/>
    <w:rsid w:val="00825AEF"/>
    <w:rsid w:val="008265EF"/>
    <w:rsid w:val="00827DB5"/>
    <w:rsid w:val="00831F2F"/>
    <w:rsid w:val="008336DB"/>
    <w:rsid w:val="00834D1F"/>
    <w:rsid w:val="00835247"/>
    <w:rsid w:val="00835F16"/>
    <w:rsid w:val="0083695B"/>
    <w:rsid w:val="0083728C"/>
    <w:rsid w:val="008379F9"/>
    <w:rsid w:val="00840108"/>
    <w:rsid w:val="00840831"/>
    <w:rsid w:val="00840FC8"/>
    <w:rsid w:val="008422AF"/>
    <w:rsid w:val="00842B12"/>
    <w:rsid w:val="008438DF"/>
    <w:rsid w:val="008439CA"/>
    <w:rsid w:val="00843C4B"/>
    <w:rsid w:val="00843CFB"/>
    <w:rsid w:val="0084425F"/>
    <w:rsid w:val="008446FA"/>
    <w:rsid w:val="00844ED5"/>
    <w:rsid w:val="0084700E"/>
    <w:rsid w:val="00847D38"/>
    <w:rsid w:val="008500D1"/>
    <w:rsid w:val="00851430"/>
    <w:rsid w:val="008524E7"/>
    <w:rsid w:val="008528A2"/>
    <w:rsid w:val="00853ED0"/>
    <w:rsid w:val="008547F2"/>
    <w:rsid w:val="00854DBC"/>
    <w:rsid w:val="00854EEF"/>
    <w:rsid w:val="008550E2"/>
    <w:rsid w:val="0085588E"/>
    <w:rsid w:val="008571C4"/>
    <w:rsid w:val="00857A23"/>
    <w:rsid w:val="00857E9B"/>
    <w:rsid w:val="00860503"/>
    <w:rsid w:val="00862170"/>
    <w:rsid w:val="00863BC0"/>
    <w:rsid w:val="00863C6F"/>
    <w:rsid w:val="00863D1F"/>
    <w:rsid w:val="008644C6"/>
    <w:rsid w:val="00865944"/>
    <w:rsid w:val="00866909"/>
    <w:rsid w:val="00866F69"/>
    <w:rsid w:val="008671D1"/>
    <w:rsid w:val="00867500"/>
    <w:rsid w:val="00867666"/>
    <w:rsid w:val="008679DE"/>
    <w:rsid w:val="00867EE9"/>
    <w:rsid w:val="00867F5D"/>
    <w:rsid w:val="00871DA1"/>
    <w:rsid w:val="00872E5C"/>
    <w:rsid w:val="00873FE7"/>
    <w:rsid w:val="008746DE"/>
    <w:rsid w:val="00876BD4"/>
    <w:rsid w:val="00877156"/>
    <w:rsid w:val="0087755F"/>
    <w:rsid w:val="00877F9C"/>
    <w:rsid w:val="00881550"/>
    <w:rsid w:val="008832F6"/>
    <w:rsid w:val="00884B30"/>
    <w:rsid w:val="00884F33"/>
    <w:rsid w:val="00885A3F"/>
    <w:rsid w:val="00885D22"/>
    <w:rsid w:val="00886645"/>
    <w:rsid w:val="008867A6"/>
    <w:rsid w:val="00887241"/>
    <w:rsid w:val="0089091E"/>
    <w:rsid w:val="0089108E"/>
    <w:rsid w:val="00891E7F"/>
    <w:rsid w:val="00892142"/>
    <w:rsid w:val="00894571"/>
    <w:rsid w:val="00894886"/>
    <w:rsid w:val="0089686A"/>
    <w:rsid w:val="0089BB27"/>
    <w:rsid w:val="008A004E"/>
    <w:rsid w:val="008A25EB"/>
    <w:rsid w:val="008A2E8E"/>
    <w:rsid w:val="008A3082"/>
    <w:rsid w:val="008A4792"/>
    <w:rsid w:val="008A4FBC"/>
    <w:rsid w:val="008A5234"/>
    <w:rsid w:val="008A52DF"/>
    <w:rsid w:val="008A5605"/>
    <w:rsid w:val="008A6501"/>
    <w:rsid w:val="008A682B"/>
    <w:rsid w:val="008A6875"/>
    <w:rsid w:val="008A6E52"/>
    <w:rsid w:val="008B0429"/>
    <w:rsid w:val="008B07D8"/>
    <w:rsid w:val="008B09DB"/>
    <w:rsid w:val="008B1604"/>
    <w:rsid w:val="008B1BBD"/>
    <w:rsid w:val="008B25DC"/>
    <w:rsid w:val="008B4EEE"/>
    <w:rsid w:val="008B5824"/>
    <w:rsid w:val="008B5F24"/>
    <w:rsid w:val="008B69C5"/>
    <w:rsid w:val="008B6A72"/>
    <w:rsid w:val="008B72E7"/>
    <w:rsid w:val="008C15C8"/>
    <w:rsid w:val="008C42F3"/>
    <w:rsid w:val="008C4811"/>
    <w:rsid w:val="008C4BFC"/>
    <w:rsid w:val="008C61C9"/>
    <w:rsid w:val="008C6C28"/>
    <w:rsid w:val="008D0197"/>
    <w:rsid w:val="008D16A0"/>
    <w:rsid w:val="008D1E6A"/>
    <w:rsid w:val="008D22FB"/>
    <w:rsid w:val="008D269B"/>
    <w:rsid w:val="008D280C"/>
    <w:rsid w:val="008D2C1B"/>
    <w:rsid w:val="008D3034"/>
    <w:rsid w:val="008D3274"/>
    <w:rsid w:val="008D48A3"/>
    <w:rsid w:val="008D5365"/>
    <w:rsid w:val="008E0193"/>
    <w:rsid w:val="008E0AA4"/>
    <w:rsid w:val="008E1623"/>
    <w:rsid w:val="008E199E"/>
    <w:rsid w:val="008E1F61"/>
    <w:rsid w:val="008E3391"/>
    <w:rsid w:val="008E48F9"/>
    <w:rsid w:val="008E6036"/>
    <w:rsid w:val="008E6913"/>
    <w:rsid w:val="008E704A"/>
    <w:rsid w:val="008E711F"/>
    <w:rsid w:val="008F0896"/>
    <w:rsid w:val="008F08E9"/>
    <w:rsid w:val="008F0BD7"/>
    <w:rsid w:val="008F0F7A"/>
    <w:rsid w:val="008F30FC"/>
    <w:rsid w:val="008F3C89"/>
    <w:rsid w:val="008F4704"/>
    <w:rsid w:val="008F4CBC"/>
    <w:rsid w:val="008F501C"/>
    <w:rsid w:val="008F7A73"/>
    <w:rsid w:val="008F7E95"/>
    <w:rsid w:val="00900C6A"/>
    <w:rsid w:val="0090104E"/>
    <w:rsid w:val="00901C5C"/>
    <w:rsid w:val="0090360D"/>
    <w:rsid w:val="00904109"/>
    <w:rsid w:val="00905722"/>
    <w:rsid w:val="00906DF2"/>
    <w:rsid w:val="00906FB1"/>
    <w:rsid w:val="00907141"/>
    <w:rsid w:val="009102D8"/>
    <w:rsid w:val="00910389"/>
    <w:rsid w:val="009107C1"/>
    <w:rsid w:val="00910971"/>
    <w:rsid w:val="00910CBB"/>
    <w:rsid w:val="00910D0A"/>
    <w:rsid w:val="009126E9"/>
    <w:rsid w:val="00912C28"/>
    <w:rsid w:val="009132DB"/>
    <w:rsid w:val="00914346"/>
    <w:rsid w:val="009145F7"/>
    <w:rsid w:val="00914D0D"/>
    <w:rsid w:val="00914E2A"/>
    <w:rsid w:val="00915003"/>
    <w:rsid w:val="00916BED"/>
    <w:rsid w:val="009178AE"/>
    <w:rsid w:val="00917FBA"/>
    <w:rsid w:val="0092065C"/>
    <w:rsid w:val="009211F9"/>
    <w:rsid w:val="009216DC"/>
    <w:rsid w:val="00922500"/>
    <w:rsid w:val="0092431B"/>
    <w:rsid w:val="009256D2"/>
    <w:rsid w:val="00926712"/>
    <w:rsid w:val="00926E73"/>
    <w:rsid w:val="00927A9C"/>
    <w:rsid w:val="00927D68"/>
    <w:rsid w:val="0093065E"/>
    <w:rsid w:val="00930834"/>
    <w:rsid w:val="009314B3"/>
    <w:rsid w:val="009316DE"/>
    <w:rsid w:val="009318DB"/>
    <w:rsid w:val="00931E46"/>
    <w:rsid w:val="009324B0"/>
    <w:rsid w:val="00932D74"/>
    <w:rsid w:val="009345B4"/>
    <w:rsid w:val="00934ACF"/>
    <w:rsid w:val="00934BE3"/>
    <w:rsid w:val="0093527C"/>
    <w:rsid w:val="00936309"/>
    <w:rsid w:val="00936679"/>
    <w:rsid w:val="00936E6A"/>
    <w:rsid w:val="0093769E"/>
    <w:rsid w:val="0094008F"/>
    <w:rsid w:val="009406DD"/>
    <w:rsid w:val="009413DF"/>
    <w:rsid w:val="0094166A"/>
    <w:rsid w:val="0094183E"/>
    <w:rsid w:val="00942C5E"/>
    <w:rsid w:val="00943C88"/>
    <w:rsid w:val="00943DD1"/>
    <w:rsid w:val="009443B2"/>
    <w:rsid w:val="009448E8"/>
    <w:rsid w:val="00944A88"/>
    <w:rsid w:val="00945276"/>
    <w:rsid w:val="00945343"/>
    <w:rsid w:val="0094546F"/>
    <w:rsid w:val="00946511"/>
    <w:rsid w:val="009467BD"/>
    <w:rsid w:val="00947616"/>
    <w:rsid w:val="009479F7"/>
    <w:rsid w:val="00947ECF"/>
    <w:rsid w:val="009528D1"/>
    <w:rsid w:val="00952AA7"/>
    <w:rsid w:val="00952CF5"/>
    <w:rsid w:val="009535EB"/>
    <w:rsid w:val="00954A89"/>
    <w:rsid w:val="0095609D"/>
    <w:rsid w:val="00957B8B"/>
    <w:rsid w:val="0096042D"/>
    <w:rsid w:val="00960797"/>
    <w:rsid w:val="00960D57"/>
    <w:rsid w:val="009624F5"/>
    <w:rsid w:val="00962F0C"/>
    <w:rsid w:val="009635B3"/>
    <w:rsid w:val="00963DED"/>
    <w:rsid w:val="009643ED"/>
    <w:rsid w:val="00964822"/>
    <w:rsid w:val="00964BBE"/>
    <w:rsid w:val="00965382"/>
    <w:rsid w:val="009655AE"/>
    <w:rsid w:val="009659DA"/>
    <w:rsid w:val="00965FCA"/>
    <w:rsid w:val="00966B4D"/>
    <w:rsid w:val="0096751B"/>
    <w:rsid w:val="0096759C"/>
    <w:rsid w:val="00970BBE"/>
    <w:rsid w:val="0097158F"/>
    <w:rsid w:val="009719DA"/>
    <w:rsid w:val="0097319E"/>
    <w:rsid w:val="009731C4"/>
    <w:rsid w:val="00974108"/>
    <w:rsid w:val="00975441"/>
    <w:rsid w:val="00976512"/>
    <w:rsid w:val="00977347"/>
    <w:rsid w:val="00980974"/>
    <w:rsid w:val="00980CE4"/>
    <w:rsid w:val="00981B5F"/>
    <w:rsid w:val="0098253D"/>
    <w:rsid w:val="00983FFD"/>
    <w:rsid w:val="009859A2"/>
    <w:rsid w:val="009865C2"/>
    <w:rsid w:val="0099097E"/>
    <w:rsid w:val="009915C4"/>
    <w:rsid w:val="009924C7"/>
    <w:rsid w:val="00992FBB"/>
    <w:rsid w:val="0099475A"/>
    <w:rsid w:val="00995EA5"/>
    <w:rsid w:val="00996768"/>
    <w:rsid w:val="00997305"/>
    <w:rsid w:val="00997E0B"/>
    <w:rsid w:val="009A0705"/>
    <w:rsid w:val="009A2A1C"/>
    <w:rsid w:val="009A2A40"/>
    <w:rsid w:val="009A47B8"/>
    <w:rsid w:val="009A5D46"/>
    <w:rsid w:val="009B13E4"/>
    <w:rsid w:val="009B30CC"/>
    <w:rsid w:val="009B3421"/>
    <w:rsid w:val="009B3EE8"/>
    <w:rsid w:val="009B5148"/>
    <w:rsid w:val="009B5CF4"/>
    <w:rsid w:val="009B5DCB"/>
    <w:rsid w:val="009B5F6A"/>
    <w:rsid w:val="009B6A45"/>
    <w:rsid w:val="009B7639"/>
    <w:rsid w:val="009B7D4C"/>
    <w:rsid w:val="009C014B"/>
    <w:rsid w:val="009C0709"/>
    <w:rsid w:val="009C1BA9"/>
    <w:rsid w:val="009C1E7B"/>
    <w:rsid w:val="009C2CFC"/>
    <w:rsid w:val="009C2D22"/>
    <w:rsid w:val="009C3EE4"/>
    <w:rsid w:val="009C495B"/>
    <w:rsid w:val="009C5937"/>
    <w:rsid w:val="009C5B85"/>
    <w:rsid w:val="009C6402"/>
    <w:rsid w:val="009C6730"/>
    <w:rsid w:val="009C6C44"/>
    <w:rsid w:val="009C743F"/>
    <w:rsid w:val="009C75C0"/>
    <w:rsid w:val="009C76E9"/>
    <w:rsid w:val="009C78C2"/>
    <w:rsid w:val="009C7E68"/>
    <w:rsid w:val="009D0D87"/>
    <w:rsid w:val="009D2CE3"/>
    <w:rsid w:val="009D3068"/>
    <w:rsid w:val="009D37F0"/>
    <w:rsid w:val="009D4445"/>
    <w:rsid w:val="009D4B6F"/>
    <w:rsid w:val="009E0C07"/>
    <w:rsid w:val="009E15E6"/>
    <w:rsid w:val="009E2537"/>
    <w:rsid w:val="009E2FCA"/>
    <w:rsid w:val="009E30FD"/>
    <w:rsid w:val="009E3D8F"/>
    <w:rsid w:val="009E6453"/>
    <w:rsid w:val="009E6716"/>
    <w:rsid w:val="009F01D0"/>
    <w:rsid w:val="009F04CF"/>
    <w:rsid w:val="009F163B"/>
    <w:rsid w:val="009F2034"/>
    <w:rsid w:val="009F2DD5"/>
    <w:rsid w:val="009F3E81"/>
    <w:rsid w:val="009F44A3"/>
    <w:rsid w:val="009F4900"/>
    <w:rsid w:val="009F4E16"/>
    <w:rsid w:val="009F6E19"/>
    <w:rsid w:val="009F7811"/>
    <w:rsid w:val="009F7F5D"/>
    <w:rsid w:val="00A00CA1"/>
    <w:rsid w:val="00A023BB"/>
    <w:rsid w:val="00A03AF8"/>
    <w:rsid w:val="00A03C6D"/>
    <w:rsid w:val="00A03F12"/>
    <w:rsid w:val="00A04472"/>
    <w:rsid w:val="00A04DF9"/>
    <w:rsid w:val="00A0507E"/>
    <w:rsid w:val="00A05219"/>
    <w:rsid w:val="00A05B20"/>
    <w:rsid w:val="00A076D7"/>
    <w:rsid w:val="00A10254"/>
    <w:rsid w:val="00A1390D"/>
    <w:rsid w:val="00A163D1"/>
    <w:rsid w:val="00A16B71"/>
    <w:rsid w:val="00A1747C"/>
    <w:rsid w:val="00A2189B"/>
    <w:rsid w:val="00A218DE"/>
    <w:rsid w:val="00A22CCF"/>
    <w:rsid w:val="00A2524E"/>
    <w:rsid w:val="00A2595F"/>
    <w:rsid w:val="00A26458"/>
    <w:rsid w:val="00A2671F"/>
    <w:rsid w:val="00A277BB"/>
    <w:rsid w:val="00A315C3"/>
    <w:rsid w:val="00A317C1"/>
    <w:rsid w:val="00A31863"/>
    <w:rsid w:val="00A32CC0"/>
    <w:rsid w:val="00A333A1"/>
    <w:rsid w:val="00A333F1"/>
    <w:rsid w:val="00A34927"/>
    <w:rsid w:val="00A3610E"/>
    <w:rsid w:val="00A36793"/>
    <w:rsid w:val="00A36CE4"/>
    <w:rsid w:val="00A36EEF"/>
    <w:rsid w:val="00A36FE8"/>
    <w:rsid w:val="00A45054"/>
    <w:rsid w:val="00A45248"/>
    <w:rsid w:val="00A45D95"/>
    <w:rsid w:val="00A4651A"/>
    <w:rsid w:val="00A46B07"/>
    <w:rsid w:val="00A46C9C"/>
    <w:rsid w:val="00A46E31"/>
    <w:rsid w:val="00A471AD"/>
    <w:rsid w:val="00A50CDC"/>
    <w:rsid w:val="00A517F2"/>
    <w:rsid w:val="00A53ADB"/>
    <w:rsid w:val="00A53B12"/>
    <w:rsid w:val="00A547BE"/>
    <w:rsid w:val="00A55FC2"/>
    <w:rsid w:val="00A56993"/>
    <w:rsid w:val="00A57FA9"/>
    <w:rsid w:val="00A602BC"/>
    <w:rsid w:val="00A60688"/>
    <w:rsid w:val="00A61273"/>
    <w:rsid w:val="00A62653"/>
    <w:rsid w:val="00A637D2"/>
    <w:rsid w:val="00A64949"/>
    <w:rsid w:val="00A6495E"/>
    <w:rsid w:val="00A64DD1"/>
    <w:rsid w:val="00A64E34"/>
    <w:rsid w:val="00A6536F"/>
    <w:rsid w:val="00A65843"/>
    <w:rsid w:val="00A65C54"/>
    <w:rsid w:val="00A664D5"/>
    <w:rsid w:val="00A66C5E"/>
    <w:rsid w:val="00A70351"/>
    <w:rsid w:val="00A71828"/>
    <w:rsid w:val="00A7214D"/>
    <w:rsid w:val="00A737CE"/>
    <w:rsid w:val="00A73F0D"/>
    <w:rsid w:val="00A750E7"/>
    <w:rsid w:val="00A762A9"/>
    <w:rsid w:val="00A77C2B"/>
    <w:rsid w:val="00A793A3"/>
    <w:rsid w:val="00A80647"/>
    <w:rsid w:val="00A81A59"/>
    <w:rsid w:val="00A8233F"/>
    <w:rsid w:val="00A828B7"/>
    <w:rsid w:val="00A8563C"/>
    <w:rsid w:val="00A85690"/>
    <w:rsid w:val="00A857B5"/>
    <w:rsid w:val="00A86109"/>
    <w:rsid w:val="00A8727B"/>
    <w:rsid w:val="00A901B2"/>
    <w:rsid w:val="00A901FD"/>
    <w:rsid w:val="00A90FF6"/>
    <w:rsid w:val="00A915CF"/>
    <w:rsid w:val="00A936F1"/>
    <w:rsid w:val="00A95162"/>
    <w:rsid w:val="00A973CA"/>
    <w:rsid w:val="00A976A3"/>
    <w:rsid w:val="00A97890"/>
    <w:rsid w:val="00A97C05"/>
    <w:rsid w:val="00AA30BA"/>
    <w:rsid w:val="00AA55A6"/>
    <w:rsid w:val="00AA685A"/>
    <w:rsid w:val="00AA75BC"/>
    <w:rsid w:val="00AA7F95"/>
    <w:rsid w:val="00AB0561"/>
    <w:rsid w:val="00AB0D1C"/>
    <w:rsid w:val="00AB1FD8"/>
    <w:rsid w:val="00AB2348"/>
    <w:rsid w:val="00AB60EE"/>
    <w:rsid w:val="00AB68A5"/>
    <w:rsid w:val="00AB6908"/>
    <w:rsid w:val="00AB6E56"/>
    <w:rsid w:val="00AB750A"/>
    <w:rsid w:val="00AC22C0"/>
    <w:rsid w:val="00AC28CA"/>
    <w:rsid w:val="00AC34BA"/>
    <w:rsid w:val="00AC361D"/>
    <w:rsid w:val="00AC4948"/>
    <w:rsid w:val="00AC524F"/>
    <w:rsid w:val="00AC5F0B"/>
    <w:rsid w:val="00AC6398"/>
    <w:rsid w:val="00AC650E"/>
    <w:rsid w:val="00AC66C1"/>
    <w:rsid w:val="00AC71F5"/>
    <w:rsid w:val="00AD00FC"/>
    <w:rsid w:val="00AD0D9F"/>
    <w:rsid w:val="00AD0FA2"/>
    <w:rsid w:val="00AD15E3"/>
    <w:rsid w:val="00AD52FD"/>
    <w:rsid w:val="00AD5E52"/>
    <w:rsid w:val="00AD67C9"/>
    <w:rsid w:val="00AD6870"/>
    <w:rsid w:val="00AD78DF"/>
    <w:rsid w:val="00AE01E1"/>
    <w:rsid w:val="00AE0EB5"/>
    <w:rsid w:val="00AE1A45"/>
    <w:rsid w:val="00AE2C81"/>
    <w:rsid w:val="00AE3213"/>
    <w:rsid w:val="00AE3FD2"/>
    <w:rsid w:val="00AE4DD8"/>
    <w:rsid w:val="00AE588F"/>
    <w:rsid w:val="00AE74BB"/>
    <w:rsid w:val="00AE7A72"/>
    <w:rsid w:val="00AE7B86"/>
    <w:rsid w:val="00AF1CE5"/>
    <w:rsid w:val="00AF20F4"/>
    <w:rsid w:val="00AF22FA"/>
    <w:rsid w:val="00AF42C5"/>
    <w:rsid w:val="00AF47F0"/>
    <w:rsid w:val="00AF4C73"/>
    <w:rsid w:val="00AF5DA6"/>
    <w:rsid w:val="00AF633C"/>
    <w:rsid w:val="00AF67C9"/>
    <w:rsid w:val="00AF7F4E"/>
    <w:rsid w:val="00B02C04"/>
    <w:rsid w:val="00B03905"/>
    <w:rsid w:val="00B04B0C"/>
    <w:rsid w:val="00B04CEE"/>
    <w:rsid w:val="00B053C8"/>
    <w:rsid w:val="00B107FB"/>
    <w:rsid w:val="00B112E4"/>
    <w:rsid w:val="00B1141B"/>
    <w:rsid w:val="00B11508"/>
    <w:rsid w:val="00B12870"/>
    <w:rsid w:val="00B12CDE"/>
    <w:rsid w:val="00B13CC1"/>
    <w:rsid w:val="00B13E51"/>
    <w:rsid w:val="00B141D7"/>
    <w:rsid w:val="00B15157"/>
    <w:rsid w:val="00B164E6"/>
    <w:rsid w:val="00B16C73"/>
    <w:rsid w:val="00B225A7"/>
    <w:rsid w:val="00B2283C"/>
    <w:rsid w:val="00B239DE"/>
    <w:rsid w:val="00B24148"/>
    <w:rsid w:val="00B2557A"/>
    <w:rsid w:val="00B2613C"/>
    <w:rsid w:val="00B26222"/>
    <w:rsid w:val="00B306A7"/>
    <w:rsid w:val="00B30844"/>
    <w:rsid w:val="00B30857"/>
    <w:rsid w:val="00B30EE0"/>
    <w:rsid w:val="00B31D8D"/>
    <w:rsid w:val="00B31EA0"/>
    <w:rsid w:val="00B31EAC"/>
    <w:rsid w:val="00B33FAE"/>
    <w:rsid w:val="00B3597C"/>
    <w:rsid w:val="00B3606A"/>
    <w:rsid w:val="00B3678E"/>
    <w:rsid w:val="00B370EB"/>
    <w:rsid w:val="00B37EF2"/>
    <w:rsid w:val="00B40423"/>
    <w:rsid w:val="00B40630"/>
    <w:rsid w:val="00B40680"/>
    <w:rsid w:val="00B40BFC"/>
    <w:rsid w:val="00B40C47"/>
    <w:rsid w:val="00B411FB"/>
    <w:rsid w:val="00B419C6"/>
    <w:rsid w:val="00B42998"/>
    <w:rsid w:val="00B42E39"/>
    <w:rsid w:val="00B43C35"/>
    <w:rsid w:val="00B4451F"/>
    <w:rsid w:val="00B44575"/>
    <w:rsid w:val="00B44ABF"/>
    <w:rsid w:val="00B454DF"/>
    <w:rsid w:val="00B474E5"/>
    <w:rsid w:val="00B47D1F"/>
    <w:rsid w:val="00B5005F"/>
    <w:rsid w:val="00B503C2"/>
    <w:rsid w:val="00B519E2"/>
    <w:rsid w:val="00B5238D"/>
    <w:rsid w:val="00B527CC"/>
    <w:rsid w:val="00B52860"/>
    <w:rsid w:val="00B52987"/>
    <w:rsid w:val="00B52E48"/>
    <w:rsid w:val="00B5467E"/>
    <w:rsid w:val="00B555A0"/>
    <w:rsid w:val="00B56DB3"/>
    <w:rsid w:val="00B57D00"/>
    <w:rsid w:val="00B60925"/>
    <w:rsid w:val="00B610DD"/>
    <w:rsid w:val="00B6216F"/>
    <w:rsid w:val="00B62887"/>
    <w:rsid w:val="00B63E9A"/>
    <w:rsid w:val="00B648AC"/>
    <w:rsid w:val="00B64AEA"/>
    <w:rsid w:val="00B67D2B"/>
    <w:rsid w:val="00B701D0"/>
    <w:rsid w:val="00B71045"/>
    <w:rsid w:val="00B723A5"/>
    <w:rsid w:val="00B7372A"/>
    <w:rsid w:val="00B74C27"/>
    <w:rsid w:val="00B778D4"/>
    <w:rsid w:val="00B77C2C"/>
    <w:rsid w:val="00B807EA"/>
    <w:rsid w:val="00B80AC9"/>
    <w:rsid w:val="00B80EC9"/>
    <w:rsid w:val="00B8299D"/>
    <w:rsid w:val="00B82E24"/>
    <w:rsid w:val="00B82F0F"/>
    <w:rsid w:val="00B83DAD"/>
    <w:rsid w:val="00B84296"/>
    <w:rsid w:val="00B84367"/>
    <w:rsid w:val="00B85AAC"/>
    <w:rsid w:val="00B85DBC"/>
    <w:rsid w:val="00B863CD"/>
    <w:rsid w:val="00B90206"/>
    <w:rsid w:val="00B929DD"/>
    <w:rsid w:val="00B93065"/>
    <w:rsid w:val="00B932F5"/>
    <w:rsid w:val="00B942E6"/>
    <w:rsid w:val="00B94599"/>
    <w:rsid w:val="00B94A17"/>
    <w:rsid w:val="00B9567D"/>
    <w:rsid w:val="00B96287"/>
    <w:rsid w:val="00B9667E"/>
    <w:rsid w:val="00B97F77"/>
    <w:rsid w:val="00BA1888"/>
    <w:rsid w:val="00BA1E96"/>
    <w:rsid w:val="00BA246F"/>
    <w:rsid w:val="00BA2D74"/>
    <w:rsid w:val="00BA3A29"/>
    <w:rsid w:val="00BA4A5B"/>
    <w:rsid w:val="00BA4D12"/>
    <w:rsid w:val="00BA4ECB"/>
    <w:rsid w:val="00BA5781"/>
    <w:rsid w:val="00BA58E8"/>
    <w:rsid w:val="00BA5D0F"/>
    <w:rsid w:val="00BA5FFD"/>
    <w:rsid w:val="00BA6E27"/>
    <w:rsid w:val="00BA7B28"/>
    <w:rsid w:val="00BB2829"/>
    <w:rsid w:val="00BB2B43"/>
    <w:rsid w:val="00BB378D"/>
    <w:rsid w:val="00BB3DAD"/>
    <w:rsid w:val="00BB47C6"/>
    <w:rsid w:val="00BB534C"/>
    <w:rsid w:val="00BB72D5"/>
    <w:rsid w:val="00BB79AA"/>
    <w:rsid w:val="00BC022C"/>
    <w:rsid w:val="00BC0CE5"/>
    <w:rsid w:val="00BC1A98"/>
    <w:rsid w:val="00BC2E63"/>
    <w:rsid w:val="00BC2F01"/>
    <w:rsid w:val="00BC39AE"/>
    <w:rsid w:val="00BC441F"/>
    <w:rsid w:val="00BC5348"/>
    <w:rsid w:val="00BC55ED"/>
    <w:rsid w:val="00BC5C98"/>
    <w:rsid w:val="00BC5F26"/>
    <w:rsid w:val="00BD186D"/>
    <w:rsid w:val="00BD195E"/>
    <w:rsid w:val="00BD229B"/>
    <w:rsid w:val="00BD2665"/>
    <w:rsid w:val="00BD2DE5"/>
    <w:rsid w:val="00BD3662"/>
    <w:rsid w:val="00BD49FF"/>
    <w:rsid w:val="00BD7037"/>
    <w:rsid w:val="00BE01B1"/>
    <w:rsid w:val="00BE08A1"/>
    <w:rsid w:val="00BE0E28"/>
    <w:rsid w:val="00BE1124"/>
    <w:rsid w:val="00BE2235"/>
    <w:rsid w:val="00BE2AD2"/>
    <w:rsid w:val="00BE3045"/>
    <w:rsid w:val="00BE459E"/>
    <w:rsid w:val="00BE4760"/>
    <w:rsid w:val="00BE5E50"/>
    <w:rsid w:val="00BE689A"/>
    <w:rsid w:val="00BE712E"/>
    <w:rsid w:val="00BF0629"/>
    <w:rsid w:val="00BF0B7E"/>
    <w:rsid w:val="00BF16A1"/>
    <w:rsid w:val="00BF2E08"/>
    <w:rsid w:val="00BF4211"/>
    <w:rsid w:val="00BF5761"/>
    <w:rsid w:val="00BF5B41"/>
    <w:rsid w:val="00BF5D3F"/>
    <w:rsid w:val="00BF5FCD"/>
    <w:rsid w:val="00BF6886"/>
    <w:rsid w:val="00BF6936"/>
    <w:rsid w:val="00BF7554"/>
    <w:rsid w:val="00C01137"/>
    <w:rsid w:val="00C01234"/>
    <w:rsid w:val="00C02848"/>
    <w:rsid w:val="00C031C5"/>
    <w:rsid w:val="00C03A3A"/>
    <w:rsid w:val="00C0415B"/>
    <w:rsid w:val="00C04877"/>
    <w:rsid w:val="00C07651"/>
    <w:rsid w:val="00C10980"/>
    <w:rsid w:val="00C11EDA"/>
    <w:rsid w:val="00C12EBD"/>
    <w:rsid w:val="00C13C95"/>
    <w:rsid w:val="00C13FC1"/>
    <w:rsid w:val="00C140A5"/>
    <w:rsid w:val="00C15C63"/>
    <w:rsid w:val="00C1634F"/>
    <w:rsid w:val="00C207BD"/>
    <w:rsid w:val="00C216C4"/>
    <w:rsid w:val="00C22179"/>
    <w:rsid w:val="00C2322C"/>
    <w:rsid w:val="00C23A69"/>
    <w:rsid w:val="00C24630"/>
    <w:rsid w:val="00C25E83"/>
    <w:rsid w:val="00C26A96"/>
    <w:rsid w:val="00C30420"/>
    <w:rsid w:val="00C316AE"/>
    <w:rsid w:val="00C326A1"/>
    <w:rsid w:val="00C327B2"/>
    <w:rsid w:val="00C327EE"/>
    <w:rsid w:val="00C34CCC"/>
    <w:rsid w:val="00C356C9"/>
    <w:rsid w:val="00C35C9A"/>
    <w:rsid w:val="00C361F4"/>
    <w:rsid w:val="00C37176"/>
    <w:rsid w:val="00C373B3"/>
    <w:rsid w:val="00C4002D"/>
    <w:rsid w:val="00C4063B"/>
    <w:rsid w:val="00C407FF"/>
    <w:rsid w:val="00C40E3C"/>
    <w:rsid w:val="00C414B7"/>
    <w:rsid w:val="00C42D9E"/>
    <w:rsid w:val="00C44CFB"/>
    <w:rsid w:val="00C45258"/>
    <w:rsid w:val="00C45267"/>
    <w:rsid w:val="00C4581D"/>
    <w:rsid w:val="00C45888"/>
    <w:rsid w:val="00C460A9"/>
    <w:rsid w:val="00C461DF"/>
    <w:rsid w:val="00C47728"/>
    <w:rsid w:val="00C47E97"/>
    <w:rsid w:val="00C519BB"/>
    <w:rsid w:val="00C521E2"/>
    <w:rsid w:val="00C526C7"/>
    <w:rsid w:val="00C530D1"/>
    <w:rsid w:val="00C53573"/>
    <w:rsid w:val="00C536D8"/>
    <w:rsid w:val="00C538D9"/>
    <w:rsid w:val="00C53D70"/>
    <w:rsid w:val="00C557CC"/>
    <w:rsid w:val="00C558CC"/>
    <w:rsid w:val="00C5699C"/>
    <w:rsid w:val="00C56F79"/>
    <w:rsid w:val="00C57D26"/>
    <w:rsid w:val="00C61639"/>
    <w:rsid w:val="00C624B6"/>
    <w:rsid w:val="00C6250A"/>
    <w:rsid w:val="00C63D99"/>
    <w:rsid w:val="00C645E5"/>
    <w:rsid w:val="00C666A5"/>
    <w:rsid w:val="00C66D1C"/>
    <w:rsid w:val="00C677F6"/>
    <w:rsid w:val="00C71562"/>
    <w:rsid w:val="00C7243F"/>
    <w:rsid w:val="00C7267F"/>
    <w:rsid w:val="00C7308C"/>
    <w:rsid w:val="00C7331D"/>
    <w:rsid w:val="00C736F1"/>
    <w:rsid w:val="00C73DEA"/>
    <w:rsid w:val="00C73FA8"/>
    <w:rsid w:val="00C74B05"/>
    <w:rsid w:val="00C76852"/>
    <w:rsid w:val="00C76A07"/>
    <w:rsid w:val="00C76C25"/>
    <w:rsid w:val="00C7796B"/>
    <w:rsid w:val="00C80AF3"/>
    <w:rsid w:val="00C81CC4"/>
    <w:rsid w:val="00C81DE5"/>
    <w:rsid w:val="00C82A4B"/>
    <w:rsid w:val="00C82FB8"/>
    <w:rsid w:val="00C836BF"/>
    <w:rsid w:val="00C83D2E"/>
    <w:rsid w:val="00C83EA4"/>
    <w:rsid w:val="00C8441B"/>
    <w:rsid w:val="00C84F91"/>
    <w:rsid w:val="00C857FF"/>
    <w:rsid w:val="00C85914"/>
    <w:rsid w:val="00C87C84"/>
    <w:rsid w:val="00C90772"/>
    <w:rsid w:val="00C90C04"/>
    <w:rsid w:val="00C93DEF"/>
    <w:rsid w:val="00C93EA4"/>
    <w:rsid w:val="00C94641"/>
    <w:rsid w:val="00C974A6"/>
    <w:rsid w:val="00C977B4"/>
    <w:rsid w:val="00C978B0"/>
    <w:rsid w:val="00CA0A51"/>
    <w:rsid w:val="00CA1027"/>
    <w:rsid w:val="00CA20B5"/>
    <w:rsid w:val="00CA2E23"/>
    <w:rsid w:val="00CA4971"/>
    <w:rsid w:val="00CA531E"/>
    <w:rsid w:val="00CA5944"/>
    <w:rsid w:val="00CA5F39"/>
    <w:rsid w:val="00CA6041"/>
    <w:rsid w:val="00CA6EDE"/>
    <w:rsid w:val="00CB00AC"/>
    <w:rsid w:val="00CB0552"/>
    <w:rsid w:val="00CB0639"/>
    <w:rsid w:val="00CB1137"/>
    <w:rsid w:val="00CB126B"/>
    <w:rsid w:val="00CB22BC"/>
    <w:rsid w:val="00CB4AE2"/>
    <w:rsid w:val="00CB76D7"/>
    <w:rsid w:val="00CC02E4"/>
    <w:rsid w:val="00CC0677"/>
    <w:rsid w:val="00CC1972"/>
    <w:rsid w:val="00CC32BB"/>
    <w:rsid w:val="00CC32F2"/>
    <w:rsid w:val="00CC336B"/>
    <w:rsid w:val="00CC363B"/>
    <w:rsid w:val="00CC3ADB"/>
    <w:rsid w:val="00CC4636"/>
    <w:rsid w:val="00CC4759"/>
    <w:rsid w:val="00CC5837"/>
    <w:rsid w:val="00CC6A4A"/>
    <w:rsid w:val="00CC7C6E"/>
    <w:rsid w:val="00CD00A6"/>
    <w:rsid w:val="00CD0307"/>
    <w:rsid w:val="00CD381F"/>
    <w:rsid w:val="00CD41E2"/>
    <w:rsid w:val="00CD4831"/>
    <w:rsid w:val="00CD496E"/>
    <w:rsid w:val="00CD498D"/>
    <w:rsid w:val="00CD5AE3"/>
    <w:rsid w:val="00CD679E"/>
    <w:rsid w:val="00CD706A"/>
    <w:rsid w:val="00CE0929"/>
    <w:rsid w:val="00CE0F8C"/>
    <w:rsid w:val="00CE1B38"/>
    <w:rsid w:val="00CE327E"/>
    <w:rsid w:val="00CE3737"/>
    <w:rsid w:val="00CE4159"/>
    <w:rsid w:val="00CE4D99"/>
    <w:rsid w:val="00CE4EA2"/>
    <w:rsid w:val="00CE50F4"/>
    <w:rsid w:val="00CE59FD"/>
    <w:rsid w:val="00CE5EF5"/>
    <w:rsid w:val="00CE6883"/>
    <w:rsid w:val="00CE738F"/>
    <w:rsid w:val="00CE7896"/>
    <w:rsid w:val="00CF0281"/>
    <w:rsid w:val="00CF12F1"/>
    <w:rsid w:val="00CF4FDE"/>
    <w:rsid w:val="00CF57A3"/>
    <w:rsid w:val="00CF58C4"/>
    <w:rsid w:val="00CF59A9"/>
    <w:rsid w:val="00CF6ADC"/>
    <w:rsid w:val="00CF7D67"/>
    <w:rsid w:val="00CF7EBA"/>
    <w:rsid w:val="00D00EB6"/>
    <w:rsid w:val="00D01C26"/>
    <w:rsid w:val="00D01DC8"/>
    <w:rsid w:val="00D0289A"/>
    <w:rsid w:val="00D037EB"/>
    <w:rsid w:val="00D04BC2"/>
    <w:rsid w:val="00D053C4"/>
    <w:rsid w:val="00D06292"/>
    <w:rsid w:val="00D06318"/>
    <w:rsid w:val="00D07444"/>
    <w:rsid w:val="00D0765B"/>
    <w:rsid w:val="00D109A8"/>
    <w:rsid w:val="00D11EA4"/>
    <w:rsid w:val="00D12C15"/>
    <w:rsid w:val="00D12D35"/>
    <w:rsid w:val="00D14C23"/>
    <w:rsid w:val="00D14D19"/>
    <w:rsid w:val="00D1509E"/>
    <w:rsid w:val="00D15708"/>
    <w:rsid w:val="00D15936"/>
    <w:rsid w:val="00D15BC5"/>
    <w:rsid w:val="00D163E8"/>
    <w:rsid w:val="00D16A15"/>
    <w:rsid w:val="00D171F2"/>
    <w:rsid w:val="00D17861"/>
    <w:rsid w:val="00D20DDF"/>
    <w:rsid w:val="00D21A69"/>
    <w:rsid w:val="00D229CD"/>
    <w:rsid w:val="00D22B09"/>
    <w:rsid w:val="00D22E87"/>
    <w:rsid w:val="00D23A01"/>
    <w:rsid w:val="00D242F9"/>
    <w:rsid w:val="00D2450D"/>
    <w:rsid w:val="00D24AA5"/>
    <w:rsid w:val="00D26707"/>
    <w:rsid w:val="00D26F02"/>
    <w:rsid w:val="00D274ED"/>
    <w:rsid w:val="00D27DDF"/>
    <w:rsid w:val="00D30762"/>
    <w:rsid w:val="00D30B97"/>
    <w:rsid w:val="00D31357"/>
    <w:rsid w:val="00D31574"/>
    <w:rsid w:val="00D31610"/>
    <w:rsid w:val="00D31962"/>
    <w:rsid w:val="00D32554"/>
    <w:rsid w:val="00D329C6"/>
    <w:rsid w:val="00D3399B"/>
    <w:rsid w:val="00D344AA"/>
    <w:rsid w:val="00D358C2"/>
    <w:rsid w:val="00D36050"/>
    <w:rsid w:val="00D363A9"/>
    <w:rsid w:val="00D3690B"/>
    <w:rsid w:val="00D376F1"/>
    <w:rsid w:val="00D37A6F"/>
    <w:rsid w:val="00D40577"/>
    <w:rsid w:val="00D41233"/>
    <w:rsid w:val="00D43491"/>
    <w:rsid w:val="00D43932"/>
    <w:rsid w:val="00D439F0"/>
    <w:rsid w:val="00D43DB0"/>
    <w:rsid w:val="00D43EB7"/>
    <w:rsid w:val="00D440CD"/>
    <w:rsid w:val="00D45E27"/>
    <w:rsid w:val="00D47AEA"/>
    <w:rsid w:val="00D57CEB"/>
    <w:rsid w:val="00D62E8D"/>
    <w:rsid w:val="00D6458C"/>
    <w:rsid w:val="00D65FD4"/>
    <w:rsid w:val="00D66575"/>
    <w:rsid w:val="00D668D8"/>
    <w:rsid w:val="00D67464"/>
    <w:rsid w:val="00D67A98"/>
    <w:rsid w:val="00D67E21"/>
    <w:rsid w:val="00D729CF"/>
    <w:rsid w:val="00D72F06"/>
    <w:rsid w:val="00D736E9"/>
    <w:rsid w:val="00D73BDE"/>
    <w:rsid w:val="00D7410A"/>
    <w:rsid w:val="00D7673A"/>
    <w:rsid w:val="00D76F7B"/>
    <w:rsid w:val="00D77209"/>
    <w:rsid w:val="00D832FC"/>
    <w:rsid w:val="00D83A0F"/>
    <w:rsid w:val="00D864A7"/>
    <w:rsid w:val="00D867BC"/>
    <w:rsid w:val="00D87337"/>
    <w:rsid w:val="00D87374"/>
    <w:rsid w:val="00D90701"/>
    <w:rsid w:val="00D90FBA"/>
    <w:rsid w:val="00D91B58"/>
    <w:rsid w:val="00D92160"/>
    <w:rsid w:val="00D9236D"/>
    <w:rsid w:val="00D93E92"/>
    <w:rsid w:val="00D93F50"/>
    <w:rsid w:val="00D94CC1"/>
    <w:rsid w:val="00DA084F"/>
    <w:rsid w:val="00DA19B2"/>
    <w:rsid w:val="00DA1CD9"/>
    <w:rsid w:val="00DA1FEA"/>
    <w:rsid w:val="00DA229A"/>
    <w:rsid w:val="00DA28B9"/>
    <w:rsid w:val="00DA3012"/>
    <w:rsid w:val="00DA386C"/>
    <w:rsid w:val="00DA76C6"/>
    <w:rsid w:val="00DA775D"/>
    <w:rsid w:val="00DB000C"/>
    <w:rsid w:val="00DB09A9"/>
    <w:rsid w:val="00DB0B30"/>
    <w:rsid w:val="00DB0D5B"/>
    <w:rsid w:val="00DB1BEF"/>
    <w:rsid w:val="00DB202D"/>
    <w:rsid w:val="00DB21D0"/>
    <w:rsid w:val="00DB3032"/>
    <w:rsid w:val="00DB49F2"/>
    <w:rsid w:val="00DB52ED"/>
    <w:rsid w:val="00DB6FE4"/>
    <w:rsid w:val="00DB703A"/>
    <w:rsid w:val="00DB7B75"/>
    <w:rsid w:val="00DB7F44"/>
    <w:rsid w:val="00DC1181"/>
    <w:rsid w:val="00DC441D"/>
    <w:rsid w:val="00DC5170"/>
    <w:rsid w:val="00DC7C85"/>
    <w:rsid w:val="00DD06C1"/>
    <w:rsid w:val="00DD13B0"/>
    <w:rsid w:val="00DD1445"/>
    <w:rsid w:val="00DD2223"/>
    <w:rsid w:val="00DD2984"/>
    <w:rsid w:val="00DD2B6E"/>
    <w:rsid w:val="00DD3C99"/>
    <w:rsid w:val="00DD525E"/>
    <w:rsid w:val="00DD565B"/>
    <w:rsid w:val="00DE019F"/>
    <w:rsid w:val="00DE151B"/>
    <w:rsid w:val="00DE1C18"/>
    <w:rsid w:val="00DE1FB4"/>
    <w:rsid w:val="00DE3CF0"/>
    <w:rsid w:val="00DE3DCB"/>
    <w:rsid w:val="00DE5F52"/>
    <w:rsid w:val="00DE6498"/>
    <w:rsid w:val="00DE7025"/>
    <w:rsid w:val="00DE7173"/>
    <w:rsid w:val="00DE730B"/>
    <w:rsid w:val="00DF220C"/>
    <w:rsid w:val="00DF288D"/>
    <w:rsid w:val="00DF2A58"/>
    <w:rsid w:val="00DF32C6"/>
    <w:rsid w:val="00DF658F"/>
    <w:rsid w:val="00DF685E"/>
    <w:rsid w:val="00DF695B"/>
    <w:rsid w:val="00DF6B93"/>
    <w:rsid w:val="00DF701A"/>
    <w:rsid w:val="00DF7B73"/>
    <w:rsid w:val="00DF7C17"/>
    <w:rsid w:val="00E00924"/>
    <w:rsid w:val="00E03991"/>
    <w:rsid w:val="00E07362"/>
    <w:rsid w:val="00E075E0"/>
    <w:rsid w:val="00E07C9D"/>
    <w:rsid w:val="00E1027F"/>
    <w:rsid w:val="00E1143E"/>
    <w:rsid w:val="00E13F80"/>
    <w:rsid w:val="00E1440F"/>
    <w:rsid w:val="00E15010"/>
    <w:rsid w:val="00E153E6"/>
    <w:rsid w:val="00E1591A"/>
    <w:rsid w:val="00E15D8D"/>
    <w:rsid w:val="00E15EB4"/>
    <w:rsid w:val="00E16B8D"/>
    <w:rsid w:val="00E171AD"/>
    <w:rsid w:val="00E174AC"/>
    <w:rsid w:val="00E1754A"/>
    <w:rsid w:val="00E21748"/>
    <w:rsid w:val="00E228C5"/>
    <w:rsid w:val="00E22D96"/>
    <w:rsid w:val="00E2496A"/>
    <w:rsid w:val="00E24D25"/>
    <w:rsid w:val="00E25940"/>
    <w:rsid w:val="00E25A56"/>
    <w:rsid w:val="00E25DAB"/>
    <w:rsid w:val="00E266C4"/>
    <w:rsid w:val="00E267E8"/>
    <w:rsid w:val="00E2771F"/>
    <w:rsid w:val="00E31136"/>
    <w:rsid w:val="00E32CA2"/>
    <w:rsid w:val="00E32E12"/>
    <w:rsid w:val="00E32FBC"/>
    <w:rsid w:val="00E3308D"/>
    <w:rsid w:val="00E33889"/>
    <w:rsid w:val="00E33FFA"/>
    <w:rsid w:val="00E37116"/>
    <w:rsid w:val="00E37427"/>
    <w:rsid w:val="00E40F70"/>
    <w:rsid w:val="00E41143"/>
    <w:rsid w:val="00E41453"/>
    <w:rsid w:val="00E41C1E"/>
    <w:rsid w:val="00E41D18"/>
    <w:rsid w:val="00E421A2"/>
    <w:rsid w:val="00E432AB"/>
    <w:rsid w:val="00E436FB"/>
    <w:rsid w:val="00E4400F"/>
    <w:rsid w:val="00E44303"/>
    <w:rsid w:val="00E44ABA"/>
    <w:rsid w:val="00E44BA9"/>
    <w:rsid w:val="00E4590D"/>
    <w:rsid w:val="00E459F6"/>
    <w:rsid w:val="00E45DD7"/>
    <w:rsid w:val="00E4616E"/>
    <w:rsid w:val="00E46CE5"/>
    <w:rsid w:val="00E479D1"/>
    <w:rsid w:val="00E50A32"/>
    <w:rsid w:val="00E50B67"/>
    <w:rsid w:val="00E515D6"/>
    <w:rsid w:val="00E51D87"/>
    <w:rsid w:val="00E51FB2"/>
    <w:rsid w:val="00E541CB"/>
    <w:rsid w:val="00E543C2"/>
    <w:rsid w:val="00E5572F"/>
    <w:rsid w:val="00E5608A"/>
    <w:rsid w:val="00E5621E"/>
    <w:rsid w:val="00E60013"/>
    <w:rsid w:val="00E60404"/>
    <w:rsid w:val="00E60A11"/>
    <w:rsid w:val="00E633DC"/>
    <w:rsid w:val="00E63F16"/>
    <w:rsid w:val="00E6458D"/>
    <w:rsid w:val="00E64DCC"/>
    <w:rsid w:val="00E64EE7"/>
    <w:rsid w:val="00E656ED"/>
    <w:rsid w:val="00E65E61"/>
    <w:rsid w:val="00E66F3E"/>
    <w:rsid w:val="00E702B4"/>
    <w:rsid w:val="00E70B27"/>
    <w:rsid w:val="00E70C64"/>
    <w:rsid w:val="00E72EDA"/>
    <w:rsid w:val="00E737DA"/>
    <w:rsid w:val="00E747FB"/>
    <w:rsid w:val="00E758D2"/>
    <w:rsid w:val="00E76640"/>
    <w:rsid w:val="00E76A6E"/>
    <w:rsid w:val="00E76BD9"/>
    <w:rsid w:val="00E804D3"/>
    <w:rsid w:val="00E80582"/>
    <w:rsid w:val="00E811FD"/>
    <w:rsid w:val="00E820AB"/>
    <w:rsid w:val="00E8292F"/>
    <w:rsid w:val="00E8318B"/>
    <w:rsid w:val="00E8497F"/>
    <w:rsid w:val="00E85790"/>
    <w:rsid w:val="00E85793"/>
    <w:rsid w:val="00E85794"/>
    <w:rsid w:val="00E85FCD"/>
    <w:rsid w:val="00E865BF"/>
    <w:rsid w:val="00E8681F"/>
    <w:rsid w:val="00E869E5"/>
    <w:rsid w:val="00E86EFC"/>
    <w:rsid w:val="00E870F6"/>
    <w:rsid w:val="00E874C9"/>
    <w:rsid w:val="00E8753F"/>
    <w:rsid w:val="00E87961"/>
    <w:rsid w:val="00E90F1E"/>
    <w:rsid w:val="00E915FF"/>
    <w:rsid w:val="00E92395"/>
    <w:rsid w:val="00E929E7"/>
    <w:rsid w:val="00E935A6"/>
    <w:rsid w:val="00E93F03"/>
    <w:rsid w:val="00E9495F"/>
    <w:rsid w:val="00E958B1"/>
    <w:rsid w:val="00E964DC"/>
    <w:rsid w:val="00EA10E1"/>
    <w:rsid w:val="00EA4121"/>
    <w:rsid w:val="00EA4549"/>
    <w:rsid w:val="00EA5D06"/>
    <w:rsid w:val="00EA7F92"/>
    <w:rsid w:val="00EB01FD"/>
    <w:rsid w:val="00EB15E8"/>
    <w:rsid w:val="00EB2AD0"/>
    <w:rsid w:val="00EB2E49"/>
    <w:rsid w:val="00EB3C54"/>
    <w:rsid w:val="00EB4175"/>
    <w:rsid w:val="00EB42F2"/>
    <w:rsid w:val="00EB54ED"/>
    <w:rsid w:val="00EB5B74"/>
    <w:rsid w:val="00EB5BA9"/>
    <w:rsid w:val="00EB6440"/>
    <w:rsid w:val="00EB6852"/>
    <w:rsid w:val="00EB738E"/>
    <w:rsid w:val="00EB7E21"/>
    <w:rsid w:val="00EB7EB0"/>
    <w:rsid w:val="00EC1F4E"/>
    <w:rsid w:val="00EC2C11"/>
    <w:rsid w:val="00EC3477"/>
    <w:rsid w:val="00EC5400"/>
    <w:rsid w:val="00EC63D4"/>
    <w:rsid w:val="00EC72AD"/>
    <w:rsid w:val="00EC7F6E"/>
    <w:rsid w:val="00ED0429"/>
    <w:rsid w:val="00ED0767"/>
    <w:rsid w:val="00ED0F42"/>
    <w:rsid w:val="00ED130E"/>
    <w:rsid w:val="00ED1ABB"/>
    <w:rsid w:val="00ED4D2F"/>
    <w:rsid w:val="00ED4EF1"/>
    <w:rsid w:val="00ED61E5"/>
    <w:rsid w:val="00ED6FC4"/>
    <w:rsid w:val="00EE2A81"/>
    <w:rsid w:val="00EE3E0D"/>
    <w:rsid w:val="00EE4230"/>
    <w:rsid w:val="00EE4CD8"/>
    <w:rsid w:val="00EE5AC2"/>
    <w:rsid w:val="00EE5E6A"/>
    <w:rsid w:val="00EE70B2"/>
    <w:rsid w:val="00EF2A0B"/>
    <w:rsid w:val="00EF35C6"/>
    <w:rsid w:val="00EF4480"/>
    <w:rsid w:val="00EF4B6F"/>
    <w:rsid w:val="00EF5C6F"/>
    <w:rsid w:val="00EF6085"/>
    <w:rsid w:val="00EF6429"/>
    <w:rsid w:val="00EF6F29"/>
    <w:rsid w:val="00F00828"/>
    <w:rsid w:val="00F008C0"/>
    <w:rsid w:val="00F013AB"/>
    <w:rsid w:val="00F018B1"/>
    <w:rsid w:val="00F020BF"/>
    <w:rsid w:val="00F02704"/>
    <w:rsid w:val="00F0351A"/>
    <w:rsid w:val="00F07244"/>
    <w:rsid w:val="00F102B1"/>
    <w:rsid w:val="00F126FE"/>
    <w:rsid w:val="00F12790"/>
    <w:rsid w:val="00F13254"/>
    <w:rsid w:val="00F133A9"/>
    <w:rsid w:val="00F13428"/>
    <w:rsid w:val="00F14580"/>
    <w:rsid w:val="00F14837"/>
    <w:rsid w:val="00F14A7C"/>
    <w:rsid w:val="00F161B4"/>
    <w:rsid w:val="00F16BC3"/>
    <w:rsid w:val="00F17B5C"/>
    <w:rsid w:val="00F20914"/>
    <w:rsid w:val="00F21591"/>
    <w:rsid w:val="00F21E6A"/>
    <w:rsid w:val="00F2242B"/>
    <w:rsid w:val="00F22BC5"/>
    <w:rsid w:val="00F22F26"/>
    <w:rsid w:val="00F2486C"/>
    <w:rsid w:val="00F24A56"/>
    <w:rsid w:val="00F256DB"/>
    <w:rsid w:val="00F264B0"/>
    <w:rsid w:val="00F27D65"/>
    <w:rsid w:val="00F304FE"/>
    <w:rsid w:val="00F30567"/>
    <w:rsid w:val="00F3107A"/>
    <w:rsid w:val="00F32C1A"/>
    <w:rsid w:val="00F32C35"/>
    <w:rsid w:val="00F32E72"/>
    <w:rsid w:val="00F371E3"/>
    <w:rsid w:val="00F40483"/>
    <w:rsid w:val="00F40BA7"/>
    <w:rsid w:val="00F41AAC"/>
    <w:rsid w:val="00F41B6E"/>
    <w:rsid w:val="00F41E58"/>
    <w:rsid w:val="00F42DE6"/>
    <w:rsid w:val="00F43D44"/>
    <w:rsid w:val="00F453DD"/>
    <w:rsid w:val="00F46096"/>
    <w:rsid w:val="00F4709E"/>
    <w:rsid w:val="00F47A66"/>
    <w:rsid w:val="00F50FE8"/>
    <w:rsid w:val="00F52897"/>
    <w:rsid w:val="00F536C6"/>
    <w:rsid w:val="00F54730"/>
    <w:rsid w:val="00F556A1"/>
    <w:rsid w:val="00F573A0"/>
    <w:rsid w:val="00F57DEA"/>
    <w:rsid w:val="00F6022A"/>
    <w:rsid w:val="00F6092F"/>
    <w:rsid w:val="00F609EF"/>
    <w:rsid w:val="00F6100D"/>
    <w:rsid w:val="00F65706"/>
    <w:rsid w:val="00F66935"/>
    <w:rsid w:val="00F671BB"/>
    <w:rsid w:val="00F67717"/>
    <w:rsid w:val="00F70A58"/>
    <w:rsid w:val="00F726EF"/>
    <w:rsid w:val="00F727FF"/>
    <w:rsid w:val="00F72A59"/>
    <w:rsid w:val="00F72C72"/>
    <w:rsid w:val="00F73C7C"/>
    <w:rsid w:val="00F7462C"/>
    <w:rsid w:val="00F74A13"/>
    <w:rsid w:val="00F75E54"/>
    <w:rsid w:val="00F77B6E"/>
    <w:rsid w:val="00F80939"/>
    <w:rsid w:val="00F81D53"/>
    <w:rsid w:val="00F82444"/>
    <w:rsid w:val="00F82852"/>
    <w:rsid w:val="00F83BB1"/>
    <w:rsid w:val="00F8599D"/>
    <w:rsid w:val="00F85EAB"/>
    <w:rsid w:val="00F90074"/>
    <w:rsid w:val="00F9182D"/>
    <w:rsid w:val="00F91893"/>
    <w:rsid w:val="00F939C9"/>
    <w:rsid w:val="00F93D2A"/>
    <w:rsid w:val="00F93E70"/>
    <w:rsid w:val="00F93F77"/>
    <w:rsid w:val="00F94728"/>
    <w:rsid w:val="00F94E80"/>
    <w:rsid w:val="00F953A2"/>
    <w:rsid w:val="00F95582"/>
    <w:rsid w:val="00F96159"/>
    <w:rsid w:val="00F96899"/>
    <w:rsid w:val="00F97E0A"/>
    <w:rsid w:val="00FA06A6"/>
    <w:rsid w:val="00FA282C"/>
    <w:rsid w:val="00FA461F"/>
    <w:rsid w:val="00FA48D8"/>
    <w:rsid w:val="00FA4EF8"/>
    <w:rsid w:val="00FA5B03"/>
    <w:rsid w:val="00FA5CF7"/>
    <w:rsid w:val="00FA6E80"/>
    <w:rsid w:val="00FA70A2"/>
    <w:rsid w:val="00FB00EF"/>
    <w:rsid w:val="00FB05F1"/>
    <w:rsid w:val="00FB13F1"/>
    <w:rsid w:val="00FB1DED"/>
    <w:rsid w:val="00FB2484"/>
    <w:rsid w:val="00FB3396"/>
    <w:rsid w:val="00FB3486"/>
    <w:rsid w:val="00FB37BB"/>
    <w:rsid w:val="00FB5020"/>
    <w:rsid w:val="00FB5D13"/>
    <w:rsid w:val="00FB6C83"/>
    <w:rsid w:val="00FB75C5"/>
    <w:rsid w:val="00FB7A05"/>
    <w:rsid w:val="00FC00F1"/>
    <w:rsid w:val="00FC139E"/>
    <w:rsid w:val="00FC337B"/>
    <w:rsid w:val="00FC3679"/>
    <w:rsid w:val="00FC4375"/>
    <w:rsid w:val="00FC5323"/>
    <w:rsid w:val="00FC7C18"/>
    <w:rsid w:val="00FC7DE6"/>
    <w:rsid w:val="00FD0ED4"/>
    <w:rsid w:val="00FD2448"/>
    <w:rsid w:val="00FD28FE"/>
    <w:rsid w:val="00FD3AAF"/>
    <w:rsid w:val="00FD43FF"/>
    <w:rsid w:val="00FD5AF9"/>
    <w:rsid w:val="00FD5C6D"/>
    <w:rsid w:val="00FD66A7"/>
    <w:rsid w:val="00FD7DBA"/>
    <w:rsid w:val="00FE1CAB"/>
    <w:rsid w:val="00FE2EDD"/>
    <w:rsid w:val="00FE3E0D"/>
    <w:rsid w:val="00FE4D10"/>
    <w:rsid w:val="00FE53FB"/>
    <w:rsid w:val="00FE64A5"/>
    <w:rsid w:val="00FE7940"/>
    <w:rsid w:val="00FE7B0B"/>
    <w:rsid w:val="00FF4734"/>
    <w:rsid w:val="00FF545D"/>
    <w:rsid w:val="00FF63B9"/>
    <w:rsid w:val="00FF72F4"/>
    <w:rsid w:val="00FF77B6"/>
    <w:rsid w:val="00FF79F6"/>
    <w:rsid w:val="00FF7DE3"/>
    <w:rsid w:val="010C3643"/>
    <w:rsid w:val="014236A3"/>
    <w:rsid w:val="016D0EAE"/>
    <w:rsid w:val="01B02A3A"/>
    <w:rsid w:val="01C17D4F"/>
    <w:rsid w:val="01C2190C"/>
    <w:rsid w:val="01DD4866"/>
    <w:rsid w:val="01ECD302"/>
    <w:rsid w:val="01EED958"/>
    <w:rsid w:val="023672F4"/>
    <w:rsid w:val="025561CF"/>
    <w:rsid w:val="025E0000"/>
    <w:rsid w:val="02B557CA"/>
    <w:rsid w:val="02F40C3D"/>
    <w:rsid w:val="0334385F"/>
    <w:rsid w:val="0344272D"/>
    <w:rsid w:val="03464D4E"/>
    <w:rsid w:val="0369EBFE"/>
    <w:rsid w:val="03872212"/>
    <w:rsid w:val="038E3E27"/>
    <w:rsid w:val="039C7B4B"/>
    <w:rsid w:val="03BC33DF"/>
    <w:rsid w:val="03DAF410"/>
    <w:rsid w:val="040272A1"/>
    <w:rsid w:val="040E5683"/>
    <w:rsid w:val="04674C72"/>
    <w:rsid w:val="04D4C9F3"/>
    <w:rsid w:val="04D72B00"/>
    <w:rsid w:val="04D90F82"/>
    <w:rsid w:val="04DF2FB1"/>
    <w:rsid w:val="05517767"/>
    <w:rsid w:val="057958C0"/>
    <w:rsid w:val="05E742CE"/>
    <w:rsid w:val="05F4772E"/>
    <w:rsid w:val="063512B6"/>
    <w:rsid w:val="0638524B"/>
    <w:rsid w:val="063F4F71"/>
    <w:rsid w:val="06F350BB"/>
    <w:rsid w:val="06F63CB4"/>
    <w:rsid w:val="06FB4DE7"/>
    <w:rsid w:val="0748117C"/>
    <w:rsid w:val="077E6CFB"/>
    <w:rsid w:val="078F6815"/>
    <w:rsid w:val="07DA0D0A"/>
    <w:rsid w:val="07F44EAE"/>
    <w:rsid w:val="08011F96"/>
    <w:rsid w:val="080A5BBA"/>
    <w:rsid w:val="0812512E"/>
    <w:rsid w:val="0822632F"/>
    <w:rsid w:val="083EA784"/>
    <w:rsid w:val="086E5C27"/>
    <w:rsid w:val="08A45A7F"/>
    <w:rsid w:val="08B96B28"/>
    <w:rsid w:val="08CC56F8"/>
    <w:rsid w:val="08D35D8B"/>
    <w:rsid w:val="08F65717"/>
    <w:rsid w:val="08F6CF93"/>
    <w:rsid w:val="09303426"/>
    <w:rsid w:val="093C3D88"/>
    <w:rsid w:val="09476803"/>
    <w:rsid w:val="097D6718"/>
    <w:rsid w:val="09E716CF"/>
    <w:rsid w:val="09FD6A6F"/>
    <w:rsid w:val="0A040FB9"/>
    <w:rsid w:val="0A1141C5"/>
    <w:rsid w:val="0A65397E"/>
    <w:rsid w:val="0ADF508F"/>
    <w:rsid w:val="0B6E2281"/>
    <w:rsid w:val="0B7551DF"/>
    <w:rsid w:val="0B9D7938"/>
    <w:rsid w:val="0B9F5186"/>
    <w:rsid w:val="0BA08867"/>
    <w:rsid w:val="0BC6F1D2"/>
    <w:rsid w:val="0C0EE901"/>
    <w:rsid w:val="0C2D3942"/>
    <w:rsid w:val="0C376ACB"/>
    <w:rsid w:val="0C57BC5C"/>
    <w:rsid w:val="0C962B0F"/>
    <w:rsid w:val="0CA957FF"/>
    <w:rsid w:val="0CD9F3FF"/>
    <w:rsid w:val="0CE76FFC"/>
    <w:rsid w:val="0D352B8F"/>
    <w:rsid w:val="0D40222C"/>
    <w:rsid w:val="0D444814"/>
    <w:rsid w:val="0D454E0B"/>
    <w:rsid w:val="0D5BEA4A"/>
    <w:rsid w:val="0D6C1864"/>
    <w:rsid w:val="0D766336"/>
    <w:rsid w:val="0D766750"/>
    <w:rsid w:val="0D892575"/>
    <w:rsid w:val="0DD15005"/>
    <w:rsid w:val="0DF91165"/>
    <w:rsid w:val="0E116FC1"/>
    <w:rsid w:val="0E22282F"/>
    <w:rsid w:val="0E377EFE"/>
    <w:rsid w:val="0E440B11"/>
    <w:rsid w:val="0E91B3AC"/>
    <w:rsid w:val="0ED60128"/>
    <w:rsid w:val="0EEA107A"/>
    <w:rsid w:val="0F091DE5"/>
    <w:rsid w:val="0F1A6EEB"/>
    <w:rsid w:val="0F611CF7"/>
    <w:rsid w:val="0F6B1308"/>
    <w:rsid w:val="0FB1C05F"/>
    <w:rsid w:val="10230BAE"/>
    <w:rsid w:val="103C741A"/>
    <w:rsid w:val="106A1212"/>
    <w:rsid w:val="107D0331"/>
    <w:rsid w:val="11086B5C"/>
    <w:rsid w:val="111C7210"/>
    <w:rsid w:val="115327BC"/>
    <w:rsid w:val="115E561D"/>
    <w:rsid w:val="117C6359"/>
    <w:rsid w:val="119011CC"/>
    <w:rsid w:val="11A006BD"/>
    <w:rsid w:val="11C92E33"/>
    <w:rsid w:val="11D41D2F"/>
    <w:rsid w:val="12534A6C"/>
    <w:rsid w:val="126A4B86"/>
    <w:rsid w:val="126F320F"/>
    <w:rsid w:val="12CF35E3"/>
    <w:rsid w:val="12D76EEE"/>
    <w:rsid w:val="12F53CF2"/>
    <w:rsid w:val="1327349E"/>
    <w:rsid w:val="134C5ADD"/>
    <w:rsid w:val="138B5A8D"/>
    <w:rsid w:val="139A2BA0"/>
    <w:rsid w:val="13F31684"/>
    <w:rsid w:val="13FD4EBE"/>
    <w:rsid w:val="14061E89"/>
    <w:rsid w:val="14141676"/>
    <w:rsid w:val="14435418"/>
    <w:rsid w:val="1449051D"/>
    <w:rsid w:val="144B2329"/>
    <w:rsid w:val="14694849"/>
    <w:rsid w:val="14845562"/>
    <w:rsid w:val="14BB014F"/>
    <w:rsid w:val="14CF3310"/>
    <w:rsid w:val="14DF1495"/>
    <w:rsid w:val="14ED2B94"/>
    <w:rsid w:val="1506492D"/>
    <w:rsid w:val="1506568C"/>
    <w:rsid w:val="150BA6ED"/>
    <w:rsid w:val="150C1EB8"/>
    <w:rsid w:val="15165BC8"/>
    <w:rsid w:val="15243624"/>
    <w:rsid w:val="15701248"/>
    <w:rsid w:val="157A56C9"/>
    <w:rsid w:val="158217F1"/>
    <w:rsid w:val="159F45F6"/>
    <w:rsid w:val="15AB1011"/>
    <w:rsid w:val="15AC7E84"/>
    <w:rsid w:val="15FED2E0"/>
    <w:rsid w:val="161A0483"/>
    <w:rsid w:val="161B1FE5"/>
    <w:rsid w:val="162665CA"/>
    <w:rsid w:val="16435524"/>
    <w:rsid w:val="1655458A"/>
    <w:rsid w:val="1671146D"/>
    <w:rsid w:val="16A71DAD"/>
    <w:rsid w:val="16D8D611"/>
    <w:rsid w:val="16E502C5"/>
    <w:rsid w:val="170468BE"/>
    <w:rsid w:val="170944B2"/>
    <w:rsid w:val="170AB26E"/>
    <w:rsid w:val="1723AD29"/>
    <w:rsid w:val="172938FF"/>
    <w:rsid w:val="173328A2"/>
    <w:rsid w:val="175F19DD"/>
    <w:rsid w:val="17887D6C"/>
    <w:rsid w:val="17922CE8"/>
    <w:rsid w:val="17931DB3"/>
    <w:rsid w:val="17A2297F"/>
    <w:rsid w:val="17AA7EB8"/>
    <w:rsid w:val="17B2164C"/>
    <w:rsid w:val="17BD032F"/>
    <w:rsid w:val="17DB5DBD"/>
    <w:rsid w:val="17EE1F50"/>
    <w:rsid w:val="1815B365"/>
    <w:rsid w:val="18250294"/>
    <w:rsid w:val="188E0589"/>
    <w:rsid w:val="18A37048"/>
    <w:rsid w:val="18AC5809"/>
    <w:rsid w:val="18AC646C"/>
    <w:rsid w:val="18D42B21"/>
    <w:rsid w:val="18E62CAD"/>
    <w:rsid w:val="190744C9"/>
    <w:rsid w:val="190C25BA"/>
    <w:rsid w:val="192964D8"/>
    <w:rsid w:val="192F367F"/>
    <w:rsid w:val="196D4D64"/>
    <w:rsid w:val="19A15A80"/>
    <w:rsid w:val="19D83B72"/>
    <w:rsid w:val="1A002745"/>
    <w:rsid w:val="1A020445"/>
    <w:rsid w:val="1A0E61A6"/>
    <w:rsid w:val="1A281749"/>
    <w:rsid w:val="1A35E86F"/>
    <w:rsid w:val="1A6C2877"/>
    <w:rsid w:val="1A716B96"/>
    <w:rsid w:val="1A814D60"/>
    <w:rsid w:val="1A8A716A"/>
    <w:rsid w:val="1A995208"/>
    <w:rsid w:val="1AF5726D"/>
    <w:rsid w:val="1B2C00DF"/>
    <w:rsid w:val="1B2C0866"/>
    <w:rsid w:val="1BA37AB2"/>
    <w:rsid w:val="1C2947A8"/>
    <w:rsid w:val="1C5474E6"/>
    <w:rsid w:val="1CB615F4"/>
    <w:rsid w:val="1CBB5AF5"/>
    <w:rsid w:val="1CBC1AA4"/>
    <w:rsid w:val="1D33265B"/>
    <w:rsid w:val="1D4A70A8"/>
    <w:rsid w:val="1D520B6A"/>
    <w:rsid w:val="1E0274D8"/>
    <w:rsid w:val="1E041B9F"/>
    <w:rsid w:val="1E0B72E8"/>
    <w:rsid w:val="1E4C5491"/>
    <w:rsid w:val="1E551D10"/>
    <w:rsid w:val="1E5AD940"/>
    <w:rsid w:val="1E780E22"/>
    <w:rsid w:val="1E791675"/>
    <w:rsid w:val="1E99A1D7"/>
    <w:rsid w:val="1EC943B8"/>
    <w:rsid w:val="1ED28671"/>
    <w:rsid w:val="1F0E2725"/>
    <w:rsid w:val="1F196EC7"/>
    <w:rsid w:val="1F214E3E"/>
    <w:rsid w:val="1F4002C6"/>
    <w:rsid w:val="1F550844"/>
    <w:rsid w:val="1F714F69"/>
    <w:rsid w:val="1F8E5491"/>
    <w:rsid w:val="1F8E62A4"/>
    <w:rsid w:val="1F9E5243"/>
    <w:rsid w:val="1FC1C6D5"/>
    <w:rsid w:val="1FD8CB74"/>
    <w:rsid w:val="1FE3480E"/>
    <w:rsid w:val="1FE84B21"/>
    <w:rsid w:val="200808D2"/>
    <w:rsid w:val="208B0D98"/>
    <w:rsid w:val="20C1DF52"/>
    <w:rsid w:val="20C335FC"/>
    <w:rsid w:val="20E66C73"/>
    <w:rsid w:val="2105BC6D"/>
    <w:rsid w:val="211E789C"/>
    <w:rsid w:val="217742E0"/>
    <w:rsid w:val="21796D01"/>
    <w:rsid w:val="21803C49"/>
    <w:rsid w:val="218368F4"/>
    <w:rsid w:val="21852AE4"/>
    <w:rsid w:val="21D74148"/>
    <w:rsid w:val="21D91475"/>
    <w:rsid w:val="21F40844"/>
    <w:rsid w:val="220C4BAB"/>
    <w:rsid w:val="222114F3"/>
    <w:rsid w:val="222F763D"/>
    <w:rsid w:val="22807A97"/>
    <w:rsid w:val="229029AA"/>
    <w:rsid w:val="22935951"/>
    <w:rsid w:val="22EF3824"/>
    <w:rsid w:val="231F6037"/>
    <w:rsid w:val="234F0ECF"/>
    <w:rsid w:val="2390ED8C"/>
    <w:rsid w:val="23AC7BD9"/>
    <w:rsid w:val="23E826E3"/>
    <w:rsid w:val="23E913EA"/>
    <w:rsid w:val="24208372"/>
    <w:rsid w:val="24415794"/>
    <w:rsid w:val="24426B07"/>
    <w:rsid w:val="24433F1C"/>
    <w:rsid w:val="246C6614"/>
    <w:rsid w:val="24707D7F"/>
    <w:rsid w:val="24BB5EBC"/>
    <w:rsid w:val="24C55AA4"/>
    <w:rsid w:val="24C607C1"/>
    <w:rsid w:val="24C9474B"/>
    <w:rsid w:val="24DE4BCE"/>
    <w:rsid w:val="24E1A86E"/>
    <w:rsid w:val="24F26C94"/>
    <w:rsid w:val="250042F7"/>
    <w:rsid w:val="253373C6"/>
    <w:rsid w:val="258E59D0"/>
    <w:rsid w:val="25D03B2C"/>
    <w:rsid w:val="25EE7927"/>
    <w:rsid w:val="260B00CA"/>
    <w:rsid w:val="262A02CB"/>
    <w:rsid w:val="263C6C62"/>
    <w:rsid w:val="264952C6"/>
    <w:rsid w:val="265811B8"/>
    <w:rsid w:val="266B63A5"/>
    <w:rsid w:val="2678146B"/>
    <w:rsid w:val="2680B3A4"/>
    <w:rsid w:val="268A129D"/>
    <w:rsid w:val="26BD21A7"/>
    <w:rsid w:val="26C70F12"/>
    <w:rsid w:val="26D64639"/>
    <w:rsid w:val="26E11A97"/>
    <w:rsid w:val="26E7647D"/>
    <w:rsid w:val="26EA2DD1"/>
    <w:rsid w:val="272B051A"/>
    <w:rsid w:val="276B5663"/>
    <w:rsid w:val="276C748B"/>
    <w:rsid w:val="277B0E76"/>
    <w:rsid w:val="27B846EC"/>
    <w:rsid w:val="27C88A15"/>
    <w:rsid w:val="27D26ED4"/>
    <w:rsid w:val="27EE3C0E"/>
    <w:rsid w:val="286805E2"/>
    <w:rsid w:val="287A103B"/>
    <w:rsid w:val="287E7867"/>
    <w:rsid w:val="28B51B6C"/>
    <w:rsid w:val="28E82760"/>
    <w:rsid w:val="28F05942"/>
    <w:rsid w:val="29053084"/>
    <w:rsid w:val="29E52D49"/>
    <w:rsid w:val="2A335749"/>
    <w:rsid w:val="2A46716A"/>
    <w:rsid w:val="2A9B4E84"/>
    <w:rsid w:val="2ADE52CB"/>
    <w:rsid w:val="2AED33DF"/>
    <w:rsid w:val="2AF00D0F"/>
    <w:rsid w:val="2B1D3B1B"/>
    <w:rsid w:val="2B2382DF"/>
    <w:rsid w:val="2B27677C"/>
    <w:rsid w:val="2B334F2D"/>
    <w:rsid w:val="2B8326E0"/>
    <w:rsid w:val="2BAB74EF"/>
    <w:rsid w:val="2BB512A2"/>
    <w:rsid w:val="2BB84222"/>
    <w:rsid w:val="2BBD11DB"/>
    <w:rsid w:val="2BC8623A"/>
    <w:rsid w:val="2BCA5EF0"/>
    <w:rsid w:val="2C1A0A74"/>
    <w:rsid w:val="2C34AD29"/>
    <w:rsid w:val="2C5D25AF"/>
    <w:rsid w:val="2C8916B8"/>
    <w:rsid w:val="2CA22EE3"/>
    <w:rsid w:val="2CD92CB7"/>
    <w:rsid w:val="2CDC52FA"/>
    <w:rsid w:val="2CDE573B"/>
    <w:rsid w:val="2CE34C8D"/>
    <w:rsid w:val="2D575692"/>
    <w:rsid w:val="2DBC96D6"/>
    <w:rsid w:val="2DBDB5CC"/>
    <w:rsid w:val="2DCE3A57"/>
    <w:rsid w:val="2DDF3E45"/>
    <w:rsid w:val="2E4A3E2B"/>
    <w:rsid w:val="2E703312"/>
    <w:rsid w:val="2E79FDF7"/>
    <w:rsid w:val="2E82D7B6"/>
    <w:rsid w:val="2E900AE0"/>
    <w:rsid w:val="2EC66628"/>
    <w:rsid w:val="2EEF2C7F"/>
    <w:rsid w:val="2EF6D334"/>
    <w:rsid w:val="2F133170"/>
    <w:rsid w:val="2F2C34B9"/>
    <w:rsid w:val="2F365C8B"/>
    <w:rsid w:val="2F5557FB"/>
    <w:rsid w:val="2F6754CE"/>
    <w:rsid w:val="2F6F3228"/>
    <w:rsid w:val="2F7E138E"/>
    <w:rsid w:val="2FB8018F"/>
    <w:rsid w:val="2FD143BF"/>
    <w:rsid w:val="302F0CCF"/>
    <w:rsid w:val="304A602C"/>
    <w:rsid w:val="3068C4FD"/>
    <w:rsid w:val="307E8B76"/>
    <w:rsid w:val="30814C1D"/>
    <w:rsid w:val="308934AE"/>
    <w:rsid w:val="3092D6FB"/>
    <w:rsid w:val="30A74D42"/>
    <w:rsid w:val="30B05046"/>
    <w:rsid w:val="30B27FAA"/>
    <w:rsid w:val="30B85F86"/>
    <w:rsid w:val="30D64AE4"/>
    <w:rsid w:val="30D928DF"/>
    <w:rsid w:val="30FC6620"/>
    <w:rsid w:val="3100733B"/>
    <w:rsid w:val="310D015B"/>
    <w:rsid w:val="311FC1BB"/>
    <w:rsid w:val="313776BC"/>
    <w:rsid w:val="31434C18"/>
    <w:rsid w:val="31C73C5F"/>
    <w:rsid w:val="31F2219C"/>
    <w:rsid w:val="321EE5B1"/>
    <w:rsid w:val="32506D61"/>
    <w:rsid w:val="328D5F5E"/>
    <w:rsid w:val="328F234D"/>
    <w:rsid w:val="329632E1"/>
    <w:rsid w:val="3298336C"/>
    <w:rsid w:val="32A03A16"/>
    <w:rsid w:val="32F21962"/>
    <w:rsid w:val="32F44BF1"/>
    <w:rsid w:val="333E2FB8"/>
    <w:rsid w:val="3384FE5C"/>
    <w:rsid w:val="33C111C5"/>
    <w:rsid w:val="33F82D2E"/>
    <w:rsid w:val="340A2BBB"/>
    <w:rsid w:val="341C4D21"/>
    <w:rsid w:val="341F6F31"/>
    <w:rsid w:val="3465D67D"/>
    <w:rsid w:val="346D528C"/>
    <w:rsid w:val="346E6803"/>
    <w:rsid w:val="34AE47F0"/>
    <w:rsid w:val="34C56693"/>
    <w:rsid w:val="34D07B27"/>
    <w:rsid w:val="3537256A"/>
    <w:rsid w:val="35833B81"/>
    <w:rsid w:val="35904625"/>
    <w:rsid w:val="35AD7DFF"/>
    <w:rsid w:val="35B6209E"/>
    <w:rsid w:val="35FC3EF1"/>
    <w:rsid w:val="360D2313"/>
    <w:rsid w:val="36475AF5"/>
    <w:rsid w:val="365F7894"/>
    <w:rsid w:val="36976311"/>
    <w:rsid w:val="36B73A42"/>
    <w:rsid w:val="36C13925"/>
    <w:rsid w:val="36CA6F9D"/>
    <w:rsid w:val="36DC51EA"/>
    <w:rsid w:val="36FE751B"/>
    <w:rsid w:val="37054A87"/>
    <w:rsid w:val="3726435C"/>
    <w:rsid w:val="374B2AE9"/>
    <w:rsid w:val="376B6E7A"/>
    <w:rsid w:val="37A2192B"/>
    <w:rsid w:val="37B93098"/>
    <w:rsid w:val="37C06C76"/>
    <w:rsid w:val="3808188D"/>
    <w:rsid w:val="380E6632"/>
    <w:rsid w:val="3882524A"/>
    <w:rsid w:val="388C62D1"/>
    <w:rsid w:val="389F0E0F"/>
    <w:rsid w:val="38BAFC33"/>
    <w:rsid w:val="390362C3"/>
    <w:rsid w:val="3935233A"/>
    <w:rsid w:val="3959662F"/>
    <w:rsid w:val="396F1FE4"/>
    <w:rsid w:val="39756260"/>
    <w:rsid w:val="39BED868"/>
    <w:rsid w:val="39C4CD46"/>
    <w:rsid w:val="39CE7F43"/>
    <w:rsid w:val="39D419A0"/>
    <w:rsid w:val="39F23498"/>
    <w:rsid w:val="39F44054"/>
    <w:rsid w:val="3A4D72FB"/>
    <w:rsid w:val="3A6A61A7"/>
    <w:rsid w:val="3A6D02B3"/>
    <w:rsid w:val="3ADD2F34"/>
    <w:rsid w:val="3AFA03C5"/>
    <w:rsid w:val="3B2151B4"/>
    <w:rsid w:val="3B3167A5"/>
    <w:rsid w:val="3B567F5D"/>
    <w:rsid w:val="3B833A43"/>
    <w:rsid w:val="3B86168A"/>
    <w:rsid w:val="3BDF66AB"/>
    <w:rsid w:val="3BE8159F"/>
    <w:rsid w:val="3BE98895"/>
    <w:rsid w:val="3BEA330B"/>
    <w:rsid w:val="3C09F0F0"/>
    <w:rsid w:val="3C352CBA"/>
    <w:rsid w:val="3C4B9506"/>
    <w:rsid w:val="3C6B77C7"/>
    <w:rsid w:val="3C8B095F"/>
    <w:rsid w:val="3CB85F01"/>
    <w:rsid w:val="3CCD2B03"/>
    <w:rsid w:val="3CE356FC"/>
    <w:rsid w:val="3CF77C2D"/>
    <w:rsid w:val="3D3B52C4"/>
    <w:rsid w:val="3D6F0E12"/>
    <w:rsid w:val="3D8A2C70"/>
    <w:rsid w:val="3D995463"/>
    <w:rsid w:val="3DC310A1"/>
    <w:rsid w:val="3DF15DDA"/>
    <w:rsid w:val="3DFD3BF5"/>
    <w:rsid w:val="3E227053"/>
    <w:rsid w:val="3E2406E2"/>
    <w:rsid w:val="3E2A0069"/>
    <w:rsid w:val="3E5B4BFB"/>
    <w:rsid w:val="3E6279AA"/>
    <w:rsid w:val="3E7845A9"/>
    <w:rsid w:val="3EA66A5A"/>
    <w:rsid w:val="3EA6AFF0"/>
    <w:rsid w:val="3ED554CE"/>
    <w:rsid w:val="3EDB3D37"/>
    <w:rsid w:val="3EF74684"/>
    <w:rsid w:val="3F717A24"/>
    <w:rsid w:val="3F7F5122"/>
    <w:rsid w:val="3F9F7FD2"/>
    <w:rsid w:val="3FCA1C0A"/>
    <w:rsid w:val="405821A8"/>
    <w:rsid w:val="40616103"/>
    <w:rsid w:val="40876621"/>
    <w:rsid w:val="40C12189"/>
    <w:rsid w:val="40C449AE"/>
    <w:rsid w:val="40F336D8"/>
    <w:rsid w:val="40FC4C3F"/>
    <w:rsid w:val="412A3433"/>
    <w:rsid w:val="415CCFD0"/>
    <w:rsid w:val="41721ACC"/>
    <w:rsid w:val="41792995"/>
    <w:rsid w:val="418F55AC"/>
    <w:rsid w:val="41A05DA0"/>
    <w:rsid w:val="41F7472B"/>
    <w:rsid w:val="420023FE"/>
    <w:rsid w:val="424E1856"/>
    <w:rsid w:val="42596363"/>
    <w:rsid w:val="429E78CA"/>
    <w:rsid w:val="42BA7414"/>
    <w:rsid w:val="430B2E6E"/>
    <w:rsid w:val="434335F7"/>
    <w:rsid w:val="43504DBE"/>
    <w:rsid w:val="43673D15"/>
    <w:rsid w:val="43686EA5"/>
    <w:rsid w:val="43A136A6"/>
    <w:rsid w:val="43B00545"/>
    <w:rsid w:val="43F51187"/>
    <w:rsid w:val="43F93DAB"/>
    <w:rsid w:val="44601E36"/>
    <w:rsid w:val="44817B3A"/>
    <w:rsid w:val="44AE7297"/>
    <w:rsid w:val="44B63651"/>
    <w:rsid w:val="44B963F2"/>
    <w:rsid w:val="44CD33CB"/>
    <w:rsid w:val="451A4648"/>
    <w:rsid w:val="4523973F"/>
    <w:rsid w:val="45256B3F"/>
    <w:rsid w:val="453C7898"/>
    <w:rsid w:val="454F3FBF"/>
    <w:rsid w:val="45910879"/>
    <w:rsid w:val="45BD6050"/>
    <w:rsid w:val="45DA6B9F"/>
    <w:rsid w:val="45E5517C"/>
    <w:rsid w:val="45E91C44"/>
    <w:rsid w:val="45F721A1"/>
    <w:rsid w:val="45FD0226"/>
    <w:rsid w:val="4626771B"/>
    <w:rsid w:val="462F534C"/>
    <w:rsid w:val="468E0C5F"/>
    <w:rsid w:val="46C406C4"/>
    <w:rsid w:val="46CBF9F9"/>
    <w:rsid w:val="46DA3C51"/>
    <w:rsid w:val="46EE195C"/>
    <w:rsid w:val="46EE5861"/>
    <w:rsid w:val="46FD0EB1"/>
    <w:rsid w:val="46FF4261"/>
    <w:rsid w:val="470578AE"/>
    <w:rsid w:val="470E4D17"/>
    <w:rsid w:val="472A28FB"/>
    <w:rsid w:val="475F4207"/>
    <w:rsid w:val="478055C7"/>
    <w:rsid w:val="4785332D"/>
    <w:rsid w:val="47874055"/>
    <w:rsid w:val="4791660D"/>
    <w:rsid w:val="47A23289"/>
    <w:rsid w:val="47AF7C1C"/>
    <w:rsid w:val="47BF4AEB"/>
    <w:rsid w:val="47CD7B38"/>
    <w:rsid w:val="47CE19D8"/>
    <w:rsid w:val="47F0E5E4"/>
    <w:rsid w:val="48593D6C"/>
    <w:rsid w:val="487A3533"/>
    <w:rsid w:val="48AC32B3"/>
    <w:rsid w:val="48BD1D57"/>
    <w:rsid w:val="48C40F94"/>
    <w:rsid w:val="48CF2CE2"/>
    <w:rsid w:val="48D53EF9"/>
    <w:rsid w:val="48F88821"/>
    <w:rsid w:val="48FC3563"/>
    <w:rsid w:val="4906298E"/>
    <w:rsid w:val="492321DD"/>
    <w:rsid w:val="493D6932"/>
    <w:rsid w:val="49491B55"/>
    <w:rsid w:val="49C05FC4"/>
    <w:rsid w:val="49CD0897"/>
    <w:rsid w:val="49D2190B"/>
    <w:rsid w:val="49EE1450"/>
    <w:rsid w:val="49F56C35"/>
    <w:rsid w:val="49F726C0"/>
    <w:rsid w:val="49F801EC"/>
    <w:rsid w:val="4A3D7F38"/>
    <w:rsid w:val="4A452197"/>
    <w:rsid w:val="4A4D3ADA"/>
    <w:rsid w:val="4A8D73EA"/>
    <w:rsid w:val="4ABE20DB"/>
    <w:rsid w:val="4AE84DE5"/>
    <w:rsid w:val="4B25790C"/>
    <w:rsid w:val="4B8607EF"/>
    <w:rsid w:val="4B8A78AC"/>
    <w:rsid w:val="4B966242"/>
    <w:rsid w:val="4BA80DA3"/>
    <w:rsid w:val="4BAB6845"/>
    <w:rsid w:val="4BE455D1"/>
    <w:rsid w:val="4C236DBA"/>
    <w:rsid w:val="4C45773E"/>
    <w:rsid w:val="4C767968"/>
    <w:rsid w:val="4C89CD61"/>
    <w:rsid w:val="4CA014BE"/>
    <w:rsid w:val="4CA44180"/>
    <w:rsid w:val="4CA587A3"/>
    <w:rsid w:val="4CA94BBB"/>
    <w:rsid w:val="4D0D3832"/>
    <w:rsid w:val="4D352599"/>
    <w:rsid w:val="4D4B42C9"/>
    <w:rsid w:val="4D5300D0"/>
    <w:rsid w:val="4D76D4E4"/>
    <w:rsid w:val="4D7C2976"/>
    <w:rsid w:val="4DBF7733"/>
    <w:rsid w:val="4DCE4644"/>
    <w:rsid w:val="4DCF6286"/>
    <w:rsid w:val="4DD51ABF"/>
    <w:rsid w:val="4DD74672"/>
    <w:rsid w:val="4E170A30"/>
    <w:rsid w:val="4E3904C4"/>
    <w:rsid w:val="4E43479F"/>
    <w:rsid w:val="4E4D5283"/>
    <w:rsid w:val="4E770944"/>
    <w:rsid w:val="4E7B4367"/>
    <w:rsid w:val="4EA102BC"/>
    <w:rsid w:val="4EB84820"/>
    <w:rsid w:val="4EC6E15C"/>
    <w:rsid w:val="4ED96C3D"/>
    <w:rsid w:val="4EDF7428"/>
    <w:rsid w:val="4EEF6F26"/>
    <w:rsid w:val="4F3319E9"/>
    <w:rsid w:val="4F782B44"/>
    <w:rsid w:val="4F8E2EAC"/>
    <w:rsid w:val="4FAF4381"/>
    <w:rsid w:val="4FE45E79"/>
    <w:rsid w:val="501D4305"/>
    <w:rsid w:val="502F527D"/>
    <w:rsid w:val="503A700C"/>
    <w:rsid w:val="503B7E2C"/>
    <w:rsid w:val="50441825"/>
    <w:rsid w:val="504C6B10"/>
    <w:rsid w:val="509E27A0"/>
    <w:rsid w:val="50B75D3E"/>
    <w:rsid w:val="50C524F1"/>
    <w:rsid w:val="5117237B"/>
    <w:rsid w:val="514B5E29"/>
    <w:rsid w:val="514C01BB"/>
    <w:rsid w:val="515D3F82"/>
    <w:rsid w:val="516A7BBB"/>
    <w:rsid w:val="518A5142"/>
    <w:rsid w:val="52023C94"/>
    <w:rsid w:val="5203450C"/>
    <w:rsid w:val="520A2D52"/>
    <w:rsid w:val="527652FB"/>
    <w:rsid w:val="52D503CC"/>
    <w:rsid w:val="52F938A3"/>
    <w:rsid w:val="53000849"/>
    <w:rsid w:val="53183133"/>
    <w:rsid w:val="531D5224"/>
    <w:rsid w:val="534E7803"/>
    <w:rsid w:val="53525838"/>
    <w:rsid w:val="53784EF9"/>
    <w:rsid w:val="53B72C63"/>
    <w:rsid w:val="53BA3913"/>
    <w:rsid w:val="53BAC8B3"/>
    <w:rsid w:val="53BC59DD"/>
    <w:rsid w:val="53C4E943"/>
    <w:rsid w:val="53F17A10"/>
    <w:rsid w:val="53FC17CE"/>
    <w:rsid w:val="541C6673"/>
    <w:rsid w:val="5437502E"/>
    <w:rsid w:val="544308BF"/>
    <w:rsid w:val="5449144D"/>
    <w:rsid w:val="545D5D9B"/>
    <w:rsid w:val="54E8294F"/>
    <w:rsid w:val="55157D6F"/>
    <w:rsid w:val="551F2164"/>
    <w:rsid w:val="55236764"/>
    <w:rsid w:val="55954FB0"/>
    <w:rsid w:val="559830A2"/>
    <w:rsid w:val="559C6CA5"/>
    <w:rsid w:val="55A04616"/>
    <w:rsid w:val="55DD7B77"/>
    <w:rsid w:val="55E137D0"/>
    <w:rsid w:val="55FF7504"/>
    <w:rsid w:val="561541C3"/>
    <w:rsid w:val="562468CA"/>
    <w:rsid w:val="56253C7F"/>
    <w:rsid w:val="562D690B"/>
    <w:rsid w:val="562F5EFE"/>
    <w:rsid w:val="563E026C"/>
    <w:rsid w:val="564E5F3E"/>
    <w:rsid w:val="5664483F"/>
    <w:rsid w:val="566719DC"/>
    <w:rsid w:val="566BF412"/>
    <w:rsid w:val="567406D4"/>
    <w:rsid w:val="569D42F1"/>
    <w:rsid w:val="56A17DE6"/>
    <w:rsid w:val="56A88EC8"/>
    <w:rsid w:val="56B52C2D"/>
    <w:rsid w:val="56D1D715"/>
    <w:rsid w:val="56F82211"/>
    <w:rsid w:val="572C3A66"/>
    <w:rsid w:val="573528F3"/>
    <w:rsid w:val="5768197F"/>
    <w:rsid w:val="577AFBB1"/>
    <w:rsid w:val="57815C85"/>
    <w:rsid w:val="57A831C9"/>
    <w:rsid w:val="57C61D7D"/>
    <w:rsid w:val="57D5E4E9"/>
    <w:rsid w:val="57DE7B77"/>
    <w:rsid w:val="57E246E6"/>
    <w:rsid w:val="57EC72F5"/>
    <w:rsid w:val="57F20E0F"/>
    <w:rsid w:val="58214470"/>
    <w:rsid w:val="58504777"/>
    <w:rsid w:val="58A07E1B"/>
    <w:rsid w:val="58A37382"/>
    <w:rsid w:val="58DC1E15"/>
    <w:rsid w:val="58F72C59"/>
    <w:rsid w:val="59103C07"/>
    <w:rsid w:val="591FD831"/>
    <w:rsid w:val="594EDAF1"/>
    <w:rsid w:val="59593098"/>
    <w:rsid w:val="595E580C"/>
    <w:rsid w:val="5962BC83"/>
    <w:rsid w:val="59AC6EE1"/>
    <w:rsid w:val="59ED39B7"/>
    <w:rsid w:val="5A19DCD7"/>
    <w:rsid w:val="5A6657C1"/>
    <w:rsid w:val="5A843D83"/>
    <w:rsid w:val="5AFF3EBC"/>
    <w:rsid w:val="5B1155A2"/>
    <w:rsid w:val="5B1C0AFF"/>
    <w:rsid w:val="5B282809"/>
    <w:rsid w:val="5B35FA82"/>
    <w:rsid w:val="5B6663C4"/>
    <w:rsid w:val="5B66D99F"/>
    <w:rsid w:val="5B6F7D64"/>
    <w:rsid w:val="5B7E07EB"/>
    <w:rsid w:val="5BA03ACB"/>
    <w:rsid w:val="5BB66CA7"/>
    <w:rsid w:val="5BD6772F"/>
    <w:rsid w:val="5BFA612C"/>
    <w:rsid w:val="5C366445"/>
    <w:rsid w:val="5C442DF7"/>
    <w:rsid w:val="5C51AC4C"/>
    <w:rsid w:val="5C66374E"/>
    <w:rsid w:val="5C7104E5"/>
    <w:rsid w:val="5C897AEB"/>
    <w:rsid w:val="5CC2459D"/>
    <w:rsid w:val="5CE50AAC"/>
    <w:rsid w:val="5CEA069B"/>
    <w:rsid w:val="5CF840F2"/>
    <w:rsid w:val="5D0222AF"/>
    <w:rsid w:val="5D076C82"/>
    <w:rsid w:val="5D1C2595"/>
    <w:rsid w:val="5D365C91"/>
    <w:rsid w:val="5D747693"/>
    <w:rsid w:val="5D761735"/>
    <w:rsid w:val="5DCD1661"/>
    <w:rsid w:val="5DFD00AD"/>
    <w:rsid w:val="5E003E17"/>
    <w:rsid w:val="5E13141A"/>
    <w:rsid w:val="5E41FAA4"/>
    <w:rsid w:val="5E9B37B5"/>
    <w:rsid w:val="5EA23333"/>
    <w:rsid w:val="5EDE33C0"/>
    <w:rsid w:val="5EE24BEA"/>
    <w:rsid w:val="5F0020A7"/>
    <w:rsid w:val="5F24D4A4"/>
    <w:rsid w:val="5F376813"/>
    <w:rsid w:val="5F381500"/>
    <w:rsid w:val="5F623411"/>
    <w:rsid w:val="5F877F5F"/>
    <w:rsid w:val="5FC174BF"/>
    <w:rsid w:val="5FDC30E1"/>
    <w:rsid w:val="600AEC1C"/>
    <w:rsid w:val="60356E5E"/>
    <w:rsid w:val="60777BA5"/>
    <w:rsid w:val="60BA3F90"/>
    <w:rsid w:val="60C76E8E"/>
    <w:rsid w:val="60F964EC"/>
    <w:rsid w:val="615390A9"/>
    <w:rsid w:val="6155E654"/>
    <w:rsid w:val="61638AE9"/>
    <w:rsid w:val="61E36654"/>
    <w:rsid w:val="61EFB163"/>
    <w:rsid w:val="62804F1E"/>
    <w:rsid w:val="628B110A"/>
    <w:rsid w:val="628F23C2"/>
    <w:rsid w:val="62BA5B89"/>
    <w:rsid w:val="62E461C6"/>
    <w:rsid w:val="636E47D2"/>
    <w:rsid w:val="637040FC"/>
    <w:rsid w:val="63C17048"/>
    <w:rsid w:val="6414CE7E"/>
    <w:rsid w:val="6415585C"/>
    <w:rsid w:val="643B5DD7"/>
    <w:rsid w:val="6456157F"/>
    <w:rsid w:val="6458B4E5"/>
    <w:rsid w:val="646B3837"/>
    <w:rsid w:val="64801FDE"/>
    <w:rsid w:val="64EE5D87"/>
    <w:rsid w:val="64EEA704"/>
    <w:rsid w:val="64F15B46"/>
    <w:rsid w:val="64F40B17"/>
    <w:rsid w:val="64F838A8"/>
    <w:rsid w:val="65076C82"/>
    <w:rsid w:val="653E53D4"/>
    <w:rsid w:val="654B2E6C"/>
    <w:rsid w:val="657DA605"/>
    <w:rsid w:val="659C36D4"/>
    <w:rsid w:val="65C17E3A"/>
    <w:rsid w:val="65E141CA"/>
    <w:rsid w:val="65FF04D1"/>
    <w:rsid w:val="66024B15"/>
    <w:rsid w:val="66071AE7"/>
    <w:rsid w:val="66175E8F"/>
    <w:rsid w:val="6617E2F4"/>
    <w:rsid w:val="661E9C65"/>
    <w:rsid w:val="66997839"/>
    <w:rsid w:val="67541570"/>
    <w:rsid w:val="675646F4"/>
    <w:rsid w:val="67781DBB"/>
    <w:rsid w:val="67D6064A"/>
    <w:rsid w:val="67E792E9"/>
    <w:rsid w:val="67F50A8B"/>
    <w:rsid w:val="68163397"/>
    <w:rsid w:val="68261BEF"/>
    <w:rsid w:val="68432F4E"/>
    <w:rsid w:val="6846655A"/>
    <w:rsid w:val="688095CC"/>
    <w:rsid w:val="68AF1C22"/>
    <w:rsid w:val="68C36A23"/>
    <w:rsid w:val="68CC420A"/>
    <w:rsid w:val="68CF2003"/>
    <w:rsid w:val="68F60F02"/>
    <w:rsid w:val="68FA50D8"/>
    <w:rsid w:val="691100F4"/>
    <w:rsid w:val="691762DC"/>
    <w:rsid w:val="692CBC56"/>
    <w:rsid w:val="69476E64"/>
    <w:rsid w:val="6960590B"/>
    <w:rsid w:val="69B011A8"/>
    <w:rsid w:val="69B76A7B"/>
    <w:rsid w:val="69EE4381"/>
    <w:rsid w:val="69F42ED2"/>
    <w:rsid w:val="6A520D1E"/>
    <w:rsid w:val="6A5B4B1E"/>
    <w:rsid w:val="6A6F77B8"/>
    <w:rsid w:val="6AD17A38"/>
    <w:rsid w:val="6AD36521"/>
    <w:rsid w:val="6B157E79"/>
    <w:rsid w:val="6B5A6629"/>
    <w:rsid w:val="6B6D74AD"/>
    <w:rsid w:val="6B860E48"/>
    <w:rsid w:val="6BCF263E"/>
    <w:rsid w:val="6C0C0043"/>
    <w:rsid w:val="6C0C76F9"/>
    <w:rsid w:val="6C3C01B9"/>
    <w:rsid w:val="6C772CCF"/>
    <w:rsid w:val="6C9159A7"/>
    <w:rsid w:val="6C927AFA"/>
    <w:rsid w:val="6C9555EB"/>
    <w:rsid w:val="6CA004C6"/>
    <w:rsid w:val="6CB02278"/>
    <w:rsid w:val="6CC1B74F"/>
    <w:rsid w:val="6D1A2F53"/>
    <w:rsid w:val="6D336BE5"/>
    <w:rsid w:val="6D4E432D"/>
    <w:rsid w:val="6D620D3C"/>
    <w:rsid w:val="6D6B522C"/>
    <w:rsid w:val="6D732B80"/>
    <w:rsid w:val="6D7A2CA7"/>
    <w:rsid w:val="6D7A48E9"/>
    <w:rsid w:val="6D806684"/>
    <w:rsid w:val="6D85FBCE"/>
    <w:rsid w:val="6DC33939"/>
    <w:rsid w:val="6DC44A8A"/>
    <w:rsid w:val="6DD7629D"/>
    <w:rsid w:val="6DE76133"/>
    <w:rsid w:val="6DEA46B7"/>
    <w:rsid w:val="6E0A107E"/>
    <w:rsid w:val="6E2C3207"/>
    <w:rsid w:val="6E5FC2FB"/>
    <w:rsid w:val="6E9116FB"/>
    <w:rsid w:val="6ED67A67"/>
    <w:rsid w:val="6F16E1DB"/>
    <w:rsid w:val="6F4E3BE4"/>
    <w:rsid w:val="6F5D6229"/>
    <w:rsid w:val="6F8A4204"/>
    <w:rsid w:val="6F915350"/>
    <w:rsid w:val="6FA7543D"/>
    <w:rsid w:val="6FB1521A"/>
    <w:rsid w:val="6FFC7E4C"/>
    <w:rsid w:val="701F405A"/>
    <w:rsid w:val="7034465E"/>
    <w:rsid w:val="70394F30"/>
    <w:rsid w:val="70715E97"/>
    <w:rsid w:val="707353DB"/>
    <w:rsid w:val="70D9CCB2"/>
    <w:rsid w:val="70F2504B"/>
    <w:rsid w:val="70F41329"/>
    <w:rsid w:val="70F93EC9"/>
    <w:rsid w:val="712202AD"/>
    <w:rsid w:val="714C256E"/>
    <w:rsid w:val="7164387A"/>
    <w:rsid w:val="719F0766"/>
    <w:rsid w:val="71A52E8F"/>
    <w:rsid w:val="71E74072"/>
    <w:rsid w:val="71F641B1"/>
    <w:rsid w:val="7205BEA6"/>
    <w:rsid w:val="725E507D"/>
    <w:rsid w:val="728873C3"/>
    <w:rsid w:val="72930AC8"/>
    <w:rsid w:val="729EDBBD"/>
    <w:rsid w:val="72AD687C"/>
    <w:rsid w:val="72E60AFA"/>
    <w:rsid w:val="72E62A82"/>
    <w:rsid w:val="72FDF143"/>
    <w:rsid w:val="7310996D"/>
    <w:rsid w:val="73385847"/>
    <w:rsid w:val="734608C8"/>
    <w:rsid w:val="73A46757"/>
    <w:rsid w:val="73A96C88"/>
    <w:rsid w:val="73BE3BC0"/>
    <w:rsid w:val="73DD20B5"/>
    <w:rsid w:val="740F13A0"/>
    <w:rsid w:val="744F52AA"/>
    <w:rsid w:val="74625526"/>
    <w:rsid w:val="74737229"/>
    <w:rsid w:val="747B78B3"/>
    <w:rsid w:val="74B4AB20"/>
    <w:rsid w:val="74C5678E"/>
    <w:rsid w:val="74C7692B"/>
    <w:rsid w:val="754B0E6C"/>
    <w:rsid w:val="755A1920"/>
    <w:rsid w:val="75650CA6"/>
    <w:rsid w:val="758566AC"/>
    <w:rsid w:val="75A37283"/>
    <w:rsid w:val="75B67E87"/>
    <w:rsid w:val="75CD4A45"/>
    <w:rsid w:val="75D60992"/>
    <w:rsid w:val="76047964"/>
    <w:rsid w:val="760E4029"/>
    <w:rsid w:val="763027E7"/>
    <w:rsid w:val="766BD3CD"/>
    <w:rsid w:val="76E7FA49"/>
    <w:rsid w:val="770C08ED"/>
    <w:rsid w:val="772D266D"/>
    <w:rsid w:val="773A13B6"/>
    <w:rsid w:val="77B52D54"/>
    <w:rsid w:val="77C27C4C"/>
    <w:rsid w:val="77CEAFA5"/>
    <w:rsid w:val="77F65404"/>
    <w:rsid w:val="7827392D"/>
    <w:rsid w:val="782D2E4E"/>
    <w:rsid w:val="78356964"/>
    <w:rsid w:val="7847E6AD"/>
    <w:rsid w:val="78537322"/>
    <w:rsid w:val="7884B588"/>
    <w:rsid w:val="78890E39"/>
    <w:rsid w:val="78973DD4"/>
    <w:rsid w:val="78BA2C76"/>
    <w:rsid w:val="78BC362E"/>
    <w:rsid w:val="78FA6DBD"/>
    <w:rsid w:val="78FF3A9E"/>
    <w:rsid w:val="7907DD4A"/>
    <w:rsid w:val="792668E1"/>
    <w:rsid w:val="794739E7"/>
    <w:rsid w:val="79992730"/>
    <w:rsid w:val="79C357E0"/>
    <w:rsid w:val="79C66CD5"/>
    <w:rsid w:val="79CD165B"/>
    <w:rsid w:val="79D028CC"/>
    <w:rsid w:val="79E96FA6"/>
    <w:rsid w:val="79FA2C42"/>
    <w:rsid w:val="79FEF801"/>
    <w:rsid w:val="7A036DE6"/>
    <w:rsid w:val="7A12251E"/>
    <w:rsid w:val="7A154DC9"/>
    <w:rsid w:val="7A185606"/>
    <w:rsid w:val="7A445D7B"/>
    <w:rsid w:val="7A4A61BA"/>
    <w:rsid w:val="7A5D5C88"/>
    <w:rsid w:val="7A6A36D7"/>
    <w:rsid w:val="7A701F97"/>
    <w:rsid w:val="7AD83C49"/>
    <w:rsid w:val="7AF06B00"/>
    <w:rsid w:val="7B295B47"/>
    <w:rsid w:val="7B56B43E"/>
    <w:rsid w:val="7B6DA345"/>
    <w:rsid w:val="7BA10EA9"/>
    <w:rsid w:val="7BA72ABD"/>
    <w:rsid w:val="7BD14CD9"/>
    <w:rsid w:val="7BF20D61"/>
    <w:rsid w:val="7C1D555F"/>
    <w:rsid w:val="7C57649B"/>
    <w:rsid w:val="7C5B6A3F"/>
    <w:rsid w:val="7C622614"/>
    <w:rsid w:val="7C631D89"/>
    <w:rsid w:val="7C6E7C1A"/>
    <w:rsid w:val="7C894643"/>
    <w:rsid w:val="7C9079E3"/>
    <w:rsid w:val="7CAC1CD8"/>
    <w:rsid w:val="7CDB9E54"/>
    <w:rsid w:val="7CDF5E82"/>
    <w:rsid w:val="7D0E8505"/>
    <w:rsid w:val="7D157114"/>
    <w:rsid w:val="7D221B52"/>
    <w:rsid w:val="7D2A02EF"/>
    <w:rsid w:val="7D5C4175"/>
    <w:rsid w:val="7D8115D4"/>
    <w:rsid w:val="7D9639E4"/>
    <w:rsid w:val="7D9B0433"/>
    <w:rsid w:val="7DAA0268"/>
    <w:rsid w:val="7DB3F99B"/>
    <w:rsid w:val="7DB8492A"/>
    <w:rsid w:val="7DC81AF2"/>
    <w:rsid w:val="7DCDE89D"/>
    <w:rsid w:val="7DF12350"/>
    <w:rsid w:val="7DF6DB8A"/>
    <w:rsid w:val="7E14223D"/>
    <w:rsid w:val="7E4D18AA"/>
    <w:rsid w:val="7E5E26EE"/>
    <w:rsid w:val="7E64482E"/>
    <w:rsid w:val="7E6A2CF9"/>
    <w:rsid w:val="7E922066"/>
    <w:rsid w:val="7E9FA644"/>
    <w:rsid w:val="7EBE3FD4"/>
    <w:rsid w:val="7EE3E01D"/>
    <w:rsid w:val="7F6A3571"/>
    <w:rsid w:val="7F742459"/>
    <w:rsid w:val="7FA385F2"/>
    <w:rsid w:val="815D45D3"/>
    <w:rsid w:val="81C489F2"/>
    <w:rsid w:val="81CBEA39"/>
    <w:rsid w:val="81CF624E"/>
    <w:rsid w:val="825E8A63"/>
    <w:rsid w:val="82880544"/>
    <w:rsid w:val="82A1363F"/>
    <w:rsid w:val="842D8551"/>
    <w:rsid w:val="855F7A0C"/>
    <w:rsid w:val="85C8F573"/>
    <w:rsid w:val="85DE0D1E"/>
    <w:rsid w:val="85F74D40"/>
    <w:rsid w:val="863191DF"/>
    <w:rsid w:val="869A0824"/>
    <w:rsid w:val="86CF7773"/>
    <w:rsid w:val="871C433C"/>
    <w:rsid w:val="8736A10B"/>
    <w:rsid w:val="87462CC2"/>
    <w:rsid w:val="87D739E9"/>
    <w:rsid w:val="88363D3A"/>
    <w:rsid w:val="8865E0AA"/>
    <w:rsid w:val="895052C8"/>
    <w:rsid w:val="89595529"/>
    <w:rsid w:val="89A05FF8"/>
    <w:rsid w:val="8AFF99D9"/>
    <w:rsid w:val="8BA9993A"/>
    <w:rsid w:val="8C1426B3"/>
    <w:rsid w:val="8D6D93EB"/>
    <w:rsid w:val="8E387917"/>
    <w:rsid w:val="8EB53A38"/>
    <w:rsid w:val="8EEF074B"/>
    <w:rsid w:val="8FC25D5B"/>
    <w:rsid w:val="902A8A8F"/>
    <w:rsid w:val="90495A93"/>
    <w:rsid w:val="90655946"/>
    <w:rsid w:val="906764F3"/>
    <w:rsid w:val="9082A08C"/>
    <w:rsid w:val="9213F3EF"/>
    <w:rsid w:val="9255419B"/>
    <w:rsid w:val="92ECD8F6"/>
    <w:rsid w:val="92EFA03A"/>
    <w:rsid w:val="938DAA7A"/>
    <w:rsid w:val="9406F983"/>
    <w:rsid w:val="940AEFB5"/>
    <w:rsid w:val="94B38D50"/>
    <w:rsid w:val="94B6B687"/>
    <w:rsid w:val="959BDAC4"/>
    <w:rsid w:val="964BA021"/>
    <w:rsid w:val="968D08AD"/>
    <w:rsid w:val="96CDAE63"/>
    <w:rsid w:val="96D10F72"/>
    <w:rsid w:val="9746BCDC"/>
    <w:rsid w:val="988A3FC8"/>
    <w:rsid w:val="98B5ED45"/>
    <w:rsid w:val="9A1B7584"/>
    <w:rsid w:val="9A58B76F"/>
    <w:rsid w:val="9BF73E76"/>
    <w:rsid w:val="9BF90BD3"/>
    <w:rsid w:val="9C0431BC"/>
    <w:rsid w:val="9C4CE787"/>
    <w:rsid w:val="9C9CF0A7"/>
    <w:rsid w:val="9CCF0251"/>
    <w:rsid w:val="9D7B6C20"/>
    <w:rsid w:val="A0423F4C"/>
    <w:rsid w:val="A0753DE4"/>
    <w:rsid w:val="A0D61FBB"/>
    <w:rsid w:val="A1B86BA4"/>
    <w:rsid w:val="A21E7CD4"/>
    <w:rsid w:val="A29432E4"/>
    <w:rsid w:val="A411544A"/>
    <w:rsid w:val="A433B70A"/>
    <w:rsid w:val="A443D049"/>
    <w:rsid w:val="A4535C0A"/>
    <w:rsid w:val="A45EBF13"/>
    <w:rsid w:val="A5357876"/>
    <w:rsid w:val="A5D7CA9E"/>
    <w:rsid w:val="A6081D0F"/>
    <w:rsid w:val="A615308D"/>
    <w:rsid w:val="A6602DBF"/>
    <w:rsid w:val="A7344BEE"/>
    <w:rsid w:val="A75FE230"/>
    <w:rsid w:val="A82B9E91"/>
    <w:rsid w:val="A86BD89E"/>
    <w:rsid w:val="A86FC1D4"/>
    <w:rsid w:val="A88E6534"/>
    <w:rsid w:val="A8BEEB65"/>
    <w:rsid w:val="A8DA5B92"/>
    <w:rsid w:val="AA77A50B"/>
    <w:rsid w:val="AACDD43E"/>
    <w:rsid w:val="AB3B5A64"/>
    <w:rsid w:val="AD43DD82"/>
    <w:rsid w:val="AE726E54"/>
    <w:rsid w:val="B008F4B7"/>
    <w:rsid w:val="B01EDF56"/>
    <w:rsid w:val="B0299B1A"/>
    <w:rsid w:val="B10825E1"/>
    <w:rsid w:val="B16115AC"/>
    <w:rsid w:val="B25C5A21"/>
    <w:rsid w:val="B267DEDF"/>
    <w:rsid w:val="B28BDAC6"/>
    <w:rsid w:val="B2BA9AD5"/>
    <w:rsid w:val="B34B1E32"/>
    <w:rsid w:val="B38D3C80"/>
    <w:rsid w:val="B38F5CD6"/>
    <w:rsid w:val="B4F719AB"/>
    <w:rsid w:val="B517B867"/>
    <w:rsid w:val="B54724AE"/>
    <w:rsid w:val="B556C168"/>
    <w:rsid w:val="B5C884F4"/>
    <w:rsid w:val="B66B7B24"/>
    <w:rsid w:val="B6859ED6"/>
    <w:rsid w:val="B68E5B2F"/>
    <w:rsid w:val="B6B6F1DA"/>
    <w:rsid w:val="B7066DD9"/>
    <w:rsid w:val="B87AE262"/>
    <w:rsid w:val="B8B42B1F"/>
    <w:rsid w:val="B9E0510A"/>
    <w:rsid w:val="B9E080BC"/>
    <w:rsid w:val="BA36AC09"/>
    <w:rsid w:val="BA7D7EF2"/>
    <w:rsid w:val="BAFBC9FC"/>
    <w:rsid w:val="BC774970"/>
    <w:rsid w:val="BCCFBD97"/>
    <w:rsid w:val="BD069A6E"/>
    <w:rsid w:val="BDA0323A"/>
    <w:rsid w:val="BDAB9D0C"/>
    <w:rsid w:val="BE272DAF"/>
    <w:rsid w:val="BF7B4D5B"/>
    <w:rsid w:val="C0693078"/>
    <w:rsid w:val="C078693C"/>
    <w:rsid w:val="C0974243"/>
    <w:rsid w:val="C0C54371"/>
    <w:rsid w:val="C19E8C96"/>
    <w:rsid w:val="C1F0ECC3"/>
    <w:rsid w:val="C2437B8A"/>
    <w:rsid w:val="C327489A"/>
    <w:rsid w:val="C352C627"/>
    <w:rsid w:val="C35CBEFD"/>
    <w:rsid w:val="C3B498B0"/>
    <w:rsid w:val="C3D8FE08"/>
    <w:rsid w:val="C426A47F"/>
    <w:rsid w:val="C4799483"/>
    <w:rsid w:val="C6A31856"/>
    <w:rsid w:val="C6ADF10B"/>
    <w:rsid w:val="C70076C0"/>
    <w:rsid w:val="C8173597"/>
    <w:rsid w:val="C84541F7"/>
    <w:rsid w:val="C9B9DBE9"/>
    <w:rsid w:val="CADFE8D2"/>
    <w:rsid w:val="CB1D981C"/>
    <w:rsid w:val="CB4783B1"/>
    <w:rsid w:val="CB50AD2E"/>
    <w:rsid w:val="CBD4172E"/>
    <w:rsid w:val="CC53E3E9"/>
    <w:rsid w:val="CC82D264"/>
    <w:rsid w:val="CD7B8D6C"/>
    <w:rsid w:val="CE24C05A"/>
    <w:rsid w:val="CE834359"/>
    <w:rsid w:val="CE9A4710"/>
    <w:rsid w:val="CEC49205"/>
    <w:rsid w:val="CEFA3746"/>
    <w:rsid w:val="CF47F4C9"/>
    <w:rsid w:val="CFC7AE5D"/>
    <w:rsid w:val="D06D65EA"/>
    <w:rsid w:val="D0F7472E"/>
    <w:rsid w:val="D19FC85D"/>
    <w:rsid w:val="D1A612CF"/>
    <w:rsid w:val="D20AC37C"/>
    <w:rsid w:val="D263E0DF"/>
    <w:rsid w:val="D3026467"/>
    <w:rsid w:val="D4AB3698"/>
    <w:rsid w:val="D549A56F"/>
    <w:rsid w:val="D5529B35"/>
    <w:rsid w:val="D65FF33E"/>
    <w:rsid w:val="D6E05096"/>
    <w:rsid w:val="D774A8A3"/>
    <w:rsid w:val="D8174F1B"/>
    <w:rsid w:val="D826C7AF"/>
    <w:rsid w:val="D940AA7C"/>
    <w:rsid w:val="D9804CD7"/>
    <w:rsid w:val="D9918B7C"/>
    <w:rsid w:val="DA48CF4C"/>
    <w:rsid w:val="DAC9A9BC"/>
    <w:rsid w:val="DB1FDF15"/>
    <w:rsid w:val="DB5033A8"/>
    <w:rsid w:val="DB83A1A5"/>
    <w:rsid w:val="DBACCF6A"/>
    <w:rsid w:val="DCFF995B"/>
    <w:rsid w:val="DD1D316E"/>
    <w:rsid w:val="DD27902E"/>
    <w:rsid w:val="DDC5944B"/>
    <w:rsid w:val="DE032200"/>
    <w:rsid w:val="DE3DB8D3"/>
    <w:rsid w:val="DE88AB67"/>
    <w:rsid w:val="DF61F323"/>
    <w:rsid w:val="DFBC08CB"/>
    <w:rsid w:val="E0DFDE49"/>
    <w:rsid w:val="E140ADA8"/>
    <w:rsid w:val="E15F969C"/>
    <w:rsid w:val="E27DB72B"/>
    <w:rsid w:val="E30910E7"/>
    <w:rsid w:val="E3484BD9"/>
    <w:rsid w:val="E3FC5201"/>
    <w:rsid w:val="E41D66E0"/>
    <w:rsid w:val="E4202B2F"/>
    <w:rsid w:val="E46F218F"/>
    <w:rsid w:val="E4859783"/>
    <w:rsid w:val="E54FDCDC"/>
    <w:rsid w:val="E59BD697"/>
    <w:rsid w:val="E5AC5E59"/>
    <w:rsid w:val="E5D0C9A5"/>
    <w:rsid w:val="E5DC66C1"/>
    <w:rsid w:val="E6896E57"/>
    <w:rsid w:val="E7A86F72"/>
    <w:rsid w:val="E7B5A841"/>
    <w:rsid w:val="E7BEB275"/>
    <w:rsid w:val="E7E1D530"/>
    <w:rsid w:val="E829DA99"/>
    <w:rsid w:val="E866FA5E"/>
    <w:rsid w:val="E89A5BFD"/>
    <w:rsid w:val="E958C6DE"/>
    <w:rsid w:val="E95DB733"/>
    <w:rsid w:val="EC0CF28D"/>
    <w:rsid w:val="EC237187"/>
    <w:rsid w:val="EC5DFEF0"/>
    <w:rsid w:val="ED6049D3"/>
    <w:rsid w:val="EE88C759"/>
    <w:rsid w:val="EEA8D897"/>
    <w:rsid w:val="EECF9DAA"/>
    <w:rsid w:val="EF1ECBB2"/>
    <w:rsid w:val="EF709EB3"/>
    <w:rsid w:val="EF9940AB"/>
    <w:rsid w:val="EF9B5C93"/>
    <w:rsid w:val="EFB981E6"/>
    <w:rsid w:val="F022F41D"/>
    <w:rsid w:val="F095D3C1"/>
    <w:rsid w:val="F0962FDA"/>
    <w:rsid w:val="F19D0F0B"/>
    <w:rsid w:val="F19F5720"/>
    <w:rsid w:val="F1A3CD0C"/>
    <w:rsid w:val="F1BCC56D"/>
    <w:rsid w:val="F2AEB39F"/>
    <w:rsid w:val="F2CEDF74"/>
    <w:rsid w:val="F2D2431D"/>
    <w:rsid w:val="F428C0CE"/>
    <w:rsid w:val="F57F40B7"/>
    <w:rsid w:val="F5F36B7D"/>
    <w:rsid w:val="F61C54FF"/>
    <w:rsid w:val="F6288F44"/>
    <w:rsid w:val="F649FBB5"/>
    <w:rsid w:val="F6633F8B"/>
    <w:rsid w:val="F6902486"/>
    <w:rsid w:val="F7941D08"/>
    <w:rsid w:val="F819A319"/>
    <w:rsid w:val="F81A2641"/>
    <w:rsid w:val="F869D9D8"/>
    <w:rsid w:val="F8F35A9B"/>
    <w:rsid w:val="F974033D"/>
    <w:rsid w:val="FA7A8E70"/>
    <w:rsid w:val="FA9FE61C"/>
    <w:rsid w:val="FAD11090"/>
    <w:rsid w:val="FB59D600"/>
    <w:rsid w:val="FCA37699"/>
    <w:rsid w:val="FE0D56CC"/>
    <w:rsid w:val="FE951F29"/>
    <w:rsid w:val="FED26F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02"/>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styleId="3">
    <w:name w:val="heading 2"/>
    <w:basedOn w:val="1"/>
    <w:next w:val="1"/>
    <w:link w:val="54"/>
    <w:autoRedefine/>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98"/>
    <w:autoRedefine/>
    <w:qFormat/>
    <w:uiPriority w:val="0"/>
    <w:pPr>
      <w:keepNext/>
      <w:keepLines/>
      <w:spacing w:before="260" w:after="260" w:line="413" w:lineRule="auto"/>
      <w:outlineLvl w:val="2"/>
    </w:pPr>
    <w:rPr>
      <w:rFonts w:ascii="Times New Roman" w:hAnsi="Times New Roman"/>
      <w:b/>
      <w:bCs/>
      <w:sz w:val="32"/>
      <w:szCs w:val="32"/>
    </w:rPr>
  </w:style>
  <w:style w:type="paragraph" w:styleId="5">
    <w:name w:val="heading 4"/>
    <w:basedOn w:val="1"/>
    <w:next w:val="1"/>
    <w:link w:val="64"/>
    <w:autoRedefine/>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link w:val="84"/>
    <w:autoRedefine/>
    <w:qFormat/>
    <w:uiPriority w:val="0"/>
    <w:pPr>
      <w:keepNext/>
      <w:keepLines/>
      <w:spacing w:before="280" w:after="290" w:line="372" w:lineRule="auto"/>
      <w:outlineLvl w:val="4"/>
    </w:pPr>
    <w:rPr>
      <w:rFonts w:ascii="Times New Roman" w:hAnsi="Times New Roman"/>
      <w:b/>
      <w:bCs/>
      <w:sz w:val="28"/>
      <w:szCs w:val="28"/>
    </w:rPr>
  </w:style>
  <w:style w:type="paragraph" w:styleId="7">
    <w:name w:val="heading 6"/>
    <w:basedOn w:val="1"/>
    <w:next w:val="1"/>
    <w:link w:val="63"/>
    <w:autoRedefine/>
    <w:qFormat/>
    <w:uiPriority w:val="0"/>
    <w:pPr>
      <w:keepNext/>
      <w:keepLines/>
      <w:spacing w:before="240" w:after="64" w:line="317" w:lineRule="auto"/>
      <w:outlineLvl w:val="5"/>
    </w:pPr>
    <w:rPr>
      <w:rFonts w:ascii="Cambria" w:hAnsi="Cambria"/>
      <w:b/>
      <w:bCs/>
      <w:sz w:val="24"/>
      <w:szCs w:val="24"/>
    </w:rPr>
  </w:style>
  <w:style w:type="paragraph" w:styleId="8">
    <w:name w:val="heading 7"/>
    <w:basedOn w:val="1"/>
    <w:next w:val="1"/>
    <w:link w:val="92"/>
    <w:autoRedefine/>
    <w:qFormat/>
    <w:uiPriority w:val="0"/>
    <w:pPr>
      <w:keepNext/>
      <w:keepLines/>
      <w:spacing w:before="240" w:after="64" w:line="317" w:lineRule="auto"/>
      <w:outlineLvl w:val="6"/>
    </w:pPr>
    <w:rPr>
      <w:rFonts w:ascii="Times New Roman" w:hAnsi="Times New Roman"/>
      <w:b/>
      <w:bCs/>
      <w:sz w:val="24"/>
      <w:szCs w:val="24"/>
    </w:rPr>
  </w:style>
  <w:style w:type="paragraph" w:styleId="9">
    <w:name w:val="heading 8"/>
    <w:basedOn w:val="1"/>
    <w:next w:val="1"/>
    <w:link w:val="94"/>
    <w:autoRedefine/>
    <w:qFormat/>
    <w:uiPriority w:val="0"/>
    <w:pPr>
      <w:keepNext/>
      <w:keepLines/>
      <w:spacing w:before="240" w:after="64" w:line="317" w:lineRule="auto"/>
      <w:outlineLvl w:val="7"/>
    </w:pPr>
    <w:rPr>
      <w:rFonts w:ascii="Cambria" w:hAnsi="Cambria"/>
      <w:sz w:val="24"/>
      <w:szCs w:val="24"/>
    </w:rPr>
  </w:style>
  <w:style w:type="paragraph" w:styleId="10">
    <w:name w:val="heading 9"/>
    <w:basedOn w:val="1"/>
    <w:next w:val="1"/>
    <w:link w:val="87"/>
    <w:autoRedefine/>
    <w:qFormat/>
    <w:uiPriority w:val="0"/>
    <w:pPr>
      <w:keepNext/>
      <w:keepLines/>
      <w:spacing w:before="240" w:after="64" w:line="317" w:lineRule="auto"/>
      <w:outlineLvl w:val="8"/>
    </w:pPr>
    <w:rPr>
      <w:rFonts w:ascii="Cambria" w:hAnsi="Cambria"/>
      <w:szCs w:val="21"/>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Times New Roman" w:hAnsi="Times New Roman"/>
    </w:rPr>
  </w:style>
  <w:style w:type="paragraph" w:styleId="12">
    <w:name w:val="Normal Indent"/>
    <w:basedOn w:val="1"/>
    <w:autoRedefine/>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autoRedefine/>
    <w:qFormat/>
    <w:uiPriority w:val="0"/>
    <w:rPr>
      <w:rFonts w:ascii="Cambria" w:hAnsi="Cambria" w:eastAsia="黑体"/>
      <w:sz w:val="20"/>
      <w:szCs w:val="20"/>
    </w:rPr>
  </w:style>
  <w:style w:type="paragraph" w:styleId="14">
    <w:name w:val="Document Map"/>
    <w:basedOn w:val="1"/>
    <w:link w:val="55"/>
    <w:autoRedefine/>
    <w:qFormat/>
    <w:uiPriority w:val="0"/>
    <w:pPr>
      <w:shd w:val="clear" w:color="auto" w:fill="000080"/>
    </w:pPr>
    <w:rPr>
      <w:rFonts w:ascii="Times New Roman" w:hAnsi="Times New Roman"/>
      <w:szCs w:val="24"/>
      <w:shd w:val="clear" w:color="auto" w:fill="000080"/>
    </w:rPr>
  </w:style>
  <w:style w:type="paragraph" w:styleId="15">
    <w:name w:val="annotation text"/>
    <w:basedOn w:val="1"/>
    <w:link w:val="81"/>
    <w:autoRedefine/>
    <w:qFormat/>
    <w:uiPriority w:val="0"/>
    <w:pPr>
      <w:jc w:val="left"/>
    </w:pPr>
    <w:rPr>
      <w:rFonts w:ascii="Times New Roman" w:hAnsi="Times New Roman"/>
    </w:rPr>
  </w:style>
  <w:style w:type="paragraph" w:styleId="16">
    <w:name w:val="Body Text"/>
    <w:basedOn w:val="1"/>
    <w:link w:val="70"/>
    <w:autoRedefine/>
    <w:qFormat/>
    <w:uiPriority w:val="0"/>
    <w:pPr>
      <w:adjustRightInd w:val="0"/>
      <w:spacing w:after="60" w:line="360" w:lineRule="atLeast"/>
      <w:ind w:left="72" w:leftChars="30" w:right="30" w:rightChars="30"/>
      <w:jc w:val="center"/>
      <w:textAlignment w:val="baseline"/>
    </w:pPr>
    <w:rPr>
      <w:rFonts w:ascii="Times New Roman" w:hAnsi="Times New Roman"/>
    </w:rPr>
  </w:style>
  <w:style w:type="paragraph" w:styleId="17">
    <w:name w:val="index 4"/>
    <w:basedOn w:val="1"/>
    <w:next w:val="1"/>
    <w:autoRedefine/>
    <w:qFormat/>
    <w:uiPriority w:val="0"/>
    <w:pPr>
      <w:ind w:left="600" w:leftChars="600"/>
    </w:pPr>
    <w:rPr>
      <w:rFonts w:ascii="Times New Roman" w:hAnsi="Times New Roman"/>
      <w:szCs w:val="24"/>
    </w:rPr>
  </w:style>
  <w:style w:type="paragraph" w:styleId="18">
    <w:name w:val="toc 5"/>
    <w:basedOn w:val="1"/>
    <w:next w:val="1"/>
    <w:autoRedefine/>
    <w:qFormat/>
    <w:uiPriority w:val="0"/>
    <w:pPr>
      <w:tabs>
        <w:tab w:val="right" w:leader="dot" w:pos="8296"/>
      </w:tabs>
      <w:ind w:left="1050" w:leftChars="500"/>
    </w:pPr>
    <w:rPr>
      <w:rFonts w:ascii="Times New Roman" w:hAnsi="Times New Roman"/>
    </w:rPr>
  </w:style>
  <w:style w:type="paragraph" w:styleId="19">
    <w:name w:val="toc 3"/>
    <w:basedOn w:val="1"/>
    <w:next w:val="1"/>
    <w:autoRedefine/>
    <w:qFormat/>
    <w:uiPriority w:val="0"/>
    <w:pPr>
      <w:ind w:left="840" w:leftChars="400"/>
    </w:pPr>
    <w:rPr>
      <w:rFonts w:ascii="Times New Roman" w:hAnsi="Times New Roman"/>
    </w:rPr>
  </w:style>
  <w:style w:type="paragraph" w:styleId="20">
    <w:name w:val="toc 8"/>
    <w:basedOn w:val="1"/>
    <w:next w:val="1"/>
    <w:autoRedefine/>
    <w:qFormat/>
    <w:uiPriority w:val="0"/>
    <w:pPr>
      <w:ind w:left="2940" w:leftChars="1400"/>
    </w:pPr>
    <w:rPr>
      <w:rFonts w:ascii="Times New Roman" w:hAnsi="Times New Roman"/>
    </w:rPr>
  </w:style>
  <w:style w:type="paragraph" w:styleId="21">
    <w:name w:val="Date"/>
    <w:basedOn w:val="1"/>
    <w:next w:val="1"/>
    <w:link w:val="50"/>
    <w:autoRedefine/>
    <w:qFormat/>
    <w:uiPriority w:val="0"/>
    <w:pPr>
      <w:ind w:left="100" w:leftChars="2500"/>
    </w:pPr>
    <w:rPr>
      <w:rFonts w:ascii="宋体" w:hAnsi="Times New Roman"/>
      <w:sz w:val="28"/>
    </w:rPr>
  </w:style>
  <w:style w:type="paragraph" w:styleId="22">
    <w:name w:val="Body Text Indent 2"/>
    <w:basedOn w:val="1"/>
    <w:link w:val="95"/>
    <w:autoRedefine/>
    <w:qFormat/>
    <w:uiPriority w:val="0"/>
    <w:pPr>
      <w:spacing w:line="300" w:lineRule="auto"/>
      <w:ind w:left="418" w:leftChars="199"/>
    </w:pPr>
    <w:rPr>
      <w:rFonts w:ascii="Times New Roman" w:hAnsi="Times New Roman"/>
      <w:sz w:val="24"/>
      <w:szCs w:val="20"/>
    </w:rPr>
  </w:style>
  <w:style w:type="paragraph" w:styleId="23">
    <w:name w:val="Balloon Text"/>
    <w:basedOn w:val="1"/>
    <w:link w:val="69"/>
    <w:autoRedefine/>
    <w:qFormat/>
    <w:uiPriority w:val="0"/>
    <w:rPr>
      <w:rFonts w:ascii="宋体" w:hAnsi="Times New Roman"/>
      <w:sz w:val="18"/>
      <w:szCs w:val="18"/>
    </w:rPr>
  </w:style>
  <w:style w:type="paragraph" w:styleId="24">
    <w:name w:val="footer"/>
    <w:basedOn w:val="1"/>
    <w:link w:val="96"/>
    <w:autoRedefine/>
    <w:qFormat/>
    <w:uiPriority w:val="0"/>
    <w:pPr>
      <w:tabs>
        <w:tab w:val="center" w:pos="4153"/>
        <w:tab w:val="right" w:pos="8306"/>
      </w:tabs>
      <w:snapToGrid w:val="0"/>
      <w:jc w:val="left"/>
    </w:pPr>
    <w:rPr>
      <w:rFonts w:ascii="Times New Roman" w:hAnsi="Times New Roman"/>
      <w:sz w:val="18"/>
      <w:szCs w:val="18"/>
    </w:rPr>
  </w:style>
  <w:style w:type="paragraph" w:styleId="25">
    <w:name w:val="header"/>
    <w:basedOn w:val="1"/>
    <w:link w:val="46"/>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6">
    <w:name w:val="toc 1"/>
    <w:basedOn w:val="1"/>
    <w:next w:val="1"/>
    <w:autoRedefine/>
    <w:qFormat/>
    <w:uiPriority w:val="39"/>
    <w:pPr>
      <w:tabs>
        <w:tab w:val="right" w:leader="dot" w:pos="8296"/>
      </w:tabs>
    </w:pPr>
    <w:rPr>
      <w:rFonts w:ascii="宋体" w:hAnsi="Times New Roman" w:eastAsia="楷体_GB2312" w:cs="TimesNewRomanPSMT"/>
      <w:b/>
      <w:kern w:val="0"/>
      <w:sz w:val="28"/>
      <w:szCs w:val="20"/>
    </w:rPr>
  </w:style>
  <w:style w:type="paragraph" w:styleId="27">
    <w:name w:val="toc 4"/>
    <w:basedOn w:val="1"/>
    <w:next w:val="1"/>
    <w:autoRedefine/>
    <w:qFormat/>
    <w:uiPriority w:val="0"/>
    <w:pPr>
      <w:tabs>
        <w:tab w:val="left" w:pos="1890"/>
        <w:tab w:val="right" w:leader="dot" w:pos="8296"/>
      </w:tabs>
      <w:ind w:left="630" w:leftChars="300"/>
    </w:pPr>
    <w:rPr>
      <w:rFonts w:ascii="Times New Roman" w:hAnsi="Times New Roman"/>
    </w:rPr>
  </w:style>
  <w:style w:type="paragraph" w:styleId="28">
    <w:name w:val="Subtitle"/>
    <w:basedOn w:val="1"/>
    <w:next w:val="1"/>
    <w:link w:val="80"/>
    <w:autoRedefine/>
    <w:qFormat/>
    <w:uiPriority w:val="0"/>
    <w:pPr>
      <w:spacing w:before="240" w:after="60" w:line="312" w:lineRule="auto"/>
      <w:jc w:val="center"/>
      <w:outlineLvl w:val="1"/>
    </w:pPr>
    <w:rPr>
      <w:rFonts w:ascii="Cambria" w:hAnsi="Cambria"/>
      <w:b/>
      <w:bCs/>
      <w:kern w:val="28"/>
      <w:sz w:val="32"/>
      <w:szCs w:val="32"/>
    </w:rPr>
  </w:style>
  <w:style w:type="paragraph" w:styleId="29">
    <w:name w:val="toc 6"/>
    <w:basedOn w:val="1"/>
    <w:next w:val="1"/>
    <w:autoRedefine/>
    <w:qFormat/>
    <w:uiPriority w:val="0"/>
    <w:pPr>
      <w:ind w:left="2100" w:leftChars="1000"/>
    </w:pPr>
    <w:rPr>
      <w:rFonts w:ascii="Times New Roman" w:hAnsi="Times New Roman"/>
    </w:rPr>
  </w:style>
  <w:style w:type="paragraph" w:styleId="30">
    <w:name w:val="Body Text Indent 3"/>
    <w:basedOn w:val="1"/>
    <w:link w:val="118"/>
    <w:autoRedefine/>
    <w:semiHidden/>
    <w:unhideWhenUsed/>
    <w:qFormat/>
    <w:uiPriority w:val="99"/>
    <w:pPr>
      <w:spacing w:after="120"/>
      <w:ind w:left="420" w:leftChars="200"/>
    </w:pPr>
    <w:rPr>
      <w:sz w:val="16"/>
      <w:szCs w:val="16"/>
    </w:rPr>
  </w:style>
  <w:style w:type="paragraph" w:styleId="31">
    <w:name w:val="table of figures"/>
    <w:basedOn w:val="1"/>
    <w:next w:val="1"/>
    <w:autoRedefine/>
    <w:qFormat/>
    <w:uiPriority w:val="0"/>
    <w:pPr>
      <w:ind w:left="200" w:leftChars="200" w:hanging="200" w:hangingChars="200"/>
    </w:pPr>
    <w:rPr>
      <w:rFonts w:ascii="Times New Roman" w:hAnsi="Times New Roman"/>
    </w:rPr>
  </w:style>
  <w:style w:type="paragraph" w:styleId="32">
    <w:name w:val="toc 2"/>
    <w:basedOn w:val="1"/>
    <w:next w:val="1"/>
    <w:autoRedefine/>
    <w:qFormat/>
    <w:uiPriority w:val="39"/>
    <w:pPr>
      <w:ind w:left="420" w:leftChars="200"/>
    </w:pPr>
    <w:rPr>
      <w:rFonts w:ascii="宋体" w:hAnsi="Times New Roman"/>
      <w:b/>
      <w:sz w:val="28"/>
      <w:szCs w:val="20"/>
    </w:rPr>
  </w:style>
  <w:style w:type="paragraph" w:styleId="33">
    <w:name w:val="toc 9"/>
    <w:basedOn w:val="1"/>
    <w:next w:val="1"/>
    <w:autoRedefine/>
    <w:qFormat/>
    <w:uiPriority w:val="0"/>
    <w:pPr>
      <w:ind w:left="3360" w:leftChars="1600"/>
    </w:pPr>
    <w:rPr>
      <w:rFonts w:ascii="Times New Roman" w:hAnsi="Times New Roman"/>
    </w:rPr>
  </w:style>
  <w:style w:type="paragraph" w:styleId="34">
    <w:name w:val="Normal (Web)"/>
    <w:basedOn w:val="1"/>
    <w:autoRedefine/>
    <w:qFormat/>
    <w:uiPriority w:val="0"/>
    <w:pPr>
      <w:widowControl/>
      <w:spacing w:before="100" w:beforeAutospacing="1" w:after="100" w:afterAutospacing="1" w:line="320" w:lineRule="atLeast"/>
      <w:jc w:val="left"/>
    </w:pPr>
    <w:rPr>
      <w:rFonts w:ascii="宋体" w:hAnsi="宋体"/>
      <w:kern w:val="0"/>
      <w:sz w:val="18"/>
      <w:szCs w:val="18"/>
    </w:rPr>
  </w:style>
  <w:style w:type="paragraph" w:styleId="35">
    <w:name w:val="Title"/>
    <w:basedOn w:val="1"/>
    <w:next w:val="1"/>
    <w:link w:val="78"/>
    <w:autoRedefine/>
    <w:qFormat/>
    <w:uiPriority w:val="0"/>
    <w:pPr>
      <w:spacing w:before="240" w:after="60"/>
      <w:jc w:val="center"/>
      <w:outlineLvl w:val="0"/>
    </w:pPr>
    <w:rPr>
      <w:rFonts w:ascii="Cambria" w:hAnsi="Cambria"/>
      <w:b/>
      <w:bCs/>
      <w:sz w:val="32"/>
      <w:szCs w:val="32"/>
    </w:rPr>
  </w:style>
  <w:style w:type="paragraph" w:styleId="36">
    <w:name w:val="annotation subject"/>
    <w:basedOn w:val="15"/>
    <w:next w:val="15"/>
    <w:link w:val="86"/>
    <w:autoRedefine/>
    <w:qFormat/>
    <w:uiPriority w:val="0"/>
    <w:rPr>
      <w:rFonts w:ascii="宋体"/>
      <w:b/>
      <w:bCs/>
      <w:sz w:val="28"/>
    </w:rPr>
  </w:style>
  <w:style w:type="table" w:styleId="38">
    <w:name w:val="Table Grid"/>
    <w:basedOn w:val="3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autoRedefine/>
    <w:qFormat/>
    <w:uiPriority w:val="0"/>
    <w:rPr>
      <w:rFonts w:ascii="Times New Roman" w:hAnsi="Times New Roman" w:eastAsia="宋体" w:cs="Times New Roman"/>
      <w:b/>
      <w:bCs/>
    </w:rPr>
  </w:style>
  <w:style w:type="character" w:styleId="41">
    <w:name w:val="page number"/>
    <w:autoRedefine/>
    <w:qFormat/>
    <w:uiPriority w:val="0"/>
    <w:rPr>
      <w:rFonts w:ascii="Times New Roman" w:hAnsi="Times New Roman" w:eastAsia="宋体" w:cs="Times New Roman"/>
    </w:rPr>
  </w:style>
  <w:style w:type="character" w:styleId="42">
    <w:name w:val="FollowedHyperlink"/>
    <w:autoRedefine/>
    <w:unhideWhenUsed/>
    <w:qFormat/>
    <w:uiPriority w:val="99"/>
    <w:rPr>
      <w:rFonts w:ascii="Times New Roman" w:hAnsi="Times New Roman" w:eastAsia="宋体" w:cs="Times New Roman"/>
      <w:color w:val="954F72"/>
      <w:u w:val="single"/>
    </w:rPr>
  </w:style>
  <w:style w:type="character" w:styleId="43">
    <w:name w:val="Emphasis"/>
    <w:autoRedefine/>
    <w:qFormat/>
    <w:uiPriority w:val="0"/>
    <w:rPr>
      <w:rFonts w:ascii="Times New Roman" w:hAnsi="Times New Roman" w:eastAsia="宋体" w:cs="Times New Roman"/>
      <w:i/>
      <w:iCs/>
    </w:rPr>
  </w:style>
  <w:style w:type="character" w:styleId="44">
    <w:name w:val="Hyperlink"/>
    <w:autoRedefine/>
    <w:qFormat/>
    <w:uiPriority w:val="99"/>
    <w:rPr>
      <w:rFonts w:ascii="Times New Roman" w:hAnsi="Times New Roman" w:eastAsia="宋体" w:cs="Times New Roman"/>
      <w:color w:val="0000FF"/>
      <w:u w:val="single"/>
    </w:rPr>
  </w:style>
  <w:style w:type="character" w:styleId="45">
    <w:name w:val="annotation reference"/>
    <w:autoRedefine/>
    <w:qFormat/>
    <w:uiPriority w:val="99"/>
    <w:rPr>
      <w:rFonts w:ascii="Times New Roman" w:hAnsi="Times New Roman" w:eastAsia="宋体" w:cs="Times New Roman"/>
      <w:sz w:val="21"/>
      <w:szCs w:val="21"/>
    </w:rPr>
  </w:style>
  <w:style w:type="character" w:customStyle="1" w:styleId="46">
    <w:name w:val="页眉 Char"/>
    <w:link w:val="25"/>
    <w:autoRedefine/>
    <w:qFormat/>
    <w:uiPriority w:val="0"/>
    <w:rPr>
      <w:rFonts w:ascii="Times New Roman" w:hAnsi="Times New Roman" w:eastAsia="宋体" w:cs="Times New Roman"/>
      <w:kern w:val="2"/>
      <w:sz w:val="18"/>
      <w:szCs w:val="18"/>
    </w:rPr>
  </w:style>
  <w:style w:type="character" w:customStyle="1" w:styleId="47">
    <w:name w:val="段 字符"/>
    <w:link w:val="48"/>
    <w:autoRedefine/>
    <w:qFormat/>
    <w:uiPriority w:val="0"/>
    <w:rPr>
      <w:rFonts w:ascii="宋体" w:hAnsi="Times New Roman" w:eastAsia="宋体" w:cs="Times New Roman"/>
      <w:color w:val="000000"/>
      <w:sz w:val="21"/>
    </w:rPr>
  </w:style>
  <w:style w:type="paragraph" w:customStyle="1" w:styleId="48">
    <w:name w:val="段"/>
    <w:basedOn w:val="1"/>
    <w:link w:val="47"/>
    <w:autoRedefine/>
    <w:qFormat/>
    <w:uiPriority w:val="0"/>
    <w:pPr>
      <w:widowControl/>
      <w:tabs>
        <w:tab w:val="center" w:pos="4201"/>
        <w:tab w:val="right" w:leader="dot" w:pos="9298"/>
      </w:tabs>
      <w:autoSpaceDE w:val="0"/>
      <w:autoSpaceDN w:val="0"/>
      <w:adjustRightInd w:val="0"/>
      <w:snapToGrid w:val="0"/>
      <w:spacing w:line="360" w:lineRule="auto"/>
      <w:ind w:firstLine="420" w:firstLineChars="200"/>
    </w:pPr>
    <w:rPr>
      <w:rFonts w:ascii="宋体" w:hAnsi="Times New Roman"/>
      <w:color w:val="000000"/>
      <w:kern w:val="0"/>
      <w:szCs w:val="20"/>
    </w:rPr>
  </w:style>
  <w:style w:type="character" w:customStyle="1" w:styleId="49">
    <w:name w:val="不明显强调1"/>
    <w:autoRedefine/>
    <w:qFormat/>
    <w:uiPriority w:val="0"/>
    <w:rPr>
      <w:rFonts w:ascii="Times New Roman" w:hAnsi="Times New Roman" w:eastAsia="宋体" w:cs="Times New Roman"/>
      <w:i/>
      <w:iCs/>
      <w:color w:val="808080"/>
    </w:rPr>
  </w:style>
  <w:style w:type="character" w:customStyle="1" w:styleId="50">
    <w:name w:val="日期 Char"/>
    <w:link w:val="21"/>
    <w:autoRedefine/>
    <w:qFormat/>
    <w:uiPriority w:val="0"/>
    <w:rPr>
      <w:rFonts w:ascii="宋体" w:hAnsi="Times New Roman" w:eastAsia="宋体" w:cs="Times New Roman"/>
      <w:sz w:val="28"/>
    </w:rPr>
  </w:style>
  <w:style w:type="character" w:customStyle="1" w:styleId="51">
    <w:name w:val="样式1-正文 Char"/>
    <w:link w:val="52"/>
    <w:autoRedefine/>
    <w:qFormat/>
    <w:uiPriority w:val="0"/>
    <w:rPr>
      <w:rFonts w:ascii="Times New Roman" w:hAnsi="Times New Roman" w:eastAsia="仿宋_GB2312" w:cs="Times New Roman"/>
      <w:color w:val="000000"/>
      <w:sz w:val="21"/>
      <w:szCs w:val="32"/>
    </w:rPr>
  </w:style>
  <w:style w:type="paragraph" w:customStyle="1" w:styleId="52">
    <w:name w:val="样式1-正文"/>
    <w:basedOn w:val="1"/>
    <w:link w:val="51"/>
    <w:autoRedefine/>
    <w:qFormat/>
    <w:uiPriority w:val="0"/>
    <w:pPr>
      <w:autoSpaceDE w:val="0"/>
      <w:autoSpaceDN w:val="0"/>
      <w:adjustRightInd w:val="0"/>
      <w:spacing w:line="360" w:lineRule="auto"/>
      <w:ind w:firstLine="600" w:firstLineChars="200"/>
      <w:jc w:val="left"/>
    </w:pPr>
    <w:rPr>
      <w:rFonts w:ascii="Times New Roman" w:hAnsi="Times New Roman" w:eastAsia="仿宋_GB2312"/>
      <w:color w:val="000000"/>
      <w:kern w:val="0"/>
      <w:szCs w:val="32"/>
    </w:rPr>
  </w:style>
  <w:style w:type="character" w:customStyle="1" w:styleId="53">
    <w:name w:val="textcontents"/>
    <w:autoRedefine/>
    <w:qFormat/>
    <w:uiPriority w:val="0"/>
    <w:rPr>
      <w:rFonts w:ascii="Times New Roman" w:hAnsi="Times New Roman" w:eastAsia="宋体" w:cs="Times New Roman"/>
    </w:rPr>
  </w:style>
  <w:style w:type="character" w:customStyle="1" w:styleId="54">
    <w:name w:val="标题 2 Char"/>
    <w:link w:val="3"/>
    <w:autoRedefine/>
    <w:qFormat/>
    <w:uiPriority w:val="0"/>
    <w:rPr>
      <w:rFonts w:ascii="Cambria" w:hAnsi="Cambria" w:eastAsia="宋体" w:cs="Times New Roman"/>
      <w:b/>
      <w:bCs/>
      <w:kern w:val="2"/>
      <w:sz w:val="32"/>
      <w:szCs w:val="32"/>
    </w:rPr>
  </w:style>
  <w:style w:type="character" w:customStyle="1" w:styleId="55">
    <w:name w:val="文档结构图 Char"/>
    <w:link w:val="14"/>
    <w:autoRedefine/>
    <w:qFormat/>
    <w:uiPriority w:val="0"/>
    <w:rPr>
      <w:rFonts w:ascii="Times New Roman" w:hAnsi="Times New Roman" w:eastAsia="宋体" w:cs="Times New Roman"/>
      <w:szCs w:val="24"/>
      <w:shd w:val="clear" w:color="auto" w:fill="000080"/>
    </w:rPr>
  </w:style>
  <w:style w:type="character" w:customStyle="1" w:styleId="56">
    <w:name w:val="文档结构图 Char1"/>
    <w:autoRedefine/>
    <w:qFormat/>
    <w:uiPriority w:val="0"/>
    <w:rPr>
      <w:rFonts w:ascii="宋体" w:hAnsi="Times New Roman" w:eastAsia="宋体" w:cs="Times New Roman"/>
      <w:kern w:val="2"/>
      <w:sz w:val="18"/>
      <w:szCs w:val="18"/>
    </w:rPr>
  </w:style>
  <w:style w:type="character" w:customStyle="1" w:styleId="57">
    <w:name w:val="标题5 Char Char"/>
    <w:link w:val="58"/>
    <w:autoRedefine/>
    <w:qFormat/>
    <w:uiPriority w:val="0"/>
    <w:rPr>
      <w:rFonts w:ascii="Arial" w:hAnsi="Arial" w:eastAsia="宋体" w:cs="Times New Roman"/>
      <w:b/>
      <w:bCs/>
      <w:sz w:val="24"/>
      <w:szCs w:val="32"/>
    </w:rPr>
  </w:style>
  <w:style w:type="paragraph" w:customStyle="1" w:styleId="58">
    <w:name w:val="标题5"/>
    <w:basedOn w:val="4"/>
    <w:link w:val="57"/>
    <w:autoRedefine/>
    <w:qFormat/>
    <w:uiPriority w:val="0"/>
    <w:rPr>
      <w:rFonts w:ascii="Arial" w:hAnsi="Arial"/>
      <w:b w:val="0"/>
      <w:bCs w:val="0"/>
      <w:sz w:val="24"/>
    </w:rPr>
  </w:style>
  <w:style w:type="character" w:customStyle="1" w:styleId="59">
    <w:name w:val="不明显参考1"/>
    <w:autoRedefine/>
    <w:qFormat/>
    <w:uiPriority w:val="0"/>
    <w:rPr>
      <w:rFonts w:ascii="Times New Roman" w:hAnsi="Times New Roman" w:eastAsia="宋体" w:cs="Times New Roman"/>
      <w:smallCaps/>
      <w:color w:val="C0504D"/>
      <w:u w:val="single"/>
    </w:rPr>
  </w:style>
  <w:style w:type="character" w:customStyle="1" w:styleId="60">
    <w:name w:val="标题4 Char Char"/>
    <w:link w:val="61"/>
    <w:autoRedefine/>
    <w:qFormat/>
    <w:uiPriority w:val="0"/>
    <w:rPr>
      <w:rFonts w:ascii="Arial" w:hAnsi="Arial" w:eastAsia="宋体" w:cs="Times New Roman"/>
      <w:b/>
      <w:bCs/>
      <w:sz w:val="24"/>
      <w:szCs w:val="32"/>
    </w:rPr>
  </w:style>
  <w:style w:type="paragraph" w:customStyle="1" w:styleId="61">
    <w:name w:val="标题4"/>
    <w:basedOn w:val="3"/>
    <w:next w:val="17"/>
    <w:link w:val="60"/>
    <w:autoRedefine/>
    <w:qFormat/>
    <w:uiPriority w:val="0"/>
    <w:rPr>
      <w:rFonts w:ascii="Arial" w:hAnsi="Arial"/>
      <w:b w:val="0"/>
      <w:bCs w:val="0"/>
      <w:sz w:val="24"/>
    </w:rPr>
  </w:style>
  <w:style w:type="character" w:customStyle="1" w:styleId="62">
    <w:name w:val="明显强调1"/>
    <w:autoRedefine/>
    <w:qFormat/>
    <w:uiPriority w:val="0"/>
    <w:rPr>
      <w:rFonts w:ascii="Times New Roman" w:hAnsi="Times New Roman" w:eastAsia="宋体" w:cs="Times New Roman"/>
      <w:b/>
      <w:bCs/>
      <w:i/>
      <w:iCs/>
      <w:color w:val="4F81BD"/>
    </w:rPr>
  </w:style>
  <w:style w:type="character" w:customStyle="1" w:styleId="63">
    <w:name w:val="标题 6 Char"/>
    <w:link w:val="7"/>
    <w:autoRedefine/>
    <w:qFormat/>
    <w:uiPriority w:val="0"/>
    <w:rPr>
      <w:rFonts w:ascii="Cambria" w:hAnsi="Cambria" w:eastAsia="宋体" w:cs="Times New Roman"/>
      <w:b/>
      <w:bCs/>
      <w:kern w:val="2"/>
      <w:sz w:val="24"/>
      <w:szCs w:val="24"/>
    </w:rPr>
  </w:style>
  <w:style w:type="character" w:customStyle="1" w:styleId="64">
    <w:name w:val="标题 4 Char"/>
    <w:link w:val="5"/>
    <w:autoRedefine/>
    <w:qFormat/>
    <w:uiPriority w:val="0"/>
    <w:rPr>
      <w:rFonts w:ascii="Cambria" w:hAnsi="Cambria" w:eastAsia="宋体" w:cs="Times New Roman"/>
      <w:b/>
      <w:bCs/>
      <w:kern w:val="2"/>
      <w:sz w:val="28"/>
      <w:szCs w:val="28"/>
    </w:rPr>
  </w:style>
  <w:style w:type="character" w:customStyle="1" w:styleId="65">
    <w:name w:val="引用 Char"/>
    <w:link w:val="66"/>
    <w:autoRedefine/>
    <w:qFormat/>
    <w:uiPriority w:val="0"/>
    <w:rPr>
      <w:rFonts w:ascii="Times New Roman" w:hAnsi="Times New Roman" w:eastAsia="宋体" w:cs="Times New Roman"/>
      <w:i/>
      <w:iCs/>
      <w:color w:val="000000"/>
      <w:kern w:val="2"/>
      <w:sz w:val="21"/>
      <w:szCs w:val="22"/>
    </w:rPr>
  </w:style>
  <w:style w:type="paragraph" w:styleId="66">
    <w:name w:val="Quote"/>
    <w:basedOn w:val="1"/>
    <w:next w:val="1"/>
    <w:link w:val="65"/>
    <w:autoRedefine/>
    <w:qFormat/>
    <w:uiPriority w:val="0"/>
    <w:rPr>
      <w:rFonts w:ascii="Times New Roman" w:hAnsi="Times New Roman"/>
      <w:i/>
      <w:iCs/>
      <w:color w:val="000000"/>
    </w:rPr>
  </w:style>
  <w:style w:type="character" w:customStyle="1" w:styleId="67">
    <w:name w:val="样式2-标题1 Char"/>
    <w:link w:val="68"/>
    <w:autoRedefine/>
    <w:qFormat/>
    <w:uiPriority w:val="0"/>
    <w:rPr>
      <w:rFonts w:ascii="华文中宋" w:hAnsi="华文中宋" w:eastAsia="华文中宋" w:cs="Times New Roman"/>
      <w:b/>
      <w:bCs/>
      <w:kern w:val="2"/>
      <w:sz w:val="36"/>
      <w:szCs w:val="44"/>
    </w:rPr>
  </w:style>
  <w:style w:type="paragraph" w:customStyle="1" w:styleId="68">
    <w:name w:val="样式2-标题1"/>
    <w:basedOn w:val="4"/>
    <w:link w:val="67"/>
    <w:autoRedefine/>
    <w:qFormat/>
    <w:uiPriority w:val="0"/>
    <w:pPr>
      <w:jc w:val="center"/>
      <w:outlineLvl w:val="0"/>
    </w:pPr>
    <w:rPr>
      <w:rFonts w:ascii="华文中宋" w:hAnsi="华文中宋" w:eastAsia="华文中宋"/>
      <w:sz w:val="36"/>
      <w:szCs w:val="44"/>
    </w:rPr>
  </w:style>
  <w:style w:type="character" w:customStyle="1" w:styleId="69">
    <w:name w:val="批注框文本 Char"/>
    <w:link w:val="23"/>
    <w:autoRedefine/>
    <w:qFormat/>
    <w:uiPriority w:val="0"/>
    <w:rPr>
      <w:rFonts w:ascii="宋体" w:hAnsi="Times New Roman" w:eastAsia="宋体" w:cs="Times New Roman"/>
      <w:sz w:val="18"/>
      <w:szCs w:val="18"/>
    </w:rPr>
  </w:style>
  <w:style w:type="character" w:customStyle="1" w:styleId="70">
    <w:name w:val="正文文本 Char"/>
    <w:link w:val="16"/>
    <w:autoRedefine/>
    <w:qFormat/>
    <w:uiPriority w:val="0"/>
    <w:rPr>
      <w:rFonts w:ascii="Times New Roman" w:hAnsi="Times New Roman" w:eastAsia="宋体" w:cs="Times New Roman"/>
    </w:rPr>
  </w:style>
  <w:style w:type="character" w:customStyle="1" w:styleId="71">
    <w:name w:val="明显参考1"/>
    <w:autoRedefine/>
    <w:qFormat/>
    <w:uiPriority w:val="0"/>
    <w:rPr>
      <w:rFonts w:ascii="Times New Roman" w:hAnsi="Times New Roman" w:eastAsia="宋体" w:cs="Times New Roman"/>
      <w:b/>
      <w:bCs/>
      <w:smallCaps/>
      <w:color w:val="C0504D"/>
      <w:spacing w:val="5"/>
      <w:u w:val="single"/>
    </w:rPr>
  </w:style>
  <w:style w:type="character" w:customStyle="1" w:styleId="72">
    <w:name w:val="样式3-标题2 Char"/>
    <w:link w:val="73"/>
    <w:autoRedefine/>
    <w:qFormat/>
    <w:uiPriority w:val="0"/>
    <w:rPr>
      <w:rFonts w:ascii="Times New Roman" w:hAnsi="Times New Roman" w:eastAsia="黑体" w:cs="Times New Roman"/>
      <w:bCs/>
      <w:color w:val="000000"/>
      <w:kern w:val="2"/>
      <w:sz w:val="30"/>
      <w:szCs w:val="32"/>
    </w:rPr>
  </w:style>
  <w:style w:type="paragraph" w:customStyle="1" w:styleId="73">
    <w:name w:val="样式3-标题2"/>
    <w:basedOn w:val="5"/>
    <w:link w:val="72"/>
    <w:autoRedefine/>
    <w:qFormat/>
    <w:uiPriority w:val="0"/>
    <w:pPr>
      <w:spacing w:before="120" w:after="120" w:line="360" w:lineRule="auto"/>
      <w:outlineLvl w:val="1"/>
    </w:pPr>
    <w:rPr>
      <w:rFonts w:ascii="Times New Roman" w:hAnsi="Times New Roman" w:eastAsia="黑体"/>
      <w:b w:val="0"/>
      <w:color w:val="000000"/>
      <w:sz w:val="30"/>
      <w:szCs w:val="32"/>
    </w:rPr>
  </w:style>
  <w:style w:type="character" w:customStyle="1" w:styleId="74">
    <w:name w:val="样式5-标题4 Char"/>
    <w:link w:val="75"/>
    <w:autoRedefine/>
    <w:qFormat/>
    <w:uiPriority w:val="0"/>
    <w:rPr>
      <w:rFonts w:ascii="Times New Roman" w:hAnsi="Times New Roman" w:eastAsia="仿宋_GB2312" w:cs="Times New Roman"/>
      <w:b/>
      <w:color w:val="000000"/>
      <w:sz w:val="21"/>
      <w:szCs w:val="32"/>
    </w:rPr>
  </w:style>
  <w:style w:type="paragraph" w:customStyle="1" w:styleId="75">
    <w:name w:val="样式5-标题4"/>
    <w:basedOn w:val="52"/>
    <w:link w:val="74"/>
    <w:autoRedefine/>
    <w:qFormat/>
    <w:uiPriority w:val="0"/>
    <w:pPr>
      <w:ind w:firstLine="200"/>
      <w:outlineLvl w:val="3"/>
    </w:pPr>
    <w:rPr>
      <w:rFonts w:eastAsia="宋体"/>
      <w:b/>
    </w:rPr>
  </w:style>
  <w:style w:type="character" w:customStyle="1" w:styleId="76">
    <w:name w:val="样式4-标题3 Char"/>
    <w:link w:val="77"/>
    <w:autoRedefine/>
    <w:qFormat/>
    <w:uiPriority w:val="0"/>
    <w:rPr>
      <w:rFonts w:ascii="Times New Roman" w:hAnsi="Times New Roman" w:eastAsia="黑体" w:cs="Times New Roman"/>
      <w:bCs/>
      <w:color w:val="000000"/>
      <w:kern w:val="2"/>
      <w:sz w:val="24"/>
      <w:szCs w:val="32"/>
    </w:rPr>
  </w:style>
  <w:style w:type="paragraph" w:customStyle="1" w:styleId="77">
    <w:name w:val="样式4-标题3"/>
    <w:basedOn w:val="6"/>
    <w:link w:val="76"/>
    <w:autoRedefine/>
    <w:qFormat/>
    <w:uiPriority w:val="0"/>
    <w:pPr>
      <w:spacing w:before="120" w:after="120" w:line="360" w:lineRule="auto"/>
      <w:ind w:firstLine="200" w:firstLineChars="200"/>
      <w:outlineLvl w:val="2"/>
    </w:pPr>
    <w:rPr>
      <w:rFonts w:eastAsia="黑体"/>
      <w:b w:val="0"/>
      <w:color w:val="000000"/>
      <w:sz w:val="24"/>
      <w:szCs w:val="32"/>
    </w:rPr>
  </w:style>
  <w:style w:type="character" w:customStyle="1" w:styleId="78">
    <w:name w:val="标题 Char"/>
    <w:link w:val="35"/>
    <w:autoRedefine/>
    <w:qFormat/>
    <w:uiPriority w:val="0"/>
    <w:rPr>
      <w:rFonts w:ascii="Cambria" w:hAnsi="Cambria" w:eastAsia="宋体" w:cs="Times New Roman"/>
      <w:b/>
      <w:bCs/>
      <w:kern w:val="2"/>
      <w:sz w:val="32"/>
      <w:szCs w:val="32"/>
    </w:rPr>
  </w:style>
  <w:style w:type="character" w:customStyle="1" w:styleId="79">
    <w:name w:val="表格文字"/>
    <w:autoRedefine/>
    <w:qFormat/>
    <w:uiPriority w:val="0"/>
    <w:rPr>
      <w:rFonts w:ascii="宋体" w:hAnsi="Times New Roman" w:eastAsia="宋体" w:cs="Times New Roman"/>
      <w:sz w:val="18"/>
    </w:rPr>
  </w:style>
  <w:style w:type="character" w:customStyle="1" w:styleId="80">
    <w:name w:val="副标题 Char"/>
    <w:link w:val="28"/>
    <w:autoRedefine/>
    <w:qFormat/>
    <w:uiPriority w:val="0"/>
    <w:rPr>
      <w:rFonts w:ascii="Cambria" w:hAnsi="Cambria" w:eastAsia="宋体" w:cs="Times New Roman"/>
      <w:b/>
      <w:bCs/>
      <w:kern w:val="28"/>
      <w:sz w:val="32"/>
      <w:szCs w:val="32"/>
    </w:rPr>
  </w:style>
  <w:style w:type="character" w:customStyle="1" w:styleId="81">
    <w:name w:val="批注文字 Char"/>
    <w:link w:val="15"/>
    <w:autoRedefine/>
    <w:qFormat/>
    <w:uiPriority w:val="0"/>
    <w:rPr>
      <w:rFonts w:ascii="Times New Roman" w:hAnsi="Times New Roman" w:eastAsia="宋体" w:cs="Times New Roman"/>
      <w:kern w:val="2"/>
      <w:sz w:val="21"/>
      <w:szCs w:val="22"/>
    </w:rPr>
  </w:style>
  <w:style w:type="character" w:customStyle="1" w:styleId="82">
    <w:name w:val="正文哈哈 Char"/>
    <w:link w:val="83"/>
    <w:autoRedefine/>
    <w:qFormat/>
    <w:uiPriority w:val="0"/>
    <w:rPr>
      <w:rFonts w:ascii="宋体" w:hAnsi="宋体" w:eastAsia="楷体_GB2312" w:cs="Times New Roman"/>
      <w:bCs/>
      <w:sz w:val="21"/>
      <w:szCs w:val="28"/>
    </w:rPr>
  </w:style>
  <w:style w:type="paragraph" w:customStyle="1" w:styleId="83">
    <w:name w:val="正文哈哈"/>
    <w:basedOn w:val="1"/>
    <w:link w:val="82"/>
    <w:autoRedefine/>
    <w:qFormat/>
    <w:uiPriority w:val="0"/>
    <w:pPr>
      <w:numPr>
        <w:ilvl w:val="0"/>
        <w:numId w:val="1"/>
      </w:numPr>
      <w:adjustRightInd w:val="0"/>
      <w:snapToGrid w:val="0"/>
      <w:spacing w:line="360" w:lineRule="auto"/>
      <w:jc w:val="left"/>
    </w:pPr>
    <w:rPr>
      <w:rFonts w:ascii="宋体" w:hAnsi="宋体" w:eastAsia="楷体_GB2312"/>
      <w:bCs/>
      <w:kern w:val="0"/>
      <w:szCs w:val="28"/>
    </w:rPr>
  </w:style>
  <w:style w:type="character" w:customStyle="1" w:styleId="84">
    <w:name w:val="标题 5 Char"/>
    <w:link w:val="6"/>
    <w:autoRedefine/>
    <w:qFormat/>
    <w:uiPriority w:val="0"/>
    <w:rPr>
      <w:rFonts w:ascii="Times New Roman" w:hAnsi="Times New Roman" w:eastAsia="宋体" w:cs="Times New Roman"/>
      <w:b/>
      <w:bCs/>
      <w:kern w:val="2"/>
      <w:sz w:val="28"/>
      <w:szCs w:val="28"/>
    </w:rPr>
  </w:style>
  <w:style w:type="character" w:customStyle="1" w:styleId="85">
    <w:name w:val="书籍标题1"/>
    <w:autoRedefine/>
    <w:qFormat/>
    <w:uiPriority w:val="0"/>
    <w:rPr>
      <w:rFonts w:ascii="Times New Roman" w:hAnsi="Times New Roman" w:eastAsia="宋体" w:cs="Times New Roman"/>
      <w:b/>
      <w:bCs/>
      <w:smallCaps/>
      <w:spacing w:val="5"/>
    </w:rPr>
  </w:style>
  <w:style w:type="character" w:customStyle="1" w:styleId="86">
    <w:name w:val="批注主题 Char"/>
    <w:link w:val="36"/>
    <w:autoRedefine/>
    <w:qFormat/>
    <w:uiPriority w:val="0"/>
    <w:rPr>
      <w:rFonts w:ascii="宋体" w:hAnsi="Times New Roman" w:eastAsia="宋体" w:cs="Times New Roman"/>
      <w:b/>
      <w:bCs/>
      <w:sz w:val="28"/>
    </w:rPr>
  </w:style>
  <w:style w:type="character" w:customStyle="1" w:styleId="87">
    <w:name w:val="标题 9 Char"/>
    <w:link w:val="10"/>
    <w:autoRedefine/>
    <w:qFormat/>
    <w:uiPriority w:val="0"/>
    <w:rPr>
      <w:rFonts w:ascii="Cambria" w:hAnsi="Cambria" w:eastAsia="宋体" w:cs="Times New Roman"/>
      <w:kern w:val="2"/>
      <w:sz w:val="21"/>
      <w:szCs w:val="21"/>
    </w:rPr>
  </w:style>
  <w:style w:type="character" w:customStyle="1" w:styleId="88">
    <w:name w:val="二级标题 Char"/>
    <w:link w:val="89"/>
    <w:autoRedefine/>
    <w:qFormat/>
    <w:uiPriority w:val="0"/>
    <w:rPr>
      <w:rFonts w:ascii="楷体" w:hAnsi="楷体" w:eastAsia="楷体" w:cs="Times New Roman"/>
      <w:b/>
      <w:bCs/>
      <w:kern w:val="2"/>
      <w:sz w:val="24"/>
      <w:szCs w:val="24"/>
    </w:rPr>
  </w:style>
  <w:style w:type="paragraph" w:customStyle="1" w:styleId="89">
    <w:name w:val="二级标题"/>
    <w:basedOn w:val="4"/>
    <w:link w:val="88"/>
    <w:autoRedefine/>
    <w:qFormat/>
    <w:uiPriority w:val="0"/>
    <w:pPr>
      <w:adjustRightInd w:val="0"/>
      <w:snapToGrid w:val="0"/>
      <w:spacing w:before="0" w:after="0" w:line="360" w:lineRule="auto"/>
      <w:jc w:val="left"/>
    </w:pPr>
    <w:rPr>
      <w:rFonts w:ascii="楷体" w:hAnsi="楷体" w:eastAsia="楷体"/>
      <w:sz w:val="24"/>
      <w:szCs w:val="24"/>
    </w:rPr>
  </w:style>
  <w:style w:type="character" w:customStyle="1" w:styleId="90">
    <w:name w:val="批注文字 Char Char"/>
    <w:autoRedefine/>
    <w:qFormat/>
    <w:uiPriority w:val="0"/>
    <w:rPr>
      <w:rFonts w:ascii="宋体" w:hAnsi="Times New Roman" w:eastAsia="宋体" w:cs="Times New Roman"/>
      <w:sz w:val="28"/>
      <w:szCs w:val="20"/>
    </w:rPr>
  </w:style>
  <w:style w:type="character" w:customStyle="1" w:styleId="91">
    <w:name w:val="正文文本 Char1"/>
    <w:autoRedefine/>
    <w:qFormat/>
    <w:uiPriority w:val="0"/>
    <w:rPr>
      <w:rFonts w:ascii="Times New Roman" w:hAnsi="Times New Roman" w:eastAsia="宋体" w:cs="Times New Roman"/>
      <w:kern w:val="2"/>
      <w:sz w:val="21"/>
      <w:szCs w:val="22"/>
    </w:rPr>
  </w:style>
  <w:style w:type="character" w:customStyle="1" w:styleId="92">
    <w:name w:val="标题 7 Char"/>
    <w:link w:val="8"/>
    <w:autoRedefine/>
    <w:qFormat/>
    <w:uiPriority w:val="0"/>
    <w:rPr>
      <w:rFonts w:ascii="Times New Roman" w:hAnsi="Times New Roman" w:eastAsia="宋体" w:cs="Times New Roman"/>
      <w:b/>
      <w:bCs/>
      <w:kern w:val="2"/>
      <w:sz w:val="24"/>
      <w:szCs w:val="24"/>
    </w:rPr>
  </w:style>
  <w:style w:type="character" w:customStyle="1" w:styleId="93">
    <w:name w:val="批注框文本 Char1"/>
    <w:autoRedefine/>
    <w:qFormat/>
    <w:uiPriority w:val="0"/>
    <w:rPr>
      <w:rFonts w:ascii="Times New Roman" w:hAnsi="Times New Roman" w:eastAsia="宋体" w:cs="Times New Roman"/>
      <w:kern w:val="2"/>
      <w:sz w:val="18"/>
      <w:szCs w:val="18"/>
    </w:rPr>
  </w:style>
  <w:style w:type="character" w:customStyle="1" w:styleId="94">
    <w:name w:val="标题 8 Char"/>
    <w:link w:val="9"/>
    <w:autoRedefine/>
    <w:qFormat/>
    <w:uiPriority w:val="0"/>
    <w:rPr>
      <w:rFonts w:ascii="Cambria" w:hAnsi="Cambria" w:eastAsia="宋体" w:cs="Times New Roman"/>
      <w:kern w:val="2"/>
      <w:sz w:val="24"/>
      <w:szCs w:val="24"/>
    </w:rPr>
  </w:style>
  <w:style w:type="character" w:customStyle="1" w:styleId="95">
    <w:name w:val="正文文本缩进 2 Char"/>
    <w:link w:val="22"/>
    <w:autoRedefine/>
    <w:qFormat/>
    <w:uiPriority w:val="0"/>
    <w:rPr>
      <w:rFonts w:ascii="Times New Roman" w:hAnsi="Times New Roman" w:eastAsia="宋体" w:cs="Times New Roman"/>
      <w:kern w:val="2"/>
      <w:sz w:val="24"/>
    </w:rPr>
  </w:style>
  <w:style w:type="character" w:customStyle="1" w:styleId="96">
    <w:name w:val="页脚 Char"/>
    <w:link w:val="24"/>
    <w:autoRedefine/>
    <w:qFormat/>
    <w:uiPriority w:val="99"/>
    <w:rPr>
      <w:rFonts w:ascii="Times New Roman" w:hAnsi="Times New Roman" w:eastAsia="宋体" w:cs="Times New Roman"/>
      <w:kern w:val="2"/>
      <w:sz w:val="18"/>
      <w:szCs w:val="18"/>
    </w:rPr>
  </w:style>
  <w:style w:type="character" w:customStyle="1" w:styleId="97">
    <w:name w:val="日期 Char1"/>
    <w:autoRedefine/>
    <w:qFormat/>
    <w:uiPriority w:val="0"/>
    <w:rPr>
      <w:rFonts w:ascii="Times New Roman" w:hAnsi="Times New Roman" w:eastAsia="宋体" w:cs="Times New Roman"/>
      <w:kern w:val="2"/>
      <w:sz w:val="21"/>
      <w:szCs w:val="22"/>
    </w:rPr>
  </w:style>
  <w:style w:type="character" w:customStyle="1" w:styleId="98">
    <w:name w:val="标题 3 Char"/>
    <w:link w:val="4"/>
    <w:autoRedefine/>
    <w:qFormat/>
    <w:uiPriority w:val="0"/>
    <w:rPr>
      <w:rFonts w:ascii="Times New Roman" w:hAnsi="Times New Roman" w:eastAsia="宋体" w:cs="Times New Roman"/>
      <w:b/>
      <w:bCs/>
      <w:kern w:val="2"/>
      <w:sz w:val="32"/>
      <w:szCs w:val="32"/>
    </w:rPr>
  </w:style>
  <w:style w:type="character" w:customStyle="1" w:styleId="99">
    <w:name w:val="明显引用 Char"/>
    <w:link w:val="100"/>
    <w:autoRedefine/>
    <w:qFormat/>
    <w:uiPriority w:val="0"/>
    <w:rPr>
      <w:rFonts w:ascii="Times New Roman" w:hAnsi="Times New Roman" w:eastAsia="宋体" w:cs="Times New Roman"/>
      <w:b/>
      <w:bCs/>
      <w:i/>
      <w:iCs/>
      <w:color w:val="4F81BD"/>
      <w:kern w:val="2"/>
      <w:sz w:val="21"/>
      <w:szCs w:val="22"/>
    </w:rPr>
  </w:style>
  <w:style w:type="paragraph" w:styleId="100">
    <w:name w:val="Intense Quote"/>
    <w:basedOn w:val="1"/>
    <w:next w:val="1"/>
    <w:link w:val="99"/>
    <w:autoRedefine/>
    <w:qFormat/>
    <w:uiPriority w:val="0"/>
    <w:pPr>
      <w:pBdr>
        <w:bottom w:val="single" w:color="4F81BD" w:sz="4" w:space="4"/>
      </w:pBdr>
      <w:spacing w:before="200" w:after="280"/>
      <w:ind w:left="936" w:right="936"/>
    </w:pPr>
    <w:rPr>
      <w:rFonts w:ascii="Times New Roman" w:hAnsi="Times New Roman"/>
      <w:b/>
      <w:bCs/>
      <w:i/>
      <w:iCs/>
      <w:color w:val="4F81BD"/>
    </w:rPr>
  </w:style>
  <w:style w:type="character" w:customStyle="1" w:styleId="101">
    <w:name w:val="批注主题 Char1"/>
    <w:autoRedefine/>
    <w:qFormat/>
    <w:uiPriority w:val="0"/>
    <w:rPr>
      <w:rFonts w:ascii="Times New Roman" w:hAnsi="Times New Roman" w:eastAsia="宋体" w:cs="Times New Roman"/>
      <w:b/>
      <w:bCs/>
      <w:kern w:val="2"/>
      <w:sz w:val="21"/>
      <w:szCs w:val="22"/>
    </w:rPr>
  </w:style>
  <w:style w:type="character" w:customStyle="1" w:styleId="102">
    <w:name w:val="标题 1 Char"/>
    <w:link w:val="2"/>
    <w:autoRedefine/>
    <w:qFormat/>
    <w:uiPriority w:val="0"/>
    <w:rPr>
      <w:rFonts w:ascii="Times New Roman" w:hAnsi="Times New Roman" w:eastAsia="宋体" w:cs="Times New Roman"/>
      <w:b/>
      <w:bCs/>
      <w:kern w:val="44"/>
      <w:sz w:val="44"/>
      <w:szCs w:val="44"/>
    </w:rPr>
  </w:style>
  <w:style w:type="paragraph" w:customStyle="1" w:styleId="103">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04">
    <w:name w:val="列出段落12"/>
    <w:basedOn w:val="1"/>
    <w:autoRedefine/>
    <w:qFormat/>
    <w:uiPriority w:val="0"/>
    <w:pPr>
      <w:ind w:firstLine="420" w:firstLineChars="200"/>
    </w:pPr>
    <w:rPr>
      <w:rFonts w:ascii="Times New Roman" w:hAnsi="Times New Roman"/>
    </w:rPr>
  </w:style>
  <w:style w:type="paragraph" w:customStyle="1" w:styleId="105">
    <w:name w:val="智慧工地--【条文说明】"/>
    <w:basedOn w:val="1"/>
    <w:next w:val="1"/>
    <w:autoRedefine/>
    <w:qFormat/>
    <w:uiPriority w:val="0"/>
    <w:pPr>
      <w:spacing w:line="360" w:lineRule="auto"/>
    </w:pPr>
    <w:rPr>
      <w:rFonts w:ascii="Times New Roman" w:hAnsi="Times New Roman"/>
      <w:i/>
      <w:szCs w:val="24"/>
    </w:rPr>
  </w:style>
  <w:style w:type="paragraph" w:customStyle="1" w:styleId="106">
    <w:name w:val="1"/>
    <w:basedOn w:val="1"/>
    <w:next w:val="107"/>
    <w:autoRedefine/>
    <w:qFormat/>
    <w:uiPriority w:val="0"/>
    <w:pPr>
      <w:spacing w:line="360" w:lineRule="auto"/>
      <w:ind w:firstLine="420" w:firstLineChars="200"/>
    </w:pPr>
    <w:rPr>
      <w:rFonts w:ascii="Times New Roman" w:hAnsi="Times New Roman"/>
      <w:szCs w:val="24"/>
    </w:rPr>
  </w:style>
  <w:style w:type="paragraph" w:styleId="107">
    <w:name w:val="List Paragraph"/>
    <w:basedOn w:val="1"/>
    <w:autoRedefine/>
    <w:qFormat/>
    <w:uiPriority w:val="99"/>
    <w:pPr>
      <w:ind w:firstLine="420" w:firstLineChars="200"/>
    </w:pPr>
    <w:rPr>
      <w:rFonts w:ascii="Times New Roman" w:hAnsi="Times New Roman"/>
    </w:rPr>
  </w:style>
  <w:style w:type="paragraph" w:customStyle="1" w:styleId="108">
    <w:name w:val="空半行"/>
    <w:basedOn w:val="1"/>
    <w:autoRedefine/>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109">
    <w:name w:val="修订1"/>
    <w:autoRedefine/>
    <w:qFormat/>
    <w:uiPriority w:val="0"/>
    <w:rPr>
      <w:rFonts w:ascii="Calibri" w:hAnsi="Calibri" w:eastAsia="宋体" w:cs="Times New Roman"/>
      <w:kern w:val="2"/>
      <w:sz w:val="21"/>
      <w:szCs w:val="24"/>
      <w:lang w:val="en-US" w:eastAsia="zh-CN" w:bidi="ar-SA"/>
    </w:rPr>
  </w:style>
  <w:style w:type="paragraph" w:customStyle="1" w:styleId="110">
    <w:name w:val="TOC 标题1"/>
    <w:basedOn w:val="2"/>
    <w:next w:val="1"/>
    <w:autoRedefine/>
    <w:qFormat/>
    <w:uiPriority w:val="0"/>
    <w:pPr>
      <w:outlineLvl w:val="9"/>
    </w:pPr>
  </w:style>
  <w:style w:type="paragraph" w:customStyle="1" w:styleId="111">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eastAsia="黑体" w:cs="宋体"/>
      <w:b w:val="0"/>
      <w:bCs w:val="0"/>
      <w:kern w:val="0"/>
      <w:sz w:val="28"/>
      <w:szCs w:val="20"/>
    </w:rPr>
  </w:style>
  <w:style w:type="paragraph" w:styleId="112">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3">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14">
    <w:name w:val="居中 ctrl+m"/>
    <w:basedOn w:val="1"/>
    <w:autoRedefine/>
    <w:qFormat/>
    <w:uiPriority w:val="0"/>
    <w:pPr>
      <w:widowControl/>
      <w:adjustRightInd w:val="0"/>
      <w:snapToGrid w:val="0"/>
      <w:spacing w:line="360" w:lineRule="auto"/>
      <w:jc w:val="center"/>
    </w:pPr>
    <w:rPr>
      <w:rFonts w:ascii="宋体" w:cs="宋体"/>
      <w:szCs w:val="20"/>
    </w:rPr>
  </w:style>
  <w:style w:type="paragraph" w:customStyle="1" w:styleId="115">
    <w:name w:val="flNote"/>
    <w:basedOn w:val="1"/>
    <w:autoRedefine/>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paragraph" w:customStyle="1" w:styleId="116">
    <w:name w:val="样式 正文缩进正文（首行缩进两字）正文（首行缩进两字） Char Char2正文（首行缩进两字） Char Char Ch..."/>
    <w:basedOn w:val="12"/>
    <w:autoRedefine/>
    <w:qFormat/>
    <w:uiPriority w:val="0"/>
    <w:pPr>
      <w:snapToGrid w:val="0"/>
      <w:spacing w:line="480" w:lineRule="auto"/>
      <w:ind w:firstLine="437"/>
    </w:pPr>
    <w:rPr>
      <w:rFonts w:ascii="宋体" w:hAnsi="宋体"/>
    </w:rPr>
  </w:style>
  <w:style w:type="table" w:customStyle="1" w:styleId="117">
    <w:name w:val="网格型1"/>
    <w:basedOn w:val="3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8">
    <w:name w:val="正文文本缩进 3 Char"/>
    <w:basedOn w:val="39"/>
    <w:link w:val="30"/>
    <w:autoRedefine/>
    <w:semiHidden/>
    <w:qFormat/>
    <w:uiPriority w:val="99"/>
    <w:rPr>
      <w:kern w:val="2"/>
      <w:sz w:val="16"/>
      <w:szCs w:val="16"/>
    </w:rPr>
  </w:style>
  <w:style w:type="paragraph" w:customStyle="1" w:styleId="119">
    <w:name w:val="font5"/>
    <w:basedOn w:val="1"/>
    <w:autoRedefine/>
    <w:qFormat/>
    <w:uiPriority w:val="0"/>
    <w:pPr>
      <w:widowControl/>
      <w:spacing w:before="100" w:beforeAutospacing="1" w:after="100" w:afterAutospacing="1"/>
      <w:jc w:val="left"/>
    </w:pPr>
    <w:rPr>
      <w:rFonts w:ascii="宋体" w:hAnsi="宋体" w:cs="宋体"/>
      <w:b/>
      <w:bCs/>
      <w:kern w:val="0"/>
      <w:sz w:val="22"/>
    </w:rPr>
  </w:style>
  <w:style w:type="paragraph" w:customStyle="1" w:styleId="120">
    <w:name w:val="font6"/>
    <w:basedOn w:val="1"/>
    <w:autoRedefine/>
    <w:qFormat/>
    <w:uiPriority w:val="0"/>
    <w:pPr>
      <w:widowControl/>
      <w:spacing w:before="100" w:beforeAutospacing="1" w:after="100" w:afterAutospacing="1"/>
      <w:jc w:val="left"/>
    </w:pPr>
    <w:rPr>
      <w:rFonts w:ascii="宋体" w:hAnsi="宋体" w:cs="宋体"/>
      <w:b/>
      <w:bCs/>
      <w:color w:val="FF0000"/>
      <w:kern w:val="0"/>
      <w:sz w:val="22"/>
    </w:rPr>
  </w:style>
  <w:style w:type="paragraph" w:customStyle="1" w:styleId="121">
    <w:name w:val="xl67"/>
    <w:basedOn w:val="1"/>
    <w:autoRedefine/>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122">
    <w:name w:val="xl68"/>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23">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124">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25">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6">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7">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29">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0">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1">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32">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33">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34">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FF00"/>
      <w:kern w:val="0"/>
      <w:sz w:val="20"/>
      <w:szCs w:val="20"/>
    </w:rPr>
  </w:style>
  <w:style w:type="paragraph" w:customStyle="1" w:styleId="135">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7">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0"/>
      <w:szCs w:val="20"/>
    </w:rPr>
  </w:style>
  <w:style w:type="paragraph" w:customStyle="1" w:styleId="138">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139">
    <w:name w:val="xl8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40">
    <w:name w:val="xl8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41">
    <w:name w:val="xl8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theme" Target="theme/theme1.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6C394-81B3-45E9-8DC2-2EC3D8AED41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37</Pages>
  <Words>5255</Words>
  <Characters>29956</Characters>
  <Lines>249</Lines>
  <Paragraphs>70</Paragraphs>
  <TotalTime>23</TotalTime>
  <ScaleCrop>false</ScaleCrop>
  <LinksUpToDate>false</LinksUpToDate>
  <CharactersWithSpaces>35141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2022-04-13T12:13:00Z</dcterms:created>
  <dc:creator>熊又球</dc:creator>
  <cp:lastModifiedBy>gaoxu</cp:lastModifiedBy>
  <cp:lastPrinted>2021-01-05T06:26:00Z</cp:lastPrinted>
  <dcterms:modified xsi:type="dcterms:W3CDTF">2024-04-22T07:59:19Z</dcterms:modified>
  <dc:title>建设工程施工合同</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91D0B4F9CE3741EA942571CB1406B20A</vt:lpwstr>
  </property>
</Properties>
</file>