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before="0" w:after="0"/>
        <w:ind w:firstLine="480"/>
        <w:jc w:val="both"/>
        <w:rPr>
          <w:rFonts w:ascii="微软雅黑" w:hAnsi="微软雅黑" w:eastAsia="微软雅黑" w:cs="宋体"/>
          <w:sz w:val="24"/>
          <w:szCs w:val="24"/>
          <w:lang w:val="zh-CN"/>
        </w:rPr>
      </w:pPr>
      <w:r>
        <w:rPr>
          <w:rFonts w:hint="eastAsia" w:ascii="微软雅黑" w:hAnsi="微软雅黑" w:eastAsia="微软雅黑" w:cs="宋体"/>
          <w:sz w:val="24"/>
          <w:szCs w:val="24"/>
          <w:lang w:val="zh-CN"/>
        </w:rPr>
        <w:t>第一部分 工艺技术要求</w:t>
      </w:r>
    </w:p>
    <w:p>
      <w:pPr>
        <w:ind w:firstLine="482"/>
        <w:outlineLvl w:val="1"/>
        <w:rPr>
          <w:b/>
          <w:bCs/>
        </w:rPr>
      </w:pPr>
      <w:r>
        <w:rPr>
          <w:rFonts w:hint="eastAsia"/>
          <w:b/>
          <w:bCs/>
        </w:rPr>
        <w:t>1.工艺方案</w:t>
      </w:r>
    </w:p>
    <w:p>
      <w:pPr>
        <w:ind w:firstLine="480"/>
        <w:rPr>
          <w:rFonts w:hAnsi="宋体" w:cs="宋体"/>
          <w:szCs w:val="21"/>
        </w:rPr>
      </w:pPr>
      <w:r>
        <w:rPr>
          <w:rFonts w:hint="eastAsia" w:hAnsi="宋体" w:cs="宋体"/>
          <w:szCs w:val="21"/>
        </w:rPr>
        <w:t>本工程为白云机场口岸综合查验中心项目，主要包括综合查验中心及相关配套设施。本项目目标年</w:t>
      </w:r>
      <w:r>
        <w:rPr>
          <w:rFonts w:hAnsi="宋体" w:cs="宋体"/>
          <w:szCs w:val="21"/>
        </w:rPr>
        <w:t>2030年，保障机场1.63万吨进港货量、3.830吨进港冷链货物及2.87万吨出港国际货物的查验需求</w:t>
      </w:r>
      <w:r>
        <w:rPr>
          <w:rFonts w:hint="eastAsia" w:hAnsi="宋体" w:cs="宋体"/>
          <w:szCs w:val="21"/>
        </w:rPr>
        <w:t>。查验中心主要承担西货运区进出口货物查验功能，兼顾南航货站和机场货站进出港普货、航空危险品、药品、冰鲜食用水生等指定监管类货物和国际出口跨境电商等物品的集中查验，以及进境动物中转检疫。</w:t>
      </w:r>
    </w:p>
    <w:p>
      <w:pPr>
        <w:ind w:firstLine="480"/>
        <w:rPr>
          <w:rFonts w:hint="eastAsia"/>
        </w:rPr>
      </w:pPr>
      <w:r>
        <w:rPr>
          <w:rFonts w:hint="eastAsia"/>
        </w:rPr>
        <w:t>查验中心内的功能区包括：出港货物查验区、进港货物查验区、冷链作业查验区、收货站台、发货站台、冷链发货站台，以及相关的业务用房、设备用房等。各查验区内包括相应货物的待查区、查验区、放行区、暂不予放行及暂扣区等。</w:t>
      </w:r>
    </w:p>
    <w:p>
      <w:pPr>
        <w:ind w:firstLine="482"/>
        <w:outlineLvl w:val="1"/>
        <w:rPr>
          <w:b/>
          <w:bCs/>
        </w:rPr>
      </w:pPr>
      <w:r>
        <w:rPr>
          <w:rFonts w:hint="eastAsia"/>
          <w:b/>
          <w:bCs/>
        </w:rPr>
        <w:t>2.工艺要求</w:t>
      </w:r>
    </w:p>
    <w:p>
      <w:pPr>
        <w:ind w:firstLine="480"/>
      </w:pPr>
      <w:r>
        <w:rPr>
          <w:rFonts w:hint="eastAsia"/>
        </w:rPr>
        <w:t>查验中心根据进出港货物查验的业务流程，按简洁高效的物流路线合理安排区内各功能设施布局，既满足生产与管理运行要求，又创造一个适应现代化监管查验的设施环境。</w:t>
      </w:r>
    </w:p>
    <w:p>
      <w:pPr>
        <w:ind w:firstLine="480"/>
      </w:pPr>
      <w:r>
        <w:rPr>
          <w:rFonts w:hint="eastAsia"/>
        </w:rPr>
        <w:t>查验中心内功能区布局合理，各功能区沟通顺畅便利，保证各种车流、人流的流线顺畅且不交叉干扰。</w:t>
      </w:r>
    </w:p>
    <w:p>
      <w:pPr>
        <w:ind w:firstLine="480"/>
      </w:pPr>
      <w:r>
        <w:rPr>
          <w:rFonts w:hint="eastAsia"/>
        </w:rPr>
        <w:t>查验中心采用大跨度柱距设计，使站房内部操作和设备布置更加灵活和便利。</w:t>
      </w:r>
    </w:p>
    <w:p>
      <w:pPr>
        <w:ind w:firstLine="480"/>
      </w:pPr>
      <w:r>
        <w:rPr>
          <w:rFonts w:hint="eastAsia"/>
        </w:rPr>
        <w:t>查验中心内考虑拖车通行及ULD的暂存和处理空间需求。</w:t>
      </w:r>
    </w:p>
    <w:p>
      <w:pPr>
        <w:ind w:firstLine="480"/>
        <w:rPr>
          <w:rFonts w:hint="eastAsia"/>
        </w:rPr>
      </w:pPr>
      <w:r>
        <w:t>根据机场安全保卫要求设置人员安检和货物安检设施，空陆侧分隔，保障区域航空安全</w:t>
      </w:r>
      <w:r>
        <w:rPr>
          <w:rFonts w:hint="eastAsia"/>
        </w:rPr>
        <w:t>。</w:t>
      </w:r>
    </w:p>
    <w:p>
      <w:pPr>
        <w:ind w:firstLine="480"/>
      </w:pPr>
      <w:r>
        <w:rPr>
          <w:rFonts w:hint="eastAsia"/>
        </w:rPr>
        <w:t>在货物处理和查验区域的合适位置设置适当的办公室、业务室和人员备勤室等辅助用房。</w:t>
      </w:r>
    </w:p>
    <w:p>
      <w:pPr>
        <w:ind w:firstLine="480"/>
      </w:pPr>
      <w:r>
        <w:rPr>
          <w:rFonts w:hint="eastAsia"/>
        </w:rPr>
        <w:t>设备配置满足产能和作业要求，注重高效、可靠、节能、环保，运行平稳产品。</w:t>
      </w:r>
    </w:p>
    <w:p>
      <w:pPr>
        <w:ind w:firstLine="480"/>
        <w:rPr>
          <w:rFonts w:hint="eastAsia"/>
        </w:rPr>
      </w:pPr>
      <w:r>
        <w:t>按海关监管作业场所及指定监管查验区设置要求配置相关监管设施和设备及预留条件</w:t>
      </w:r>
      <w:r>
        <w:rPr>
          <w:rFonts w:hint="eastAsia"/>
        </w:rPr>
        <w:t>。</w:t>
      </w:r>
    </w:p>
    <w:p>
      <w:pPr>
        <w:ind w:firstLine="480"/>
      </w:pPr>
      <w:r>
        <w:rPr>
          <w:rFonts w:hint="eastAsia"/>
        </w:rPr>
        <w:t>空侧及陆侧货物交接处设置雨棚，保证货物交接安全、提升作业环境。</w:t>
      </w:r>
    </w:p>
    <w:p>
      <w:pPr>
        <w:pStyle w:val="2"/>
        <w:ind w:left="480" w:firstLine="480"/>
        <w:rPr>
          <w:rFonts w:hint="eastAsia"/>
        </w:rPr>
      </w:pPr>
    </w:p>
    <w:p>
      <w:pPr>
        <w:ind w:firstLine="482"/>
        <w:outlineLvl w:val="1"/>
        <w:rPr>
          <w:rFonts w:hint="eastAsia" w:hAnsi="宋体" w:cs="宋体"/>
          <w:b/>
          <w:bCs/>
          <w:szCs w:val="21"/>
        </w:rPr>
      </w:pPr>
      <w:r>
        <w:rPr>
          <w:rFonts w:hint="eastAsia" w:hAnsi="宋体" w:cs="宋体"/>
          <w:b/>
          <w:bCs/>
          <w:szCs w:val="21"/>
        </w:rPr>
        <w:t>3.工艺设备</w:t>
      </w:r>
    </w:p>
    <w:p>
      <w:pPr>
        <w:ind w:firstLine="480"/>
        <w:rPr>
          <w:rFonts w:hAnsi="宋体" w:cs="宋体"/>
          <w:szCs w:val="21"/>
        </w:rPr>
      </w:pPr>
      <w:r>
        <w:rPr>
          <w:rFonts w:hint="eastAsia" w:hAnsi="宋体" w:cs="宋体"/>
          <w:szCs w:val="21"/>
        </w:rPr>
        <w:t>查验中心内工艺设备包括物流作业工艺设备（含海关查验设备）和民航安检设备，设备的相关规格参数及数量见表1。</w:t>
      </w:r>
    </w:p>
    <w:p>
      <w:pPr>
        <w:ind w:firstLine="480"/>
        <w:rPr>
          <w:rFonts w:hAnsi="宋体" w:cs="宋体"/>
          <w:szCs w:val="21"/>
        </w:rPr>
      </w:pPr>
      <w:r>
        <w:rPr>
          <w:rFonts w:hint="eastAsia" w:hAnsi="宋体" w:cs="宋体"/>
          <w:szCs w:val="21"/>
        </w:rPr>
        <w:t>工艺设备清单仅列出查验中心工艺设备主要供货范围，并非详细完整配置。对清单中未列出、且为使整套系统设备能够按本章要求长期正常有效运行所需的货物（包括：软件、设备、备件、附件、专用检测设备和工具、材料等）应予以考虑。</w:t>
      </w:r>
    </w:p>
    <w:p>
      <w:pPr>
        <w:ind w:firstLine="0" w:firstLineChars="0"/>
        <w:jc w:val="center"/>
        <w:rPr>
          <w:rFonts w:hAnsi="宋体" w:cs="宋体"/>
          <w:b/>
          <w:bCs/>
          <w:szCs w:val="21"/>
        </w:rPr>
      </w:pPr>
      <w:r>
        <w:rPr>
          <w:rFonts w:hint="eastAsia" w:hAnsi="宋体" w:cs="宋体"/>
          <w:b/>
          <w:bCs/>
          <w:szCs w:val="21"/>
        </w:rPr>
        <w:t>表1 工艺设备清单</w:t>
      </w:r>
    </w:p>
    <w:tbl>
      <w:tblPr>
        <w:tblStyle w:val="12"/>
        <w:tblW w:w="525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032"/>
        <w:gridCol w:w="1468"/>
        <w:gridCol w:w="5250"/>
        <w:gridCol w:w="7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b/>
                <w:bCs/>
                <w:sz w:val="21"/>
                <w:szCs w:val="21"/>
              </w:rPr>
            </w:pPr>
            <w:r>
              <w:rPr>
                <w:rFonts w:hint="eastAsia" w:ascii="Times New Roman" w:hAnsi="Times New Roman" w:cs="Times New Roman"/>
                <w:b/>
                <w:bCs/>
                <w:sz w:val="21"/>
                <w:szCs w:val="21"/>
              </w:rPr>
              <w:t>序号</w:t>
            </w:r>
          </w:p>
        </w:tc>
        <w:tc>
          <w:tcPr>
            <w:tcW w:w="562"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b/>
                <w:bCs/>
                <w:sz w:val="21"/>
                <w:szCs w:val="21"/>
              </w:rPr>
            </w:pPr>
            <w:r>
              <w:rPr>
                <w:rFonts w:hint="eastAsia" w:ascii="Times New Roman" w:hAnsi="Times New Roman" w:cs="Times New Roman"/>
                <w:b/>
                <w:bCs/>
                <w:sz w:val="21"/>
                <w:szCs w:val="21"/>
              </w:rPr>
              <w:t>编号</w:t>
            </w:r>
          </w:p>
        </w:tc>
        <w:tc>
          <w:tcPr>
            <w:tcW w:w="80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b/>
                <w:bCs/>
                <w:sz w:val="21"/>
                <w:szCs w:val="21"/>
              </w:rPr>
            </w:pPr>
            <w:r>
              <w:rPr>
                <w:rFonts w:hint="eastAsia" w:ascii="Times New Roman" w:hAnsi="Times New Roman" w:cs="Times New Roman"/>
                <w:b/>
                <w:bCs/>
                <w:sz w:val="21"/>
                <w:szCs w:val="21"/>
              </w:rPr>
              <w:t>名称</w:t>
            </w:r>
          </w:p>
        </w:tc>
        <w:tc>
          <w:tcPr>
            <w:tcW w:w="2861"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b/>
                <w:bCs/>
                <w:sz w:val="21"/>
                <w:szCs w:val="21"/>
              </w:rPr>
            </w:pPr>
            <w:r>
              <w:rPr>
                <w:rFonts w:hint="eastAsia" w:ascii="Times New Roman" w:hAnsi="Times New Roman" w:cs="Times New Roman"/>
                <w:b/>
                <w:bCs/>
                <w:sz w:val="21"/>
                <w:szCs w:val="21"/>
              </w:rPr>
              <w:t>规格参数</w:t>
            </w:r>
          </w:p>
        </w:tc>
        <w:tc>
          <w:tcPr>
            <w:tcW w:w="394"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b/>
                <w:bCs/>
                <w:sz w:val="21"/>
                <w:szCs w:val="21"/>
              </w:rPr>
            </w:pPr>
            <w:r>
              <w:rPr>
                <w:rFonts w:hint="eastAsia" w:ascii="Times New Roman" w:hAnsi="Times New Roman" w:cs="Times New Roman"/>
                <w:b/>
                <w:bCs/>
                <w:sz w:val="21"/>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05" w:type="pct"/>
            <w:gridSpan w:val="4"/>
            <w:shd w:val="clear" w:color="auto" w:fill="auto"/>
            <w:vAlign w:val="center"/>
          </w:tcPr>
          <w:p>
            <w:pPr>
              <w:wordWrap w:val="0"/>
              <w:overflowPunct w:val="0"/>
              <w:snapToGrid w:val="0"/>
              <w:spacing w:line="240" w:lineRule="auto"/>
              <w:ind w:firstLine="0" w:firstLineChars="0"/>
              <w:textAlignment w:val="top"/>
              <w:rPr>
                <w:rFonts w:ascii="Times New Roman" w:hAnsi="Times New Roman" w:cs="Times New Roman"/>
                <w:sz w:val="21"/>
                <w:szCs w:val="21"/>
              </w:rPr>
            </w:pPr>
            <w:r>
              <w:rPr>
                <w:rFonts w:hint="eastAsia" w:ascii="Times New Roman" w:hAnsi="Times New Roman" w:cs="Times New Roman"/>
                <w:sz w:val="21"/>
                <w:szCs w:val="21"/>
              </w:rPr>
              <w:t>一、工艺设备</w:t>
            </w:r>
          </w:p>
        </w:tc>
        <w:tc>
          <w:tcPr>
            <w:tcW w:w="394"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1</w:t>
            </w:r>
          </w:p>
        </w:tc>
        <w:tc>
          <w:tcPr>
            <w:tcW w:w="562"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101</w:t>
            </w:r>
          </w:p>
        </w:tc>
        <w:tc>
          <w:tcPr>
            <w:tcW w:w="80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汽车调平台</w:t>
            </w:r>
          </w:p>
        </w:tc>
        <w:tc>
          <w:tcPr>
            <w:tcW w:w="2861" w:type="pct"/>
            <w:shd w:val="clear" w:color="auto" w:fill="auto"/>
            <w:vAlign w:val="center"/>
          </w:tcPr>
          <w:p>
            <w:pPr>
              <w:overflowPunct w:val="0"/>
              <w:snapToGrid w:val="0"/>
              <w:spacing w:line="240" w:lineRule="auto"/>
              <w:ind w:firstLine="0" w:firstLineChars="0"/>
              <w:textAlignment w:val="top"/>
              <w:rPr>
                <w:rFonts w:ascii="Times New Roman" w:hAnsi="Times New Roman" w:cs="Times New Roman"/>
                <w:sz w:val="21"/>
                <w:szCs w:val="21"/>
              </w:rPr>
            </w:pPr>
            <w:r>
              <w:rPr>
                <w:rFonts w:hint="eastAsia" w:ascii="Times New Roman" w:hAnsi="Times New Roman" w:cs="Times New Roman"/>
                <w:sz w:val="21"/>
                <w:szCs w:val="21"/>
              </w:rPr>
              <w:t>Q≥7t,台面尺寸:2000×3000mm，升降行程:±300mm，液压升降</w:t>
            </w:r>
          </w:p>
        </w:tc>
        <w:tc>
          <w:tcPr>
            <w:tcW w:w="394"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0" w:type="pct"/>
            <w:shd w:val="clear" w:color="auto" w:fill="auto"/>
            <w:vAlign w:val="center"/>
          </w:tcPr>
          <w:p>
            <w:pPr>
              <w:wordWrap w:val="0"/>
              <w:overflowPunct w:val="0"/>
              <w:snapToGrid w:val="0"/>
              <w:spacing w:line="240" w:lineRule="auto"/>
              <w:ind w:firstLine="0" w:firstLineChars="0"/>
              <w:jc w:val="center"/>
              <w:textAlignment w:val="top"/>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en-US" w:eastAsia="zh-CN"/>
              </w:rPr>
              <w:t>2</w:t>
            </w:r>
          </w:p>
        </w:tc>
        <w:tc>
          <w:tcPr>
            <w:tcW w:w="562"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102-1</w:t>
            </w:r>
          </w:p>
        </w:tc>
        <w:tc>
          <w:tcPr>
            <w:tcW w:w="80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纵向辊道输送机</w:t>
            </w:r>
          </w:p>
        </w:tc>
        <w:tc>
          <w:tcPr>
            <w:tcW w:w="2861" w:type="pct"/>
            <w:shd w:val="clear" w:color="auto" w:fill="auto"/>
            <w:vAlign w:val="center"/>
          </w:tcPr>
          <w:p>
            <w:pPr>
              <w:wordWrap w:val="0"/>
              <w:overflowPunct w:val="0"/>
              <w:snapToGrid w:val="0"/>
              <w:spacing w:line="240" w:lineRule="auto"/>
              <w:ind w:firstLine="0" w:firstLineChars="0"/>
              <w:textAlignment w:val="top"/>
              <w:rPr>
                <w:rFonts w:ascii="Times New Roman" w:hAnsi="Times New Roman" w:cs="Times New Roman"/>
                <w:sz w:val="21"/>
                <w:szCs w:val="21"/>
              </w:rPr>
            </w:pPr>
            <w:r>
              <w:rPr>
                <w:rFonts w:hint="eastAsia" w:ascii="Times New Roman" w:hAnsi="Times New Roman" w:cs="Times New Roman"/>
                <w:sz w:val="21"/>
                <w:szCs w:val="21"/>
              </w:rPr>
              <w:t>Q≥3t/m,W×L=1500×3000mm,H=350mm，V输送≥12m/min,有动力，双向运行，辊道采用小辊密排，W和H需与最终招标确定的102设备的相关参数保持一致；位于输送线端头的设备应考虑防撞措施</w:t>
            </w:r>
          </w:p>
        </w:tc>
        <w:tc>
          <w:tcPr>
            <w:tcW w:w="394"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0" w:type="pct"/>
            <w:shd w:val="clear" w:color="auto" w:fill="auto"/>
            <w:vAlign w:val="center"/>
          </w:tcPr>
          <w:p>
            <w:pPr>
              <w:wordWrap w:val="0"/>
              <w:overflowPunct w:val="0"/>
              <w:snapToGrid w:val="0"/>
              <w:spacing w:line="240" w:lineRule="auto"/>
              <w:ind w:firstLine="0" w:firstLineChars="0"/>
              <w:jc w:val="center"/>
              <w:textAlignment w:val="top"/>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en-US" w:eastAsia="zh-CN"/>
              </w:rPr>
              <w:t>3</w:t>
            </w:r>
          </w:p>
        </w:tc>
        <w:tc>
          <w:tcPr>
            <w:tcW w:w="562"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103</w:t>
            </w:r>
          </w:p>
        </w:tc>
        <w:tc>
          <w:tcPr>
            <w:tcW w:w="80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散货架</w:t>
            </w:r>
          </w:p>
        </w:tc>
        <w:tc>
          <w:tcPr>
            <w:tcW w:w="2861" w:type="pct"/>
            <w:shd w:val="clear" w:color="auto" w:fill="auto"/>
            <w:vAlign w:val="center"/>
          </w:tcPr>
          <w:p>
            <w:pPr>
              <w:wordWrap w:val="0"/>
              <w:overflowPunct w:val="0"/>
              <w:snapToGrid w:val="0"/>
              <w:spacing w:line="240" w:lineRule="auto"/>
              <w:ind w:firstLine="0" w:firstLineChars="0"/>
              <w:textAlignment w:val="top"/>
              <w:rPr>
                <w:rFonts w:ascii="Times New Roman" w:hAnsi="Times New Roman" w:cs="Times New Roman"/>
                <w:sz w:val="21"/>
                <w:szCs w:val="21"/>
              </w:rPr>
            </w:pPr>
            <w:r>
              <w:rPr>
                <w:rFonts w:hint="eastAsia" w:ascii="Times New Roman" w:hAnsi="Times New Roman" w:cs="Times New Roman"/>
                <w:sz w:val="21"/>
                <w:szCs w:val="21"/>
              </w:rPr>
              <w:t>货格尺寸L×W×H=2600×100×1200，每个货格承重不小于2.2吨，一个货格可存储2个1000×1200mm标准托盘（单个重量不超过1t），2层，以货格数计</w:t>
            </w:r>
          </w:p>
        </w:tc>
        <w:tc>
          <w:tcPr>
            <w:tcW w:w="394"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0" w:type="pct"/>
            <w:shd w:val="clear" w:color="auto" w:fill="auto"/>
            <w:vAlign w:val="center"/>
          </w:tcPr>
          <w:p>
            <w:pPr>
              <w:wordWrap w:val="0"/>
              <w:overflowPunct w:val="0"/>
              <w:snapToGrid w:val="0"/>
              <w:spacing w:line="240" w:lineRule="auto"/>
              <w:ind w:firstLine="0" w:firstLineChars="0"/>
              <w:jc w:val="center"/>
              <w:textAlignment w:val="top"/>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en-US" w:eastAsia="zh-CN"/>
              </w:rPr>
              <w:t>4</w:t>
            </w:r>
          </w:p>
        </w:tc>
        <w:tc>
          <w:tcPr>
            <w:tcW w:w="562"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104</w:t>
            </w:r>
          </w:p>
        </w:tc>
        <w:tc>
          <w:tcPr>
            <w:tcW w:w="80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查验平台</w:t>
            </w:r>
          </w:p>
        </w:tc>
        <w:tc>
          <w:tcPr>
            <w:tcW w:w="2861" w:type="pct"/>
            <w:shd w:val="clear" w:color="auto" w:fill="auto"/>
            <w:vAlign w:val="center"/>
          </w:tcPr>
          <w:p>
            <w:pPr>
              <w:wordWrap w:val="0"/>
              <w:overflowPunct w:val="0"/>
              <w:snapToGrid w:val="0"/>
              <w:spacing w:line="240" w:lineRule="auto"/>
              <w:ind w:firstLine="0" w:firstLineChars="0"/>
              <w:textAlignment w:val="top"/>
              <w:rPr>
                <w:rFonts w:ascii="Times New Roman" w:hAnsi="Times New Roman" w:cs="Times New Roman"/>
                <w:sz w:val="21"/>
                <w:szCs w:val="21"/>
              </w:rPr>
            </w:pPr>
            <w:r>
              <w:rPr>
                <w:rFonts w:hint="eastAsia" w:ascii="Times New Roman" w:hAnsi="Times New Roman" w:cs="Times New Roman"/>
                <w:sz w:val="21"/>
                <w:szCs w:val="21"/>
              </w:rPr>
              <w:t>不锈钢操作台，2m×1m×0.8m</w:t>
            </w:r>
          </w:p>
        </w:tc>
        <w:tc>
          <w:tcPr>
            <w:tcW w:w="394"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0" w:type="pct"/>
            <w:shd w:val="clear" w:color="auto" w:fill="auto"/>
            <w:vAlign w:val="center"/>
          </w:tcPr>
          <w:p>
            <w:pPr>
              <w:wordWrap w:val="0"/>
              <w:overflowPunct w:val="0"/>
              <w:snapToGrid w:val="0"/>
              <w:spacing w:line="240" w:lineRule="auto"/>
              <w:ind w:firstLine="0" w:firstLineChars="0"/>
              <w:jc w:val="center"/>
              <w:textAlignment w:val="top"/>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en-US" w:eastAsia="zh-CN"/>
              </w:rPr>
              <w:t>5</w:t>
            </w:r>
          </w:p>
        </w:tc>
        <w:tc>
          <w:tcPr>
            <w:tcW w:w="562"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105</w:t>
            </w:r>
          </w:p>
        </w:tc>
        <w:tc>
          <w:tcPr>
            <w:tcW w:w="80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无害化处理设施</w:t>
            </w:r>
          </w:p>
        </w:tc>
        <w:tc>
          <w:tcPr>
            <w:tcW w:w="2861" w:type="pct"/>
            <w:shd w:val="clear" w:color="auto" w:fill="auto"/>
            <w:vAlign w:val="center"/>
          </w:tcPr>
          <w:p>
            <w:pPr>
              <w:wordWrap w:val="0"/>
              <w:overflowPunct w:val="0"/>
              <w:snapToGrid w:val="0"/>
              <w:spacing w:line="240" w:lineRule="auto"/>
              <w:ind w:firstLine="0" w:firstLineChars="0"/>
              <w:textAlignment w:val="top"/>
              <w:rPr>
                <w:rFonts w:ascii="Times New Roman" w:hAnsi="Times New Roman" w:cs="Times New Roman"/>
                <w:sz w:val="21"/>
                <w:szCs w:val="21"/>
              </w:rPr>
            </w:pPr>
          </w:p>
        </w:tc>
        <w:tc>
          <w:tcPr>
            <w:tcW w:w="394"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0" w:type="pct"/>
            <w:shd w:val="clear" w:color="auto" w:fill="auto"/>
            <w:vAlign w:val="center"/>
          </w:tcPr>
          <w:p>
            <w:pPr>
              <w:wordWrap w:val="0"/>
              <w:overflowPunct w:val="0"/>
              <w:snapToGrid w:val="0"/>
              <w:spacing w:line="240" w:lineRule="auto"/>
              <w:ind w:firstLine="0" w:firstLineChars="0"/>
              <w:jc w:val="center"/>
              <w:textAlignment w:val="top"/>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en-US" w:eastAsia="zh-CN"/>
              </w:rPr>
              <w:t>6</w:t>
            </w:r>
          </w:p>
        </w:tc>
        <w:tc>
          <w:tcPr>
            <w:tcW w:w="562"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106</w:t>
            </w:r>
          </w:p>
        </w:tc>
        <w:tc>
          <w:tcPr>
            <w:tcW w:w="80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消毒处理设施</w:t>
            </w:r>
          </w:p>
        </w:tc>
        <w:tc>
          <w:tcPr>
            <w:tcW w:w="2861" w:type="pct"/>
            <w:shd w:val="clear" w:color="auto" w:fill="auto"/>
            <w:vAlign w:val="center"/>
          </w:tcPr>
          <w:p>
            <w:pPr>
              <w:wordWrap w:val="0"/>
              <w:overflowPunct w:val="0"/>
              <w:snapToGrid w:val="0"/>
              <w:spacing w:line="240" w:lineRule="auto"/>
              <w:ind w:firstLine="0" w:firstLineChars="0"/>
              <w:textAlignment w:val="top"/>
              <w:rPr>
                <w:rFonts w:ascii="Times New Roman" w:hAnsi="Times New Roman" w:cs="Times New Roman"/>
                <w:sz w:val="21"/>
                <w:szCs w:val="21"/>
              </w:rPr>
            </w:pPr>
            <w:r>
              <w:rPr>
                <w:rFonts w:hint="eastAsia" w:ascii="Times New Roman" w:hAnsi="Times New Roman" w:cs="Times New Roman"/>
                <w:sz w:val="21"/>
                <w:szCs w:val="21"/>
              </w:rPr>
              <w:t>设备尺寸：长×宽×高=800mm×800mm×4200mm，机柜尺寸：长×宽×高=1200mm×1000mm×1500mm（车辆喷淋）</w:t>
            </w:r>
          </w:p>
        </w:tc>
        <w:tc>
          <w:tcPr>
            <w:tcW w:w="394"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0" w:type="pct"/>
            <w:shd w:val="clear" w:color="auto" w:fill="auto"/>
            <w:vAlign w:val="center"/>
          </w:tcPr>
          <w:p>
            <w:pPr>
              <w:wordWrap w:val="0"/>
              <w:overflowPunct w:val="0"/>
              <w:snapToGrid w:val="0"/>
              <w:spacing w:line="240" w:lineRule="auto"/>
              <w:ind w:firstLine="0" w:firstLineChars="0"/>
              <w:jc w:val="center"/>
              <w:textAlignment w:val="top"/>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en-US" w:eastAsia="zh-CN"/>
              </w:rPr>
              <w:t>7</w:t>
            </w:r>
          </w:p>
        </w:tc>
        <w:tc>
          <w:tcPr>
            <w:tcW w:w="562"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109</w:t>
            </w:r>
          </w:p>
        </w:tc>
        <w:tc>
          <w:tcPr>
            <w:tcW w:w="80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塑料托盘</w:t>
            </w:r>
          </w:p>
        </w:tc>
        <w:tc>
          <w:tcPr>
            <w:tcW w:w="2861" w:type="pct"/>
            <w:shd w:val="clear" w:color="auto" w:fill="auto"/>
            <w:vAlign w:val="center"/>
          </w:tcPr>
          <w:p>
            <w:pPr>
              <w:wordWrap w:val="0"/>
              <w:overflowPunct w:val="0"/>
              <w:snapToGrid w:val="0"/>
              <w:spacing w:line="240" w:lineRule="auto"/>
              <w:ind w:firstLine="0" w:firstLineChars="0"/>
              <w:textAlignment w:val="top"/>
              <w:rPr>
                <w:rFonts w:ascii="Times New Roman" w:hAnsi="Times New Roman" w:cs="Times New Roman"/>
                <w:sz w:val="21"/>
                <w:szCs w:val="21"/>
              </w:rPr>
            </w:pPr>
            <w:r>
              <w:rPr>
                <w:rFonts w:hint="eastAsia" w:ascii="Times New Roman" w:hAnsi="Times New Roman" w:cs="Times New Roman"/>
                <w:sz w:val="21"/>
                <w:szCs w:val="21"/>
              </w:rPr>
              <w:t>1000mm×1200mm×150mm，塑料</w:t>
            </w:r>
          </w:p>
        </w:tc>
        <w:tc>
          <w:tcPr>
            <w:tcW w:w="394"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05" w:type="pct"/>
            <w:gridSpan w:val="4"/>
            <w:shd w:val="clear" w:color="auto" w:fill="auto"/>
            <w:noWrap/>
            <w:vAlign w:val="center"/>
          </w:tcPr>
          <w:p>
            <w:pPr>
              <w:wordWrap w:val="0"/>
              <w:overflowPunct w:val="0"/>
              <w:snapToGrid w:val="0"/>
              <w:spacing w:line="240" w:lineRule="auto"/>
              <w:ind w:firstLine="0" w:firstLineChars="0"/>
              <w:textAlignment w:val="top"/>
              <w:rPr>
                <w:rFonts w:ascii="Times New Roman" w:hAnsi="Times New Roman" w:cs="Times New Roman"/>
                <w:sz w:val="21"/>
                <w:szCs w:val="21"/>
              </w:rPr>
            </w:pPr>
            <w:r>
              <w:rPr>
                <w:rFonts w:hint="eastAsia" w:ascii="Times New Roman" w:hAnsi="Times New Roman" w:cs="Times New Roman"/>
                <w:sz w:val="21"/>
                <w:szCs w:val="21"/>
              </w:rPr>
              <w:t>二、民航安检设备</w:t>
            </w:r>
          </w:p>
        </w:tc>
        <w:tc>
          <w:tcPr>
            <w:tcW w:w="394"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1</w:t>
            </w:r>
          </w:p>
        </w:tc>
        <w:tc>
          <w:tcPr>
            <w:tcW w:w="562"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201行李安检机</w:t>
            </w:r>
          </w:p>
        </w:tc>
        <w:tc>
          <w:tcPr>
            <w:tcW w:w="80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通1道尺寸650×500mm，Q≤0.2t,传送带高度650mm,V=12m/min,双向运行可调，具有以太网接口及打印接口，双视角</w:t>
            </w:r>
          </w:p>
        </w:tc>
        <w:tc>
          <w:tcPr>
            <w:tcW w:w="2861"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p>
        </w:tc>
        <w:tc>
          <w:tcPr>
            <w:tcW w:w="394" w:type="pct"/>
            <w:shd w:val="clear" w:color="auto" w:fill="auto"/>
            <w:noWrap/>
            <w:vAlign w:val="center"/>
          </w:tcPr>
          <w:p>
            <w:pPr>
              <w:wordWrap w:val="0"/>
              <w:overflowPunct w:val="0"/>
              <w:snapToGrid w:val="0"/>
              <w:spacing w:line="240" w:lineRule="auto"/>
              <w:ind w:firstLine="0" w:firstLineChars="0"/>
              <w:jc w:val="center"/>
              <w:textAlignment w:val="top"/>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2</w:t>
            </w:r>
          </w:p>
        </w:tc>
        <w:tc>
          <w:tcPr>
            <w:tcW w:w="562"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202</w:t>
            </w:r>
          </w:p>
        </w:tc>
        <w:tc>
          <w:tcPr>
            <w:tcW w:w="80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通过式金属探测门</w:t>
            </w:r>
          </w:p>
        </w:tc>
        <w:tc>
          <w:tcPr>
            <w:tcW w:w="2861" w:type="pct"/>
            <w:shd w:val="clear" w:color="auto" w:fill="auto"/>
            <w:vAlign w:val="center"/>
          </w:tcPr>
          <w:p>
            <w:pPr>
              <w:wordWrap w:val="0"/>
              <w:overflowPunct w:val="0"/>
              <w:snapToGrid w:val="0"/>
              <w:spacing w:line="240" w:lineRule="auto"/>
              <w:ind w:firstLine="0" w:firstLineChars="0"/>
              <w:textAlignment w:val="top"/>
              <w:rPr>
                <w:rFonts w:ascii="Times New Roman" w:hAnsi="Times New Roman" w:cs="Times New Roman"/>
                <w:sz w:val="21"/>
                <w:szCs w:val="21"/>
              </w:rPr>
            </w:pPr>
            <w:r>
              <w:rPr>
                <w:rFonts w:hint="eastAsia" w:ascii="Times New Roman" w:hAnsi="Times New Roman" w:cs="Times New Roman"/>
                <w:sz w:val="21"/>
                <w:szCs w:val="21"/>
              </w:rPr>
              <w:t>820(宽)x2200(高)x522(深)</w:t>
            </w:r>
          </w:p>
        </w:tc>
        <w:tc>
          <w:tcPr>
            <w:tcW w:w="394"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3</w:t>
            </w:r>
          </w:p>
        </w:tc>
        <w:tc>
          <w:tcPr>
            <w:tcW w:w="562" w:type="pct"/>
            <w:shd w:val="clear" w:color="auto" w:fill="auto"/>
            <w:vAlign w:val="center"/>
          </w:tcPr>
          <w:p>
            <w:pPr>
              <w:wordWrap w:val="0"/>
              <w:overflowPunct w:val="0"/>
              <w:snapToGrid w:val="0"/>
              <w:spacing w:line="240" w:lineRule="auto"/>
              <w:ind w:firstLine="0" w:firstLineChars="0"/>
              <w:jc w:val="center"/>
              <w:textAlignment w:val="top"/>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203</w:t>
            </w:r>
          </w:p>
        </w:tc>
        <w:tc>
          <w:tcPr>
            <w:tcW w:w="800" w:type="pct"/>
            <w:shd w:val="clear" w:color="auto" w:fill="auto"/>
            <w:vAlign w:val="center"/>
          </w:tcPr>
          <w:p>
            <w:pPr>
              <w:wordWrap w:val="0"/>
              <w:overflowPunct w:val="0"/>
              <w:snapToGrid w:val="0"/>
              <w:spacing w:line="240" w:lineRule="auto"/>
              <w:ind w:firstLine="0" w:firstLineChars="0"/>
              <w:jc w:val="center"/>
              <w:textAlignment w:val="top"/>
              <w:rPr>
                <w:rFonts w:hint="eastAsia" w:ascii="Times New Roman" w:hAnsi="Times New Roman" w:cs="Times New Roman"/>
                <w:sz w:val="21"/>
                <w:szCs w:val="21"/>
              </w:rPr>
            </w:pPr>
            <w:r>
              <w:rPr>
                <w:rFonts w:hint="eastAsia" w:ascii="Times New Roman" w:hAnsi="Times New Roman" w:cs="Times New Roman"/>
                <w:sz w:val="21"/>
                <w:szCs w:val="21"/>
              </w:rPr>
              <w:t>单向全高转闸门</w:t>
            </w:r>
          </w:p>
        </w:tc>
        <w:tc>
          <w:tcPr>
            <w:tcW w:w="2861" w:type="pct"/>
            <w:shd w:val="clear" w:color="auto" w:fill="auto"/>
            <w:vAlign w:val="center"/>
          </w:tcPr>
          <w:p>
            <w:pPr>
              <w:wordWrap w:val="0"/>
              <w:overflowPunct w:val="0"/>
              <w:snapToGrid w:val="0"/>
              <w:spacing w:line="240" w:lineRule="auto"/>
              <w:ind w:firstLine="0" w:firstLineChars="0"/>
              <w:jc w:val="center"/>
              <w:textAlignment w:val="top"/>
              <w:rPr>
                <w:rFonts w:hint="eastAsia" w:ascii="Times New Roman" w:hAnsi="Times New Roman" w:cs="Times New Roman"/>
                <w:sz w:val="21"/>
                <w:szCs w:val="21"/>
              </w:rPr>
            </w:pPr>
            <w:r>
              <w:rPr>
                <w:rFonts w:hint="eastAsia" w:ascii="Times New Roman" w:hAnsi="Times New Roman" w:cs="Times New Roman"/>
                <w:sz w:val="21"/>
                <w:szCs w:val="21"/>
              </w:rPr>
              <w:t>通道宽不小于700，高2200，单向控制</w:t>
            </w:r>
          </w:p>
        </w:tc>
        <w:tc>
          <w:tcPr>
            <w:tcW w:w="394" w:type="pct"/>
            <w:shd w:val="clear" w:color="auto" w:fill="auto"/>
            <w:vAlign w:val="center"/>
          </w:tcPr>
          <w:p>
            <w:pPr>
              <w:wordWrap w:val="0"/>
              <w:overflowPunct w:val="0"/>
              <w:snapToGrid w:val="0"/>
              <w:spacing w:line="240" w:lineRule="auto"/>
              <w:ind w:firstLine="0" w:firstLineChars="0"/>
              <w:jc w:val="center"/>
              <w:textAlignment w:val="top"/>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4</w:t>
            </w:r>
          </w:p>
        </w:tc>
        <w:tc>
          <w:tcPr>
            <w:tcW w:w="562"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204</w:t>
            </w:r>
          </w:p>
        </w:tc>
        <w:tc>
          <w:tcPr>
            <w:tcW w:w="80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车底检查扫描仪</w:t>
            </w:r>
          </w:p>
        </w:tc>
        <w:tc>
          <w:tcPr>
            <w:tcW w:w="2861" w:type="pct"/>
            <w:shd w:val="clear" w:color="auto" w:fill="auto"/>
            <w:vAlign w:val="center"/>
          </w:tcPr>
          <w:p>
            <w:pPr>
              <w:wordWrap w:val="0"/>
              <w:overflowPunct w:val="0"/>
              <w:snapToGrid w:val="0"/>
              <w:spacing w:line="240" w:lineRule="auto"/>
              <w:ind w:firstLine="0" w:firstLineChars="0"/>
              <w:textAlignment w:val="top"/>
              <w:rPr>
                <w:rFonts w:ascii="Times New Roman" w:hAnsi="Times New Roman" w:cs="Times New Roman"/>
                <w:sz w:val="21"/>
                <w:szCs w:val="21"/>
              </w:rPr>
            </w:pPr>
            <w:r>
              <w:rPr>
                <w:rFonts w:hint="eastAsia" w:ascii="Times New Roman" w:hAnsi="Times New Roman" w:cs="Times New Roman"/>
                <w:sz w:val="21"/>
                <w:szCs w:val="21"/>
              </w:rPr>
              <w:t>车底图像纵向分辨率：2048像素CCD；通过车速：1～60km/h，建议≤30km/h；视场角度：≥170°；承重：30T；扫描仪尺寸：1200×350×210mm；</w:t>
            </w:r>
          </w:p>
        </w:tc>
        <w:tc>
          <w:tcPr>
            <w:tcW w:w="394"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5</w:t>
            </w:r>
          </w:p>
        </w:tc>
        <w:tc>
          <w:tcPr>
            <w:tcW w:w="562"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205</w:t>
            </w:r>
          </w:p>
        </w:tc>
        <w:tc>
          <w:tcPr>
            <w:tcW w:w="80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翻板式阻车器</w:t>
            </w:r>
          </w:p>
        </w:tc>
        <w:tc>
          <w:tcPr>
            <w:tcW w:w="2861" w:type="pct"/>
            <w:shd w:val="clear" w:color="auto" w:fill="auto"/>
            <w:vAlign w:val="center"/>
          </w:tcPr>
          <w:p>
            <w:pPr>
              <w:wordWrap w:val="0"/>
              <w:overflowPunct w:val="0"/>
              <w:snapToGrid w:val="0"/>
              <w:spacing w:line="240" w:lineRule="auto"/>
              <w:ind w:firstLine="0" w:firstLineChars="0"/>
              <w:textAlignment w:val="top"/>
              <w:rPr>
                <w:rFonts w:ascii="Times New Roman" w:hAnsi="Times New Roman" w:cs="Times New Roman"/>
                <w:sz w:val="21"/>
                <w:szCs w:val="21"/>
              </w:rPr>
            </w:pPr>
            <w:r>
              <w:rPr>
                <w:rFonts w:hint="eastAsia" w:ascii="Times New Roman" w:hAnsi="Times New Roman" w:cs="Times New Roman"/>
                <w:sz w:val="21"/>
                <w:szCs w:val="21"/>
              </w:rPr>
              <w:t>4500mm翻板式路障，有效反应时间不大于5s，水平方向抗冲击能力不低于60t，承载能力≥30t</w:t>
            </w:r>
          </w:p>
        </w:tc>
        <w:tc>
          <w:tcPr>
            <w:tcW w:w="394"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6</w:t>
            </w:r>
          </w:p>
        </w:tc>
        <w:tc>
          <w:tcPr>
            <w:tcW w:w="562"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206</w:t>
            </w:r>
          </w:p>
        </w:tc>
        <w:tc>
          <w:tcPr>
            <w:tcW w:w="80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爆炸物探测器</w:t>
            </w:r>
          </w:p>
        </w:tc>
        <w:tc>
          <w:tcPr>
            <w:tcW w:w="2861" w:type="pct"/>
            <w:shd w:val="clear" w:color="auto" w:fill="auto"/>
            <w:vAlign w:val="center"/>
          </w:tcPr>
          <w:p>
            <w:pPr>
              <w:wordWrap w:val="0"/>
              <w:overflowPunct w:val="0"/>
              <w:snapToGrid w:val="0"/>
              <w:spacing w:line="240" w:lineRule="auto"/>
              <w:ind w:firstLine="0" w:firstLineChars="0"/>
              <w:textAlignment w:val="top"/>
              <w:rPr>
                <w:rFonts w:ascii="Times New Roman" w:hAnsi="Times New Roman" w:cs="Times New Roman"/>
                <w:sz w:val="21"/>
                <w:szCs w:val="21"/>
              </w:rPr>
            </w:pPr>
            <w:r>
              <w:rPr>
                <w:rFonts w:hint="eastAsia" w:ascii="Times New Roman" w:hAnsi="Times New Roman" w:cs="Times New Roman"/>
                <w:sz w:val="21"/>
                <w:szCs w:val="21"/>
              </w:rPr>
              <w:t>可检测爆炸物: 黄色炸药,硝化甘油,无烟炸药,TNT,季戎炸药,旋风炸药,TATP,HMTD,特屈儿炸药和国际民航组织的标识物,所有种类的硝胺炸药,中国的黑火药</w:t>
            </w:r>
          </w:p>
        </w:tc>
        <w:tc>
          <w:tcPr>
            <w:tcW w:w="394"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7</w:t>
            </w:r>
          </w:p>
        </w:tc>
        <w:tc>
          <w:tcPr>
            <w:tcW w:w="562"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207</w:t>
            </w:r>
          </w:p>
        </w:tc>
        <w:tc>
          <w:tcPr>
            <w:tcW w:w="80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防爆罐</w:t>
            </w:r>
          </w:p>
        </w:tc>
        <w:tc>
          <w:tcPr>
            <w:tcW w:w="2861" w:type="pct"/>
            <w:shd w:val="clear" w:color="auto" w:fill="auto"/>
            <w:vAlign w:val="center"/>
          </w:tcPr>
          <w:p>
            <w:pPr>
              <w:wordWrap w:val="0"/>
              <w:overflowPunct w:val="0"/>
              <w:snapToGrid w:val="0"/>
              <w:spacing w:line="240" w:lineRule="auto"/>
              <w:ind w:firstLine="0" w:firstLineChars="0"/>
              <w:textAlignment w:val="top"/>
              <w:rPr>
                <w:rFonts w:ascii="Times New Roman" w:hAnsi="Times New Roman" w:cs="Times New Roman"/>
                <w:sz w:val="21"/>
                <w:szCs w:val="21"/>
              </w:rPr>
            </w:pPr>
            <w:r>
              <w:rPr>
                <w:rFonts w:hint="eastAsia" w:ascii="Times New Roman" w:hAnsi="Times New Roman" w:cs="Times New Roman"/>
                <w:sz w:val="21"/>
                <w:szCs w:val="21"/>
              </w:rPr>
              <w:t>抗爆能力(kg)TNT当量1.5kg,总重（kg)700内径X口径:700X750530,基本尺寸:980×925×935</w:t>
            </w:r>
          </w:p>
        </w:tc>
        <w:tc>
          <w:tcPr>
            <w:tcW w:w="394"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38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8</w:t>
            </w:r>
          </w:p>
        </w:tc>
        <w:tc>
          <w:tcPr>
            <w:tcW w:w="562"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208</w:t>
            </w:r>
          </w:p>
        </w:tc>
        <w:tc>
          <w:tcPr>
            <w:tcW w:w="80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手持式金属探测器</w:t>
            </w:r>
          </w:p>
        </w:tc>
        <w:tc>
          <w:tcPr>
            <w:tcW w:w="2861" w:type="pct"/>
            <w:shd w:val="clear" w:color="auto" w:fill="auto"/>
            <w:vAlign w:val="center"/>
          </w:tcPr>
          <w:p>
            <w:pPr>
              <w:wordWrap w:val="0"/>
              <w:overflowPunct w:val="0"/>
              <w:snapToGrid w:val="0"/>
              <w:spacing w:line="240" w:lineRule="auto"/>
              <w:ind w:firstLine="0" w:firstLineChars="0"/>
              <w:textAlignment w:val="top"/>
              <w:rPr>
                <w:rFonts w:ascii="Times New Roman" w:hAnsi="Times New Roman" w:cs="Times New Roman"/>
                <w:sz w:val="21"/>
                <w:szCs w:val="21"/>
              </w:rPr>
            </w:pPr>
            <w:r>
              <w:rPr>
                <w:rFonts w:hint="eastAsia" w:ascii="Times New Roman" w:hAnsi="Times New Roman" w:cs="Times New Roman"/>
                <w:sz w:val="21"/>
                <w:szCs w:val="21"/>
              </w:rPr>
              <w:t>尺寸：380mm×80mm×50mm，(含电池和充电器)</w:t>
            </w:r>
          </w:p>
        </w:tc>
        <w:tc>
          <w:tcPr>
            <w:tcW w:w="394"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9</w:t>
            </w:r>
          </w:p>
        </w:tc>
        <w:tc>
          <w:tcPr>
            <w:tcW w:w="562"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209</w:t>
            </w:r>
          </w:p>
        </w:tc>
        <w:tc>
          <w:tcPr>
            <w:tcW w:w="80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液体物探测器</w:t>
            </w:r>
          </w:p>
        </w:tc>
        <w:tc>
          <w:tcPr>
            <w:tcW w:w="2861" w:type="pct"/>
            <w:shd w:val="clear" w:color="auto" w:fill="auto"/>
            <w:vAlign w:val="center"/>
          </w:tcPr>
          <w:p>
            <w:pPr>
              <w:wordWrap w:val="0"/>
              <w:overflowPunct w:val="0"/>
              <w:snapToGrid w:val="0"/>
              <w:spacing w:line="240" w:lineRule="auto"/>
              <w:ind w:firstLine="0" w:firstLineChars="0"/>
              <w:textAlignment w:val="top"/>
              <w:rPr>
                <w:rFonts w:ascii="Times New Roman" w:hAnsi="Times New Roman" w:cs="Times New Roman"/>
                <w:sz w:val="21"/>
                <w:szCs w:val="21"/>
              </w:rPr>
            </w:pPr>
            <w:r>
              <w:rPr>
                <w:rFonts w:hint="eastAsia" w:ascii="Times New Roman" w:hAnsi="Times New Roman" w:cs="Times New Roman"/>
                <w:sz w:val="21"/>
                <w:szCs w:val="21"/>
              </w:rPr>
              <w:t>易燃、易爆、易腐蚀性液体；液体炸药的主要组成成分；并可给出危险液体名称</w:t>
            </w:r>
          </w:p>
        </w:tc>
        <w:tc>
          <w:tcPr>
            <w:tcW w:w="394"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10</w:t>
            </w:r>
          </w:p>
        </w:tc>
        <w:tc>
          <w:tcPr>
            <w:tcW w:w="562"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210</w:t>
            </w:r>
          </w:p>
        </w:tc>
        <w:tc>
          <w:tcPr>
            <w:tcW w:w="80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防爆毯</w:t>
            </w:r>
          </w:p>
        </w:tc>
        <w:tc>
          <w:tcPr>
            <w:tcW w:w="2861" w:type="pct"/>
            <w:shd w:val="clear" w:color="auto" w:fill="auto"/>
            <w:vAlign w:val="center"/>
          </w:tcPr>
          <w:p>
            <w:pPr>
              <w:wordWrap w:val="0"/>
              <w:overflowPunct w:val="0"/>
              <w:snapToGrid w:val="0"/>
              <w:spacing w:line="240" w:lineRule="auto"/>
              <w:ind w:firstLine="0" w:firstLineChars="0"/>
              <w:textAlignment w:val="top"/>
              <w:rPr>
                <w:rFonts w:ascii="Times New Roman" w:hAnsi="Times New Roman" w:cs="Times New Roman"/>
                <w:sz w:val="21"/>
                <w:szCs w:val="21"/>
              </w:rPr>
            </w:pPr>
            <w:r>
              <w:rPr>
                <w:rFonts w:hint="eastAsia" w:ascii="Times New Roman" w:hAnsi="Times New Roman" w:cs="Times New Roman"/>
                <w:sz w:val="21"/>
                <w:szCs w:val="21"/>
              </w:rPr>
              <w:t>1.2</w:t>
            </w:r>
            <w:r>
              <w:rPr>
                <w:rFonts w:hint="eastAsia" w:ascii="Times New Roman" w:hAnsi="Times New Roman" w:cs="Times New Roman"/>
                <w:szCs w:val="21"/>
              </w:rPr>
              <w:t>m</w:t>
            </w:r>
            <w:r>
              <w:rPr>
                <w:rFonts w:hint="eastAsia" w:ascii="Times New Roman" w:hAnsi="Times New Roman" w:cs="Times New Roman"/>
                <w:sz w:val="21"/>
                <w:szCs w:val="21"/>
              </w:rPr>
              <w:t>×1.2m</w:t>
            </w:r>
          </w:p>
        </w:tc>
        <w:tc>
          <w:tcPr>
            <w:tcW w:w="394"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r>
              <w:rPr>
                <w:rFonts w:hint="eastAsia" w:ascii="Times New Roman" w:hAnsi="Times New Roman" w:cs="Times New Roman"/>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p>
        </w:tc>
        <w:tc>
          <w:tcPr>
            <w:tcW w:w="562"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p>
        </w:tc>
        <w:tc>
          <w:tcPr>
            <w:tcW w:w="80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p>
        </w:tc>
        <w:tc>
          <w:tcPr>
            <w:tcW w:w="2861" w:type="pct"/>
            <w:shd w:val="clear" w:color="auto" w:fill="auto"/>
            <w:vAlign w:val="center"/>
          </w:tcPr>
          <w:p>
            <w:pPr>
              <w:wordWrap w:val="0"/>
              <w:overflowPunct w:val="0"/>
              <w:snapToGrid w:val="0"/>
              <w:spacing w:line="240" w:lineRule="auto"/>
              <w:ind w:firstLine="0" w:firstLineChars="0"/>
              <w:textAlignment w:val="top"/>
              <w:rPr>
                <w:rFonts w:ascii="Times New Roman" w:hAnsi="Times New Roman" w:cs="Times New Roman"/>
                <w:sz w:val="21"/>
                <w:szCs w:val="21"/>
              </w:rPr>
            </w:pPr>
          </w:p>
        </w:tc>
        <w:tc>
          <w:tcPr>
            <w:tcW w:w="394"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p>
        </w:tc>
        <w:tc>
          <w:tcPr>
            <w:tcW w:w="562"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p>
        </w:tc>
        <w:tc>
          <w:tcPr>
            <w:tcW w:w="80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p>
        </w:tc>
        <w:tc>
          <w:tcPr>
            <w:tcW w:w="2861" w:type="pct"/>
            <w:shd w:val="clear" w:color="auto" w:fill="auto"/>
            <w:vAlign w:val="center"/>
          </w:tcPr>
          <w:p>
            <w:pPr>
              <w:wordWrap w:val="0"/>
              <w:overflowPunct w:val="0"/>
              <w:snapToGrid w:val="0"/>
              <w:spacing w:line="240" w:lineRule="auto"/>
              <w:ind w:firstLine="0" w:firstLineChars="0"/>
              <w:textAlignment w:val="top"/>
              <w:rPr>
                <w:rFonts w:ascii="Times New Roman" w:hAnsi="Times New Roman" w:cs="Times New Roman"/>
                <w:sz w:val="21"/>
                <w:szCs w:val="21"/>
              </w:rPr>
            </w:pPr>
          </w:p>
        </w:tc>
        <w:tc>
          <w:tcPr>
            <w:tcW w:w="394"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p>
        </w:tc>
        <w:tc>
          <w:tcPr>
            <w:tcW w:w="562"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p>
        </w:tc>
        <w:tc>
          <w:tcPr>
            <w:tcW w:w="800"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p>
        </w:tc>
        <w:tc>
          <w:tcPr>
            <w:tcW w:w="2861" w:type="pct"/>
            <w:shd w:val="clear" w:color="auto" w:fill="auto"/>
            <w:vAlign w:val="center"/>
          </w:tcPr>
          <w:p>
            <w:pPr>
              <w:wordWrap w:val="0"/>
              <w:overflowPunct w:val="0"/>
              <w:snapToGrid w:val="0"/>
              <w:spacing w:line="240" w:lineRule="auto"/>
              <w:ind w:firstLine="0" w:firstLineChars="0"/>
              <w:textAlignment w:val="top"/>
              <w:rPr>
                <w:rFonts w:ascii="Times New Roman" w:hAnsi="Times New Roman" w:cs="Times New Roman"/>
                <w:sz w:val="21"/>
                <w:szCs w:val="21"/>
              </w:rPr>
            </w:pPr>
          </w:p>
        </w:tc>
        <w:tc>
          <w:tcPr>
            <w:tcW w:w="394" w:type="pct"/>
            <w:shd w:val="clear" w:color="auto" w:fill="auto"/>
            <w:vAlign w:val="center"/>
          </w:tcPr>
          <w:p>
            <w:pPr>
              <w:wordWrap w:val="0"/>
              <w:overflowPunct w:val="0"/>
              <w:snapToGrid w:val="0"/>
              <w:spacing w:line="240" w:lineRule="auto"/>
              <w:ind w:firstLine="0" w:firstLineChars="0"/>
              <w:jc w:val="center"/>
              <w:textAlignment w:val="top"/>
              <w:rPr>
                <w:rFonts w:ascii="Times New Roman" w:hAnsi="Times New Roman" w:cs="Times New Roman"/>
                <w:sz w:val="21"/>
                <w:szCs w:val="21"/>
              </w:rPr>
            </w:pPr>
          </w:p>
        </w:tc>
      </w:tr>
    </w:tbl>
    <w:p>
      <w:pPr>
        <w:ind w:firstLine="420"/>
        <w:rPr>
          <w:rFonts w:hAnsi="宋体"/>
          <w:sz w:val="21"/>
          <w:szCs w:val="21"/>
        </w:rPr>
      </w:pPr>
      <w:r>
        <w:rPr>
          <w:rFonts w:hint="eastAsia" w:hAnsi="宋体"/>
          <w:sz w:val="21"/>
          <w:szCs w:val="21"/>
        </w:rPr>
        <w:t>注：指定口岸查验设备</w:t>
      </w:r>
      <w:r>
        <w:rPr>
          <w:rFonts w:hAnsi="宋体"/>
          <w:sz w:val="21"/>
          <w:szCs w:val="21"/>
        </w:rPr>
        <w:t>不含在本项目投资内，按一个整体考虑电量预留</w:t>
      </w:r>
    </w:p>
    <w:p>
      <w:pPr>
        <w:pStyle w:val="2"/>
        <w:ind w:left="480" w:firstLine="480"/>
      </w:pPr>
    </w:p>
    <w:sectPr>
      <w:headerReference r:id="rId7" w:type="first"/>
      <w:footerReference r:id="rId10" w:type="first"/>
      <w:headerReference r:id="rId5" w:type="default"/>
      <w:footerReference r:id="rId8" w:type="default"/>
      <w:headerReference r:id="rId6" w:type="even"/>
      <w:footerReference r:id="rId9" w:type="even"/>
      <w:pgSz w:w="11906" w:h="16838"/>
      <w:pgMar w:top="1418" w:right="1701" w:bottom="1418" w:left="1701"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0" w:firstLineChars="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3F7"/>
    <w:rsid w:val="00053459"/>
    <w:rsid w:val="00082B1E"/>
    <w:rsid w:val="00116B66"/>
    <w:rsid w:val="001602BC"/>
    <w:rsid w:val="00163252"/>
    <w:rsid w:val="00164C39"/>
    <w:rsid w:val="002478A5"/>
    <w:rsid w:val="00310726"/>
    <w:rsid w:val="003843F7"/>
    <w:rsid w:val="00582F80"/>
    <w:rsid w:val="005A384B"/>
    <w:rsid w:val="005E1E3F"/>
    <w:rsid w:val="006A19D4"/>
    <w:rsid w:val="007A2B49"/>
    <w:rsid w:val="00850E7A"/>
    <w:rsid w:val="009E4AA1"/>
    <w:rsid w:val="00AE5CBF"/>
    <w:rsid w:val="00B63C88"/>
    <w:rsid w:val="00C11B46"/>
    <w:rsid w:val="00C52C80"/>
    <w:rsid w:val="00D4333B"/>
    <w:rsid w:val="00F32ED7"/>
    <w:rsid w:val="00F93A29"/>
    <w:rsid w:val="58EA450B"/>
    <w:rsid w:val="61D72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宋体" w:eastAsia="宋体" w:hAnsiTheme="minorHAnsi" w:cstheme="minorBidi"/>
      <w:kern w:val="2"/>
      <w:sz w:val="24"/>
      <w:szCs w:val="22"/>
      <w:lang w:val="en-US" w:eastAsia="zh-CN" w:bidi="ar-SA"/>
    </w:rPr>
  </w:style>
  <w:style w:type="paragraph" w:styleId="3">
    <w:name w:val="heading 1"/>
    <w:basedOn w:val="1"/>
    <w:next w:val="1"/>
    <w:link w:val="20"/>
    <w:qFormat/>
    <w:uiPriority w:val="99"/>
    <w:pPr>
      <w:keepNext/>
      <w:keepLines/>
      <w:spacing w:before="340" w:after="330" w:line="578" w:lineRule="auto"/>
      <w:outlineLvl w:val="0"/>
    </w:pPr>
    <w:rPr>
      <w:rFonts w:ascii="Times New Roman" w:hAnsi="Times New Roman"/>
      <w:b/>
      <w:bCs/>
      <w:kern w:val="44"/>
      <w:sz w:val="44"/>
      <w:szCs w:val="44"/>
    </w:rPr>
  </w:style>
  <w:style w:type="paragraph" w:styleId="4">
    <w:name w:val="heading 3"/>
    <w:basedOn w:val="1"/>
    <w:next w:val="1"/>
    <w:link w:val="14"/>
    <w:unhideWhenUsed/>
    <w:qFormat/>
    <w:uiPriority w:val="9"/>
    <w:pPr>
      <w:keepNext/>
      <w:keepLines/>
      <w:spacing w:before="260" w:after="260" w:line="416" w:lineRule="auto"/>
      <w:outlineLvl w:val="2"/>
    </w:pPr>
    <w:rPr>
      <w:b/>
      <w:bCs/>
      <w:szCs w:val="32"/>
    </w:rPr>
  </w:style>
  <w:style w:type="paragraph" w:styleId="5">
    <w:name w:val="heading 4"/>
    <w:basedOn w:val="1"/>
    <w:next w:val="1"/>
    <w:link w:val="15"/>
    <w:unhideWhenUsed/>
    <w:qFormat/>
    <w:uiPriority w:val="9"/>
    <w:pPr>
      <w:keepNext/>
      <w:keepLines/>
      <w:outlineLvl w:val="3"/>
    </w:pPr>
    <w:rPr>
      <w:rFonts w:asciiTheme="majorHAnsi" w:hAnsiTheme="majorHAnsi" w:cstheme="majorBidi"/>
      <w:b/>
      <w:bCs/>
      <w:szCs w:val="28"/>
    </w:rPr>
  </w:style>
  <w:style w:type="paragraph" w:styleId="6">
    <w:name w:val="heading 5"/>
    <w:basedOn w:val="1"/>
    <w:next w:val="1"/>
    <w:link w:val="17"/>
    <w:unhideWhenUsed/>
    <w:qFormat/>
    <w:uiPriority w:val="9"/>
    <w:pPr>
      <w:jc w:val="left"/>
      <w:outlineLvl w:val="4"/>
    </w:pPr>
    <w:rPr>
      <w:b/>
      <w:bCs/>
      <w:szCs w:val="28"/>
    </w:rPr>
  </w:style>
  <w:style w:type="paragraph" w:styleId="7">
    <w:name w:val="heading 6"/>
    <w:basedOn w:val="1"/>
    <w:next w:val="1"/>
    <w:link w:val="16"/>
    <w:unhideWhenUsed/>
    <w:qFormat/>
    <w:uiPriority w:val="9"/>
    <w:pPr>
      <w:keepNext/>
      <w:keepLines/>
      <w:outlineLvl w:val="5"/>
    </w:pPr>
    <w:rPr>
      <w:rFonts w:asciiTheme="majorHAnsi" w:hAnsiTheme="majorHAnsi" w:cstheme="majorBidi"/>
      <w:b/>
      <w:bCs/>
      <w:szCs w:val="2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semiHidden/>
    <w:unhideWhenUsed/>
    <w:qFormat/>
    <w:uiPriority w:val="99"/>
    <w:pPr>
      <w:ind w:left="420" w:leftChars="200"/>
    </w:pPr>
  </w:style>
  <w:style w:type="paragraph" w:styleId="8">
    <w:name w:val="Plain Text"/>
    <w:basedOn w:val="1"/>
    <w:link w:val="21"/>
    <w:qFormat/>
    <w:uiPriority w:val="99"/>
    <w:rPr>
      <w:rFonts w:hAnsi="Courier New"/>
    </w:rPr>
  </w:style>
  <w:style w:type="paragraph" w:styleId="9">
    <w:name w:val="footer"/>
    <w:basedOn w:val="1"/>
    <w:link w:val="24"/>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tabs>
        <w:tab w:val="center" w:pos="4153"/>
        <w:tab w:val="right" w:pos="8306"/>
      </w:tabs>
      <w:snapToGrid w:val="0"/>
      <w:jc w:val="center"/>
    </w:pPr>
    <w:rPr>
      <w:sz w:val="18"/>
      <w:szCs w:val="18"/>
    </w:rPr>
  </w:style>
  <w:style w:type="paragraph" w:styleId="11">
    <w:name w:val="Title"/>
    <w:basedOn w:val="1"/>
    <w:next w:val="1"/>
    <w:link w:val="22"/>
    <w:qFormat/>
    <w:uiPriority w:val="99"/>
    <w:pPr>
      <w:autoSpaceDE w:val="0"/>
      <w:autoSpaceDN w:val="0"/>
      <w:spacing w:before="240" w:after="60"/>
      <w:jc w:val="center"/>
      <w:textAlignment w:val="baseline"/>
      <w:outlineLvl w:val="0"/>
    </w:pPr>
    <w:rPr>
      <w:rFonts w:ascii="Cambria" w:hAnsi="Cambria"/>
      <w:b/>
      <w:bCs/>
      <w:snapToGrid w:val="0"/>
      <w:sz w:val="32"/>
      <w:szCs w:val="32"/>
    </w:rPr>
  </w:style>
  <w:style w:type="character" w:customStyle="1" w:styleId="14">
    <w:name w:val="标题 3 字符"/>
    <w:basedOn w:val="13"/>
    <w:link w:val="4"/>
    <w:qFormat/>
    <w:uiPriority w:val="9"/>
    <w:rPr>
      <w:rFonts w:eastAsia="宋体"/>
      <w:b/>
      <w:bCs/>
      <w:sz w:val="24"/>
      <w:szCs w:val="32"/>
    </w:rPr>
  </w:style>
  <w:style w:type="character" w:customStyle="1" w:styleId="15">
    <w:name w:val="标题 4 字符"/>
    <w:basedOn w:val="13"/>
    <w:link w:val="5"/>
    <w:qFormat/>
    <w:uiPriority w:val="9"/>
    <w:rPr>
      <w:rFonts w:eastAsia="宋体" w:asciiTheme="majorHAnsi" w:hAnsiTheme="majorHAnsi" w:cstheme="majorBidi"/>
      <w:b/>
      <w:bCs/>
      <w:sz w:val="24"/>
      <w:szCs w:val="28"/>
    </w:rPr>
  </w:style>
  <w:style w:type="character" w:customStyle="1" w:styleId="16">
    <w:name w:val="标题 6 字符"/>
    <w:basedOn w:val="13"/>
    <w:link w:val="7"/>
    <w:uiPriority w:val="9"/>
    <w:rPr>
      <w:rFonts w:eastAsia="宋体" w:asciiTheme="majorHAnsi" w:hAnsiTheme="majorHAnsi" w:cstheme="majorBidi"/>
      <w:b/>
      <w:bCs/>
      <w:sz w:val="24"/>
      <w:szCs w:val="24"/>
    </w:rPr>
  </w:style>
  <w:style w:type="character" w:customStyle="1" w:styleId="17">
    <w:name w:val="标题 5 字符"/>
    <w:basedOn w:val="13"/>
    <w:link w:val="6"/>
    <w:qFormat/>
    <w:uiPriority w:val="9"/>
    <w:rPr>
      <w:rFonts w:eastAsia="宋体"/>
      <w:b/>
      <w:bCs/>
      <w:sz w:val="24"/>
      <w:szCs w:val="28"/>
    </w:rPr>
  </w:style>
  <w:style w:type="paragraph" w:customStyle="1" w:styleId="18">
    <w:name w:val="本文表格"/>
    <w:basedOn w:val="1"/>
    <w:link w:val="19"/>
    <w:qFormat/>
    <w:uiPriority w:val="0"/>
    <w:rPr>
      <w:rFonts w:hAnsi="宋体" w:cs="宋体"/>
      <w:szCs w:val="24"/>
      <w:lang w:val="zh-CN"/>
    </w:rPr>
  </w:style>
  <w:style w:type="character" w:customStyle="1" w:styleId="19">
    <w:name w:val="本文表格 字符"/>
    <w:basedOn w:val="13"/>
    <w:link w:val="18"/>
    <w:qFormat/>
    <w:uiPriority w:val="0"/>
    <w:rPr>
      <w:rFonts w:ascii="宋体" w:hAnsi="宋体" w:eastAsia="宋体" w:cs="宋体"/>
      <w:sz w:val="24"/>
      <w:szCs w:val="24"/>
      <w:lang w:val="zh-CN"/>
    </w:rPr>
  </w:style>
  <w:style w:type="character" w:customStyle="1" w:styleId="20">
    <w:name w:val="标题 1 字符"/>
    <w:basedOn w:val="13"/>
    <w:link w:val="3"/>
    <w:qFormat/>
    <w:uiPriority w:val="99"/>
    <w:rPr>
      <w:rFonts w:ascii="Times New Roman" w:hAnsi="Times New Roman" w:eastAsia="宋体"/>
      <w:b/>
      <w:bCs/>
      <w:kern w:val="44"/>
      <w:sz w:val="44"/>
      <w:szCs w:val="44"/>
    </w:rPr>
  </w:style>
  <w:style w:type="character" w:customStyle="1" w:styleId="21">
    <w:name w:val="纯文本 字符"/>
    <w:basedOn w:val="13"/>
    <w:link w:val="8"/>
    <w:qFormat/>
    <w:uiPriority w:val="99"/>
    <w:rPr>
      <w:rFonts w:ascii="宋体" w:hAnsi="Courier New"/>
    </w:rPr>
  </w:style>
  <w:style w:type="character" w:customStyle="1" w:styleId="22">
    <w:name w:val="标题 字符"/>
    <w:basedOn w:val="13"/>
    <w:link w:val="11"/>
    <w:qFormat/>
    <w:uiPriority w:val="99"/>
    <w:rPr>
      <w:rFonts w:ascii="Cambria" w:hAnsi="Cambria" w:eastAsia="宋体"/>
      <w:b/>
      <w:bCs/>
      <w:snapToGrid w:val="0"/>
      <w:sz w:val="32"/>
      <w:szCs w:val="32"/>
    </w:rPr>
  </w:style>
  <w:style w:type="character" w:customStyle="1" w:styleId="23">
    <w:name w:val="页眉 字符"/>
    <w:basedOn w:val="13"/>
    <w:link w:val="10"/>
    <w:qFormat/>
    <w:uiPriority w:val="99"/>
    <w:rPr>
      <w:sz w:val="18"/>
      <w:szCs w:val="18"/>
    </w:rPr>
  </w:style>
  <w:style w:type="character" w:customStyle="1" w:styleId="24">
    <w:name w:val="页脚 字符"/>
    <w:basedOn w:val="13"/>
    <w:link w:val="9"/>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898C9C-A07D-4E2B-9F84-D4C91EAE82EE}">
  <ds:schemaRefs/>
</ds:datastoreItem>
</file>

<file path=docProps/app.xml><?xml version="1.0" encoding="utf-8"?>
<Properties xmlns="http://schemas.openxmlformats.org/officeDocument/2006/extended-properties" xmlns:vt="http://schemas.openxmlformats.org/officeDocument/2006/docPropsVTypes">
  <Template>Normal</Template>
  <Pages>3</Pages>
  <Words>324</Words>
  <Characters>1848</Characters>
  <Lines>15</Lines>
  <Paragraphs>4</Paragraphs>
  <TotalTime>4</TotalTime>
  <ScaleCrop>false</ScaleCrop>
  <LinksUpToDate>false</LinksUpToDate>
  <CharactersWithSpaces>2168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2024-02-02T07:57:00Z</dcterms:created>
  <dc:creator>赵莹莹</dc:creator>
  <cp:lastModifiedBy>曾国清</cp:lastModifiedBy>
  <dcterms:modified xsi:type="dcterms:W3CDTF">2024-04-22T08:28:29Z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60C70F9F033245B7867CE448E5B6000B</vt:lpwstr>
  </property>
</Properties>
</file>