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20" w:firstLineChars="200"/>
        <w:rPr>
          <w:color w:val="auto"/>
          <w:highlight w:val="none"/>
        </w:rPr>
      </w:pPr>
    </w:p>
    <w:p>
      <w:pPr>
        <w:spacing w:line="400" w:lineRule="exact"/>
        <w:ind w:firstLine="420" w:firstLineChars="200"/>
        <w:rPr>
          <w:color w:val="auto"/>
          <w:highlight w:val="none"/>
        </w:rPr>
      </w:pPr>
    </w:p>
    <w:p>
      <w:pPr>
        <w:spacing w:line="300" w:lineRule="auto"/>
        <w:jc w:val="center"/>
        <w:rPr>
          <w:rFonts w:ascii="宋体" w:hAnsi="宋体" w:cs="宋体"/>
          <w:b/>
          <w:color w:val="auto"/>
          <w:sz w:val="52"/>
          <w:highlight w:val="none"/>
        </w:rPr>
      </w:pPr>
      <w:r>
        <w:rPr>
          <w:rFonts w:hint="eastAsia" w:ascii="宋体" w:hAnsi="宋体" w:cs="宋体"/>
          <w:b/>
          <w:color w:val="auto"/>
          <w:sz w:val="52"/>
          <w:highlight w:val="none"/>
        </w:rPr>
        <w:t>海珠区十一号线地铁站道路修复工程</w:t>
      </w:r>
    </w:p>
    <w:p>
      <w:pPr>
        <w:spacing w:line="300" w:lineRule="auto"/>
        <w:jc w:val="center"/>
        <w:rPr>
          <w:rFonts w:ascii="宋体" w:hAnsi="宋体" w:cs="宋体"/>
          <w:b/>
          <w:color w:val="auto"/>
          <w:sz w:val="52"/>
          <w:highlight w:val="none"/>
        </w:rPr>
      </w:pPr>
      <w:r>
        <w:rPr>
          <w:rFonts w:hint="eastAsia" w:ascii="宋体" w:hAnsi="宋体" w:cs="宋体"/>
          <w:b/>
          <w:color w:val="auto"/>
          <w:sz w:val="52"/>
          <w:highlight w:val="none"/>
        </w:rPr>
        <w:t>项目施工监理</w:t>
      </w:r>
    </w:p>
    <w:p>
      <w:pPr>
        <w:spacing w:line="300" w:lineRule="auto"/>
        <w:jc w:val="center"/>
        <w:rPr>
          <w:rFonts w:ascii="宋体" w:hAnsi="宋体" w:cs="宋体"/>
          <w:color w:val="auto"/>
          <w:sz w:val="36"/>
          <w:highlight w:val="none"/>
        </w:rPr>
      </w:pPr>
      <w:r>
        <w:rPr>
          <w:rFonts w:hint="eastAsia" w:ascii="宋体" w:hAnsi="宋体" w:cs="宋体"/>
          <w:color w:val="auto"/>
          <w:sz w:val="36"/>
          <w:highlight w:val="none"/>
        </w:rPr>
        <w:t>（招标编号：              ）</w:t>
      </w:r>
    </w:p>
    <w:p>
      <w:pPr>
        <w:spacing w:line="300" w:lineRule="auto"/>
        <w:jc w:val="center"/>
        <w:rPr>
          <w:rFonts w:ascii="宋体" w:hAnsi="宋体" w:cs="宋体"/>
          <w:color w:val="auto"/>
          <w:sz w:val="36"/>
          <w:highlight w:val="none"/>
          <w:u w:val="single"/>
        </w:rPr>
      </w:pPr>
    </w:p>
    <w:p>
      <w:pPr>
        <w:spacing w:line="300" w:lineRule="auto"/>
        <w:jc w:val="center"/>
        <w:rPr>
          <w:rFonts w:ascii="宋体" w:hAnsi="宋体" w:cs="宋体"/>
          <w:color w:val="auto"/>
          <w:sz w:val="36"/>
          <w:highlight w:val="none"/>
          <w:u w:val="single"/>
        </w:rPr>
      </w:pPr>
    </w:p>
    <w:p>
      <w:pPr>
        <w:spacing w:line="300" w:lineRule="auto"/>
        <w:jc w:val="center"/>
        <w:rPr>
          <w:rFonts w:ascii="宋体" w:hAnsi="宋体" w:cs="宋体"/>
          <w:b/>
          <w:color w:val="auto"/>
          <w:spacing w:val="26"/>
          <w:sz w:val="110"/>
          <w:highlight w:val="none"/>
        </w:rPr>
      </w:pPr>
      <w:r>
        <w:rPr>
          <w:rFonts w:hint="eastAsia" w:ascii="宋体" w:hAnsi="宋体" w:cs="宋体"/>
          <w:b/>
          <w:color w:val="auto"/>
          <w:spacing w:val="26"/>
          <w:sz w:val="110"/>
          <w:highlight w:val="none"/>
        </w:rPr>
        <w:t>招标文件</w:t>
      </w:r>
    </w:p>
    <w:p>
      <w:pPr>
        <w:jc w:val="center"/>
        <w:rPr>
          <w:rFonts w:ascii="宋体" w:hAnsi="宋体" w:cs="宋体"/>
          <w:b/>
          <w:color w:val="auto"/>
          <w:sz w:val="30"/>
          <w:highlight w:val="none"/>
        </w:rPr>
      </w:pPr>
    </w:p>
    <w:p>
      <w:pPr>
        <w:spacing w:line="300" w:lineRule="auto"/>
        <w:jc w:val="center"/>
        <w:rPr>
          <w:rFonts w:ascii="宋体" w:hAnsi="宋体" w:cs="宋体"/>
          <w:color w:val="auto"/>
          <w:sz w:val="32"/>
          <w:highlight w:val="none"/>
        </w:rPr>
      </w:pPr>
    </w:p>
    <w:p>
      <w:pPr>
        <w:spacing w:line="300" w:lineRule="auto"/>
        <w:jc w:val="center"/>
        <w:rPr>
          <w:rFonts w:ascii="宋体" w:hAnsi="宋体" w:cs="宋体"/>
          <w:color w:val="auto"/>
          <w:sz w:val="32"/>
          <w:highlight w:val="none"/>
        </w:rPr>
      </w:pPr>
    </w:p>
    <w:p>
      <w:pPr>
        <w:spacing w:line="300" w:lineRule="auto"/>
        <w:jc w:val="center"/>
        <w:rPr>
          <w:rFonts w:ascii="宋体" w:hAnsi="宋体" w:cs="宋体"/>
          <w:color w:val="auto"/>
          <w:sz w:val="32"/>
          <w:highlight w:val="none"/>
        </w:rPr>
      </w:pPr>
    </w:p>
    <w:p>
      <w:pPr>
        <w:spacing w:line="300" w:lineRule="auto"/>
        <w:rPr>
          <w:rFonts w:ascii="宋体" w:hAnsi="宋体" w:cs="宋体"/>
          <w:color w:val="auto"/>
          <w:sz w:val="52"/>
          <w:highlight w:val="none"/>
        </w:rPr>
      </w:pPr>
    </w:p>
    <w:p>
      <w:pPr>
        <w:spacing w:line="300" w:lineRule="auto"/>
        <w:rPr>
          <w:rFonts w:ascii="宋体" w:hAnsi="宋体" w:cs="宋体"/>
          <w:color w:val="auto"/>
          <w:sz w:val="52"/>
          <w:highlight w:val="none"/>
        </w:rPr>
      </w:pPr>
    </w:p>
    <w:p>
      <w:pPr>
        <w:spacing w:line="360" w:lineRule="auto"/>
        <w:ind w:firstLine="945"/>
        <w:rPr>
          <w:rFonts w:ascii="宋体" w:hAnsi="宋体" w:cs="宋体"/>
          <w:color w:val="auto"/>
          <w:sz w:val="30"/>
          <w:highlight w:val="none"/>
          <w:u w:val="single"/>
        </w:rPr>
      </w:pPr>
      <w:r>
        <w:rPr>
          <w:rFonts w:hint="eastAsia" w:ascii="宋体" w:hAnsi="宋体" w:cs="宋体"/>
          <w:color w:val="auto"/>
          <w:sz w:val="30"/>
          <w:highlight w:val="none"/>
        </w:rPr>
        <w:t>招  标 单 位：</w:t>
      </w:r>
      <w:r>
        <w:rPr>
          <w:rFonts w:hint="eastAsia" w:ascii="宋体" w:hAnsi="宋体" w:cs="宋体"/>
          <w:color w:val="auto"/>
          <w:sz w:val="30"/>
          <w:highlight w:val="none"/>
          <w:u w:val="single"/>
        </w:rPr>
        <w:t>广州市海珠区住房和建设局</w:t>
      </w:r>
    </w:p>
    <w:p>
      <w:pPr>
        <w:spacing w:line="360" w:lineRule="auto"/>
        <w:ind w:firstLine="945"/>
        <w:rPr>
          <w:rFonts w:ascii="宋体" w:hAnsi="宋体" w:cs="宋体"/>
          <w:color w:val="auto"/>
          <w:sz w:val="30"/>
          <w:highlight w:val="none"/>
          <w:u w:val="single"/>
        </w:rPr>
      </w:pPr>
      <w:r>
        <w:rPr>
          <w:rFonts w:hint="eastAsia" w:ascii="宋体" w:hAnsi="宋体" w:cs="宋体"/>
          <w:color w:val="auto"/>
          <w:sz w:val="30"/>
          <w:highlight w:val="none"/>
        </w:rPr>
        <w:t>招标代理单位：</w:t>
      </w:r>
      <w:r>
        <w:rPr>
          <w:rFonts w:hint="eastAsia" w:ascii="宋体" w:hAnsi="宋体" w:cs="宋体"/>
          <w:color w:val="auto"/>
          <w:sz w:val="30"/>
          <w:highlight w:val="none"/>
          <w:u w:val="single"/>
        </w:rPr>
        <w:t>广东省城规建设监理有限公司</w:t>
      </w:r>
    </w:p>
    <w:p>
      <w:pPr>
        <w:spacing w:line="360" w:lineRule="auto"/>
        <w:ind w:firstLine="945"/>
        <w:rPr>
          <w:rFonts w:ascii="宋体" w:hAnsi="宋体" w:cs="宋体"/>
          <w:b/>
          <w:color w:val="auto"/>
          <w:highlight w:val="none"/>
          <w:lang w:val="zh-CN"/>
        </w:rPr>
      </w:pPr>
      <w:r>
        <w:rPr>
          <w:rFonts w:hint="eastAsia" w:ascii="宋体" w:hAnsi="宋体" w:cs="宋体"/>
          <w:color w:val="auto"/>
          <w:sz w:val="32"/>
          <w:highlight w:val="none"/>
        </w:rPr>
        <w:t>日       期：2022年 月</w:t>
      </w:r>
    </w:p>
    <w:p>
      <w:pPr>
        <w:pStyle w:val="46"/>
        <w:keepNext w:val="0"/>
        <w:keepLines w:val="0"/>
        <w:widowControl w:val="0"/>
        <w:spacing w:line="360" w:lineRule="auto"/>
        <w:jc w:val="center"/>
        <w:rPr>
          <w:rFonts w:ascii="宋体" w:hAnsi="宋体" w:cs="宋体"/>
          <w:b w:val="0"/>
          <w:color w:val="auto"/>
          <w:highlight w:val="none"/>
          <w:lang w:val="zh-CN"/>
        </w:rPr>
        <w:sectPr>
          <w:pgSz w:w="12240" w:h="15840"/>
          <w:pgMar w:top="1440" w:right="1800" w:bottom="1440" w:left="1800" w:header="720" w:footer="720" w:gutter="0"/>
          <w:pgNumType w:start="1"/>
          <w:cols w:space="720" w:num="1"/>
          <w:docGrid w:linePitch="285" w:charSpace="0"/>
        </w:sectPr>
      </w:pPr>
    </w:p>
    <w:p>
      <w:pPr>
        <w:adjustRightInd w:val="0"/>
        <w:snapToGrid w:val="0"/>
        <w:spacing w:line="360" w:lineRule="auto"/>
        <w:jc w:val="center"/>
        <w:rPr>
          <w:rStyle w:val="54"/>
          <w:color w:val="auto"/>
          <w:sz w:val="36"/>
          <w:szCs w:val="36"/>
          <w:highlight w:val="none"/>
        </w:rPr>
      </w:pPr>
    </w:p>
    <w:p>
      <w:pPr>
        <w:spacing w:line="360" w:lineRule="auto"/>
        <w:jc w:val="center"/>
        <w:rPr>
          <w:bCs/>
          <w:color w:val="auto"/>
          <w:sz w:val="52"/>
          <w:highlight w:val="none"/>
        </w:rPr>
      </w:pPr>
      <w:r>
        <w:rPr>
          <w:rFonts w:hint="eastAsia"/>
          <w:bCs/>
          <w:color w:val="auto"/>
          <w:sz w:val="52"/>
          <w:highlight w:val="none"/>
        </w:rPr>
        <w:t>重要提示</w:t>
      </w:r>
    </w:p>
    <w:p>
      <w:pPr>
        <w:spacing w:line="360" w:lineRule="auto"/>
        <w:ind w:firstLine="537" w:firstLineChars="224"/>
        <w:jc w:val="center"/>
        <w:rPr>
          <w:rFonts w:ascii="宋体"/>
          <w:bCs/>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本项目实施电子招投标，投标人应先认真阅读《房屋建筑和市政基础设施工程全流程电子化项目专章》。</w:t>
      </w:r>
    </w:p>
    <w:p>
      <w:pPr>
        <w:spacing w:beforeLines="50" w:afterLines="50" w:line="360" w:lineRule="auto"/>
        <w:jc w:val="center"/>
        <w:rPr>
          <w:rFonts w:ascii="宋体" w:hAnsi="宋体"/>
          <w:color w:val="auto"/>
          <w:sz w:val="44"/>
          <w:szCs w:val="30"/>
          <w:highlight w:val="none"/>
        </w:rPr>
      </w:pPr>
      <w:r>
        <w:rPr>
          <w:rFonts w:ascii="宋体" w:hAnsi="宋体"/>
          <w:color w:val="auto"/>
          <w:sz w:val="44"/>
          <w:szCs w:val="30"/>
          <w:highlight w:val="none"/>
        </w:rPr>
        <w:br w:type="page"/>
      </w:r>
      <w:r>
        <w:rPr>
          <w:rFonts w:ascii="宋体" w:hAnsi="宋体"/>
          <w:color w:val="auto"/>
          <w:sz w:val="44"/>
          <w:szCs w:val="30"/>
          <w:highlight w:val="none"/>
        </w:rPr>
        <w:t>目录</w:t>
      </w:r>
    </w:p>
    <w:p>
      <w:pPr>
        <w:pStyle w:val="40"/>
        <w:tabs>
          <w:tab w:val="right" w:leader="dot" w:pos="9015"/>
        </w:tabs>
        <w:rPr>
          <w:color w:val="auto"/>
          <w:highlight w:val="none"/>
        </w:rPr>
      </w:pPr>
      <w:bookmarkStart w:id="0" w:name="_Toc6072_WPSOffice_Type1"/>
      <w:r>
        <w:rPr>
          <w:color w:val="auto"/>
          <w:highlight w:val="none"/>
        </w:rPr>
        <w:fldChar w:fldCharType="begin"/>
      </w:r>
      <w:r>
        <w:rPr>
          <w:color w:val="auto"/>
          <w:highlight w:val="none"/>
        </w:rPr>
        <w:instrText xml:space="preserve"> HYPERLINK \l _Toc25240_WPSOffice_Level1 </w:instrText>
      </w:r>
      <w:r>
        <w:rPr>
          <w:color w:val="auto"/>
          <w:highlight w:val="none"/>
        </w:rPr>
        <w:fldChar w:fldCharType="separate"/>
      </w:r>
      <w:r>
        <w:rPr>
          <w:rFonts w:hint="eastAsia"/>
          <w:color w:val="auto"/>
          <w:highlight w:val="none"/>
        </w:rPr>
        <w:t>第一章 招标公告</w:t>
      </w:r>
      <w:r>
        <w:rPr>
          <w:color w:val="auto"/>
          <w:highlight w:val="none"/>
        </w:rPr>
        <w:tab/>
      </w:r>
      <w:bookmarkStart w:id="1" w:name="_Toc25240_WPSOffice_Level1Page"/>
      <w:r>
        <w:rPr>
          <w:color w:val="auto"/>
          <w:highlight w:val="none"/>
        </w:rPr>
        <w:t>4</w:t>
      </w:r>
      <w:bookmarkEnd w:id="1"/>
      <w:r>
        <w:rPr>
          <w:color w:val="auto"/>
          <w:highlight w:val="none"/>
        </w:rPr>
        <w:fldChar w:fldCharType="end"/>
      </w:r>
    </w:p>
    <w:p>
      <w:pPr>
        <w:pStyle w:val="40"/>
        <w:tabs>
          <w:tab w:val="right" w:leader="dot" w:pos="9015"/>
        </w:tabs>
        <w:rPr>
          <w:color w:val="auto"/>
          <w:highlight w:val="none"/>
        </w:rPr>
      </w:pPr>
      <w:r>
        <w:rPr>
          <w:color w:val="auto"/>
          <w:highlight w:val="none"/>
        </w:rPr>
        <w:fldChar w:fldCharType="begin"/>
      </w:r>
      <w:r>
        <w:rPr>
          <w:color w:val="auto"/>
          <w:highlight w:val="none"/>
        </w:rPr>
        <w:instrText xml:space="preserve"> HYPERLINK \l "_Toc407_WPSOffice_Level1" </w:instrText>
      </w:r>
      <w:r>
        <w:rPr>
          <w:color w:val="auto"/>
          <w:highlight w:val="none"/>
        </w:rPr>
        <w:fldChar w:fldCharType="separate"/>
      </w:r>
      <w:r>
        <w:rPr>
          <w:rFonts w:hint="eastAsia"/>
          <w:color w:val="auto"/>
          <w:highlight w:val="none"/>
        </w:rPr>
        <w:t>第二章投标人须知</w:t>
      </w:r>
      <w:r>
        <w:rPr>
          <w:color w:val="auto"/>
          <w:highlight w:val="none"/>
        </w:rPr>
        <w:tab/>
      </w:r>
      <w:bookmarkStart w:id="2" w:name="_Toc407_WPSOffice_Level1Page"/>
      <w:r>
        <w:rPr>
          <w:color w:val="auto"/>
          <w:highlight w:val="none"/>
        </w:rPr>
        <w:t>5</w:t>
      </w:r>
      <w:bookmarkEnd w:id="2"/>
      <w:r>
        <w:rPr>
          <w:color w:val="auto"/>
          <w:highlight w:val="none"/>
        </w:rPr>
        <w:fldChar w:fldCharType="end"/>
      </w:r>
    </w:p>
    <w:p>
      <w:pPr>
        <w:pStyle w:val="40"/>
        <w:tabs>
          <w:tab w:val="right" w:leader="dot" w:pos="9015"/>
        </w:tabs>
        <w:rPr>
          <w:color w:val="auto"/>
          <w:highlight w:val="none"/>
        </w:rPr>
      </w:pPr>
      <w:r>
        <w:rPr>
          <w:color w:val="auto"/>
          <w:highlight w:val="none"/>
        </w:rPr>
        <w:fldChar w:fldCharType="begin"/>
      </w:r>
      <w:r>
        <w:rPr>
          <w:color w:val="auto"/>
          <w:highlight w:val="none"/>
        </w:rPr>
        <w:instrText xml:space="preserve"> HYPERLINK \l "_Toc13620_WPSOffice_Level1" </w:instrText>
      </w:r>
      <w:r>
        <w:rPr>
          <w:color w:val="auto"/>
          <w:highlight w:val="none"/>
        </w:rPr>
        <w:fldChar w:fldCharType="separate"/>
      </w:r>
      <w:r>
        <w:rPr>
          <w:rFonts w:hint="eastAsia" w:ascii="宋体" w:hAnsi="宋体" w:cs="宋体"/>
          <w:color w:val="auto"/>
          <w:highlight w:val="none"/>
        </w:rPr>
        <w:t>第三章 评标办法 (综合评估法)</w:t>
      </w:r>
      <w:r>
        <w:rPr>
          <w:color w:val="auto"/>
          <w:highlight w:val="none"/>
        </w:rPr>
        <w:tab/>
      </w:r>
      <w:bookmarkStart w:id="3" w:name="_Toc13620_WPSOffice_Level1Page"/>
      <w:r>
        <w:rPr>
          <w:color w:val="auto"/>
          <w:highlight w:val="none"/>
        </w:rPr>
        <w:t>33</w:t>
      </w:r>
      <w:bookmarkEnd w:id="3"/>
      <w:r>
        <w:rPr>
          <w:color w:val="auto"/>
          <w:highlight w:val="none"/>
        </w:rPr>
        <w:fldChar w:fldCharType="end"/>
      </w:r>
    </w:p>
    <w:p>
      <w:pPr>
        <w:pStyle w:val="40"/>
        <w:tabs>
          <w:tab w:val="right" w:leader="dot" w:pos="9015"/>
        </w:tabs>
        <w:rPr>
          <w:color w:val="auto"/>
          <w:highlight w:val="none"/>
        </w:rPr>
      </w:pPr>
      <w:r>
        <w:rPr>
          <w:color w:val="auto"/>
          <w:highlight w:val="none"/>
        </w:rPr>
        <w:fldChar w:fldCharType="begin"/>
      </w:r>
      <w:r>
        <w:rPr>
          <w:color w:val="auto"/>
          <w:highlight w:val="none"/>
        </w:rPr>
        <w:instrText xml:space="preserve"> HYPERLINK \l "_Toc13951_WPSOffice_Level1" </w:instrText>
      </w:r>
      <w:r>
        <w:rPr>
          <w:color w:val="auto"/>
          <w:highlight w:val="none"/>
        </w:rPr>
        <w:fldChar w:fldCharType="separate"/>
      </w:r>
      <w:r>
        <w:rPr>
          <w:rFonts w:hint="eastAsia" w:ascii="宋体" w:hAnsi="宋体" w:cs="宋体"/>
          <w:color w:val="auto"/>
          <w:highlight w:val="none"/>
        </w:rPr>
        <w:t>第四章合同条款及格式</w:t>
      </w:r>
      <w:r>
        <w:rPr>
          <w:color w:val="auto"/>
          <w:highlight w:val="none"/>
        </w:rPr>
        <w:tab/>
      </w:r>
      <w:bookmarkStart w:id="4" w:name="_Toc13951_WPSOffice_Level1Page"/>
      <w:r>
        <w:rPr>
          <w:color w:val="auto"/>
          <w:highlight w:val="none"/>
        </w:rPr>
        <w:t>43</w:t>
      </w:r>
      <w:bookmarkEnd w:id="4"/>
      <w:r>
        <w:rPr>
          <w:color w:val="auto"/>
          <w:highlight w:val="none"/>
        </w:rPr>
        <w:fldChar w:fldCharType="end"/>
      </w:r>
    </w:p>
    <w:p>
      <w:pPr>
        <w:pStyle w:val="40"/>
        <w:tabs>
          <w:tab w:val="right" w:leader="dot" w:pos="9015"/>
        </w:tabs>
        <w:rPr>
          <w:color w:val="auto"/>
          <w:highlight w:val="none"/>
        </w:rPr>
      </w:pPr>
      <w:r>
        <w:rPr>
          <w:color w:val="auto"/>
          <w:highlight w:val="none"/>
        </w:rPr>
        <w:fldChar w:fldCharType="begin"/>
      </w:r>
      <w:r>
        <w:rPr>
          <w:color w:val="auto"/>
          <w:highlight w:val="none"/>
        </w:rPr>
        <w:instrText xml:space="preserve"> HYPERLINK \l "_Toc13421_WPSOffice_Level1" </w:instrText>
      </w:r>
      <w:r>
        <w:rPr>
          <w:color w:val="auto"/>
          <w:highlight w:val="none"/>
        </w:rPr>
        <w:fldChar w:fldCharType="separate"/>
      </w:r>
      <w:r>
        <w:rPr>
          <w:rFonts w:hint="eastAsia" w:ascii="宋体" w:hAnsi="宋体" w:cs="宋体"/>
          <w:color w:val="auto"/>
          <w:highlight w:val="none"/>
        </w:rPr>
        <w:t>第五章委托人要求</w:t>
      </w:r>
      <w:r>
        <w:rPr>
          <w:color w:val="auto"/>
          <w:highlight w:val="none"/>
        </w:rPr>
        <w:tab/>
      </w:r>
      <w:bookmarkStart w:id="5" w:name="_Toc13421_WPSOffice_Level1Page"/>
      <w:r>
        <w:rPr>
          <w:color w:val="auto"/>
          <w:highlight w:val="none"/>
        </w:rPr>
        <w:t>44</w:t>
      </w:r>
      <w:bookmarkEnd w:id="5"/>
      <w:r>
        <w:rPr>
          <w:color w:val="auto"/>
          <w:highlight w:val="none"/>
        </w:rPr>
        <w:fldChar w:fldCharType="end"/>
      </w:r>
    </w:p>
    <w:p>
      <w:pPr>
        <w:pStyle w:val="40"/>
        <w:tabs>
          <w:tab w:val="right" w:leader="dot" w:pos="9015"/>
        </w:tabs>
        <w:rPr>
          <w:color w:val="auto"/>
          <w:highlight w:val="none"/>
        </w:rPr>
      </w:pPr>
      <w:r>
        <w:rPr>
          <w:color w:val="auto"/>
          <w:highlight w:val="none"/>
        </w:rPr>
        <w:fldChar w:fldCharType="begin"/>
      </w:r>
      <w:r>
        <w:rPr>
          <w:color w:val="auto"/>
          <w:highlight w:val="none"/>
        </w:rPr>
        <w:instrText xml:space="preserve"> HYPERLINK \l "_Toc29346_WPSOffice_Level1" </w:instrText>
      </w:r>
      <w:r>
        <w:rPr>
          <w:color w:val="auto"/>
          <w:highlight w:val="none"/>
        </w:rPr>
        <w:fldChar w:fldCharType="separate"/>
      </w:r>
      <w:r>
        <w:rPr>
          <w:rFonts w:hint="eastAsia" w:ascii="宋体" w:hAnsi="宋体" w:cs="宋体"/>
          <w:color w:val="auto"/>
          <w:highlight w:val="none"/>
        </w:rPr>
        <w:t>第六章投标文件格式</w:t>
      </w:r>
      <w:r>
        <w:rPr>
          <w:color w:val="auto"/>
          <w:highlight w:val="none"/>
        </w:rPr>
        <w:tab/>
      </w:r>
      <w:bookmarkStart w:id="6" w:name="_Toc29346_WPSOffice_Level1Page"/>
      <w:r>
        <w:rPr>
          <w:color w:val="auto"/>
          <w:highlight w:val="none"/>
        </w:rPr>
        <w:t>49</w:t>
      </w:r>
      <w:bookmarkEnd w:id="6"/>
      <w:r>
        <w:rPr>
          <w:color w:val="auto"/>
          <w:highlight w:val="none"/>
        </w:rPr>
        <w:fldChar w:fldCharType="end"/>
      </w:r>
      <w:bookmarkEnd w:id="0"/>
    </w:p>
    <w:p>
      <w:pPr>
        <w:adjustRightInd w:val="0"/>
        <w:snapToGrid w:val="0"/>
        <w:spacing w:beforeLines="50" w:afterLines="50" w:line="360" w:lineRule="auto"/>
        <w:jc w:val="center"/>
        <w:rPr>
          <w:rStyle w:val="54"/>
          <w:color w:val="auto"/>
          <w:sz w:val="36"/>
          <w:szCs w:val="36"/>
          <w:highlight w:val="none"/>
        </w:rPr>
      </w:pPr>
    </w:p>
    <w:p>
      <w:pPr>
        <w:adjustRightInd w:val="0"/>
        <w:snapToGrid w:val="0"/>
        <w:spacing w:line="360" w:lineRule="auto"/>
        <w:jc w:val="center"/>
        <w:rPr>
          <w:rStyle w:val="54"/>
          <w:color w:val="auto"/>
          <w:sz w:val="36"/>
          <w:szCs w:val="36"/>
          <w:highlight w:val="none"/>
        </w:rPr>
      </w:pPr>
      <w:bookmarkStart w:id="7" w:name="_Toc4659640"/>
      <w:r>
        <w:rPr>
          <w:rStyle w:val="54"/>
          <w:rFonts w:hint="eastAsia"/>
          <w:color w:val="auto"/>
          <w:sz w:val="36"/>
          <w:szCs w:val="36"/>
          <w:highlight w:val="none"/>
        </w:rPr>
        <w:br w:type="page"/>
      </w:r>
    </w:p>
    <w:p>
      <w:pPr>
        <w:adjustRightInd w:val="0"/>
        <w:snapToGrid w:val="0"/>
        <w:spacing w:line="360" w:lineRule="auto"/>
        <w:jc w:val="center"/>
        <w:rPr>
          <w:b/>
          <w:color w:val="auto"/>
          <w:sz w:val="36"/>
          <w:szCs w:val="36"/>
          <w:highlight w:val="none"/>
        </w:rPr>
      </w:pPr>
      <w:bookmarkStart w:id="8" w:name="_Toc25240_WPSOffice_Level1"/>
      <w:r>
        <w:rPr>
          <w:rStyle w:val="54"/>
          <w:rFonts w:hint="eastAsia"/>
          <w:color w:val="auto"/>
          <w:sz w:val="36"/>
          <w:szCs w:val="36"/>
          <w:highlight w:val="none"/>
        </w:rPr>
        <w:t>第一章 招标公告</w:t>
      </w:r>
      <w:bookmarkEnd w:id="7"/>
      <w:bookmarkEnd w:id="8"/>
    </w:p>
    <w:p>
      <w:pPr>
        <w:jc w:val="center"/>
        <w:rPr>
          <w:b/>
          <w:color w:val="auto"/>
          <w:sz w:val="32"/>
          <w:szCs w:val="32"/>
          <w:highlight w:val="none"/>
        </w:rPr>
      </w:pPr>
      <w:r>
        <w:rPr>
          <w:rFonts w:hint="eastAsia"/>
          <w:b/>
          <w:color w:val="auto"/>
          <w:sz w:val="32"/>
          <w:szCs w:val="32"/>
          <w:highlight w:val="none"/>
        </w:rPr>
        <w:t>另册</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Style w:val="54"/>
          <w:color w:val="auto"/>
          <w:sz w:val="36"/>
          <w:szCs w:val="36"/>
          <w:highlight w:val="none"/>
        </w:rPr>
      </w:pPr>
      <w:r>
        <w:rPr>
          <w:color w:val="auto"/>
          <w:highlight w:val="none"/>
        </w:rPr>
        <w:br w:type="page"/>
      </w:r>
      <w:bookmarkStart w:id="9" w:name="_Toc4659643"/>
      <w:bookmarkStart w:id="10" w:name="_Toc407_WPSOffice_Level1"/>
      <w:bookmarkStart w:id="11" w:name="_Toc511140161"/>
      <w:r>
        <w:rPr>
          <w:rStyle w:val="54"/>
          <w:rFonts w:hint="eastAsia"/>
          <w:color w:val="auto"/>
          <w:sz w:val="36"/>
          <w:szCs w:val="36"/>
          <w:highlight w:val="none"/>
        </w:rPr>
        <w:t>第二章投标人须知</w:t>
      </w:r>
      <w:bookmarkEnd w:id="9"/>
      <w:bookmarkEnd w:id="10"/>
      <w:bookmarkEnd w:id="11"/>
    </w:p>
    <w:p>
      <w:pPr>
        <w:pStyle w:val="4"/>
        <w:jc w:val="center"/>
        <w:rPr>
          <w:rFonts w:ascii="Times New Roman" w:hAnsi="Times New Roman"/>
          <w:color w:val="auto"/>
          <w:highlight w:val="none"/>
        </w:rPr>
      </w:pPr>
      <w:r>
        <w:rPr>
          <w:rFonts w:hint="eastAsia" w:ascii="Times New Roman" w:hAnsi="Times New Roman"/>
          <w:color w:val="auto"/>
          <w:highlight w:val="none"/>
        </w:rPr>
        <w:t>投标人须知前附表</w:t>
      </w:r>
    </w:p>
    <w:tbl>
      <w:tblPr>
        <w:tblStyle w:val="26"/>
        <w:tblW w:w="9855" w:type="dxa"/>
        <w:tblInd w:w="-388" w:type="dxa"/>
        <w:tblLayout w:type="fixed"/>
        <w:tblCellMar>
          <w:top w:w="0" w:type="dxa"/>
          <w:left w:w="108" w:type="dxa"/>
          <w:bottom w:w="0" w:type="dxa"/>
          <w:right w:w="108" w:type="dxa"/>
        </w:tblCellMar>
      </w:tblPr>
      <w:tblGrid>
        <w:gridCol w:w="1230"/>
        <w:gridCol w:w="2700"/>
        <w:gridCol w:w="5925"/>
      </w:tblGrid>
      <w:tr>
        <w:tblPrEx>
          <w:tblCellMar>
            <w:top w:w="0" w:type="dxa"/>
            <w:left w:w="108" w:type="dxa"/>
            <w:bottom w:w="0" w:type="dxa"/>
            <w:right w:w="108" w:type="dxa"/>
          </w:tblCellMar>
        </w:tblPrEx>
        <w:trPr>
          <w:trHeight w:val="547" w:hRule="atLeast"/>
          <w:tblHeader/>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条款名称</w:t>
            </w:r>
          </w:p>
        </w:tc>
        <w:tc>
          <w:tcPr>
            <w:tcW w:w="59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tblPrEx>
          <w:tblCellMar>
            <w:top w:w="0" w:type="dxa"/>
            <w:left w:w="108" w:type="dxa"/>
            <w:bottom w:w="0" w:type="dxa"/>
            <w:right w:w="108" w:type="dxa"/>
          </w:tblCellMar>
        </w:tblPrEx>
        <w:trPr>
          <w:trHeight w:val="1364"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1.1.2</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招标人</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广州市海珠区住房和建设局</w:t>
            </w:r>
          </w:p>
          <w:p>
            <w:pPr>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olor w:val="auto"/>
                <w:sz w:val="24"/>
                <w:szCs w:val="24"/>
                <w:highlight w:val="none"/>
                <w:u w:val="single"/>
              </w:rPr>
              <w:t>广州市海珠区新港中路472号</w:t>
            </w:r>
          </w:p>
          <w:p>
            <w:pPr>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olor w:val="auto"/>
                <w:sz w:val="24"/>
                <w:szCs w:val="24"/>
                <w:highlight w:val="none"/>
                <w:u w:val="single"/>
              </w:rPr>
              <w:t>曾工</w:t>
            </w:r>
          </w:p>
          <w:p>
            <w:pPr>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olor w:val="auto"/>
                <w:sz w:val="24"/>
                <w:szCs w:val="24"/>
                <w:highlight w:val="none"/>
                <w:u w:val="single"/>
              </w:rPr>
              <w:t>020-89885694</w:t>
            </w:r>
          </w:p>
        </w:tc>
      </w:tr>
      <w:tr>
        <w:tblPrEx>
          <w:tblCellMar>
            <w:top w:w="0" w:type="dxa"/>
            <w:left w:w="108" w:type="dxa"/>
            <w:bottom w:w="0" w:type="dxa"/>
            <w:right w:w="108" w:type="dxa"/>
          </w:tblCellMar>
        </w:tblPrEx>
        <w:trPr>
          <w:trHeight w:val="1484"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1.1.3</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招标代理机构</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广东省城规建设监理有限公司</w:t>
            </w:r>
          </w:p>
          <w:p>
            <w:pPr>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广东省广州市越秀区东风中路300号之一20楼北向1-10房</w:t>
            </w:r>
          </w:p>
          <w:p>
            <w:pPr>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olor w:val="auto"/>
                <w:sz w:val="24"/>
                <w:szCs w:val="24"/>
                <w:highlight w:val="none"/>
                <w:u w:val="single"/>
              </w:rPr>
              <w:t>刘工</w:t>
            </w:r>
          </w:p>
          <w:p>
            <w:pPr>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olor w:val="auto"/>
                <w:sz w:val="24"/>
                <w:szCs w:val="24"/>
                <w:highlight w:val="none"/>
                <w:u w:val="single"/>
              </w:rPr>
              <w:t>020-83562591</w:t>
            </w:r>
          </w:p>
        </w:tc>
      </w:tr>
      <w:tr>
        <w:tblPrEx>
          <w:tblCellMar>
            <w:top w:w="0" w:type="dxa"/>
            <w:left w:w="108" w:type="dxa"/>
            <w:bottom w:w="0" w:type="dxa"/>
            <w:right w:w="108" w:type="dxa"/>
          </w:tblCellMar>
        </w:tblPrEx>
        <w:trPr>
          <w:trHeight w:val="533"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1.1.4</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招标项目名称</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海珠区十一号线地铁站道路修复工程项目施工监理</w:t>
            </w:r>
          </w:p>
        </w:tc>
      </w:tr>
      <w:tr>
        <w:tblPrEx>
          <w:tblCellMar>
            <w:top w:w="0" w:type="dxa"/>
            <w:left w:w="108" w:type="dxa"/>
            <w:bottom w:w="0" w:type="dxa"/>
            <w:right w:w="108" w:type="dxa"/>
          </w:tblCellMar>
        </w:tblPrEx>
        <w:trPr>
          <w:trHeight w:val="457"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1.1.5</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项目建设地点</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tblPrEx>
          <w:tblCellMar>
            <w:top w:w="0" w:type="dxa"/>
            <w:left w:w="108" w:type="dxa"/>
            <w:bottom w:w="0" w:type="dxa"/>
            <w:right w:w="108" w:type="dxa"/>
          </w:tblCellMar>
        </w:tblPrEx>
        <w:trPr>
          <w:trHeight w:val="577"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1.1.6</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项目建设规模</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tblPrEx>
          <w:tblCellMar>
            <w:top w:w="0" w:type="dxa"/>
            <w:left w:w="108" w:type="dxa"/>
            <w:bottom w:w="0" w:type="dxa"/>
            <w:right w:w="108" w:type="dxa"/>
          </w:tblCellMar>
        </w:tblPrEx>
        <w:trPr>
          <w:trHeight w:val="9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1.1.7</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工程项目施工预计开工日期和建设周期</w:t>
            </w:r>
          </w:p>
        </w:tc>
        <w:tc>
          <w:tcPr>
            <w:tcW w:w="5925"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rPr>
                <w:rFonts w:ascii="宋体" w:hAnsi="宋体" w:cs="宋体"/>
                <w:color w:val="auto"/>
                <w:sz w:val="24"/>
                <w:szCs w:val="24"/>
                <w:highlight w:val="none"/>
                <w:shd w:val="clear" w:color="FFFFFF" w:fill="D9D9D9"/>
              </w:rPr>
            </w:pPr>
            <w:r>
              <w:rPr>
                <w:rFonts w:hint="eastAsia" w:ascii="宋体" w:hAnsi="宋体"/>
                <w:color w:val="auto"/>
                <w:sz w:val="24"/>
                <w:szCs w:val="24"/>
                <w:highlight w:val="none"/>
              </w:rPr>
              <w:t>工期</w:t>
            </w:r>
            <w:r>
              <w:rPr>
                <w:rFonts w:hint="eastAsia" w:ascii="宋体" w:hAnsi="宋体"/>
                <w:color w:val="auto"/>
                <w:sz w:val="24"/>
                <w:szCs w:val="24"/>
                <w:highlight w:val="none"/>
                <w:lang w:val="en-US" w:eastAsia="zh-CN"/>
              </w:rPr>
              <w:t>365</w:t>
            </w:r>
            <w:r>
              <w:rPr>
                <w:rFonts w:hint="eastAsia" w:ascii="宋体" w:hAnsi="宋体"/>
                <w:color w:val="auto"/>
                <w:sz w:val="24"/>
                <w:szCs w:val="24"/>
                <w:highlight w:val="none"/>
              </w:rPr>
              <w:t>个日历天，暂定</w:t>
            </w:r>
            <w:r>
              <w:rPr>
                <w:rFonts w:hint="eastAsia" w:ascii="宋体" w:hAnsi="宋体"/>
                <w:color w:val="auto"/>
                <w:sz w:val="24"/>
                <w:szCs w:val="24"/>
                <w:highlight w:val="none"/>
                <w:lang w:val="en-US" w:eastAsia="zh-CN"/>
              </w:rPr>
              <w:t>2022</w:t>
            </w:r>
            <w:bookmarkStart w:id="347" w:name="_GoBack"/>
            <w:bookmarkEnd w:id="347"/>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月开工。实际开工时间以取得施工许可证后发出开工令的时间为准，工期按实际开工时间调整。</w:t>
            </w:r>
          </w:p>
        </w:tc>
      </w:tr>
      <w:tr>
        <w:tblPrEx>
          <w:tblCellMar>
            <w:top w:w="0" w:type="dxa"/>
            <w:left w:w="108" w:type="dxa"/>
            <w:bottom w:w="0" w:type="dxa"/>
            <w:right w:w="108" w:type="dxa"/>
          </w:tblCellMar>
        </w:tblPrEx>
        <w:trPr>
          <w:trHeight w:val="592"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1.1.8</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建筑安装工程费/工程概算</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tblPrEx>
          <w:tblCellMar>
            <w:top w:w="0" w:type="dxa"/>
            <w:left w:w="108" w:type="dxa"/>
            <w:bottom w:w="0" w:type="dxa"/>
            <w:right w:w="108" w:type="dxa"/>
          </w:tblCellMar>
        </w:tblPrEx>
        <w:trPr>
          <w:trHeight w:val="457"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1.2.1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资金来源及比例</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tblPrEx>
          <w:tblCellMar>
            <w:top w:w="0" w:type="dxa"/>
            <w:left w:w="108" w:type="dxa"/>
            <w:bottom w:w="0" w:type="dxa"/>
            <w:right w:w="108" w:type="dxa"/>
          </w:tblCellMar>
        </w:tblPrEx>
        <w:trPr>
          <w:trHeight w:val="532"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1.2.2</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资金落实情况</w:t>
            </w: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已落实</w:t>
            </w:r>
          </w:p>
        </w:tc>
      </w:tr>
      <w:tr>
        <w:tblPrEx>
          <w:tblCellMar>
            <w:top w:w="0" w:type="dxa"/>
            <w:left w:w="108" w:type="dxa"/>
            <w:bottom w:w="0" w:type="dxa"/>
            <w:right w:w="108" w:type="dxa"/>
          </w:tblCellMar>
        </w:tblPrEx>
        <w:trPr>
          <w:trHeight w:val="607"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1.3.1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tblPrEx>
          <w:tblCellMar>
            <w:top w:w="0" w:type="dxa"/>
            <w:left w:w="108" w:type="dxa"/>
            <w:bottom w:w="0" w:type="dxa"/>
            <w:right w:w="108" w:type="dxa"/>
          </w:tblCellMar>
        </w:tblPrEx>
        <w:trPr>
          <w:trHeight w:val="41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1.3.2</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tblPrEx>
          <w:tblCellMar>
            <w:top w:w="0" w:type="dxa"/>
            <w:left w:w="108" w:type="dxa"/>
            <w:bottom w:w="0" w:type="dxa"/>
            <w:right w:w="108" w:type="dxa"/>
          </w:tblCellMar>
        </w:tblPrEx>
        <w:trPr>
          <w:trHeight w:val="1416"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1.3.3</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质量控制目标：按照国家最新颁布《市政基础设施工程施工质量验收统一标准》及相应配套的各专业验收规范，验收合格。</w:t>
            </w:r>
          </w:p>
        </w:tc>
      </w:tr>
      <w:tr>
        <w:tblPrEx>
          <w:tblCellMar>
            <w:top w:w="0" w:type="dxa"/>
            <w:left w:w="108" w:type="dxa"/>
            <w:bottom w:w="0" w:type="dxa"/>
            <w:right w:w="108" w:type="dxa"/>
          </w:tblCellMar>
        </w:tblPrEx>
        <w:trPr>
          <w:trHeight w:val="2726"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1.4.1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投标人资质条件、能力、信誉</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（1）资质要求：见招标公告投标人资格要求</w:t>
            </w:r>
          </w:p>
          <w:p>
            <w:pPr>
              <w:rPr>
                <w:rFonts w:ascii="宋体" w:hAnsi="宋体" w:cs="宋体"/>
                <w:color w:val="auto"/>
                <w:sz w:val="24"/>
                <w:szCs w:val="24"/>
                <w:highlight w:val="none"/>
              </w:rPr>
            </w:pPr>
            <w:r>
              <w:rPr>
                <w:rFonts w:hint="eastAsia" w:ascii="宋体" w:hAnsi="宋体" w:cs="宋体"/>
                <w:color w:val="auto"/>
                <w:sz w:val="24"/>
                <w:szCs w:val="24"/>
                <w:highlight w:val="none"/>
              </w:rPr>
              <w:t>（2）财务要求：/</w:t>
            </w:r>
          </w:p>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（3）业绩要求：</w:t>
            </w:r>
            <w:r>
              <w:rPr>
                <w:rFonts w:hint="eastAsia" w:ascii="宋体" w:hAnsi="宋体" w:cs="宋体"/>
                <w:color w:val="auto"/>
                <w:sz w:val="24"/>
                <w:szCs w:val="24"/>
                <w:highlight w:val="none"/>
                <w:lang w:val="en-US" w:eastAsia="zh-CN"/>
              </w:rPr>
              <w:t>/</w:t>
            </w:r>
          </w:p>
          <w:p>
            <w:pPr>
              <w:rPr>
                <w:rFonts w:ascii="宋体" w:hAnsi="宋体" w:cs="宋体"/>
                <w:color w:val="auto"/>
                <w:sz w:val="24"/>
                <w:szCs w:val="24"/>
                <w:highlight w:val="none"/>
              </w:rPr>
            </w:pPr>
            <w:r>
              <w:rPr>
                <w:rFonts w:hint="eastAsia" w:ascii="宋体" w:hAnsi="宋体" w:cs="宋体"/>
                <w:color w:val="auto"/>
                <w:sz w:val="24"/>
                <w:szCs w:val="24"/>
                <w:highlight w:val="none"/>
              </w:rPr>
              <w:t>（4）信誉要求：/</w:t>
            </w:r>
          </w:p>
          <w:p>
            <w:pPr>
              <w:rPr>
                <w:rFonts w:ascii="宋体" w:hAnsi="宋体" w:cs="宋体"/>
                <w:color w:val="auto"/>
                <w:sz w:val="24"/>
                <w:szCs w:val="24"/>
                <w:highlight w:val="none"/>
              </w:rPr>
            </w:pPr>
            <w:r>
              <w:rPr>
                <w:rFonts w:hint="eastAsia" w:ascii="宋体" w:hAnsi="宋体" w:cs="宋体"/>
                <w:color w:val="auto"/>
                <w:sz w:val="24"/>
                <w:szCs w:val="24"/>
                <w:highlight w:val="none"/>
              </w:rPr>
              <w:t>（5）总监理工程师的资格要求：见招标公告投标人资格要求</w:t>
            </w:r>
          </w:p>
          <w:p>
            <w:pPr>
              <w:rPr>
                <w:rFonts w:ascii="宋体" w:hAnsi="宋体" w:cs="宋体"/>
                <w:color w:val="auto"/>
                <w:sz w:val="24"/>
                <w:szCs w:val="24"/>
                <w:highlight w:val="none"/>
              </w:rPr>
            </w:pPr>
            <w:r>
              <w:rPr>
                <w:rFonts w:hint="eastAsia" w:ascii="宋体" w:hAnsi="宋体" w:cs="宋体"/>
                <w:color w:val="auto"/>
                <w:sz w:val="24"/>
                <w:szCs w:val="24"/>
                <w:highlight w:val="none"/>
              </w:rPr>
              <w:t>（6）其他主要人员要求：/</w:t>
            </w:r>
          </w:p>
          <w:p>
            <w:pPr>
              <w:rPr>
                <w:rFonts w:ascii="宋体" w:hAnsi="宋体" w:cs="宋体"/>
                <w:color w:val="auto"/>
                <w:sz w:val="24"/>
                <w:szCs w:val="24"/>
                <w:highlight w:val="none"/>
              </w:rPr>
            </w:pPr>
            <w:r>
              <w:rPr>
                <w:rFonts w:hint="eastAsia" w:ascii="宋体" w:hAnsi="宋体" w:cs="宋体"/>
                <w:color w:val="auto"/>
                <w:sz w:val="24"/>
                <w:szCs w:val="24"/>
                <w:highlight w:val="none"/>
              </w:rPr>
              <w:t>（7）试验检测仪器设备要求：/。</w:t>
            </w:r>
          </w:p>
          <w:p>
            <w:pPr>
              <w:rPr>
                <w:rFonts w:ascii="宋体" w:hAnsi="宋体" w:cs="宋体"/>
                <w:color w:val="auto"/>
                <w:sz w:val="24"/>
                <w:szCs w:val="24"/>
                <w:highlight w:val="none"/>
              </w:rPr>
            </w:pPr>
            <w:r>
              <w:rPr>
                <w:rFonts w:hint="eastAsia" w:ascii="宋体" w:hAnsi="宋体" w:cs="宋体"/>
                <w:color w:val="auto"/>
                <w:sz w:val="24"/>
                <w:szCs w:val="24"/>
                <w:highlight w:val="none"/>
              </w:rPr>
              <w:t>（8）其他要求：见招标公告投标人资格要求</w:t>
            </w:r>
          </w:p>
        </w:tc>
      </w:tr>
      <w:tr>
        <w:tblPrEx>
          <w:tblCellMar>
            <w:top w:w="0" w:type="dxa"/>
            <w:left w:w="108" w:type="dxa"/>
            <w:bottom w:w="0" w:type="dxa"/>
            <w:right w:w="108" w:type="dxa"/>
          </w:tblCellMar>
        </w:tblPrEx>
        <w:trPr>
          <w:trHeight w:val="849"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1.4.2</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是否接受联合体投标</w:t>
            </w:r>
          </w:p>
        </w:tc>
        <w:tc>
          <w:tcPr>
            <w:tcW w:w="5925"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cs="宋体"/>
                <w:color w:val="auto"/>
                <w:sz w:val="24"/>
                <w:szCs w:val="24"/>
                <w:highlight w:val="none"/>
              </w:rPr>
            </w:pP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不接受</w:t>
            </w:r>
          </w:p>
          <w:p>
            <w:pPr>
              <w:rPr>
                <w:rFonts w:ascii="宋体" w:hAnsi="宋体" w:cs="宋体"/>
                <w:color w:val="auto"/>
                <w:sz w:val="24"/>
                <w:szCs w:val="24"/>
                <w:highlight w:val="none"/>
              </w:rPr>
            </w:pPr>
            <w:r>
              <w:rPr>
                <w:rFonts w:hint="eastAsia" w:ascii="宋体" w:hAnsi="宋体" w:cs="宋体"/>
                <w:color w:val="auto"/>
                <w:sz w:val="24"/>
                <w:szCs w:val="24"/>
                <w:highlight w:val="none"/>
              </w:rPr>
              <w:t>□接受，应满足下列要求：</w:t>
            </w:r>
          </w:p>
        </w:tc>
      </w:tr>
      <w:tr>
        <w:tblPrEx>
          <w:tblCellMar>
            <w:top w:w="0" w:type="dxa"/>
            <w:left w:w="108" w:type="dxa"/>
            <w:bottom w:w="0" w:type="dxa"/>
            <w:right w:w="108" w:type="dxa"/>
          </w:tblCellMar>
        </w:tblPrEx>
        <w:trPr>
          <w:trHeight w:val="879"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1.4.3</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投标人不得存在的其他情形</w:t>
            </w:r>
          </w:p>
        </w:tc>
        <w:tc>
          <w:tcPr>
            <w:tcW w:w="5925"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ascii="宋体" w:hAnsi="宋体" w:cs="宋体"/>
                <w:color w:val="auto"/>
                <w:spacing w:val="-1"/>
                <w:sz w:val="24"/>
                <w:szCs w:val="24"/>
                <w:highlight w:val="none"/>
              </w:rPr>
              <w:t>（16）在近三年内投标人或其法定代表人、拟委任的总监理工程师有行贿犯罪行为的；</w:t>
            </w:r>
          </w:p>
        </w:tc>
      </w:tr>
      <w:tr>
        <w:tblPrEx>
          <w:tblCellMar>
            <w:top w:w="0" w:type="dxa"/>
            <w:left w:w="108" w:type="dxa"/>
            <w:bottom w:w="0" w:type="dxa"/>
            <w:right w:w="108" w:type="dxa"/>
          </w:tblCellMar>
        </w:tblPrEx>
        <w:trPr>
          <w:trHeight w:val="1482"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1.9.1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5925" w:type="dxa"/>
            <w:tcBorders>
              <w:top w:val="single" w:color="auto" w:sz="4" w:space="0"/>
              <w:left w:val="single" w:color="auto" w:sz="4" w:space="0"/>
              <w:bottom w:val="single" w:color="auto" w:sz="4" w:space="0"/>
              <w:right w:val="single" w:color="auto" w:sz="4" w:space="0"/>
            </w:tcBorders>
            <w:vAlign w:val="center"/>
          </w:tcPr>
          <w:p>
            <w:pPr>
              <w:pStyle w:val="11"/>
              <w:topLinePunct/>
              <w:rPr>
                <w:rFonts w:ascii="宋体" w:hAnsi="宋体" w:cs="宋体"/>
                <w:color w:val="auto"/>
                <w:sz w:val="24"/>
                <w:szCs w:val="24"/>
                <w:highlight w:val="none"/>
              </w:rPr>
            </w:pP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不组织，由投标人自行现场考察。</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□组织，踏勘时间：</w:t>
            </w:r>
          </w:p>
          <w:p>
            <w:pPr>
              <w:pStyle w:val="11"/>
              <w:topLinePunct/>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踏勘集中地点：</w:t>
            </w:r>
          </w:p>
        </w:tc>
      </w:tr>
      <w:tr>
        <w:tblPrEx>
          <w:tblCellMar>
            <w:top w:w="0" w:type="dxa"/>
            <w:left w:w="108" w:type="dxa"/>
            <w:bottom w:w="0" w:type="dxa"/>
            <w:right w:w="108" w:type="dxa"/>
          </w:tblCellMar>
        </w:tblPrEx>
        <w:trPr>
          <w:trHeight w:val="1242"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1.10.1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5925" w:type="dxa"/>
            <w:tcBorders>
              <w:top w:val="single" w:color="auto" w:sz="4" w:space="0"/>
              <w:left w:val="single" w:color="auto" w:sz="4" w:space="0"/>
              <w:bottom w:val="single" w:color="auto" w:sz="4" w:space="0"/>
              <w:right w:val="single" w:color="auto" w:sz="4" w:space="0"/>
            </w:tcBorders>
            <w:vAlign w:val="center"/>
          </w:tcPr>
          <w:p>
            <w:pPr>
              <w:pStyle w:val="11"/>
              <w:topLinePunct/>
              <w:rPr>
                <w:rFonts w:ascii="宋体" w:hAnsi="宋体" w:cs="宋体"/>
                <w:color w:val="auto"/>
                <w:sz w:val="24"/>
                <w:szCs w:val="24"/>
                <w:highlight w:val="none"/>
              </w:rPr>
            </w:pP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不召开</w:t>
            </w:r>
          </w:p>
          <w:p>
            <w:pPr>
              <w:rPr>
                <w:rFonts w:ascii="宋体" w:hAnsi="宋体" w:cs="宋体"/>
                <w:color w:val="auto"/>
                <w:sz w:val="24"/>
                <w:szCs w:val="24"/>
                <w:highlight w:val="none"/>
              </w:rPr>
            </w:pPr>
            <w:r>
              <w:rPr>
                <w:rFonts w:hint="eastAsia" w:ascii="宋体" w:hAnsi="宋体" w:cs="宋体"/>
                <w:color w:val="auto"/>
                <w:sz w:val="24"/>
                <w:szCs w:val="24"/>
                <w:highlight w:val="none"/>
              </w:rPr>
              <w:t>□召开，召开时间：</w:t>
            </w:r>
          </w:p>
          <w:p>
            <w:pPr>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召开地点：</w:t>
            </w:r>
          </w:p>
        </w:tc>
      </w:tr>
      <w:tr>
        <w:tblPrEx>
          <w:tblCellMar>
            <w:top w:w="0" w:type="dxa"/>
            <w:left w:w="108" w:type="dxa"/>
            <w:bottom w:w="0" w:type="dxa"/>
            <w:right w:w="108" w:type="dxa"/>
          </w:tblCellMar>
        </w:tblPrEx>
        <w:trPr>
          <w:trHeight w:val="362" w:hRule="atLeast"/>
        </w:trPr>
        <w:tc>
          <w:tcPr>
            <w:tcW w:w="1230"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1.10.2</w:t>
            </w:r>
          </w:p>
        </w:tc>
        <w:tc>
          <w:tcPr>
            <w:tcW w:w="2700"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投标人在投标预备会前提出问题</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时间：/</w:t>
            </w:r>
          </w:p>
        </w:tc>
      </w:tr>
      <w:tr>
        <w:tblPrEx>
          <w:tblCellMar>
            <w:top w:w="0" w:type="dxa"/>
            <w:left w:w="108" w:type="dxa"/>
            <w:bottom w:w="0" w:type="dxa"/>
            <w:right w:w="108" w:type="dxa"/>
          </w:tblCellMar>
        </w:tblPrEx>
        <w:trPr>
          <w:trHeight w:val="497" w:hRule="atLeast"/>
        </w:trPr>
        <w:tc>
          <w:tcPr>
            <w:tcW w:w="1230"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2700"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形式：/</w:t>
            </w:r>
          </w:p>
        </w:tc>
      </w:tr>
      <w:tr>
        <w:tblPrEx>
          <w:tblCellMar>
            <w:top w:w="0" w:type="dxa"/>
            <w:left w:w="108" w:type="dxa"/>
            <w:bottom w:w="0" w:type="dxa"/>
            <w:right w:w="108" w:type="dxa"/>
          </w:tblCellMar>
        </w:tblPrEx>
        <w:trPr>
          <w:trHeight w:val="497" w:hRule="atLeast"/>
        </w:trPr>
        <w:tc>
          <w:tcPr>
            <w:tcW w:w="1230" w:type="dxa"/>
            <w:tcBorders>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1.10.3</w:t>
            </w:r>
          </w:p>
        </w:tc>
        <w:tc>
          <w:tcPr>
            <w:tcW w:w="2700" w:type="dxa"/>
            <w:tcBorders>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招标文件澄清发出的形式</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rPr>
          <w:trHeight w:val="607"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1.12.1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实质性要求和条件</w:t>
            </w:r>
          </w:p>
        </w:tc>
        <w:tc>
          <w:tcPr>
            <w:tcW w:w="5925" w:type="dxa"/>
            <w:tcBorders>
              <w:top w:val="single" w:color="auto" w:sz="4" w:space="0"/>
              <w:left w:val="single" w:color="auto" w:sz="4" w:space="0"/>
              <w:bottom w:val="single" w:color="auto" w:sz="4" w:space="0"/>
              <w:right w:val="single" w:color="auto" w:sz="4" w:space="0"/>
            </w:tcBorders>
            <w:vAlign w:val="center"/>
          </w:tcPr>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rPr>
          <w:trHeight w:val="1302"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1.12.3</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偏差</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不允许</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□允许，偏差范围：</w:t>
            </w:r>
          </w:p>
          <w:p>
            <w:pPr>
              <w:pStyle w:val="11"/>
              <w:topLinePunct/>
              <w:ind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偏差幅度：</w:t>
            </w:r>
          </w:p>
        </w:tc>
      </w:tr>
      <w:tr>
        <w:tblPrEx>
          <w:tblCellMar>
            <w:top w:w="0" w:type="dxa"/>
            <w:left w:w="108" w:type="dxa"/>
            <w:bottom w:w="0" w:type="dxa"/>
            <w:right w:w="108" w:type="dxa"/>
          </w:tblCellMar>
        </w:tblPrEx>
        <w:trPr>
          <w:trHeight w:val="562"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构成招标文件的其他资料</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一些挂网附件</w:t>
            </w: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rPr>
          <w:trHeight w:val="662" w:hRule="atLeast"/>
        </w:trPr>
        <w:tc>
          <w:tcPr>
            <w:tcW w:w="1230"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2.2.1</w:t>
            </w:r>
          </w:p>
        </w:tc>
        <w:tc>
          <w:tcPr>
            <w:tcW w:w="2700"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投标人要求澄清招标文件</w:t>
            </w: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时间：2022年  月  日  时前。</w:t>
            </w:r>
          </w:p>
        </w:tc>
      </w:tr>
      <w:tr>
        <w:tblPrEx>
          <w:tblCellMar>
            <w:top w:w="0" w:type="dxa"/>
            <w:left w:w="108" w:type="dxa"/>
            <w:bottom w:w="0" w:type="dxa"/>
            <w:right w:w="108" w:type="dxa"/>
          </w:tblCellMar>
        </w:tblPrEx>
        <w:trPr>
          <w:trHeight w:val="1487" w:hRule="atLeast"/>
        </w:trPr>
        <w:tc>
          <w:tcPr>
            <w:tcW w:w="1230"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2700"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形式：投标人的疑问通过广州公共资源交易中心交易平台提交，提交问题时一律不得署名。网上答疑的操作指南详见广州公共资源交易中心网站发布的最新版操作指引。</w:t>
            </w:r>
          </w:p>
        </w:tc>
      </w:tr>
      <w:tr>
        <w:tblPrEx>
          <w:tblCellMar>
            <w:top w:w="0" w:type="dxa"/>
            <w:left w:w="108" w:type="dxa"/>
            <w:bottom w:w="0" w:type="dxa"/>
            <w:right w:w="108" w:type="dxa"/>
          </w:tblCellMar>
        </w:tblPrEx>
        <w:trPr>
          <w:trHeight w:val="859" w:hRule="atLeast"/>
        </w:trPr>
        <w:tc>
          <w:tcPr>
            <w:tcW w:w="1230" w:type="dxa"/>
            <w:tcBorders>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2.2.2</w:t>
            </w:r>
          </w:p>
        </w:tc>
        <w:tc>
          <w:tcPr>
            <w:tcW w:w="2700" w:type="dxa"/>
            <w:tcBorders>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招标文件澄清发出的形式</w:t>
            </w: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在递交投标文件截止时间15天前，在广州公共资源交易中心网站通过项目答疑专区网上公开发布。</w:t>
            </w:r>
          </w:p>
        </w:tc>
      </w:tr>
      <w:tr>
        <w:tblPrEx>
          <w:tblCellMar>
            <w:top w:w="0" w:type="dxa"/>
            <w:left w:w="108" w:type="dxa"/>
            <w:bottom w:w="0" w:type="dxa"/>
            <w:right w:w="108" w:type="dxa"/>
          </w:tblCellMar>
        </w:tblPrEx>
        <w:trPr>
          <w:trHeight w:val="527" w:hRule="atLeast"/>
        </w:trPr>
        <w:tc>
          <w:tcPr>
            <w:tcW w:w="1230"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2.2.3</w:t>
            </w:r>
          </w:p>
        </w:tc>
        <w:tc>
          <w:tcPr>
            <w:tcW w:w="2700"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投标人确认收到招标文件澄清</w:t>
            </w: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时间：发出即视作收到。</w:t>
            </w:r>
          </w:p>
        </w:tc>
      </w:tr>
      <w:tr>
        <w:tblPrEx>
          <w:tblCellMar>
            <w:top w:w="0" w:type="dxa"/>
            <w:left w:w="108" w:type="dxa"/>
            <w:bottom w:w="0" w:type="dxa"/>
            <w:right w:w="108" w:type="dxa"/>
          </w:tblCellMar>
        </w:tblPrEx>
        <w:trPr>
          <w:trHeight w:val="799" w:hRule="atLeast"/>
        </w:trPr>
        <w:tc>
          <w:tcPr>
            <w:tcW w:w="1230"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2700"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形式：招标文件澄清（招标答疑纪要）一经在广州公共资源交易中心网站发布，视作已发放给所有投标人。</w:t>
            </w:r>
          </w:p>
        </w:tc>
      </w:tr>
      <w:tr>
        <w:tblPrEx>
          <w:tblCellMar>
            <w:top w:w="0" w:type="dxa"/>
            <w:left w:w="108" w:type="dxa"/>
            <w:bottom w:w="0" w:type="dxa"/>
            <w:right w:w="108" w:type="dxa"/>
          </w:tblCellMar>
        </w:tblPrEx>
        <w:trPr>
          <w:trHeight w:val="739" w:hRule="atLeast"/>
        </w:trPr>
        <w:tc>
          <w:tcPr>
            <w:tcW w:w="1230" w:type="dxa"/>
            <w:tcBorders>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2.3.1</w:t>
            </w:r>
          </w:p>
        </w:tc>
        <w:tc>
          <w:tcPr>
            <w:tcW w:w="2700" w:type="dxa"/>
            <w:tcBorders>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招标文件修改发出的形式</w:t>
            </w: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以补充公告或项目答疑澄清的方式在广州公共资源交易中心网站发布</w:t>
            </w:r>
          </w:p>
        </w:tc>
      </w:tr>
      <w:tr>
        <w:tblPrEx>
          <w:tblCellMar>
            <w:top w:w="0" w:type="dxa"/>
            <w:left w:w="108" w:type="dxa"/>
            <w:bottom w:w="0" w:type="dxa"/>
            <w:right w:w="108" w:type="dxa"/>
          </w:tblCellMar>
        </w:tblPrEx>
        <w:trPr>
          <w:trHeight w:val="61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2.3.2</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投标人确认收到招标文件修改</w:t>
            </w: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时间：发出即视作收到。</w:t>
            </w:r>
          </w:p>
        </w:tc>
      </w:tr>
      <w:tr>
        <w:tblPrEx>
          <w:tblCellMar>
            <w:top w:w="0" w:type="dxa"/>
            <w:left w:w="108" w:type="dxa"/>
            <w:bottom w:w="0" w:type="dxa"/>
            <w:right w:w="108" w:type="dxa"/>
          </w:tblCellMar>
        </w:tblPrEx>
        <w:trPr>
          <w:trHeight w:val="1646"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tblPrEx>
          <w:tblCellMar>
            <w:top w:w="0" w:type="dxa"/>
            <w:left w:w="108" w:type="dxa"/>
            <w:bottom w:w="0" w:type="dxa"/>
            <w:right w:w="108" w:type="dxa"/>
          </w:tblCellMar>
        </w:tblPrEx>
        <w:trPr>
          <w:trHeight w:val="1894"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3.1.1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构成投标文件的其他资料</w:t>
            </w: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满足本项目评审要求的其他资料等投标人认为需要提供的资料。</w:t>
            </w:r>
          </w:p>
        </w:tc>
      </w:tr>
      <w:tr>
        <w:tblPrEx>
          <w:tblCellMar>
            <w:top w:w="0" w:type="dxa"/>
            <w:left w:w="108" w:type="dxa"/>
            <w:bottom w:w="0" w:type="dxa"/>
            <w:right w:w="108" w:type="dxa"/>
          </w:tblCellMar>
        </w:tblPrEx>
        <w:trPr>
          <w:trHeight w:val="637"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3.2.1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增值税税金的计算方法</w:t>
            </w: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 </w:t>
            </w:r>
          </w:p>
        </w:tc>
      </w:tr>
      <w:tr>
        <w:tblPrEx>
          <w:tblCellMar>
            <w:top w:w="0" w:type="dxa"/>
            <w:left w:w="108" w:type="dxa"/>
            <w:bottom w:w="0" w:type="dxa"/>
            <w:right w:w="108" w:type="dxa"/>
          </w:tblCellMar>
        </w:tblPrEx>
        <w:trPr>
          <w:trHeight w:val="1364"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3.2.3</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报价方式</w:t>
            </w:r>
          </w:p>
        </w:tc>
        <w:tc>
          <w:tcPr>
            <w:tcW w:w="5925"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本招标项目监理服务费采用固定总价报价方式报价（以元为单位，精确到小数位后2位）。</w:t>
            </w:r>
          </w:p>
          <w:p>
            <w:pPr>
              <w:rPr>
                <w:rFonts w:ascii="宋体" w:hAnsi="宋体" w:cs="宋体"/>
                <w:b/>
                <w:color w:val="auto"/>
                <w:sz w:val="24"/>
                <w:szCs w:val="24"/>
                <w:highlight w:val="none"/>
              </w:rPr>
            </w:pPr>
            <w:r>
              <w:rPr>
                <w:rFonts w:hint="eastAsia" w:ascii="宋体" w:hAnsi="宋体" w:cs="宋体"/>
                <w:b/>
                <w:color w:val="auto"/>
                <w:sz w:val="24"/>
                <w:szCs w:val="24"/>
                <w:highlight w:val="none"/>
              </w:rPr>
              <w:t>注：</w:t>
            </w:r>
          </w:p>
          <w:p>
            <w:pPr>
              <w:rPr>
                <w:rFonts w:ascii="宋体" w:hAnsi="宋体" w:cs="宋体"/>
                <w:color w:val="auto"/>
                <w:sz w:val="24"/>
                <w:szCs w:val="24"/>
                <w:highlight w:val="none"/>
              </w:rPr>
            </w:pPr>
            <w:r>
              <w:rPr>
                <w:rFonts w:hint="eastAsia" w:ascii="宋体" w:hAnsi="宋体" w:cs="宋体"/>
                <w:color w:val="auto"/>
                <w:sz w:val="24"/>
                <w:szCs w:val="24"/>
                <w:highlight w:val="none"/>
              </w:rPr>
              <w:t>1、本工程监理费按合同价总价包干，合同价即为结算价，不随工程结算价及施工工期的变化而调整。</w:t>
            </w:r>
          </w:p>
          <w:p>
            <w:pPr>
              <w:rPr>
                <w:color w:val="auto"/>
                <w:highlight w:val="none"/>
              </w:rPr>
            </w:pPr>
            <w:r>
              <w:rPr>
                <w:rFonts w:hint="eastAsia" w:ascii="宋体" w:hAnsi="宋体" w:cs="宋体"/>
                <w:color w:val="auto"/>
                <w:sz w:val="24"/>
                <w:szCs w:val="24"/>
                <w:highlight w:val="none"/>
              </w:rPr>
              <w:t>2、其它详见本招标文件的监理合同相关。</w:t>
            </w:r>
          </w:p>
        </w:tc>
      </w:tr>
      <w:tr>
        <w:tblPrEx>
          <w:tblCellMar>
            <w:top w:w="0" w:type="dxa"/>
            <w:left w:w="108" w:type="dxa"/>
            <w:bottom w:w="0" w:type="dxa"/>
            <w:right w:w="108" w:type="dxa"/>
          </w:tblCellMar>
        </w:tblPrEx>
        <w:trPr>
          <w:trHeight w:val="9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3.2.4</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最高投标限价</w:t>
            </w: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□无</w:t>
            </w:r>
          </w:p>
          <w:p>
            <w:pPr>
              <w:jc w:val="left"/>
              <w:rPr>
                <w:rFonts w:ascii="宋体" w:hAnsi="宋体" w:cs="宋体"/>
                <w:color w:val="auto"/>
                <w:sz w:val="24"/>
                <w:szCs w:val="24"/>
                <w:highlight w:val="none"/>
              </w:rPr>
            </w:pPr>
            <w:r>
              <w:rPr>
                <w:rFonts w:hint="eastAsia" w:ascii="宋体" w:hAnsi="宋体" w:cs="宋体"/>
                <w:color w:val="auto"/>
                <w:sz w:val="24"/>
                <w:szCs w:val="24"/>
                <w:highlight w:val="none"/>
              </w:rPr>
              <w:t>√有，最高投标限价（总价）：</w:t>
            </w:r>
            <w:r>
              <w:rPr>
                <w:rFonts w:hint="eastAsia" w:ascii="宋体" w:hAnsi="宋体" w:cs="宋体"/>
                <w:color w:val="auto"/>
                <w:sz w:val="24"/>
                <w:szCs w:val="24"/>
                <w:highlight w:val="none"/>
                <w:u w:val="single"/>
              </w:rPr>
              <w:t>192.93</w:t>
            </w:r>
            <w:r>
              <w:rPr>
                <w:rFonts w:hint="eastAsia" w:ascii="宋体" w:hAnsi="宋体" w:cs="宋体"/>
                <w:color w:val="auto"/>
                <w:sz w:val="24"/>
                <w:szCs w:val="24"/>
                <w:highlight w:val="none"/>
              </w:rPr>
              <w:t>万元（即招标控制价）</w:t>
            </w:r>
          </w:p>
        </w:tc>
      </w:tr>
      <w:tr>
        <w:tblPrEx>
          <w:tblCellMar>
            <w:top w:w="0" w:type="dxa"/>
            <w:left w:w="108" w:type="dxa"/>
            <w:bottom w:w="0" w:type="dxa"/>
            <w:right w:w="108" w:type="dxa"/>
          </w:tblCellMar>
        </w:tblPrEx>
        <w:trPr>
          <w:trHeight w:val="1092"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3.2.5</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投标报价的其他要求</w:t>
            </w:r>
          </w:p>
        </w:tc>
        <w:tc>
          <w:tcPr>
            <w:tcW w:w="592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投标报价超过最高投标限价的投标文件将被否决其投标。</w:t>
            </w:r>
          </w:p>
          <w:p>
            <w:pPr>
              <w:jc w:val="left"/>
              <w:rPr>
                <w:rFonts w:ascii="宋体" w:hAnsi="宋体" w:cs="宋体"/>
                <w:color w:val="auto"/>
                <w:sz w:val="24"/>
                <w:szCs w:val="24"/>
                <w:highlight w:val="none"/>
              </w:rPr>
            </w:pPr>
            <w:r>
              <w:rPr>
                <w:rFonts w:hint="eastAsia" w:ascii="宋体" w:hAnsi="宋体" w:cs="宋体"/>
                <w:color w:val="auto"/>
                <w:sz w:val="24"/>
                <w:szCs w:val="24"/>
                <w:highlight w:val="none"/>
              </w:rPr>
              <w:t>投标人的报价，应是其按第五章“委托人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tc>
      </w:tr>
      <w:tr>
        <w:tblPrEx>
          <w:tblCellMar>
            <w:top w:w="0" w:type="dxa"/>
            <w:left w:w="108" w:type="dxa"/>
            <w:bottom w:w="0" w:type="dxa"/>
            <w:right w:w="108" w:type="dxa"/>
          </w:tblCellMar>
        </w:tblPrEx>
        <w:trPr>
          <w:trHeight w:val="757"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3.3.1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u w:val="single"/>
              </w:rPr>
              <w:t>120</w:t>
            </w:r>
            <w:r>
              <w:rPr>
                <w:rFonts w:hint="eastAsia" w:ascii="宋体" w:hAnsi="宋体" w:cs="宋体"/>
                <w:color w:val="auto"/>
                <w:sz w:val="24"/>
                <w:szCs w:val="24"/>
                <w:highlight w:val="none"/>
              </w:rPr>
              <w:t>日历天（从投标截止之日算起）。</w:t>
            </w:r>
          </w:p>
        </w:tc>
      </w:tr>
      <w:tr>
        <w:tblPrEx>
          <w:tblCellMar>
            <w:top w:w="0" w:type="dxa"/>
            <w:left w:w="108" w:type="dxa"/>
            <w:bottom w:w="0" w:type="dxa"/>
            <w:right w:w="108" w:type="dxa"/>
          </w:tblCellMar>
        </w:tblPrEx>
        <w:trPr>
          <w:trHeight w:val="1959"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3.4.1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5925" w:type="dxa"/>
            <w:tcBorders>
              <w:top w:val="single" w:color="auto" w:sz="4" w:space="0"/>
              <w:left w:val="single" w:color="auto" w:sz="4" w:space="0"/>
              <w:bottom w:val="single" w:color="auto" w:sz="4" w:space="0"/>
              <w:right w:val="single" w:color="auto" w:sz="4" w:space="0"/>
            </w:tcBorders>
            <w:vAlign w:val="center"/>
          </w:tcPr>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是否要求投标人递交投标保证金：</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□不要求递交投标保证金。</w:t>
            </w:r>
          </w:p>
          <w:p>
            <w:pPr>
              <w:pStyle w:val="11"/>
              <w:topLinePunct/>
              <w:rPr>
                <w:rFonts w:ascii="宋体" w:hAnsi="宋体" w:cs="宋体"/>
                <w:color w:val="auto"/>
                <w:sz w:val="24"/>
                <w:szCs w:val="24"/>
                <w:highlight w:val="none"/>
              </w:rPr>
            </w:pP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要求递交投标保证金。</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 xml:space="preserve">投标保证金的金额：2万元        </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投标保证金有效期：等于或长于投标有效期。</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投标保证金缴纳时间：投标文件递交截止时间之前。</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具体要求：</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1、投标保证金的形式：现金、支票、电汇或银行转账、银行保函、专业工程担保公司担保或保证保险等形式递交。</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2、如采用现金、支票、电汇或银行转账等形式提交的，投标保证金从投标人基本账户递交，由广州公共资源交易中心代收。其缴纳情况以开标时广州公共资源交易中心数据库记录的信息为准。</w:t>
            </w:r>
          </w:p>
          <w:p>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收款单位：广州公共资源交易中心</w:t>
            </w:r>
          </w:p>
          <w:p>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银行账号：44001583404059333333</w:t>
            </w:r>
          </w:p>
          <w:p>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开户银行：中国建设银行天润路支行</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3、如采用银行保函、专业工程担保公司担保或保证保险的形式提交的，在开标前不强制要求投标人提交纸质原件，由中标候选人在中标候选人公示前提交并在网上公示，但投标人应在投标文件中提交银行保函、专业工程担保公司担保或保证保险扫描件并加盖投标人电子印章。如投标人在开标前提交纸质原件的，原件须单独密封（封口处加盖投标人单位公章）并在投标截止时间前15分钟递交至开标室（时间及地点同递交备用投标文件电子光盘的时间及地点）。</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4、如采用电子保函提交投标保证金的，详见广州公共资源交易中心操作指引。</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5、银行投标保函有效期应长于或等于投标有效期，若投标有效期延长的，银行投标保函有效期应相应延长，且延长后的有效期应满足前述要求。投标人提供的银行投标保函应为银行出具的无条件、见索即付、不可撤销的保函。</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6、对于未能按要求交纳投标保证金的投标人，招标人将视为不响应招标文件而予以拒绝，责任由投标人自负。</w:t>
            </w:r>
          </w:p>
        </w:tc>
      </w:tr>
      <w:tr>
        <w:tblPrEx>
          <w:tblCellMar>
            <w:top w:w="0" w:type="dxa"/>
            <w:left w:w="108" w:type="dxa"/>
            <w:bottom w:w="0" w:type="dxa"/>
            <w:right w:w="108" w:type="dxa"/>
          </w:tblCellMar>
        </w:tblPrEx>
        <w:trPr>
          <w:trHeight w:val="906"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3.4.4</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其他可以不予退还投标保证金的情形</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1.投标人采用不正当的手段骗取中标经查实的，不予退还投标保证金。</w:t>
            </w:r>
          </w:p>
          <w:p>
            <w:pPr>
              <w:rPr>
                <w:rFonts w:ascii="宋体" w:hAnsi="宋体" w:cs="宋体"/>
                <w:color w:val="auto"/>
                <w:sz w:val="24"/>
                <w:szCs w:val="24"/>
                <w:highlight w:val="none"/>
              </w:rPr>
            </w:pPr>
            <w:r>
              <w:rPr>
                <w:rFonts w:hint="eastAsia" w:ascii="宋体" w:hAnsi="宋体" w:cs="宋体"/>
                <w:color w:val="auto"/>
                <w:sz w:val="24"/>
                <w:szCs w:val="24"/>
                <w:highlight w:val="none"/>
              </w:rPr>
              <w:t>2.因中标人原因未能在规定期限内签署合同协议。</w:t>
            </w:r>
          </w:p>
        </w:tc>
      </w:tr>
      <w:tr>
        <w:tblPrEx>
          <w:tblCellMar>
            <w:top w:w="0" w:type="dxa"/>
            <w:left w:w="108" w:type="dxa"/>
            <w:bottom w:w="0" w:type="dxa"/>
            <w:right w:w="108" w:type="dxa"/>
          </w:tblCellMar>
        </w:tblPrEx>
        <w:trPr>
          <w:trHeight w:val="906"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3.5</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资格审查资料的特殊要求</w:t>
            </w:r>
          </w:p>
        </w:tc>
        <w:tc>
          <w:tcPr>
            <w:tcW w:w="5925" w:type="dxa"/>
            <w:tcBorders>
              <w:top w:val="single" w:color="auto" w:sz="4" w:space="0"/>
              <w:left w:val="single" w:color="auto" w:sz="4" w:space="0"/>
              <w:bottom w:val="single" w:color="auto" w:sz="4" w:space="0"/>
              <w:right w:val="single" w:color="auto" w:sz="4" w:space="0"/>
            </w:tcBorders>
            <w:vAlign w:val="center"/>
          </w:tcPr>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□无</w:t>
            </w:r>
          </w:p>
          <w:p>
            <w:pPr>
              <w:pStyle w:val="11"/>
              <w:topLinePunct/>
              <w:rPr>
                <w:rFonts w:ascii="宋体" w:hAnsi="宋体" w:cs="宋体"/>
                <w:color w:val="auto"/>
                <w:sz w:val="24"/>
                <w:szCs w:val="24"/>
                <w:highlight w:val="none"/>
              </w:rPr>
            </w:pP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有，具体要求：</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本招标项目资格审查不要求提供“近年财务状况表”、“正在监理和新承接的项目情况表”、“近年发生的诉讼及仲裁情况”，以上不作为本项目资格审查内容；本招标项目要求提供的“拟委任的主要人员汇总表”、“拟投入本项目的主要试验检测仪器设备表”资料，但不作为资格审查内容，上述内容资料需提供且作为评标资料（如有）。</w:t>
            </w:r>
          </w:p>
        </w:tc>
      </w:tr>
      <w:tr>
        <w:tblPrEx>
          <w:tblCellMar>
            <w:top w:w="0" w:type="dxa"/>
            <w:left w:w="108" w:type="dxa"/>
            <w:bottom w:w="0" w:type="dxa"/>
            <w:right w:w="108" w:type="dxa"/>
          </w:tblCellMar>
        </w:tblPrEx>
        <w:trPr>
          <w:trHeight w:val="906"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3.5.2</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近年财务状况的年份要求</w:t>
            </w:r>
          </w:p>
        </w:tc>
        <w:tc>
          <w:tcPr>
            <w:tcW w:w="5925"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年至</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p>
        </w:tc>
      </w:tr>
      <w:tr>
        <w:tblPrEx>
          <w:tblCellMar>
            <w:top w:w="0" w:type="dxa"/>
            <w:left w:w="108" w:type="dxa"/>
            <w:bottom w:w="0" w:type="dxa"/>
            <w:right w:w="108" w:type="dxa"/>
          </w:tblCellMar>
        </w:tblPrEx>
        <w:trPr>
          <w:trHeight w:val="906"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3.5.3</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近年完成的类似项目情况的时间要求</w:t>
            </w:r>
          </w:p>
        </w:tc>
        <w:tc>
          <w:tcPr>
            <w:tcW w:w="5925"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u w:val="single"/>
                <w:lang w:val="en-US" w:eastAsia="zh-CN"/>
              </w:rPr>
              <w:t>/</w:t>
            </w:r>
          </w:p>
        </w:tc>
      </w:tr>
      <w:tr>
        <w:tblPrEx>
          <w:tblCellMar>
            <w:top w:w="0" w:type="dxa"/>
            <w:left w:w="108" w:type="dxa"/>
            <w:bottom w:w="0" w:type="dxa"/>
            <w:right w:w="108" w:type="dxa"/>
          </w:tblCellMar>
        </w:tblPrEx>
        <w:trPr>
          <w:trHeight w:val="906"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3.5.5</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近年发生的诉讼及仲裁情况的时间要求</w:t>
            </w:r>
          </w:p>
        </w:tc>
        <w:tc>
          <w:tcPr>
            <w:tcW w:w="5925"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年至</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p>
        </w:tc>
      </w:tr>
      <w:tr>
        <w:tblPrEx>
          <w:tblCellMar>
            <w:top w:w="0" w:type="dxa"/>
            <w:left w:w="108" w:type="dxa"/>
            <w:bottom w:w="0" w:type="dxa"/>
            <w:right w:w="108" w:type="dxa"/>
          </w:tblCellMar>
        </w:tblPrEx>
        <w:trPr>
          <w:trHeight w:val="906"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3.6.1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是否允许递交备选投标方案</w:t>
            </w:r>
          </w:p>
        </w:tc>
        <w:tc>
          <w:tcPr>
            <w:tcW w:w="5925" w:type="dxa"/>
            <w:tcBorders>
              <w:top w:val="single" w:color="auto" w:sz="4" w:space="0"/>
              <w:left w:val="single" w:color="auto" w:sz="4" w:space="0"/>
              <w:bottom w:val="single" w:color="auto" w:sz="4" w:space="0"/>
              <w:right w:val="single" w:color="auto" w:sz="4" w:space="0"/>
            </w:tcBorders>
            <w:vAlign w:val="center"/>
          </w:tcPr>
          <w:p>
            <w:pPr>
              <w:pStyle w:val="11"/>
              <w:topLinePunct/>
              <w:rPr>
                <w:rFonts w:ascii="宋体" w:hAnsi="宋体" w:cs="宋体"/>
                <w:color w:val="auto"/>
                <w:sz w:val="24"/>
                <w:szCs w:val="24"/>
                <w:highlight w:val="none"/>
              </w:rPr>
            </w:pP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不允许</w:t>
            </w:r>
          </w:p>
          <w:p>
            <w:pPr>
              <w:rPr>
                <w:rFonts w:ascii="宋体" w:hAnsi="宋体" w:cs="宋体"/>
                <w:color w:val="auto"/>
                <w:sz w:val="24"/>
                <w:szCs w:val="24"/>
                <w:highlight w:val="none"/>
              </w:rPr>
            </w:pPr>
            <w:r>
              <w:rPr>
                <w:rFonts w:hint="eastAsia" w:ascii="宋体" w:hAnsi="宋体" w:cs="宋体"/>
                <w:color w:val="auto"/>
                <w:sz w:val="24"/>
                <w:szCs w:val="24"/>
                <w:highlight w:val="none"/>
              </w:rPr>
              <w:t>□允许</w:t>
            </w:r>
          </w:p>
        </w:tc>
      </w:tr>
      <w:tr>
        <w:tblPrEx>
          <w:tblCellMar>
            <w:top w:w="0" w:type="dxa"/>
            <w:left w:w="108" w:type="dxa"/>
            <w:bottom w:w="0" w:type="dxa"/>
            <w:right w:w="108" w:type="dxa"/>
          </w:tblCellMar>
        </w:tblPrEx>
        <w:trPr>
          <w:trHeight w:val="804"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3.7.3A（2）</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投标文件副本份数及其他要求</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rPr>
          <w:trHeight w:val="532"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3.7.3A（3）</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投标文件是否需分册装订</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rPr>
          <w:trHeight w:val="1047"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3.7.3（B）</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投标文件所附证书证件要求</w:t>
            </w:r>
          </w:p>
        </w:tc>
        <w:tc>
          <w:tcPr>
            <w:tcW w:w="5925" w:type="dxa"/>
            <w:tcBorders>
              <w:top w:val="single" w:color="auto" w:sz="4" w:space="0"/>
              <w:left w:val="single" w:color="auto" w:sz="4" w:space="0"/>
              <w:bottom w:val="single" w:color="auto" w:sz="4" w:space="0"/>
              <w:right w:val="single" w:color="auto" w:sz="4" w:space="0"/>
            </w:tcBorders>
          </w:tcPr>
          <w:p>
            <w:pPr>
              <w:topLinePunct/>
              <w:rPr>
                <w:rFonts w:ascii="宋体" w:hAnsi="宋体" w:cs="宋体"/>
                <w:color w:val="auto"/>
                <w:sz w:val="24"/>
                <w:szCs w:val="24"/>
                <w:highlight w:val="none"/>
              </w:rPr>
            </w:pPr>
            <w:r>
              <w:rPr>
                <w:rFonts w:hint="eastAsia" w:ascii="宋体" w:hAnsi="宋体" w:cs="宋体"/>
                <w:color w:val="auto"/>
                <w:sz w:val="24"/>
                <w:szCs w:val="24"/>
                <w:highlight w:val="none"/>
              </w:rPr>
              <w:t>证书证件需为原件清晰扫描件，并采用单位数字证书，按照招标文件要求在相应位置加盖电子印章。暂不实施关于采用个人数字证书和加盖个人电子印章的要求。</w:t>
            </w:r>
          </w:p>
        </w:tc>
      </w:tr>
      <w:tr>
        <w:tblPrEx>
          <w:tblCellMar>
            <w:top w:w="0" w:type="dxa"/>
            <w:left w:w="108" w:type="dxa"/>
            <w:bottom w:w="0" w:type="dxa"/>
            <w:right w:w="108" w:type="dxa"/>
          </w:tblCellMar>
        </w:tblPrEx>
        <w:trPr>
          <w:trHeight w:val="1984"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3.7.3（B）</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投标文件签字或盖章要求</w:t>
            </w:r>
          </w:p>
        </w:tc>
        <w:tc>
          <w:tcPr>
            <w:tcW w:w="5925" w:type="dxa"/>
            <w:tcBorders>
              <w:top w:val="single" w:color="auto" w:sz="4" w:space="0"/>
              <w:left w:val="single" w:color="auto" w:sz="4" w:space="0"/>
              <w:bottom w:val="single" w:color="auto" w:sz="4" w:space="0"/>
              <w:right w:val="single" w:color="auto" w:sz="4" w:space="0"/>
            </w:tcBorders>
            <w:vAlign w:val="center"/>
          </w:tcPr>
          <w:p>
            <w:pPr>
              <w:topLinePunct/>
              <w:jc w:val="left"/>
              <w:rPr>
                <w:rFonts w:ascii="宋体" w:hAnsi="宋体" w:cs="宋体"/>
                <w:color w:val="auto"/>
                <w:sz w:val="24"/>
                <w:szCs w:val="24"/>
                <w:highlight w:val="none"/>
              </w:rPr>
            </w:pPr>
            <w:r>
              <w:rPr>
                <w:rFonts w:hint="eastAsia" w:ascii="宋体" w:hAnsi="宋体" w:cs="宋体"/>
                <w:color w:val="auto"/>
                <w:sz w:val="24"/>
                <w:szCs w:val="24"/>
                <w:highlight w:val="none"/>
              </w:rPr>
              <w:t>取消在招标文件中采用个人数字证书和加盖个人电子印章要求，投标文件中需法定代表人、代理人签字或加盖电子印章的，应在线下完成后扫描上传，对加盖个人电子印章不做要求。投标文件按招标文件要求加盖单位电子印章。相关操作详见</w:t>
            </w:r>
            <w:r>
              <w:rPr>
                <w:rFonts w:hint="eastAsia" w:ascii="宋体" w:hAnsi="宋体" w:cs="宋体"/>
                <w:b/>
                <w:color w:val="auto"/>
                <w:sz w:val="24"/>
                <w:szCs w:val="24"/>
                <w:highlight w:val="none"/>
              </w:rPr>
              <w:t>《房屋建筑和市政基础设施工程全流程电子化项目专章》。</w:t>
            </w:r>
          </w:p>
        </w:tc>
      </w:tr>
      <w:tr>
        <w:tblPrEx>
          <w:tblCellMar>
            <w:top w:w="0" w:type="dxa"/>
            <w:left w:w="108" w:type="dxa"/>
            <w:bottom w:w="0" w:type="dxa"/>
            <w:right w:w="108" w:type="dxa"/>
          </w:tblCellMar>
        </w:tblPrEx>
        <w:trPr>
          <w:trHeight w:val="819"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4.1.1（B）</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投标文件加密要求</w:t>
            </w:r>
          </w:p>
        </w:tc>
        <w:tc>
          <w:tcPr>
            <w:tcW w:w="5925" w:type="dxa"/>
            <w:tcBorders>
              <w:top w:val="single" w:color="auto" w:sz="4" w:space="0"/>
              <w:left w:val="single" w:color="auto" w:sz="4" w:space="0"/>
              <w:bottom w:val="single" w:color="auto" w:sz="4" w:space="0"/>
              <w:right w:val="single" w:color="auto" w:sz="4" w:space="0"/>
            </w:tcBorders>
            <w:vAlign w:val="center"/>
          </w:tcPr>
          <w:p>
            <w:pPr>
              <w:topLinePunct/>
              <w:jc w:val="left"/>
              <w:rPr>
                <w:rFonts w:ascii="宋体" w:hAnsi="宋体" w:cs="宋体"/>
                <w:color w:val="auto"/>
                <w:sz w:val="24"/>
                <w:szCs w:val="24"/>
                <w:highlight w:val="none"/>
              </w:rPr>
            </w:pPr>
            <w:r>
              <w:rPr>
                <w:rFonts w:hint="eastAsia" w:ascii="宋体" w:hAnsi="宋体" w:cs="宋体"/>
                <w:color w:val="auto"/>
                <w:sz w:val="24"/>
                <w:szCs w:val="24"/>
                <w:highlight w:val="none"/>
              </w:rPr>
              <w:t>网上递交的电子投标文件须进行加密。具体操作详见附件《房建市政全流程电子化项目操作专章》。</w:t>
            </w:r>
          </w:p>
        </w:tc>
      </w:tr>
      <w:tr>
        <w:tblPrEx>
          <w:tblCellMar>
            <w:top w:w="0" w:type="dxa"/>
            <w:left w:w="108" w:type="dxa"/>
            <w:bottom w:w="0" w:type="dxa"/>
            <w:right w:w="108" w:type="dxa"/>
          </w:tblCellMar>
        </w:tblPrEx>
        <w:trPr>
          <w:trHeight w:val="622"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4.1.2</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封套上应载明的信息</w:t>
            </w:r>
          </w:p>
        </w:tc>
        <w:tc>
          <w:tcPr>
            <w:tcW w:w="5925" w:type="dxa"/>
            <w:tcBorders>
              <w:top w:val="single" w:color="auto" w:sz="4" w:space="0"/>
              <w:left w:val="single" w:color="auto" w:sz="4" w:space="0"/>
              <w:bottom w:val="single" w:color="auto" w:sz="4" w:space="0"/>
              <w:right w:val="single" w:color="auto" w:sz="4" w:space="0"/>
            </w:tcBorders>
            <w:vAlign w:val="center"/>
          </w:tcPr>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如有提交投标文件光盘备用，封套上应注明如下信息：</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招标人名称：</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招标人地址：</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 xml:space="preserve">          （项目名称）施工监理招标项目投标文件</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招标项目编号：</w:t>
            </w:r>
          </w:p>
          <w:p>
            <w:pPr>
              <w:pStyle w:val="11"/>
              <w:topLinePunct/>
              <w:rPr>
                <w:rFonts w:ascii="宋体" w:hAnsi="宋体" w:cs="宋体"/>
                <w:color w:val="auto"/>
                <w:sz w:val="24"/>
                <w:szCs w:val="24"/>
                <w:highlight w:val="none"/>
              </w:rPr>
            </w:pPr>
            <w:r>
              <w:rPr>
                <w:rFonts w:hint="eastAsia" w:ascii="宋体" w:hAnsi="宋体" w:cs="宋体"/>
                <w:color w:val="auto"/>
                <w:sz w:val="24"/>
                <w:szCs w:val="24"/>
                <w:highlight w:val="none"/>
              </w:rPr>
              <w:t>在    年    月    日    时前不得开启</w:t>
            </w:r>
          </w:p>
        </w:tc>
      </w:tr>
      <w:tr>
        <w:tblPrEx>
          <w:tblCellMar>
            <w:top w:w="0" w:type="dxa"/>
            <w:left w:w="108" w:type="dxa"/>
            <w:bottom w:w="0" w:type="dxa"/>
            <w:right w:w="108" w:type="dxa"/>
          </w:tblCellMar>
        </w:tblPrEx>
        <w:trPr>
          <w:trHeight w:val="607"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4.2.1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投标截止时间</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年  月  日  时  分 </w:t>
            </w:r>
            <w:r>
              <w:rPr>
                <w:rFonts w:hint="eastAsia" w:ascii="宋体" w:hAnsi="宋体" w:cs="宋体"/>
                <w:color w:val="auto"/>
                <w:kern w:val="0"/>
                <w:sz w:val="24"/>
                <w:szCs w:val="24"/>
                <w:highlight w:val="none"/>
              </w:rPr>
              <w:t>（北京时间）</w:t>
            </w:r>
          </w:p>
        </w:tc>
      </w:tr>
      <w:tr>
        <w:tblPrEx>
          <w:tblCellMar>
            <w:top w:w="0" w:type="dxa"/>
            <w:left w:w="108" w:type="dxa"/>
            <w:bottom w:w="0" w:type="dxa"/>
            <w:right w:w="108" w:type="dxa"/>
          </w:tblCellMar>
        </w:tblPrEx>
        <w:trPr>
          <w:trHeight w:val="576"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4.2.2（A）</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递交投标文件地点</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rPr>
          <w:trHeight w:val="639"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4.2.3</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投标文件是否退还</w:t>
            </w:r>
          </w:p>
        </w:tc>
        <w:tc>
          <w:tcPr>
            <w:tcW w:w="5925" w:type="dxa"/>
            <w:tcBorders>
              <w:top w:val="single" w:color="auto" w:sz="4" w:space="0"/>
              <w:left w:val="single" w:color="auto" w:sz="4" w:space="0"/>
              <w:bottom w:val="single" w:color="auto" w:sz="4" w:space="0"/>
              <w:right w:val="single" w:color="auto" w:sz="4" w:space="0"/>
            </w:tcBorders>
            <w:vAlign w:val="center"/>
          </w:tcPr>
          <w:p>
            <w:pPr>
              <w:pStyle w:val="11"/>
              <w:topLinePunct/>
              <w:spacing w:after="0"/>
              <w:rPr>
                <w:rFonts w:ascii="宋体" w:hAnsi="宋体" w:cs="宋体"/>
                <w:color w:val="auto"/>
                <w:sz w:val="24"/>
                <w:szCs w:val="24"/>
                <w:highlight w:val="none"/>
              </w:rPr>
            </w:pPr>
            <w:r>
              <w:rPr>
                <w:rFonts w:hint="eastAsia" w:ascii="宋体" w:hAnsi="宋体" w:cs="宋体"/>
                <w:color w:val="auto"/>
                <w:spacing w:val="-1"/>
                <w:sz w:val="24"/>
                <w:szCs w:val="24"/>
                <w:highlight w:val="none"/>
              </w:rPr>
              <w:fldChar w:fldCharType="begin"/>
            </w:r>
            <w:r>
              <w:rPr>
                <w:rFonts w:hint="eastAsia" w:ascii="宋体" w:hAnsi="宋体" w:cs="宋体"/>
                <w:color w:val="auto"/>
                <w:spacing w:val="-1"/>
                <w:sz w:val="24"/>
                <w:szCs w:val="24"/>
                <w:highlight w:val="none"/>
              </w:rPr>
              <w:instrText xml:space="preserve"> EQ \o\ac(</w:instrText>
            </w:r>
            <w:r>
              <w:rPr>
                <w:rFonts w:hint="eastAsia" w:ascii="宋体" w:hAnsi="宋体" w:cs="宋体"/>
                <w:color w:val="auto"/>
                <w:spacing w:val="-1"/>
                <w:position w:val="-4"/>
                <w:sz w:val="36"/>
                <w:szCs w:val="24"/>
                <w:highlight w:val="none"/>
              </w:rPr>
              <w:instrText xml:space="preserve">□</w:instrText>
            </w:r>
            <w:r>
              <w:rPr>
                <w:rFonts w:hint="eastAsia" w:ascii="宋体" w:hAnsi="宋体" w:cs="宋体"/>
                <w:color w:val="auto"/>
                <w:spacing w:val="-1"/>
                <w:sz w:val="24"/>
                <w:szCs w:val="24"/>
                <w:highlight w:val="none"/>
              </w:rPr>
              <w:instrText xml:space="preserve">,√)</w:instrText>
            </w:r>
            <w:r>
              <w:rPr>
                <w:rFonts w:hint="eastAsia" w:ascii="宋体" w:hAnsi="宋体" w:cs="宋体"/>
                <w:color w:val="auto"/>
                <w:spacing w:val="-1"/>
                <w:sz w:val="24"/>
                <w:szCs w:val="24"/>
                <w:highlight w:val="none"/>
              </w:rPr>
              <w:fldChar w:fldCharType="end"/>
            </w:r>
            <w:r>
              <w:rPr>
                <w:rFonts w:hint="eastAsia" w:ascii="宋体" w:hAnsi="宋体" w:cs="宋体"/>
                <w:color w:val="auto"/>
                <w:sz w:val="24"/>
                <w:szCs w:val="24"/>
                <w:highlight w:val="none"/>
              </w:rPr>
              <w:t>否</w:t>
            </w:r>
          </w:p>
          <w:p>
            <w:pPr>
              <w:pStyle w:val="11"/>
              <w:topLinePunct/>
              <w:spacing w:after="0"/>
              <w:rPr>
                <w:rFonts w:ascii="宋体" w:hAnsi="宋体" w:cs="宋体"/>
                <w:color w:val="auto"/>
                <w:sz w:val="24"/>
                <w:szCs w:val="24"/>
                <w:highlight w:val="none"/>
              </w:rPr>
            </w:pPr>
            <w:r>
              <w:rPr>
                <w:rFonts w:hint="eastAsia" w:ascii="宋体" w:hAnsi="宋体" w:cs="宋体"/>
                <w:color w:val="auto"/>
                <w:sz w:val="24"/>
                <w:szCs w:val="24"/>
                <w:highlight w:val="none"/>
              </w:rPr>
              <w:t>□是，退还时间：</w:t>
            </w:r>
          </w:p>
        </w:tc>
      </w:tr>
      <w:tr>
        <w:tblPrEx>
          <w:tblCellMar>
            <w:top w:w="0" w:type="dxa"/>
            <w:left w:w="108" w:type="dxa"/>
            <w:bottom w:w="0" w:type="dxa"/>
            <w:right w:w="108" w:type="dxa"/>
          </w:tblCellMar>
        </w:tblPrEx>
        <w:trPr>
          <w:trHeight w:val="580" w:hRule="atLeast"/>
        </w:trPr>
        <w:tc>
          <w:tcPr>
            <w:tcW w:w="1230" w:type="dxa"/>
            <w:tcBorders>
              <w:top w:val="single" w:color="auto" w:sz="4" w:space="0"/>
              <w:left w:val="single" w:color="auto" w:sz="4" w:space="0"/>
              <w:bottom w:val="nil"/>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5.1（A）</w:t>
            </w:r>
          </w:p>
        </w:tc>
        <w:tc>
          <w:tcPr>
            <w:tcW w:w="2700" w:type="dxa"/>
            <w:tcBorders>
              <w:top w:val="single" w:color="auto" w:sz="4" w:space="0"/>
              <w:left w:val="single" w:color="auto" w:sz="4" w:space="0"/>
              <w:bottom w:val="nil"/>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开标时间和地点</w:t>
            </w:r>
          </w:p>
        </w:tc>
        <w:tc>
          <w:tcPr>
            <w:tcW w:w="5925" w:type="dxa"/>
            <w:tcBorders>
              <w:top w:val="single" w:color="auto" w:sz="4" w:space="0"/>
              <w:left w:val="single" w:color="auto" w:sz="4" w:space="0"/>
              <w:bottom w:val="nil"/>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CellMar>
            <w:top w:w="0" w:type="dxa"/>
            <w:left w:w="108" w:type="dxa"/>
            <w:bottom w:w="0" w:type="dxa"/>
            <w:right w:w="108" w:type="dxa"/>
          </w:tblCellMar>
        </w:tblPrEx>
        <w:trPr>
          <w:trHeight w:val="90" w:hRule="atLeast"/>
        </w:trPr>
        <w:tc>
          <w:tcPr>
            <w:tcW w:w="1230" w:type="dxa"/>
            <w:tcBorders>
              <w:top w:val="single" w:color="auto" w:sz="4" w:space="0"/>
              <w:left w:val="single" w:color="auto" w:sz="4" w:space="0"/>
              <w:bottom w:val="nil"/>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5.1（B）</w:t>
            </w:r>
          </w:p>
        </w:tc>
        <w:tc>
          <w:tcPr>
            <w:tcW w:w="2700" w:type="dxa"/>
            <w:tcBorders>
              <w:top w:val="single" w:color="auto" w:sz="4" w:space="0"/>
              <w:left w:val="single" w:color="auto" w:sz="4" w:space="0"/>
              <w:bottom w:val="nil"/>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开标时间和地点</w:t>
            </w:r>
          </w:p>
        </w:tc>
        <w:tc>
          <w:tcPr>
            <w:tcW w:w="5925" w:type="dxa"/>
            <w:tcBorders>
              <w:top w:val="single" w:color="auto" w:sz="4" w:space="0"/>
              <w:left w:val="single" w:color="auto" w:sz="4" w:space="0"/>
              <w:bottom w:val="nil"/>
              <w:right w:val="single" w:color="auto" w:sz="4" w:space="0"/>
            </w:tcBorders>
            <w:vAlign w:val="center"/>
          </w:tcPr>
          <w:p>
            <w:pPr>
              <w:rPr>
                <w:rFonts w:ascii="宋体" w:hAnsi="宋体" w:cs="宋体"/>
                <w:color w:val="auto"/>
                <w:sz w:val="24"/>
                <w:szCs w:val="24"/>
                <w:highlight w:val="none"/>
              </w:rPr>
            </w:pPr>
            <w:r>
              <w:rPr>
                <w:rFonts w:hint="eastAsia" w:ascii="宋体" w:hAnsi="宋体"/>
                <w:color w:val="auto"/>
                <w:sz w:val="24"/>
                <w:szCs w:val="24"/>
                <w:highlight w:val="none"/>
              </w:rPr>
              <w:t>招标人在本章第 4.2.1 项规定的投标截止时间（开标时间）,通过电子招标投标交易平台公开开标。</w:t>
            </w:r>
          </w:p>
        </w:tc>
      </w:tr>
      <w:tr>
        <w:tblPrEx>
          <w:tblCellMar>
            <w:top w:w="0" w:type="dxa"/>
            <w:left w:w="108" w:type="dxa"/>
            <w:bottom w:w="0" w:type="dxa"/>
            <w:right w:w="108" w:type="dxa"/>
          </w:tblCellMar>
        </w:tblPrEx>
        <w:trPr>
          <w:trHeight w:val="381"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5.2（4）（A）</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CellMar>
            <w:top w:w="0" w:type="dxa"/>
            <w:left w:w="108" w:type="dxa"/>
            <w:bottom w:w="0" w:type="dxa"/>
            <w:right w:w="108" w:type="dxa"/>
          </w:tblCellMar>
        </w:tblPrEx>
        <w:trPr>
          <w:trHeight w:val="663"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5.2（B）</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电子招投标项目开标按下列程序进行：</w:t>
            </w:r>
          </w:p>
          <w:p>
            <w:pPr>
              <w:rPr>
                <w:rFonts w:ascii="宋体" w:hAnsi="宋体" w:cs="宋体"/>
                <w:color w:val="auto"/>
                <w:sz w:val="24"/>
                <w:szCs w:val="24"/>
                <w:highlight w:val="none"/>
              </w:rPr>
            </w:pPr>
            <w:r>
              <w:rPr>
                <w:rFonts w:hint="eastAsia" w:ascii="宋体" w:hAnsi="宋体" w:cs="宋体"/>
                <w:color w:val="auto"/>
                <w:sz w:val="24"/>
                <w:szCs w:val="24"/>
                <w:highlight w:val="none"/>
              </w:rPr>
              <w:t>5.2.1主持人按下列程序进行开标：</w:t>
            </w:r>
          </w:p>
          <w:p>
            <w:pPr>
              <w:rPr>
                <w:rFonts w:ascii="宋体" w:hAnsi="宋体" w:cs="宋体"/>
                <w:color w:val="auto"/>
                <w:sz w:val="24"/>
                <w:szCs w:val="24"/>
                <w:highlight w:val="none"/>
              </w:rPr>
            </w:pPr>
            <w:r>
              <w:rPr>
                <w:rFonts w:hint="eastAsia" w:ascii="宋体" w:hAnsi="宋体" w:cs="宋体"/>
                <w:color w:val="auto"/>
                <w:sz w:val="24"/>
                <w:szCs w:val="24"/>
                <w:highlight w:val="none"/>
              </w:rPr>
              <w:t>（1）宣布开标纪律；</w:t>
            </w:r>
          </w:p>
          <w:p>
            <w:pPr>
              <w:rPr>
                <w:rFonts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pPr>
              <w:rPr>
                <w:rFonts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pPr>
              <w:rPr>
                <w:rFonts w:ascii="宋体" w:hAnsi="宋体" w:cs="宋体"/>
                <w:color w:val="auto"/>
                <w:sz w:val="24"/>
                <w:szCs w:val="24"/>
                <w:highlight w:val="none"/>
              </w:rPr>
            </w:pPr>
            <w:r>
              <w:rPr>
                <w:rFonts w:hint="eastAsia" w:ascii="宋体" w:hAnsi="宋体" w:cs="宋体"/>
                <w:color w:val="auto"/>
                <w:sz w:val="24"/>
                <w:szCs w:val="24"/>
                <w:highlight w:val="none"/>
              </w:rPr>
              <w:t>（4）投标人通过电子招标投标交易平台对已递交的电子投标文件进行解密，公布招标项目名称、投标人名称、投标保证金的递交情况、投标报价、监理服务期限及其他内容，并记录在案；</w:t>
            </w:r>
          </w:p>
          <w:p>
            <w:pPr>
              <w:rPr>
                <w:rFonts w:ascii="宋体" w:hAnsi="宋体" w:cs="宋体"/>
                <w:color w:val="auto"/>
                <w:sz w:val="24"/>
                <w:szCs w:val="24"/>
                <w:highlight w:val="none"/>
              </w:rPr>
            </w:pPr>
            <w:r>
              <w:rPr>
                <w:rFonts w:hint="eastAsia" w:ascii="宋体" w:hAnsi="宋体" w:cs="宋体"/>
                <w:color w:val="auto"/>
                <w:sz w:val="24"/>
                <w:szCs w:val="24"/>
                <w:highlight w:val="none"/>
              </w:rPr>
              <w:t>（5）投标人代表、招标人代表、监标人、记录人等有关人员在开标记录上签字确认；若有关人员不签字的，不影响开标程序；</w:t>
            </w:r>
          </w:p>
          <w:p>
            <w:pPr>
              <w:rPr>
                <w:rFonts w:ascii="宋体" w:hAnsi="宋体" w:cs="宋体"/>
                <w:color w:val="auto"/>
                <w:sz w:val="24"/>
                <w:szCs w:val="24"/>
                <w:highlight w:val="none"/>
              </w:rPr>
            </w:pPr>
            <w:r>
              <w:rPr>
                <w:rFonts w:hint="eastAsia" w:ascii="宋体" w:hAnsi="宋体" w:cs="宋体"/>
                <w:color w:val="auto"/>
                <w:sz w:val="24"/>
                <w:szCs w:val="24"/>
                <w:highlight w:val="none"/>
              </w:rPr>
              <w:t>（6）开标结束。</w:t>
            </w:r>
          </w:p>
          <w:p>
            <w:pPr>
              <w:rPr>
                <w:rFonts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视为投标人其撤回投标文件。因投标人原因造成投标文件未解密的或未在投标截止时间后半小时解密的，视为撤销其投标文件。</w:t>
            </w:r>
          </w:p>
          <w:p>
            <w:pPr>
              <w:rPr>
                <w:rFonts w:ascii="宋体" w:hAnsi="宋体" w:cs="宋体"/>
                <w:color w:val="auto"/>
                <w:sz w:val="24"/>
                <w:szCs w:val="24"/>
                <w:highlight w:val="none"/>
              </w:rPr>
            </w:pPr>
            <w:r>
              <w:rPr>
                <w:rFonts w:hint="eastAsia" w:ascii="宋体" w:hAnsi="宋体" w:cs="宋体"/>
                <w:color w:val="auto"/>
                <w:sz w:val="24"/>
                <w:szCs w:val="24"/>
                <w:highlight w:val="none"/>
              </w:rPr>
              <w:t>5.2.3开标时，两个（含两个）以上的投标人加密打包投标文件电脑机器特征码一致的，不参与下一程序，并由评标委员会否决其投标。</w:t>
            </w:r>
          </w:p>
        </w:tc>
      </w:tr>
      <w:tr>
        <w:tblPrEx>
          <w:tblCellMar>
            <w:top w:w="0" w:type="dxa"/>
            <w:left w:w="108" w:type="dxa"/>
            <w:bottom w:w="0" w:type="dxa"/>
            <w:right w:w="108" w:type="dxa"/>
          </w:tblCellMar>
        </w:tblPrEx>
        <w:trPr>
          <w:trHeight w:val="663"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5.2（B）</w:t>
            </w:r>
          </w:p>
          <w:p>
            <w:pPr>
              <w:jc w:val="center"/>
              <w:rPr>
                <w:rFonts w:ascii="宋体" w:hAnsi="宋体" w:cs="宋体"/>
                <w:color w:val="auto"/>
                <w:sz w:val="24"/>
                <w:szCs w:val="24"/>
                <w:highlight w:val="none"/>
              </w:rPr>
            </w:pPr>
            <w:r>
              <w:rPr>
                <w:rFonts w:hint="eastAsia" w:ascii="宋体" w:hAnsi="宋体" w:cs="宋体"/>
                <w:color w:val="auto"/>
                <w:szCs w:val="21"/>
                <w:highlight w:val="none"/>
              </w:rPr>
              <w:t>（新增）</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开标异议</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开标时，投标人代表有权出席开标会，也可以自主决定不参加开标会，若投标人代表对开标过程提出异议，应当在开标现场提出，该投标人代表须同时出示本人身份证原件，招标人当场作出答复，并制作记录。</w:t>
            </w:r>
          </w:p>
        </w:tc>
      </w:tr>
      <w:tr>
        <w:tblPrEx>
          <w:tblCellMar>
            <w:top w:w="0" w:type="dxa"/>
            <w:left w:w="108" w:type="dxa"/>
            <w:bottom w:w="0" w:type="dxa"/>
            <w:right w:w="108" w:type="dxa"/>
          </w:tblCellMar>
        </w:tblPrEx>
        <w:trPr>
          <w:trHeight w:val="60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6.1.1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评标委员会由招标人依法组建。</w:t>
            </w:r>
          </w:p>
        </w:tc>
      </w:tr>
      <w:tr>
        <w:tblPrEx>
          <w:tblCellMar>
            <w:top w:w="0" w:type="dxa"/>
            <w:left w:w="108" w:type="dxa"/>
            <w:bottom w:w="0" w:type="dxa"/>
            <w:right w:w="108" w:type="dxa"/>
          </w:tblCellMar>
        </w:tblPrEx>
        <w:trPr>
          <w:trHeight w:val="69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6.3.2</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评标委员会推荐中标候选人的人数</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olor w:val="auto"/>
                <w:sz w:val="24"/>
                <w:szCs w:val="24"/>
                <w:highlight w:val="none"/>
              </w:rPr>
              <w:t>推荐中标候选人</w:t>
            </w:r>
            <w:r>
              <w:rPr>
                <w:rFonts w:hint="eastAsia" w:ascii="宋体" w:hAnsi="宋体"/>
                <w:color w:val="auto"/>
                <w:sz w:val="24"/>
                <w:szCs w:val="24"/>
                <w:highlight w:val="none"/>
                <w:u w:val="single"/>
              </w:rPr>
              <w:t>3人</w:t>
            </w:r>
          </w:p>
        </w:tc>
      </w:tr>
      <w:tr>
        <w:tblPrEx>
          <w:tblCellMar>
            <w:top w:w="0" w:type="dxa"/>
            <w:left w:w="108" w:type="dxa"/>
            <w:bottom w:w="0" w:type="dxa"/>
            <w:right w:w="108" w:type="dxa"/>
          </w:tblCellMar>
        </w:tblPrEx>
        <w:trPr>
          <w:trHeight w:val="895"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7.1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中标候选人公示媒介及期限</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u w:val="single"/>
              </w:rPr>
            </w:pPr>
            <w:r>
              <w:rPr>
                <w:rFonts w:hint="eastAsia" w:ascii="宋体" w:hAnsi="宋体" w:cs="宋体"/>
                <w:color w:val="auto"/>
                <w:sz w:val="24"/>
                <w:szCs w:val="24"/>
                <w:highlight w:val="none"/>
              </w:rPr>
              <w:t>公示媒介：</w:t>
            </w:r>
            <w:r>
              <w:rPr>
                <w:rFonts w:hint="eastAsia" w:ascii="宋体" w:hAnsi="宋体" w:cs="宋体"/>
                <w:color w:val="auto"/>
                <w:sz w:val="24"/>
                <w:szCs w:val="24"/>
                <w:highlight w:val="none"/>
                <w:u w:val="single"/>
              </w:rPr>
              <w:t>中国招标投标公共服务平台、广东省招标投标监管网、广州公共资源交易网</w:t>
            </w:r>
          </w:p>
          <w:p>
            <w:pPr>
              <w:rPr>
                <w:rFonts w:ascii="宋体" w:hAnsi="宋体" w:cs="宋体"/>
                <w:color w:val="auto"/>
                <w:sz w:val="24"/>
                <w:szCs w:val="24"/>
                <w:highlight w:val="none"/>
              </w:rPr>
            </w:pPr>
            <w:r>
              <w:rPr>
                <w:rFonts w:hint="eastAsia" w:ascii="宋体" w:hAnsi="宋体" w:cs="宋体"/>
                <w:color w:val="auto"/>
                <w:sz w:val="24"/>
                <w:szCs w:val="24"/>
                <w:highlight w:val="none"/>
              </w:rPr>
              <w:t>公示期限：</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日</w:t>
            </w:r>
          </w:p>
        </w:tc>
      </w:tr>
      <w:tr>
        <w:tblPrEx>
          <w:tblCellMar>
            <w:top w:w="0" w:type="dxa"/>
            <w:left w:w="108" w:type="dxa"/>
            <w:bottom w:w="0" w:type="dxa"/>
            <w:right w:w="108" w:type="dxa"/>
          </w:tblCellMar>
        </w:tblPrEx>
        <w:trPr>
          <w:trHeight w:val="645"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7.4</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是否授权评标委员会确定中标人</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否</w:t>
            </w:r>
          </w:p>
        </w:tc>
      </w:tr>
      <w:tr>
        <w:tblPrEx>
          <w:tblCellMar>
            <w:top w:w="0" w:type="dxa"/>
            <w:left w:w="108" w:type="dxa"/>
            <w:bottom w:w="0" w:type="dxa"/>
            <w:right w:w="108" w:type="dxa"/>
          </w:tblCellMar>
        </w:tblPrEx>
        <w:trPr>
          <w:trHeight w:val="2606"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7.6.1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5925" w:type="dxa"/>
            <w:tcBorders>
              <w:top w:val="single" w:color="auto" w:sz="4" w:space="0"/>
              <w:left w:val="single" w:color="auto" w:sz="4" w:space="0"/>
              <w:bottom w:val="single" w:color="auto" w:sz="4" w:space="0"/>
              <w:right w:val="single" w:color="auto" w:sz="4" w:space="0"/>
            </w:tcBorders>
            <w:vAlign w:val="center"/>
          </w:tcPr>
          <w:p>
            <w:pPr>
              <w:pStyle w:val="11"/>
              <w:topLinePunct/>
              <w:spacing w:after="0"/>
              <w:rPr>
                <w:rFonts w:ascii="宋体" w:hAnsi="宋体" w:cs="宋体"/>
                <w:color w:val="auto"/>
                <w:sz w:val="24"/>
                <w:szCs w:val="24"/>
                <w:highlight w:val="none"/>
              </w:rPr>
            </w:pPr>
            <w:r>
              <w:rPr>
                <w:rFonts w:hint="eastAsia" w:ascii="宋体" w:hAnsi="宋体" w:cs="宋体"/>
                <w:color w:val="auto"/>
                <w:sz w:val="24"/>
                <w:szCs w:val="24"/>
                <w:highlight w:val="none"/>
              </w:rPr>
              <w:t>是否要求中标人提交履约保证金：</w:t>
            </w:r>
          </w:p>
          <w:p>
            <w:pPr>
              <w:pStyle w:val="11"/>
              <w:topLinePunct/>
              <w:spacing w:after="0"/>
              <w:rPr>
                <w:rFonts w:ascii="宋体" w:hAnsi="宋体" w:cs="宋体"/>
                <w:color w:val="auto"/>
                <w:sz w:val="24"/>
                <w:szCs w:val="24"/>
                <w:highlight w:val="none"/>
              </w:rPr>
            </w:pPr>
            <w:r>
              <w:rPr>
                <w:rFonts w:hint="eastAsia" w:ascii="宋体" w:hAnsi="宋体" w:cs="宋体"/>
                <w:color w:val="auto"/>
                <w:spacing w:val="-1"/>
                <w:sz w:val="24"/>
                <w:szCs w:val="24"/>
                <w:highlight w:val="none"/>
              </w:rPr>
              <w:fldChar w:fldCharType="begin"/>
            </w:r>
            <w:r>
              <w:rPr>
                <w:rFonts w:hint="eastAsia" w:ascii="宋体" w:hAnsi="宋体" w:cs="宋体"/>
                <w:color w:val="auto"/>
                <w:spacing w:val="-1"/>
                <w:sz w:val="24"/>
                <w:szCs w:val="24"/>
                <w:highlight w:val="none"/>
              </w:rPr>
              <w:instrText xml:space="preserve"> EQ \o\ac(</w:instrText>
            </w:r>
            <w:r>
              <w:rPr>
                <w:rFonts w:hint="eastAsia" w:ascii="宋体" w:hAnsi="宋体" w:cs="宋体"/>
                <w:color w:val="auto"/>
                <w:spacing w:val="-1"/>
                <w:position w:val="-4"/>
                <w:sz w:val="36"/>
                <w:szCs w:val="24"/>
                <w:highlight w:val="none"/>
              </w:rPr>
              <w:instrText xml:space="preserve">□</w:instrText>
            </w:r>
            <w:r>
              <w:rPr>
                <w:rFonts w:hint="eastAsia" w:ascii="宋体" w:hAnsi="宋体" w:cs="宋体"/>
                <w:color w:val="auto"/>
                <w:spacing w:val="-1"/>
                <w:sz w:val="24"/>
                <w:szCs w:val="24"/>
                <w:highlight w:val="none"/>
              </w:rPr>
              <w:instrText xml:space="preserve">,√)</w:instrText>
            </w:r>
            <w:r>
              <w:rPr>
                <w:rFonts w:hint="eastAsia" w:ascii="宋体" w:hAnsi="宋体" w:cs="宋体"/>
                <w:color w:val="auto"/>
                <w:spacing w:val="-1"/>
                <w:sz w:val="24"/>
                <w:szCs w:val="24"/>
                <w:highlight w:val="none"/>
              </w:rPr>
              <w:fldChar w:fldCharType="end"/>
            </w:r>
            <w:r>
              <w:rPr>
                <w:rFonts w:hint="eastAsia" w:ascii="宋体" w:hAnsi="宋体" w:cs="宋体"/>
                <w:color w:val="auto"/>
                <w:sz w:val="24"/>
                <w:szCs w:val="24"/>
                <w:highlight w:val="none"/>
              </w:rPr>
              <w:t>要求，履约保证金的形式：在中国注册的银行开具的履约保函。中标人应在签订合同后10日内提交履约保函。</w:t>
            </w:r>
          </w:p>
          <w:p>
            <w:pPr>
              <w:pStyle w:val="11"/>
              <w:topLinePunct/>
              <w:spacing w:after="0"/>
              <w:rPr>
                <w:rFonts w:ascii="宋体" w:hAnsi="宋体" w:cs="宋体"/>
                <w:color w:val="auto"/>
                <w:sz w:val="24"/>
                <w:szCs w:val="24"/>
                <w:highlight w:val="none"/>
              </w:rPr>
            </w:pPr>
            <w:r>
              <w:rPr>
                <w:rFonts w:hint="eastAsia" w:ascii="宋体" w:hAnsi="宋体" w:cs="宋体"/>
                <w:color w:val="auto"/>
                <w:sz w:val="24"/>
                <w:szCs w:val="24"/>
                <w:highlight w:val="none"/>
              </w:rPr>
              <w:t>履约保证金的金额：中标价款的10%</w:t>
            </w:r>
          </w:p>
          <w:p>
            <w:pPr>
              <w:pStyle w:val="11"/>
              <w:topLinePunct/>
              <w:spacing w:after="0"/>
              <w:rPr>
                <w:rFonts w:ascii="宋体" w:hAnsi="宋体" w:cs="宋体"/>
                <w:color w:val="auto"/>
                <w:sz w:val="24"/>
                <w:szCs w:val="24"/>
                <w:highlight w:val="none"/>
              </w:rPr>
            </w:pPr>
            <w:r>
              <w:rPr>
                <w:rFonts w:hint="eastAsia" w:ascii="宋体" w:hAnsi="宋体" w:cs="宋体"/>
                <w:color w:val="auto"/>
                <w:sz w:val="24"/>
                <w:szCs w:val="24"/>
                <w:highlight w:val="none"/>
              </w:rPr>
              <w:t>（履约保函到期但本项目未工程结算的，无论何种原因，投标人承诺无条件续保，如履约保函到期不提供续保则承担一般违约责任）</w:t>
            </w:r>
          </w:p>
          <w:p>
            <w:pPr>
              <w:pStyle w:val="11"/>
              <w:topLinePunct/>
              <w:spacing w:after="0"/>
              <w:rPr>
                <w:rFonts w:ascii="宋体" w:hAnsi="宋体" w:cs="宋体"/>
                <w:color w:val="auto"/>
                <w:sz w:val="24"/>
                <w:szCs w:val="24"/>
                <w:highlight w:val="none"/>
              </w:rPr>
            </w:pPr>
            <w:r>
              <w:rPr>
                <w:rFonts w:hint="eastAsia" w:ascii="宋体" w:hAnsi="宋体" w:cs="宋体"/>
                <w:color w:val="auto"/>
                <w:sz w:val="24"/>
                <w:szCs w:val="24"/>
                <w:highlight w:val="none"/>
              </w:rPr>
              <w:t>□不要求</w:t>
            </w:r>
          </w:p>
        </w:tc>
      </w:tr>
      <w:tr>
        <w:tblPrEx>
          <w:tblCellMar>
            <w:top w:w="0" w:type="dxa"/>
            <w:left w:w="108" w:type="dxa"/>
            <w:bottom w:w="0" w:type="dxa"/>
            <w:right w:w="108" w:type="dxa"/>
          </w:tblCellMar>
        </w:tblPrEx>
        <w:trPr>
          <w:trHeight w:val="1133"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是否采用电子招标投标</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□否</w:t>
            </w:r>
          </w:p>
          <w:p>
            <w:pPr>
              <w:rPr>
                <w:rFonts w:ascii="宋体" w:hAnsi="宋体" w:cs="宋体"/>
                <w:color w:val="auto"/>
                <w:sz w:val="24"/>
                <w:szCs w:val="24"/>
                <w:highlight w:val="none"/>
              </w:rPr>
            </w:pPr>
            <w:r>
              <w:rPr>
                <w:rFonts w:hint="eastAsia" w:ascii="宋体" w:hAnsi="宋体" w:cs="宋体"/>
                <w:color w:val="auto"/>
                <w:sz w:val="24"/>
                <w:szCs w:val="24"/>
                <w:highlight w:val="none"/>
              </w:rPr>
              <w:t>■是，具体要求：</w:t>
            </w:r>
          </w:p>
          <w:p>
            <w:pPr>
              <w:rPr>
                <w:rFonts w:ascii="宋体" w:hAnsi="宋体" w:cs="宋体"/>
                <w:color w:val="auto"/>
                <w:sz w:val="24"/>
                <w:szCs w:val="24"/>
                <w:highlight w:val="none"/>
              </w:rPr>
            </w:pPr>
            <w:r>
              <w:rPr>
                <w:rFonts w:hint="eastAsia" w:ascii="宋体" w:hAnsi="宋体" w:cs="宋体"/>
                <w:color w:val="auto"/>
                <w:sz w:val="24"/>
                <w:szCs w:val="24"/>
                <w:highlight w:val="none"/>
              </w:rPr>
              <w:t>1、具体操作详见《房屋建筑和市政基础设施工程全流程电子化项目专章》。</w:t>
            </w:r>
          </w:p>
          <w:p>
            <w:pPr>
              <w:rPr>
                <w:rFonts w:ascii="宋体" w:hAnsi="宋体" w:cs="宋体"/>
                <w:color w:val="auto"/>
                <w:sz w:val="24"/>
                <w:szCs w:val="24"/>
                <w:highlight w:val="none"/>
              </w:rPr>
            </w:pPr>
            <w:r>
              <w:rPr>
                <w:rFonts w:hint="eastAsia" w:ascii="宋体" w:hAnsi="宋体" w:cs="宋体"/>
                <w:color w:val="auto"/>
                <w:sz w:val="24"/>
                <w:szCs w:val="24"/>
                <w:highlight w:val="none"/>
              </w:rPr>
              <w:t>2、提交投标文件光盘备用</w:t>
            </w:r>
          </w:p>
          <w:p>
            <w:pPr>
              <w:rPr>
                <w:rFonts w:ascii="宋体" w:hAnsi="宋体" w:cs="宋体"/>
                <w:color w:val="auto"/>
                <w:sz w:val="24"/>
                <w:szCs w:val="24"/>
                <w:highlight w:val="none"/>
              </w:rPr>
            </w:pPr>
            <w:r>
              <w:rPr>
                <w:rFonts w:hint="eastAsia" w:ascii="宋体" w:hAnsi="宋体" w:cs="宋体"/>
                <w:color w:val="auto"/>
                <w:sz w:val="24"/>
                <w:szCs w:val="24"/>
                <w:highlight w:val="none"/>
              </w:rPr>
              <w:t>投标人将按《房屋建筑和市政基础设施工程全流程电子化项目专章》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pPr>
              <w:rPr>
                <w:rFonts w:ascii="宋体" w:hAnsi="宋体" w:cs="宋体"/>
                <w:color w:val="auto"/>
                <w:sz w:val="24"/>
                <w:szCs w:val="24"/>
                <w:highlight w:val="none"/>
              </w:rPr>
            </w:pPr>
            <w:r>
              <w:rPr>
                <w:rFonts w:hint="eastAsia" w:ascii="宋体" w:hAnsi="宋体" w:cs="宋体"/>
                <w:color w:val="auto"/>
                <w:sz w:val="24"/>
                <w:szCs w:val="24"/>
                <w:highlight w:val="none"/>
              </w:rPr>
              <w:t>3、补救方案</w:t>
            </w:r>
          </w:p>
          <w:p>
            <w:pPr>
              <w:rPr>
                <w:rFonts w:ascii="宋体" w:hAnsi="宋体" w:cs="宋体"/>
                <w:color w:val="auto"/>
                <w:sz w:val="24"/>
                <w:szCs w:val="24"/>
                <w:highlight w:val="none"/>
              </w:rPr>
            </w:pPr>
            <w:r>
              <w:rPr>
                <w:rFonts w:hint="eastAsia" w:ascii="宋体" w:hAnsi="宋体" w:cs="宋体"/>
                <w:color w:val="auto"/>
                <w:sz w:val="24"/>
                <w:szCs w:val="24"/>
                <w:highlight w:val="none"/>
              </w:rPr>
              <w:t>（1）投标文件解密失败的补救方案：</w:t>
            </w:r>
          </w:p>
          <w:p>
            <w:pPr>
              <w:rPr>
                <w:rFonts w:ascii="宋体" w:hAnsi="宋体" w:cs="宋体"/>
                <w:color w:val="auto"/>
                <w:sz w:val="24"/>
                <w:szCs w:val="24"/>
                <w:highlight w:val="none"/>
              </w:rPr>
            </w:pPr>
            <w:r>
              <w:rPr>
                <w:rFonts w:hint="eastAsia" w:ascii="宋体" w:hAnsi="宋体" w:cs="宋体"/>
                <w:color w:val="auto"/>
                <w:sz w:val="24"/>
                <w:szCs w:val="24"/>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w:t>
            </w:r>
          </w:p>
          <w:p>
            <w:pPr>
              <w:rPr>
                <w:rFonts w:ascii="宋体" w:hAnsi="宋体" w:cs="宋体"/>
                <w:color w:val="auto"/>
                <w:sz w:val="24"/>
                <w:szCs w:val="24"/>
                <w:highlight w:val="none"/>
              </w:rPr>
            </w:pPr>
            <w:r>
              <w:rPr>
                <w:rFonts w:hint="eastAsia" w:ascii="宋体" w:hAnsi="宋体" w:cs="宋体"/>
                <w:color w:val="auto"/>
                <w:sz w:val="24"/>
                <w:szCs w:val="24"/>
                <w:highlight w:val="none"/>
              </w:rPr>
              <w:t>（2）评标时突发情况的补救方案</w:t>
            </w:r>
          </w:p>
          <w:p>
            <w:pPr>
              <w:rPr>
                <w:rFonts w:ascii="宋体" w:hAnsi="宋体" w:cs="宋体"/>
                <w:color w:val="auto"/>
                <w:sz w:val="24"/>
                <w:szCs w:val="24"/>
                <w:highlight w:val="none"/>
              </w:rPr>
            </w:pPr>
            <w:r>
              <w:rPr>
                <w:rFonts w:hint="eastAsia" w:ascii="宋体" w:hAnsi="宋体" w:cs="宋体"/>
                <w:color w:val="auto"/>
                <w:sz w:val="24"/>
                <w:szCs w:val="24"/>
                <w:highlight w:val="none"/>
              </w:rPr>
              <w:t>若遇不可抗力发生（如：网络瘫痪、服务器损坏、交易系统故障短期无法恢复等因素），由评标委员会开启现场递交的全部投标文件光盘，并按光盘内容进行评审。</w:t>
            </w:r>
          </w:p>
          <w:p>
            <w:pPr>
              <w:snapToGrid w:val="0"/>
              <w:rPr>
                <w:rFonts w:ascii="宋体" w:hAnsi="宋体" w:cs="宋体"/>
                <w:color w:val="auto"/>
                <w:sz w:val="24"/>
                <w:szCs w:val="24"/>
                <w:highlight w:val="none"/>
              </w:rPr>
            </w:pPr>
            <w:r>
              <w:rPr>
                <w:rFonts w:hint="eastAsia" w:ascii="宋体" w:hAnsi="宋体" w:cs="宋体"/>
                <w:color w:val="auto"/>
                <w:sz w:val="24"/>
                <w:szCs w:val="24"/>
                <w:highlight w:val="none"/>
              </w:rPr>
              <w:t>（3）除发生上述情况外，开标评标均以投标人通过交易平台网上递交的电子投标文件为准。</w:t>
            </w:r>
          </w:p>
        </w:tc>
      </w:tr>
      <w:tr>
        <w:tblPrEx>
          <w:tblCellMar>
            <w:top w:w="0" w:type="dxa"/>
            <w:left w:w="108" w:type="dxa"/>
            <w:bottom w:w="0" w:type="dxa"/>
            <w:right w:w="108" w:type="dxa"/>
          </w:tblCellMar>
        </w:tblPrEx>
        <w:trPr>
          <w:trHeight w:val="880" w:hRule="atLeast"/>
        </w:trPr>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需要补充的其他内容</w:t>
            </w:r>
          </w:p>
        </w:tc>
        <w:tc>
          <w:tcPr>
            <w:tcW w:w="59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CellMar>
            <w:top w:w="0" w:type="dxa"/>
            <w:left w:w="108" w:type="dxa"/>
            <w:bottom w:w="0" w:type="dxa"/>
            <w:right w:w="108" w:type="dxa"/>
          </w:tblCellMar>
        </w:tblPrEx>
        <w:trPr>
          <w:trHeight w:val="5676" w:hRule="atLeast"/>
        </w:trPr>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10.1</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特别提示</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1.投标人在本项目招标人的工程项目中存在下列行为的，将被拒绝一定时期内参与我单位后续工程投标。（注：拒绝投标时限由招标人视严重程度确定，最低三个月起，自招标人发出通知之日起计）：</w:t>
            </w:r>
          </w:p>
          <w:p>
            <w:pPr>
              <w:widowControl/>
              <w:shd w:val="clear" w:color="auto" w:fill="FFFFFF"/>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（1）将中标工程转包或者违法分包的；</w:t>
            </w:r>
          </w:p>
          <w:p>
            <w:pPr>
              <w:widowControl/>
              <w:shd w:val="clear" w:color="auto" w:fill="FFFFFF"/>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（2）在中标工程中不执行质量、安全生产相关规定的，造成质量或安全事故的；</w:t>
            </w:r>
          </w:p>
          <w:p>
            <w:pPr>
              <w:widowControl/>
              <w:shd w:val="clear" w:color="auto" w:fill="FFFFFF"/>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（3）存在围标或串标情形的；</w:t>
            </w: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（4）存在弄虚作假骗取中标情形的；</w:t>
            </w:r>
          </w:p>
          <w:p>
            <w:pPr>
              <w:rPr>
                <w:rFonts w:ascii="宋体" w:hAnsi="宋体" w:cs="宋体"/>
                <w:color w:val="auto"/>
                <w:sz w:val="24"/>
                <w:szCs w:val="24"/>
                <w:highlight w:val="none"/>
              </w:rPr>
            </w:pPr>
            <w:r>
              <w:rPr>
                <w:rFonts w:hint="eastAsia" w:ascii="宋体" w:hAnsi="宋体" w:cs="宋体"/>
                <w:color w:val="auto"/>
                <w:sz w:val="24"/>
                <w:szCs w:val="24"/>
                <w:highlight w:val="none"/>
              </w:rPr>
              <w:t>2. 投标人有下列情形的，将自愿接受：通报批评，记录不良行为，列入黑名单。</w:t>
            </w:r>
          </w:p>
          <w:p>
            <w:pPr>
              <w:rPr>
                <w:rFonts w:ascii="宋体" w:hAnsi="宋体" w:cs="宋体"/>
                <w:color w:val="auto"/>
                <w:sz w:val="24"/>
                <w:szCs w:val="24"/>
                <w:highlight w:val="none"/>
              </w:rPr>
            </w:pPr>
            <w:r>
              <w:rPr>
                <w:rFonts w:hint="eastAsia" w:ascii="宋体" w:hAnsi="宋体" w:cs="宋体"/>
                <w:color w:val="auto"/>
                <w:sz w:val="24"/>
                <w:szCs w:val="24"/>
                <w:highlight w:val="none"/>
              </w:rPr>
              <w:t>（1）投标人在规定的投标有效期内撤销或修改其投标文件；</w:t>
            </w:r>
          </w:p>
          <w:p>
            <w:pPr>
              <w:rPr>
                <w:rFonts w:ascii="宋体" w:hAnsi="宋体" w:cs="宋体"/>
                <w:color w:val="auto"/>
                <w:sz w:val="24"/>
                <w:szCs w:val="24"/>
                <w:highlight w:val="none"/>
              </w:rPr>
            </w:pPr>
            <w:r>
              <w:rPr>
                <w:rFonts w:hint="eastAsia" w:ascii="宋体" w:hAnsi="宋体" w:cs="宋体"/>
                <w:color w:val="auto"/>
                <w:sz w:val="24"/>
                <w:szCs w:val="24"/>
                <w:highlight w:val="none"/>
              </w:rPr>
              <w:t>（2）投标人提供了虚假的证明材料；</w:t>
            </w:r>
          </w:p>
          <w:p>
            <w:pPr>
              <w:rPr>
                <w:rFonts w:ascii="宋体" w:hAnsi="宋体" w:cs="宋体"/>
                <w:color w:val="auto"/>
                <w:sz w:val="24"/>
                <w:szCs w:val="24"/>
                <w:highlight w:val="none"/>
              </w:rPr>
            </w:pPr>
            <w:r>
              <w:rPr>
                <w:rFonts w:hint="eastAsia" w:ascii="宋体" w:hAnsi="宋体" w:cs="宋体"/>
                <w:color w:val="auto"/>
                <w:sz w:val="24"/>
                <w:szCs w:val="24"/>
                <w:highlight w:val="none"/>
              </w:rPr>
              <w:t>（3）中标候选人放弃中标；</w:t>
            </w:r>
          </w:p>
          <w:p>
            <w:pPr>
              <w:rPr>
                <w:rFonts w:ascii="宋体" w:hAnsi="宋体" w:cs="宋体"/>
                <w:color w:val="auto"/>
                <w:sz w:val="24"/>
                <w:szCs w:val="24"/>
                <w:highlight w:val="none"/>
              </w:rPr>
            </w:pPr>
            <w:r>
              <w:rPr>
                <w:rFonts w:hint="eastAsia" w:ascii="宋体" w:hAnsi="宋体" w:cs="宋体"/>
                <w:color w:val="auto"/>
                <w:sz w:val="24"/>
                <w:szCs w:val="24"/>
                <w:highlight w:val="none"/>
              </w:rPr>
              <w:t>（4）中标人在收到中标通知书后，无正当理由拒签合同或未按招标文件规定提交履约担保。</w:t>
            </w:r>
          </w:p>
        </w:tc>
      </w:tr>
      <w:tr>
        <w:tblPrEx>
          <w:tblCellMar>
            <w:top w:w="0" w:type="dxa"/>
            <w:left w:w="108" w:type="dxa"/>
            <w:bottom w:w="0" w:type="dxa"/>
            <w:right w:w="108" w:type="dxa"/>
          </w:tblCellMar>
        </w:tblPrEx>
        <w:trPr>
          <w:trHeight w:val="1349" w:hRule="atLeast"/>
        </w:trPr>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10.2</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招标失败的情形</w:t>
            </w:r>
          </w:p>
        </w:tc>
        <w:tc>
          <w:tcPr>
            <w:tcW w:w="5925" w:type="dxa"/>
            <w:tcBorders>
              <w:top w:val="single" w:color="auto" w:sz="4" w:space="0"/>
              <w:left w:val="single" w:color="auto" w:sz="4" w:space="0"/>
              <w:bottom w:val="single" w:color="auto" w:sz="4" w:space="0"/>
              <w:right w:val="single" w:color="auto" w:sz="4" w:space="0"/>
            </w:tcBorders>
            <w:vAlign w:val="center"/>
          </w:tcPr>
          <w:p>
            <w:pPr>
              <w:ind w:left="1"/>
              <w:rPr>
                <w:rFonts w:ascii="宋体" w:hAnsi="宋体" w:cs="宋体"/>
                <w:color w:val="auto"/>
                <w:sz w:val="24"/>
                <w:szCs w:val="24"/>
                <w:highlight w:val="none"/>
              </w:rPr>
            </w:pPr>
            <w:r>
              <w:rPr>
                <w:rFonts w:hint="eastAsia" w:ascii="宋体" w:hAnsi="宋体" w:cs="宋体"/>
                <w:color w:val="auto"/>
                <w:sz w:val="24"/>
                <w:szCs w:val="24"/>
                <w:highlight w:val="none"/>
              </w:rPr>
              <w:t>本项目采用资格后审方式，满足资格审查合格条件或通过初步评审的投标申请人不足3名时为招标失败。招标人分析招标失败原因，修正招标方案，报有关管理部门核准后，重新组织招标。</w:t>
            </w:r>
          </w:p>
        </w:tc>
      </w:tr>
      <w:tr>
        <w:tblPrEx>
          <w:tblCellMar>
            <w:top w:w="0" w:type="dxa"/>
            <w:left w:w="108" w:type="dxa"/>
            <w:bottom w:w="0" w:type="dxa"/>
            <w:right w:w="108" w:type="dxa"/>
          </w:tblCellMar>
        </w:tblPrEx>
        <w:trPr>
          <w:trHeight w:val="1349" w:hRule="atLeast"/>
        </w:trPr>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10.3</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提交纸质投标文件要求</w:t>
            </w:r>
          </w:p>
        </w:tc>
        <w:tc>
          <w:tcPr>
            <w:tcW w:w="5925" w:type="dxa"/>
            <w:tcBorders>
              <w:top w:val="single" w:color="auto" w:sz="4" w:space="0"/>
              <w:left w:val="single" w:color="auto" w:sz="4" w:space="0"/>
              <w:bottom w:val="single" w:color="auto" w:sz="4" w:space="0"/>
              <w:right w:val="single" w:color="auto" w:sz="4" w:space="0"/>
            </w:tcBorders>
            <w:vAlign w:val="center"/>
          </w:tcPr>
          <w:p>
            <w:pPr>
              <w:ind w:left="1"/>
              <w:rPr>
                <w:rFonts w:ascii="宋体" w:hAnsi="宋体" w:cs="宋体"/>
                <w:color w:val="auto"/>
                <w:sz w:val="24"/>
                <w:szCs w:val="24"/>
                <w:highlight w:val="none"/>
              </w:rPr>
            </w:pPr>
            <w:r>
              <w:rPr>
                <w:rFonts w:hint="eastAsia" w:ascii="宋体" w:hAnsi="宋体" w:cs="宋体"/>
                <w:color w:val="auto"/>
                <w:sz w:val="24"/>
                <w:szCs w:val="24"/>
                <w:highlight w:val="none"/>
              </w:rPr>
              <w:t>在中标公示结束后5个工作日内，第一名中标候选人向招标人提交与在广州公共资源交易中心系统上传投标文件内容相同的已盖章的纸质版投标文件一正三副；第二名、第三名中标候选人向招标人提交与在广州公共资源交易中心系统上传投标文件内容相同的已盖章的纸质版投标文件正本一份。</w:t>
            </w:r>
          </w:p>
        </w:tc>
      </w:tr>
      <w:tr>
        <w:tblPrEx>
          <w:tblCellMar>
            <w:top w:w="0" w:type="dxa"/>
            <w:left w:w="108" w:type="dxa"/>
            <w:bottom w:w="0" w:type="dxa"/>
            <w:right w:w="108" w:type="dxa"/>
          </w:tblCellMar>
        </w:tblPrEx>
        <w:trPr>
          <w:trHeight w:val="990" w:hRule="atLeast"/>
        </w:trPr>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10.4</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360" w:firstLineChars="1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w:t>
            </w:r>
          </w:p>
          <w:p>
            <w:pPr>
              <w:snapToGrid w:val="0"/>
              <w:ind w:firstLine="360" w:firstLineChars="150"/>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投标文件公示</w:t>
            </w:r>
          </w:p>
        </w:tc>
        <w:tc>
          <w:tcPr>
            <w:tcW w:w="5925" w:type="dxa"/>
            <w:tcBorders>
              <w:top w:val="single" w:color="auto" w:sz="4" w:space="0"/>
              <w:left w:val="single" w:color="auto" w:sz="4" w:space="0"/>
              <w:bottom w:val="single" w:color="auto" w:sz="4" w:space="0"/>
              <w:right w:val="single" w:color="auto" w:sz="4" w:space="0"/>
            </w:tcBorders>
            <w:vAlign w:val="center"/>
          </w:tcPr>
          <w:p>
            <w:pPr>
              <w:ind w:left="1" w:firstLine="210"/>
              <w:rPr>
                <w:rFonts w:ascii="宋体" w:hAnsi="宋体" w:cs="宋体"/>
                <w:color w:val="auto"/>
                <w:sz w:val="24"/>
                <w:szCs w:val="24"/>
                <w:highlight w:val="none"/>
              </w:rPr>
            </w:pPr>
            <w:r>
              <w:rPr>
                <w:rFonts w:hint="eastAsia" w:ascii="宋体" w:hAnsi="宋体" w:cs="宋体"/>
                <w:color w:val="auto"/>
                <w:sz w:val="24"/>
                <w:szCs w:val="24"/>
                <w:highlight w:val="none"/>
              </w:rPr>
              <w:t>在产生中标候选人后，招标人将中标候选人的投标文件商务部分的人员、业绩、奖项等资料在广州公共资源交易中心网站公开。</w:t>
            </w:r>
          </w:p>
        </w:tc>
      </w:tr>
      <w:tr>
        <w:tblPrEx>
          <w:tblCellMar>
            <w:top w:w="0" w:type="dxa"/>
            <w:left w:w="108" w:type="dxa"/>
            <w:bottom w:w="0" w:type="dxa"/>
            <w:right w:w="108" w:type="dxa"/>
          </w:tblCellMar>
        </w:tblPrEx>
        <w:trPr>
          <w:trHeight w:val="5669" w:hRule="atLeast"/>
        </w:trPr>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10.5</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firstLine="360" w:firstLineChars="150"/>
              <w:jc w:val="center"/>
              <w:rPr>
                <w:rFonts w:ascii="宋体" w:hAnsi="宋体" w:cs="宋体"/>
                <w:color w:val="auto"/>
                <w:sz w:val="24"/>
                <w:szCs w:val="24"/>
                <w:highlight w:val="none"/>
              </w:rPr>
            </w:pPr>
            <w:r>
              <w:rPr>
                <w:rFonts w:hint="eastAsia" w:ascii="宋体" w:hAnsi="宋体" w:cs="宋体"/>
                <w:color w:val="auto"/>
                <w:sz w:val="24"/>
                <w:szCs w:val="24"/>
                <w:highlight w:val="none"/>
              </w:rPr>
              <w:t>项目监理部人员组成配置要求</w:t>
            </w:r>
          </w:p>
        </w:tc>
        <w:tc>
          <w:tcPr>
            <w:tcW w:w="59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szCs w:val="24"/>
                <w:highlight w:val="none"/>
              </w:rPr>
            </w:pPr>
            <w:r>
              <w:rPr>
                <w:rFonts w:hint="eastAsia" w:ascii="宋体" w:hAnsi="宋体" w:cs="宋体"/>
                <w:color w:val="auto"/>
                <w:sz w:val="24"/>
                <w:szCs w:val="24"/>
                <w:highlight w:val="none"/>
              </w:rPr>
              <w:t>要求投标人根据本项目特点，结合本企业的实力和资源情况，项目监理部人员组成配置要求详见下表：</w:t>
            </w:r>
          </w:p>
          <w:tbl>
            <w:tblPr>
              <w:tblStyle w:val="26"/>
              <w:tblW w:w="5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932"/>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ind w:left="1"/>
                    <w:rPr>
                      <w:rFonts w:ascii="宋体" w:hAnsi="宋体" w:cs="宋体"/>
                      <w:color w:val="auto"/>
                      <w:szCs w:val="21"/>
                      <w:highlight w:val="none"/>
                    </w:rPr>
                  </w:pPr>
                  <w:r>
                    <w:rPr>
                      <w:rFonts w:hint="eastAsia" w:ascii="宋体" w:hAnsi="宋体" w:cs="宋体"/>
                      <w:color w:val="auto"/>
                      <w:szCs w:val="21"/>
                      <w:highlight w:val="none"/>
                    </w:rPr>
                    <w:t>岗位</w:t>
                  </w:r>
                </w:p>
              </w:tc>
              <w:tc>
                <w:tcPr>
                  <w:tcW w:w="932" w:type="dxa"/>
                  <w:vAlign w:val="center"/>
                </w:tcPr>
                <w:p>
                  <w:pPr>
                    <w:ind w:left="1"/>
                    <w:rPr>
                      <w:rFonts w:ascii="宋体" w:hAnsi="宋体" w:cs="宋体"/>
                      <w:color w:val="auto"/>
                      <w:szCs w:val="21"/>
                      <w:highlight w:val="none"/>
                    </w:rPr>
                  </w:pPr>
                  <w:r>
                    <w:rPr>
                      <w:rFonts w:hint="eastAsia" w:ascii="宋体" w:hAnsi="宋体" w:cs="宋体"/>
                      <w:color w:val="auto"/>
                      <w:szCs w:val="21"/>
                      <w:highlight w:val="none"/>
                    </w:rPr>
                    <w:t>人员要求</w:t>
                  </w:r>
                </w:p>
              </w:tc>
              <w:tc>
                <w:tcPr>
                  <w:tcW w:w="3095" w:type="dxa"/>
                  <w:vAlign w:val="center"/>
                </w:tcPr>
                <w:p>
                  <w:pPr>
                    <w:ind w:left="1"/>
                    <w:rPr>
                      <w:rFonts w:ascii="宋体" w:hAnsi="宋体" w:cs="宋体"/>
                      <w:color w:val="auto"/>
                      <w:szCs w:val="21"/>
                      <w:highlight w:val="none"/>
                    </w:rPr>
                  </w:pPr>
                  <w:r>
                    <w:rPr>
                      <w:rFonts w:hint="eastAsia" w:ascii="宋体" w:hAnsi="宋体" w:cs="宋体"/>
                      <w:color w:val="auto"/>
                      <w:szCs w:val="21"/>
                      <w:highlight w:val="none"/>
                    </w:rPr>
                    <w:t>持证上岗要求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86" w:type="dxa"/>
                  <w:vAlign w:val="center"/>
                </w:tcPr>
                <w:p>
                  <w:pPr>
                    <w:ind w:left="1"/>
                    <w:jc w:val="center"/>
                    <w:rPr>
                      <w:color w:val="auto"/>
                      <w:szCs w:val="21"/>
                      <w:highlight w:val="none"/>
                    </w:rPr>
                  </w:pPr>
                  <w:r>
                    <w:rPr>
                      <w:rFonts w:hint="eastAsia" w:ascii="宋体" w:hAnsi="宋体" w:cs="宋体"/>
                      <w:color w:val="auto"/>
                      <w:szCs w:val="21"/>
                      <w:highlight w:val="none"/>
                    </w:rPr>
                    <w:t>总监理工程师</w:t>
                  </w:r>
                </w:p>
              </w:tc>
              <w:tc>
                <w:tcPr>
                  <w:tcW w:w="932" w:type="dxa"/>
                  <w:vAlign w:val="center"/>
                </w:tcPr>
                <w:p>
                  <w:pPr>
                    <w:ind w:left="1"/>
                    <w:jc w:val="center"/>
                    <w:rPr>
                      <w:color w:val="auto"/>
                      <w:szCs w:val="21"/>
                      <w:highlight w:val="none"/>
                    </w:rPr>
                  </w:pPr>
                  <w:r>
                    <w:rPr>
                      <w:rFonts w:hint="eastAsia" w:ascii="宋体" w:hAnsi="宋体" w:cs="宋体"/>
                      <w:color w:val="auto"/>
                      <w:szCs w:val="21"/>
                      <w:highlight w:val="none"/>
                    </w:rPr>
                    <w:t>1名</w:t>
                  </w:r>
                </w:p>
              </w:tc>
              <w:tc>
                <w:tcPr>
                  <w:tcW w:w="3095" w:type="dxa"/>
                  <w:vAlign w:val="center"/>
                </w:tcPr>
                <w:p>
                  <w:pPr>
                    <w:ind w:left="1"/>
                    <w:jc w:val="left"/>
                    <w:rPr>
                      <w:color w:val="auto"/>
                      <w:szCs w:val="21"/>
                      <w:highlight w:val="none"/>
                    </w:rPr>
                  </w:pPr>
                  <w:r>
                    <w:rPr>
                      <w:rFonts w:hint="eastAsia" w:ascii="宋体" w:hAnsi="宋体" w:cs="宋体"/>
                      <w:color w:val="auto"/>
                      <w:szCs w:val="21"/>
                      <w:highlight w:val="none"/>
                    </w:rPr>
                    <w:t>与招标公告第3条第3.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点的要求一致。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086" w:type="dxa"/>
                  <w:vAlign w:val="center"/>
                </w:tcPr>
                <w:p>
                  <w:pPr>
                    <w:ind w:left="1"/>
                    <w:jc w:val="center"/>
                    <w:rPr>
                      <w:rFonts w:ascii="宋体" w:hAnsi="宋体" w:cs="宋体"/>
                      <w:color w:val="auto"/>
                      <w:szCs w:val="21"/>
                      <w:highlight w:val="none"/>
                    </w:rPr>
                  </w:pPr>
                  <w:r>
                    <w:rPr>
                      <w:rFonts w:hint="eastAsia" w:ascii="宋体" w:hAnsi="宋体" w:cs="宋体"/>
                      <w:color w:val="auto"/>
                      <w:szCs w:val="21"/>
                      <w:highlight w:val="none"/>
                    </w:rPr>
                    <w:t>总监代表</w:t>
                  </w:r>
                </w:p>
              </w:tc>
              <w:tc>
                <w:tcPr>
                  <w:tcW w:w="932" w:type="dxa"/>
                  <w:vAlign w:val="center"/>
                </w:tcPr>
                <w:p>
                  <w:pPr>
                    <w:ind w:left="1"/>
                    <w:jc w:val="center"/>
                    <w:rPr>
                      <w:rFonts w:ascii="宋体" w:hAnsi="宋体" w:cs="宋体"/>
                      <w:color w:val="auto"/>
                      <w:szCs w:val="21"/>
                      <w:highlight w:val="none"/>
                    </w:rPr>
                  </w:pPr>
                  <w:r>
                    <w:rPr>
                      <w:rFonts w:hint="eastAsia" w:ascii="宋体" w:hAnsi="宋体" w:cs="宋体"/>
                      <w:color w:val="auto"/>
                      <w:szCs w:val="21"/>
                      <w:highlight w:val="none"/>
                    </w:rPr>
                    <w:t>1名</w:t>
                  </w:r>
                </w:p>
              </w:tc>
              <w:tc>
                <w:tcPr>
                  <w:tcW w:w="3095" w:type="dxa"/>
                  <w:vAlign w:val="center"/>
                </w:tcPr>
                <w:p>
                  <w:pPr>
                    <w:ind w:left="1"/>
                    <w:jc w:val="left"/>
                    <w:rPr>
                      <w:rFonts w:ascii="宋体" w:hAnsi="宋体" w:cs="宋体"/>
                      <w:color w:val="auto"/>
                      <w:szCs w:val="21"/>
                      <w:highlight w:val="none"/>
                    </w:rPr>
                  </w:pPr>
                  <w:r>
                    <w:rPr>
                      <w:rFonts w:hint="eastAsia" w:ascii="宋体" w:hAnsi="宋体" w:cs="宋体"/>
                      <w:color w:val="auto"/>
                      <w:szCs w:val="21"/>
                      <w:highlight w:val="none"/>
                    </w:rPr>
                    <w:t>具备建设部2006年4月1日后颁发的中华人民共和国注册监理工程师注册执业证书，且其注册专业为市政公用工程，注册执业单位为本公司。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086" w:type="dxa"/>
                  <w:vAlign w:val="center"/>
                </w:tcPr>
                <w:p>
                  <w:pPr>
                    <w:ind w:left="1"/>
                    <w:jc w:val="center"/>
                    <w:rPr>
                      <w:rFonts w:ascii="宋体" w:hAnsi="宋体" w:cs="宋体"/>
                      <w:color w:val="auto"/>
                      <w:szCs w:val="21"/>
                      <w:highlight w:val="none"/>
                    </w:rPr>
                  </w:pPr>
                  <w:r>
                    <w:rPr>
                      <w:rFonts w:hint="eastAsia" w:ascii="宋体" w:hAnsi="宋体" w:cs="宋体"/>
                      <w:color w:val="auto"/>
                      <w:szCs w:val="21"/>
                      <w:highlight w:val="none"/>
                    </w:rPr>
                    <w:t>专业监理工程师</w:t>
                  </w:r>
                </w:p>
              </w:tc>
              <w:tc>
                <w:tcPr>
                  <w:tcW w:w="932" w:type="dxa"/>
                  <w:vAlign w:val="center"/>
                </w:tcPr>
                <w:p>
                  <w:pPr>
                    <w:ind w:left="1"/>
                    <w:jc w:val="center"/>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名</w:t>
                  </w:r>
                </w:p>
              </w:tc>
              <w:tc>
                <w:tcPr>
                  <w:tcW w:w="3095" w:type="dxa"/>
                  <w:vAlign w:val="center"/>
                </w:tcPr>
                <w:p>
                  <w:pPr>
                    <w:ind w:left="1"/>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市政、给排水各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w:t>
                  </w:r>
                  <w:r>
                    <w:rPr>
                      <w:rFonts w:hint="eastAsia" w:ascii="宋体" w:hAnsi="宋体" w:cs="宋体"/>
                      <w:color w:val="auto"/>
                      <w:szCs w:val="21"/>
                      <w:highlight w:val="none"/>
                      <w:lang w:eastAsia="zh-CN"/>
                    </w:rPr>
                    <w:t>，具备</w:t>
                  </w:r>
                  <w:r>
                    <w:rPr>
                      <w:rFonts w:hint="eastAsia" w:ascii="宋体" w:hAnsi="宋体" w:cs="宋体"/>
                      <w:color w:val="auto"/>
                      <w:szCs w:val="21"/>
                      <w:highlight w:val="none"/>
                    </w:rPr>
                    <w:t>工程师或以上职称</w:t>
                  </w:r>
                  <w:r>
                    <w:rPr>
                      <w:rFonts w:hint="eastAsia" w:ascii="宋体" w:hAnsi="宋体" w:cs="宋体"/>
                      <w:color w:val="auto"/>
                      <w:szCs w:val="21"/>
                      <w:highlight w:val="none"/>
                      <w:lang w:eastAsia="zh-CN"/>
                    </w:rPr>
                    <w:t>。</w:t>
                  </w:r>
                </w:p>
                <w:p>
                  <w:pPr>
                    <w:ind w:left="1"/>
                    <w:jc w:val="left"/>
                    <w:rPr>
                      <w:rFonts w:ascii="宋体" w:hAnsi="宋体" w:cs="宋体"/>
                      <w:color w:val="auto"/>
                      <w:szCs w:val="21"/>
                      <w:highlight w:val="none"/>
                    </w:rPr>
                  </w:pPr>
                  <w:r>
                    <w:rPr>
                      <w:rFonts w:hint="eastAsia" w:ascii="宋体" w:hAnsi="宋体" w:cs="宋体"/>
                      <w:color w:val="auto"/>
                      <w:szCs w:val="21"/>
                      <w:highlight w:val="none"/>
                    </w:rPr>
                    <w:t>（专业以专业监理工程师证书或注册监理工程师注册执业证书或毕业证或职称证上所列的相关专业为准）。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ind w:left="1"/>
                    <w:jc w:val="center"/>
                    <w:rPr>
                      <w:rFonts w:ascii="宋体" w:hAnsi="宋体" w:cs="宋体"/>
                      <w:color w:val="auto"/>
                      <w:szCs w:val="21"/>
                      <w:highlight w:val="none"/>
                    </w:rPr>
                  </w:pPr>
                  <w:r>
                    <w:rPr>
                      <w:rFonts w:hint="eastAsia" w:ascii="宋体" w:hAnsi="宋体" w:cs="宋体"/>
                      <w:color w:val="auto"/>
                      <w:szCs w:val="21"/>
                      <w:highlight w:val="none"/>
                    </w:rPr>
                    <w:t>安全监理员或注册安全工程师</w:t>
                  </w:r>
                </w:p>
              </w:tc>
              <w:tc>
                <w:tcPr>
                  <w:tcW w:w="932" w:type="dxa"/>
                  <w:vAlign w:val="center"/>
                </w:tcPr>
                <w:p>
                  <w:pPr>
                    <w:ind w:left="1"/>
                    <w:jc w:val="center"/>
                    <w:rPr>
                      <w:rFonts w:ascii="宋体" w:hAnsi="宋体" w:cs="宋体"/>
                      <w:color w:val="auto"/>
                      <w:szCs w:val="21"/>
                      <w:highlight w:val="none"/>
                    </w:rPr>
                  </w:pPr>
                  <w:r>
                    <w:rPr>
                      <w:rFonts w:hint="eastAsia" w:ascii="宋体" w:hAnsi="宋体" w:cs="宋体"/>
                      <w:color w:val="auto"/>
                      <w:szCs w:val="21"/>
                      <w:highlight w:val="none"/>
                    </w:rPr>
                    <w:t>1名</w:t>
                  </w:r>
                </w:p>
              </w:tc>
              <w:tc>
                <w:tcPr>
                  <w:tcW w:w="3095" w:type="dxa"/>
                  <w:vAlign w:val="center"/>
                </w:tcPr>
                <w:p>
                  <w:pPr>
                    <w:ind w:left="1"/>
                    <w:jc w:val="left"/>
                    <w:rPr>
                      <w:rFonts w:ascii="宋体" w:hAnsi="宋体" w:cs="宋体"/>
                      <w:color w:val="auto"/>
                      <w:szCs w:val="21"/>
                      <w:highlight w:val="none"/>
                    </w:rPr>
                  </w:pPr>
                  <w:r>
                    <w:rPr>
                      <w:rFonts w:hint="eastAsia" w:ascii="宋体" w:hAnsi="宋体" w:cs="宋体"/>
                      <w:color w:val="auto"/>
                      <w:szCs w:val="21"/>
                      <w:highlight w:val="none"/>
                    </w:rPr>
                    <w:t>取得安全监理员证书或注册安全工程师注册执业证书。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ind w:left="1"/>
                    <w:jc w:val="center"/>
                    <w:rPr>
                      <w:rFonts w:ascii="宋体" w:hAnsi="宋体" w:cs="宋体"/>
                      <w:color w:val="auto"/>
                      <w:szCs w:val="21"/>
                      <w:highlight w:val="none"/>
                    </w:rPr>
                  </w:pPr>
                  <w:r>
                    <w:rPr>
                      <w:rFonts w:hint="eastAsia" w:ascii="宋体" w:hAnsi="宋体" w:cs="宋体"/>
                      <w:color w:val="auto"/>
                      <w:szCs w:val="21"/>
                      <w:highlight w:val="none"/>
                    </w:rPr>
                    <w:t>造价工程师</w:t>
                  </w:r>
                </w:p>
              </w:tc>
              <w:tc>
                <w:tcPr>
                  <w:tcW w:w="932" w:type="dxa"/>
                  <w:vAlign w:val="center"/>
                </w:tcPr>
                <w:p>
                  <w:pPr>
                    <w:ind w:left="1"/>
                    <w:jc w:val="center"/>
                    <w:rPr>
                      <w:rFonts w:ascii="宋体" w:hAnsi="宋体" w:cs="宋体"/>
                      <w:color w:val="auto"/>
                      <w:szCs w:val="21"/>
                      <w:highlight w:val="none"/>
                    </w:rPr>
                  </w:pPr>
                  <w:r>
                    <w:rPr>
                      <w:rFonts w:hint="eastAsia" w:ascii="宋体" w:hAnsi="宋体" w:cs="宋体"/>
                      <w:color w:val="auto"/>
                      <w:szCs w:val="21"/>
                      <w:highlight w:val="none"/>
                    </w:rPr>
                    <w:t>1名</w:t>
                  </w:r>
                </w:p>
              </w:tc>
              <w:tc>
                <w:tcPr>
                  <w:tcW w:w="3095" w:type="dxa"/>
                  <w:vAlign w:val="center"/>
                </w:tcPr>
                <w:p>
                  <w:pPr>
                    <w:ind w:left="1"/>
                    <w:jc w:val="left"/>
                    <w:rPr>
                      <w:rFonts w:ascii="宋体" w:hAnsi="宋体" w:cs="宋体"/>
                      <w:color w:val="auto"/>
                      <w:szCs w:val="21"/>
                      <w:highlight w:val="none"/>
                    </w:rPr>
                  </w:pPr>
                  <w:r>
                    <w:rPr>
                      <w:rFonts w:hint="eastAsia" w:ascii="宋体" w:hAnsi="宋体" w:cs="宋体"/>
                      <w:color w:val="auto"/>
                      <w:szCs w:val="21"/>
                      <w:highlight w:val="none"/>
                    </w:rPr>
                    <w:t>具备国家注册造价工程师资格或一级注册造价师资格。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86" w:type="dxa"/>
                  <w:vAlign w:val="center"/>
                </w:tcPr>
                <w:p>
                  <w:pPr>
                    <w:ind w:left="1"/>
                    <w:jc w:val="center"/>
                    <w:rPr>
                      <w:rFonts w:ascii="宋体" w:hAnsi="宋体" w:cs="宋体"/>
                      <w:color w:val="auto"/>
                      <w:szCs w:val="21"/>
                      <w:highlight w:val="none"/>
                    </w:rPr>
                  </w:pPr>
                  <w:r>
                    <w:rPr>
                      <w:rFonts w:hint="eastAsia" w:ascii="宋体" w:hAnsi="宋体" w:cs="宋体"/>
                      <w:color w:val="auto"/>
                      <w:szCs w:val="21"/>
                      <w:highlight w:val="none"/>
                    </w:rPr>
                    <w:t>监理员</w:t>
                  </w:r>
                </w:p>
              </w:tc>
              <w:tc>
                <w:tcPr>
                  <w:tcW w:w="932" w:type="dxa"/>
                  <w:vAlign w:val="center"/>
                </w:tcPr>
                <w:p>
                  <w:pPr>
                    <w:ind w:left="1"/>
                    <w:jc w:val="cente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名</w:t>
                  </w:r>
                </w:p>
              </w:tc>
              <w:tc>
                <w:tcPr>
                  <w:tcW w:w="3095" w:type="dxa"/>
                  <w:vAlign w:val="center"/>
                </w:tcPr>
                <w:p>
                  <w:pPr>
                    <w:ind w:left="1"/>
                    <w:jc w:val="left"/>
                    <w:rPr>
                      <w:rFonts w:ascii="宋体" w:hAnsi="宋体" w:cs="宋体"/>
                      <w:color w:val="auto"/>
                      <w:szCs w:val="21"/>
                      <w:highlight w:val="none"/>
                    </w:rPr>
                  </w:pPr>
                  <w:r>
                    <w:rPr>
                      <w:rFonts w:hint="eastAsia" w:ascii="宋体" w:hAnsi="宋体" w:cs="宋体"/>
                      <w:color w:val="auto"/>
                      <w:szCs w:val="21"/>
                      <w:highlight w:val="none"/>
                    </w:rPr>
                    <w:t>具备岗位证或培训证或上岗证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6" w:type="dxa"/>
                  <w:vAlign w:val="center"/>
                </w:tcPr>
                <w:p>
                  <w:pPr>
                    <w:ind w:left="1"/>
                    <w:jc w:val="center"/>
                    <w:rPr>
                      <w:rFonts w:ascii="宋体" w:hAnsi="宋体" w:cs="宋体"/>
                      <w:color w:val="auto"/>
                      <w:szCs w:val="21"/>
                      <w:highlight w:val="none"/>
                    </w:rPr>
                  </w:pPr>
                  <w:r>
                    <w:rPr>
                      <w:rFonts w:hint="eastAsia" w:ascii="宋体" w:hAnsi="宋体" w:cs="宋体"/>
                      <w:color w:val="auto"/>
                      <w:szCs w:val="21"/>
                      <w:highlight w:val="none"/>
                    </w:rPr>
                    <w:t>总人数</w:t>
                  </w:r>
                </w:p>
              </w:tc>
              <w:tc>
                <w:tcPr>
                  <w:tcW w:w="932" w:type="dxa"/>
                  <w:vAlign w:val="center"/>
                </w:tcPr>
                <w:p>
                  <w:pPr>
                    <w:ind w:left="1"/>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w:t>
                  </w:r>
                  <w:r>
                    <w:rPr>
                      <w:rFonts w:hint="eastAsia" w:ascii="宋体" w:hAnsi="宋体" w:cs="宋体"/>
                      <w:color w:val="auto"/>
                      <w:szCs w:val="21"/>
                      <w:highlight w:val="none"/>
                    </w:rPr>
                    <w:t>名</w:t>
                  </w:r>
                </w:p>
              </w:tc>
              <w:tc>
                <w:tcPr>
                  <w:tcW w:w="3095" w:type="dxa"/>
                  <w:vAlign w:val="center"/>
                </w:tcPr>
                <w:p>
                  <w:pPr>
                    <w:ind w:left="1"/>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113" w:type="dxa"/>
                  <w:gridSpan w:val="3"/>
                </w:tcPr>
                <w:p>
                  <w:pPr>
                    <w:rPr>
                      <w:rFonts w:ascii="宋体" w:hAnsi="宋体" w:cs="宋体"/>
                      <w:color w:val="auto"/>
                      <w:szCs w:val="21"/>
                      <w:highlight w:val="none"/>
                    </w:rPr>
                  </w:pPr>
                  <w:r>
                    <w:rPr>
                      <w:rFonts w:hint="eastAsia" w:ascii="宋体" w:hAnsi="宋体" w:cs="宋体"/>
                      <w:color w:val="auto"/>
                      <w:szCs w:val="21"/>
                      <w:highlight w:val="none"/>
                    </w:rPr>
                    <w:t>注：表中所列人员配备为最低限度要求，中标单位可根据实际工作需要及时投入人员。以上人员还包括在广东省住房和城乡建设主管部门备案且备案的业务范围符合上述注册人员要求的香港专业人士。</w:t>
                  </w:r>
                </w:p>
              </w:tc>
            </w:tr>
          </w:tbl>
          <w:p>
            <w:pPr>
              <w:rPr>
                <w:rFonts w:ascii="宋体" w:hAnsi="宋体" w:cs="宋体"/>
                <w:color w:val="auto"/>
                <w:sz w:val="24"/>
                <w:szCs w:val="24"/>
                <w:highlight w:val="none"/>
              </w:rPr>
            </w:pPr>
          </w:p>
        </w:tc>
      </w:tr>
    </w:tbl>
    <w:p>
      <w:pPr>
        <w:rPr>
          <w:color w:val="auto"/>
          <w:highlight w:val="none"/>
        </w:rPr>
      </w:pPr>
      <w:bookmarkStart w:id="12" w:name="_Toc517441168"/>
    </w:p>
    <w:p>
      <w:pPr>
        <w:rPr>
          <w:color w:val="auto"/>
          <w:highlight w:val="none"/>
        </w:rPr>
      </w:pPr>
    </w:p>
    <w:p>
      <w:pPr>
        <w:rPr>
          <w:color w:val="auto"/>
          <w:highlight w:val="none"/>
        </w:rPr>
      </w:pPr>
    </w:p>
    <w:p>
      <w:pPr>
        <w:rPr>
          <w:color w:val="auto"/>
          <w:highlight w:val="none"/>
        </w:rPr>
      </w:pPr>
    </w:p>
    <w:p>
      <w:pPr>
        <w:pStyle w:val="4"/>
        <w:rPr>
          <w:rFonts w:ascii="宋体" w:hAnsi="宋体" w:eastAsia="宋体"/>
          <w:color w:val="auto"/>
          <w:highlight w:val="none"/>
        </w:rPr>
      </w:pPr>
      <w:r>
        <w:rPr>
          <w:rFonts w:hint="eastAsia" w:ascii="宋体" w:hAnsi="宋体" w:eastAsia="宋体"/>
          <w:color w:val="auto"/>
          <w:highlight w:val="none"/>
        </w:rPr>
        <w:t>1. 总则</w:t>
      </w:r>
      <w:bookmarkEnd w:id="12"/>
    </w:p>
    <w:p>
      <w:pPr>
        <w:pStyle w:val="5"/>
        <w:spacing w:beforeLines="20" w:afterLines="20"/>
        <w:rPr>
          <w:rFonts w:ascii="宋体" w:hAnsi="宋体"/>
          <w:color w:val="auto"/>
          <w:szCs w:val="24"/>
          <w:highlight w:val="none"/>
        </w:rPr>
      </w:pPr>
      <w:bookmarkStart w:id="13" w:name="_Toc517441169"/>
      <w:r>
        <w:rPr>
          <w:rFonts w:hint="eastAsia" w:ascii="宋体" w:hAnsi="宋体"/>
          <w:color w:val="auto"/>
          <w:szCs w:val="24"/>
          <w:highlight w:val="none"/>
        </w:rPr>
        <w:t>1.1 招标项目概况</w:t>
      </w:r>
      <w:bookmarkEnd w:id="13"/>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1.1.1 根据《中华人民共和国招标投标法》、《中华人民共和国招标投标法实施条例》等有关法律、法规和规章的规定，本招标项目已具备招标条件，现对监理进行招标。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1.1.2 招标人：见投标人须知前附表。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1.1.3 招标代理机构：见投标人须知前附表。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1.1.4 招标项目名称：见投标人须知前附表。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1.1.5 项目建设地点：见投标人须知前附表。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1.1.6 项目建设规模：见投标人须知前附表。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1.1.7 工程项目施工预计开工日期和建设周期：见投标人须知前附表。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1.1.8 建筑安装工程费/工程概算：见投标人须知前附表。</w:t>
      </w:r>
    </w:p>
    <w:p>
      <w:pPr>
        <w:pStyle w:val="5"/>
        <w:spacing w:beforeLines="20" w:afterLines="20"/>
        <w:rPr>
          <w:rFonts w:ascii="宋体" w:hAnsi="宋体"/>
          <w:color w:val="auto"/>
          <w:szCs w:val="24"/>
          <w:highlight w:val="none"/>
        </w:rPr>
      </w:pPr>
      <w:bookmarkStart w:id="14" w:name="_Toc517441170"/>
      <w:r>
        <w:rPr>
          <w:rFonts w:hint="eastAsia" w:ascii="宋体" w:hAnsi="宋体"/>
          <w:color w:val="auto"/>
          <w:szCs w:val="24"/>
          <w:highlight w:val="none"/>
        </w:rPr>
        <w:t>1.2 招标项目的资金来源和落实情况</w:t>
      </w:r>
      <w:bookmarkEnd w:id="14"/>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1.2.1 资金来源及比例：见投标人须知前附表。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1.2.2 资金落实情况：见投标人须知前附表。</w:t>
      </w:r>
    </w:p>
    <w:p>
      <w:pPr>
        <w:pStyle w:val="5"/>
        <w:spacing w:beforeLines="20" w:afterLines="20"/>
        <w:rPr>
          <w:rFonts w:ascii="宋体" w:hAnsi="宋体"/>
          <w:color w:val="auto"/>
          <w:szCs w:val="24"/>
          <w:highlight w:val="none"/>
        </w:rPr>
      </w:pPr>
      <w:bookmarkStart w:id="15" w:name="_Toc517441171"/>
      <w:r>
        <w:rPr>
          <w:rFonts w:hint="eastAsia" w:ascii="宋体" w:hAnsi="宋体"/>
          <w:color w:val="auto"/>
          <w:szCs w:val="24"/>
          <w:highlight w:val="none"/>
        </w:rPr>
        <w:t>1.3 招标范围、监理服务期限和质量标准</w:t>
      </w:r>
      <w:bookmarkEnd w:id="15"/>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1.3.1 招标范围：见投标人须知前附表。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1.3.2 监理服务期限：见投标人须知前附表。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1.3.3 质量标准：见投标人须知前附表。</w:t>
      </w:r>
    </w:p>
    <w:p>
      <w:pPr>
        <w:pStyle w:val="5"/>
        <w:spacing w:beforeLines="20" w:afterLines="20"/>
        <w:rPr>
          <w:rFonts w:ascii="宋体" w:hAnsi="宋体"/>
          <w:color w:val="auto"/>
          <w:szCs w:val="24"/>
          <w:highlight w:val="none"/>
        </w:rPr>
      </w:pPr>
      <w:bookmarkStart w:id="16" w:name="_Toc517441172"/>
      <w:r>
        <w:rPr>
          <w:rFonts w:hint="eastAsia" w:ascii="宋体" w:hAnsi="宋体"/>
          <w:color w:val="auto"/>
          <w:szCs w:val="24"/>
          <w:highlight w:val="none"/>
        </w:rPr>
        <w:t>1.4 投标人资格要求</w:t>
      </w:r>
      <w:bookmarkEnd w:id="16"/>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1.4.1 投标人应具备承担本招标项目资质条件、能力和信誉：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（1）资质要求：见投标人须知前附表；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（2）财务要求：见投标人须知前附表；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（3）业绩要求：见投标人须知前附表；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（4）信誉要求：见投标人须知前附表；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（5）总监理工程师的资格要求：应当具备工程注册监理工程师执业资格（如有），具体要求见投标人须知前附表；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（6）其他主要人员要求：见投标人须知前附表。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（7）试验检测仪器设备要求：见投标人须知前附表。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（8）其他要求：见投标人须知前附表。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需要提交的相关证明材料见本章第 3.5 款的规定。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1.4.2 投标人须知前附表规定接受联合体投标的，联合体除应符合本章第 1.4.1 项和投标人须知前附表的要求外，还应遵守以下规定：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（1）联合体各方应按招标文件提供的格式签订联合体协议书，明确联合体牵头人和各方权利义务，并承诺就中标项目向招标人承担连带责任；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（2）由同一专业的单位组成的联合体，按照资质等级较低的单位确定资质等级；</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（3）联合体各方不得再以自己名义单独或参加其他联合体在本招标项目中投标，否则各相关投标均无效。</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1.4.3 投标人不得存在下列情形之一：</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（1）为招标人不具有独立法人资格的附属机构（单位）；</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（2）与招标人存在利害关系且可能影响招标公正性；</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（3）与本招标项目的其他投标人为同一个单位负责人；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（4）与本招标项目的其他投标人存在控股、管理关系；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（5）为本招标项目的代建人；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（6）为本招标项目的招标代理机构；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（7）与本招标项目的代建人或招标代理机构同为一个法定代表人；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（8）与本招标项目的代建人或招标代理机构存在控股或参股关系；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（9）与本招标项目的施工承包人以及建筑材料、建筑构配件和设备供应商有隶属关系或者其他利害关系；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（10）被依法暂停或者取消投标资格；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（11）被责令停产停业、暂扣或者吊销许可证、暂扣或者吊销执照；</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（12）进入清算程序，或被宣告破产，或其他丧失履约能力的情形；</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（13）在最近三年内发生重大监理质量问题（以相关行业主管部门的行政处罚决定或司法机关出具的有关法律文书为准）；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（14）被工商行政管理机关在全国企业信用信息公示系统中列入严重违法失信企业名单；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（15）被最高人民法院在“信用中国”网站（www.creditchina.gov.cn）或各级信用信息共享平台中列入失信被执行人名单；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（16）在近三年内投标人或其法定代表人、拟委任的总监理工程师有行贿犯罪行为的（以检察机关职务犯罪预防部门出具的查询结果为准）；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（17）法律法规或投标人须知前附表规定的其他情形。</w:t>
      </w:r>
    </w:p>
    <w:p>
      <w:pPr>
        <w:pStyle w:val="5"/>
        <w:spacing w:beforeLines="20" w:afterLines="20"/>
        <w:rPr>
          <w:rFonts w:ascii="宋体" w:hAnsi="宋体"/>
          <w:color w:val="auto"/>
          <w:highlight w:val="none"/>
        </w:rPr>
      </w:pPr>
      <w:bookmarkStart w:id="17" w:name="_Toc517441173"/>
      <w:r>
        <w:rPr>
          <w:rFonts w:hint="eastAsia" w:ascii="宋体" w:hAnsi="宋体"/>
          <w:color w:val="auto"/>
          <w:highlight w:val="none"/>
        </w:rPr>
        <w:t>1.5 费用承担</w:t>
      </w:r>
      <w:bookmarkEnd w:id="17"/>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投标人准备和参加投标活动发生的费用自理。</w:t>
      </w:r>
    </w:p>
    <w:p>
      <w:pPr>
        <w:pStyle w:val="5"/>
        <w:spacing w:beforeLines="20" w:afterLines="20"/>
        <w:rPr>
          <w:rFonts w:ascii="宋体" w:hAnsi="宋体"/>
          <w:color w:val="auto"/>
          <w:highlight w:val="none"/>
        </w:rPr>
      </w:pPr>
      <w:bookmarkStart w:id="18" w:name="_Toc517441174"/>
      <w:r>
        <w:rPr>
          <w:rFonts w:hint="eastAsia" w:ascii="宋体" w:hAnsi="宋体"/>
          <w:color w:val="auto"/>
          <w:highlight w:val="none"/>
        </w:rPr>
        <w:t>1.6 保密</w:t>
      </w:r>
      <w:bookmarkEnd w:id="18"/>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参与招标投标活动的各方应对招标文件和投标文件中的商业和技术等秘密保密，否则应承担相应的法律责任。</w:t>
      </w:r>
    </w:p>
    <w:p>
      <w:pPr>
        <w:pStyle w:val="5"/>
        <w:spacing w:beforeLines="20" w:afterLines="20"/>
        <w:rPr>
          <w:rFonts w:ascii="宋体" w:hAnsi="宋体"/>
          <w:color w:val="auto"/>
          <w:highlight w:val="none"/>
        </w:rPr>
      </w:pPr>
      <w:bookmarkStart w:id="19" w:name="_Toc517441175"/>
      <w:r>
        <w:rPr>
          <w:rFonts w:hint="eastAsia" w:ascii="宋体" w:hAnsi="宋体"/>
          <w:color w:val="auto"/>
          <w:highlight w:val="none"/>
        </w:rPr>
        <w:t>1.7 语言文字</w:t>
      </w:r>
      <w:bookmarkEnd w:id="19"/>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招标投标文件使用的语言文字为中文。专用术语使用外文的，应附有中文注释。</w:t>
      </w:r>
    </w:p>
    <w:p>
      <w:pPr>
        <w:pStyle w:val="5"/>
        <w:spacing w:beforeLines="20" w:afterLines="20"/>
        <w:rPr>
          <w:rFonts w:ascii="宋体" w:hAnsi="宋体"/>
          <w:color w:val="auto"/>
          <w:highlight w:val="none"/>
        </w:rPr>
      </w:pPr>
      <w:bookmarkStart w:id="20" w:name="_Toc517441176"/>
      <w:r>
        <w:rPr>
          <w:rFonts w:hint="eastAsia" w:ascii="宋体" w:hAnsi="宋体"/>
          <w:color w:val="auto"/>
          <w:highlight w:val="none"/>
        </w:rPr>
        <w:t>1.8 计量单位</w:t>
      </w:r>
      <w:bookmarkEnd w:id="20"/>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所有计量均采用中华人民共和国法定计量单位。</w:t>
      </w:r>
    </w:p>
    <w:p>
      <w:pPr>
        <w:pStyle w:val="5"/>
        <w:spacing w:beforeLines="20" w:afterLines="20"/>
        <w:rPr>
          <w:rFonts w:ascii="宋体" w:hAnsi="宋体"/>
          <w:color w:val="auto"/>
          <w:highlight w:val="none"/>
        </w:rPr>
      </w:pPr>
      <w:bookmarkStart w:id="21" w:name="_Toc517441177"/>
      <w:r>
        <w:rPr>
          <w:rFonts w:hint="eastAsia" w:ascii="宋体" w:hAnsi="宋体"/>
          <w:color w:val="auto"/>
          <w:highlight w:val="none"/>
        </w:rPr>
        <w:t>1.9 踏勘现场</w:t>
      </w:r>
      <w:bookmarkEnd w:id="21"/>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1.9.2 投标人踏勘现场发生的费用自理。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1.9.3 除招标人的原因外，投标人自行负责在踏勘现场中所发生的人员伤亡和财产损失。</w:t>
      </w:r>
    </w:p>
    <w:p>
      <w:pPr>
        <w:spacing w:line="360" w:lineRule="auto"/>
        <w:ind w:firstLine="480" w:firstLineChars="200"/>
        <w:rPr>
          <w:rFonts w:ascii="宋体" w:hAnsi="宋体"/>
          <w:color w:val="auto"/>
          <w:highlight w:val="none"/>
        </w:rPr>
      </w:pPr>
      <w:r>
        <w:rPr>
          <w:rFonts w:hint="eastAsia" w:ascii="宋体" w:hAnsi="宋体"/>
          <w:color w:val="auto"/>
          <w:sz w:val="24"/>
          <w:szCs w:val="24"/>
          <w:highlight w:val="none"/>
        </w:rPr>
        <w:t>1.9.4 招标人在踏勘现场中介绍的工程场地和相关的周边环境情况，供投标人在编制投标文件时参考，招标人不对投标人据此作出的判断和决策负责。</w:t>
      </w:r>
    </w:p>
    <w:p>
      <w:pPr>
        <w:pStyle w:val="5"/>
        <w:spacing w:beforeLines="20" w:afterLines="20"/>
        <w:rPr>
          <w:rFonts w:ascii="宋体" w:hAnsi="宋体"/>
          <w:color w:val="auto"/>
          <w:highlight w:val="none"/>
        </w:rPr>
      </w:pPr>
      <w:bookmarkStart w:id="22" w:name="_Toc517441178"/>
      <w:r>
        <w:rPr>
          <w:rFonts w:hint="eastAsia" w:ascii="宋体" w:hAnsi="宋体"/>
          <w:color w:val="auto"/>
          <w:highlight w:val="none"/>
        </w:rPr>
        <w:t>1.10 投标预备会</w:t>
      </w:r>
      <w:bookmarkEnd w:id="22"/>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1.10.1  投标人须知前附表规定召开投标预备会的，招标人按投标人须知前附表规定的时间和地点召开投标预备会，澄清投标人提出的问题。</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1.10.2  投标人应按投标人须知前附表规定的时间和形式将提出的问题送达招标人，以便招标人在会议期间澄清。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1.10.3  投标预备会后，招标人将对投标人所提问题的澄清，以投标人须知前附表规定的形式通知所有购买招标文件的投标人。该澄清内容为招标文件的组成部分。</w:t>
      </w:r>
    </w:p>
    <w:p>
      <w:pPr>
        <w:pStyle w:val="5"/>
        <w:spacing w:beforeLines="20" w:afterLines="20"/>
        <w:rPr>
          <w:rFonts w:ascii="宋体" w:hAnsi="宋体"/>
          <w:color w:val="auto"/>
          <w:highlight w:val="none"/>
        </w:rPr>
      </w:pPr>
      <w:bookmarkStart w:id="23" w:name="_Toc517441179"/>
      <w:r>
        <w:rPr>
          <w:rFonts w:hint="eastAsia" w:ascii="宋体" w:hAnsi="宋体"/>
          <w:color w:val="auto"/>
          <w:highlight w:val="none"/>
        </w:rPr>
        <w:t>1.11 分包</w:t>
      </w:r>
      <w:bookmarkEnd w:id="23"/>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本项目严禁分包。</w:t>
      </w:r>
    </w:p>
    <w:p>
      <w:pPr>
        <w:pStyle w:val="5"/>
        <w:spacing w:beforeLines="20" w:afterLines="20"/>
        <w:rPr>
          <w:rFonts w:ascii="宋体" w:hAnsi="宋体"/>
          <w:color w:val="auto"/>
          <w:highlight w:val="none"/>
        </w:rPr>
      </w:pPr>
      <w:bookmarkStart w:id="24" w:name="_Toc517441180"/>
      <w:r>
        <w:rPr>
          <w:rFonts w:hint="eastAsia" w:ascii="宋体" w:hAnsi="宋体"/>
          <w:color w:val="auto"/>
          <w:highlight w:val="none"/>
        </w:rPr>
        <w:t>1.12 响应和偏差</w:t>
      </w:r>
      <w:bookmarkEnd w:id="24"/>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1.12.2 投标人应根据招标文件的要求提供投标监理大纲等内容以对招标文件作出响应。</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1.12.3 投标人须知前附表允许投标文件偏离招标文件某些要求的，偏差应当符合招标文件规定的偏差范围和幅度。</w:t>
      </w:r>
    </w:p>
    <w:p>
      <w:pPr>
        <w:pStyle w:val="4"/>
        <w:rPr>
          <w:rFonts w:ascii="宋体" w:hAnsi="宋体" w:eastAsia="宋体"/>
          <w:color w:val="auto"/>
          <w:highlight w:val="none"/>
        </w:rPr>
      </w:pPr>
      <w:bookmarkStart w:id="25" w:name="_Toc517441181"/>
      <w:r>
        <w:rPr>
          <w:rFonts w:hint="eastAsia" w:ascii="宋体" w:hAnsi="宋体" w:eastAsia="宋体"/>
          <w:color w:val="auto"/>
          <w:highlight w:val="none"/>
        </w:rPr>
        <w:t>2. 招标文件</w:t>
      </w:r>
      <w:bookmarkEnd w:id="25"/>
    </w:p>
    <w:p>
      <w:pPr>
        <w:pStyle w:val="5"/>
        <w:spacing w:beforeLines="20" w:afterLines="20"/>
        <w:rPr>
          <w:rFonts w:ascii="宋体" w:hAnsi="宋体"/>
          <w:color w:val="auto"/>
          <w:szCs w:val="24"/>
          <w:highlight w:val="none"/>
        </w:rPr>
      </w:pPr>
      <w:bookmarkStart w:id="26" w:name="_Toc517441182"/>
      <w:r>
        <w:rPr>
          <w:rFonts w:hint="eastAsia" w:ascii="宋体" w:hAnsi="宋体"/>
          <w:color w:val="auto"/>
          <w:szCs w:val="24"/>
          <w:highlight w:val="none"/>
        </w:rPr>
        <w:t>2.1 招标文件的组成</w:t>
      </w:r>
      <w:bookmarkEnd w:id="26"/>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本招标文件包括：</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（1）招标公告（或投标邀请书）；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（2）投标人须知；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（3）评标办法；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（4）合同条款及格式；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（5）委托人要求；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（6）投标文件格式；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（7）投标人须知前附表规定的其他资料。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根据本章第 1.10 款、第 2.2 款和第 2.3 款对招标文件所作的澄清、修改，构成招标文件的组成部分。</w:t>
      </w:r>
    </w:p>
    <w:p>
      <w:pPr>
        <w:pStyle w:val="5"/>
        <w:spacing w:beforeLines="20" w:afterLines="20"/>
        <w:rPr>
          <w:rFonts w:ascii="宋体" w:hAnsi="宋体"/>
          <w:color w:val="auto"/>
          <w:szCs w:val="24"/>
          <w:highlight w:val="none"/>
        </w:rPr>
      </w:pPr>
      <w:bookmarkStart w:id="27" w:name="_Toc517441183"/>
      <w:r>
        <w:rPr>
          <w:rFonts w:hint="eastAsia" w:ascii="宋体" w:hAnsi="宋体"/>
          <w:color w:val="auto"/>
          <w:szCs w:val="24"/>
          <w:highlight w:val="none"/>
        </w:rPr>
        <w:t>2.2 招标文件的澄清</w:t>
      </w:r>
      <w:bookmarkEnd w:id="27"/>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2.2.3 投标人在收到澄清后，应按投标人须知前附表规定的时间和形式通知招标人，确认已收到该澄清。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2.2.4 除非招标人认为确有必要答复，否则，招标人有权拒绝回复投标人在本章第 2.2.1 项规定的时间后的任何澄清要求。</w:t>
      </w:r>
    </w:p>
    <w:p>
      <w:pPr>
        <w:pStyle w:val="5"/>
        <w:spacing w:beforeLines="20" w:afterLines="20"/>
        <w:rPr>
          <w:rFonts w:ascii="宋体" w:hAnsi="宋体"/>
          <w:color w:val="auto"/>
          <w:szCs w:val="24"/>
          <w:highlight w:val="none"/>
        </w:rPr>
      </w:pPr>
      <w:bookmarkStart w:id="28" w:name="_Toc517441184"/>
      <w:r>
        <w:rPr>
          <w:rFonts w:hint="eastAsia" w:ascii="宋体" w:hAnsi="宋体"/>
          <w:color w:val="auto"/>
          <w:szCs w:val="24"/>
          <w:highlight w:val="none"/>
        </w:rPr>
        <w:t>2.3 招标文件的修改</w:t>
      </w:r>
      <w:bookmarkEnd w:id="28"/>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2.3.2 投标人收到修改内容后，应按投标人须知前附表规定的时间和形式通知招标人，确认已收到该修改。</w:t>
      </w:r>
    </w:p>
    <w:p>
      <w:pPr>
        <w:pStyle w:val="5"/>
        <w:spacing w:beforeLines="20" w:afterLines="20"/>
        <w:rPr>
          <w:rFonts w:ascii="宋体" w:hAnsi="宋体"/>
          <w:color w:val="auto"/>
          <w:szCs w:val="24"/>
          <w:highlight w:val="none"/>
        </w:rPr>
      </w:pPr>
      <w:bookmarkStart w:id="29" w:name="_Toc517441185"/>
      <w:r>
        <w:rPr>
          <w:rFonts w:hint="eastAsia" w:ascii="宋体" w:hAnsi="宋体"/>
          <w:color w:val="auto"/>
          <w:szCs w:val="24"/>
          <w:highlight w:val="none"/>
        </w:rPr>
        <w:t>2.4 招标文件的异议</w:t>
      </w:r>
      <w:bookmarkEnd w:id="29"/>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投标人或者其他利害关系人对招标文件有异议的，应当在投标截止时间 10 日前以书面形式提出。招标人将在收到异议之日起 3 日内作出答复；作出答复前，将暂停招标投标活动。</w:t>
      </w:r>
    </w:p>
    <w:p>
      <w:pPr>
        <w:pStyle w:val="4"/>
        <w:rPr>
          <w:rFonts w:ascii="宋体" w:hAnsi="宋体" w:eastAsia="宋体"/>
          <w:color w:val="auto"/>
          <w:highlight w:val="none"/>
        </w:rPr>
      </w:pPr>
      <w:bookmarkStart w:id="30" w:name="_Toc517441186"/>
      <w:r>
        <w:rPr>
          <w:rFonts w:hint="eastAsia" w:ascii="宋体" w:hAnsi="宋体" w:eastAsia="宋体"/>
          <w:color w:val="auto"/>
          <w:highlight w:val="none"/>
        </w:rPr>
        <w:t>3. 投标文件</w:t>
      </w:r>
      <w:bookmarkEnd w:id="30"/>
    </w:p>
    <w:p>
      <w:pPr>
        <w:pStyle w:val="5"/>
        <w:spacing w:beforeLines="20" w:afterLines="20"/>
        <w:rPr>
          <w:rFonts w:ascii="宋体" w:hAnsi="宋体"/>
          <w:color w:val="auto"/>
          <w:szCs w:val="24"/>
          <w:highlight w:val="none"/>
        </w:rPr>
      </w:pPr>
      <w:bookmarkStart w:id="31" w:name="_Toc517441187"/>
      <w:r>
        <w:rPr>
          <w:rFonts w:hint="eastAsia" w:ascii="宋体" w:hAnsi="宋体"/>
          <w:color w:val="auto"/>
          <w:szCs w:val="24"/>
          <w:highlight w:val="none"/>
        </w:rPr>
        <w:t>3.1 投标文件的组成</w:t>
      </w:r>
      <w:bookmarkEnd w:id="31"/>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3.1.1 投标文件应包括下列内容：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（1）投标函及投标函附录；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（2）法定代表人身份证明或授权委托书；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（3）联合体协议书；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（4）投标保证金；</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（5）监理报酬清单；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（6）资格审查资料；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（7）监理大纲；</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（8）投标人须知前附表规定的其他资料。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投标人在评标过程中作出的符合法律法规和招标文件规定的澄清确认，构成投标文件的组成部分。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3.1.2 投标人须知前附表规定不接受联合体投标的，或投标人没有组成联合体的，投标文件不包括本章第 3.1.1（3）目所指的联合体协议书。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3.1.3 投标人须知前附表未要求提交投标保证金的，投标文件不包括本章第 3.1.1（4）目所指的投标保证金。</w:t>
      </w:r>
    </w:p>
    <w:p>
      <w:pPr>
        <w:pStyle w:val="5"/>
        <w:spacing w:beforeLines="20" w:afterLines="20"/>
        <w:rPr>
          <w:rFonts w:ascii="宋体" w:hAnsi="宋体"/>
          <w:color w:val="auto"/>
          <w:szCs w:val="24"/>
          <w:highlight w:val="none"/>
        </w:rPr>
      </w:pPr>
      <w:bookmarkStart w:id="32" w:name="_Toc517441188"/>
      <w:r>
        <w:rPr>
          <w:rFonts w:hint="eastAsia" w:ascii="宋体" w:hAnsi="宋体"/>
          <w:color w:val="auto"/>
          <w:szCs w:val="24"/>
          <w:highlight w:val="none"/>
        </w:rPr>
        <w:t>3.2 投标报价</w:t>
      </w:r>
      <w:bookmarkEnd w:id="32"/>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3.2.2 投标人应充分了解该项目的总体情况以及影响投标报价的其他要素。</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 4.3 款的有关要求。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3.2.4 招标人设有最高投标限价的，投标人的投标报价不得超过最高投标限价，最高投标限价在投标人须知前附表中载明。</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3.2.5 投标报价的其他要求见投标人须知前附表。</w:t>
      </w:r>
    </w:p>
    <w:p>
      <w:pPr>
        <w:pStyle w:val="5"/>
        <w:spacing w:beforeLines="20" w:afterLines="20"/>
        <w:rPr>
          <w:rFonts w:ascii="宋体" w:hAnsi="宋体"/>
          <w:color w:val="auto"/>
          <w:szCs w:val="24"/>
          <w:highlight w:val="none"/>
        </w:rPr>
      </w:pPr>
      <w:bookmarkStart w:id="33" w:name="_Toc517441189"/>
      <w:r>
        <w:rPr>
          <w:rFonts w:hint="eastAsia" w:ascii="宋体" w:hAnsi="宋体"/>
          <w:color w:val="auto"/>
          <w:szCs w:val="24"/>
          <w:highlight w:val="none"/>
        </w:rPr>
        <w:t>3.3 投标有效期</w:t>
      </w:r>
      <w:bookmarkEnd w:id="33"/>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3.3.1 除投标人须知前附表另有规定外，投标有效期为 90 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3.3.2 在投标有效期内，投标人撤销投标文件的，应承担招标文件和法律规定的责任。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spacing w:beforeLines="20" w:afterLines="20"/>
        <w:rPr>
          <w:rFonts w:ascii="宋体" w:hAnsi="宋体"/>
          <w:color w:val="auto"/>
          <w:highlight w:val="none"/>
        </w:rPr>
      </w:pPr>
      <w:bookmarkStart w:id="34" w:name="_Toc517441190"/>
      <w:r>
        <w:rPr>
          <w:rFonts w:hint="eastAsia" w:ascii="宋体" w:hAnsi="宋体"/>
          <w:color w:val="auto"/>
          <w:highlight w:val="none"/>
        </w:rPr>
        <w:t>3.4 投标保证金</w:t>
      </w:r>
      <w:bookmarkEnd w:id="34"/>
    </w:p>
    <w:p>
      <w:pPr>
        <w:spacing w:line="360" w:lineRule="auto"/>
        <w:ind w:firstLine="420" w:firstLineChars="200"/>
        <w:rPr>
          <w:rFonts w:ascii="宋体" w:hAnsi="宋体"/>
          <w:color w:val="auto"/>
          <w:highlight w:val="none"/>
        </w:rPr>
      </w:pPr>
      <w:r>
        <w:rPr>
          <w:rFonts w:hint="eastAsia" w:ascii="宋体" w:hAnsi="宋体"/>
          <w:color w:val="auto"/>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w:t>
      </w:r>
      <w:r>
        <w:rPr>
          <w:rFonts w:hint="eastAsia" w:ascii="宋体" w:hAnsi="宋体"/>
          <w:strike/>
          <w:color w:val="auto"/>
          <w:highlight w:val="none"/>
        </w:rPr>
        <w:t>并在投标文件中附上基本账户开户证明</w:t>
      </w:r>
      <w:r>
        <w:rPr>
          <w:rFonts w:hint="eastAsia" w:ascii="宋体" w:hAnsi="宋体"/>
          <w:color w:val="auto"/>
          <w:highlight w:val="none"/>
        </w:rPr>
        <w:t>。联合体投标的，其投标保证金可以由牵头人递交，并应符合投标人须知前附表的规定。</w:t>
      </w:r>
    </w:p>
    <w:p>
      <w:pPr>
        <w:spacing w:line="360" w:lineRule="auto"/>
        <w:ind w:firstLine="420" w:firstLineChars="200"/>
        <w:rPr>
          <w:rFonts w:ascii="宋体" w:hAnsi="宋体"/>
          <w:color w:val="auto"/>
          <w:highlight w:val="none"/>
        </w:rPr>
      </w:pPr>
      <w:r>
        <w:rPr>
          <w:rFonts w:hint="eastAsia" w:ascii="宋体" w:hAnsi="宋体"/>
          <w:color w:val="auto"/>
          <w:highlight w:val="none"/>
        </w:rPr>
        <w:t>3.4.2 投标人不按本章第 3.4.1 项要求提交投标保证金的，评标委员会将否决其投标。</w:t>
      </w:r>
    </w:p>
    <w:p>
      <w:pPr>
        <w:spacing w:line="360" w:lineRule="auto"/>
        <w:ind w:firstLine="420" w:firstLineChars="200"/>
        <w:rPr>
          <w:rFonts w:ascii="宋体" w:hAnsi="宋体"/>
          <w:color w:val="auto"/>
          <w:highlight w:val="none"/>
        </w:rPr>
      </w:pPr>
      <w:r>
        <w:rPr>
          <w:rFonts w:hint="eastAsia" w:ascii="宋体" w:hAnsi="宋体"/>
          <w:color w:val="auto"/>
          <w:highlight w:val="none"/>
        </w:rPr>
        <w:t>3.4.3 招标人最迟将在与中标人签订合同后 5 日内，向未中标的投标人和中标人退还投标保证金。投标保证金以现金或者支票形式递交的，还应退还银行同期存款利息。</w:t>
      </w:r>
    </w:p>
    <w:p>
      <w:pPr>
        <w:spacing w:line="360" w:lineRule="auto"/>
        <w:ind w:firstLine="420" w:firstLineChars="200"/>
        <w:rPr>
          <w:rFonts w:ascii="宋体" w:hAnsi="宋体"/>
          <w:color w:val="auto"/>
          <w:highlight w:val="none"/>
        </w:rPr>
      </w:pPr>
      <w:r>
        <w:rPr>
          <w:rFonts w:hint="eastAsia" w:ascii="宋体" w:hAnsi="宋体"/>
          <w:color w:val="auto"/>
          <w:highlight w:val="none"/>
        </w:rPr>
        <w:t>3.4.4 有下列情形之一的，投标保证金将不予退还：</w:t>
      </w:r>
    </w:p>
    <w:p>
      <w:pPr>
        <w:spacing w:line="360" w:lineRule="auto"/>
        <w:ind w:firstLine="420" w:firstLineChars="200"/>
        <w:rPr>
          <w:rFonts w:ascii="宋体" w:hAnsi="宋体"/>
          <w:color w:val="auto"/>
          <w:highlight w:val="none"/>
        </w:rPr>
      </w:pPr>
      <w:r>
        <w:rPr>
          <w:rFonts w:hint="eastAsia" w:ascii="宋体" w:hAnsi="宋体"/>
          <w:color w:val="auto"/>
          <w:highlight w:val="none"/>
        </w:rPr>
        <w:t>（1）投标人在投标有效期内撤销投标文件；</w:t>
      </w:r>
    </w:p>
    <w:p>
      <w:pPr>
        <w:spacing w:line="360" w:lineRule="auto"/>
        <w:ind w:firstLine="420" w:firstLineChars="200"/>
        <w:rPr>
          <w:rFonts w:ascii="宋体" w:hAnsi="宋体"/>
          <w:color w:val="auto"/>
          <w:highlight w:val="none"/>
        </w:rPr>
      </w:pPr>
      <w:r>
        <w:rPr>
          <w:rFonts w:hint="eastAsia" w:ascii="宋体" w:hAnsi="宋体"/>
          <w:color w:val="auto"/>
          <w:highlight w:val="none"/>
        </w:rPr>
        <w:t>（2）中标人在收到中标通知书后，无正当理由不与招标人订立合同，在签订合同时向招标人提出附加条件，或者不按照招标文件要求提交履约保证金；</w:t>
      </w:r>
    </w:p>
    <w:p>
      <w:pPr>
        <w:spacing w:line="360" w:lineRule="auto"/>
        <w:ind w:firstLine="420" w:firstLineChars="200"/>
        <w:rPr>
          <w:rFonts w:ascii="宋体" w:hAnsi="宋体"/>
          <w:color w:val="auto"/>
          <w:highlight w:val="none"/>
        </w:rPr>
      </w:pPr>
      <w:r>
        <w:rPr>
          <w:rFonts w:hint="eastAsia" w:ascii="宋体" w:hAnsi="宋体"/>
          <w:color w:val="auto"/>
          <w:highlight w:val="none"/>
        </w:rPr>
        <w:t>（3）发生投标人须知前附表规定的其他可以不予退还投标保证金的情形。</w:t>
      </w:r>
    </w:p>
    <w:p>
      <w:pPr>
        <w:pStyle w:val="5"/>
        <w:spacing w:beforeLines="20" w:afterLines="20"/>
        <w:rPr>
          <w:rFonts w:ascii="宋体" w:hAnsi="宋体"/>
          <w:strike/>
          <w:color w:val="auto"/>
          <w:highlight w:val="none"/>
        </w:rPr>
      </w:pPr>
      <w:bookmarkStart w:id="35" w:name="_Toc517441191"/>
      <w:r>
        <w:rPr>
          <w:rFonts w:hint="eastAsia" w:ascii="宋体" w:hAnsi="宋体"/>
          <w:strike/>
          <w:color w:val="auto"/>
          <w:highlight w:val="none"/>
        </w:rPr>
        <w:t>3.5 资格审查资料（适用于已进行资格预审的）</w:t>
      </w:r>
      <w:bookmarkEnd w:id="35"/>
    </w:p>
    <w:p>
      <w:pPr>
        <w:spacing w:line="360" w:lineRule="auto"/>
        <w:ind w:firstLine="420" w:firstLineChars="200"/>
        <w:rPr>
          <w:rFonts w:ascii="宋体" w:hAnsi="宋体"/>
          <w:strike/>
          <w:color w:val="auto"/>
          <w:sz w:val="24"/>
          <w:szCs w:val="24"/>
          <w:highlight w:val="none"/>
        </w:rPr>
      </w:pPr>
      <w:r>
        <w:rPr>
          <w:rFonts w:hint="eastAsia" w:ascii="宋体" w:hAnsi="宋体"/>
          <w:strike/>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pPr>
        <w:pStyle w:val="5"/>
        <w:spacing w:beforeLines="20" w:afterLines="20"/>
        <w:rPr>
          <w:rFonts w:ascii="宋体" w:hAnsi="宋体"/>
          <w:color w:val="auto"/>
          <w:szCs w:val="24"/>
          <w:highlight w:val="none"/>
        </w:rPr>
      </w:pPr>
      <w:bookmarkStart w:id="36" w:name="_Toc517441192"/>
      <w:r>
        <w:rPr>
          <w:rFonts w:hint="eastAsia" w:ascii="宋体" w:hAnsi="宋体"/>
          <w:color w:val="auto"/>
          <w:szCs w:val="24"/>
          <w:highlight w:val="none"/>
        </w:rPr>
        <w:t>3.5 资格审查资料（适用于未进行资格预审的）</w:t>
      </w:r>
      <w:bookmarkEnd w:id="36"/>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除投标人须知前附表另有规定外，投标人应按下列规定提供资格审查资料，以证明其满足本章第 1.4 款规定的资质、财务、业绩、信誉等要求。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3.5.1 “投标人基本情况表”应附投标人营业执照和组织机构代码证的复印件（按照“三证合一” 或“五证合一”登记制度进行登记的，可仅提供营业执照复印件）、投标人监理资质证书副本等材料的复印件。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3.5.3 “近年完成的类似监理项目情况表”应附中标通知书和（或）合同协议书、委托人出具的证明文件；具体时间要求见投标人须知前附表，每张表格只填写一个项目，并标明序号。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3.5.4 “正在监理和新承接的项目情况表”应附中标通知书和（或）合同协议书复印件。每张表格只填写一个项目，并标明序号。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3.5.5 “近年发生的诉讼及仲裁情况”应说明投标人败诉的监理合同的相关情况，并附法院或仲裁机构作出的判决、裁决等有关法律文书复印件，具体时间要求见投标人须知前附表。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3.5.6 “拟委任的主要人员汇总表”应填报满足本章第 1.4.1 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3.5.7 “拟投入本项目的主要试验检测仪器设备表”应填报满足本章第 1.4.1 项规定的试验检测仪器设备。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3.5.8 投标人须知前附表规定接受联合体投标的，本章第 3.5.1 项至第 3.5.7 项规定的表格和资料应包括联合体各方相关情况。</w:t>
      </w:r>
    </w:p>
    <w:p>
      <w:pPr>
        <w:pStyle w:val="5"/>
        <w:spacing w:beforeLines="20" w:afterLines="20"/>
        <w:rPr>
          <w:rFonts w:ascii="宋体" w:hAnsi="宋体"/>
          <w:color w:val="auto"/>
          <w:szCs w:val="24"/>
          <w:highlight w:val="none"/>
        </w:rPr>
      </w:pPr>
      <w:bookmarkStart w:id="37" w:name="_Toc517441193"/>
      <w:r>
        <w:rPr>
          <w:rFonts w:hint="eastAsia" w:ascii="宋体" w:hAnsi="宋体"/>
          <w:color w:val="auto"/>
          <w:szCs w:val="24"/>
          <w:highlight w:val="none"/>
        </w:rPr>
        <w:t>3.6 备选投标方案</w:t>
      </w:r>
      <w:bookmarkEnd w:id="37"/>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3.6.1 除投标人须知前附表规定允许外，投标人不得递交备选投标方案，否则其投标将被否决。</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 投标人提供两个或两个以上投标报价，或者在投标文件中提供一个报价，但同时提供两个或两个以上监理方案的，视为提供备选方案。</w:t>
      </w:r>
    </w:p>
    <w:p>
      <w:pPr>
        <w:pStyle w:val="5"/>
        <w:spacing w:beforeLines="20" w:afterLines="20"/>
        <w:rPr>
          <w:rFonts w:ascii="宋体" w:hAnsi="宋体"/>
          <w:color w:val="auto"/>
          <w:szCs w:val="24"/>
          <w:highlight w:val="none"/>
        </w:rPr>
      </w:pPr>
      <w:bookmarkStart w:id="38" w:name="_Toc517441194"/>
      <w:r>
        <w:rPr>
          <w:rFonts w:hint="eastAsia" w:ascii="宋体" w:hAnsi="宋体"/>
          <w:color w:val="auto"/>
          <w:szCs w:val="24"/>
          <w:highlight w:val="none"/>
        </w:rPr>
        <w:t>3.7 投标文件的编制</w:t>
      </w:r>
      <w:bookmarkEnd w:id="38"/>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3.7.2 投标文件应当对招标文件有关监理服务期限、投标有效期、委托人要求、招标范围等实质性内容作出响应。</w:t>
      </w:r>
    </w:p>
    <w:p>
      <w:pPr>
        <w:spacing w:line="360" w:lineRule="auto"/>
        <w:ind w:firstLine="420" w:firstLineChars="200"/>
        <w:rPr>
          <w:rFonts w:ascii="宋体" w:hAnsi="宋体"/>
          <w:strike/>
          <w:color w:val="auto"/>
          <w:highlight w:val="none"/>
        </w:rPr>
      </w:pPr>
      <w:r>
        <w:rPr>
          <w:rFonts w:hint="eastAsia" w:ascii="宋体" w:hAnsi="宋体"/>
          <w:strike/>
          <w:color w:val="auto"/>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360" w:lineRule="auto"/>
        <w:ind w:firstLine="420" w:firstLineChars="200"/>
        <w:rPr>
          <w:rFonts w:ascii="宋体" w:hAnsi="宋体"/>
          <w:strike/>
          <w:color w:val="auto"/>
          <w:highlight w:val="none"/>
        </w:rPr>
      </w:pPr>
      <w:r>
        <w:rPr>
          <w:rFonts w:hint="eastAsia" w:ascii="宋体" w:hAnsi="宋体"/>
          <w:strike/>
          <w:color w:val="auto"/>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spacing w:line="360" w:lineRule="auto"/>
        <w:ind w:firstLine="420" w:firstLineChars="200"/>
        <w:rPr>
          <w:rFonts w:ascii="宋体" w:hAnsi="宋体"/>
          <w:strike/>
          <w:color w:val="auto"/>
          <w:sz w:val="24"/>
          <w:szCs w:val="24"/>
          <w:highlight w:val="none"/>
        </w:rPr>
      </w:pPr>
      <w:r>
        <w:rPr>
          <w:rFonts w:hint="eastAsia" w:ascii="宋体" w:hAnsi="宋体"/>
          <w:strike/>
          <w:color w:val="auto"/>
          <w:highlight w:val="none"/>
        </w:rPr>
        <w:t>（3）投标文件的正本与副本应分别装订，并编制目录，投标文件需分册装订的，具体分册装订要求见投标人须知前附表规定。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4"/>
        <w:rPr>
          <w:rFonts w:ascii="宋体" w:hAnsi="宋体" w:eastAsia="宋体"/>
          <w:color w:val="auto"/>
          <w:highlight w:val="none"/>
        </w:rPr>
      </w:pPr>
      <w:bookmarkStart w:id="39" w:name="_Toc517441195"/>
      <w:r>
        <w:rPr>
          <w:rFonts w:hint="eastAsia" w:ascii="宋体" w:hAnsi="宋体" w:eastAsia="宋体"/>
          <w:color w:val="auto"/>
          <w:highlight w:val="none"/>
        </w:rPr>
        <w:t>4. 投标</w:t>
      </w:r>
      <w:bookmarkEnd w:id="39"/>
    </w:p>
    <w:p>
      <w:pPr>
        <w:pStyle w:val="5"/>
        <w:spacing w:beforeLines="20" w:afterLines="20"/>
        <w:rPr>
          <w:rFonts w:ascii="宋体" w:hAnsi="宋体"/>
          <w:color w:val="auto"/>
          <w:szCs w:val="24"/>
          <w:highlight w:val="none"/>
        </w:rPr>
      </w:pPr>
      <w:bookmarkStart w:id="40" w:name="_Toc517441196"/>
      <w:r>
        <w:rPr>
          <w:rFonts w:hint="eastAsia" w:ascii="宋体" w:hAnsi="宋体"/>
          <w:color w:val="auto"/>
          <w:szCs w:val="24"/>
          <w:highlight w:val="none"/>
        </w:rPr>
        <w:t>4.1 投标文件的密封和标记</w:t>
      </w:r>
      <w:bookmarkEnd w:id="40"/>
      <w:r>
        <w:rPr>
          <w:rFonts w:hint="eastAsia" w:ascii="宋体" w:hAnsi="宋体"/>
          <w:color w:val="auto"/>
          <w:szCs w:val="24"/>
          <w:highlight w:val="none"/>
        </w:rPr>
        <w:t>、</w:t>
      </w:r>
    </w:p>
    <w:p>
      <w:pPr>
        <w:spacing w:beforeLines="20" w:afterLines="20"/>
        <w:ind w:firstLine="525" w:firstLineChars="250"/>
        <w:rPr>
          <w:rFonts w:ascii="Calibri" w:hAnsi="Calibri"/>
          <w:color w:val="auto"/>
          <w:highlight w:val="none"/>
        </w:rPr>
      </w:pPr>
      <w:r>
        <w:rPr>
          <w:rFonts w:hint="eastAsia" w:ascii="宋体" w:hAnsi="宋体"/>
          <w:strike/>
          <w:color w:val="auto"/>
          <w:highlight w:val="none"/>
        </w:rPr>
        <w:t>4.1.1 （A）投标文件应密封包装，并在封套的封口处加盖投标人单位章或由投标人的法定代表人或其授权的代理人签字。</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4.1.1 （B）投标人应当按照招标文件和电子招标投标交易平台的要求加密投标文件，具体要求见投标人须知前附表。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4.1.2 投标文件封套上应写明的内容见投标人须知前附表。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4.1.3 未按本章第 4.1.1 项要求密封的投标文件，招标人将予以拒收。</w:t>
      </w:r>
    </w:p>
    <w:p>
      <w:pPr>
        <w:pStyle w:val="5"/>
        <w:spacing w:beforeLines="20" w:afterLines="20"/>
        <w:rPr>
          <w:rFonts w:ascii="宋体" w:hAnsi="宋体"/>
          <w:color w:val="auto"/>
          <w:szCs w:val="24"/>
          <w:highlight w:val="none"/>
        </w:rPr>
      </w:pPr>
      <w:bookmarkStart w:id="41" w:name="_Toc517441197"/>
      <w:r>
        <w:rPr>
          <w:rFonts w:hint="eastAsia" w:ascii="宋体" w:hAnsi="宋体"/>
          <w:color w:val="auto"/>
          <w:szCs w:val="24"/>
          <w:highlight w:val="none"/>
        </w:rPr>
        <w:t>4.2 投标文件的递交</w:t>
      </w:r>
      <w:bookmarkEnd w:id="41"/>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4.2.1 投标人应在投标人须知前附表规定的投标截止时间前递交投标文件。</w:t>
      </w:r>
    </w:p>
    <w:p>
      <w:pPr>
        <w:spacing w:line="360" w:lineRule="auto"/>
        <w:ind w:firstLine="420" w:firstLineChars="200"/>
        <w:rPr>
          <w:rFonts w:ascii="宋体" w:hAnsi="宋体"/>
          <w:color w:val="auto"/>
          <w:sz w:val="24"/>
          <w:szCs w:val="24"/>
          <w:highlight w:val="none"/>
        </w:rPr>
      </w:pPr>
      <w:r>
        <w:rPr>
          <w:rFonts w:hint="eastAsia" w:ascii="宋体" w:hAnsi="宋体"/>
          <w:strike/>
          <w:color w:val="auto"/>
          <w:highlight w:val="none"/>
        </w:rPr>
        <w:t>4.2.2 （A）投标人递交投标文件的地点：见投标人须知前附表。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4.2.2 （B）投标人通过下载招标文件的电子招标投标交易平台递交电子投标文件。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4.2.3 除投标人须知前附表另有规定外，投标人所递交的投标文件不予退还。</w:t>
      </w:r>
    </w:p>
    <w:p>
      <w:pPr>
        <w:spacing w:line="360" w:lineRule="auto"/>
        <w:ind w:firstLine="420" w:firstLineChars="200"/>
        <w:rPr>
          <w:rFonts w:ascii="宋体" w:hAnsi="宋体"/>
          <w:color w:val="auto"/>
          <w:sz w:val="24"/>
          <w:szCs w:val="24"/>
          <w:highlight w:val="none"/>
        </w:rPr>
      </w:pPr>
      <w:r>
        <w:rPr>
          <w:rFonts w:hint="eastAsia" w:ascii="宋体" w:hAnsi="宋体"/>
          <w:strike/>
          <w:color w:val="auto"/>
          <w:highlight w:val="none"/>
        </w:rPr>
        <w:t>4.2.4 （A）招标人收到投标文件后，向投标人出具签收凭证。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4.2.4 （B）投标人完成电子投标文件上传后，电子招标投标交易平台即时向投标人发出递交回执通知。递交时间以递交回执通知载明的传输完成时间为准。</w:t>
      </w:r>
    </w:p>
    <w:p>
      <w:pPr>
        <w:spacing w:line="360" w:lineRule="auto"/>
        <w:ind w:firstLine="420" w:firstLineChars="200"/>
        <w:rPr>
          <w:rFonts w:ascii="宋体" w:hAnsi="宋体"/>
          <w:color w:val="auto"/>
          <w:sz w:val="24"/>
          <w:szCs w:val="24"/>
          <w:highlight w:val="none"/>
        </w:rPr>
      </w:pPr>
      <w:r>
        <w:rPr>
          <w:rFonts w:hint="eastAsia" w:ascii="宋体" w:hAnsi="宋体"/>
          <w:strike/>
          <w:color w:val="auto"/>
          <w:highlight w:val="none"/>
        </w:rPr>
        <w:t>4.2.5 （A）逾期送达的投标文件，招标人将予以拒收。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4.2.5 （B）逾期送达的投标文件，电子招标投标交易平台将予以拒收。</w:t>
      </w:r>
    </w:p>
    <w:p>
      <w:pPr>
        <w:pStyle w:val="5"/>
        <w:spacing w:beforeLines="20" w:afterLines="20"/>
        <w:rPr>
          <w:rFonts w:ascii="宋体" w:hAnsi="宋体"/>
          <w:color w:val="auto"/>
          <w:szCs w:val="24"/>
          <w:highlight w:val="none"/>
        </w:rPr>
      </w:pPr>
      <w:bookmarkStart w:id="42" w:name="_Toc517441198"/>
      <w:r>
        <w:rPr>
          <w:rFonts w:hint="eastAsia" w:ascii="宋体" w:hAnsi="宋体"/>
          <w:color w:val="auto"/>
          <w:szCs w:val="24"/>
          <w:highlight w:val="none"/>
        </w:rPr>
        <w:t>4.3 投标文件的修改与撤回</w:t>
      </w:r>
      <w:bookmarkEnd w:id="42"/>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4.3.1 在本章第 4.2.1 项规定的投标截止时间前，投标人可以修改或撤回已递交的投标文件，但应以书面形式通知招标人。</w:t>
      </w:r>
    </w:p>
    <w:p>
      <w:pPr>
        <w:spacing w:line="360" w:lineRule="auto"/>
        <w:ind w:firstLine="420" w:firstLineChars="200"/>
        <w:rPr>
          <w:rFonts w:ascii="宋体" w:hAnsi="宋体"/>
          <w:color w:val="auto"/>
          <w:sz w:val="24"/>
          <w:szCs w:val="24"/>
          <w:highlight w:val="none"/>
        </w:rPr>
      </w:pPr>
      <w:r>
        <w:rPr>
          <w:rFonts w:hint="eastAsia" w:ascii="宋体" w:hAnsi="宋体"/>
          <w:strike/>
          <w:color w:val="auto"/>
          <w:highlight w:val="none"/>
        </w:rPr>
        <w:t>4.3.2 （A）投标人修改或撤回已递交投标文件的书面通知应按照本章第 3.7.3（A）项的要求签字或盖章。招标人收到书面通知后，向投标人出具签收凭证。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4.3.2 （B）投标人修改或撤回已递交投标文件的通知，应按照本章第 3.7.3（B）项的要求加盖电子印章。电子招标投标交易平台收到通知后，即时向投标人发出确认回执通知。</w:t>
      </w:r>
    </w:p>
    <w:p>
      <w:pPr>
        <w:spacing w:line="360" w:lineRule="auto"/>
        <w:ind w:firstLine="420" w:firstLineChars="200"/>
        <w:rPr>
          <w:rFonts w:ascii="宋体" w:hAnsi="宋体"/>
          <w:color w:val="auto"/>
          <w:sz w:val="24"/>
          <w:szCs w:val="24"/>
          <w:highlight w:val="none"/>
        </w:rPr>
      </w:pPr>
      <w:r>
        <w:rPr>
          <w:rFonts w:hint="eastAsia" w:ascii="宋体" w:hAnsi="宋体"/>
          <w:color w:val="auto"/>
          <w:highlight w:val="none"/>
        </w:rPr>
        <w:t>4.3.3 投标人撤回投标文件的，招标人自收到投标人书面撤回通知之日起 5 日内退还已收取的投标保证金。</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4.3.4 修改的内容为投标文件的组成部分。修改的投标文件应按照本章第 3 条、第 4 条的规定进行编制、密封、标记和递交，并标明“修改”字样。</w:t>
      </w:r>
    </w:p>
    <w:p>
      <w:pPr>
        <w:pStyle w:val="4"/>
        <w:rPr>
          <w:rFonts w:ascii="宋体" w:hAnsi="宋体" w:eastAsia="宋体"/>
          <w:color w:val="auto"/>
          <w:highlight w:val="none"/>
        </w:rPr>
      </w:pPr>
      <w:bookmarkStart w:id="43" w:name="_Toc517441199"/>
      <w:r>
        <w:rPr>
          <w:rFonts w:hint="eastAsia" w:ascii="宋体" w:hAnsi="宋体" w:eastAsia="宋体"/>
          <w:color w:val="auto"/>
          <w:highlight w:val="none"/>
        </w:rPr>
        <w:t>5. 开标</w:t>
      </w:r>
      <w:bookmarkEnd w:id="43"/>
    </w:p>
    <w:p>
      <w:pPr>
        <w:pStyle w:val="5"/>
        <w:spacing w:beforeLines="20" w:afterLines="20"/>
        <w:rPr>
          <w:rFonts w:ascii="宋体" w:hAnsi="宋体"/>
          <w:strike/>
          <w:color w:val="auto"/>
          <w:highlight w:val="none"/>
        </w:rPr>
      </w:pPr>
      <w:bookmarkStart w:id="44" w:name="_Toc517441200"/>
      <w:r>
        <w:rPr>
          <w:rFonts w:hint="eastAsia" w:ascii="宋体" w:hAnsi="宋体"/>
          <w:strike/>
          <w:color w:val="auto"/>
          <w:highlight w:val="none"/>
        </w:rPr>
        <w:t>5.1 开标时间和地点（A）</w:t>
      </w:r>
      <w:bookmarkEnd w:id="44"/>
    </w:p>
    <w:p>
      <w:pPr>
        <w:rPr>
          <w:rFonts w:ascii="Calibri" w:hAnsi="Calibri"/>
          <w:color w:val="auto"/>
          <w:highlight w:val="none"/>
        </w:rPr>
      </w:pPr>
      <w:r>
        <w:rPr>
          <w:rFonts w:hint="eastAsia" w:ascii="宋体" w:hAnsi="宋体"/>
          <w:strike/>
          <w:color w:val="auto"/>
          <w:highlight w:val="none"/>
        </w:rPr>
        <w:t>招标人在本章第 4.2.1 项规定的投标截止时间（开标时间）和投标人须知前附表规定的地点公开开标，并邀请所有投标人的法定代表人或其委托代理人准时参加。</w:t>
      </w:r>
    </w:p>
    <w:p>
      <w:pPr>
        <w:pStyle w:val="5"/>
        <w:spacing w:beforeLines="20" w:afterLines="20"/>
        <w:rPr>
          <w:rFonts w:ascii="宋体" w:hAnsi="宋体"/>
          <w:color w:val="auto"/>
          <w:szCs w:val="24"/>
          <w:highlight w:val="none"/>
        </w:rPr>
      </w:pPr>
      <w:bookmarkStart w:id="45" w:name="_Toc517441201"/>
      <w:r>
        <w:rPr>
          <w:rFonts w:hint="eastAsia" w:ascii="宋体" w:hAnsi="宋体"/>
          <w:color w:val="auto"/>
          <w:szCs w:val="24"/>
          <w:highlight w:val="none"/>
        </w:rPr>
        <w:t>5.1 开标时间和地点（B）</w:t>
      </w:r>
      <w:bookmarkEnd w:id="45"/>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招标人在本章第 4.2.1 项规定的投标截止时间（开标时间）,通过电子招标投标交易平台公开开标，所有投标人的法定代表人或其委托代理人应当准时参加。</w:t>
      </w:r>
    </w:p>
    <w:p>
      <w:pPr>
        <w:pStyle w:val="5"/>
        <w:spacing w:beforeLines="20" w:afterLines="20"/>
        <w:rPr>
          <w:rFonts w:ascii="宋体" w:hAnsi="宋体"/>
          <w:color w:val="auto"/>
          <w:szCs w:val="24"/>
          <w:highlight w:val="none"/>
        </w:rPr>
      </w:pPr>
      <w:bookmarkStart w:id="46" w:name="_Toc517441202"/>
      <w:r>
        <w:rPr>
          <w:rFonts w:hint="eastAsia" w:ascii="宋体" w:hAnsi="宋体"/>
          <w:color w:val="auto"/>
          <w:szCs w:val="24"/>
          <w:highlight w:val="none"/>
        </w:rPr>
        <w:t>5.2 开标程序</w:t>
      </w:r>
      <w:bookmarkEnd w:id="46"/>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主持人按下列程序进行开标：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（1）宣布开标纪律；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（2）公布在投标截止时间前递交投标文件的投标人名称；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（3）宣布开标人、唱标人、记录人、监标人等有关人员姓名；</w:t>
      </w:r>
    </w:p>
    <w:p>
      <w:pPr>
        <w:spacing w:line="360" w:lineRule="auto"/>
        <w:ind w:firstLine="420" w:firstLineChars="200"/>
        <w:rPr>
          <w:rFonts w:ascii="宋体" w:hAnsi="宋体"/>
          <w:color w:val="auto"/>
          <w:sz w:val="24"/>
          <w:szCs w:val="24"/>
          <w:highlight w:val="none"/>
        </w:rPr>
      </w:pPr>
      <w:r>
        <w:rPr>
          <w:rFonts w:hint="eastAsia" w:ascii="宋体" w:hAnsi="宋体"/>
          <w:strike/>
          <w:color w:val="auto"/>
          <w:highlight w:val="none"/>
        </w:rPr>
        <w:t>（4）（A）检查投标文件的密封情况，按照投标人须知前附表规定的开标顺序当众开标， 公布招标项目名称、投标人名称、投标保证金的递交情况、投标报价、监理服务期限及其他内容，并记录在案；</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（4）（B）投标人通过电子招标投标交易平台对已递交的电子投标文件进行解密，公布招标项目名称、投标人名称、</w:t>
      </w:r>
      <w:r>
        <w:rPr>
          <w:rFonts w:ascii="宋体" w:hAnsi="宋体"/>
          <w:color w:val="auto"/>
          <w:spacing w:val="2"/>
          <w:sz w:val="24"/>
          <w:szCs w:val="24"/>
          <w:highlight w:val="none"/>
        </w:rPr>
        <w:t>投标保证金的递交情况、</w:t>
      </w:r>
      <w:r>
        <w:rPr>
          <w:rFonts w:hint="eastAsia" w:ascii="宋体" w:hAnsi="宋体"/>
          <w:color w:val="auto"/>
          <w:sz w:val="24"/>
          <w:szCs w:val="24"/>
          <w:highlight w:val="none"/>
        </w:rPr>
        <w:t>投标报价、监理服务期限及其他内容，并记录在案；</w:t>
      </w:r>
    </w:p>
    <w:p>
      <w:pPr>
        <w:spacing w:line="360" w:lineRule="auto"/>
        <w:ind w:firstLine="420" w:firstLineChars="200"/>
        <w:rPr>
          <w:rFonts w:ascii="宋体" w:hAnsi="宋体"/>
          <w:color w:val="auto"/>
          <w:sz w:val="24"/>
          <w:szCs w:val="24"/>
          <w:highlight w:val="none"/>
        </w:rPr>
      </w:pPr>
      <w:r>
        <w:rPr>
          <w:rFonts w:hint="eastAsia" w:ascii="宋体" w:hAnsi="宋体"/>
          <w:strike/>
          <w:color w:val="auto"/>
          <w:highlight w:val="none"/>
        </w:rPr>
        <w:t>（5）（A）投标人代表、招标人代表、监标人、记录人等有关人员在开标记录上签字确认；</w:t>
      </w:r>
    </w:p>
    <w:p>
      <w:pPr>
        <w:spacing w:line="360" w:lineRule="auto"/>
        <w:ind w:firstLine="480" w:firstLineChars="200"/>
        <w:rPr>
          <w:rFonts w:ascii="宋体" w:hAnsi="宋体"/>
          <w:strike/>
          <w:color w:val="auto"/>
          <w:sz w:val="24"/>
          <w:szCs w:val="24"/>
          <w:highlight w:val="none"/>
          <w:u w:val="single"/>
        </w:rPr>
      </w:pPr>
      <w:r>
        <w:rPr>
          <w:rFonts w:hint="eastAsia" w:ascii="宋体" w:hAnsi="宋体"/>
          <w:color w:val="auto"/>
          <w:sz w:val="24"/>
          <w:szCs w:val="24"/>
          <w:highlight w:val="none"/>
        </w:rPr>
        <w:t>（5）（B）</w:t>
      </w:r>
      <w:r>
        <w:rPr>
          <w:rFonts w:hint="eastAsia" w:ascii="宋体" w:hAnsi="宋体" w:cs="宋体"/>
          <w:color w:val="auto"/>
          <w:sz w:val="24"/>
          <w:szCs w:val="24"/>
          <w:highlight w:val="none"/>
          <w:u w:val="single"/>
        </w:rPr>
        <w:t>投标人代表、招标人代表、监标人、记录人等有关人员使用本人的电子印章在开标记录上签字确认</w:t>
      </w:r>
      <w:r>
        <w:rPr>
          <w:rFonts w:hint="eastAsia" w:ascii="宋体" w:hAnsi="宋体"/>
          <w:color w:val="auto"/>
          <w:sz w:val="24"/>
          <w:szCs w:val="24"/>
          <w:highlight w:val="none"/>
          <w:u w:val="singl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（6）开标结束。</w:t>
      </w:r>
    </w:p>
    <w:p>
      <w:pPr>
        <w:pStyle w:val="5"/>
        <w:spacing w:beforeLines="20" w:afterLines="20"/>
        <w:rPr>
          <w:rFonts w:ascii="宋体" w:hAnsi="宋体"/>
          <w:color w:val="auto"/>
          <w:szCs w:val="24"/>
          <w:highlight w:val="none"/>
        </w:rPr>
      </w:pPr>
      <w:bookmarkStart w:id="47" w:name="_Toc517441203"/>
      <w:r>
        <w:rPr>
          <w:rFonts w:hint="eastAsia" w:ascii="宋体" w:hAnsi="宋体"/>
          <w:color w:val="auto"/>
          <w:szCs w:val="24"/>
          <w:highlight w:val="none"/>
        </w:rPr>
        <w:t>5.3 开标异议</w:t>
      </w:r>
      <w:bookmarkEnd w:id="47"/>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投标人对开标有异议的，应当在开标现场提出，招标人当场作出答复，并制作记录。</w:t>
      </w:r>
    </w:p>
    <w:p>
      <w:pPr>
        <w:pStyle w:val="4"/>
        <w:rPr>
          <w:rFonts w:ascii="宋体" w:hAnsi="宋体" w:eastAsia="宋体"/>
          <w:color w:val="auto"/>
          <w:highlight w:val="none"/>
        </w:rPr>
      </w:pPr>
      <w:bookmarkStart w:id="48" w:name="_Toc517441204"/>
      <w:r>
        <w:rPr>
          <w:rFonts w:hint="eastAsia" w:ascii="宋体" w:hAnsi="宋体" w:eastAsia="宋体"/>
          <w:color w:val="auto"/>
          <w:highlight w:val="none"/>
        </w:rPr>
        <w:t>6. 评标</w:t>
      </w:r>
      <w:bookmarkEnd w:id="48"/>
    </w:p>
    <w:p>
      <w:pPr>
        <w:pStyle w:val="5"/>
        <w:spacing w:beforeLines="20" w:afterLines="20"/>
        <w:rPr>
          <w:rFonts w:ascii="宋体" w:hAnsi="宋体"/>
          <w:color w:val="auto"/>
          <w:szCs w:val="24"/>
          <w:highlight w:val="none"/>
        </w:rPr>
      </w:pPr>
      <w:bookmarkStart w:id="49" w:name="_Toc517441205"/>
      <w:r>
        <w:rPr>
          <w:rFonts w:hint="eastAsia" w:ascii="宋体" w:hAnsi="宋体"/>
          <w:color w:val="auto"/>
          <w:szCs w:val="24"/>
          <w:highlight w:val="none"/>
        </w:rPr>
        <w:t>6.1 评标委员会</w:t>
      </w:r>
      <w:bookmarkEnd w:id="49"/>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6.1.2 评标委员会成员有下列情形之一的，应当回避：</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（1）投标人或投标人主要负责人的近亲属；</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（2）项目主管部门或者行政监督部门的人员；</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（3）与投标人有经济利益关系，可能影响对投标公正评审的；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（4）曾因在招标、评标以及其他与招标投标有关活动中从事违法行为而受过行政处罚 或刑事处罚的；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（5）与投标人有其他利害关系。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spacing w:beforeLines="20" w:afterLines="20"/>
        <w:rPr>
          <w:rFonts w:ascii="宋体" w:hAnsi="宋体"/>
          <w:color w:val="auto"/>
          <w:szCs w:val="24"/>
          <w:highlight w:val="none"/>
        </w:rPr>
      </w:pPr>
      <w:bookmarkStart w:id="50" w:name="_Toc517441206"/>
      <w:r>
        <w:rPr>
          <w:rFonts w:hint="eastAsia" w:ascii="宋体" w:hAnsi="宋体"/>
          <w:color w:val="auto"/>
          <w:szCs w:val="24"/>
          <w:highlight w:val="none"/>
        </w:rPr>
        <w:t>6.2 评标原则</w:t>
      </w:r>
      <w:bookmarkEnd w:id="50"/>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评标活动遵循公平、公正、科学和择优的原则。</w:t>
      </w:r>
    </w:p>
    <w:p>
      <w:pPr>
        <w:pStyle w:val="5"/>
        <w:spacing w:beforeLines="20" w:afterLines="20"/>
        <w:rPr>
          <w:rFonts w:ascii="宋体" w:hAnsi="宋体"/>
          <w:color w:val="auto"/>
          <w:szCs w:val="24"/>
          <w:highlight w:val="none"/>
        </w:rPr>
      </w:pPr>
      <w:bookmarkStart w:id="51" w:name="_Toc517441207"/>
      <w:r>
        <w:rPr>
          <w:rFonts w:hint="eastAsia" w:ascii="宋体" w:hAnsi="宋体"/>
          <w:color w:val="auto"/>
          <w:szCs w:val="24"/>
          <w:highlight w:val="none"/>
        </w:rPr>
        <w:t>6.3 评标</w:t>
      </w:r>
      <w:bookmarkEnd w:id="51"/>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6.3.2 评标完成后，评标委员会应当向招标人提交书面评标报告和中标候选人名单。评标委员会推荐中标候选人的人数见投标人须知前附表。</w:t>
      </w:r>
    </w:p>
    <w:p>
      <w:pPr>
        <w:pStyle w:val="4"/>
        <w:rPr>
          <w:rFonts w:ascii="宋体" w:hAnsi="宋体" w:eastAsia="宋体"/>
          <w:color w:val="auto"/>
          <w:highlight w:val="none"/>
        </w:rPr>
      </w:pPr>
      <w:bookmarkStart w:id="52" w:name="_Toc517441208"/>
      <w:r>
        <w:rPr>
          <w:rFonts w:hint="eastAsia" w:ascii="宋体" w:hAnsi="宋体" w:eastAsia="宋体"/>
          <w:color w:val="auto"/>
          <w:highlight w:val="none"/>
        </w:rPr>
        <w:t>7. 合同授予</w:t>
      </w:r>
      <w:bookmarkEnd w:id="52"/>
    </w:p>
    <w:p>
      <w:pPr>
        <w:pStyle w:val="5"/>
        <w:spacing w:beforeLines="20" w:afterLines="20"/>
        <w:rPr>
          <w:rFonts w:ascii="宋体" w:hAnsi="宋体"/>
          <w:color w:val="auto"/>
          <w:szCs w:val="24"/>
          <w:highlight w:val="none"/>
        </w:rPr>
      </w:pPr>
      <w:bookmarkStart w:id="53" w:name="_Toc517441209"/>
      <w:r>
        <w:rPr>
          <w:rFonts w:hint="eastAsia" w:ascii="宋体" w:hAnsi="宋体"/>
          <w:color w:val="auto"/>
          <w:szCs w:val="24"/>
          <w:highlight w:val="none"/>
        </w:rPr>
        <w:t>7.1 中标候选人公示</w:t>
      </w:r>
      <w:bookmarkEnd w:id="53"/>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招标人在收到评标报告之日起 3 日内，按照投标人须知前附表规定的公示媒介和期限公示中标候选人，公示期不得少于 3 天。</w:t>
      </w:r>
    </w:p>
    <w:p>
      <w:pPr>
        <w:pStyle w:val="5"/>
        <w:spacing w:beforeLines="20" w:afterLines="20"/>
        <w:rPr>
          <w:rFonts w:ascii="宋体" w:hAnsi="宋体"/>
          <w:color w:val="auto"/>
          <w:szCs w:val="24"/>
          <w:highlight w:val="none"/>
        </w:rPr>
      </w:pPr>
      <w:bookmarkStart w:id="54" w:name="_Toc517441210"/>
      <w:r>
        <w:rPr>
          <w:rFonts w:hint="eastAsia" w:ascii="宋体" w:hAnsi="宋体"/>
          <w:color w:val="auto"/>
          <w:szCs w:val="24"/>
          <w:highlight w:val="none"/>
        </w:rPr>
        <w:t>7.2 评标结果异议</w:t>
      </w:r>
      <w:bookmarkEnd w:id="54"/>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投标人或者其他利害关系人对评标结果有异议的，应当在中标候选人公示期间提出。招标人将在收到异议之日起 3 日内作出答复；作出答复前，将暂停招标投标活动。</w:t>
      </w:r>
    </w:p>
    <w:p>
      <w:pPr>
        <w:pStyle w:val="5"/>
        <w:spacing w:beforeLines="20" w:afterLines="20"/>
        <w:rPr>
          <w:rFonts w:ascii="宋体" w:hAnsi="宋体"/>
          <w:color w:val="auto"/>
          <w:szCs w:val="24"/>
          <w:highlight w:val="none"/>
        </w:rPr>
      </w:pPr>
      <w:bookmarkStart w:id="55" w:name="_Toc517441211"/>
      <w:r>
        <w:rPr>
          <w:rFonts w:hint="eastAsia" w:ascii="宋体" w:hAnsi="宋体"/>
          <w:color w:val="auto"/>
          <w:szCs w:val="24"/>
          <w:highlight w:val="none"/>
        </w:rPr>
        <w:t>7.3 中标候选人履约能力审查</w:t>
      </w:r>
      <w:bookmarkEnd w:id="55"/>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中标候选人的经营、财务状况发生较大变化或存在违法行为，招标人认为可能影响其履约 能力的，将在发出中标通知书前提请原评标委员会按照招标文件规定的标准和方法进行审查确认。</w:t>
      </w:r>
    </w:p>
    <w:p>
      <w:pPr>
        <w:pStyle w:val="5"/>
        <w:spacing w:beforeLines="20" w:afterLines="20"/>
        <w:rPr>
          <w:rFonts w:ascii="宋体" w:hAnsi="宋体"/>
          <w:color w:val="auto"/>
          <w:szCs w:val="24"/>
          <w:highlight w:val="none"/>
        </w:rPr>
      </w:pPr>
      <w:bookmarkStart w:id="56" w:name="_Toc517441212"/>
      <w:r>
        <w:rPr>
          <w:rFonts w:hint="eastAsia" w:ascii="宋体" w:hAnsi="宋体"/>
          <w:color w:val="auto"/>
          <w:szCs w:val="24"/>
          <w:highlight w:val="none"/>
        </w:rPr>
        <w:t>7.4 定标</w:t>
      </w:r>
      <w:bookmarkEnd w:id="56"/>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按照投标人须知前附表的规定，招标人或招标人授权的评标委员会依法确定中标人。</w:t>
      </w:r>
    </w:p>
    <w:p>
      <w:pPr>
        <w:pStyle w:val="5"/>
        <w:spacing w:beforeLines="20" w:afterLines="20"/>
        <w:rPr>
          <w:rFonts w:ascii="宋体" w:hAnsi="宋体"/>
          <w:color w:val="auto"/>
          <w:szCs w:val="24"/>
          <w:highlight w:val="none"/>
        </w:rPr>
      </w:pPr>
      <w:bookmarkStart w:id="57" w:name="_Toc517441213"/>
      <w:r>
        <w:rPr>
          <w:rFonts w:hint="eastAsia" w:ascii="宋体" w:hAnsi="宋体"/>
          <w:color w:val="auto"/>
          <w:szCs w:val="24"/>
          <w:highlight w:val="none"/>
        </w:rPr>
        <w:t>7.5 中标通知</w:t>
      </w:r>
      <w:bookmarkEnd w:id="57"/>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在本章第 3.3 款规定的投标有效期内，招标人以书面形式向中标人发出中标通知书，同时将中标结果通知未中标的投标人。</w:t>
      </w:r>
    </w:p>
    <w:p>
      <w:pPr>
        <w:pStyle w:val="5"/>
        <w:spacing w:beforeLines="20" w:afterLines="20"/>
        <w:rPr>
          <w:rFonts w:ascii="宋体" w:hAnsi="宋体"/>
          <w:color w:val="auto"/>
          <w:szCs w:val="24"/>
          <w:highlight w:val="none"/>
        </w:rPr>
      </w:pPr>
      <w:bookmarkStart w:id="58" w:name="_Toc517441214"/>
      <w:r>
        <w:rPr>
          <w:rFonts w:hint="eastAsia" w:ascii="宋体" w:hAnsi="宋体"/>
          <w:color w:val="auto"/>
          <w:szCs w:val="24"/>
          <w:highlight w:val="none"/>
        </w:rPr>
        <w:t>7.6 履约保证金</w:t>
      </w:r>
      <w:bookmarkEnd w:id="58"/>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7.6.1 在签订合同前，中标人应按投标人须知前附表规定的形式、金额和招标文件第四章“合同条款及格式”规定的或者事先经过招标人书面认可的履约保证金(保函)格式向招标人提交履约保证金。除投标人须知前附表另有规定外，履约保证金为中标合同金额的 10%。联合体中标的，其履约保证金以联合体各方或者联合体中牵头人的名义提交。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7.6.2 中标人不能按本章第 7.6.1 项要求提交履约保证金（保函）的，视为放弃中标，其投标保证金不予退还，给招标人造成的损失超过投标保证金数额，中标人还应当对超过部分予以赔偿。</w:t>
      </w:r>
    </w:p>
    <w:p>
      <w:pPr>
        <w:pStyle w:val="5"/>
        <w:spacing w:beforeLines="20" w:afterLines="20"/>
        <w:rPr>
          <w:rFonts w:ascii="宋体" w:hAnsi="宋体"/>
          <w:color w:val="auto"/>
          <w:szCs w:val="24"/>
          <w:highlight w:val="none"/>
        </w:rPr>
      </w:pPr>
      <w:bookmarkStart w:id="59" w:name="_Toc517441215"/>
      <w:r>
        <w:rPr>
          <w:rFonts w:hint="eastAsia" w:ascii="宋体" w:hAnsi="宋体"/>
          <w:color w:val="auto"/>
          <w:szCs w:val="24"/>
          <w:highlight w:val="none"/>
        </w:rPr>
        <w:t>7.7 签订合同</w:t>
      </w:r>
      <w:bookmarkEnd w:id="59"/>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w:t>
      </w:r>
      <w:r>
        <w:rPr>
          <w:rFonts w:ascii="宋体" w:hAnsi="宋体"/>
          <w:color w:val="auto"/>
          <w:spacing w:val="-2"/>
          <w:sz w:val="24"/>
          <w:szCs w:val="24"/>
          <w:highlight w:val="none"/>
        </w:rPr>
        <w:t>对</w:t>
      </w:r>
      <w:r>
        <w:rPr>
          <w:rFonts w:ascii="宋体" w:hAnsi="宋体"/>
          <w:color w:val="auto"/>
          <w:sz w:val="24"/>
          <w:szCs w:val="24"/>
          <w:highlight w:val="none"/>
        </w:rPr>
        <w:t>超</w:t>
      </w:r>
      <w:r>
        <w:rPr>
          <w:rFonts w:ascii="宋体" w:hAnsi="宋体"/>
          <w:color w:val="auto"/>
          <w:spacing w:val="-2"/>
          <w:sz w:val="24"/>
          <w:szCs w:val="24"/>
          <w:highlight w:val="none"/>
        </w:rPr>
        <w:t>过</w:t>
      </w:r>
      <w:r>
        <w:rPr>
          <w:rFonts w:ascii="宋体" w:hAnsi="宋体"/>
          <w:color w:val="auto"/>
          <w:sz w:val="24"/>
          <w:szCs w:val="24"/>
          <w:highlight w:val="none"/>
        </w:rPr>
        <w:t>部</w:t>
      </w:r>
      <w:r>
        <w:rPr>
          <w:rFonts w:ascii="宋体" w:hAnsi="宋体"/>
          <w:color w:val="auto"/>
          <w:spacing w:val="-2"/>
          <w:sz w:val="24"/>
          <w:szCs w:val="24"/>
          <w:highlight w:val="none"/>
        </w:rPr>
        <w:t>分</w:t>
      </w:r>
      <w:r>
        <w:rPr>
          <w:rFonts w:hint="eastAsia" w:ascii="宋体" w:hAnsi="宋体"/>
          <w:color w:val="auto"/>
          <w:sz w:val="24"/>
          <w:szCs w:val="24"/>
          <w:highlight w:val="none"/>
        </w:rPr>
        <w:t>予以赔偿。</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7.7.3 联合体中标的，联合体各方应当共同与招标人签订合同，就中标项目向招标人承担连带责任。</w:t>
      </w:r>
    </w:p>
    <w:p>
      <w:pPr>
        <w:pStyle w:val="4"/>
        <w:rPr>
          <w:rFonts w:ascii="宋体" w:hAnsi="宋体" w:eastAsia="宋体"/>
          <w:color w:val="auto"/>
          <w:highlight w:val="none"/>
        </w:rPr>
      </w:pPr>
      <w:bookmarkStart w:id="60" w:name="_Toc517441216"/>
      <w:r>
        <w:rPr>
          <w:rFonts w:hint="eastAsia" w:ascii="宋体" w:hAnsi="宋体" w:eastAsia="宋体"/>
          <w:color w:val="auto"/>
          <w:highlight w:val="none"/>
        </w:rPr>
        <w:t>8. 纪律和监督</w:t>
      </w:r>
      <w:bookmarkEnd w:id="60"/>
    </w:p>
    <w:p>
      <w:pPr>
        <w:pStyle w:val="5"/>
        <w:spacing w:beforeLines="20" w:afterLines="20"/>
        <w:rPr>
          <w:rFonts w:ascii="宋体" w:hAnsi="宋体"/>
          <w:color w:val="auto"/>
          <w:szCs w:val="24"/>
          <w:highlight w:val="none"/>
        </w:rPr>
      </w:pPr>
      <w:bookmarkStart w:id="61" w:name="_Toc517441217"/>
      <w:r>
        <w:rPr>
          <w:rFonts w:hint="eastAsia" w:ascii="宋体" w:hAnsi="宋体"/>
          <w:color w:val="auto"/>
          <w:szCs w:val="24"/>
          <w:highlight w:val="none"/>
        </w:rPr>
        <w:t>8.1 对招标人的纪律要求</w:t>
      </w:r>
      <w:bookmarkEnd w:id="61"/>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招标人不得泄露招标投标活动中应当保密的情况和资料，不得与投标人串通损害国家利益、社会公共利益或者他人合法权益。</w:t>
      </w:r>
    </w:p>
    <w:p>
      <w:pPr>
        <w:pStyle w:val="5"/>
        <w:spacing w:beforeLines="20" w:afterLines="20"/>
        <w:rPr>
          <w:rFonts w:ascii="宋体" w:hAnsi="宋体"/>
          <w:color w:val="auto"/>
          <w:szCs w:val="24"/>
          <w:highlight w:val="none"/>
        </w:rPr>
      </w:pPr>
      <w:bookmarkStart w:id="62" w:name="_Toc517441218"/>
      <w:r>
        <w:rPr>
          <w:rFonts w:hint="eastAsia" w:ascii="宋体" w:hAnsi="宋体"/>
          <w:color w:val="auto"/>
          <w:szCs w:val="24"/>
          <w:highlight w:val="none"/>
        </w:rPr>
        <w:t>8.2 对投标人的纪律要求</w:t>
      </w:r>
      <w:bookmarkEnd w:id="62"/>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Lines="20" w:afterLines="20"/>
        <w:rPr>
          <w:rFonts w:ascii="宋体" w:hAnsi="宋体"/>
          <w:color w:val="auto"/>
          <w:szCs w:val="24"/>
          <w:highlight w:val="none"/>
        </w:rPr>
      </w:pPr>
      <w:bookmarkStart w:id="63" w:name="_Toc517441219"/>
      <w:r>
        <w:rPr>
          <w:rFonts w:hint="eastAsia" w:ascii="宋体" w:hAnsi="宋体"/>
          <w:color w:val="auto"/>
          <w:szCs w:val="24"/>
          <w:highlight w:val="none"/>
        </w:rPr>
        <w:t>8.3 对评标委员会成员的纪律要求</w:t>
      </w:r>
      <w:bookmarkEnd w:id="63"/>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beforeLines="20" w:afterLines="20"/>
        <w:rPr>
          <w:rFonts w:ascii="宋体" w:hAnsi="宋体"/>
          <w:color w:val="auto"/>
          <w:szCs w:val="24"/>
          <w:highlight w:val="none"/>
        </w:rPr>
      </w:pPr>
      <w:bookmarkStart w:id="64" w:name="_Toc517441220"/>
      <w:r>
        <w:rPr>
          <w:rFonts w:hint="eastAsia" w:ascii="宋体" w:hAnsi="宋体"/>
          <w:color w:val="auto"/>
          <w:szCs w:val="24"/>
          <w:highlight w:val="none"/>
        </w:rPr>
        <w:t>8.4 对与评标活动有关的工作人员的纪律要求</w:t>
      </w:r>
      <w:bookmarkEnd w:id="64"/>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spacing w:beforeLines="20" w:afterLines="20"/>
        <w:rPr>
          <w:rFonts w:ascii="宋体" w:hAnsi="宋体"/>
          <w:color w:val="auto"/>
          <w:szCs w:val="24"/>
          <w:highlight w:val="none"/>
        </w:rPr>
      </w:pPr>
      <w:bookmarkStart w:id="65" w:name="_Toc517441221"/>
      <w:r>
        <w:rPr>
          <w:rFonts w:hint="eastAsia" w:ascii="宋体" w:hAnsi="宋体"/>
          <w:color w:val="auto"/>
          <w:szCs w:val="24"/>
          <w:highlight w:val="none"/>
        </w:rPr>
        <w:t>8.5 投诉</w:t>
      </w:r>
      <w:bookmarkEnd w:id="65"/>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pPr>
        <w:pStyle w:val="4"/>
        <w:rPr>
          <w:rFonts w:ascii="宋体" w:hAnsi="宋体" w:eastAsia="宋体"/>
          <w:color w:val="auto"/>
          <w:highlight w:val="none"/>
        </w:rPr>
      </w:pPr>
      <w:bookmarkStart w:id="66" w:name="_Toc517441222"/>
      <w:r>
        <w:rPr>
          <w:rFonts w:hint="eastAsia" w:ascii="宋体" w:hAnsi="宋体" w:eastAsia="宋体"/>
          <w:color w:val="auto"/>
          <w:highlight w:val="none"/>
        </w:rPr>
        <w:t>9. 是否采用电子招标投标</w:t>
      </w:r>
      <w:bookmarkEnd w:id="66"/>
    </w:p>
    <w:p>
      <w:pPr>
        <w:spacing w:line="360" w:lineRule="auto"/>
        <w:ind w:firstLine="480" w:firstLineChars="200"/>
        <w:rPr>
          <w:rFonts w:ascii="宋体" w:hAnsi="宋体"/>
          <w:color w:val="auto"/>
          <w:highlight w:val="none"/>
        </w:rPr>
      </w:pPr>
      <w:r>
        <w:rPr>
          <w:rFonts w:hint="eastAsia" w:ascii="宋体" w:hAnsi="宋体"/>
          <w:color w:val="auto"/>
          <w:sz w:val="24"/>
          <w:szCs w:val="24"/>
          <w:highlight w:val="none"/>
        </w:rPr>
        <w:t>本招标项目是否采用电子招标投标方式，见投标人须知前附表。</w:t>
      </w:r>
    </w:p>
    <w:p>
      <w:pPr>
        <w:pStyle w:val="4"/>
        <w:rPr>
          <w:rFonts w:ascii="宋体" w:hAnsi="宋体" w:eastAsia="宋体"/>
          <w:color w:val="auto"/>
          <w:highlight w:val="none"/>
        </w:rPr>
      </w:pPr>
      <w:bookmarkStart w:id="67" w:name="_Toc517441223"/>
      <w:r>
        <w:rPr>
          <w:rFonts w:hint="eastAsia" w:ascii="宋体" w:hAnsi="宋体" w:eastAsia="宋体"/>
          <w:color w:val="auto"/>
          <w:highlight w:val="none"/>
        </w:rPr>
        <w:t>10. 需要补充的其他内容</w:t>
      </w:r>
      <w:bookmarkEnd w:id="67"/>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需要补充的其他内容：见投标人须知前附表。</w:t>
      </w:r>
    </w:p>
    <w:p>
      <w:pPr>
        <w:pStyle w:val="4"/>
        <w:ind w:firstLine="118"/>
        <w:rPr>
          <w:bCs/>
          <w:color w:val="auto"/>
          <w:sz w:val="28"/>
          <w:highlight w:val="none"/>
        </w:rPr>
      </w:pPr>
      <w:r>
        <w:rPr>
          <w:rFonts w:ascii="宋体" w:hAnsi="宋体" w:eastAsia="宋体"/>
          <w:color w:val="auto"/>
          <w:highlight w:val="none"/>
        </w:rPr>
        <w:br w:type="page"/>
      </w:r>
      <w:bookmarkStart w:id="68" w:name="_Toc524038545"/>
      <w:r>
        <w:rPr>
          <w:bCs/>
          <w:color w:val="auto"/>
          <w:sz w:val="28"/>
          <w:highlight w:val="none"/>
        </w:rPr>
        <w:t>附件一：开标记录表</w:t>
      </w:r>
      <w:bookmarkEnd w:id="68"/>
      <w:r>
        <w:rPr>
          <w:rFonts w:hint="eastAsia" w:ascii="黑体" w:hAnsi="黑体"/>
          <w:color w:val="auto"/>
          <w:sz w:val="28"/>
          <w:highlight w:val="none"/>
        </w:rPr>
        <w:t>(具体格式以电子交易平台格式为准）</w:t>
      </w:r>
    </w:p>
    <w:p>
      <w:pPr>
        <w:spacing w:line="440" w:lineRule="exact"/>
        <w:jc w:val="center"/>
        <w:rPr>
          <w:rFonts w:eastAsia="黑体"/>
          <w:color w:val="auto"/>
          <w:sz w:val="28"/>
          <w:highlight w:val="none"/>
        </w:rPr>
      </w:pPr>
      <w:r>
        <w:rPr>
          <w:rFonts w:eastAsia="黑体"/>
          <w:color w:val="auto"/>
          <w:sz w:val="28"/>
          <w:highlight w:val="none"/>
        </w:rPr>
        <w:t>开标记录表</w:t>
      </w:r>
    </w:p>
    <w:p>
      <w:pPr>
        <w:spacing w:beforeLines="50" w:afterLines="50" w:line="400" w:lineRule="exact"/>
        <w:ind w:right="420"/>
        <w:jc w:val="right"/>
        <w:rPr>
          <w:color w:val="auto"/>
          <w:sz w:val="24"/>
          <w:szCs w:val="24"/>
          <w:highlight w:val="none"/>
        </w:rPr>
      </w:pPr>
      <w:r>
        <w:rPr>
          <w:color w:val="auto"/>
          <w:sz w:val="24"/>
          <w:szCs w:val="24"/>
          <w:highlight w:val="none"/>
        </w:rPr>
        <w:t>开标时间：年月日时分</w:t>
      </w:r>
    </w:p>
    <w:p>
      <w:pPr>
        <w:spacing w:beforeLines="50" w:afterLines="50" w:line="400" w:lineRule="exact"/>
        <w:ind w:right="420"/>
        <w:jc w:val="right"/>
        <w:rPr>
          <w:color w:val="auto"/>
          <w:sz w:val="24"/>
          <w:szCs w:val="24"/>
          <w:highlight w:val="none"/>
        </w:rPr>
      </w:pPr>
    </w:p>
    <w:tbl>
      <w:tblPr>
        <w:tblStyle w:val="26"/>
        <w:tblW w:w="9867" w:type="dxa"/>
        <w:jc w:val="center"/>
        <w:tblLayout w:type="fixed"/>
        <w:tblCellMar>
          <w:top w:w="0" w:type="dxa"/>
          <w:left w:w="108" w:type="dxa"/>
          <w:bottom w:w="0" w:type="dxa"/>
          <w:right w:w="108" w:type="dxa"/>
        </w:tblCellMar>
      </w:tblPr>
      <w:tblGrid>
        <w:gridCol w:w="509"/>
        <w:gridCol w:w="622"/>
        <w:gridCol w:w="735"/>
        <w:gridCol w:w="989"/>
        <w:gridCol w:w="989"/>
        <w:gridCol w:w="842"/>
        <w:gridCol w:w="962"/>
        <w:gridCol w:w="1188"/>
        <w:gridCol w:w="1188"/>
        <w:gridCol w:w="851"/>
        <w:gridCol w:w="992"/>
      </w:tblGrid>
      <w:tr>
        <w:tblPrEx>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r>
              <w:rPr>
                <w:color w:val="auto"/>
                <w:sz w:val="24"/>
                <w:szCs w:val="24"/>
                <w:highlight w:val="none"/>
              </w:rPr>
              <w:t>序号</w:t>
            </w: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r>
              <w:rPr>
                <w:color w:val="auto"/>
                <w:sz w:val="24"/>
                <w:szCs w:val="24"/>
                <w:highlight w:val="none"/>
              </w:rPr>
              <w:t>投标人</w:t>
            </w: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r>
              <w:rPr>
                <w:strike/>
                <w:color w:val="auto"/>
                <w:sz w:val="18"/>
                <w:highlight w:val="none"/>
              </w:rPr>
              <w:t>密封情况</w:t>
            </w:r>
          </w:p>
        </w:tc>
        <w:tc>
          <w:tcPr>
            <w:tcW w:w="989" w:type="dxa"/>
            <w:tcBorders>
              <w:top w:val="single" w:color="auto" w:sz="4" w:space="0"/>
              <w:left w:val="single" w:color="auto" w:sz="4" w:space="0"/>
              <w:bottom w:val="single" w:color="auto" w:sz="4" w:space="0"/>
              <w:right w:val="single" w:color="auto" w:sz="4" w:space="0"/>
            </w:tcBorders>
          </w:tcPr>
          <w:p>
            <w:pPr>
              <w:spacing w:line="500" w:lineRule="exact"/>
              <w:jc w:val="center"/>
              <w:rPr>
                <w:color w:val="auto"/>
                <w:sz w:val="24"/>
                <w:szCs w:val="24"/>
                <w:highlight w:val="none"/>
              </w:rPr>
            </w:pPr>
            <w:r>
              <w:rPr>
                <w:rFonts w:ascii="宋体" w:hAnsi="宋体"/>
                <w:color w:val="auto"/>
                <w:sz w:val="24"/>
                <w:szCs w:val="24"/>
                <w:highlight w:val="none"/>
              </w:rPr>
              <w:t>投标保证金</w:t>
            </w:r>
          </w:p>
        </w:tc>
        <w:tc>
          <w:tcPr>
            <w:tcW w:w="9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r>
              <w:rPr>
                <w:color w:val="auto"/>
                <w:sz w:val="24"/>
                <w:szCs w:val="24"/>
                <w:highlight w:val="none"/>
              </w:rPr>
              <w:t>投标报价</w:t>
            </w:r>
          </w:p>
          <w:p>
            <w:pPr>
              <w:spacing w:line="500" w:lineRule="exact"/>
              <w:jc w:val="center"/>
              <w:rPr>
                <w:color w:val="auto"/>
                <w:sz w:val="24"/>
                <w:szCs w:val="24"/>
                <w:highlight w:val="none"/>
              </w:rPr>
            </w:pPr>
            <w:r>
              <w:rPr>
                <w:color w:val="auto"/>
                <w:sz w:val="24"/>
                <w:szCs w:val="24"/>
                <w:highlight w:val="none"/>
              </w:rPr>
              <w:t>（元）</w:t>
            </w:r>
          </w:p>
        </w:tc>
        <w:tc>
          <w:tcPr>
            <w:tcW w:w="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r>
              <w:rPr>
                <w:color w:val="auto"/>
                <w:sz w:val="24"/>
                <w:szCs w:val="24"/>
                <w:highlight w:val="none"/>
              </w:rPr>
              <w:t>总监理工程师</w:t>
            </w: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r>
              <w:rPr>
                <w:color w:val="auto"/>
                <w:sz w:val="24"/>
                <w:szCs w:val="24"/>
                <w:highlight w:val="none"/>
              </w:rPr>
              <w:t>监理服务期限</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r>
              <w:rPr>
                <w:rFonts w:hint="eastAsia"/>
                <w:color w:val="auto"/>
                <w:sz w:val="24"/>
                <w:szCs w:val="24"/>
                <w:highlight w:val="none"/>
              </w:rPr>
              <w:t>投标文件递交情况</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r>
              <w:rPr>
                <w:rFonts w:hint="eastAsia"/>
                <w:color w:val="auto"/>
                <w:sz w:val="24"/>
                <w:szCs w:val="24"/>
                <w:highlight w:val="none"/>
              </w:rPr>
              <w:t>投标文件解密情况</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r>
              <w:rPr>
                <w:color w:val="auto"/>
                <w:sz w:val="24"/>
                <w:szCs w:val="24"/>
                <w:highlight w:val="none"/>
              </w:rPr>
              <w:t>备注</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r>
              <w:rPr>
                <w:color w:val="auto"/>
                <w:sz w:val="24"/>
                <w:szCs w:val="24"/>
                <w:highlight w:val="none"/>
              </w:rPr>
              <w:t>投标人代表签名</w:t>
            </w:r>
          </w:p>
        </w:tc>
      </w:tr>
      <w:tr>
        <w:tblPrEx>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r>
      <w:tr>
        <w:tblPrEx>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r>
      <w:tr>
        <w:tblPrEx>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r>
      <w:tr>
        <w:tblPrEx>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r>
      <w:tr>
        <w:tblPrEx>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r>
      <w:tr>
        <w:tblPrEx>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r>
      <w:tr>
        <w:tblPrEx>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r>
      <w:tr>
        <w:tblPrEx>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r>
      <w:tr>
        <w:tblPrEx>
          <w:tblCellMar>
            <w:top w:w="0" w:type="dxa"/>
            <w:left w:w="108" w:type="dxa"/>
            <w:bottom w:w="0" w:type="dxa"/>
            <w:right w:w="108" w:type="dxa"/>
          </w:tblCellMar>
        </w:tblPrEx>
        <w:trPr>
          <w:trHeight w:val="502"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r>
      <w:tr>
        <w:tblPrEx>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r>
      <w:tr>
        <w:tblPrEx>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r>
      <w:tr>
        <w:tblPrEx>
          <w:tblCellMar>
            <w:top w:w="0" w:type="dxa"/>
            <w:left w:w="108" w:type="dxa"/>
            <w:bottom w:w="0" w:type="dxa"/>
            <w:right w:w="108" w:type="dxa"/>
          </w:tblCellMar>
        </w:tblPrEx>
        <w:trPr>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tcPr>
          <w:p>
            <w:pPr>
              <w:spacing w:line="500" w:lineRule="exact"/>
              <w:jc w:val="center"/>
              <w:rPr>
                <w:color w:val="auto"/>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p>
        </w:tc>
      </w:tr>
      <w:tr>
        <w:tblPrEx>
          <w:tblCellMar>
            <w:top w:w="0" w:type="dxa"/>
            <w:left w:w="108" w:type="dxa"/>
            <w:bottom w:w="0" w:type="dxa"/>
            <w:right w:w="108" w:type="dxa"/>
          </w:tblCellMar>
        </w:tblPrEx>
        <w:trPr>
          <w:gridAfter w:val="8"/>
          <w:wAfter w:w="8001" w:type="dxa"/>
          <w:jc w:val="center"/>
        </w:trPr>
        <w:tc>
          <w:tcPr>
            <w:tcW w:w="186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color w:val="auto"/>
                <w:sz w:val="24"/>
                <w:szCs w:val="24"/>
                <w:highlight w:val="none"/>
              </w:rPr>
            </w:pPr>
            <w:r>
              <w:rPr>
                <w:color w:val="auto"/>
                <w:sz w:val="24"/>
                <w:szCs w:val="24"/>
                <w:highlight w:val="none"/>
              </w:rPr>
              <w:t>最高投标限价：</w:t>
            </w:r>
          </w:p>
        </w:tc>
      </w:tr>
    </w:tbl>
    <w:p>
      <w:pPr>
        <w:spacing w:line="620" w:lineRule="exact"/>
        <w:rPr>
          <w:color w:val="auto"/>
          <w:sz w:val="24"/>
          <w:szCs w:val="24"/>
          <w:highlight w:val="none"/>
        </w:rPr>
      </w:pPr>
      <w:r>
        <w:rPr>
          <w:color w:val="auto"/>
          <w:sz w:val="24"/>
          <w:szCs w:val="24"/>
          <w:highlight w:val="none"/>
        </w:rPr>
        <w:t>招标人代表：记录人：监标人：</w:t>
      </w:r>
    </w:p>
    <w:p>
      <w:pPr>
        <w:spacing w:line="620" w:lineRule="exact"/>
        <w:jc w:val="right"/>
        <w:rPr>
          <w:color w:val="auto"/>
          <w:sz w:val="20"/>
          <w:highlight w:val="none"/>
        </w:rPr>
      </w:pPr>
      <w:r>
        <w:rPr>
          <w:color w:val="auto"/>
          <w:sz w:val="24"/>
          <w:szCs w:val="24"/>
          <w:highlight w:val="none"/>
        </w:rPr>
        <w:t>年月日</w:t>
      </w:r>
    </w:p>
    <w:p>
      <w:pPr>
        <w:pStyle w:val="5"/>
        <w:spacing w:before="260" w:after="260" w:line="412" w:lineRule="auto"/>
        <w:ind w:firstLine="137" w:firstLineChars="49"/>
        <w:rPr>
          <w:bCs w:val="0"/>
          <w:color w:val="auto"/>
          <w:sz w:val="28"/>
          <w:szCs w:val="20"/>
          <w:highlight w:val="none"/>
        </w:rPr>
      </w:pPr>
      <w:bookmarkStart w:id="69" w:name="_Toc524038546"/>
      <w:r>
        <w:rPr>
          <w:bCs w:val="0"/>
          <w:color w:val="auto"/>
          <w:sz w:val="28"/>
          <w:szCs w:val="20"/>
          <w:highlight w:val="none"/>
        </w:rPr>
        <w:t>附件二：问题澄清通知</w:t>
      </w:r>
      <w:bookmarkEnd w:id="69"/>
    </w:p>
    <w:p>
      <w:pPr>
        <w:spacing w:line="440" w:lineRule="exact"/>
        <w:jc w:val="center"/>
        <w:rPr>
          <w:color w:val="auto"/>
          <w:highlight w:val="none"/>
        </w:rPr>
      </w:pPr>
    </w:p>
    <w:p>
      <w:pPr>
        <w:spacing w:line="360" w:lineRule="auto"/>
        <w:jc w:val="center"/>
        <w:rPr>
          <w:rFonts w:ascii="宋体" w:hAnsi="宋体"/>
          <w:b/>
          <w:color w:val="auto"/>
          <w:sz w:val="32"/>
          <w:szCs w:val="32"/>
          <w:highlight w:val="none"/>
        </w:rPr>
      </w:pPr>
      <w:bookmarkStart w:id="70" w:name="_Toc152042355"/>
      <w:bookmarkStart w:id="71" w:name="_Toc144974546"/>
      <w:r>
        <w:rPr>
          <w:rFonts w:hint="eastAsia" w:ascii="宋体" w:hAnsi="宋体"/>
          <w:b/>
          <w:color w:val="auto"/>
          <w:sz w:val="32"/>
          <w:szCs w:val="32"/>
          <w:highlight w:val="none"/>
        </w:rPr>
        <w:t>问题澄清通知</w:t>
      </w:r>
    </w:p>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（编号：）</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（投标人名称）：</w:t>
      </w:r>
    </w:p>
    <w:p>
      <w:pPr>
        <w:spacing w:line="360" w:lineRule="auto"/>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评标委员会对你方的投标文件进行了仔细的审查，现需你方对下列问题以书面形式予以澄清、说明或补正：</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请将上述问题的澄清、说明或补正于年月日时前递交至（详细地址）或传真至（传真号码）或通过下载招标文件的电子招标交易平台上传。采用传真方式的，应在年月日时前将原件递交至（详细地址）。</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1680" w:firstLineChars="700"/>
        <w:jc w:val="right"/>
        <w:rPr>
          <w:rFonts w:ascii="宋体" w:hAnsi="宋体"/>
          <w:color w:val="auto"/>
          <w:sz w:val="24"/>
          <w:szCs w:val="24"/>
          <w:highlight w:val="none"/>
        </w:rPr>
      </w:pPr>
      <w:r>
        <w:rPr>
          <w:rFonts w:hint="eastAsia" w:ascii="宋体" w:hAnsi="宋体"/>
          <w:color w:val="auto"/>
          <w:sz w:val="24"/>
          <w:szCs w:val="24"/>
          <w:highlight w:val="none"/>
        </w:rPr>
        <w:t>评标委员会授权的招标人或招标代理机构：（签字或盖章）</w:t>
      </w:r>
    </w:p>
    <w:p>
      <w:pPr>
        <w:spacing w:line="400" w:lineRule="exact"/>
        <w:jc w:val="right"/>
        <w:rPr>
          <w:color w:val="auto"/>
          <w:sz w:val="24"/>
          <w:szCs w:val="24"/>
          <w:highlight w:val="none"/>
        </w:rPr>
      </w:pPr>
      <w:r>
        <w:rPr>
          <w:rFonts w:hint="eastAsia" w:ascii="宋体" w:hAnsi="宋体"/>
          <w:color w:val="auto"/>
          <w:sz w:val="24"/>
          <w:szCs w:val="24"/>
          <w:highlight w:val="none"/>
        </w:rPr>
        <w:t>年月日</w:t>
      </w: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pStyle w:val="5"/>
        <w:spacing w:before="260" w:after="260" w:line="412" w:lineRule="auto"/>
        <w:ind w:firstLine="137" w:firstLineChars="49"/>
        <w:rPr>
          <w:bCs w:val="0"/>
          <w:color w:val="auto"/>
          <w:sz w:val="28"/>
          <w:szCs w:val="20"/>
          <w:highlight w:val="none"/>
        </w:rPr>
        <w:sectPr>
          <w:footerReference r:id="rId3" w:type="default"/>
          <w:pgSz w:w="12240" w:h="15840"/>
          <w:pgMar w:top="1440" w:right="1425" w:bottom="1440" w:left="1800" w:header="720" w:footer="720" w:gutter="0"/>
          <w:cols w:space="720" w:num="1"/>
          <w:docGrid w:linePitch="285" w:charSpace="0"/>
        </w:sectPr>
      </w:pPr>
      <w:bookmarkStart w:id="72" w:name="_Toc524038547"/>
    </w:p>
    <w:p>
      <w:pPr>
        <w:pStyle w:val="5"/>
        <w:spacing w:before="260" w:after="260" w:line="412" w:lineRule="auto"/>
        <w:ind w:firstLine="137" w:firstLineChars="49"/>
        <w:rPr>
          <w:bCs w:val="0"/>
          <w:color w:val="auto"/>
          <w:sz w:val="28"/>
          <w:szCs w:val="20"/>
          <w:highlight w:val="none"/>
        </w:rPr>
      </w:pPr>
      <w:r>
        <w:rPr>
          <w:bCs w:val="0"/>
          <w:color w:val="auto"/>
          <w:sz w:val="28"/>
          <w:szCs w:val="20"/>
          <w:highlight w:val="none"/>
        </w:rPr>
        <w:t>附件三：问题的澄清</w:t>
      </w:r>
      <w:bookmarkEnd w:id="72"/>
    </w:p>
    <w:p>
      <w:pPr>
        <w:spacing w:line="400" w:lineRule="exact"/>
        <w:jc w:val="center"/>
        <w:rPr>
          <w:rFonts w:eastAsia="黑体"/>
          <w:color w:val="auto"/>
          <w:sz w:val="28"/>
          <w:highlight w:val="none"/>
        </w:rPr>
      </w:pPr>
    </w:p>
    <w:bookmarkEnd w:id="70"/>
    <w:bookmarkEnd w:id="71"/>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问题的澄清</w:t>
      </w:r>
    </w:p>
    <w:p>
      <w:pPr>
        <w:spacing w:line="360" w:lineRule="auto"/>
        <w:jc w:val="center"/>
        <w:rPr>
          <w:rFonts w:ascii="宋体" w:hAnsi="宋体"/>
          <w:color w:val="auto"/>
          <w:sz w:val="24"/>
          <w:szCs w:val="24"/>
          <w:highlight w:val="none"/>
        </w:rPr>
      </w:pPr>
      <w:r>
        <w:rPr>
          <w:rFonts w:hint="eastAsia" w:ascii="宋体" w:hAnsi="宋体"/>
          <w:color w:val="auto"/>
          <w:highlight w:val="none"/>
        </w:rPr>
        <w:t>（</w:t>
      </w:r>
      <w:r>
        <w:rPr>
          <w:rFonts w:hint="eastAsia" w:ascii="宋体" w:hAnsi="宋体"/>
          <w:color w:val="auto"/>
          <w:sz w:val="24"/>
          <w:szCs w:val="24"/>
          <w:highlight w:val="none"/>
        </w:rPr>
        <w:t>编号：）</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评标委员会：</w:t>
      </w:r>
    </w:p>
    <w:p>
      <w:pPr>
        <w:spacing w:line="360" w:lineRule="auto"/>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问题澄清通知（编号：）已收悉，现澄清、说明或补正如下：</w:t>
      </w:r>
    </w:p>
    <w:p>
      <w:pPr>
        <w:spacing w:line="360" w:lineRule="auto"/>
        <w:ind w:firstLine="960" w:firstLineChars="400"/>
        <w:rPr>
          <w:rFonts w:ascii="宋体" w:hAnsi="宋体"/>
          <w:color w:val="auto"/>
          <w:sz w:val="24"/>
          <w:szCs w:val="24"/>
          <w:highlight w:val="none"/>
        </w:rPr>
      </w:pPr>
      <w:r>
        <w:rPr>
          <w:rFonts w:ascii="宋体" w:hAnsi="宋体"/>
          <w:color w:val="auto"/>
          <w:sz w:val="24"/>
          <w:szCs w:val="24"/>
          <w:highlight w:val="none"/>
        </w:rPr>
        <w:t>1.</w:t>
      </w:r>
    </w:p>
    <w:p>
      <w:pPr>
        <w:spacing w:line="360" w:lineRule="auto"/>
        <w:ind w:firstLine="960" w:firstLineChars="400"/>
        <w:rPr>
          <w:rFonts w:ascii="宋体" w:hAnsi="宋体"/>
          <w:color w:val="auto"/>
          <w:sz w:val="24"/>
          <w:szCs w:val="24"/>
          <w:highlight w:val="none"/>
        </w:rPr>
      </w:pPr>
      <w:r>
        <w:rPr>
          <w:rFonts w:ascii="宋体" w:hAnsi="宋体"/>
          <w:color w:val="auto"/>
          <w:sz w:val="24"/>
          <w:szCs w:val="24"/>
          <w:highlight w:val="none"/>
        </w:rPr>
        <w:t>2.</w:t>
      </w:r>
    </w:p>
    <w:p>
      <w:pPr>
        <w:spacing w:line="360" w:lineRule="auto"/>
        <w:ind w:firstLine="960" w:firstLineChars="400"/>
        <w:rPr>
          <w:rFonts w:ascii="宋体" w:hAnsi="宋体"/>
          <w:color w:val="auto"/>
          <w:sz w:val="24"/>
          <w:szCs w:val="24"/>
          <w:highlight w:val="none"/>
        </w:rPr>
      </w:pPr>
      <w:r>
        <w:rPr>
          <w:rFonts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上述问题澄清、说明或补正，不改变我方投标文件的实质性内容，构成我方投标文件的组成部分。</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jc w:val="right"/>
        <w:rPr>
          <w:rFonts w:ascii="宋体" w:hAnsi="宋体"/>
          <w:color w:val="auto"/>
          <w:sz w:val="24"/>
          <w:szCs w:val="24"/>
          <w:highlight w:val="none"/>
        </w:rPr>
      </w:pPr>
      <w:r>
        <w:rPr>
          <w:rFonts w:hint="eastAsia" w:ascii="宋体" w:hAnsi="宋体"/>
          <w:color w:val="auto"/>
          <w:sz w:val="24"/>
          <w:szCs w:val="24"/>
          <w:highlight w:val="none"/>
        </w:rPr>
        <w:t>投标人：（盖单位章）</w:t>
      </w:r>
    </w:p>
    <w:p>
      <w:pPr>
        <w:spacing w:line="360" w:lineRule="auto"/>
        <w:ind w:firstLine="3360" w:firstLineChars="1400"/>
        <w:rPr>
          <w:rFonts w:ascii="宋体" w:hAnsi="宋体"/>
          <w:color w:val="auto"/>
          <w:sz w:val="24"/>
          <w:szCs w:val="24"/>
          <w:highlight w:val="none"/>
        </w:rPr>
      </w:pPr>
      <w:r>
        <w:rPr>
          <w:rFonts w:hint="eastAsia" w:ascii="宋体" w:hAnsi="宋体"/>
          <w:color w:val="auto"/>
          <w:sz w:val="24"/>
          <w:szCs w:val="24"/>
          <w:highlight w:val="none"/>
        </w:rPr>
        <w:t>法定代表人或其委托代理人：（签字）</w:t>
      </w:r>
    </w:p>
    <w:p>
      <w:pPr>
        <w:spacing w:line="360" w:lineRule="auto"/>
        <w:ind w:firstLine="5400" w:firstLineChars="2250"/>
        <w:rPr>
          <w:rFonts w:ascii="宋体" w:hAnsi="宋体"/>
          <w:color w:val="auto"/>
          <w:sz w:val="24"/>
          <w:szCs w:val="24"/>
          <w:highlight w:val="none"/>
        </w:rPr>
      </w:pPr>
      <w:r>
        <w:rPr>
          <w:rFonts w:hint="eastAsia" w:ascii="宋体" w:hAnsi="宋体"/>
          <w:color w:val="auto"/>
          <w:sz w:val="24"/>
          <w:szCs w:val="24"/>
          <w:highlight w:val="none"/>
        </w:rPr>
        <w:t>年月日</w:t>
      </w: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pStyle w:val="5"/>
        <w:spacing w:before="260" w:after="260" w:line="412" w:lineRule="auto"/>
        <w:ind w:firstLine="137" w:firstLineChars="49"/>
        <w:rPr>
          <w:bCs w:val="0"/>
          <w:color w:val="auto"/>
          <w:sz w:val="28"/>
          <w:szCs w:val="20"/>
          <w:highlight w:val="none"/>
        </w:rPr>
        <w:sectPr>
          <w:pgSz w:w="12240" w:h="15840"/>
          <w:pgMar w:top="1440" w:right="1425" w:bottom="1440" w:left="1800" w:header="720" w:footer="720" w:gutter="0"/>
          <w:cols w:space="720" w:num="1"/>
          <w:docGrid w:linePitch="285" w:charSpace="0"/>
        </w:sectPr>
      </w:pPr>
      <w:bookmarkStart w:id="73" w:name="_Toc492300623"/>
      <w:bookmarkStart w:id="74" w:name="_Toc524038548"/>
    </w:p>
    <w:p>
      <w:pPr>
        <w:pStyle w:val="5"/>
        <w:spacing w:before="260" w:after="260" w:line="412" w:lineRule="auto"/>
        <w:ind w:firstLine="137" w:firstLineChars="49"/>
        <w:rPr>
          <w:bCs w:val="0"/>
          <w:color w:val="auto"/>
          <w:sz w:val="28"/>
          <w:szCs w:val="20"/>
          <w:highlight w:val="none"/>
        </w:rPr>
      </w:pPr>
      <w:r>
        <w:rPr>
          <w:rFonts w:hint="eastAsia"/>
          <w:bCs w:val="0"/>
          <w:color w:val="auto"/>
          <w:sz w:val="28"/>
          <w:szCs w:val="20"/>
          <w:highlight w:val="none"/>
        </w:rPr>
        <w:t>附件四：中标通知书</w:t>
      </w:r>
      <w:bookmarkEnd w:id="73"/>
      <w:bookmarkEnd w:id="74"/>
    </w:p>
    <w:p>
      <w:pPr>
        <w:spacing w:line="400" w:lineRule="exact"/>
        <w:rPr>
          <w:color w:val="auto"/>
          <w:highlight w:val="none"/>
        </w:rPr>
      </w:pPr>
    </w:p>
    <w:p>
      <w:pPr>
        <w:spacing w:line="400" w:lineRule="exact"/>
        <w:rPr>
          <w:color w:val="auto"/>
          <w:sz w:val="28"/>
          <w:szCs w:val="28"/>
          <w:highlight w:val="none"/>
        </w:rPr>
      </w:pPr>
      <w:r>
        <w:rPr>
          <w:rFonts w:hint="eastAsia"/>
          <w:color w:val="auto"/>
          <w:sz w:val="28"/>
          <w:szCs w:val="28"/>
          <w:highlight w:val="none"/>
        </w:rPr>
        <w:t>（按广州公共资源交易中心中标通知书格式）</w:t>
      </w:r>
    </w:p>
    <w:p>
      <w:pPr>
        <w:spacing w:line="440" w:lineRule="exact"/>
        <w:rPr>
          <w:color w:val="auto"/>
          <w:highlight w:val="none"/>
        </w:rPr>
      </w:pPr>
    </w:p>
    <w:p>
      <w:pPr>
        <w:rPr>
          <w:color w:val="auto"/>
          <w:sz w:val="24"/>
          <w:szCs w:val="24"/>
          <w:highlight w:val="none"/>
        </w:rPr>
      </w:pPr>
    </w:p>
    <w:p>
      <w:pPr>
        <w:rPr>
          <w:color w:val="auto"/>
          <w:sz w:val="24"/>
          <w:szCs w:val="24"/>
          <w:highlight w:val="none"/>
        </w:rPr>
      </w:pPr>
    </w:p>
    <w:p>
      <w:pPr>
        <w:pStyle w:val="4"/>
        <w:spacing w:line="360" w:lineRule="auto"/>
        <w:jc w:val="center"/>
        <w:rPr>
          <w:rFonts w:ascii="宋体" w:hAnsi="宋体" w:eastAsia="宋体" w:cs="宋体"/>
          <w:color w:val="auto"/>
          <w:sz w:val="36"/>
          <w:szCs w:val="36"/>
          <w:highlight w:val="none"/>
        </w:rPr>
      </w:pPr>
      <w:bookmarkStart w:id="75" w:name="_Toc13620_WPSOffice_Level1"/>
      <w:r>
        <w:rPr>
          <w:rFonts w:hint="eastAsia" w:ascii="宋体" w:hAnsi="宋体" w:eastAsia="宋体" w:cs="宋体"/>
          <w:color w:val="auto"/>
          <w:sz w:val="36"/>
          <w:szCs w:val="36"/>
          <w:highlight w:val="none"/>
        </w:rPr>
        <w:t>第三章 评标办法 (综合评估法)</w:t>
      </w:r>
      <w:bookmarkEnd w:id="75"/>
    </w:p>
    <w:p>
      <w:pPr>
        <w:pStyle w:val="4"/>
        <w:jc w:val="center"/>
        <w:rPr>
          <w:rFonts w:ascii="Times New Roman" w:hAnsi="Times New Roman"/>
          <w:color w:val="auto"/>
          <w:highlight w:val="none"/>
        </w:rPr>
      </w:pPr>
      <w:bookmarkStart w:id="76" w:name="_Toc511140226"/>
      <w:r>
        <w:rPr>
          <w:rFonts w:hint="eastAsia" w:ascii="Times New Roman" w:hAnsi="Times New Roman"/>
          <w:color w:val="auto"/>
          <w:highlight w:val="none"/>
        </w:rPr>
        <w:t>评标办法前附表</w:t>
      </w:r>
      <w:bookmarkEnd w:id="76"/>
    </w:p>
    <w:tbl>
      <w:tblPr>
        <w:tblStyle w:val="2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008"/>
        <w:gridCol w:w="2218"/>
        <w:gridCol w:w="42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b/>
                <w:color w:val="auto"/>
                <w:sz w:val="24"/>
                <w:szCs w:val="24"/>
                <w:highlight w:val="none"/>
              </w:rPr>
            </w:pPr>
            <w:r>
              <w:rPr>
                <w:rFonts w:hint="eastAsia"/>
                <w:b/>
                <w:color w:val="auto"/>
                <w:sz w:val="24"/>
                <w:szCs w:val="24"/>
                <w:highlight w:val="none"/>
              </w:rPr>
              <w:t>条款号</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sz w:val="24"/>
                <w:szCs w:val="24"/>
                <w:highlight w:val="none"/>
              </w:rPr>
            </w:pPr>
            <w:r>
              <w:rPr>
                <w:rFonts w:hint="eastAsia"/>
                <w:b/>
                <w:color w:val="auto"/>
                <w:sz w:val="24"/>
                <w:szCs w:val="24"/>
                <w:highlight w:val="none"/>
              </w:rPr>
              <w:t>评审因素</w:t>
            </w:r>
          </w:p>
        </w:tc>
        <w:tc>
          <w:tcPr>
            <w:tcW w:w="4248" w:type="dxa"/>
            <w:tcBorders>
              <w:top w:val="single" w:color="auto" w:sz="4" w:space="0"/>
              <w:left w:val="single" w:color="auto" w:sz="4" w:space="0"/>
              <w:bottom w:val="single" w:color="auto" w:sz="4" w:space="0"/>
            </w:tcBorders>
            <w:vAlign w:val="center"/>
          </w:tcPr>
          <w:p>
            <w:pPr>
              <w:spacing w:line="440" w:lineRule="exact"/>
              <w:jc w:val="center"/>
              <w:rPr>
                <w:b/>
                <w:color w:val="auto"/>
                <w:sz w:val="24"/>
                <w:szCs w:val="24"/>
                <w:highlight w:val="none"/>
              </w:rPr>
            </w:pPr>
            <w:r>
              <w:rPr>
                <w:rFonts w:hint="eastAsia"/>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color w:val="auto"/>
                <w:sz w:val="24"/>
                <w:szCs w:val="24"/>
                <w:highlight w:val="none"/>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评标方法</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中标候选人排序方法</w:t>
            </w:r>
          </w:p>
        </w:tc>
        <w:tc>
          <w:tcPr>
            <w:tcW w:w="4248" w:type="dxa"/>
            <w:tcBorders>
              <w:top w:val="single" w:color="auto" w:sz="4" w:space="0"/>
              <w:left w:val="single" w:color="auto" w:sz="4" w:space="0"/>
              <w:bottom w:val="single" w:color="auto" w:sz="4" w:space="0"/>
            </w:tcBorders>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如果有投标人在综合评分、投标报价、监理大纲得分均相等的情况下，由评标委员会采用记名投票方式，以得票多的优先。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color w:val="auto"/>
                <w:sz w:val="24"/>
                <w:szCs w:val="24"/>
                <w:highlight w:val="none"/>
              </w:rPr>
              <w:t>2.1.1</w:t>
            </w:r>
          </w:p>
        </w:tc>
        <w:tc>
          <w:tcPr>
            <w:tcW w:w="1124" w:type="dxa"/>
            <w:vMerge w:val="restart"/>
            <w:tcBorders>
              <w:top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形式评审标准</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投标人名称</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color w:val="auto"/>
                <w:sz w:val="24"/>
                <w:szCs w:val="24"/>
                <w:highlight w:val="none"/>
              </w:rPr>
            </w:pPr>
          </w:p>
        </w:tc>
        <w:tc>
          <w:tcPr>
            <w:tcW w:w="1124" w:type="dxa"/>
            <w:vMerge w:val="continue"/>
            <w:tcBorders>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投标函及投标函附录签字盖章</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有法定代表人</w:t>
            </w:r>
            <w:bookmarkStart w:id="77" w:name="_Toc384308269"/>
            <w:bookmarkStart w:id="78" w:name="_Toc300835005"/>
            <w:bookmarkStart w:id="79" w:name="_Toc352691530"/>
            <w:bookmarkStart w:id="80" w:name="_Toc369531574"/>
            <w:bookmarkStart w:id="81" w:name="_Toc361508643"/>
            <w:bookmarkStart w:id="82" w:name="_Toc144974551"/>
            <w:bookmarkStart w:id="83" w:name="_Toc247514008"/>
            <w:bookmarkStart w:id="84" w:name="_Toc247527609"/>
            <w:bookmarkStart w:id="85" w:name="_Toc152045584"/>
            <w:bookmarkStart w:id="86" w:name="_Toc152042361"/>
            <w:bookmarkStart w:id="87" w:name="_Toc6546"/>
            <w:r>
              <w:rPr>
                <w:rFonts w:hint="eastAsia" w:ascii="宋体" w:hAnsi="宋体" w:cs="宋体"/>
                <w:color w:val="auto"/>
                <w:sz w:val="24"/>
                <w:szCs w:val="24"/>
                <w:highlight w:val="none"/>
              </w:rPr>
              <w:t>或其委托</w:t>
            </w:r>
            <w:bookmarkEnd w:id="77"/>
            <w:bookmarkEnd w:id="78"/>
            <w:bookmarkEnd w:id="79"/>
            <w:bookmarkEnd w:id="80"/>
            <w:bookmarkEnd w:id="81"/>
            <w:bookmarkEnd w:id="82"/>
            <w:bookmarkEnd w:id="83"/>
            <w:bookmarkEnd w:id="84"/>
            <w:bookmarkEnd w:id="85"/>
            <w:bookmarkEnd w:id="86"/>
            <w:bookmarkEnd w:id="87"/>
            <w:r>
              <w:rPr>
                <w:rFonts w:hint="eastAsia" w:ascii="宋体" w:hAnsi="宋体" w:cs="宋体"/>
                <w:color w:val="auto"/>
                <w:sz w:val="24"/>
                <w:szCs w:val="24"/>
                <w:highlight w:val="none"/>
              </w:rPr>
              <w:t>代理人签字或加盖单位章。由法定代表人签字的，应附法定代表人身份证明，由代理人签字的，应附授权委托书，身份证明或授权委托书应符合第六章“投标文件格式”的规定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color w:val="auto"/>
                <w:sz w:val="24"/>
                <w:szCs w:val="24"/>
                <w:highlight w:val="none"/>
              </w:rPr>
            </w:pPr>
          </w:p>
        </w:tc>
        <w:tc>
          <w:tcPr>
            <w:tcW w:w="1124" w:type="dxa"/>
            <w:vMerge w:val="continue"/>
            <w:tcBorders>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投标文件格式</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color w:val="auto"/>
                <w:sz w:val="24"/>
                <w:szCs w:val="24"/>
                <w:highlight w:val="none"/>
              </w:rPr>
            </w:pPr>
          </w:p>
        </w:tc>
        <w:tc>
          <w:tcPr>
            <w:tcW w:w="1124" w:type="dxa"/>
            <w:vMerge w:val="continue"/>
            <w:tcBorders>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联合体投标人</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本项目不允许联合体投标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color w:val="auto"/>
                <w:sz w:val="24"/>
                <w:szCs w:val="24"/>
                <w:highlight w:val="none"/>
              </w:rPr>
            </w:pPr>
          </w:p>
        </w:tc>
        <w:tc>
          <w:tcPr>
            <w:tcW w:w="1124" w:type="dxa"/>
            <w:vMerge w:val="continue"/>
            <w:tcBorders>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投标人机器码</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不同投标人机器码相同，视为不合格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900" w:type="dxa"/>
            <w:vMerge w:val="continue"/>
            <w:tcBorders>
              <w:top w:val="nil"/>
              <w:bottom w:val="single" w:color="auto" w:sz="4" w:space="0"/>
              <w:right w:val="single" w:color="auto" w:sz="4" w:space="0"/>
            </w:tcBorders>
          </w:tcPr>
          <w:p>
            <w:pPr>
              <w:rPr>
                <w:color w:val="auto"/>
                <w:sz w:val="24"/>
                <w:szCs w:val="24"/>
                <w:highlight w:val="none"/>
              </w:rPr>
            </w:pPr>
          </w:p>
        </w:tc>
        <w:tc>
          <w:tcPr>
            <w:tcW w:w="1124" w:type="dxa"/>
            <w:vMerge w:val="continue"/>
            <w:tcBorders>
              <w:left w:val="single" w:color="auto" w:sz="4" w:space="0"/>
              <w:right w:val="single" w:color="auto" w:sz="4" w:space="0"/>
            </w:tcBorders>
          </w:tcPr>
          <w:p>
            <w:pPr>
              <w:rPr>
                <w:color w:val="auto"/>
                <w:sz w:val="24"/>
                <w:szCs w:val="24"/>
                <w:highlight w:val="none"/>
              </w:rPr>
            </w:pPr>
          </w:p>
        </w:tc>
        <w:tc>
          <w:tcPr>
            <w:tcW w:w="3226" w:type="dxa"/>
            <w:gridSpan w:val="2"/>
            <w:tcBorders>
              <w:top w:val="single" w:color="auto" w:sz="4" w:space="0"/>
              <w:left w:val="single" w:color="auto" w:sz="4" w:space="0"/>
              <w:right w:val="single" w:color="auto" w:sz="4" w:space="0"/>
            </w:tcBorders>
          </w:tcPr>
          <w:p>
            <w:pPr>
              <w:spacing w:line="440" w:lineRule="exact"/>
              <w:jc w:val="center"/>
              <w:rPr>
                <w:color w:val="auto"/>
                <w:sz w:val="24"/>
                <w:szCs w:val="24"/>
                <w:highlight w:val="none"/>
              </w:rPr>
            </w:pPr>
            <w:r>
              <w:rPr>
                <w:rFonts w:hint="eastAsia" w:ascii="宋体" w:hAnsi="宋体" w:cs="宋体"/>
                <w:color w:val="auto"/>
                <w:sz w:val="24"/>
                <w:szCs w:val="24"/>
                <w:highlight w:val="none"/>
              </w:rPr>
              <w:t>备选投标方案</w:t>
            </w:r>
          </w:p>
        </w:tc>
        <w:tc>
          <w:tcPr>
            <w:tcW w:w="4248" w:type="dxa"/>
            <w:tcBorders>
              <w:left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40" w:lineRule="exact"/>
              <w:jc w:val="center"/>
              <w:rPr>
                <w:color w:val="auto"/>
                <w:sz w:val="24"/>
                <w:szCs w:val="24"/>
                <w:highlight w:val="none"/>
              </w:rPr>
            </w:pPr>
            <w:r>
              <w:rPr>
                <w:color w:val="auto"/>
                <w:sz w:val="24"/>
                <w:szCs w:val="24"/>
                <w:highlight w:val="none"/>
              </w:rPr>
              <w:t>2.1.2</w:t>
            </w:r>
          </w:p>
        </w:tc>
        <w:tc>
          <w:tcPr>
            <w:tcW w:w="1124" w:type="dxa"/>
            <w:vMerge w:val="restart"/>
            <w:tcBorders>
              <w:top w:val="single" w:color="auto" w:sz="4" w:space="0"/>
              <w:left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资格评审标准</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营业执照和组织机构代码证</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符合第二章“投标人须知”第3.5.1项规定，具备有效的营业执照和组织机构代码证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rPr>
                <w:color w:val="auto"/>
                <w:sz w:val="24"/>
                <w:szCs w:val="24"/>
                <w:highlight w:val="none"/>
              </w:rPr>
            </w:pPr>
          </w:p>
        </w:tc>
        <w:tc>
          <w:tcPr>
            <w:tcW w:w="1124" w:type="dxa"/>
            <w:vMerge w:val="continue"/>
            <w:tcBorders>
              <w:left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资质要求</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w:t>
            </w:r>
            <w:r>
              <w:rPr>
                <w:rFonts w:ascii="宋体" w:hAnsi="宋体" w:cs="宋体"/>
                <w:color w:val="auto"/>
                <w:sz w:val="24"/>
                <w:szCs w:val="24"/>
                <w:highlight w:val="none"/>
              </w:rPr>
              <w:t>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rPr>
                <w:color w:val="auto"/>
                <w:sz w:val="24"/>
                <w:szCs w:val="24"/>
                <w:highlight w:val="none"/>
              </w:rPr>
            </w:pPr>
          </w:p>
        </w:tc>
        <w:tc>
          <w:tcPr>
            <w:tcW w:w="1124" w:type="dxa"/>
            <w:vMerge w:val="continue"/>
            <w:tcBorders>
              <w:left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财务要求</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900" w:type="dxa"/>
            <w:vMerge w:val="continue"/>
            <w:tcBorders>
              <w:right w:val="single" w:color="auto" w:sz="4" w:space="0"/>
            </w:tcBorders>
            <w:vAlign w:val="center"/>
          </w:tcPr>
          <w:p>
            <w:pPr>
              <w:rPr>
                <w:color w:val="auto"/>
                <w:sz w:val="24"/>
                <w:szCs w:val="24"/>
                <w:highlight w:val="none"/>
              </w:rPr>
            </w:pPr>
          </w:p>
        </w:tc>
        <w:tc>
          <w:tcPr>
            <w:tcW w:w="1124" w:type="dxa"/>
            <w:vMerge w:val="continue"/>
            <w:tcBorders>
              <w:left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业绩要求</w:t>
            </w:r>
          </w:p>
        </w:tc>
        <w:tc>
          <w:tcPr>
            <w:tcW w:w="4248" w:type="dxa"/>
            <w:tcBorders>
              <w:top w:val="single" w:color="auto" w:sz="4" w:space="0"/>
              <w:left w:val="single" w:color="auto" w:sz="4" w:space="0"/>
              <w:bottom w:val="single" w:color="auto" w:sz="4" w:space="0"/>
            </w:tcBorders>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right w:val="single" w:color="auto" w:sz="4" w:space="0"/>
            </w:tcBorders>
            <w:vAlign w:val="center"/>
          </w:tcPr>
          <w:p>
            <w:pPr>
              <w:rPr>
                <w:color w:val="auto"/>
                <w:sz w:val="24"/>
                <w:szCs w:val="24"/>
                <w:highlight w:val="none"/>
              </w:rPr>
            </w:pPr>
          </w:p>
        </w:tc>
        <w:tc>
          <w:tcPr>
            <w:tcW w:w="1124" w:type="dxa"/>
            <w:vMerge w:val="continue"/>
            <w:tcBorders>
              <w:left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信誉要求</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right w:val="single" w:color="auto" w:sz="4" w:space="0"/>
            </w:tcBorders>
            <w:vAlign w:val="center"/>
          </w:tcPr>
          <w:p>
            <w:pPr>
              <w:rPr>
                <w:color w:val="auto"/>
                <w:sz w:val="24"/>
                <w:szCs w:val="24"/>
                <w:highlight w:val="none"/>
              </w:rPr>
            </w:pPr>
          </w:p>
        </w:tc>
        <w:tc>
          <w:tcPr>
            <w:tcW w:w="1124" w:type="dxa"/>
            <w:vMerge w:val="continue"/>
            <w:tcBorders>
              <w:left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总监理工程师</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w:t>
            </w:r>
            <w:r>
              <w:rPr>
                <w:rFonts w:ascii="宋体" w:hAnsi="宋体" w:cs="宋体"/>
                <w:color w:val="auto"/>
                <w:sz w:val="24"/>
                <w:szCs w:val="24"/>
                <w:highlight w:val="none"/>
              </w:rPr>
              <w:t>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right w:val="single" w:color="auto" w:sz="4" w:space="0"/>
            </w:tcBorders>
            <w:vAlign w:val="center"/>
          </w:tcPr>
          <w:p>
            <w:pPr>
              <w:rPr>
                <w:color w:val="auto"/>
                <w:sz w:val="24"/>
                <w:szCs w:val="24"/>
                <w:highlight w:val="none"/>
              </w:rPr>
            </w:pPr>
          </w:p>
        </w:tc>
        <w:tc>
          <w:tcPr>
            <w:tcW w:w="1124" w:type="dxa"/>
            <w:vMerge w:val="continue"/>
            <w:tcBorders>
              <w:left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其他主要人员</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right w:val="single" w:color="auto" w:sz="4" w:space="0"/>
            </w:tcBorders>
            <w:vAlign w:val="center"/>
          </w:tcPr>
          <w:p>
            <w:pPr>
              <w:rPr>
                <w:color w:val="auto"/>
                <w:sz w:val="24"/>
                <w:szCs w:val="24"/>
                <w:highlight w:val="none"/>
              </w:rPr>
            </w:pPr>
          </w:p>
        </w:tc>
        <w:tc>
          <w:tcPr>
            <w:tcW w:w="1124" w:type="dxa"/>
            <w:vMerge w:val="continue"/>
            <w:tcBorders>
              <w:left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试验检测仪器设备</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900" w:type="dxa"/>
            <w:vMerge w:val="continue"/>
            <w:tcBorders>
              <w:right w:val="single" w:color="auto" w:sz="4" w:space="0"/>
            </w:tcBorders>
            <w:vAlign w:val="center"/>
          </w:tcPr>
          <w:p>
            <w:pPr>
              <w:rPr>
                <w:color w:val="auto"/>
                <w:sz w:val="24"/>
                <w:szCs w:val="24"/>
                <w:highlight w:val="none"/>
              </w:rPr>
            </w:pPr>
          </w:p>
        </w:tc>
        <w:tc>
          <w:tcPr>
            <w:tcW w:w="1124" w:type="dxa"/>
            <w:vMerge w:val="continue"/>
            <w:tcBorders>
              <w:left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其他要求</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rPr>
                <w:color w:val="auto"/>
                <w:sz w:val="24"/>
                <w:szCs w:val="24"/>
                <w:highlight w:val="none"/>
              </w:rPr>
            </w:pPr>
          </w:p>
        </w:tc>
        <w:tc>
          <w:tcPr>
            <w:tcW w:w="1124" w:type="dxa"/>
            <w:vMerge w:val="continue"/>
            <w:tcBorders>
              <w:left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联合体投标人</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color w:val="auto"/>
                <w:sz w:val="24"/>
                <w:szCs w:val="24"/>
                <w:highlight w:val="none"/>
              </w:rPr>
              <w:t>本项目不允许联合体投标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rPr>
                <w:color w:val="auto"/>
                <w:sz w:val="24"/>
                <w:szCs w:val="24"/>
                <w:highlight w:val="none"/>
              </w:rPr>
            </w:pPr>
          </w:p>
        </w:tc>
        <w:tc>
          <w:tcPr>
            <w:tcW w:w="1124" w:type="dxa"/>
            <w:vMerge w:val="continue"/>
            <w:tcBorders>
              <w:left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不存在禁止投标的情形</w:t>
            </w:r>
          </w:p>
        </w:tc>
        <w:tc>
          <w:tcPr>
            <w:tcW w:w="4248" w:type="dxa"/>
            <w:tcBorders>
              <w:top w:val="single" w:color="auto" w:sz="4" w:space="0"/>
              <w:left w:val="single" w:color="auto" w:sz="4" w:space="0"/>
              <w:bottom w:val="single" w:color="auto" w:sz="4" w:space="0"/>
            </w:tcBorders>
            <w:vAlign w:val="center"/>
          </w:tcPr>
          <w:p>
            <w:pPr>
              <w:spacing w:line="440" w:lineRule="exact"/>
              <w:rPr>
                <w:color w:val="auto"/>
                <w:sz w:val="24"/>
                <w:szCs w:val="24"/>
                <w:highlight w:val="none"/>
                <w:u w:val="single"/>
              </w:rPr>
            </w:pPr>
            <w:r>
              <w:rPr>
                <w:rFonts w:hint="eastAsia" w:ascii="宋体" w:hAnsi="宋体" w:cs="宋体"/>
                <w:color w:val="auto"/>
                <w:sz w:val="24"/>
                <w:szCs w:val="24"/>
                <w:highlight w:val="none"/>
              </w:rPr>
              <w:t>不存在第二章“投标人须知”第1.4.3项规定的任何一种情形（以《投标人声明》进行评审）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bottom w:val="single" w:color="auto" w:sz="4" w:space="0"/>
              <w:right w:val="single" w:color="auto" w:sz="4" w:space="0"/>
            </w:tcBorders>
            <w:vAlign w:val="center"/>
          </w:tcPr>
          <w:p>
            <w:pPr>
              <w:rPr>
                <w:color w:val="auto"/>
                <w:sz w:val="24"/>
                <w:szCs w:val="24"/>
                <w:highlight w:val="none"/>
              </w:rPr>
            </w:pPr>
          </w:p>
        </w:tc>
        <w:tc>
          <w:tcPr>
            <w:tcW w:w="1124" w:type="dxa"/>
            <w:vMerge w:val="continue"/>
            <w:tcBorders>
              <w:left w:val="single" w:color="auto" w:sz="4" w:space="0"/>
              <w:bottom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未被纳入失信联合惩戒名单且被限制参加相关工程项目投标的</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投标人无需提供资料，按交易系统比对的结果进行评审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trPr>
        <w:tc>
          <w:tcPr>
            <w:tcW w:w="900" w:type="dxa"/>
            <w:vMerge w:val="restart"/>
            <w:tcBorders>
              <w:top w:val="single" w:color="auto" w:sz="4" w:space="0"/>
              <w:right w:val="single" w:color="auto" w:sz="4" w:space="0"/>
            </w:tcBorders>
            <w:vAlign w:val="center"/>
          </w:tcPr>
          <w:p>
            <w:pPr>
              <w:spacing w:line="440" w:lineRule="exact"/>
              <w:jc w:val="center"/>
              <w:rPr>
                <w:color w:val="auto"/>
                <w:sz w:val="24"/>
                <w:szCs w:val="24"/>
                <w:highlight w:val="none"/>
              </w:rPr>
            </w:pPr>
            <w:r>
              <w:rPr>
                <w:color w:val="auto"/>
                <w:sz w:val="24"/>
                <w:szCs w:val="24"/>
                <w:highlight w:val="none"/>
              </w:rPr>
              <w:t>2.1.3</w:t>
            </w:r>
          </w:p>
        </w:tc>
        <w:tc>
          <w:tcPr>
            <w:tcW w:w="1124" w:type="dxa"/>
            <w:vMerge w:val="restart"/>
            <w:tcBorders>
              <w:top w:val="single" w:color="auto" w:sz="4" w:space="0"/>
              <w:left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响应性评审标准</w:t>
            </w:r>
          </w:p>
        </w:tc>
        <w:tc>
          <w:tcPr>
            <w:tcW w:w="3226" w:type="dxa"/>
            <w:gridSpan w:val="2"/>
            <w:tcBorders>
              <w:top w:val="single" w:color="auto" w:sz="4" w:space="0"/>
              <w:left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投标报价</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w:t>
            </w:r>
            <w:r>
              <w:rPr>
                <w:rFonts w:ascii="宋体" w:hAnsi="宋体" w:cs="宋体"/>
                <w:color w:val="auto"/>
                <w:sz w:val="24"/>
                <w:szCs w:val="24"/>
                <w:highlight w:val="none"/>
              </w:rPr>
              <w:t>3.2款规定进行投标报价的；对同一招标项目没有出现两个或以上的投标报价，且修正无依据；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40" w:lineRule="exact"/>
              <w:jc w:val="center"/>
              <w:rPr>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440" w:lineRule="exact"/>
              <w:jc w:val="cente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投标内容</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w:t>
            </w:r>
            <w:r>
              <w:rPr>
                <w:rFonts w:ascii="宋体" w:hAnsi="宋体" w:cs="宋体"/>
                <w:color w:val="auto"/>
                <w:sz w:val="24"/>
                <w:szCs w:val="24"/>
                <w:highlight w:val="none"/>
              </w:rPr>
              <w:t>1.3.1项规定；投标文件按规定的格式填写，内容齐全或关键字迹清晰、容易辩认；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40" w:lineRule="exact"/>
              <w:jc w:val="center"/>
              <w:rPr>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440" w:lineRule="exact"/>
              <w:jc w:val="cente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监理服务期限</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40" w:lineRule="exact"/>
              <w:jc w:val="center"/>
              <w:rPr>
                <w:color w:val="auto"/>
                <w:sz w:val="24"/>
                <w:szCs w:val="24"/>
                <w:highlight w:val="none"/>
              </w:rPr>
            </w:pPr>
          </w:p>
        </w:tc>
        <w:tc>
          <w:tcPr>
            <w:tcW w:w="1124" w:type="dxa"/>
            <w:vMerge w:val="continue"/>
            <w:tcBorders>
              <w:left w:val="single" w:color="auto" w:sz="4" w:space="0"/>
              <w:right w:val="single" w:color="auto" w:sz="4" w:space="0"/>
            </w:tcBorders>
            <w:vAlign w:val="center"/>
          </w:tcPr>
          <w:p>
            <w:pPr>
              <w:spacing w:line="440" w:lineRule="exact"/>
              <w:jc w:val="cente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质量标准</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rPr>
                <w:color w:val="auto"/>
                <w:sz w:val="24"/>
                <w:szCs w:val="24"/>
                <w:highlight w:val="none"/>
              </w:rPr>
            </w:pPr>
          </w:p>
        </w:tc>
        <w:tc>
          <w:tcPr>
            <w:tcW w:w="1124" w:type="dxa"/>
            <w:vMerge w:val="continue"/>
            <w:tcBorders>
              <w:left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color w:val="auto"/>
                <w:sz w:val="24"/>
                <w:szCs w:val="24"/>
                <w:highlight w:val="none"/>
              </w:rPr>
            </w:pPr>
            <w:r>
              <w:rPr>
                <w:rFonts w:hint="eastAsia"/>
                <w:color w:val="auto"/>
                <w:sz w:val="24"/>
                <w:szCs w:val="24"/>
                <w:highlight w:val="none"/>
              </w:rPr>
              <w:t>投标有效期</w:t>
            </w:r>
          </w:p>
        </w:tc>
        <w:tc>
          <w:tcPr>
            <w:tcW w:w="4248" w:type="dxa"/>
            <w:tcBorders>
              <w:top w:val="single" w:color="auto" w:sz="4" w:space="0"/>
              <w:left w:val="single" w:color="auto" w:sz="4" w:space="0"/>
              <w:bottom w:val="single" w:color="auto" w:sz="4" w:space="0"/>
            </w:tcBorders>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rPr>
                <w:color w:val="auto"/>
                <w:sz w:val="24"/>
                <w:szCs w:val="24"/>
                <w:highlight w:val="none"/>
              </w:rPr>
            </w:pPr>
          </w:p>
        </w:tc>
        <w:tc>
          <w:tcPr>
            <w:tcW w:w="1124" w:type="dxa"/>
            <w:vMerge w:val="continue"/>
            <w:tcBorders>
              <w:left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color w:val="auto"/>
                <w:sz w:val="24"/>
                <w:szCs w:val="24"/>
                <w:highlight w:val="none"/>
              </w:rPr>
            </w:pPr>
            <w:r>
              <w:rPr>
                <w:rFonts w:hint="eastAsia"/>
                <w:color w:val="auto"/>
                <w:sz w:val="24"/>
                <w:szCs w:val="24"/>
                <w:highlight w:val="none"/>
              </w:rPr>
              <w:t>投标保证金</w:t>
            </w:r>
          </w:p>
        </w:tc>
        <w:tc>
          <w:tcPr>
            <w:tcW w:w="4248" w:type="dxa"/>
            <w:tcBorders>
              <w:top w:val="single" w:color="auto" w:sz="4" w:space="0"/>
              <w:left w:val="single" w:color="auto" w:sz="4" w:space="0"/>
              <w:bottom w:val="single" w:color="auto" w:sz="4" w:space="0"/>
            </w:tcBorders>
          </w:tcPr>
          <w:p>
            <w:pPr>
              <w:spacing w:line="440" w:lineRule="exact"/>
              <w:jc w:val="center"/>
              <w:rPr>
                <w:color w:val="auto"/>
                <w:sz w:val="24"/>
                <w:szCs w:val="24"/>
                <w:highlight w:val="none"/>
              </w:rPr>
            </w:pPr>
            <w:r>
              <w:rPr>
                <w:rFonts w:hint="eastAsia"/>
                <w:color w:val="auto"/>
                <w:sz w:val="24"/>
                <w:szCs w:val="24"/>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900" w:type="dxa"/>
            <w:vMerge w:val="continue"/>
            <w:tcBorders>
              <w:bottom w:val="single" w:color="auto" w:sz="4" w:space="0"/>
              <w:right w:val="single" w:color="auto" w:sz="4" w:space="0"/>
            </w:tcBorders>
            <w:vAlign w:val="center"/>
          </w:tcPr>
          <w:p>
            <w:pPr>
              <w:rPr>
                <w:color w:val="auto"/>
                <w:sz w:val="24"/>
                <w:szCs w:val="24"/>
                <w:highlight w:val="none"/>
              </w:rPr>
            </w:pPr>
          </w:p>
        </w:tc>
        <w:tc>
          <w:tcPr>
            <w:tcW w:w="1124" w:type="dxa"/>
            <w:vMerge w:val="continue"/>
            <w:tcBorders>
              <w:left w:val="single" w:color="auto" w:sz="4" w:space="0"/>
              <w:bottom w:val="single" w:color="auto" w:sz="4" w:space="0"/>
              <w:right w:val="single" w:color="auto" w:sz="4" w:space="0"/>
            </w:tcBorders>
            <w:vAlign w:val="center"/>
          </w:tcPr>
          <w:p>
            <w:pPr>
              <w:rPr>
                <w:color w:val="auto"/>
                <w:sz w:val="24"/>
                <w:szCs w:val="24"/>
                <w:highlight w:val="none"/>
              </w:rPr>
            </w:pPr>
          </w:p>
        </w:tc>
        <w:tc>
          <w:tcPr>
            <w:tcW w:w="3226" w:type="dxa"/>
            <w:gridSpan w:val="2"/>
            <w:tcBorders>
              <w:top w:val="single" w:color="auto" w:sz="4" w:space="0"/>
              <w:left w:val="single" w:color="auto" w:sz="4" w:space="0"/>
              <w:right w:val="single" w:color="auto" w:sz="4" w:space="0"/>
            </w:tcBorders>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串通投标情形</w:t>
            </w:r>
          </w:p>
        </w:tc>
        <w:tc>
          <w:tcPr>
            <w:tcW w:w="4248" w:type="dxa"/>
            <w:tcBorders>
              <w:top w:val="single" w:color="auto" w:sz="4" w:space="0"/>
              <w:left w:val="single" w:color="auto" w:sz="4" w:space="0"/>
            </w:tcBorders>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投标人之间不存在《广东省实施&lt;中华人民共和国招标投标法&gt;》第十六条所禁止的情形的；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b/>
                <w:color w:val="auto"/>
                <w:sz w:val="24"/>
                <w:szCs w:val="24"/>
                <w:highlight w:val="none"/>
              </w:rPr>
            </w:pPr>
            <w:r>
              <w:rPr>
                <w:rFonts w:hint="eastAsia"/>
                <w:b/>
                <w:color w:val="auto"/>
                <w:sz w:val="24"/>
                <w:szCs w:val="24"/>
                <w:highlight w:val="none"/>
              </w:rPr>
              <w:t>条款号</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b/>
                <w:color w:val="auto"/>
                <w:sz w:val="24"/>
                <w:szCs w:val="24"/>
                <w:highlight w:val="none"/>
              </w:rPr>
            </w:pPr>
            <w:r>
              <w:rPr>
                <w:rFonts w:hint="eastAsia"/>
                <w:b/>
                <w:color w:val="auto"/>
                <w:sz w:val="24"/>
                <w:szCs w:val="24"/>
                <w:highlight w:val="none"/>
              </w:rPr>
              <w:t>条款内容</w:t>
            </w:r>
          </w:p>
        </w:tc>
        <w:tc>
          <w:tcPr>
            <w:tcW w:w="4248" w:type="dxa"/>
            <w:tcBorders>
              <w:top w:val="single" w:color="auto" w:sz="4" w:space="0"/>
              <w:left w:val="single" w:color="auto" w:sz="4" w:space="0"/>
              <w:bottom w:val="single" w:color="auto" w:sz="4" w:space="0"/>
            </w:tcBorders>
            <w:vAlign w:val="center"/>
          </w:tcPr>
          <w:p>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vAlign w:val="center"/>
          </w:tcPr>
          <w:p>
            <w:pPr>
              <w:spacing w:line="440" w:lineRule="exact"/>
              <w:jc w:val="center"/>
              <w:rPr>
                <w:color w:val="auto"/>
                <w:sz w:val="24"/>
                <w:szCs w:val="24"/>
                <w:highlight w:val="none"/>
              </w:rPr>
            </w:pPr>
            <w:r>
              <w:rPr>
                <w:color w:val="auto"/>
                <w:sz w:val="24"/>
                <w:szCs w:val="24"/>
                <w:highlight w:val="none"/>
              </w:rPr>
              <w:t>2.2.1</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分值构成</w:t>
            </w:r>
          </w:p>
          <w:p>
            <w:pPr>
              <w:spacing w:line="440" w:lineRule="exact"/>
              <w:jc w:val="center"/>
              <w:rPr>
                <w:color w:val="auto"/>
                <w:sz w:val="24"/>
                <w:szCs w:val="24"/>
                <w:highlight w:val="none"/>
              </w:rPr>
            </w:pPr>
            <w:r>
              <w:rPr>
                <w:color w:val="auto"/>
                <w:sz w:val="24"/>
                <w:szCs w:val="24"/>
                <w:highlight w:val="none"/>
              </w:rPr>
              <w:t>(</w:t>
            </w:r>
            <w:r>
              <w:rPr>
                <w:rFonts w:hint="eastAsia"/>
                <w:color w:val="auto"/>
                <w:sz w:val="24"/>
                <w:szCs w:val="24"/>
                <w:highlight w:val="none"/>
              </w:rPr>
              <w:t>总分</w:t>
            </w:r>
            <w:r>
              <w:rPr>
                <w:color w:val="auto"/>
                <w:sz w:val="24"/>
                <w:szCs w:val="24"/>
                <w:highlight w:val="none"/>
              </w:rPr>
              <w:t>100</w:t>
            </w:r>
            <w:r>
              <w:rPr>
                <w:rFonts w:hint="eastAsia"/>
                <w:color w:val="auto"/>
                <w:sz w:val="24"/>
                <w:szCs w:val="24"/>
                <w:highlight w:val="none"/>
              </w:rPr>
              <w:t>分</w:t>
            </w:r>
            <w:r>
              <w:rPr>
                <w:color w:val="auto"/>
                <w:sz w:val="24"/>
                <w:szCs w:val="24"/>
                <w:highlight w:val="none"/>
              </w:rPr>
              <w:t>)</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hAnsi="宋体" w:cs="宋体"/>
                <w:bCs/>
                <w:color w:val="auto"/>
                <w:sz w:val="24"/>
                <w:szCs w:val="24"/>
                <w:highlight w:val="none"/>
              </w:rPr>
            </w:pPr>
            <w:r>
              <w:rPr>
                <w:rFonts w:hint="eastAsia" w:ascii="宋体" w:hAnsi="宋体" w:cs="宋体"/>
                <w:bCs/>
                <w:color w:val="auto"/>
                <w:sz w:val="24"/>
                <w:szCs w:val="24"/>
                <w:highlight w:val="none"/>
              </w:rPr>
              <w:t>1、资信业绩部分：</w:t>
            </w:r>
            <w:r>
              <w:rPr>
                <w:rFonts w:hint="eastAsia" w:ascii="宋体" w:hAnsi="宋体" w:cs="宋体"/>
                <w:bCs/>
                <w:color w:val="auto"/>
                <w:sz w:val="24"/>
                <w:szCs w:val="24"/>
                <w:highlight w:val="none"/>
                <w:u w:val="single"/>
              </w:rPr>
              <w:t>5</w:t>
            </w:r>
            <w:r>
              <w:rPr>
                <w:rFonts w:hint="eastAsia" w:ascii="宋体" w:hAnsi="宋体" w:cs="宋体"/>
                <w:bCs/>
                <w:color w:val="auto"/>
                <w:sz w:val="24"/>
                <w:szCs w:val="24"/>
                <w:highlight w:val="none"/>
                <w:u w:val="single"/>
                <w:lang w:val="en-US" w:eastAsia="zh-CN"/>
              </w:rPr>
              <w:t>0</w:t>
            </w:r>
            <w:r>
              <w:rPr>
                <w:rFonts w:hint="eastAsia" w:ascii="宋体" w:hAnsi="宋体" w:cs="宋体"/>
                <w:bCs/>
                <w:color w:val="auto"/>
                <w:sz w:val="24"/>
                <w:szCs w:val="24"/>
                <w:highlight w:val="none"/>
              </w:rPr>
              <w:t>分</w:t>
            </w:r>
          </w:p>
          <w:p>
            <w:pPr>
              <w:spacing w:line="440" w:lineRule="exact"/>
              <w:rPr>
                <w:rFonts w:ascii="宋体" w:hAnsi="宋体" w:cs="宋体"/>
                <w:bCs/>
                <w:color w:val="auto"/>
                <w:sz w:val="24"/>
                <w:szCs w:val="24"/>
                <w:highlight w:val="none"/>
              </w:rPr>
            </w:pPr>
            <w:r>
              <w:rPr>
                <w:rFonts w:hint="eastAsia" w:ascii="宋体" w:hAnsi="宋体" w:cs="宋体"/>
                <w:bCs/>
                <w:color w:val="auto"/>
                <w:sz w:val="24"/>
                <w:szCs w:val="24"/>
                <w:highlight w:val="none"/>
              </w:rPr>
              <w:t>2、监理大纲部分：</w:t>
            </w:r>
            <w:r>
              <w:rPr>
                <w:rFonts w:hint="eastAsia" w:ascii="宋体" w:hAnsi="宋体" w:cs="宋体"/>
                <w:bCs/>
                <w:color w:val="auto"/>
                <w:sz w:val="24"/>
                <w:szCs w:val="24"/>
                <w:highlight w:val="none"/>
                <w:u w:val="single"/>
              </w:rPr>
              <w:t>35</w:t>
            </w:r>
            <w:r>
              <w:rPr>
                <w:rFonts w:hint="eastAsia" w:ascii="宋体" w:hAnsi="宋体" w:cs="宋体"/>
                <w:bCs/>
                <w:color w:val="auto"/>
                <w:sz w:val="24"/>
                <w:szCs w:val="24"/>
                <w:highlight w:val="none"/>
              </w:rPr>
              <w:t>分</w:t>
            </w:r>
          </w:p>
          <w:p>
            <w:pPr>
              <w:spacing w:line="440" w:lineRule="exact"/>
              <w:rPr>
                <w:color w:val="auto"/>
                <w:sz w:val="24"/>
                <w:szCs w:val="24"/>
                <w:highlight w:val="none"/>
              </w:rPr>
            </w:pPr>
            <w:r>
              <w:rPr>
                <w:rFonts w:hint="eastAsia" w:ascii="宋体" w:hAnsi="宋体" w:cs="宋体"/>
                <w:bCs/>
                <w:color w:val="auto"/>
                <w:sz w:val="24"/>
                <w:szCs w:val="24"/>
                <w:highlight w:val="none"/>
              </w:rPr>
              <w:t>3、投标报价：</w:t>
            </w:r>
            <w:r>
              <w:rPr>
                <w:rFonts w:hint="eastAsia" w:ascii="宋体" w:hAnsi="宋体" w:cs="宋体"/>
                <w:bCs/>
                <w:color w:val="auto"/>
                <w:sz w:val="24"/>
                <w:szCs w:val="24"/>
                <w:highlight w:val="none"/>
                <w:u w:val="single"/>
              </w:rPr>
              <w:t>1</w:t>
            </w:r>
            <w:r>
              <w:rPr>
                <w:rFonts w:hint="eastAsia" w:ascii="宋体" w:hAnsi="宋体" w:cs="宋体"/>
                <w:bCs/>
                <w:color w:val="auto"/>
                <w:sz w:val="24"/>
                <w:szCs w:val="24"/>
                <w:highlight w:val="none"/>
                <w:u w:val="single"/>
                <w:lang w:val="en-US" w:eastAsia="zh-CN"/>
              </w:rPr>
              <w:t>5</w:t>
            </w:r>
            <w:r>
              <w:rPr>
                <w:rFonts w:hint="eastAsia" w:ascii="宋体" w:hAnsi="宋体" w:cs="宋体"/>
                <w:bCs/>
                <w:color w:val="auto"/>
                <w:sz w:val="24"/>
                <w:szCs w:val="24"/>
                <w:highlight w:val="none"/>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color w:val="auto"/>
                <w:sz w:val="24"/>
                <w:szCs w:val="24"/>
                <w:highlight w:val="none"/>
              </w:rPr>
              <w:t>2.2.2</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评标基准价计算方法</w:t>
            </w:r>
          </w:p>
        </w:tc>
        <w:tc>
          <w:tcPr>
            <w:tcW w:w="4248" w:type="dxa"/>
            <w:tcBorders>
              <w:top w:val="single" w:color="auto" w:sz="4" w:space="0"/>
              <w:left w:val="single" w:color="auto" w:sz="4" w:space="0"/>
              <w:bottom w:val="single" w:color="auto" w:sz="4" w:space="0"/>
            </w:tcBorders>
            <w:vAlign w:val="center"/>
          </w:tcPr>
          <w:p>
            <w:pPr>
              <w:spacing w:line="440" w:lineRule="exact"/>
              <w:rPr>
                <w:color w:val="auto"/>
                <w:sz w:val="24"/>
                <w:szCs w:val="24"/>
                <w:highlight w:val="none"/>
              </w:rPr>
            </w:pPr>
            <w:r>
              <w:rPr>
                <w:rFonts w:hint="eastAsia"/>
                <w:color w:val="auto"/>
                <w:sz w:val="24"/>
                <w:szCs w:val="24"/>
                <w:highlight w:val="none"/>
              </w:rPr>
              <w:t>参与评标基准价计算范围为[最高投标限价</w:t>
            </w:r>
            <w:r>
              <w:rPr>
                <w:rFonts w:hint="eastAsia" w:ascii="宋体" w:hAnsi="宋体" w:cs="宋体"/>
                <w:bCs/>
                <w:color w:val="auto"/>
                <w:sz w:val="24"/>
                <w:szCs w:val="24"/>
                <w:highlight w:val="none"/>
              </w:rPr>
              <w:t>×80%，</w:t>
            </w:r>
            <w:r>
              <w:rPr>
                <w:rFonts w:hint="eastAsia"/>
                <w:color w:val="auto"/>
                <w:sz w:val="24"/>
                <w:szCs w:val="24"/>
                <w:highlight w:val="none"/>
              </w:rPr>
              <w:t>最高投标限价]，超出此范围的报价不参与评标基准价计算。</w:t>
            </w:r>
          </w:p>
          <w:p>
            <w:pPr>
              <w:numPr>
                <w:ilvl w:val="0"/>
                <w:numId w:val="1"/>
              </w:numPr>
              <w:spacing w:line="440" w:lineRule="exact"/>
              <w:rPr>
                <w:color w:val="auto"/>
                <w:sz w:val="24"/>
                <w:szCs w:val="24"/>
                <w:highlight w:val="none"/>
              </w:rPr>
            </w:pPr>
            <w:r>
              <w:rPr>
                <w:rFonts w:hint="eastAsia"/>
                <w:color w:val="auto"/>
                <w:sz w:val="24"/>
                <w:szCs w:val="24"/>
                <w:highlight w:val="none"/>
              </w:rPr>
              <w:t>当通过形式评审、资格评审、响应性评审且报价范围在[最高投标限价</w:t>
            </w:r>
            <w:r>
              <w:rPr>
                <w:rFonts w:hint="eastAsia" w:ascii="宋体" w:hAnsi="宋体" w:cs="宋体"/>
                <w:bCs/>
                <w:color w:val="auto"/>
                <w:sz w:val="24"/>
                <w:szCs w:val="24"/>
                <w:highlight w:val="none"/>
              </w:rPr>
              <w:t>×80%，</w:t>
            </w:r>
            <w:r>
              <w:rPr>
                <w:rFonts w:hint="eastAsia"/>
                <w:color w:val="auto"/>
                <w:sz w:val="24"/>
                <w:szCs w:val="24"/>
                <w:highlight w:val="none"/>
              </w:rPr>
              <w:t>最高投标限价]的有效投标人大于或等于5名时，去掉一个最高价和一个最低价，取余下有效投标价的算术平均值的作为评标基准价。</w:t>
            </w:r>
          </w:p>
          <w:p>
            <w:pPr>
              <w:numPr>
                <w:ilvl w:val="0"/>
                <w:numId w:val="1"/>
              </w:numPr>
              <w:spacing w:line="440" w:lineRule="exact"/>
              <w:rPr>
                <w:color w:val="auto"/>
                <w:sz w:val="24"/>
                <w:szCs w:val="24"/>
                <w:highlight w:val="none"/>
              </w:rPr>
            </w:pPr>
            <w:r>
              <w:rPr>
                <w:rFonts w:hint="eastAsia"/>
                <w:color w:val="auto"/>
                <w:sz w:val="24"/>
                <w:szCs w:val="24"/>
                <w:highlight w:val="none"/>
              </w:rPr>
              <w:t>当通过形式评审、资格评审、响应性评审且报价范围在[最高投标限价</w:t>
            </w:r>
            <w:r>
              <w:rPr>
                <w:rFonts w:hint="eastAsia" w:ascii="宋体" w:hAnsi="宋体" w:cs="宋体"/>
                <w:bCs/>
                <w:color w:val="auto"/>
                <w:sz w:val="24"/>
                <w:szCs w:val="24"/>
                <w:highlight w:val="none"/>
              </w:rPr>
              <w:t>×80%，</w:t>
            </w:r>
            <w:r>
              <w:rPr>
                <w:rFonts w:hint="eastAsia"/>
                <w:color w:val="auto"/>
                <w:sz w:val="24"/>
                <w:szCs w:val="24"/>
                <w:highlight w:val="none"/>
              </w:rPr>
              <w:t>最高投标限价]的有效投标人小于5名时，取所有入围的有效投标价的算术平均值的作为评标基准价。</w:t>
            </w:r>
          </w:p>
          <w:p>
            <w:pPr>
              <w:spacing w:line="440" w:lineRule="exact"/>
              <w:rPr>
                <w:color w:val="auto"/>
                <w:sz w:val="24"/>
                <w:szCs w:val="24"/>
                <w:highlight w:val="none"/>
              </w:rPr>
            </w:pPr>
            <w:r>
              <w:rPr>
                <w:rFonts w:hint="eastAsia"/>
                <w:color w:val="auto"/>
                <w:sz w:val="24"/>
                <w:szCs w:val="24"/>
                <w:highlight w:val="none"/>
              </w:rPr>
              <w:t>3、当通过形式评审、资格评审、响应性评审且报价范围在[最高投标限价</w:t>
            </w:r>
            <w:r>
              <w:rPr>
                <w:rFonts w:hint="eastAsia" w:ascii="宋体" w:hAnsi="宋体" w:cs="宋体"/>
                <w:bCs/>
                <w:color w:val="auto"/>
                <w:sz w:val="24"/>
                <w:szCs w:val="24"/>
                <w:highlight w:val="none"/>
              </w:rPr>
              <w:t>×80%，</w:t>
            </w:r>
            <w:r>
              <w:rPr>
                <w:rFonts w:hint="eastAsia"/>
                <w:color w:val="auto"/>
                <w:sz w:val="24"/>
                <w:szCs w:val="24"/>
                <w:highlight w:val="none"/>
              </w:rPr>
              <w:t>最高投标限价]的有效投标人家数为0名时，评标基准价取：最高投标限价</w:t>
            </w:r>
            <w:r>
              <w:rPr>
                <w:rFonts w:hint="eastAsia" w:ascii="宋体" w:hAnsi="宋体" w:cs="宋体"/>
                <w:bCs/>
                <w:color w:val="auto"/>
                <w:sz w:val="24"/>
                <w:szCs w:val="24"/>
                <w:highlight w:val="none"/>
              </w:rPr>
              <w:t>×80%</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color w:val="auto"/>
                <w:sz w:val="24"/>
                <w:szCs w:val="24"/>
                <w:highlight w:val="none"/>
              </w:rPr>
              <w:t>2.2.3</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4"/>
                <w:szCs w:val="24"/>
                <w:highlight w:val="none"/>
              </w:rPr>
            </w:pPr>
            <w:r>
              <w:rPr>
                <w:rFonts w:hint="eastAsia"/>
                <w:color w:val="auto"/>
                <w:sz w:val="24"/>
                <w:szCs w:val="24"/>
                <w:highlight w:val="none"/>
              </w:rPr>
              <w:t>投标报价的偏差率</w:t>
            </w:r>
          </w:p>
          <w:p>
            <w:pPr>
              <w:spacing w:line="440" w:lineRule="exact"/>
              <w:jc w:val="center"/>
              <w:rPr>
                <w:color w:val="auto"/>
                <w:sz w:val="24"/>
                <w:szCs w:val="24"/>
                <w:highlight w:val="none"/>
              </w:rPr>
            </w:pPr>
            <w:r>
              <w:rPr>
                <w:rFonts w:hint="eastAsia"/>
                <w:color w:val="auto"/>
                <w:sz w:val="24"/>
                <w:szCs w:val="24"/>
                <w:highlight w:val="none"/>
              </w:rPr>
              <w:t>计算公式</w:t>
            </w:r>
          </w:p>
        </w:tc>
        <w:tc>
          <w:tcPr>
            <w:tcW w:w="4248" w:type="dxa"/>
            <w:tcBorders>
              <w:top w:val="single" w:color="auto" w:sz="4" w:space="0"/>
              <w:left w:val="single" w:color="auto" w:sz="4" w:space="0"/>
              <w:bottom w:val="single" w:color="auto" w:sz="4" w:space="0"/>
            </w:tcBorders>
            <w:vAlign w:val="center"/>
          </w:tcPr>
          <w:p>
            <w:pPr>
              <w:spacing w:line="360" w:lineRule="auto"/>
              <w:rPr>
                <w:color w:val="auto"/>
                <w:sz w:val="24"/>
                <w:szCs w:val="24"/>
                <w:highlight w:val="none"/>
              </w:rPr>
            </w:pPr>
            <w:r>
              <w:rPr>
                <w:rFonts w:hint="eastAsia"/>
                <w:color w:val="auto"/>
                <w:sz w:val="24"/>
                <w:szCs w:val="24"/>
                <w:highlight w:val="none"/>
              </w:rPr>
              <w:t>投标报价的偏差率</w:t>
            </w:r>
            <w:r>
              <w:rPr>
                <w:color w:val="auto"/>
                <w:sz w:val="24"/>
                <w:szCs w:val="24"/>
                <w:highlight w:val="none"/>
              </w:rPr>
              <w:t>=</w:t>
            </w:r>
            <w:r>
              <w:rPr>
                <w:rFonts w:hint="eastAsia"/>
                <w:color w:val="auto"/>
                <w:sz w:val="24"/>
                <w:szCs w:val="24"/>
                <w:highlight w:val="none"/>
              </w:rPr>
              <w:t xml:space="preserve"> ∣投标报价 — 评标基准价∣ </w:t>
            </w:r>
            <w:r>
              <w:rPr>
                <w:color w:val="auto"/>
                <w:sz w:val="24"/>
                <w:szCs w:val="24"/>
                <w:highlight w:val="none"/>
              </w:rPr>
              <w:t>/</w:t>
            </w:r>
            <w:r>
              <w:rPr>
                <w:rFonts w:hint="eastAsia"/>
                <w:color w:val="auto"/>
                <w:sz w:val="24"/>
                <w:szCs w:val="24"/>
                <w:highlight w:val="none"/>
              </w:rPr>
              <w:t xml:space="preserve"> 评标基准价</w:t>
            </w:r>
            <w:r>
              <w:rPr>
                <w:rFonts w:hint="eastAsia" w:ascii="宋体" w:hAnsi="宋体" w:cs="宋体"/>
                <w:bCs/>
                <w:color w:val="auto"/>
                <w:sz w:val="24"/>
                <w:szCs w:val="24"/>
                <w:highlight w:val="none"/>
              </w:rPr>
              <w:t>×</w:t>
            </w:r>
            <w:r>
              <w:rPr>
                <w:color w:val="auto"/>
                <w:sz w:val="24"/>
                <w:szCs w:val="24"/>
                <w:highlight w:val="none"/>
              </w:rPr>
              <w:t>100%</w:t>
            </w:r>
          </w:p>
          <w:p>
            <w:pPr>
              <w:spacing w:line="440" w:lineRule="exact"/>
              <w:rPr>
                <w:color w:val="auto"/>
                <w:sz w:val="24"/>
                <w:szCs w:val="24"/>
                <w:highlight w:val="none"/>
              </w:rPr>
            </w:pPr>
            <w:r>
              <w:rPr>
                <w:rFonts w:hint="eastAsia"/>
                <w:color w:val="auto"/>
                <w:sz w:val="24"/>
                <w:szCs w:val="24"/>
                <w:highlight w:val="none"/>
              </w:rPr>
              <w:t>（偏差率四舍五入</w:t>
            </w:r>
            <w:r>
              <w:rPr>
                <w:color w:val="auto"/>
                <w:sz w:val="24"/>
                <w:szCs w:val="24"/>
                <w:highlight w:val="none"/>
              </w:rPr>
              <w:t>保留</w:t>
            </w:r>
            <w:r>
              <w:rPr>
                <w:rFonts w:hint="eastAsia"/>
                <w:color w:val="auto"/>
                <w:sz w:val="24"/>
                <w:szCs w:val="24"/>
                <w:highlight w:val="none"/>
              </w:rPr>
              <w:t>2</w:t>
            </w:r>
            <w:r>
              <w:rPr>
                <w:color w:val="auto"/>
                <w:sz w:val="24"/>
                <w:szCs w:val="24"/>
                <w:highlight w:val="none"/>
              </w:rPr>
              <w:t>位</w:t>
            </w:r>
            <w:r>
              <w:rPr>
                <w:rFonts w:hint="eastAsia"/>
                <w:color w:val="auto"/>
                <w:sz w:val="24"/>
                <w:szCs w:val="24"/>
                <w:highlight w:val="none"/>
              </w:rPr>
              <w:t>小数，</w:t>
            </w:r>
            <w:r>
              <w:rPr>
                <w:rFonts w:hint="eastAsia" w:ascii="宋体" w:hAnsi="Courier New"/>
                <w:color w:val="auto"/>
                <w:sz w:val="24"/>
                <w:szCs w:val="24"/>
                <w:highlight w:val="none"/>
              </w:rPr>
              <w:t>报价偏差率不足1%的，按直线内插法计算投标报价得分</w:t>
            </w:r>
            <w:r>
              <w:rPr>
                <w:rFonts w:hint="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cs="宋体"/>
                <w:b/>
                <w:color w:val="auto"/>
                <w:sz w:val="28"/>
                <w:szCs w:val="28"/>
                <w:highlight w:val="none"/>
              </w:rPr>
            </w:pPr>
            <w:r>
              <w:rPr>
                <w:rFonts w:hint="eastAsia" w:ascii="宋体" w:hAnsi="宋体" w:cs="宋体"/>
                <w:b/>
                <w:color w:val="auto"/>
                <w:sz w:val="28"/>
                <w:szCs w:val="28"/>
                <w:highlight w:val="none"/>
              </w:rPr>
              <w:t>条款号</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宋体"/>
                <w:b/>
                <w:color w:val="auto"/>
                <w:sz w:val="28"/>
                <w:szCs w:val="28"/>
                <w:highlight w:val="none"/>
              </w:rPr>
            </w:pPr>
            <w:r>
              <w:rPr>
                <w:rFonts w:hint="eastAsia" w:ascii="宋体" w:hAnsi="宋体" w:cs="宋体"/>
                <w:b/>
                <w:color w:val="auto"/>
                <w:sz w:val="28"/>
                <w:szCs w:val="28"/>
                <w:highlight w:val="none"/>
              </w:rPr>
              <w:t>评分因素</w:t>
            </w:r>
          </w:p>
        </w:tc>
        <w:tc>
          <w:tcPr>
            <w:tcW w:w="4248" w:type="dxa"/>
            <w:tcBorders>
              <w:top w:val="single" w:color="auto" w:sz="4" w:space="0"/>
              <w:left w:val="single" w:color="auto" w:sz="4" w:space="0"/>
              <w:bottom w:val="single" w:color="auto" w:sz="4" w:space="0"/>
            </w:tcBorders>
            <w:vAlign w:val="center"/>
          </w:tcPr>
          <w:p>
            <w:pPr>
              <w:spacing w:line="440" w:lineRule="exact"/>
              <w:jc w:val="center"/>
              <w:rPr>
                <w:rFonts w:ascii="宋体" w:cs="宋体"/>
                <w:b/>
                <w:color w:val="auto"/>
                <w:sz w:val="28"/>
                <w:szCs w:val="28"/>
                <w:highlight w:val="none"/>
              </w:rPr>
            </w:pPr>
            <w:r>
              <w:rPr>
                <w:rFonts w:hint="eastAsia" w:ascii="宋体" w:hAnsi="宋体" w:cs="宋体"/>
                <w:b/>
                <w:color w:val="auto"/>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900" w:type="dxa"/>
            <w:vMerge w:val="restart"/>
            <w:tcBorders>
              <w:top w:val="single" w:color="auto" w:sz="4" w:space="0"/>
              <w:right w:val="single" w:color="auto" w:sz="4" w:space="0"/>
            </w:tcBorders>
            <w:vAlign w:val="center"/>
          </w:tcPr>
          <w:p>
            <w:pPr>
              <w:spacing w:line="440" w:lineRule="exact"/>
              <w:jc w:val="center"/>
              <w:rPr>
                <w:rFonts w:ascii="宋体" w:cs="宋体"/>
                <w:color w:val="auto"/>
                <w:sz w:val="28"/>
                <w:szCs w:val="28"/>
                <w:highlight w:val="none"/>
              </w:rPr>
            </w:pPr>
            <w:r>
              <w:rPr>
                <w:rFonts w:ascii="宋体" w:hAnsi="宋体" w:cs="宋体"/>
                <w:color w:val="auto"/>
                <w:sz w:val="28"/>
                <w:szCs w:val="28"/>
                <w:highlight w:val="none"/>
              </w:rPr>
              <w:t>2.2.4</w:t>
            </w:r>
            <w:r>
              <w:rPr>
                <w:rFonts w:hint="eastAsia" w:ascii="宋体" w:hAnsi="宋体" w:cs="宋体"/>
                <w:color w:val="auto"/>
                <w:sz w:val="28"/>
                <w:szCs w:val="28"/>
                <w:highlight w:val="none"/>
              </w:rPr>
              <w:t>（</w:t>
            </w:r>
            <w:r>
              <w:rPr>
                <w:rFonts w:ascii="宋体" w:hAnsi="宋体" w:cs="宋体"/>
                <w:color w:val="auto"/>
                <w:sz w:val="28"/>
                <w:szCs w:val="28"/>
                <w:highlight w:val="none"/>
              </w:rPr>
              <w:t>1</w:t>
            </w:r>
            <w:r>
              <w:rPr>
                <w:rFonts w:hint="eastAsia" w:ascii="宋体" w:hAnsi="宋体" w:cs="宋体"/>
                <w:color w:val="auto"/>
                <w:sz w:val="28"/>
                <w:szCs w:val="28"/>
                <w:highlight w:val="none"/>
              </w:rPr>
              <w:t>）</w:t>
            </w:r>
          </w:p>
        </w:tc>
        <w:tc>
          <w:tcPr>
            <w:tcW w:w="1124" w:type="dxa"/>
            <w:vMerge w:val="restart"/>
            <w:tcBorders>
              <w:top w:val="single" w:color="auto" w:sz="4" w:space="0"/>
              <w:right w:val="single" w:color="auto" w:sz="4" w:space="0"/>
            </w:tcBorders>
            <w:vAlign w:val="center"/>
          </w:tcPr>
          <w:p>
            <w:pPr>
              <w:spacing w:line="440" w:lineRule="exact"/>
              <w:jc w:val="center"/>
              <w:rPr>
                <w:rFonts w:ascii="宋体" w:cs="宋体"/>
                <w:color w:val="auto"/>
                <w:sz w:val="28"/>
                <w:szCs w:val="28"/>
                <w:highlight w:val="none"/>
              </w:rPr>
            </w:pPr>
            <w:r>
              <w:rPr>
                <w:rFonts w:hint="eastAsia" w:ascii="宋体" w:hAnsi="宋体" w:cs="宋体"/>
                <w:color w:val="auto"/>
                <w:sz w:val="28"/>
                <w:szCs w:val="28"/>
                <w:highlight w:val="none"/>
              </w:rPr>
              <w:t>资信业绩部分（</w:t>
            </w:r>
            <w:r>
              <w:rPr>
                <w:rFonts w:ascii="宋体" w:hAnsi="宋体" w:cs="宋体"/>
                <w:color w:val="auto"/>
                <w:sz w:val="28"/>
                <w:szCs w:val="28"/>
                <w:highlight w:val="none"/>
              </w:rPr>
              <w:t>5</w:t>
            </w:r>
            <w:r>
              <w:rPr>
                <w:rFonts w:hint="eastAsia" w:ascii="宋体" w:hAnsi="宋体" w:cs="宋体"/>
                <w:color w:val="auto"/>
                <w:sz w:val="28"/>
                <w:szCs w:val="28"/>
                <w:highlight w:val="none"/>
                <w:lang w:val="en-US" w:eastAsia="zh-CN"/>
              </w:rPr>
              <w:t>0</w:t>
            </w:r>
            <w:r>
              <w:rPr>
                <w:rFonts w:hint="eastAsia" w:ascii="宋体" w:hAnsi="宋体" w:cs="宋体"/>
                <w:color w:val="auto"/>
                <w:sz w:val="28"/>
                <w:szCs w:val="28"/>
                <w:highlight w:val="none"/>
              </w:rPr>
              <w:t>分）</w:t>
            </w:r>
          </w:p>
        </w:tc>
        <w:tc>
          <w:tcPr>
            <w:tcW w:w="3226" w:type="dxa"/>
            <w:gridSpan w:val="2"/>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ascii="宋体" w:cs="宋体"/>
                <w:color w:val="auto"/>
                <w:sz w:val="28"/>
                <w:szCs w:val="28"/>
                <w:highlight w:val="none"/>
              </w:rPr>
            </w:pPr>
            <w:r>
              <w:rPr>
                <w:rFonts w:hint="eastAsia" w:ascii="宋体" w:hAnsi="宋体" w:cs="宋体"/>
                <w:color w:val="auto"/>
                <w:sz w:val="28"/>
                <w:szCs w:val="28"/>
                <w:highlight w:val="none"/>
              </w:rPr>
              <w:t>项目业绩及</w:t>
            </w:r>
            <w:r>
              <w:rPr>
                <w:rFonts w:ascii="宋体" w:hAnsi="宋体" w:cs="宋体"/>
                <w:color w:val="auto"/>
                <w:sz w:val="28"/>
                <w:szCs w:val="28"/>
                <w:highlight w:val="none"/>
              </w:rPr>
              <w:t>获奖</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20</w:t>
            </w:r>
            <w:r>
              <w:rPr>
                <w:rFonts w:hint="eastAsia" w:ascii="宋体" w:hAnsi="宋体" w:cs="宋体"/>
                <w:color w:val="auto"/>
                <w:sz w:val="28"/>
                <w:szCs w:val="28"/>
                <w:highlight w:val="none"/>
              </w:rPr>
              <w:t>分）</w:t>
            </w:r>
          </w:p>
        </w:tc>
        <w:tc>
          <w:tcPr>
            <w:tcW w:w="4248" w:type="dxa"/>
            <w:tcBorders>
              <w:top w:val="single" w:color="auto" w:sz="4" w:space="0"/>
              <w:left w:val="single" w:color="auto" w:sz="4" w:space="0"/>
              <w:bottom w:val="single" w:color="auto" w:sz="4" w:space="0"/>
            </w:tcBorders>
            <w:vAlign w:val="center"/>
          </w:tcPr>
          <w:p>
            <w:pPr>
              <w:widowControl/>
              <w:rPr>
                <w:rFonts w:ascii="宋体" w:cs="宋体"/>
                <w:color w:val="auto"/>
                <w:sz w:val="28"/>
                <w:szCs w:val="28"/>
                <w:highlight w:val="none"/>
              </w:rPr>
            </w:pPr>
            <w:r>
              <w:rPr>
                <w:rFonts w:hint="eastAsia" w:ascii="宋体" w:cs="宋体"/>
                <w:color w:val="auto"/>
                <w:sz w:val="28"/>
                <w:szCs w:val="28"/>
                <w:highlight w:val="none"/>
              </w:rPr>
              <w:t>201</w:t>
            </w:r>
            <w:r>
              <w:rPr>
                <w:rFonts w:ascii="宋体" w:cs="宋体"/>
                <w:color w:val="auto"/>
                <w:sz w:val="28"/>
                <w:szCs w:val="28"/>
                <w:highlight w:val="none"/>
              </w:rPr>
              <w:t>7</w:t>
            </w:r>
            <w:r>
              <w:rPr>
                <w:rFonts w:hint="eastAsia" w:ascii="宋体" w:cs="宋体"/>
                <w:color w:val="auto"/>
                <w:sz w:val="28"/>
                <w:szCs w:val="28"/>
                <w:highlight w:val="none"/>
              </w:rPr>
              <w:t>年1月1日至今完成过质量合格的类似工程监理业绩，每项得</w:t>
            </w:r>
            <w:r>
              <w:rPr>
                <w:rFonts w:ascii="宋体" w:cs="宋体"/>
                <w:color w:val="auto"/>
                <w:sz w:val="28"/>
                <w:szCs w:val="28"/>
                <w:highlight w:val="none"/>
              </w:rPr>
              <w:t>2</w:t>
            </w:r>
            <w:r>
              <w:rPr>
                <w:rFonts w:hint="eastAsia" w:ascii="宋体" w:cs="宋体"/>
                <w:color w:val="auto"/>
                <w:sz w:val="28"/>
                <w:szCs w:val="28"/>
                <w:highlight w:val="none"/>
              </w:rPr>
              <w:t>分，本项最多得</w:t>
            </w:r>
            <w:r>
              <w:rPr>
                <w:rFonts w:ascii="宋体" w:cs="宋体"/>
                <w:color w:val="auto"/>
                <w:sz w:val="28"/>
                <w:szCs w:val="28"/>
                <w:highlight w:val="none"/>
              </w:rPr>
              <w:t>10</w:t>
            </w:r>
            <w:r>
              <w:rPr>
                <w:rFonts w:hint="eastAsia" w:ascii="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blHeader/>
        </w:trPr>
        <w:tc>
          <w:tcPr>
            <w:tcW w:w="900" w:type="dxa"/>
            <w:vMerge w:val="continue"/>
            <w:tcBorders>
              <w:right w:val="single" w:color="auto" w:sz="4" w:space="0"/>
            </w:tcBorders>
          </w:tcPr>
          <w:p>
            <w:pPr>
              <w:spacing w:line="440" w:lineRule="exact"/>
              <w:jc w:val="center"/>
              <w:rPr>
                <w:rFonts w:ascii="宋体" w:cs="宋体"/>
                <w:color w:val="auto"/>
                <w:sz w:val="28"/>
                <w:szCs w:val="28"/>
                <w:highlight w:val="none"/>
              </w:rPr>
            </w:pPr>
          </w:p>
        </w:tc>
        <w:tc>
          <w:tcPr>
            <w:tcW w:w="1124" w:type="dxa"/>
            <w:vMerge w:val="continue"/>
            <w:tcBorders>
              <w:right w:val="single" w:color="auto" w:sz="4" w:space="0"/>
            </w:tcBorders>
          </w:tcPr>
          <w:p>
            <w:pPr>
              <w:spacing w:line="440" w:lineRule="exact"/>
              <w:jc w:val="center"/>
              <w:rPr>
                <w:rFonts w:ascii="宋体" w:cs="宋体"/>
                <w:color w:val="auto"/>
                <w:sz w:val="28"/>
                <w:szCs w:val="28"/>
                <w:highlight w:val="none"/>
              </w:rPr>
            </w:pPr>
          </w:p>
        </w:tc>
        <w:tc>
          <w:tcPr>
            <w:tcW w:w="3226" w:type="dxa"/>
            <w:gridSpan w:val="2"/>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cs="宋体"/>
                <w:color w:val="auto"/>
                <w:sz w:val="28"/>
                <w:szCs w:val="28"/>
                <w:highlight w:val="none"/>
              </w:rPr>
            </w:pPr>
          </w:p>
        </w:tc>
        <w:tc>
          <w:tcPr>
            <w:tcW w:w="4248" w:type="dxa"/>
            <w:tcBorders>
              <w:top w:val="single" w:color="auto" w:sz="4" w:space="0"/>
              <w:left w:val="single" w:color="auto" w:sz="4" w:space="0"/>
              <w:bottom w:val="single" w:color="auto" w:sz="4" w:space="0"/>
            </w:tcBorders>
            <w:vAlign w:val="center"/>
          </w:tcPr>
          <w:p>
            <w:pPr>
              <w:widowControl/>
              <w:spacing w:before="100" w:beforeAutospacing="1" w:after="100" w:afterAutospacing="1"/>
              <w:rPr>
                <w:rFonts w:ascii="宋体" w:cs="宋体"/>
                <w:color w:val="auto"/>
                <w:sz w:val="28"/>
                <w:szCs w:val="28"/>
                <w:highlight w:val="none"/>
              </w:rPr>
            </w:pPr>
            <w:r>
              <w:rPr>
                <w:rFonts w:hint="eastAsia" w:ascii="宋体" w:cs="宋体"/>
                <w:color w:val="auto"/>
                <w:sz w:val="28"/>
                <w:szCs w:val="28"/>
                <w:highlight w:val="none"/>
              </w:rPr>
              <w:t>201</w:t>
            </w:r>
            <w:r>
              <w:rPr>
                <w:rFonts w:ascii="宋体" w:cs="宋体"/>
                <w:color w:val="auto"/>
                <w:sz w:val="28"/>
                <w:szCs w:val="28"/>
                <w:highlight w:val="none"/>
              </w:rPr>
              <w:t>7</w:t>
            </w:r>
            <w:r>
              <w:rPr>
                <w:rFonts w:hint="eastAsia" w:ascii="宋体" w:cs="宋体"/>
                <w:color w:val="auto"/>
                <w:sz w:val="28"/>
                <w:szCs w:val="28"/>
                <w:highlight w:val="none"/>
              </w:rPr>
              <w:t>年1月1日至今完成过质量合格的市政公用工程监理项目，获得国家级工程质量奖项的，每项得</w:t>
            </w:r>
            <w:r>
              <w:rPr>
                <w:rFonts w:ascii="宋体" w:cs="宋体"/>
                <w:color w:val="auto"/>
                <w:sz w:val="28"/>
                <w:szCs w:val="28"/>
                <w:highlight w:val="none"/>
              </w:rPr>
              <w:t>2</w:t>
            </w:r>
            <w:r>
              <w:rPr>
                <w:rFonts w:hint="eastAsia" w:ascii="宋体" w:cs="宋体"/>
                <w:color w:val="auto"/>
                <w:sz w:val="28"/>
                <w:szCs w:val="28"/>
                <w:highlight w:val="none"/>
              </w:rPr>
              <w:t>分；省级工程质量奖项的，每项得</w:t>
            </w:r>
            <w:r>
              <w:rPr>
                <w:rFonts w:ascii="宋体" w:cs="宋体"/>
                <w:color w:val="auto"/>
                <w:sz w:val="28"/>
                <w:szCs w:val="28"/>
                <w:highlight w:val="none"/>
              </w:rPr>
              <w:t>1.5</w:t>
            </w:r>
            <w:r>
              <w:rPr>
                <w:rFonts w:hint="eastAsia" w:ascii="宋体" w:cs="宋体"/>
                <w:color w:val="auto"/>
                <w:sz w:val="28"/>
                <w:szCs w:val="28"/>
                <w:highlight w:val="none"/>
              </w:rPr>
              <w:t>分；市级（含副省级）工程质量奖项的，每项得</w:t>
            </w:r>
            <w:r>
              <w:rPr>
                <w:rFonts w:ascii="宋体" w:cs="宋体"/>
                <w:color w:val="auto"/>
                <w:sz w:val="28"/>
                <w:szCs w:val="28"/>
                <w:highlight w:val="none"/>
              </w:rPr>
              <w:t>1</w:t>
            </w:r>
            <w:r>
              <w:rPr>
                <w:rFonts w:hint="eastAsia" w:ascii="宋体" w:cs="宋体"/>
                <w:color w:val="auto"/>
                <w:sz w:val="28"/>
                <w:szCs w:val="28"/>
                <w:highlight w:val="none"/>
              </w:rPr>
              <w:t>分，本项最多的</w:t>
            </w:r>
            <w:r>
              <w:rPr>
                <w:rFonts w:hint="eastAsia" w:ascii="宋体" w:cs="宋体"/>
                <w:color w:val="auto"/>
                <w:sz w:val="28"/>
                <w:szCs w:val="28"/>
                <w:highlight w:val="none"/>
                <w:lang w:val="en-US" w:eastAsia="zh-CN"/>
              </w:rPr>
              <w:t>10</w:t>
            </w:r>
            <w:r>
              <w:rPr>
                <w:rFonts w:hint="eastAsia" w:ascii="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color w:val="auto"/>
                <w:sz w:val="28"/>
                <w:szCs w:val="28"/>
                <w:highlight w:val="none"/>
              </w:rPr>
            </w:pPr>
            <w:r>
              <w:rPr>
                <w:rFonts w:hint="eastAsia" w:ascii="宋体" w:hAnsi="宋体" w:cs="宋体"/>
                <w:color w:val="auto"/>
                <w:sz w:val="28"/>
                <w:szCs w:val="28"/>
                <w:highlight w:val="none"/>
              </w:rPr>
              <w:t>总监理工程师（</w:t>
            </w:r>
            <w:r>
              <w:rPr>
                <w:rFonts w:ascii="宋体" w:hAnsi="宋体" w:cs="宋体"/>
                <w:color w:val="auto"/>
                <w:sz w:val="28"/>
                <w:szCs w:val="28"/>
                <w:highlight w:val="none"/>
              </w:rPr>
              <w:t>2</w:t>
            </w:r>
            <w:r>
              <w:rPr>
                <w:rFonts w:hint="eastAsia" w:ascii="宋体" w:hAnsi="宋体" w:cs="宋体"/>
                <w:color w:val="auto"/>
                <w:sz w:val="28"/>
                <w:szCs w:val="28"/>
                <w:highlight w:val="none"/>
              </w:rPr>
              <w:t>分）</w:t>
            </w:r>
          </w:p>
        </w:tc>
        <w:tc>
          <w:tcPr>
            <w:tcW w:w="4248" w:type="dxa"/>
            <w:tcBorders>
              <w:top w:val="single" w:color="auto" w:sz="4" w:space="0"/>
              <w:left w:val="single" w:color="auto" w:sz="4" w:space="0"/>
              <w:bottom w:val="single" w:color="auto" w:sz="4" w:space="0"/>
            </w:tcBorders>
            <w:vAlign w:val="center"/>
          </w:tcPr>
          <w:p>
            <w:pPr>
              <w:widowControl/>
              <w:spacing w:before="100" w:beforeAutospacing="1" w:after="100" w:afterAutospacing="1"/>
              <w:rPr>
                <w:color w:val="auto"/>
                <w:sz w:val="28"/>
                <w:szCs w:val="28"/>
                <w:highlight w:val="none"/>
              </w:rPr>
            </w:pPr>
            <w:r>
              <w:rPr>
                <w:rFonts w:hint="eastAsia" w:ascii="宋体" w:cs="宋体"/>
                <w:color w:val="auto"/>
                <w:sz w:val="28"/>
                <w:szCs w:val="28"/>
                <w:highlight w:val="none"/>
              </w:rPr>
              <w:t>具有中级或以上技术职称得</w:t>
            </w:r>
            <w:r>
              <w:rPr>
                <w:rFonts w:ascii="宋体" w:cs="宋体"/>
                <w:color w:val="auto"/>
                <w:sz w:val="28"/>
                <w:szCs w:val="28"/>
                <w:highlight w:val="none"/>
              </w:rPr>
              <w:t>2</w:t>
            </w:r>
            <w:r>
              <w:rPr>
                <w:rFonts w:hint="eastAsia" w:ascii="宋体" w:cs="宋体"/>
                <w:color w:val="auto"/>
                <w:sz w:val="28"/>
                <w:szCs w:val="28"/>
                <w:highlight w:val="none"/>
              </w:rPr>
              <w:t>分，</w:t>
            </w:r>
            <w:r>
              <w:rPr>
                <w:rFonts w:ascii="宋体" w:cs="宋体"/>
                <w:color w:val="auto"/>
                <w:sz w:val="28"/>
                <w:szCs w:val="28"/>
                <w:highlight w:val="none"/>
              </w:rPr>
              <w:t>没有的不得分</w:t>
            </w:r>
            <w:r>
              <w:rPr>
                <w:rFonts w:hint="eastAsia" w:ascii="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sz w:val="28"/>
                <w:szCs w:val="28"/>
                <w:highlight w:val="none"/>
              </w:rPr>
            </w:pPr>
            <w:r>
              <w:rPr>
                <w:rFonts w:hint="eastAsia" w:ascii="宋体" w:hAnsi="宋体" w:cs="宋体"/>
                <w:color w:val="auto"/>
                <w:sz w:val="28"/>
                <w:szCs w:val="28"/>
                <w:highlight w:val="none"/>
              </w:rPr>
              <w:t>总监理工程师代表（</w:t>
            </w:r>
            <w:r>
              <w:rPr>
                <w:rFonts w:ascii="宋体" w:hAnsi="宋体" w:cs="宋体"/>
                <w:color w:val="auto"/>
                <w:sz w:val="28"/>
                <w:szCs w:val="28"/>
                <w:highlight w:val="none"/>
              </w:rPr>
              <w:t>2</w:t>
            </w:r>
            <w:r>
              <w:rPr>
                <w:rFonts w:hint="eastAsia" w:ascii="宋体" w:hAnsi="宋体" w:cs="宋体"/>
                <w:color w:val="auto"/>
                <w:sz w:val="28"/>
                <w:szCs w:val="28"/>
                <w:highlight w:val="none"/>
              </w:rPr>
              <w:t>分）</w:t>
            </w:r>
          </w:p>
        </w:tc>
        <w:tc>
          <w:tcPr>
            <w:tcW w:w="4248" w:type="dxa"/>
            <w:tcBorders>
              <w:top w:val="single" w:color="auto" w:sz="4" w:space="0"/>
              <w:left w:val="single" w:color="auto" w:sz="4" w:space="0"/>
              <w:bottom w:val="single" w:color="auto" w:sz="4" w:space="0"/>
            </w:tcBorders>
            <w:vAlign w:val="center"/>
          </w:tcPr>
          <w:p>
            <w:pPr>
              <w:widowControl/>
              <w:rPr>
                <w:rFonts w:ascii="宋体" w:cs="宋体"/>
                <w:color w:val="auto"/>
                <w:sz w:val="28"/>
                <w:szCs w:val="28"/>
                <w:highlight w:val="none"/>
              </w:rPr>
            </w:pPr>
            <w:r>
              <w:rPr>
                <w:rFonts w:hint="eastAsia" w:ascii="宋体" w:cs="宋体"/>
                <w:color w:val="auto"/>
                <w:sz w:val="28"/>
                <w:szCs w:val="28"/>
                <w:highlight w:val="none"/>
              </w:rPr>
              <w:t>具有中级或以上技术职称得</w:t>
            </w:r>
            <w:r>
              <w:rPr>
                <w:rFonts w:ascii="宋体" w:cs="宋体"/>
                <w:color w:val="auto"/>
                <w:sz w:val="28"/>
                <w:szCs w:val="28"/>
                <w:highlight w:val="none"/>
              </w:rPr>
              <w:t>2</w:t>
            </w:r>
            <w:r>
              <w:rPr>
                <w:rFonts w:hint="eastAsia" w:ascii="宋体" w:cs="宋体"/>
                <w:color w:val="auto"/>
                <w:sz w:val="28"/>
                <w:szCs w:val="28"/>
                <w:highlight w:val="none"/>
              </w:rPr>
              <w:t>分。</w:t>
            </w:r>
            <w:r>
              <w:rPr>
                <w:rFonts w:ascii="宋体" w:cs="宋体"/>
                <w:color w:val="auto"/>
                <w:sz w:val="28"/>
                <w:szCs w:val="28"/>
                <w:highlight w:val="none"/>
              </w:rPr>
              <w:t>没有的不得分</w:t>
            </w:r>
            <w:r>
              <w:rPr>
                <w:rFonts w:hint="eastAsia" w:ascii="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322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项目监理组织架构</w:t>
            </w:r>
          </w:p>
          <w:p>
            <w:pPr>
              <w:spacing w:line="4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10</w:t>
            </w:r>
            <w:r>
              <w:rPr>
                <w:rFonts w:hint="eastAsia" w:ascii="宋体" w:hAnsi="宋体" w:cs="宋体"/>
                <w:color w:val="auto"/>
                <w:sz w:val="28"/>
                <w:szCs w:val="28"/>
                <w:highlight w:val="none"/>
              </w:rPr>
              <w:t>分）</w:t>
            </w:r>
          </w:p>
        </w:tc>
        <w:tc>
          <w:tcPr>
            <w:tcW w:w="4248" w:type="dxa"/>
            <w:tcBorders>
              <w:top w:val="single" w:color="auto" w:sz="4" w:space="0"/>
              <w:left w:val="single" w:color="auto" w:sz="4" w:space="0"/>
              <w:bottom w:val="single" w:color="auto" w:sz="4" w:space="0"/>
            </w:tcBorders>
            <w:vAlign w:val="center"/>
          </w:tcPr>
          <w:p>
            <w:pPr>
              <w:widowControl/>
              <w:rPr>
                <w:rFonts w:ascii="宋体" w:cs="宋体"/>
                <w:color w:val="auto"/>
                <w:sz w:val="28"/>
                <w:szCs w:val="28"/>
                <w:highlight w:val="none"/>
              </w:rPr>
            </w:pPr>
            <w:r>
              <w:rPr>
                <w:rFonts w:hint="eastAsia" w:ascii="宋体" w:cs="宋体"/>
                <w:color w:val="auto"/>
                <w:sz w:val="28"/>
                <w:szCs w:val="28"/>
                <w:highlight w:val="none"/>
              </w:rPr>
              <w:t>监理机构满足本项目要求（按第二章投标人须知10.5《项目监理部人员组成配置要求》，除总监理工程师、</w:t>
            </w:r>
            <w:r>
              <w:rPr>
                <w:rFonts w:hint="eastAsia" w:ascii="宋体" w:hAnsi="宋体" w:cs="宋体"/>
                <w:color w:val="auto"/>
                <w:sz w:val="28"/>
                <w:szCs w:val="28"/>
                <w:highlight w:val="none"/>
              </w:rPr>
              <w:t>总监理工程师代表</w:t>
            </w:r>
            <w:r>
              <w:rPr>
                <w:rFonts w:hint="eastAsia" w:ascii="宋体" w:cs="宋体"/>
                <w:color w:val="auto"/>
                <w:sz w:val="28"/>
                <w:szCs w:val="28"/>
                <w:highlight w:val="none"/>
              </w:rPr>
              <w:t>外）得</w:t>
            </w:r>
            <w:r>
              <w:rPr>
                <w:rFonts w:ascii="宋体" w:cs="宋体"/>
                <w:color w:val="auto"/>
                <w:sz w:val="28"/>
                <w:szCs w:val="28"/>
                <w:highlight w:val="none"/>
              </w:rPr>
              <w:t>10</w:t>
            </w:r>
            <w:r>
              <w:rPr>
                <w:rFonts w:hint="eastAsia" w:ascii="宋体" w:cs="宋体"/>
                <w:color w:val="auto"/>
                <w:sz w:val="28"/>
                <w:szCs w:val="28"/>
                <w:highlight w:val="none"/>
              </w:rPr>
              <w:t>分，每有一人不符合扣2分，扣至0分为止。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7"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3226" w:type="dxa"/>
            <w:gridSpan w:val="2"/>
            <w:tcBorders>
              <w:top w:val="single" w:color="auto" w:sz="4" w:space="0"/>
              <w:left w:val="single" w:color="auto" w:sz="4" w:space="0"/>
              <w:right w:val="single" w:color="auto" w:sz="4" w:space="0"/>
            </w:tcBorders>
            <w:vAlign w:val="center"/>
          </w:tcPr>
          <w:p>
            <w:pPr>
              <w:widowControl/>
              <w:snapToGrid w:val="0"/>
              <w:jc w:val="center"/>
              <w:rPr>
                <w:rFonts w:ascii="宋体" w:cs="宋体"/>
                <w:color w:val="auto"/>
                <w:sz w:val="28"/>
                <w:szCs w:val="28"/>
                <w:highlight w:val="none"/>
              </w:rPr>
            </w:pPr>
            <w:r>
              <w:rPr>
                <w:rFonts w:hint="eastAsia" w:ascii="宋体" w:hAnsi="宋体" w:cs="宋体"/>
                <w:color w:val="auto"/>
                <w:sz w:val="28"/>
                <w:szCs w:val="28"/>
                <w:highlight w:val="none"/>
              </w:rPr>
              <w:t>企业注册资本(6分)</w:t>
            </w:r>
          </w:p>
        </w:tc>
        <w:tc>
          <w:tcPr>
            <w:tcW w:w="4248" w:type="dxa"/>
            <w:tcBorders>
              <w:top w:val="single" w:color="auto" w:sz="4" w:space="0"/>
              <w:left w:val="single" w:color="auto" w:sz="4" w:space="0"/>
            </w:tcBorders>
            <w:vAlign w:val="center"/>
          </w:tcPr>
          <w:p>
            <w:pPr>
              <w:widowControl/>
              <w:rPr>
                <w:rFonts w:ascii="宋体" w:cs="宋体"/>
                <w:color w:val="auto"/>
                <w:sz w:val="28"/>
                <w:szCs w:val="28"/>
                <w:highlight w:val="none"/>
              </w:rPr>
            </w:pPr>
            <w:r>
              <w:rPr>
                <w:rFonts w:hint="eastAsia" w:ascii="宋体" w:cs="宋体"/>
                <w:color w:val="auto"/>
                <w:sz w:val="28"/>
                <w:szCs w:val="28"/>
                <w:highlight w:val="none"/>
              </w:rPr>
              <w:t>投标人按企业注册资金数额由大至小排名，第1-5名得6分，第</w:t>
            </w:r>
            <w:r>
              <w:rPr>
                <w:rFonts w:ascii="宋体" w:cs="宋体"/>
                <w:color w:val="auto"/>
                <w:sz w:val="28"/>
                <w:szCs w:val="28"/>
                <w:highlight w:val="none"/>
              </w:rPr>
              <w:t>6-10</w:t>
            </w:r>
            <w:r>
              <w:rPr>
                <w:rFonts w:hint="eastAsia" w:ascii="宋体" w:cs="宋体"/>
                <w:color w:val="auto"/>
                <w:sz w:val="28"/>
                <w:szCs w:val="28"/>
                <w:highlight w:val="none"/>
              </w:rPr>
              <w:t>名的得3分，第11名及之后的单位得1分，没有的不得分。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3226" w:type="dxa"/>
            <w:gridSpan w:val="2"/>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ascii="宋体" w:cs="宋体"/>
                <w:color w:val="auto"/>
                <w:sz w:val="28"/>
                <w:szCs w:val="28"/>
                <w:highlight w:val="none"/>
              </w:rPr>
            </w:pPr>
            <w:r>
              <w:rPr>
                <w:rFonts w:hint="eastAsia" w:ascii="宋体" w:hAnsi="宋体" w:cs="宋体"/>
                <w:color w:val="auto"/>
                <w:sz w:val="28"/>
                <w:szCs w:val="28"/>
                <w:highlight w:val="none"/>
              </w:rPr>
              <w:t>纳税等级（</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分）</w:t>
            </w:r>
          </w:p>
        </w:tc>
        <w:tc>
          <w:tcPr>
            <w:tcW w:w="4248" w:type="dxa"/>
            <w:tcBorders>
              <w:top w:val="single" w:color="auto" w:sz="4" w:space="0"/>
              <w:left w:val="single" w:color="auto" w:sz="4" w:space="0"/>
              <w:bottom w:val="single" w:color="auto" w:sz="4" w:space="0"/>
            </w:tcBorders>
            <w:vAlign w:val="center"/>
          </w:tcPr>
          <w:p>
            <w:pPr>
              <w:pStyle w:val="10"/>
              <w:rPr>
                <w:rFonts w:ascii="宋体" w:cs="宋体"/>
                <w:color w:val="auto"/>
                <w:sz w:val="28"/>
                <w:szCs w:val="28"/>
                <w:highlight w:val="none"/>
              </w:rPr>
            </w:pPr>
            <w:r>
              <w:rPr>
                <w:rFonts w:hint="eastAsia" w:ascii="宋体" w:cs="宋体"/>
                <w:color w:val="auto"/>
                <w:sz w:val="28"/>
                <w:szCs w:val="28"/>
                <w:highlight w:val="none"/>
              </w:rPr>
              <w:t>2016年至今获得纳税信用等级A级称号的，每次得</w:t>
            </w:r>
            <w:r>
              <w:rPr>
                <w:rFonts w:hint="eastAsia" w:ascii="宋体" w:cs="宋体"/>
                <w:color w:val="auto"/>
                <w:sz w:val="28"/>
                <w:szCs w:val="28"/>
                <w:highlight w:val="none"/>
                <w:lang w:val="en-US" w:eastAsia="zh-CN"/>
              </w:rPr>
              <w:t>1</w:t>
            </w:r>
            <w:r>
              <w:rPr>
                <w:rFonts w:hint="eastAsia" w:ascii="宋体" w:cs="宋体"/>
                <w:color w:val="auto"/>
                <w:sz w:val="28"/>
                <w:szCs w:val="28"/>
                <w:highlight w:val="none"/>
              </w:rPr>
              <w:t>分，本项最多得</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分</w:t>
            </w:r>
            <w:r>
              <w:rPr>
                <w:rFonts w:hint="eastAsia" w:ascii="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blHeader/>
        </w:trPr>
        <w:tc>
          <w:tcPr>
            <w:tcW w:w="900" w:type="dxa"/>
            <w:vMerge w:val="continue"/>
            <w:tcBorders>
              <w:right w:val="single" w:color="auto" w:sz="4" w:space="0"/>
            </w:tcBorders>
          </w:tcPr>
          <w:p>
            <w:pPr>
              <w:jc w:val="left"/>
              <w:rPr>
                <w:color w:val="auto"/>
                <w:sz w:val="28"/>
                <w:szCs w:val="28"/>
                <w:highlight w:val="none"/>
              </w:rPr>
            </w:pPr>
          </w:p>
        </w:tc>
        <w:tc>
          <w:tcPr>
            <w:tcW w:w="1124" w:type="dxa"/>
            <w:vMerge w:val="continue"/>
            <w:tcBorders>
              <w:right w:val="single" w:color="auto" w:sz="4" w:space="0"/>
            </w:tcBorders>
          </w:tcPr>
          <w:p>
            <w:pPr>
              <w:jc w:val="left"/>
              <w:rPr>
                <w:color w:val="auto"/>
                <w:sz w:val="28"/>
                <w:szCs w:val="28"/>
                <w:highlight w:val="none"/>
              </w:rPr>
            </w:pPr>
          </w:p>
        </w:tc>
        <w:tc>
          <w:tcPr>
            <w:tcW w:w="3226" w:type="dxa"/>
            <w:gridSpan w:val="2"/>
            <w:tcBorders>
              <w:top w:val="single" w:color="auto" w:sz="4" w:space="0"/>
              <w:left w:val="single" w:color="auto" w:sz="4" w:space="0"/>
              <w:right w:val="single" w:color="auto" w:sz="4" w:space="0"/>
            </w:tcBorders>
            <w:vAlign w:val="center"/>
          </w:tcPr>
          <w:p>
            <w:pPr>
              <w:jc w:val="center"/>
              <w:rPr>
                <w:rFonts w:ascii="宋体" w:hAnsi="宋体" w:cs="宋体"/>
                <w:color w:val="auto"/>
                <w:sz w:val="28"/>
                <w:szCs w:val="28"/>
                <w:highlight w:val="none"/>
              </w:rPr>
            </w:pPr>
            <w:r>
              <w:rPr>
                <w:rFonts w:hint="eastAsia" w:ascii="宋体" w:hAnsi="宋体" w:cs="宋体"/>
                <w:color w:val="auto"/>
                <w:sz w:val="28"/>
                <w:szCs w:val="28"/>
                <w:highlight w:val="none"/>
              </w:rPr>
              <w:t>ISO体系认证（</w:t>
            </w:r>
            <w:r>
              <w:rPr>
                <w:rFonts w:ascii="宋体" w:hAnsi="宋体" w:cs="宋体"/>
                <w:color w:val="auto"/>
                <w:sz w:val="28"/>
                <w:szCs w:val="28"/>
                <w:highlight w:val="none"/>
              </w:rPr>
              <w:t>5</w:t>
            </w:r>
            <w:r>
              <w:rPr>
                <w:rFonts w:hint="eastAsia" w:ascii="宋体" w:hAnsi="宋体" w:cs="宋体"/>
                <w:color w:val="auto"/>
                <w:sz w:val="28"/>
                <w:szCs w:val="28"/>
                <w:highlight w:val="none"/>
              </w:rPr>
              <w:t>分）</w:t>
            </w:r>
          </w:p>
        </w:tc>
        <w:tc>
          <w:tcPr>
            <w:tcW w:w="4248" w:type="dxa"/>
            <w:tcBorders>
              <w:top w:val="single" w:color="auto" w:sz="4" w:space="0"/>
              <w:left w:val="single" w:color="auto" w:sz="4" w:space="0"/>
            </w:tcBorders>
            <w:vAlign w:val="center"/>
          </w:tcPr>
          <w:p>
            <w:pPr>
              <w:jc w:val="left"/>
              <w:rPr>
                <w:rFonts w:ascii="宋体" w:hAnsi="宋体" w:cs="宋体"/>
                <w:color w:val="auto"/>
                <w:sz w:val="28"/>
                <w:szCs w:val="28"/>
                <w:highlight w:val="none"/>
              </w:rPr>
            </w:pPr>
            <w:r>
              <w:rPr>
                <w:rFonts w:hint="eastAsia" w:ascii="宋体" w:hAnsi="宋体" w:cs="宋体"/>
                <w:color w:val="auto"/>
                <w:sz w:val="28"/>
                <w:szCs w:val="28"/>
                <w:highlight w:val="none"/>
              </w:rPr>
              <w:t>投标</w:t>
            </w:r>
            <w:r>
              <w:rPr>
                <w:rFonts w:ascii="宋体" w:hAnsi="宋体" w:cs="宋体"/>
                <w:color w:val="auto"/>
                <w:sz w:val="28"/>
                <w:szCs w:val="28"/>
                <w:highlight w:val="none"/>
              </w:rPr>
              <w:t>人</w:t>
            </w:r>
            <w:r>
              <w:rPr>
                <w:rFonts w:hint="eastAsia" w:ascii="宋体" w:hAnsi="宋体" w:cs="宋体"/>
                <w:color w:val="auto"/>
                <w:sz w:val="28"/>
                <w:szCs w:val="28"/>
                <w:highlight w:val="none"/>
              </w:rPr>
              <w:t>同时具有质量管理体系认证证书、环境管理体系认证证书、职业健康安全管理体系认证证书、信息安全管理体系认证证书和知识产权管理体系认证证书且在有效期内的得</w:t>
            </w:r>
            <w:r>
              <w:rPr>
                <w:rFonts w:ascii="宋体" w:hAnsi="宋体" w:cs="宋体"/>
                <w:color w:val="auto"/>
                <w:sz w:val="28"/>
                <w:szCs w:val="28"/>
                <w:highlight w:val="none"/>
              </w:rPr>
              <w:t>5</w:t>
            </w:r>
            <w:r>
              <w:rPr>
                <w:rFonts w:hint="eastAsia" w:ascii="宋体" w:hAnsi="宋体" w:cs="宋体"/>
                <w:color w:val="auto"/>
                <w:sz w:val="28"/>
                <w:szCs w:val="28"/>
                <w:highlight w:val="none"/>
              </w:rPr>
              <w:t>分；少一项扣</w:t>
            </w:r>
            <w:r>
              <w:rPr>
                <w:rFonts w:ascii="宋体" w:hAnsi="宋体" w:cs="宋体"/>
                <w:color w:val="auto"/>
                <w:sz w:val="28"/>
                <w:szCs w:val="28"/>
                <w:highlight w:val="none"/>
              </w:rPr>
              <w:t>1</w:t>
            </w:r>
            <w:r>
              <w:rPr>
                <w:rFonts w:hint="eastAsia" w:ascii="宋体" w:hAnsi="宋体" w:cs="宋体"/>
                <w:color w:val="auto"/>
                <w:sz w:val="28"/>
                <w:szCs w:val="28"/>
                <w:highlight w:val="none"/>
              </w:rPr>
              <w:t>分，扣至0分为止。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blHeader/>
        </w:trPr>
        <w:tc>
          <w:tcPr>
            <w:tcW w:w="900" w:type="dxa"/>
            <w:vMerge w:val="restart"/>
            <w:tcBorders>
              <w:top w:val="single" w:color="auto" w:sz="4" w:space="0"/>
              <w:right w:val="single" w:color="auto" w:sz="4" w:space="0"/>
            </w:tcBorders>
            <w:vAlign w:val="center"/>
          </w:tcPr>
          <w:p>
            <w:pPr>
              <w:jc w:val="center"/>
              <w:rPr>
                <w:rFonts w:ascii="宋体" w:cs="宋体"/>
                <w:color w:val="auto"/>
                <w:sz w:val="28"/>
                <w:szCs w:val="28"/>
                <w:highlight w:val="none"/>
              </w:rPr>
            </w:pPr>
            <w:r>
              <w:rPr>
                <w:rFonts w:ascii="宋体" w:hAnsi="宋体" w:cs="宋体"/>
                <w:color w:val="auto"/>
                <w:sz w:val="28"/>
                <w:szCs w:val="28"/>
                <w:highlight w:val="none"/>
              </w:rPr>
              <w:t>2.2.4</w:t>
            </w:r>
            <w:r>
              <w:rPr>
                <w:rFonts w:hint="eastAsia" w:ascii="宋体" w:hAnsi="宋体" w:cs="宋体"/>
                <w:color w:val="auto"/>
                <w:sz w:val="28"/>
                <w:szCs w:val="28"/>
                <w:highlight w:val="none"/>
              </w:rPr>
              <w:t>（</w:t>
            </w:r>
            <w:r>
              <w:rPr>
                <w:rFonts w:ascii="宋体" w:hAnsi="宋体" w:cs="宋体"/>
                <w:color w:val="auto"/>
                <w:sz w:val="28"/>
                <w:szCs w:val="28"/>
                <w:highlight w:val="none"/>
              </w:rPr>
              <w:t>2</w:t>
            </w:r>
            <w:r>
              <w:rPr>
                <w:rFonts w:hint="eastAsia" w:ascii="宋体" w:hAnsi="宋体" w:cs="宋体"/>
                <w:color w:val="auto"/>
                <w:sz w:val="28"/>
                <w:szCs w:val="28"/>
                <w:highlight w:val="none"/>
              </w:rPr>
              <w:t>）</w:t>
            </w:r>
          </w:p>
        </w:tc>
        <w:tc>
          <w:tcPr>
            <w:tcW w:w="1124" w:type="dxa"/>
            <w:vMerge w:val="restart"/>
            <w:tcBorders>
              <w:top w:val="single" w:color="auto" w:sz="4" w:space="0"/>
              <w:right w:val="single" w:color="auto" w:sz="4" w:space="0"/>
            </w:tcBorders>
            <w:vAlign w:val="center"/>
          </w:tcPr>
          <w:p>
            <w:pPr>
              <w:jc w:val="center"/>
              <w:rPr>
                <w:rFonts w:ascii="宋体" w:cs="宋体"/>
                <w:color w:val="auto"/>
                <w:sz w:val="28"/>
                <w:szCs w:val="28"/>
                <w:highlight w:val="none"/>
              </w:rPr>
            </w:pPr>
            <w:r>
              <w:rPr>
                <w:rFonts w:hint="eastAsia" w:ascii="宋体" w:hAnsi="宋体" w:cs="宋体"/>
                <w:color w:val="auto"/>
                <w:sz w:val="28"/>
                <w:szCs w:val="28"/>
                <w:highlight w:val="none"/>
              </w:rPr>
              <w:t>监理大纲部分（</w:t>
            </w:r>
            <w:r>
              <w:rPr>
                <w:rFonts w:ascii="宋体" w:hAnsi="宋体" w:cs="宋体"/>
                <w:color w:val="auto"/>
                <w:sz w:val="28"/>
                <w:szCs w:val="28"/>
                <w:highlight w:val="none"/>
              </w:rPr>
              <w:t>35</w:t>
            </w:r>
            <w:r>
              <w:rPr>
                <w:rFonts w:hint="eastAsia" w:ascii="宋体" w:hAnsi="宋体" w:cs="宋体"/>
                <w:color w:val="auto"/>
                <w:sz w:val="28"/>
                <w:szCs w:val="28"/>
                <w:highlight w:val="none"/>
              </w:rPr>
              <w:t>分）</w:t>
            </w:r>
          </w:p>
        </w:tc>
        <w:tc>
          <w:tcPr>
            <w:tcW w:w="1008" w:type="dxa"/>
            <w:vMerge w:val="restart"/>
            <w:tcBorders>
              <w:top w:val="single" w:color="auto" w:sz="4" w:space="0"/>
              <w:left w:val="single" w:color="auto" w:sz="4" w:space="0"/>
              <w:right w:val="single" w:color="auto" w:sz="4" w:space="0"/>
            </w:tcBorders>
            <w:tcMar>
              <w:left w:w="57" w:type="dxa"/>
              <w:right w:w="57" w:type="dxa"/>
            </w:tcMar>
            <w:vAlign w:val="center"/>
          </w:tcPr>
          <w:p>
            <w:pPr>
              <w:snapToGrid w:val="0"/>
              <w:jc w:val="center"/>
              <w:rPr>
                <w:rFonts w:ascii="宋体" w:cs="宋体"/>
                <w:color w:val="auto"/>
                <w:sz w:val="28"/>
                <w:szCs w:val="28"/>
                <w:highlight w:val="none"/>
              </w:rPr>
            </w:pPr>
            <w:r>
              <w:rPr>
                <w:rFonts w:hint="eastAsia" w:ascii="宋体" w:cs="宋体"/>
                <w:color w:val="auto"/>
                <w:sz w:val="28"/>
                <w:szCs w:val="28"/>
                <w:highlight w:val="none"/>
              </w:rPr>
              <w:t>质量、进度、造价、安全、环保监督措施</w:t>
            </w:r>
          </w:p>
        </w:tc>
        <w:tc>
          <w:tcPr>
            <w:tcW w:w="221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质量控制措施（</w:t>
            </w:r>
            <w:r>
              <w:rPr>
                <w:rFonts w:ascii="宋体" w:hAnsi="宋体" w:cs="宋体"/>
                <w:color w:val="auto"/>
                <w:sz w:val="28"/>
                <w:szCs w:val="28"/>
                <w:highlight w:val="none"/>
              </w:rPr>
              <w:t>4</w:t>
            </w:r>
            <w:r>
              <w:rPr>
                <w:rFonts w:hint="eastAsia" w:ascii="宋体" w:hAnsi="宋体" w:cs="宋体"/>
                <w:color w:val="auto"/>
                <w:sz w:val="28"/>
                <w:szCs w:val="28"/>
                <w:highlight w:val="none"/>
              </w:rPr>
              <w:t>分）</w:t>
            </w:r>
          </w:p>
        </w:tc>
        <w:tc>
          <w:tcPr>
            <w:tcW w:w="4248" w:type="dxa"/>
            <w:tcBorders>
              <w:top w:val="single" w:color="auto" w:sz="4" w:space="0"/>
              <w:left w:val="single" w:color="auto" w:sz="4" w:space="0"/>
              <w:bottom w:val="single" w:color="auto" w:sz="4" w:space="0"/>
            </w:tcBorders>
            <w:tcMar>
              <w:left w:w="57" w:type="dxa"/>
              <w:right w:w="57" w:type="dxa"/>
            </w:tcMar>
            <w:vAlign w:val="center"/>
          </w:tcPr>
          <w:p>
            <w:pPr>
              <w:snapToGrid w:val="0"/>
              <w:rPr>
                <w:rFonts w:ascii="宋体" w:cs="宋体"/>
                <w:color w:val="auto"/>
                <w:sz w:val="28"/>
                <w:szCs w:val="28"/>
                <w:highlight w:val="none"/>
              </w:rPr>
            </w:pPr>
            <w:r>
              <w:rPr>
                <w:rFonts w:hint="eastAsia" w:ascii="宋体" w:cs="宋体"/>
                <w:color w:val="auto"/>
                <w:sz w:val="28"/>
                <w:szCs w:val="28"/>
                <w:highlight w:val="none"/>
              </w:rPr>
              <w:t>要求目标明确、方法合理可行、措施具体、针对性强。优得</w:t>
            </w:r>
            <w:r>
              <w:rPr>
                <w:rFonts w:ascii="宋体" w:cs="宋体"/>
                <w:color w:val="auto"/>
                <w:sz w:val="28"/>
                <w:szCs w:val="28"/>
                <w:highlight w:val="none"/>
              </w:rPr>
              <w:t>4</w:t>
            </w:r>
            <w:r>
              <w:rPr>
                <w:rFonts w:hint="eastAsia" w:ascii="宋体" w:cs="宋体"/>
                <w:color w:val="auto"/>
                <w:sz w:val="28"/>
                <w:szCs w:val="28"/>
                <w:highlight w:val="none"/>
              </w:rPr>
              <w:t>分；良得2分；一般得1分；差或无措施不得分；最高不超过</w:t>
            </w:r>
            <w:r>
              <w:rPr>
                <w:rFonts w:ascii="宋体" w:cs="宋体"/>
                <w:color w:val="auto"/>
                <w:sz w:val="28"/>
                <w:szCs w:val="28"/>
                <w:highlight w:val="none"/>
              </w:rPr>
              <w:t>4</w:t>
            </w:r>
            <w:r>
              <w:rPr>
                <w:rFonts w:hint="eastAsia" w:ascii="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1008" w:type="dxa"/>
            <w:vMerge w:val="continue"/>
            <w:tcBorders>
              <w:left w:val="single" w:color="auto" w:sz="4" w:space="0"/>
              <w:right w:val="single" w:color="auto" w:sz="4" w:space="0"/>
            </w:tcBorders>
            <w:tcMar>
              <w:left w:w="57" w:type="dxa"/>
              <w:right w:w="57" w:type="dxa"/>
            </w:tcMar>
            <w:vAlign w:val="center"/>
          </w:tcPr>
          <w:p>
            <w:pPr>
              <w:snapToGrid w:val="0"/>
              <w:jc w:val="center"/>
              <w:rPr>
                <w:rFonts w:ascii="宋体" w:cs="宋体"/>
                <w:color w:val="auto"/>
                <w:sz w:val="28"/>
                <w:szCs w:val="28"/>
                <w:highlight w:val="none"/>
              </w:rPr>
            </w:pPr>
          </w:p>
        </w:tc>
        <w:tc>
          <w:tcPr>
            <w:tcW w:w="221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进度控制措施（</w:t>
            </w:r>
            <w:r>
              <w:rPr>
                <w:rFonts w:ascii="宋体" w:hAnsi="宋体" w:cs="宋体"/>
                <w:color w:val="auto"/>
                <w:sz w:val="28"/>
                <w:szCs w:val="28"/>
                <w:highlight w:val="none"/>
              </w:rPr>
              <w:t>4</w:t>
            </w:r>
            <w:r>
              <w:rPr>
                <w:rFonts w:hint="eastAsia" w:ascii="宋体" w:hAnsi="宋体" w:cs="宋体"/>
                <w:color w:val="auto"/>
                <w:sz w:val="28"/>
                <w:szCs w:val="28"/>
                <w:highlight w:val="none"/>
              </w:rPr>
              <w:t>分）</w:t>
            </w:r>
          </w:p>
        </w:tc>
        <w:tc>
          <w:tcPr>
            <w:tcW w:w="4248" w:type="dxa"/>
            <w:tcBorders>
              <w:top w:val="single" w:color="auto" w:sz="4" w:space="0"/>
              <w:left w:val="single" w:color="auto" w:sz="4" w:space="0"/>
              <w:bottom w:val="single" w:color="auto" w:sz="4" w:space="0"/>
            </w:tcBorders>
            <w:tcMar>
              <w:left w:w="57" w:type="dxa"/>
              <w:right w:w="57" w:type="dxa"/>
            </w:tcMar>
            <w:vAlign w:val="center"/>
          </w:tcPr>
          <w:p>
            <w:pPr>
              <w:rPr>
                <w:rFonts w:ascii="宋体" w:cs="宋体"/>
                <w:color w:val="auto"/>
                <w:sz w:val="28"/>
                <w:szCs w:val="28"/>
                <w:highlight w:val="none"/>
              </w:rPr>
            </w:pPr>
            <w:r>
              <w:rPr>
                <w:rFonts w:hint="eastAsia" w:ascii="宋体" w:cs="宋体"/>
                <w:color w:val="auto"/>
                <w:sz w:val="28"/>
                <w:szCs w:val="28"/>
                <w:highlight w:val="none"/>
              </w:rPr>
              <w:t>要求目标明确、方法合理可行、措施具体、针对性强。优得</w:t>
            </w:r>
            <w:r>
              <w:rPr>
                <w:rFonts w:ascii="宋体" w:cs="宋体"/>
                <w:color w:val="auto"/>
                <w:sz w:val="28"/>
                <w:szCs w:val="28"/>
                <w:highlight w:val="none"/>
              </w:rPr>
              <w:t>4</w:t>
            </w:r>
            <w:r>
              <w:rPr>
                <w:rFonts w:hint="eastAsia" w:ascii="宋体" w:cs="宋体"/>
                <w:color w:val="auto"/>
                <w:sz w:val="28"/>
                <w:szCs w:val="28"/>
                <w:highlight w:val="none"/>
              </w:rPr>
              <w:t>分；良得2分；一般得1分；差或无措施不得分；最高不超过</w:t>
            </w:r>
            <w:r>
              <w:rPr>
                <w:rFonts w:ascii="宋体" w:cs="宋体"/>
                <w:color w:val="auto"/>
                <w:sz w:val="28"/>
                <w:szCs w:val="28"/>
                <w:highlight w:val="none"/>
              </w:rPr>
              <w:t>4</w:t>
            </w:r>
            <w:r>
              <w:rPr>
                <w:rFonts w:hint="eastAsia" w:ascii="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1008" w:type="dxa"/>
            <w:vMerge w:val="continue"/>
            <w:tcBorders>
              <w:left w:val="single" w:color="auto" w:sz="4" w:space="0"/>
              <w:right w:val="single" w:color="auto" w:sz="4" w:space="0"/>
            </w:tcBorders>
            <w:tcMar>
              <w:left w:w="57" w:type="dxa"/>
              <w:right w:w="57" w:type="dxa"/>
            </w:tcMar>
            <w:vAlign w:val="center"/>
          </w:tcPr>
          <w:p>
            <w:pPr>
              <w:jc w:val="center"/>
              <w:rPr>
                <w:rFonts w:ascii="宋体" w:cs="宋体"/>
                <w:color w:val="auto"/>
                <w:sz w:val="28"/>
                <w:szCs w:val="28"/>
                <w:highlight w:val="none"/>
              </w:rPr>
            </w:pPr>
          </w:p>
        </w:tc>
        <w:tc>
          <w:tcPr>
            <w:tcW w:w="221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宋体" w:hAnsi="宋体" w:cs="宋体"/>
                <w:color w:val="auto"/>
                <w:sz w:val="28"/>
                <w:szCs w:val="28"/>
                <w:highlight w:val="none"/>
              </w:rPr>
            </w:pPr>
            <w:r>
              <w:rPr>
                <w:rFonts w:hint="eastAsia" w:ascii="宋体" w:hAnsi="宋体" w:cs="宋体"/>
                <w:color w:val="auto"/>
                <w:sz w:val="28"/>
                <w:szCs w:val="28"/>
                <w:highlight w:val="none"/>
              </w:rPr>
              <w:t>造价控制措施（</w:t>
            </w:r>
            <w:r>
              <w:rPr>
                <w:rFonts w:ascii="宋体" w:hAnsi="宋体" w:cs="宋体"/>
                <w:color w:val="auto"/>
                <w:sz w:val="28"/>
                <w:szCs w:val="28"/>
                <w:highlight w:val="none"/>
              </w:rPr>
              <w:t>4</w:t>
            </w:r>
            <w:r>
              <w:rPr>
                <w:rFonts w:hint="eastAsia" w:ascii="宋体" w:hAnsi="宋体" w:cs="宋体"/>
                <w:color w:val="auto"/>
                <w:sz w:val="28"/>
                <w:szCs w:val="28"/>
                <w:highlight w:val="none"/>
              </w:rPr>
              <w:t>分）</w:t>
            </w:r>
          </w:p>
        </w:tc>
        <w:tc>
          <w:tcPr>
            <w:tcW w:w="4248" w:type="dxa"/>
            <w:tcBorders>
              <w:top w:val="single" w:color="auto" w:sz="4" w:space="0"/>
              <w:left w:val="single" w:color="auto" w:sz="4" w:space="0"/>
              <w:bottom w:val="single" w:color="auto" w:sz="4" w:space="0"/>
            </w:tcBorders>
            <w:tcMar>
              <w:left w:w="57" w:type="dxa"/>
              <w:right w:w="57" w:type="dxa"/>
            </w:tcMar>
            <w:vAlign w:val="center"/>
          </w:tcPr>
          <w:p>
            <w:pPr>
              <w:rPr>
                <w:rFonts w:ascii="宋体" w:cs="宋体"/>
                <w:color w:val="auto"/>
                <w:sz w:val="28"/>
                <w:szCs w:val="28"/>
                <w:highlight w:val="none"/>
              </w:rPr>
            </w:pPr>
            <w:r>
              <w:rPr>
                <w:rFonts w:hint="eastAsia" w:ascii="宋体" w:cs="宋体"/>
                <w:color w:val="auto"/>
                <w:sz w:val="28"/>
                <w:szCs w:val="28"/>
                <w:highlight w:val="none"/>
              </w:rPr>
              <w:t>要求目标明确、方法合理可行、措施具体、针对性强。优得</w:t>
            </w:r>
            <w:r>
              <w:rPr>
                <w:rFonts w:ascii="宋体" w:cs="宋体"/>
                <w:color w:val="auto"/>
                <w:sz w:val="28"/>
                <w:szCs w:val="28"/>
                <w:highlight w:val="none"/>
              </w:rPr>
              <w:t>4</w:t>
            </w:r>
            <w:r>
              <w:rPr>
                <w:rFonts w:hint="eastAsia" w:ascii="宋体" w:cs="宋体"/>
                <w:color w:val="auto"/>
                <w:sz w:val="28"/>
                <w:szCs w:val="28"/>
                <w:highlight w:val="none"/>
              </w:rPr>
              <w:t>分；良得2分；一般得1分；差或无措施不得分；最高不超过</w:t>
            </w:r>
            <w:r>
              <w:rPr>
                <w:rFonts w:ascii="宋体" w:cs="宋体"/>
                <w:color w:val="auto"/>
                <w:sz w:val="28"/>
                <w:szCs w:val="28"/>
                <w:highlight w:val="none"/>
              </w:rPr>
              <w:t>4</w:t>
            </w:r>
            <w:r>
              <w:rPr>
                <w:rFonts w:hint="eastAsia" w:ascii="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1008" w:type="dxa"/>
            <w:vMerge w:val="continue"/>
            <w:tcBorders>
              <w:left w:val="single" w:color="auto" w:sz="4" w:space="0"/>
              <w:bottom w:val="single" w:color="auto" w:sz="4" w:space="0"/>
              <w:right w:val="single" w:color="auto" w:sz="4" w:space="0"/>
            </w:tcBorders>
            <w:tcMar>
              <w:left w:w="57" w:type="dxa"/>
              <w:right w:w="57" w:type="dxa"/>
            </w:tcMar>
            <w:vAlign w:val="center"/>
          </w:tcPr>
          <w:p>
            <w:pPr>
              <w:snapToGrid w:val="0"/>
              <w:jc w:val="center"/>
              <w:rPr>
                <w:rFonts w:ascii="宋体" w:cs="宋体"/>
                <w:strike/>
                <w:color w:val="auto"/>
                <w:sz w:val="28"/>
                <w:szCs w:val="28"/>
                <w:highlight w:val="none"/>
              </w:rPr>
            </w:pPr>
          </w:p>
        </w:tc>
        <w:tc>
          <w:tcPr>
            <w:tcW w:w="221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安全、环保控制措施</w:t>
            </w:r>
          </w:p>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w:t>
            </w:r>
            <w:r>
              <w:rPr>
                <w:rFonts w:ascii="宋体" w:hAnsi="宋体" w:cs="宋体"/>
                <w:color w:val="auto"/>
                <w:sz w:val="28"/>
                <w:szCs w:val="28"/>
                <w:highlight w:val="none"/>
              </w:rPr>
              <w:t>4</w:t>
            </w:r>
            <w:r>
              <w:rPr>
                <w:rFonts w:hint="eastAsia" w:ascii="宋体" w:hAnsi="宋体" w:cs="宋体"/>
                <w:color w:val="auto"/>
                <w:sz w:val="28"/>
                <w:szCs w:val="28"/>
                <w:highlight w:val="none"/>
              </w:rPr>
              <w:t>分）</w:t>
            </w:r>
          </w:p>
        </w:tc>
        <w:tc>
          <w:tcPr>
            <w:tcW w:w="4248" w:type="dxa"/>
            <w:tcBorders>
              <w:top w:val="single" w:color="auto" w:sz="4" w:space="0"/>
              <w:left w:val="single" w:color="auto" w:sz="4" w:space="0"/>
              <w:bottom w:val="single" w:color="auto" w:sz="4" w:space="0"/>
            </w:tcBorders>
            <w:tcMar>
              <w:left w:w="57" w:type="dxa"/>
              <w:right w:w="57" w:type="dxa"/>
            </w:tcMar>
            <w:vAlign w:val="center"/>
          </w:tcPr>
          <w:p>
            <w:pPr>
              <w:rPr>
                <w:rFonts w:ascii="宋体" w:cs="宋体"/>
                <w:color w:val="auto"/>
                <w:sz w:val="28"/>
                <w:szCs w:val="28"/>
                <w:highlight w:val="none"/>
              </w:rPr>
            </w:pPr>
            <w:r>
              <w:rPr>
                <w:rFonts w:hint="eastAsia" w:ascii="宋体" w:cs="宋体"/>
                <w:color w:val="auto"/>
                <w:sz w:val="28"/>
                <w:szCs w:val="28"/>
                <w:highlight w:val="none"/>
              </w:rPr>
              <w:t>控制措施为优得</w:t>
            </w:r>
            <w:r>
              <w:rPr>
                <w:rFonts w:ascii="宋体" w:cs="宋体"/>
                <w:color w:val="auto"/>
                <w:sz w:val="28"/>
                <w:szCs w:val="28"/>
                <w:highlight w:val="none"/>
              </w:rPr>
              <w:t>4</w:t>
            </w:r>
            <w:r>
              <w:rPr>
                <w:rFonts w:hint="eastAsia" w:ascii="宋体" w:cs="宋体"/>
                <w:color w:val="auto"/>
                <w:sz w:val="28"/>
                <w:szCs w:val="28"/>
                <w:highlight w:val="none"/>
              </w:rPr>
              <w:t>分；良得2分；一般得1分；差或无措施不得分；最高不超过</w:t>
            </w:r>
            <w:r>
              <w:rPr>
                <w:rFonts w:ascii="宋体" w:cs="宋体"/>
                <w:color w:val="auto"/>
                <w:sz w:val="28"/>
                <w:szCs w:val="28"/>
                <w:highlight w:val="none"/>
              </w:rPr>
              <w:t>4</w:t>
            </w:r>
            <w:r>
              <w:rPr>
                <w:rFonts w:hint="eastAsia" w:ascii="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3226"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snapToGrid w:val="0"/>
              <w:jc w:val="center"/>
              <w:rPr>
                <w:rFonts w:ascii="宋体" w:cs="宋体"/>
                <w:color w:val="auto"/>
                <w:sz w:val="28"/>
                <w:szCs w:val="28"/>
                <w:highlight w:val="none"/>
              </w:rPr>
            </w:pPr>
            <w:r>
              <w:rPr>
                <w:rFonts w:hint="eastAsia" w:ascii="宋体" w:hAnsi="宋体" w:cs="宋体"/>
                <w:color w:val="auto"/>
                <w:sz w:val="28"/>
                <w:szCs w:val="28"/>
                <w:highlight w:val="none"/>
              </w:rPr>
              <w:t>合同、信息管理方案（</w:t>
            </w:r>
            <w:r>
              <w:rPr>
                <w:rFonts w:ascii="宋体" w:hAnsi="宋体" w:cs="宋体"/>
                <w:color w:val="auto"/>
                <w:sz w:val="28"/>
                <w:szCs w:val="28"/>
                <w:highlight w:val="none"/>
              </w:rPr>
              <w:t>3</w:t>
            </w:r>
            <w:r>
              <w:rPr>
                <w:rFonts w:hint="eastAsia" w:ascii="宋体" w:hAnsi="宋体" w:cs="宋体"/>
                <w:color w:val="auto"/>
                <w:sz w:val="28"/>
                <w:szCs w:val="28"/>
                <w:highlight w:val="none"/>
              </w:rPr>
              <w:t>分）</w:t>
            </w:r>
          </w:p>
        </w:tc>
        <w:tc>
          <w:tcPr>
            <w:tcW w:w="4248" w:type="dxa"/>
            <w:tcBorders>
              <w:top w:val="single" w:color="auto" w:sz="4" w:space="0"/>
              <w:left w:val="single" w:color="auto" w:sz="4" w:space="0"/>
              <w:bottom w:val="single" w:color="auto" w:sz="4" w:space="0"/>
            </w:tcBorders>
            <w:tcMar>
              <w:left w:w="57" w:type="dxa"/>
              <w:right w:w="57" w:type="dxa"/>
            </w:tcMar>
            <w:vAlign w:val="center"/>
          </w:tcPr>
          <w:p>
            <w:pPr>
              <w:rPr>
                <w:rFonts w:ascii="宋体" w:cs="宋体"/>
                <w:color w:val="auto"/>
                <w:sz w:val="28"/>
                <w:szCs w:val="28"/>
                <w:highlight w:val="none"/>
              </w:rPr>
            </w:pPr>
            <w:r>
              <w:rPr>
                <w:rFonts w:hint="eastAsia" w:ascii="宋体" w:cs="宋体"/>
                <w:color w:val="auto"/>
                <w:sz w:val="28"/>
                <w:szCs w:val="28"/>
                <w:highlight w:val="none"/>
              </w:rPr>
              <w:t>管理方法合理有效、针对性强、措施具体。优得3分；良得2分；一般得1分；差或无不得分。最高不超过3分。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3226" w:type="dxa"/>
            <w:gridSpan w:val="2"/>
            <w:tcBorders>
              <w:top w:val="single" w:color="auto" w:sz="4" w:space="0"/>
              <w:left w:val="single" w:color="auto" w:sz="4" w:space="0"/>
              <w:right w:val="single" w:color="auto" w:sz="4" w:space="0"/>
            </w:tcBorders>
            <w:tcMar>
              <w:left w:w="57" w:type="dxa"/>
              <w:right w:w="57" w:type="dxa"/>
            </w:tcMar>
            <w:vAlign w:val="center"/>
          </w:tcPr>
          <w:p>
            <w:pPr>
              <w:snapToGrid w:val="0"/>
              <w:jc w:val="center"/>
              <w:rPr>
                <w:rFonts w:ascii="宋体" w:cs="宋体"/>
                <w:color w:val="auto"/>
                <w:sz w:val="28"/>
                <w:szCs w:val="28"/>
                <w:highlight w:val="none"/>
              </w:rPr>
            </w:pPr>
            <w:r>
              <w:rPr>
                <w:rFonts w:hint="eastAsia" w:ascii="宋体" w:hAnsi="宋体" w:cs="宋体"/>
                <w:color w:val="auto"/>
                <w:sz w:val="28"/>
                <w:szCs w:val="28"/>
                <w:highlight w:val="none"/>
              </w:rPr>
              <w:t>组织协调内容及措施（3分）</w:t>
            </w:r>
          </w:p>
        </w:tc>
        <w:tc>
          <w:tcPr>
            <w:tcW w:w="4248" w:type="dxa"/>
            <w:tcBorders>
              <w:top w:val="single" w:color="auto" w:sz="4" w:space="0"/>
              <w:left w:val="single" w:color="auto" w:sz="4" w:space="0"/>
            </w:tcBorders>
            <w:tcMar>
              <w:left w:w="57" w:type="dxa"/>
              <w:right w:w="57" w:type="dxa"/>
            </w:tcMar>
            <w:vAlign w:val="center"/>
          </w:tcPr>
          <w:p>
            <w:pPr>
              <w:snapToGrid w:val="0"/>
              <w:ind w:left="-38" w:leftChars="-18" w:right="-57" w:rightChars="-27"/>
              <w:rPr>
                <w:rFonts w:ascii="宋体" w:cs="宋体"/>
                <w:color w:val="auto"/>
                <w:sz w:val="28"/>
                <w:szCs w:val="28"/>
                <w:highlight w:val="none"/>
              </w:rPr>
            </w:pPr>
            <w:r>
              <w:rPr>
                <w:rFonts w:hint="eastAsia" w:ascii="宋体" w:cs="宋体"/>
                <w:color w:val="auto"/>
                <w:sz w:val="28"/>
                <w:szCs w:val="28"/>
                <w:highlight w:val="none"/>
              </w:rPr>
              <w:t>协调方法合理、针对性强、措施具体。优得3分；良得2分；一般得1分；差或无措施不得分。最高不超过3分。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3226" w:type="dxa"/>
            <w:gridSpan w:val="2"/>
            <w:tcBorders>
              <w:top w:val="single" w:color="auto" w:sz="4" w:space="0"/>
              <w:left w:val="single" w:color="auto" w:sz="4" w:space="0"/>
              <w:right w:val="single" w:color="auto" w:sz="4" w:space="0"/>
            </w:tcBorders>
            <w:tcMar>
              <w:left w:w="57" w:type="dxa"/>
              <w:right w:w="57" w:type="dxa"/>
            </w:tcMar>
            <w:vAlign w:val="center"/>
          </w:tcPr>
          <w:p>
            <w:pPr>
              <w:snapToGrid w:val="0"/>
              <w:jc w:val="center"/>
              <w:rPr>
                <w:rFonts w:ascii="宋体" w:cs="宋体"/>
                <w:color w:val="auto"/>
                <w:sz w:val="28"/>
                <w:szCs w:val="28"/>
                <w:highlight w:val="none"/>
              </w:rPr>
            </w:pPr>
            <w:r>
              <w:rPr>
                <w:rFonts w:hint="eastAsia" w:ascii="宋体" w:hAnsi="宋体" w:cs="宋体"/>
                <w:color w:val="auto"/>
                <w:sz w:val="28"/>
                <w:szCs w:val="28"/>
                <w:highlight w:val="none"/>
              </w:rPr>
              <w:t>重点难点监控措施（</w:t>
            </w:r>
            <w:r>
              <w:rPr>
                <w:rFonts w:ascii="宋体" w:hAnsi="宋体" w:cs="宋体"/>
                <w:color w:val="auto"/>
                <w:sz w:val="28"/>
                <w:szCs w:val="28"/>
                <w:highlight w:val="none"/>
              </w:rPr>
              <w:t>4</w:t>
            </w:r>
            <w:r>
              <w:rPr>
                <w:rFonts w:hint="eastAsia" w:ascii="宋体" w:hAnsi="宋体" w:cs="宋体"/>
                <w:color w:val="auto"/>
                <w:sz w:val="28"/>
                <w:szCs w:val="28"/>
                <w:highlight w:val="none"/>
              </w:rPr>
              <w:t>分）</w:t>
            </w:r>
          </w:p>
        </w:tc>
        <w:tc>
          <w:tcPr>
            <w:tcW w:w="4248" w:type="dxa"/>
            <w:tcBorders>
              <w:top w:val="single" w:color="auto" w:sz="4" w:space="0"/>
              <w:left w:val="single" w:color="auto" w:sz="4" w:space="0"/>
            </w:tcBorders>
            <w:tcMar>
              <w:left w:w="57" w:type="dxa"/>
              <w:right w:w="57" w:type="dxa"/>
            </w:tcMar>
            <w:vAlign w:val="center"/>
          </w:tcPr>
          <w:p>
            <w:pPr>
              <w:snapToGrid w:val="0"/>
              <w:rPr>
                <w:rFonts w:ascii="宋体" w:cs="宋体"/>
                <w:color w:val="auto"/>
                <w:sz w:val="28"/>
                <w:szCs w:val="28"/>
                <w:highlight w:val="none"/>
              </w:rPr>
            </w:pPr>
            <w:r>
              <w:rPr>
                <w:rFonts w:hint="eastAsia" w:ascii="宋体" w:cs="宋体"/>
                <w:color w:val="auto"/>
                <w:sz w:val="28"/>
                <w:szCs w:val="28"/>
                <w:highlight w:val="none"/>
              </w:rPr>
              <w:t>要求针对性强、措施具体、可操作。优得</w:t>
            </w:r>
            <w:r>
              <w:rPr>
                <w:rFonts w:ascii="宋体" w:cs="宋体"/>
                <w:color w:val="auto"/>
                <w:sz w:val="28"/>
                <w:szCs w:val="28"/>
                <w:highlight w:val="none"/>
              </w:rPr>
              <w:t>4</w:t>
            </w:r>
            <w:r>
              <w:rPr>
                <w:rFonts w:hint="eastAsia" w:ascii="宋体" w:cs="宋体"/>
                <w:color w:val="auto"/>
                <w:sz w:val="28"/>
                <w:szCs w:val="28"/>
                <w:highlight w:val="none"/>
              </w:rPr>
              <w:t>分；良得2分；一般得1分；差或无措施不得分。最高不超过</w:t>
            </w:r>
            <w:r>
              <w:rPr>
                <w:rFonts w:ascii="宋体" w:cs="宋体"/>
                <w:color w:val="auto"/>
                <w:sz w:val="28"/>
                <w:szCs w:val="28"/>
                <w:highlight w:val="none"/>
              </w:rPr>
              <w:t>4</w:t>
            </w:r>
            <w:r>
              <w:rPr>
                <w:rFonts w:hint="eastAsia" w:ascii="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3226" w:type="dxa"/>
            <w:gridSpan w:val="2"/>
            <w:tcBorders>
              <w:top w:val="single" w:color="auto" w:sz="4" w:space="0"/>
              <w:left w:val="single" w:color="auto" w:sz="4" w:space="0"/>
              <w:right w:val="single" w:color="auto" w:sz="4" w:space="0"/>
            </w:tcBorders>
            <w:tcMar>
              <w:left w:w="57" w:type="dxa"/>
              <w:right w:w="57" w:type="dxa"/>
            </w:tcMar>
            <w:vAlign w:val="center"/>
          </w:tcPr>
          <w:p>
            <w:pPr>
              <w:snapToGrid w:val="0"/>
              <w:jc w:val="center"/>
              <w:rPr>
                <w:rFonts w:ascii="宋体" w:cs="宋体"/>
                <w:color w:val="auto"/>
                <w:sz w:val="28"/>
                <w:szCs w:val="28"/>
                <w:highlight w:val="none"/>
              </w:rPr>
            </w:pPr>
            <w:r>
              <w:rPr>
                <w:rFonts w:hint="eastAsia" w:ascii="宋体" w:hAnsi="宋体" w:cs="宋体"/>
                <w:color w:val="auto"/>
                <w:sz w:val="28"/>
                <w:szCs w:val="28"/>
                <w:highlight w:val="none"/>
              </w:rPr>
              <w:t>合理化建议（</w:t>
            </w:r>
            <w:r>
              <w:rPr>
                <w:rFonts w:ascii="宋体" w:hAnsi="宋体" w:cs="宋体"/>
                <w:color w:val="auto"/>
                <w:sz w:val="28"/>
                <w:szCs w:val="28"/>
                <w:highlight w:val="none"/>
              </w:rPr>
              <w:t>4</w:t>
            </w:r>
            <w:r>
              <w:rPr>
                <w:rFonts w:hint="eastAsia" w:ascii="宋体" w:hAnsi="宋体" w:cs="宋体"/>
                <w:color w:val="auto"/>
                <w:sz w:val="28"/>
                <w:szCs w:val="28"/>
                <w:highlight w:val="none"/>
              </w:rPr>
              <w:t>分）</w:t>
            </w:r>
          </w:p>
        </w:tc>
        <w:tc>
          <w:tcPr>
            <w:tcW w:w="4248" w:type="dxa"/>
            <w:tcBorders>
              <w:top w:val="single" w:color="auto" w:sz="4" w:space="0"/>
              <w:left w:val="single" w:color="auto" w:sz="4" w:space="0"/>
            </w:tcBorders>
            <w:tcMar>
              <w:left w:w="57" w:type="dxa"/>
              <w:right w:w="57" w:type="dxa"/>
            </w:tcMar>
            <w:vAlign w:val="center"/>
          </w:tcPr>
          <w:p>
            <w:pPr>
              <w:snapToGrid w:val="0"/>
              <w:rPr>
                <w:rFonts w:ascii="宋体" w:cs="宋体"/>
                <w:color w:val="auto"/>
                <w:sz w:val="28"/>
                <w:szCs w:val="28"/>
                <w:highlight w:val="none"/>
              </w:rPr>
            </w:pPr>
            <w:r>
              <w:rPr>
                <w:rFonts w:hint="eastAsia" w:ascii="宋体" w:cs="宋体"/>
                <w:color w:val="auto"/>
                <w:sz w:val="28"/>
                <w:szCs w:val="28"/>
                <w:highlight w:val="none"/>
              </w:rPr>
              <w:t>具有科学、合理、可行及具体措施的建议并经评委分析论证认同的。优得</w:t>
            </w:r>
            <w:r>
              <w:rPr>
                <w:rFonts w:ascii="宋体" w:cs="宋体"/>
                <w:color w:val="auto"/>
                <w:sz w:val="28"/>
                <w:szCs w:val="28"/>
                <w:highlight w:val="none"/>
              </w:rPr>
              <w:t>4</w:t>
            </w:r>
            <w:r>
              <w:rPr>
                <w:rFonts w:hint="eastAsia" w:ascii="宋体" w:cs="宋体"/>
                <w:color w:val="auto"/>
                <w:sz w:val="28"/>
                <w:szCs w:val="28"/>
                <w:highlight w:val="none"/>
              </w:rPr>
              <w:t>分；良得2分；一般得1分；无建议或建议不可行的不得分。最高不超过</w:t>
            </w:r>
            <w:r>
              <w:rPr>
                <w:rFonts w:ascii="宋体" w:cs="宋体"/>
                <w:color w:val="auto"/>
                <w:sz w:val="28"/>
                <w:szCs w:val="28"/>
                <w:highlight w:val="none"/>
              </w:rPr>
              <w:t>4</w:t>
            </w:r>
            <w:r>
              <w:rPr>
                <w:rFonts w:hint="eastAsia" w:ascii="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3226" w:type="dxa"/>
            <w:gridSpan w:val="2"/>
            <w:tcBorders>
              <w:top w:val="single" w:color="auto" w:sz="4" w:space="0"/>
              <w:left w:val="single" w:color="auto" w:sz="4" w:space="0"/>
              <w:right w:val="single" w:color="auto" w:sz="4" w:space="0"/>
            </w:tcBorders>
            <w:tcMar>
              <w:left w:w="57" w:type="dxa"/>
              <w:right w:w="57" w:type="dxa"/>
            </w:tcMar>
            <w:vAlign w:val="center"/>
          </w:tcPr>
          <w:p>
            <w:pPr>
              <w:snapToGrid w:val="0"/>
              <w:jc w:val="center"/>
              <w:rPr>
                <w:rFonts w:ascii="宋体" w:cs="宋体"/>
                <w:color w:val="auto"/>
                <w:sz w:val="28"/>
                <w:szCs w:val="28"/>
                <w:highlight w:val="none"/>
              </w:rPr>
            </w:pPr>
            <w:r>
              <w:rPr>
                <w:rFonts w:hint="eastAsia" w:ascii="宋体" w:hAnsi="宋体" w:cs="宋体"/>
                <w:color w:val="auto"/>
                <w:sz w:val="28"/>
                <w:szCs w:val="28"/>
                <w:highlight w:val="none"/>
              </w:rPr>
              <w:t>工程验收、移交、保修的管理（</w:t>
            </w:r>
            <w:r>
              <w:rPr>
                <w:rFonts w:ascii="宋体" w:hAnsi="宋体" w:cs="宋体"/>
                <w:color w:val="auto"/>
                <w:sz w:val="28"/>
                <w:szCs w:val="28"/>
                <w:highlight w:val="none"/>
              </w:rPr>
              <w:t>2</w:t>
            </w:r>
            <w:r>
              <w:rPr>
                <w:rFonts w:hint="eastAsia" w:ascii="宋体" w:hAnsi="宋体" w:cs="宋体"/>
                <w:color w:val="auto"/>
                <w:sz w:val="28"/>
                <w:szCs w:val="28"/>
                <w:highlight w:val="none"/>
              </w:rPr>
              <w:t>分）</w:t>
            </w:r>
          </w:p>
        </w:tc>
        <w:tc>
          <w:tcPr>
            <w:tcW w:w="4248" w:type="dxa"/>
            <w:tcBorders>
              <w:top w:val="single" w:color="auto" w:sz="4" w:space="0"/>
              <w:left w:val="single" w:color="auto" w:sz="4" w:space="0"/>
            </w:tcBorders>
            <w:tcMar>
              <w:left w:w="57" w:type="dxa"/>
              <w:right w:w="57" w:type="dxa"/>
            </w:tcMar>
            <w:vAlign w:val="center"/>
          </w:tcPr>
          <w:p>
            <w:pPr>
              <w:snapToGrid w:val="0"/>
              <w:rPr>
                <w:rFonts w:ascii="宋体" w:cs="宋体"/>
                <w:color w:val="auto"/>
                <w:sz w:val="28"/>
                <w:szCs w:val="28"/>
                <w:highlight w:val="none"/>
              </w:rPr>
            </w:pPr>
            <w:r>
              <w:rPr>
                <w:rFonts w:hint="eastAsia" w:ascii="宋体" w:cs="宋体"/>
                <w:color w:val="auto"/>
                <w:sz w:val="28"/>
                <w:szCs w:val="28"/>
                <w:highlight w:val="none"/>
              </w:rPr>
              <w:t>管理方法合理有效、有具体措施的</w:t>
            </w:r>
            <w:r>
              <w:rPr>
                <w:rFonts w:ascii="宋体" w:cs="宋体"/>
                <w:color w:val="auto"/>
                <w:sz w:val="28"/>
                <w:szCs w:val="28"/>
                <w:highlight w:val="none"/>
              </w:rPr>
              <w:t>。</w:t>
            </w:r>
            <w:r>
              <w:rPr>
                <w:rFonts w:hint="eastAsia" w:ascii="宋体" w:cs="宋体"/>
                <w:color w:val="auto"/>
                <w:sz w:val="28"/>
                <w:szCs w:val="28"/>
                <w:highlight w:val="none"/>
              </w:rPr>
              <w:t>优得</w:t>
            </w:r>
            <w:r>
              <w:rPr>
                <w:rFonts w:ascii="宋体" w:cs="宋体"/>
                <w:color w:val="auto"/>
                <w:sz w:val="28"/>
                <w:szCs w:val="28"/>
                <w:highlight w:val="none"/>
              </w:rPr>
              <w:t>2</w:t>
            </w:r>
            <w:r>
              <w:rPr>
                <w:rFonts w:hint="eastAsia" w:ascii="宋体" w:cs="宋体"/>
                <w:color w:val="auto"/>
                <w:sz w:val="28"/>
                <w:szCs w:val="28"/>
                <w:highlight w:val="none"/>
              </w:rPr>
              <w:t>分；一般得1分；差或无管理方法和措施不得分。最高不超过2分。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blHeader/>
        </w:trPr>
        <w:tc>
          <w:tcPr>
            <w:tcW w:w="900" w:type="dxa"/>
            <w:vMerge w:val="continue"/>
            <w:tcBorders>
              <w:right w:val="single" w:color="auto" w:sz="4" w:space="0"/>
            </w:tcBorders>
          </w:tcPr>
          <w:p>
            <w:pPr>
              <w:rPr>
                <w:rFonts w:ascii="宋体" w:cs="宋体"/>
                <w:color w:val="auto"/>
                <w:sz w:val="28"/>
                <w:szCs w:val="28"/>
                <w:highlight w:val="none"/>
              </w:rPr>
            </w:pPr>
          </w:p>
        </w:tc>
        <w:tc>
          <w:tcPr>
            <w:tcW w:w="1124" w:type="dxa"/>
            <w:vMerge w:val="continue"/>
            <w:tcBorders>
              <w:right w:val="single" w:color="auto" w:sz="4" w:space="0"/>
            </w:tcBorders>
          </w:tcPr>
          <w:p>
            <w:pPr>
              <w:rPr>
                <w:rFonts w:ascii="宋体" w:cs="宋体"/>
                <w:color w:val="auto"/>
                <w:sz w:val="28"/>
                <w:szCs w:val="28"/>
                <w:highlight w:val="none"/>
              </w:rPr>
            </w:pPr>
          </w:p>
        </w:tc>
        <w:tc>
          <w:tcPr>
            <w:tcW w:w="3226" w:type="dxa"/>
            <w:gridSpan w:val="2"/>
            <w:tcBorders>
              <w:top w:val="single" w:color="auto" w:sz="4" w:space="0"/>
              <w:left w:val="single" w:color="auto" w:sz="4" w:space="0"/>
              <w:right w:val="single" w:color="auto" w:sz="4" w:space="0"/>
            </w:tcBorders>
            <w:tcMar>
              <w:left w:w="57" w:type="dxa"/>
              <w:right w:w="57" w:type="dxa"/>
            </w:tcMar>
            <w:vAlign w:val="center"/>
          </w:tcPr>
          <w:p>
            <w:pPr>
              <w:snapToGrid w:val="0"/>
              <w:jc w:val="center"/>
              <w:rPr>
                <w:rFonts w:ascii="宋体" w:cs="宋体"/>
                <w:color w:val="auto"/>
                <w:sz w:val="28"/>
                <w:szCs w:val="28"/>
                <w:highlight w:val="none"/>
              </w:rPr>
            </w:pPr>
            <w:r>
              <w:rPr>
                <w:rFonts w:hint="eastAsia" w:ascii="宋体" w:hAnsi="宋体" w:cs="宋体"/>
                <w:color w:val="auto"/>
                <w:sz w:val="28"/>
                <w:szCs w:val="28"/>
                <w:highlight w:val="none"/>
              </w:rPr>
              <w:t>工程进度款、工程结算的管理（</w:t>
            </w:r>
            <w:r>
              <w:rPr>
                <w:rFonts w:ascii="宋体" w:hAnsi="宋体" w:cs="宋体"/>
                <w:color w:val="auto"/>
                <w:sz w:val="28"/>
                <w:szCs w:val="28"/>
                <w:highlight w:val="none"/>
              </w:rPr>
              <w:t>2</w:t>
            </w:r>
            <w:r>
              <w:rPr>
                <w:rFonts w:hint="eastAsia" w:ascii="宋体" w:hAnsi="宋体" w:cs="宋体"/>
                <w:color w:val="auto"/>
                <w:sz w:val="28"/>
                <w:szCs w:val="28"/>
                <w:highlight w:val="none"/>
              </w:rPr>
              <w:t>分）</w:t>
            </w:r>
          </w:p>
        </w:tc>
        <w:tc>
          <w:tcPr>
            <w:tcW w:w="4248" w:type="dxa"/>
            <w:tcBorders>
              <w:top w:val="single" w:color="auto" w:sz="4" w:space="0"/>
              <w:left w:val="single" w:color="auto" w:sz="4" w:space="0"/>
            </w:tcBorders>
            <w:tcMar>
              <w:left w:w="57" w:type="dxa"/>
              <w:right w:w="57" w:type="dxa"/>
            </w:tcMar>
            <w:vAlign w:val="center"/>
          </w:tcPr>
          <w:p>
            <w:pPr>
              <w:snapToGrid w:val="0"/>
              <w:ind w:left="1"/>
              <w:rPr>
                <w:rFonts w:ascii="宋体" w:cs="宋体"/>
                <w:color w:val="auto"/>
                <w:sz w:val="28"/>
                <w:szCs w:val="28"/>
                <w:highlight w:val="none"/>
              </w:rPr>
            </w:pPr>
            <w:r>
              <w:rPr>
                <w:rFonts w:hint="eastAsia" w:ascii="宋体" w:cs="宋体"/>
                <w:color w:val="auto"/>
                <w:sz w:val="28"/>
                <w:szCs w:val="28"/>
                <w:highlight w:val="none"/>
              </w:rPr>
              <w:t>管理方法合理有效、有具体措施。优得2分；一般得1分；差或无管理方法和措施不得分。最高不超过2分。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tblHeader/>
        </w:trPr>
        <w:tc>
          <w:tcPr>
            <w:tcW w:w="900" w:type="dxa"/>
            <w:tcBorders>
              <w:right w:val="single" w:color="auto" w:sz="4" w:space="0"/>
            </w:tcBorders>
          </w:tcPr>
          <w:p>
            <w:pPr>
              <w:rPr>
                <w:rFonts w:ascii="宋体" w:cs="宋体"/>
                <w:color w:val="auto"/>
                <w:sz w:val="28"/>
                <w:szCs w:val="28"/>
                <w:highlight w:val="none"/>
              </w:rPr>
            </w:pPr>
          </w:p>
        </w:tc>
        <w:tc>
          <w:tcPr>
            <w:tcW w:w="1124" w:type="dxa"/>
            <w:tcBorders>
              <w:right w:val="single" w:color="auto" w:sz="4" w:space="0"/>
            </w:tcBorders>
          </w:tcPr>
          <w:p>
            <w:pPr>
              <w:rPr>
                <w:rFonts w:ascii="宋体" w:cs="宋体"/>
                <w:color w:val="auto"/>
                <w:sz w:val="28"/>
                <w:szCs w:val="28"/>
                <w:highlight w:val="none"/>
              </w:rPr>
            </w:pPr>
          </w:p>
        </w:tc>
        <w:tc>
          <w:tcPr>
            <w:tcW w:w="3226" w:type="dxa"/>
            <w:gridSpan w:val="2"/>
            <w:tcBorders>
              <w:top w:val="single" w:color="auto" w:sz="4" w:space="0"/>
              <w:left w:val="single" w:color="auto" w:sz="4" w:space="0"/>
              <w:right w:val="single" w:color="auto" w:sz="4" w:space="0"/>
            </w:tcBorders>
            <w:tcMar>
              <w:left w:w="57" w:type="dxa"/>
              <w:right w:w="57" w:type="dxa"/>
            </w:tcMar>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rPr>
              <w:t>会议制度（</w:t>
            </w:r>
            <w:r>
              <w:rPr>
                <w:rFonts w:ascii="宋体" w:hAnsi="宋体" w:cs="宋体"/>
                <w:color w:val="auto"/>
                <w:sz w:val="28"/>
                <w:szCs w:val="28"/>
                <w:highlight w:val="none"/>
              </w:rPr>
              <w:t>1</w:t>
            </w:r>
            <w:r>
              <w:rPr>
                <w:rFonts w:hint="eastAsia" w:ascii="宋体" w:hAnsi="宋体" w:cs="宋体"/>
                <w:color w:val="auto"/>
                <w:sz w:val="28"/>
                <w:szCs w:val="28"/>
                <w:highlight w:val="none"/>
              </w:rPr>
              <w:t>分）</w:t>
            </w:r>
          </w:p>
        </w:tc>
        <w:tc>
          <w:tcPr>
            <w:tcW w:w="4248" w:type="dxa"/>
            <w:tcBorders>
              <w:top w:val="single" w:color="auto" w:sz="4" w:space="0"/>
              <w:left w:val="single" w:color="auto" w:sz="4" w:space="0"/>
            </w:tcBorders>
            <w:tcMar>
              <w:left w:w="57" w:type="dxa"/>
              <w:right w:w="57" w:type="dxa"/>
            </w:tcMar>
            <w:vAlign w:val="center"/>
          </w:tcPr>
          <w:p>
            <w:pPr>
              <w:snapToGrid w:val="0"/>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建立完善的工地会议制度。满足要求得 </w:t>
            </w:r>
            <w:r>
              <w:rPr>
                <w:rFonts w:ascii="宋体" w:hAnsi="宋体" w:cs="宋体"/>
                <w:color w:val="auto"/>
                <w:sz w:val="28"/>
                <w:szCs w:val="28"/>
                <w:highlight w:val="none"/>
              </w:rPr>
              <w:t>1</w:t>
            </w:r>
            <w:r>
              <w:rPr>
                <w:rFonts w:hint="eastAsia" w:ascii="宋体" w:hAnsi="宋体" w:cs="宋体"/>
                <w:color w:val="auto"/>
                <w:sz w:val="28"/>
                <w:szCs w:val="28"/>
                <w:highlight w:val="none"/>
              </w:rPr>
              <w:t>分；基本满足</w:t>
            </w:r>
            <w:r>
              <w:rPr>
                <w:rFonts w:ascii="宋体" w:hAnsi="宋体" w:cs="宋体"/>
                <w:color w:val="auto"/>
                <w:sz w:val="28"/>
                <w:szCs w:val="28"/>
                <w:highlight w:val="none"/>
              </w:rPr>
              <w:t>要求</w:t>
            </w:r>
            <w:r>
              <w:rPr>
                <w:rFonts w:hint="eastAsia" w:ascii="宋体" w:hAnsi="宋体" w:cs="宋体"/>
                <w:color w:val="auto"/>
                <w:sz w:val="28"/>
                <w:szCs w:val="28"/>
                <w:highlight w:val="none"/>
              </w:rPr>
              <w:t xml:space="preserve">得 </w:t>
            </w:r>
            <w:r>
              <w:rPr>
                <w:rFonts w:ascii="宋体" w:hAnsi="宋体" w:cs="宋体"/>
                <w:color w:val="auto"/>
                <w:sz w:val="28"/>
                <w:szCs w:val="28"/>
                <w:highlight w:val="none"/>
              </w:rPr>
              <w:t>0.5</w:t>
            </w:r>
            <w:r>
              <w:rPr>
                <w:rFonts w:hint="eastAsia" w:ascii="宋体" w:hAnsi="宋体" w:cs="宋体"/>
                <w:color w:val="auto"/>
                <w:sz w:val="28"/>
                <w:szCs w:val="28"/>
                <w:highlight w:val="none"/>
              </w:rPr>
              <w:t>分；不满足要求不得分。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4" w:hRule="atLeast"/>
          <w:tblHeader/>
        </w:trPr>
        <w:tc>
          <w:tcPr>
            <w:tcW w:w="900"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8"/>
                <w:szCs w:val="28"/>
                <w:highlight w:val="none"/>
              </w:rPr>
            </w:pPr>
            <w:r>
              <w:rPr>
                <w:rFonts w:ascii="宋体" w:hAnsi="宋体" w:cs="宋体"/>
                <w:color w:val="auto"/>
                <w:sz w:val="28"/>
                <w:szCs w:val="28"/>
                <w:highlight w:val="none"/>
              </w:rPr>
              <w:t>2.2.4</w:t>
            </w:r>
            <w:r>
              <w:rPr>
                <w:rFonts w:hint="eastAsia" w:ascii="宋体" w:hAnsi="宋体" w:cs="宋体"/>
                <w:color w:val="auto"/>
                <w:sz w:val="28"/>
                <w:szCs w:val="28"/>
                <w:highlight w:val="none"/>
              </w:rPr>
              <w:t>（</w:t>
            </w:r>
            <w:r>
              <w:rPr>
                <w:rFonts w:ascii="宋体" w:hAnsi="宋体" w:cs="宋体"/>
                <w:color w:val="auto"/>
                <w:sz w:val="28"/>
                <w:szCs w:val="28"/>
                <w:highlight w:val="none"/>
              </w:rPr>
              <w:t>3</w:t>
            </w:r>
            <w:r>
              <w:rPr>
                <w:rFonts w:hint="eastAsia" w:ascii="宋体" w:hAnsi="宋体" w:cs="宋体"/>
                <w:color w:val="auto"/>
                <w:sz w:val="28"/>
                <w:szCs w:val="28"/>
                <w:highlight w:val="none"/>
              </w:rPr>
              <w:t>）</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宋体"/>
                <w:color w:val="auto"/>
                <w:sz w:val="28"/>
                <w:szCs w:val="28"/>
                <w:highlight w:val="none"/>
              </w:rPr>
            </w:pPr>
            <w:r>
              <w:rPr>
                <w:rFonts w:hint="eastAsia" w:ascii="宋体" w:hAnsi="宋体" w:cs="宋体"/>
                <w:color w:val="auto"/>
                <w:sz w:val="28"/>
                <w:szCs w:val="28"/>
                <w:highlight w:val="none"/>
              </w:rPr>
              <w:t>报价得分（1</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分）</w:t>
            </w:r>
          </w:p>
        </w:tc>
        <w:tc>
          <w:tcPr>
            <w:tcW w:w="3226" w:type="dxa"/>
            <w:gridSpan w:val="2"/>
            <w:tcBorders>
              <w:top w:val="single" w:color="auto" w:sz="4" w:space="0"/>
              <w:left w:val="single" w:color="auto" w:sz="4" w:space="0"/>
              <w:right w:val="single" w:color="auto" w:sz="4" w:space="0"/>
            </w:tcBorders>
            <w:vAlign w:val="center"/>
          </w:tcPr>
          <w:p>
            <w:pPr>
              <w:spacing w:line="420" w:lineRule="atLeast"/>
              <w:jc w:val="center"/>
              <w:rPr>
                <w:rFonts w:ascii="宋体" w:cs="宋体"/>
                <w:color w:val="auto"/>
                <w:sz w:val="28"/>
                <w:szCs w:val="28"/>
                <w:highlight w:val="none"/>
              </w:rPr>
            </w:pPr>
            <w:r>
              <w:rPr>
                <w:rFonts w:hint="eastAsia" w:ascii="宋体" w:hAnsi="宋体" w:cs="宋体"/>
                <w:color w:val="auto"/>
                <w:sz w:val="28"/>
                <w:szCs w:val="28"/>
                <w:highlight w:val="none"/>
              </w:rPr>
              <w:t>报价得分（1</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分）</w:t>
            </w:r>
          </w:p>
        </w:tc>
        <w:tc>
          <w:tcPr>
            <w:tcW w:w="4248" w:type="dxa"/>
            <w:tcBorders>
              <w:top w:val="single" w:color="auto" w:sz="4" w:space="0"/>
              <w:left w:val="single" w:color="auto" w:sz="4" w:space="0"/>
              <w:bottom w:val="single" w:color="auto" w:sz="4" w:space="0"/>
            </w:tcBorders>
            <w:vAlign w:val="center"/>
          </w:tcPr>
          <w:p>
            <w:pPr>
              <w:spacing w:line="440" w:lineRule="exact"/>
              <w:rPr>
                <w:rFonts w:ascii="宋体" w:cs="宋体"/>
                <w:color w:val="auto"/>
                <w:sz w:val="28"/>
                <w:szCs w:val="28"/>
                <w:highlight w:val="none"/>
              </w:rPr>
            </w:pPr>
            <w:r>
              <w:rPr>
                <w:rFonts w:hint="eastAsia" w:ascii="宋体" w:hAnsi="宋体" w:cs="宋体"/>
                <w:color w:val="auto"/>
                <w:sz w:val="28"/>
                <w:szCs w:val="28"/>
                <w:highlight w:val="none"/>
              </w:rPr>
              <w:t>以评标基准价作为计算各有效投标报价得分的基础，当有效投标报价等于评标基准价时得1</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分；投标有效投价与评标基准价相比，每上偏</w:t>
            </w:r>
            <w:r>
              <w:rPr>
                <w:rFonts w:ascii="宋体" w:hAnsi="宋体" w:cs="宋体"/>
                <w:color w:val="auto"/>
                <w:sz w:val="28"/>
                <w:szCs w:val="28"/>
                <w:highlight w:val="none"/>
              </w:rPr>
              <w:t>1%</w:t>
            </w:r>
            <w:r>
              <w:rPr>
                <w:rFonts w:hint="eastAsia" w:ascii="宋体" w:hAnsi="宋体" w:cs="宋体"/>
                <w:color w:val="auto"/>
                <w:sz w:val="28"/>
                <w:szCs w:val="28"/>
                <w:highlight w:val="none"/>
              </w:rPr>
              <w:t>扣</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分，每下偏</w:t>
            </w:r>
            <w:r>
              <w:rPr>
                <w:rFonts w:ascii="宋体" w:hAnsi="宋体" w:cs="宋体"/>
                <w:color w:val="auto"/>
                <w:sz w:val="28"/>
                <w:szCs w:val="28"/>
                <w:highlight w:val="none"/>
              </w:rPr>
              <w:t>1%</w:t>
            </w:r>
            <w:r>
              <w:rPr>
                <w:rFonts w:hint="eastAsia" w:ascii="宋体" w:hAnsi="宋体" w:cs="宋体"/>
                <w:color w:val="auto"/>
                <w:sz w:val="28"/>
                <w:szCs w:val="28"/>
                <w:highlight w:val="none"/>
              </w:rPr>
              <w:t>扣</w:t>
            </w:r>
            <w:r>
              <w:rPr>
                <w:rFonts w:ascii="宋体" w:hAnsi="宋体" w:cs="宋体"/>
                <w:color w:val="auto"/>
                <w:sz w:val="28"/>
                <w:szCs w:val="28"/>
                <w:highlight w:val="none"/>
              </w:rPr>
              <w:t>0.</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分。最多扣1</w:t>
            </w:r>
            <w:r>
              <w:rPr>
                <w:rFonts w:ascii="宋体" w:hAnsi="宋体" w:cs="宋体"/>
                <w:color w:val="auto"/>
                <w:sz w:val="28"/>
                <w:szCs w:val="28"/>
                <w:highlight w:val="none"/>
              </w:rPr>
              <w:t>5</w:t>
            </w:r>
            <w:r>
              <w:rPr>
                <w:rFonts w:hint="eastAsia" w:ascii="宋体" w:hAnsi="宋体" w:cs="宋体"/>
                <w:color w:val="auto"/>
                <w:sz w:val="28"/>
                <w:szCs w:val="28"/>
                <w:highlight w:val="none"/>
              </w:rPr>
              <w:t>分。</w:t>
            </w:r>
          </w:p>
        </w:tc>
      </w:tr>
    </w:tbl>
    <w:p>
      <w:pPr>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说明：</w:t>
      </w:r>
    </w:p>
    <w:p>
      <w:pPr>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（1）类似项目业绩：指招标公告投标人资格要求第3.1点所述资质方能承接的市政公用工程监理业绩。需同时提供中标通知书或免招标的相关证明、监理合同、竣工验收报告或竣工验收证明</w:t>
      </w:r>
      <w:r>
        <w:rPr>
          <w:rFonts w:hint="eastAsia" w:ascii="宋体" w:hAnsi="宋体" w:cs="宋体"/>
          <w:color w:val="auto"/>
          <w:sz w:val="24"/>
          <w:szCs w:val="24"/>
          <w:highlight w:val="none"/>
          <w:u w:val="single"/>
        </w:rPr>
        <w:t>或完工证明文件</w:t>
      </w:r>
      <w:r>
        <w:rPr>
          <w:rFonts w:hint="eastAsia" w:ascii="宋体" w:hAnsi="宋体" w:cs="宋体"/>
          <w:color w:val="auto"/>
          <w:kern w:val="0"/>
          <w:sz w:val="24"/>
          <w:szCs w:val="24"/>
          <w:highlight w:val="none"/>
          <w:shd w:val="clear" w:color="auto" w:fill="FFFFFF"/>
        </w:rPr>
        <w:t>。业绩认定时间以竣工验收报告或竣工验收证明文件</w:t>
      </w:r>
      <w:r>
        <w:rPr>
          <w:rFonts w:hint="eastAsia" w:ascii="宋体" w:hAnsi="宋体" w:cs="宋体"/>
          <w:color w:val="auto"/>
          <w:sz w:val="24"/>
          <w:szCs w:val="24"/>
          <w:highlight w:val="none"/>
          <w:u w:val="single"/>
        </w:rPr>
        <w:t>或完工证明文件</w:t>
      </w:r>
      <w:r>
        <w:rPr>
          <w:rFonts w:hint="eastAsia" w:ascii="宋体" w:hAnsi="宋体" w:cs="宋体"/>
          <w:color w:val="auto"/>
          <w:kern w:val="0"/>
          <w:sz w:val="24"/>
          <w:szCs w:val="24"/>
          <w:highlight w:val="none"/>
          <w:shd w:val="clear" w:color="auto" w:fill="FFFFFF"/>
        </w:rPr>
        <w:t>上注明的时间为准。</w:t>
      </w:r>
    </w:p>
    <w:p>
      <w:pPr>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（2）获奖业绩仅以获奖证书为</w:t>
      </w:r>
      <w:r>
        <w:rPr>
          <w:rFonts w:ascii="宋体" w:hAnsi="宋体" w:cs="宋体"/>
          <w:color w:val="auto"/>
          <w:kern w:val="0"/>
          <w:sz w:val="24"/>
          <w:szCs w:val="24"/>
          <w:highlight w:val="none"/>
          <w:shd w:val="clear" w:color="auto" w:fill="FFFFFF"/>
        </w:rPr>
        <w:t>准</w:t>
      </w:r>
      <w:r>
        <w:rPr>
          <w:rFonts w:hint="eastAsia" w:ascii="宋体" w:hAnsi="宋体" w:cs="宋体"/>
          <w:color w:val="auto"/>
          <w:kern w:val="0"/>
          <w:sz w:val="24"/>
          <w:szCs w:val="24"/>
          <w:highlight w:val="none"/>
          <w:shd w:val="clear" w:color="auto" w:fill="FFFFFF"/>
        </w:rPr>
        <w:t>,</w:t>
      </w:r>
      <w:r>
        <w:rPr>
          <w:rFonts w:hint="eastAsia"/>
          <w:color w:val="auto"/>
          <w:highlight w:val="none"/>
        </w:rPr>
        <w:t xml:space="preserve"> </w:t>
      </w:r>
      <w:r>
        <w:rPr>
          <w:rFonts w:hint="eastAsia" w:ascii="宋体" w:hAnsi="宋体" w:cs="宋体"/>
          <w:color w:val="auto"/>
          <w:kern w:val="0"/>
          <w:sz w:val="24"/>
          <w:szCs w:val="24"/>
          <w:highlight w:val="none"/>
          <w:shd w:val="clear" w:color="auto" w:fill="FFFFFF"/>
        </w:rPr>
        <w:t>需提供获奖证书扫描件。国家级工程质量奖项是指中国建设工程鲁班奖、中国土木工程詹天佑奖、国家优质工程奖（国家优质工程银质奖）、国家优质工程金质奖；省级或市级（含副省级）奖项是指由建设行政主管部门或行业协会颁发的工程质量奖项，行业协会须在民政部门备案。同一工程项目按最高奖项计取，不重复计取；时间以获奖证书的颁发日期为准。</w:t>
      </w:r>
    </w:p>
    <w:p>
      <w:pPr>
        <w:ind w:firstLine="120" w:firstLineChars="50"/>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（3）“企业注册资本”以营业证照注明为准。若排名相同则占用下一名次(如：注册资本相同的投标人有N个，则该N个投标人并列为第一名，下一名按第N+1名计算，依此类推。）</w:t>
      </w:r>
    </w:p>
    <w:p>
      <w:pPr>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4）“纳税等级”：以“国家税务总局”官网（http://www.chinatax.gov.cn/）查询结果为准，纳税人等级只计算投标人自身（不计算投标人的分公司和子公司）。投标人需提供在上述官网的查询结果网页截图（不符合条件或无提交上述截图的不计分）。时间以评价年度为准。</w:t>
      </w:r>
    </w:p>
    <w:p>
      <w:pPr>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（5）“ISO认证体系”需提供证书扫描件，认证证书需在有效期内，不提供或不符合要求不得分。</w:t>
      </w:r>
    </w:p>
    <w:p>
      <w:pPr>
        <w:rPr>
          <w:color w:val="auto"/>
          <w:highlight w:val="none"/>
        </w:rPr>
      </w:pPr>
      <w:r>
        <w:rPr>
          <w:rFonts w:hint="eastAsia" w:ascii="宋体" w:hAnsi="宋体" w:cs="宋体"/>
          <w:color w:val="auto"/>
          <w:kern w:val="0"/>
          <w:sz w:val="24"/>
          <w:szCs w:val="24"/>
          <w:highlight w:val="none"/>
          <w:shd w:val="clear" w:color="auto" w:fill="FFFFFF"/>
        </w:rPr>
        <w:t>（6）投标人拟投入人员须同时提供相关证书等证明材料及在本单位离投标截止时间前最近一个月的社保缴纳证明材料（即202</w:t>
      </w:r>
      <w:r>
        <w:rPr>
          <w:rFonts w:ascii="宋体" w:hAnsi="宋体" w:cs="宋体"/>
          <w:color w:val="auto"/>
          <w:kern w:val="0"/>
          <w:sz w:val="24"/>
          <w:szCs w:val="24"/>
          <w:highlight w:val="none"/>
          <w:shd w:val="clear" w:color="auto" w:fill="FFFFFF"/>
        </w:rPr>
        <w:t>2</w:t>
      </w:r>
      <w:r>
        <w:rPr>
          <w:rFonts w:hint="eastAsia" w:ascii="宋体" w:hAnsi="宋体" w:cs="宋体"/>
          <w:color w:val="auto"/>
          <w:kern w:val="0"/>
          <w:sz w:val="24"/>
          <w:szCs w:val="24"/>
          <w:highlight w:val="none"/>
          <w:shd w:val="clear" w:color="auto" w:fill="FFFFFF"/>
        </w:rPr>
        <w:t>年</w:t>
      </w:r>
      <w:r>
        <w:rPr>
          <w:rFonts w:ascii="宋体" w:hAnsi="宋体" w:cs="宋体"/>
          <w:color w:val="auto"/>
          <w:kern w:val="0"/>
          <w:sz w:val="24"/>
          <w:szCs w:val="24"/>
          <w:highlight w:val="none"/>
          <w:shd w:val="clear" w:color="auto" w:fill="FFFFFF"/>
        </w:rPr>
        <w:t>1</w:t>
      </w:r>
      <w:r>
        <w:rPr>
          <w:rFonts w:hint="eastAsia" w:ascii="宋体" w:hAnsi="宋体" w:cs="宋体"/>
          <w:color w:val="auto"/>
          <w:kern w:val="0"/>
          <w:sz w:val="24"/>
          <w:szCs w:val="24"/>
          <w:highlight w:val="none"/>
          <w:shd w:val="clear" w:color="auto" w:fill="FFFFFF"/>
        </w:rPr>
        <w:t>月）扫描件（社保缴纳期限包含疫情期的，若当地政府部门允许企业在疫情期间缓缴社会保险费且投标人未缴纳的，投标人可提供当地政府部门允许缓缴社保的相关文件作为缴纳社保的证明。确定中标人后，由招标人采取有效措施，核实后续中标人管理团队的社保补缴情况），否则不得分。</w:t>
      </w:r>
    </w:p>
    <w:p>
      <w:pPr>
        <w:pStyle w:val="4"/>
        <w:keepNext w:val="0"/>
        <w:keepLines w:val="0"/>
        <w:spacing w:line="360" w:lineRule="auto"/>
        <w:rPr>
          <w:rFonts w:ascii="宋体" w:hAnsi="宋体" w:eastAsia="宋体" w:cs="宋体"/>
          <w:color w:val="auto"/>
          <w:highlight w:val="none"/>
        </w:rPr>
      </w:pPr>
      <w:r>
        <w:rPr>
          <w:rFonts w:hint="eastAsia" w:ascii="宋体" w:hAnsi="宋体" w:eastAsia="宋体" w:cs="宋体"/>
          <w:b w:val="0"/>
          <w:color w:val="auto"/>
          <w:kern w:val="0"/>
          <w:sz w:val="24"/>
          <w:szCs w:val="24"/>
          <w:highlight w:val="none"/>
          <w:shd w:val="clear" w:color="auto" w:fill="FFFFFF"/>
        </w:rPr>
        <w:t>（7）投标人的得分为各评委评分汇总后的算术平均值，评分如出现小数点，则保留小数点后两位，第三位四舍五入。</w:t>
      </w:r>
      <w:r>
        <w:rPr>
          <w:rFonts w:hint="eastAsia"/>
          <w:b w:val="0"/>
          <w:color w:val="auto"/>
          <w:szCs w:val="32"/>
          <w:highlight w:val="none"/>
        </w:rPr>
        <w:br w:type="page"/>
      </w:r>
      <w:r>
        <w:rPr>
          <w:rFonts w:hint="eastAsia" w:ascii="宋体" w:hAnsi="宋体" w:eastAsia="宋体" w:cs="宋体"/>
          <w:color w:val="auto"/>
          <w:highlight w:val="none"/>
        </w:rPr>
        <w:t>1. 评标方法</w:t>
      </w:r>
    </w:p>
    <w:p>
      <w:pPr>
        <w:spacing w:line="360"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88" w:name="_Toc384308272"/>
      <w:bookmarkStart w:id="89" w:name="_Toc152045598"/>
      <w:bookmarkStart w:id="90" w:name="_Toc247514022"/>
      <w:bookmarkStart w:id="91" w:name="_Toc152042375"/>
      <w:bookmarkStart w:id="92" w:name="_Toc361508646"/>
      <w:bookmarkStart w:id="93" w:name="_Toc300835008"/>
      <w:bookmarkStart w:id="94" w:name="_Toc247527623"/>
      <w:bookmarkStart w:id="95" w:name="_Toc144974565"/>
      <w:bookmarkStart w:id="96" w:name="_Toc352691533"/>
      <w:bookmarkStart w:id="97" w:name="_Toc4497"/>
      <w:bookmarkStart w:id="98" w:name="_Toc369531577"/>
      <w:r>
        <w:rPr>
          <w:rFonts w:hint="eastAsia" w:ascii="宋体" w:hAnsi="宋体" w:cs="宋体"/>
          <w:color w:val="auto"/>
          <w:sz w:val="24"/>
          <w:szCs w:val="24"/>
          <w:highlight w:val="none"/>
        </w:rPr>
        <w:t>外。综合评分相等</w:t>
      </w:r>
      <w:bookmarkEnd w:id="88"/>
      <w:bookmarkEnd w:id="89"/>
      <w:bookmarkEnd w:id="90"/>
      <w:bookmarkEnd w:id="91"/>
      <w:bookmarkEnd w:id="92"/>
      <w:bookmarkEnd w:id="93"/>
      <w:bookmarkEnd w:id="94"/>
      <w:bookmarkEnd w:id="95"/>
      <w:r>
        <w:rPr>
          <w:rFonts w:hint="eastAsia" w:ascii="宋体" w:hAnsi="宋体" w:cs="宋体"/>
          <w:color w:val="auto"/>
          <w:sz w:val="24"/>
          <w:szCs w:val="24"/>
          <w:highlight w:val="none"/>
        </w:rPr>
        <w:t>时，以投标报价低的</w:t>
      </w:r>
      <w:bookmarkEnd w:id="96"/>
      <w:bookmarkEnd w:id="97"/>
      <w:bookmarkEnd w:id="98"/>
      <w:r>
        <w:rPr>
          <w:rFonts w:hint="eastAsia" w:ascii="宋体" w:hAnsi="宋体" w:cs="宋体"/>
          <w:color w:val="auto"/>
          <w:sz w:val="24"/>
          <w:szCs w:val="24"/>
          <w:highlight w:val="none"/>
        </w:rPr>
        <w:t>优</w:t>
      </w:r>
      <w:bookmarkStart w:id="99" w:name="_Toc247527624"/>
      <w:bookmarkStart w:id="100" w:name="_Toc247514023"/>
      <w:bookmarkStart w:id="101" w:name="_Toc361508647"/>
      <w:bookmarkStart w:id="102" w:name="_Toc384308273"/>
      <w:bookmarkStart w:id="103" w:name="_Toc152045599"/>
      <w:bookmarkStart w:id="104" w:name="_Toc152042376"/>
      <w:bookmarkStart w:id="105" w:name="_Toc300835009"/>
      <w:bookmarkStart w:id="106" w:name="_Toc352691534"/>
      <w:bookmarkStart w:id="107" w:name="_Toc369531578"/>
      <w:bookmarkStart w:id="108" w:name="_Toc144974566"/>
      <w:bookmarkStart w:id="109" w:name="_Toc39"/>
      <w:r>
        <w:rPr>
          <w:rFonts w:hint="eastAsia" w:ascii="宋体" w:hAnsi="宋体" w:cs="宋体"/>
          <w:color w:val="auto"/>
          <w:sz w:val="24"/>
          <w:szCs w:val="24"/>
          <w:highlight w:val="none"/>
        </w:rPr>
        <w:t>先；投标报价也相等</w:t>
      </w:r>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color w:val="auto"/>
          <w:sz w:val="24"/>
          <w:szCs w:val="24"/>
          <w:highlight w:val="none"/>
        </w:rPr>
        <w:t>的，以监理大纲得分高的优先；如果监理大纲得分也相等，按照评标办法前附表的规定确定中标候选人顺序。</w:t>
      </w:r>
    </w:p>
    <w:p>
      <w:pPr>
        <w:pStyle w:val="4"/>
        <w:keepNext w:val="0"/>
        <w:keepLines w:val="0"/>
        <w:spacing w:line="360" w:lineRule="auto"/>
        <w:rPr>
          <w:rFonts w:ascii="宋体" w:hAnsi="宋体" w:eastAsia="宋体" w:cs="宋体"/>
          <w:color w:val="auto"/>
          <w:highlight w:val="none"/>
        </w:rPr>
      </w:pPr>
      <w:bookmarkStart w:id="110" w:name="_Toc517280576"/>
      <w:r>
        <w:rPr>
          <w:rFonts w:hint="eastAsia" w:ascii="宋体" w:hAnsi="宋体" w:eastAsia="宋体" w:cs="宋体"/>
          <w:color w:val="auto"/>
          <w:highlight w:val="none"/>
        </w:rPr>
        <w:t>2. 评审标准</w:t>
      </w:r>
      <w:bookmarkEnd w:id="110"/>
    </w:p>
    <w:p>
      <w:pPr>
        <w:pStyle w:val="5"/>
        <w:keepNext w:val="0"/>
        <w:keepLines w:val="0"/>
        <w:ind w:firstLine="137"/>
        <w:rPr>
          <w:rFonts w:ascii="宋体" w:hAnsi="宋体" w:cs="宋体"/>
          <w:color w:val="auto"/>
          <w:szCs w:val="24"/>
          <w:highlight w:val="none"/>
        </w:rPr>
      </w:pPr>
      <w:bookmarkStart w:id="111" w:name="_Toc517280577"/>
      <w:r>
        <w:rPr>
          <w:rFonts w:hint="eastAsia" w:ascii="宋体" w:hAnsi="宋体" w:cs="宋体"/>
          <w:color w:val="auto"/>
          <w:szCs w:val="24"/>
          <w:highlight w:val="none"/>
        </w:rPr>
        <w:t>2.1 初步评审标准</w:t>
      </w:r>
      <w:bookmarkEnd w:id="11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2.1.1 形式评审标准：见评标办法前附表。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2.1.2 资格评审标准：见评标办法前附表。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2.1.3 响应性评审标准：见评标办法前附表。</w:t>
      </w:r>
    </w:p>
    <w:p>
      <w:pPr>
        <w:pStyle w:val="5"/>
        <w:keepNext w:val="0"/>
        <w:keepLines w:val="0"/>
        <w:ind w:firstLine="137"/>
        <w:rPr>
          <w:rFonts w:ascii="宋体" w:hAnsi="宋体" w:cs="宋体"/>
          <w:color w:val="auto"/>
          <w:szCs w:val="24"/>
          <w:highlight w:val="none"/>
        </w:rPr>
      </w:pPr>
      <w:bookmarkStart w:id="112" w:name="_Toc517280578"/>
      <w:r>
        <w:rPr>
          <w:rFonts w:hint="eastAsia" w:ascii="宋体" w:hAnsi="宋体" w:cs="宋体"/>
          <w:color w:val="auto"/>
          <w:szCs w:val="24"/>
          <w:highlight w:val="none"/>
        </w:rPr>
        <w:t>2.2 分值构成与评分标准</w:t>
      </w:r>
      <w:bookmarkEnd w:id="112"/>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 分值构成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（1）资信业绩部分：见评标办法前附表；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（2）监理大纲部分：见评标办法前附表；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（3）投标报价：见评标办法前附表；</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（4）其他评分因素：见评标办法前附表。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 评标基准价计算</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2.2.3 投标报价的偏差率计算</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投标报价的偏差率计算公式：见评标办法前附表。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2.2.4 评分标准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（1）资信业绩评分标准：见评标办法前附表；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（2）监理大纲评分标准：见评标办法前附表；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（4）其他因素评分标准：见评标办法前附表。</w:t>
      </w:r>
    </w:p>
    <w:p>
      <w:pPr>
        <w:pStyle w:val="4"/>
        <w:keepNext w:val="0"/>
        <w:keepLines w:val="0"/>
        <w:spacing w:line="360" w:lineRule="auto"/>
        <w:rPr>
          <w:rFonts w:ascii="宋体" w:hAnsi="宋体" w:eastAsia="宋体" w:cs="宋体"/>
          <w:color w:val="auto"/>
          <w:highlight w:val="none"/>
        </w:rPr>
      </w:pPr>
      <w:bookmarkStart w:id="113" w:name="_Toc517280579"/>
      <w:r>
        <w:rPr>
          <w:rFonts w:hint="eastAsia" w:ascii="宋体" w:hAnsi="宋体" w:eastAsia="宋体" w:cs="宋体"/>
          <w:color w:val="auto"/>
          <w:highlight w:val="none"/>
        </w:rPr>
        <w:t>3. 评标程序</w:t>
      </w:r>
      <w:bookmarkEnd w:id="113"/>
    </w:p>
    <w:p>
      <w:pPr>
        <w:pStyle w:val="5"/>
        <w:keepNext w:val="0"/>
        <w:keepLines w:val="0"/>
        <w:ind w:firstLine="137"/>
        <w:rPr>
          <w:rFonts w:ascii="宋体" w:hAnsi="宋体" w:cs="宋体"/>
          <w:color w:val="auto"/>
          <w:szCs w:val="24"/>
          <w:highlight w:val="none"/>
        </w:rPr>
      </w:pPr>
      <w:bookmarkStart w:id="114" w:name="_Toc517280580"/>
      <w:r>
        <w:rPr>
          <w:rFonts w:hint="eastAsia" w:ascii="宋体" w:hAnsi="宋体" w:cs="宋体"/>
          <w:color w:val="auto"/>
          <w:szCs w:val="24"/>
          <w:highlight w:val="none"/>
        </w:rPr>
        <w:t>3.1 初步评审</w:t>
      </w:r>
      <w:bookmarkEnd w:id="114"/>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3.1.2 投标人有以下情形之一的，评标委员会应当否决其投标：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（1）投标文件没有对招标文件的实质性要求和条件作出响应，或者对招标文件的偏差超出招标文件规定的偏差范围或最高项数；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（2）有串通投标、弄虚作假、行贿等违法行为。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3.1.3 投标报价有算术错误及其他错误的，评标委员会按以下原则要求投标人对投标报价进</w:t>
      </w:r>
      <w:bookmarkStart w:id="115" w:name="_Toc352691538"/>
      <w:bookmarkStart w:id="116" w:name="_Toc361508651"/>
      <w:bookmarkStart w:id="117" w:name="_Toc384308277"/>
      <w:bookmarkStart w:id="118" w:name="_Toc152045603"/>
      <w:bookmarkStart w:id="119" w:name="_Toc247527628"/>
      <w:bookmarkStart w:id="120" w:name="_Toc144974570"/>
      <w:bookmarkStart w:id="121" w:name="_Toc300835013"/>
      <w:bookmarkStart w:id="122" w:name="_Toc152042380"/>
      <w:bookmarkStart w:id="123" w:name="_Toc247514027"/>
      <w:bookmarkStart w:id="124" w:name="_Toc369531582"/>
      <w:bookmarkStart w:id="125" w:name="_Toc2907"/>
      <w:r>
        <w:rPr>
          <w:rFonts w:hint="eastAsia" w:ascii="宋体" w:hAnsi="宋体" w:cs="宋体"/>
          <w:color w:val="auto"/>
          <w:sz w:val="24"/>
          <w:szCs w:val="24"/>
          <w:highlight w:val="none"/>
        </w:rPr>
        <w:t>行修正，并要求投标人书面澄清确认。</w:t>
      </w:r>
      <w:bookmarkEnd w:id="115"/>
      <w:bookmarkEnd w:id="116"/>
      <w:bookmarkEnd w:id="117"/>
      <w:bookmarkEnd w:id="118"/>
      <w:bookmarkEnd w:id="119"/>
      <w:bookmarkEnd w:id="120"/>
      <w:bookmarkEnd w:id="121"/>
      <w:bookmarkEnd w:id="122"/>
      <w:bookmarkEnd w:id="123"/>
      <w:bookmarkEnd w:id="124"/>
      <w:bookmarkEnd w:id="125"/>
      <w:r>
        <w:rPr>
          <w:rFonts w:hint="eastAsia" w:ascii="宋体" w:hAnsi="宋体" w:cs="宋体"/>
          <w:color w:val="auto"/>
          <w:sz w:val="24"/>
          <w:szCs w:val="24"/>
          <w:highlight w:val="none"/>
        </w:rPr>
        <w:t>投标人拒不澄清确认的，评标委员会应当否决其投标：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（2）总价金额与单价金额不一致的，以单价金额为准，但单价金额小数点有明显错误的除外。</w:t>
      </w:r>
    </w:p>
    <w:p>
      <w:pPr>
        <w:pStyle w:val="5"/>
        <w:keepNext w:val="0"/>
        <w:keepLines w:val="0"/>
        <w:ind w:firstLine="137"/>
        <w:rPr>
          <w:rFonts w:ascii="宋体" w:hAnsi="宋体" w:cs="宋体"/>
          <w:color w:val="auto"/>
          <w:szCs w:val="24"/>
          <w:highlight w:val="none"/>
        </w:rPr>
      </w:pPr>
      <w:bookmarkStart w:id="126" w:name="_Toc517280581"/>
      <w:r>
        <w:rPr>
          <w:rFonts w:hint="eastAsia" w:ascii="宋体" w:hAnsi="宋体" w:cs="宋体"/>
          <w:color w:val="auto"/>
          <w:szCs w:val="24"/>
          <w:highlight w:val="none"/>
        </w:rPr>
        <w:t>3.2 详细评审</w:t>
      </w:r>
      <w:bookmarkEnd w:id="126"/>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3.2.1 评标委员会按本章第2.2款规定的量化因素和分值进行打分，并计算出综合评估得分。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（1）按本章第2.2.4（1）目规定的评审因素和分值对资信业绩部分计算出得分A；</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（2）按本章第2.2.4（2）目规定的评审因素和分值对监理大纲部分计算出得分B；</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（3）按本章第2.2.4（3）目规定的评审因素和</w:t>
      </w:r>
      <w:bookmarkStart w:id="127" w:name="_Toc247527629"/>
      <w:bookmarkStart w:id="128" w:name="_Toc384308278"/>
      <w:bookmarkStart w:id="129" w:name="_Toc300835014"/>
      <w:bookmarkStart w:id="130" w:name="_Toc369531583"/>
      <w:bookmarkStart w:id="131" w:name="_Toc247514028"/>
      <w:bookmarkStart w:id="132" w:name="_Toc361508652"/>
      <w:bookmarkStart w:id="133" w:name="_Toc24330"/>
      <w:bookmarkStart w:id="134" w:name="_Toc144974571"/>
      <w:bookmarkStart w:id="135" w:name="_Toc152042381"/>
      <w:bookmarkStart w:id="136" w:name="_Toc152045604"/>
      <w:bookmarkStart w:id="137" w:name="_Toc352691539"/>
      <w:r>
        <w:rPr>
          <w:rFonts w:hint="eastAsia" w:ascii="宋体" w:hAnsi="宋体" w:cs="宋体"/>
          <w:color w:val="auto"/>
          <w:sz w:val="24"/>
          <w:szCs w:val="24"/>
          <w:highlight w:val="none"/>
        </w:rPr>
        <w:t>分值对投标报价</w:t>
      </w:r>
      <w:bookmarkEnd w:id="127"/>
      <w:bookmarkEnd w:id="128"/>
      <w:bookmarkEnd w:id="129"/>
      <w:bookmarkEnd w:id="130"/>
      <w:bookmarkEnd w:id="131"/>
      <w:bookmarkEnd w:id="132"/>
      <w:bookmarkEnd w:id="133"/>
      <w:bookmarkEnd w:id="134"/>
      <w:bookmarkEnd w:id="135"/>
      <w:bookmarkEnd w:id="136"/>
      <w:bookmarkEnd w:id="137"/>
      <w:r>
        <w:rPr>
          <w:rFonts w:hint="eastAsia" w:ascii="宋体" w:hAnsi="宋体" w:cs="宋体"/>
          <w:color w:val="auto"/>
          <w:sz w:val="24"/>
          <w:szCs w:val="24"/>
          <w:highlight w:val="none"/>
        </w:rPr>
        <w:t>计</w:t>
      </w:r>
      <w:bookmarkStart w:id="138" w:name="_Toc144974572"/>
      <w:bookmarkStart w:id="139" w:name="_Toc352691540"/>
      <w:bookmarkStart w:id="140" w:name="_Toc247514029"/>
      <w:bookmarkStart w:id="141" w:name="_Toc18141"/>
      <w:bookmarkStart w:id="142" w:name="_Toc369531584"/>
      <w:bookmarkStart w:id="143" w:name="_Toc247527630"/>
      <w:bookmarkStart w:id="144" w:name="_Toc152045605"/>
      <w:bookmarkStart w:id="145" w:name="_Toc361508653"/>
      <w:bookmarkStart w:id="146" w:name="_Toc300835015"/>
      <w:bookmarkStart w:id="147" w:name="_Toc152042382"/>
      <w:bookmarkStart w:id="148" w:name="_Toc384308279"/>
      <w:r>
        <w:rPr>
          <w:rFonts w:hint="eastAsia" w:ascii="宋体" w:hAnsi="宋体" w:cs="宋体"/>
          <w:color w:val="auto"/>
          <w:sz w:val="24"/>
          <w:szCs w:val="24"/>
          <w:highlight w:val="none"/>
        </w:rPr>
        <w:t>算出得分C；</w:t>
      </w:r>
    </w:p>
    <w:p>
      <w:pPr>
        <w:spacing w:line="360" w:lineRule="auto"/>
        <w:ind w:firstLine="480"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w:t>
      </w:r>
      <w:bookmarkEnd w:id="138"/>
      <w:bookmarkEnd w:id="139"/>
      <w:bookmarkEnd w:id="140"/>
      <w:bookmarkEnd w:id="141"/>
      <w:bookmarkEnd w:id="142"/>
      <w:bookmarkEnd w:id="143"/>
      <w:bookmarkEnd w:id="144"/>
      <w:bookmarkEnd w:id="145"/>
      <w:bookmarkEnd w:id="146"/>
      <w:bookmarkEnd w:id="147"/>
      <w:bookmarkEnd w:id="148"/>
      <w:r>
        <w:rPr>
          <w:rFonts w:hint="eastAsia" w:ascii="宋体" w:hAnsi="宋体" w:cs="宋体"/>
          <w:strike/>
          <w:color w:val="auto"/>
          <w:sz w:val="24"/>
          <w:szCs w:val="24"/>
          <w:highlight w:val="none"/>
        </w:rPr>
        <w:t>4）按本章第2.2.4（4）目规定的评审因素和分值对其他部分计算出得分D。</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 投标人得分=A+B+C</w:t>
      </w:r>
      <w:r>
        <w:rPr>
          <w:rFonts w:hint="eastAsia" w:ascii="宋体" w:hAnsi="宋体" w:cs="宋体"/>
          <w:strike/>
          <w:color w:val="auto"/>
          <w:sz w:val="24"/>
          <w:szCs w:val="24"/>
          <w:highlight w:val="none"/>
        </w:rPr>
        <w:t>+D</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keepNext w:val="0"/>
        <w:keepLines w:val="0"/>
        <w:ind w:firstLine="137"/>
        <w:rPr>
          <w:rFonts w:ascii="宋体" w:hAnsi="宋体" w:cs="宋体"/>
          <w:color w:val="auto"/>
          <w:szCs w:val="24"/>
          <w:highlight w:val="none"/>
        </w:rPr>
      </w:pPr>
      <w:bookmarkStart w:id="149" w:name="_Toc517280582"/>
      <w:r>
        <w:rPr>
          <w:rFonts w:hint="eastAsia" w:ascii="宋体" w:hAnsi="宋体" w:cs="宋体"/>
          <w:color w:val="auto"/>
          <w:szCs w:val="24"/>
          <w:highlight w:val="none"/>
        </w:rPr>
        <w:t>3.3 投标文件的澄清</w:t>
      </w:r>
      <w:bookmarkEnd w:id="149"/>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 澄清、说明或补正不得超出投标文件的范围且不得改变投标文件的实质性内容，并构成投标文件的组成部分。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3.3.3 评标委员会对投标人提交的澄清、说明或补正有疑问的，可以要求投标人进一步澄清、说明或补正，直至满足评标委员会的要求。</w:t>
      </w:r>
    </w:p>
    <w:p>
      <w:pPr>
        <w:pStyle w:val="5"/>
        <w:keepNext w:val="0"/>
        <w:keepLines w:val="0"/>
        <w:ind w:firstLine="137"/>
        <w:rPr>
          <w:rFonts w:ascii="宋体" w:hAnsi="宋体" w:cs="宋体"/>
          <w:color w:val="auto"/>
          <w:szCs w:val="24"/>
          <w:highlight w:val="none"/>
        </w:rPr>
      </w:pPr>
      <w:bookmarkStart w:id="150" w:name="_Toc517280583"/>
      <w:r>
        <w:rPr>
          <w:rFonts w:hint="eastAsia" w:ascii="宋体" w:hAnsi="宋体" w:cs="宋体"/>
          <w:color w:val="auto"/>
          <w:szCs w:val="24"/>
          <w:highlight w:val="none"/>
        </w:rPr>
        <w:t>3.4 评标结果</w:t>
      </w:r>
      <w:bookmarkEnd w:id="15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3.4.1 除第二章“投标人须知”前附表授权直接确定中标人外，评标委员会按照得分由高到低的顺序推荐中标候选人，并标明排序。</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3.4.2 </w:t>
      </w:r>
      <w:r>
        <w:rPr>
          <w:rFonts w:hint="eastAsia" w:ascii="宋体" w:hAnsi="宋体" w:cs="宋体"/>
          <w:color w:val="auto"/>
          <w:sz w:val="24"/>
          <w:szCs w:val="24"/>
          <w:highlight w:val="none"/>
        </w:rPr>
        <w:t>评标委员会完成评标后，应当向招标人提交书面评标报告和中标候选人名单。</w:t>
      </w:r>
    </w:p>
    <w:p>
      <w:pPr>
        <w:pStyle w:val="3"/>
        <w:keepNext w:val="0"/>
        <w:keepLines w:val="0"/>
        <w:spacing w:line="360" w:lineRule="auto"/>
        <w:ind w:firstLine="643" w:firstLineChars="200"/>
        <w:jc w:val="center"/>
        <w:rPr>
          <w:color w:val="auto"/>
          <w:sz w:val="32"/>
          <w:szCs w:val="32"/>
          <w:highlight w:val="none"/>
        </w:rPr>
      </w:pPr>
      <w:r>
        <w:rPr>
          <w:rFonts w:hint="eastAsia"/>
          <w:color w:val="auto"/>
          <w:sz w:val="32"/>
          <w:szCs w:val="32"/>
          <w:highlight w:val="none"/>
        </w:rPr>
        <w:br w:type="page"/>
      </w:r>
      <w:bookmarkStart w:id="151" w:name="_Toc492300637"/>
    </w:p>
    <w:p>
      <w:pPr>
        <w:pStyle w:val="3"/>
        <w:keepNext w:val="0"/>
        <w:keepLines w:val="0"/>
        <w:spacing w:line="360" w:lineRule="auto"/>
        <w:ind w:firstLine="643" w:firstLineChars="200"/>
        <w:jc w:val="center"/>
        <w:rPr>
          <w:color w:val="auto"/>
          <w:sz w:val="32"/>
          <w:szCs w:val="32"/>
          <w:highlight w:val="none"/>
        </w:rPr>
      </w:pPr>
    </w:p>
    <w:p>
      <w:pPr>
        <w:pStyle w:val="3"/>
        <w:keepNext w:val="0"/>
        <w:keepLines w:val="0"/>
        <w:spacing w:line="360" w:lineRule="auto"/>
        <w:ind w:firstLine="723" w:firstLineChars="200"/>
        <w:jc w:val="center"/>
        <w:rPr>
          <w:rFonts w:ascii="宋体" w:hAnsi="宋体" w:cs="宋体"/>
          <w:color w:val="auto"/>
          <w:sz w:val="36"/>
          <w:szCs w:val="36"/>
          <w:highlight w:val="none"/>
        </w:rPr>
      </w:pPr>
      <w:bookmarkStart w:id="152" w:name="_Toc13951_WPSOffice_Level1"/>
      <w:bookmarkStart w:id="153" w:name="_Toc12722_WPSOffice_Level1"/>
      <w:r>
        <w:rPr>
          <w:rFonts w:hint="eastAsia" w:ascii="宋体" w:hAnsi="宋体" w:cs="宋体"/>
          <w:color w:val="auto"/>
          <w:sz w:val="36"/>
          <w:szCs w:val="36"/>
          <w:highlight w:val="none"/>
        </w:rPr>
        <w:t>第四章合同条款及格式</w:t>
      </w:r>
      <w:bookmarkEnd w:id="152"/>
    </w:p>
    <w:p>
      <w:pPr>
        <w:ind w:firstLine="630" w:firstLineChars="300"/>
        <w:jc w:val="center"/>
        <w:rPr>
          <w:rFonts w:ascii="宋体" w:hAnsi="宋体" w:cs="宋体"/>
          <w:color w:val="auto"/>
          <w:szCs w:val="21"/>
          <w:highlight w:val="none"/>
        </w:rPr>
        <w:sectPr>
          <w:footerReference r:id="rId4" w:type="default"/>
          <w:footerReference r:id="rId5" w:type="even"/>
          <w:pgSz w:w="11907" w:h="16840"/>
          <w:pgMar w:top="1134" w:right="1134" w:bottom="1134" w:left="1417" w:header="851" w:footer="850" w:gutter="0"/>
          <w:cols w:space="720" w:num="1"/>
          <w:docGrid w:linePitch="326" w:charSpace="0"/>
        </w:sectPr>
      </w:pPr>
      <w:r>
        <w:rPr>
          <w:rFonts w:hint="eastAsia" w:ascii="宋体" w:hAnsi="宋体" w:cs="宋体"/>
          <w:color w:val="auto"/>
          <w:szCs w:val="21"/>
          <w:highlight w:val="none"/>
        </w:rPr>
        <w:t>（监理合同另册）。</w:t>
      </w:r>
    </w:p>
    <w:p>
      <w:pPr>
        <w:pStyle w:val="3"/>
        <w:keepNext w:val="0"/>
        <w:keepLines w:val="0"/>
        <w:spacing w:line="360" w:lineRule="auto"/>
        <w:ind w:firstLine="723" w:firstLineChars="200"/>
        <w:jc w:val="center"/>
        <w:rPr>
          <w:rFonts w:ascii="宋体" w:hAnsi="宋体" w:cs="宋体"/>
          <w:color w:val="auto"/>
          <w:sz w:val="36"/>
          <w:szCs w:val="36"/>
          <w:highlight w:val="none"/>
        </w:rPr>
      </w:pPr>
      <w:bookmarkStart w:id="154" w:name="_Toc13421_WPSOffice_Level1"/>
      <w:r>
        <w:rPr>
          <w:rFonts w:hint="eastAsia" w:ascii="宋体" w:hAnsi="宋体" w:cs="宋体"/>
          <w:color w:val="auto"/>
          <w:sz w:val="36"/>
          <w:szCs w:val="36"/>
          <w:highlight w:val="none"/>
        </w:rPr>
        <w:t>第五章委托人要求</w:t>
      </w:r>
      <w:bookmarkEnd w:id="153"/>
      <w:bookmarkEnd w:id="154"/>
    </w:p>
    <w:p>
      <w:pPr>
        <w:jc w:val="center"/>
        <w:rPr>
          <w:b/>
          <w:color w:val="auto"/>
          <w:sz w:val="24"/>
          <w:szCs w:val="24"/>
          <w:highlight w:val="none"/>
        </w:rPr>
      </w:pPr>
      <w:r>
        <w:rPr>
          <w:rFonts w:hint="eastAsia"/>
          <w:b/>
          <w:color w:val="auto"/>
          <w:sz w:val="24"/>
          <w:szCs w:val="24"/>
          <w:highlight w:val="none"/>
        </w:rPr>
        <w:t>委托人要求包括但不限于以下内容：</w:t>
      </w:r>
    </w:p>
    <w:p>
      <w:pPr>
        <w:pStyle w:val="4"/>
        <w:keepNext w:val="0"/>
        <w:keepLines w:val="0"/>
        <w:spacing w:line="240" w:lineRule="auto"/>
        <w:rPr>
          <w:rFonts w:ascii="Times New Roman" w:hAnsi="Times New Roman"/>
          <w:b w:val="0"/>
          <w:color w:val="auto"/>
          <w:sz w:val="28"/>
          <w:szCs w:val="28"/>
          <w:highlight w:val="none"/>
        </w:rPr>
      </w:pPr>
      <w:bookmarkStart w:id="155" w:name="_Toc511557110"/>
      <w:bookmarkStart w:id="156" w:name="_Toc531273853"/>
      <w:bookmarkStart w:id="157" w:name="_Toc482188637"/>
      <w:r>
        <w:rPr>
          <w:rFonts w:hint="eastAsia" w:ascii="Times New Roman" w:hAnsi="Times New Roman"/>
          <w:b w:val="0"/>
          <w:color w:val="auto"/>
          <w:sz w:val="28"/>
          <w:szCs w:val="28"/>
          <w:highlight w:val="none"/>
        </w:rPr>
        <w:t>一、监理要求</w:t>
      </w:r>
      <w:bookmarkEnd w:id="155"/>
      <w:bookmarkEnd w:id="156"/>
      <w:bookmarkEnd w:id="157"/>
    </w:p>
    <w:p>
      <w:pPr>
        <w:spacing w:line="440" w:lineRule="exact"/>
        <w:ind w:firstLine="412" w:firstLineChars="171"/>
        <w:rPr>
          <w:b/>
          <w:color w:val="auto"/>
          <w:sz w:val="24"/>
          <w:szCs w:val="24"/>
          <w:highlight w:val="none"/>
        </w:rPr>
      </w:pPr>
      <w:r>
        <w:rPr>
          <w:rFonts w:hint="eastAsia"/>
          <w:b/>
          <w:color w:val="auto"/>
          <w:sz w:val="24"/>
          <w:szCs w:val="24"/>
          <w:highlight w:val="none"/>
        </w:rPr>
        <w:t>招标人应当根据项目情况在本章中明确相应的监理要求，一般应包括以下内容：</w:t>
      </w:r>
    </w:p>
    <w:p>
      <w:pPr>
        <w:spacing w:line="440" w:lineRule="exact"/>
        <w:ind w:firstLine="410" w:firstLineChars="171"/>
        <w:rPr>
          <w:color w:val="auto"/>
          <w:sz w:val="24"/>
          <w:szCs w:val="24"/>
          <w:highlight w:val="none"/>
        </w:rPr>
      </w:pPr>
      <w:r>
        <w:rPr>
          <w:color w:val="auto"/>
          <w:sz w:val="24"/>
          <w:szCs w:val="24"/>
          <w:highlight w:val="none"/>
        </w:rPr>
        <w:t xml:space="preserve">1. </w:t>
      </w:r>
      <w:r>
        <w:rPr>
          <w:rFonts w:hint="eastAsia"/>
          <w:color w:val="auto"/>
          <w:sz w:val="24"/>
          <w:szCs w:val="24"/>
          <w:highlight w:val="none"/>
        </w:rPr>
        <w:t>项目概况</w:t>
      </w:r>
    </w:p>
    <w:p>
      <w:pPr>
        <w:spacing w:line="440" w:lineRule="exact"/>
        <w:ind w:firstLine="410" w:firstLineChars="171"/>
        <w:rPr>
          <w:color w:val="auto"/>
          <w:sz w:val="24"/>
          <w:szCs w:val="24"/>
          <w:highlight w:val="none"/>
        </w:rPr>
      </w:pPr>
      <w:r>
        <w:rPr>
          <w:rFonts w:hint="eastAsia"/>
          <w:color w:val="auto"/>
          <w:sz w:val="24"/>
          <w:highlight w:val="none"/>
        </w:rPr>
        <w:t>海珠区十一号线地铁站道路修复工程，（1）新滘路位于广州市海珠区中部，为东西向的城市主干路，西起于工业大道，东止于科韵路，道路标准段宽50m。本项目范围内：新滘路（大塘站）：桩号范围为XJK0+490~XJK1+100，西起于上涌跨涌桥，东止于聚德西路路口往东80m处，长约0.610km；新滘路（石榴岗站）：桩号范围为XJK2+205~XJK2+840，西起于新滘中路（龙潭）公交站，东止于海珠湿地公园停车场入口，长约0.635km：新滘路（赤沙站）：桩号范围为XJK4+712.5~XJK5+365，西起于大滘涌跨涌桥，东止于仓头路路口，长约0.653km；新滘路范围共长1.898km。（2）会展东路位于广州市海珠区东北部，为南北向的城市次干路，南起于新港路，与琶洲大道东路相交，北至于阅江路，道路标准段宽40m~45m。本项目范围内：会展东路（琶洲站）：会展东路全路段，桩号范围为HZDK0+021.8~HZDK0+593.1，长约0.571km，以及新港路局部路段。本项目道路总长约2.469km。主要建设内容为：道路工程、交通工程及交通疏解、排水工程（管径DN1000mm以下）。</w:t>
      </w:r>
    </w:p>
    <w:p>
      <w:pPr>
        <w:spacing w:line="440" w:lineRule="exact"/>
        <w:ind w:firstLine="410" w:firstLineChars="171"/>
        <w:rPr>
          <w:color w:val="auto"/>
          <w:sz w:val="24"/>
          <w:szCs w:val="24"/>
          <w:highlight w:val="none"/>
        </w:rPr>
      </w:pPr>
      <w:r>
        <w:rPr>
          <w:color w:val="auto"/>
          <w:sz w:val="24"/>
          <w:szCs w:val="24"/>
          <w:highlight w:val="none"/>
        </w:rPr>
        <w:t xml:space="preserve">2. </w:t>
      </w:r>
      <w:r>
        <w:rPr>
          <w:rFonts w:hint="eastAsia"/>
          <w:color w:val="auto"/>
          <w:sz w:val="24"/>
          <w:szCs w:val="24"/>
          <w:highlight w:val="none"/>
        </w:rPr>
        <w:t>监理范围及内容</w:t>
      </w:r>
    </w:p>
    <w:p>
      <w:pPr>
        <w:spacing w:line="440" w:lineRule="exact"/>
        <w:ind w:firstLine="480" w:firstLineChars="200"/>
        <w:rPr>
          <w:color w:val="auto"/>
          <w:sz w:val="24"/>
          <w:highlight w:val="none"/>
        </w:rPr>
      </w:pPr>
      <w:r>
        <w:rPr>
          <w:rFonts w:hint="eastAsia"/>
          <w:color w:val="auto"/>
          <w:sz w:val="24"/>
          <w:highlight w:val="none"/>
        </w:rPr>
        <w:t>（1）本工程施工至保修阶段的监理工作，包括施工准备阶段、施工阶段、工程竣工阶段（包括但不限于竣工验收、整改、工程移交、工程结算等）及工程质量保修阶段的全过程监理工作。协助委托人做好开工前准备和筹划工作；负责安全、质量、技术文件审核、进度（月报、周报）、投资控制及合同管理（包括投资月报、审核工程量、审核工程预算和结算、工程款支付、签证变更及其造价审核及变更台帐的管理）；组织协调、安全文明施工管理；工程创优，协调招标人和工程建设各方的工作关系；组织各类验收、审核竣工资料（包括且不限于竣工验收及竣工验收资料移交城建档案、整改、工程移交及实物移交、竣工备案等）。</w:t>
      </w:r>
    </w:p>
    <w:p>
      <w:pPr>
        <w:spacing w:line="440" w:lineRule="exact"/>
        <w:ind w:firstLine="480" w:firstLineChars="200"/>
        <w:rPr>
          <w:color w:val="auto"/>
          <w:sz w:val="24"/>
          <w:highlight w:val="none"/>
        </w:rPr>
      </w:pPr>
      <w:r>
        <w:rPr>
          <w:rFonts w:hint="eastAsia" w:ascii="宋体" w:hAnsi="宋体"/>
          <w:color w:val="auto"/>
          <w:sz w:val="24"/>
          <w:highlight w:val="none"/>
        </w:rPr>
        <w:t>（2）属本</w:t>
      </w:r>
      <w:r>
        <w:rPr>
          <w:rFonts w:hint="eastAsia"/>
          <w:color w:val="auto"/>
          <w:sz w:val="24"/>
          <w:highlight w:val="none"/>
        </w:rPr>
        <w:t>工程的实施范围内（监理人具有相应的监理资质）的工作内容，均应包含在监理范围之内。在工程实施过程中工程量、设计范围、工程规模调整或设计变更在监理人监理资质范围内的，均属监理人监理范围。</w:t>
      </w:r>
    </w:p>
    <w:p>
      <w:pPr>
        <w:spacing w:line="440" w:lineRule="exact"/>
        <w:ind w:firstLine="480" w:firstLineChars="200"/>
        <w:rPr>
          <w:color w:val="auto"/>
          <w:sz w:val="24"/>
          <w:highlight w:val="none"/>
        </w:rPr>
      </w:pPr>
      <w:r>
        <w:rPr>
          <w:rFonts w:hint="eastAsia"/>
          <w:color w:val="auto"/>
          <w:sz w:val="24"/>
          <w:highlight w:val="none"/>
        </w:rPr>
        <w:t>（3）监理服务期限：从监理人收到中标通知书或参加由建设单位组织的第一次进场动员会之日起算，至所有工程保修期结束且办妥竣工结算止（此处竣工结算指政府终审部门进行的竣工结算）,包括本工程的施工准备期、全过程施工期、工程收尾期、工程质量保修等全过程监理服务。监理服务周期必须满足实际施工要求。</w:t>
      </w:r>
    </w:p>
    <w:p>
      <w:pPr>
        <w:spacing w:line="440" w:lineRule="exact"/>
        <w:ind w:firstLine="410" w:firstLineChars="171"/>
        <w:rPr>
          <w:color w:val="auto"/>
          <w:sz w:val="24"/>
          <w:szCs w:val="24"/>
          <w:highlight w:val="none"/>
        </w:rPr>
      </w:pPr>
      <w:r>
        <w:rPr>
          <w:color w:val="auto"/>
          <w:sz w:val="24"/>
          <w:szCs w:val="24"/>
          <w:highlight w:val="none"/>
        </w:rPr>
        <w:t xml:space="preserve">3. </w:t>
      </w:r>
      <w:r>
        <w:rPr>
          <w:rFonts w:hint="eastAsia"/>
          <w:color w:val="auto"/>
          <w:sz w:val="24"/>
          <w:szCs w:val="24"/>
          <w:highlight w:val="none"/>
        </w:rPr>
        <w:t>监理依据：</w:t>
      </w:r>
    </w:p>
    <w:p>
      <w:pPr>
        <w:spacing w:line="440" w:lineRule="exact"/>
        <w:ind w:firstLine="410" w:firstLineChars="171"/>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）适用的法律、行政法规及部门规章；</w:t>
      </w:r>
    </w:p>
    <w:p>
      <w:pPr>
        <w:spacing w:line="440" w:lineRule="exact"/>
        <w:ind w:firstLine="410" w:firstLineChars="171"/>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）与工程有关的规范、标准、规程；</w:t>
      </w:r>
    </w:p>
    <w:p>
      <w:pPr>
        <w:spacing w:line="440" w:lineRule="exact"/>
        <w:ind w:firstLine="410" w:firstLineChars="171"/>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）工程勘察文件、设计文件及其他文件；</w:t>
      </w:r>
    </w:p>
    <w:p>
      <w:pPr>
        <w:spacing w:line="440" w:lineRule="exact"/>
        <w:ind w:firstLine="410" w:firstLineChars="171"/>
        <w:rPr>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）本工程监理的委托合同及补充合同；</w:t>
      </w:r>
    </w:p>
    <w:p>
      <w:pPr>
        <w:spacing w:line="440" w:lineRule="exact"/>
        <w:ind w:firstLine="410" w:firstLineChars="171"/>
        <w:rPr>
          <w:color w:val="auto"/>
          <w:sz w:val="24"/>
          <w:szCs w:val="24"/>
          <w:highlight w:val="none"/>
        </w:rPr>
      </w:pPr>
      <w:r>
        <w:rPr>
          <w:rFonts w:hint="eastAsia"/>
          <w:color w:val="auto"/>
          <w:sz w:val="24"/>
          <w:szCs w:val="24"/>
          <w:highlight w:val="none"/>
        </w:rPr>
        <w:t>（</w:t>
      </w:r>
      <w:r>
        <w:rPr>
          <w:color w:val="auto"/>
          <w:sz w:val="24"/>
          <w:szCs w:val="24"/>
          <w:highlight w:val="none"/>
        </w:rPr>
        <w:t>5</w:t>
      </w:r>
      <w:r>
        <w:rPr>
          <w:rFonts w:hint="eastAsia"/>
          <w:color w:val="auto"/>
          <w:sz w:val="24"/>
          <w:szCs w:val="24"/>
          <w:highlight w:val="none"/>
        </w:rPr>
        <w:t>）委托人签订的勘察、设计和施工承包合同；</w:t>
      </w:r>
    </w:p>
    <w:p>
      <w:pPr>
        <w:spacing w:line="440" w:lineRule="exact"/>
        <w:ind w:firstLine="410" w:firstLineChars="171"/>
        <w:rPr>
          <w:color w:val="auto"/>
          <w:sz w:val="24"/>
          <w:szCs w:val="24"/>
          <w:highlight w:val="none"/>
        </w:rPr>
      </w:pPr>
      <w:r>
        <w:rPr>
          <w:rFonts w:hint="eastAsia"/>
          <w:color w:val="auto"/>
          <w:sz w:val="24"/>
          <w:szCs w:val="24"/>
          <w:highlight w:val="none"/>
        </w:rPr>
        <w:t>（</w:t>
      </w:r>
      <w:r>
        <w:rPr>
          <w:color w:val="auto"/>
          <w:sz w:val="24"/>
          <w:szCs w:val="24"/>
          <w:highlight w:val="none"/>
        </w:rPr>
        <w:t>6</w:t>
      </w:r>
      <w:r>
        <w:rPr>
          <w:rFonts w:hint="eastAsia"/>
          <w:color w:val="auto"/>
          <w:sz w:val="24"/>
          <w:szCs w:val="24"/>
          <w:highlight w:val="none"/>
        </w:rPr>
        <w:t>）合同履行中与监理服务有关的来往函件；</w:t>
      </w:r>
    </w:p>
    <w:p>
      <w:pPr>
        <w:spacing w:line="440" w:lineRule="exact"/>
        <w:ind w:firstLine="410" w:firstLineChars="171"/>
        <w:rPr>
          <w:color w:val="auto"/>
          <w:sz w:val="24"/>
          <w:szCs w:val="24"/>
          <w:highlight w:val="none"/>
        </w:rPr>
      </w:pPr>
      <w:r>
        <w:rPr>
          <w:rFonts w:hint="eastAsia"/>
          <w:color w:val="auto"/>
          <w:sz w:val="24"/>
          <w:szCs w:val="24"/>
          <w:highlight w:val="none"/>
        </w:rPr>
        <w:t>（</w:t>
      </w:r>
      <w:r>
        <w:rPr>
          <w:color w:val="auto"/>
          <w:sz w:val="24"/>
          <w:szCs w:val="24"/>
          <w:highlight w:val="none"/>
        </w:rPr>
        <w:t>7</w:t>
      </w:r>
      <w:r>
        <w:rPr>
          <w:rFonts w:hint="eastAsia"/>
          <w:color w:val="auto"/>
          <w:sz w:val="24"/>
          <w:szCs w:val="24"/>
          <w:highlight w:val="none"/>
        </w:rPr>
        <w:t>）其他监理依据。</w:t>
      </w:r>
    </w:p>
    <w:p>
      <w:pPr>
        <w:spacing w:line="440" w:lineRule="exact"/>
        <w:ind w:firstLine="410" w:firstLineChars="171"/>
        <w:rPr>
          <w:color w:val="auto"/>
          <w:sz w:val="24"/>
          <w:szCs w:val="24"/>
          <w:highlight w:val="none"/>
        </w:rPr>
      </w:pPr>
      <w:r>
        <w:rPr>
          <w:color w:val="auto"/>
          <w:sz w:val="24"/>
          <w:szCs w:val="24"/>
          <w:highlight w:val="none"/>
        </w:rPr>
        <w:t>4.</w:t>
      </w:r>
      <w:r>
        <w:rPr>
          <w:rFonts w:hint="eastAsia"/>
          <w:color w:val="auto"/>
          <w:sz w:val="24"/>
          <w:szCs w:val="24"/>
          <w:highlight w:val="none"/>
        </w:rPr>
        <w:t>监理的技术要求：</w:t>
      </w:r>
    </w:p>
    <w:p>
      <w:pPr>
        <w:spacing w:line="440" w:lineRule="exact"/>
        <w:ind w:firstLine="410" w:firstLineChars="171"/>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）符合法律、行政法规及部门规章；</w:t>
      </w:r>
    </w:p>
    <w:p>
      <w:pPr>
        <w:spacing w:line="440" w:lineRule="exact"/>
        <w:ind w:firstLine="410" w:firstLineChars="171"/>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）符合本工程有关的规范、标准、规程；</w:t>
      </w:r>
    </w:p>
    <w:p>
      <w:pPr>
        <w:spacing w:line="440" w:lineRule="exact"/>
        <w:ind w:firstLine="410" w:firstLineChars="171"/>
        <w:rPr>
          <w:color w:val="auto"/>
          <w:sz w:val="24"/>
          <w:szCs w:val="24"/>
          <w:highlight w:val="none"/>
        </w:rPr>
      </w:pPr>
      <w:r>
        <w:rPr>
          <w:color w:val="auto"/>
          <w:sz w:val="24"/>
          <w:szCs w:val="24"/>
          <w:highlight w:val="none"/>
        </w:rPr>
        <w:t>5.</w:t>
      </w:r>
      <w:r>
        <w:rPr>
          <w:rFonts w:hint="eastAsia"/>
          <w:color w:val="auto"/>
          <w:sz w:val="24"/>
          <w:szCs w:val="24"/>
          <w:highlight w:val="none"/>
        </w:rPr>
        <w:t>监理人员：</w:t>
      </w:r>
    </w:p>
    <w:p>
      <w:pPr>
        <w:spacing w:line="440" w:lineRule="exact"/>
        <w:ind w:firstLine="410" w:firstLineChars="171"/>
        <w:rPr>
          <w:color w:val="auto"/>
          <w:sz w:val="24"/>
          <w:szCs w:val="24"/>
          <w:highlight w:val="none"/>
        </w:rPr>
      </w:pPr>
      <w:r>
        <w:rPr>
          <w:rFonts w:hint="eastAsia"/>
          <w:color w:val="auto"/>
          <w:sz w:val="24"/>
          <w:szCs w:val="24"/>
          <w:highlight w:val="none"/>
        </w:rPr>
        <w:t>项目监理人员组成要求：</w:t>
      </w:r>
    </w:p>
    <w:p>
      <w:pPr>
        <w:ind w:firstLine="410" w:firstLineChars="171"/>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）总监理工程师：按招标公告。</w:t>
      </w:r>
    </w:p>
    <w:p>
      <w:pPr>
        <w:pStyle w:val="4"/>
        <w:spacing w:before="0" w:after="0" w:line="240" w:lineRule="auto"/>
        <w:ind w:firstLine="360" w:firstLineChars="150"/>
        <w:rPr>
          <w:rFonts w:ascii="Times New Roman" w:hAnsi="Times New Roman" w:eastAsia="宋体"/>
          <w:b w:val="0"/>
          <w:color w:val="auto"/>
          <w:sz w:val="24"/>
          <w:highlight w:val="none"/>
        </w:rPr>
      </w:pPr>
      <w:r>
        <w:rPr>
          <w:rFonts w:hint="eastAsia" w:ascii="Times New Roman" w:hAnsi="Times New Roman" w:eastAsia="宋体"/>
          <w:b w:val="0"/>
          <w:color w:val="auto"/>
          <w:sz w:val="24"/>
          <w:highlight w:val="none"/>
        </w:rPr>
        <w:t>（</w:t>
      </w:r>
      <w:r>
        <w:rPr>
          <w:rFonts w:ascii="Times New Roman" w:hAnsi="Times New Roman" w:eastAsia="宋体"/>
          <w:b w:val="0"/>
          <w:color w:val="auto"/>
          <w:sz w:val="24"/>
          <w:highlight w:val="none"/>
        </w:rPr>
        <w:t>2</w:t>
      </w:r>
      <w:r>
        <w:rPr>
          <w:rFonts w:hint="eastAsia" w:ascii="Times New Roman" w:hAnsi="Times New Roman" w:eastAsia="宋体"/>
          <w:b w:val="0"/>
          <w:color w:val="auto"/>
          <w:sz w:val="24"/>
          <w:highlight w:val="none"/>
        </w:rPr>
        <w:t>）专业监理人员配套要求：</w:t>
      </w:r>
      <w:r>
        <w:rPr>
          <w:rFonts w:hint="eastAsia" w:ascii="Times New Roman" w:hAnsi="Times New Roman" w:eastAsia="宋体"/>
          <w:bCs/>
          <w:color w:val="auto"/>
          <w:sz w:val="24"/>
          <w:highlight w:val="none"/>
        </w:rPr>
        <w:t>详见招标文件投标人须知10.5要求</w:t>
      </w:r>
      <w:r>
        <w:rPr>
          <w:rFonts w:hint="eastAsia" w:ascii="Times New Roman" w:hAnsi="Times New Roman" w:eastAsia="宋体"/>
          <w:b w:val="0"/>
          <w:color w:val="auto"/>
          <w:sz w:val="24"/>
          <w:highlight w:val="none"/>
        </w:rPr>
        <w:t>。</w:t>
      </w:r>
    </w:p>
    <w:p>
      <w:pPr>
        <w:spacing w:line="440" w:lineRule="exact"/>
        <w:ind w:firstLine="410" w:firstLineChars="171"/>
        <w:rPr>
          <w:color w:val="auto"/>
          <w:sz w:val="24"/>
          <w:szCs w:val="24"/>
          <w:highlight w:val="none"/>
        </w:rPr>
      </w:pPr>
      <w:r>
        <w:rPr>
          <w:color w:val="auto"/>
          <w:sz w:val="24"/>
          <w:szCs w:val="24"/>
          <w:highlight w:val="none"/>
        </w:rPr>
        <w:t>6.</w:t>
      </w:r>
      <w:r>
        <w:rPr>
          <w:rFonts w:hint="eastAsia"/>
          <w:color w:val="auto"/>
          <w:sz w:val="24"/>
          <w:szCs w:val="24"/>
          <w:highlight w:val="none"/>
        </w:rPr>
        <w:t>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pPr>
        <w:spacing w:line="440" w:lineRule="exact"/>
        <w:ind w:firstLine="410" w:firstLineChars="171"/>
        <w:rPr>
          <w:color w:val="auto"/>
          <w:sz w:val="24"/>
          <w:szCs w:val="24"/>
          <w:highlight w:val="none"/>
        </w:rPr>
      </w:pPr>
      <w:r>
        <w:rPr>
          <w:color w:val="auto"/>
          <w:sz w:val="24"/>
          <w:szCs w:val="24"/>
          <w:highlight w:val="none"/>
        </w:rPr>
        <w:t xml:space="preserve"> 7.</w:t>
      </w:r>
      <w:r>
        <w:rPr>
          <w:rFonts w:hint="eastAsia"/>
          <w:color w:val="auto"/>
          <w:sz w:val="24"/>
          <w:szCs w:val="24"/>
          <w:highlight w:val="none"/>
        </w:rPr>
        <w:t>监理工作目标要求</w:t>
      </w:r>
    </w:p>
    <w:p>
      <w:pPr>
        <w:spacing w:line="440" w:lineRule="exact"/>
        <w:ind w:firstLine="410" w:firstLineChars="171"/>
        <w:rPr>
          <w:rFonts w:ascii="宋体"/>
          <w:color w:val="auto"/>
          <w:sz w:val="24"/>
          <w:szCs w:val="24"/>
          <w:highlight w:val="none"/>
        </w:rPr>
      </w:pPr>
      <w:r>
        <w:rPr>
          <w:rFonts w:hint="eastAsia"/>
          <w:color w:val="auto"/>
          <w:sz w:val="24"/>
          <w:szCs w:val="24"/>
          <w:highlight w:val="none"/>
        </w:rPr>
        <w:t>①质量控制目标：</w:t>
      </w:r>
      <w:r>
        <w:rPr>
          <w:rFonts w:hint="eastAsia" w:ascii="宋体" w:hAnsi="宋体" w:cs="宋体"/>
          <w:color w:val="auto"/>
          <w:sz w:val="24"/>
          <w:szCs w:val="24"/>
          <w:highlight w:val="none"/>
        </w:rPr>
        <w:t>按照国家最新颁布《市政基础设施工程施工质量验收统一标准》及相应配套的各专业验收规范，验收合格</w:t>
      </w:r>
    </w:p>
    <w:p>
      <w:pPr>
        <w:spacing w:line="440" w:lineRule="exact"/>
        <w:ind w:left="315" w:leftChars="150" w:firstLine="50" w:firstLineChars="21"/>
        <w:rPr>
          <w:rFonts w:ascii="宋体"/>
          <w:color w:val="auto"/>
          <w:sz w:val="24"/>
          <w:szCs w:val="24"/>
          <w:highlight w:val="none"/>
        </w:rPr>
      </w:pPr>
      <w:r>
        <w:rPr>
          <w:rFonts w:hint="eastAsia" w:ascii="宋体"/>
          <w:color w:val="auto"/>
          <w:sz w:val="24"/>
          <w:szCs w:val="24"/>
          <w:highlight w:val="none"/>
        </w:rPr>
        <w:t>②进度控制目标：</w:t>
      </w:r>
      <w:r>
        <w:rPr>
          <w:rFonts w:hint="eastAsia" w:ascii="宋体" w:hAnsi="宋体"/>
          <w:color w:val="auto"/>
          <w:sz w:val="24"/>
          <w:szCs w:val="24"/>
          <w:highlight w:val="none"/>
        </w:rPr>
        <w:t>施工工期为业主下达开工令或开工报告审批之日起按施工进度要求控制，施工总工期按施工合同进度要求。</w:t>
      </w:r>
    </w:p>
    <w:p>
      <w:pPr>
        <w:spacing w:line="440" w:lineRule="exact"/>
        <w:ind w:left="2279" w:leftChars="171" w:hanging="1920" w:hangingChars="800"/>
        <w:rPr>
          <w:rFonts w:ascii="宋体"/>
          <w:color w:val="auto"/>
          <w:sz w:val="24"/>
          <w:szCs w:val="24"/>
          <w:highlight w:val="none"/>
        </w:rPr>
      </w:pPr>
      <w:r>
        <w:rPr>
          <w:rFonts w:hint="eastAsia" w:ascii="宋体"/>
          <w:color w:val="auto"/>
          <w:sz w:val="24"/>
          <w:szCs w:val="24"/>
          <w:highlight w:val="none"/>
        </w:rPr>
        <w:t>③投资控制目标：</w:t>
      </w:r>
      <w:r>
        <w:rPr>
          <w:rFonts w:hint="eastAsia" w:ascii="宋体" w:hAnsi="宋体"/>
          <w:color w:val="auto"/>
          <w:sz w:val="24"/>
          <w:szCs w:val="24"/>
          <w:highlight w:val="none"/>
          <w:u w:val="single"/>
        </w:rPr>
        <w:t>按照合同执行。</w:t>
      </w:r>
    </w:p>
    <w:p>
      <w:pPr>
        <w:spacing w:line="440" w:lineRule="exact"/>
        <w:ind w:left="315" w:leftChars="150" w:firstLine="50" w:firstLineChars="21"/>
        <w:rPr>
          <w:rFonts w:ascii="宋体"/>
          <w:color w:val="auto"/>
          <w:sz w:val="24"/>
          <w:szCs w:val="24"/>
          <w:highlight w:val="none"/>
        </w:rPr>
      </w:pPr>
      <w:r>
        <w:rPr>
          <w:rFonts w:hint="eastAsia" w:ascii="宋体"/>
          <w:color w:val="auto"/>
          <w:sz w:val="24"/>
          <w:szCs w:val="24"/>
          <w:highlight w:val="none"/>
        </w:rPr>
        <w:t>④安全文明管理目标：杜绝发生重大安全事故。</w:t>
      </w:r>
    </w:p>
    <w:p>
      <w:pPr>
        <w:spacing w:line="440" w:lineRule="exact"/>
        <w:ind w:left="315" w:leftChars="150" w:firstLine="50" w:firstLineChars="21"/>
        <w:rPr>
          <w:rFonts w:ascii="宋体"/>
          <w:color w:val="auto"/>
          <w:sz w:val="24"/>
          <w:szCs w:val="24"/>
          <w:highlight w:val="none"/>
        </w:rPr>
      </w:pPr>
      <w:r>
        <w:rPr>
          <w:rFonts w:hint="eastAsia" w:ascii="宋体"/>
          <w:color w:val="auto"/>
          <w:sz w:val="24"/>
          <w:szCs w:val="24"/>
          <w:highlight w:val="none"/>
        </w:rPr>
        <w:t>⑤合同管理目标：按照</w:t>
      </w:r>
      <w:r>
        <w:rPr>
          <w:rFonts w:ascii="宋体"/>
          <w:color w:val="auto"/>
          <w:sz w:val="24"/>
          <w:szCs w:val="24"/>
          <w:highlight w:val="none"/>
        </w:rPr>
        <w:t>合同执行</w:t>
      </w:r>
      <w:r>
        <w:rPr>
          <w:rFonts w:hint="eastAsia" w:ascii="宋体"/>
          <w:color w:val="auto"/>
          <w:sz w:val="24"/>
          <w:szCs w:val="24"/>
          <w:highlight w:val="none"/>
        </w:rPr>
        <w:t>。</w:t>
      </w:r>
    </w:p>
    <w:p>
      <w:pPr>
        <w:spacing w:line="440" w:lineRule="exact"/>
        <w:ind w:left="315" w:leftChars="150" w:firstLine="50" w:firstLineChars="21"/>
        <w:rPr>
          <w:rFonts w:ascii="宋体"/>
          <w:color w:val="auto"/>
          <w:sz w:val="24"/>
          <w:szCs w:val="24"/>
          <w:highlight w:val="none"/>
        </w:rPr>
      </w:pPr>
      <w:r>
        <w:rPr>
          <w:rFonts w:hint="eastAsia" w:ascii="宋体"/>
          <w:color w:val="auto"/>
          <w:sz w:val="24"/>
          <w:szCs w:val="24"/>
          <w:highlight w:val="none"/>
        </w:rPr>
        <w:t>⑥信息管理目标：按照</w:t>
      </w:r>
      <w:r>
        <w:rPr>
          <w:rFonts w:ascii="宋体"/>
          <w:color w:val="auto"/>
          <w:sz w:val="24"/>
          <w:szCs w:val="24"/>
          <w:highlight w:val="none"/>
        </w:rPr>
        <w:t>合同执行</w:t>
      </w:r>
      <w:r>
        <w:rPr>
          <w:rFonts w:hint="eastAsia" w:ascii="宋体"/>
          <w:color w:val="auto"/>
          <w:sz w:val="24"/>
          <w:szCs w:val="24"/>
          <w:highlight w:val="none"/>
        </w:rPr>
        <w:t>。</w:t>
      </w:r>
    </w:p>
    <w:p>
      <w:pPr>
        <w:spacing w:line="440" w:lineRule="exact"/>
        <w:ind w:left="315" w:leftChars="150" w:firstLine="50" w:firstLineChars="21"/>
        <w:rPr>
          <w:color w:val="auto"/>
          <w:sz w:val="24"/>
          <w:szCs w:val="24"/>
          <w:highlight w:val="none"/>
        </w:rPr>
      </w:pPr>
      <w:r>
        <w:rPr>
          <w:rFonts w:hint="eastAsia" w:ascii="宋体"/>
          <w:color w:val="auto"/>
          <w:sz w:val="24"/>
          <w:szCs w:val="24"/>
          <w:highlight w:val="none"/>
        </w:rPr>
        <w:t>⑦建筑节能目标：按照</w:t>
      </w:r>
      <w:r>
        <w:rPr>
          <w:rFonts w:ascii="宋体"/>
          <w:color w:val="auto"/>
          <w:sz w:val="24"/>
          <w:szCs w:val="24"/>
          <w:highlight w:val="none"/>
        </w:rPr>
        <w:t>合同执行</w:t>
      </w:r>
      <w:r>
        <w:rPr>
          <w:rFonts w:hint="eastAsia" w:ascii="宋体"/>
          <w:color w:val="auto"/>
          <w:sz w:val="24"/>
          <w:szCs w:val="24"/>
          <w:highlight w:val="none"/>
        </w:rPr>
        <w:t>。</w:t>
      </w:r>
    </w:p>
    <w:p>
      <w:pPr>
        <w:spacing w:line="440" w:lineRule="exact"/>
        <w:ind w:firstLine="410" w:firstLineChars="171"/>
        <w:rPr>
          <w:color w:val="auto"/>
          <w:sz w:val="24"/>
          <w:szCs w:val="24"/>
          <w:highlight w:val="none"/>
        </w:rPr>
      </w:pPr>
      <w:r>
        <w:rPr>
          <w:color w:val="auto"/>
          <w:sz w:val="24"/>
          <w:szCs w:val="24"/>
          <w:highlight w:val="none"/>
        </w:rPr>
        <w:t xml:space="preserve">8. </w:t>
      </w:r>
      <w:r>
        <w:rPr>
          <w:rFonts w:hint="eastAsia"/>
          <w:color w:val="auto"/>
          <w:sz w:val="24"/>
          <w:szCs w:val="24"/>
          <w:highlight w:val="none"/>
        </w:rPr>
        <w:t>其他要求</w:t>
      </w:r>
    </w:p>
    <w:p>
      <w:pPr>
        <w:pStyle w:val="4"/>
        <w:keepNext w:val="0"/>
        <w:keepLines w:val="0"/>
        <w:spacing w:line="240" w:lineRule="auto"/>
        <w:rPr>
          <w:rFonts w:ascii="Times New Roman" w:hAnsi="Times New Roman"/>
          <w:b w:val="0"/>
          <w:color w:val="auto"/>
          <w:sz w:val="28"/>
          <w:szCs w:val="28"/>
          <w:highlight w:val="none"/>
        </w:rPr>
      </w:pPr>
      <w:bookmarkStart w:id="158" w:name="_Toc531273854"/>
      <w:bookmarkStart w:id="159" w:name="_Toc482188638"/>
      <w:bookmarkStart w:id="160" w:name="_Toc511557111"/>
      <w:r>
        <w:rPr>
          <w:rFonts w:hint="eastAsia" w:ascii="Times New Roman" w:hAnsi="Times New Roman"/>
          <w:b w:val="0"/>
          <w:color w:val="auto"/>
          <w:sz w:val="28"/>
          <w:szCs w:val="28"/>
          <w:highlight w:val="none"/>
        </w:rPr>
        <w:t>二、适用规范标准</w:t>
      </w:r>
      <w:bookmarkEnd w:id="158"/>
      <w:bookmarkEnd w:id="159"/>
      <w:bookmarkEnd w:id="160"/>
    </w:p>
    <w:p>
      <w:pPr>
        <w:spacing w:line="360" w:lineRule="auto"/>
        <w:ind w:firstLine="480" w:firstLineChars="200"/>
        <w:rPr>
          <w:rFonts w:ascii="宋体"/>
          <w:color w:val="auto"/>
          <w:sz w:val="24"/>
          <w:szCs w:val="24"/>
          <w:highlight w:val="none"/>
        </w:rPr>
      </w:pPr>
      <w:r>
        <w:rPr>
          <w:color w:val="auto"/>
          <w:sz w:val="24"/>
          <w:szCs w:val="24"/>
          <w:highlight w:val="none"/>
        </w:rPr>
        <w:t xml:space="preserve">1. </w:t>
      </w:r>
      <w:r>
        <w:rPr>
          <w:rFonts w:hint="eastAsia"/>
          <w:color w:val="auto"/>
          <w:sz w:val="24"/>
          <w:szCs w:val="24"/>
          <w:highlight w:val="none"/>
        </w:rPr>
        <w:t>国家、行业、项目所在地规范名录：</w:t>
      </w:r>
      <w:r>
        <w:rPr>
          <w:rFonts w:hint="eastAsia" w:ascii="宋体" w:hAnsi="宋体"/>
          <w:color w:val="auto"/>
          <w:sz w:val="24"/>
          <w:szCs w:val="24"/>
          <w:highlight w:val="none"/>
          <w:u w:val="single"/>
        </w:rPr>
        <w:t>《建设工程监理规范》</w:t>
      </w:r>
      <w:r>
        <w:rPr>
          <w:rFonts w:ascii="宋体" w:hAnsi="宋体"/>
          <w:color w:val="auto"/>
          <w:sz w:val="24"/>
          <w:szCs w:val="24"/>
          <w:highlight w:val="none"/>
          <w:u w:val="single"/>
        </w:rPr>
        <w:t>GB/T50319-2013</w:t>
      </w:r>
      <w:r>
        <w:rPr>
          <w:rFonts w:hint="eastAsia" w:ascii="宋体" w:hAnsi="宋体"/>
          <w:color w:val="auto"/>
          <w:sz w:val="24"/>
          <w:szCs w:val="24"/>
          <w:highlight w:val="none"/>
          <w:u w:val="single"/>
        </w:rPr>
        <w:t>，按国家、行业、项目所在地规范名录执行。</w:t>
      </w:r>
    </w:p>
    <w:p>
      <w:pPr>
        <w:spacing w:line="360" w:lineRule="auto"/>
        <w:ind w:firstLine="480" w:firstLineChars="200"/>
        <w:rPr>
          <w:color w:val="auto"/>
          <w:sz w:val="24"/>
          <w:szCs w:val="24"/>
          <w:highlight w:val="none"/>
        </w:rPr>
      </w:pPr>
      <w:r>
        <w:rPr>
          <w:color w:val="auto"/>
          <w:sz w:val="24"/>
          <w:szCs w:val="24"/>
          <w:highlight w:val="none"/>
        </w:rPr>
        <w:t xml:space="preserve">2. </w:t>
      </w:r>
      <w:r>
        <w:rPr>
          <w:rFonts w:hint="eastAsia"/>
          <w:color w:val="auto"/>
          <w:sz w:val="24"/>
          <w:szCs w:val="24"/>
          <w:highlight w:val="none"/>
        </w:rPr>
        <w:t>国家、行业、项目所在地标准名录：</w:t>
      </w:r>
      <w:r>
        <w:rPr>
          <w:rFonts w:hint="eastAsia" w:ascii="宋体" w:hAnsi="宋体"/>
          <w:color w:val="auto"/>
          <w:sz w:val="24"/>
          <w:szCs w:val="24"/>
          <w:highlight w:val="none"/>
          <w:u w:val="single"/>
        </w:rPr>
        <w:t>按国家、行业、项目所在地规范标准执行。</w:t>
      </w:r>
    </w:p>
    <w:p>
      <w:pPr>
        <w:spacing w:line="360" w:lineRule="auto"/>
        <w:ind w:firstLine="480" w:firstLineChars="200"/>
        <w:rPr>
          <w:color w:val="auto"/>
          <w:sz w:val="24"/>
          <w:szCs w:val="24"/>
          <w:highlight w:val="none"/>
        </w:rPr>
      </w:pPr>
      <w:r>
        <w:rPr>
          <w:color w:val="auto"/>
          <w:sz w:val="24"/>
          <w:szCs w:val="24"/>
          <w:highlight w:val="none"/>
        </w:rPr>
        <w:t xml:space="preserve">3. </w:t>
      </w:r>
      <w:r>
        <w:rPr>
          <w:rFonts w:hint="eastAsia"/>
          <w:color w:val="auto"/>
          <w:sz w:val="24"/>
          <w:szCs w:val="24"/>
          <w:highlight w:val="none"/>
        </w:rPr>
        <w:t>国家、行业、项目所在地规程名录</w:t>
      </w:r>
      <w:r>
        <w:rPr>
          <w:rFonts w:hint="eastAsia" w:ascii="宋体" w:hAnsi="宋体"/>
          <w:color w:val="auto"/>
          <w:sz w:val="24"/>
          <w:szCs w:val="24"/>
          <w:highlight w:val="none"/>
        </w:rPr>
        <w:t>：</w:t>
      </w:r>
      <w:r>
        <w:rPr>
          <w:rFonts w:hint="eastAsia" w:ascii="宋体" w:hAnsi="宋体"/>
          <w:color w:val="auto"/>
          <w:sz w:val="24"/>
          <w:szCs w:val="24"/>
          <w:highlight w:val="none"/>
          <w:u w:val="single"/>
        </w:rPr>
        <w:t>按国家、行业、项目所在地规范规程执行。</w:t>
      </w:r>
    </w:p>
    <w:p>
      <w:pPr>
        <w:pStyle w:val="4"/>
        <w:keepNext w:val="0"/>
        <w:keepLines w:val="0"/>
        <w:spacing w:line="240" w:lineRule="auto"/>
        <w:rPr>
          <w:rFonts w:ascii="Times New Roman" w:hAnsi="Times New Roman"/>
          <w:b w:val="0"/>
          <w:color w:val="auto"/>
          <w:sz w:val="28"/>
          <w:szCs w:val="28"/>
          <w:highlight w:val="none"/>
        </w:rPr>
      </w:pPr>
      <w:bookmarkStart w:id="161" w:name="_Toc482188639"/>
      <w:bookmarkStart w:id="162" w:name="_Toc531273855"/>
      <w:bookmarkStart w:id="163" w:name="_Toc511557112"/>
      <w:r>
        <w:rPr>
          <w:rFonts w:hint="eastAsia" w:ascii="Times New Roman" w:hAnsi="Times New Roman"/>
          <w:b w:val="0"/>
          <w:color w:val="auto"/>
          <w:sz w:val="28"/>
          <w:szCs w:val="28"/>
          <w:highlight w:val="none"/>
        </w:rPr>
        <w:t>三、成果文件要求</w:t>
      </w:r>
      <w:bookmarkEnd w:id="161"/>
      <w:bookmarkEnd w:id="162"/>
      <w:bookmarkEnd w:id="163"/>
    </w:p>
    <w:p>
      <w:pPr>
        <w:snapToGrid w:val="0"/>
        <w:spacing w:line="360" w:lineRule="auto"/>
        <w:rPr>
          <w:rFonts w:ascii="宋体"/>
          <w:color w:val="auto"/>
          <w:sz w:val="24"/>
          <w:szCs w:val="21"/>
          <w:highlight w:val="none"/>
        </w:rPr>
      </w:pPr>
      <w:r>
        <w:rPr>
          <w:rFonts w:hint="eastAsia" w:ascii="宋体" w:hAnsi="宋体"/>
          <w:color w:val="auto"/>
          <w:sz w:val="24"/>
          <w:szCs w:val="21"/>
          <w:highlight w:val="none"/>
        </w:rPr>
        <w:t>按《建设工程监理规范》（</w:t>
      </w:r>
      <w:r>
        <w:rPr>
          <w:rFonts w:ascii="宋体" w:hAnsi="宋体"/>
          <w:color w:val="auto"/>
          <w:sz w:val="24"/>
          <w:szCs w:val="21"/>
          <w:highlight w:val="none"/>
        </w:rPr>
        <w:t>GB/T50319-2013</w:t>
      </w:r>
      <w:r>
        <w:rPr>
          <w:rFonts w:hint="eastAsia" w:ascii="宋体" w:hAnsi="宋体"/>
          <w:color w:val="auto"/>
          <w:sz w:val="24"/>
          <w:szCs w:val="21"/>
          <w:highlight w:val="none"/>
        </w:rPr>
        <w:t>）和招标人要求</w:t>
      </w:r>
    </w:p>
    <w:p>
      <w:pPr>
        <w:spacing w:line="360" w:lineRule="auto"/>
        <w:ind w:firstLine="480" w:firstLineChars="200"/>
        <w:rPr>
          <w:color w:val="auto"/>
          <w:sz w:val="24"/>
          <w:szCs w:val="21"/>
          <w:highlight w:val="none"/>
        </w:rPr>
      </w:pPr>
      <w:r>
        <w:rPr>
          <w:color w:val="auto"/>
          <w:sz w:val="24"/>
          <w:szCs w:val="21"/>
          <w:highlight w:val="none"/>
        </w:rPr>
        <w:t xml:space="preserve">1. </w:t>
      </w:r>
      <w:r>
        <w:rPr>
          <w:rFonts w:hint="eastAsia"/>
          <w:color w:val="auto"/>
          <w:sz w:val="24"/>
          <w:szCs w:val="21"/>
          <w:highlight w:val="none"/>
        </w:rPr>
        <w:t>成果文件的组成</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1</w:t>
      </w:r>
      <w:r>
        <w:rPr>
          <w:rFonts w:hint="eastAsia" w:ascii="宋体" w:hAnsi="宋体"/>
          <w:color w:val="auto"/>
          <w:sz w:val="24"/>
          <w:szCs w:val="21"/>
          <w:highlight w:val="none"/>
          <w:u w:val="single"/>
        </w:rPr>
        <w:t>、勘察设计文件、建设工程监理合同及其他合同文件；</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2</w:t>
      </w:r>
      <w:r>
        <w:rPr>
          <w:rFonts w:hint="eastAsia" w:ascii="宋体" w:hAnsi="宋体"/>
          <w:color w:val="auto"/>
          <w:sz w:val="24"/>
          <w:szCs w:val="21"/>
          <w:highlight w:val="none"/>
          <w:u w:val="single"/>
        </w:rPr>
        <w:t>、监理规划、监理实施细则；</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3</w:t>
      </w:r>
      <w:r>
        <w:rPr>
          <w:rFonts w:hint="eastAsia" w:ascii="宋体" w:hAnsi="宋体"/>
          <w:color w:val="auto"/>
          <w:sz w:val="24"/>
          <w:szCs w:val="21"/>
          <w:highlight w:val="none"/>
          <w:u w:val="single"/>
        </w:rPr>
        <w:t>、设计交底和图纸会审会议纪要；</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4</w:t>
      </w:r>
      <w:r>
        <w:rPr>
          <w:rFonts w:hint="eastAsia" w:ascii="宋体" w:hAnsi="宋体"/>
          <w:color w:val="auto"/>
          <w:sz w:val="24"/>
          <w:szCs w:val="21"/>
          <w:highlight w:val="none"/>
          <w:u w:val="single"/>
        </w:rPr>
        <w:t>、施工组织设计、（专项）施工方案、施工进度计划报审文件资料；</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5</w:t>
      </w:r>
      <w:r>
        <w:rPr>
          <w:rFonts w:hint="eastAsia" w:ascii="宋体" w:hAnsi="宋体"/>
          <w:color w:val="auto"/>
          <w:sz w:val="24"/>
          <w:szCs w:val="21"/>
          <w:highlight w:val="none"/>
          <w:u w:val="single"/>
        </w:rPr>
        <w:t>、分包单位资格报审文件资料；</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6</w:t>
      </w:r>
      <w:r>
        <w:rPr>
          <w:rFonts w:hint="eastAsia" w:ascii="宋体" w:hAnsi="宋体"/>
          <w:color w:val="auto"/>
          <w:sz w:val="24"/>
          <w:szCs w:val="21"/>
          <w:highlight w:val="none"/>
          <w:u w:val="single"/>
        </w:rPr>
        <w:t>、施工控制测量成果报验文件资料；</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7</w:t>
      </w:r>
      <w:r>
        <w:rPr>
          <w:rFonts w:hint="eastAsia" w:ascii="宋体" w:hAnsi="宋体"/>
          <w:color w:val="auto"/>
          <w:sz w:val="24"/>
          <w:szCs w:val="21"/>
          <w:highlight w:val="none"/>
          <w:u w:val="single"/>
        </w:rPr>
        <w:t>、总监理工程师任命书、工程开工令、暂停令、复工令、开工或复工报审文件资料；</w:t>
      </w:r>
    </w:p>
    <w:p>
      <w:pPr>
        <w:numPr>
          <w:ilvl w:val="0"/>
          <w:numId w:val="2"/>
        </w:numPr>
        <w:tabs>
          <w:tab w:val="left" w:pos="680"/>
        </w:tabs>
        <w:snapToGrid w:val="0"/>
        <w:spacing w:after="200" w:line="360" w:lineRule="auto"/>
        <w:ind w:firstLine="480" w:firstLineChars="200"/>
        <w:jc w:val="left"/>
        <w:rPr>
          <w:rFonts w:ascii="宋体" w:hAnsi="宋体"/>
          <w:color w:val="auto"/>
          <w:sz w:val="24"/>
          <w:szCs w:val="21"/>
          <w:highlight w:val="none"/>
          <w:u w:val="single"/>
        </w:rPr>
      </w:pPr>
      <w:r>
        <w:rPr>
          <w:rFonts w:ascii="宋体" w:hAnsi="宋体"/>
          <w:color w:val="auto"/>
          <w:sz w:val="24"/>
          <w:szCs w:val="21"/>
          <w:highlight w:val="none"/>
          <w:u w:val="single"/>
        </w:rPr>
        <w:t>8</w:t>
      </w:r>
      <w:r>
        <w:rPr>
          <w:rFonts w:hint="eastAsia" w:ascii="宋体" w:hAnsi="宋体"/>
          <w:color w:val="auto"/>
          <w:sz w:val="24"/>
          <w:szCs w:val="21"/>
          <w:highlight w:val="none"/>
          <w:u w:val="single"/>
        </w:rPr>
        <w:t>、工程材料、设备、构配件报验文件资料；</w:t>
      </w:r>
    </w:p>
    <w:p>
      <w:pPr>
        <w:numPr>
          <w:ilvl w:val="0"/>
          <w:numId w:val="2"/>
        </w:numPr>
        <w:tabs>
          <w:tab w:val="left" w:pos="680"/>
        </w:tabs>
        <w:snapToGrid w:val="0"/>
        <w:spacing w:after="200" w:line="360" w:lineRule="auto"/>
        <w:ind w:firstLine="480" w:firstLineChars="200"/>
        <w:jc w:val="left"/>
        <w:rPr>
          <w:rFonts w:ascii="宋体" w:hAnsi="宋体"/>
          <w:color w:val="auto"/>
          <w:sz w:val="24"/>
          <w:szCs w:val="21"/>
          <w:highlight w:val="none"/>
          <w:u w:val="single"/>
        </w:rPr>
      </w:pPr>
      <w:r>
        <w:rPr>
          <w:rFonts w:hint="eastAsia" w:ascii="宋体" w:hAnsi="宋体"/>
          <w:color w:val="auto"/>
          <w:sz w:val="24"/>
          <w:szCs w:val="21"/>
          <w:highlight w:val="none"/>
          <w:u w:val="single"/>
        </w:rPr>
        <w:t>9、施工过程监测成果报验文件资料；</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hint="eastAsia" w:ascii="宋体" w:hAnsi="宋体"/>
          <w:color w:val="auto"/>
          <w:sz w:val="24"/>
          <w:szCs w:val="21"/>
          <w:highlight w:val="none"/>
          <w:u w:val="single"/>
        </w:rPr>
        <w:t>10、见证取样和平行检验文件资料；</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1</w:t>
      </w:r>
      <w:r>
        <w:rPr>
          <w:rFonts w:hint="eastAsia" w:ascii="宋体" w:hAnsi="宋体"/>
          <w:color w:val="auto"/>
          <w:sz w:val="24"/>
          <w:szCs w:val="21"/>
          <w:highlight w:val="none"/>
          <w:u w:val="single"/>
        </w:rPr>
        <w:t>1、工程质量检查报验资料及工程有关验收资料；</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1</w:t>
      </w:r>
      <w:r>
        <w:rPr>
          <w:rFonts w:hint="eastAsia" w:ascii="宋体" w:hAnsi="宋体"/>
          <w:color w:val="auto"/>
          <w:sz w:val="24"/>
          <w:szCs w:val="21"/>
          <w:highlight w:val="none"/>
          <w:u w:val="single"/>
        </w:rPr>
        <w:t>2、工程变更、费用索赔及工程延期文件资料；</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1</w:t>
      </w:r>
      <w:r>
        <w:rPr>
          <w:rFonts w:hint="eastAsia" w:ascii="宋体" w:hAnsi="宋体"/>
          <w:color w:val="auto"/>
          <w:sz w:val="24"/>
          <w:szCs w:val="21"/>
          <w:highlight w:val="none"/>
          <w:u w:val="single"/>
        </w:rPr>
        <w:t>3、工程计量、工程款支付文件资料；</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1</w:t>
      </w:r>
      <w:r>
        <w:rPr>
          <w:rFonts w:hint="eastAsia" w:ascii="宋体" w:hAnsi="宋体"/>
          <w:color w:val="auto"/>
          <w:sz w:val="24"/>
          <w:szCs w:val="21"/>
          <w:highlight w:val="none"/>
          <w:u w:val="single"/>
        </w:rPr>
        <w:t>4、监理通知单、工作联系单与监理报告；</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1</w:t>
      </w:r>
      <w:r>
        <w:rPr>
          <w:rFonts w:hint="eastAsia" w:ascii="宋体" w:hAnsi="宋体"/>
          <w:color w:val="auto"/>
          <w:sz w:val="24"/>
          <w:szCs w:val="21"/>
          <w:highlight w:val="none"/>
          <w:u w:val="single"/>
        </w:rPr>
        <w:t>5、第一次工地会议、监理例会、专题会议等会议纪要；</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1</w:t>
      </w:r>
      <w:r>
        <w:rPr>
          <w:rFonts w:hint="eastAsia" w:ascii="宋体" w:hAnsi="宋体"/>
          <w:color w:val="auto"/>
          <w:sz w:val="24"/>
          <w:szCs w:val="21"/>
          <w:highlight w:val="none"/>
          <w:u w:val="single"/>
        </w:rPr>
        <w:t>6、监理周报、月报、监理日志、旁站记录；</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1</w:t>
      </w:r>
      <w:r>
        <w:rPr>
          <w:rFonts w:hint="eastAsia" w:ascii="宋体" w:hAnsi="宋体"/>
          <w:color w:val="auto"/>
          <w:sz w:val="24"/>
          <w:szCs w:val="21"/>
          <w:highlight w:val="none"/>
          <w:u w:val="single"/>
        </w:rPr>
        <w:t>7、工程质量或生产安全事故处理文件资料；</w:t>
      </w:r>
    </w:p>
    <w:p>
      <w:pPr>
        <w:numPr>
          <w:ilvl w:val="0"/>
          <w:numId w:val="2"/>
        </w:numPr>
        <w:tabs>
          <w:tab w:val="left" w:pos="680"/>
        </w:tabs>
        <w:snapToGrid w:val="0"/>
        <w:spacing w:after="200" w:line="360" w:lineRule="auto"/>
        <w:ind w:firstLine="480" w:firstLineChars="200"/>
        <w:jc w:val="left"/>
        <w:rPr>
          <w:rFonts w:ascii="宋体"/>
          <w:color w:val="auto"/>
          <w:sz w:val="24"/>
          <w:szCs w:val="21"/>
          <w:highlight w:val="none"/>
          <w:u w:val="single"/>
        </w:rPr>
      </w:pPr>
      <w:r>
        <w:rPr>
          <w:rFonts w:ascii="宋体" w:hAnsi="宋体"/>
          <w:color w:val="auto"/>
          <w:sz w:val="24"/>
          <w:szCs w:val="21"/>
          <w:highlight w:val="none"/>
          <w:u w:val="single"/>
        </w:rPr>
        <w:t>1</w:t>
      </w:r>
      <w:r>
        <w:rPr>
          <w:rFonts w:hint="eastAsia" w:ascii="宋体" w:hAnsi="宋体"/>
          <w:color w:val="auto"/>
          <w:sz w:val="24"/>
          <w:szCs w:val="21"/>
          <w:highlight w:val="none"/>
          <w:u w:val="single"/>
        </w:rPr>
        <w:t>8、工程质量评估报告及竣工验收监理文件资料；</w:t>
      </w:r>
    </w:p>
    <w:p>
      <w:pPr>
        <w:numPr>
          <w:ilvl w:val="0"/>
          <w:numId w:val="2"/>
        </w:numPr>
        <w:tabs>
          <w:tab w:val="left" w:pos="680"/>
        </w:tabs>
        <w:snapToGrid w:val="0"/>
        <w:spacing w:after="200" w:line="360" w:lineRule="auto"/>
        <w:ind w:firstLine="480" w:firstLineChars="200"/>
        <w:jc w:val="left"/>
        <w:rPr>
          <w:rFonts w:ascii="宋体" w:hAnsi="宋体"/>
          <w:color w:val="auto"/>
          <w:sz w:val="24"/>
          <w:szCs w:val="21"/>
          <w:highlight w:val="none"/>
          <w:u w:val="single"/>
        </w:rPr>
      </w:pPr>
      <w:r>
        <w:rPr>
          <w:rFonts w:ascii="宋体" w:hAnsi="宋体"/>
          <w:color w:val="auto"/>
          <w:sz w:val="24"/>
          <w:szCs w:val="21"/>
          <w:highlight w:val="none"/>
          <w:u w:val="single"/>
        </w:rPr>
        <w:t>1</w:t>
      </w:r>
      <w:r>
        <w:rPr>
          <w:rFonts w:hint="eastAsia" w:ascii="宋体" w:hAnsi="宋体"/>
          <w:color w:val="auto"/>
          <w:sz w:val="24"/>
          <w:szCs w:val="21"/>
          <w:highlight w:val="none"/>
          <w:u w:val="single"/>
        </w:rPr>
        <w:t>9、监理工作总结。</w:t>
      </w:r>
    </w:p>
    <w:p>
      <w:pPr>
        <w:spacing w:line="360" w:lineRule="auto"/>
        <w:ind w:firstLine="480" w:firstLineChars="200"/>
        <w:rPr>
          <w:color w:val="auto"/>
          <w:sz w:val="24"/>
          <w:highlight w:val="none"/>
        </w:rPr>
      </w:pPr>
      <w:r>
        <w:rPr>
          <w:color w:val="auto"/>
          <w:sz w:val="24"/>
          <w:highlight w:val="none"/>
        </w:rPr>
        <w:t xml:space="preserve">2. </w:t>
      </w:r>
      <w:r>
        <w:rPr>
          <w:rFonts w:hint="eastAsia"/>
          <w:color w:val="auto"/>
          <w:sz w:val="24"/>
          <w:highlight w:val="none"/>
        </w:rPr>
        <w:t>成果文件的深度</w:t>
      </w:r>
      <w:r>
        <w:rPr>
          <w:color w:val="auto"/>
          <w:sz w:val="24"/>
          <w:highlight w:val="none"/>
        </w:rPr>
        <w:t>:</w:t>
      </w:r>
      <w:r>
        <w:rPr>
          <w:rFonts w:hint="eastAsia" w:ascii="宋体" w:hAnsi="宋体"/>
          <w:color w:val="auto"/>
          <w:sz w:val="24"/>
          <w:szCs w:val="21"/>
          <w:highlight w:val="none"/>
          <w:u w:val="single"/>
        </w:rPr>
        <w:t>满足本项目监理服务要求。</w:t>
      </w:r>
    </w:p>
    <w:p>
      <w:pPr>
        <w:spacing w:line="360" w:lineRule="auto"/>
        <w:ind w:firstLine="480" w:firstLineChars="200"/>
        <w:rPr>
          <w:color w:val="auto"/>
          <w:sz w:val="24"/>
          <w:highlight w:val="none"/>
        </w:rPr>
      </w:pPr>
      <w:r>
        <w:rPr>
          <w:color w:val="auto"/>
          <w:sz w:val="24"/>
          <w:highlight w:val="none"/>
        </w:rPr>
        <w:t xml:space="preserve">3. </w:t>
      </w:r>
      <w:r>
        <w:rPr>
          <w:rFonts w:hint="eastAsia"/>
          <w:color w:val="auto"/>
          <w:sz w:val="24"/>
          <w:highlight w:val="none"/>
        </w:rPr>
        <w:t>成果文件的格式要求</w:t>
      </w:r>
      <w:r>
        <w:rPr>
          <w:color w:val="auto"/>
          <w:sz w:val="24"/>
          <w:highlight w:val="none"/>
        </w:rPr>
        <w:t>:</w:t>
      </w:r>
      <w:r>
        <w:rPr>
          <w:rFonts w:hint="eastAsia" w:ascii="宋体" w:hAnsi="宋体"/>
          <w:color w:val="auto"/>
          <w:sz w:val="24"/>
          <w:szCs w:val="21"/>
          <w:highlight w:val="none"/>
          <w:u w:val="single"/>
        </w:rPr>
        <w:t>满足本项目监理服务要求。</w:t>
      </w:r>
    </w:p>
    <w:p>
      <w:pPr>
        <w:spacing w:line="360" w:lineRule="auto"/>
        <w:ind w:firstLine="480" w:firstLineChars="200"/>
        <w:rPr>
          <w:color w:val="auto"/>
          <w:sz w:val="24"/>
          <w:highlight w:val="none"/>
        </w:rPr>
      </w:pPr>
      <w:r>
        <w:rPr>
          <w:color w:val="auto"/>
          <w:sz w:val="24"/>
          <w:highlight w:val="none"/>
        </w:rPr>
        <w:t xml:space="preserve">4. </w:t>
      </w:r>
      <w:r>
        <w:rPr>
          <w:rFonts w:hint="eastAsia"/>
          <w:color w:val="auto"/>
          <w:sz w:val="24"/>
          <w:highlight w:val="none"/>
        </w:rPr>
        <w:t>成果文件的份数要求</w:t>
      </w:r>
      <w:r>
        <w:rPr>
          <w:color w:val="auto"/>
          <w:sz w:val="24"/>
          <w:highlight w:val="none"/>
        </w:rPr>
        <w:t>:</w:t>
      </w:r>
      <w:r>
        <w:rPr>
          <w:rFonts w:hint="eastAsia" w:ascii="宋体" w:hAnsi="宋体"/>
          <w:color w:val="auto"/>
          <w:sz w:val="24"/>
          <w:szCs w:val="21"/>
          <w:highlight w:val="none"/>
          <w:u w:val="single"/>
        </w:rPr>
        <w:t>一式六份，</w:t>
      </w:r>
    </w:p>
    <w:p>
      <w:pPr>
        <w:spacing w:line="360" w:lineRule="auto"/>
        <w:ind w:firstLine="480" w:firstLineChars="200"/>
        <w:rPr>
          <w:color w:val="auto"/>
          <w:sz w:val="24"/>
          <w:highlight w:val="none"/>
        </w:rPr>
      </w:pPr>
      <w:r>
        <w:rPr>
          <w:color w:val="auto"/>
          <w:sz w:val="24"/>
          <w:highlight w:val="none"/>
        </w:rPr>
        <w:t xml:space="preserve">5. </w:t>
      </w:r>
      <w:r>
        <w:rPr>
          <w:rFonts w:hint="eastAsia"/>
          <w:color w:val="auto"/>
          <w:sz w:val="24"/>
          <w:highlight w:val="none"/>
        </w:rPr>
        <w:t>成果文件的载体要求</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）纸质版的要求：</w:t>
      </w:r>
      <w:r>
        <w:rPr>
          <w:color w:val="auto"/>
          <w:sz w:val="24"/>
          <w:highlight w:val="none"/>
        </w:rPr>
        <w:t>:</w:t>
      </w:r>
      <w:r>
        <w:rPr>
          <w:rFonts w:hint="eastAsia" w:ascii="宋体" w:hAnsi="宋体"/>
          <w:color w:val="auto"/>
          <w:sz w:val="24"/>
          <w:szCs w:val="21"/>
          <w:highlight w:val="none"/>
          <w:u w:val="single"/>
        </w:rPr>
        <w:t>一式六份，</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）电子版的要求：</w:t>
      </w:r>
      <w:r>
        <w:rPr>
          <w:color w:val="auto"/>
          <w:sz w:val="24"/>
          <w:highlight w:val="none"/>
        </w:rPr>
        <w:t>:</w:t>
      </w:r>
      <w:r>
        <w:rPr>
          <w:rFonts w:hint="eastAsia" w:ascii="宋体" w:hAnsi="宋体"/>
          <w:color w:val="auto"/>
          <w:sz w:val="24"/>
          <w:szCs w:val="21"/>
          <w:highlight w:val="none"/>
          <w:u w:val="single"/>
        </w:rPr>
        <w:t>与纸质版一致的电子版文件</w:t>
      </w:r>
    </w:p>
    <w:p>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）其他要求。</w:t>
      </w:r>
    </w:p>
    <w:p>
      <w:pPr>
        <w:spacing w:line="360" w:lineRule="auto"/>
        <w:ind w:firstLine="480" w:firstLineChars="200"/>
        <w:rPr>
          <w:color w:val="auto"/>
          <w:sz w:val="24"/>
          <w:highlight w:val="none"/>
        </w:rPr>
      </w:pPr>
      <w:r>
        <w:rPr>
          <w:color w:val="auto"/>
          <w:sz w:val="24"/>
          <w:highlight w:val="none"/>
        </w:rPr>
        <w:t xml:space="preserve">6. </w:t>
      </w:r>
      <w:r>
        <w:rPr>
          <w:rFonts w:hint="eastAsia"/>
          <w:color w:val="auto"/>
          <w:sz w:val="24"/>
          <w:highlight w:val="none"/>
        </w:rPr>
        <w:t>成果文件的其他要求</w:t>
      </w:r>
      <w:r>
        <w:rPr>
          <w:color w:val="auto"/>
          <w:sz w:val="24"/>
          <w:highlight w:val="none"/>
        </w:rPr>
        <w:t>: :</w:t>
      </w:r>
      <w:r>
        <w:rPr>
          <w:rFonts w:hint="eastAsia" w:ascii="宋体" w:hAnsi="宋体"/>
          <w:color w:val="auto"/>
          <w:sz w:val="24"/>
          <w:szCs w:val="21"/>
          <w:highlight w:val="none"/>
          <w:u w:val="single"/>
        </w:rPr>
        <w:t>满足本项目监理服务要求。</w:t>
      </w:r>
    </w:p>
    <w:p>
      <w:pPr>
        <w:pStyle w:val="4"/>
        <w:keepNext w:val="0"/>
        <w:keepLines w:val="0"/>
        <w:spacing w:line="240" w:lineRule="auto"/>
        <w:rPr>
          <w:rFonts w:ascii="Times New Roman" w:hAnsi="Times New Roman"/>
          <w:b w:val="0"/>
          <w:color w:val="auto"/>
          <w:sz w:val="28"/>
          <w:szCs w:val="28"/>
          <w:highlight w:val="none"/>
        </w:rPr>
      </w:pPr>
      <w:bookmarkStart w:id="164" w:name="_Toc511557113"/>
      <w:bookmarkStart w:id="165" w:name="_Toc482188640"/>
      <w:bookmarkStart w:id="166" w:name="_Toc531273856"/>
      <w:r>
        <w:rPr>
          <w:rFonts w:hint="eastAsia" w:ascii="Times New Roman" w:hAnsi="Times New Roman"/>
          <w:b w:val="0"/>
          <w:color w:val="auto"/>
          <w:sz w:val="28"/>
          <w:szCs w:val="28"/>
          <w:highlight w:val="none"/>
        </w:rPr>
        <w:t>四、委托人财产清单</w:t>
      </w:r>
      <w:bookmarkEnd w:id="164"/>
      <w:bookmarkEnd w:id="165"/>
      <w:bookmarkEnd w:id="166"/>
    </w:p>
    <w:p>
      <w:pPr>
        <w:pStyle w:val="5"/>
        <w:keepNext w:val="0"/>
        <w:keepLines w:val="0"/>
        <w:ind w:firstLine="137"/>
        <w:rPr>
          <w:color w:val="auto"/>
          <w:highlight w:val="none"/>
        </w:rPr>
      </w:pPr>
      <w:bookmarkStart w:id="167" w:name="_Toc531273857"/>
      <w:bookmarkStart w:id="168" w:name="_Toc482188641"/>
      <w:bookmarkStart w:id="169" w:name="_Toc511557114"/>
      <w:r>
        <w:rPr>
          <w:rFonts w:hint="eastAsia"/>
          <w:color w:val="auto"/>
          <w:highlight w:val="none"/>
        </w:rPr>
        <w:t>（一）委托人提供的设备、设施</w:t>
      </w:r>
      <w:bookmarkEnd w:id="167"/>
      <w:bookmarkEnd w:id="168"/>
      <w:bookmarkEnd w:id="169"/>
    </w:p>
    <w:p>
      <w:pPr>
        <w:spacing w:line="360" w:lineRule="auto"/>
        <w:ind w:firstLine="480" w:firstLineChars="200"/>
        <w:rPr>
          <w:color w:val="auto"/>
          <w:sz w:val="24"/>
          <w:highlight w:val="none"/>
          <w:u w:val="single"/>
        </w:rPr>
      </w:pPr>
      <w:r>
        <w:rPr>
          <w:color w:val="auto"/>
          <w:sz w:val="24"/>
          <w:highlight w:val="none"/>
        </w:rPr>
        <w:t xml:space="preserve">1. </w:t>
      </w:r>
      <w:r>
        <w:rPr>
          <w:rFonts w:hint="eastAsia"/>
          <w:color w:val="auto"/>
          <w:sz w:val="24"/>
          <w:highlight w:val="none"/>
        </w:rPr>
        <w:t>委托人提供的办公房屋及冷暖设施：</w:t>
      </w:r>
      <w:r>
        <w:rPr>
          <w:rFonts w:hint="eastAsia"/>
          <w:color w:val="auto"/>
          <w:sz w:val="24"/>
          <w:highlight w:val="none"/>
          <w:u w:val="single"/>
        </w:rPr>
        <w:t>无；</w:t>
      </w:r>
    </w:p>
    <w:p>
      <w:pPr>
        <w:spacing w:line="360" w:lineRule="auto"/>
        <w:ind w:firstLine="480" w:firstLineChars="200"/>
        <w:rPr>
          <w:color w:val="auto"/>
          <w:sz w:val="24"/>
          <w:highlight w:val="none"/>
          <w:u w:val="single"/>
        </w:rPr>
      </w:pPr>
      <w:r>
        <w:rPr>
          <w:color w:val="auto"/>
          <w:sz w:val="24"/>
          <w:highlight w:val="none"/>
        </w:rPr>
        <w:t xml:space="preserve">2. </w:t>
      </w:r>
      <w:r>
        <w:rPr>
          <w:rFonts w:hint="eastAsia"/>
          <w:color w:val="auto"/>
          <w:sz w:val="24"/>
          <w:highlight w:val="none"/>
        </w:rPr>
        <w:t>委托人提供的设备清单：</w:t>
      </w:r>
      <w:r>
        <w:rPr>
          <w:rFonts w:hint="eastAsia"/>
          <w:color w:val="auto"/>
          <w:sz w:val="24"/>
          <w:highlight w:val="none"/>
          <w:u w:val="single"/>
        </w:rPr>
        <w:t>无；</w:t>
      </w:r>
    </w:p>
    <w:p>
      <w:pPr>
        <w:spacing w:line="360" w:lineRule="auto"/>
        <w:ind w:firstLine="480" w:firstLineChars="200"/>
        <w:rPr>
          <w:color w:val="auto"/>
          <w:sz w:val="24"/>
          <w:highlight w:val="none"/>
          <w:u w:val="single"/>
        </w:rPr>
      </w:pPr>
      <w:r>
        <w:rPr>
          <w:color w:val="auto"/>
          <w:sz w:val="24"/>
          <w:highlight w:val="none"/>
        </w:rPr>
        <w:t xml:space="preserve">3. </w:t>
      </w:r>
      <w:r>
        <w:rPr>
          <w:rFonts w:hint="eastAsia"/>
          <w:color w:val="auto"/>
          <w:sz w:val="24"/>
          <w:highlight w:val="none"/>
        </w:rPr>
        <w:t>委托人提供的设施清单：</w:t>
      </w:r>
      <w:r>
        <w:rPr>
          <w:rFonts w:hint="eastAsia"/>
          <w:color w:val="auto"/>
          <w:sz w:val="24"/>
          <w:highlight w:val="none"/>
          <w:u w:val="single"/>
        </w:rPr>
        <w:t>无；</w:t>
      </w:r>
    </w:p>
    <w:p>
      <w:pPr>
        <w:spacing w:line="360" w:lineRule="auto"/>
        <w:ind w:firstLine="420" w:firstLineChars="200"/>
        <w:rPr>
          <w:color w:val="auto"/>
          <w:highlight w:val="none"/>
        </w:rPr>
      </w:pPr>
    </w:p>
    <w:p>
      <w:pPr>
        <w:pStyle w:val="5"/>
        <w:keepNext w:val="0"/>
        <w:keepLines w:val="0"/>
        <w:ind w:firstLine="40" w:firstLineChars="17"/>
        <w:rPr>
          <w:color w:val="auto"/>
          <w:highlight w:val="none"/>
        </w:rPr>
      </w:pPr>
      <w:bookmarkStart w:id="170" w:name="_Toc531273858"/>
      <w:bookmarkStart w:id="171" w:name="_Toc511557115"/>
      <w:bookmarkStart w:id="172" w:name="_Toc482188642"/>
      <w:r>
        <w:rPr>
          <w:rFonts w:hint="eastAsia"/>
          <w:color w:val="auto"/>
          <w:highlight w:val="none"/>
        </w:rPr>
        <w:t>（二）委托人提供的资料</w:t>
      </w:r>
      <w:bookmarkEnd w:id="170"/>
      <w:bookmarkEnd w:id="171"/>
      <w:bookmarkEnd w:id="172"/>
    </w:p>
    <w:p>
      <w:pPr>
        <w:spacing w:line="360" w:lineRule="auto"/>
        <w:ind w:firstLine="480" w:firstLineChars="200"/>
        <w:rPr>
          <w:color w:val="auto"/>
          <w:sz w:val="24"/>
          <w:highlight w:val="none"/>
        </w:rPr>
      </w:pPr>
      <w:r>
        <w:rPr>
          <w:color w:val="auto"/>
          <w:sz w:val="24"/>
          <w:highlight w:val="none"/>
        </w:rPr>
        <w:t xml:space="preserve">1. </w:t>
      </w:r>
      <w:r>
        <w:rPr>
          <w:rFonts w:hint="eastAsia"/>
          <w:color w:val="auto"/>
          <w:sz w:val="24"/>
          <w:highlight w:val="none"/>
        </w:rPr>
        <w:t>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80" w:firstLineChars="200"/>
        <w:rPr>
          <w:color w:val="auto"/>
          <w:sz w:val="24"/>
          <w:highlight w:val="none"/>
        </w:rPr>
      </w:pPr>
      <w:r>
        <w:rPr>
          <w:color w:val="auto"/>
          <w:sz w:val="24"/>
          <w:highlight w:val="none"/>
        </w:rPr>
        <w:t xml:space="preserve">2. </w:t>
      </w:r>
      <w:r>
        <w:rPr>
          <w:rFonts w:hint="eastAsia"/>
          <w:color w:val="auto"/>
          <w:sz w:val="24"/>
          <w:highlight w:val="none"/>
        </w:rPr>
        <w:t>定位放线的基准点、基准线和基准标高</w:t>
      </w:r>
    </w:p>
    <w:p>
      <w:pPr>
        <w:spacing w:line="360" w:lineRule="auto"/>
        <w:ind w:firstLine="480" w:firstLineChars="200"/>
        <w:rPr>
          <w:color w:val="auto"/>
          <w:sz w:val="24"/>
          <w:highlight w:val="none"/>
        </w:rPr>
      </w:pPr>
      <w:r>
        <w:rPr>
          <w:color w:val="auto"/>
          <w:sz w:val="24"/>
          <w:highlight w:val="none"/>
        </w:rPr>
        <w:t xml:space="preserve">3. </w:t>
      </w:r>
      <w:r>
        <w:rPr>
          <w:rFonts w:hint="eastAsia"/>
          <w:color w:val="auto"/>
          <w:sz w:val="24"/>
          <w:highlight w:val="none"/>
        </w:rPr>
        <w:t>委托人取得的有关审批、核准和备案材料</w:t>
      </w:r>
    </w:p>
    <w:p>
      <w:pPr>
        <w:spacing w:line="360" w:lineRule="auto"/>
        <w:ind w:firstLine="480" w:firstLineChars="200"/>
        <w:rPr>
          <w:color w:val="auto"/>
          <w:sz w:val="24"/>
          <w:highlight w:val="none"/>
        </w:rPr>
      </w:pPr>
      <w:r>
        <w:rPr>
          <w:color w:val="auto"/>
          <w:sz w:val="24"/>
          <w:highlight w:val="none"/>
        </w:rPr>
        <w:t xml:space="preserve">4. </w:t>
      </w:r>
      <w:r>
        <w:rPr>
          <w:rFonts w:hint="eastAsia"/>
          <w:color w:val="auto"/>
          <w:sz w:val="24"/>
          <w:highlight w:val="none"/>
        </w:rPr>
        <w:t>勘察文件、设计文件等资料</w:t>
      </w:r>
    </w:p>
    <w:p>
      <w:pPr>
        <w:spacing w:line="360" w:lineRule="auto"/>
        <w:ind w:firstLine="480" w:firstLineChars="200"/>
        <w:rPr>
          <w:color w:val="auto"/>
          <w:sz w:val="24"/>
          <w:highlight w:val="none"/>
        </w:rPr>
      </w:pPr>
      <w:r>
        <w:rPr>
          <w:color w:val="auto"/>
          <w:sz w:val="24"/>
          <w:highlight w:val="none"/>
        </w:rPr>
        <w:t xml:space="preserve">5. </w:t>
      </w:r>
      <w:r>
        <w:rPr>
          <w:rFonts w:hint="eastAsia"/>
          <w:color w:val="auto"/>
          <w:sz w:val="24"/>
          <w:highlight w:val="none"/>
        </w:rPr>
        <w:t>技术标准、规范</w:t>
      </w:r>
    </w:p>
    <w:p>
      <w:pPr>
        <w:spacing w:line="360" w:lineRule="auto"/>
        <w:ind w:firstLine="480" w:firstLineChars="200"/>
        <w:rPr>
          <w:color w:val="auto"/>
          <w:sz w:val="24"/>
          <w:highlight w:val="none"/>
        </w:rPr>
      </w:pPr>
      <w:r>
        <w:rPr>
          <w:color w:val="auto"/>
          <w:sz w:val="24"/>
          <w:highlight w:val="none"/>
        </w:rPr>
        <w:t xml:space="preserve">6. </w:t>
      </w:r>
      <w:r>
        <w:rPr>
          <w:rFonts w:hint="eastAsia"/>
          <w:color w:val="auto"/>
          <w:sz w:val="24"/>
          <w:highlight w:val="none"/>
        </w:rPr>
        <w:t>工程承包合同及其他相关合同</w:t>
      </w:r>
    </w:p>
    <w:p>
      <w:pPr>
        <w:spacing w:line="360" w:lineRule="auto"/>
        <w:ind w:firstLine="480" w:firstLineChars="200"/>
        <w:rPr>
          <w:color w:val="auto"/>
          <w:sz w:val="24"/>
          <w:highlight w:val="none"/>
        </w:rPr>
      </w:pPr>
      <w:r>
        <w:rPr>
          <w:color w:val="auto"/>
          <w:sz w:val="24"/>
          <w:highlight w:val="none"/>
        </w:rPr>
        <w:t xml:space="preserve">7. </w:t>
      </w:r>
      <w:r>
        <w:rPr>
          <w:rFonts w:hint="eastAsia"/>
          <w:color w:val="auto"/>
          <w:sz w:val="24"/>
          <w:highlight w:val="none"/>
        </w:rPr>
        <w:t>其他资料</w:t>
      </w:r>
    </w:p>
    <w:p>
      <w:pPr>
        <w:spacing w:line="360" w:lineRule="auto"/>
        <w:ind w:firstLine="480" w:firstLineChars="200"/>
        <w:rPr>
          <w:color w:val="auto"/>
          <w:sz w:val="24"/>
          <w:highlight w:val="none"/>
        </w:rPr>
      </w:pPr>
      <w:bookmarkStart w:id="173" w:name="_Toc482188643"/>
      <w:r>
        <w:rPr>
          <w:color w:val="auto"/>
          <w:sz w:val="24"/>
          <w:highlight w:val="none"/>
        </w:rPr>
        <w:t>……</w:t>
      </w:r>
    </w:p>
    <w:p>
      <w:pPr>
        <w:pStyle w:val="5"/>
        <w:keepNext w:val="0"/>
        <w:keepLines w:val="0"/>
        <w:ind w:firstLine="137"/>
        <w:rPr>
          <w:color w:val="auto"/>
          <w:highlight w:val="none"/>
        </w:rPr>
      </w:pPr>
      <w:bookmarkStart w:id="174" w:name="_Toc531273859"/>
      <w:bookmarkStart w:id="175" w:name="_Toc511557116"/>
      <w:r>
        <w:rPr>
          <w:rFonts w:hint="eastAsia"/>
          <w:color w:val="auto"/>
          <w:highlight w:val="none"/>
        </w:rPr>
        <w:t>（三）委托人财产使用要求及退还要求</w:t>
      </w:r>
      <w:bookmarkEnd w:id="173"/>
      <w:bookmarkEnd w:id="174"/>
      <w:bookmarkEnd w:id="175"/>
    </w:p>
    <w:p>
      <w:pPr>
        <w:spacing w:line="360" w:lineRule="auto"/>
        <w:ind w:firstLine="480" w:firstLineChars="200"/>
        <w:rPr>
          <w:color w:val="auto"/>
          <w:sz w:val="24"/>
          <w:szCs w:val="21"/>
          <w:highlight w:val="none"/>
        </w:rPr>
      </w:pPr>
      <w:r>
        <w:rPr>
          <w:color w:val="auto"/>
          <w:sz w:val="24"/>
          <w:szCs w:val="21"/>
          <w:highlight w:val="none"/>
        </w:rPr>
        <w:t xml:space="preserve">1. </w:t>
      </w:r>
      <w:r>
        <w:rPr>
          <w:rFonts w:hint="eastAsia"/>
          <w:color w:val="auto"/>
          <w:sz w:val="24"/>
          <w:szCs w:val="21"/>
          <w:highlight w:val="none"/>
        </w:rPr>
        <w:t>委托人财产使用要求：</w:t>
      </w:r>
      <w:r>
        <w:rPr>
          <w:rFonts w:hint="eastAsia" w:ascii="宋体" w:hAnsi="宋体"/>
          <w:color w:val="auto"/>
          <w:sz w:val="24"/>
          <w:szCs w:val="21"/>
          <w:highlight w:val="none"/>
          <w:u w:val="single"/>
        </w:rPr>
        <w:t>监理人对委托人财产保存完好，避免有损坏或丢失等情况发生；</w:t>
      </w:r>
    </w:p>
    <w:p>
      <w:pPr>
        <w:spacing w:line="360" w:lineRule="auto"/>
        <w:ind w:firstLine="480" w:firstLineChars="200"/>
        <w:rPr>
          <w:color w:val="auto"/>
          <w:sz w:val="24"/>
          <w:szCs w:val="21"/>
          <w:highlight w:val="none"/>
        </w:rPr>
      </w:pPr>
      <w:r>
        <w:rPr>
          <w:color w:val="auto"/>
          <w:sz w:val="24"/>
          <w:szCs w:val="21"/>
          <w:highlight w:val="none"/>
        </w:rPr>
        <w:t xml:space="preserve">2. </w:t>
      </w:r>
      <w:r>
        <w:rPr>
          <w:rFonts w:hint="eastAsia"/>
          <w:color w:val="auto"/>
          <w:sz w:val="24"/>
          <w:szCs w:val="21"/>
          <w:highlight w:val="none"/>
        </w:rPr>
        <w:t>委托人财产退还要求：</w:t>
      </w:r>
      <w:r>
        <w:rPr>
          <w:rFonts w:hint="eastAsia" w:ascii="宋体" w:hAnsi="宋体"/>
          <w:color w:val="auto"/>
          <w:sz w:val="24"/>
          <w:szCs w:val="21"/>
          <w:highlight w:val="none"/>
          <w:u w:val="single"/>
        </w:rPr>
        <w:t>工程完工后监理人将委托人财产全数完好地退还给委托人。</w:t>
      </w:r>
    </w:p>
    <w:p>
      <w:pPr>
        <w:spacing w:line="360" w:lineRule="auto"/>
        <w:ind w:firstLine="480" w:firstLineChars="200"/>
        <w:rPr>
          <w:color w:val="auto"/>
          <w:sz w:val="24"/>
          <w:highlight w:val="none"/>
        </w:rPr>
      </w:pPr>
      <w:bookmarkStart w:id="176" w:name="_Toc482188644"/>
      <w:r>
        <w:rPr>
          <w:color w:val="auto"/>
          <w:sz w:val="24"/>
          <w:highlight w:val="none"/>
        </w:rPr>
        <w:t>……</w:t>
      </w:r>
    </w:p>
    <w:p>
      <w:pPr>
        <w:pStyle w:val="4"/>
        <w:keepNext w:val="0"/>
        <w:keepLines w:val="0"/>
        <w:spacing w:line="240" w:lineRule="auto"/>
        <w:rPr>
          <w:rFonts w:ascii="Times New Roman" w:hAnsi="Times New Roman"/>
          <w:b w:val="0"/>
          <w:color w:val="auto"/>
          <w:sz w:val="28"/>
          <w:szCs w:val="28"/>
          <w:highlight w:val="none"/>
        </w:rPr>
      </w:pPr>
      <w:bookmarkStart w:id="177" w:name="_Toc531273860"/>
      <w:bookmarkStart w:id="178" w:name="_Toc511557117"/>
      <w:r>
        <w:rPr>
          <w:rFonts w:hint="eastAsia" w:ascii="Times New Roman" w:hAnsi="Times New Roman"/>
          <w:b w:val="0"/>
          <w:color w:val="auto"/>
          <w:sz w:val="28"/>
          <w:szCs w:val="28"/>
          <w:highlight w:val="none"/>
        </w:rPr>
        <w:t>五、委托人提供的便利条件</w:t>
      </w:r>
      <w:bookmarkEnd w:id="176"/>
      <w:bookmarkEnd w:id="177"/>
      <w:bookmarkEnd w:id="178"/>
    </w:p>
    <w:p>
      <w:pPr>
        <w:spacing w:line="360" w:lineRule="auto"/>
        <w:ind w:firstLine="480" w:firstLineChars="200"/>
        <w:rPr>
          <w:color w:val="auto"/>
          <w:sz w:val="24"/>
          <w:szCs w:val="21"/>
          <w:highlight w:val="none"/>
        </w:rPr>
      </w:pPr>
      <w:r>
        <w:rPr>
          <w:color w:val="auto"/>
          <w:sz w:val="24"/>
          <w:szCs w:val="21"/>
          <w:highlight w:val="none"/>
        </w:rPr>
        <w:t xml:space="preserve">1. </w:t>
      </w:r>
      <w:r>
        <w:rPr>
          <w:rFonts w:hint="eastAsia"/>
          <w:color w:val="auto"/>
          <w:sz w:val="24"/>
          <w:szCs w:val="21"/>
          <w:highlight w:val="none"/>
        </w:rPr>
        <w:t>委托人提供的生活条件</w:t>
      </w:r>
      <w:r>
        <w:rPr>
          <w:rFonts w:hint="eastAsia" w:ascii="宋体" w:hAnsi="宋体"/>
          <w:color w:val="auto"/>
          <w:sz w:val="24"/>
          <w:szCs w:val="21"/>
          <w:highlight w:val="none"/>
        </w:rPr>
        <w:t>：</w:t>
      </w:r>
      <w:r>
        <w:rPr>
          <w:rFonts w:hint="eastAsia"/>
          <w:color w:val="auto"/>
          <w:sz w:val="24"/>
          <w:highlight w:val="none"/>
          <w:u w:val="single"/>
        </w:rPr>
        <w:t>无；</w:t>
      </w:r>
    </w:p>
    <w:p>
      <w:pPr>
        <w:spacing w:line="360" w:lineRule="auto"/>
        <w:ind w:firstLine="480" w:firstLineChars="200"/>
        <w:rPr>
          <w:color w:val="auto"/>
          <w:sz w:val="24"/>
          <w:szCs w:val="21"/>
          <w:highlight w:val="none"/>
        </w:rPr>
      </w:pPr>
      <w:r>
        <w:rPr>
          <w:color w:val="auto"/>
          <w:sz w:val="24"/>
          <w:szCs w:val="21"/>
          <w:highlight w:val="none"/>
        </w:rPr>
        <w:t xml:space="preserve">2. </w:t>
      </w:r>
      <w:r>
        <w:rPr>
          <w:rFonts w:hint="eastAsia"/>
          <w:color w:val="auto"/>
          <w:sz w:val="24"/>
          <w:szCs w:val="21"/>
          <w:highlight w:val="none"/>
        </w:rPr>
        <w:t>委托人提供的交通条件</w:t>
      </w:r>
      <w:r>
        <w:rPr>
          <w:rFonts w:hint="eastAsia" w:ascii="宋体" w:hAnsi="宋体"/>
          <w:color w:val="auto"/>
          <w:sz w:val="24"/>
          <w:szCs w:val="21"/>
          <w:highlight w:val="none"/>
        </w:rPr>
        <w:t>：</w:t>
      </w:r>
      <w:r>
        <w:rPr>
          <w:rFonts w:hint="eastAsia"/>
          <w:color w:val="auto"/>
          <w:sz w:val="24"/>
          <w:highlight w:val="none"/>
          <w:u w:val="single"/>
        </w:rPr>
        <w:t>无</w:t>
      </w:r>
    </w:p>
    <w:p>
      <w:pPr>
        <w:spacing w:line="360" w:lineRule="auto"/>
        <w:ind w:firstLine="480" w:firstLineChars="200"/>
        <w:rPr>
          <w:color w:val="auto"/>
          <w:sz w:val="24"/>
          <w:szCs w:val="21"/>
          <w:highlight w:val="none"/>
        </w:rPr>
      </w:pPr>
      <w:r>
        <w:rPr>
          <w:color w:val="auto"/>
          <w:sz w:val="24"/>
          <w:szCs w:val="21"/>
          <w:highlight w:val="none"/>
        </w:rPr>
        <w:t xml:space="preserve">3. </w:t>
      </w:r>
      <w:r>
        <w:rPr>
          <w:rFonts w:hint="eastAsia"/>
          <w:color w:val="auto"/>
          <w:sz w:val="24"/>
          <w:szCs w:val="21"/>
          <w:highlight w:val="none"/>
        </w:rPr>
        <w:t>委托人提供的网络、通讯条件</w:t>
      </w:r>
      <w:r>
        <w:rPr>
          <w:rFonts w:hint="eastAsia" w:ascii="宋体" w:hAnsi="宋体"/>
          <w:color w:val="auto"/>
          <w:sz w:val="24"/>
          <w:szCs w:val="21"/>
          <w:highlight w:val="none"/>
        </w:rPr>
        <w:t>：</w:t>
      </w:r>
      <w:r>
        <w:rPr>
          <w:rFonts w:hint="eastAsia"/>
          <w:color w:val="auto"/>
          <w:sz w:val="24"/>
          <w:highlight w:val="none"/>
          <w:u w:val="single"/>
        </w:rPr>
        <w:t>无</w:t>
      </w:r>
    </w:p>
    <w:p>
      <w:pPr>
        <w:spacing w:line="360" w:lineRule="auto"/>
        <w:ind w:firstLine="480" w:firstLineChars="200"/>
        <w:rPr>
          <w:color w:val="auto"/>
          <w:sz w:val="24"/>
          <w:highlight w:val="none"/>
        </w:rPr>
      </w:pPr>
      <w:r>
        <w:rPr>
          <w:color w:val="auto"/>
          <w:sz w:val="24"/>
          <w:szCs w:val="21"/>
          <w:highlight w:val="none"/>
        </w:rPr>
        <w:t xml:space="preserve">4. </w:t>
      </w:r>
      <w:r>
        <w:rPr>
          <w:rFonts w:hint="eastAsia"/>
          <w:color w:val="auto"/>
          <w:sz w:val="24"/>
          <w:szCs w:val="21"/>
          <w:highlight w:val="none"/>
        </w:rPr>
        <w:t>委托人提供的协助人员</w:t>
      </w:r>
      <w:r>
        <w:rPr>
          <w:rFonts w:hint="eastAsia" w:ascii="宋体" w:hAnsi="宋体"/>
          <w:color w:val="auto"/>
          <w:sz w:val="24"/>
          <w:szCs w:val="21"/>
          <w:highlight w:val="none"/>
        </w:rPr>
        <w:t>：</w:t>
      </w:r>
      <w:r>
        <w:rPr>
          <w:rFonts w:hint="eastAsia"/>
          <w:color w:val="auto"/>
          <w:sz w:val="24"/>
          <w:highlight w:val="none"/>
          <w:u w:val="single"/>
        </w:rPr>
        <w:t>无</w:t>
      </w:r>
      <w:bookmarkStart w:id="179" w:name="_Toc482188645"/>
      <w:r>
        <w:rPr>
          <w:color w:val="auto"/>
          <w:sz w:val="24"/>
          <w:highlight w:val="none"/>
        </w:rPr>
        <w:t>……</w:t>
      </w:r>
    </w:p>
    <w:p>
      <w:pPr>
        <w:pStyle w:val="4"/>
        <w:keepNext w:val="0"/>
        <w:keepLines w:val="0"/>
        <w:spacing w:line="240" w:lineRule="auto"/>
        <w:rPr>
          <w:rFonts w:ascii="Times New Roman" w:hAnsi="Times New Roman"/>
          <w:b w:val="0"/>
          <w:color w:val="auto"/>
          <w:sz w:val="28"/>
          <w:szCs w:val="28"/>
          <w:highlight w:val="none"/>
        </w:rPr>
      </w:pPr>
      <w:bookmarkStart w:id="180" w:name="_Toc511557118"/>
      <w:bookmarkStart w:id="181" w:name="_Toc531273861"/>
      <w:r>
        <w:rPr>
          <w:rFonts w:hint="eastAsia" w:ascii="Times New Roman" w:hAnsi="Times New Roman"/>
          <w:b w:val="0"/>
          <w:color w:val="auto"/>
          <w:sz w:val="28"/>
          <w:szCs w:val="28"/>
          <w:highlight w:val="none"/>
        </w:rPr>
        <w:t>六、监理人需要自备的工作条件</w:t>
      </w:r>
      <w:bookmarkEnd w:id="179"/>
      <w:bookmarkEnd w:id="180"/>
      <w:bookmarkEnd w:id="181"/>
    </w:p>
    <w:p>
      <w:pPr>
        <w:spacing w:line="360" w:lineRule="auto"/>
        <w:ind w:firstLine="480" w:firstLineChars="200"/>
        <w:rPr>
          <w:color w:val="auto"/>
          <w:sz w:val="24"/>
          <w:szCs w:val="21"/>
          <w:highlight w:val="none"/>
        </w:rPr>
      </w:pPr>
      <w:r>
        <w:rPr>
          <w:color w:val="auto"/>
          <w:sz w:val="24"/>
          <w:szCs w:val="21"/>
          <w:highlight w:val="none"/>
        </w:rPr>
        <w:t xml:space="preserve">1. </w:t>
      </w:r>
      <w:r>
        <w:rPr>
          <w:rFonts w:hint="eastAsia"/>
          <w:color w:val="auto"/>
          <w:sz w:val="24"/>
          <w:szCs w:val="21"/>
          <w:highlight w:val="none"/>
        </w:rPr>
        <w:t>监理人自备的工作手册：</w:t>
      </w:r>
      <w:r>
        <w:rPr>
          <w:rFonts w:hint="eastAsia" w:ascii="宋体" w:hAnsi="宋体"/>
          <w:color w:val="auto"/>
          <w:sz w:val="24"/>
          <w:szCs w:val="21"/>
          <w:highlight w:val="none"/>
          <w:u w:val="single"/>
        </w:rPr>
        <w:t>本项目必备的规范标准、图集等。</w:t>
      </w:r>
    </w:p>
    <w:p>
      <w:pPr>
        <w:spacing w:line="360" w:lineRule="auto"/>
        <w:ind w:firstLine="480" w:firstLineChars="200"/>
        <w:rPr>
          <w:color w:val="auto"/>
          <w:sz w:val="24"/>
          <w:szCs w:val="21"/>
          <w:highlight w:val="none"/>
        </w:rPr>
      </w:pPr>
      <w:r>
        <w:rPr>
          <w:color w:val="auto"/>
          <w:sz w:val="24"/>
          <w:szCs w:val="21"/>
          <w:highlight w:val="none"/>
        </w:rPr>
        <w:t xml:space="preserve">2. </w:t>
      </w:r>
      <w:r>
        <w:rPr>
          <w:rFonts w:hint="eastAsia"/>
          <w:color w:val="auto"/>
          <w:sz w:val="24"/>
          <w:szCs w:val="21"/>
          <w:highlight w:val="none"/>
        </w:rPr>
        <w:t>监理人自备的办公设备：</w:t>
      </w:r>
      <w:r>
        <w:rPr>
          <w:rFonts w:hint="eastAsia" w:ascii="宋体" w:hAnsi="宋体"/>
          <w:color w:val="auto"/>
          <w:sz w:val="24"/>
          <w:szCs w:val="21"/>
          <w:highlight w:val="none"/>
          <w:u w:val="single"/>
        </w:rPr>
        <w:t>电脑、软件、投影、打印机、复印机、照相机等。</w:t>
      </w:r>
    </w:p>
    <w:p>
      <w:pPr>
        <w:spacing w:line="360" w:lineRule="auto"/>
        <w:ind w:firstLine="480" w:firstLineChars="200"/>
        <w:rPr>
          <w:color w:val="auto"/>
          <w:sz w:val="24"/>
          <w:szCs w:val="21"/>
          <w:highlight w:val="none"/>
        </w:rPr>
      </w:pPr>
      <w:r>
        <w:rPr>
          <w:color w:val="auto"/>
          <w:sz w:val="24"/>
          <w:szCs w:val="21"/>
          <w:highlight w:val="none"/>
        </w:rPr>
        <w:t xml:space="preserve">3. </w:t>
      </w:r>
      <w:r>
        <w:rPr>
          <w:rFonts w:hint="eastAsia"/>
          <w:color w:val="auto"/>
          <w:sz w:val="24"/>
          <w:szCs w:val="21"/>
          <w:highlight w:val="none"/>
        </w:rPr>
        <w:t>监理人自备的交通工具：</w:t>
      </w:r>
      <w:r>
        <w:rPr>
          <w:rFonts w:hint="eastAsia" w:ascii="宋体" w:hAnsi="宋体"/>
          <w:color w:val="auto"/>
          <w:sz w:val="24"/>
          <w:szCs w:val="21"/>
          <w:highlight w:val="none"/>
          <w:u w:val="single"/>
        </w:rPr>
        <w:t>出行车辆等。</w:t>
      </w:r>
    </w:p>
    <w:p>
      <w:pPr>
        <w:spacing w:line="360" w:lineRule="auto"/>
        <w:ind w:firstLine="480" w:firstLineChars="200"/>
        <w:rPr>
          <w:color w:val="auto"/>
          <w:sz w:val="24"/>
          <w:szCs w:val="21"/>
          <w:highlight w:val="none"/>
        </w:rPr>
      </w:pPr>
      <w:r>
        <w:rPr>
          <w:color w:val="auto"/>
          <w:sz w:val="24"/>
          <w:szCs w:val="21"/>
          <w:highlight w:val="none"/>
        </w:rPr>
        <w:t xml:space="preserve">4. </w:t>
      </w:r>
      <w:r>
        <w:rPr>
          <w:rFonts w:hint="eastAsia"/>
          <w:color w:val="auto"/>
          <w:sz w:val="24"/>
          <w:szCs w:val="21"/>
          <w:highlight w:val="none"/>
        </w:rPr>
        <w:t>监理人自备的现场办公设施：</w:t>
      </w:r>
      <w:r>
        <w:rPr>
          <w:rFonts w:hint="eastAsia" w:ascii="宋体" w:hAnsi="宋体"/>
          <w:color w:val="auto"/>
          <w:sz w:val="24"/>
          <w:szCs w:val="21"/>
          <w:highlight w:val="none"/>
          <w:u w:val="single"/>
        </w:rPr>
        <w:t>办公桌椅、文件柜等。</w:t>
      </w:r>
    </w:p>
    <w:p>
      <w:pPr>
        <w:spacing w:line="360" w:lineRule="auto"/>
        <w:ind w:firstLine="480" w:firstLineChars="200"/>
        <w:rPr>
          <w:color w:val="auto"/>
          <w:sz w:val="24"/>
          <w:szCs w:val="21"/>
          <w:highlight w:val="none"/>
        </w:rPr>
      </w:pPr>
      <w:r>
        <w:rPr>
          <w:color w:val="auto"/>
          <w:sz w:val="24"/>
          <w:szCs w:val="21"/>
          <w:highlight w:val="none"/>
        </w:rPr>
        <w:t xml:space="preserve">5. </w:t>
      </w:r>
      <w:r>
        <w:rPr>
          <w:rFonts w:hint="eastAsia"/>
          <w:color w:val="auto"/>
          <w:sz w:val="24"/>
          <w:szCs w:val="21"/>
          <w:highlight w:val="none"/>
        </w:rPr>
        <w:t>监理人自备的安全设施：</w:t>
      </w:r>
      <w:r>
        <w:rPr>
          <w:rFonts w:hint="eastAsia" w:ascii="宋体" w:hAnsi="宋体"/>
          <w:color w:val="auto"/>
          <w:sz w:val="24"/>
          <w:szCs w:val="21"/>
          <w:highlight w:val="none"/>
          <w:u w:val="single"/>
        </w:rPr>
        <w:t>安全帽、安全鞋、手电筒等。</w:t>
      </w:r>
    </w:p>
    <w:p>
      <w:pPr>
        <w:spacing w:line="360" w:lineRule="auto"/>
        <w:ind w:firstLine="480" w:firstLineChars="200"/>
        <w:rPr>
          <w:color w:val="auto"/>
          <w:sz w:val="24"/>
          <w:szCs w:val="21"/>
          <w:highlight w:val="none"/>
        </w:rPr>
      </w:pPr>
      <w:r>
        <w:rPr>
          <w:color w:val="auto"/>
          <w:sz w:val="24"/>
          <w:szCs w:val="21"/>
          <w:highlight w:val="none"/>
        </w:rPr>
        <w:t xml:space="preserve">6. </w:t>
      </w:r>
      <w:r>
        <w:rPr>
          <w:rFonts w:hint="eastAsia"/>
          <w:color w:val="auto"/>
          <w:sz w:val="24"/>
          <w:szCs w:val="21"/>
          <w:highlight w:val="none"/>
        </w:rPr>
        <w:t>监理人自备的试验检测仪器、设备、工具</w:t>
      </w:r>
      <w:r>
        <w:rPr>
          <w:rFonts w:hint="eastAsia" w:ascii="宋体" w:hAnsi="宋体"/>
          <w:color w:val="auto"/>
          <w:sz w:val="24"/>
          <w:szCs w:val="21"/>
          <w:highlight w:val="none"/>
        </w:rPr>
        <w:t>：</w:t>
      </w:r>
      <w:r>
        <w:rPr>
          <w:rFonts w:hint="eastAsia" w:ascii="宋体" w:hAnsi="宋体"/>
          <w:color w:val="auto"/>
          <w:sz w:val="24"/>
          <w:szCs w:val="21"/>
          <w:highlight w:val="none"/>
          <w:u w:val="single"/>
        </w:rPr>
        <w:t>满足本项目监理服务要求。</w:t>
      </w:r>
    </w:p>
    <w:p>
      <w:pPr>
        <w:spacing w:line="360" w:lineRule="auto"/>
        <w:ind w:firstLine="480" w:firstLineChars="200"/>
        <w:rPr>
          <w:color w:val="auto"/>
          <w:sz w:val="24"/>
          <w:szCs w:val="21"/>
          <w:highlight w:val="none"/>
        </w:rPr>
      </w:pPr>
      <w:r>
        <w:rPr>
          <w:color w:val="auto"/>
          <w:sz w:val="24"/>
          <w:szCs w:val="21"/>
          <w:highlight w:val="none"/>
        </w:rPr>
        <w:t xml:space="preserve">7. </w:t>
      </w:r>
      <w:r>
        <w:rPr>
          <w:rFonts w:hint="eastAsia"/>
          <w:color w:val="auto"/>
          <w:sz w:val="24"/>
          <w:szCs w:val="21"/>
          <w:highlight w:val="none"/>
        </w:rPr>
        <w:t>监理人自备的试验用房、样品用房</w:t>
      </w:r>
      <w:r>
        <w:rPr>
          <w:rFonts w:hint="eastAsia" w:ascii="宋体" w:hAnsi="宋体"/>
          <w:color w:val="auto"/>
          <w:sz w:val="24"/>
          <w:szCs w:val="21"/>
          <w:highlight w:val="none"/>
        </w:rPr>
        <w:t>：</w:t>
      </w:r>
      <w:r>
        <w:rPr>
          <w:rFonts w:hint="eastAsia" w:ascii="宋体" w:hAnsi="宋体"/>
          <w:color w:val="auto"/>
          <w:sz w:val="24"/>
          <w:szCs w:val="21"/>
          <w:highlight w:val="none"/>
          <w:u w:val="single"/>
        </w:rPr>
        <w:t>监理人根据现场实际情况自行准备。</w:t>
      </w:r>
    </w:p>
    <w:p>
      <w:pPr>
        <w:spacing w:line="360" w:lineRule="auto"/>
        <w:ind w:firstLine="480" w:firstLineChars="200"/>
        <w:rPr>
          <w:color w:val="auto"/>
          <w:sz w:val="24"/>
          <w:highlight w:val="none"/>
        </w:rPr>
      </w:pPr>
      <w:bookmarkStart w:id="182" w:name="_Toc482188646"/>
      <w:r>
        <w:rPr>
          <w:color w:val="auto"/>
          <w:sz w:val="24"/>
          <w:highlight w:val="none"/>
        </w:rPr>
        <w:t>……</w:t>
      </w:r>
    </w:p>
    <w:p>
      <w:pPr>
        <w:pStyle w:val="4"/>
        <w:keepNext w:val="0"/>
        <w:keepLines w:val="0"/>
        <w:spacing w:line="240" w:lineRule="auto"/>
        <w:rPr>
          <w:rFonts w:ascii="Times New Roman" w:hAnsi="Times New Roman"/>
          <w:b w:val="0"/>
          <w:color w:val="auto"/>
          <w:sz w:val="28"/>
          <w:szCs w:val="28"/>
          <w:highlight w:val="none"/>
        </w:rPr>
      </w:pPr>
      <w:bookmarkStart w:id="183" w:name="_Toc511557119"/>
      <w:bookmarkStart w:id="184" w:name="_Toc531273862"/>
      <w:r>
        <w:rPr>
          <w:rFonts w:hint="eastAsia" w:ascii="Times New Roman" w:hAnsi="Times New Roman"/>
          <w:b w:val="0"/>
          <w:color w:val="auto"/>
          <w:sz w:val="28"/>
          <w:szCs w:val="28"/>
          <w:highlight w:val="none"/>
        </w:rPr>
        <w:t>七、委托人的其他要求</w:t>
      </w:r>
      <w:bookmarkEnd w:id="182"/>
      <w:bookmarkEnd w:id="183"/>
      <w:bookmarkEnd w:id="184"/>
    </w:p>
    <w:p>
      <w:pPr>
        <w:spacing w:line="324" w:lineRule="auto"/>
        <w:ind w:firstLine="480" w:firstLineChars="200"/>
        <w:rPr>
          <w:color w:val="auto"/>
          <w:highlight w:val="none"/>
        </w:rPr>
      </w:pPr>
      <w:r>
        <w:rPr>
          <w:rFonts w:hint="eastAsia"/>
          <w:color w:val="auto"/>
          <w:sz w:val="24"/>
          <w:szCs w:val="21"/>
          <w:highlight w:val="none"/>
        </w:rPr>
        <w:t>委托人的其他要求</w:t>
      </w:r>
      <w:r>
        <w:rPr>
          <w:rFonts w:hint="eastAsia" w:ascii="宋体" w:hAnsi="宋体"/>
          <w:color w:val="auto"/>
          <w:sz w:val="24"/>
          <w:szCs w:val="21"/>
          <w:highlight w:val="none"/>
        </w:rPr>
        <w:t>：</w:t>
      </w:r>
      <w:r>
        <w:rPr>
          <w:rFonts w:hint="eastAsia" w:ascii="宋体" w:hAnsi="宋体"/>
          <w:color w:val="auto"/>
          <w:sz w:val="24"/>
          <w:szCs w:val="21"/>
          <w:highlight w:val="none"/>
          <w:u w:val="single"/>
        </w:rPr>
        <w:t>其他要求详见监理合同。</w:t>
      </w:r>
    </w:p>
    <w:p>
      <w:pPr>
        <w:pStyle w:val="13"/>
        <w:snapToGrid w:val="0"/>
        <w:spacing w:line="400" w:lineRule="atLeast"/>
        <w:ind w:left="0" w:leftChars="0" w:firstLine="420" w:firstLineChars="200"/>
        <w:rPr>
          <w:rFonts w:ascii="宋体" w:hAnsi="宋体" w:cs="宋体"/>
          <w:color w:val="auto"/>
          <w:szCs w:val="21"/>
          <w:highlight w:val="none"/>
        </w:rPr>
      </w:pPr>
    </w:p>
    <w:p>
      <w:pPr>
        <w:rPr>
          <w:rFonts w:ascii="宋体" w:hAnsi="宋体" w:cs="宋体"/>
          <w:color w:val="auto"/>
          <w:highlight w:val="none"/>
        </w:rPr>
      </w:pPr>
    </w:p>
    <w:p>
      <w:pPr>
        <w:rPr>
          <w:rFonts w:ascii="宋体" w:hAnsi="宋体" w:cs="宋体"/>
          <w:b/>
          <w:color w:val="auto"/>
          <w:kern w:val="44"/>
          <w:sz w:val="44"/>
          <w:szCs w:val="20"/>
          <w:highlight w:val="none"/>
        </w:rPr>
      </w:pPr>
      <w:bookmarkStart w:id="185" w:name="_Toc247085853"/>
      <w:bookmarkStart w:id="186" w:name="_Toc246996338"/>
      <w:bookmarkStart w:id="187" w:name="_Toc246997081"/>
      <w:bookmarkStart w:id="188" w:name="_Toc179632787"/>
    </w:p>
    <w:p>
      <w:pPr>
        <w:rPr>
          <w:rFonts w:ascii="宋体" w:hAnsi="宋体" w:cs="宋体"/>
          <w:b/>
          <w:color w:val="auto"/>
          <w:kern w:val="44"/>
          <w:sz w:val="44"/>
          <w:szCs w:val="20"/>
          <w:highlight w:val="none"/>
        </w:rPr>
      </w:pPr>
    </w:p>
    <w:p>
      <w:pPr>
        <w:rPr>
          <w:rFonts w:ascii="宋体" w:hAnsi="宋体" w:cs="宋体"/>
          <w:b/>
          <w:color w:val="auto"/>
          <w:kern w:val="44"/>
          <w:sz w:val="44"/>
          <w:szCs w:val="20"/>
          <w:highlight w:val="none"/>
        </w:rPr>
      </w:pPr>
    </w:p>
    <w:p>
      <w:pPr>
        <w:rPr>
          <w:rFonts w:ascii="宋体" w:hAnsi="宋体" w:cs="宋体"/>
          <w:b/>
          <w:color w:val="auto"/>
          <w:kern w:val="44"/>
          <w:sz w:val="44"/>
          <w:szCs w:val="20"/>
          <w:highlight w:val="none"/>
        </w:rPr>
      </w:pPr>
    </w:p>
    <w:p>
      <w:pPr>
        <w:rPr>
          <w:rFonts w:ascii="宋体" w:hAnsi="宋体" w:cs="宋体"/>
          <w:b/>
          <w:color w:val="auto"/>
          <w:kern w:val="44"/>
          <w:sz w:val="44"/>
          <w:szCs w:val="20"/>
          <w:highlight w:val="none"/>
        </w:rPr>
      </w:pPr>
    </w:p>
    <w:p>
      <w:pPr>
        <w:tabs>
          <w:tab w:val="left" w:pos="540"/>
        </w:tabs>
        <w:snapToGrid w:val="0"/>
        <w:spacing w:line="360" w:lineRule="auto"/>
        <w:rPr>
          <w:rFonts w:ascii="宋体" w:hAnsi="宋体" w:cs="宋体"/>
          <w:color w:val="auto"/>
          <w:sz w:val="24"/>
          <w:szCs w:val="24"/>
          <w:highlight w:val="none"/>
        </w:rPr>
      </w:pPr>
      <w:bookmarkStart w:id="189" w:name="_Toc517280585"/>
      <w:bookmarkStart w:id="190" w:name="_Toc517280586"/>
      <w:r>
        <w:rPr>
          <w:rFonts w:hint="eastAsia" w:ascii="宋体" w:hAnsi="宋体" w:cs="宋体"/>
          <w:color w:val="auto"/>
          <w:highlight w:val="none"/>
        </w:rPr>
        <w:br w:type="page"/>
      </w:r>
      <w:bookmarkEnd w:id="185"/>
      <w:bookmarkEnd w:id="186"/>
      <w:bookmarkEnd w:id="187"/>
      <w:bookmarkEnd w:id="188"/>
      <w:bookmarkEnd w:id="189"/>
      <w:bookmarkEnd w:id="190"/>
    </w:p>
    <w:p>
      <w:pPr>
        <w:pStyle w:val="3"/>
        <w:keepNext w:val="0"/>
        <w:keepLines w:val="0"/>
        <w:jc w:val="center"/>
        <w:rPr>
          <w:rFonts w:ascii="宋体" w:hAnsi="宋体" w:cs="宋体"/>
          <w:color w:val="auto"/>
          <w:sz w:val="36"/>
          <w:szCs w:val="36"/>
          <w:highlight w:val="none"/>
        </w:rPr>
      </w:pPr>
      <w:bookmarkStart w:id="191" w:name="_Toc517280599"/>
      <w:bookmarkStart w:id="192" w:name="_Toc4659646"/>
      <w:bookmarkStart w:id="193" w:name="_Toc29346_WPSOffice_Level1"/>
      <w:r>
        <w:rPr>
          <w:rFonts w:hint="eastAsia" w:ascii="宋体" w:hAnsi="宋体" w:cs="宋体"/>
          <w:color w:val="auto"/>
          <w:sz w:val="36"/>
          <w:szCs w:val="36"/>
          <w:highlight w:val="none"/>
        </w:rPr>
        <w:t>第六章投标文件格式</w:t>
      </w:r>
      <w:bookmarkEnd w:id="191"/>
      <w:bookmarkEnd w:id="192"/>
      <w:bookmarkEnd w:id="193"/>
    </w:p>
    <w:p>
      <w:pPr>
        <w:pStyle w:val="4"/>
        <w:keepNext w:val="0"/>
        <w:keepLines w:val="0"/>
        <w:jc w:val="center"/>
        <w:rPr>
          <w:rFonts w:ascii="宋体" w:hAnsi="宋体" w:eastAsia="宋体" w:cs="宋体"/>
          <w:color w:val="auto"/>
          <w:highlight w:val="none"/>
        </w:rPr>
      </w:pPr>
      <w:r>
        <w:rPr>
          <w:rFonts w:hint="eastAsia" w:ascii="宋体" w:hAnsi="宋体" w:cs="宋体"/>
          <w:color w:val="auto"/>
          <w:highlight w:val="none"/>
        </w:rPr>
        <w:br w:type="page"/>
      </w:r>
      <w:bookmarkStart w:id="194" w:name="_Toc517280600"/>
      <w:r>
        <w:rPr>
          <w:rFonts w:hint="eastAsia" w:ascii="宋体" w:hAnsi="宋体" w:eastAsia="宋体" w:cs="宋体"/>
          <w:color w:val="auto"/>
          <w:highlight w:val="none"/>
        </w:rPr>
        <w:t>目录</w:t>
      </w:r>
      <w:bookmarkEnd w:id="194"/>
    </w:p>
    <w:p>
      <w:pPr>
        <w:spacing w:line="540" w:lineRule="exact"/>
        <w:rPr>
          <w:rFonts w:ascii="宋体" w:hAnsi="宋体" w:cs="宋体"/>
          <w:color w:val="auto"/>
          <w:highlight w:val="none"/>
        </w:rPr>
      </w:pPr>
    </w:p>
    <w:p>
      <w:pPr>
        <w:spacing w:line="480" w:lineRule="auto"/>
        <w:rPr>
          <w:rFonts w:ascii="宋体" w:hAnsi="宋体" w:cs="宋体"/>
          <w:color w:val="auto"/>
          <w:sz w:val="24"/>
          <w:szCs w:val="24"/>
          <w:highlight w:val="none"/>
        </w:rPr>
      </w:pPr>
      <w:bookmarkStart w:id="195" w:name="_Toc21466_WPSOffice_Level1"/>
      <w:bookmarkStart w:id="196" w:name="_Toc27525_WPSOffice_Level1"/>
      <w:bookmarkStart w:id="197" w:name="_Toc23376_WPSOffice_Level1"/>
      <w:r>
        <w:rPr>
          <w:rFonts w:hint="eastAsia" w:ascii="宋体" w:hAnsi="宋体" w:cs="宋体"/>
          <w:color w:val="auto"/>
          <w:sz w:val="24"/>
          <w:szCs w:val="24"/>
          <w:highlight w:val="none"/>
        </w:rPr>
        <w:t>一、投标函及投标函附录</w:t>
      </w:r>
      <w:bookmarkEnd w:id="195"/>
      <w:bookmarkEnd w:id="196"/>
      <w:bookmarkEnd w:id="197"/>
    </w:p>
    <w:p>
      <w:pPr>
        <w:spacing w:line="480" w:lineRule="auto"/>
        <w:rPr>
          <w:rFonts w:ascii="宋体" w:hAnsi="宋体" w:cs="宋体"/>
          <w:color w:val="auto"/>
          <w:sz w:val="24"/>
          <w:szCs w:val="24"/>
          <w:highlight w:val="none"/>
        </w:rPr>
      </w:pPr>
      <w:bookmarkStart w:id="198" w:name="_Toc3229_WPSOffice_Level1"/>
      <w:bookmarkStart w:id="199" w:name="_Toc17652_WPSOffice_Level1"/>
      <w:bookmarkStart w:id="200" w:name="_Toc25550_WPSOffice_Level1"/>
      <w:r>
        <w:rPr>
          <w:rFonts w:hint="eastAsia" w:ascii="宋体" w:hAnsi="宋体" w:cs="宋体"/>
          <w:color w:val="auto"/>
          <w:sz w:val="24"/>
          <w:szCs w:val="24"/>
          <w:highlight w:val="none"/>
        </w:rPr>
        <w:t>二、法定代表人身份证明（适用于无委托代理人的情况）</w:t>
      </w:r>
      <w:bookmarkEnd w:id="198"/>
      <w:bookmarkEnd w:id="199"/>
      <w:bookmarkEnd w:id="200"/>
    </w:p>
    <w:p>
      <w:pPr>
        <w:spacing w:line="480" w:lineRule="auto"/>
        <w:rPr>
          <w:rFonts w:ascii="宋体" w:hAnsi="宋体" w:cs="宋体"/>
          <w:color w:val="auto"/>
          <w:sz w:val="24"/>
          <w:szCs w:val="24"/>
          <w:highlight w:val="none"/>
        </w:rPr>
      </w:pPr>
      <w:bookmarkStart w:id="201" w:name="_Toc24408_WPSOffice_Level1"/>
      <w:bookmarkStart w:id="202" w:name="_Toc24669_WPSOffice_Level1"/>
      <w:bookmarkStart w:id="203" w:name="_Toc13865_WPSOffice_Level1"/>
      <w:r>
        <w:rPr>
          <w:rFonts w:hint="eastAsia" w:ascii="宋体" w:hAnsi="宋体" w:cs="宋体"/>
          <w:color w:val="auto"/>
          <w:sz w:val="24"/>
          <w:szCs w:val="24"/>
          <w:highlight w:val="none"/>
        </w:rPr>
        <w:t>二、授权委托书（适用于有委托代理人的情况）</w:t>
      </w:r>
    </w:p>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三、</w:t>
      </w:r>
      <w:r>
        <w:rPr>
          <w:rFonts w:ascii="宋体" w:hAnsi="宋体"/>
          <w:color w:val="auto"/>
          <w:spacing w:val="-2"/>
          <w:sz w:val="24"/>
          <w:szCs w:val="24"/>
          <w:highlight w:val="none"/>
        </w:rPr>
        <w:t>投标保证金</w:t>
      </w:r>
      <w:bookmarkEnd w:id="201"/>
      <w:bookmarkEnd w:id="202"/>
      <w:bookmarkEnd w:id="203"/>
    </w:p>
    <w:p>
      <w:pPr>
        <w:spacing w:line="480" w:lineRule="auto"/>
        <w:rPr>
          <w:rFonts w:ascii="宋体" w:hAnsi="宋体" w:cs="宋体"/>
          <w:color w:val="auto"/>
          <w:sz w:val="24"/>
          <w:szCs w:val="24"/>
          <w:highlight w:val="none"/>
        </w:rPr>
      </w:pPr>
      <w:bookmarkStart w:id="204" w:name="_Toc28029_WPSOffice_Level1"/>
      <w:bookmarkStart w:id="205" w:name="_Toc7121_WPSOffice_Level1"/>
      <w:bookmarkStart w:id="206" w:name="_Toc21311_WPSOffice_Level1"/>
      <w:r>
        <w:rPr>
          <w:rFonts w:hint="eastAsia" w:ascii="宋体" w:hAnsi="宋体" w:cs="宋体"/>
          <w:color w:val="auto"/>
          <w:sz w:val="24"/>
          <w:szCs w:val="24"/>
          <w:highlight w:val="none"/>
        </w:rPr>
        <w:t>四、监理报酬清单</w:t>
      </w:r>
      <w:bookmarkEnd w:id="204"/>
      <w:bookmarkEnd w:id="205"/>
      <w:bookmarkEnd w:id="206"/>
    </w:p>
    <w:p>
      <w:pPr>
        <w:spacing w:line="480" w:lineRule="auto"/>
        <w:rPr>
          <w:rFonts w:ascii="宋体" w:hAnsi="宋体" w:cs="宋体"/>
          <w:color w:val="auto"/>
          <w:sz w:val="24"/>
          <w:szCs w:val="24"/>
          <w:highlight w:val="none"/>
        </w:rPr>
      </w:pPr>
      <w:bookmarkStart w:id="207" w:name="_Toc11840_WPSOffice_Level1"/>
      <w:bookmarkStart w:id="208" w:name="_Toc15450_WPSOffice_Level1"/>
      <w:bookmarkStart w:id="209" w:name="_Toc30706_WPSOffice_Level1"/>
      <w:r>
        <w:rPr>
          <w:rFonts w:hint="eastAsia" w:ascii="宋体" w:hAnsi="宋体" w:cs="宋体"/>
          <w:color w:val="auto"/>
          <w:sz w:val="24"/>
          <w:szCs w:val="24"/>
          <w:highlight w:val="none"/>
        </w:rPr>
        <w:t>五、资格审查资料</w:t>
      </w:r>
      <w:bookmarkEnd w:id="207"/>
      <w:bookmarkEnd w:id="208"/>
      <w:bookmarkEnd w:id="209"/>
    </w:p>
    <w:p>
      <w:pPr>
        <w:spacing w:line="480" w:lineRule="auto"/>
        <w:rPr>
          <w:rFonts w:ascii="宋体" w:hAnsi="宋体" w:cs="宋体"/>
          <w:color w:val="auto"/>
          <w:sz w:val="24"/>
          <w:szCs w:val="24"/>
          <w:highlight w:val="none"/>
        </w:rPr>
      </w:pPr>
      <w:bookmarkStart w:id="210" w:name="_Toc11839_WPSOffice_Level1"/>
      <w:bookmarkStart w:id="211" w:name="_Toc21590_WPSOffice_Level1"/>
      <w:bookmarkStart w:id="212" w:name="_Toc18463_WPSOffice_Level1"/>
      <w:r>
        <w:rPr>
          <w:rFonts w:hint="eastAsia" w:ascii="宋体" w:hAnsi="宋体" w:cs="宋体"/>
          <w:color w:val="auto"/>
          <w:sz w:val="24"/>
          <w:szCs w:val="24"/>
          <w:highlight w:val="none"/>
        </w:rPr>
        <w:t>六、监理大纲</w:t>
      </w:r>
      <w:bookmarkEnd w:id="210"/>
      <w:bookmarkEnd w:id="211"/>
      <w:bookmarkEnd w:id="212"/>
    </w:p>
    <w:p>
      <w:pPr>
        <w:spacing w:line="480" w:lineRule="auto"/>
        <w:rPr>
          <w:rFonts w:ascii="宋体" w:hAnsi="宋体" w:cs="宋体"/>
          <w:color w:val="auto"/>
          <w:sz w:val="24"/>
          <w:szCs w:val="24"/>
          <w:highlight w:val="none"/>
        </w:rPr>
      </w:pPr>
      <w:bookmarkStart w:id="213" w:name="_Toc7039"/>
      <w:bookmarkStart w:id="214" w:name="_Toc352691655"/>
      <w:bookmarkStart w:id="215" w:name="_Toc369531691"/>
      <w:r>
        <w:rPr>
          <w:rFonts w:hint="eastAsia" w:ascii="宋体" w:hAnsi="宋体" w:cs="宋体"/>
          <w:color w:val="auto"/>
          <w:sz w:val="24"/>
          <w:szCs w:val="24"/>
          <w:highlight w:val="none"/>
        </w:rPr>
        <w:t>七、其他资料</w:t>
      </w:r>
    </w:p>
    <w:bookmarkEnd w:id="213"/>
    <w:bookmarkEnd w:id="214"/>
    <w:bookmarkEnd w:id="215"/>
    <w:p>
      <w:pPr>
        <w:pStyle w:val="4"/>
        <w:keepNext w:val="0"/>
        <w:keepLines w:val="0"/>
        <w:spacing w:line="240" w:lineRule="auto"/>
        <w:jc w:val="center"/>
        <w:rPr>
          <w:rFonts w:ascii="宋体" w:hAnsi="宋体" w:eastAsia="宋体" w:cs="宋体"/>
          <w:color w:val="auto"/>
          <w:highlight w:val="none"/>
        </w:rPr>
      </w:pPr>
      <w:bookmarkStart w:id="216" w:name="_Toc517280601"/>
      <w:r>
        <w:rPr>
          <w:rFonts w:hint="eastAsia" w:ascii="宋体" w:hAnsi="宋体" w:eastAsia="宋体" w:cs="宋体"/>
          <w:color w:val="auto"/>
          <w:highlight w:val="none"/>
        </w:rPr>
        <w:br w:type="page"/>
      </w:r>
      <w:bookmarkStart w:id="217" w:name="_Toc29104_WPSOffice_Level1"/>
      <w:bookmarkStart w:id="218" w:name="_Toc32158_WPSOffice_Level1"/>
      <w:bookmarkStart w:id="219" w:name="_Toc24003_WPSOffice_Level1"/>
      <w:r>
        <w:rPr>
          <w:rFonts w:hint="eastAsia" w:ascii="宋体" w:hAnsi="宋体" w:eastAsia="宋体" w:cs="宋体"/>
          <w:color w:val="auto"/>
          <w:highlight w:val="none"/>
        </w:rPr>
        <w:t>一、投标</w:t>
      </w:r>
      <w:bookmarkStart w:id="220" w:name="_Toc369531692"/>
      <w:bookmarkStart w:id="221" w:name="_Toc352691656"/>
      <w:bookmarkStart w:id="222" w:name="_Toc6931"/>
      <w:r>
        <w:rPr>
          <w:rFonts w:hint="eastAsia" w:ascii="宋体" w:hAnsi="宋体" w:eastAsia="宋体" w:cs="宋体"/>
          <w:color w:val="auto"/>
          <w:highlight w:val="none"/>
        </w:rPr>
        <w:t>函及投标函附录</w:t>
      </w:r>
      <w:bookmarkEnd w:id="216"/>
      <w:bookmarkEnd w:id="217"/>
      <w:bookmarkEnd w:id="218"/>
      <w:bookmarkEnd w:id="219"/>
    </w:p>
    <w:bookmarkEnd w:id="220"/>
    <w:bookmarkEnd w:id="221"/>
    <w:bookmarkEnd w:id="222"/>
    <w:p>
      <w:pPr>
        <w:pStyle w:val="5"/>
        <w:keepNext w:val="0"/>
        <w:keepLines w:val="0"/>
        <w:ind w:firstLine="137"/>
        <w:rPr>
          <w:rFonts w:ascii="宋体" w:hAnsi="宋体" w:cs="宋体"/>
          <w:color w:val="auto"/>
          <w:szCs w:val="24"/>
          <w:highlight w:val="none"/>
        </w:rPr>
      </w:pPr>
      <w:bookmarkStart w:id="223" w:name="_Toc359594235"/>
      <w:bookmarkStart w:id="224" w:name="_Toc385943065"/>
      <w:bookmarkStart w:id="225" w:name="_Toc370676426"/>
      <w:bookmarkStart w:id="226" w:name="_Toc517280602"/>
      <w:bookmarkStart w:id="227" w:name="_Toc391394111"/>
      <w:bookmarkStart w:id="228" w:name="_Toc482188651"/>
      <w:r>
        <w:rPr>
          <w:rFonts w:hint="eastAsia" w:ascii="宋体" w:hAnsi="宋体" w:cs="宋体"/>
          <w:color w:val="auto"/>
          <w:szCs w:val="24"/>
          <w:highlight w:val="none"/>
        </w:rPr>
        <w:t>（一）投标函</w:t>
      </w:r>
      <w:bookmarkEnd w:id="223"/>
      <w:bookmarkEnd w:id="224"/>
      <w:bookmarkEnd w:id="225"/>
      <w:bookmarkEnd w:id="226"/>
      <w:bookmarkEnd w:id="227"/>
      <w:bookmarkEnd w:id="228"/>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（招标人名称）：</w:t>
      </w:r>
    </w:p>
    <w:p>
      <w:pPr>
        <w:spacing w:line="44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监理招标项目招标文件的全部内容，愿意以《开标一览表》中的投标总报价和监理服务期限，按合同约定完成监理工作。</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我方的投标文件包括下列内容：</w:t>
      </w:r>
    </w:p>
    <w:p>
      <w:pPr>
        <w:spacing w:line="40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pPr>
        <w:spacing w:line="40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（2）法定代表人身份证明或授权委托书；</w:t>
      </w:r>
    </w:p>
    <w:p>
      <w:pPr>
        <w:spacing w:line="40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（3）投标保证金；</w:t>
      </w:r>
    </w:p>
    <w:p>
      <w:pPr>
        <w:spacing w:line="40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 xml:space="preserve">（4）监理报酬清单； </w:t>
      </w:r>
    </w:p>
    <w:p>
      <w:pPr>
        <w:spacing w:line="40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 xml:space="preserve">（5）资格审查资料； </w:t>
      </w:r>
    </w:p>
    <w:p>
      <w:pPr>
        <w:spacing w:line="40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（6）监理大纲；</w:t>
      </w:r>
    </w:p>
    <w:p>
      <w:pPr>
        <w:spacing w:line="40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（7）其他资料。</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投标文件的上述组成部分如存在内容不一致的，以投标函为准。</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3．我方承诺在招标文件规定的投标有效期内不撤销投标文件。</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4．如我方中标，我方承诺：</w:t>
      </w:r>
    </w:p>
    <w:p>
      <w:pPr>
        <w:spacing w:line="440" w:lineRule="exact"/>
        <w:ind w:left="960" w:leftChars="400"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（1）在收到中标通知书后30日内与你方签订合同；</w:t>
      </w:r>
    </w:p>
    <w:p>
      <w:pPr>
        <w:spacing w:line="440" w:lineRule="exact"/>
        <w:ind w:left="960" w:leftChars="400"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（2）在签订合同时不向你方提出附加条件；</w:t>
      </w:r>
    </w:p>
    <w:p>
      <w:pPr>
        <w:spacing w:line="440" w:lineRule="exact"/>
        <w:ind w:left="960" w:leftChars="400"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（3）按照招标文件要求提交履约保证金；</w:t>
      </w:r>
      <w:bookmarkStart w:id="229" w:name="_Toc369531694"/>
      <w:bookmarkStart w:id="230" w:name="_Toc1187"/>
      <w:bookmarkStart w:id="231" w:name="_Toc352691658"/>
    </w:p>
    <w:p>
      <w:pPr>
        <w:spacing w:line="440" w:lineRule="exact"/>
        <w:ind w:left="960" w:leftChars="400"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（4）在合</w:t>
      </w:r>
      <w:bookmarkEnd w:id="229"/>
      <w:bookmarkEnd w:id="230"/>
      <w:bookmarkEnd w:id="231"/>
      <w:r>
        <w:rPr>
          <w:rFonts w:hint="eastAsia" w:ascii="宋体" w:hAnsi="宋体" w:cs="宋体"/>
          <w:color w:val="auto"/>
          <w:sz w:val="24"/>
          <w:szCs w:val="24"/>
          <w:highlight w:val="none"/>
        </w:rPr>
        <w:t>同约定的期限内完成合同规定的全部义务。</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5．我方在此声明，所递交的投标文件及有关资料内容完整、真实和准确，且不存在第二章“投标人须知”第1.4.3项规定的任何一种情形。</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6．（其他补充说明）。</w:t>
      </w:r>
    </w:p>
    <w:p>
      <w:pPr>
        <w:spacing w:line="380" w:lineRule="exact"/>
        <w:ind w:firstLine="2880" w:firstLineChars="1200"/>
        <w:jc w:val="left"/>
        <w:rPr>
          <w:rFonts w:ascii="宋体" w:hAnsi="宋体" w:cs="宋体"/>
          <w:color w:val="auto"/>
          <w:sz w:val="24"/>
          <w:szCs w:val="24"/>
          <w:highlight w:val="none"/>
        </w:rPr>
      </w:pPr>
      <w:bookmarkStart w:id="232" w:name="_Toc16568"/>
      <w:bookmarkEnd w:id="232"/>
      <w:bookmarkStart w:id="233" w:name="_Toc352691659"/>
      <w:bookmarkEnd w:id="233"/>
      <w:bookmarkStart w:id="234" w:name="_Toc369531695"/>
      <w:bookmarkEnd w:id="234"/>
      <w:bookmarkStart w:id="235" w:name="_Toc352691660"/>
      <w:bookmarkEnd w:id="235"/>
      <w:bookmarkStart w:id="236" w:name="_Toc16824"/>
      <w:bookmarkEnd w:id="236"/>
      <w:bookmarkStart w:id="237" w:name="_Toc369531696"/>
      <w:bookmarkEnd w:id="237"/>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（签字或盖章）</w:t>
      </w:r>
    </w:p>
    <w:p>
      <w:pPr>
        <w:spacing w:line="380" w:lineRule="exact"/>
        <w:ind w:firstLine="2880" w:firstLineChars="1200"/>
        <w:jc w:val="left"/>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p>
    <w:p>
      <w:pPr>
        <w:spacing w:line="380" w:lineRule="exact"/>
        <w:ind w:firstLine="2880" w:firstLineChars="1200"/>
        <w:jc w:val="left"/>
        <w:rPr>
          <w:rFonts w:ascii="宋体" w:hAnsi="宋体" w:cs="宋体"/>
          <w:color w:val="auto"/>
          <w:sz w:val="24"/>
          <w:szCs w:val="24"/>
          <w:highlight w:val="none"/>
        </w:rPr>
      </w:pPr>
      <w:r>
        <w:rPr>
          <w:rFonts w:hint="eastAsia" w:ascii="宋体" w:hAnsi="宋体" w:cs="宋体"/>
          <w:color w:val="auto"/>
          <w:sz w:val="24"/>
          <w:szCs w:val="24"/>
          <w:highlight w:val="none"/>
        </w:rPr>
        <w:t>网    址：</w:t>
      </w:r>
      <w:r>
        <w:rPr>
          <w:rFonts w:hint="eastAsia" w:ascii="宋体" w:hAnsi="宋体" w:cs="宋体"/>
          <w:color w:val="auto"/>
          <w:sz w:val="24"/>
          <w:szCs w:val="24"/>
          <w:highlight w:val="none"/>
          <w:u w:val="single"/>
        </w:rPr>
        <w:tab/>
      </w:r>
    </w:p>
    <w:p>
      <w:pPr>
        <w:spacing w:line="380" w:lineRule="exact"/>
        <w:ind w:firstLine="2880" w:firstLineChars="1200"/>
        <w:jc w:val="left"/>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p>
    <w:p>
      <w:pPr>
        <w:spacing w:line="380" w:lineRule="exact"/>
        <w:ind w:firstLine="2880" w:firstLineChars="1200"/>
        <w:jc w:val="left"/>
        <w:rPr>
          <w:rFonts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ab/>
      </w:r>
    </w:p>
    <w:p>
      <w:pPr>
        <w:spacing w:line="380" w:lineRule="exact"/>
        <w:ind w:firstLine="2880" w:firstLineChars="1200"/>
        <w:jc w:val="left"/>
        <w:rPr>
          <w:rFonts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ab/>
      </w:r>
    </w:p>
    <w:p>
      <w:pPr>
        <w:spacing w:line="380" w:lineRule="exact"/>
        <w:ind w:firstLine="5400" w:firstLineChars="225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spacing w:line="440" w:lineRule="exact"/>
        <w:rPr>
          <w:rFonts w:ascii="宋体" w:hAnsi="宋体" w:cs="宋体"/>
          <w:color w:val="auto"/>
          <w:sz w:val="20"/>
          <w:highlight w:val="none"/>
        </w:rPr>
      </w:pPr>
      <w:bookmarkStart w:id="238" w:name="_Toc391394112"/>
      <w:bookmarkStart w:id="239" w:name="_Toc482188652"/>
      <w:bookmarkStart w:id="240" w:name="_Toc370676427"/>
      <w:bookmarkStart w:id="241" w:name="_Toc359594236"/>
      <w:bookmarkStart w:id="242" w:name="_Toc385943066"/>
      <w:bookmarkStart w:id="243" w:name="_Toc517280603"/>
      <w:bookmarkStart w:id="244" w:name="_Toc247527827"/>
      <w:bookmarkStart w:id="245" w:name="_Toc384308375"/>
      <w:bookmarkStart w:id="246" w:name="_Toc144974856"/>
      <w:bookmarkStart w:id="247" w:name="_Toc361508752"/>
      <w:bookmarkStart w:id="248" w:name="_Toc17960"/>
      <w:bookmarkStart w:id="249" w:name="_Toc300835209"/>
      <w:bookmarkStart w:id="250" w:name="_Toc369531697"/>
      <w:bookmarkStart w:id="251" w:name="_Toc152045787"/>
      <w:bookmarkStart w:id="252" w:name="_Toc352691661"/>
      <w:bookmarkStart w:id="253" w:name="_Toc247514246"/>
      <w:bookmarkStart w:id="254" w:name="_Toc152042576"/>
    </w:p>
    <w:p>
      <w:pPr>
        <w:pStyle w:val="5"/>
        <w:keepNext w:val="0"/>
        <w:keepLines w:val="0"/>
        <w:ind w:firstLine="137"/>
        <w:rPr>
          <w:rFonts w:ascii="宋体" w:hAnsi="宋体" w:cs="宋体"/>
          <w:color w:val="auto"/>
          <w:highlight w:val="none"/>
        </w:rPr>
        <w:sectPr>
          <w:footerReference r:id="rId6" w:type="default"/>
          <w:pgSz w:w="11907" w:h="16840"/>
          <w:pgMar w:top="1134" w:right="1134" w:bottom="1134" w:left="1417" w:header="851" w:footer="850" w:gutter="0"/>
          <w:cols w:space="720" w:num="1"/>
          <w:docGrid w:linePitch="326" w:charSpace="0"/>
        </w:sectPr>
      </w:pPr>
    </w:p>
    <w:bookmarkEnd w:id="238"/>
    <w:bookmarkEnd w:id="239"/>
    <w:bookmarkEnd w:id="240"/>
    <w:bookmarkEnd w:id="241"/>
    <w:bookmarkEnd w:id="242"/>
    <w:bookmarkEnd w:id="243"/>
    <w:p>
      <w:pPr>
        <w:spacing w:line="448" w:lineRule="exact"/>
        <w:rPr>
          <w:rFonts w:ascii="宋体" w:hAnsi="宋体" w:cs="宋体"/>
          <w:color w:val="auto"/>
          <w:sz w:val="28"/>
          <w:highlight w:val="none"/>
        </w:rPr>
      </w:pPr>
      <w:bookmarkStart w:id="255" w:name="OLE_LINK3"/>
      <w:bookmarkStart w:id="256" w:name="OLE_LINK4"/>
      <w:r>
        <w:rPr>
          <w:rFonts w:hint="eastAsia" w:ascii="宋体" w:hAnsi="宋体" w:cs="宋体"/>
          <w:color w:val="auto"/>
          <w:sz w:val="28"/>
          <w:highlight w:val="none"/>
        </w:rPr>
        <w:t>（二）投标函附录</w:t>
      </w:r>
    </w:p>
    <w:tbl>
      <w:tblPr>
        <w:tblStyle w:val="26"/>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889"/>
        <w:gridCol w:w="2687"/>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r>
              <w:rPr>
                <w:rFonts w:hint="eastAsia" w:hAnsi="宋体"/>
                <w:b/>
                <w:color w:val="auto"/>
                <w:szCs w:val="21"/>
                <w:highlight w:val="none"/>
              </w:rPr>
              <w:t>序号</w:t>
            </w:r>
          </w:p>
        </w:tc>
        <w:tc>
          <w:tcPr>
            <w:tcW w:w="28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r>
              <w:rPr>
                <w:rFonts w:hint="eastAsia" w:hAnsi="宋体"/>
                <w:b/>
                <w:color w:val="auto"/>
                <w:szCs w:val="21"/>
                <w:highlight w:val="none"/>
              </w:rPr>
              <w:t>条款名称</w:t>
            </w:r>
          </w:p>
        </w:tc>
        <w:tc>
          <w:tcPr>
            <w:tcW w:w="268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r>
              <w:rPr>
                <w:rFonts w:hint="eastAsia" w:hAnsi="宋体"/>
                <w:b/>
                <w:color w:val="auto"/>
                <w:szCs w:val="21"/>
                <w:highlight w:val="none"/>
              </w:rPr>
              <w:t>约定内容</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r>
              <w:rPr>
                <w:rFonts w:ascii="宋体" w:hAnsi="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Cs w:val="21"/>
                <w:highlight w:val="none"/>
              </w:rPr>
            </w:pPr>
            <w:r>
              <w:rPr>
                <w:color w:val="auto"/>
                <w:szCs w:val="21"/>
                <w:highlight w:val="none"/>
              </w:rPr>
              <w:t>1</w:t>
            </w:r>
          </w:p>
        </w:tc>
        <w:tc>
          <w:tcPr>
            <w:tcW w:w="2889" w:type="dxa"/>
            <w:tcBorders>
              <w:top w:val="single" w:color="auto" w:sz="4" w:space="0"/>
              <w:left w:val="single" w:color="auto" w:sz="4" w:space="0"/>
              <w:bottom w:val="single" w:color="auto" w:sz="4" w:space="0"/>
              <w:right w:val="single" w:color="auto" w:sz="4" w:space="0"/>
            </w:tcBorders>
            <w:vAlign w:val="center"/>
          </w:tcPr>
          <w:p>
            <w:pPr>
              <w:spacing w:line="480" w:lineRule="exact"/>
              <w:rPr>
                <w:color w:val="auto"/>
                <w:szCs w:val="21"/>
                <w:highlight w:val="none"/>
              </w:rPr>
            </w:pPr>
            <w:r>
              <w:rPr>
                <w:color w:val="auto"/>
                <w:szCs w:val="21"/>
                <w:highlight w:val="none"/>
              </w:rPr>
              <w:t>总监理工程师</w:t>
            </w:r>
          </w:p>
        </w:tc>
        <w:tc>
          <w:tcPr>
            <w:tcW w:w="268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r>
              <w:rPr>
                <w:b/>
                <w:color w:val="auto"/>
                <w:szCs w:val="21"/>
                <w:highlight w:val="none"/>
              </w:rPr>
              <w:t>姓名：</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Cs w:val="21"/>
                <w:highlight w:val="none"/>
              </w:rPr>
            </w:pPr>
            <w:r>
              <w:rPr>
                <w:color w:val="auto"/>
                <w:szCs w:val="21"/>
                <w:highlight w:val="none"/>
              </w:rPr>
              <w:t>2</w:t>
            </w:r>
          </w:p>
        </w:tc>
        <w:tc>
          <w:tcPr>
            <w:tcW w:w="2889" w:type="dxa"/>
            <w:tcBorders>
              <w:top w:val="single" w:color="auto" w:sz="4" w:space="0"/>
              <w:left w:val="single" w:color="auto" w:sz="4" w:space="0"/>
              <w:bottom w:val="single" w:color="auto" w:sz="4" w:space="0"/>
              <w:right w:val="single" w:color="auto" w:sz="4" w:space="0"/>
            </w:tcBorders>
            <w:vAlign w:val="center"/>
          </w:tcPr>
          <w:p>
            <w:pPr>
              <w:spacing w:line="480" w:lineRule="exact"/>
              <w:rPr>
                <w:color w:val="auto"/>
                <w:szCs w:val="21"/>
                <w:highlight w:val="none"/>
              </w:rPr>
            </w:pPr>
            <w:r>
              <w:rPr>
                <w:color w:val="auto"/>
                <w:szCs w:val="21"/>
                <w:highlight w:val="none"/>
              </w:rPr>
              <w:t>监理服务期限</w:t>
            </w:r>
          </w:p>
        </w:tc>
        <w:tc>
          <w:tcPr>
            <w:tcW w:w="268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r>
              <w:rPr>
                <w:rFonts w:hint="eastAsia"/>
                <w:color w:val="auto"/>
                <w:szCs w:val="21"/>
                <w:highlight w:val="none"/>
              </w:rPr>
              <w:t>完全响应招标文件要求</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Cs w:val="21"/>
                <w:highlight w:val="none"/>
              </w:rPr>
            </w:pPr>
            <w:r>
              <w:rPr>
                <w:color w:val="auto"/>
                <w:szCs w:val="21"/>
                <w:highlight w:val="none"/>
              </w:rPr>
              <w:t>3</w:t>
            </w:r>
          </w:p>
        </w:tc>
        <w:tc>
          <w:tcPr>
            <w:tcW w:w="2889" w:type="dxa"/>
            <w:tcBorders>
              <w:top w:val="single" w:color="auto" w:sz="4" w:space="0"/>
              <w:left w:val="single" w:color="auto" w:sz="4" w:space="0"/>
              <w:bottom w:val="single" w:color="auto" w:sz="4" w:space="0"/>
              <w:right w:val="single" w:color="auto" w:sz="4" w:space="0"/>
            </w:tcBorders>
            <w:vAlign w:val="center"/>
          </w:tcPr>
          <w:p>
            <w:pPr>
              <w:spacing w:line="480" w:lineRule="exact"/>
              <w:rPr>
                <w:color w:val="auto"/>
                <w:szCs w:val="21"/>
                <w:highlight w:val="none"/>
              </w:rPr>
            </w:pPr>
            <w:r>
              <w:rPr>
                <w:color w:val="auto"/>
                <w:szCs w:val="21"/>
                <w:highlight w:val="none"/>
              </w:rPr>
              <w:t>合同价款确定方式</w:t>
            </w:r>
          </w:p>
        </w:tc>
        <w:tc>
          <w:tcPr>
            <w:tcW w:w="268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r>
              <w:rPr>
                <w:rFonts w:hint="eastAsia"/>
                <w:b/>
                <w:color w:val="auto"/>
                <w:szCs w:val="21"/>
                <w:highlight w:val="none"/>
              </w:rPr>
              <w:t>响应合同条款</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Cs w:val="21"/>
                <w:highlight w:val="none"/>
              </w:rPr>
            </w:pPr>
            <w:r>
              <w:rPr>
                <w:rFonts w:hint="eastAsia"/>
                <w:color w:val="auto"/>
                <w:szCs w:val="21"/>
                <w:highlight w:val="none"/>
              </w:rPr>
              <w:t>4</w:t>
            </w:r>
          </w:p>
        </w:tc>
        <w:tc>
          <w:tcPr>
            <w:tcW w:w="2889" w:type="dxa"/>
            <w:tcBorders>
              <w:top w:val="single" w:color="auto" w:sz="4" w:space="0"/>
              <w:left w:val="single" w:color="auto" w:sz="4" w:space="0"/>
              <w:bottom w:val="single" w:color="auto" w:sz="4" w:space="0"/>
              <w:right w:val="single" w:color="auto" w:sz="4" w:space="0"/>
            </w:tcBorders>
            <w:vAlign w:val="center"/>
          </w:tcPr>
          <w:p>
            <w:pPr>
              <w:spacing w:line="480" w:lineRule="exact"/>
              <w:rPr>
                <w:color w:val="auto"/>
                <w:szCs w:val="21"/>
                <w:highlight w:val="none"/>
              </w:rPr>
            </w:pPr>
            <w:r>
              <w:rPr>
                <w:rFonts w:hint="eastAsia"/>
                <w:color w:val="auto"/>
                <w:szCs w:val="21"/>
                <w:highlight w:val="none"/>
              </w:rPr>
              <w:t>质量标准</w:t>
            </w:r>
          </w:p>
        </w:tc>
        <w:tc>
          <w:tcPr>
            <w:tcW w:w="268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p>
        </w:tc>
        <w:tc>
          <w:tcPr>
            <w:tcW w:w="25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w:t>
            </w:r>
          </w:p>
        </w:tc>
        <w:tc>
          <w:tcPr>
            <w:tcW w:w="2889"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w:t>
            </w:r>
          </w:p>
        </w:tc>
        <w:tc>
          <w:tcPr>
            <w:tcW w:w="2687"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highlight w:val="none"/>
              </w:rPr>
              <w:t>……</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color w:val="auto"/>
                <w:highlight w:val="none"/>
              </w:rPr>
            </w:pPr>
            <w:r>
              <w:rPr>
                <w:color w:val="auto"/>
                <w:highlight w:val="none"/>
              </w:rPr>
              <w:t>……</w:t>
            </w:r>
          </w:p>
        </w:tc>
        <w:tc>
          <w:tcPr>
            <w:tcW w:w="28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color w:val="auto"/>
                <w:highlight w:val="none"/>
              </w:rPr>
            </w:pPr>
            <w:r>
              <w:rPr>
                <w:color w:val="auto"/>
                <w:highlight w:val="none"/>
              </w:rPr>
              <w:t>……</w:t>
            </w:r>
          </w:p>
        </w:tc>
        <w:tc>
          <w:tcPr>
            <w:tcW w:w="268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color w:val="auto"/>
                <w:highlight w:val="none"/>
              </w:rPr>
            </w:pPr>
            <w:r>
              <w:rPr>
                <w:color w:val="auto"/>
                <w:highlight w:val="none"/>
              </w:rPr>
              <w:t>……</w:t>
            </w:r>
          </w:p>
        </w:tc>
        <w:tc>
          <w:tcPr>
            <w:tcW w:w="25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b/>
                <w:color w:val="auto"/>
                <w:szCs w:val="21"/>
                <w:highlight w:val="none"/>
              </w:rPr>
            </w:pPr>
          </w:p>
        </w:tc>
      </w:tr>
    </w:tbl>
    <w:p>
      <w:pPr>
        <w:spacing w:line="480" w:lineRule="exact"/>
        <w:ind w:firstLine="3675" w:firstLineChars="1750"/>
        <w:rPr>
          <w:rFonts w:hAnsi="宋体"/>
          <w:color w:val="auto"/>
          <w:szCs w:val="21"/>
          <w:highlight w:val="none"/>
        </w:rPr>
      </w:pPr>
    </w:p>
    <w:bookmarkEnd w:id="255"/>
    <w:bookmarkEnd w:id="256"/>
    <w:p>
      <w:pPr>
        <w:spacing w:line="480" w:lineRule="exact"/>
        <w:ind w:firstLine="3675" w:firstLineChars="1750"/>
        <w:rPr>
          <w:rFonts w:hAnsi="宋体"/>
          <w:color w:val="auto"/>
          <w:szCs w:val="21"/>
          <w:highlight w:val="none"/>
        </w:rPr>
      </w:pPr>
    </w:p>
    <w:p>
      <w:pPr>
        <w:spacing w:line="480" w:lineRule="exact"/>
        <w:ind w:firstLine="3675" w:firstLineChars="1750"/>
        <w:rPr>
          <w:rFonts w:hAnsi="宋体"/>
          <w:color w:val="auto"/>
          <w:szCs w:val="21"/>
          <w:highlight w:val="none"/>
        </w:rPr>
      </w:pPr>
    </w:p>
    <w:p>
      <w:pPr>
        <w:spacing w:line="480" w:lineRule="exact"/>
        <w:ind w:firstLine="4515" w:firstLineChars="2150"/>
        <w:rPr>
          <w:color w:val="auto"/>
          <w:szCs w:val="21"/>
          <w:highlight w:val="none"/>
          <w:u w:val="single"/>
        </w:rPr>
      </w:pPr>
      <w:r>
        <w:rPr>
          <w:rFonts w:hint="eastAsia" w:hAnsi="宋体"/>
          <w:color w:val="auto"/>
          <w:szCs w:val="21"/>
          <w:highlight w:val="none"/>
        </w:rPr>
        <w:t>投标人名称：（盖章）</w:t>
      </w:r>
    </w:p>
    <w:p>
      <w:pPr>
        <w:tabs>
          <w:tab w:val="left" w:pos="9333"/>
        </w:tabs>
        <w:spacing w:line="480" w:lineRule="exact"/>
        <w:ind w:right="178" w:rightChars="85" w:firstLine="4515" w:firstLineChars="2150"/>
        <w:jc w:val="left"/>
        <w:rPr>
          <w:color w:val="auto"/>
          <w:szCs w:val="21"/>
          <w:highlight w:val="none"/>
          <w:u w:val="single"/>
        </w:rPr>
      </w:pPr>
      <w:r>
        <w:rPr>
          <w:rFonts w:hint="eastAsia" w:hAnsi="宋体"/>
          <w:color w:val="auto"/>
          <w:szCs w:val="21"/>
          <w:highlight w:val="none"/>
        </w:rPr>
        <w:t>法定代表人或委托代理人：（签字或签章）</w:t>
      </w:r>
    </w:p>
    <w:p>
      <w:pPr>
        <w:spacing w:line="480" w:lineRule="exact"/>
        <w:ind w:firstLine="4515" w:firstLineChars="2150"/>
        <w:rPr>
          <w:color w:val="auto"/>
          <w:sz w:val="24"/>
          <w:szCs w:val="20"/>
          <w:highlight w:val="none"/>
        </w:rPr>
      </w:pPr>
      <w:r>
        <w:rPr>
          <w:rFonts w:hint="eastAsia" w:hAnsi="宋体"/>
          <w:color w:val="auto"/>
          <w:highlight w:val="none"/>
        </w:rPr>
        <w:t xml:space="preserve">日期： </w:t>
      </w:r>
      <w:r>
        <w:rPr>
          <w:rFonts w:hint="eastAsia" w:hAnsi="宋体"/>
          <w:color w:val="auto"/>
          <w:kern w:val="0"/>
          <w:szCs w:val="21"/>
          <w:highlight w:val="none"/>
        </w:rPr>
        <w:t>年  月  日</w:t>
      </w:r>
    </w:p>
    <w:p>
      <w:pPr>
        <w:spacing w:line="440" w:lineRule="exact"/>
        <w:ind w:firstLine="5400" w:firstLineChars="2250"/>
        <w:jc w:val="right"/>
        <w:rPr>
          <w:rFonts w:ascii="宋体" w:hAnsi="宋体" w:cs="宋体"/>
          <w:color w:val="auto"/>
          <w:sz w:val="24"/>
          <w:szCs w:val="24"/>
          <w:highlight w:val="none"/>
        </w:rPr>
      </w:pPr>
    </w:p>
    <w:p>
      <w:pPr>
        <w:pStyle w:val="4"/>
        <w:keepNext w:val="0"/>
        <w:keepLines w:val="0"/>
        <w:jc w:val="center"/>
        <w:rPr>
          <w:rFonts w:ascii="宋体" w:hAnsi="宋体" w:eastAsia="宋体" w:cs="宋体"/>
          <w:color w:val="auto"/>
          <w:highlight w:val="none"/>
        </w:rPr>
      </w:pPr>
      <w:bookmarkStart w:id="257" w:name="_Toc517280604"/>
      <w:r>
        <w:rPr>
          <w:rFonts w:hint="eastAsia" w:ascii="宋体" w:hAnsi="宋体" w:eastAsia="宋体" w:cs="宋体"/>
          <w:color w:val="auto"/>
          <w:highlight w:val="none"/>
        </w:rPr>
        <w:br w:type="page"/>
      </w:r>
      <w:bookmarkStart w:id="258" w:name="_Toc15912_WPSOffice_Level1"/>
      <w:bookmarkStart w:id="259" w:name="_Toc5323_WPSOffice_Level1"/>
      <w:bookmarkStart w:id="260" w:name="_Toc17626_WPSOffice_Level1"/>
      <w:r>
        <w:rPr>
          <w:rFonts w:hint="eastAsia" w:ascii="宋体" w:hAnsi="宋体" w:eastAsia="宋体" w:cs="宋体"/>
          <w:color w:val="auto"/>
          <w:highlight w:val="none"/>
        </w:rPr>
        <w:t>二</w:t>
      </w:r>
      <w:bookmarkEnd w:id="244"/>
      <w:bookmarkEnd w:id="245"/>
      <w:bookmarkEnd w:id="246"/>
      <w:bookmarkEnd w:id="247"/>
      <w:bookmarkEnd w:id="248"/>
      <w:bookmarkEnd w:id="249"/>
      <w:bookmarkEnd w:id="250"/>
      <w:bookmarkEnd w:id="251"/>
      <w:bookmarkEnd w:id="252"/>
      <w:bookmarkEnd w:id="253"/>
      <w:bookmarkEnd w:id="254"/>
      <w:r>
        <w:rPr>
          <w:rFonts w:hint="eastAsia" w:ascii="宋体" w:hAnsi="宋体" w:eastAsia="宋体" w:cs="宋体"/>
          <w:color w:val="auto"/>
          <w:highlight w:val="none"/>
        </w:rPr>
        <w:t>、法定代表人身份证明</w:t>
      </w:r>
      <w:bookmarkEnd w:id="257"/>
      <w:bookmarkEnd w:id="258"/>
      <w:bookmarkEnd w:id="259"/>
      <w:bookmarkEnd w:id="260"/>
      <w:r>
        <w:rPr>
          <w:rFonts w:hint="eastAsia" w:ascii="宋体" w:hAnsi="宋体" w:cs="宋体"/>
          <w:b w:val="0"/>
          <w:bCs/>
          <w:color w:val="auto"/>
          <w:sz w:val="30"/>
          <w:szCs w:val="30"/>
          <w:highlight w:val="none"/>
        </w:rPr>
        <w:t>（格式也可自拟）</w:t>
      </w:r>
    </w:p>
    <w:p>
      <w:pPr>
        <w:spacing w:line="440" w:lineRule="exact"/>
        <w:rPr>
          <w:rFonts w:ascii="宋体" w:hAnsi="宋体" w:cs="宋体"/>
          <w:color w:val="auto"/>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投标人名称：</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姓名：性别：</w:t>
      </w:r>
      <w:bookmarkStart w:id="261" w:name="_Toc27897"/>
      <w:bookmarkStart w:id="262" w:name="_Toc352691662"/>
      <w:bookmarkStart w:id="263" w:name="_Toc369531698"/>
      <w:r>
        <w:rPr>
          <w:rFonts w:hint="eastAsia" w:ascii="宋体" w:hAnsi="宋体" w:cs="宋体"/>
          <w:color w:val="auto"/>
          <w:sz w:val="24"/>
          <w:szCs w:val="24"/>
          <w:highlight w:val="none"/>
        </w:rPr>
        <w:t>年</w:t>
      </w:r>
      <w:bookmarkEnd w:id="261"/>
      <w:bookmarkEnd w:id="262"/>
      <w:bookmarkEnd w:id="263"/>
      <w:r>
        <w:rPr>
          <w:rFonts w:hint="eastAsia" w:ascii="宋体" w:hAnsi="宋体" w:cs="宋体"/>
          <w:color w:val="auto"/>
          <w:sz w:val="24"/>
          <w:szCs w:val="24"/>
          <w:highlight w:val="none"/>
        </w:rPr>
        <w:t>龄</w:t>
      </w:r>
      <w:bookmarkStart w:id="264" w:name="_Toc15573"/>
      <w:bookmarkStart w:id="265" w:name="_Toc352691663"/>
      <w:bookmarkStart w:id="266" w:name="_Toc247527829"/>
      <w:bookmarkStart w:id="267" w:name="_Toc300835211"/>
      <w:bookmarkStart w:id="268" w:name="_Toc152045789"/>
      <w:bookmarkStart w:id="269" w:name="_Toc152042578"/>
      <w:bookmarkStart w:id="270" w:name="_Toc384308377"/>
      <w:bookmarkStart w:id="271" w:name="_Toc361508754"/>
      <w:bookmarkStart w:id="272" w:name="_Toc247514248"/>
      <w:bookmarkStart w:id="273" w:name="_Toc144974858"/>
      <w:bookmarkStart w:id="274" w:name="_Toc369531699"/>
      <w:r>
        <w:rPr>
          <w:rFonts w:hint="eastAsia" w:ascii="宋体" w:hAnsi="宋体" w:cs="宋体"/>
          <w:color w:val="auto"/>
          <w:sz w:val="24"/>
          <w:szCs w:val="24"/>
          <w:highlight w:val="none"/>
        </w:rPr>
        <w:t>：</w:t>
      </w:r>
      <w:bookmarkEnd w:id="264"/>
      <w:bookmarkEnd w:id="265"/>
      <w:bookmarkEnd w:id="266"/>
      <w:bookmarkEnd w:id="267"/>
      <w:bookmarkEnd w:id="268"/>
      <w:bookmarkEnd w:id="269"/>
      <w:bookmarkEnd w:id="270"/>
      <w:bookmarkEnd w:id="271"/>
      <w:bookmarkEnd w:id="272"/>
      <w:bookmarkEnd w:id="273"/>
      <w:bookmarkEnd w:id="274"/>
      <w:r>
        <w:rPr>
          <w:rFonts w:hint="eastAsia" w:ascii="宋体" w:hAnsi="宋体" w:cs="宋体"/>
          <w:color w:val="auto"/>
          <w:sz w:val="24"/>
          <w:szCs w:val="24"/>
          <w:highlight w:val="none"/>
        </w:rPr>
        <w:t>职务：</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系（投标人名称）的法定代表人。</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附：法定代表人身份证原件正反面清晰扫描件。</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注：本身份证明需由投标人加盖单位公章。</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440" w:lineRule="exact"/>
        <w:rPr>
          <w:rFonts w:ascii="宋体" w:hAnsi="宋体" w:cs="宋体"/>
          <w:color w:val="auto"/>
          <w:sz w:val="24"/>
          <w:szCs w:val="24"/>
          <w:highlight w:val="none"/>
        </w:rPr>
      </w:pPr>
    </w:p>
    <w:p>
      <w:pPr>
        <w:spacing w:line="440" w:lineRule="exact"/>
        <w:ind w:firstLine="5280" w:firstLineChars="2200"/>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pStyle w:val="4"/>
        <w:keepNext w:val="0"/>
        <w:keepLines w:val="0"/>
        <w:jc w:val="center"/>
        <w:rPr>
          <w:rFonts w:ascii="宋体" w:hAnsi="宋体" w:eastAsia="宋体" w:cs="宋体"/>
          <w:color w:val="auto"/>
          <w:highlight w:val="none"/>
        </w:rPr>
      </w:pPr>
      <w:bookmarkStart w:id="275" w:name="_Toc517280605"/>
      <w:r>
        <w:rPr>
          <w:rFonts w:hint="eastAsia" w:ascii="宋体" w:hAnsi="宋体" w:eastAsia="宋体" w:cs="宋体"/>
          <w:color w:val="auto"/>
          <w:highlight w:val="none"/>
        </w:rPr>
        <w:br w:type="page"/>
      </w:r>
      <w:bookmarkStart w:id="276" w:name="_Toc8685_WPSOffice_Level1"/>
      <w:bookmarkStart w:id="277" w:name="_Toc22443_WPSOffice_Level1"/>
      <w:bookmarkStart w:id="278" w:name="_Toc21692_WPSOffice_Level1"/>
      <w:r>
        <w:rPr>
          <w:rFonts w:hint="eastAsia" w:ascii="宋体" w:hAnsi="宋体" w:eastAsia="宋体" w:cs="宋体"/>
          <w:color w:val="auto"/>
          <w:highlight w:val="none"/>
        </w:rPr>
        <w:t>二、授权委托书</w:t>
      </w:r>
      <w:bookmarkEnd w:id="275"/>
      <w:bookmarkEnd w:id="276"/>
      <w:bookmarkEnd w:id="277"/>
      <w:bookmarkEnd w:id="278"/>
      <w:r>
        <w:rPr>
          <w:rFonts w:hint="eastAsia" w:ascii="宋体" w:hAnsi="宋体" w:cs="宋体"/>
          <w:b w:val="0"/>
          <w:bCs/>
          <w:color w:val="auto"/>
          <w:sz w:val="30"/>
          <w:szCs w:val="30"/>
          <w:highlight w:val="none"/>
        </w:rPr>
        <w:t>（格式也可自拟）</w:t>
      </w:r>
    </w:p>
    <w:p>
      <w:pPr>
        <w:spacing w:line="440" w:lineRule="exact"/>
        <w:rPr>
          <w:rFonts w:ascii="宋体" w:hAnsi="宋体" w:cs="宋体"/>
          <w:color w:val="auto"/>
          <w:highlight w:val="none"/>
        </w:rPr>
      </w:pPr>
    </w:p>
    <w:p>
      <w:pPr>
        <w:topLinePunct/>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姓名）系（投标人名称）的法定代表人，现委托（姓名）为我方代理人。代理人根据授权，以我方名义签署、澄清确认、递交、撤回、修改监理招标项目投标文件、签订合同和处理有关事宜，其法律后果由我方承担。</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440" w:lineRule="exact"/>
        <w:ind w:firstLine="480" w:firstLineChars="200"/>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附：法定代表人身份证原件正反面清晰扫描件及委托代理人身份证原件正反面清晰扫描件</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注：本授权委托书需由投标人加盖单位公章并由其法定代表人和委托代理人签字。</w:t>
      </w:r>
    </w:p>
    <w:p>
      <w:pPr>
        <w:spacing w:line="440" w:lineRule="exact"/>
        <w:rPr>
          <w:rFonts w:ascii="宋体" w:hAnsi="宋体" w:cs="宋体"/>
          <w:color w:val="auto"/>
          <w:sz w:val="24"/>
          <w:szCs w:val="24"/>
          <w:highlight w:val="none"/>
        </w:rPr>
      </w:pP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440" w:lineRule="exact"/>
        <w:ind w:firstLine="3076" w:firstLineChars="1282"/>
        <w:rPr>
          <w:rFonts w:ascii="宋体" w:hAnsi="宋体" w:cs="宋体"/>
          <w:color w:val="auto"/>
          <w:sz w:val="24"/>
          <w:szCs w:val="24"/>
          <w:highlight w:val="none"/>
        </w:rPr>
      </w:pPr>
    </w:p>
    <w:p>
      <w:pPr>
        <w:spacing w:line="440" w:lineRule="exact"/>
        <w:ind w:firstLine="3074" w:firstLineChars="1281"/>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（签字或盖章）</w:t>
      </w:r>
    </w:p>
    <w:p>
      <w:pPr>
        <w:spacing w:line="440" w:lineRule="exact"/>
        <w:ind w:firstLine="3076" w:firstLineChars="1282"/>
        <w:rPr>
          <w:rFonts w:ascii="宋体" w:hAnsi="宋体" w:cs="宋体"/>
          <w:color w:val="auto"/>
          <w:sz w:val="24"/>
          <w:szCs w:val="24"/>
          <w:highlight w:val="none"/>
        </w:rPr>
      </w:pP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p>
    <w:p>
      <w:pPr>
        <w:spacing w:line="440" w:lineRule="exact"/>
        <w:ind w:firstLine="3076" w:firstLineChars="1282"/>
        <w:rPr>
          <w:rFonts w:ascii="宋体" w:hAnsi="宋体" w:cs="宋体"/>
          <w:color w:val="auto"/>
          <w:sz w:val="24"/>
          <w:szCs w:val="24"/>
          <w:highlight w:val="none"/>
        </w:rPr>
      </w:pP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（签字或盖章）</w:t>
      </w:r>
    </w:p>
    <w:p>
      <w:pPr>
        <w:spacing w:line="440" w:lineRule="exact"/>
        <w:ind w:firstLine="3076" w:firstLineChars="1282"/>
        <w:rPr>
          <w:rFonts w:ascii="宋体" w:hAnsi="宋体" w:cs="宋体"/>
          <w:color w:val="auto"/>
          <w:sz w:val="24"/>
          <w:szCs w:val="24"/>
          <w:highlight w:val="none"/>
        </w:rPr>
      </w:pP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p>
    <w:p>
      <w:pPr>
        <w:spacing w:line="440" w:lineRule="exact"/>
        <w:ind w:firstLine="3076" w:firstLineChars="1282"/>
        <w:rPr>
          <w:rFonts w:ascii="宋体" w:hAnsi="宋体" w:cs="宋体"/>
          <w:color w:val="auto"/>
          <w:sz w:val="24"/>
          <w:szCs w:val="24"/>
          <w:highlight w:val="none"/>
        </w:rPr>
      </w:pPr>
    </w:p>
    <w:p>
      <w:pPr>
        <w:spacing w:line="440" w:lineRule="exact"/>
        <w:ind w:firstLine="3076" w:firstLineChars="1282"/>
        <w:rPr>
          <w:rFonts w:ascii="宋体" w:hAnsi="宋体" w:cs="宋体"/>
          <w:color w:val="auto"/>
          <w:sz w:val="24"/>
          <w:szCs w:val="24"/>
          <w:highlight w:val="none"/>
        </w:rPr>
      </w:pPr>
    </w:p>
    <w:p>
      <w:pPr>
        <w:spacing w:line="440" w:lineRule="exact"/>
        <w:ind w:firstLine="4636" w:firstLineChars="1932"/>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spacing w:line="440" w:lineRule="exact"/>
        <w:ind w:firstLine="4057" w:firstLineChars="1932"/>
        <w:jc w:val="right"/>
        <w:rPr>
          <w:rFonts w:ascii="宋体" w:hAnsi="宋体" w:cs="宋体"/>
          <w:color w:val="auto"/>
          <w:highlight w:val="none"/>
        </w:rPr>
      </w:pPr>
    </w:p>
    <w:p>
      <w:pPr>
        <w:spacing w:line="440" w:lineRule="exact"/>
        <w:jc w:val="center"/>
        <w:rPr>
          <w:rFonts w:ascii="宋体" w:hAnsi="宋体" w:cs="宋体"/>
          <w:b/>
          <w:bCs/>
          <w:color w:val="auto"/>
          <w:sz w:val="30"/>
          <w:szCs w:val="30"/>
          <w:highlight w:val="none"/>
        </w:rPr>
      </w:pPr>
      <w:r>
        <w:rPr>
          <w:rFonts w:hint="eastAsia" w:ascii="宋体" w:hAnsi="宋体" w:cs="宋体"/>
          <w:color w:val="auto"/>
          <w:highlight w:val="none"/>
        </w:rPr>
        <w:br w:type="page"/>
      </w:r>
      <w:bookmarkStart w:id="279" w:name="_Toc51862252"/>
      <w:bookmarkStart w:id="280" w:name="_Toc10562_WPSOffice_Level1"/>
      <w:bookmarkStart w:id="281" w:name="_Toc26885_WPSOffice_Level1"/>
      <w:bookmarkStart w:id="282" w:name="_Toc15443_WPSOffice_Level1"/>
      <w:bookmarkStart w:id="283" w:name="_Toc517280606"/>
      <w:r>
        <w:rPr>
          <w:rFonts w:hint="eastAsia" w:ascii="宋体" w:hAnsi="宋体" w:cs="宋体"/>
          <w:b/>
          <w:bCs/>
          <w:color w:val="auto"/>
          <w:sz w:val="30"/>
          <w:szCs w:val="30"/>
          <w:highlight w:val="none"/>
        </w:rPr>
        <w:t>三</w:t>
      </w:r>
      <w:r>
        <w:rPr>
          <w:rFonts w:ascii="宋体" w:hAnsi="宋体" w:cs="宋体"/>
          <w:b/>
          <w:bCs/>
          <w:color w:val="auto"/>
          <w:sz w:val="30"/>
          <w:szCs w:val="30"/>
          <w:highlight w:val="none"/>
        </w:rPr>
        <w:t>、投标保证金</w:t>
      </w:r>
      <w:bookmarkEnd w:id="279"/>
    </w:p>
    <w:p>
      <w:pPr>
        <w:spacing w:line="440" w:lineRule="exact"/>
        <w:ind w:firstLine="5819"/>
        <w:jc w:val="center"/>
        <w:rPr>
          <w:rFonts w:ascii="宋体" w:hAnsi="宋体" w:cs="宋体"/>
          <w:b/>
          <w:bCs/>
          <w:color w:val="auto"/>
          <w:sz w:val="30"/>
          <w:szCs w:val="30"/>
          <w:highlight w:val="none"/>
        </w:rPr>
      </w:pPr>
    </w:p>
    <w:p>
      <w:pPr>
        <w:spacing w:line="360" w:lineRule="auto"/>
        <w:ind w:firstLine="420" w:firstLineChars="200"/>
        <w:rPr>
          <w:rFonts w:ascii="宋体" w:hAnsi="宋体"/>
          <w:color w:val="auto"/>
          <w:szCs w:val="24"/>
          <w:highlight w:val="none"/>
        </w:rPr>
      </w:pPr>
      <w:r>
        <w:rPr>
          <w:rFonts w:hint="eastAsia" w:ascii="宋体" w:hAnsi="宋体"/>
          <w:color w:val="auto"/>
          <w:szCs w:val="24"/>
          <w:highlight w:val="none"/>
        </w:rPr>
        <w:t>注：如采用现金或者支票方式提交的由广州公共资源交易中心代收的，以投标</w:t>
      </w:r>
      <w:r>
        <w:rPr>
          <w:rFonts w:hint="eastAsia" w:ascii="宋体" w:hAnsi="宋体"/>
          <w:color w:val="auto"/>
          <w:szCs w:val="21"/>
          <w:highlight w:val="none"/>
        </w:rPr>
        <w:t>文件递交截止时间</w:t>
      </w:r>
      <w:r>
        <w:rPr>
          <w:rFonts w:hint="eastAsia" w:ascii="宋体" w:hAnsi="宋体"/>
          <w:color w:val="auto"/>
          <w:szCs w:val="24"/>
          <w:highlight w:val="none"/>
        </w:rPr>
        <w:t>后在广州公共资源交易中心</w:t>
      </w:r>
      <w:r>
        <w:rPr>
          <w:rFonts w:hint="eastAsia" w:ascii="宋体" w:hAnsi="宋体"/>
          <w:color w:val="auto"/>
          <w:szCs w:val="21"/>
          <w:highlight w:val="none"/>
        </w:rPr>
        <w:t>数据库</w:t>
      </w:r>
      <w:r>
        <w:rPr>
          <w:rFonts w:hint="eastAsia" w:ascii="宋体" w:hAnsi="宋体"/>
          <w:color w:val="auto"/>
          <w:szCs w:val="24"/>
          <w:highlight w:val="none"/>
        </w:rPr>
        <w:t>查询的投标保证金递交情况为准，投标人不需另外提供凭证；</w:t>
      </w:r>
    </w:p>
    <w:p>
      <w:pPr>
        <w:pStyle w:val="2"/>
        <w:ind w:left="0" w:leftChars="0" w:firstLine="420" w:firstLineChars="200"/>
        <w:rPr>
          <w:color w:val="auto"/>
          <w:highlight w:val="none"/>
        </w:rPr>
      </w:pPr>
      <w:r>
        <w:rPr>
          <w:rFonts w:hint="eastAsia" w:ascii="宋体" w:hAnsi="宋体"/>
          <w:color w:val="auto"/>
          <w:szCs w:val="21"/>
          <w:highlight w:val="none"/>
        </w:rPr>
        <w:t>具体要求按第二章“投标人须知”第</w:t>
      </w:r>
      <w:r>
        <w:rPr>
          <w:rFonts w:ascii="宋体" w:hAnsi="宋体"/>
          <w:color w:val="auto"/>
          <w:szCs w:val="21"/>
          <w:highlight w:val="none"/>
        </w:rPr>
        <w:t>3.4.1</w:t>
      </w:r>
      <w:r>
        <w:rPr>
          <w:rFonts w:hint="eastAsia" w:ascii="宋体" w:hAnsi="宋体"/>
          <w:color w:val="auto"/>
          <w:szCs w:val="21"/>
          <w:highlight w:val="none"/>
        </w:rPr>
        <w:t>项规定。</w:t>
      </w:r>
    </w:p>
    <w:p>
      <w:pPr>
        <w:pStyle w:val="4"/>
        <w:jc w:val="center"/>
        <w:rPr>
          <w:rFonts w:ascii="宋体" w:hAnsi="宋体" w:eastAsia="宋体" w:cs="宋体"/>
          <w:color w:val="auto"/>
          <w:highlight w:val="none"/>
        </w:rPr>
      </w:pPr>
      <w:r>
        <w:rPr>
          <w:rFonts w:hint="eastAsia" w:ascii="宋体" w:hAnsi="宋体" w:eastAsia="宋体" w:cs="宋体"/>
          <w:color w:val="auto"/>
          <w:highlight w:val="none"/>
        </w:rPr>
        <w:br w:type="page"/>
      </w:r>
      <w:r>
        <w:rPr>
          <w:rFonts w:hint="eastAsia" w:ascii="Times New Roman" w:hAnsi="Times New Roman"/>
          <w:color w:val="auto"/>
          <w:highlight w:val="none"/>
        </w:rPr>
        <w:t>四</w:t>
      </w:r>
      <w:r>
        <w:rPr>
          <w:rFonts w:hint="eastAsia" w:ascii="宋体" w:hAnsi="宋体" w:eastAsia="宋体" w:cs="宋体"/>
          <w:color w:val="auto"/>
          <w:highlight w:val="none"/>
        </w:rPr>
        <w:t>、</w:t>
      </w:r>
      <w:r>
        <w:rPr>
          <w:rFonts w:hint="eastAsia" w:ascii="宋体" w:hAnsi="宋体" w:eastAsia="宋体" w:cs="宋体"/>
          <w:bCs/>
          <w:color w:val="auto"/>
          <w:highlight w:val="none"/>
        </w:rPr>
        <w:t>监理报酬清单</w:t>
      </w:r>
      <w:bookmarkEnd w:id="280"/>
      <w:bookmarkEnd w:id="281"/>
      <w:bookmarkEnd w:id="282"/>
      <w:bookmarkEnd w:id="283"/>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监理报酬清单说明</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监理报酬清单</w:t>
      </w:r>
    </w:p>
    <w:p>
      <w:pPr>
        <w:spacing w:line="440" w:lineRule="exact"/>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单位：人民币元</w:t>
      </w:r>
    </w:p>
    <w:tbl>
      <w:tblPr>
        <w:tblStyle w:val="2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vAlign w:val="center"/>
          </w:tcPr>
          <w:p>
            <w:pPr>
              <w:jc w:val="center"/>
              <w:rPr>
                <w:rFonts w:ascii="宋体" w:hAnsi="宋体" w:cs="宋体"/>
                <w:b/>
                <w:color w:val="auto"/>
                <w:kern w:val="0"/>
                <w:sz w:val="24"/>
                <w:szCs w:val="24"/>
                <w:highlight w:val="none"/>
              </w:rPr>
            </w:pPr>
            <w:bookmarkStart w:id="284" w:name="_Toc361508760"/>
            <w:r>
              <w:rPr>
                <w:rFonts w:hint="eastAsia" w:ascii="宋体" w:hAnsi="宋体" w:cs="宋体"/>
                <w:b/>
                <w:color w:val="auto"/>
                <w:kern w:val="0"/>
                <w:sz w:val="24"/>
                <w:szCs w:val="24"/>
                <w:highlight w:val="none"/>
              </w:rPr>
              <w:t>序号</w:t>
            </w:r>
          </w:p>
        </w:tc>
        <w:tc>
          <w:tcPr>
            <w:tcW w:w="2410" w:type="dxa"/>
            <w:vAlign w:val="center"/>
          </w:tcPr>
          <w:p>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监理报酬分项名称</w:t>
            </w:r>
          </w:p>
        </w:tc>
        <w:tc>
          <w:tcPr>
            <w:tcW w:w="2268" w:type="dxa"/>
            <w:vAlign w:val="center"/>
          </w:tcPr>
          <w:p>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计算依据、过程和公式</w:t>
            </w:r>
          </w:p>
        </w:tc>
        <w:tc>
          <w:tcPr>
            <w:tcW w:w="1322" w:type="dxa"/>
            <w:vAlign w:val="center"/>
          </w:tcPr>
          <w:p>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金额（元）</w:t>
            </w:r>
          </w:p>
        </w:tc>
        <w:tc>
          <w:tcPr>
            <w:tcW w:w="1938" w:type="dxa"/>
            <w:vAlign w:val="center"/>
          </w:tcPr>
          <w:p>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410" w:type="dxa"/>
            <w:vAlign w:val="center"/>
          </w:tcPr>
          <w:p>
            <w:pPr>
              <w:spacing w:line="360" w:lineRule="auto"/>
              <w:jc w:val="center"/>
              <w:rPr>
                <w:rFonts w:ascii="宋体" w:hAnsi="宋体" w:cs="宋体"/>
                <w:color w:val="auto"/>
                <w:sz w:val="24"/>
                <w:szCs w:val="24"/>
                <w:highlight w:val="none"/>
              </w:rPr>
            </w:pPr>
          </w:p>
        </w:tc>
        <w:tc>
          <w:tcPr>
            <w:tcW w:w="2268" w:type="dxa"/>
            <w:vAlign w:val="center"/>
          </w:tcPr>
          <w:p>
            <w:pPr>
              <w:spacing w:line="360" w:lineRule="auto"/>
              <w:jc w:val="center"/>
              <w:rPr>
                <w:rFonts w:ascii="宋体" w:hAnsi="宋体" w:cs="宋体"/>
                <w:color w:val="auto"/>
                <w:sz w:val="24"/>
                <w:szCs w:val="24"/>
                <w:highlight w:val="none"/>
              </w:rPr>
            </w:pPr>
          </w:p>
        </w:tc>
        <w:tc>
          <w:tcPr>
            <w:tcW w:w="1322" w:type="dxa"/>
            <w:vAlign w:val="center"/>
          </w:tcPr>
          <w:p>
            <w:pPr>
              <w:spacing w:line="360" w:lineRule="auto"/>
              <w:jc w:val="center"/>
              <w:rPr>
                <w:rFonts w:ascii="宋体" w:hAnsi="宋体" w:cs="宋体"/>
                <w:color w:val="auto"/>
                <w:sz w:val="24"/>
                <w:szCs w:val="24"/>
                <w:highlight w:val="none"/>
              </w:rPr>
            </w:pPr>
          </w:p>
        </w:tc>
        <w:tc>
          <w:tcPr>
            <w:tcW w:w="1938"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410" w:type="dxa"/>
            <w:vAlign w:val="center"/>
          </w:tcPr>
          <w:p>
            <w:pPr>
              <w:spacing w:line="360" w:lineRule="auto"/>
              <w:jc w:val="center"/>
              <w:rPr>
                <w:rFonts w:ascii="宋体" w:hAnsi="宋体" w:cs="宋体"/>
                <w:color w:val="auto"/>
                <w:sz w:val="24"/>
                <w:szCs w:val="24"/>
                <w:highlight w:val="none"/>
              </w:rPr>
            </w:pPr>
          </w:p>
        </w:tc>
        <w:tc>
          <w:tcPr>
            <w:tcW w:w="2268" w:type="dxa"/>
            <w:vAlign w:val="center"/>
          </w:tcPr>
          <w:p>
            <w:pPr>
              <w:spacing w:line="360" w:lineRule="auto"/>
              <w:jc w:val="center"/>
              <w:rPr>
                <w:rFonts w:ascii="宋体" w:hAnsi="宋体" w:cs="宋体"/>
                <w:color w:val="auto"/>
                <w:sz w:val="24"/>
                <w:szCs w:val="24"/>
                <w:highlight w:val="none"/>
              </w:rPr>
            </w:pPr>
          </w:p>
        </w:tc>
        <w:tc>
          <w:tcPr>
            <w:tcW w:w="1322" w:type="dxa"/>
            <w:vAlign w:val="center"/>
          </w:tcPr>
          <w:p>
            <w:pPr>
              <w:spacing w:line="360" w:lineRule="auto"/>
              <w:jc w:val="center"/>
              <w:rPr>
                <w:rFonts w:ascii="宋体" w:hAnsi="宋体" w:cs="宋体"/>
                <w:color w:val="auto"/>
                <w:sz w:val="24"/>
                <w:szCs w:val="24"/>
                <w:highlight w:val="none"/>
              </w:rPr>
            </w:pPr>
          </w:p>
        </w:tc>
        <w:tc>
          <w:tcPr>
            <w:tcW w:w="1938"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410" w:type="dxa"/>
            <w:vAlign w:val="center"/>
          </w:tcPr>
          <w:p>
            <w:pPr>
              <w:spacing w:line="360" w:lineRule="auto"/>
              <w:jc w:val="center"/>
              <w:rPr>
                <w:rFonts w:ascii="宋体" w:hAnsi="宋体" w:cs="宋体"/>
                <w:color w:val="auto"/>
                <w:sz w:val="24"/>
                <w:szCs w:val="24"/>
                <w:highlight w:val="none"/>
              </w:rPr>
            </w:pPr>
          </w:p>
        </w:tc>
        <w:tc>
          <w:tcPr>
            <w:tcW w:w="2268" w:type="dxa"/>
            <w:vAlign w:val="center"/>
          </w:tcPr>
          <w:p>
            <w:pPr>
              <w:spacing w:line="360" w:lineRule="auto"/>
              <w:jc w:val="center"/>
              <w:rPr>
                <w:rFonts w:ascii="宋体" w:hAnsi="宋体" w:cs="宋体"/>
                <w:color w:val="auto"/>
                <w:sz w:val="24"/>
                <w:szCs w:val="24"/>
                <w:highlight w:val="none"/>
              </w:rPr>
            </w:pPr>
          </w:p>
        </w:tc>
        <w:tc>
          <w:tcPr>
            <w:tcW w:w="1322" w:type="dxa"/>
            <w:vAlign w:val="center"/>
          </w:tcPr>
          <w:p>
            <w:pPr>
              <w:spacing w:line="360" w:lineRule="auto"/>
              <w:jc w:val="center"/>
              <w:rPr>
                <w:rFonts w:ascii="宋体" w:hAnsi="宋体" w:cs="宋体"/>
                <w:color w:val="auto"/>
                <w:sz w:val="24"/>
                <w:szCs w:val="24"/>
                <w:highlight w:val="none"/>
              </w:rPr>
            </w:pPr>
          </w:p>
        </w:tc>
        <w:tc>
          <w:tcPr>
            <w:tcW w:w="1938"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410" w:type="dxa"/>
            <w:vAlign w:val="center"/>
          </w:tcPr>
          <w:p>
            <w:pPr>
              <w:spacing w:line="360" w:lineRule="auto"/>
              <w:jc w:val="center"/>
              <w:rPr>
                <w:rFonts w:ascii="宋体" w:hAnsi="宋体" w:cs="宋体"/>
                <w:color w:val="auto"/>
                <w:sz w:val="24"/>
                <w:szCs w:val="24"/>
                <w:highlight w:val="none"/>
              </w:rPr>
            </w:pPr>
          </w:p>
        </w:tc>
        <w:tc>
          <w:tcPr>
            <w:tcW w:w="2268" w:type="dxa"/>
            <w:vAlign w:val="center"/>
          </w:tcPr>
          <w:p>
            <w:pPr>
              <w:spacing w:line="360" w:lineRule="auto"/>
              <w:jc w:val="center"/>
              <w:rPr>
                <w:rFonts w:ascii="宋体" w:hAnsi="宋体" w:cs="宋体"/>
                <w:color w:val="auto"/>
                <w:sz w:val="24"/>
                <w:szCs w:val="24"/>
                <w:highlight w:val="none"/>
              </w:rPr>
            </w:pPr>
          </w:p>
        </w:tc>
        <w:tc>
          <w:tcPr>
            <w:tcW w:w="1322" w:type="dxa"/>
            <w:vAlign w:val="center"/>
          </w:tcPr>
          <w:p>
            <w:pPr>
              <w:spacing w:line="360" w:lineRule="auto"/>
              <w:jc w:val="center"/>
              <w:rPr>
                <w:rFonts w:ascii="宋体" w:hAnsi="宋体" w:cs="宋体"/>
                <w:color w:val="auto"/>
                <w:sz w:val="24"/>
                <w:szCs w:val="24"/>
                <w:highlight w:val="none"/>
              </w:rPr>
            </w:pPr>
          </w:p>
        </w:tc>
        <w:tc>
          <w:tcPr>
            <w:tcW w:w="1938"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410" w:type="dxa"/>
            <w:vAlign w:val="center"/>
          </w:tcPr>
          <w:p>
            <w:pPr>
              <w:spacing w:line="360" w:lineRule="auto"/>
              <w:jc w:val="center"/>
              <w:rPr>
                <w:rFonts w:ascii="宋体" w:hAnsi="宋体" w:cs="宋体"/>
                <w:color w:val="auto"/>
                <w:sz w:val="24"/>
                <w:szCs w:val="24"/>
                <w:highlight w:val="none"/>
              </w:rPr>
            </w:pPr>
          </w:p>
        </w:tc>
        <w:tc>
          <w:tcPr>
            <w:tcW w:w="2268" w:type="dxa"/>
            <w:vAlign w:val="center"/>
          </w:tcPr>
          <w:p>
            <w:pPr>
              <w:spacing w:line="360" w:lineRule="auto"/>
              <w:jc w:val="center"/>
              <w:rPr>
                <w:rFonts w:ascii="宋体" w:hAnsi="宋体" w:cs="宋体"/>
                <w:color w:val="auto"/>
                <w:sz w:val="24"/>
                <w:szCs w:val="24"/>
                <w:highlight w:val="none"/>
              </w:rPr>
            </w:pPr>
          </w:p>
        </w:tc>
        <w:tc>
          <w:tcPr>
            <w:tcW w:w="1322" w:type="dxa"/>
            <w:vAlign w:val="center"/>
          </w:tcPr>
          <w:p>
            <w:pPr>
              <w:spacing w:line="360" w:lineRule="auto"/>
              <w:jc w:val="center"/>
              <w:rPr>
                <w:rFonts w:ascii="宋体" w:hAnsi="宋体" w:cs="宋体"/>
                <w:color w:val="auto"/>
                <w:sz w:val="24"/>
                <w:szCs w:val="24"/>
                <w:highlight w:val="none"/>
              </w:rPr>
            </w:pPr>
          </w:p>
        </w:tc>
        <w:tc>
          <w:tcPr>
            <w:tcW w:w="1938"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410"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268" w:type="dxa"/>
            <w:vAlign w:val="center"/>
          </w:tcPr>
          <w:p>
            <w:pPr>
              <w:spacing w:line="360" w:lineRule="auto"/>
              <w:jc w:val="center"/>
              <w:rPr>
                <w:rFonts w:ascii="宋体" w:hAnsi="宋体" w:cs="宋体"/>
                <w:color w:val="auto"/>
                <w:sz w:val="24"/>
                <w:szCs w:val="24"/>
                <w:highlight w:val="none"/>
              </w:rPr>
            </w:pPr>
          </w:p>
        </w:tc>
        <w:tc>
          <w:tcPr>
            <w:tcW w:w="1322" w:type="dxa"/>
            <w:vAlign w:val="center"/>
          </w:tcPr>
          <w:p>
            <w:pPr>
              <w:spacing w:line="360" w:lineRule="auto"/>
              <w:jc w:val="center"/>
              <w:rPr>
                <w:rFonts w:ascii="宋体" w:hAnsi="宋体" w:cs="宋体"/>
                <w:color w:val="auto"/>
                <w:sz w:val="24"/>
                <w:szCs w:val="24"/>
                <w:highlight w:val="none"/>
              </w:rPr>
            </w:pPr>
          </w:p>
        </w:tc>
        <w:tc>
          <w:tcPr>
            <w:tcW w:w="1938" w:type="dxa"/>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3"/>
            <w:vAlign w:val="center"/>
          </w:tcPr>
          <w:p>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合计报价</w:t>
            </w:r>
          </w:p>
        </w:tc>
        <w:tc>
          <w:tcPr>
            <w:tcW w:w="1322" w:type="dxa"/>
            <w:vAlign w:val="center"/>
          </w:tcPr>
          <w:p>
            <w:pPr>
              <w:spacing w:line="360" w:lineRule="auto"/>
              <w:jc w:val="center"/>
              <w:rPr>
                <w:rFonts w:ascii="宋体" w:hAnsi="宋体" w:cs="宋体"/>
                <w:color w:val="auto"/>
                <w:sz w:val="24"/>
                <w:szCs w:val="24"/>
                <w:highlight w:val="none"/>
              </w:rPr>
            </w:pPr>
          </w:p>
        </w:tc>
        <w:tc>
          <w:tcPr>
            <w:tcW w:w="1938" w:type="dxa"/>
            <w:vAlign w:val="center"/>
          </w:tcPr>
          <w:p>
            <w:pPr>
              <w:spacing w:line="360" w:lineRule="auto"/>
              <w:jc w:val="center"/>
              <w:rPr>
                <w:rFonts w:ascii="宋体" w:hAnsi="宋体" w:cs="宋体"/>
                <w:color w:val="auto"/>
                <w:sz w:val="24"/>
                <w:szCs w:val="24"/>
                <w:highlight w:val="none"/>
              </w:rPr>
            </w:pPr>
          </w:p>
        </w:tc>
      </w:tr>
    </w:tbl>
    <w:p>
      <w:pPr>
        <w:spacing w:line="400" w:lineRule="exact"/>
        <w:rPr>
          <w:rFonts w:ascii="宋体" w:hAnsi="宋体" w:cs="宋体"/>
          <w:color w:val="auto"/>
          <w:sz w:val="24"/>
          <w:szCs w:val="24"/>
          <w:highlight w:val="none"/>
        </w:rPr>
      </w:pPr>
    </w:p>
    <w:p>
      <w:pPr>
        <w:spacing w:line="400" w:lineRule="exact"/>
        <w:rPr>
          <w:rFonts w:ascii="宋体" w:hAnsi="宋体" w:cs="宋体"/>
          <w:color w:val="auto"/>
          <w:sz w:val="24"/>
          <w:szCs w:val="24"/>
          <w:highlight w:val="none"/>
        </w:rPr>
      </w:pPr>
      <w:r>
        <w:rPr>
          <w:rFonts w:hint="eastAsia" w:ascii="宋体" w:hAnsi="宋体" w:cs="宋体"/>
          <w:snapToGrid w:val="0"/>
          <w:color w:val="auto"/>
          <w:spacing w:val="4"/>
          <w:kern w:val="0"/>
          <w:sz w:val="24"/>
          <w:szCs w:val="24"/>
          <w:highlight w:val="none"/>
        </w:rPr>
        <w:t>注：监理报酬报价总金额不能超过最高限价。</w:t>
      </w:r>
    </w:p>
    <w:p>
      <w:pPr>
        <w:spacing w:line="400" w:lineRule="exact"/>
        <w:rPr>
          <w:rFonts w:ascii="宋体" w:hAnsi="宋体" w:cs="宋体"/>
          <w:color w:val="auto"/>
          <w:highlight w:val="none"/>
        </w:rPr>
      </w:pPr>
      <w:bookmarkStart w:id="285" w:name="_Toc517280607"/>
    </w:p>
    <w:p>
      <w:pPr>
        <w:spacing w:line="400" w:lineRule="exact"/>
        <w:rPr>
          <w:rFonts w:ascii="宋体" w:hAnsi="宋体" w:cs="宋体"/>
          <w:color w:val="auto"/>
          <w:highlight w:val="none"/>
        </w:rPr>
      </w:pPr>
    </w:p>
    <w:p>
      <w:pPr>
        <w:ind w:right="105"/>
        <w:jc w:val="left"/>
        <w:rPr>
          <w:rFonts w:ascii="宋体" w:hAnsi="宋体" w:cs="宋体"/>
          <w:color w:val="auto"/>
          <w:kern w:val="0"/>
          <w:highlight w:val="none"/>
        </w:rPr>
      </w:pPr>
    </w:p>
    <w:p>
      <w:pPr>
        <w:pStyle w:val="4"/>
        <w:keepNext w:val="0"/>
        <w:keepLines w:val="0"/>
        <w:spacing w:after="0"/>
        <w:jc w:val="center"/>
        <w:rPr>
          <w:rFonts w:ascii="宋体" w:hAnsi="宋体" w:eastAsia="宋体" w:cs="宋体"/>
          <w:color w:val="auto"/>
          <w:highlight w:val="none"/>
        </w:rPr>
      </w:pPr>
      <w:r>
        <w:rPr>
          <w:rFonts w:hint="eastAsia" w:ascii="宋体" w:hAnsi="宋体" w:eastAsia="宋体" w:cs="宋体"/>
          <w:color w:val="auto"/>
          <w:highlight w:val="none"/>
        </w:rPr>
        <w:br w:type="page"/>
      </w:r>
      <w:bookmarkStart w:id="286" w:name="_Toc5873_WPSOffice_Level1"/>
      <w:bookmarkStart w:id="287" w:name="_Toc4288_WPSOffice_Level1"/>
      <w:bookmarkStart w:id="288" w:name="_Toc16972_WPSOffice_Level1"/>
      <w:r>
        <w:rPr>
          <w:rFonts w:hint="eastAsia" w:ascii="宋体" w:hAnsi="宋体" w:eastAsia="宋体" w:cs="宋体"/>
          <w:color w:val="auto"/>
          <w:highlight w:val="none"/>
        </w:rPr>
        <w:t>五、资格审查资料</w:t>
      </w:r>
      <w:bookmarkEnd w:id="285"/>
      <w:bookmarkEnd w:id="286"/>
      <w:bookmarkEnd w:id="287"/>
      <w:bookmarkEnd w:id="288"/>
    </w:p>
    <w:p>
      <w:pPr>
        <w:pStyle w:val="5"/>
        <w:keepNext w:val="0"/>
        <w:keepLines w:val="0"/>
        <w:spacing w:before="20"/>
        <w:ind w:firstLine="137"/>
        <w:rPr>
          <w:rFonts w:ascii="宋体" w:hAnsi="宋体" w:cs="宋体"/>
          <w:color w:val="auto"/>
          <w:highlight w:val="none"/>
        </w:rPr>
      </w:pPr>
      <w:bookmarkStart w:id="289" w:name="_Toc517280608"/>
      <w:r>
        <w:rPr>
          <w:rFonts w:hint="eastAsia" w:ascii="宋体" w:hAnsi="宋体" w:cs="宋体"/>
          <w:color w:val="auto"/>
          <w:highlight w:val="none"/>
        </w:rPr>
        <w:t>（一）基本情况表</w:t>
      </w:r>
      <w:bookmarkEnd w:id="289"/>
    </w:p>
    <w:tbl>
      <w:tblPr>
        <w:tblStyle w:val="26"/>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1"/>
        <w:gridCol w:w="1121"/>
        <w:gridCol w:w="803"/>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12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09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传  真</w:t>
            </w:r>
          </w:p>
        </w:tc>
        <w:tc>
          <w:tcPr>
            <w:tcW w:w="209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12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8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112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80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企业监理资质证书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20" w:firstLineChars="50"/>
              <w:jc w:val="center"/>
              <w:rPr>
                <w:rFonts w:ascii="宋体" w:hAnsi="宋体" w:cs="宋体"/>
                <w:color w:val="auto"/>
                <w:sz w:val="24"/>
                <w:szCs w:val="24"/>
                <w:highlight w:val="none"/>
              </w:rPr>
            </w:pPr>
            <w:r>
              <w:rPr>
                <w:rFonts w:hint="eastAsia" w:ascii="宋体" w:hAnsi="宋体" w:cs="宋体"/>
                <w:color w:val="auto"/>
                <w:sz w:val="24"/>
                <w:szCs w:val="24"/>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20" w:firstLineChars="50"/>
              <w:jc w:val="center"/>
              <w:rPr>
                <w:rFonts w:ascii="宋体" w:hAnsi="宋体" w:cs="宋体"/>
                <w:color w:val="auto"/>
                <w:sz w:val="24"/>
                <w:szCs w:val="24"/>
                <w:highlight w:val="none"/>
              </w:rPr>
            </w:pPr>
            <w:r>
              <w:rPr>
                <w:rFonts w:hint="eastAsia" w:ascii="宋体" w:hAnsi="宋体" w:cs="宋体"/>
                <w:color w:val="auto"/>
                <w:sz w:val="24"/>
                <w:szCs w:val="24"/>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cs="宋体"/>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40" w:firstLineChars="100"/>
              <w:jc w:val="center"/>
              <w:rPr>
                <w:rFonts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281"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281"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bl>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注：投标人应根据投标人须知第3.5.1项的要求在本表后附相关证明材料。</w:t>
      </w:r>
    </w:p>
    <w:p>
      <w:pPr>
        <w:pStyle w:val="5"/>
        <w:keepNext w:val="0"/>
        <w:keepLines w:val="0"/>
        <w:ind w:firstLine="137"/>
        <w:rPr>
          <w:color w:val="auto"/>
          <w:highlight w:val="none"/>
        </w:rPr>
      </w:pPr>
      <w:bookmarkStart w:id="290" w:name="_Toc517280609"/>
    </w:p>
    <w:p>
      <w:pPr>
        <w:pStyle w:val="5"/>
        <w:keepNext w:val="0"/>
        <w:keepLines w:val="0"/>
        <w:ind w:firstLine="137"/>
        <w:rPr>
          <w:color w:val="auto"/>
          <w:highlight w:val="none"/>
        </w:rPr>
      </w:pPr>
    </w:p>
    <w:p>
      <w:pPr>
        <w:pStyle w:val="5"/>
        <w:keepNext w:val="0"/>
        <w:keepLines w:val="0"/>
        <w:ind w:firstLine="137"/>
        <w:rPr>
          <w:color w:val="auto"/>
          <w:highlight w:val="none"/>
        </w:rPr>
      </w:pPr>
    </w:p>
    <w:p>
      <w:pPr>
        <w:pStyle w:val="5"/>
        <w:keepNext w:val="0"/>
        <w:keepLines w:val="0"/>
        <w:ind w:firstLine="137"/>
        <w:rPr>
          <w:color w:val="auto"/>
          <w:highlight w:val="none"/>
        </w:rPr>
      </w:pPr>
    </w:p>
    <w:p>
      <w:pPr>
        <w:pStyle w:val="5"/>
        <w:keepNext w:val="0"/>
        <w:keepLines w:val="0"/>
        <w:ind w:firstLine="137"/>
        <w:rPr>
          <w:color w:val="auto"/>
          <w:highlight w:val="none"/>
        </w:rPr>
      </w:pPr>
    </w:p>
    <w:p>
      <w:pPr>
        <w:pStyle w:val="5"/>
        <w:keepNext w:val="0"/>
        <w:keepLines w:val="0"/>
        <w:ind w:firstLine="137"/>
        <w:rPr>
          <w:color w:val="auto"/>
          <w:highlight w:val="none"/>
        </w:rPr>
      </w:pPr>
    </w:p>
    <w:p>
      <w:pPr>
        <w:pStyle w:val="5"/>
        <w:keepNext w:val="0"/>
        <w:keepLines w:val="0"/>
        <w:ind w:firstLine="137"/>
        <w:rPr>
          <w:color w:val="auto"/>
          <w:highlight w:val="none"/>
        </w:rPr>
      </w:pPr>
    </w:p>
    <w:p>
      <w:pPr>
        <w:pStyle w:val="5"/>
        <w:keepNext w:val="0"/>
        <w:keepLines w:val="0"/>
        <w:ind w:firstLine="137"/>
        <w:rPr>
          <w:rFonts w:ascii="宋体" w:hAnsi="宋体" w:cs="宋体"/>
          <w:color w:val="auto"/>
          <w:highlight w:val="none"/>
        </w:rPr>
      </w:pPr>
      <w:r>
        <w:rPr>
          <w:rFonts w:hint="eastAsia"/>
          <w:color w:val="auto"/>
          <w:highlight w:val="none"/>
        </w:rPr>
        <w:t>（二）近年</w:t>
      </w:r>
      <w:r>
        <w:rPr>
          <w:rFonts w:hint="eastAsia" w:ascii="宋体" w:hAnsi="宋体" w:cs="宋体"/>
          <w:color w:val="auto"/>
          <w:highlight w:val="none"/>
        </w:rPr>
        <w:t>完成的类似项目情况表</w:t>
      </w:r>
      <w:bookmarkEnd w:id="290"/>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合同价格</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color w:val="auto"/>
                <w:sz w:val="24"/>
                <w:szCs w:val="24"/>
                <w:highlight w:val="none"/>
              </w:rPr>
            </w:pPr>
          </w:p>
        </w:tc>
      </w:tr>
    </w:tbl>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注：投标人应根据投标人须知第3.5.3项的要求在本表后附相关证明材料。</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bookmarkEnd w:id="284"/>
    <w:p>
      <w:pPr>
        <w:pStyle w:val="5"/>
        <w:keepNext w:val="0"/>
        <w:keepLines w:val="0"/>
        <w:spacing w:line="440" w:lineRule="exact"/>
        <w:ind w:firstLine="137"/>
        <w:rPr>
          <w:rFonts w:ascii="宋体" w:hAnsi="宋体" w:cs="宋体"/>
          <w:color w:val="auto"/>
          <w:highlight w:val="none"/>
        </w:rPr>
      </w:pPr>
      <w:bookmarkStart w:id="291" w:name="_Toc517280610"/>
      <w:r>
        <w:rPr>
          <w:rFonts w:hint="eastAsia" w:ascii="宋体" w:hAnsi="宋体" w:cs="宋体"/>
          <w:color w:val="auto"/>
          <w:highlight w:val="none"/>
        </w:rPr>
        <w:br w:type="page"/>
      </w:r>
      <w:r>
        <w:rPr>
          <w:rFonts w:hint="eastAsia" w:ascii="宋体" w:hAnsi="宋体" w:cs="宋体"/>
          <w:color w:val="auto"/>
          <w:highlight w:val="none"/>
        </w:rPr>
        <w:t>（三）近年发生的诉讼及仲裁情况</w:t>
      </w:r>
      <w:bookmarkEnd w:id="291"/>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注：投标人应根据投标人须知第3.5.5项的要求附相关证明材料（如有）。</w:t>
      </w:r>
    </w:p>
    <w:p>
      <w:pPr>
        <w:pStyle w:val="5"/>
        <w:keepNext w:val="0"/>
        <w:keepLines w:val="0"/>
        <w:rPr>
          <w:rFonts w:ascii="宋体" w:hAnsi="宋体" w:cs="宋体"/>
          <w:color w:val="auto"/>
          <w:highlight w:val="none"/>
        </w:rPr>
      </w:pPr>
      <w:bookmarkStart w:id="292" w:name="_Toc517280611"/>
      <w:bookmarkStart w:id="293" w:name="_Toc482188667"/>
      <w:r>
        <w:rPr>
          <w:rFonts w:hint="eastAsia" w:ascii="宋体" w:hAnsi="宋体" w:cs="宋体"/>
          <w:color w:val="auto"/>
          <w:highlight w:val="none"/>
        </w:rPr>
        <w:br w:type="page"/>
      </w:r>
      <w:r>
        <w:rPr>
          <w:rFonts w:hint="eastAsia" w:ascii="宋体" w:hAnsi="宋体" w:cs="宋体"/>
          <w:color w:val="auto"/>
          <w:highlight w:val="none"/>
        </w:rPr>
        <w:t>（四）拟委任的主要人员汇总表</w:t>
      </w:r>
      <w:bookmarkEnd w:id="292"/>
      <w:bookmarkEnd w:id="293"/>
    </w:p>
    <w:tbl>
      <w:tblPr>
        <w:tblStyle w:val="26"/>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531"/>
        <w:gridCol w:w="992"/>
        <w:gridCol w:w="603"/>
        <w:gridCol w:w="488"/>
        <w:gridCol w:w="1255"/>
        <w:gridCol w:w="708"/>
        <w:gridCol w:w="7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restart"/>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531" w:type="dxa"/>
            <w:vMerge w:val="restart"/>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本项目任职</w:t>
            </w:r>
          </w:p>
        </w:tc>
        <w:tc>
          <w:tcPr>
            <w:tcW w:w="992" w:type="dxa"/>
            <w:vMerge w:val="restart"/>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603" w:type="dxa"/>
            <w:vMerge w:val="restart"/>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488" w:type="dxa"/>
            <w:vMerge w:val="restart"/>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714" w:type="dxa"/>
            <w:gridSpan w:val="3"/>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执业或职业资格证明</w:t>
            </w:r>
          </w:p>
        </w:tc>
        <w:tc>
          <w:tcPr>
            <w:tcW w:w="1134"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vAlign w:val="center"/>
          </w:tcPr>
          <w:p>
            <w:pPr>
              <w:rPr>
                <w:rFonts w:ascii="宋体" w:hAnsi="宋体" w:cs="宋体"/>
                <w:color w:val="auto"/>
                <w:sz w:val="24"/>
                <w:szCs w:val="24"/>
                <w:highlight w:val="none"/>
              </w:rPr>
            </w:pPr>
          </w:p>
        </w:tc>
        <w:tc>
          <w:tcPr>
            <w:tcW w:w="1531" w:type="dxa"/>
            <w:vMerge w:val="continue"/>
          </w:tcPr>
          <w:p>
            <w:pPr>
              <w:rPr>
                <w:rFonts w:ascii="宋体" w:hAnsi="宋体" w:cs="宋体"/>
                <w:color w:val="auto"/>
                <w:sz w:val="24"/>
                <w:szCs w:val="24"/>
                <w:highlight w:val="none"/>
              </w:rPr>
            </w:pPr>
          </w:p>
        </w:tc>
        <w:tc>
          <w:tcPr>
            <w:tcW w:w="992" w:type="dxa"/>
            <w:vMerge w:val="continue"/>
            <w:vAlign w:val="center"/>
          </w:tcPr>
          <w:p>
            <w:pPr>
              <w:rPr>
                <w:rFonts w:ascii="宋体" w:hAnsi="宋体" w:cs="宋体"/>
                <w:color w:val="auto"/>
                <w:sz w:val="24"/>
                <w:szCs w:val="24"/>
                <w:highlight w:val="none"/>
              </w:rPr>
            </w:pPr>
          </w:p>
        </w:tc>
        <w:tc>
          <w:tcPr>
            <w:tcW w:w="603" w:type="dxa"/>
            <w:vMerge w:val="continue"/>
            <w:vAlign w:val="center"/>
          </w:tcPr>
          <w:p>
            <w:pPr>
              <w:rPr>
                <w:rFonts w:ascii="宋体" w:hAnsi="宋体" w:cs="宋体"/>
                <w:color w:val="auto"/>
                <w:sz w:val="24"/>
                <w:szCs w:val="24"/>
                <w:highlight w:val="none"/>
              </w:rPr>
            </w:pPr>
          </w:p>
        </w:tc>
        <w:tc>
          <w:tcPr>
            <w:tcW w:w="488" w:type="dxa"/>
            <w:vMerge w:val="continue"/>
            <w:vAlign w:val="center"/>
          </w:tcPr>
          <w:p>
            <w:pPr>
              <w:spacing w:line="440" w:lineRule="exact"/>
              <w:jc w:val="center"/>
              <w:rPr>
                <w:rFonts w:ascii="宋体" w:hAnsi="宋体" w:cs="宋体"/>
                <w:color w:val="auto"/>
                <w:sz w:val="24"/>
                <w:szCs w:val="24"/>
                <w:highlight w:val="none"/>
              </w:rPr>
            </w:pPr>
          </w:p>
        </w:tc>
        <w:tc>
          <w:tcPr>
            <w:tcW w:w="1255" w:type="dxa"/>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证书名称</w:t>
            </w:r>
          </w:p>
        </w:tc>
        <w:tc>
          <w:tcPr>
            <w:tcW w:w="708" w:type="dxa"/>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级别</w:t>
            </w:r>
          </w:p>
        </w:tc>
        <w:tc>
          <w:tcPr>
            <w:tcW w:w="751" w:type="dxa"/>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证号</w:t>
            </w:r>
          </w:p>
        </w:tc>
        <w:tc>
          <w:tcPr>
            <w:tcW w:w="1134" w:type="dxa"/>
            <w:vAlign w:val="center"/>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vAlign w:val="center"/>
          </w:tcPr>
          <w:p>
            <w:pPr>
              <w:spacing w:line="440" w:lineRule="exact"/>
              <w:jc w:val="center"/>
              <w:rPr>
                <w:rFonts w:ascii="宋体" w:hAnsi="宋体" w:cs="宋体"/>
                <w:color w:val="auto"/>
                <w:sz w:val="24"/>
                <w:szCs w:val="24"/>
                <w:highlight w:val="none"/>
              </w:rPr>
            </w:pPr>
          </w:p>
        </w:tc>
        <w:tc>
          <w:tcPr>
            <w:tcW w:w="603" w:type="dxa"/>
            <w:vAlign w:val="center"/>
          </w:tcPr>
          <w:p>
            <w:pPr>
              <w:spacing w:line="440" w:lineRule="exact"/>
              <w:jc w:val="center"/>
              <w:rPr>
                <w:rFonts w:ascii="宋体" w:hAnsi="宋体" w:cs="宋体"/>
                <w:color w:val="auto"/>
                <w:sz w:val="24"/>
                <w:szCs w:val="24"/>
                <w:highlight w:val="none"/>
              </w:rPr>
            </w:pPr>
          </w:p>
        </w:tc>
        <w:tc>
          <w:tcPr>
            <w:tcW w:w="488" w:type="dxa"/>
            <w:vAlign w:val="center"/>
          </w:tcPr>
          <w:p>
            <w:pPr>
              <w:spacing w:line="440" w:lineRule="exact"/>
              <w:jc w:val="center"/>
              <w:rPr>
                <w:rFonts w:ascii="宋体" w:hAnsi="宋体" w:cs="宋体"/>
                <w:color w:val="auto"/>
                <w:sz w:val="24"/>
                <w:szCs w:val="24"/>
                <w:highlight w:val="none"/>
              </w:rPr>
            </w:pPr>
          </w:p>
        </w:tc>
        <w:tc>
          <w:tcPr>
            <w:tcW w:w="1255" w:type="dxa"/>
            <w:vAlign w:val="center"/>
          </w:tcPr>
          <w:p>
            <w:pPr>
              <w:spacing w:line="440" w:lineRule="exact"/>
              <w:jc w:val="center"/>
              <w:rPr>
                <w:rFonts w:ascii="宋体" w:hAnsi="宋体" w:cs="宋体"/>
                <w:color w:val="auto"/>
                <w:sz w:val="24"/>
                <w:szCs w:val="24"/>
                <w:highlight w:val="none"/>
              </w:rPr>
            </w:pPr>
          </w:p>
        </w:tc>
        <w:tc>
          <w:tcPr>
            <w:tcW w:w="708" w:type="dxa"/>
            <w:vAlign w:val="center"/>
          </w:tcPr>
          <w:p>
            <w:pPr>
              <w:spacing w:line="440" w:lineRule="exact"/>
              <w:jc w:val="center"/>
              <w:rPr>
                <w:rFonts w:ascii="宋体" w:hAnsi="宋体" w:cs="宋体"/>
                <w:color w:val="auto"/>
                <w:sz w:val="24"/>
                <w:szCs w:val="24"/>
                <w:highlight w:val="none"/>
              </w:rPr>
            </w:pPr>
          </w:p>
        </w:tc>
        <w:tc>
          <w:tcPr>
            <w:tcW w:w="751" w:type="dxa"/>
            <w:vAlign w:val="center"/>
          </w:tcPr>
          <w:p>
            <w:pPr>
              <w:spacing w:line="440" w:lineRule="exact"/>
              <w:jc w:val="center"/>
              <w:rPr>
                <w:rFonts w:ascii="宋体" w:hAnsi="宋体" w:cs="宋体"/>
                <w:color w:val="auto"/>
                <w:sz w:val="24"/>
                <w:szCs w:val="24"/>
                <w:highlight w:val="none"/>
              </w:rPr>
            </w:pPr>
          </w:p>
        </w:tc>
        <w:tc>
          <w:tcPr>
            <w:tcW w:w="1134" w:type="dxa"/>
            <w:vAlign w:val="center"/>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pPr>
              <w:spacing w:line="440" w:lineRule="exact"/>
              <w:jc w:val="center"/>
              <w:rPr>
                <w:rFonts w:ascii="宋体" w:hAnsi="宋体" w:cs="宋体"/>
                <w:color w:val="auto"/>
                <w:sz w:val="24"/>
                <w:szCs w:val="24"/>
                <w:highlight w:val="none"/>
              </w:rPr>
            </w:pPr>
          </w:p>
        </w:tc>
        <w:tc>
          <w:tcPr>
            <w:tcW w:w="1531"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603" w:type="dxa"/>
          </w:tcPr>
          <w:p>
            <w:pPr>
              <w:spacing w:line="440" w:lineRule="exact"/>
              <w:jc w:val="center"/>
              <w:rPr>
                <w:rFonts w:ascii="宋体" w:hAnsi="宋体" w:cs="宋体"/>
                <w:color w:val="auto"/>
                <w:sz w:val="24"/>
                <w:szCs w:val="24"/>
                <w:highlight w:val="none"/>
              </w:rPr>
            </w:pPr>
          </w:p>
        </w:tc>
        <w:tc>
          <w:tcPr>
            <w:tcW w:w="488" w:type="dxa"/>
          </w:tcPr>
          <w:p>
            <w:pPr>
              <w:spacing w:line="440" w:lineRule="exact"/>
              <w:jc w:val="center"/>
              <w:rPr>
                <w:rFonts w:ascii="宋体" w:hAnsi="宋体" w:cs="宋体"/>
                <w:color w:val="auto"/>
                <w:sz w:val="24"/>
                <w:szCs w:val="24"/>
                <w:highlight w:val="none"/>
              </w:rPr>
            </w:pPr>
          </w:p>
        </w:tc>
        <w:tc>
          <w:tcPr>
            <w:tcW w:w="1255" w:type="dxa"/>
          </w:tcPr>
          <w:p>
            <w:pPr>
              <w:spacing w:line="440" w:lineRule="exact"/>
              <w:jc w:val="center"/>
              <w:rPr>
                <w:rFonts w:ascii="宋体" w:hAnsi="宋体" w:cs="宋体"/>
                <w:color w:val="auto"/>
                <w:sz w:val="24"/>
                <w:szCs w:val="24"/>
                <w:highlight w:val="none"/>
              </w:rPr>
            </w:pPr>
          </w:p>
        </w:tc>
        <w:tc>
          <w:tcPr>
            <w:tcW w:w="708" w:type="dxa"/>
          </w:tcPr>
          <w:p>
            <w:pPr>
              <w:spacing w:line="440" w:lineRule="exact"/>
              <w:jc w:val="center"/>
              <w:rPr>
                <w:rFonts w:ascii="宋体" w:hAnsi="宋体" w:cs="宋体"/>
                <w:color w:val="auto"/>
                <w:sz w:val="24"/>
                <w:szCs w:val="24"/>
                <w:highlight w:val="none"/>
              </w:rPr>
            </w:pPr>
          </w:p>
        </w:tc>
        <w:tc>
          <w:tcPr>
            <w:tcW w:w="751" w:type="dxa"/>
          </w:tcPr>
          <w:p>
            <w:pPr>
              <w:spacing w:line="440" w:lineRule="exact"/>
              <w:jc w:val="center"/>
              <w:rPr>
                <w:rFonts w:ascii="宋体" w:hAnsi="宋体" w:cs="宋体"/>
                <w:color w:val="auto"/>
                <w:sz w:val="24"/>
                <w:szCs w:val="24"/>
                <w:highlight w:val="none"/>
              </w:rPr>
            </w:pPr>
          </w:p>
        </w:tc>
        <w:tc>
          <w:tcPr>
            <w:tcW w:w="1134" w:type="dxa"/>
          </w:tcPr>
          <w:p>
            <w:pPr>
              <w:spacing w:line="440" w:lineRule="exact"/>
              <w:jc w:val="center"/>
              <w:rPr>
                <w:rFonts w:ascii="宋体" w:hAnsi="宋体" w:cs="宋体"/>
                <w:color w:val="auto"/>
                <w:sz w:val="24"/>
                <w:szCs w:val="24"/>
                <w:highlight w:val="none"/>
              </w:rPr>
            </w:pPr>
          </w:p>
        </w:tc>
      </w:tr>
    </w:tbl>
    <w:p>
      <w:pPr>
        <w:spacing w:line="440" w:lineRule="exact"/>
        <w:rPr>
          <w:rFonts w:ascii="宋体" w:hAnsi="宋体" w:cs="宋体"/>
          <w:color w:val="auto"/>
          <w:highlight w:val="none"/>
        </w:rPr>
      </w:pPr>
      <w:bookmarkStart w:id="294" w:name="_Toc517280612"/>
      <w:bookmarkStart w:id="295" w:name="_Toc300835232"/>
      <w:bookmarkStart w:id="296" w:name="_Toc391394125"/>
      <w:bookmarkStart w:id="297" w:name="_Toc144974873"/>
      <w:bookmarkStart w:id="298" w:name="_Toc384308390"/>
      <w:bookmarkStart w:id="299" w:name="_Toc179632825"/>
      <w:bookmarkStart w:id="300" w:name="_Toc385943079"/>
      <w:bookmarkStart w:id="301" w:name="_Toc152045805"/>
      <w:bookmarkStart w:id="302" w:name="_Toc359594249"/>
      <w:bookmarkStart w:id="303" w:name="_Toc482188668"/>
      <w:bookmarkStart w:id="304" w:name="_Toc370676440"/>
      <w:bookmarkStart w:id="305" w:name="_Toc152042594"/>
    </w:p>
    <w:p>
      <w:pPr>
        <w:spacing w:line="440" w:lineRule="exact"/>
        <w:rPr>
          <w:rFonts w:ascii="宋体" w:hAnsi="宋体" w:cs="宋体"/>
          <w:color w:val="auto"/>
          <w:highlight w:val="none"/>
        </w:rPr>
      </w:pPr>
    </w:p>
    <w:p>
      <w:pPr>
        <w:pStyle w:val="5"/>
        <w:keepNext w:val="0"/>
        <w:keepLines w:val="0"/>
        <w:ind w:firstLine="137"/>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（五）主要人员简历表</w:t>
      </w:r>
      <w:bookmarkEnd w:id="294"/>
      <w:bookmarkEnd w:id="295"/>
      <w:bookmarkEnd w:id="296"/>
      <w:bookmarkEnd w:id="297"/>
      <w:bookmarkEnd w:id="298"/>
      <w:bookmarkEnd w:id="299"/>
      <w:bookmarkEnd w:id="300"/>
      <w:bookmarkEnd w:id="301"/>
      <w:bookmarkEnd w:id="302"/>
      <w:bookmarkEnd w:id="303"/>
      <w:bookmarkEnd w:id="304"/>
      <w:bookmarkEnd w:id="305"/>
    </w:p>
    <w:p>
      <w:pPr>
        <w:topLinePunct/>
        <w:spacing w:line="440" w:lineRule="exact"/>
        <w:jc w:val="center"/>
        <w:rPr>
          <w:rFonts w:ascii="宋体" w:hAnsi="宋体" w:cs="宋体"/>
          <w:color w:val="auto"/>
          <w:sz w:val="23"/>
          <w:highlight w:val="none"/>
        </w:rPr>
      </w:pP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048" w:type="dxa"/>
            <w:gridSpan w:val="2"/>
            <w:vAlign w:val="center"/>
          </w:tcPr>
          <w:p>
            <w:pPr>
              <w:spacing w:line="440" w:lineRule="exact"/>
              <w:jc w:val="center"/>
              <w:rPr>
                <w:rFonts w:ascii="宋体" w:hAnsi="宋体" w:cs="宋体"/>
                <w:color w:val="auto"/>
                <w:sz w:val="24"/>
                <w:szCs w:val="24"/>
                <w:highlight w:val="none"/>
              </w:rPr>
            </w:pPr>
          </w:p>
        </w:tc>
        <w:tc>
          <w:tcPr>
            <w:tcW w:w="958"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1065" w:type="dxa"/>
            <w:vAlign w:val="center"/>
          </w:tcPr>
          <w:p>
            <w:pPr>
              <w:spacing w:line="440" w:lineRule="exact"/>
              <w:jc w:val="center"/>
              <w:rPr>
                <w:rFonts w:ascii="宋体" w:hAnsi="宋体" w:cs="宋体"/>
                <w:color w:val="auto"/>
                <w:sz w:val="24"/>
                <w:szCs w:val="24"/>
                <w:highlight w:val="none"/>
              </w:rPr>
            </w:pPr>
          </w:p>
        </w:tc>
        <w:tc>
          <w:tcPr>
            <w:tcW w:w="2368" w:type="dxa"/>
            <w:gridSpan w:val="3"/>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执业资格证书（或上岗证书）名称</w:t>
            </w:r>
          </w:p>
        </w:tc>
        <w:tc>
          <w:tcPr>
            <w:tcW w:w="1896" w:type="dxa"/>
            <w:vAlign w:val="center"/>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048" w:type="dxa"/>
            <w:gridSpan w:val="2"/>
            <w:vAlign w:val="center"/>
          </w:tcPr>
          <w:p>
            <w:pPr>
              <w:spacing w:line="440" w:lineRule="exact"/>
              <w:jc w:val="center"/>
              <w:rPr>
                <w:rFonts w:ascii="宋体" w:hAnsi="宋体" w:cs="宋体"/>
                <w:color w:val="auto"/>
                <w:sz w:val="24"/>
                <w:szCs w:val="24"/>
                <w:highlight w:val="none"/>
              </w:rPr>
            </w:pPr>
          </w:p>
        </w:tc>
        <w:tc>
          <w:tcPr>
            <w:tcW w:w="958" w:type="dxa"/>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1065" w:type="dxa"/>
            <w:vAlign w:val="center"/>
          </w:tcPr>
          <w:p>
            <w:pPr>
              <w:spacing w:line="440" w:lineRule="exact"/>
              <w:jc w:val="center"/>
              <w:rPr>
                <w:rFonts w:ascii="宋体" w:hAnsi="宋体" w:cs="宋体"/>
                <w:color w:val="auto"/>
                <w:sz w:val="24"/>
                <w:szCs w:val="24"/>
                <w:highlight w:val="none"/>
              </w:rPr>
            </w:pPr>
          </w:p>
        </w:tc>
        <w:tc>
          <w:tcPr>
            <w:tcW w:w="2368" w:type="dxa"/>
            <w:gridSpan w:val="3"/>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拟在本项目任职</w:t>
            </w:r>
          </w:p>
        </w:tc>
        <w:tc>
          <w:tcPr>
            <w:tcW w:w="1896" w:type="dxa"/>
            <w:vAlign w:val="center"/>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3071" w:type="dxa"/>
            <w:gridSpan w:val="4"/>
            <w:vAlign w:val="center"/>
          </w:tcPr>
          <w:p>
            <w:pPr>
              <w:spacing w:line="440" w:lineRule="exact"/>
              <w:jc w:val="center"/>
              <w:rPr>
                <w:rFonts w:ascii="宋体" w:hAnsi="宋体" w:cs="宋体"/>
                <w:color w:val="auto"/>
                <w:sz w:val="24"/>
                <w:szCs w:val="24"/>
                <w:highlight w:val="none"/>
              </w:rPr>
            </w:pPr>
          </w:p>
        </w:tc>
        <w:tc>
          <w:tcPr>
            <w:tcW w:w="2368" w:type="dxa"/>
            <w:gridSpan w:val="3"/>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从事监理工作年限</w:t>
            </w:r>
          </w:p>
        </w:tc>
        <w:tc>
          <w:tcPr>
            <w:tcW w:w="1896" w:type="dxa"/>
            <w:vAlign w:val="center"/>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7335" w:type="dxa"/>
            <w:gridSpan w:val="8"/>
            <w:vAlign w:val="center"/>
          </w:tcPr>
          <w:p>
            <w:pPr>
              <w:spacing w:before="100" w:beforeAutospacing="1" w:after="100" w:afterAutospacing="1" w:line="440" w:lineRule="exact"/>
              <w:ind w:firstLine="1320" w:firstLineChars="550"/>
              <w:rPr>
                <w:rFonts w:ascii="宋体" w:hAnsi="宋体" w:cs="宋体"/>
                <w:color w:val="auto"/>
                <w:sz w:val="24"/>
                <w:szCs w:val="24"/>
                <w:highlight w:val="none"/>
              </w:rPr>
            </w:pPr>
            <w:r>
              <w:rPr>
                <w:rFonts w:hint="eastAsia" w:ascii="宋体" w:hAnsi="宋体" w:cs="宋体"/>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420" w:type="dxa"/>
            <w:gridSpan w:val="4"/>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261" w:type="dxa"/>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297" w:type="dxa"/>
            <w:gridSpan w:val="2"/>
            <w:vAlign w:val="center"/>
          </w:tcPr>
          <w:p>
            <w:pPr>
              <w:spacing w:before="100" w:beforeAutospacing="1" w:after="100" w:afterAutospacing="1"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宋体" w:hAnsi="宋体" w:cs="宋体"/>
                <w:color w:val="auto"/>
                <w:sz w:val="24"/>
                <w:szCs w:val="24"/>
                <w:highlight w:val="none"/>
              </w:rPr>
            </w:pPr>
          </w:p>
        </w:tc>
        <w:tc>
          <w:tcPr>
            <w:tcW w:w="3420" w:type="dxa"/>
            <w:gridSpan w:val="4"/>
          </w:tcPr>
          <w:p>
            <w:pPr>
              <w:spacing w:line="440" w:lineRule="exact"/>
              <w:rPr>
                <w:rFonts w:ascii="宋体" w:hAnsi="宋体" w:cs="宋体"/>
                <w:color w:val="auto"/>
                <w:sz w:val="24"/>
                <w:szCs w:val="24"/>
                <w:highlight w:val="none"/>
              </w:rPr>
            </w:pPr>
          </w:p>
        </w:tc>
        <w:tc>
          <w:tcPr>
            <w:tcW w:w="1261" w:type="dxa"/>
          </w:tcPr>
          <w:p>
            <w:pPr>
              <w:spacing w:line="440" w:lineRule="exact"/>
              <w:rPr>
                <w:rFonts w:ascii="宋体" w:hAnsi="宋体" w:cs="宋体"/>
                <w:color w:val="auto"/>
                <w:sz w:val="24"/>
                <w:szCs w:val="24"/>
                <w:highlight w:val="none"/>
              </w:rPr>
            </w:pPr>
          </w:p>
        </w:tc>
        <w:tc>
          <w:tcPr>
            <w:tcW w:w="2297" w:type="dxa"/>
            <w:gridSpan w:val="2"/>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宋体" w:hAnsi="宋体" w:cs="宋体"/>
                <w:color w:val="auto"/>
                <w:sz w:val="24"/>
                <w:szCs w:val="24"/>
                <w:highlight w:val="none"/>
              </w:rPr>
            </w:pPr>
          </w:p>
        </w:tc>
        <w:tc>
          <w:tcPr>
            <w:tcW w:w="3420" w:type="dxa"/>
            <w:gridSpan w:val="4"/>
          </w:tcPr>
          <w:p>
            <w:pPr>
              <w:spacing w:line="440" w:lineRule="exact"/>
              <w:rPr>
                <w:rFonts w:ascii="宋体" w:hAnsi="宋体" w:cs="宋体"/>
                <w:color w:val="auto"/>
                <w:sz w:val="24"/>
                <w:szCs w:val="24"/>
                <w:highlight w:val="none"/>
              </w:rPr>
            </w:pPr>
          </w:p>
        </w:tc>
        <w:tc>
          <w:tcPr>
            <w:tcW w:w="1261" w:type="dxa"/>
          </w:tcPr>
          <w:p>
            <w:pPr>
              <w:spacing w:line="440" w:lineRule="exact"/>
              <w:rPr>
                <w:rFonts w:ascii="宋体" w:hAnsi="宋体" w:cs="宋体"/>
                <w:color w:val="auto"/>
                <w:sz w:val="24"/>
                <w:szCs w:val="24"/>
                <w:highlight w:val="none"/>
              </w:rPr>
            </w:pPr>
          </w:p>
        </w:tc>
        <w:tc>
          <w:tcPr>
            <w:tcW w:w="2297" w:type="dxa"/>
            <w:gridSpan w:val="2"/>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宋体" w:hAnsi="宋体" w:cs="宋体"/>
                <w:color w:val="auto"/>
                <w:sz w:val="24"/>
                <w:szCs w:val="24"/>
                <w:highlight w:val="none"/>
              </w:rPr>
            </w:pPr>
          </w:p>
        </w:tc>
        <w:tc>
          <w:tcPr>
            <w:tcW w:w="3420" w:type="dxa"/>
            <w:gridSpan w:val="4"/>
          </w:tcPr>
          <w:p>
            <w:pPr>
              <w:spacing w:line="440" w:lineRule="exact"/>
              <w:rPr>
                <w:rFonts w:ascii="宋体" w:hAnsi="宋体" w:cs="宋体"/>
                <w:color w:val="auto"/>
                <w:sz w:val="24"/>
                <w:szCs w:val="24"/>
                <w:highlight w:val="none"/>
              </w:rPr>
            </w:pPr>
          </w:p>
        </w:tc>
        <w:tc>
          <w:tcPr>
            <w:tcW w:w="1261" w:type="dxa"/>
          </w:tcPr>
          <w:p>
            <w:pPr>
              <w:spacing w:line="440" w:lineRule="exact"/>
              <w:rPr>
                <w:rFonts w:ascii="宋体" w:hAnsi="宋体" w:cs="宋体"/>
                <w:color w:val="auto"/>
                <w:sz w:val="24"/>
                <w:szCs w:val="24"/>
                <w:highlight w:val="none"/>
              </w:rPr>
            </w:pPr>
          </w:p>
        </w:tc>
        <w:tc>
          <w:tcPr>
            <w:tcW w:w="2297" w:type="dxa"/>
            <w:gridSpan w:val="2"/>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宋体" w:hAnsi="宋体" w:cs="宋体"/>
                <w:color w:val="auto"/>
                <w:sz w:val="24"/>
                <w:szCs w:val="24"/>
                <w:highlight w:val="none"/>
              </w:rPr>
            </w:pPr>
          </w:p>
        </w:tc>
        <w:tc>
          <w:tcPr>
            <w:tcW w:w="3420" w:type="dxa"/>
            <w:gridSpan w:val="4"/>
            <w:vAlign w:val="center"/>
          </w:tcPr>
          <w:p>
            <w:pPr>
              <w:spacing w:line="440" w:lineRule="exact"/>
              <w:rPr>
                <w:rFonts w:ascii="宋体" w:hAnsi="宋体" w:cs="宋体"/>
                <w:color w:val="auto"/>
                <w:sz w:val="24"/>
                <w:szCs w:val="24"/>
                <w:highlight w:val="none"/>
              </w:rPr>
            </w:pPr>
          </w:p>
        </w:tc>
        <w:tc>
          <w:tcPr>
            <w:tcW w:w="1261" w:type="dxa"/>
            <w:vAlign w:val="center"/>
          </w:tcPr>
          <w:p>
            <w:pPr>
              <w:spacing w:line="440" w:lineRule="exact"/>
              <w:rPr>
                <w:rFonts w:ascii="宋体" w:hAnsi="宋体" w:cs="宋体"/>
                <w:color w:val="auto"/>
                <w:sz w:val="24"/>
                <w:szCs w:val="24"/>
                <w:highlight w:val="none"/>
              </w:rPr>
            </w:pPr>
          </w:p>
        </w:tc>
        <w:tc>
          <w:tcPr>
            <w:tcW w:w="2297" w:type="dxa"/>
            <w:gridSpan w:val="2"/>
            <w:vAlign w:val="center"/>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宋体" w:hAnsi="宋体" w:cs="宋体"/>
                <w:color w:val="auto"/>
                <w:sz w:val="24"/>
                <w:szCs w:val="24"/>
                <w:highlight w:val="none"/>
              </w:rPr>
            </w:pPr>
          </w:p>
        </w:tc>
        <w:tc>
          <w:tcPr>
            <w:tcW w:w="3420" w:type="dxa"/>
            <w:gridSpan w:val="4"/>
            <w:vAlign w:val="center"/>
          </w:tcPr>
          <w:p>
            <w:pPr>
              <w:spacing w:line="440" w:lineRule="exact"/>
              <w:rPr>
                <w:rFonts w:ascii="宋体" w:hAnsi="宋体" w:cs="宋体"/>
                <w:color w:val="auto"/>
                <w:sz w:val="24"/>
                <w:szCs w:val="24"/>
                <w:highlight w:val="none"/>
              </w:rPr>
            </w:pPr>
          </w:p>
        </w:tc>
        <w:tc>
          <w:tcPr>
            <w:tcW w:w="1261" w:type="dxa"/>
            <w:vAlign w:val="center"/>
          </w:tcPr>
          <w:p>
            <w:pPr>
              <w:spacing w:line="440" w:lineRule="exact"/>
              <w:rPr>
                <w:rFonts w:ascii="宋体" w:hAnsi="宋体" w:cs="宋体"/>
                <w:color w:val="auto"/>
                <w:sz w:val="24"/>
                <w:szCs w:val="24"/>
                <w:highlight w:val="none"/>
              </w:rPr>
            </w:pPr>
          </w:p>
        </w:tc>
        <w:tc>
          <w:tcPr>
            <w:tcW w:w="2297" w:type="dxa"/>
            <w:gridSpan w:val="2"/>
            <w:vAlign w:val="center"/>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宋体" w:hAnsi="宋体" w:cs="宋体"/>
                <w:color w:val="auto"/>
                <w:sz w:val="24"/>
                <w:szCs w:val="24"/>
                <w:highlight w:val="none"/>
              </w:rPr>
            </w:pPr>
          </w:p>
        </w:tc>
        <w:tc>
          <w:tcPr>
            <w:tcW w:w="3420" w:type="dxa"/>
            <w:gridSpan w:val="4"/>
            <w:vAlign w:val="center"/>
          </w:tcPr>
          <w:p>
            <w:pPr>
              <w:spacing w:line="440" w:lineRule="exact"/>
              <w:rPr>
                <w:rFonts w:ascii="宋体" w:hAnsi="宋体" w:cs="宋体"/>
                <w:color w:val="auto"/>
                <w:sz w:val="24"/>
                <w:szCs w:val="24"/>
                <w:highlight w:val="none"/>
              </w:rPr>
            </w:pPr>
          </w:p>
        </w:tc>
        <w:tc>
          <w:tcPr>
            <w:tcW w:w="1261" w:type="dxa"/>
            <w:vAlign w:val="center"/>
          </w:tcPr>
          <w:p>
            <w:pPr>
              <w:spacing w:line="440" w:lineRule="exact"/>
              <w:rPr>
                <w:rFonts w:ascii="宋体" w:hAnsi="宋体" w:cs="宋体"/>
                <w:color w:val="auto"/>
                <w:sz w:val="24"/>
                <w:szCs w:val="24"/>
                <w:highlight w:val="none"/>
              </w:rPr>
            </w:pPr>
          </w:p>
        </w:tc>
        <w:tc>
          <w:tcPr>
            <w:tcW w:w="2297" w:type="dxa"/>
            <w:gridSpan w:val="2"/>
            <w:vAlign w:val="center"/>
          </w:tcPr>
          <w:p>
            <w:pPr>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宋体" w:hAnsi="宋体" w:cs="宋体"/>
                <w:color w:val="auto"/>
                <w:sz w:val="24"/>
                <w:szCs w:val="24"/>
                <w:highlight w:val="none"/>
              </w:rPr>
            </w:pPr>
          </w:p>
        </w:tc>
        <w:tc>
          <w:tcPr>
            <w:tcW w:w="3420" w:type="dxa"/>
            <w:gridSpan w:val="4"/>
            <w:vAlign w:val="center"/>
          </w:tcPr>
          <w:p>
            <w:pPr>
              <w:spacing w:line="440" w:lineRule="exact"/>
              <w:rPr>
                <w:rFonts w:ascii="宋体" w:hAnsi="宋体" w:cs="宋体"/>
                <w:color w:val="auto"/>
                <w:sz w:val="24"/>
                <w:szCs w:val="24"/>
                <w:highlight w:val="none"/>
              </w:rPr>
            </w:pPr>
          </w:p>
        </w:tc>
        <w:tc>
          <w:tcPr>
            <w:tcW w:w="1261" w:type="dxa"/>
            <w:vAlign w:val="center"/>
          </w:tcPr>
          <w:p>
            <w:pPr>
              <w:spacing w:line="440" w:lineRule="exact"/>
              <w:rPr>
                <w:rFonts w:ascii="宋体" w:hAnsi="宋体" w:cs="宋体"/>
                <w:color w:val="auto"/>
                <w:sz w:val="24"/>
                <w:szCs w:val="24"/>
                <w:highlight w:val="none"/>
              </w:rPr>
            </w:pPr>
          </w:p>
        </w:tc>
        <w:tc>
          <w:tcPr>
            <w:tcW w:w="2297" w:type="dxa"/>
            <w:gridSpan w:val="2"/>
            <w:vAlign w:val="center"/>
          </w:tcPr>
          <w:p>
            <w:pPr>
              <w:spacing w:line="440" w:lineRule="exact"/>
              <w:rPr>
                <w:rFonts w:ascii="宋体" w:hAnsi="宋体" w:cs="宋体"/>
                <w:color w:val="auto"/>
                <w:sz w:val="24"/>
                <w:szCs w:val="24"/>
                <w:highlight w:val="none"/>
              </w:rPr>
            </w:pPr>
          </w:p>
        </w:tc>
      </w:tr>
    </w:tbl>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注：投标人应根据投标人须知第3.5.6项的要求在本表后附相关证明材料。</w:t>
      </w:r>
    </w:p>
    <w:p>
      <w:pPr>
        <w:spacing w:line="440" w:lineRule="exact"/>
        <w:rPr>
          <w:rFonts w:ascii="宋体" w:hAnsi="宋体" w:cs="宋体"/>
          <w:color w:val="auto"/>
          <w:highlight w:val="none"/>
        </w:rPr>
      </w:pPr>
      <w:bookmarkStart w:id="306" w:name="_Toc352703741"/>
      <w:bookmarkStart w:id="307" w:name="_Toc300835229"/>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bookmarkEnd w:id="306"/>
    <w:bookmarkEnd w:id="307"/>
    <w:p>
      <w:pPr>
        <w:pStyle w:val="5"/>
        <w:keepNext w:val="0"/>
        <w:keepLines w:val="0"/>
        <w:ind w:firstLine="137"/>
        <w:rPr>
          <w:rFonts w:ascii="宋体" w:hAnsi="宋体" w:cs="宋体"/>
          <w:color w:val="auto"/>
          <w:highlight w:val="none"/>
        </w:rPr>
      </w:pPr>
      <w:bookmarkStart w:id="308" w:name="_Toc482188666"/>
      <w:bookmarkStart w:id="309" w:name="_Toc517280613"/>
      <w:r>
        <w:rPr>
          <w:rFonts w:hint="eastAsia" w:ascii="宋体" w:hAnsi="宋体" w:cs="宋体"/>
          <w:color w:val="auto"/>
          <w:highlight w:val="none"/>
        </w:rPr>
        <w:br w:type="page"/>
      </w:r>
      <w:r>
        <w:rPr>
          <w:rFonts w:hint="eastAsia" w:ascii="宋体" w:hAnsi="宋体" w:cs="宋体"/>
          <w:color w:val="auto"/>
          <w:highlight w:val="none"/>
        </w:rPr>
        <w:t>（六）拟投入本项目的主要</w:t>
      </w:r>
      <w:bookmarkEnd w:id="308"/>
      <w:r>
        <w:rPr>
          <w:rFonts w:hint="eastAsia" w:ascii="宋体" w:hAnsi="宋体" w:cs="宋体"/>
          <w:color w:val="auto"/>
          <w:highlight w:val="none"/>
        </w:rPr>
        <w:t>试验检测仪器设备表</w:t>
      </w:r>
      <w:bookmarkEnd w:id="309"/>
    </w:p>
    <w:tbl>
      <w:tblPr>
        <w:tblStyle w:val="26"/>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75"/>
        <w:gridCol w:w="936"/>
        <w:gridCol w:w="747"/>
        <w:gridCol w:w="850"/>
        <w:gridCol w:w="992"/>
        <w:gridCol w:w="1419"/>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28" w:type="dxa"/>
            <w:vAlign w:val="center"/>
          </w:tcPr>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275"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仪器设备</w:t>
            </w:r>
          </w:p>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936"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型号</w:t>
            </w:r>
          </w:p>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规格</w:t>
            </w:r>
          </w:p>
        </w:tc>
        <w:tc>
          <w:tcPr>
            <w:tcW w:w="74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8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国别</w:t>
            </w:r>
          </w:p>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产地</w:t>
            </w:r>
          </w:p>
        </w:tc>
        <w:tc>
          <w:tcPr>
            <w:tcW w:w="992"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制造</w:t>
            </w:r>
          </w:p>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年份</w:t>
            </w:r>
          </w:p>
        </w:tc>
        <w:tc>
          <w:tcPr>
            <w:tcW w:w="1419"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用途</w:t>
            </w:r>
          </w:p>
        </w:tc>
        <w:tc>
          <w:tcPr>
            <w:tcW w:w="1162"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spacing w:line="440" w:lineRule="exact"/>
              <w:jc w:val="center"/>
              <w:rPr>
                <w:rFonts w:ascii="宋体" w:hAnsi="宋体" w:cs="宋体"/>
                <w:color w:val="auto"/>
                <w:sz w:val="24"/>
                <w:szCs w:val="24"/>
                <w:highlight w:val="none"/>
              </w:rPr>
            </w:pPr>
          </w:p>
        </w:tc>
        <w:tc>
          <w:tcPr>
            <w:tcW w:w="1275" w:type="dxa"/>
            <w:vAlign w:val="center"/>
          </w:tcPr>
          <w:p>
            <w:pPr>
              <w:spacing w:line="440" w:lineRule="exact"/>
              <w:jc w:val="center"/>
              <w:rPr>
                <w:rFonts w:ascii="宋体" w:hAnsi="宋体" w:cs="宋体"/>
                <w:color w:val="auto"/>
                <w:sz w:val="24"/>
                <w:szCs w:val="24"/>
                <w:highlight w:val="none"/>
              </w:rPr>
            </w:pPr>
          </w:p>
        </w:tc>
        <w:tc>
          <w:tcPr>
            <w:tcW w:w="936" w:type="dxa"/>
            <w:vAlign w:val="center"/>
          </w:tcPr>
          <w:p>
            <w:pPr>
              <w:spacing w:line="440" w:lineRule="exact"/>
              <w:jc w:val="center"/>
              <w:rPr>
                <w:rFonts w:ascii="宋体" w:hAnsi="宋体" w:cs="宋体"/>
                <w:color w:val="auto"/>
                <w:sz w:val="24"/>
                <w:szCs w:val="24"/>
                <w:highlight w:val="none"/>
              </w:rPr>
            </w:pPr>
          </w:p>
        </w:tc>
        <w:tc>
          <w:tcPr>
            <w:tcW w:w="747" w:type="dxa"/>
            <w:vAlign w:val="center"/>
          </w:tcPr>
          <w:p>
            <w:pPr>
              <w:spacing w:line="440" w:lineRule="exact"/>
              <w:jc w:val="center"/>
              <w:rPr>
                <w:rFonts w:ascii="宋体" w:hAnsi="宋体" w:cs="宋体"/>
                <w:color w:val="auto"/>
                <w:sz w:val="24"/>
                <w:szCs w:val="24"/>
                <w:highlight w:val="none"/>
              </w:rPr>
            </w:pPr>
          </w:p>
        </w:tc>
        <w:tc>
          <w:tcPr>
            <w:tcW w:w="850" w:type="dxa"/>
            <w:vAlign w:val="center"/>
          </w:tcPr>
          <w:p>
            <w:pPr>
              <w:spacing w:line="440" w:lineRule="exact"/>
              <w:jc w:val="center"/>
              <w:rPr>
                <w:rFonts w:ascii="宋体" w:hAnsi="宋体" w:cs="宋体"/>
                <w:color w:val="auto"/>
                <w:sz w:val="24"/>
                <w:szCs w:val="24"/>
                <w:highlight w:val="none"/>
              </w:rPr>
            </w:pPr>
          </w:p>
        </w:tc>
        <w:tc>
          <w:tcPr>
            <w:tcW w:w="992" w:type="dxa"/>
            <w:vAlign w:val="center"/>
          </w:tcPr>
          <w:p>
            <w:pPr>
              <w:spacing w:line="440" w:lineRule="exact"/>
              <w:jc w:val="center"/>
              <w:rPr>
                <w:rFonts w:ascii="宋体" w:hAnsi="宋体" w:cs="宋体"/>
                <w:color w:val="auto"/>
                <w:sz w:val="24"/>
                <w:szCs w:val="24"/>
                <w:highlight w:val="none"/>
              </w:rPr>
            </w:pPr>
          </w:p>
        </w:tc>
        <w:tc>
          <w:tcPr>
            <w:tcW w:w="1419" w:type="dxa"/>
            <w:vAlign w:val="center"/>
          </w:tcPr>
          <w:p>
            <w:pPr>
              <w:spacing w:line="440" w:lineRule="exact"/>
              <w:jc w:val="center"/>
              <w:rPr>
                <w:rFonts w:ascii="宋体" w:hAnsi="宋体" w:cs="宋体"/>
                <w:color w:val="auto"/>
                <w:sz w:val="24"/>
                <w:szCs w:val="24"/>
                <w:highlight w:val="none"/>
              </w:rPr>
            </w:pPr>
          </w:p>
        </w:tc>
        <w:tc>
          <w:tcPr>
            <w:tcW w:w="1162" w:type="dxa"/>
            <w:vAlign w:val="center"/>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spacing w:line="440" w:lineRule="exact"/>
              <w:jc w:val="center"/>
              <w:rPr>
                <w:rFonts w:ascii="宋体" w:hAnsi="宋体" w:cs="宋体"/>
                <w:color w:val="auto"/>
                <w:sz w:val="24"/>
                <w:szCs w:val="24"/>
                <w:highlight w:val="none"/>
              </w:rPr>
            </w:pPr>
          </w:p>
        </w:tc>
        <w:tc>
          <w:tcPr>
            <w:tcW w:w="1275" w:type="dxa"/>
            <w:vAlign w:val="center"/>
          </w:tcPr>
          <w:p>
            <w:pPr>
              <w:spacing w:line="440" w:lineRule="exact"/>
              <w:jc w:val="center"/>
              <w:rPr>
                <w:rFonts w:ascii="宋体" w:hAnsi="宋体" w:cs="宋体"/>
                <w:color w:val="auto"/>
                <w:sz w:val="24"/>
                <w:szCs w:val="24"/>
                <w:highlight w:val="none"/>
              </w:rPr>
            </w:pPr>
          </w:p>
        </w:tc>
        <w:tc>
          <w:tcPr>
            <w:tcW w:w="936" w:type="dxa"/>
            <w:vAlign w:val="center"/>
          </w:tcPr>
          <w:p>
            <w:pPr>
              <w:spacing w:line="440" w:lineRule="exact"/>
              <w:jc w:val="center"/>
              <w:rPr>
                <w:rFonts w:ascii="宋体" w:hAnsi="宋体" w:cs="宋体"/>
                <w:color w:val="auto"/>
                <w:sz w:val="24"/>
                <w:szCs w:val="24"/>
                <w:highlight w:val="none"/>
              </w:rPr>
            </w:pPr>
          </w:p>
        </w:tc>
        <w:tc>
          <w:tcPr>
            <w:tcW w:w="747" w:type="dxa"/>
            <w:vAlign w:val="center"/>
          </w:tcPr>
          <w:p>
            <w:pPr>
              <w:spacing w:line="440" w:lineRule="exact"/>
              <w:jc w:val="center"/>
              <w:rPr>
                <w:rFonts w:ascii="宋体" w:hAnsi="宋体" w:cs="宋体"/>
                <w:color w:val="auto"/>
                <w:sz w:val="24"/>
                <w:szCs w:val="24"/>
                <w:highlight w:val="none"/>
              </w:rPr>
            </w:pPr>
          </w:p>
        </w:tc>
        <w:tc>
          <w:tcPr>
            <w:tcW w:w="850" w:type="dxa"/>
            <w:vAlign w:val="center"/>
          </w:tcPr>
          <w:p>
            <w:pPr>
              <w:spacing w:line="440" w:lineRule="exact"/>
              <w:jc w:val="center"/>
              <w:rPr>
                <w:rFonts w:ascii="宋体" w:hAnsi="宋体" w:cs="宋体"/>
                <w:color w:val="auto"/>
                <w:sz w:val="24"/>
                <w:szCs w:val="24"/>
                <w:highlight w:val="none"/>
              </w:rPr>
            </w:pPr>
          </w:p>
        </w:tc>
        <w:tc>
          <w:tcPr>
            <w:tcW w:w="992" w:type="dxa"/>
            <w:vAlign w:val="center"/>
          </w:tcPr>
          <w:p>
            <w:pPr>
              <w:spacing w:line="440" w:lineRule="exact"/>
              <w:jc w:val="center"/>
              <w:rPr>
                <w:rFonts w:ascii="宋体" w:hAnsi="宋体" w:cs="宋体"/>
                <w:color w:val="auto"/>
                <w:sz w:val="24"/>
                <w:szCs w:val="24"/>
                <w:highlight w:val="none"/>
              </w:rPr>
            </w:pPr>
          </w:p>
        </w:tc>
        <w:tc>
          <w:tcPr>
            <w:tcW w:w="1419" w:type="dxa"/>
            <w:vAlign w:val="center"/>
          </w:tcPr>
          <w:p>
            <w:pPr>
              <w:spacing w:line="440" w:lineRule="exact"/>
              <w:jc w:val="center"/>
              <w:rPr>
                <w:rFonts w:ascii="宋体" w:hAnsi="宋体" w:cs="宋体"/>
                <w:color w:val="auto"/>
                <w:sz w:val="24"/>
                <w:szCs w:val="24"/>
                <w:highlight w:val="none"/>
              </w:rPr>
            </w:pPr>
          </w:p>
        </w:tc>
        <w:tc>
          <w:tcPr>
            <w:tcW w:w="1162" w:type="dxa"/>
            <w:vAlign w:val="center"/>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tcPr>
          <w:p>
            <w:pPr>
              <w:spacing w:line="440" w:lineRule="exact"/>
              <w:jc w:val="center"/>
              <w:rPr>
                <w:rFonts w:ascii="宋体" w:hAnsi="宋体" w:cs="宋体"/>
                <w:color w:val="auto"/>
                <w:sz w:val="24"/>
                <w:szCs w:val="24"/>
                <w:highlight w:val="none"/>
              </w:rPr>
            </w:pPr>
          </w:p>
        </w:tc>
        <w:tc>
          <w:tcPr>
            <w:tcW w:w="1275" w:type="dxa"/>
          </w:tcPr>
          <w:p>
            <w:pPr>
              <w:spacing w:line="440" w:lineRule="exact"/>
              <w:jc w:val="center"/>
              <w:rPr>
                <w:rFonts w:ascii="宋体" w:hAnsi="宋体" w:cs="宋体"/>
                <w:color w:val="auto"/>
                <w:sz w:val="24"/>
                <w:szCs w:val="24"/>
                <w:highlight w:val="none"/>
              </w:rPr>
            </w:pPr>
          </w:p>
        </w:tc>
        <w:tc>
          <w:tcPr>
            <w:tcW w:w="936" w:type="dxa"/>
          </w:tcPr>
          <w:p>
            <w:pPr>
              <w:spacing w:line="440" w:lineRule="exact"/>
              <w:jc w:val="center"/>
              <w:rPr>
                <w:rFonts w:ascii="宋体" w:hAnsi="宋体" w:cs="宋体"/>
                <w:color w:val="auto"/>
                <w:sz w:val="24"/>
                <w:szCs w:val="24"/>
                <w:highlight w:val="none"/>
              </w:rPr>
            </w:pPr>
          </w:p>
        </w:tc>
        <w:tc>
          <w:tcPr>
            <w:tcW w:w="747" w:type="dxa"/>
          </w:tcPr>
          <w:p>
            <w:pPr>
              <w:spacing w:line="440" w:lineRule="exact"/>
              <w:jc w:val="center"/>
              <w:rPr>
                <w:rFonts w:ascii="宋体" w:hAnsi="宋体" w:cs="宋体"/>
                <w:color w:val="auto"/>
                <w:sz w:val="24"/>
                <w:szCs w:val="24"/>
                <w:highlight w:val="none"/>
              </w:rPr>
            </w:pPr>
          </w:p>
        </w:tc>
        <w:tc>
          <w:tcPr>
            <w:tcW w:w="850" w:type="dxa"/>
          </w:tcPr>
          <w:p>
            <w:pPr>
              <w:spacing w:line="440" w:lineRule="exact"/>
              <w:jc w:val="center"/>
              <w:rPr>
                <w:rFonts w:ascii="宋体" w:hAnsi="宋体" w:cs="宋体"/>
                <w:color w:val="auto"/>
                <w:sz w:val="24"/>
                <w:szCs w:val="24"/>
                <w:highlight w:val="none"/>
              </w:rPr>
            </w:pPr>
          </w:p>
        </w:tc>
        <w:tc>
          <w:tcPr>
            <w:tcW w:w="992" w:type="dxa"/>
          </w:tcPr>
          <w:p>
            <w:pPr>
              <w:spacing w:line="440" w:lineRule="exact"/>
              <w:jc w:val="center"/>
              <w:rPr>
                <w:rFonts w:ascii="宋体" w:hAnsi="宋体" w:cs="宋体"/>
                <w:color w:val="auto"/>
                <w:sz w:val="24"/>
                <w:szCs w:val="24"/>
                <w:highlight w:val="none"/>
              </w:rPr>
            </w:pPr>
          </w:p>
        </w:tc>
        <w:tc>
          <w:tcPr>
            <w:tcW w:w="1419" w:type="dxa"/>
          </w:tcPr>
          <w:p>
            <w:pPr>
              <w:spacing w:line="440" w:lineRule="exact"/>
              <w:jc w:val="center"/>
              <w:rPr>
                <w:rFonts w:ascii="宋体" w:hAnsi="宋体" w:cs="宋体"/>
                <w:color w:val="auto"/>
                <w:sz w:val="24"/>
                <w:szCs w:val="24"/>
                <w:highlight w:val="none"/>
              </w:rPr>
            </w:pPr>
          </w:p>
        </w:tc>
        <w:tc>
          <w:tcPr>
            <w:tcW w:w="1162" w:type="dxa"/>
          </w:tcPr>
          <w:p>
            <w:pPr>
              <w:spacing w:line="440" w:lineRule="exact"/>
              <w:jc w:val="center"/>
              <w:rPr>
                <w:rFonts w:ascii="宋体" w:hAnsi="宋体" w:cs="宋体"/>
                <w:color w:val="auto"/>
                <w:sz w:val="24"/>
                <w:szCs w:val="24"/>
                <w:highlight w:val="none"/>
              </w:rPr>
            </w:pPr>
          </w:p>
        </w:tc>
      </w:tr>
    </w:tbl>
    <w:p>
      <w:pPr>
        <w:rPr>
          <w:rFonts w:ascii="宋体" w:hAnsi="宋体" w:cs="宋体"/>
          <w:color w:val="auto"/>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4"/>
        <w:keepNext w:val="0"/>
        <w:keepLines w:val="0"/>
        <w:spacing w:after="0"/>
        <w:jc w:val="center"/>
        <w:rPr>
          <w:rFonts w:ascii="宋体" w:hAnsi="宋体" w:eastAsia="宋体" w:cs="宋体"/>
          <w:color w:val="auto"/>
          <w:highlight w:val="none"/>
        </w:rPr>
      </w:pPr>
      <w:r>
        <w:rPr>
          <w:rFonts w:hint="eastAsia" w:ascii="宋体" w:hAnsi="宋体" w:eastAsia="宋体" w:cs="宋体"/>
          <w:color w:val="auto"/>
          <w:sz w:val="28"/>
          <w:szCs w:val="28"/>
          <w:highlight w:val="none"/>
        </w:rPr>
        <w:br w:type="page"/>
      </w:r>
      <w:bookmarkStart w:id="310" w:name="_Toc517280614"/>
      <w:bookmarkStart w:id="311" w:name="_Toc31755_WPSOffice_Level1"/>
      <w:bookmarkStart w:id="312" w:name="_Toc3652_WPSOffice_Level1"/>
      <w:bookmarkStart w:id="313" w:name="_Toc24963_WPSOffice_Level1"/>
      <w:r>
        <w:rPr>
          <w:rFonts w:hint="eastAsia" w:ascii="宋体" w:hAnsi="宋体" w:eastAsia="宋体" w:cs="宋体"/>
          <w:color w:val="auto"/>
          <w:highlight w:val="none"/>
        </w:rPr>
        <w:t>六、监理大纲</w:t>
      </w:r>
      <w:bookmarkEnd w:id="310"/>
      <w:bookmarkEnd w:id="311"/>
      <w:bookmarkEnd w:id="312"/>
      <w:bookmarkEnd w:id="313"/>
    </w:p>
    <w:p>
      <w:pPr>
        <w:spacing w:line="360" w:lineRule="auto"/>
        <w:ind w:firstLine="542" w:firstLineChars="226"/>
        <w:rPr>
          <w:rFonts w:ascii="宋体" w:hAnsi="宋体" w:cs="宋体"/>
          <w:color w:val="auto"/>
          <w:sz w:val="24"/>
          <w:szCs w:val="24"/>
          <w:highlight w:val="none"/>
        </w:rPr>
      </w:pPr>
      <w:r>
        <w:rPr>
          <w:rFonts w:hint="eastAsia" w:ascii="宋体" w:hAnsi="宋体" w:cs="宋体"/>
          <w:color w:val="auto"/>
          <w:sz w:val="24"/>
          <w:szCs w:val="24"/>
          <w:highlight w:val="none"/>
        </w:rPr>
        <w:t>监理大纲应包括（但不限于）下列内容：</w:t>
      </w:r>
    </w:p>
    <w:p>
      <w:pPr>
        <w:spacing w:line="360" w:lineRule="auto"/>
        <w:ind w:firstLine="542" w:firstLineChars="226"/>
        <w:rPr>
          <w:rFonts w:ascii="宋体" w:hAnsi="宋体" w:cs="宋体"/>
          <w:color w:val="auto"/>
          <w:sz w:val="24"/>
          <w:szCs w:val="24"/>
          <w:highlight w:val="none"/>
        </w:rPr>
      </w:pPr>
      <w:bookmarkStart w:id="314" w:name="_Toc5218_WPSOffice_Level1"/>
      <w:bookmarkStart w:id="315" w:name="_Toc6774_WPSOffice_Level1"/>
      <w:bookmarkStart w:id="316" w:name="_Toc462_WPSOffice_Level1"/>
      <w:r>
        <w:rPr>
          <w:rFonts w:hint="eastAsia" w:ascii="宋体" w:hAnsi="宋体" w:cs="宋体"/>
          <w:color w:val="auto"/>
          <w:sz w:val="24"/>
          <w:szCs w:val="24"/>
          <w:highlight w:val="none"/>
        </w:rPr>
        <w:t>一、监理工程概况；</w:t>
      </w:r>
      <w:bookmarkEnd w:id="314"/>
      <w:bookmarkEnd w:id="315"/>
      <w:bookmarkEnd w:id="316"/>
    </w:p>
    <w:p>
      <w:pPr>
        <w:spacing w:line="360" w:lineRule="auto"/>
        <w:ind w:firstLine="542" w:firstLineChars="226"/>
        <w:rPr>
          <w:rFonts w:ascii="宋体" w:hAnsi="宋体" w:cs="宋体"/>
          <w:color w:val="auto"/>
          <w:sz w:val="24"/>
          <w:szCs w:val="24"/>
          <w:highlight w:val="none"/>
        </w:rPr>
      </w:pPr>
      <w:bookmarkStart w:id="317" w:name="_Toc12196_WPSOffice_Level1"/>
      <w:bookmarkStart w:id="318" w:name="_Toc27414_WPSOffice_Level1"/>
      <w:bookmarkStart w:id="319" w:name="_Toc21883_WPSOffice_Level1"/>
      <w:r>
        <w:rPr>
          <w:rFonts w:hint="eastAsia" w:ascii="宋体" w:hAnsi="宋体" w:cs="宋体"/>
          <w:color w:val="auto"/>
          <w:sz w:val="24"/>
          <w:szCs w:val="24"/>
          <w:highlight w:val="none"/>
        </w:rPr>
        <w:t>二、监理范围、监理内容；</w:t>
      </w:r>
      <w:bookmarkEnd w:id="317"/>
      <w:bookmarkEnd w:id="318"/>
      <w:bookmarkEnd w:id="319"/>
    </w:p>
    <w:p>
      <w:pPr>
        <w:spacing w:line="360" w:lineRule="auto"/>
        <w:ind w:firstLine="542" w:firstLineChars="226"/>
        <w:rPr>
          <w:rFonts w:ascii="宋体" w:hAnsi="宋体" w:cs="宋体"/>
          <w:color w:val="auto"/>
          <w:sz w:val="24"/>
          <w:szCs w:val="24"/>
          <w:highlight w:val="none"/>
        </w:rPr>
      </w:pPr>
      <w:bookmarkStart w:id="320" w:name="_Toc20287_WPSOffice_Level1"/>
      <w:bookmarkStart w:id="321" w:name="_Toc24323_WPSOffice_Level1"/>
      <w:bookmarkStart w:id="322" w:name="_Toc20989_WPSOffice_Level1"/>
      <w:r>
        <w:rPr>
          <w:rFonts w:hint="eastAsia" w:ascii="宋体" w:hAnsi="宋体" w:cs="宋体"/>
          <w:color w:val="auto"/>
          <w:sz w:val="24"/>
          <w:szCs w:val="24"/>
          <w:highlight w:val="none"/>
        </w:rPr>
        <w:t>三、监理依据、监理工作目标；</w:t>
      </w:r>
      <w:bookmarkEnd w:id="320"/>
      <w:bookmarkEnd w:id="321"/>
      <w:bookmarkEnd w:id="322"/>
    </w:p>
    <w:p>
      <w:pPr>
        <w:spacing w:line="360" w:lineRule="auto"/>
        <w:ind w:firstLine="542" w:firstLineChars="226"/>
        <w:rPr>
          <w:rFonts w:ascii="宋体" w:hAnsi="宋体" w:cs="宋体"/>
          <w:color w:val="auto"/>
          <w:sz w:val="24"/>
          <w:szCs w:val="24"/>
          <w:highlight w:val="none"/>
        </w:rPr>
      </w:pPr>
      <w:bookmarkStart w:id="323" w:name="_Toc23154_WPSOffice_Level1"/>
      <w:bookmarkStart w:id="324" w:name="_Toc1878_WPSOffice_Level1"/>
      <w:bookmarkStart w:id="325" w:name="_Toc22465_WPSOffice_Level1"/>
      <w:r>
        <w:rPr>
          <w:rFonts w:hint="eastAsia" w:ascii="宋体" w:hAnsi="宋体" w:cs="宋体"/>
          <w:color w:val="auto"/>
          <w:sz w:val="24"/>
          <w:szCs w:val="24"/>
          <w:highlight w:val="none"/>
        </w:rPr>
        <w:t>四、监理机构设置（框图）、岗位职责；</w:t>
      </w:r>
      <w:bookmarkEnd w:id="323"/>
      <w:bookmarkEnd w:id="324"/>
      <w:bookmarkEnd w:id="325"/>
    </w:p>
    <w:p>
      <w:pPr>
        <w:spacing w:line="360" w:lineRule="auto"/>
        <w:ind w:firstLine="542" w:firstLineChars="226"/>
        <w:rPr>
          <w:rFonts w:ascii="宋体" w:hAnsi="宋体" w:cs="宋体"/>
          <w:color w:val="auto"/>
          <w:sz w:val="24"/>
          <w:szCs w:val="24"/>
          <w:highlight w:val="none"/>
        </w:rPr>
      </w:pPr>
      <w:bookmarkStart w:id="326" w:name="_Toc25722_WPSOffice_Level1"/>
      <w:bookmarkStart w:id="327" w:name="_Toc15691_WPSOffice_Level1"/>
      <w:bookmarkStart w:id="328" w:name="_Toc28416_WPSOffice_Level1"/>
      <w:r>
        <w:rPr>
          <w:rFonts w:hint="eastAsia" w:ascii="宋体" w:hAnsi="宋体" w:cs="宋体"/>
          <w:color w:val="auto"/>
          <w:sz w:val="24"/>
          <w:szCs w:val="24"/>
          <w:highlight w:val="none"/>
        </w:rPr>
        <w:t>五、监理工作程序、方法和制度；</w:t>
      </w:r>
      <w:bookmarkEnd w:id="326"/>
      <w:bookmarkEnd w:id="327"/>
      <w:bookmarkEnd w:id="328"/>
    </w:p>
    <w:p>
      <w:pPr>
        <w:spacing w:line="360" w:lineRule="auto"/>
        <w:ind w:firstLine="542" w:firstLineChars="226"/>
        <w:rPr>
          <w:rFonts w:ascii="宋体" w:hAnsi="宋体" w:cs="宋体"/>
          <w:color w:val="auto"/>
          <w:sz w:val="24"/>
          <w:szCs w:val="24"/>
          <w:highlight w:val="none"/>
        </w:rPr>
      </w:pPr>
      <w:bookmarkStart w:id="329" w:name="_Toc7408_WPSOffice_Level1"/>
      <w:bookmarkStart w:id="330" w:name="_Toc30449_WPSOffice_Level1"/>
      <w:bookmarkStart w:id="331" w:name="_Toc28661_WPSOffice_Level1"/>
      <w:r>
        <w:rPr>
          <w:rFonts w:hint="eastAsia" w:ascii="宋体" w:hAnsi="宋体" w:cs="宋体"/>
          <w:color w:val="auto"/>
          <w:sz w:val="24"/>
          <w:szCs w:val="24"/>
          <w:highlight w:val="none"/>
        </w:rPr>
        <w:t>六、拟投入的监理人员、试验检测仪器设备；</w:t>
      </w:r>
      <w:bookmarkEnd w:id="329"/>
      <w:bookmarkEnd w:id="330"/>
      <w:bookmarkEnd w:id="331"/>
    </w:p>
    <w:p>
      <w:pPr>
        <w:spacing w:line="360" w:lineRule="auto"/>
        <w:ind w:firstLine="542" w:firstLineChars="226"/>
        <w:rPr>
          <w:rFonts w:ascii="宋体" w:hAnsi="宋体" w:cs="宋体"/>
          <w:color w:val="auto"/>
          <w:sz w:val="24"/>
          <w:szCs w:val="24"/>
          <w:highlight w:val="none"/>
        </w:rPr>
      </w:pPr>
      <w:bookmarkStart w:id="332" w:name="_Toc7577_WPSOffice_Level1"/>
      <w:bookmarkStart w:id="333" w:name="_Toc25828_WPSOffice_Level1"/>
      <w:bookmarkStart w:id="334" w:name="_Toc30634_WPSOffice_Level1"/>
      <w:r>
        <w:rPr>
          <w:rFonts w:hint="eastAsia" w:ascii="宋体" w:hAnsi="宋体" w:cs="宋体"/>
          <w:color w:val="auto"/>
          <w:sz w:val="24"/>
          <w:szCs w:val="24"/>
          <w:highlight w:val="none"/>
        </w:rPr>
        <w:t>七、质量、进度、造价、安全、环保监理措施；</w:t>
      </w:r>
      <w:bookmarkEnd w:id="332"/>
      <w:bookmarkEnd w:id="333"/>
      <w:bookmarkEnd w:id="334"/>
    </w:p>
    <w:p>
      <w:pPr>
        <w:spacing w:line="360" w:lineRule="auto"/>
        <w:ind w:firstLine="542" w:firstLineChars="226"/>
        <w:rPr>
          <w:rFonts w:ascii="宋体" w:hAnsi="宋体" w:cs="宋体"/>
          <w:color w:val="auto"/>
          <w:sz w:val="24"/>
          <w:szCs w:val="24"/>
          <w:highlight w:val="none"/>
        </w:rPr>
      </w:pPr>
      <w:bookmarkStart w:id="335" w:name="_Toc14251_WPSOffice_Level1"/>
      <w:bookmarkStart w:id="336" w:name="_Toc22029_WPSOffice_Level1"/>
      <w:bookmarkStart w:id="337" w:name="_Toc11649_WPSOffice_Level1"/>
      <w:r>
        <w:rPr>
          <w:rFonts w:hint="eastAsia" w:ascii="宋体" w:hAnsi="宋体" w:cs="宋体"/>
          <w:color w:val="auto"/>
          <w:sz w:val="24"/>
          <w:szCs w:val="24"/>
          <w:highlight w:val="none"/>
        </w:rPr>
        <w:t>八、合同、信息管理方案；</w:t>
      </w:r>
      <w:bookmarkEnd w:id="335"/>
      <w:bookmarkEnd w:id="336"/>
      <w:bookmarkEnd w:id="337"/>
    </w:p>
    <w:p>
      <w:pPr>
        <w:spacing w:line="360" w:lineRule="auto"/>
        <w:ind w:firstLine="542" w:firstLineChars="226"/>
        <w:rPr>
          <w:rFonts w:ascii="宋体" w:hAnsi="宋体" w:cs="宋体"/>
          <w:color w:val="auto"/>
          <w:sz w:val="24"/>
          <w:szCs w:val="24"/>
          <w:highlight w:val="none"/>
        </w:rPr>
      </w:pPr>
      <w:bookmarkStart w:id="338" w:name="_Toc7947_WPSOffice_Level1"/>
      <w:bookmarkStart w:id="339" w:name="_Toc1732_WPSOffice_Level1"/>
      <w:bookmarkStart w:id="340" w:name="_Toc28276_WPSOffice_Level1"/>
      <w:r>
        <w:rPr>
          <w:rFonts w:hint="eastAsia" w:ascii="宋体" w:hAnsi="宋体" w:cs="宋体"/>
          <w:color w:val="auto"/>
          <w:sz w:val="24"/>
          <w:szCs w:val="24"/>
          <w:highlight w:val="none"/>
        </w:rPr>
        <w:t>九、组织协调内容及措施；</w:t>
      </w:r>
      <w:bookmarkEnd w:id="338"/>
      <w:bookmarkEnd w:id="339"/>
      <w:bookmarkEnd w:id="340"/>
    </w:p>
    <w:p>
      <w:pPr>
        <w:spacing w:line="360" w:lineRule="auto"/>
        <w:ind w:firstLine="542" w:firstLineChars="226"/>
        <w:rPr>
          <w:rFonts w:ascii="宋体" w:hAnsi="宋体" w:cs="宋体"/>
          <w:color w:val="auto"/>
          <w:sz w:val="24"/>
          <w:szCs w:val="24"/>
          <w:highlight w:val="none"/>
        </w:rPr>
      </w:pPr>
      <w:bookmarkStart w:id="341" w:name="_Toc11068_WPSOffice_Level1"/>
      <w:bookmarkStart w:id="342" w:name="_Toc25457_WPSOffice_Level1"/>
      <w:bookmarkStart w:id="343" w:name="_Toc19659_WPSOffice_Level1"/>
      <w:r>
        <w:rPr>
          <w:rFonts w:hint="eastAsia" w:ascii="宋体" w:hAnsi="宋体" w:cs="宋体"/>
          <w:color w:val="auto"/>
          <w:sz w:val="24"/>
          <w:szCs w:val="24"/>
          <w:highlight w:val="none"/>
        </w:rPr>
        <w:t>十、监理工作重点、难点分析；</w:t>
      </w:r>
      <w:bookmarkEnd w:id="341"/>
      <w:bookmarkEnd w:id="342"/>
      <w:bookmarkEnd w:id="343"/>
    </w:p>
    <w:p>
      <w:pPr>
        <w:spacing w:line="360" w:lineRule="auto"/>
        <w:ind w:firstLine="542" w:firstLineChars="226"/>
        <w:rPr>
          <w:rFonts w:ascii="宋体" w:hAnsi="宋体" w:cs="宋体"/>
          <w:color w:val="auto"/>
          <w:sz w:val="24"/>
          <w:szCs w:val="24"/>
          <w:highlight w:val="none"/>
        </w:rPr>
      </w:pPr>
      <w:bookmarkStart w:id="344" w:name="_Toc14736_WPSOffice_Level1"/>
      <w:bookmarkStart w:id="345" w:name="_Toc5284_WPSOffice_Level1"/>
      <w:bookmarkStart w:id="346" w:name="_Toc2936_WPSOffice_Level1"/>
      <w:r>
        <w:rPr>
          <w:rFonts w:hint="eastAsia" w:ascii="宋体" w:hAnsi="宋体" w:cs="宋体"/>
          <w:color w:val="auto"/>
          <w:sz w:val="24"/>
          <w:szCs w:val="24"/>
          <w:highlight w:val="none"/>
        </w:rPr>
        <w:t>十一、对本工程监理的合理化建议。</w:t>
      </w:r>
      <w:bookmarkEnd w:id="344"/>
      <w:bookmarkEnd w:id="345"/>
      <w:bookmarkEnd w:id="346"/>
    </w:p>
    <w:p>
      <w:pPr>
        <w:rPr>
          <w:rFonts w:ascii="宋体" w:hAnsi="宋体" w:cs="宋体"/>
          <w:color w:val="auto"/>
          <w:highlight w:val="none"/>
        </w:rPr>
      </w:pPr>
    </w:p>
    <w:bookmarkEnd w:id="151"/>
    <w:p>
      <w:pPr>
        <w:jc w:val="center"/>
        <w:rPr>
          <w:color w:val="auto"/>
          <w:highlight w:val="none"/>
        </w:rPr>
      </w:pPr>
      <w:r>
        <w:rPr>
          <w:color w:val="auto"/>
          <w:highlight w:val="none"/>
        </w:rPr>
        <w:br w:type="page"/>
      </w:r>
    </w:p>
    <w:p>
      <w:pPr>
        <w:jc w:val="center"/>
        <w:rPr>
          <w:color w:val="auto"/>
          <w:sz w:val="32"/>
          <w:szCs w:val="32"/>
          <w:highlight w:val="none"/>
        </w:rPr>
      </w:pPr>
      <w:r>
        <w:rPr>
          <w:rFonts w:hint="eastAsia"/>
          <w:color w:val="auto"/>
          <w:sz w:val="32"/>
          <w:szCs w:val="32"/>
          <w:highlight w:val="none"/>
        </w:rPr>
        <w:t>七、其他资料</w:t>
      </w:r>
    </w:p>
    <w:p>
      <w:pPr>
        <w:pStyle w:val="14"/>
        <w:spacing w:line="360" w:lineRule="auto"/>
        <w:rPr>
          <w:color w:val="auto"/>
          <w:sz w:val="24"/>
          <w:szCs w:val="24"/>
          <w:highlight w:val="none"/>
        </w:rPr>
      </w:pPr>
    </w:p>
    <w:p>
      <w:pPr>
        <w:pStyle w:val="14"/>
        <w:spacing w:line="360" w:lineRule="auto"/>
        <w:rPr>
          <w:color w:val="auto"/>
          <w:highlight w:val="none"/>
        </w:rPr>
      </w:pPr>
      <w:r>
        <w:rPr>
          <w:rFonts w:hint="eastAsia"/>
          <w:color w:val="auto"/>
          <w:sz w:val="24"/>
          <w:szCs w:val="24"/>
          <w:highlight w:val="none"/>
        </w:rPr>
        <w:t>投标人认为需提供的其他材料。</w:t>
      </w:r>
    </w:p>
    <w:sectPr>
      <w:pgSz w:w="11907" w:h="16840"/>
      <w:pgMar w:top="1134" w:right="1134" w:bottom="1134" w:left="1417" w:header="851"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onsolas">
    <w:panose1 w:val="020B0609020204030204"/>
    <w:charset w:val="00"/>
    <w:family w:val="modern"/>
    <w:pitch w:val="default"/>
    <w:sig w:usb0="E00006FF" w:usb1="0000FCFF" w:usb2="00000001" w:usb3="00000000" w:csb0="6000019F" w:csb1="DFD7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21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pict>
        <v:shape id="_x0000_s1028" o:spid="_x0000_s1028"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17"/>
                  <w:rPr>
                    <w:rStyle w:val="30"/>
                  </w:rPr>
                </w:pPr>
                <w:r>
                  <w:fldChar w:fldCharType="begin"/>
                </w:r>
                <w:r>
                  <w:rPr>
                    <w:rStyle w:val="30"/>
                  </w:rPr>
                  <w:instrText xml:space="preserve">PAGE  </w:instrText>
                </w:r>
                <w:r>
                  <w:fldChar w:fldCharType="separate"/>
                </w:r>
                <w:r>
                  <w:rPr>
                    <w:rStyle w:val="30"/>
                  </w:rPr>
                  <w:t>43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0"/>
      </w:rPr>
    </w:pPr>
    <w:r>
      <w:fldChar w:fldCharType="begin"/>
    </w:r>
    <w:r>
      <w:rPr>
        <w:rStyle w:val="30"/>
      </w:rPr>
      <w:instrText xml:space="preserve">PAGE  </w:instrText>
    </w:r>
    <w:r>
      <w:fldChar w:fldCharType="end"/>
    </w:r>
  </w:p>
  <w:p>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pict>
        <v:shape id="_x0000_s1027" o:spid="_x0000_s1027"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x19wPGQIAACEEAAAOAAAA&#10;AAAAAAEAIAAAAB8BAABkcnMvZTJvRG9jLnhtbFBLBQYAAAAABgAGAFkBAACqBQAAAAA=&#10;">
          <v:path/>
          <v:fill on="f" focussize="0,0"/>
          <v:stroke on="f" weight="0.5pt" joinstyle="miter"/>
          <v:imagedata o:title=""/>
          <o:lock v:ext="edit"/>
          <v:textbox inset="0mm,0mm,0mm,0mm" style="mso-fit-shape-to-text:t;">
            <w:txbxContent>
              <w:p>
                <w:pPr>
                  <w:pStyle w:val="17"/>
                  <w:rPr>
                    <w:rStyle w:val="30"/>
                  </w:rPr>
                </w:pPr>
                <w:r>
                  <w:fldChar w:fldCharType="begin"/>
                </w:r>
                <w:r>
                  <w:rPr>
                    <w:rStyle w:val="30"/>
                  </w:rPr>
                  <w:instrText xml:space="preserve">PAGE  </w:instrText>
                </w:r>
                <w:r>
                  <w:fldChar w:fldCharType="separate"/>
                </w:r>
                <w:r>
                  <w:rPr>
                    <w:rStyle w:val="30"/>
                  </w:rPr>
                  <w:t>64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9266ADE"/>
    <w:multiLevelType w:val="singleLevel"/>
    <w:tmpl w:val="59266AD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dit="trackedChanges"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CA2"/>
    <w:rsid w:val="000012D1"/>
    <w:rsid w:val="00001E59"/>
    <w:rsid w:val="00002851"/>
    <w:rsid w:val="0000470D"/>
    <w:rsid w:val="00005583"/>
    <w:rsid w:val="00006340"/>
    <w:rsid w:val="0000650E"/>
    <w:rsid w:val="00006519"/>
    <w:rsid w:val="000065CC"/>
    <w:rsid w:val="000069EE"/>
    <w:rsid w:val="00010FE9"/>
    <w:rsid w:val="00012213"/>
    <w:rsid w:val="00012638"/>
    <w:rsid w:val="00012A49"/>
    <w:rsid w:val="00014B7B"/>
    <w:rsid w:val="00015D95"/>
    <w:rsid w:val="0002092E"/>
    <w:rsid w:val="00024F55"/>
    <w:rsid w:val="00025E96"/>
    <w:rsid w:val="000263E3"/>
    <w:rsid w:val="000265EE"/>
    <w:rsid w:val="00030E33"/>
    <w:rsid w:val="0003127C"/>
    <w:rsid w:val="0003141A"/>
    <w:rsid w:val="00031C4E"/>
    <w:rsid w:val="000325D0"/>
    <w:rsid w:val="00033C4A"/>
    <w:rsid w:val="0003726F"/>
    <w:rsid w:val="00037759"/>
    <w:rsid w:val="000401D7"/>
    <w:rsid w:val="0004105F"/>
    <w:rsid w:val="000427FE"/>
    <w:rsid w:val="00042918"/>
    <w:rsid w:val="000447DC"/>
    <w:rsid w:val="00045447"/>
    <w:rsid w:val="000458DF"/>
    <w:rsid w:val="00045F27"/>
    <w:rsid w:val="00050540"/>
    <w:rsid w:val="00050590"/>
    <w:rsid w:val="00050D4B"/>
    <w:rsid w:val="00051411"/>
    <w:rsid w:val="000523CE"/>
    <w:rsid w:val="0005310B"/>
    <w:rsid w:val="000541D5"/>
    <w:rsid w:val="00054888"/>
    <w:rsid w:val="00055C0A"/>
    <w:rsid w:val="00055D43"/>
    <w:rsid w:val="00055EF8"/>
    <w:rsid w:val="00057069"/>
    <w:rsid w:val="000579A3"/>
    <w:rsid w:val="00061637"/>
    <w:rsid w:val="00061672"/>
    <w:rsid w:val="00062C2A"/>
    <w:rsid w:val="00062C5E"/>
    <w:rsid w:val="00063628"/>
    <w:rsid w:val="00063D8D"/>
    <w:rsid w:val="00064BC2"/>
    <w:rsid w:val="000665A3"/>
    <w:rsid w:val="00067045"/>
    <w:rsid w:val="000670CB"/>
    <w:rsid w:val="00067127"/>
    <w:rsid w:val="0006799A"/>
    <w:rsid w:val="000702AE"/>
    <w:rsid w:val="000708D2"/>
    <w:rsid w:val="000714A3"/>
    <w:rsid w:val="00071730"/>
    <w:rsid w:val="00071976"/>
    <w:rsid w:val="0007203D"/>
    <w:rsid w:val="00072667"/>
    <w:rsid w:val="0007426C"/>
    <w:rsid w:val="000764CD"/>
    <w:rsid w:val="0008076C"/>
    <w:rsid w:val="000817BF"/>
    <w:rsid w:val="0008208F"/>
    <w:rsid w:val="00083CAF"/>
    <w:rsid w:val="00083E7B"/>
    <w:rsid w:val="0008411E"/>
    <w:rsid w:val="00084A43"/>
    <w:rsid w:val="00084C3B"/>
    <w:rsid w:val="0008509A"/>
    <w:rsid w:val="00090AC0"/>
    <w:rsid w:val="000920A7"/>
    <w:rsid w:val="00094240"/>
    <w:rsid w:val="00095A2F"/>
    <w:rsid w:val="00096681"/>
    <w:rsid w:val="00096AD5"/>
    <w:rsid w:val="00097982"/>
    <w:rsid w:val="000A09C2"/>
    <w:rsid w:val="000A0B42"/>
    <w:rsid w:val="000A2D0B"/>
    <w:rsid w:val="000A38A4"/>
    <w:rsid w:val="000A482E"/>
    <w:rsid w:val="000A5ACB"/>
    <w:rsid w:val="000A5F9A"/>
    <w:rsid w:val="000A644F"/>
    <w:rsid w:val="000B0282"/>
    <w:rsid w:val="000B3A24"/>
    <w:rsid w:val="000B3A48"/>
    <w:rsid w:val="000B5E98"/>
    <w:rsid w:val="000B6668"/>
    <w:rsid w:val="000B70D0"/>
    <w:rsid w:val="000B7264"/>
    <w:rsid w:val="000C0AE2"/>
    <w:rsid w:val="000C0B02"/>
    <w:rsid w:val="000C10DE"/>
    <w:rsid w:val="000C14DF"/>
    <w:rsid w:val="000C273F"/>
    <w:rsid w:val="000C2CC4"/>
    <w:rsid w:val="000C41D5"/>
    <w:rsid w:val="000C524F"/>
    <w:rsid w:val="000C5AB3"/>
    <w:rsid w:val="000C5FDA"/>
    <w:rsid w:val="000C6EC3"/>
    <w:rsid w:val="000C73F3"/>
    <w:rsid w:val="000C7B14"/>
    <w:rsid w:val="000C7C32"/>
    <w:rsid w:val="000D0A5D"/>
    <w:rsid w:val="000D2E5B"/>
    <w:rsid w:val="000D32E4"/>
    <w:rsid w:val="000D4A46"/>
    <w:rsid w:val="000D6BAB"/>
    <w:rsid w:val="000D771A"/>
    <w:rsid w:val="000E2A58"/>
    <w:rsid w:val="000E310C"/>
    <w:rsid w:val="000E3A05"/>
    <w:rsid w:val="000E3B1E"/>
    <w:rsid w:val="000E5F8C"/>
    <w:rsid w:val="000E7161"/>
    <w:rsid w:val="000F00C8"/>
    <w:rsid w:val="000F2160"/>
    <w:rsid w:val="000F2409"/>
    <w:rsid w:val="000F3145"/>
    <w:rsid w:val="000F41F0"/>
    <w:rsid w:val="000F4B93"/>
    <w:rsid w:val="000F4D6F"/>
    <w:rsid w:val="000F6646"/>
    <w:rsid w:val="000F699F"/>
    <w:rsid w:val="000F791D"/>
    <w:rsid w:val="000F7C95"/>
    <w:rsid w:val="001008F6"/>
    <w:rsid w:val="00100D1A"/>
    <w:rsid w:val="00100FBA"/>
    <w:rsid w:val="00101C47"/>
    <w:rsid w:val="0010206A"/>
    <w:rsid w:val="00102380"/>
    <w:rsid w:val="00104217"/>
    <w:rsid w:val="0010455F"/>
    <w:rsid w:val="00107648"/>
    <w:rsid w:val="00111986"/>
    <w:rsid w:val="00111A6D"/>
    <w:rsid w:val="0011311E"/>
    <w:rsid w:val="00113C69"/>
    <w:rsid w:val="001141DC"/>
    <w:rsid w:val="0011425B"/>
    <w:rsid w:val="00116C58"/>
    <w:rsid w:val="00116DA9"/>
    <w:rsid w:val="0012013E"/>
    <w:rsid w:val="00120E46"/>
    <w:rsid w:val="0012100F"/>
    <w:rsid w:val="001212FD"/>
    <w:rsid w:val="00122F94"/>
    <w:rsid w:val="00123049"/>
    <w:rsid w:val="00123B9D"/>
    <w:rsid w:val="001253FB"/>
    <w:rsid w:val="00125A0C"/>
    <w:rsid w:val="00126545"/>
    <w:rsid w:val="0012677A"/>
    <w:rsid w:val="001277C2"/>
    <w:rsid w:val="00130E0E"/>
    <w:rsid w:val="0013119C"/>
    <w:rsid w:val="001348EB"/>
    <w:rsid w:val="00134970"/>
    <w:rsid w:val="00137635"/>
    <w:rsid w:val="001376E5"/>
    <w:rsid w:val="0014205E"/>
    <w:rsid w:val="00142B5D"/>
    <w:rsid w:val="001435F2"/>
    <w:rsid w:val="00143EF6"/>
    <w:rsid w:val="00144C6F"/>
    <w:rsid w:val="00145C5A"/>
    <w:rsid w:val="00145F80"/>
    <w:rsid w:val="00146A44"/>
    <w:rsid w:val="00146BDF"/>
    <w:rsid w:val="00147832"/>
    <w:rsid w:val="00150022"/>
    <w:rsid w:val="001501EA"/>
    <w:rsid w:val="00150D02"/>
    <w:rsid w:val="00151323"/>
    <w:rsid w:val="0015191C"/>
    <w:rsid w:val="00152269"/>
    <w:rsid w:val="001523C1"/>
    <w:rsid w:val="001529DA"/>
    <w:rsid w:val="00155010"/>
    <w:rsid w:val="001556E8"/>
    <w:rsid w:val="00155CFB"/>
    <w:rsid w:val="001571B4"/>
    <w:rsid w:val="001604AF"/>
    <w:rsid w:val="00161B68"/>
    <w:rsid w:val="00162CAD"/>
    <w:rsid w:val="00162D7D"/>
    <w:rsid w:val="0016318C"/>
    <w:rsid w:val="00165710"/>
    <w:rsid w:val="001666F9"/>
    <w:rsid w:val="00166921"/>
    <w:rsid w:val="00167C98"/>
    <w:rsid w:val="001709B6"/>
    <w:rsid w:val="00171EA1"/>
    <w:rsid w:val="001727C0"/>
    <w:rsid w:val="00173372"/>
    <w:rsid w:val="00174367"/>
    <w:rsid w:val="00174DFD"/>
    <w:rsid w:val="001751E5"/>
    <w:rsid w:val="00175AF3"/>
    <w:rsid w:val="00176C82"/>
    <w:rsid w:val="00176FB0"/>
    <w:rsid w:val="00180440"/>
    <w:rsid w:val="001804A8"/>
    <w:rsid w:val="00180A98"/>
    <w:rsid w:val="00183E1D"/>
    <w:rsid w:val="00184EB0"/>
    <w:rsid w:val="001851C1"/>
    <w:rsid w:val="00186194"/>
    <w:rsid w:val="001864AA"/>
    <w:rsid w:val="00186A1B"/>
    <w:rsid w:val="00187CAC"/>
    <w:rsid w:val="0019070B"/>
    <w:rsid w:val="001913F5"/>
    <w:rsid w:val="00192075"/>
    <w:rsid w:val="0019233A"/>
    <w:rsid w:val="0019348E"/>
    <w:rsid w:val="00194410"/>
    <w:rsid w:val="00194F75"/>
    <w:rsid w:val="001A2508"/>
    <w:rsid w:val="001A257A"/>
    <w:rsid w:val="001A400E"/>
    <w:rsid w:val="001A44DA"/>
    <w:rsid w:val="001A5BF0"/>
    <w:rsid w:val="001B07CA"/>
    <w:rsid w:val="001B102A"/>
    <w:rsid w:val="001B12D3"/>
    <w:rsid w:val="001B1575"/>
    <w:rsid w:val="001B15A0"/>
    <w:rsid w:val="001B1A3A"/>
    <w:rsid w:val="001B20A0"/>
    <w:rsid w:val="001B35C9"/>
    <w:rsid w:val="001B3C50"/>
    <w:rsid w:val="001B3FC8"/>
    <w:rsid w:val="001B4FA3"/>
    <w:rsid w:val="001B583D"/>
    <w:rsid w:val="001B5B49"/>
    <w:rsid w:val="001B6FE4"/>
    <w:rsid w:val="001B7455"/>
    <w:rsid w:val="001C077F"/>
    <w:rsid w:val="001C1C96"/>
    <w:rsid w:val="001C1E9B"/>
    <w:rsid w:val="001C2519"/>
    <w:rsid w:val="001C2EB8"/>
    <w:rsid w:val="001C4902"/>
    <w:rsid w:val="001C4BDD"/>
    <w:rsid w:val="001C798D"/>
    <w:rsid w:val="001C7E19"/>
    <w:rsid w:val="001D018D"/>
    <w:rsid w:val="001D0F71"/>
    <w:rsid w:val="001D3627"/>
    <w:rsid w:val="001D54D1"/>
    <w:rsid w:val="001D66DD"/>
    <w:rsid w:val="001D7E12"/>
    <w:rsid w:val="001E0DF5"/>
    <w:rsid w:val="001E58FB"/>
    <w:rsid w:val="001E5CCF"/>
    <w:rsid w:val="001E60C5"/>
    <w:rsid w:val="001E6C2B"/>
    <w:rsid w:val="001E79DA"/>
    <w:rsid w:val="001F001A"/>
    <w:rsid w:val="001F0297"/>
    <w:rsid w:val="001F052F"/>
    <w:rsid w:val="001F08DF"/>
    <w:rsid w:val="001F13F5"/>
    <w:rsid w:val="001F169E"/>
    <w:rsid w:val="001F3C7B"/>
    <w:rsid w:val="001F4649"/>
    <w:rsid w:val="001F470D"/>
    <w:rsid w:val="001F47A1"/>
    <w:rsid w:val="001F50C4"/>
    <w:rsid w:val="001F617D"/>
    <w:rsid w:val="001F63DB"/>
    <w:rsid w:val="001F6E36"/>
    <w:rsid w:val="001F6E4D"/>
    <w:rsid w:val="001F738E"/>
    <w:rsid w:val="001F7CAC"/>
    <w:rsid w:val="00200447"/>
    <w:rsid w:val="00200D54"/>
    <w:rsid w:val="0020156D"/>
    <w:rsid w:val="00201595"/>
    <w:rsid w:val="00202176"/>
    <w:rsid w:val="0020292C"/>
    <w:rsid w:val="002065E1"/>
    <w:rsid w:val="00207A90"/>
    <w:rsid w:val="00207C19"/>
    <w:rsid w:val="00210313"/>
    <w:rsid w:val="002105D4"/>
    <w:rsid w:val="00210C1E"/>
    <w:rsid w:val="002116FA"/>
    <w:rsid w:val="00211ABD"/>
    <w:rsid w:val="00213D42"/>
    <w:rsid w:val="002164BF"/>
    <w:rsid w:val="00222555"/>
    <w:rsid w:val="00224594"/>
    <w:rsid w:val="00224D1F"/>
    <w:rsid w:val="002253AC"/>
    <w:rsid w:val="00226A6B"/>
    <w:rsid w:val="00231E21"/>
    <w:rsid w:val="00232182"/>
    <w:rsid w:val="00233DF6"/>
    <w:rsid w:val="00235CD7"/>
    <w:rsid w:val="00236E6E"/>
    <w:rsid w:val="002372CD"/>
    <w:rsid w:val="00237757"/>
    <w:rsid w:val="0024269F"/>
    <w:rsid w:val="00242FB2"/>
    <w:rsid w:val="002432AC"/>
    <w:rsid w:val="00244ED0"/>
    <w:rsid w:val="00245760"/>
    <w:rsid w:val="00247597"/>
    <w:rsid w:val="00247E4C"/>
    <w:rsid w:val="002519C9"/>
    <w:rsid w:val="00252132"/>
    <w:rsid w:val="0025249E"/>
    <w:rsid w:val="0025433E"/>
    <w:rsid w:val="002543E1"/>
    <w:rsid w:val="00254ECF"/>
    <w:rsid w:val="002559E1"/>
    <w:rsid w:val="00260CD4"/>
    <w:rsid w:val="00261209"/>
    <w:rsid w:val="00262743"/>
    <w:rsid w:val="00264D56"/>
    <w:rsid w:val="002653FF"/>
    <w:rsid w:val="00266A10"/>
    <w:rsid w:val="00266AA2"/>
    <w:rsid w:val="00267845"/>
    <w:rsid w:val="00271AC4"/>
    <w:rsid w:val="00271B1D"/>
    <w:rsid w:val="00273450"/>
    <w:rsid w:val="00273AD4"/>
    <w:rsid w:val="00273C8B"/>
    <w:rsid w:val="00273DF4"/>
    <w:rsid w:val="00274136"/>
    <w:rsid w:val="00274987"/>
    <w:rsid w:val="00274A55"/>
    <w:rsid w:val="002752DD"/>
    <w:rsid w:val="0027594D"/>
    <w:rsid w:val="00275A7E"/>
    <w:rsid w:val="00276D0D"/>
    <w:rsid w:val="00277948"/>
    <w:rsid w:val="00280A65"/>
    <w:rsid w:val="00280C5C"/>
    <w:rsid w:val="00280E55"/>
    <w:rsid w:val="00281225"/>
    <w:rsid w:val="002821E8"/>
    <w:rsid w:val="0028407B"/>
    <w:rsid w:val="00284D04"/>
    <w:rsid w:val="00285256"/>
    <w:rsid w:val="0028747A"/>
    <w:rsid w:val="0029073B"/>
    <w:rsid w:val="002913E3"/>
    <w:rsid w:val="0029140E"/>
    <w:rsid w:val="002923F9"/>
    <w:rsid w:val="00295220"/>
    <w:rsid w:val="00295B05"/>
    <w:rsid w:val="00295DA2"/>
    <w:rsid w:val="00296065"/>
    <w:rsid w:val="002964CB"/>
    <w:rsid w:val="00297807"/>
    <w:rsid w:val="00297850"/>
    <w:rsid w:val="00297E60"/>
    <w:rsid w:val="002A0508"/>
    <w:rsid w:val="002A09A7"/>
    <w:rsid w:val="002A0D09"/>
    <w:rsid w:val="002A13B5"/>
    <w:rsid w:val="002A3995"/>
    <w:rsid w:val="002A3A4E"/>
    <w:rsid w:val="002A3C3D"/>
    <w:rsid w:val="002A77DE"/>
    <w:rsid w:val="002A7A86"/>
    <w:rsid w:val="002B27A1"/>
    <w:rsid w:val="002B56BC"/>
    <w:rsid w:val="002B6610"/>
    <w:rsid w:val="002B7B30"/>
    <w:rsid w:val="002C0829"/>
    <w:rsid w:val="002C173E"/>
    <w:rsid w:val="002C1C2C"/>
    <w:rsid w:val="002C1D5A"/>
    <w:rsid w:val="002C1F29"/>
    <w:rsid w:val="002C3256"/>
    <w:rsid w:val="002C3A28"/>
    <w:rsid w:val="002C56E2"/>
    <w:rsid w:val="002C6155"/>
    <w:rsid w:val="002C734B"/>
    <w:rsid w:val="002C7DDE"/>
    <w:rsid w:val="002D0F05"/>
    <w:rsid w:val="002D14EA"/>
    <w:rsid w:val="002D1C56"/>
    <w:rsid w:val="002D2125"/>
    <w:rsid w:val="002D3C3D"/>
    <w:rsid w:val="002D3CA0"/>
    <w:rsid w:val="002D4F5D"/>
    <w:rsid w:val="002D56D0"/>
    <w:rsid w:val="002D6620"/>
    <w:rsid w:val="002D6A64"/>
    <w:rsid w:val="002D77F3"/>
    <w:rsid w:val="002D7C9E"/>
    <w:rsid w:val="002E0553"/>
    <w:rsid w:val="002E184A"/>
    <w:rsid w:val="002E1D8C"/>
    <w:rsid w:val="002E1E84"/>
    <w:rsid w:val="002E3E15"/>
    <w:rsid w:val="002E473B"/>
    <w:rsid w:val="002E6C0E"/>
    <w:rsid w:val="002F0D96"/>
    <w:rsid w:val="002F1555"/>
    <w:rsid w:val="002F1562"/>
    <w:rsid w:val="002F2420"/>
    <w:rsid w:val="002F2543"/>
    <w:rsid w:val="002F384A"/>
    <w:rsid w:val="002F4342"/>
    <w:rsid w:val="002F4854"/>
    <w:rsid w:val="002F747F"/>
    <w:rsid w:val="002F74A2"/>
    <w:rsid w:val="002F79F1"/>
    <w:rsid w:val="002F7B0E"/>
    <w:rsid w:val="002F7CCD"/>
    <w:rsid w:val="00300680"/>
    <w:rsid w:val="0030099C"/>
    <w:rsid w:val="00300FCC"/>
    <w:rsid w:val="0030163A"/>
    <w:rsid w:val="00301918"/>
    <w:rsid w:val="00302A7F"/>
    <w:rsid w:val="003033D0"/>
    <w:rsid w:val="00304538"/>
    <w:rsid w:val="00304746"/>
    <w:rsid w:val="00305C92"/>
    <w:rsid w:val="00305DAD"/>
    <w:rsid w:val="003062D2"/>
    <w:rsid w:val="003063E5"/>
    <w:rsid w:val="0030674E"/>
    <w:rsid w:val="00306C13"/>
    <w:rsid w:val="00307240"/>
    <w:rsid w:val="00307410"/>
    <w:rsid w:val="0030765D"/>
    <w:rsid w:val="00307770"/>
    <w:rsid w:val="00307C98"/>
    <w:rsid w:val="00315ACD"/>
    <w:rsid w:val="00316507"/>
    <w:rsid w:val="00316D62"/>
    <w:rsid w:val="0031787D"/>
    <w:rsid w:val="00320B3D"/>
    <w:rsid w:val="00324137"/>
    <w:rsid w:val="00325160"/>
    <w:rsid w:val="0032528A"/>
    <w:rsid w:val="0033024B"/>
    <w:rsid w:val="003305C3"/>
    <w:rsid w:val="00333C69"/>
    <w:rsid w:val="003348BC"/>
    <w:rsid w:val="00334908"/>
    <w:rsid w:val="00334D31"/>
    <w:rsid w:val="00335581"/>
    <w:rsid w:val="00337222"/>
    <w:rsid w:val="00337285"/>
    <w:rsid w:val="0033734A"/>
    <w:rsid w:val="00340588"/>
    <w:rsid w:val="003405FD"/>
    <w:rsid w:val="00340859"/>
    <w:rsid w:val="00340A55"/>
    <w:rsid w:val="00341552"/>
    <w:rsid w:val="003447D3"/>
    <w:rsid w:val="003457A4"/>
    <w:rsid w:val="00345C56"/>
    <w:rsid w:val="003464CA"/>
    <w:rsid w:val="0034684A"/>
    <w:rsid w:val="00350EF0"/>
    <w:rsid w:val="00350F8E"/>
    <w:rsid w:val="00351B4E"/>
    <w:rsid w:val="00351C9A"/>
    <w:rsid w:val="0035223F"/>
    <w:rsid w:val="00353093"/>
    <w:rsid w:val="00353AD7"/>
    <w:rsid w:val="00354A6D"/>
    <w:rsid w:val="00354C35"/>
    <w:rsid w:val="0035622E"/>
    <w:rsid w:val="00356330"/>
    <w:rsid w:val="0035683C"/>
    <w:rsid w:val="003575E2"/>
    <w:rsid w:val="0035771F"/>
    <w:rsid w:val="00357B72"/>
    <w:rsid w:val="003610C4"/>
    <w:rsid w:val="0036463C"/>
    <w:rsid w:val="00365C39"/>
    <w:rsid w:val="00365C7E"/>
    <w:rsid w:val="00366A2D"/>
    <w:rsid w:val="003672C2"/>
    <w:rsid w:val="003673F2"/>
    <w:rsid w:val="0036787A"/>
    <w:rsid w:val="00367941"/>
    <w:rsid w:val="00370B63"/>
    <w:rsid w:val="00370EEF"/>
    <w:rsid w:val="0037101A"/>
    <w:rsid w:val="003717D6"/>
    <w:rsid w:val="00371D13"/>
    <w:rsid w:val="00372ED3"/>
    <w:rsid w:val="003751F4"/>
    <w:rsid w:val="00376889"/>
    <w:rsid w:val="003803C0"/>
    <w:rsid w:val="00380A4D"/>
    <w:rsid w:val="00380E8B"/>
    <w:rsid w:val="00381CB5"/>
    <w:rsid w:val="00381E79"/>
    <w:rsid w:val="00382C6C"/>
    <w:rsid w:val="00384402"/>
    <w:rsid w:val="003846F8"/>
    <w:rsid w:val="0038644E"/>
    <w:rsid w:val="00386FB1"/>
    <w:rsid w:val="00390CC4"/>
    <w:rsid w:val="0039120B"/>
    <w:rsid w:val="003912C7"/>
    <w:rsid w:val="00392FBB"/>
    <w:rsid w:val="003951CA"/>
    <w:rsid w:val="003955CB"/>
    <w:rsid w:val="00397751"/>
    <w:rsid w:val="003A025E"/>
    <w:rsid w:val="003A0870"/>
    <w:rsid w:val="003A091A"/>
    <w:rsid w:val="003A0D82"/>
    <w:rsid w:val="003A15A6"/>
    <w:rsid w:val="003A1A99"/>
    <w:rsid w:val="003A24C2"/>
    <w:rsid w:val="003A35F4"/>
    <w:rsid w:val="003A3CC1"/>
    <w:rsid w:val="003A454D"/>
    <w:rsid w:val="003A47AD"/>
    <w:rsid w:val="003A50E1"/>
    <w:rsid w:val="003A5D6F"/>
    <w:rsid w:val="003A6363"/>
    <w:rsid w:val="003A64CB"/>
    <w:rsid w:val="003A6D25"/>
    <w:rsid w:val="003B1248"/>
    <w:rsid w:val="003B14DC"/>
    <w:rsid w:val="003B1C6B"/>
    <w:rsid w:val="003B2A9B"/>
    <w:rsid w:val="003B3148"/>
    <w:rsid w:val="003B5D42"/>
    <w:rsid w:val="003B60F5"/>
    <w:rsid w:val="003B71C7"/>
    <w:rsid w:val="003C3563"/>
    <w:rsid w:val="003C37DC"/>
    <w:rsid w:val="003C3E2D"/>
    <w:rsid w:val="003C523E"/>
    <w:rsid w:val="003C59B0"/>
    <w:rsid w:val="003C5C9C"/>
    <w:rsid w:val="003C71C4"/>
    <w:rsid w:val="003D1EB1"/>
    <w:rsid w:val="003D2077"/>
    <w:rsid w:val="003D2A56"/>
    <w:rsid w:val="003D433D"/>
    <w:rsid w:val="003D507E"/>
    <w:rsid w:val="003D524E"/>
    <w:rsid w:val="003D573E"/>
    <w:rsid w:val="003D7511"/>
    <w:rsid w:val="003E0576"/>
    <w:rsid w:val="003E0F3E"/>
    <w:rsid w:val="003E1967"/>
    <w:rsid w:val="003E20FC"/>
    <w:rsid w:val="003E2295"/>
    <w:rsid w:val="003E2FA6"/>
    <w:rsid w:val="003E42E1"/>
    <w:rsid w:val="003E4CCF"/>
    <w:rsid w:val="003E6399"/>
    <w:rsid w:val="003E73B1"/>
    <w:rsid w:val="003F0FBF"/>
    <w:rsid w:val="003F1E4F"/>
    <w:rsid w:val="003F5F88"/>
    <w:rsid w:val="003F65BC"/>
    <w:rsid w:val="003F799B"/>
    <w:rsid w:val="003F79E5"/>
    <w:rsid w:val="003F7AF5"/>
    <w:rsid w:val="00400879"/>
    <w:rsid w:val="00402D3D"/>
    <w:rsid w:val="004040DA"/>
    <w:rsid w:val="00404534"/>
    <w:rsid w:val="00404D27"/>
    <w:rsid w:val="0040731F"/>
    <w:rsid w:val="00407DB0"/>
    <w:rsid w:val="0041068A"/>
    <w:rsid w:val="00410873"/>
    <w:rsid w:val="004116C5"/>
    <w:rsid w:val="00413A79"/>
    <w:rsid w:val="00413EDD"/>
    <w:rsid w:val="00413F16"/>
    <w:rsid w:val="00414BDD"/>
    <w:rsid w:val="0041553F"/>
    <w:rsid w:val="00415752"/>
    <w:rsid w:val="00416486"/>
    <w:rsid w:val="00416BDC"/>
    <w:rsid w:val="00421D8F"/>
    <w:rsid w:val="0042383F"/>
    <w:rsid w:val="004241CF"/>
    <w:rsid w:val="00425B45"/>
    <w:rsid w:val="00427570"/>
    <w:rsid w:val="004304CD"/>
    <w:rsid w:val="00430B00"/>
    <w:rsid w:val="0043114A"/>
    <w:rsid w:val="00431F13"/>
    <w:rsid w:val="00431F3E"/>
    <w:rsid w:val="00432A35"/>
    <w:rsid w:val="00432F5B"/>
    <w:rsid w:val="004332C6"/>
    <w:rsid w:val="00434B1C"/>
    <w:rsid w:val="004354AD"/>
    <w:rsid w:val="004357EE"/>
    <w:rsid w:val="00436114"/>
    <w:rsid w:val="00436658"/>
    <w:rsid w:val="00436897"/>
    <w:rsid w:val="004377B8"/>
    <w:rsid w:val="004406A4"/>
    <w:rsid w:val="004415D4"/>
    <w:rsid w:val="004436C3"/>
    <w:rsid w:val="0044401B"/>
    <w:rsid w:val="0044421D"/>
    <w:rsid w:val="004459DE"/>
    <w:rsid w:val="004468E1"/>
    <w:rsid w:val="0044763C"/>
    <w:rsid w:val="00447783"/>
    <w:rsid w:val="004514B5"/>
    <w:rsid w:val="00453435"/>
    <w:rsid w:val="00454852"/>
    <w:rsid w:val="00454BE1"/>
    <w:rsid w:val="004565EC"/>
    <w:rsid w:val="0045670F"/>
    <w:rsid w:val="00457183"/>
    <w:rsid w:val="004611C6"/>
    <w:rsid w:val="00461714"/>
    <w:rsid w:val="0046260C"/>
    <w:rsid w:val="004639F8"/>
    <w:rsid w:val="00465347"/>
    <w:rsid w:val="00466148"/>
    <w:rsid w:val="00466D61"/>
    <w:rsid w:val="00466D76"/>
    <w:rsid w:val="00467AA5"/>
    <w:rsid w:val="00470249"/>
    <w:rsid w:val="00470B3E"/>
    <w:rsid w:val="004729BD"/>
    <w:rsid w:val="00473C4F"/>
    <w:rsid w:val="004753B7"/>
    <w:rsid w:val="004754BE"/>
    <w:rsid w:val="00475922"/>
    <w:rsid w:val="00476609"/>
    <w:rsid w:val="00477A69"/>
    <w:rsid w:val="004800D7"/>
    <w:rsid w:val="00482214"/>
    <w:rsid w:val="00483805"/>
    <w:rsid w:val="00483B89"/>
    <w:rsid w:val="00484E5B"/>
    <w:rsid w:val="00486EF9"/>
    <w:rsid w:val="004875F0"/>
    <w:rsid w:val="004908EB"/>
    <w:rsid w:val="00490C3D"/>
    <w:rsid w:val="00490FC6"/>
    <w:rsid w:val="004923F2"/>
    <w:rsid w:val="004929F3"/>
    <w:rsid w:val="00492EED"/>
    <w:rsid w:val="00494116"/>
    <w:rsid w:val="00494903"/>
    <w:rsid w:val="00494BAC"/>
    <w:rsid w:val="00494EE2"/>
    <w:rsid w:val="00495ECD"/>
    <w:rsid w:val="0049695A"/>
    <w:rsid w:val="004969C7"/>
    <w:rsid w:val="004A01F6"/>
    <w:rsid w:val="004A0428"/>
    <w:rsid w:val="004A3E41"/>
    <w:rsid w:val="004A74A4"/>
    <w:rsid w:val="004B0494"/>
    <w:rsid w:val="004B061A"/>
    <w:rsid w:val="004B0D01"/>
    <w:rsid w:val="004B1C8F"/>
    <w:rsid w:val="004B2034"/>
    <w:rsid w:val="004B2750"/>
    <w:rsid w:val="004B3DA3"/>
    <w:rsid w:val="004B681F"/>
    <w:rsid w:val="004B792C"/>
    <w:rsid w:val="004C0FCD"/>
    <w:rsid w:val="004C1507"/>
    <w:rsid w:val="004C298C"/>
    <w:rsid w:val="004C2C64"/>
    <w:rsid w:val="004C37D0"/>
    <w:rsid w:val="004C4921"/>
    <w:rsid w:val="004C4C8D"/>
    <w:rsid w:val="004C5BE2"/>
    <w:rsid w:val="004C5E9F"/>
    <w:rsid w:val="004C73CE"/>
    <w:rsid w:val="004D010A"/>
    <w:rsid w:val="004D0AE1"/>
    <w:rsid w:val="004D0D6D"/>
    <w:rsid w:val="004D1DBC"/>
    <w:rsid w:val="004D1DC6"/>
    <w:rsid w:val="004D3B20"/>
    <w:rsid w:val="004D3C30"/>
    <w:rsid w:val="004D3EF2"/>
    <w:rsid w:val="004D4176"/>
    <w:rsid w:val="004D5111"/>
    <w:rsid w:val="004D612B"/>
    <w:rsid w:val="004D6468"/>
    <w:rsid w:val="004D66DA"/>
    <w:rsid w:val="004D6EC3"/>
    <w:rsid w:val="004D7F46"/>
    <w:rsid w:val="004E0FEF"/>
    <w:rsid w:val="004E2445"/>
    <w:rsid w:val="004E37A8"/>
    <w:rsid w:val="004E3BFE"/>
    <w:rsid w:val="004E6D0A"/>
    <w:rsid w:val="004E786A"/>
    <w:rsid w:val="004F1A5D"/>
    <w:rsid w:val="004F2A25"/>
    <w:rsid w:val="004F68BC"/>
    <w:rsid w:val="004F7164"/>
    <w:rsid w:val="00500AA3"/>
    <w:rsid w:val="005017EB"/>
    <w:rsid w:val="00502C5C"/>
    <w:rsid w:val="005036F4"/>
    <w:rsid w:val="005048D9"/>
    <w:rsid w:val="0050548C"/>
    <w:rsid w:val="0050685F"/>
    <w:rsid w:val="00511B62"/>
    <w:rsid w:val="00512ED6"/>
    <w:rsid w:val="00513770"/>
    <w:rsid w:val="00514BF7"/>
    <w:rsid w:val="00515A90"/>
    <w:rsid w:val="00515BB3"/>
    <w:rsid w:val="00516523"/>
    <w:rsid w:val="00516564"/>
    <w:rsid w:val="005165CE"/>
    <w:rsid w:val="00517CEE"/>
    <w:rsid w:val="00521296"/>
    <w:rsid w:val="005217C2"/>
    <w:rsid w:val="0052196B"/>
    <w:rsid w:val="0052220C"/>
    <w:rsid w:val="00522B91"/>
    <w:rsid w:val="00523B06"/>
    <w:rsid w:val="0052460A"/>
    <w:rsid w:val="00525FA3"/>
    <w:rsid w:val="005268F2"/>
    <w:rsid w:val="005269BF"/>
    <w:rsid w:val="0052755F"/>
    <w:rsid w:val="00530309"/>
    <w:rsid w:val="00530AB9"/>
    <w:rsid w:val="00531991"/>
    <w:rsid w:val="00531FDE"/>
    <w:rsid w:val="00532C7B"/>
    <w:rsid w:val="005331F1"/>
    <w:rsid w:val="00533407"/>
    <w:rsid w:val="00534F38"/>
    <w:rsid w:val="00535A00"/>
    <w:rsid w:val="005362C1"/>
    <w:rsid w:val="00536FAC"/>
    <w:rsid w:val="00537072"/>
    <w:rsid w:val="00537901"/>
    <w:rsid w:val="005406BC"/>
    <w:rsid w:val="005408EE"/>
    <w:rsid w:val="005414B3"/>
    <w:rsid w:val="005418FE"/>
    <w:rsid w:val="00543360"/>
    <w:rsid w:val="00543A50"/>
    <w:rsid w:val="0054501D"/>
    <w:rsid w:val="00545166"/>
    <w:rsid w:val="005459D6"/>
    <w:rsid w:val="00545AFF"/>
    <w:rsid w:val="00545C36"/>
    <w:rsid w:val="005472CB"/>
    <w:rsid w:val="0055147B"/>
    <w:rsid w:val="0055316D"/>
    <w:rsid w:val="0055337B"/>
    <w:rsid w:val="00553E77"/>
    <w:rsid w:val="00554715"/>
    <w:rsid w:val="0055493F"/>
    <w:rsid w:val="00556F8C"/>
    <w:rsid w:val="0055712F"/>
    <w:rsid w:val="00561353"/>
    <w:rsid w:val="00561F90"/>
    <w:rsid w:val="005624EB"/>
    <w:rsid w:val="005630C3"/>
    <w:rsid w:val="005639FA"/>
    <w:rsid w:val="00563A9A"/>
    <w:rsid w:val="00564AF4"/>
    <w:rsid w:val="00564FFE"/>
    <w:rsid w:val="005653CA"/>
    <w:rsid w:val="00565495"/>
    <w:rsid w:val="00565B07"/>
    <w:rsid w:val="00566598"/>
    <w:rsid w:val="00566918"/>
    <w:rsid w:val="00566939"/>
    <w:rsid w:val="00567B78"/>
    <w:rsid w:val="00567E6A"/>
    <w:rsid w:val="00570FDE"/>
    <w:rsid w:val="005714A4"/>
    <w:rsid w:val="005758FA"/>
    <w:rsid w:val="005765AD"/>
    <w:rsid w:val="00576A07"/>
    <w:rsid w:val="005806D1"/>
    <w:rsid w:val="00580B61"/>
    <w:rsid w:val="005815F6"/>
    <w:rsid w:val="00583207"/>
    <w:rsid w:val="0058596E"/>
    <w:rsid w:val="00585BB6"/>
    <w:rsid w:val="00585F0F"/>
    <w:rsid w:val="0058639B"/>
    <w:rsid w:val="00586502"/>
    <w:rsid w:val="00586628"/>
    <w:rsid w:val="005866DB"/>
    <w:rsid w:val="00590AC4"/>
    <w:rsid w:val="005910C3"/>
    <w:rsid w:val="00591D31"/>
    <w:rsid w:val="00592214"/>
    <w:rsid w:val="00594047"/>
    <w:rsid w:val="005969A5"/>
    <w:rsid w:val="005A05BD"/>
    <w:rsid w:val="005A10B8"/>
    <w:rsid w:val="005A1CEF"/>
    <w:rsid w:val="005A2199"/>
    <w:rsid w:val="005A2B30"/>
    <w:rsid w:val="005A33BF"/>
    <w:rsid w:val="005A3F9A"/>
    <w:rsid w:val="005A43FC"/>
    <w:rsid w:val="005A4FBF"/>
    <w:rsid w:val="005A5CB5"/>
    <w:rsid w:val="005A6052"/>
    <w:rsid w:val="005A6E77"/>
    <w:rsid w:val="005A7ADB"/>
    <w:rsid w:val="005B0749"/>
    <w:rsid w:val="005B1AB0"/>
    <w:rsid w:val="005B3CD7"/>
    <w:rsid w:val="005B56AC"/>
    <w:rsid w:val="005B585F"/>
    <w:rsid w:val="005B59E1"/>
    <w:rsid w:val="005B5BFB"/>
    <w:rsid w:val="005B6241"/>
    <w:rsid w:val="005B6582"/>
    <w:rsid w:val="005C0233"/>
    <w:rsid w:val="005C2975"/>
    <w:rsid w:val="005C2E2A"/>
    <w:rsid w:val="005C35C7"/>
    <w:rsid w:val="005C3A2F"/>
    <w:rsid w:val="005C3C9C"/>
    <w:rsid w:val="005C4542"/>
    <w:rsid w:val="005C47D1"/>
    <w:rsid w:val="005C5ACD"/>
    <w:rsid w:val="005C6A56"/>
    <w:rsid w:val="005D0D1C"/>
    <w:rsid w:val="005D1478"/>
    <w:rsid w:val="005D2447"/>
    <w:rsid w:val="005D24D3"/>
    <w:rsid w:val="005D2730"/>
    <w:rsid w:val="005D3113"/>
    <w:rsid w:val="005D369C"/>
    <w:rsid w:val="005D4742"/>
    <w:rsid w:val="005D47AA"/>
    <w:rsid w:val="005D589C"/>
    <w:rsid w:val="005D5CD1"/>
    <w:rsid w:val="005D6DD5"/>
    <w:rsid w:val="005E0444"/>
    <w:rsid w:val="005E09E9"/>
    <w:rsid w:val="005E24E7"/>
    <w:rsid w:val="005E2726"/>
    <w:rsid w:val="005E3CB3"/>
    <w:rsid w:val="005E6585"/>
    <w:rsid w:val="005E7477"/>
    <w:rsid w:val="005E77B8"/>
    <w:rsid w:val="005F03B8"/>
    <w:rsid w:val="005F1FAA"/>
    <w:rsid w:val="005F2590"/>
    <w:rsid w:val="005F265A"/>
    <w:rsid w:val="005F2AF7"/>
    <w:rsid w:val="005F3AD3"/>
    <w:rsid w:val="005F4952"/>
    <w:rsid w:val="005F6781"/>
    <w:rsid w:val="0060416D"/>
    <w:rsid w:val="006045DC"/>
    <w:rsid w:val="00604CA5"/>
    <w:rsid w:val="006051FC"/>
    <w:rsid w:val="006054B9"/>
    <w:rsid w:val="0060594C"/>
    <w:rsid w:val="006062E7"/>
    <w:rsid w:val="0061001D"/>
    <w:rsid w:val="0061393D"/>
    <w:rsid w:val="00614BB1"/>
    <w:rsid w:val="006152BC"/>
    <w:rsid w:val="006205C1"/>
    <w:rsid w:val="00620DDF"/>
    <w:rsid w:val="00620E9C"/>
    <w:rsid w:val="0062134C"/>
    <w:rsid w:val="0062186B"/>
    <w:rsid w:val="00625932"/>
    <w:rsid w:val="0062635E"/>
    <w:rsid w:val="006303FC"/>
    <w:rsid w:val="00630460"/>
    <w:rsid w:val="00631B38"/>
    <w:rsid w:val="00631ED4"/>
    <w:rsid w:val="00632B88"/>
    <w:rsid w:val="00635A74"/>
    <w:rsid w:val="00636DF7"/>
    <w:rsid w:val="00636F84"/>
    <w:rsid w:val="00640C27"/>
    <w:rsid w:val="0064163D"/>
    <w:rsid w:val="00641F2A"/>
    <w:rsid w:val="00642023"/>
    <w:rsid w:val="006426D2"/>
    <w:rsid w:val="006428DD"/>
    <w:rsid w:val="00642A8C"/>
    <w:rsid w:val="006434F2"/>
    <w:rsid w:val="006434F6"/>
    <w:rsid w:val="006446F7"/>
    <w:rsid w:val="0064505F"/>
    <w:rsid w:val="00646AA9"/>
    <w:rsid w:val="00653F00"/>
    <w:rsid w:val="00654882"/>
    <w:rsid w:val="00655D1B"/>
    <w:rsid w:val="00663E9A"/>
    <w:rsid w:val="0066502D"/>
    <w:rsid w:val="006658DD"/>
    <w:rsid w:val="00665B2E"/>
    <w:rsid w:val="006662FF"/>
    <w:rsid w:val="0066704D"/>
    <w:rsid w:val="006675E5"/>
    <w:rsid w:val="00674AFD"/>
    <w:rsid w:val="00675C1A"/>
    <w:rsid w:val="0067609E"/>
    <w:rsid w:val="00677C72"/>
    <w:rsid w:val="00680355"/>
    <w:rsid w:val="00680B60"/>
    <w:rsid w:val="00681ACA"/>
    <w:rsid w:val="0068308E"/>
    <w:rsid w:val="00684F9F"/>
    <w:rsid w:val="00686691"/>
    <w:rsid w:val="00686D5C"/>
    <w:rsid w:val="006871C8"/>
    <w:rsid w:val="006874C8"/>
    <w:rsid w:val="00690377"/>
    <w:rsid w:val="006903ED"/>
    <w:rsid w:val="00691561"/>
    <w:rsid w:val="00691929"/>
    <w:rsid w:val="00691CA2"/>
    <w:rsid w:val="00691CF8"/>
    <w:rsid w:val="006923E3"/>
    <w:rsid w:val="00692EE6"/>
    <w:rsid w:val="006930DB"/>
    <w:rsid w:val="00693184"/>
    <w:rsid w:val="006959FD"/>
    <w:rsid w:val="00695EE5"/>
    <w:rsid w:val="00697D88"/>
    <w:rsid w:val="006A0813"/>
    <w:rsid w:val="006A116C"/>
    <w:rsid w:val="006A3A01"/>
    <w:rsid w:val="006A3A8F"/>
    <w:rsid w:val="006A6D49"/>
    <w:rsid w:val="006A74DC"/>
    <w:rsid w:val="006A7732"/>
    <w:rsid w:val="006B0C5B"/>
    <w:rsid w:val="006B0EF1"/>
    <w:rsid w:val="006B0F6A"/>
    <w:rsid w:val="006B1153"/>
    <w:rsid w:val="006B12E8"/>
    <w:rsid w:val="006B3950"/>
    <w:rsid w:val="006B3D18"/>
    <w:rsid w:val="006B5AC6"/>
    <w:rsid w:val="006B5F86"/>
    <w:rsid w:val="006B64C8"/>
    <w:rsid w:val="006B6A50"/>
    <w:rsid w:val="006B6FAD"/>
    <w:rsid w:val="006C06E0"/>
    <w:rsid w:val="006C0AA0"/>
    <w:rsid w:val="006C268B"/>
    <w:rsid w:val="006C4B91"/>
    <w:rsid w:val="006C4E1D"/>
    <w:rsid w:val="006C61AC"/>
    <w:rsid w:val="006C6A34"/>
    <w:rsid w:val="006D0BBD"/>
    <w:rsid w:val="006D4CFE"/>
    <w:rsid w:val="006D5402"/>
    <w:rsid w:val="006D5D8E"/>
    <w:rsid w:val="006E0040"/>
    <w:rsid w:val="006E0171"/>
    <w:rsid w:val="006E10A5"/>
    <w:rsid w:val="006E29A0"/>
    <w:rsid w:val="006E60A8"/>
    <w:rsid w:val="006E6C7A"/>
    <w:rsid w:val="006E7C47"/>
    <w:rsid w:val="006F02C4"/>
    <w:rsid w:val="006F0470"/>
    <w:rsid w:val="006F061C"/>
    <w:rsid w:val="006F0645"/>
    <w:rsid w:val="006F1254"/>
    <w:rsid w:val="006F23B7"/>
    <w:rsid w:val="006F2B18"/>
    <w:rsid w:val="006F353A"/>
    <w:rsid w:val="006F3562"/>
    <w:rsid w:val="006F3D31"/>
    <w:rsid w:val="006F4AF9"/>
    <w:rsid w:val="006F4E75"/>
    <w:rsid w:val="006F53B4"/>
    <w:rsid w:val="006F6D5B"/>
    <w:rsid w:val="006F7A72"/>
    <w:rsid w:val="006F7CD7"/>
    <w:rsid w:val="007006F3"/>
    <w:rsid w:val="007014C2"/>
    <w:rsid w:val="00703813"/>
    <w:rsid w:val="00704522"/>
    <w:rsid w:val="0070462D"/>
    <w:rsid w:val="007053E9"/>
    <w:rsid w:val="0070562F"/>
    <w:rsid w:val="00705814"/>
    <w:rsid w:val="007067FB"/>
    <w:rsid w:val="00706849"/>
    <w:rsid w:val="00706C36"/>
    <w:rsid w:val="007137E9"/>
    <w:rsid w:val="0071427D"/>
    <w:rsid w:val="0071440D"/>
    <w:rsid w:val="00714C85"/>
    <w:rsid w:val="00716234"/>
    <w:rsid w:val="007174DA"/>
    <w:rsid w:val="00717527"/>
    <w:rsid w:val="00717835"/>
    <w:rsid w:val="00721432"/>
    <w:rsid w:val="00722658"/>
    <w:rsid w:val="00724190"/>
    <w:rsid w:val="007247FE"/>
    <w:rsid w:val="00724CC6"/>
    <w:rsid w:val="00726F67"/>
    <w:rsid w:val="00727A9B"/>
    <w:rsid w:val="00732AAC"/>
    <w:rsid w:val="0073346F"/>
    <w:rsid w:val="007372EB"/>
    <w:rsid w:val="0073792E"/>
    <w:rsid w:val="007379E2"/>
    <w:rsid w:val="007408CE"/>
    <w:rsid w:val="007417D2"/>
    <w:rsid w:val="007422D0"/>
    <w:rsid w:val="00742565"/>
    <w:rsid w:val="00742BE4"/>
    <w:rsid w:val="007435DA"/>
    <w:rsid w:val="007448C0"/>
    <w:rsid w:val="00745B4B"/>
    <w:rsid w:val="00745DB4"/>
    <w:rsid w:val="00745E4A"/>
    <w:rsid w:val="00752292"/>
    <w:rsid w:val="00754024"/>
    <w:rsid w:val="0075507A"/>
    <w:rsid w:val="007557E1"/>
    <w:rsid w:val="007566E4"/>
    <w:rsid w:val="00757E4D"/>
    <w:rsid w:val="007607C3"/>
    <w:rsid w:val="007613BD"/>
    <w:rsid w:val="00763F20"/>
    <w:rsid w:val="00764787"/>
    <w:rsid w:val="007647D6"/>
    <w:rsid w:val="00770270"/>
    <w:rsid w:val="007705F7"/>
    <w:rsid w:val="00773C53"/>
    <w:rsid w:val="00774C77"/>
    <w:rsid w:val="007751A6"/>
    <w:rsid w:val="0077545C"/>
    <w:rsid w:val="00775865"/>
    <w:rsid w:val="007758CB"/>
    <w:rsid w:val="00775EC4"/>
    <w:rsid w:val="00775FBC"/>
    <w:rsid w:val="007760EA"/>
    <w:rsid w:val="00780962"/>
    <w:rsid w:val="0078366D"/>
    <w:rsid w:val="00783C51"/>
    <w:rsid w:val="00784E53"/>
    <w:rsid w:val="00785816"/>
    <w:rsid w:val="00785C56"/>
    <w:rsid w:val="007860A2"/>
    <w:rsid w:val="00787664"/>
    <w:rsid w:val="00790F84"/>
    <w:rsid w:val="00792254"/>
    <w:rsid w:val="00793A53"/>
    <w:rsid w:val="00793EA8"/>
    <w:rsid w:val="0079520A"/>
    <w:rsid w:val="00795A4D"/>
    <w:rsid w:val="00797606"/>
    <w:rsid w:val="007A3D93"/>
    <w:rsid w:val="007A58C2"/>
    <w:rsid w:val="007A708D"/>
    <w:rsid w:val="007A7ABB"/>
    <w:rsid w:val="007B0ABF"/>
    <w:rsid w:val="007B15CF"/>
    <w:rsid w:val="007B3129"/>
    <w:rsid w:val="007B31D3"/>
    <w:rsid w:val="007B40E4"/>
    <w:rsid w:val="007B54EA"/>
    <w:rsid w:val="007B5E85"/>
    <w:rsid w:val="007B6D2A"/>
    <w:rsid w:val="007B753F"/>
    <w:rsid w:val="007C361B"/>
    <w:rsid w:val="007C50D8"/>
    <w:rsid w:val="007C5E5A"/>
    <w:rsid w:val="007C7125"/>
    <w:rsid w:val="007D0165"/>
    <w:rsid w:val="007D0218"/>
    <w:rsid w:val="007D0542"/>
    <w:rsid w:val="007D1093"/>
    <w:rsid w:val="007D587A"/>
    <w:rsid w:val="007D5A3D"/>
    <w:rsid w:val="007D76B8"/>
    <w:rsid w:val="007D7A2A"/>
    <w:rsid w:val="007E173E"/>
    <w:rsid w:val="007E3938"/>
    <w:rsid w:val="007E5B8C"/>
    <w:rsid w:val="007E7680"/>
    <w:rsid w:val="007F0ECE"/>
    <w:rsid w:val="007F2F0B"/>
    <w:rsid w:val="007F3091"/>
    <w:rsid w:val="007F3E8E"/>
    <w:rsid w:val="007F52D1"/>
    <w:rsid w:val="007F5D99"/>
    <w:rsid w:val="007F6138"/>
    <w:rsid w:val="007F7816"/>
    <w:rsid w:val="008000AF"/>
    <w:rsid w:val="00800932"/>
    <w:rsid w:val="0080353E"/>
    <w:rsid w:val="00804C4E"/>
    <w:rsid w:val="00804CE6"/>
    <w:rsid w:val="00806835"/>
    <w:rsid w:val="00810114"/>
    <w:rsid w:val="008101C0"/>
    <w:rsid w:val="0081028F"/>
    <w:rsid w:val="00810A47"/>
    <w:rsid w:val="008133A2"/>
    <w:rsid w:val="008145E6"/>
    <w:rsid w:val="00816726"/>
    <w:rsid w:val="00816BDC"/>
    <w:rsid w:val="00816CCA"/>
    <w:rsid w:val="008176CF"/>
    <w:rsid w:val="008212CF"/>
    <w:rsid w:val="008218EB"/>
    <w:rsid w:val="00821BAF"/>
    <w:rsid w:val="00822830"/>
    <w:rsid w:val="00824D75"/>
    <w:rsid w:val="00824DFB"/>
    <w:rsid w:val="00825347"/>
    <w:rsid w:val="0082589D"/>
    <w:rsid w:val="00826779"/>
    <w:rsid w:val="008274D9"/>
    <w:rsid w:val="00833571"/>
    <w:rsid w:val="008348D3"/>
    <w:rsid w:val="00834E97"/>
    <w:rsid w:val="008350E4"/>
    <w:rsid w:val="00835C35"/>
    <w:rsid w:val="008362F4"/>
    <w:rsid w:val="008363A1"/>
    <w:rsid w:val="00837A2C"/>
    <w:rsid w:val="00837C8D"/>
    <w:rsid w:val="00841152"/>
    <w:rsid w:val="00841300"/>
    <w:rsid w:val="00841849"/>
    <w:rsid w:val="008427F3"/>
    <w:rsid w:val="00842B13"/>
    <w:rsid w:val="00843F98"/>
    <w:rsid w:val="00845EC0"/>
    <w:rsid w:val="0084606F"/>
    <w:rsid w:val="00847F5E"/>
    <w:rsid w:val="008501F4"/>
    <w:rsid w:val="00850EF5"/>
    <w:rsid w:val="008513DB"/>
    <w:rsid w:val="00852D6A"/>
    <w:rsid w:val="008547A8"/>
    <w:rsid w:val="008567DA"/>
    <w:rsid w:val="00857B0A"/>
    <w:rsid w:val="008607AA"/>
    <w:rsid w:val="008612C6"/>
    <w:rsid w:val="00861792"/>
    <w:rsid w:val="00861D43"/>
    <w:rsid w:val="00861F37"/>
    <w:rsid w:val="00862539"/>
    <w:rsid w:val="00862631"/>
    <w:rsid w:val="008662BF"/>
    <w:rsid w:val="008670BA"/>
    <w:rsid w:val="00870314"/>
    <w:rsid w:val="00871BB1"/>
    <w:rsid w:val="0087490E"/>
    <w:rsid w:val="00876BF0"/>
    <w:rsid w:val="0087717B"/>
    <w:rsid w:val="00877B2B"/>
    <w:rsid w:val="008814E2"/>
    <w:rsid w:val="00882125"/>
    <w:rsid w:val="008828CF"/>
    <w:rsid w:val="00884C00"/>
    <w:rsid w:val="00886156"/>
    <w:rsid w:val="00887DAE"/>
    <w:rsid w:val="008924C3"/>
    <w:rsid w:val="00892961"/>
    <w:rsid w:val="008930DE"/>
    <w:rsid w:val="008932D5"/>
    <w:rsid w:val="0089380D"/>
    <w:rsid w:val="00893C6D"/>
    <w:rsid w:val="00893D00"/>
    <w:rsid w:val="00894082"/>
    <w:rsid w:val="008956B2"/>
    <w:rsid w:val="00895AC4"/>
    <w:rsid w:val="008962F6"/>
    <w:rsid w:val="008965AB"/>
    <w:rsid w:val="00897BDD"/>
    <w:rsid w:val="008A01C1"/>
    <w:rsid w:val="008A0DAA"/>
    <w:rsid w:val="008A2371"/>
    <w:rsid w:val="008A31D4"/>
    <w:rsid w:val="008A5130"/>
    <w:rsid w:val="008A64F7"/>
    <w:rsid w:val="008B099E"/>
    <w:rsid w:val="008B0E05"/>
    <w:rsid w:val="008B10F4"/>
    <w:rsid w:val="008B29E0"/>
    <w:rsid w:val="008B2E46"/>
    <w:rsid w:val="008B344C"/>
    <w:rsid w:val="008B41B6"/>
    <w:rsid w:val="008B665B"/>
    <w:rsid w:val="008B7156"/>
    <w:rsid w:val="008B7950"/>
    <w:rsid w:val="008C010F"/>
    <w:rsid w:val="008C1486"/>
    <w:rsid w:val="008C3408"/>
    <w:rsid w:val="008C3638"/>
    <w:rsid w:val="008C395A"/>
    <w:rsid w:val="008C3DD3"/>
    <w:rsid w:val="008D04BD"/>
    <w:rsid w:val="008D1E55"/>
    <w:rsid w:val="008D2461"/>
    <w:rsid w:val="008D3EF3"/>
    <w:rsid w:val="008D630C"/>
    <w:rsid w:val="008D6A87"/>
    <w:rsid w:val="008E0DDD"/>
    <w:rsid w:val="008E2618"/>
    <w:rsid w:val="008E312B"/>
    <w:rsid w:val="008E3EF0"/>
    <w:rsid w:val="008E4210"/>
    <w:rsid w:val="008E4231"/>
    <w:rsid w:val="008E46EA"/>
    <w:rsid w:val="008E73CA"/>
    <w:rsid w:val="008E7B36"/>
    <w:rsid w:val="008F01A3"/>
    <w:rsid w:val="008F04A6"/>
    <w:rsid w:val="008F0789"/>
    <w:rsid w:val="008F0D6B"/>
    <w:rsid w:val="008F2346"/>
    <w:rsid w:val="008F3812"/>
    <w:rsid w:val="008F3AC1"/>
    <w:rsid w:val="008F3DA0"/>
    <w:rsid w:val="008F5D0C"/>
    <w:rsid w:val="00901367"/>
    <w:rsid w:val="00902514"/>
    <w:rsid w:val="009043C0"/>
    <w:rsid w:val="009044D0"/>
    <w:rsid w:val="00905909"/>
    <w:rsid w:val="00906D49"/>
    <w:rsid w:val="009075EF"/>
    <w:rsid w:val="009076D5"/>
    <w:rsid w:val="00907BCC"/>
    <w:rsid w:val="00910946"/>
    <w:rsid w:val="00910A40"/>
    <w:rsid w:val="009124E9"/>
    <w:rsid w:val="00914F98"/>
    <w:rsid w:val="00915573"/>
    <w:rsid w:val="00920B0F"/>
    <w:rsid w:val="00920E12"/>
    <w:rsid w:val="00921ACE"/>
    <w:rsid w:val="00921BD1"/>
    <w:rsid w:val="00921C4A"/>
    <w:rsid w:val="00922C96"/>
    <w:rsid w:val="00923223"/>
    <w:rsid w:val="00923EF1"/>
    <w:rsid w:val="00924481"/>
    <w:rsid w:val="00924683"/>
    <w:rsid w:val="009246C7"/>
    <w:rsid w:val="00924810"/>
    <w:rsid w:val="00925D59"/>
    <w:rsid w:val="0092618E"/>
    <w:rsid w:val="00926E14"/>
    <w:rsid w:val="009271DA"/>
    <w:rsid w:val="00927728"/>
    <w:rsid w:val="0092786D"/>
    <w:rsid w:val="009309EA"/>
    <w:rsid w:val="00930F41"/>
    <w:rsid w:val="00931615"/>
    <w:rsid w:val="009328F4"/>
    <w:rsid w:val="00933DB7"/>
    <w:rsid w:val="00934E51"/>
    <w:rsid w:val="009352A6"/>
    <w:rsid w:val="009353B9"/>
    <w:rsid w:val="00935483"/>
    <w:rsid w:val="009359FC"/>
    <w:rsid w:val="00937848"/>
    <w:rsid w:val="009379DE"/>
    <w:rsid w:val="00941663"/>
    <w:rsid w:val="00942CE9"/>
    <w:rsid w:val="0094324B"/>
    <w:rsid w:val="009447B3"/>
    <w:rsid w:val="00945B5A"/>
    <w:rsid w:val="009468A8"/>
    <w:rsid w:val="0095031D"/>
    <w:rsid w:val="0095048A"/>
    <w:rsid w:val="00951029"/>
    <w:rsid w:val="0095267E"/>
    <w:rsid w:val="0095316E"/>
    <w:rsid w:val="0095534E"/>
    <w:rsid w:val="00957795"/>
    <w:rsid w:val="009614F3"/>
    <w:rsid w:val="00962664"/>
    <w:rsid w:val="00963244"/>
    <w:rsid w:val="00967122"/>
    <w:rsid w:val="00967499"/>
    <w:rsid w:val="009677B1"/>
    <w:rsid w:val="00967DA1"/>
    <w:rsid w:val="009704B8"/>
    <w:rsid w:val="009717E6"/>
    <w:rsid w:val="00973530"/>
    <w:rsid w:val="00973FD1"/>
    <w:rsid w:val="00975426"/>
    <w:rsid w:val="00975FC9"/>
    <w:rsid w:val="00976470"/>
    <w:rsid w:val="00976F75"/>
    <w:rsid w:val="00977198"/>
    <w:rsid w:val="00977900"/>
    <w:rsid w:val="0098243B"/>
    <w:rsid w:val="00983219"/>
    <w:rsid w:val="009839F5"/>
    <w:rsid w:val="00983AE6"/>
    <w:rsid w:val="00983FE1"/>
    <w:rsid w:val="00984E47"/>
    <w:rsid w:val="009856B7"/>
    <w:rsid w:val="0098629F"/>
    <w:rsid w:val="00990C5F"/>
    <w:rsid w:val="00991F02"/>
    <w:rsid w:val="00992F9A"/>
    <w:rsid w:val="00993068"/>
    <w:rsid w:val="00996146"/>
    <w:rsid w:val="009972A3"/>
    <w:rsid w:val="00997BD3"/>
    <w:rsid w:val="009A267F"/>
    <w:rsid w:val="009A3188"/>
    <w:rsid w:val="009A53A0"/>
    <w:rsid w:val="009A67DB"/>
    <w:rsid w:val="009A6C21"/>
    <w:rsid w:val="009A76CD"/>
    <w:rsid w:val="009B15BB"/>
    <w:rsid w:val="009B17A9"/>
    <w:rsid w:val="009B25F7"/>
    <w:rsid w:val="009B38D0"/>
    <w:rsid w:val="009B3AE9"/>
    <w:rsid w:val="009B562C"/>
    <w:rsid w:val="009B57BA"/>
    <w:rsid w:val="009B59F0"/>
    <w:rsid w:val="009B6112"/>
    <w:rsid w:val="009B6219"/>
    <w:rsid w:val="009B69ED"/>
    <w:rsid w:val="009B6C5B"/>
    <w:rsid w:val="009B7392"/>
    <w:rsid w:val="009B7F7D"/>
    <w:rsid w:val="009C188C"/>
    <w:rsid w:val="009C214E"/>
    <w:rsid w:val="009C25F9"/>
    <w:rsid w:val="009C2E41"/>
    <w:rsid w:val="009C3388"/>
    <w:rsid w:val="009C41A4"/>
    <w:rsid w:val="009C43DA"/>
    <w:rsid w:val="009C4924"/>
    <w:rsid w:val="009C50FE"/>
    <w:rsid w:val="009C593C"/>
    <w:rsid w:val="009C651F"/>
    <w:rsid w:val="009C6604"/>
    <w:rsid w:val="009C7E2A"/>
    <w:rsid w:val="009D0108"/>
    <w:rsid w:val="009D1DA4"/>
    <w:rsid w:val="009D2ECB"/>
    <w:rsid w:val="009D5791"/>
    <w:rsid w:val="009D6074"/>
    <w:rsid w:val="009D69E3"/>
    <w:rsid w:val="009D75BB"/>
    <w:rsid w:val="009E0587"/>
    <w:rsid w:val="009E28E2"/>
    <w:rsid w:val="009E31DA"/>
    <w:rsid w:val="009E41C9"/>
    <w:rsid w:val="009E43F1"/>
    <w:rsid w:val="009E5254"/>
    <w:rsid w:val="009E620B"/>
    <w:rsid w:val="009E65F3"/>
    <w:rsid w:val="009E7573"/>
    <w:rsid w:val="009F03D6"/>
    <w:rsid w:val="009F0F3A"/>
    <w:rsid w:val="009F135F"/>
    <w:rsid w:val="009F1780"/>
    <w:rsid w:val="009F1F2D"/>
    <w:rsid w:val="009F2579"/>
    <w:rsid w:val="009F2927"/>
    <w:rsid w:val="009F3550"/>
    <w:rsid w:val="009F3CEC"/>
    <w:rsid w:val="009F40A5"/>
    <w:rsid w:val="009F49DA"/>
    <w:rsid w:val="009F65A5"/>
    <w:rsid w:val="00A003FA"/>
    <w:rsid w:val="00A00930"/>
    <w:rsid w:val="00A012E2"/>
    <w:rsid w:val="00A03CA9"/>
    <w:rsid w:val="00A0608B"/>
    <w:rsid w:val="00A06EC5"/>
    <w:rsid w:val="00A0755C"/>
    <w:rsid w:val="00A10B41"/>
    <w:rsid w:val="00A12076"/>
    <w:rsid w:val="00A1293B"/>
    <w:rsid w:val="00A16DB7"/>
    <w:rsid w:val="00A17323"/>
    <w:rsid w:val="00A20FD2"/>
    <w:rsid w:val="00A217B8"/>
    <w:rsid w:val="00A21B8B"/>
    <w:rsid w:val="00A24B61"/>
    <w:rsid w:val="00A2568C"/>
    <w:rsid w:val="00A264A1"/>
    <w:rsid w:val="00A26C72"/>
    <w:rsid w:val="00A26E16"/>
    <w:rsid w:val="00A27757"/>
    <w:rsid w:val="00A30AC2"/>
    <w:rsid w:val="00A311EE"/>
    <w:rsid w:val="00A329BF"/>
    <w:rsid w:val="00A33012"/>
    <w:rsid w:val="00A34293"/>
    <w:rsid w:val="00A3560A"/>
    <w:rsid w:val="00A36791"/>
    <w:rsid w:val="00A36DEB"/>
    <w:rsid w:val="00A37C99"/>
    <w:rsid w:val="00A40DC4"/>
    <w:rsid w:val="00A4239B"/>
    <w:rsid w:val="00A42BE8"/>
    <w:rsid w:val="00A439F7"/>
    <w:rsid w:val="00A43FD7"/>
    <w:rsid w:val="00A4444E"/>
    <w:rsid w:val="00A45253"/>
    <w:rsid w:val="00A46959"/>
    <w:rsid w:val="00A4758A"/>
    <w:rsid w:val="00A50017"/>
    <w:rsid w:val="00A5007B"/>
    <w:rsid w:val="00A50373"/>
    <w:rsid w:val="00A506C3"/>
    <w:rsid w:val="00A5198C"/>
    <w:rsid w:val="00A532D4"/>
    <w:rsid w:val="00A53514"/>
    <w:rsid w:val="00A53D74"/>
    <w:rsid w:val="00A618CE"/>
    <w:rsid w:val="00A61B12"/>
    <w:rsid w:val="00A61EF5"/>
    <w:rsid w:val="00A62A92"/>
    <w:rsid w:val="00A62D86"/>
    <w:rsid w:val="00A62E04"/>
    <w:rsid w:val="00A62FB7"/>
    <w:rsid w:val="00A64093"/>
    <w:rsid w:val="00A6441D"/>
    <w:rsid w:val="00A65179"/>
    <w:rsid w:val="00A65291"/>
    <w:rsid w:val="00A67006"/>
    <w:rsid w:val="00A670ED"/>
    <w:rsid w:val="00A70B7A"/>
    <w:rsid w:val="00A7102A"/>
    <w:rsid w:val="00A774AB"/>
    <w:rsid w:val="00A8167A"/>
    <w:rsid w:val="00A81A4D"/>
    <w:rsid w:val="00A81ED4"/>
    <w:rsid w:val="00A83F6B"/>
    <w:rsid w:val="00A84EE3"/>
    <w:rsid w:val="00A8556D"/>
    <w:rsid w:val="00A860DA"/>
    <w:rsid w:val="00A90ACD"/>
    <w:rsid w:val="00A90E9F"/>
    <w:rsid w:val="00A91C1A"/>
    <w:rsid w:val="00A92C4F"/>
    <w:rsid w:val="00AA08AF"/>
    <w:rsid w:val="00AA11F4"/>
    <w:rsid w:val="00AA1356"/>
    <w:rsid w:val="00AA1402"/>
    <w:rsid w:val="00AA4DF8"/>
    <w:rsid w:val="00AA596E"/>
    <w:rsid w:val="00AA5BD0"/>
    <w:rsid w:val="00AA6267"/>
    <w:rsid w:val="00AA6959"/>
    <w:rsid w:val="00AA7F82"/>
    <w:rsid w:val="00AA7F97"/>
    <w:rsid w:val="00AB0D11"/>
    <w:rsid w:val="00AB3434"/>
    <w:rsid w:val="00AB3A9D"/>
    <w:rsid w:val="00AB3BEF"/>
    <w:rsid w:val="00AB4AF5"/>
    <w:rsid w:val="00AB4BD1"/>
    <w:rsid w:val="00AB4C41"/>
    <w:rsid w:val="00AB4C93"/>
    <w:rsid w:val="00AB6A5B"/>
    <w:rsid w:val="00AB705C"/>
    <w:rsid w:val="00AB74F7"/>
    <w:rsid w:val="00AC0F93"/>
    <w:rsid w:val="00AC0FB1"/>
    <w:rsid w:val="00AC1147"/>
    <w:rsid w:val="00AC5070"/>
    <w:rsid w:val="00AC5B83"/>
    <w:rsid w:val="00AC5CEC"/>
    <w:rsid w:val="00AC63B3"/>
    <w:rsid w:val="00AC67F3"/>
    <w:rsid w:val="00AC7675"/>
    <w:rsid w:val="00AD0224"/>
    <w:rsid w:val="00AD2320"/>
    <w:rsid w:val="00AD2BB9"/>
    <w:rsid w:val="00AD443B"/>
    <w:rsid w:val="00AD46AE"/>
    <w:rsid w:val="00AD4861"/>
    <w:rsid w:val="00AD593C"/>
    <w:rsid w:val="00AE154B"/>
    <w:rsid w:val="00AE194E"/>
    <w:rsid w:val="00AE367B"/>
    <w:rsid w:val="00AE3891"/>
    <w:rsid w:val="00AE4315"/>
    <w:rsid w:val="00AE44B3"/>
    <w:rsid w:val="00AE65AE"/>
    <w:rsid w:val="00AF084C"/>
    <w:rsid w:val="00AF0F90"/>
    <w:rsid w:val="00AF152C"/>
    <w:rsid w:val="00AF1972"/>
    <w:rsid w:val="00AF23BC"/>
    <w:rsid w:val="00AF3E0C"/>
    <w:rsid w:val="00AF3F8B"/>
    <w:rsid w:val="00AF443F"/>
    <w:rsid w:val="00AF4CD0"/>
    <w:rsid w:val="00AF4DC6"/>
    <w:rsid w:val="00AF50F8"/>
    <w:rsid w:val="00AF5C63"/>
    <w:rsid w:val="00AF64C3"/>
    <w:rsid w:val="00B01407"/>
    <w:rsid w:val="00B01AA5"/>
    <w:rsid w:val="00B02912"/>
    <w:rsid w:val="00B02D97"/>
    <w:rsid w:val="00B03215"/>
    <w:rsid w:val="00B0457B"/>
    <w:rsid w:val="00B05BCC"/>
    <w:rsid w:val="00B06D0C"/>
    <w:rsid w:val="00B100DF"/>
    <w:rsid w:val="00B10370"/>
    <w:rsid w:val="00B10711"/>
    <w:rsid w:val="00B1071F"/>
    <w:rsid w:val="00B11257"/>
    <w:rsid w:val="00B113A8"/>
    <w:rsid w:val="00B12B3D"/>
    <w:rsid w:val="00B13828"/>
    <w:rsid w:val="00B140DC"/>
    <w:rsid w:val="00B14B7F"/>
    <w:rsid w:val="00B14F55"/>
    <w:rsid w:val="00B1680B"/>
    <w:rsid w:val="00B1754B"/>
    <w:rsid w:val="00B2001C"/>
    <w:rsid w:val="00B200EB"/>
    <w:rsid w:val="00B203C2"/>
    <w:rsid w:val="00B20DF2"/>
    <w:rsid w:val="00B215E0"/>
    <w:rsid w:val="00B21C8B"/>
    <w:rsid w:val="00B229BE"/>
    <w:rsid w:val="00B23502"/>
    <w:rsid w:val="00B256A4"/>
    <w:rsid w:val="00B25DDE"/>
    <w:rsid w:val="00B25F58"/>
    <w:rsid w:val="00B32EDA"/>
    <w:rsid w:val="00B3427A"/>
    <w:rsid w:val="00B3533A"/>
    <w:rsid w:val="00B355D8"/>
    <w:rsid w:val="00B35F5A"/>
    <w:rsid w:val="00B40BEF"/>
    <w:rsid w:val="00B41975"/>
    <w:rsid w:val="00B423F3"/>
    <w:rsid w:val="00B43092"/>
    <w:rsid w:val="00B43CFC"/>
    <w:rsid w:val="00B44094"/>
    <w:rsid w:val="00B4463F"/>
    <w:rsid w:val="00B45208"/>
    <w:rsid w:val="00B45498"/>
    <w:rsid w:val="00B47470"/>
    <w:rsid w:val="00B47D99"/>
    <w:rsid w:val="00B53790"/>
    <w:rsid w:val="00B55050"/>
    <w:rsid w:val="00B564BE"/>
    <w:rsid w:val="00B575E8"/>
    <w:rsid w:val="00B57A1E"/>
    <w:rsid w:val="00B57A37"/>
    <w:rsid w:val="00B60C9E"/>
    <w:rsid w:val="00B61268"/>
    <w:rsid w:val="00B63314"/>
    <w:rsid w:val="00B637A7"/>
    <w:rsid w:val="00B64538"/>
    <w:rsid w:val="00B64606"/>
    <w:rsid w:val="00B66594"/>
    <w:rsid w:val="00B6784C"/>
    <w:rsid w:val="00B67992"/>
    <w:rsid w:val="00B67CDE"/>
    <w:rsid w:val="00B7049F"/>
    <w:rsid w:val="00B708A8"/>
    <w:rsid w:val="00B714EE"/>
    <w:rsid w:val="00B71ADB"/>
    <w:rsid w:val="00B726EF"/>
    <w:rsid w:val="00B73893"/>
    <w:rsid w:val="00B745CE"/>
    <w:rsid w:val="00B74678"/>
    <w:rsid w:val="00B756AF"/>
    <w:rsid w:val="00B770C7"/>
    <w:rsid w:val="00B80323"/>
    <w:rsid w:val="00B8093E"/>
    <w:rsid w:val="00B815AC"/>
    <w:rsid w:val="00B81706"/>
    <w:rsid w:val="00B820E3"/>
    <w:rsid w:val="00B82FC5"/>
    <w:rsid w:val="00B831C6"/>
    <w:rsid w:val="00B846B1"/>
    <w:rsid w:val="00B8780D"/>
    <w:rsid w:val="00B87D7F"/>
    <w:rsid w:val="00B87EF3"/>
    <w:rsid w:val="00B90F17"/>
    <w:rsid w:val="00B926A1"/>
    <w:rsid w:val="00B93729"/>
    <w:rsid w:val="00B93ECB"/>
    <w:rsid w:val="00B95030"/>
    <w:rsid w:val="00B95DB5"/>
    <w:rsid w:val="00B977DB"/>
    <w:rsid w:val="00BA0BD7"/>
    <w:rsid w:val="00BA317E"/>
    <w:rsid w:val="00BA51B6"/>
    <w:rsid w:val="00BA5E5B"/>
    <w:rsid w:val="00BA72A2"/>
    <w:rsid w:val="00BA77CB"/>
    <w:rsid w:val="00BA7BA8"/>
    <w:rsid w:val="00BB0490"/>
    <w:rsid w:val="00BB1DA1"/>
    <w:rsid w:val="00BB1F9C"/>
    <w:rsid w:val="00BB481A"/>
    <w:rsid w:val="00BB4C88"/>
    <w:rsid w:val="00BB4DC0"/>
    <w:rsid w:val="00BB62FF"/>
    <w:rsid w:val="00BC189E"/>
    <w:rsid w:val="00BC1AE1"/>
    <w:rsid w:val="00BC2FA5"/>
    <w:rsid w:val="00BC351E"/>
    <w:rsid w:val="00BC4CD0"/>
    <w:rsid w:val="00BC6A6A"/>
    <w:rsid w:val="00BC7C27"/>
    <w:rsid w:val="00BD05BE"/>
    <w:rsid w:val="00BD22E7"/>
    <w:rsid w:val="00BD42A0"/>
    <w:rsid w:val="00BD446C"/>
    <w:rsid w:val="00BD6BF3"/>
    <w:rsid w:val="00BE20EB"/>
    <w:rsid w:val="00BE307A"/>
    <w:rsid w:val="00BE4459"/>
    <w:rsid w:val="00BE69D8"/>
    <w:rsid w:val="00BE6B0B"/>
    <w:rsid w:val="00BF0779"/>
    <w:rsid w:val="00BF0FD4"/>
    <w:rsid w:val="00BF2A4C"/>
    <w:rsid w:val="00BF2AA2"/>
    <w:rsid w:val="00BF38CA"/>
    <w:rsid w:val="00BF4F8F"/>
    <w:rsid w:val="00BF64E1"/>
    <w:rsid w:val="00BF6CDE"/>
    <w:rsid w:val="00BF742F"/>
    <w:rsid w:val="00C00196"/>
    <w:rsid w:val="00C01920"/>
    <w:rsid w:val="00C027D4"/>
    <w:rsid w:val="00C027EB"/>
    <w:rsid w:val="00C02841"/>
    <w:rsid w:val="00C02AF2"/>
    <w:rsid w:val="00C037DB"/>
    <w:rsid w:val="00C0416F"/>
    <w:rsid w:val="00C04803"/>
    <w:rsid w:val="00C0497E"/>
    <w:rsid w:val="00C04E1A"/>
    <w:rsid w:val="00C06E9A"/>
    <w:rsid w:val="00C07A62"/>
    <w:rsid w:val="00C10408"/>
    <w:rsid w:val="00C11421"/>
    <w:rsid w:val="00C12D32"/>
    <w:rsid w:val="00C159D2"/>
    <w:rsid w:val="00C202A2"/>
    <w:rsid w:val="00C208FC"/>
    <w:rsid w:val="00C2229E"/>
    <w:rsid w:val="00C22E77"/>
    <w:rsid w:val="00C247F4"/>
    <w:rsid w:val="00C2530A"/>
    <w:rsid w:val="00C2633E"/>
    <w:rsid w:val="00C30F9F"/>
    <w:rsid w:val="00C3138A"/>
    <w:rsid w:val="00C3169B"/>
    <w:rsid w:val="00C323C2"/>
    <w:rsid w:val="00C32A0F"/>
    <w:rsid w:val="00C332B3"/>
    <w:rsid w:val="00C3630D"/>
    <w:rsid w:val="00C43CC4"/>
    <w:rsid w:val="00C44988"/>
    <w:rsid w:val="00C44D64"/>
    <w:rsid w:val="00C467FB"/>
    <w:rsid w:val="00C46FF2"/>
    <w:rsid w:val="00C4742B"/>
    <w:rsid w:val="00C51FE8"/>
    <w:rsid w:val="00C53518"/>
    <w:rsid w:val="00C54F26"/>
    <w:rsid w:val="00C54FFE"/>
    <w:rsid w:val="00C55856"/>
    <w:rsid w:val="00C56C11"/>
    <w:rsid w:val="00C5779F"/>
    <w:rsid w:val="00C62B31"/>
    <w:rsid w:val="00C63443"/>
    <w:rsid w:val="00C63EFF"/>
    <w:rsid w:val="00C64577"/>
    <w:rsid w:val="00C65FA0"/>
    <w:rsid w:val="00C667BF"/>
    <w:rsid w:val="00C70660"/>
    <w:rsid w:val="00C713E6"/>
    <w:rsid w:val="00C713F6"/>
    <w:rsid w:val="00C71687"/>
    <w:rsid w:val="00C7189C"/>
    <w:rsid w:val="00C72687"/>
    <w:rsid w:val="00C72D52"/>
    <w:rsid w:val="00C73E5B"/>
    <w:rsid w:val="00C740AB"/>
    <w:rsid w:val="00C74F8D"/>
    <w:rsid w:val="00C76E61"/>
    <w:rsid w:val="00C7730D"/>
    <w:rsid w:val="00C773A4"/>
    <w:rsid w:val="00C77ECC"/>
    <w:rsid w:val="00C77F3B"/>
    <w:rsid w:val="00C8140B"/>
    <w:rsid w:val="00C81818"/>
    <w:rsid w:val="00C81BA9"/>
    <w:rsid w:val="00C830CC"/>
    <w:rsid w:val="00C839BE"/>
    <w:rsid w:val="00C83D0E"/>
    <w:rsid w:val="00C83E7B"/>
    <w:rsid w:val="00C847C0"/>
    <w:rsid w:val="00C84930"/>
    <w:rsid w:val="00C84ACE"/>
    <w:rsid w:val="00C84E0D"/>
    <w:rsid w:val="00C85B63"/>
    <w:rsid w:val="00C85E3D"/>
    <w:rsid w:val="00C869FF"/>
    <w:rsid w:val="00C86A7A"/>
    <w:rsid w:val="00C86AD4"/>
    <w:rsid w:val="00C908E0"/>
    <w:rsid w:val="00C90C91"/>
    <w:rsid w:val="00C91C61"/>
    <w:rsid w:val="00C92621"/>
    <w:rsid w:val="00C93212"/>
    <w:rsid w:val="00C9380F"/>
    <w:rsid w:val="00C93A2A"/>
    <w:rsid w:val="00C94580"/>
    <w:rsid w:val="00C96867"/>
    <w:rsid w:val="00C97040"/>
    <w:rsid w:val="00CA1BE2"/>
    <w:rsid w:val="00CA2461"/>
    <w:rsid w:val="00CA26A8"/>
    <w:rsid w:val="00CA3933"/>
    <w:rsid w:val="00CA66C9"/>
    <w:rsid w:val="00CA7D74"/>
    <w:rsid w:val="00CB0025"/>
    <w:rsid w:val="00CB1209"/>
    <w:rsid w:val="00CB12DB"/>
    <w:rsid w:val="00CB15CC"/>
    <w:rsid w:val="00CB49B2"/>
    <w:rsid w:val="00CB5127"/>
    <w:rsid w:val="00CB53BC"/>
    <w:rsid w:val="00CB5DCF"/>
    <w:rsid w:val="00CB63D8"/>
    <w:rsid w:val="00CB6548"/>
    <w:rsid w:val="00CB65C1"/>
    <w:rsid w:val="00CB6BCA"/>
    <w:rsid w:val="00CB6BE7"/>
    <w:rsid w:val="00CB7C58"/>
    <w:rsid w:val="00CC02DF"/>
    <w:rsid w:val="00CC11BC"/>
    <w:rsid w:val="00CC1420"/>
    <w:rsid w:val="00CC274F"/>
    <w:rsid w:val="00CC3D7F"/>
    <w:rsid w:val="00CC3FA9"/>
    <w:rsid w:val="00CC4BD9"/>
    <w:rsid w:val="00CC544B"/>
    <w:rsid w:val="00CC5F89"/>
    <w:rsid w:val="00CC62CF"/>
    <w:rsid w:val="00CC670F"/>
    <w:rsid w:val="00CC7336"/>
    <w:rsid w:val="00CD032A"/>
    <w:rsid w:val="00CD17F6"/>
    <w:rsid w:val="00CD23E1"/>
    <w:rsid w:val="00CD2E83"/>
    <w:rsid w:val="00CD4366"/>
    <w:rsid w:val="00CD49B0"/>
    <w:rsid w:val="00CD5C99"/>
    <w:rsid w:val="00CD6E09"/>
    <w:rsid w:val="00CE009F"/>
    <w:rsid w:val="00CE14F2"/>
    <w:rsid w:val="00CE1515"/>
    <w:rsid w:val="00CE1B0B"/>
    <w:rsid w:val="00CE21D5"/>
    <w:rsid w:val="00CE271A"/>
    <w:rsid w:val="00CE3085"/>
    <w:rsid w:val="00CE3180"/>
    <w:rsid w:val="00CE3AE3"/>
    <w:rsid w:val="00CE421B"/>
    <w:rsid w:val="00CE64F1"/>
    <w:rsid w:val="00CE68B2"/>
    <w:rsid w:val="00CE6FA7"/>
    <w:rsid w:val="00CE7E94"/>
    <w:rsid w:val="00CF0639"/>
    <w:rsid w:val="00CF0B1A"/>
    <w:rsid w:val="00CF1D1D"/>
    <w:rsid w:val="00CF1E5A"/>
    <w:rsid w:val="00CF2D3C"/>
    <w:rsid w:val="00CF3AB2"/>
    <w:rsid w:val="00CF41F1"/>
    <w:rsid w:val="00CF57A4"/>
    <w:rsid w:val="00CF6ED3"/>
    <w:rsid w:val="00D00D23"/>
    <w:rsid w:val="00D00F30"/>
    <w:rsid w:val="00D03027"/>
    <w:rsid w:val="00D03ED6"/>
    <w:rsid w:val="00D04E64"/>
    <w:rsid w:val="00D06635"/>
    <w:rsid w:val="00D06C58"/>
    <w:rsid w:val="00D0730E"/>
    <w:rsid w:val="00D10AD2"/>
    <w:rsid w:val="00D10F45"/>
    <w:rsid w:val="00D1107C"/>
    <w:rsid w:val="00D1116F"/>
    <w:rsid w:val="00D1133B"/>
    <w:rsid w:val="00D119F5"/>
    <w:rsid w:val="00D12AB5"/>
    <w:rsid w:val="00D13F8C"/>
    <w:rsid w:val="00D14F10"/>
    <w:rsid w:val="00D14FCA"/>
    <w:rsid w:val="00D151CA"/>
    <w:rsid w:val="00D21248"/>
    <w:rsid w:val="00D216B5"/>
    <w:rsid w:val="00D22ABC"/>
    <w:rsid w:val="00D24396"/>
    <w:rsid w:val="00D24696"/>
    <w:rsid w:val="00D24E4B"/>
    <w:rsid w:val="00D256C5"/>
    <w:rsid w:val="00D25C1B"/>
    <w:rsid w:val="00D261F3"/>
    <w:rsid w:val="00D3011E"/>
    <w:rsid w:val="00D3166E"/>
    <w:rsid w:val="00D316FE"/>
    <w:rsid w:val="00D31B54"/>
    <w:rsid w:val="00D32183"/>
    <w:rsid w:val="00D32A92"/>
    <w:rsid w:val="00D32EC8"/>
    <w:rsid w:val="00D330C0"/>
    <w:rsid w:val="00D33A02"/>
    <w:rsid w:val="00D33A99"/>
    <w:rsid w:val="00D349EB"/>
    <w:rsid w:val="00D34DD7"/>
    <w:rsid w:val="00D34F03"/>
    <w:rsid w:val="00D35B98"/>
    <w:rsid w:val="00D360EE"/>
    <w:rsid w:val="00D37ED7"/>
    <w:rsid w:val="00D403F9"/>
    <w:rsid w:val="00D40419"/>
    <w:rsid w:val="00D41FB5"/>
    <w:rsid w:val="00D426D2"/>
    <w:rsid w:val="00D42D98"/>
    <w:rsid w:val="00D43B6E"/>
    <w:rsid w:val="00D44CA1"/>
    <w:rsid w:val="00D45F08"/>
    <w:rsid w:val="00D46D84"/>
    <w:rsid w:val="00D46F7D"/>
    <w:rsid w:val="00D47756"/>
    <w:rsid w:val="00D47D12"/>
    <w:rsid w:val="00D50282"/>
    <w:rsid w:val="00D50CE3"/>
    <w:rsid w:val="00D51141"/>
    <w:rsid w:val="00D5186B"/>
    <w:rsid w:val="00D5205C"/>
    <w:rsid w:val="00D555D9"/>
    <w:rsid w:val="00D56419"/>
    <w:rsid w:val="00D56A3C"/>
    <w:rsid w:val="00D56DBE"/>
    <w:rsid w:val="00D56FFD"/>
    <w:rsid w:val="00D60010"/>
    <w:rsid w:val="00D600C1"/>
    <w:rsid w:val="00D6052A"/>
    <w:rsid w:val="00D61150"/>
    <w:rsid w:val="00D614AF"/>
    <w:rsid w:val="00D617E3"/>
    <w:rsid w:val="00D61BBA"/>
    <w:rsid w:val="00D62CD0"/>
    <w:rsid w:val="00D6371E"/>
    <w:rsid w:val="00D63B27"/>
    <w:rsid w:val="00D63BD9"/>
    <w:rsid w:val="00D65BE0"/>
    <w:rsid w:val="00D65C39"/>
    <w:rsid w:val="00D66CAD"/>
    <w:rsid w:val="00D67DA3"/>
    <w:rsid w:val="00D67ED1"/>
    <w:rsid w:val="00D704BB"/>
    <w:rsid w:val="00D70EC7"/>
    <w:rsid w:val="00D71422"/>
    <w:rsid w:val="00D74028"/>
    <w:rsid w:val="00D74DCC"/>
    <w:rsid w:val="00D764F2"/>
    <w:rsid w:val="00D80958"/>
    <w:rsid w:val="00D81173"/>
    <w:rsid w:val="00D813D8"/>
    <w:rsid w:val="00D81B79"/>
    <w:rsid w:val="00D82E86"/>
    <w:rsid w:val="00D82F1D"/>
    <w:rsid w:val="00D83F0B"/>
    <w:rsid w:val="00D8403E"/>
    <w:rsid w:val="00D84533"/>
    <w:rsid w:val="00D84A02"/>
    <w:rsid w:val="00D84AA3"/>
    <w:rsid w:val="00D84B2D"/>
    <w:rsid w:val="00D86618"/>
    <w:rsid w:val="00D87526"/>
    <w:rsid w:val="00D87803"/>
    <w:rsid w:val="00D917DE"/>
    <w:rsid w:val="00D93280"/>
    <w:rsid w:val="00D934D7"/>
    <w:rsid w:val="00D93D5F"/>
    <w:rsid w:val="00D94949"/>
    <w:rsid w:val="00D95F39"/>
    <w:rsid w:val="00D96BFF"/>
    <w:rsid w:val="00D976DF"/>
    <w:rsid w:val="00D97A53"/>
    <w:rsid w:val="00DA08F1"/>
    <w:rsid w:val="00DA0D20"/>
    <w:rsid w:val="00DA1068"/>
    <w:rsid w:val="00DA12CC"/>
    <w:rsid w:val="00DA3661"/>
    <w:rsid w:val="00DA443C"/>
    <w:rsid w:val="00DA54C9"/>
    <w:rsid w:val="00DA5725"/>
    <w:rsid w:val="00DA6F40"/>
    <w:rsid w:val="00DA7DB7"/>
    <w:rsid w:val="00DB00C8"/>
    <w:rsid w:val="00DB0A46"/>
    <w:rsid w:val="00DB1BAD"/>
    <w:rsid w:val="00DB4B30"/>
    <w:rsid w:val="00DB581F"/>
    <w:rsid w:val="00DB636F"/>
    <w:rsid w:val="00DB6832"/>
    <w:rsid w:val="00DB6E85"/>
    <w:rsid w:val="00DC1B0F"/>
    <w:rsid w:val="00DC2946"/>
    <w:rsid w:val="00DC2B5E"/>
    <w:rsid w:val="00DC2CD5"/>
    <w:rsid w:val="00DC41BB"/>
    <w:rsid w:val="00DC467D"/>
    <w:rsid w:val="00DC48A3"/>
    <w:rsid w:val="00DC490B"/>
    <w:rsid w:val="00DC4943"/>
    <w:rsid w:val="00DC5E82"/>
    <w:rsid w:val="00DC6381"/>
    <w:rsid w:val="00DC6483"/>
    <w:rsid w:val="00DC6541"/>
    <w:rsid w:val="00DD017A"/>
    <w:rsid w:val="00DD066C"/>
    <w:rsid w:val="00DD1A1E"/>
    <w:rsid w:val="00DD1FBC"/>
    <w:rsid w:val="00DD449A"/>
    <w:rsid w:val="00DD48D3"/>
    <w:rsid w:val="00DD4D35"/>
    <w:rsid w:val="00DD6181"/>
    <w:rsid w:val="00DD61B3"/>
    <w:rsid w:val="00DE0C52"/>
    <w:rsid w:val="00DE0F7F"/>
    <w:rsid w:val="00DE2474"/>
    <w:rsid w:val="00DE425F"/>
    <w:rsid w:val="00DE76DB"/>
    <w:rsid w:val="00DF027B"/>
    <w:rsid w:val="00DF20F6"/>
    <w:rsid w:val="00DF4B4F"/>
    <w:rsid w:val="00DF4FA5"/>
    <w:rsid w:val="00DF705C"/>
    <w:rsid w:val="00E013A5"/>
    <w:rsid w:val="00E0158A"/>
    <w:rsid w:val="00E016B3"/>
    <w:rsid w:val="00E0345B"/>
    <w:rsid w:val="00E03AD3"/>
    <w:rsid w:val="00E049C4"/>
    <w:rsid w:val="00E05DFE"/>
    <w:rsid w:val="00E06929"/>
    <w:rsid w:val="00E07A04"/>
    <w:rsid w:val="00E07EFF"/>
    <w:rsid w:val="00E101B1"/>
    <w:rsid w:val="00E10F8F"/>
    <w:rsid w:val="00E11B01"/>
    <w:rsid w:val="00E11F9B"/>
    <w:rsid w:val="00E14FE7"/>
    <w:rsid w:val="00E1569F"/>
    <w:rsid w:val="00E1799A"/>
    <w:rsid w:val="00E22104"/>
    <w:rsid w:val="00E23A13"/>
    <w:rsid w:val="00E23E1D"/>
    <w:rsid w:val="00E2673A"/>
    <w:rsid w:val="00E308CF"/>
    <w:rsid w:val="00E317F2"/>
    <w:rsid w:val="00E31816"/>
    <w:rsid w:val="00E31987"/>
    <w:rsid w:val="00E31ABB"/>
    <w:rsid w:val="00E34C5D"/>
    <w:rsid w:val="00E353D1"/>
    <w:rsid w:val="00E35536"/>
    <w:rsid w:val="00E36D66"/>
    <w:rsid w:val="00E37A53"/>
    <w:rsid w:val="00E37BE2"/>
    <w:rsid w:val="00E43141"/>
    <w:rsid w:val="00E44493"/>
    <w:rsid w:val="00E446E9"/>
    <w:rsid w:val="00E45BC4"/>
    <w:rsid w:val="00E46387"/>
    <w:rsid w:val="00E52279"/>
    <w:rsid w:val="00E54B4B"/>
    <w:rsid w:val="00E55D5A"/>
    <w:rsid w:val="00E5602C"/>
    <w:rsid w:val="00E57D87"/>
    <w:rsid w:val="00E63632"/>
    <w:rsid w:val="00E63971"/>
    <w:rsid w:val="00E63D99"/>
    <w:rsid w:val="00E63E40"/>
    <w:rsid w:val="00E64424"/>
    <w:rsid w:val="00E64924"/>
    <w:rsid w:val="00E6517B"/>
    <w:rsid w:val="00E6541D"/>
    <w:rsid w:val="00E655E1"/>
    <w:rsid w:val="00E65C8F"/>
    <w:rsid w:val="00E6780A"/>
    <w:rsid w:val="00E70388"/>
    <w:rsid w:val="00E708B3"/>
    <w:rsid w:val="00E71874"/>
    <w:rsid w:val="00E72FF9"/>
    <w:rsid w:val="00E73584"/>
    <w:rsid w:val="00E73D42"/>
    <w:rsid w:val="00E73EEF"/>
    <w:rsid w:val="00E74C5B"/>
    <w:rsid w:val="00E751DC"/>
    <w:rsid w:val="00E75A89"/>
    <w:rsid w:val="00E77761"/>
    <w:rsid w:val="00E82C4D"/>
    <w:rsid w:val="00E83987"/>
    <w:rsid w:val="00E846F5"/>
    <w:rsid w:val="00E85AD2"/>
    <w:rsid w:val="00E864E4"/>
    <w:rsid w:val="00E8696C"/>
    <w:rsid w:val="00E90723"/>
    <w:rsid w:val="00E90BC9"/>
    <w:rsid w:val="00E924AE"/>
    <w:rsid w:val="00E932D6"/>
    <w:rsid w:val="00E93CED"/>
    <w:rsid w:val="00E940B5"/>
    <w:rsid w:val="00E94A69"/>
    <w:rsid w:val="00E95635"/>
    <w:rsid w:val="00E95C65"/>
    <w:rsid w:val="00E95CD3"/>
    <w:rsid w:val="00E97B76"/>
    <w:rsid w:val="00EA2FC2"/>
    <w:rsid w:val="00EA3CD3"/>
    <w:rsid w:val="00EA3DC5"/>
    <w:rsid w:val="00EA3E78"/>
    <w:rsid w:val="00EA44D0"/>
    <w:rsid w:val="00EA50DA"/>
    <w:rsid w:val="00EA5602"/>
    <w:rsid w:val="00EA5A04"/>
    <w:rsid w:val="00EA5F78"/>
    <w:rsid w:val="00EA6449"/>
    <w:rsid w:val="00EB242E"/>
    <w:rsid w:val="00EB2C8F"/>
    <w:rsid w:val="00EB3401"/>
    <w:rsid w:val="00EB425C"/>
    <w:rsid w:val="00EB44BD"/>
    <w:rsid w:val="00EB5245"/>
    <w:rsid w:val="00EB58C4"/>
    <w:rsid w:val="00EB65A2"/>
    <w:rsid w:val="00EB7C06"/>
    <w:rsid w:val="00EC0AC0"/>
    <w:rsid w:val="00EC3A6E"/>
    <w:rsid w:val="00EC4347"/>
    <w:rsid w:val="00EC5B0A"/>
    <w:rsid w:val="00EC648C"/>
    <w:rsid w:val="00EC6569"/>
    <w:rsid w:val="00EC7F5E"/>
    <w:rsid w:val="00ED1491"/>
    <w:rsid w:val="00ED1E82"/>
    <w:rsid w:val="00ED3FF3"/>
    <w:rsid w:val="00ED59FB"/>
    <w:rsid w:val="00ED61F0"/>
    <w:rsid w:val="00ED7D53"/>
    <w:rsid w:val="00EE3741"/>
    <w:rsid w:val="00EE54BB"/>
    <w:rsid w:val="00EE6134"/>
    <w:rsid w:val="00EE6598"/>
    <w:rsid w:val="00EE669A"/>
    <w:rsid w:val="00EE6A70"/>
    <w:rsid w:val="00EE6C5B"/>
    <w:rsid w:val="00EE7293"/>
    <w:rsid w:val="00EF14DD"/>
    <w:rsid w:val="00EF28D6"/>
    <w:rsid w:val="00EF2F83"/>
    <w:rsid w:val="00EF41A3"/>
    <w:rsid w:val="00EF5332"/>
    <w:rsid w:val="00EF5DE2"/>
    <w:rsid w:val="00EF67D7"/>
    <w:rsid w:val="00EF7A07"/>
    <w:rsid w:val="00EF7B0A"/>
    <w:rsid w:val="00F0269B"/>
    <w:rsid w:val="00F0531F"/>
    <w:rsid w:val="00F0660E"/>
    <w:rsid w:val="00F07C27"/>
    <w:rsid w:val="00F114E4"/>
    <w:rsid w:val="00F11E4A"/>
    <w:rsid w:val="00F11E5C"/>
    <w:rsid w:val="00F134D1"/>
    <w:rsid w:val="00F1447D"/>
    <w:rsid w:val="00F1464B"/>
    <w:rsid w:val="00F15189"/>
    <w:rsid w:val="00F16344"/>
    <w:rsid w:val="00F163A8"/>
    <w:rsid w:val="00F167F3"/>
    <w:rsid w:val="00F200B6"/>
    <w:rsid w:val="00F202AC"/>
    <w:rsid w:val="00F20417"/>
    <w:rsid w:val="00F216B7"/>
    <w:rsid w:val="00F22685"/>
    <w:rsid w:val="00F23014"/>
    <w:rsid w:val="00F23F31"/>
    <w:rsid w:val="00F24422"/>
    <w:rsid w:val="00F25F99"/>
    <w:rsid w:val="00F26993"/>
    <w:rsid w:val="00F26B29"/>
    <w:rsid w:val="00F307F6"/>
    <w:rsid w:val="00F3087B"/>
    <w:rsid w:val="00F310CB"/>
    <w:rsid w:val="00F32C50"/>
    <w:rsid w:val="00F32EBE"/>
    <w:rsid w:val="00F35056"/>
    <w:rsid w:val="00F35129"/>
    <w:rsid w:val="00F352B7"/>
    <w:rsid w:val="00F3541E"/>
    <w:rsid w:val="00F35CED"/>
    <w:rsid w:val="00F3699C"/>
    <w:rsid w:val="00F40DD8"/>
    <w:rsid w:val="00F41625"/>
    <w:rsid w:val="00F424B8"/>
    <w:rsid w:val="00F43964"/>
    <w:rsid w:val="00F444A0"/>
    <w:rsid w:val="00F45483"/>
    <w:rsid w:val="00F4641F"/>
    <w:rsid w:val="00F50608"/>
    <w:rsid w:val="00F50621"/>
    <w:rsid w:val="00F50641"/>
    <w:rsid w:val="00F50DF1"/>
    <w:rsid w:val="00F51551"/>
    <w:rsid w:val="00F51F1E"/>
    <w:rsid w:val="00F54ACC"/>
    <w:rsid w:val="00F550EE"/>
    <w:rsid w:val="00F556BD"/>
    <w:rsid w:val="00F5625C"/>
    <w:rsid w:val="00F57025"/>
    <w:rsid w:val="00F57EB3"/>
    <w:rsid w:val="00F60A79"/>
    <w:rsid w:val="00F615EE"/>
    <w:rsid w:val="00F61C09"/>
    <w:rsid w:val="00F63108"/>
    <w:rsid w:val="00F63FF0"/>
    <w:rsid w:val="00F64A83"/>
    <w:rsid w:val="00F64B07"/>
    <w:rsid w:val="00F64FCF"/>
    <w:rsid w:val="00F655A4"/>
    <w:rsid w:val="00F66580"/>
    <w:rsid w:val="00F6665D"/>
    <w:rsid w:val="00F67A13"/>
    <w:rsid w:val="00F702FC"/>
    <w:rsid w:val="00F7045C"/>
    <w:rsid w:val="00F709FD"/>
    <w:rsid w:val="00F70B07"/>
    <w:rsid w:val="00F70C37"/>
    <w:rsid w:val="00F71DC6"/>
    <w:rsid w:val="00F7294F"/>
    <w:rsid w:val="00F733B4"/>
    <w:rsid w:val="00F73FE3"/>
    <w:rsid w:val="00F74832"/>
    <w:rsid w:val="00F7484A"/>
    <w:rsid w:val="00F74A9C"/>
    <w:rsid w:val="00F75F4B"/>
    <w:rsid w:val="00F7742B"/>
    <w:rsid w:val="00F77F8E"/>
    <w:rsid w:val="00F8003D"/>
    <w:rsid w:val="00F80253"/>
    <w:rsid w:val="00F804EC"/>
    <w:rsid w:val="00F8052D"/>
    <w:rsid w:val="00F82271"/>
    <w:rsid w:val="00F82511"/>
    <w:rsid w:val="00F82A3A"/>
    <w:rsid w:val="00F83048"/>
    <w:rsid w:val="00F83642"/>
    <w:rsid w:val="00F83C10"/>
    <w:rsid w:val="00F83D7E"/>
    <w:rsid w:val="00F85719"/>
    <w:rsid w:val="00F8630E"/>
    <w:rsid w:val="00F863F9"/>
    <w:rsid w:val="00F866D9"/>
    <w:rsid w:val="00F873EA"/>
    <w:rsid w:val="00F87FCA"/>
    <w:rsid w:val="00F903A7"/>
    <w:rsid w:val="00F905DB"/>
    <w:rsid w:val="00F90758"/>
    <w:rsid w:val="00F9081A"/>
    <w:rsid w:val="00F90D98"/>
    <w:rsid w:val="00F90F32"/>
    <w:rsid w:val="00F91538"/>
    <w:rsid w:val="00F92194"/>
    <w:rsid w:val="00F927F3"/>
    <w:rsid w:val="00F93A30"/>
    <w:rsid w:val="00F940F2"/>
    <w:rsid w:val="00F947A5"/>
    <w:rsid w:val="00F94E48"/>
    <w:rsid w:val="00F9532B"/>
    <w:rsid w:val="00F9591F"/>
    <w:rsid w:val="00F95BB1"/>
    <w:rsid w:val="00F95E4D"/>
    <w:rsid w:val="00FA09F1"/>
    <w:rsid w:val="00FA0FC0"/>
    <w:rsid w:val="00FA37B3"/>
    <w:rsid w:val="00FA4CE7"/>
    <w:rsid w:val="00FA527F"/>
    <w:rsid w:val="00FA6C13"/>
    <w:rsid w:val="00FA7561"/>
    <w:rsid w:val="00FB0ACB"/>
    <w:rsid w:val="00FB191C"/>
    <w:rsid w:val="00FB28B0"/>
    <w:rsid w:val="00FB2A3D"/>
    <w:rsid w:val="00FB49F6"/>
    <w:rsid w:val="00FB4BED"/>
    <w:rsid w:val="00FB4C21"/>
    <w:rsid w:val="00FB504C"/>
    <w:rsid w:val="00FB517C"/>
    <w:rsid w:val="00FB5F6F"/>
    <w:rsid w:val="00FB7C0F"/>
    <w:rsid w:val="00FC0D56"/>
    <w:rsid w:val="00FC112A"/>
    <w:rsid w:val="00FC437B"/>
    <w:rsid w:val="00FC4F7B"/>
    <w:rsid w:val="00FC5F2B"/>
    <w:rsid w:val="00FC755D"/>
    <w:rsid w:val="00FC755E"/>
    <w:rsid w:val="00FD045C"/>
    <w:rsid w:val="00FD0549"/>
    <w:rsid w:val="00FD0E07"/>
    <w:rsid w:val="00FD107B"/>
    <w:rsid w:val="00FD1861"/>
    <w:rsid w:val="00FD2AB3"/>
    <w:rsid w:val="00FD34F2"/>
    <w:rsid w:val="00FD373B"/>
    <w:rsid w:val="00FD47B0"/>
    <w:rsid w:val="00FD7B89"/>
    <w:rsid w:val="00FE0A42"/>
    <w:rsid w:val="00FE1D7D"/>
    <w:rsid w:val="00FE2159"/>
    <w:rsid w:val="00FE2C93"/>
    <w:rsid w:val="00FE3550"/>
    <w:rsid w:val="00FE3BD4"/>
    <w:rsid w:val="00FE4849"/>
    <w:rsid w:val="00FE52F5"/>
    <w:rsid w:val="00FE63F5"/>
    <w:rsid w:val="00FE71D2"/>
    <w:rsid w:val="00FF029A"/>
    <w:rsid w:val="00FF20D7"/>
    <w:rsid w:val="00FF239E"/>
    <w:rsid w:val="00FF2D03"/>
    <w:rsid w:val="00FF3133"/>
    <w:rsid w:val="00FF431D"/>
    <w:rsid w:val="00FF5432"/>
    <w:rsid w:val="00FF5B6A"/>
    <w:rsid w:val="00FF5E77"/>
    <w:rsid w:val="00FF6A1A"/>
    <w:rsid w:val="00FF7D6A"/>
    <w:rsid w:val="01327007"/>
    <w:rsid w:val="01500EDB"/>
    <w:rsid w:val="01864B3A"/>
    <w:rsid w:val="01A57740"/>
    <w:rsid w:val="01DB59FB"/>
    <w:rsid w:val="01F55472"/>
    <w:rsid w:val="02080E24"/>
    <w:rsid w:val="02282B0C"/>
    <w:rsid w:val="02352067"/>
    <w:rsid w:val="025F172A"/>
    <w:rsid w:val="028B5C96"/>
    <w:rsid w:val="02C721B7"/>
    <w:rsid w:val="02FE0BC4"/>
    <w:rsid w:val="030C1256"/>
    <w:rsid w:val="03814AE1"/>
    <w:rsid w:val="03CC4F66"/>
    <w:rsid w:val="03E7431A"/>
    <w:rsid w:val="043C000E"/>
    <w:rsid w:val="049A056F"/>
    <w:rsid w:val="04B12C90"/>
    <w:rsid w:val="04F26D01"/>
    <w:rsid w:val="05122CDC"/>
    <w:rsid w:val="053377CF"/>
    <w:rsid w:val="058F5640"/>
    <w:rsid w:val="05FB1D39"/>
    <w:rsid w:val="060C7960"/>
    <w:rsid w:val="062A2CD5"/>
    <w:rsid w:val="069B564A"/>
    <w:rsid w:val="074512F3"/>
    <w:rsid w:val="07512BC2"/>
    <w:rsid w:val="07A90FC0"/>
    <w:rsid w:val="082E16FA"/>
    <w:rsid w:val="08776995"/>
    <w:rsid w:val="08933249"/>
    <w:rsid w:val="099B26E2"/>
    <w:rsid w:val="09C40AD9"/>
    <w:rsid w:val="09D70167"/>
    <w:rsid w:val="0A17568D"/>
    <w:rsid w:val="0A4A6A8F"/>
    <w:rsid w:val="0A520A48"/>
    <w:rsid w:val="0A71165C"/>
    <w:rsid w:val="0ADF727D"/>
    <w:rsid w:val="0AEF408A"/>
    <w:rsid w:val="0B1A1880"/>
    <w:rsid w:val="0B2F6214"/>
    <w:rsid w:val="0B3F06C4"/>
    <w:rsid w:val="0B6500D0"/>
    <w:rsid w:val="0BBD62C6"/>
    <w:rsid w:val="0BCF441D"/>
    <w:rsid w:val="0C3D21D8"/>
    <w:rsid w:val="0C4E2AFF"/>
    <w:rsid w:val="0C523195"/>
    <w:rsid w:val="0C534212"/>
    <w:rsid w:val="0C634D8E"/>
    <w:rsid w:val="0CA12E41"/>
    <w:rsid w:val="0CBD080E"/>
    <w:rsid w:val="0CFC3082"/>
    <w:rsid w:val="0D067068"/>
    <w:rsid w:val="0D0B706A"/>
    <w:rsid w:val="0D14083F"/>
    <w:rsid w:val="0D275F21"/>
    <w:rsid w:val="0D2E687D"/>
    <w:rsid w:val="0D325264"/>
    <w:rsid w:val="0D4A636A"/>
    <w:rsid w:val="0D676D45"/>
    <w:rsid w:val="0DEA670F"/>
    <w:rsid w:val="0DF967CC"/>
    <w:rsid w:val="0E3F5D54"/>
    <w:rsid w:val="0E777B5A"/>
    <w:rsid w:val="0EB71848"/>
    <w:rsid w:val="0EFC728C"/>
    <w:rsid w:val="0F0C67A2"/>
    <w:rsid w:val="0F1913BC"/>
    <w:rsid w:val="0F3357FB"/>
    <w:rsid w:val="0F3C2A1F"/>
    <w:rsid w:val="0F450263"/>
    <w:rsid w:val="0F7262EF"/>
    <w:rsid w:val="0F7E749E"/>
    <w:rsid w:val="0FA71150"/>
    <w:rsid w:val="0FBB613A"/>
    <w:rsid w:val="10411631"/>
    <w:rsid w:val="104A073E"/>
    <w:rsid w:val="107C12A8"/>
    <w:rsid w:val="10996B8B"/>
    <w:rsid w:val="10B07889"/>
    <w:rsid w:val="10C822B5"/>
    <w:rsid w:val="10CA080F"/>
    <w:rsid w:val="111307B4"/>
    <w:rsid w:val="11192089"/>
    <w:rsid w:val="111E6C0E"/>
    <w:rsid w:val="112767D6"/>
    <w:rsid w:val="11A457B1"/>
    <w:rsid w:val="11B41816"/>
    <w:rsid w:val="11D75318"/>
    <w:rsid w:val="11DA2B51"/>
    <w:rsid w:val="11F442A2"/>
    <w:rsid w:val="121B616C"/>
    <w:rsid w:val="121E6A2D"/>
    <w:rsid w:val="1220024C"/>
    <w:rsid w:val="12331902"/>
    <w:rsid w:val="127A6579"/>
    <w:rsid w:val="128B7D1E"/>
    <w:rsid w:val="12DD373D"/>
    <w:rsid w:val="12FC245F"/>
    <w:rsid w:val="12FD6936"/>
    <w:rsid w:val="132F02FB"/>
    <w:rsid w:val="133216EB"/>
    <w:rsid w:val="13A84A47"/>
    <w:rsid w:val="13C5294A"/>
    <w:rsid w:val="142723BF"/>
    <w:rsid w:val="143B4B6B"/>
    <w:rsid w:val="14A466C7"/>
    <w:rsid w:val="14B72493"/>
    <w:rsid w:val="15485BF8"/>
    <w:rsid w:val="15704D2A"/>
    <w:rsid w:val="1593446F"/>
    <w:rsid w:val="15D30621"/>
    <w:rsid w:val="15E821F1"/>
    <w:rsid w:val="161830F2"/>
    <w:rsid w:val="16604C23"/>
    <w:rsid w:val="170C44F2"/>
    <w:rsid w:val="1739312C"/>
    <w:rsid w:val="1759167D"/>
    <w:rsid w:val="177808E8"/>
    <w:rsid w:val="179C40E8"/>
    <w:rsid w:val="17CF5182"/>
    <w:rsid w:val="185E5593"/>
    <w:rsid w:val="18927CFF"/>
    <w:rsid w:val="18A21C26"/>
    <w:rsid w:val="191D712F"/>
    <w:rsid w:val="193E2A82"/>
    <w:rsid w:val="198C1E70"/>
    <w:rsid w:val="19B93ADA"/>
    <w:rsid w:val="19CA39B6"/>
    <w:rsid w:val="19FB5F8A"/>
    <w:rsid w:val="1A637D6F"/>
    <w:rsid w:val="1A646613"/>
    <w:rsid w:val="1ACD64F1"/>
    <w:rsid w:val="1B2E482F"/>
    <w:rsid w:val="1B62188E"/>
    <w:rsid w:val="1B9351A5"/>
    <w:rsid w:val="1BAC40D2"/>
    <w:rsid w:val="1C036FCB"/>
    <w:rsid w:val="1C452133"/>
    <w:rsid w:val="1C537E64"/>
    <w:rsid w:val="1C551DB1"/>
    <w:rsid w:val="1C860862"/>
    <w:rsid w:val="1C865BE3"/>
    <w:rsid w:val="1CFC56F1"/>
    <w:rsid w:val="1CFC59CD"/>
    <w:rsid w:val="1D025203"/>
    <w:rsid w:val="1D366BD8"/>
    <w:rsid w:val="1DB57543"/>
    <w:rsid w:val="1DD26EC5"/>
    <w:rsid w:val="1E0C4D83"/>
    <w:rsid w:val="1E2D4923"/>
    <w:rsid w:val="1E5E3DF6"/>
    <w:rsid w:val="1E6116F3"/>
    <w:rsid w:val="1E615E19"/>
    <w:rsid w:val="1EA656EB"/>
    <w:rsid w:val="1EA73AF6"/>
    <w:rsid w:val="1EB82DEB"/>
    <w:rsid w:val="1EBA31DD"/>
    <w:rsid w:val="1ECE47BF"/>
    <w:rsid w:val="1F206BF6"/>
    <w:rsid w:val="1F3437BF"/>
    <w:rsid w:val="1F5251ED"/>
    <w:rsid w:val="1F7B3242"/>
    <w:rsid w:val="1FAE1C43"/>
    <w:rsid w:val="20176BE5"/>
    <w:rsid w:val="20930FC1"/>
    <w:rsid w:val="20B9696B"/>
    <w:rsid w:val="21596523"/>
    <w:rsid w:val="216F2FB7"/>
    <w:rsid w:val="21AF7DB5"/>
    <w:rsid w:val="21C126F3"/>
    <w:rsid w:val="21D26300"/>
    <w:rsid w:val="21E47023"/>
    <w:rsid w:val="220339E9"/>
    <w:rsid w:val="2219728D"/>
    <w:rsid w:val="223E0D0E"/>
    <w:rsid w:val="223F3C8A"/>
    <w:rsid w:val="225723FD"/>
    <w:rsid w:val="22C977F5"/>
    <w:rsid w:val="231C5341"/>
    <w:rsid w:val="2391545A"/>
    <w:rsid w:val="23DE35D2"/>
    <w:rsid w:val="23E73108"/>
    <w:rsid w:val="240C1E39"/>
    <w:rsid w:val="24A1098D"/>
    <w:rsid w:val="25243311"/>
    <w:rsid w:val="257D7076"/>
    <w:rsid w:val="25896FFA"/>
    <w:rsid w:val="25B64DB3"/>
    <w:rsid w:val="25EE3F36"/>
    <w:rsid w:val="25F278F1"/>
    <w:rsid w:val="26061EA3"/>
    <w:rsid w:val="26746A41"/>
    <w:rsid w:val="269F62CA"/>
    <w:rsid w:val="26AE0A08"/>
    <w:rsid w:val="26FC40B5"/>
    <w:rsid w:val="270C7D54"/>
    <w:rsid w:val="27756EF0"/>
    <w:rsid w:val="279C0E5D"/>
    <w:rsid w:val="27E96AE9"/>
    <w:rsid w:val="285A3EAD"/>
    <w:rsid w:val="289B3BA7"/>
    <w:rsid w:val="28A66592"/>
    <w:rsid w:val="28D138CE"/>
    <w:rsid w:val="28EE016A"/>
    <w:rsid w:val="29130CD2"/>
    <w:rsid w:val="291C48DB"/>
    <w:rsid w:val="29254C9D"/>
    <w:rsid w:val="29364C34"/>
    <w:rsid w:val="296F4C31"/>
    <w:rsid w:val="29B25CDA"/>
    <w:rsid w:val="2A121D58"/>
    <w:rsid w:val="2A3325A5"/>
    <w:rsid w:val="2A4707AE"/>
    <w:rsid w:val="2ADE4FEC"/>
    <w:rsid w:val="2B0D23FC"/>
    <w:rsid w:val="2B513C18"/>
    <w:rsid w:val="2B665425"/>
    <w:rsid w:val="2B6954FA"/>
    <w:rsid w:val="2B826BFE"/>
    <w:rsid w:val="2BED6EC4"/>
    <w:rsid w:val="2C296B31"/>
    <w:rsid w:val="2C555185"/>
    <w:rsid w:val="2C8C5E85"/>
    <w:rsid w:val="2CAA2E93"/>
    <w:rsid w:val="2CAE294C"/>
    <w:rsid w:val="2CD30E2E"/>
    <w:rsid w:val="2D1A7B20"/>
    <w:rsid w:val="2D575854"/>
    <w:rsid w:val="2D627EE5"/>
    <w:rsid w:val="2D6F263B"/>
    <w:rsid w:val="2DF24B69"/>
    <w:rsid w:val="2E1F3107"/>
    <w:rsid w:val="2E3732DD"/>
    <w:rsid w:val="2E751904"/>
    <w:rsid w:val="2E880C42"/>
    <w:rsid w:val="2E8A12FD"/>
    <w:rsid w:val="2EA529A9"/>
    <w:rsid w:val="2EA82B80"/>
    <w:rsid w:val="2EF43C03"/>
    <w:rsid w:val="2F1C4B27"/>
    <w:rsid w:val="2F392C6D"/>
    <w:rsid w:val="2F4C2309"/>
    <w:rsid w:val="2F876298"/>
    <w:rsid w:val="2F902733"/>
    <w:rsid w:val="2FE00462"/>
    <w:rsid w:val="2FE70033"/>
    <w:rsid w:val="2FF06BB4"/>
    <w:rsid w:val="30224FD2"/>
    <w:rsid w:val="3059789D"/>
    <w:rsid w:val="30E55E87"/>
    <w:rsid w:val="310B037E"/>
    <w:rsid w:val="314C7086"/>
    <w:rsid w:val="316C0FE5"/>
    <w:rsid w:val="317569C7"/>
    <w:rsid w:val="317C0D32"/>
    <w:rsid w:val="31B45A25"/>
    <w:rsid w:val="31C864A8"/>
    <w:rsid w:val="32345D5D"/>
    <w:rsid w:val="32390F3A"/>
    <w:rsid w:val="3251329C"/>
    <w:rsid w:val="3255180C"/>
    <w:rsid w:val="33180A49"/>
    <w:rsid w:val="336249A2"/>
    <w:rsid w:val="336851E5"/>
    <w:rsid w:val="33827902"/>
    <w:rsid w:val="33AA6C28"/>
    <w:rsid w:val="33B96B1C"/>
    <w:rsid w:val="33E725C3"/>
    <w:rsid w:val="340D4AA6"/>
    <w:rsid w:val="348B0B23"/>
    <w:rsid w:val="34A01FDD"/>
    <w:rsid w:val="34E26C82"/>
    <w:rsid w:val="34F32120"/>
    <w:rsid w:val="351F3572"/>
    <w:rsid w:val="359F14ED"/>
    <w:rsid w:val="35DD4BDD"/>
    <w:rsid w:val="35E54A65"/>
    <w:rsid w:val="36092649"/>
    <w:rsid w:val="361A5B1C"/>
    <w:rsid w:val="36353223"/>
    <w:rsid w:val="36380144"/>
    <w:rsid w:val="366A3D06"/>
    <w:rsid w:val="36945241"/>
    <w:rsid w:val="36FD71A5"/>
    <w:rsid w:val="37165A95"/>
    <w:rsid w:val="37345B39"/>
    <w:rsid w:val="373A5B29"/>
    <w:rsid w:val="376411C1"/>
    <w:rsid w:val="379653C7"/>
    <w:rsid w:val="37972F21"/>
    <w:rsid w:val="37A94A57"/>
    <w:rsid w:val="37D004D7"/>
    <w:rsid w:val="37FD0DE3"/>
    <w:rsid w:val="381B72E6"/>
    <w:rsid w:val="382E6F58"/>
    <w:rsid w:val="38A2484C"/>
    <w:rsid w:val="38B54ACC"/>
    <w:rsid w:val="38BE7C92"/>
    <w:rsid w:val="38D47070"/>
    <w:rsid w:val="394900E3"/>
    <w:rsid w:val="395C52C5"/>
    <w:rsid w:val="395C64C4"/>
    <w:rsid w:val="3996665B"/>
    <w:rsid w:val="39E920E7"/>
    <w:rsid w:val="39ED5DAB"/>
    <w:rsid w:val="3A230D45"/>
    <w:rsid w:val="3A302428"/>
    <w:rsid w:val="3A3514CD"/>
    <w:rsid w:val="3A3E45D7"/>
    <w:rsid w:val="3A6B7B18"/>
    <w:rsid w:val="3A76748B"/>
    <w:rsid w:val="3A97670E"/>
    <w:rsid w:val="3A9B2C48"/>
    <w:rsid w:val="3AE02626"/>
    <w:rsid w:val="3B524676"/>
    <w:rsid w:val="3B701672"/>
    <w:rsid w:val="3BC95811"/>
    <w:rsid w:val="3BDA3333"/>
    <w:rsid w:val="3C0303FD"/>
    <w:rsid w:val="3C496A35"/>
    <w:rsid w:val="3C5A4D73"/>
    <w:rsid w:val="3C813020"/>
    <w:rsid w:val="3CA97813"/>
    <w:rsid w:val="3CB74E6E"/>
    <w:rsid w:val="3D2F367C"/>
    <w:rsid w:val="3D5B4511"/>
    <w:rsid w:val="3D623334"/>
    <w:rsid w:val="3D852AEC"/>
    <w:rsid w:val="3DA667F5"/>
    <w:rsid w:val="3E3A69DA"/>
    <w:rsid w:val="3E646612"/>
    <w:rsid w:val="3E6F6F8E"/>
    <w:rsid w:val="3E7B470D"/>
    <w:rsid w:val="3EA15FDB"/>
    <w:rsid w:val="3EC24DFA"/>
    <w:rsid w:val="3EC45FA5"/>
    <w:rsid w:val="3EF91EF4"/>
    <w:rsid w:val="3F4D48F0"/>
    <w:rsid w:val="3F507624"/>
    <w:rsid w:val="3F54180C"/>
    <w:rsid w:val="3F5B6372"/>
    <w:rsid w:val="3FA43F3A"/>
    <w:rsid w:val="3FD461FA"/>
    <w:rsid w:val="3FF77E9D"/>
    <w:rsid w:val="40010B6F"/>
    <w:rsid w:val="406D1F76"/>
    <w:rsid w:val="40BE5FEE"/>
    <w:rsid w:val="40DE0EBE"/>
    <w:rsid w:val="40E66C1A"/>
    <w:rsid w:val="410511A5"/>
    <w:rsid w:val="411B6E4A"/>
    <w:rsid w:val="419666ED"/>
    <w:rsid w:val="419B4142"/>
    <w:rsid w:val="428E7B88"/>
    <w:rsid w:val="42A328D0"/>
    <w:rsid w:val="42C16619"/>
    <w:rsid w:val="42D53D01"/>
    <w:rsid w:val="42F04859"/>
    <w:rsid w:val="43215C08"/>
    <w:rsid w:val="437C1397"/>
    <w:rsid w:val="43A426A2"/>
    <w:rsid w:val="445738E0"/>
    <w:rsid w:val="44F17D9D"/>
    <w:rsid w:val="45316758"/>
    <w:rsid w:val="45397A4A"/>
    <w:rsid w:val="45423809"/>
    <w:rsid w:val="45513169"/>
    <w:rsid w:val="45583773"/>
    <w:rsid w:val="459E4443"/>
    <w:rsid w:val="45BA3461"/>
    <w:rsid w:val="45DB1246"/>
    <w:rsid w:val="460A7A3A"/>
    <w:rsid w:val="46170667"/>
    <w:rsid w:val="46C123A0"/>
    <w:rsid w:val="46C15E1B"/>
    <w:rsid w:val="47382A4E"/>
    <w:rsid w:val="47471387"/>
    <w:rsid w:val="474C28A5"/>
    <w:rsid w:val="47554DF2"/>
    <w:rsid w:val="475779AC"/>
    <w:rsid w:val="47A74DB9"/>
    <w:rsid w:val="47C8680D"/>
    <w:rsid w:val="48032756"/>
    <w:rsid w:val="48876C19"/>
    <w:rsid w:val="48D8026F"/>
    <w:rsid w:val="48E86DD5"/>
    <w:rsid w:val="48F3037E"/>
    <w:rsid w:val="48F73417"/>
    <w:rsid w:val="49070F7B"/>
    <w:rsid w:val="492813AF"/>
    <w:rsid w:val="49796DB8"/>
    <w:rsid w:val="49B71194"/>
    <w:rsid w:val="49BC050F"/>
    <w:rsid w:val="49C95250"/>
    <w:rsid w:val="49E50A27"/>
    <w:rsid w:val="4A7E7FDB"/>
    <w:rsid w:val="4AA00916"/>
    <w:rsid w:val="4AF87F23"/>
    <w:rsid w:val="4B0B3B2E"/>
    <w:rsid w:val="4B0E0AE9"/>
    <w:rsid w:val="4B630002"/>
    <w:rsid w:val="4B6526F7"/>
    <w:rsid w:val="4B7B65E5"/>
    <w:rsid w:val="4B7C70B7"/>
    <w:rsid w:val="4B9308B3"/>
    <w:rsid w:val="4C167314"/>
    <w:rsid w:val="4C1F7FEB"/>
    <w:rsid w:val="4C4E666B"/>
    <w:rsid w:val="4C66476C"/>
    <w:rsid w:val="4CC151F5"/>
    <w:rsid w:val="4CC95E73"/>
    <w:rsid w:val="4CEF4213"/>
    <w:rsid w:val="4CF3586E"/>
    <w:rsid w:val="4D34156C"/>
    <w:rsid w:val="4D6747A9"/>
    <w:rsid w:val="4D9B5E3A"/>
    <w:rsid w:val="4DC1771B"/>
    <w:rsid w:val="4DC45D6C"/>
    <w:rsid w:val="4DD703C3"/>
    <w:rsid w:val="4E3A62C3"/>
    <w:rsid w:val="4E7E2D9A"/>
    <w:rsid w:val="4E7E7FA6"/>
    <w:rsid w:val="4EC36344"/>
    <w:rsid w:val="4ED503CA"/>
    <w:rsid w:val="4EEA2366"/>
    <w:rsid w:val="4F797128"/>
    <w:rsid w:val="4FF021B9"/>
    <w:rsid w:val="501A76D6"/>
    <w:rsid w:val="502B642A"/>
    <w:rsid w:val="505D7D05"/>
    <w:rsid w:val="505E531F"/>
    <w:rsid w:val="505F3E5A"/>
    <w:rsid w:val="50685241"/>
    <w:rsid w:val="509A4218"/>
    <w:rsid w:val="50B7081A"/>
    <w:rsid w:val="50E11925"/>
    <w:rsid w:val="510D45AB"/>
    <w:rsid w:val="517E4689"/>
    <w:rsid w:val="51960107"/>
    <w:rsid w:val="51B9052F"/>
    <w:rsid w:val="51C11215"/>
    <w:rsid w:val="51CA2E17"/>
    <w:rsid w:val="51E61569"/>
    <w:rsid w:val="51FB09ED"/>
    <w:rsid w:val="52133FFC"/>
    <w:rsid w:val="522D08C2"/>
    <w:rsid w:val="525A7B46"/>
    <w:rsid w:val="52722233"/>
    <w:rsid w:val="52EA417D"/>
    <w:rsid w:val="530D7CE3"/>
    <w:rsid w:val="533A157E"/>
    <w:rsid w:val="534F1DDA"/>
    <w:rsid w:val="538F65E6"/>
    <w:rsid w:val="53AF6BD3"/>
    <w:rsid w:val="53B74668"/>
    <w:rsid w:val="53C77D0F"/>
    <w:rsid w:val="53E46409"/>
    <w:rsid w:val="53EF4328"/>
    <w:rsid w:val="53F37321"/>
    <w:rsid w:val="54251920"/>
    <w:rsid w:val="542765A2"/>
    <w:rsid w:val="54436772"/>
    <w:rsid w:val="54804852"/>
    <w:rsid w:val="54843EA5"/>
    <w:rsid w:val="55021E1E"/>
    <w:rsid w:val="552D370E"/>
    <w:rsid w:val="553D4941"/>
    <w:rsid w:val="55757F23"/>
    <w:rsid w:val="55C263B9"/>
    <w:rsid w:val="55F0795D"/>
    <w:rsid w:val="55F1553A"/>
    <w:rsid w:val="55FE4D06"/>
    <w:rsid w:val="560E103A"/>
    <w:rsid w:val="56316B17"/>
    <w:rsid w:val="567A40F5"/>
    <w:rsid w:val="568E730F"/>
    <w:rsid w:val="56917152"/>
    <w:rsid w:val="56AE26A4"/>
    <w:rsid w:val="56AF3052"/>
    <w:rsid w:val="56BE4728"/>
    <w:rsid w:val="578F1DE2"/>
    <w:rsid w:val="57A876FC"/>
    <w:rsid w:val="57CE3CC9"/>
    <w:rsid w:val="57F6349C"/>
    <w:rsid w:val="58122301"/>
    <w:rsid w:val="58122A3E"/>
    <w:rsid w:val="58A4622E"/>
    <w:rsid w:val="59603805"/>
    <w:rsid w:val="596E40F4"/>
    <w:rsid w:val="597626EA"/>
    <w:rsid w:val="59B156FB"/>
    <w:rsid w:val="59B26092"/>
    <w:rsid w:val="59EB1517"/>
    <w:rsid w:val="59F11F1B"/>
    <w:rsid w:val="59F665AB"/>
    <w:rsid w:val="59FA170E"/>
    <w:rsid w:val="5A3920B7"/>
    <w:rsid w:val="5A4C2740"/>
    <w:rsid w:val="5A561422"/>
    <w:rsid w:val="5A6F4A09"/>
    <w:rsid w:val="5A7B7BA0"/>
    <w:rsid w:val="5A8A4EDA"/>
    <w:rsid w:val="5AB70EA8"/>
    <w:rsid w:val="5AEB6066"/>
    <w:rsid w:val="5B3554AF"/>
    <w:rsid w:val="5B470CAA"/>
    <w:rsid w:val="5B843B31"/>
    <w:rsid w:val="5B8F40AF"/>
    <w:rsid w:val="5BC34309"/>
    <w:rsid w:val="5CB82B89"/>
    <w:rsid w:val="5D05775C"/>
    <w:rsid w:val="5D8B1AC0"/>
    <w:rsid w:val="5DA21B11"/>
    <w:rsid w:val="5DC47B76"/>
    <w:rsid w:val="5E040A06"/>
    <w:rsid w:val="5E177BCF"/>
    <w:rsid w:val="5E1C1159"/>
    <w:rsid w:val="5E2B0967"/>
    <w:rsid w:val="5E633D51"/>
    <w:rsid w:val="5E6B32CB"/>
    <w:rsid w:val="5E7E5D0D"/>
    <w:rsid w:val="5EC27BFB"/>
    <w:rsid w:val="5EDE7548"/>
    <w:rsid w:val="5F1929AE"/>
    <w:rsid w:val="5F2B4769"/>
    <w:rsid w:val="5F7E1DC2"/>
    <w:rsid w:val="5FC24B65"/>
    <w:rsid w:val="5FC84B88"/>
    <w:rsid w:val="602958BA"/>
    <w:rsid w:val="60311149"/>
    <w:rsid w:val="60470A9E"/>
    <w:rsid w:val="606E777D"/>
    <w:rsid w:val="608E0125"/>
    <w:rsid w:val="609C4D54"/>
    <w:rsid w:val="60C630F8"/>
    <w:rsid w:val="60E541C1"/>
    <w:rsid w:val="6164052A"/>
    <w:rsid w:val="62052504"/>
    <w:rsid w:val="62072442"/>
    <w:rsid w:val="62C42371"/>
    <w:rsid w:val="638C61E2"/>
    <w:rsid w:val="63952FCB"/>
    <w:rsid w:val="63D15AA3"/>
    <w:rsid w:val="64320513"/>
    <w:rsid w:val="648F711B"/>
    <w:rsid w:val="649D0556"/>
    <w:rsid w:val="64D6060B"/>
    <w:rsid w:val="64DF3D3D"/>
    <w:rsid w:val="654F2CEC"/>
    <w:rsid w:val="65BC5356"/>
    <w:rsid w:val="660D75AB"/>
    <w:rsid w:val="66334204"/>
    <w:rsid w:val="6697115B"/>
    <w:rsid w:val="66A84A8A"/>
    <w:rsid w:val="66D43FCC"/>
    <w:rsid w:val="66ED2819"/>
    <w:rsid w:val="66FB59E6"/>
    <w:rsid w:val="670F686E"/>
    <w:rsid w:val="67166978"/>
    <w:rsid w:val="674F019F"/>
    <w:rsid w:val="676A04F8"/>
    <w:rsid w:val="67D658B7"/>
    <w:rsid w:val="67FD7EF9"/>
    <w:rsid w:val="6811457E"/>
    <w:rsid w:val="68555AB7"/>
    <w:rsid w:val="68CD1A45"/>
    <w:rsid w:val="68D13389"/>
    <w:rsid w:val="6907245E"/>
    <w:rsid w:val="690B312F"/>
    <w:rsid w:val="690F099B"/>
    <w:rsid w:val="692B04EF"/>
    <w:rsid w:val="694F0FB4"/>
    <w:rsid w:val="69544D96"/>
    <w:rsid w:val="696864DF"/>
    <w:rsid w:val="696F0E8A"/>
    <w:rsid w:val="69DF07D2"/>
    <w:rsid w:val="6A1A1703"/>
    <w:rsid w:val="6A362D0C"/>
    <w:rsid w:val="6A3C6CEC"/>
    <w:rsid w:val="6A4635C7"/>
    <w:rsid w:val="6A6D5D10"/>
    <w:rsid w:val="6AA4007F"/>
    <w:rsid w:val="6ACD2BBC"/>
    <w:rsid w:val="6B0D5E54"/>
    <w:rsid w:val="6B304B95"/>
    <w:rsid w:val="6B966B20"/>
    <w:rsid w:val="6BEC3FD5"/>
    <w:rsid w:val="6BF92DBE"/>
    <w:rsid w:val="6C37547B"/>
    <w:rsid w:val="6C8F4618"/>
    <w:rsid w:val="6C96626A"/>
    <w:rsid w:val="6CB55642"/>
    <w:rsid w:val="6CD20FEB"/>
    <w:rsid w:val="6CD91397"/>
    <w:rsid w:val="6D017E4E"/>
    <w:rsid w:val="6D485114"/>
    <w:rsid w:val="6D887AF2"/>
    <w:rsid w:val="6D9578D7"/>
    <w:rsid w:val="6D9917C2"/>
    <w:rsid w:val="6DA47114"/>
    <w:rsid w:val="6DAD2EFA"/>
    <w:rsid w:val="6DC57224"/>
    <w:rsid w:val="6DE10186"/>
    <w:rsid w:val="6E075C16"/>
    <w:rsid w:val="6E196DA8"/>
    <w:rsid w:val="6EC73FC9"/>
    <w:rsid w:val="6F55399F"/>
    <w:rsid w:val="6F95650A"/>
    <w:rsid w:val="6FA428E4"/>
    <w:rsid w:val="6FFD4807"/>
    <w:rsid w:val="70064D4C"/>
    <w:rsid w:val="700E34A1"/>
    <w:rsid w:val="702748A4"/>
    <w:rsid w:val="708A20E3"/>
    <w:rsid w:val="70BB7A64"/>
    <w:rsid w:val="7106094F"/>
    <w:rsid w:val="713D2AD3"/>
    <w:rsid w:val="72110F71"/>
    <w:rsid w:val="721E1B58"/>
    <w:rsid w:val="72276E30"/>
    <w:rsid w:val="72334B23"/>
    <w:rsid w:val="72480155"/>
    <w:rsid w:val="72655673"/>
    <w:rsid w:val="72AD4CF1"/>
    <w:rsid w:val="737C7A7B"/>
    <w:rsid w:val="738F07BD"/>
    <w:rsid w:val="73D049F3"/>
    <w:rsid w:val="73F16D8F"/>
    <w:rsid w:val="74234ED8"/>
    <w:rsid w:val="74273C72"/>
    <w:rsid w:val="743E0FFE"/>
    <w:rsid w:val="746417E6"/>
    <w:rsid w:val="74F151CD"/>
    <w:rsid w:val="752A54E1"/>
    <w:rsid w:val="752A71C7"/>
    <w:rsid w:val="75483520"/>
    <w:rsid w:val="75B92118"/>
    <w:rsid w:val="75D05E5E"/>
    <w:rsid w:val="75D424E9"/>
    <w:rsid w:val="75E56865"/>
    <w:rsid w:val="768B5E75"/>
    <w:rsid w:val="769C6DCB"/>
    <w:rsid w:val="769E2AE1"/>
    <w:rsid w:val="76AB321A"/>
    <w:rsid w:val="76CD5E00"/>
    <w:rsid w:val="77282E30"/>
    <w:rsid w:val="77C0078F"/>
    <w:rsid w:val="77DB7DA2"/>
    <w:rsid w:val="77F801FC"/>
    <w:rsid w:val="781E412A"/>
    <w:rsid w:val="78217865"/>
    <w:rsid w:val="784120F4"/>
    <w:rsid w:val="789349A5"/>
    <w:rsid w:val="78F1330A"/>
    <w:rsid w:val="78FF4A6B"/>
    <w:rsid w:val="7908085A"/>
    <w:rsid w:val="7994430B"/>
    <w:rsid w:val="79CE6B90"/>
    <w:rsid w:val="7A0B41AE"/>
    <w:rsid w:val="7A2A5603"/>
    <w:rsid w:val="7A7B4515"/>
    <w:rsid w:val="7A8E49B8"/>
    <w:rsid w:val="7A9A63AB"/>
    <w:rsid w:val="7AB8171E"/>
    <w:rsid w:val="7ACE04DE"/>
    <w:rsid w:val="7AF163A0"/>
    <w:rsid w:val="7B304250"/>
    <w:rsid w:val="7B9B1C4F"/>
    <w:rsid w:val="7C2E442B"/>
    <w:rsid w:val="7D03352E"/>
    <w:rsid w:val="7DC52628"/>
    <w:rsid w:val="7DC7123F"/>
    <w:rsid w:val="7DD728E8"/>
    <w:rsid w:val="7DE03EC9"/>
    <w:rsid w:val="7E265608"/>
    <w:rsid w:val="7E3F50E9"/>
    <w:rsid w:val="7E796D66"/>
    <w:rsid w:val="7EC05349"/>
    <w:rsid w:val="7EF90449"/>
    <w:rsid w:val="7FC40203"/>
    <w:rsid w:val="7FFB2F2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4"/>
    <w:qFormat/>
    <w:uiPriority w:val="0"/>
    <w:pPr>
      <w:keepNext/>
      <w:keepLines/>
      <w:spacing w:before="340" w:after="330" w:line="576" w:lineRule="auto"/>
      <w:outlineLvl w:val="0"/>
    </w:pPr>
    <w:rPr>
      <w:b/>
      <w:kern w:val="44"/>
      <w:sz w:val="44"/>
      <w:szCs w:val="20"/>
    </w:rPr>
  </w:style>
  <w:style w:type="paragraph" w:styleId="4">
    <w:name w:val="heading 2"/>
    <w:basedOn w:val="1"/>
    <w:next w:val="1"/>
    <w:link w:val="56"/>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qFormat/>
    <w:uiPriority w:val="0"/>
    <w:pPr>
      <w:keepNext/>
      <w:keepLines/>
      <w:spacing w:line="360" w:lineRule="auto"/>
      <w:outlineLvl w:val="2"/>
    </w:pPr>
    <w:rPr>
      <w:bCs/>
      <w:sz w:val="24"/>
      <w:szCs w:val="32"/>
    </w:rPr>
  </w:style>
  <w:style w:type="paragraph" w:styleId="6">
    <w:name w:val="heading 4"/>
    <w:basedOn w:val="1"/>
    <w:next w:val="1"/>
    <w:qFormat/>
    <w:uiPriority w:val="0"/>
    <w:pPr>
      <w:keepNext/>
      <w:keepLines/>
      <w:adjustRightInd w:val="0"/>
      <w:snapToGrid w:val="0"/>
      <w:spacing w:line="500" w:lineRule="exact"/>
      <w:ind w:left="426"/>
      <w:outlineLvl w:val="3"/>
    </w:pPr>
    <w:rPr>
      <w:rFonts w:ascii="Arial" w:hAnsi="Arial"/>
      <w:bCs/>
      <w:sz w:val="24"/>
      <w:szCs w:val="28"/>
    </w:rPr>
  </w:style>
  <w:style w:type="paragraph" w:styleId="7">
    <w:name w:val="heading 5"/>
    <w:basedOn w:val="1"/>
    <w:next w:val="1"/>
    <w:qFormat/>
    <w:uiPriority w:val="0"/>
    <w:pPr>
      <w:keepNext/>
      <w:keepLines/>
      <w:tabs>
        <w:tab w:val="left" w:pos="33"/>
      </w:tabs>
      <w:spacing w:before="280" w:after="290"/>
      <w:ind w:left="436" w:firstLine="448"/>
      <w:outlineLvl w:val="4"/>
    </w:pPr>
    <w:rPr>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8">
    <w:name w:val="Normal Indent"/>
    <w:basedOn w:val="1"/>
    <w:qFormat/>
    <w:uiPriority w:val="0"/>
    <w:pPr>
      <w:adjustRightInd w:val="0"/>
      <w:spacing w:line="360" w:lineRule="atLeast"/>
      <w:ind w:firstLine="420"/>
      <w:textAlignment w:val="baseline"/>
    </w:pPr>
    <w:rPr>
      <w:szCs w:val="20"/>
      <w:lang w:val="zh-CN"/>
    </w:rPr>
  </w:style>
  <w:style w:type="paragraph" w:styleId="9">
    <w:name w:val="Document Map"/>
    <w:basedOn w:val="1"/>
    <w:semiHidden/>
    <w:qFormat/>
    <w:uiPriority w:val="0"/>
    <w:pPr>
      <w:shd w:val="clear" w:color="auto" w:fill="000080"/>
    </w:pPr>
  </w:style>
  <w:style w:type="paragraph" w:styleId="10">
    <w:name w:val="annotation text"/>
    <w:basedOn w:val="1"/>
    <w:link w:val="50"/>
    <w:qFormat/>
    <w:uiPriority w:val="0"/>
    <w:pPr>
      <w:jc w:val="left"/>
    </w:pPr>
    <w:rPr>
      <w:szCs w:val="20"/>
    </w:rPr>
  </w:style>
  <w:style w:type="paragraph" w:styleId="11">
    <w:name w:val="Body Text 3"/>
    <w:basedOn w:val="1"/>
    <w:qFormat/>
    <w:uiPriority w:val="0"/>
    <w:pPr>
      <w:spacing w:after="120"/>
    </w:pPr>
    <w:rPr>
      <w:sz w:val="16"/>
      <w:szCs w:val="16"/>
    </w:rPr>
  </w:style>
  <w:style w:type="paragraph" w:styleId="12">
    <w:name w:val="Body Text"/>
    <w:basedOn w:val="1"/>
    <w:link w:val="67"/>
    <w:qFormat/>
    <w:uiPriority w:val="0"/>
    <w:pPr>
      <w:spacing w:after="120"/>
    </w:pPr>
    <w:rPr>
      <w:szCs w:val="24"/>
    </w:rPr>
  </w:style>
  <w:style w:type="paragraph" w:styleId="13">
    <w:name w:val="Body Text Indent"/>
    <w:basedOn w:val="1"/>
    <w:qFormat/>
    <w:uiPriority w:val="0"/>
    <w:pPr>
      <w:spacing w:after="120"/>
      <w:ind w:left="420" w:leftChars="200"/>
    </w:pPr>
  </w:style>
  <w:style w:type="paragraph" w:styleId="14">
    <w:name w:val="Plain Text"/>
    <w:basedOn w:val="1"/>
    <w:link w:val="65"/>
    <w:qFormat/>
    <w:uiPriority w:val="0"/>
    <w:rPr>
      <w:rFonts w:ascii="宋体" w:hAnsi="Courier New" w:cs="Courier New"/>
      <w:szCs w:val="21"/>
    </w:rPr>
  </w:style>
  <w:style w:type="paragraph" w:styleId="15">
    <w:name w:val="Date"/>
    <w:basedOn w:val="1"/>
    <w:next w:val="1"/>
    <w:qFormat/>
    <w:uiPriority w:val="0"/>
    <w:pPr>
      <w:ind w:left="100" w:leftChars="2500"/>
    </w:p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footnote text"/>
    <w:basedOn w:val="1"/>
    <w:semiHidden/>
    <w:qFormat/>
    <w:uiPriority w:val="0"/>
    <w:pPr>
      <w:snapToGrid w:val="0"/>
      <w:jc w:val="left"/>
    </w:pPr>
    <w:rPr>
      <w:sz w:val="18"/>
      <w:szCs w:val="18"/>
    </w:rPr>
  </w:style>
  <w:style w:type="paragraph" w:styleId="21">
    <w:name w:val="Body Text Indent 3"/>
    <w:basedOn w:val="1"/>
    <w:qFormat/>
    <w:uiPriority w:val="0"/>
    <w:pPr>
      <w:spacing w:after="120"/>
      <w:ind w:left="420" w:leftChars="200"/>
    </w:pPr>
    <w:rPr>
      <w:sz w:val="16"/>
      <w:szCs w:val="16"/>
    </w:rPr>
  </w:style>
  <w:style w:type="paragraph" w:styleId="22">
    <w:name w:val="HTML Preformatted"/>
    <w:basedOn w:val="1"/>
    <w:qFormat/>
    <w:uiPriority w:val="0"/>
    <w:rPr>
      <w:rFonts w:ascii="Courier New" w:hAnsi="Courier New" w:cs="Courier New"/>
      <w:sz w:val="20"/>
      <w:szCs w:val="2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annotation subject"/>
    <w:basedOn w:val="10"/>
    <w:next w:val="10"/>
    <w:semiHidden/>
    <w:qFormat/>
    <w:uiPriority w:val="0"/>
    <w:rPr>
      <w:rFonts w:ascii="Calibri" w:hAnsi="Calibri"/>
      <w:b/>
      <w:bCs/>
      <w:szCs w:val="22"/>
    </w:rPr>
  </w:style>
  <w:style w:type="paragraph" w:styleId="25">
    <w:name w:val="Body Text First Indent"/>
    <w:basedOn w:val="12"/>
    <w:qFormat/>
    <w:uiPriority w:val="0"/>
    <w:pPr>
      <w:ind w:firstLine="420" w:firstLineChars="100"/>
    </w:pPr>
    <w:rPr>
      <w:rFonts w:ascii="Calibri" w:hAnsi="Calibri"/>
      <w:szCs w:val="2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rFonts w:hint="eastAsia" w:ascii="微软雅黑" w:hAnsi="微软雅黑" w:eastAsia="微软雅黑" w:cs="微软雅黑"/>
      <w:color w:val="337AB7"/>
      <w:u w:val="none"/>
    </w:rPr>
  </w:style>
  <w:style w:type="character" w:styleId="32">
    <w:name w:val="Emphasis"/>
    <w:qFormat/>
    <w:uiPriority w:val="0"/>
    <w:rPr>
      <w:rFonts w:eastAsia="华文仿宋" w:cs="Times New Roman"/>
      <w:sz w:val="24"/>
    </w:rPr>
  </w:style>
  <w:style w:type="character" w:styleId="33">
    <w:name w:val="HTML Definition"/>
    <w:qFormat/>
    <w:uiPriority w:val="0"/>
    <w:rPr>
      <w:i/>
    </w:rPr>
  </w:style>
  <w:style w:type="character" w:styleId="34">
    <w:name w:val="Hyperlink"/>
    <w:qFormat/>
    <w:uiPriority w:val="99"/>
    <w:rPr>
      <w:color w:val="0000FF"/>
      <w:u w:val="single"/>
    </w:rPr>
  </w:style>
  <w:style w:type="character" w:styleId="35">
    <w:name w:val="HTML Code"/>
    <w:qFormat/>
    <w:uiPriority w:val="0"/>
    <w:rPr>
      <w:rFonts w:ascii="Consolas" w:hAnsi="Consolas" w:eastAsia="Consolas" w:cs="Consolas"/>
      <w:color w:val="C7254E"/>
      <w:sz w:val="21"/>
      <w:szCs w:val="21"/>
      <w:bdr w:val="single" w:color="E1E1E1" w:sz="6" w:space="0"/>
      <w:shd w:val="clear" w:color="auto" w:fill="F9F2F4"/>
    </w:rPr>
  </w:style>
  <w:style w:type="character" w:styleId="36">
    <w:name w:val="annotation reference"/>
    <w:qFormat/>
    <w:uiPriority w:val="0"/>
    <w:rPr>
      <w:rFonts w:cs="Times New Roman"/>
      <w:sz w:val="21"/>
    </w:rPr>
  </w:style>
  <w:style w:type="character" w:styleId="37">
    <w:name w:val="HTML Keyboard"/>
    <w:qFormat/>
    <w:uiPriority w:val="0"/>
    <w:rPr>
      <w:rFonts w:hint="default" w:ascii="Consolas" w:hAnsi="Consolas" w:eastAsia="Consolas" w:cs="Consolas"/>
      <w:color w:val="FFFFFF"/>
      <w:sz w:val="21"/>
      <w:szCs w:val="21"/>
      <w:shd w:val="clear" w:color="auto" w:fill="333333"/>
    </w:rPr>
  </w:style>
  <w:style w:type="character" w:styleId="38">
    <w:name w:val="HTML Sample"/>
    <w:qFormat/>
    <w:uiPriority w:val="0"/>
    <w:rPr>
      <w:rFonts w:hint="default" w:ascii="Consolas" w:hAnsi="Consolas" w:eastAsia="Consolas" w:cs="Consolas"/>
      <w:sz w:val="21"/>
      <w:szCs w:val="21"/>
    </w:rPr>
  </w:style>
  <w:style w:type="paragraph" w:customStyle="1" w:styleId="39">
    <w:name w:val="样式 正文文本 + 新宋体 小四 黑色"/>
    <w:basedOn w:val="12"/>
    <w:link w:val="57"/>
    <w:qFormat/>
    <w:uiPriority w:val="0"/>
    <w:rPr>
      <w:rFonts w:ascii="新宋体" w:hAnsi="新宋体"/>
      <w:color w:val="000000"/>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样式 标题 3 + 新宋体"/>
    <w:basedOn w:val="5"/>
    <w:link w:val="71"/>
    <w:qFormat/>
    <w:uiPriority w:val="0"/>
    <w:rPr>
      <w:rFonts w:ascii="新宋体" w:hAnsi="新宋体"/>
      <w:bCs w:val="0"/>
      <w:kern w:val="0"/>
      <w:sz w:val="21"/>
    </w:rPr>
  </w:style>
  <w:style w:type="paragraph" w:customStyle="1" w:styleId="42">
    <w:name w:val="Table Paragraph"/>
    <w:basedOn w:val="1"/>
    <w:qFormat/>
    <w:uiPriority w:val="0"/>
    <w:pPr>
      <w:autoSpaceDE w:val="0"/>
      <w:autoSpaceDN w:val="0"/>
      <w:jc w:val="left"/>
    </w:pPr>
    <w:rPr>
      <w:rFonts w:ascii="宋体" w:cs="宋体"/>
      <w:kern w:val="0"/>
      <w:sz w:val="22"/>
      <w:lang w:val="zh-CN" w:bidi="zh-CN"/>
    </w:rPr>
  </w:style>
  <w:style w:type="paragraph" w:customStyle="1" w:styleId="43">
    <w:name w:val="_Style 42"/>
    <w:unhideWhenUsed/>
    <w:qFormat/>
    <w:uiPriority w:val="99"/>
    <w:rPr>
      <w:rFonts w:ascii="Times New Roman" w:hAnsi="Times New Roman" w:eastAsia="宋体" w:cs="Times New Roman"/>
      <w:kern w:val="2"/>
      <w:sz w:val="21"/>
      <w:szCs w:val="22"/>
      <w:lang w:val="en-US" w:eastAsia="zh-CN" w:bidi="ar-SA"/>
    </w:rPr>
  </w:style>
  <w:style w:type="paragraph" w:customStyle="1" w:styleId="44">
    <w:name w:val="修订11"/>
    <w:unhideWhenUsed/>
    <w:qFormat/>
    <w:uiPriority w:val="99"/>
    <w:rPr>
      <w:rFonts w:ascii="Times New Roman" w:hAnsi="Times New Roman" w:eastAsia="宋体" w:cs="Times New Roman"/>
      <w:kern w:val="2"/>
      <w:sz w:val="21"/>
      <w:szCs w:val="22"/>
      <w:lang w:val="en-US" w:eastAsia="zh-CN" w:bidi="ar-SA"/>
    </w:rPr>
  </w:style>
  <w:style w:type="paragraph" w:customStyle="1" w:styleId="45">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46">
    <w:name w:val="TOC 标题1"/>
    <w:basedOn w:val="3"/>
    <w:next w:val="1"/>
    <w:qFormat/>
    <w:uiPriority w:val="0"/>
    <w:pPr>
      <w:widowControl/>
      <w:spacing w:before="480" w:after="0" w:line="276" w:lineRule="auto"/>
      <w:jc w:val="left"/>
      <w:outlineLvl w:val="9"/>
    </w:pPr>
    <w:rPr>
      <w:rFonts w:ascii="Cambria" w:hAnsi="Cambria"/>
      <w:color w:val="365F91"/>
      <w:kern w:val="0"/>
      <w:sz w:val="28"/>
    </w:rPr>
  </w:style>
  <w:style w:type="paragraph" w:styleId="47">
    <w:name w:val="List Paragraph"/>
    <w:basedOn w:val="1"/>
    <w:qFormat/>
    <w:uiPriority w:val="99"/>
    <w:pPr>
      <w:ind w:firstLine="420" w:firstLineChars="200"/>
    </w:pPr>
  </w:style>
  <w:style w:type="paragraph" w:customStyle="1" w:styleId="48">
    <w:name w:val="文二"/>
    <w:basedOn w:val="1"/>
    <w:qFormat/>
    <w:uiPriority w:val="0"/>
    <w:pPr>
      <w:jc w:val="left"/>
    </w:pPr>
    <w:rPr>
      <w:rFonts w:ascii="宋体" w:hAnsi="宋体"/>
      <w:szCs w:val="21"/>
    </w:rPr>
  </w:style>
  <w:style w:type="paragraph" w:customStyle="1" w:styleId="49">
    <w:name w:val="Char Char Char Char"/>
    <w:basedOn w:val="9"/>
    <w:qFormat/>
    <w:uiPriority w:val="0"/>
    <w:pPr>
      <w:widowControl/>
      <w:ind w:firstLine="454"/>
      <w:jc w:val="left"/>
    </w:pPr>
    <w:rPr>
      <w:szCs w:val="20"/>
    </w:rPr>
  </w:style>
  <w:style w:type="character" w:customStyle="1" w:styleId="50">
    <w:name w:val="批注文字 Char2"/>
    <w:basedOn w:val="28"/>
    <w:link w:val="10"/>
    <w:qFormat/>
    <w:uiPriority w:val="0"/>
    <w:rPr>
      <w:rFonts w:hint="eastAsia" w:ascii="宋体" w:hAnsi="宋体" w:eastAsia="宋体" w:cs="宋体"/>
      <w:sz w:val="24"/>
      <w:szCs w:val="24"/>
    </w:rPr>
  </w:style>
  <w:style w:type="character" w:customStyle="1" w:styleId="51">
    <w:name w:val="批注文字 Char1"/>
    <w:semiHidden/>
    <w:qFormat/>
    <w:uiPriority w:val="0"/>
    <w:rPr>
      <w:rFonts w:ascii="Calibri" w:hAnsi="Calibri" w:eastAsia="宋体"/>
      <w:kern w:val="2"/>
      <w:sz w:val="21"/>
      <w:szCs w:val="22"/>
      <w:lang w:val="en-US" w:eastAsia="zh-CN" w:bidi="ar-SA"/>
    </w:rPr>
  </w:style>
  <w:style w:type="character" w:customStyle="1" w:styleId="52">
    <w:name w:val="批注文字 Char"/>
    <w:qFormat/>
    <w:locked/>
    <w:uiPriority w:val="0"/>
    <w:rPr>
      <w:rFonts w:eastAsia="宋体"/>
      <w:kern w:val="2"/>
      <w:sz w:val="21"/>
      <w:lang w:val="en-US" w:eastAsia="zh-CN" w:bidi="ar-SA"/>
    </w:rPr>
  </w:style>
  <w:style w:type="character" w:customStyle="1" w:styleId="53">
    <w:name w:val="username"/>
    <w:basedOn w:val="28"/>
    <w:qFormat/>
    <w:uiPriority w:val="0"/>
  </w:style>
  <w:style w:type="character" w:customStyle="1" w:styleId="54">
    <w:name w:val="标题 1 Char"/>
    <w:link w:val="3"/>
    <w:qFormat/>
    <w:locked/>
    <w:uiPriority w:val="0"/>
    <w:rPr>
      <w:rFonts w:eastAsia="宋体"/>
      <w:b/>
      <w:kern w:val="44"/>
      <w:sz w:val="44"/>
      <w:lang w:val="en-US" w:eastAsia="zh-CN" w:bidi="ar-SA"/>
    </w:rPr>
  </w:style>
  <w:style w:type="character" w:customStyle="1" w:styleId="55">
    <w:name w:val="Char Char21"/>
    <w:qFormat/>
    <w:uiPriority w:val="0"/>
    <w:rPr>
      <w:rFonts w:eastAsia="宋体"/>
      <w:b/>
      <w:kern w:val="44"/>
      <w:sz w:val="44"/>
    </w:rPr>
  </w:style>
  <w:style w:type="character" w:customStyle="1" w:styleId="56">
    <w:name w:val="标题 2 Char1"/>
    <w:basedOn w:val="28"/>
    <w:link w:val="4"/>
    <w:qFormat/>
    <w:uiPriority w:val="0"/>
    <w:rPr>
      <w:rFonts w:ascii="等线 Light" w:hAnsi="等线 Light" w:eastAsia="等线 Light" w:cs="Times New Roman"/>
      <w:b/>
      <w:kern w:val="2"/>
      <w:sz w:val="32"/>
      <w:szCs w:val="32"/>
    </w:rPr>
  </w:style>
  <w:style w:type="character" w:customStyle="1" w:styleId="57">
    <w:name w:val="样式 正文文本 + 新宋体 小四 黑色 Char"/>
    <w:link w:val="39"/>
    <w:qFormat/>
    <w:uiPriority w:val="0"/>
    <w:rPr>
      <w:rFonts w:ascii="新宋体" w:hAnsi="新宋体" w:eastAsia="宋体"/>
      <w:color w:val="000000"/>
      <w:kern w:val="2"/>
      <w:sz w:val="21"/>
      <w:szCs w:val="24"/>
      <w:lang w:val="en-US" w:eastAsia="zh-CN" w:bidi="ar-SA"/>
    </w:rPr>
  </w:style>
  <w:style w:type="character" w:customStyle="1" w:styleId="58">
    <w:name w:val="标题 2 Char"/>
    <w:qFormat/>
    <w:locked/>
    <w:uiPriority w:val="0"/>
    <w:rPr>
      <w:rFonts w:ascii="Arial" w:hAnsi="Arial" w:eastAsia="黑体"/>
      <w:b/>
      <w:kern w:val="2"/>
      <w:sz w:val="32"/>
      <w:lang w:val="en-US" w:eastAsia="zh-CN" w:bidi="ar-SA"/>
    </w:rPr>
  </w:style>
  <w:style w:type="character" w:customStyle="1" w:styleId="59">
    <w:name w:val="纯文本 Char"/>
    <w:qFormat/>
    <w:locked/>
    <w:uiPriority w:val="0"/>
    <w:rPr>
      <w:rFonts w:ascii="宋体" w:hAnsi="Courier New" w:eastAsia="宋体" w:cs="Courier New"/>
      <w:kern w:val="2"/>
      <w:sz w:val="21"/>
      <w:szCs w:val="21"/>
      <w:lang w:val="en-US" w:eastAsia="zh-CN" w:bidi="ar-SA"/>
    </w:rPr>
  </w:style>
  <w:style w:type="character" w:customStyle="1" w:styleId="60">
    <w:name w:val="font161"/>
    <w:qFormat/>
    <w:uiPriority w:val="0"/>
    <w:rPr>
      <w:b/>
      <w:sz w:val="32"/>
    </w:rPr>
  </w:style>
  <w:style w:type="character" w:customStyle="1" w:styleId="61">
    <w:name w:val="Char Char5"/>
    <w:qFormat/>
    <w:uiPriority w:val="0"/>
    <w:rPr>
      <w:rFonts w:eastAsia="宋体"/>
      <w:kern w:val="2"/>
      <w:sz w:val="21"/>
    </w:rPr>
  </w:style>
  <w:style w:type="character" w:customStyle="1" w:styleId="62">
    <w:name w:val="样式 新宋体 小四"/>
    <w:qFormat/>
    <w:uiPriority w:val="0"/>
    <w:rPr>
      <w:rFonts w:ascii="新宋体" w:hAnsi="新宋体" w:eastAsia="宋体"/>
      <w:sz w:val="21"/>
    </w:rPr>
  </w:style>
  <w:style w:type="character" w:customStyle="1" w:styleId="63">
    <w:name w:val="批注文字 字符1"/>
    <w:basedOn w:val="28"/>
    <w:qFormat/>
    <w:uiPriority w:val="0"/>
    <w:rPr>
      <w:kern w:val="2"/>
      <w:sz w:val="21"/>
      <w:szCs w:val="22"/>
    </w:rPr>
  </w:style>
  <w:style w:type="character" w:customStyle="1" w:styleId="64">
    <w:name w:val="title26"/>
    <w:basedOn w:val="28"/>
    <w:qFormat/>
    <w:uiPriority w:val="0"/>
  </w:style>
  <w:style w:type="character" w:customStyle="1" w:styleId="65">
    <w:name w:val="纯文本 Char1"/>
    <w:basedOn w:val="28"/>
    <w:link w:val="14"/>
    <w:qFormat/>
    <w:uiPriority w:val="0"/>
    <w:rPr>
      <w:rFonts w:ascii="等线" w:hAnsi="Courier New" w:eastAsia="等线" w:cs="Courier New"/>
      <w:kern w:val="2"/>
      <w:sz w:val="21"/>
      <w:szCs w:val="22"/>
    </w:rPr>
  </w:style>
  <w:style w:type="character" w:customStyle="1" w:styleId="66">
    <w:name w:val="Heading 1 Char"/>
    <w:qFormat/>
    <w:locked/>
    <w:uiPriority w:val="0"/>
    <w:rPr>
      <w:rFonts w:eastAsia="宋体" w:cs="Times New Roman"/>
      <w:b/>
      <w:kern w:val="44"/>
      <w:sz w:val="44"/>
    </w:rPr>
  </w:style>
  <w:style w:type="character" w:customStyle="1" w:styleId="67">
    <w:name w:val="正文文本 Char1"/>
    <w:basedOn w:val="28"/>
    <w:link w:val="12"/>
    <w:qFormat/>
    <w:uiPriority w:val="0"/>
    <w:rPr>
      <w:kern w:val="2"/>
      <w:sz w:val="21"/>
      <w:szCs w:val="22"/>
    </w:rPr>
  </w:style>
  <w:style w:type="character" w:customStyle="1" w:styleId="68">
    <w:name w:val="正文文本 Char"/>
    <w:qFormat/>
    <w:uiPriority w:val="0"/>
    <w:rPr>
      <w:rFonts w:eastAsia="宋体"/>
      <w:kern w:val="2"/>
      <w:sz w:val="21"/>
      <w:szCs w:val="24"/>
      <w:lang w:val="en-US" w:eastAsia="zh-CN" w:bidi="ar-SA"/>
    </w:rPr>
  </w:style>
  <w:style w:type="character" w:customStyle="1" w:styleId="69">
    <w:name w:val="title24"/>
    <w:basedOn w:val="28"/>
    <w:qFormat/>
    <w:uiPriority w:val="0"/>
  </w:style>
  <w:style w:type="character" w:customStyle="1" w:styleId="70">
    <w:name w:val="title21"/>
    <w:basedOn w:val="28"/>
    <w:qFormat/>
    <w:uiPriority w:val="0"/>
  </w:style>
  <w:style w:type="character" w:customStyle="1" w:styleId="71">
    <w:name w:val="样式 标题 3 + 新宋体 Char"/>
    <w:link w:val="41"/>
    <w:qFormat/>
    <w:uiPriority w:val="0"/>
    <w:rPr>
      <w:rFonts w:ascii="新宋体" w:hAnsi="新宋体" w:eastAsia="宋体"/>
      <w:sz w:val="21"/>
      <w:szCs w:val="32"/>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ED24D-6ABE-43F3-8956-E8FCAA6EDF0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4481</Words>
  <Characters>25547</Characters>
  <Lines>212</Lines>
  <Paragraphs>59</Paragraphs>
  <TotalTime>4</TotalTime>
  <ScaleCrop>false</ScaleCrop>
  <LinksUpToDate>false</LinksUpToDate>
  <CharactersWithSpaces>29969</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2021-06-22T07:34:00Z</dcterms:created>
  <dc:creator>asus</dc:creator>
  <cp:lastModifiedBy>lenovo</cp:lastModifiedBy>
  <cp:lastPrinted>2021-10-12T10:10:00Z</cp:lastPrinted>
  <dcterms:modified xsi:type="dcterms:W3CDTF">2022-01-29T09:41:36Z</dcterms:modified>
  <dc:title>招标人应当根据招标工程特点和实际需要，依法在其他说明中补充填写相关要求</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633F6532C839464586ACFB888670BE90</vt:lpwstr>
  </property>
</Properties>
</file>