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cs="宋体"/>
          <w:color w:val="auto"/>
          <w:sz w:val="36"/>
          <w:u w:val="single"/>
        </w:rPr>
      </w:pPr>
    </w:p>
    <w:p>
      <w:pPr>
        <w:spacing w:line="360" w:lineRule="auto"/>
        <w:ind w:left="359" w:leftChars="171"/>
        <w:jc w:val="center"/>
        <w:rPr>
          <w:rFonts w:hint="eastAsia" w:ascii="宋体" w:hAnsi="宋体" w:cs="华文中宋"/>
          <w:b/>
          <w:bCs/>
          <w:color w:val="auto"/>
          <w:sz w:val="48"/>
          <w:szCs w:val="48"/>
          <w:highlight w:val="none"/>
        </w:rPr>
      </w:pPr>
      <w:r>
        <w:rPr>
          <w:rFonts w:hint="eastAsia" w:ascii="宋体" w:hAnsi="宋体" w:cs="华文中宋"/>
          <w:b/>
          <w:bCs/>
          <w:color w:val="auto"/>
          <w:sz w:val="48"/>
          <w:szCs w:val="48"/>
        </w:rPr>
        <w:t>增城国家级开发区仙村园区西福河堤防达标整治（</w:t>
      </w:r>
      <w:r>
        <w:rPr>
          <w:rFonts w:hint="eastAsia" w:ascii="宋体" w:hAnsi="宋体" w:cs="华文中宋"/>
          <w:b/>
          <w:bCs/>
          <w:color w:val="auto"/>
          <w:sz w:val="48"/>
          <w:szCs w:val="48"/>
          <w:highlight w:val="none"/>
        </w:rPr>
        <w:t>仙村园区段）及环园路建设工程</w:t>
      </w:r>
    </w:p>
    <w:p>
      <w:pPr>
        <w:spacing w:line="360" w:lineRule="auto"/>
        <w:ind w:left="359" w:leftChars="171"/>
        <w:jc w:val="center"/>
        <w:rPr>
          <w:rFonts w:hint="eastAsia" w:ascii="宋体" w:hAnsi="宋体" w:cs="华文中宋"/>
          <w:b/>
          <w:bCs/>
          <w:color w:val="auto"/>
          <w:spacing w:val="40"/>
          <w:sz w:val="48"/>
          <w:szCs w:val="48"/>
          <w:highlight w:val="none"/>
        </w:rPr>
      </w:pPr>
      <w:r>
        <w:rPr>
          <w:rFonts w:hint="eastAsia" w:ascii="宋体" w:hAnsi="宋体" w:cs="华文中宋"/>
          <w:b/>
          <w:bCs/>
          <w:color w:val="auto"/>
          <w:sz w:val="48"/>
          <w:szCs w:val="48"/>
          <w:highlight w:val="none"/>
          <w:lang w:eastAsia="zh-CN"/>
        </w:rPr>
        <w:t>（水利部分）</w:t>
      </w:r>
      <w:r>
        <w:rPr>
          <w:rFonts w:hint="eastAsia" w:ascii="宋体" w:hAnsi="宋体" w:cs="华文中宋"/>
          <w:b/>
          <w:bCs/>
          <w:color w:val="auto"/>
          <w:sz w:val="48"/>
          <w:szCs w:val="48"/>
          <w:highlight w:val="none"/>
        </w:rPr>
        <w:t>施工监理</w:t>
      </w:r>
    </w:p>
    <w:p>
      <w:pPr>
        <w:spacing w:line="360" w:lineRule="auto"/>
        <w:jc w:val="center"/>
        <w:rPr>
          <w:rFonts w:hint="eastAsia" w:ascii="宋体" w:hAnsi="宋体" w:cs="华文中宋"/>
          <w:color w:val="auto"/>
          <w:sz w:val="36"/>
          <w:highlight w:val="none"/>
          <w:u w:val="single"/>
        </w:rPr>
      </w:pPr>
    </w:p>
    <w:p>
      <w:pPr>
        <w:pStyle w:val="21"/>
        <w:ind w:firstLine="0" w:firstLineChars="0"/>
        <w:rPr>
          <w:rFonts w:hint="eastAsia" w:ascii="宋体" w:hAnsi="宋体" w:cs="华文中宋"/>
          <w:color w:val="auto"/>
          <w:sz w:val="36"/>
          <w:highlight w:val="none"/>
          <w:u w:val="single"/>
        </w:rPr>
      </w:pPr>
    </w:p>
    <w:p>
      <w:pPr>
        <w:spacing w:line="360" w:lineRule="auto"/>
        <w:rPr>
          <w:rFonts w:hint="eastAsia" w:ascii="宋体" w:hAnsi="宋体" w:cs="华文中宋"/>
          <w:color w:val="auto"/>
          <w:sz w:val="36"/>
          <w:highlight w:val="none"/>
          <w:u w:val="single"/>
        </w:rPr>
      </w:pPr>
    </w:p>
    <w:p>
      <w:pPr>
        <w:spacing w:line="360" w:lineRule="auto"/>
        <w:jc w:val="center"/>
        <w:rPr>
          <w:rFonts w:hint="eastAsia" w:ascii="宋体" w:hAnsi="宋体" w:cs="华文中宋"/>
          <w:color w:val="auto"/>
          <w:sz w:val="36"/>
          <w:highlight w:val="none"/>
          <w:u w:val="single"/>
        </w:rPr>
      </w:pPr>
    </w:p>
    <w:p>
      <w:pPr>
        <w:spacing w:line="360" w:lineRule="auto"/>
        <w:jc w:val="center"/>
        <w:rPr>
          <w:rFonts w:hint="eastAsia" w:ascii="宋体" w:hAnsi="宋体" w:cs="华文中宋"/>
          <w:color w:val="auto"/>
          <w:sz w:val="96"/>
          <w:szCs w:val="96"/>
          <w:highlight w:val="none"/>
        </w:rPr>
      </w:pPr>
      <w:r>
        <w:rPr>
          <w:rFonts w:hint="eastAsia" w:ascii="宋体" w:hAnsi="宋体" w:cs="华文中宋"/>
          <w:b/>
          <w:bCs/>
          <w:color w:val="auto"/>
          <w:spacing w:val="26"/>
          <w:sz w:val="96"/>
          <w:szCs w:val="96"/>
          <w:highlight w:val="none"/>
          <w14:shadow w14:blurRad="50800" w14:dist="38100" w14:dir="2700000" w14:sx="100000" w14:sy="100000" w14:kx="0" w14:ky="0" w14:algn="tl">
            <w14:srgbClr w14:val="000000">
              <w14:alpha w14:val="60000"/>
            </w14:srgbClr>
          </w14:shadow>
        </w:rPr>
        <w:t>招标文件</w:t>
      </w:r>
    </w:p>
    <w:p>
      <w:pPr>
        <w:spacing w:line="360" w:lineRule="auto"/>
        <w:rPr>
          <w:rFonts w:hint="eastAsia" w:ascii="宋体" w:hAnsi="宋体" w:cs="华文中宋"/>
          <w:b/>
          <w:bCs/>
          <w:color w:val="auto"/>
          <w:sz w:val="30"/>
          <w:szCs w:val="30"/>
          <w:highlight w:val="none"/>
        </w:rPr>
      </w:pPr>
    </w:p>
    <w:p>
      <w:pPr>
        <w:pStyle w:val="2"/>
        <w:rPr>
          <w:rFonts w:hint="eastAsia"/>
          <w:color w:val="auto"/>
          <w:highlight w:val="none"/>
        </w:rPr>
      </w:pPr>
    </w:p>
    <w:p>
      <w:pPr>
        <w:pStyle w:val="2"/>
        <w:rPr>
          <w:rFonts w:hint="eastAsia"/>
          <w:color w:val="auto"/>
          <w:highlight w:val="none"/>
        </w:rPr>
      </w:pPr>
    </w:p>
    <w:p>
      <w:pPr>
        <w:pStyle w:val="6"/>
        <w:rPr>
          <w:rFonts w:hint="eastAsia" w:ascii="宋体" w:hAnsi="宋体" w:cs="华文中宋"/>
          <w:color w:val="auto"/>
          <w:highlight w:val="none"/>
        </w:rPr>
      </w:pPr>
    </w:p>
    <w:p>
      <w:pPr>
        <w:rPr>
          <w:rFonts w:hint="eastAsia"/>
          <w:color w:val="auto"/>
          <w:highlight w:val="none"/>
        </w:rPr>
      </w:pPr>
    </w:p>
    <w:p>
      <w:pPr>
        <w:rPr>
          <w:rFonts w:hint="eastAsia"/>
          <w:color w:val="auto"/>
          <w:highlight w:val="none"/>
        </w:rPr>
      </w:pPr>
    </w:p>
    <w:p>
      <w:pPr>
        <w:pStyle w:val="2"/>
        <w:rPr>
          <w:rFonts w:hint="eastAsia" w:ascii="宋体" w:hAnsi="宋体" w:cs="华文中宋"/>
          <w:color w:val="auto"/>
          <w:highlight w:val="none"/>
        </w:rPr>
      </w:pPr>
    </w:p>
    <w:p>
      <w:pPr>
        <w:pStyle w:val="2"/>
        <w:rPr>
          <w:rFonts w:hint="eastAsia" w:ascii="宋体" w:hAnsi="宋体" w:cs="华文中宋"/>
          <w:color w:val="auto"/>
          <w:highlight w:val="none"/>
        </w:rPr>
      </w:pPr>
    </w:p>
    <w:p>
      <w:pPr>
        <w:pStyle w:val="2"/>
        <w:rPr>
          <w:rFonts w:hint="eastAsia" w:ascii="宋体" w:hAnsi="宋体" w:cs="华文中宋"/>
          <w:color w:val="auto"/>
          <w:highlight w:val="none"/>
        </w:rPr>
      </w:pPr>
    </w:p>
    <w:p>
      <w:pPr>
        <w:pStyle w:val="2"/>
        <w:rPr>
          <w:rFonts w:hint="eastAsia" w:ascii="宋体" w:hAnsi="宋体" w:cs="华文中宋"/>
          <w:color w:val="auto"/>
          <w:highlight w:val="none"/>
        </w:rPr>
      </w:pPr>
    </w:p>
    <w:p>
      <w:pPr>
        <w:pStyle w:val="2"/>
        <w:rPr>
          <w:rFonts w:hint="eastAsia" w:ascii="宋体" w:hAnsi="宋体" w:cs="华文中宋"/>
          <w:color w:val="auto"/>
          <w:highlight w:val="none"/>
        </w:rPr>
      </w:pPr>
    </w:p>
    <w:p>
      <w:pPr>
        <w:spacing w:line="360" w:lineRule="auto"/>
        <w:ind w:firstLine="1506" w:firstLineChars="500"/>
        <w:rPr>
          <w:rFonts w:hint="eastAsia" w:ascii="宋体" w:hAnsi="宋体" w:cs="华文中宋"/>
          <w:b/>
          <w:bCs/>
          <w:color w:val="auto"/>
          <w:sz w:val="30"/>
          <w:szCs w:val="30"/>
          <w:highlight w:val="none"/>
          <w:u w:val="single"/>
        </w:rPr>
      </w:pPr>
      <w:r>
        <w:rPr>
          <w:rFonts w:hint="eastAsia" w:ascii="宋体" w:hAnsi="宋体" w:cs="华文中宋"/>
          <w:b/>
          <w:bCs/>
          <w:color w:val="auto"/>
          <w:sz w:val="30"/>
          <w:szCs w:val="30"/>
          <w:highlight w:val="none"/>
        </w:rPr>
        <w:t>招  标 单 位：</w:t>
      </w:r>
      <w:r>
        <w:rPr>
          <w:rFonts w:hint="eastAsia" w:ascii="宋体" w:hAnsi="宋体" w:cs="华文中宋"/>
          <w:b/>
          <w:bCs/>
          <w:color w:val="auto"/>
          <w:sz w:val="30"/>
          <w:szCs w:val="30"/>
          <w:highlight w:val="none"/>
          <w:u w:val="single"/>
        </w:rPr>
        <w:t>广州市增城区水务建设管理所</w:t>
      </w:r>
    </w:p>
    <w:p>
      <w:pPr>
        <w:spacing w:line="360" w:lineRule="auto"/>
        <w:ind w:firstLine="1506" w:firstLineChars="500"/>
        <w:rPr>
          <w:rFonts w:hint="default" w:ascii="宋体" w:hAnsi="宋体" w:eastAsia="宋体" w:cs="华文中宋"/>
          <w:b/>
          <w:bCs/>
          <w:color w:val="auto"/>
          <w:sz w:val="30"/>
          <w:szCs w:val="30"/>
          <w:highlight w:val="none"/>
          <w:u w:val="single"/>
          <w:lang w:val="en-US" w:eastAsia="zh-CN"/>
        </w:rPr>
      </w:pPr>
      <w:r>
        <w:rPr>
          <w:rFonts w:hint="eastAsia" w:ascii="宋体" w:hAnsi="宋体" w:cs="华文中宋"/>
          <w:b/>
          <w:bCs/>
          <w:color w:val="auto"/>
          <w:sz w:val="30"/>
          <w:szCs w:val="30"/>
          <w:highlight w:val="none"/>
        </w:rPr>
        <w:t>招标代理单位：</w:t>
      </w:r>
      <w:r>
        <w:rPr>
          <w:rFonts w:hint="eastAsia" w:ascii="宋体" w:hAnsi="宋体"/>
          <w:b/>
          <w:color w:val="auto"/>
          <w:sz w:val="32"/>
          <w:szCs w:val="32"/>
          <w:highlight w:val="none"/>
          <w:u w:val="single"/>
          <w:lang w:eastAsia="zh-CN"/>
        </w:rPr>
        <w:t>广东粤能工程管理有限公司</w:t>
      </w:r>
    </w:p>
    <w:p>
      <w:pPr>
        <w:spacing w:line="360" w:lineRule="auto"/>
        <w:ind w:firstLine="1506" w:firstLineChars="500"/>
        <w:rPr>
          <w:rFonts w:hint="eastAsia" w:ascii="宋体" w:hAnsi="宋体" w:cs="华文中宋"/>
          <w:b/>
          <w:bCs/>
          <w:color w:val="auto"/>
          <w:sz w:val="30"/>
          <w:szCs w:val="30"/>
          <w:highlight w:val="none"/>
        </w:rPr>
      </w:pPr>
      <w:r>
        <w:rPr>
          <w:rFonts w:hint="eastAsia" w:ascii="宋体" w:hAnsi="宋体" w:cs="华文中宋"/>
          <w:b/>
          <w:bCs/>
          <w:color w:val="auto"/>
          <w:sz w:val="30"/>
          <w:szCs w:val="30"/>
          <w:highlight w:val="none"/>
        </w:rPr>
        <w:t>日        期：</w:t>
      </w:r>
      <w:r>
        <w:rPr>
          <w:rFonts w:hint="eastAsia" w:ascii="宋体" w:hAnsi="宋体" w:cs="华文中宋"/>
          <w:b/>
          <w:bCs/>
          <w:color w:val="auto"/>
          <w:sz w:val="30"/>
          <w:szCs w:val="30"/>
          <w:highlight w:val="none"/>
          <w:u w:val="single"/>
        </w:rPr>
        <w:t>202</w:t>
      </w:r>
      <w:r>
        <w:rPr>
          <w:rFonts w:hint="eastAsia" w:ascii="宋体" w:hAnsi="宋体" w:cs="华文中宋"/>
          <w:b/>
          <w:bCs/>
          <w:color w:val="auto"/>
          <w:sz w:val="30"/>
          <w:szCs w:val="30"/>
          <w:highlight w:val="none"/>
          <w:u w:val="single"/>
          <w:lang w:val="en-US" w:eastAsia="zh-CN"/>
        </w:rPr>
        <w:t>4</w:t>
      </w:r>
      <w:r>
        <w:rPr>
          <w:rFonts w:hint="eastAsia" w:ascii="宋体" w:hAnsi="宋体" w:cs="华文中宋"/>
          <w:b/>
          <w:bCs/>
          <w:color w:val="auto"/>
          <w:sz w:val="30"/>
          <w:szCs w:val="30"/>
          <w:highlight w:val="none"/>
          <w:u w:val="single"/>
        </w:rPr>
        <w:t>年</w:t>
      </w:r>
      <w:r>
        <w:rPr>
          <w:rFonts w:hint="eastAsia" w:ascii="宋体" w:hAnsi="宋体" w:cs="华文中宋"/>
          <w:b/>
          <w:bCs/>
          <w:color w:val="auto"/>
          <w:sz w:val="30"/>
          <w:szCs w:val="30"/>
          <w:highlight w:val="none"/>
          <w:u w:val="single"/>
          <w:lang w:val="en-US" w:eastAsia="zh-CN"/>
        </w:rPr>
        <w:t>4</w:t>
      </w:r>
      <w:r>
        <w:rPr>
          <w:rFonts w:hint="eastAsia" w:ascii="宋体" w:hAnsi="宋体" w:cs="华文中宋"/>
          <w:b/>
          <w:bCs/>
          <w:color w:val="auto"/>
          <w:sz w:val="30"/>
          <w:szCs w:val="30"/>
          <w:highlight w:val="none"/>
          <w:u w:val="single"/>
        </w:rPr>
        <w:t>月</w:t>
      </w:r>
    </w:p>
    <w:p>
      <w:pPr>
        <w:spacing w:line="400" w:lineRule="exact"/>
        <w:rPr>
          <w:rFonts w:hint="eastAsia" w:ascii="宋体" w:hAnsi="宋体" w:cs="宋体"/>
          <w:color w:val="auto"/>
          <w:highlight w:val="none"/>
        </w:rPr>
        <w:sectPr>
          <w:headerReference r:id="rId3" w:type="default"/>
          <w:footerReference r:id="rId4" w:type="default"/>
          <w:footerReference r:id="rId5" w:type="even"/>
          <w:pgSz w:w="12240" w:h="15840"/>
          <w:pgMar w:top="1247" w:right="1247" w:bottom="1247" w:left="1247" w:header="720" w:footer="720" w:gutter="0"/>
          <w:pgNumType w:start="1" w:chapStyle="1"/>
          <w:cols w:space="720" w:num="1"/>
          <w:docGrid w:linePitch="312" w:charSpace="0"/>
        </w:sectPr>
      </w:pPr>
    </w:p>
    <w:p>
      <w:pPr>
        <w:pStyle w:val="44"/>
        <w:keepNext w:val="0"/>
        <w:keepLines w:val="0"/>
        <w:widowControl w:val="0"/>
        <w:jc w:val="center"/>
        <w:rPr>
          <w:rFonts w:hint="eastAsia" w:ascii="宋体" w:hAnsi="宋体" w:cs="宋体"/>
          <w:bCs/>
          <w:color w:val="auto"/>
          <w:sz w:val="36"/>
          <w:szCs w:val="22"/>
          <w:highlight w:val="none"/>
        </w:rPr>
      </w:pPr>
      <w:bookmarkStart w:id="0" w:name="_Toc21028"/>
      <w:bookmarkStart w:id="1" w:name="_Toc152045511"/>
      <w:bookmarkStart w:id="2" w:name="_Toc152042287"/>
      <w:bookmarkStart w:id="3" w:name="_Toc144974479"/>
      <w:r>
        <w:rPr>
          <w:rFonts w:hint="eastAsia" w:ascii="宋体" w:hAnsi="宋体" w:cs="宋体"/>
          <w:bCs/>
          <w:color w:val="auto"/>
          <w:sz w:val="36"/>
          <w:szCs w:val="22"/>
          <w:highlight w:val="none"/>
          <w:lang w:val="zh-CN"/>
        </w:rPr>
        <w:t>目  录</w:t>
      </w:r>
      <w:bookmarkEnd w:id="0"/>
    </w:p>
    <w:p>
      <w:pPr>
        <w:pStyle w:val="17"/>
        <w:tabs>
          <w:tab w:val="right" w:leader="dot" w:pos="8630"/>
        </w:tabs>
        <w:jc w:val="center"/>
        <w:rPr>
          <w:rFonts w:hint="eastAsia" w:ascii="宋体" w:hAnsi="宋体" w:cs="宋体"/>
          <w:b/>
          <w:bCs/>
          <w:color w:val="auto"/>
          <w:highlight w:val="none"/>
        </w:rPr>
      </w:pPr>
    </w:p>
    <w:p>
      <w:pPr>
        <w:pStyle w:val="17"/>
        <w:tabs>
          <w:tab w:val="right" w:leader="dot" w:pos="9746"/>
        </w:tabs>
        <w:spacing w:line="6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TOC \o "1-3" \h \z \u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_Toc25231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第一章  招标公告</w:t>
      </w:r>
      <w:r>
        <w:rPr>
          <w:rFonts w:hint="eastAsia" w:ascii="宋体" w:hAnsi="宋体" w:cs="宋体"/>
          <w:b/>
          <w:bCs/>
          <w:color w:val="auto"/>
          <w:sz w:val="24"/>
          <w:szCs w:val="24"/>
          <w:highlight w:val="none"/>
        </w:rPr>
        <w:tab/>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PAGEREF _Toc25231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2</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7"/>
        <w:tabs>
          <w:tab w:val="right" w:leader="dot" w:pos="9746"/>
        </w:tabs>
        <w:spacing w:line="6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_Toc20116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第二章  投标人须知</w:t>
      </w:r>
      <w:r>
        <w:rPr>
          <w:rFonts w:hint="eastAsia" w:ascii="宋体" w:hAnsi="宋体" w:cs="宋体"/>
          <w:b/>
          <w:bCs/>
          <w:color w:val="auto"/>
          <w:sz w:val="24"/>
          <w:szCs w:val="24"/>
          <w:highlight w:val="none"/>
        </w:rPr>
        <w:tab/>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PAGEREF _Toc20116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7</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7"/>
        <w:tabs>
          <w:tab w:val="right" w:leader="dot" w:pos="9746"/>
        </w:tabs>
        <w:spacing w:line="6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_Toc25395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第三章  评标办法（综合评估法）</w:t>
      </w:r>
      <w:r>
        <w:rPr>
          <w:rFonts w:hint="eastAsia" w:ascii="宋体" w:hAnsi="宋体" w:cs="宋体"/>
          <w:b/>
          <w:bCs/>
          <w:color w:val="auto"/>
          <w:sz w:val="24"/>
          <w:szCs w:val="24"/>
          <w:highlight w:val="none"/>
        </w:rPr>
        <w:tab/>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PAGEREF _Toc25395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31</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7"/>
        <w:tabs>
          <w:tab w:val="right" w:leader="dot" w:pos="9746"/>
        </w:tabs>
        <w:spacing w:line="6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_Toc7448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第四章  合同条款及格式</w:t>
      </w:r>
      <w:r>
        <w:rPr>
          <w:rFonts w:hint="eastAsia" w:ascii="宋体" w:hAnsi="宋体" w:cs="宋体"/>
          <w:b/>
          <w:bCs/>
          <w:color w:val="auto"/>
          <w:sz w:val="24"/>
          <w:szCs w:val="24"/>
          <w:highlight w:val="none"/>
        </w:rPr>
        <w:tab/>
      </w:r>
      <w:bookmarkStart w:id="4" w:name="_Hlt116464036"/>
      <w:bookmarkStart w:id="5" w:name="_Hlt116464035"/>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PAGEREF _Toc7448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40</w:t>
      </w:r>
      <w:r>
        <w:rPr>
          <w:rFonts w:hint="eastAsia" w:ascii="宋体" w:hAnsi="宋体" w:cs="宋体"/>
          <w:b/>
          <w:bCs/>
          <w:color w:val="auto"/>
          <w:sz w:val="24"/>
          <w:szCs w:val="24"/>
          <w:highlight w:val="none"/>
        </w:rPr>
        <w:fldChar w:fldCharType="end"/>
      </w:r>
      <w:bookmarkEnd w:id="4"/>
      <w:bookmarkEnd w:id="5"/>
      <w:r>
        <w:rPr>
          <w:rFonts w:hint="eastAsia" w:ascii="宋体" w:hAnsi="宋体" w:cs="宋体"/>
          <w:b/>
          <w:bCs/>
          <w:color w:val="auto"/>
          <w:sz w:val="24"/>
          <w:szCs w:val="24"/>
          <w:highlight w:val="none"/>
        </w:rPr>
        <w:fldChar w:fldCharType="end"/>
      </w:r>
    </w:p>
    <w:p>
      <w:pPr>
        <w:pStyle w:val="17"/>
        <w:tabs>
          <w:tab w:val="right" w:leader="dot" w:pos="9746"/>
        </w:tabs>
        <w:spacing w:line="6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_Toc26734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第五章  委托人要求</w:t>
      </w:r>
      <w:r>
        <w:rPr>
          <w:rFonts w:hint="eastAsia" w:ascii="宋体" w:hAnsi="宋体" w:cs="宋体"/>
          <w:b/>
          <w:bCs/>
          <w:color w:val="auto"/>
          <w:sz w:val="24"/>
          <w:szCs w:val="24"/>
          <w:highlight w:val="none"/>
        </w:rPr>
        <w:tab/>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PAGEREF _Toc26734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58</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7"/>
        <w:tabs>
          <w:tab w:val="right" w:leader="dot" w:pos="9746"/>
        </w:tabs>
        <w:spacing w:line="6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_Toc5560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第六章  投标文件格式</w:t>
      </w:r>
      <w:bookmarkStart w:id="6" w:name="_Hlt89765205"/>
      <w:bookmarkStart w:id="7" w:name="_Hlt89765204"/>
      <w:r>
        <w:rPr>
          <w:rFonts w:hint="eastAsia" w:ascii="宋体" w:hAnsi="宋体" w:cs="宋体"/>
          <w:b/>
          <w:bCs/>
          <w:color w:val="auto"/>
          <w:sz w:val="24"/>
          <w:szCs w:val="24"/>
          <w:highlight w:val="none"/>
        </w:rPr>
        <w:tab/>
      </w:r>
      <w:bookmarkEnd w:id="6"/>
      <w:bookmarkEnd w:id="7"/>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PAGEREF _Toc5560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63</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spacing w:line="600" w:lineRule="auto"/>
        <w:rPr>
          <w:rFonts w:hint="eastAsia" w:ascii="宋体" w:hAnsi="宋体" w:cs="宋体"/>
          <w:color w:val="auto"/>
          <w:highlight w:val="none"/>
        </w:rPr>
        <w:sectPr>
          <w:footerReference r:id="rId6" w:type="default"/>
          <w:pgSz w:w="12240" w:h="15840"/>
          <w:pgMar w:top="1247" w:right="1247" w:bottom="1247" w:left="1247" w:header="720" w:footer="720" w:gutter="0"/>
          <w:pgNumType w:start="1"/>
          <w:cols w:space="720" w:num="1"/>
          <w:docGrid w:linePitch="285" w:charSpace="0"/>
        </w:sectPr>
      </w:pPr>
      <w:r>
        <w:rPr>
          <w:rFonts w:hint="eastAsia" w:ascii="宋体" w:hAnsi="宋体" w:cs="宋体"/>
          <w:b/>
          <w:bCs/>
          <w:color w:val="auto"/>
          <w:sz w:val="24"/>
          <w:szCs w:val="24"/>
          <w:highlight w:val="none"/>
        </w:rPr>
        <w:fldChar w:fldCharType="end"/>
      </w:r>
    </w:p>
    <w:p>
      <w:pPr>
        <w:pStyle w:val="3"/>
        <w:keepNext w:val="0"/>
        <w:keepLines w:val="0"/>
        <w:spacing w:line="240" w:lineRule="auto"/>
        <w:jc w:val="center"/>
        <w:rPr>
          <w:rFonts w:hint="eastAsia" w:ascii="宋体" w:hAnsi="宋体" w:cs="宋体"/>
          <w:color w:val="auto"/>
          <w:highlight w:val="none"/>
        </w:rPr>
      </w:pPr>
      <w:bookmarkStart w:id="8" w:name="_Toc511557024"/>
      <w:bookmarkStart w:id="9" w:name="_Toc1734"/>
      <w:r>
        <w:rPr>
          <w:rFonts w:hint="eastAsia" w:ascii="宋体" w:hAnsi="宋体" w:cs="宋体"/>
          <w:color w:val="auto"/>
          <w:highlight w:val="none"/>
        </w:rPr>
        <w:t>第</w:t>
      </w:r>
      <w:bookmarkEnd w:id="1"/>
      <w:bookmarkEnd w:id="2"/>
      <w:bookmarkEnd w:id="3"/>
      <w:bookmarkEnd w:id="8"/>
      <w:r>
        <w:rPr>
          <w:rFonts w:hint="eastAsia" w:ascii="宋体" w:hAnsi="宋体" w:cs="宋体"/>
          <w:color w:val="auto"/>
          <w:highlight w:val="none"/>
        </w:rPr>
        <w:t>一卷</w:t>
      </w:r>
      <w:bookmarkEnd w:id="9"/>
    </w:p>
    <w:p>
      <w:pPr>
        <w:pStyle w:val="3"/>
        <w:keepNext w:val="0"/>
        <w:keepLines w:val="0"/>
        <w:spacing w:line="240" w:lineRule="auto"/>
        <w:jc w:val="center"/>
        <w:rPr>
          <w:rFonts w:hint="eastAsia" w:ascii="宋体" w:hAnsi="宋体" w:cs="宋体"/>
          <w:color w:val="auto"/>
          <w:highlight w:val="none"/>
        </w:rPr>
      </w:pPr>
      <w:bookmarkStart w:id="10" w:name="_Toc25231"/>
      <w:r>
        <w:rPr>
          <w:rFonts w:hint="eastAsia" w:ascii="宋体" w:hAnsi="宋体" w:cs="宋体"/>
          <w:color w:val="auto"/>
          <w:highlight w:val="none"/>
        </w:rPr>
        <w:t>第一章招标公告</w:t>
      </w:r>
      <w:bookmarkEnd w:id="10"/>
    </w:p>
    <w:p>
      <w:pPr>
        <w:autoSpaceDE w:val="0"/>
        <w:autoSpaceDN w:val="0"/>
        <w:adjustRightInd w:val="0"/>
        <w:jc w:val="center"/>
        <w:rPr>
          <w:rFonts w:hint="eastAsia" w:ascii="宋体" w:hAnsi="宋体" w:cs="宋体"/>
          <w:b/>
          <w:color w:val="auto"/>
          <w:sz w:val="36"/>
          <w:szCs w:val="36"/>
          <w:lang w:eastAsia="zh-CN"/>
        </w:rPr>
      </w:pPr>
      <w:bookmarkStart w:id="11" w:name="_Toc35615356"/>
      <w:r>
        <w:rPr>
          <w:rFonts w:hint="eastAsia" w:ascii="宋体" w:hAnsi="宋体" w:cs="宋体"/>
          <w:b/>
          <w:color w:val="auto"/>
          <w:sz w:val="36"/>
          <w:szCs w:val="36"/>
        </w:rPr>
        <w:t>增城国家级开发区仙村园区西福河堤防达标整治（仙村园区段）及环园路建设工程</w:t>
      </w:r>
      <w:r>
        <w:rPr>
          <w:rFonts w:hint="eastAsia" w:ascii="宋体" w:hAnsi="宋体" w:cs="宋体"/>
          <w:b/>
          <w:color w:val="auto"/>
          <w:sz w:val="36"/>
          <w:szCs w:val="36"/>
          <w:lang w:eastAsia="zh-CN"/>
        </w:rPr>
        <w:t>（水利部分）</w:t>
      </w:r>
    </w:p>
    <w:p>
      <w:pPr>
        <w:autoSpaceDE w:val="0"/>
        <w:autoSpaceDN w:val="0"/>
        <w:adjustRightInd w:val="0"/>
        <w:jc w:val="center"/>
        <w:rPr>
          <w:rFonts w:ascii="宋体" w:hAnsi="宋体" w:cs="宋体"/>
          <w:b/>
          <w:color w:val="auto"/>
          <w:sz w:val="36"/>
          <w:szCs w:val="36"/>
        </w:rPr>
      </w:pPr>
      <w:r>
        <w:rPr>
          <w:rFonts w:hint="eastAsia" w:ascii="宋体" w:hAnsi="宋体" w:cs="宋体"/>
          <w:b/>
          <w:color w:val="auto"/>
          <w:sz w:val="36"/>
          <w:szCs w:val="36"/>
        </w:rPr>
        <w:t>施工监理招标公告</w:t>
      </w:r>
    </w:p>
    <w:p>
      <w:pPr>
        <w:pStyle w:val="4"/>
        <w:keepNext w:val="0"/>
        <w:keepLines w:val="0"/>
        <w:spacing w:before="0" w:after="0" w:line="360" w:lineRule="auto"/>
        <w:rPr>
          <w:rFonts w:ascii="宋体" w:hAnsi="宋体" w:eastAsia="宋体"/>
          <w:color w:val="auto"/>
          <w:highlight w:val="none"/>
        </w:rPr>
      </w:pPr>
      <w:r>
        <w:rPr>
          <w:rFonts w:ascii="宋体" w:hAnsi="宋体" w:eastAsia="宋体"/>
          <w:color w:val="auto"/>
        </w:rPr>
        <w:t>1. 招标条件</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本招标项目</w:t>
      </w:r>
      <w:r>
        <w:rPr>
          <w:rFonts w:hint="eastAsia" w:ascii="宋体" w:hAnsi="宋体" w:cs="宋体"/>
          <w:color w:val="auto"/>
          <w:kern w:val="0"/>
          <w:sz w:val="24"/>
          <w:highlight w:val="none"/>
          <w:u w:val="single"/>
        </w:rPr>
        <w:t>增城国家级开发区仙村园区西福河堤防达标整治（仙村园区段）及环园路建设工程</w:t>
      </w:r>
      <w:r>
        <w:rPr>
          <w:rFonts w:hint="eastAsia" w:ascii="宋体" w:hAnsi="宋体"/>
          <w:color w:val="auto"/>
          <w:sz w:val="24"/>
          <w:szCs w:val="24"/>
          <w:highlight w:val="none"/>
        </w:rPr>
        <w:t>已由</w:t>
      </w:r>
      <w:r>
        <w:rPr>
          <w:rFonts w:hint="eastAsia" w:ascii="宋体" w:hAnsi="宋体"/>
          <w:color w:val="auto"/>
          <w:sz w:val="24"/>
          <w:highlight w:val="none"/>
        </w:rPr>
        <w:t>广州市增城区发展和改革局</w:t>
      </w:r>
      <w:r>
        <w:rPr>
          <w:rFonts w:hint="eastAsia" w:ascii="宋体" w:hAnsi="宋体"/>
          <w:color w:val="auto"/>
          <w:sz w:val="24"/>
          <w:szCs w:val="24"/>
          <w:highlight w:val="none"/>
        </w:rPr>
        <w:t>以</w:t>
      </w:r>
      <w:r>
        <w:rPr>
          <w:rFonts w:hint="eastAsia" w:ascii="宋体" w:hAnsi="宋体"/>
          <w:color w:val="auto"/>
          <w:sz w:val="24"/>
          <w:szCs w:val="24"/>
          <w:highlight w:val="none"/>
          <w:u w:val="single"/>
        </w:rPr>
        <w:t>穗增发改投批</w:t>
      </w:r>
      <w:r>
        <w:rPr>
          <w:rFonts w:ascii="宋体" w:hAnsi="宋体"/>
          <w:color w:val="auto"/>
          <w:sz w:val="24"/>
          <w:szCs w:val="24"/>
          <w:highlight w:val="none"/>
          <w:u w:val="single"/>
        </w:rPr>
        <w:t>[202</w:t>
      </w:r>
      <w:r>
        <w:rPr>
          <w:rFonts w:hint="eastAsia" w:ascii="宋体" w:hAnsi="宋体"/>
          <w:color w:val="auto"/>
          <w:sz w:val="24"/>
          <w:szCs w:val="24"/>
          <w:highlight w:val="none"/>
          <w:u w:val="single"/>
        </w:rPr>
        <w:t>3</w:t>
      </w:r>
      <w:r>
        <w:rPr>
          <w:rFonts w:ascii="宋体" w:hAnsi="宋体"/>
          <w:color w:val="auto"/>
          <w:sz w:val="24"/>
          <w:szCs w:val="24"/>
          <w:highlight w:val="none"/>
          <w:u w:val="single"/>
        </w:rPr>
        <w:t>]</w:t>
      </w:r>
      <w:r>
        <w:rPr>
          <w:rFonts w:hint="eastAsia" w:ascii="宋体" w:hAnsi="宋体"/>
          <w:color w:val="auto"/>
          <w:sz w:val="24"/>
          <w:szCs w:val="24"/>
          <w:highlight w:val="none"/>
          <w:u w:val="single"/>
        </w:rPr>
        <w:t>28号</w:t>
      </w:r>
      <w:r>
        <w:rPr>
          <w:rFonts w:hint="eastAsia"/>
          <w:color w:val="auto"/>
          <w:sz w:val="24"/>
          <w:szCs w:val="24"/>
          <w:highlight w:val="none"/>
          <w:u w:val="single"/>
        </w:rPr>
        <w:t>文</w:t>
      </w:r>
      <w:r>
        <w:rPr>
          <w:rFonts w:hint="eastAsia" w:ascii="宋体" w:hAnsi="宋体"/>
          <w:color w:val="auto"/>
          <w:sz w:val="24"/>
          <w:szCs w:val="24"/>
          <w:highlight w:val="none"/>
        </w:rPr>
        <w:t>批准建设，项目业主为</w:t>
      </w:r>
      <w:r>
        <w:rPr>
          <w:rFonts w:hint="eastAsia" w:ascii="宋体" w:hAnsi="宋体"/>
          <w:color w:val="auto"/>
          <w:sz w:val="24"/>
          <w:highlight w:val="none"/>
          <w:u w:val="single"/>
        </w:rPr>
        <w:t>广州市增城区水务建设管理所</w:t>
      </w:r>
      <w:r>
        <w:rPr>
          <w:rFonts w:hint="eastAsia" w:ascii="宋体" w:hAnsi="宋体"/>
          <w:color w:val="auto"/>
          <w:sz w:val="24"/>
          <w:szCs w:val="24"/>
          <w:highlight w:val="none"/>
        </w:rPr>
        <w:t>，资金来源：</w:t>
      </w:r>
      <w:r>
        <w:rPr>
          <w:rFonts w:hint="eastAsia" w:ascii="宋体" w:hAnsi="宋体"/>
          <w:color w:val="auto"/>
          <w:sz w:val="24"/>
          <w:highlight w:val="none"/>
          <w:u w:val="single"/>
        </w:rPr>
        <w:t>区财政</w:t>
      </w:r>
      <w:r>
        <w:rPr>
          <w:rFonts w:hint="eastAsia" w:ascii="宋体" w:hAnsi="宋体"/>
          <w:color w:val="auto"/>
          <w:sz w:val="24"/>
          <w:highlight w:val="none"/>
          <w:u w:val="single"/>
          <w:lang w:eastAsia="zh-CN"/>
        </w:rPr>
        <w:t>统筹</w:t>
      </w:r>
      <w:r>
        <w:rPr>
          <w:rFonts w:hint="eastAsia" w:ascii="宋体" w:hAnsi="宋体"/>
          <w:color w:val="auto"/>
          <w:sz w:val="24"/>
          <w:highlight w:val="none"/>
          <w:u w:val="single"/>
        </w:rPr>
        <w:t>资金。</w:t>
      </w:r>
      <w:r>
        <w:rPr>
          <w:rFonts w:hint="eastAsia" w:ascii="宋体" w:hAnsi="宋体"/>
          <w:color w:val="auto"/>
          <w:sz w:val="24"/>
          <w:szCs w:val="24"/>
          <w:highlight w:val="none"/>
        </w:rPr>
        <w:t>招标人为</w:t>
      </w:r>
      <w:r>
        <w:rPr>
          <w:rFonts w:hint="eastAsia" w:ascii="宋体" w:hAnsi="宋体"/>
          <w:color w:val="auto"/>
          <w:sz w:val="24"/>
          <w:highlight w:val="none"/>
          <w:u w:val="single"/>
        </w:rPr>
        <w:t>广州市增城区水务建设管理所</w:t>
      </w:r>
      <w:r>
        <w:rPr>
          <w:rFonts w:hint="eastAsia" w:ascii="宋体" w:hAnsi="宋体"/>
          <w:color w:val="auto"/>
          <w:sz w:val="24"/>
          <w:szCs w:val="24"/>
          <w:highlight w:val="none"/>
        </w:rPr>
        <w:t>。项目已具备招标条件，现对该项目的</w:t>
      </w:r>
      <w:r>
        <w:rPr>
          <w:rFonts w:hint="eastAsia" w:ascii="宋体" w:hAnsi="宋体"/>
          <w:color w:val="auto"/>
          <w:sz w:val="24"/>
          <w:szCs w:val="24"/>
          <w:highlight w:val="none"/>
          <w:u w:val="single"/>
        </w:rPr>
        <w:t>施工</w:t>
      </w:r>
      <w:r>
        <w:rPr>
          <w:rFonts w:hint="eastAsia" w:ascii="宋体" w:hAnsi="宋体" w:cs="宋体"/>
          <w:color w:val="auto"/>
          <w:kern w:val="0"/>
          <w:sz w:val="24"/>
          <w:highlight w:val="none"/>
          <w:u w:val="single"/>
        </w:rPr>
        <w:t>监理</w:t>
      </w:r>
      <w:r>
        <w:rPr>
          <w:rFonts w:hint="eastAsia" w:ascii="宋体" w:hAnsi="宋体"/>
          <w:color w:val="auto"/>
          <w:sz w:val="24"/>
          <w:szCs w:val="24"/>
          <w:highlight w:val="none"/>
        </w:rPr>
        <w:t>进行公开招标。</w:t>
      </w:r>
    </w:p>
    <w:p>
      <w:pPr>
        <w:pStyle w:val="4"/>
        <w:keepNext w:val="0"/>
        <w:keepLines w:val="0"/>
        <w:spacing w:before="0" w:after="0" w:line="360" w:lineRule="auto"/>
        <w:rPr>
          <w:rFonts w:ascii="宋体" w:hAnsi="宋体" w:eastAsia="宋体"/>
          <w:color w:val="auto"/>
          <w:highlight w:val="none"/>
        </w:rPr>
      </w:pPr>
      <w:r>
        <w:rPr>
          <w:rFonts w:ascii="宋体" w:hAnsi="宋体" w:eastAsia="宋体"/>
          <w:color w:val="auto"/>
          <w:highlight w:val="none"/>
        </w:rPr>
        <w:t>2. 项目概况与</w:t>
      </w:r>
      <w:r>
        <w:rPr>
          <w:rFonts w:hint="eastAsia" w:ascii="宋体" w:hAnsi="宋体" w:eastAsia="宋体"/>
          <w:color w:val="auto"/>
          <w:highlight w:val="none"/>
        </w:rPr>
        <w:t>招标范围</w:t>
      </w:r>
    </w:p>
    <w:p>
      <w:pPr>
        <w:spacing w:line="360" w:lineRule="auto"/>
        <w:ind w:firstLine="480" w:firstLineChars="200"/>
        <w:rPr>
          <w:color w:val="auto"/>
          <w:sz w:val="24"/>
          <w:szCs w:val="24"/>
          <w:highlight w:val="none"/>
        </w:rPr>
      </w:pPr>
      <w:r>
        <w:rPr>
          <w:rFonts w:ascii="宋体" w:hAnsi="宋体" w:cs="宋体"/>
          <w:color w:val="auto"/>
          <w:sz w:val="24"/>
          <w:highlight w:val="none"/>
        </w:rPr>
        <w:t>2.1</w:t>
      </w:r>
      <w:r>
        <w:rPr>
          <w:rFonts w:hint="eastAsia"/>
          <w:color w:val="auto"/>
          <w:sz w:val="24"/>
          <w:szCs w:val="24"/>
          <w:highlight w:val="none"/>
        </w:rPr>
        <w:t>招标项目概况</w:t>
      </w:r>
    </w:p>
    <w:p>
      <w:pPr>
        <w:spacing w:line="360" w:lineRule="auto"/>
        <w:ind w:firstLine="480" w:firstLineChars="200"/>
        <w:jc w:val="left"/>
        <w:rPr>
          <w:rFonts w:ascii="宋体" w:hAnsi="宋体"/>
          <w:color w:val="auto"/>
          <w:sz w:val="24"/>
          <w:szCs w:val="24"/>
          <w:highlight w:val="none"/>
          <w:u w:val="single"/>
        </w:rPr>
      </w:pPr>
      <w:r>
        <w:rPr>
          <w:rFonts w:ascii="宋体" w:hAnsi="宋体" w:cs="宋体"/>
          <w:color w:val="auto"/>
          <w:sz w:val="24"/>
          <w:highlight w:val="none"/>
        </w:rPr>
        <w:t>2.1.1</w:t>
      </w:r>
      <w:r>
        <w:rPr>
          <w:rFonts w:hint="eastAsia"/>
          <w:color w:val="auto"/>
          <w:sz w:val="24"/>
          <w:szCs w:val="24"/>
          <w:highlight w:val="none"/>
        </w:rPr>
        <w:t>项目名称：</w:t>
      </w:r>
      <w:r>
        <w:rPr>
          <w:rFonts w:hint="eastAsia" w:ascii="宋体" w:hAnsi="宋体" w:cs="宋体"/>
          <w:color w:val="auto"/>
          <w:kern w:val="0"/>
          <w:sz w:val="24"/>
          <w:highlight w:val="none"/>
          <w:u w:val="single"/>
        </w:rPr>
        <w:t>增城国家级开发区仙村园区西福河堤防达标整治（仙村园区段）及环园路建设工程</w:t>
      </w:r>
      <w:r>
        <w:rPr>
          <w:rFonts w:hint="eastAsia" w:ascii="宋体" w:hAnsi="宋体" w:cs="宋体"/>
          <w:color w:val="auto"/>
          <w:kern w:val="0"/>
          <w:sz w:val="24"/>
          <w:highlight w:val="none"/>
          <w:u w:val="single"/>
          <w:lang w:eastAsia="zh-CN"/>
        </w:rPr>
        <w:t>（水利部分）</w:t>
      </w:r>
      <w:r>
        <w:rPr>
          <w:rFonts w:hint="eastAsia" w:ascii="宋体" w:hAnsi="宋体" w:cs="宋体"/>
          <w:color w:val="auto"/>
          <w:kern w:val="0"/>
          <w:sz w:val="24"/>
          <w:highlight w:val="none"/>
          <w:u w:val="single"/>
        </w:rPr>
        <w:t>施工监理</w:t>
      </w:r>
    </w:p>
    <w:p>
      <w:pPr>
        <w:spacing w:line="360" w:lineRule="auto"/>
        <w:ind w:firstLine="480" w:firstLineChars="200"/>
        <w:rPr>
          <w:rFonts w:ascii="宋体" w:hAnsi="宋体" w:cs="宋体"/>
          <w:color w:val="auto"/>
          <w:kern w:val="0"/>
          <w:sz w:val="24"/>
          <w:highlight w:val="none"/>
        </w:rPr>
      </w:pPr>
      <w:r>
        <w:rPr>
          <w:rFonts w:ascii="宋体" w:hAnsi="宋体" w:cs="宋体"/>
          <w:color w:val="auto"/>
          <w:sz w:val="24"/>
          <w:highlight w:val="none"/>
        </w:rPr>
        <w:t>2.1.2</w:t>
      </w:r>
      <w:r>
        <w:rPr>
          <w:rFonts w:hint="eastAsia"/>
          <w:color w:val="auto"/>
          <w:sz w:val="24"/>
          <w:szCs w:val="24"/>
          <w:highlight w:val="none"/>
        </w:rPr>
        <w:t>建设地点：</w:t>
      </w:r>
      <w:r>
        <w:rPr>
          <w:rFonts w:hint="eastAsia" w:ascii="宋体" w:hAnsi="宋体" w:cs="宋体"/>
          <w:color w:val="auto"/>
          <w:kern w:val="0"/>
          <w:sz w:val="24"/>
          <w:highlight w:val="none"/>
          <w:u w:val="single"/>
        </w:rPr>
        <w:t>广州市增城区仙村镇。</w:t>
      </w:r>
    </w:p>
    <w:p>
      <w:pPr>
        <w:spacing w:line="360" w:lineRule="auto"/>
        <w:ind w:firstLine="480" w:firstLineChars="200"/>
        <w:jc w:val="left"/>
        <w:rPr>
          <w:rFonts w:hint="eastAsia"/>
          <w:color w:val="auto"/>
          <w:sz w:val="24"/>
          <w:szCs w:val="24"/>
          <w:highlight w:val="none"/>
        </w:rPr>
      </w:pPr>
      <w:r>
        <w:rPr>
          <w:rFonts w:ascii="宋体" w:hAnsi="宋体" w:cs="宋体"/>
          <w:color w:val="auto"/>
          <w:sz w:val="24"/>
          <w:highlight w:val="none"/>
        </w:rPr>
        <w:t>2.1.3</w:t>
      </w:r>
      <w:r>
        <w:rPr>
          <w:rFonts w:hint="eastAsia"/>
          <w:color w:val="auto"/>
          <w:sz w:val="24"/>
          <w:szCs w:val="24"/>
          <w:highlight w:val="none"/>
        </w:rPr>
        <w:t>项目规模：</w:t>
      </w:r>
    </w:p>
    <w:p>
      <w:pPr>
        <w:numPr>
          <w:ilvl w:val="0"/>
          <w:numId w:val="0"/>
        </w:numPr>
        <w:spacing w:line="360" w:lineRule="auto"/>
        <w:ind w:leftChars="0" w:firstLine="480" w:firstLineChars="200"/>
        <w:rPr>
          <w:rFonts w:hint="eastAsia" w:ascii="宋体" w:hAnsi="宋体" w:cs="宋体"/>
          <w:color w:val="auto"/>
          <w:sz w:val="24"/>
          <w:szCs w:val="24"/>
          <w:highlight w:val="none"/>
          <w:u w:val="single"/>
          <w:lang w:bidi="ar"/>
        </w:rPr>
      </w:pPr>
      <w:r>
        <w:rPr>
          <w:rFonts w:hint="eastAsia" w:ascii="宋体" w:hAnsi="宋体" w:cs="宋体"/>
          <w:color w:val="auto"/>
          <w:sz w:val="24"/>
          <w:szCs w:val="24"/>
          <w:highlight w:val="none"/>
          <w:u w:val="single"/>
          <w:lang w:bidi="ar"/>
        </w:rPr>
        <w:t>本工程主要建设内容分为：</w:t>
      </w:r>
      <w:r>
        <w:rPr>
          <w:rFonts w:hint="eastAsia" w:ascii="宋体" w:hAnsi="宋体" w:cs="宋体"/>
          <w:color w:val="auto"/>
          <w:sz w:val="24"/>
          <w:szCs w:val="24"/>
          <w:u w:val="single"/>
          <w:lang w:bidi="ar"/>
        </w:rPr>
        <w:t>西福河堤防工程：结合仙村园区总体规划和西福河规划岸</w:t>
      </w:r>
    </w:p>
    <w:p>
      <w:pPr>
        <w:numPr>
          <w:ilvl w:val="0"/>
          <w:numId w:val="0"/>
        </w:numPr>
        <w:spacing w:line="360" w:lineRule="auto"/>
        <w:ind w:leftChars="0"/>
        <w:rPr>
          <w:rFonts w:hint="eastAsia" w:ascii="宋体" w:hAnsi="宋体" w:cs="宋体"/>
          <w:color w:val="auto"/>
          <w:sz w:val="24"/>
          <w:szCs w:val="24"/>
          <w:highlight w:val="none"/>
          <w:u w:val="single"/>
          <w:lang w:bidi="ar"/>
        </w:rPr>
      </w:pPr>
      <w:r>
        <w:rPr>
          <w:rFonts w:hint="eastAsia" w:ascii="宋体" w:hAnsi="宋体" w:cs="宋体"/>
          <w:color w:val="auto"/>
          <w:sz w:val="24"/>
          <w:szCs w:val="24"/>
          <w:u w:val="single"/>
          <w:lang w:bidi="ar"/>
        </w:rPr>
        <w:t>线调整，对西福河右岸(仙村园区段)堤防进行综合整治，整治起点为三合围排洪渠，终点为荔新公路，整治长度为3.728km,其中桩号XFH0+000~XFH0+750段堤防按1级堤防考虑设置8m堤顶路，桩号XFH0+750~XFH3+728段按照堤路结合原则新建28m堤顶路，堤路结合段按城市主干路标准建设，双向4车道，设计速度40km/h,同时配建园区照明设备和配套绿化设施等。穿堤箱涵工程：沿西福河堤防新建穿堤箱涵4座，分别位于桩号XFH0+100、XFH0+730、XFH3+000、XFH3+700;下碧潭涌、截洪沟：沿园区规划道路北侧新建下碧潭涌，长593m,河道底宽4m, 河道水域宽度按10m布置，园区平整完毕后，沿南部山体新建截洪沟，截洪沟接入下碧潭涌，拦截山水，保障厂区安全。</w:t>
      </w:r>
    </w:p>
    <w:p>
      <w:pPr>
        <w:spacing w:line="360" w:lineRule="auto"/>
        <w:ind w:firstLine="480" w:firstLineChars="200"/>
        <w:jc w:val="left"/>
        <w:rPr>
          <w:rFonts w:ascii="宋体" w:hAnsi="宋体" w:cs="宋体"/>
          <w:color w:val="auto"/>
          <w:kern w:val="0"/>
          <w:sz w:val="24"/>
          <w:highlight w:val="none"/>
          <w:u w:val="single"/>
        </w:rPr>
      </w:pPr>
      <w:r>
        <w:rPr>
          <w:rFonts w:ascii="宋体" w:hAnsi="宋体" w:cs="宋体"/>
          <w:color w:val="auto"/>
          <w:sz w:val="24"/>
          <w:highlight w:val="none"/>
        </w:rPr>
        <w:t>2.1.4</w:t>
      </w:r>
      <w:r>
        <w:rPr>
          <w:rFonts w:hint="eastAsia"/>
          <w:color w:val="auto"/>
          <w:sz w:val="24"/>
          <w:szCs w:val="24"/>
          <w:highlight w:val="none"/>
        </w:rPr>
        <w:t>建筑安装工程费/工程概算：</w:t>
      </w:r>
      <w:r>
        <w:rPr>
          <w:rFonts w:hint="eastAsia" w:ascii="宋体" w:hAnsi="宋体" w:cs="宋体"/>
          <w:color w:val="auto"/>
          <w:kern w:val="0"/>
          <w:sz w:val="24"/>
          <w:highlight w:val="none"/>
          <w:u w:val="single"/>
        </w:rPr>
        <w:t>项目</w:t>
      </w:r>
      <w:r>
        <w:rPr>
          <w:rFonts w:hint="eastAsia" w:ascii="宋体" w:hAnsi="宋体" w:cs="宋体"/>
          <w:color w:val="auto"/>
          <w:kern w:val="0"/>
          <w:sz w:val="24"/>
          <w:highlight w:val="none"/>
          <w:u w:val="single"/>
          <w:lang w:eastAsia="zh-CN"/>
        </w:rPr>
        <w:t>概算</w:t>
      </w:r>
      <w:r>
        <w:rPr>
          <w:rFonts w:hint="eastAsia" w:ascii="宋体" w:hAnsi="宋体" w:cs="宋体"/>
          <w:color w:val="auto"/>
          <w:kern w:val="0"/>
          <w:sz w:val="24"/>
          <w:highlight w:val="none"/>
          <w:u w:val="single"/>
        </w:rPr>
        <w:t>总投资</w:t>
      </w:r>
      <w:r>
        <w:rPr>
          <w:rFonts w:hint="eastAsia" w:ascii="宋体" w:hAnsi="宋体" w:cs="宋体"/>
          <w:color w:val="auto"/>
          <w:kern w:val="0"/>
          <w:sz w:val="24"/>
          <w:highlight w:val="none"/>
          <w:u w:val="single"/>
          <w:lang w:val="en-US" w:eastAsia="zh-CN"/>
        </w:rPr>
        <w:t>404660446.21</w:t>
      </w:r>
      <w:r>
        <w:rPr>
          <w:rFonts w:hint="eastAsia" w:ascii="宋体" w:hAnsi="宋体" w:cs="宋体"/>
          <w:color w:val="auto"/>
          <w:kern w:val="0"/>
          <w:sz w:val="24"/>
          <w:highlight w:val="none"/>
          <w:u w:val="single"/>
        </w:rPr>
        <w:t>元，</w:t>
      </w:r>
      <w:r>
        <w:rPr>
          <w:rFonts w:hint="eastAsia" w:ascii="宋体" w:hAnsi="宋体" w:cs="宋体"/>
          <w:color w:val="auto"/>
          <w:kern w:val="0"/>
          <w:sz w:val="24"/>
          <w:highlight w:val="none"/>
          <w:u w:val="single"/>
          <w:lang w:eastAsia="zh-CN"/>
        </w:rPr>
        <w:t>水利部分</w:t>
      </w:r>
      <w:r>
        <w:rPr>
          <w:rFonts w:hint="eastAsia" w:ascii="宋体" w:hAnsi="宋体" w:cs="宋体"/>
          <w:color w:val="auto"/>
          <w:kern w:val="0"/>
          <w:sz w:val="24"/>
          <w:highlight w:val="none"/>
          <w:u w:val="single"/>
        </w:rPr>
        <w:t>建安费约</w:t>
      </w:r>
      <w:r>
        <w:rPr>
          <w:rFonts w:hint="eastAsia" w:ascii="宋体" w:hAnsi="宋体" w:cs="宋体"/>
          <w:color w:val="auto"/>
          <w:kern w:val="0"/>
          <w:sz w:val="24"/>
          <w:highlight w:val="none"/>
          <w:u w:val="single"/>
          <w:lang w:val="en-US" w:eastAsia="zh-CN"/>
        </w:rPr>
        <w:t>218307050.61</w:t>
      </w:r>
      <w:r>
        <w:rPr>
          <w:rFonts w:hint="eastAsia" w:ascii="宋体" w:hAnsi="宋体" w:cs="宋体"/>
          <w:color w:val="auto"/>
          <w:kern w:val="0"/>
          <w:sz w:val="24"/>
          <w:highlight w:val="none"/>
          <w:u w:val="single"/>
        </w:rPr>
        <w:t>元。</w:t>
      </w:r>
    </w:p>
    <w:p>
      <w:pPr>
        <w:spacing w:line="360" w:lineRule="auto"/>
        <w:ind w:firstLine="480" w:firstLineChars="200"/>
        <w:rPr>
          <w:color w:val="auto"/>
          <w:sz w:val="24"/>
          <w:szCs w:val="24"/>
          <w:highlight w:val="none"/>
          <w:u w:val="single"/>
        </w:rPr>
      </w:pPr>
      <w:r>
        <w:rPr>
          <w:rFonts w:ascii="宋体" w:hAnsi="宋体" w:cs="宋体"/>
          <w:color w:val="auto"/>
          <w:sz w:val="24"/>
          <w:highlight w:val="none"/>
        </w:rPr>
        <w:t>2.2</w:t>
      </w:r>
      <w:r>
        <w:rPr>
          <w:rFonts w:hint="eastAsia"/>
          <w:color w:val="auto"/>
          <w:sz w:val="24"/>
          <w:szCs w:val="24"/>
          <w:highlight w:val="none"/>
        </w:rPr>
        <w:t>招标范围</w:t>
      </w:r>
    </w:p>
    <w:p>
      <w:pPr>
        <w:spacing w:line="360" w:lineRule="auto"/>
        <w:ind w:firstLine="480" w:firstLineChars="200"/>
        <w:rPr>
          <w:color w:val="auto"/>
          <w:sz w:val="24"/>
          <w:szCs w:val="24"/>
          <w:highlight w:val="none"/>
          <w:u w:val="single"/>
        </w:rPr>
      </w:pPr>
      <w:r>
        <w:rPr>
          <w:rFonts w:ascii="宋体" w:hAnsi="宋体" w:cs="宋体"/>
          <w:color w:val="auto"/>
          <w:sz w:val="24"/>
          <w:highlight w:val="none"/>
        </w:rPr>
        <w:t>2.2.1</w:t>
      </w:r>
      <w:r>
        <w:rPr>
          <w:rFonts w:hint="eastAsia" w:ascii="宋体" w:hAnsi="宋体"/>
          <w:color w:val="auto"/>
          <w:sz w:val="24"/>
          <w:szCs w:val="24"/>
          <w:highlight w:val="none"/>
        </w:rPr>
        <w:t>标段划分：本项目设</w:t>
      </w:r>
      <w:r>
        <w:rPr>
          <w:rFonts w:ascii="宋体" w:hAnsi="宋体"/>
          <w:color w:val="auto"/>
          <w:sz w:val="24"/>
          <w:szCs w:val="24"/>
          <w:highlight w:val="none"/>
          <w:u w:val="single"/>
        </w:rPr>
        <w:t>1</w:t>
      </w:r>
      <w:r>
        <w:rPr>
          <w:rFonts w:hint="eastAsia" w:ascii="宋体" w:hAnsi="宋体"/>
          <w:color w:val="auto"/>
          <w:sz w:val="24"/>
          <w:szCs w:val="24"/>
          <w:highlight w:val="none"/>
        </w:rPr>
        <w:t>个标段。</w:t>
      </w:r>
    </w:p>
    <w:p>
      <w:pPr>
        <w:spacing w:line="360" w:lineRule="auto"/>
        <w:ind w:firstLine="480" w:firstLineChars="200"/>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2.2.2监理范围：</w:t>
      </w:r>
      <w:r>
        <w:rPr>
          <w:rFonts w:hint="eastAsia" w:ascii="宋体" w:hAnsi="宋体" w:cs="宋体"/>
          <w:color w:val="auto"/>
          <w:kern w:val="0"/>
          <w:sz w:val="24"/>
          <w:highlight w:val="none"/>
          <w:u w:val="single"/>
        </w:rPr>
        <w:t>负责本项目施工准备阶段、施工阶段、工程收尾阶段（包括但不限于竣工验收、整改、工程移交、工程结算等）、保修阶段（缺陷责任期）的质量控制、职业健康、安全生产及环境监督管理、投资控制、进度控制、合同管理、信息管理、组织协调等全过程监理工作。</w:t>
      </w:r>
    </w:p>
    <w:p>
      <w:pPr>
        <w:spacing w:line="360" w:lineRule="auto"/>
        <w:ind w:firstLine="480" w:firstLineChars="200"/>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2.2.3监理服务期限：</w:t>
      </w:r>
      <w:r>
        <w:rPr>
          <w:rFonts w:hint="eastAsia" w:ascii="宋体" w:hAnsi="宋体" w:cs="宋体"/>
          <w:color w:val="auto"/>
          <w:kern w:val="0"/>
          <w:sz w:val="24"/>
          <w:highlight w:val="none"/>
          <w:u w:val="single"/>
        </w:rPr>
        <w:t>从中标人收到招标人中标通知或参加由招标人组织的进场动员会开始算起，至本项目工程质量保修期结束且本合同工程结算金额经政府主管部门审定之日止。</w:t>
      </w:r>
    </w:p>
    <w:p>
      <w:pPr>
        <w:spacing w:line="360" w:lineRule="auto"/>
        <w:ind w:firstLine="480" w:firstLineChars="200"/>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2.2.4最高投标限价：</w:t>
      </w:r>
      <w:r>
        <w:rPr>
          <w:rFonts w:hint="eastAsia" w:ascii="宋体" w:hAnsi="宋体" w:cs="宋体"/>
          <w:color w:val="auto"/>
          <w:kern w:val="0"/>
          <w:sz w:val="24"/>
          <w:highlight w:val="none"/>
          <w:u w:val="single"/>
          <w:lang w:val="en-US" w:eastAsia="zh-CN"/>
        </w:rPr>
        <w:t>4170759.20</w:t>
      </w:r>
      <w:r>
        <w:rPr>
          <w:rFonts w:hint="eastAsia" w:ascii="宋体" w:hAnsi="宋体" w:cs="宋体"/>
          <w:color w:val="auto"/>
          <w:kern w:val="0"/>
          <w:sz w:val="24"/>
          <w:highlight w:val="none"/>
          <w:u w:val="single"/>
        </w:rPr>
        <w:t>元。</w:t>
      </w:r>
    </w:p>
    <w:p>
      <w:pPr>
        <w:pStyle w:val="4"/>
        <w:keepNext w:val="0"/>
        <w:keepLines w:val="0"/>
        <w:spacing w:before="0" w:after="0" w:line="360" w:lineRule="auto"/>
        <w:rPr>
          <w:rFonts w:ascii="宋体" w:hAnsi="宋体" w:eastAsia="宋体"/>
          <w:color w:val="auto"/>
          <w:highlight w:val="none"/>
        </w:rPr>
      </w:pPr>
      <w:r>
        <w:rPr>
          <w:rFonts w:ascii="宋体" w:hAnsi="宋体" w:eastAsia="宋体"/>
          <w:color w:val="auto"/>
          <w:highlight w:val="none"/>
        </w:rPr>
        <w:t>3. 投标人资格要求</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3.1投标人参加投标的意思表达清楚，投标人代表被授权有效。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3.2</w:t>
      </w:r>
      <w:r>
        <w:rPr>
          <w:rFonts w:hint="eastAsia" w:ascii="宋体" w:hAnsi="宋体" w:cs="宋体"/>
          <w:color w:val="auto"/>
          <w:sz w:val="24"/>
          <w:szCs w:val="24"/>
          <w:highlight w:val="none"/>
        </w:rPr>
        <w:t>投标人具有独立法人资格，持有事业单位登记管理部门核发的事业单位法人证书或市场监管部门（或工商行政管理部门）核发的企业法人营业执照，且在营业期限内</w:t>
      </w:r>
      <w:r>
        <w:rPr>
          <w:rFonts w:hint="eastAsia" w:ascii="宋体" w:hAnsi="宋体"/>
          <w:color w:val="auto"/>
          <w:sz w:val="24"/>
          <w:highlight w:val="none"/>
        </w:rPr>
        <w:t>。</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3.3投标人须具有承接本工程所需的</w:t>
      </w:r>
      <w:r>
        <w:rPr>
          <w:rFonts w:hint="eastAsia" w:ascii="宋体" w:hAnsi="宋体" w:cs="宋体"/>
          <w:color w:val="auto"/>
          <w:sz w:val="24"/>
          <w:highlight w:val="none"/>
        </w:rPr>
        <w:t>水利部颁发的水利工程施工监理甲级</w:t>
      </w:r>
      <w:r>
        <w:rPr>
          <w:rFonts w:hint="eastAsia" w:ascii="宋体" w:hAnsi="宋体"/>
          <w:color w:val="auto"/>
          <w:sz w:val="24"/>
          <w:highlight w:val="none"/>
        </w:rPr>
        <w:t>资质；</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香港企业独立参加投标的，须在广东省住房和城乡建设主管部门备案且备案的业务范围满足本项目招标资质要求。注：依据《广东省住房和城乡建设厅关于印发香港工程建设咨询企业和专业人士在粤港澳大湾区内地城市开业执业试点管理暂行办法的通知》（粤建规范[2020]1号）确定。</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注：工程监理企业资质证书有效期按《水利部关于开展水利工程建设监理单位资质行政许可有关工作的公告》（中华人民共和国水利部公告2021年第9号）、《水利部关于水利工程建设监理单位和甲级质量检测单位资质等级证书延期的公告》（中华人民共和国水利部公告2022年第10号）等规定执行。</w:t>
      </w:r>
    </w:p>
    <w:p>
      <w:pPr>
        <w:adjustRightInd w:val="0"/>
        <w:snapToGrid w:val="0"/>
        <w:spacing w:line="360" w:lineRule="auto"/>
        <w:ind w:firstLine="480" w:firstLineChars="200"/>
        <w:rPr>
          <w:color w:val="auto"/>
          <w:highlight w:val="none"/>
          <w:lang w:val="en-US" w:eastAsia="zh-CN"/>
        </w:rPr>
      </w:pPr>
      <w:r>
        <w:rPr>
          <w:rFonts w:hint="eastAsia" w:ascii="宋体" w:hAnsi="宋体"/>
          <w:color w:val="auto"/>
          <w:sz w:val="24"/>
          <w:highlight w:val="none"/>
        </w:rPr>
        <w:t>招标期间如行政主管部门对建设工程企业资质有效期发布新规定的，按新规定相应调整执行。</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3.4项目总监理工程师：具有有效的中国水利工程协会颁发的水利工程建设监理工程师资格证书，执业单位为本投标单位，且具有工程类高级(或以上）专业技术职称；或者具有中华人民共和国监理工程师注册证书且其注册专业为水利工程施工监理，注册单位为本投标单位，且具有工程类高级(或以上）专业技术职称。</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香港专业人士参与投标的，须在广东省住房和城乡建设主管部门备案且备案的业务范围满足本项目招标文件要求。注：（依据《广东省住房和城乡建设厅关于印发香港工程建设咨询企业和专业人士在粤港澳大湾区内地城市开业执业试点管理暂行办法的通知》（粤建规范[2020]1号）规定）。</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3.5投标登记前，投标人</w:t>
      </w:r>
      <w:r>
        <w:rPr>
          <w:rFonts w:hint="eastAsia" w:ascii="宋体" w:hAnsi="宋体" w:cs="宋体"/>
          <w:color w:val="auto"/>
          <w:sz w:val="24"/>
          <w:highlight w:val="none"/>
        </w:rPr>
        <w:t>须</w:t>
      </w:r>
      <w:r>
        <w:rPr>
          <w:rFonts w:hint="eastAsia" w:ascii="宋体" w:hAnsi="宋体"/>
          <w:color w:val="auto"/>
          <w:sz w:val="24"/>
          <w:highlight w:val="none"/>
        </w:rPr>
        <w:t>已在广州公共资源交易中心办理企业信息登记及拟担任本工程总监理工程师须是本单位在企业库中的在册人员；</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3.6投标人已按照</w:t>
      </w:r>
      <w:r>
        <w:rPr>
          <w:rFonts w:hint="eastAsia" w:ascii="宋体" w:hAnsi="宋体" w:cs="宋体"/>
          <w:bCs/>
          <w:color w:val="auto"/>
          <w:sz w:val="24"/>
          <w:szCs w:val="24"/>
          <w:highlight w:val="none"/>
        </w:rPr>
        <w:t>招标公告</w:t>
      </w:r>
      <w:r>
        <w:rPr>
          <w:rFonts w:hint="eastAsia" w:ascii="宋体" w:hAnsi="宋体"/>
          <w:color w:val="auto"/>
          <w:sz w:val="24"/>
          <w:highlight w:val="none"/>
        </w:rPr>
        <w:t>附件一的内容签署盖章的投标人声明。</w:t>
      </w:r>
    </w:p>
    <w:p>
      <w:pPr>
        <w:adjustRightInd w:val="0"/>
        <w:snapToGrid w:val="0"/>
        <w:spacing w:line="360" w:lineRule="auto"/>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3.7关于联合体投标：本项目</w:t>
      </w:r>
      <w:r>
        <w:rPr>
          <w:rFonts w:hint="eastAsia" w:ascii="宋体" w:hAnsi="宋体"/>
          <w:color w:val="auto"/>
          <w:sz w:val="24"/>
          <w:highlight w:val="none"/>
          <w:lang w:val="en-US" w:eastAsia="zh-CN"/>
        </w:rPr>
        <w:t>不</w:t>
      </w:r>
      <w:r>
        <w:rPr>
          <w:rFonts w:hint="eastAsia" w:ascii="宋体" w:hAnsi="宋体"/>
          <w:color w:val="auto"/>
          <w:sz w:val="24"/>
          <w:highlight w:val="none"/>
        </w:rPr>
        <w:t>接受联合体投标</w:t>
      </w:r>
      <w:r>
        <w:rPr>
          <w:rFonts w:hint="eastAsia" w:ascii="宋体" w:hAnsi="宋体"/>
          <w:color w:val="auto"/>
          <w:sz w:val="24"/>
          <w:highlight w:val="none"/>
          <w:lang w:val="en-US" w:eastAsia="zh-CN"/>
        </w:rPr>
        <w:t>。</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3.8</w:t>
      </w:r>
      <w:r>
        <w:rPr>
          <w:rFonts w:hint="eastAsia" w:ascii="宋体" w:hAnsi="宋体" w:cs="宋体"/>
          <w:color w:val="auto"/>
          <w:sz w:val="24"/>
          <w:highlight w:val="none"/>
        </w:rPr>
        <w:t>未被纳入国家、省、市、区的失信联合惩戒名单且未被限制参加建设工程投标的（具体名单以递交投标文件截止时间“信用广州”https://credit.gz.gov.cn/公布的名单为准）。注：因联合惩戒措施表述存在细微差别，惩戒措施与上文不完全一致但措施内容相同的，也应属于被限制参与相关项目的投标。</w:t>
      </w:r>
    </w:p>
    <w:p>
      <w:pPr>
        <w:pStyle w:val="4"/>
        <w:keepNext w:val="0"/>
        <w:keepLines w:val="0"/>
        <w:spacing w:before="0" w:after="0" w:line="360" w:lineRule="auto"/>
        <w:rPr>
          <w:rFonts w:hint="eastAsia" w:ascii="宋体" w:hAnsi="宋体" w:eastAsia="宋体"/>
          <w:color w:val="auto"/>
          <w:highlight w:val="none"/>
        </w:rPr>
      </w:pPr>
      <w:r>
        <w:rPr>
          <w:rFonts w:hint="eastAsia" w:ascii="宋体" w:hAnsi="宋体" w:eastAsia="宋体"/>
          <w:color w:val="auto"/>
          <w:highlight w:val="none"/>
        </w:rPr>
        <w:t>4. 招标文件的获取</w:t>
      </w:r>
    </w:p>
    <w:p>
      <w:pPr>
        <w:wordWrap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4.1（B）凡有意参加投标者，请于</w:t>
      </w:r>
      <w:r>
        <w:rPr>
          <w:rFonts w:hint="eastAsia" w:ascii="宋体" w:hAnsi="宋体"/>
          <w:color w:val="auto"/>
          <w:sz w:val="24"/>
          <w:szCs w:val="24"/>
          <w:highlight w:val="none"/>
          <w:u w:val="single"/>
        </w:rPr>
        <w:t>20</w:t>
      </w:r>
      <w:r>
        <w:rPr>
          <w:rFonts w:hint="eastAsia" w:ascii="宋体" w:hAnsi="宋体"/>
          <w:color w:val="auto"/>
          <w:sz w:val="24"/>
          <w:szCs w:val="24"/>
          <w:highlight w:val="none"/>
          <w:u w:val="single"/>
          <w:lang w:val="en-US" w:eastAsia="zh-CN"/>
        </w:rPr>
        <w:t>24</w:t>
      </w:r>
      <w:r>
        <w:rPr>
          <w:rFonts w:hint="eastAsia" w:ascii="宋体" w:hAnsi="宋体"/>
          <w:color w:val="auto"/>
          <w:sz w:val="24"/>
          <w:szCs w:val="24"/>
          <w:highlight w:val="none"/>
          <w:u w:val="single"/>
        </w:rPr>
        <w:t>年  月  日  时  分</w:t>
      </w:r>
      <w:r>
        <w:rPr>
          <w:rFonts w:hint="eastAsia" w:ascii="宋体" w:hAnsi="宋体"/>
          <w:color w:val="auto"/>
          <w:sz w:val="24"/>
          <w:szCs w:val="24"/>
          <w:highlight w:val="none"/>
        </w:rPr>
        <w:t>至</w:t>
      </w:r>
      <w:r>
        <w:rPr>
          <w:rFonts w:hint="eastAsia" w:ascii="宋体" w:hAnsi="宋体"/>
          <w:color w:val="auto"/>
          <w:sz w:val="24"/>
          <w:szCs w:val="24"/>
          <w:highlight w:val="none"/>
          <w:u w:val="single"/>
        </w:rPr>
        <w:t>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年  月  日  时  分</w:t>
      </w:r>
      <w:r>
        <w:rPr>
          <w:rFonts w:hint="eastAsia" w:ascii="宋体" w:hAnsi="宋体"/>
          <w:color w:val="auto"/>
          <w:sz w:val="24"/>
          <w:szCs w:val="24"/>
          <w:highlight w:val="none"/>
        </w:rPr>
        <w:t>(北京时间，下同)，登录广州公共资源交易中心网（</w:t>
      </w:r>
      <w:r>
        <w:rPr>
          <w:rFonts w:hint="eastAsia" w:ascii="宋体" w:hAnsi="宋体"/>
          <w:color w:val="auto"/>
          <w:sz w:val="24"/>
          <w:szCs w:val="24"/>
          <w:highlight w:val="none"/>
          <w:u w:val="single"/>
          <w:lang w:eastAsia="zh-CN"/>
        </w:rPr>
        <w:t>http//www.gzggzy.cn</w:t>
      </w:r>
      <w:r>
        <w:rPr>
          <w:rFonts w:hint="eastAsia" w:ascii="宋体" w:hAnsi="宋体"/>
          <w:color w:val="auto"/>
          <w:sz w:val="24"/>
          <w:szCs w:val="24"/>
          <w:highlight w:val="none"/>
        </w:rPr>
        <w:t>）下载电子招标文件。</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4.2 本项目设立投标登记环节，采取</w:t>
      </w:r>
      <w:r>
        <w:rPr>
          <w:rFonts w:hint="eastAsia" w:ascii="宋体" w:hAnsi="宋体" w:cs="宋体"/>
          <w:color w:val="auto"/>
          <w:sz w:val="24"/>
          <w:highlight w:val="none"/>
          <w:u w:val="single"/>
        </w:rPr>
        <w:t>广州公共资源交易中心网上投标登记</w:t>
      </w:r>
      <w:r>
        <w:rPr>
          <w:rFonts w:hint="eastAsia" w:ascii="宋体" w:hAnsi="宋体"/>
          <w:color w:val="auto"/>
          <w:sz w:val="24"/>
          <w:szCs w:val="24"/>
          <w:highlight w:val="none"/>
        </w:rPr>
        <w:t>方式进行投标登记</w:t>
      </w:r>
      <w:r>
        <w:rPr>
          <w:rFonts w:hint="eastAsia" w:ascii="宋体" w:hAnsi="宋体" w:cs="宋体"/>
          <w:color w:val="auto"/>
          <w:sz w:val="24"/>
          <w:highlight w:val="none"/>
          <w:shd w:val="clear" w:color="auto" w:fill="FFFFFF"/>
        </w:rPr>
        <w:t>，不接受现场投标登记（参加投标登记之前，投标人应查询本企业在</w:t>
      </w:r>
      <w:r>
        <w:rPr>
          <w:rFonts w:hint="eastAsia" w:ascii="宋体" w:hAnsi="宋体" w:cs="宋体"/>
          <w:b/>
          <w:color w:val="auto"/>
          <w:sz w:val="24"/>
          <w:highlight w:val="none"/>
          <w:shd w:val="clear" w:color="auto" w:fill="FFFFFF"/>
        </w:rPr>
        <w:t>广州公共资源交易中心的信息登记</w:t>
      </w:r>
      <w:r>
        <w:rPr>
          <w:rFonts w:hint="eastAsia" w:ascii="宋体" w:hAnsi="宋体" w:cs="宋体"/>
          <w:color w:val="auto"/>
          <w:sz w:val="24"/>
          <w:highlight w:val="none"/>
          <w:shd w:val="clear" w:color="auto" w:fill="FFFFFF"/>
        </w:rPr>
        <w:t>的状态，确保一切信息都是真实的、在有效期内的，以免出现相关信息不能被使用。上述情况有可能导致投标信息无法录入广州公共资源交易中心信息系统。如出现上述情况，投标人有可能失去投标机会，因其可能所引起的一切后果由投标人承担。电子招投标操作流程详见广州公共资源交易中心网站发布的最新版操作指引）</w:t>
      </w:r>
      <w:r>
        <w:rPr>
          <w:rFonts w:hint="eastAsia" w:ascii="宋体" w:hAnsi="宋体" w:cs="宋体"/>
          <w:color w:val="auto"/>
          <w:sz w:val="24"/>
          <w:highlight w:val="none"/>
        </w:rPr>
        <w:t>。</w:t>
      </w:r>
    </w:p>
    <w:p>
      <w:pPr>
        <w:spacing w:line="360" w:lineRule="auto"/>
        <w:ind w:left="120" w:leftChars="57" w:firstLine="360" w:firstLineChars="150"/>
        <w:jc w:val="left"/>
        <w:rPr>
          <w:rFonts w:ascii="宋体" w:hAnsi="宋体"/>
          <w:color w:val="auto"/>
          <w:sz w:val="24"/>
          <w:szCs w:val="24"/>
          <w:highlight w:val="none"/>
        </w:rPr>
      </w:pPr>
      <w:r>
        <w:rPr>
          <w:rFonts w:hint="eastAsia" w:ascii="宋体" w:hAnsi="宋体"/>
          <w:color w:val="auto"/>
          <w:sz w:val="24"/>
          <w:szCs w:val="24"/>
          <w:highlight w:val="none"/>
        </w:rPr>
        <w:t>4.2.1投标登记时间：</w:t>
      </w:r>
      <w:r>
        <w:rPr>
          <w:rFonts w:hint="eastAsia" w:ascii="宋体" w:hAnsi="宋体"/>
          <w:color w:val="auto"/>
          <w:sz w:val="24"/>
          <w:szCs w:val="24"/>
          <w:highlight w:val="none"/>
          <w:u w:val="single"/>
        </w:rPr>
        <w:t>20</w:t>
      </w:r>
      <w:r>
        <w:rPr>
          <w:rFonts w:hint="eastAsia" w:ascii="宋体" w:hAnsi="宋体"/>
          <w:color w:val="auto"/>
          <w:sz w:val="24"/>
          <w:szCs w:val="24"/>
          <w:highlight w:val="none"/>
          <w:u w:val="single"/>
          <w:lang w:val="en-US" w:eastAsia="zh-CN"/>
        </w:rPr>
        <w:t>24</w:t>
      </w:r>
      <w:r>
        <w:rPr>
          <w:rFonts w:hint="eastAsia" w:ascii="宋体" w:hAnsi="宋体"/>
          <w:color w:val="auto"/>
          <w:sz w:val="24"/>
          <w:szCs w:val="24"/>
          <w:highlight w:val="none"/>
          <w:u w:val="single"/>
        </w:rPr>
        <w:t>年  月  日  时  分</w:t>
      </w:r>
      <w:r>
        <w:rPr>
          <w:rFonts w:hint="eastAsia" w:ascii="宋体" w:hAnsi="宋体"/>
          <w:color w:val="auto"/>
          <w:sz w:val="24"/>
          <w:szCs w:val="24"/>
          <w:highlight w:val="none"/>
        </w:rPr>
        <w:t>至</w:t>
      </w:r>
      <w:r>
        <w:rPr>
          <w:rFonts w:hint="eastAsia" w:ascii="宋体" w:hAnsi="宋体"/>
          <w:color w:val="auto"/>
          <w:sz w:val="24"/>
          <w:szCs w:val="24"/>
          <w:highlight w:val="none"/>
          <w:u w:val="single"/>
        </w:rPr>
        <w:t>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年  月  日  时  分</w:t>
      </w:r>
      <w:r>
        <w:rPr>
          <w:rFonts w:hint="eastAsia" w:ascii="宋体" w:hAnsi="宋体" w:cs="宋体"/>
          <w:color w:val="auto"/>
          <w:sz w:val="24"/>
          <w:highlight w:val="none"/>
        </w:rPr>
        <w:t>。</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4.3 本项目采用资格后审方式。</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注：（1）电子招投标操作流程详见广州公共资源交易中心网站发布的最新版操作指引）。</w:t>
      </w:r>
    </w:p>
    <w:p>
      <w:pPr>
        <w:spacing w:line="360" w:lineRule="auto"/>
        <w:ind w:firstLine="480" w:firstLineChars="200"/>
        <w:jc w:val="left"/>
        <w:rPr>
          <w:rFonts w:ascii="宋体" w:hAnsi="宋体"/>
          <w:color w:val="auto"/>
          <w:highlight w:val="none"/>
        </w:rPr>
      </w:pPr>
      <w:r>
        <w:rPr>
          <w:rFonts w:hint="eastAsia" w:ascii="宋体" w:hAnsi="宋体"/>
          <w:color w:val="auto"/>
          <w:sz w:val="24"/>
          <w:szCs w:val="24"/>
          <w:highlight w:val="none"/>
        </w:rPr>
        <w:t>（2）</w:t>
      </w:r>
      <w:r>
        <w:rPr>
          <w:rFonts w:hint="eastAsia" w:ascii="宋体" w:hAnsi="宋体" w:cs="宋体"/>
          <w:color w:val="auto"/>
          <w:sz w:val="24"/>
          <w:highlight w:val="none"/>
        </w:rPr>
        <w:t>本公告发布之日起开始投标登记及发布招标文件，</w:t>
      </w:r>
      <w:r>
        <w:rPr>
          <w:rFonts w:hint="eastAsia" w:ascii="宋体" w:hAnsi="宋体"/>
          <w:color w:val="auto"/>
          <w:sz w:val="24"/>
          <w:szCs w:val="24"/>
          <w:highlight w:val="none"/>
        </w:rPr>
        <w:t>本公告发布之日起开始计算备标时间。</w:t>
      </w:r>
    </w:p>
    <w:p>
      <w:pPr>
        <w:pStyle w:val="4"/>
        <w:keepNext w:val="0"/>
        <w:keepLines w:val="0"/>
        <w:spacing w:before="0" w:after="0" w:line="360" w:lineRule="auto"/>
        <w:rPr>
          <w:rFonts w:ascii="宋体" w:hAnsi="宋体" w:eastAsia="宋体"/>
          <w:color w:val="auto"/>
          <w:highlight w:val="none"/>
        </w:rPr>
      </w:pPr>
      <w:r>
        <w:rPr>
          <w:rFonts w:hint="eastAsia" w:ascii="宋体" w:hAnsi="宋体" w:eastAsia="宋体"/>
          <w:color w:val="auto"/>
          <w:highlight w:val="none"/>
        </w:rPr>
        <w:t>5</w:t>
      </w:r>
      <w:r>
        <w:rPr>
          <w:rFonts w:ascii="宋体" w:hAnsi="宋体" w:eastAsia="宋体"/>
          <w:color w:val="auto"/>
          <w:highlight w:val="none"/>
        </w:rPr>
        <w:t xml:space="preserve">. </w:t>
      </w:r>
      <w:r>
        <w:rPr>
          <w:rFonts w:hint="eastAsia" w:ascii="宋体" w:hAnsi="宋体" w:eastAsia="宋体"/>
          <w:color w:val="auto"/>
          <w:highlight w:val="none"/>
        </w:rPr>
        <w:t>投标文件的递交</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u w:val="single"/>
        </w:rPr>
        <w:t>5.1（B）投标文件递交的截止时间（</w:t>
      </w:r>
      <w:r>
        <w:rPr>
          <w:rFonts w:hint="eastAsia" w:ascii="宋体" w:hAnsi="宋体"/>
          <w:color w:val="auto"/>
          <w:spacing w:val="-20"/>
          <w:sz w:val="24"/>
          <w:szCs w:val="24"/>
          <w:highlight w:val="none"/>
          <w:u w:val="single"/>
        </w:rPr>
        <w:t>投标截止时间，下同</w:t>
      </w:r>
      <w:r>
        <w:rPr>
          <w:rFonts w:hint="eastAsia" w:ascii="宋体" w:hAnsi="宋体"/>
          <w:color w:val="auto"/>
          <w:sz w:val="24"/>
          <w:szCs w:val="24"/>
          <w:highlight w:val="none"/>
          <w:u w:val="single"/>
        </w:rPr>
        <w:t>）为</w:t>
      </w:r>
      <w:r>
        <w:rPr>
          <w:rFonts w:hint="eastAsia" w:ascii="宋体" w:hAnsi="宋体"/>
          <w:color w:val="auto"/>
          <w:spacing w:val="-20"/>
          <w:sz w:val="24"/>
          <w:szCs w:val="24"/>
          <w:highlight w:val="none"/>
          <w:u w:val="single"/>
        </w:rPr>
        <w:t>202</w:t>
      </w:r>
      <w:r>
        <w:rPr>
          <w:rFonts w:hint="eastAsia" w:ascii="宋体" w:hAnsi="宋体"/>
          <w:color w:val="auto"/>
          <w:spacing w:val="-20"/>
          <w:sz w:val="24"/>
          <w:szCs w:val="24"/>
          <w:highlight w:val="none"/>
          <w:u w:val="single"/>
          <w:lang w:val="en-US" w:eastAsia="zh-CN"/>
        </w:rPr>
        <w:t>4年</w:t>
      </w:r>
      <w:r>
        <w:rPr>
          <w:rFonts w:hint="eastAsia" w:ascii="宋体" w:hAnsi="宋体"/>
          <w:color w:val="auto"/>
          <w:sz w:val="24"/>
          <w:szCs w:val="24"/>
          <w:highlight w:val="none"/>
          <w:u w:val="single"/>
        </w:rPr>
        <w:t xml:space="preserve">  月  日  时  分，投标人应在截止时间前通过广州公共资源交易中心数字交易平台（网址：</w:t>
      </w:r>
      <w:r>
        <w:rPr>
          <w:rFonts w:hint="eastAsia" w:ascii="宋体" w:hAnsi="宋体"/>
          <w:color w:val="auto"/>
          <w:sz w:val="24"/>
          <w:szCs w:val="24"/>
          <w:highlight w:val="none"/>
          <w:u w:val="single"/>
          <w:lang w:eastAsia="zh-CN"/>
        </w:rPr>
        <w:t>http//www.gzggzy.cn</w:t>
      </w:r>
      <w:r>
        <w:rPr>
          <w:rFonts w:ascii="宋体" w:hAnsi="宋体"/>
          <w:color w:val="auto"/>
          <w:sz w:val="24"/>
          <w:szCs w:val="24"/>
          <w:highlight w:val="none"/>
          <w:u w:val="single"/>
        </w:rPr>
        <w:t>）递交电子投标文件。投标文件备用光盘递交时间为</w:t>
      </w:r>
      <w:r>
        <w:rPr>
          <w:rFonts w:hint="eastAsia" w:ascii="宋体" w:hAnsi="宋体"/>
          <w:color w:val="auto"/>
          <w:sz w:val="24"/>
          <w:szCs w:val="24"/>
          <w:highlight w:val="none"/>
          <w:u w:val="single"/>
        </w:rPr>
        <w:t>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年  月  日  时  分至202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年  月  日  时  分，地点为：广州公共资源交易中心增城交易部第 开标室（增城区增城大道2号金河湾3栋108）。</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u w:val="single"/>
        </w:rPr>
        <w:t>5.2（B）逾期送达的投标文件，电子招标投标交易平台将予以拒收。</w:t>
      </w:r>
    </w:p>
    <w:p>
      <w:pPr>
        <w:pStyle w:val="4"/>
        <w:keepNext w:val="0"/>
        <w:keepLines w:val="0"/>
        <w:spacing w:before="0" w:after="0" w:line="360" w:lineRule="auto"/>
        <w:rPr>
          <w:rFonts w:ascii="宋体" w:hAnsi="宋体" w:eastAsia="宋体"/>
          <w:color w:val="auto"/>
          <w:highlight w:val="none"/>
        </w:rPr>
      </w:pPr>
      <w:r>
        <w:rPr>
          <w:rFonts w:hint="eastAsia" w:ascii="宋体" w:hAnsi="宋体" w:eastAsia="宋体"/>
          <w:color w:val="auto"/>
          <w:highlight w:val="none"/>
        </w:rPr>
        <w:t>6. 发布公告的媒介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本次招标公告同时在</w:t>
      </w:r>
      <w:r>
        <w:rPr>
          <w:rFonts w:hint="eastAsia" w:ascii="宋体" w:hAnsi="宋体"/>
          <w:color w:val="auto"/>
          <w:sz w:val="24"/>
          <w:szCs w:val="24"/>
          <w:highlight w:val="none"/>
          <w:u w:val="single"/>
        </w:rPr>
        <w:t>广州公共资源交易网（网址：</w:t>
      </w:r>
      <w:r>
        <w:rPr>
          <w:rFonts w:hint="eastAsia" w:ascii="宋体" w:hAnsi="宋体"/>
          <w:color w:val="auto"/>
          <w:sz w:val="24"/>
          <w:szCs w:val="24"/>
          <w:highlight w:val="none"/>
          <w:u w:val="single"/>
          <w:lang w:eastAsia="zh-CN"/>
        </w:rPr>
        <w:t>http//www.gzggzy.cn</w:t>
      </w:r>
      <w:r>
        <w:rPr>
          <w:rFonts w:hint="eastAsia" w:ascii="宋体" w:hAnsi="宋体"/>
          <w:color w:val="auto"/>
          <w:sz w:val="24"/>
          <w:szCs w:val="24"/>
          <w:highlight w:val="none"/>
          <w:u w:val="single"/>
        </w:rPr>
        <w:t>）、广东省招标投标监管网（http://zbtb.gd.gov.cn/login）、中国招标投标公共服务平台（网址：</w:t>
      </w:r>
      <w:r>
        <w:rPr>
          <w:rFonts w:ascii="宋体" w:hAnsi="宋体"/>
          <w:color w:val="auto"/>
          <w:sz w:val="24"/>
          <w:szCs w:val="24"/>
          <w:highlight w:val="none"/>
          <w:u w:val="single"/>
        </w:rPr>
        <w:t>http://www.cebpubservice.com/</w:t>
      </w:r>
      <w:r>
        <w:rPr>
          <w:rFonts w:hint="eastAsia" w:ascii="宋体" w:hAnsi="宋体"/>
          <w:color w:val="auto"/>
          <w:sz w:val="24"/>
          <w:szCs w:val="24"/>
          <w:highlight w:val="none"/>
          <w:u w:val="single"/>
        </w:rPr>
        <w:t>）和广州市增城区人民政府门户网站（http://www.zc.gov.cn/）的“首页&gt;公开&gt;公共资源配置领域&gt;工程建设项目招投标”</w:t>
      </w:r>
      <w:r>
        <w:rPr>
          <w:rFonts w:hint="eastAsia" w:ascii="宋体" w:hAnsi="宋体"/>
          <w:color w:val="auto"/>
          <w:sz w:val="24"/>
          <w:szCs w:val="24"/>
          <w:highlight w:val="none"/>
        </w:rPr>
        <w:t>栏目</w:t>
      </w:r>
      <w:r>
        <w:rPr>
          <w:rFonts w:hint="eastAsia" w:ascii="宋体" w:hAnsi="宋体" w:cs="宋体"/>
          <w:color w:val="auto"/>
          <w:sz w:val="24"/>
          <w:szCs w:val="24"/>
          <w:highlight w:val="none"/>
        </w:rPr>
        <w:t>发布，本公告的修改、补充，在广州公共资源交易中心网站</w:t>
      </w:r>
      <w:r>
        <w:rPr>
          <w:rFonts w:ascii="宋体" w:hAnsi="宋体"/>
          <w:color w:val="auto"/>
          <w:sz w:val="24"/>
          <w:szCs w:val="24"/>
          <w:highlight w:val="none"/>
        </w:rPr>
        <w:t>上发布。</w:t>
      </w:r>
    </w:p>
    <w:p>
      <w:pPr>
        <w:pStyle w:val="4"/>
        <w:keepNext w:val="0"/>
        <w:keepLines w:val="0"/>
        <w:spacing w:before="0" w:after="0" w:line="360" w:lineRule="auto"/>
        <w:rPr>
          <w:rFonts w:ascii="宋体" w:hAnsi="宋体" w:eastAsia="宋体"/>
          <w:color w:val="auto"/>
          <w:highlight w:val="none"/>
        </w:rPr>
      </w:pPr>
      <w:r>
        <w:rPr>
          <w:rFonts w:hint="eastAsia" w:ascii="宋体" w:hAnsi="宋体" w:eastAsia="宋体"/>
          <w:color w:val="auto"/>
          <w:highlight w:val="none"/>
        </w:rPr>
        <w:t>7. 联系方式</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招 标 人：</w:t>
      </w:r>
      <w:r>
        <w:rPr>
          <w:rFonts w:hint="eastAsia" w:ascii="宋体" w:hAnsi="宋体"/>
          <w:color w:val="auto"/>
          <w:sz w:val="24"/>
          <w:highlight w:val="none"/>
          <w:u w:val="single"/>
        </w:rPr>
        <w:t>广州市增城区水务建设管理所</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lang w:eastAsia="zh-CN"/>
        </w:rPr>
        <w:t>广州市增城区荔城街园圃路4号</w:t>
      </w:r>
    </w:p>
    <w:p>
      <w:pPr>
        <w:spacing w:line="360" w:lineRule="auto"/>
        <w:ind w:firstLine="480" w:firstLineChars="200"/>
        <w:rPr>
          <w:rFonts w:ascii="宋体" w:hAnsi="宋体"/>
          <w:color w:val="auto"/>
          <w:sz w:val="24"/>
          <w:highlight w:val="none"/>
          <w:u w:val="single"/>
        </w:rPr>
      </w:pPr>
      <w:r>
        <w:rPr>
          <w:rFonts w:hint="eastAsia" w:ascii="宋体" w:hAnsi="宋体" w:cs="宋体"/>
          <w:color w:val="auto"/>
          <w:sz w:val="24"/>
          <w:szCs w:val="24"/>
          <w:highlight w:val="none"/>
        </w:rPr>
        <w:t>联 系 人：</w:t>
      </w:r>
      <w:r>
        <w:rPr>
          <w:rFonts w:hint="eastAsia" w:ascii="宋体" w:hAnsi="宋体" w:cs="宋体"/>
          <w:color w:val="auto"/>
          <w:sz w:val="24"/>
          <w:szCs w:val="24"/>
          <w:highlight w:val="none"/>
          <w:u w:val="single"/>
        </w:rPr>
        <w:t>杨工</w:t>
      </w:r>
    </w:p>
    <w:p>
      <w:pPr>
        <w:spacing w:line="360" w:lineRule="auto"/>
        <w:ind w:firstLine="480" w:firstLineChars="200"/>
        <w:rPr>
          <w:rFonts w:ascii="宋体" w:hAnsi="宋体"/>
          <w:color w:val="auto"/>
          <w:sz w:val="24"/>
          <w:highlight w:val="none"/>
          <w:u w:val="single"/>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u w:val="single"/>
        </w:rPr>
        <w:t>020-82639382</w:t>
      </w:r>
    </w:p>
    <w:p>
      <w:pPr>
        <w:spacing w:line="360" w:lineRule="auto"/>
        <w:rPr>
          <w:rFonts w:ascii="宋体" w:hAnsi="宋体" w:cs="宋体"/>
          <w:color w:val="auto"/>
          <w:sz w:val="24"/>
          <w:szCs w:val="24"/>
          <w:highlight w:val="none"/>
          <w:u w:val="single"/>
        </w:rPr>
      </w:pP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招标代理机构：</w:t>
      </w:r>
      <w:r>
        <w:rPr>
          <w:rFonts w:hint="eastAsia" w:ascii="宋体" w:hAnsi="宋体" w:cs="宋体"/>
          <w:color w:val="auto"/>
          <w:sz w:val="24"/>
          <w:szCs w:val="24"/>
          <w:highlight w:val="none"/>
          <w:u w:val="single"/>
          <w:lang w:eastAsia="zh-CN"/>
        </w:rPr>
        <w:t>广东粤能工程管理有限公司</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lang w:eastAsia="zh-CN"/>
        </w:rPr>
        <w:t>广州市天河区华观路明旭街1号万科智慧商业广场B1-2栋12楼</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联 系 人：</w:t>
      </w:r>
      <w:r>
        <w:rPr>
          <w:rFonts w:hint="eastAsia" w:ascii="宋体" w:hAnsi="宋体" w:cs="宋体"/>
          <w:color w:val="auto"/>
          <w:sz w:val="24"/>
          <w:szCs w:val="24"/>
          <w:highlight w:val="none"/>
          <w:u w:val="single"/>
          <w:lang w:eastAsia="zh-CN"/>
        </w:rPr>
        <w:t>罗工</w:t>
      </w:r>
    </w:p>
    <w:p>
      <w:pPr>
        <w:pStyle w:val="20"/>
        <w:spacing w:after="0" w:line="360" w:lineRule="auto"/>
        <w:ind w:firstLine="480" w:firstLineChars="200"/>
        <w:rPr>
          <w:rFonts w:hint="eastAsia" w:ascii="宋体" w:hAnsi="宋体" w:cs="宋体"/>
          <w:b w:val="0"/>
          <w:bCs w:val="0"/>
          <w:color w:val="auto"/>
          <w:sz w:val="24"/>
          <w:highlight w:val="none"/>
          <w:u w:val="single"/>
          <w:lang w:eastAsia="zh-CN"/>
        </w:rPr>
      </w:pPr>
      <w:r>
        <w:rPr>
          <w:rFonts w:hint="eastAsia" w:ascii="宋体" w:hAnsi="宋体" w:cs="宋体"/>
          <w:b w:val="0"/>
          <w:bCs w:val="0"/>
          <w:color w:val="auto"/>
          <w:sz w:val="24"/>
          <w:highlight w:val="none"/>
        </w:rPr>
        <w:t>电    话：</w:t>
      </w:r>
      <w:r>
        <w:rPr>
          <w:rFonts w:hint="eastAsia" w:ascii="宋体" w:hAnsi="宋体" w:cs="宋体"/>
          <w:b w:val="0"/>
          <w:bCs w:val="0"/>
          <w:color w:val="auto"/>
          <w:sz w:val="24"/>
          <w:highlight w:val="none"/>
          <w:u w:val="single"/>
          <w:lang w:eastAsia="zh-CN"/>
        </w:rPr>
        <w:t>020-82653148、18100219285</w:t>
      </w:r>
    </w:p>
    <w:p>
      <w:pPr>
        <w:pStyle w:val="20"/>
        <w:spacing w:after="0" w:line="360" w:lineRule="auto"/>
        <w:ind w:firstLine="480" w:firstLineChars="200"/>
        <w:rPr>
          <w:rFonts w:hint="eastAsia" w:ascii="宋体" w:hAnsi="宋体" w:cs="宋体"/>
          <w:b w:val="0"/>
          <w:bCs w:val="0"/>
          <w:color w:val="auto"/>
          <w:sz w:val="24"/>
          <w:highlight w:val="none"/>
          <w:u w:val="single"/>
          <w:lang w:eastAsia="zh-CN"/>
        </w:rPr>
      </w:pPr>
    </w:p>
    <w:p>
      <w:pPr>
        <w:wordWrap w:val="0"/>
        <w:topLinePunct/>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异议受理部门：</w:t>
      </w:r>
      <w:r>
        <w:rPr>
          <w:rFonts w:hint="eastAsia" w:ascii="宋体" w:hAnsi="宋体"/>
          <w:color w:val="auto"/>
          <w:sz w:val="24"/>
          <w:highlight w:val="none"/>
          <w:u w:val="single"/>
        </w:rPr>
        <w:t>广州市增城区水务建设管理所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lang w:eastAsia="zh-CN"/>
        </w:rPr>
        <w:t>广州市增城区荔城街园圃路4号</w:t>
      </w:r>
      <w:r>
        <w:rPr>
          <w:rFonts w:hint="eastAsia" w:ascii="宋体" w:hAnsi="宋体" w:cs="宋体"/>
          <w:color w:val="auto"/>
          <w:sz w:val="24"/>
          <w:szCs w:val="24"/>
          <w:highlight w:val="none"/>
          <w:u w:val="single"/>
        </w:rPr>
        <w:t xml:space="preserve"> </w:t>
      </w:r>
    </w:p>
    <w:p>
      <w:pPr>
        <w:spacing w:line="360" w:lineRule="auto"/>
        <w:ind w:firstLine="480" w:firstLineChars="200"/>
        <w:rPr>
          <w:rFonts w:ascii="宋体" w:hAnsi="宋体"/>
          <w:color w:val="auto"/>
          <w:sz w:val="24"/>
          <w:highlight w:val="none"/>
          <w:u w:val="single"/>
        </w:rPr>
      </w:pPr>
      <w:r>
        <w:rPr>
          <w:rFonts w:hint="eastAsia" w:ascii="宋体" w:hAnsi="宋体" w:cs="宋体"/>
          <w:color w:val="auto"/>
          <w:sz w:val="24"/>
          <w:szCs w:val="24"/>
          <w:highlight w:val="none"/>
        </w:rPr>
        <w:t>联 系 人：</w:t>
      </w:r>
      <w:r>
        <w:rPr>
          <w:rFonts w:hint="eastAsia" w:ascii="宋体" w:hAnsi="宋体" w:cs="宋体"/>
          <w:color w:val="auto"/>
          <w:sz w:val="24"/>
          <w:szCs w:val="24"/>
          <w:highlight w:val="none"/>
          <w:u w:val="single"/>
        </w:rPr>
        <w:t>杨工</w:t>
      </w:r>
    </w:p>
    <w:p>
      <w:pPr>
        <w:spacing w:line="360" w:lineRule="auto"/>
        <w:ind w:firstLine="480" w:firstLineChars="200"/>
        <w:rPr>
          <w:rFonts w:ascii="宋体" w:hAnsi="宋体"/>
          <w:color w:val="auto"/>
          <w:sz w:val="24"/>
          <w:highlight w:val="none"/>
          <w:u w:val="single"/>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u w:val="single"/>
        </w:rPr>
        <w:t>020-82639382</w:t>
      </w:r>
    </w:p>
    <w:p>
      <w:pPr>
        <w:wordWrap w:val="0"/>
        <w:spacing w:line="360" w:lineRule="auto"/>
        <w:ind w:firstLine="480" w:firstLineChars="200"/>
        <w:rPr>
          <w:rFonts w:ascii="宋体" w:hAnsi="宋体" w:cs="宋体"/>
          <w:color w:val="auto"/>
          <w:sz w:val="24"/>
          <w:szCs w:val="24"/>
          <w:highlight w:val="none"/>
        </w:rPr>
      </w:pPr>
    </w:p>
    <w:p>
      <w:pPr>
        <w:wordWrap w:val="0"/>
        <w:topLinePunct/>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招标监督机构：</w:t>
      </w:r>
      <w:r>
        <w:rPr>
          <w:rFonts w:hint="eastAsia" w:ascii="宋体" w:hAnsi="宋体" w:cs="宋体"/>
          <w:color w:val="auto"/>
          <w:sz w:val="24"/>
          <w:szCs w:val="24"/>
          <w:highlight w:val="none"/>
          <w:u w:val="single"/>
        </w:rPr>
        <w:t>广州市增城区水务局</w:t>
      </w:r>
    </w:p>
    <w:p>
      <w:pPr>
        <w:wordWrap w:val="0"/>
        <w:topLinePunct/>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地 </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址：</w:t>
      </w:r>
      <w:r>
        <w:rPr>
          <w:rFonts w:hint="eastAsia" w:ascii="宋体" w:hAnsi="宋体" w:cs="宋体"/>
          <w:color w:val="auto"/>
          <w:sz w:val="24"/>
          <w:szCs w:val="24"/>
          <w:highlight w:val="none"/>
          <w:u w:val="single"/>
        </w:rPr>
        <w:t>广州市增城区荔城街园圃路4号</w:t>
      </w:r>
    </w:p>
    <w:p>
      <w:pPr>
        <w:wordWrap w:val="0"/>
        <w:topLinePunct/>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 xml:space="preserve">电 </w:t>
      </w:r>
      <w:r>
        <w:rPr>
          <w:rFonts w:ascii="宋体" w:hAnsi="宋体"/>
          <w:color w:val="auto"/>
          <w:sz w:val="24"/>
          <w:szCs w:val="24"/>
          <w:highlight w:val="none"/>
        </w:rPr>
        <w:t xml:space="preserve">   </w:t>
      </w:r>
      <w:r>
        <w:rPr>
          <w:rFonts w:hint="eastAsia" w:ascii="宋体" w:hAnsi="宋体"/>
          <w:color w:val="auto"/>
          <w:sz w:val="24"/>
          <w:szCs w:val="24"/>
          <w:highlight w:val="none"/>
        </w:rPr>
        <w:t>话：</w:t>
      </w:r>
      <w:r>
        <w:rPr>
          <w:rFonts w:ascii="宋体" w:hAnsi="宋体"/>
          <w:color w:val="auto"/>
          <w:sz w:val="24"/>
          <w:szCs w:val="24"/>
          <w:highlight w:val="none"/>
          <w:u w:val="single"/>
        </w:rPr>
        <w:t>020-82639502</w:t>
      </w:r>
    </w:p>
    <w:p>
      <w:pPr>
        <w:spacing w:line="360" w:lineRule="auto"/>
        <w:jc w:val="left"/>
        <w:rPr>
          <w:rFonts w:hint="eastAsia" w:ascii="宋体" w:hAnsi="宋体" w:cs="宋体"/>
          <w:color w:val="auto"/>
          <w:kern w:val="0"/>
          <w:sz w:val="24"/>
          <w:highlight w:val="none"/>
        </w:rPr>
        <w:sectPr>
          <w:footerReference r:id="rId7" w:type="default"/>
          <w:pgSz w:w="11906" w:h="16838"/>
          <w:pgMar w:top="1247" w:right="1247" w:bottom="1247" w:left="1247" w:header="851" w:footer="992" w:gutter="0"/>
          <w:cols w:space="720" w:num="1"/>
          <w:docGrid w:type="lines" w:linePitch="312" w:charSpace="0"/>
        </w:sectPr>
      </w:pPr>
    </w:p>
    <w:p>
      <w:pPr>
        <w:spacing w:line="360" w:lineRule="auto"/>
        <w:jc w:val="left"/>
        <w:rPr>
          <w:rFonts w:hint="eastAsia" w:ascii="宋体" w:hAnsi="宋体" w:cs="宋体"/>
          <w:color w:val="auto"/>
          <w:kern w:val="0"/>
          <w:sz w:val="24"/>
        </w:rPr>
      </w:pPr>
      <w:r>
        <w:rPr>
          <w:rFonts w:hint="eastAsia" w:ascii="宋体" w:hAnsi="宋体" w:cs="宋体"/>
          <w:color w:val="auto"/>
          <w:kern w:val="0"/>
          <w:sz w:val="24"/>
        </w:rPr>
        <w:t>附件一：</w:t>
      </w:r>
    </w:p>
    <w:p>
      <w:pPr>
        <w:widowControl/>
        <w:snapToGrid w:val="0"/>
        <w:spacing w:line="360" w:lineRule="auto"/>
        <w:jc w:val="center"/>
        <w:rPr>
          <w:rFonts w:hint="eastAsia" w:ascii="宋体" w:hAnsi="宋体" w:cs="宋体"/>
          <w:color w:val="auto"/>
          <w:kern w:val="0"/>
          <w:sz w:val="32"/>
          <w:szCs w:val="32"/>
        </w:rPr>
      </w:pPr>
      <w:r>
        <w:rPr>
          <w:rFonts w:hint="eastAsia" w:ascii="宋体" w:hAnsi="宋体" w:cs="宋体"/>
          <w:color w:val="auto"/>
          <w:kern w:val="0"/>
          <w:sz w:val="32"/>
          <w:szCs w:val="32"/>
        </w:rPr>
        <w:t>投标人声明</w:t>
      </w:r>
    </w:p>
    <w:p>
      <w:pPr>
        <w:snapToGrid w:val="0"/>
        <w:spacing w:line="360" w:lineRule="auto"/>
        <w:rPr>
          <w:rFonts w:hint="eastAsia" w:ascii="宋体" w:hAnsi="宋体" w:cs="宋体"/>
          <w:color w:val="auto"/>
          <w:kern w:val="0"/>
          <w:sz w:val="24"/>
          <w:szCs w:val="24"/>
        </w:rPr>
      </w:pPr>
      <w:r>
        <w:rPr>
          <w:rFonts w:hint="eastAsia" w:ascii="宋体" w:hAnsi="宋体" w:cs="宋体"/>
          <w:color w:val="auto"/>
          <w:kern w:val="0"/>
          <w:sz w:val="24"/>
          <w:szCs w:val="24"/>
        </w:rPr>
        <w:t>本招标项目招标人及招标监管机构：</w:t>
      </w:r>
    </w:p>
    <w:p>
      <w:pPr>
        <w:snapToGrid w:val="0"/>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本公司就参加</w:t>
      </w:r>
      <w:r>
        <w:rPr>
          <w:rFonts w:hint="eastAsia" w:ascii="宋体" w:hAnsi="宋体" w:cs="宋体"/>
          <w:color w:val="auto"/>
          <w:kern w:val="0"/>
          <w:sz w:val="24"/>
          <w:szCs w:val="24"/>
          <w:u w:val="single"/>
        </w:rPr>
        <w:t>                </w:t>
      </w:r>
      <w:r>
        <w:rPr>
          <w:rFonts w:hint="eastAsia" w:ascii="宋体" w:hAnsi="宋体" w:cs="宋体"/>
          <w:color w:val="auto"/>
          <w:kern w:val="0"/>
          <w:sz w:val="24"/>
          <w:szCs w:val="24"/>
        </w:rPr>
        <w:t>项目投标工作，作出郑重声明：</w:t>
      </w:r>
    </w:p>
    <w:p>
      <w:pPr>
        <w:snapToGrid w:val="0"/>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一、本公司保证投标报名材料及其后提供的一切材料都是真实的。如我司成为本项目中标候选人，我司同意并授权招标人将我司投标文件商务部分的人员、业绩、奖项等资料进行公开。</w:t>
      </w:r>
    </w:p>
    <w:p>
      <w:pPr>
        <w:snapToGrid w:val="0"/>
        <w:spacing w:line="360" w:lineRule="auto"/>
        <w:ind w:firstLine="482" w:firstLineChars="200"/>
        <w:rPr>
          <w:rFonts w:hint="eastAsia" w:ascii="宋体" w:hAnsi="宋体" w:cs="宋体"/>
          <w:b/>
          <w:color w:val="auto"/>
          <w:kern w:val="0"/>
          <w:sz w:val="24"/>
          <w:szCs w:val="24"/>
        </w:rPr>
      </w:pPr>
      <w:r>
        <w:rPr>
          <w:rFonts w:hint="eastAsia" w:ascii="宋体" w:hAnsi="宋体" w:cs="宋体"/>
          <w:b/>
          <w:color w:val="auto"/>
          <w:kern w:val="0"/>
          <w:sz w:val="24"/>
          <w:szCs w:val="24"/>
        </w:rPr>
        <w:t>二、本公司承诺遵循公平公正、公开、诚实信用原则，如实投标，真实反映企业实力，公平竞争，不弄虚作假，不以低于监理企业成本价竞标而降低监理服务质量，不与任何建设单位订立违背监理企业成本取费标准及相关规定的“阴阳合同”进行恶性竞争，扰乱市场秩序，不与其他单位串通投标或以行贿手段谋取中标，不出借资质、转包或违法分包监理业务。</w:t>
      </w:r>
    </w:p>
    <w:p>
      <w:pPr>
        <w:snapToGrid w:val="0"/>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三、本公司不存在招标文件第二章投标人须知第1.4.3项所规定的任何一种情形。</w:t>
      </w:r>
    </w:p>
    <w:p>
      <w:pPr>
        <w:snapToGrid w:val="0"/>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四、本公司及其有隶属关系的机构，没有参加本项目招标文件的编写工作；本公司与本次招标的招标代理机构没有隶属关系或其他利害关系。</w:t>
      </w:r>
    </w:p>
    <w:p>
      <w:pPr>
        <w:snapToGrid w:val="0"/>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五、本公司承诺，中标后严格执行安全生产相关管理规定。</w:t>
      </w:r>
    </w:p>
    <w:p>
      <w:pPr>
        <w:snapToGrid w:val="0"/>
        <w:spacing w:line="360" w:lineRule="auto"/>
        <w:ind w:firstLine="482" w:firstLineChars="200"/>
        <w:rPr>
          <w:rFonts w:hint="eastAsia" w:ascii="宋体" w:hAnsi="宋体" w:cs="宋体"/>
          <w:color w:val="auto"/>
          <w:kern w:val="0"/>
          <w:sz w:val="24"/>
          <w:szCs w:val="24"/>
        </w:rPr>
      </w:pPr>
      <w:r>
        <w:rPr>
          <w:rFonts w:hint="eastAsia" w:ascii="宋体" w:hAnsi="宋体" w:cs="宋体"/>
          <w:b/>
          <w:color w:val="auto"/>
          <w:kern w:val="0"/>
          <w:sz w:val="24"/>
          <w:szCs w:val="24"/>
        </w:rPr>
        <w:t>本公司违反上述承诺，或本声明陈述与事实不符，经查实，本公司愿意接受公开通报，愿意按照《广州市建筑市场信用管理办法》（穗建规字﹝2019﹞16号）的规定被记录为失信信息，</w:t>
      </w:r>
      <w:r>
        <w:rPr>
          <w:rFonts w:hint="eastAsia" w:ascii="宋体" w:hAnsi="宋体" w:cs="宋体"/>
          <w:color w:val="auto"/>
          <w:kern w:val="0"/>
          <w:sz w:val="24"/>
          <w:szCs w:val="24"/>
        </w:rPr>
        <w:t>承担由此带来的一切后果，并自愿停止参加广州市行政辖区内的招标投标活动三个月。</w:t>
      </w:r>
    </w:p>
    <w:p>
      <w:pPr>
        <w:widowControl/>
        <w:shd w:val="clear" w:color="auto" w:fill="FFFFFF"/>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特此声明。</w:t>
      </w:r>
    </w:p>
    <w:p>
      <w:pPr>
        <w:snapToGrid w:val="0"/>
        <w:spacing w:line="360" w:lineRule="auto"/>
        <w:ind w:firstLine="480" w:firstLineChars="200"/>
        <w:jc w:val="right"/>
        <w:rPr>
          <w:rFonts w:hint="eastAsia" w:ascii="宋体" w:hAnsi="宋体" w:cs="宋体"/>
          <w:color w:val="auto"/>
          <w:kern w:val="0"/>
          <w:sz w:val="24"/>
          <w:szCs w:val="24"/>
        </w:rPr>
      </w:pPr>
      <w:r>
        <w:rPr>
          <w:rFonts w:hint="eastAsia" w:ascii="宋体" w:hAnsi="宋体" w:cs="宋体"/>
          <w:color w:val="auto"/>
          <w:kern w:val="0"/>
          <w:sz w:val="24"/>
          <w:szCs w:val="24"/>
        </w:rPr>
        <w:t>声明企业：            (企业公章)</w:t>
      </w:r>
    </w:p>
    <w:p>
      <w:pPr>
        <w:snapToGrid w:val="0"/>
        <w:spacing w:line="360" w:lineRule="auto"/>
        <w:ind w:firstLine="480" w:firstLineChars="200"/>
        <w:jc w:val="center"/>
        <w:rPr>
          <w:rFonts w:hint="eastAsia" w:ascii="宋体" w:hAnsi="宋体" w:cs="宋体"/>
          <w:color w:val="auto"/>
          <w:kern w:val="0"/>
          <w:sz w:val="24"/>
          <w:szCs w:val="24"/>
        </w:rPr>
      </w:pPr>
      <w:r>
        <w:rPr>
          <w:rFonts w:hint="eastAsia" w:ascii="宋体" w:hAnsi="宋体" w:cs="宋体"/>
          <w:color w:val="auto"/>
          <w:kern w:val="0"/>
          <w:sz w:val="24"/>
          <w:szCs w:val="24"/>
        </w:rPr>
        <w:t xml:space="preserve">                                   总监理工程师：         （签字）</w:t>
      </w:r>
    </w:p>
    <w:p>
      <w:pPr>
        <w:snapToGrid w:val="0"/>
        <w:spacing w:line="360" w:lineRule="auto"/>
        <w:ind w:firstLine="480" w:firstLineChars="200"/>
        <w:jc w:val="center"/>
        <w:rPr>
          <w:rFonts w:hint="eastAsia" w:ascii="宋体" w:hAnsi="宋体" w:cs="宋体"/>
          <w:color w:val="auto"/>
          <w:kern w:val="0"/>
          <w:sz w:val="24"/>
          <w:szCs w:val="24"/>
        </w:rPr>
      </w:pPr>
      <w:r>
        <w:rPr>
          <w:rFonts w:hint="eastAsia" w:ascii="宋体" w:hAnsi="宋体" w:cs="宋体"/>
          <w:color w:val="auto"/>
          <w:kern w:val="0"/>
          <w:sz w:val="24"/>
          <w:szCs w:val="24"/>
        </w:rPr>
        <w:t xml:space="preserve">                     法定代表人签字：</w:t>
      </w:r>
    </w:p>
    <w:p>
      <w:pPr>
        <w:spacing w:line="360" w:lineRule="auto"/>
        <w:ind w:firstLine="480" w:firstLineChars="200"/>
        <w:jc w:val="right"/>
        <w:rPr>
          <w:rFonts w:hint="eastAsia" w:ascii="宋体" w:hAnsi="宋体" w:cs="宋体"/>
          <w:color w:val="auto"/>
        </w:rPr>
      </w:pPr>
      <w:r>
        <w:rPr>
          <w:rFonts w:hint="eastAsia" w:ascii="宋体" w:hAnsi="宋体" w:cs="宋体"/>
          <w:color w:val="auto"/>
          <w:kern w:val="0"/>
          <w:sz w:val="24"/>
          <w:szCs w:val="24"/>
        </w:rPr>
        <w:t>年   月   日</w:t>
      </w:r>
    </w:p>
    <w:bookmarkEnd w:id="11"/>
    <w:p>
      <w:pPr>
        <w:pStyle w:val="3"/>
        <w:keepNext w:val="0"/>
        <w:keepLines w:val="0"/>
        <w:spacing w:before="100" w:after="100" w:line="360" w:lineRule="auto"/>
        <w:jc w:val="center"/>
        <w:rPr>
          <w:rFonts w:hint="eastAsia" w:ascii="宋体" w:hAnsi="宋体" w:cs="宋体"/>
          <w:color w:val="auto"/>
          <w:highlight w:val="none"/>
        </w:rPr>
      </w:pPr>
      <w:r>
        <w:rPr>
          <w:rFonts w:hint="eastAsia" w:ascii="宋体" w:hAnsi="宋体" w:cs="宋体"/>
          <w:color w:val="auto"/>
          <w:highlight w:val="none"/>
        </w:rPr>
        <w:br w:type="page"/>
      </w:r>
      <w:bookmarkStart w:id="12" w:name="_Toc20116"/>
      <w:r>
        <w:rPr>
          <w:rFonts w:hint="eastAsia" w:ascii="宋体" w:hAnsi="宋体" w:cs="宋体"/>
          <w:color w:val="auto"/>
          <w:highlight w:val="none"/>
        </w:rPr>
        <w:t>第二章投标人须知</w:t>
      </w:r>
      <w:bookmarkEnd w:id="12"/>
    </w:p>
    <w:p>
      <w:pPr>
        <w:pStyle w:val="4"/>
        <w:keepNext w:val="0"/>
        <w:keepLines w:val="0"/>
        <w:spacing w:before="20" w:after="0" w:line="360" w:lineRule="auto"/>
        <w:jc w:val="center"/>
        <w:rPr>
          <w:rFonts w:hint="eastAsia" w:ascii="宋体" w:hAnsi="宋体" w:eastAsia="宋体" w:cs="宋体"/>
          <w:color w:val="auto"/>
          <w:highlight w:val="none"/>
        </w:rPr>
      </w:pPr>
      <w:bookmarkStart w:id="13" w:name="_Toc1816"/>
      <w:r>
        <w:rPr>
          <w:rFonts w:hint="eastAsia" w:ascii="宋体" w:hAnsi="宋体" w:eastAsia="宋体" w:cs="宋体"/>
          <w:color w:val="auto"/>
          <w:highlight w:val="none"/>
        </w:rPr>
        <w:t>投标人须知前附表</w:t>
      </w:r>
      <w:bookmarkEnd w:id="13"/>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78"/>
        <w:gridCol w:w="2534"/>
        <w:gridCol w:w="60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blHeader/>
        </w:trPr>
        <w:tc>
          <w:tcPr>
            <w:tcW w:w="1178" w:type="dxa"/>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2534" w:type="dxa"/>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条款名称</w:t>
            </w:r>
          </w:p>
        </w:tc>
        <w:tc>
          <w:tcPr>
            <w:tcW w:w="6035" w:type="dxa"/>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3"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招标人</w:t>
            </w:r>
          </w:p>
        </w:tc>
        <w:tc>
          <w:tcPr>
            <w:tcW w:w="6035" w:type="dxa"/>
            <w:noWrap w:val="0"/>
            <w:vAlign w:val="center"/>
          </w:tcPr>
          <w:p>
            <w:pPr>
              <w:snapToGrid w:val="0"/>
              <w:jc w:val="left"/>
              <w:rPr>
                <w:rFonts w:hint="eastAsia" w:ascii="宋体" w:hAnsi="宋体" w:cs="宋体"/>
                <w:color w:val="auto"/>
                <w:szCs w:val="21"/>
                <w:highlight w:val="none"/>
                <w:u w:val="single"/>
              </w:rPr>
            </w:pPr>
            <w:r>
              <w:rPr>
                <w:rFonts w:hint="eastAsia" w:ascii="宋体" w:hAnsi="宋体" w:cs="宋体"/>
                <w:color w:val="auto"/>
                <w:szCs w:val="21"/>
                <w:highlight w:val="none"/>
                <w:u w:val="single"/>
              </w:rPr>
              <w:t>名称：广州市增城区水务建设管理所</w:t>
            </w:r>
          </w:p>
          <w:p>
            <w:pPr>
              <w:snapToGrid w:val="0"/>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u w:val="single"/>
              </w:rPr>
              <w:t>地址：</w:t>
            </w:r>
            <w:r>
              <w:rPr>
                <w:rFonts w:hint="eastAsia" w:ascii="宋体" w:hAnsi="宋体" w:cs="宋体"/>
                <w:color w:val="auto"/>
                <w:szCs w:val="21"/>
                <w:highlight w:val="none"/>
                <w:u w:val="single"/>
                <w:lang w:eastAsia="zh-CN"/>
              </w:rPr>
              <w:t>广州市增城区荔城街园圃路4号</w:t>
            </w:r>
          </w:p>
          <w:p>
            <w:pPr>
              <w:snapToGrid w:val="0"/>
              <w:jc w:val="left"/>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联系人：杨工 </w:t>
            </w:r>
          </w:p>
          <w:p>
            <w:pPr>
              <w:snapToGrid w:val="0"/>
              <w:jc w:val="left"/>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电话：020-82639382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招标代理机构</w:t>
            </w:r>
          </w:p>
        </w:tc>
        <w:tc>
          <w:tcPr>
            <w:tcW w:w="6035" w:type="dxa"/>
            <w:noWrap w:val="0"/>
            <w:vAlign w:val="center"/>
          </w:tcPr>
          <w:p>
            <w:pPr>
              <w:snapToGrid w:val="0"/>
              <w:jc w:val="left"/>
              <w:rPr>
                <w:rFonts w:hint="eastAsia" w:ascii="宋体" w:hAnsi="宋体" w:cs="宋体"/>
                <w:strike w:val="0"/>
                <w:dstrike w:val="0"/>
                <w:color w:val="auto"/>
                <w:szCs w:val="21"/>
                <w:highlight w:val="none"/>
                <w:u w:val="single"/>
                <w:lang w:val="en-US" w:eastAsia="zh-CN"/>
              </w:rPr>
            </w:pPr>
            <w:r>
              <w:rPr>
                <w:rFonts w:hint="eastAsia" w:ascii="宋体" w:hAnsi="宋体" w:cs="宋体"/>
                <w:strike w:val="0"/>
                <w:dstrike w:val="0"/>
                <w:color w:val="auto"/>
                <w:szCs w:val="21"/>
                <w:highlight w:val="none"/>
                <w:u w:val="single"/>
                <w:lang w:val="en-US" w:eastAsia="zh-CN"/>
              </w:rPr>
              <w:t>招标代理机构：广东粤能工程管理有限公司</w:t>
            </w:r>
          </w:p>
          <w:p>
            <w:pPr>
              <w:snapToGrid w:val="0"/>
              <w:jc w:val="left"/>
              <w:rPr>
                <w:rFonts w:hint="eastAsia" w:ascii="宋体" w:hAnsi="宋体" w:cs="宋体"/>
                <w:strike w:val="0"/>
                <w:dstrike w:val="0"/>
                <w:color w:val="auto"/>
                <w:szCs w:val="21"/>
                <w:highlight w:val="none"/>
                <w:u w:val="single"/>
                <w:lang w:val="en-US" w:eastAsia="zh-CN"/>
              </w:rPr>
            </w:pPr>
            <w:r>
              <w:rPr>
                <w:rFonts w:hint="eastAsia" w:ascii="宋体" w:hAnsi="宋体" w:cs="宋体"/>
                <w:strike w:val="0"/>
                <w:dstrike w:val="0"/>
                <w:color w:val="auto"/>
                <w:szCs w:val="21"/>
                <w:highlight w:val="none"/>
                <w:u w:val="single"/>
                <w:lang w:val="en-US" w:eastAsia="zh-CN"/>
              </w:rPr>
              <w:t>地址：广州市天河区华观路明旭街1号万科智慧商业广场B1-2栋12楼</w:t>
            </w:r>
          </w:p>
          <w:p>
            <w:pPr>
              <w:snapToGrid w:val="0"/>
              <w:jc w:val="left"/>
              <w:rPr>
                <w:rFonts w:hint="eastAsia" w:ascii="宋体" w:hAnsi="宋体" w:cs="宋体"/>
                <w:strike w:val="0"/>
                <w:dstrike w:val="0"/>
                <w:color w:val="auto"/>
                <w:szCs w:val="21"/>
                <w:highlight w:val="none"/>
                <w:u w:val="single"/>
                <w:lang w:val="en-US" w:eastAsia="zh-CN"/>
              </w:rPr>
            </w:pPr>
            <w:r>
              <w:rPr>
                <w:rFonts w:hint="eastAsia" w:ascii="宋体" w:hAnsi="宋体" w:cs="宋体"/>
                <w:strike w:val="0"/>
                <w:dstrike w:val="0"/>
                <w:color w:val="auto"/>
                <w:szCs w:val="21"/>
                <w:highlight w:val="none"/>
                <w:u w:val="single"/>
                <w:lang w:val="en-US" w:eastAsia="zh-CN"/>
              </w:rPr>
              <w:t>联系人：罗工</w:t>
            </w:r>
          </w:p>
          <w:p>
            <w:pPr>
              <w:snapToGrid w:val="0"/>
              <w:jc w:val="left"/>
              <w:rPr>
                <w:rFonts w:hint="eastAsia" w:ascii="宋体" w:hAnsi="宋体" w:cs="宋体"/>
                <w:color w:val="auto"/>
                <w:szCs w:val="21"/>
                <w:highlight w:val="none"/>
                <w:u w:val="single"/>
              </w:rPr>
            </w:pPr>
            <w:r>
              <w:rPr>
                <w:rFonts w:hint="eastAsia" w:ascii="宋体" w:hAnsi="宋体" w:cs="宋体"/>
                <w:strike w:val="0"/>
                <w:dstrike w:val="0"/>
                <w:color w:val="auto"/>
                <w:szCs w:val="21"/>
                <w:highlight w:val="none"/>
                <w:u w:val="single"/>
                <w:lang w:val="en-US" w:eastAsia="zh-CN"/>
              </w:rPr>
              <w:t xml:space="preserve">电话：020-82653148、18100219285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1.1.4</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招标项目名称</w:t>
            </w:r>
          </w:p>
        </w:tc>
        <w:tc>
          <w:tcPr>
            <w:tcW w:w="6035" w:type="dxa"/>
            <w:noWrap w:val="0"/>
            <w:vAlign w:val="center"/>
          </w:tcPr>
          <w:p>
            <w:pPr>
              <w:snapToGrid w:val="0"/>
              <w:jc w:val="left"/>
              <w:rPr>
                <w:rFonts w:hint="eastAsia" w:ascii="宋体" w:hAnsi="宋体" w:cs="宋体"/>
                <w:color w:val="auto"/>
                <w:szCs w:val="21"/>
                <w:highlight w:val="none"/>
                <w:u w:val="single"/>
              </w:rPr>
            </w:pPr>
            <w:r>
              <w:rPr>
                <w:rFonts w:hint="eastAsia" w:ascii="宋体" w:hAnsi="宋体" w:cs="宋体"/>
                <w:color w:val="auto"/>
                <w:szCs w:val="21"/>
                <w:highlight w:val="none"/>
                <w:u w:val="single"/>
              </w:rPr>
              <w:t>增城国家级开发区仙村园区西福河堤防达标整治（仙村园区段）及环园路建设工程（水利部分）施工监理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项目建设地点</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u w:val="single"/>
              </w:rPr>
              <w:t>详见本项目招标公告。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1.1.6</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项目建设规模</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详见本项目招标公告。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1.1.7</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工程项目施工预计开工日期和建设周期</w:t>
            </w:r>
          </w:p>
        </w:tc>
        <w:tc>
          <w:tcPr>
            <w:tcW w:w="6035" w:type="dxa"/>
            <w:noWrap w:val="0"/>
            <w:vAlign w:val="center"/>
          </w:tcPr>
          <w:p>
            <w:pPr>
              <w:snapToGrid w:val="0"/>
              <w:ind w:right="-239"/>
              <w:rPr>
                <w:rFonts w:hint="eastAsia" w:ascii="宋体" w:hAnsi="宋体" w:cs="宋体"/>
                <w:color w:val="auto"/>
                <w:szCs w:val="21"/>
                <w:highlight w:val="none"/>
              </w:rPr>
            </w:pPr>
            <w:r>
              <w:rPr>
                <w:rFonts w:hint="eastAsia" w:ascii="宋体" w:hAnsi="宋体" w:cs="宋体"/>
                <w:color w:val="auto"/>
                <w:highlight w:val="none"/>
                <w:u w:val="single"/>
              </w:rPr>
              <w:t>具体以开工报告为准。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1.1.8</w:t>
            </w:r>
          </w:p>
        </w:tc>
        <w:tc>
          <w:tcPr>
            <w:tcW w:w="2534" w:type="dxa"/>
            <w:noWrap w:val="0"/>
            <w:vAlign w:val="center"/>
          </w:tcPr>
          <w:p>
            <w:pPr>
              <w:ind w:left="8"/>
              <w:jc w:val="center"/>
              <w:rPr>
                <w:rFonts w:hint="eastAsia" w:ascii="宋体" w:hAnsi="宋体" w:cs="宋体"/>
                <w:color w:val="auto"/>
                <w:highlight w:val="none"/>
              </w:rPr>
            </w:pPr>
            <w:r>
              <w:rPr>
                <w:rFonts w:hint="eastAsia" w:ascii="宋体" w:hAnsi="宋体" w:cs="宋体"/>
                <w:color w:val="auto"/>
                <w:highlight w:val="none"/>
              </w:rPr>
              <w:t>项目投资估算</w:t>
            </w:r>
          </w:p>
        </w:tc>
        <w:tc>
          <w:tcPr>
            <w:tcW w:w="6035" w:type="dxa"/>
            <w:noWrap w:val="0"/>
            <w:vAlign w:val="center"/>
          </w:tcPr>
          <w:p>
            <w:pPr>
              <w:rPr>
                <w:rFonts w:hint="eastAsia" w:ascii="宋体" w:hAnsi="宋体" w:cs="宋体"/>
                <w:color w:val="auto"/>
                <w:szCs w:val="21"/>
                <w:highlight w:val="none"/>
              </w:rPr>
            </w:pPr>
            <w:r>
              <w:rPr>
                <w:rFonts w:hint="eastAsia" w:ascii="宋体" w:hAnsi="宋体" w:eastAsia="宋体" w:cs="宋体"/>
                <w:color w:val="auto"/>
                <w:kern w:val="2"/>
                <w:sz w:val="21"/>
                <w:szCs w:val="21"/>
                <w:highlight w:val="none"/>
                <w:u w:val="none"/>
              </w:rPr>
              <w:t>项目</w:t>
            </w:r>
            <w:r>
              <w:rPr>
                <w:rFonts w:hint="eastAsia" w:ascii="宋体" w:hAnsi="宋体" w:eastAsia="宋体" w:cs="宋体"/>
                <w:color w:val="auto"/>
                <w:kern w:val="2"/>
                <w:sz w:val="21"/>
                <w:szCs w:val="21"/>
                <w:highlight w:val="none"/>
                <w:u w:val="none"/>
                <w:lang w:eastAsia="zh-CN"/>
              </w:rPr>
              <w:t>概算</w:t>
            </w:r>
            <w:r>
              <w:rPr>
                <w:rFonts w:hint="eastAsia" w:ascii="宋体" w:hAnsi="宋体" w:eastAsia="宋体" w:cs="宋体"/>
                <w:color w:val="auto"/>
                <w:szCs w:val="21"/>
                <w:highlight w:val="none"/>
              </w:rPr>
              <w:t>总</w:t>
            </w:r>
            <w:r>
              <w:rPr>
                <w:rFonts w:hint="eastAsia" w:ascii="宋体" w:hAnsi="宋体" w:cs="宋体"/>
                <w:color w:val="auto"/>
                <w:szCs w:val="21"/>
                <w:highlight w:val="none"/>
              </w:rPr>
              <w:t>投资404660446.21元，其中</w:t>
            </w:r>
            <w:r>
              <w:rPr>
                <w:rFonts w:hint="eastAsia" w:ascii="宋体" w:hAnsi="宋体" w:eastAsia="宋体" w:cs="宋体"/>
                <w:color w:val="auto"/>
                <w:kern w:val="2"/>
                <w:sz w:val="21"/>
                <w:szCs w:val="21"/>
                <w:highlight w:val="none"/>
                <w:u w:val="none"/>
                <w:lang w:eastAsia="zh-CN"/>
              </w:rPr>
              <w:t>水利部分</w:t>
            </w:r>
            <w:r>
              <w:rPr>
                <w:rFonts w:hint="eastAsia" w:ascii="宋体" w:hAnsi="宋体" w:eastAsia="宋体" w:cs="宋体"/>
                <w:color w:val="auto"/>
                <w:kern w:val="2"/>
                <w:sz w:val="21"/>
                <w:szCs w:val="21"/>
                <w:highlight w:val="none"/>
                <w:u w:val="none"/>
              </w:rPr>
              <w:t>建安费约</w:t>
            </w:r>
            <w:r>
              <w:rPr>
                <w:rFonts w:hint="eastAsia" w:ascii="宋体" w:hAnsi="宋体" w:eastAsia="宋体" w:cs="宋体"/>
                <w:color w:val="auto"/>
                <w:kern w:val="2"/>
                <w:sz w:val="21"/>
                <w:szCs w:val="21"/>
                <w:highlight w:val="none"/>
                <w:u w:val="none"/>
                <w:lang w:val="en-US" w:eastAsia="zh-CN"/>
              </w:rPr>
              <w:t>218307050.61</w:t>
            </w:r>
            <w:r>
              <w:rPr>
                <w:rFonts w:hint="eastAsia" w:ascii="宋体" w:hAnsi="宋体" w:eastAsia="宋体" w:cs="宋体"/>
                <w:color w:val="auto"/>
                <w:kern w:val="2"/>
                <w:sz w:val="21"/>
                <w:szCs w:val="21"/>
                <w:highlight w:val="none"/>
                <w:u w:val="none"/>
              </w:rPr>
              <w:t>元</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1.2.1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资金来源及比例</w:t>
            </w:r>
          </w:p>
        </w:tc>
        <w:tc>
          <w:tcPr>
            <w:tcW w:w="6035" w:type="dxa"/>
            <w:noWrap w:val="0"/>
            <w:vAlign w:val="center"/>
          </w:tcPr>
          <w:p>
            <w:pPr>
              <w:spacing w:line="280" w:lineRule="exact"/>
              <w:rPr>
                <w:rFonts w:hint="eastAsia" w:ascii="宋体" w:hAnsi="宋体" w:cs="宋体"/>
                <w:color w:val="auto"/>
                <w:szCs w:val="21"/>
                <w:highlight w:val="none"/>
              </w:rPr>
            </w:pPr>
            <w:r>
              <w:rPr>
                <w:rFonts w:hint="eastAsia" w:ascii="宋体" w:hAnsi="宋体" w:cs="宋体"/>
                <w:color w:val="auto"/>
                <w:szCs w:val="21"/>
                <w:highlight w:val="none"/>
                <w:u w:val="single"/>
              </w:rPr>
              <w:t>区财政资金，100%。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1.2.2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资金落实情况</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u w:val="single"/>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1.3.1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招标范围</w:t>
            </w:r>
          </w:p>
        </w:tc>
        <w:tc>
          <w:tcPr>
            <w:tcW w:w="6035" w:type="dxa"/>
            <w:noWrap w:val="0"/>
            <w:vAlign w:val="center"/>
          </w:tcPr>
          <w:p>
            <w:pPr>
              <w:snapToGrid w:val="0"/>
              <w:ind w:right="106"/>
              <w:rPr>
                <w:rFonts w:hint="eastAsia" w:ascii="宋体" w:hAnsi="宋体" w:cs="宋体"/>
                <w:color w:val="auto"/>
                <w:szCs w:val="21"/>
                <w:highlight w:val="none"/>
              </w:rPr>
            </w:pPr>
            <w:r>
              <w:rPr>
                <w:rFonts w:hint="eastAsia" w:ascii="宋体" w:hAnsi="宋体" w:cs="宋体"/>
                <w:color w:val="auto"/>
                <w:szCs w:val="21"/>
                <w:highlight w:val="none"/>
                <w:u w:val="single"/>
              </w:rPr>
              <w:t>详见本项目招标公告。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1.3.2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监理服务期限</w:t>
            </w:r>
          </w:p>
        </w:tc>
        <w:tc>
          <w:tcPr>
            <w:tcW w:w="6035" w:type="dxa"/>
            <w:noWrap w:val="0"/>
            <w:vAlign w:val="center"/>
          </w:tcPr>
          <w:p>
            <w:pPr>
              <w:snapToGrid w:val="0"/>
              <w:ind w:right="106"/>
              <w:rPr>
                <w:rFonts w:hint="eastAsia" w:ascii="宋体" w:hAnsi="宋体" w:cs="宋体"/>
                <w:color w:val="auto"/>
                <w:szCs w:val="21"/>
                <w:highlight w:val="none"/>
              </w:rPr>
            </w:pPr>
            <w:r>
              <w:rPr>
                <w:rFonts w:hint="eastAsia" w:ascii="宋体" w:hAnsi="宋体" w:cs="宋体"/>
                <w:color w:val="auto"/>
                <w:szCs w:val="21"/>
                <w:highlight w:val="none"/>
                <w:u w:val="single"/>
              </w:rPr>
              <w:t>详见本项目招标公告。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1.3.3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质量标准</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snapToGrid w:val="0"/>
                <w:color w:val="auto"/>
                <w:szCs w:val="21"/>
                <w:highlight w:val="none"/>
              </w:rPr>
              <w:t>按国家相关规定执行的合格标准。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1.4.1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投标人资质条件、能力、信誉</w:t>
            </w:r>
          </w:p>
        </w:tc>
        <w:tc>
          <w:tcPr>
            <w:tcW w:w="6035" w:type="dxa"/>
            <w:noWrap w:val="0"/>
            <w:vAlign w:val="center"/>
          </w:tcPr>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（1）资质要求：详见招标公告第3点要求。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（2）财务要求：/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（3）业绩要求：/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（4）信誉要求：/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（5）总监理工程师的资格要求：详见招标公告第3点要求。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（6）其他主要人员要求：/。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（7）试验检测仪器设备要求：/。</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（8）其他要求：详见招标公告第3点要求。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1.4.2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是否接受联合体投标</w:t>
            </w:r>
          </w:p>
        </w:tc>
        <w:tc>
          <w:tcPr>
            <w:tcW w:w="6035" w:type="dxa"/>
            <w:noWrap w:val="0"/>
            <w:vAlign w:val="center"/>
          </w:tcPr>
          <w:p>
            <w:pPr>
              <w:spacing w:line="280" w:lineRule="exact"/>
              <w:rPr>
                <w:rFonts w:hint="eastAsia" w:ascii="宋体" w:hAnsi="宋体" w:cs="宋体"/>
                <w:color w:val="auto"/>
                <w:szCs w:val="21"/>
                <w:highlight w:val="none"/>
              </w:rPr>
            </w:pPr>
            <w:r>
              <w:rPr>
                <w:rFonts w:hint="eastAsia" w:ascii="宋体" w:hAnsi="宋体" w:cs="宋体"/>
                <w:color w:val="auto"/>
                <w:szCs w:val="21"/>
                <w:highlight w:val="none"/>
              </w:rPr>
              <w:t xml:space="preserve">■不接受 </w:t>
            </w:r>
          </w:p>
          <w:p>
            <w:pPr>
              <w:spacing w:line="280" w:lineRule="exact"/>
              <w:rPr>
                <w:rFonts w:hint="default" w:ascii="宋体" w:hAnsi="宋体" w:cs="宋体"/>
                <w:color w:val="auto"/>
                <w:szCs w:val="21"/>
                <w:highlight w:val="none"/>
                <w:lang w:val="en-US"/>
              </w:rPr>
            </w:pPr>
            <w:r>
              <w:rPr>
                <w:rFonts w:hint="eastAsia" w:hAnsi="宋体" w:cs="宋体"/>
                <w:color w:val="auto"/>
                <w:sz w:val="21"/>
                <w:szCs w:val="21"/>
                <w:highlight w:val="none"/>
              </w:rPr>
              <w:sym w:font="Wingdings 2" w:char="00A3"/>
            </w:r>
            <w:r>
              <w:rPr>
                <w:rFonts w:hint="eastAsia" w:ascii="宋体" w:hAnsi="宋体" w:cs="宋体"/>
                <w:color w:val="auto"/>
                <w:szCs w:val="21"/>
                <w:highlight w:val="none"/>
              </w:rPr>
              <w:t>接受，应满足下列要求：</w:t>
            </w:r>
            <w:r>
              <w:rPr>
                <w:rFonts w:hint="eastAsia" w:ascii="宋体" w:hAnsi="宋体" w:cs="宋体"/>
                <w:color w:val="auto"/>
                <w:szCs w:val="21"/>
                <w:highlight w:val="none"/>
                <w:u w:val="singl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1.4.3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投标人不得存在的其他情形</w:t>
            </w:r>
          </w:p>
        </w:tc>
        <w:tc>
          <w:tcPr>
            <w:tcW w:w="6035" w:type="dxa"/>
            <w:noWrap w:val="0"/>
            <w:vAlign w:val="center"/>
          </w:tcPr>
          <w:p>
            <w:pPr>
              <w:topLinePunct/>
              <w:snapToGrid w:val="0"/>
              <w:rPr>
                <w:rFonts w:hint="eastAsia" w:ascii="宋体" w:hAnsi="宋体" w:cs="宋体"/>
                <w:color w:val="auto"/>
                <w:szCs w:val="21"/>
                <w:highlight w:val="none"/>
              </w:rPr>
            </w:pPr>
            <w:r>
              <w:rPr>
                <w:rFonts w:hint="eastAsia" w:ascii="宋体" w:hAnsi="宋体" w:cs="宋体"/>
                <w:color w:val="auto"/>
                <w:szCs w:val="21"/>
                <w:highlight w:val="none"/>
                <w:u w:val="single"/>
              </w:rPr>
              <w:t>详见第二章“投标人须知”第1.4.3项规定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2"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1.9.1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踏勘现场</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■不组织</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sym w:font="Wingdings 2" w:char="00A3"/>
            </w:r>
            <w:r>
              <w:rPr>
                <w:rFonts w:hint="eastAsia" w:hAnsi="宋体" w:cs="宋体"/>
                <w:color w:val="auto"/>
                <w:sz w:val="21"/>
                <w:szCs w:val="21"/>
                <w:highlight w:val="none"/>
              </w:rPr>
              <w:t>组织，踏勘时间：</w:t>
            </w:r>
            <w:r>
              <w:rPr>
                <w:rFonts w:hint="eastAsia" w:hAnsi="宋体" w:cs="宋体"/>
                <w:color w:val="auto"/>
                <w:sz w:val="21"/>
                <w:szCs w:val="21"/>
                <w:highlight w:val="none"/>
                <w:u w:val="single"/>
              </w:rPr>
              <w:t xml:space="preserve"> / </w:t>
            </w:r>
          </w:p>
          <w:p>
            <w:pPr>
              <w:pStyle w:val="9"/>
              <w:topLinePunct/>
              <w:snapToGrid w:val="0"/>
              <w:ind w:firstLine="840" w:firstLineChars="400"/>
              <w:rPr>
                <w:rFonts w:hint="eastAsia" w:hAnsi="宋体" w:cs="宋体"/>
                <w:color w:val="auto"/>
                <w:sz w:val="21"/>
                <w:szCs w:val="21"/>
                <w:highlight w:val="none"/>
              </w:rPr>
            </w:pPr>
            <w:r>
              <w:rPr>
                <w:rFonts w:hint="eastAsia" w:hAnsi="宋体" w:cs="宋体"/>
                <w:color w:val="auto"/>
                <w:sz w:val="21"/>
                <w:szCs w:val="21"/>
                <w:highlight w:val="none"/>
              </w:rPr>
              <w:t>踏勘集中地点：</w:t>
            </w:r>
            <w:r>
              <w:rPr>
                <w:rFonts w:hint="eastAsia" w:hAnsi="宋体" w:cs="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4"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1.10.1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投标预备会</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■不召开</w:t>
            </w:r>
          </w:p>
          <w:p>
            <w:pPr>
              <w:snapToGrid w:val="0"/>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召开，召开时间：</w:t>
            </w:r>
            <w:r>
              <w:rPr>
                <w:rFonts w:hint="eastAsia" w:ascii="宋体" w:hAnsi="宋体" w:cs="宋体"/>
                <w:color w:val="auto"/>
                <w:szCs w:val="21"/>
                <w:highlight w:val="none"/>
                <w:u w:val="single"/>
              </w:rPr>
              <w:t xml:space="preserve"> / </w:t>
            </w:r>
          </w:p>
          <w:p>
            <w:pPr>
              <w:snapToGrid w:val="0"/>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召开地点：</w:t>
            </w: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1178"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1.10.2</w:t>
            </w:r>
          </w:p>
        </w:tc>
        <w:tc>
          <w:tcPr>
            <w:tcW w:w="2534"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投标人在投标预备会前提出问题</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1178" w:type="dxa"/>
            <w:vMerge w:val="continue"/>
            <w:noWrap w:val="0"/>
            <w:vAlign w:val="center"/>
          </w:tcPr>
          <w:p>
            <w:pPr>
              <w:snapToGrid w:val="0"/>
              <w:jc w:val="center"/>
              <w:rPr>
                <w:rFonts w:hint="eastAsia" w:ascii="宋体" w:hAnsi="宋体" w:cs="宋体"/>
                <w:color w:val="auto"/>
                <w:szCs w:val="21"/>
                <w:highlight w:val="none"/>
              </w:rPr>
            </w:pPr>
          </w:p>
        </w:tc>
        <w:tc>
          <w:tcPr>
            <w:tcW w:w="2534" w:type="dxa"/>
            <w:vMerge w:val="continue"/>
            <w:noWrap w:val="0"/>
            <w:vAlign w:val="center"/>
          </w:tcPr>
          <w:p>
            <w:pPr>
              <w:snapToGrid w:val="0"/>
              <w:jc w:val="center"/>
              <w:rPr>
                <w:rFonts w:hint="eastAsia" w:ascii="宋体" w:hAnsi="宋体" w:cs="宋体"/>
                <w:color w:val="auto"/>
                <w:szCs w:val="21"/>
                <w:highlight w:val="none"/>
              </w:rPr>
            </w:pP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形式：</w:t>
            </w: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1.10.3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招标文件澄清发出的形式</w:t>
            </w:r>
          </w:p>
        </w:tc>
        <w:tc>
          <w:tcPr>
            <w:tcW w:w="6035" w:type="dxa"/>
            <w:noWrap w:val="0"/>
            <w:vAlign w:val="center"/>
          </w:tcPr>
          <w:p>
            <w:pPr>
              <w:snapToGrid w:val="0"/>
              <w:rPr>
                <w:rFonts w:hint="eastAsia" w:ascii="宋体" w:hAnsi="宋体" w:cs="宋体"/>
                <w:color w:val="auto"/>
                <w:szCs w:val="21"/>
                <w:highlight w:val="none"/>
                <w:u w:val="single"/>
              </w:rPr>
            </w:pPr>
            <w:r>
              <w:rPr>
                <w:rFonts w:hint="eastAsia" w:ascii="宋体" w:hAnsi="宋体" w:cs="宋体"/>
                <w:color w:val="auto"/>
                <w:szCs w:val="21"/>
                <w:highlight w:val="none"/>
                <w:u w:val="single"/>
              </w:rPr>
              <w:t>在广州公共资源交易中心网站“招标答疑”专区发布。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1.12.1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实质性要求和条件</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u w:val="single"/>
              </w:rPr>
              <w:t>详见评标办法前附表中2.1.1、2.1.2、2.1.3的评审标准。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1.12.3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偏差</w:t>
            </w:r>
          </w:p>
        </w:tc>
        <w:tc>
          <w:tcPr>
            <w:tcW w:w="6035" w:type="dxa"/>
            <w:noWrap w:val="0"/>
            <w:vAlign w:val="top"/>
          </w:tcPr>
          <w:p>
            <w:pPr>
              <w:snapToGrid w:val="0"/>
              <w:rPr>
                <w:rFonts w:hint="eastAsia" w:ascii="宋体" w:hAnsi="宋体" w:cs="宋体"/>
                <w:color w:val="auto"/>
                <w:szCs w:val="21"/>
                <w:highlight w:val="none"/>
              </w:rPr>
            </w:pPr>
            <w:r>
              <w:rPr>
                <w:rFonts w:hint="eastAsia" w:ascii="宋体" w:hAnsi="宋体" w:cs="宋体"/>
                <w:color w:val="auto"/>
                <w:szCs w:val="21"/>
                <w:highlight w:val="none"/>
              </w:rPr>
              <w:t>■不允许</w:t>
            </w:r>
          </w:p>
          <w:p>
            <w:pPr>
              <w:snapToGrid w:val="0"/>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允许，偏差范围：</w:t>
            </w:r>
            <w:r>
              <w:rPr>
                <w:rFonts w:hint="eastAsia" w:ascii="宋体" w:hAnsi="宋体" w:cs="宋体"/>
                <w:color w:val="auto"/>
                <w:szCs w:val="21"/>
                <w:highlight w:val="none"/>
                <w:u w:val="single"/>
              </w:rPr>
              <w:t xml:space="preserve"> / </w:t>
            </w:r>
          </w:p>
          <w:p>
            <w:pPr>
              <w:pStyle w:val="9"/>
              <w:topLinePunct/>
              <w:snapToGrid w:val="0"/>
              <w:ind w:firstLine="840" w:firstLineChars="400"/>
              <w:rPr>
                <w:rFonts w:hint="eastAsia" w:hAnsi="宋体" w:cs="宋体"/>
                <w:color w:val="auto"/>
                <w:sz w:val="21"/>
                <w:szCs w:val="21"/>
                <w:highlight w:val="none"/>
              </w:rPr>
            </w:pPr>
            <w:r>
              <w:rPr>
                <w:rFonts w:hint="eastAsia" w:hAnsi="宋体" w:cs="宋体"/>
                <w:color w:val="auto"/>
                <w:sz w:val="21"/>
                <w:szCs w:val="21"/>
                <w:highlight w:val="none"/>
              </w:rPr>
              <w:t>偏差幅度：</w:t>
            </w:r>
            <w:r>
              <w:rPr>
                <w:rFonts w:hint="eastAsia" w:hAnsi="宋体" w:cs="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2.1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构成招标文件的其他资料</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2.2.1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投标人要求澄清招标文件</w:t>
            </w:r>
          </w:p>
        </w:tc>
        <w:tc>
          <w:tcPr>
            <w:tcW w:w="6035" w:type="dxa"/>
            <w:noWrap w:val="0"/>
            <w:vAlign w:val="center"/>
          </w:tcPr>
          <w:p>
            <w:pPr>
              <w:snapToGrid w:val="0"/>
              <w:rPr>
                <w:rFonts w:hint="eastAsia" w:ascii="宋体" w:hAnsi="宋体" w:cs="宋体"/>
                <w:color w:val="auto"/>
                <w:szCs w:val="21"/>
                <w:highlight w:val="none"/>
                <w:u w:val="single"/>
              </w:rPr>
            </w:pPr>
            <w:r>
              <w:rPr>
                <w:rFonts w:hint="eastAsia" w:ascii="宋体" w:hAnsi="宋体" w:cs="宋体"/>
                <w:color w:val="auto"/>
                <w:szCs w:val="21"/>
                <w:highlight w:val="none"/>
                <w:u w:val="single"/>
              </w:rPr>
              <w:t>时间：在投标截止日期前18日</w:t>
            </w:r>
          </w:p>
          <w:p>
            <w:pPr>
              <w:pStyle w:val="20"/>
              <w:snapToGrid w:val="0"/>
              <w:spacing w:after="0" w:line="240" w:lineRule="auto"/>
              <w:ind w:left="0" w:leftChars="0" w:firstLine="0" w:firstLineChars="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形式：1、招标答疑采用网上答疑方式进行。投标人若对招标文件有疑问的，可在规定的时间内通过广州公共资源交易中心网站进入提问区域将问题提交给招标人或招标代理人，提交问题时一律不得署名。</w:t>
            </w:r>
          </w:p>
          <w:p>
            <w:pPr>
              <w:pStyle w:val="20"/>
              <w:snapToGrid w:val="0"/>
              <w:spacing w:after="0" w:line="240" w:lineRule="auto"/>
              <w:ind w:firstLine="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网上答疑的操作指南为：网上答疑的操作指南为：</w:t>
            </w:r>
            <w:r>
              <w:rPr>
                <w:rFonts w:hint="eastAsia" w:ascii="宋体" w:hAnsi="宋体" w:cs="宋体"/>
                <w:b w:val="0"/>
                <w:bCs w:val="0"/>
                <w:color w:val="auto"/>
                <w:sz w:val="21"/>
                <w:szCs w:val="21"/>
                <w:highlight w:val="none"/>
                <w:u w:val="single"/>
                <w:lang w:eastAsia="zh-CN"/>
              </w:rPr>
              <w:t>登录</w:t>
            </w:r>
            <w:r>
              <w:rPr>
                <w:rFonts w:hint="eastAsia" w:ascii="宋体" w:hAnsi="宋体" w:eastAsia="宋体" w:cs="宋体"/>
                <w:b w:val="0"/>
                <w:bCs w:val="0"/>
                <w:color w:val="auto"/>
                <w:sz w:val="21"/>
                <w:szCs w:val="21"/>
                <w:highlight w:val="none"/>
                <w:u w:val="single"/>
              </w:rPr>
              <w:t>广州公共资源交易中心网站→进入“我是投标人”→进入“新建设工程交易平台”→进入“我的投标”→进入“招标答疑提问”→通过项目编号或名称找到所需的项目→在下述的答疑时间内点击“答疑提问”进入到提问区域→无记名或匿名提出问题。</w:t>
            </w:r>
          </w:p>
          <w:p>
            <w:pPr>
              <w:pStyle w:val="20"/>
              <w:snapToGrid w:val="0"/>
              <w:spacing w:after="0" w:line="240" w:lineRule="auto"/>
              <w:ind w:left="0" w:leftChars="0" w:firstLine="0" w:firstLineChars="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2、投标人应在投标截止时间18日前停止质疑。招标人应在投标截止时间15日前解答投标人对招标文件提出的疑问，形成答疑纪要，并经招标监管机构备案后，方可在广州公共资源交易中心网站项目答疑专区发布。</w:t>
            </w:r>
          </w:p>
          <w:p>
            <w:pPr>
              <w:pStyle w:val="20"/>
              <w:snapToGrid w:val="0"/>
              <w:spacing w:after="0" w:line="240" w:lineRule="auto"/>
              <w:ind w:left="0" w:leftChars="0" w:firstLine="0" w:firstLineChars="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3、招标答疑纪要一经在广州公共资源交易中心网站发布，视作已发放给所有投标人。</w:t>
            </w:r>
          </w:p>
          <w:p>
            <w:pPr>
              <w:snapToGrid w:val="0"/>
              <w:rPr>
                <w:rFonts w:hint="eastAsia" w:ascii="宋体" w:hAnsi="宋体" w:cs="宋体"/>
                <w:color w:val="auto"/>
                <w:szCs w:val="21"/>
                <w:highlight w:val="none"/>
                <w:u w:val="single"/>
              </w:rPr>
            </w:pPr>
            <w:r>
              <w:rPr>
                <w:rFonts w:hint="eastAsia" w:ascii="宋体" w:hAnsi="宋体" w:cs="宋体"/>
                <w:color w:val="auto"/>
                <w:szCs w:val="21"/>
                <w:highlight w:val="none"/>
                <w:u w:val="single"/>
              </w:rPr>
              <w:t>4、招标答疑纪要为招标文件的一部分。投标人可在广州公资源交易中心网站浏览、下载招标答疑纪要。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2.2.2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招标文件澄清发出的形式</w:t>
            </w:r>
          </w:p>
        </w:tc>
        <w:tc>
          <w:tcPr>
            <w:tcW w:w="6035" w:type="dxa"/>
            <w:noWrap w:val="0"/>
            <w:vAlign w:val="center"/>
          </w:tcPr>
          <w:p>
            <w:pPr>
              <w:snapToGrid w:val="0"/>
              <w:rPr>
                <w:rFonts w:hint="eastAsia" w:ascii="宋体" w:hAnsi="宋体" w:cs="宋体"/>
                <w:color w:val="auto"/>
                <w:szCs w:val="21"/>
                <w:highlight w:val="none"/>
                <w:u w:val="single"/>
              </w:rPr>
            </w:pPr>
            <w:r>
              <w:rPr>
                <w:rFonts w:hint="eastAsia" w:ascii="宋体" w:hAnsi="宋体" w:cs="宋体"/>
                <w:color w:val="auto"/>
                <w:szCs w:val="21"/>
                <w:highlight w:val="none"/>
                <w:u w:val="single"/>
              </w:rPr>
              <w:t>在广州公共资源交易中心网站“建设工程-项目查询（日程安排、答疑纪要）”专区上发布，投标人自行下载。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178"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2.2.3</w:t>
            </w:r>
          </w:p>
        </w:tc>
        <w:tc>
          <w:tcPr>
            <w:tcW w:w="2534"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投标人确认收到招标文件澄清</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 xml:space="preserve">招标文件澄清一经在广州公共资源交易中心网站发布，视作已发放给所有投标人。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trPr>
        <w:tc>
          <w:tcPr>
            <w:tcW w:w="1178" w:type="dxa"/>
            <w:vMerge w:val="continue"/>
            <w:noWrap w:val="0"/>
            <w:vAlign w:val="center"/>
          </w:tcPr>
          <w:p>
            <w:pPr>
              <w:snapToGrid w:val="0"/>
              <w:jc w:val="center"/>
              <w:rPr>
                <w:rFonts w:hint="eastAsia" w:ascii="宋体" w:hAnsi="宋体" w:cs="宋体"/>
                <w:color w:val="auto"/>
                <w:szCs w:val="21"/>
                <w:highlight w:val="none"/>
              </w:rPr>
            </w:pPr>
          </w:p>
        </w:tc>
        <w:tc>
          <w:tcPr>
            <w:tcW w:w="2534" w:type="dxa"/>
            <w:vMerge w:val="continue"/>
            <w:noWrap w:val="0"/>
            <w:vAlign w:val="center"/>
          </w:tcPr>
          <w:p>
            <w:pPr>
              <w:snapToGrid w:val="0"/>
              <w:jc w:val="center"/>
              <w:rPr>
                <w:rFonts w:hint="eastAsia" w:ascii="宋体" w:hAnsi="宋体" w:cs="宋体"/>
                <w:color w:val="auto"/>
                <w:szCs w:val="21"/>
                <w:highlight w:val="none"/>
              </w:rPr>
            </w:pP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形式：</w:t>
            </w:r>
            <w:r>
              <w:rPr>
                <w:rFonts w:hint="eastAsia" w:ascii="宋体" w:hAnsi="宋体" w:cs="宋体"/>
                <w:color w:val="auto"/>
                <w:szCs w:val="21"/>
                <w:highlight w:val="none"/>
                <w:u w:val="single"/>
              </w:rPr>
              <w:t>本项目的招标文件澄清及答疑文件一经在广州公共资源交易中心网站发布，视作已发放给所有投标人。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2.3.1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招标文件修改发出的形式</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在广州公共资源交易中心网站项目答疑专区或以补充公告形式发布。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1178"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2.3.2</w:t>
            </w:r>
          </w:p>
        </w:tc>
        <w:tc>
          <w:tcPr>
            <w:tcW w:w="2534"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投标人确认收到招标文件修改</w:t>
            </w:r>
          </w:p>
        </w:tc>
        <w:tc>
          <w:tcPr>
            <w:tcW w:w="6035" w:type="dxa"/>
            <w:noWrap w:val="0"/>
            <w:vAlign w:val="center"/>
          </w:tcPr>
          <w:p>
            <w:pPr>
              <w:snapToGrid w:val="0"/>
              <w:ind w:right="-239"/>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招标文件澄清一经在广州公共资源交易中心网站发布，视作已发放给所有投标人。</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vMerge w:val="continue"/>
            <w:noWrap w:val="0"/>
            <w:vAlign w:val="center"/>
          </w:tcPr>
          <w:p>
            <w:pPr>
              <w:snapToGrid w:val="0"/>
              <w:jc w:val="center"/>
              <w:rPr>
                <w:rFonts w:hint="eastAsia" w:ascii="宋体" w:hAnsi="宋体" w:cs="宋体"/>
                <w:color w:val="auto"/>
                <w:szCs w:val="21"/>
                <w:highlight w:val="none"/>
              </w:rPr>
            </w:pPr>
          </w:p>
        </w:tc>
        <w:tc>
          <w:tcPr>
            <w:tcW w:w="2534" w:type="dxa"/>
            <w:vMerge w:val="continue"/>
            <w:noWrap w:val="0"/>
            <w:vAlign w:val="center"/>
          </w:tcPr>
          <w:p>
            <w:pPr>
              <w:snapToGrid w:val="0"/>
              <w:jc w:val="center"/>
              <w:rPr>
                <w:rFonts w:hint="eastAsia" w:ascii="宋体" w:hAnsi="宋体" w:cs="宋体"/>
                <w:color w:val="auto"/>
                <w:szCs w:val="21"/>
                <w:highlight w:val="none"/>
              </w:rPr>
            </w:pP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形式：</w:t>
            </w:r>
            <w:r>
              <w:rPr>
                <w:rFonts w:hint="eastAsia" w:ascii="宋体" w:hAnsi="宋体" w:cs="宋体"/>
                <w:color w:val="auto"/>
                <w:szCs w:val="21"/>
                <w:highlight w:val="none"/>
                <w:u w:val="single"/>
              </w:rPr>
              <w:t>在广州公共资源交易中心网站项目答疑专区或以补充公告形式发布。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3.1.1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构成投标文件的其他资料</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3.2.1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增值税税金的计算方法</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3.2.3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报价方式</w:t>
            </w:r>
          </w:p>
        </w:tc>
        <w:tc>
          <w:tcPr>
            <w:tcW w:w="6035" w:type="dxa"/>
            <w:noWrap w:val="0"/>
            <w:vAlign w:val="center"/>
          </w:tcPr>
          <w:p>
            <w:pPr>
              <w:pStyle w:val="2"/>
              <w:rPr>
                <w:rFonts w:hint="eastAsia"/>
                <w:color w:val="auto"/>
                <w:highlight w:val="none"/>
                <w:lang w:val="zh-CN" w:eastAsia="zh-CN"/>
              </w:rPr>
            </w:pPr>
            <w:r>
              <w:rPr>
                <w:rFonts w:hint="eastAsia" w:ascii="宋体" w:hAnsi="宋体" w:cs="宋体"/>
                <w:color w:val="auto"/>
                <w:sz w:val="21"/>
                <w:szCs w:val="21"/>
                <w:highlight w:val="none"/>
                <w:lang w:val="en-US" w:eastAsia="zh-CN"/>
              </w:rPr>
              <w:t>投标人自行填报投标下浮率，并依据所报下浮率列明投标报价。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3.2.4</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最高投标限价</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无</w:t>
            </w:r>
          </w:p>
          <w:p>
            <w:pPr>
              <w:snapToGrid w:val="0"/>
              <w:rPr>
                <w:rFonts w:hint="eastAsia" w:ascii="宋体" w:hAnsi="宋体" w:cs="宋体"/>
                <w:color w:val="auto"/>
                <w:szCs w:val="21"/>
                <w:highlight w:val="none"/>
                <w:u w:val="single"/>
              </w:rPr>
            </w:pPr>
            <w:r>
              <w:rPr>
                <w:rFonts w:hint="eastAsia" w:ascii="宋体" w:hAnsi="宋体" w:cs="宋体"/>
                <w:color w:val="auto"/>
                <w:szCs w:val="21"/>
                <w:highlight w:val="none"/>
              </w:rPr>
              <w:t>■有，最高投标限价：</w:t>
            </w:r>
            <w:r>
              <w:rPr>
                <w:rFonts w:hint="eastAsia" w:ascii="宋体" w:hAnsi="宋体" w:cs="宋体"/>
                <w:color w:val="auto"/>
                <w:szCs w:val="21"/>
                <w:highlight w:val="none"/>
                <w:u w:val="single"/>
              </w:rPr>
              <w:t>4170759.20</w:t>
            </w: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3.2.5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投标报价的其他要求</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3.3.1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6035" w:type="dxa"/>
            <w:noWrap w:val="0"/>
            <w:vAlign w:val="center"/>
          </w:tcPr>
          <w:p>
            <w:pPr>
              <w:snapToGrid w:val="0"/>
              <w:rPr>
                <w:rFonts w:hint="eastAsia" w:ascii="宋体" w:hAnsi="宋体" w:cs="宋体"/>
                <w:color w:val="auto"/>
                <w:szCs w:val="21"/>
                <w:highlight w:val="none"/>
              </w:rPr>
            </w:pPr>
            <w:bookmarkStart w:id="14" w:name="_Toc384308207"/>
            <w:bookmarkStart w:id="15" w:name="_Toc352691470"/>
            <w:bookmarkStart w:id="16" w:name="_Toc361508582"/>
            <w:bookmarkStart w:id="17" w:name="_Toc300834946"/>
            <w:bookmarkStart w:id="18" w:name="_Toc1789"/>
            <w:bookmarkStart w:id="19" w:name="_Toc369531512"/>
            <w:r>
              <w:rPr>
                <w:rFonts w:hint="eastAsia" w:ascii="宋体" w:hAnsi="宋体" w:cs="宋体"/>
                <w:color w:val="auto"/>
                <w:szCs w:val="21"/>
                <w:highlight w:val="none"/>
                <w:u w:val="single"/>
              </w:rPr>
              <w:t>90</w:t>
            </w:r>
            <w:r>
              <w:rPr>
                <w:rFonts w:hint="eastAsia" w:ascii="宋体" w:hAnsi="宋体" w:cs="宋体"/>
                <w:color w:val="auto"/>
                <w:szCs w:val="21"/>
                <w:highlight w:val="none"/>
              </w:rPr>
              <w:t>日历天（从投标截止之日算起）。</w:t>
            </w:r>
          </w:p>
        </w:tc>
      </w:tr>
      <w:bookmarkEnd w:id="14"/>
      <w:bookmarkEnd w:id="15"/>
      <w:bookmarkEnd w:id="16"/>
      <w:bookmarkEnd w:id="17"/>
      <w:bookmarkEnd w:id="18"/>
      <w:bookmarkEnd w:id="19"/>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3.4.1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投标保证金</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是否要求投标人递交投标保证金：</w:t>
            </w:r>
          </w:p>
          <w:p>
            <w:pPr>
              <w:pStyle w:val="9"/>
              <w:topLinePunct/>
              <w:snapToGrid w:val="0"/>
              <w:rPr>
                <w:rFonts w:hint="eastAsia" w:hAnsi="宋体" w:cs="宋体"/>
                <w:color w:val="auto"/>
                <w:sz w:val="21"/>
                <w:szCs w:val="21"/>
                <w:highlight w:val="none"/>
              </w:rPr>
            </w:pPr>
            <w:r>
              <w:rPr>
                <w:rFonts w:hint="eastAsia" w:hAnsi="宋体" w:cs="宋体"/>
                <w:color w:val="auto"/>
                <w:szCs w:val="21"/>
                <w:highlight w:val="none"/>
              </w:rPr>
              <w:sym w:font="Wingdings 2" w:char="00A3"/>
            </w:r>
            <w:r>
              <w:rPr>
                <w:rFonts w:hint="eastAsia" w:hAnsi="宋体" w:cs="宋体"/>
                <w:color w:val="auto"/>
                <w:sz w:val="21"/>
                <w:szCs w:val="21"/>
                <w:highlight w:val="none"/>
              </w:rPr>
              <w:t>要求</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3.4.4</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其他可以不予退还投标保证金的情形</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资格审查资料的特殊要求</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■无</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sym w:font="Wingdings 2" w:char="00A3"/>
            </w:r>
            <w:r>
              <w:rPr>
                <w:rFonts w:hint="eastAsia" w:hAnsi="宋体" w:cs="宋体"/>
                <w:color w:val="auto"/>
                <w:sz w:val="21"/>
                <w:szCs w:val="21"/>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近年财务状况的年份要求</w:t>
            </w:r>
          </w:p>
        </w:tc>
        <w:tc>
          <w:tcPr>
            <w:tcW w:w="6035" w:type="dxa"/>
            <w:noWrap w:val="0"/>
            <w:vAlign w:val="center"/>
          </w:tcPr>
          <w:p>
            <w:pPr>
              <w:snapToGrid w:val="0"/>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年至</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近年完成的类似项目情况的时间要求</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w:t>
            </w:r>
            <w:r>
              <w:rPr>
                <w:rFonts w:hint="eastAsia" w:ascii="宋体" w:hAnsi="宋体" w:cs="宋体"/>
                <w:color w:val="auto"/>
                <w:szCs w:val="21"/>
                <w:highlight w:val="none"/>
              </w:rPr>
              <w:t>年</w:t>
            </w:r>
            <w:r>
              <w:rPr>
                <w:rFonts w:hint="eastAsia" w:ascii="宋体" w:hAnsi="宋体" w:cs="宋体"/>
                <w:color w:val="auto"/>
                <w:szCs w:val="21"/>
                <w:highlight w:val="none"/>
                <w:u w:val="single"/>
              </w:rPr>
              <w:t>/</w:t>
            </w:r>
            <w:r>
              <w:rPr>
                <w:rFonts w:hint="eastAsia" w:ascii="宋体" w:hAnsi="宋体" w:cs="宋体"/>
                <w:color w:val="auto"/>
                <w:szCs w:val="21"/>
                <w:highlight w:val="none"/>
              </w:rPr>
              <w:t>月</w:t>
            </w:r>
            <w:r>
              <w:rPr>
                <w:rFonts w:hint="eastAsia" w:ascii="宋体" w:hAnsi="宋体" w:cs="宋体"/>
                <w:color w:val="auto"/>
                <w:szCs w:val="21"/>
                <w:highlight w:val="none"/>
                <w:u w:val="single"/>
              </w:rPr>
              <w:t>/</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近年发生的诉讼及仲裁情况的时间要求</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日至</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3.6.1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是否允许递交备选投标方案</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■不允许</w:t>
            </w:r>
          </w:p>
          <w:p>
            <w:pPr>
              <w:snapToGrid w:val="0"/>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3.7.3A（2）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投标文件份数</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3.7.3A（3）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投标文件是否需分册装订</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3.7.3（B）</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投标文件所附证书证件要求</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3.7.3（B）</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投标文件签字或盖章要求</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取消在招标文件中采用个人数字证书和加盖个人电子印章要求，投标文件中需个人签字或盖章的，应手签后扫描上传。投标文件按招标文件要求加盖单位电子印章。电子招投标操作流程详见广州公共资源交易中心网站发布的最新版操作指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4.1.1（B）</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投标文件加密要求</w:t>
            </w:r>
          </w:p>
        </w:tc>
        <w:tc>
          <w:tcPr>
            <w:tcW w:w="6035" w:type="dxa"/>
            <w:noWrap w:val="0"/>
            <w:vAlign w:val="center"/>
          </w:tcPr>
          <w:p>
            <w:pPr>
              <w:pStyle w:val="9"/>
              <w:topLinePunct/>
              <w:snapToGrid w:val="0"/>
              <w:rPr>
                <w:rFonts w:hint="eastAsia" w:hAnsi="宋体" w:cs="宋体"/>
                <w:color w:val="auto"/>
                <w:szCs w:val="21"/>
                <w:highlight w:val="none"/>
                <w:u w:val="single"/>
              </w:rPr>
            </w:pPr>
            <w:r>
              <w:rPr>
                <w:rFonts w:hint="eastAsia" w:hAnsi="宋体" w:cs="宋体"/>
                <w:color w:val="auto"/>
                <w:sz w:val="21"/>
                <w:szCs w:val="21"/>
                <w:highlight w:val="none"/>
                <w:u w:val="single"/>
              </w:rPr>
              <w:t>网上递交的电子投标文件须进行加密。按照交易平台关于全流程电子化项目的相关指南进行操作。电子招投标操作流程详见广州公共资源交易中心网站发布的最新版操作指引。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4.1.2</w:t>
            </w:r>
          </w:p>
        </w:tc>
        <w:tc>
          <w:tcPr>
            <w:tcW w:w="2534" w:type="dxa"/>
            <w:noWrap w:val="0"/>
            <w:vAlign w:val="center"/>
          </w:tcPr>
          <w:p>
            <w:pPr>
              <w:snapToGrid w:val="0"/>
              <w:jc w:val="center"/>
              <w:rPr>
                <w:rFonts w:hint="eastAsia" w:ascii="宋体" w:hAnsi="宋体" w:cs="宋体"/>
                <w:color w:val="auto"/>
                <w:szCs w:val="21"/>
                <w:highlight w:val="none"/>
                <w:shd w:val="clear" w:color="FFFFFF" w:fill="D9D9D9"/>
              </w:rPr>
            </w:pPr>
            <w:r>
              <w:rPr>
                <w:rFonts w:hint="eastAsia" w:ascii="宋体" w:hAnsi="宋体" w:cs="宋体"/>
                <w:color w:val="auto"/>
                <w:szCs w:val="21"/>
                <w:highlight w:val="none"/>
              </w:rPr>
              <w:t>投标文件的包封、密封和标志</w:t>
            </w:r>
          </w:p>
        </w:tc>
        <w:tc>
          <w:tcPr>
            <w:tcW w:w="6035" w:type="dxa"/>
            <w:noWrap w:val="0"/>
            <w:vAlign w:val="center"/>
          </w:tcPr>
          <w:p>
            <w:pPr>
              <w:pStyle w:val="9"/>
              <w:topLinePunct/>
              <w:snapToGrid w:val="0"/>
              <w:rPr>
                <w:rFonts w:hint="eastAsia" w:hAnsi="宋体" w:cs="宋体"/>
                <w:color w:val="auto"/>
                <w:sz w:val="21"/>
                <w:szCs w:val="21"/>
                <w:highlight w:val="none"/>
                <w:u w:val="single"/>
              </w:rPr>
            </w:pPr>
            <w:r>
              <w:rPr>
                <w:rFonts w:hint="eastAsia" w:hAnsi="宋体"/>
                <w:color w:val="auto"/>
                <w:sz w:val="21"/>
                <w:szCs w:val="21"/>
                <w:highlight w:val="none"/>
              </w:rPr>
              <w:t>如有提交投标文件光盘备用，封套上应注明如下信息：</w:t>
            </w:r>
          </w:p>
          <w:p>
            <w:pPr>
              <w:pStyle w:val="9"/>
              <w:topLinePunct/>
              <w:snapToGrid w:val="0"/>
              <w:spacing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招标人名称：            </w:t>
            </w:r>
          </w:p>
          <w:p>
            <w:pPr>
              <w:pStyle w:val="9"/>
              <w:topLinePunct/>
              <w:snapToGrid w:val="0"/>
              <w:spacing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招标人地址：             </w:t>
            </w:r>
          </w:p>
          <w:p>
            <w:pPr>
              <w:pStyle w:val="9"/>
              <w:topLinePunct/>
              <w:snapToGrid w:val="0"/>
              <w:spacing w:line="360" w:lineRule="auto"/>
              <w:rPr>
                <w:rFonts w:hint="eastAsia" w:hAnsi="宋体" w:cs="宋体"/>
                <w:color w:val="auto"/>
                <w:sz w:val="21"/>
                <w:szCs w:val="21"/>
                <w:highlight w:val="none"/>
              </w:rPr>
            </w:pPr>
            <w:r>
              <w:rPr>
                <w:rFonts w:hint="eastAsia" w:hAnsi="宋体" w:cs="宋体"/>
                <w:color w:val="auto"/>
                <w:sz w:val="21"/>
                <w:szCs w:val="21"/>
                <w:highlight w:val="none"/>
                <w:u w:val="single"/>
              </w:rPr>
              <w:t xml:space="preserve">   （项目名称）  </w:t>
            </w:r>
            <w:r>
              <w:rPr>
                <w:rFonts w:hint="eastAsia" w:hAnsi="宋体" w:cs="宋体"/>
                <w:color w:val="auto"/>
                <w:sz w:val="21"/>
                <w:szCs w:val="21"/>
                <w:highlight w:val="none"/>
              </w:rPr>
              <w:t>招标项目投标文件光盘（备用）</w:t>
            </w:r>
          </w:p>
          <w:p>
            <w:pPr>
              <w:pStyle w:val="9"/>
              <w:topLinePunct/>
              <w:snapToGrid w:val="0"/>
              <w:spacing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招标项目编号：        </w:t>
            </w:r>
          </w:p>
          <w:p>
            <w:pPr>
              <w:pStyle w:val="9"/>
              <w:topLinePunct/>
              <w:snapToGrid w:val="0"/>
              <w:spacing w:line="360" w:lineRule="auto"/>
              <w:rPr>
                <w:rFonts w:hint="eastAsia" w:hAnsi="宋体" w:cs="宋体"/>
                <w:color w:val="auto"/>
                <w:szCs w:val="21"/>
                <w:highlight w:val="none"/>
              </w:rPr>
            </w:pPr>
            <w:r>
              <w:rPr>
                <w:rFonts w:hint="eastAsia" w:hAnsi="宋体" w:cs="宋体"/>
                <w:color w:val="auto"/>
                <w:sz w:val="21"/>
                <w:szCs w:val="21"/>
                <w:highlight w:val="none"/>
              </w:rPr>
              <w:t>在</w:t>
            </w:r>
            <w:r>
              <w:rPr>
                <w:rFonts w:hint="eastAsia" w:hAnsi="宋体" w:cs="宋体"/>
                <w:color w:val="auto"/>
                <w:sz w:val="21"/>
                <w:szCs w:val="21"/>
                <w:highlight w:val="none"/>
                <w:u w:val="single"/>
              </w:rPr>
              <w:t xml:space="preserve">    年  月  日    时    分</w:t>
            </w:r>
            <w:r>
              <w:rPr>
                <w:rFonts w:hint="eastAsia" w:hAnsi="宋体" w:cs="宋体"/>
                <w:color w:val="auto"/>
                <w:sz w:val="21"/>
                <w:szCs w:val="21"/>
                <w:highlight w:val="none"/>
              </w:rPr>
              <w:t>前不得开启（填入开标时间）。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4.2.1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投标截止时间</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u w:val="single"/>
              </w:rPr>
              <w:t>具体时间以广州公共资源交易中心公布的为准。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06"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4.2.2（A）</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递交投标文件时间和地点</w:t>
            </w:r>
          </w:p>
        </w:tc>
        <w:tc>
          <w:tcPr>
            <w:tcW w:w="6035" w:type="dxa"/>
            <w:noWrap w:val="0"/>
            <w:vAlign w:val="center"/>
          </w:tcPr>
          <w:p>
            <w:pPr>
              <w:numPr>
                <w:ilvl w:val="0"/>
                <w:numId w:val="1"/>
              </w:numPr>
              <w:snapToGrid w:val="0"/>
              <w:jc w:val="left"/>
              <w:rPr>
                <w:rFonts w:hint="eastAsia" w:ascii="宋体" w:hAnsi="宋体" w:cs="宋体"/>
                <w:color w:val="auto"/>
                <w:szCs w:val="21"/>
                <w:highlight w:val="none"/>
              </w:rPr>
            </w:pPr>
            <w:r>
              <w:rPr>
                <w:rFonts w:hint="eastAsia" w:ascii="宋体" w:hAnsi="宋体" w:cs="宋体"/>
                <w:color w:val="auto"/>
                <w:szCs w:val="21"/>
                <w:highlight w:val="none"/>
              </w:rPr>
              <w:t>递交方式：网上递交投标文件</w:t>
            </w:r>
          </w:p>
          <w:p>
            <w:pPr>
              <w:numPr>
                <w:ilvl w:val="0"/>
                <w:numId w:val="1"/>
              </w:numPr>
              <w:snapToGrid w:val="0"/>
              <w:jc w:val="left"/>
              <w:rPr>
                <w:rFonts w:hint="eastAsia" w:ascii="宋体" w:hAnsi="宋体" w:cs="宋体"/>
                <w:color w:val="auto"/>
                <w:szCs w:val="21"/>
                <w:highlight w:val="none"/>
              </w:rPr>
            </w:pPr>
            <w:r>
              <w:rPr>
                <w:rFonts w:hint="eastAsia" w:ascii="宋体" w:hAnsi="宋体" w:cs="宋体"/>
                <w:color w:val="auto"/>
                <w:szCs w:val="21"/>
                <w:highlight w:val="none"/>
              </w:rPr>
              <w:t>文件的递交截止时间：同投标截止时间。</w:t>
            </w:r>
          </w:p>
          <w:p>
            <w:pPr>
              <w:numPr>
                <w:ilvl w:val="0"/>
                <w:numId w:val="1"/>
              </w:numPr>
              <w:snapToGrid w:val="0"/>
              <w:jc w:val="left"/>
              <w:rPr>
                <w:rFonts w:hint="eastAsia" w:ascii="宋体" w:hAnsi="宋体" w:cs="宋体"/>
                <w:color w:val="auto"/>
                <w:szCs w:val="21"/>
                <w:highlight w:val="none"/>
              </w:rPr>
            </w:pPr>
            <w:r>
              <w:rPr>
                <w:rFonts w:hint="eastAsia" w:ascii="宋体" w:hAnsi="宋体" w:cs="宋体"/>
                <w:color w:val="auto"/>
                <w:szCs w:val="21"/>
                <w:highlight w:val="none"/>
              </w:rPr>
              <w:t>地点：广州公共资源交易中心网站</w:t>
            </w:r>
          </w:p>
          <w:p>
            <w:pPr>
              <w:numPr>
                <w:ilvl w:val="0"/>
                <w:numId w:val="1"/>
              </w:numPr>
              <w:snapToGrid w:val="0"/>
              <w:jc w:val="left"/>
              <w:rPr>
                <w:rFonts w:hint="eastAsia" w:ascii="宋体" w:hAnsi="宋体" w:cs="宋体"/>
                <w:color w:val="auto"/>
                <w:szCs w:val="21"/>
                <w:highlight w:val="none"/>
              </w:rPr>
            </w:pPr>
            <w:r>
              <w:rPr>
                <w:rFonts w:hint="eastAsia" w:ascii="宋体" w:hAnsi="宋体" w:cs="宋体"/>
                <w:color w:val="auto"/>
                <w:szCs w:val="21"/>
                <w:highlight w:val="none"/>
              </w:rPr>
              <w:t>上述时间及地点是否有改变，请密切留意招标答疑纪要或广州公共资源交易中心网站日程安排的相关信息。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4.2.3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投标文件是否退还</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■否</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sym w:font="Wingdings 2" w:char="00A3"/>
            </w:r>
            <w:r>
              <w:rPr>
                <w:rFonts w:hint="eastAsia" w:hAnsi="宋体" w:cs="宋体"/>
                <w:color w:val="auto"/>
                <w:sz w:val="21"/>
                <w:szCs w:val="21"/>
                <w:highlight w:val="none"/>
              </w:rPr>
              <w:t>是，退还时间：</w:t>
            </w:r>
            <w:r>
              <w:rPr>
                <w:rFonts w:hint="eastAsia" w:hAnsi="宋体" w:cs="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5.1（B）</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开标时间和地点</w:t>
            </w:r>
          </w:p>
        </w:tc>
        <w:tc>
          <w:tcPr>
            <w:tcW w:w="6035" w:type="dxa"/>
            <w:noWrap w:val="0"/>
            <w:vAlign w:val="center"/>
          </w:tcPr>
          <w:p>
            <w:pPr>
              <w:pStyle w:val="8"/>
              <w:rPr>
                <w:rFonts w:hint="eastAsia"/>
                <w:color w:val="auto"/>
                <w:highlight w:val="none"/>
              </w:rPr>
            </w:pPr>
            <w:r>
              <w:rPr>
                <w:rFonts w:hint="eastAsia" w:ascii="宋体" w:hAnsi="宋体" w:cs="宋体"/>
                <w:color w:val="auto"/>
                <w:szCs w:val="21"/>
                <w:highlight w:val="none"/>
              </w:rPr>
              <w:t>详见本项目招标公告。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5.2（B）</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开标程序</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电子招投标项目开标按下列程序进行：</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5.2.1主持人按下列程序进行开标：</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（1）宣布开标纪律；</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（2）公布在投标截止时间前递交投标文件的投标人名称；</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（3）宣布开标人、唱标人、记录人、监标人等有关人员姓名；</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（4）（B）投标人通过电子招标投标交易平台对已递交的电子投标文件进行解密，公布招标项目名称、投标人名称、</w:t>
            </w:r>
            <w:r>
              <w:rPr>
                <w:rFonts w:hint="eastAsia" w:hAnsi="宋体" w:cs="宋体"/>
                <w:strike/>
                <w:dstrike w:val="0"/>
                <w:color w:val="auto"/>
                <w:sz w:val="21"/>
                <w:szCs w:val="21"/>
                <w:highlight w:val="none"/>
              </w:rPr>
              <w:t>投标保证金的递交情况、</w:t>
            </w:r>
            <w:r>
              <w:rPr>
                <w:rFonts w:hint="eastAsia" w:hAnsi="宋体" w:cs="宋体"/>
                <w:color w:val="auto"/>
                <w:sz w:val="21"/>
                <w:szCs w:val="21"/>
                <w:highlight w:val="none"/>
              </w:rPr>
              <w:t>投标报价、监理服务期限及其他内容，并记录在案；</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（5）（B）投标人代表、招标人代表、监标人、记录人等有关人员在开标记录上签字确认；若有关人员不签字的，不影响开标程序；</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（6）开标结束。</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5.2.2投标截止时间前未完成投标文件传输的或因投标人之外的原因造成投标文件未解密的，视为投标人其撤回投标文件。因投标人原因造成投标文件未解密的或未在投标截止时间后一小时解密的，视为撤销其投标文件。</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5.2.3开标时，两个（含两个）以上的投标人加密打包投标文件电脑机器特征码一致的，不参与下一程序，并由评标委员会否决其投标。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3"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6.1.1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评标委员会的组建</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评标委员会构成：</w:t>
            </w:r>
            <w:r>
              <w:rPr>
                <w:rFonts w:hint="eastAsia" w:ascii="宋体" w:hAnsi="宋体" w:cs="宋体"/>
                <w:color w:val="auto"/>
                <w:szCs w:val="21"/>
                <w:highlight w:val="none"/>
                <w:u w:val="single"/>
              </w:rPr>
              <w:t>由招标人依法组建。</w:t>
            </w:r>
          </w:p>
          <w:p>
            <w:pPr>
              <w:snapToGrid w:val="0"/>
              <w:rPr>
                <w:rFonts w:hint="eastAsia" w:ascii="宋体" w:hAnsi="宋体" w:cs="宋体"/>
                <w:color w:val="auto"/>
                <w:szCs w:val="21"/>
                <w:highlight w:val="none"/>
              </w:rPr>
            </w:pPr>
            <w:r>
              <w:rPr>
                <w:rFonts w:hint="eastAsia" w:ascii="宋体" w:hAnsi="宋体" w:cs="宋体"/>
                <w:color w:val="auto"/>
                <w:szCs w:val="21"/>
                <w:highlight w:val="none"/>
              </w:rPr>
              <w:t>评标专家确定方式：</w:t>
            </w:r>
            <w:r>
              <w:rPr>
                <w:rFonts w:hint="eastAsia" w:ascii="宋体" w:hAnsi="宋体" w:cs="宋体"/>
                <w:color w:val="auto"/>
                <w:szCs w:val="21"/>
                <w:highlight w:val="none"/>
                <w:u w:val="single"/>
              </w:rPr>
              <w:t>从广东省综合评标专家库中随机抽取。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6.3.2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评标委员会推荐中标候选人的人数</w:t>
            </w:r>
          </w:p>
        </w:tc>
        <w:tc>
          <w:tcPr>
            <w:tcW w:w="6035" w:type="dxa"/>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7.1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中标候选人公示媒介及期限</w:t>
            </w:r>
          </w:p>
        </w:tc>
        <w:tc>
          <w:tcPr>
            <w:tcW w:w="6035" w:type="dxa"/>
            <w:noWrap w:val="0"/>
            <w:vAlign w:val="center"/>
          </w:tcPr>
          <w:p>
            <w:pPr>
              <w:snapToGrid w:val="0"/>
              <w:ind w:right="106"/>
              <w:rPr>
                <w:rFonts w:hint="eastAsia" w:ascii="宋体" w:hAnsi="宋体" w:cs="宋体"/>
                <w:color w:val="auto"/>
                <w:szCs w:val="21"/>
                <w:highlight w:val="none"/>
                <w:u w:val="single"/>
              </w:rPr>
            </w:pPr>
            <w:r>
              <w:rPr>
                <w:rFonts w:hint="eastAsia" w:ascii="宋体" w:hAnsi="宋体" w:cs="宋体"/>
                <w:color w:val="auto"/>
                <w:szCs w:val="21"/>
                <w:highlight w:val="none"/>
              </w:rPr>
              <w:t>公示媒介：</w:t>
            </w:r>
            <w:r>
              <w:rPr>
                <w:rFonts w:hint="eastAsia" w:ascii="宋体" w:hAnsi="宋体" w:cs="宋体"/>
                <w:bCs/>
                <w:color w:val="auto"/>
                <w:highlight w:val="none"/>
              </w:rPr>
              <w:t>广州公共资源交易中心、广东省招标投标监管网、中国招标投标公共服务平台及广州市增城区人民政府门户网站</w:t>
            </w:r>
          </w:p>
          <w:p>
            <w:pPr>
              <w:snapToGrid w:val="0"/>
              <w:ind w:right="106"/>
              <w:rPr>
                <w:rFonts w:hint="eastAsia" w:ascii="宋体" w:hAnsi="宋体" w:cs="宋体"/>
                <w:color w:val="auto"/>
                <w:szCs w:val="21"/>
                <w:highlight w:val="none"/>
              </w:rPr>
            </w:pPr>
            <w:r>
              <w:rPr>
                <w:rFonts w:hint="eastAsia" w:ascii="宋体" w:hAnsi="宋体" w:cs="宋体"/>
                <w:color w:val="auto"/>
                <w:szCs w:val="21"/>
                <w:highlight w:val="none"/>
              </w:rPr>
              <w:t>公示期限：</w:t>
            </w:r>
            <w:r>
              <w:rPr>
                <w:rFonts w:hint="eastAsia" w:ascii="宋体" w:hAnsi="宋体" w:cs="宋体"/>
                <w:color w:val="auto"/>
                <w:szCs w:val="21"/>
                <w:highlight w:val="none"/>
                <w:u w:val="single"/>
              </w:rPr>
              <w:t>3</w:t>
            </w:r>
            <w:r>
              <w:rPr>
                <w:rFonts w:hint="eastAsia" w:ascii="宋体" w:hAnsi="宋体" w:cs="宋体"/>
                <w:color w:val="auto"/>
                <w:szCs w:val="21"/>
                <w:highlight w:val="none"/>
              </w:rPr>
              <w:t>日（最后一天为工作日）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7.4</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是否授权评标委员会确定中标人</w:t>
            </w:r>
          </w:p>
        </w:tc>
        <w:tc>
          <w:tcPr>
            <w:tcW w:w="6035" w:type="dxa"/>
            <w:noWrap w:val="0"/>
            <w:vAlign w:val="center"/>
          </w:tcPr>
          <w:p>
            <w:pPr>
              <w:pStyle w:val="10"/>
              <w:snapToGrid w:val="0"/>
              <w:ind w:firstLine="210" w:firstLineChars="1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sym w:font="Wingdings 2" w:char="00A3"/>
            </w:r>
            <w:r>
              <w:rPr>
                <w:rFonts w:hint="eastAsia" w:ascii="宋体" w:hAnsi="宋体" w:eastAsia="宋体" w:cs="宋体"/>
                <w:b w:val="0"/>
                <w:bCs w:val="0"/>
                <w:color w:val="auto"/>
                <w:sz w:val="21"/>
                <w:szCs w:val="21"/>
                <w:highlight w:val="none"/>
              </w:rPr>
              <w:t>是</w:t>
            </w:r>
          </w:p>
          <w:p>
            <w:pPr>
              <w:pStyle w:val="10"/>
              <w:snapToGrid w:val="0"/>
              <w:ind w:firstLine="210" w:firstLineChars="1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■否</w:t>
            </w:r>
          </w:p>
          <w:p>
            <w:pPr>
              <w:snapToGrid w:val="0"/>
              <w:ind w:right="106" w:firstLine="210" w:firstLineChars="100"/>
              <w:rPr>
                <w:rFonts w:hint="eastAsia" w:ascii="宋体" w:hAnsi="宋体" w:eastAsia="宋体" w:cs="宋体"/>
                <w:bCs/>
                <w:color w:val="auto"/>
                <w:highlight w:val="none"/>
              </w:rPr>
            </w:pPr>
            <w:r>
              <w:rPr>
                <w:rFonts w:hint="eastAsia" w:ascii="宋体" w:hAnsi="宋体" w:eastAsia="宋体" w:cs="宋体"/>
                <w:bCs/>
                <w:color w:val="auto"/>
                <w:highlight w:val="none"/>
              </w:rPr>
              <w:t>1、招标人依据评标委员会推荐的中标候选人确定中标人。</w:t>
            </w:r>
          </w:p>
          <w:p>
            <w:pPr>
              <w:snapToGrid w:val="0"/>
              <w:ind w:right="106" w:firstLine="210" w:firstLineChars="100"/>
              <w:rPr>
                <w:rFonts w:hint="eastAsia" w:ascii="宋体" w:hAnsi="宋体" w:eastAsia="宋体" w:cs="宋体"/>
                <w:bCs/>
                <w:color w:val="auto"/>
                <w:highlight w:val="none"/>
              </w:rPr>
            </w:pPr>
            <w:r>
              <w:rPr>
                <w:rFonts w:hint="eastAsia" w:ascii="宋体" w:hAnsi="宋体" w:eastAsia="宋体" w:cs="宋体"/>
                <w:bCs/>
                <w:color w:val="auto"/>
                <w:highlight w:val="none"/>
              </w:rPr>
              <w:t>2、依法必须进行公开招标的项目，招标人确定排名第一的中标候选人为中标人。</w:t>
            </w:r>
          </w:p>
          <w:p>
            <w:pPr>
              <w:snapToGrid w:val="0"/>
              <w:ind w:right="106"/>
              <w:rPr>
                <w:rFonts w:hint="eastAsia" w:ascii="宋体" w:hAnsi="宋体" w:eastAsia="宋体" w:cs="宋体"/>
                <w:bCs/>
                <w:color w:val="auto"/>
                <w:highlight w:val="none"/>
              </w:rPr>
            </w:pPr>
            <w:r>
              <w:rPr>
                <w:rFonts w:hint="eastAsia" w:ascii="宋体" w:hAnsi="宋体" w:eastAsia="宋体" w:cs="宋体"/>
                <w:bCs/>
                <w:color w:val="auto"/>
                <w:highlight w:val="none"/>
              </w:rPr>
              <w:t>3、排名第一的中标候选人放弃中标、或被取消中标资格，或因不可抗力提出不能履行合同，或者招标文件规定应当提交履约担保而在规定的期限内未能提交的，招标人可以按照中标候选人顺序依次上升替补定标，以此类推。</w:t>
            </w:r>
          </w:p>
          <w:p>
            <w:pPr>
              <w:snapToGrid w:val="0"/>
              <w:ind w:right="106"/>
              <w:rPr>
                <w:rFonts w:hint="eastAsia" w:ascii="宋体" w:hAnsi="宋体" w:cs="宋体"/>
                <w:color w:val="auto"/>
                <w:highlight w:val="none"/>
              </w:rPr>
            </w:pPr>
            <w:r>
              <w:rPr>
                <w:rFonts w:hint="eastAsia" w:ascii="宋体" w:hAnsi="宋体" w:eastAsia="宋体" w:cs="宋体"/>
                <w:bCs/>
                <w:color w:val="auto"/>
                <w:highlight w:val="none"/>
              </w:rPr>
              <w:t>4.发出中标通知书前，中标人应未被纳入失信联合惩戒名单，失信联合惩戒名单以“信用广州”网站公布的名单为准。否则招标人取消其中标资格，招标人可以按照评标委员会提出的中标候选人名单排序依次确定其他中标候选人为中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4"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7.6.1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履约保证金</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是否要求中标人提交履约保证金：</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□要求：投标人提供的履约保证金额为中标价款（人民币）的5%，以银行保函形式提供。</w:t>
            </w:r>
          </w:p>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是否采用电子招标投标</w:t>
            </w:r>
          </w:p>
        </w:tc>
        <w:tc>
          <w:tcPr>
            <w:tcW w:w="6035" w:type="dxa"/>
            <w:noWrap w:val="0"/>
            <w:vAlign w:val="center"/>
          </w:tcPr>
          <w:p>
            <w:pPr>
              <w:pStyle w:val="9"/>
              <w:topLinePunct/>
              <w:snapToGrid w:val="0"/>
              <w:rPr>
                <w:rFonts w:hint="eastAsia" w:hAnsi="宋体" w:cs="宋体"/>
                <w:color w:val="auto"/>
                <w:sz w:val="21"/>
                <w:szCs w:val="21"/>
                <w:highlight w:val="none"/>
              </w:rPr>
            </w:pPr>
            <w:r>
              <w:rPr>
                <w:rFonts w:hint="eastAsia" w:hAnsi="宋体" w:cs="宋体"/>
                <w:color w:val="auto"/>
                <w:sz w:val="21"/>
                <w:szCs w:val="21"/>
                <w:highlight w:val="none"/>
              </w:rPr>
              <w:t>□否</w:t>
            </w:r>
          </w:p>
          <w:p>
            <w:pPr>
              <w:jc w:val="left"/>
              <w:rPr>
                <w:rFonts w:hint="eastAsia" w:ascii="宋体" w:hAnsi="宋体" w:cs="宋体"/>
                <w:color w:val="auto"/>
                <w:szCs w:val="21"/>
                <w:highlight w:val="none"/>
                <w:u w:val="single"/>
              </w:rPr>
            </w:pPr>
            <w:r>
              <w:rPr>
                <w:rFonts w:hint="eastAsia" w:ascii="宋体" w:hAnsi="宋体" w:cs="宋体"/>
                <w:color w:val="auto"/>
                <w:szCs w:val="21"/>
                <w:highlight w:val="none"/>
              </w:rPr>
              <w:t>■是，具体要求：</w:t>
            </w:r>
            <w:r>
              <w:rPr>
                <w:rFonts w:hint="eastAsia" w:ascii="宋体" w:hAnsi="宋体" w:cs="宋体"/>
                <w:color w:val="auto"/>
                <w:szCs w:val="21"/>
                <w:highlight w:val="none"/>
                <w:u w:val="single"/>
              </w:rPr>
              <w:t>1.</w:t>
            </w:r>
            <w:r>
              <w:rPr>
                <w:rFonts w:hint="eastAsia" w:ascii="宋体" w:hAnsi="宋体" w:cs="宋体"/>
                <w:color w:val="auto"/>
                <w:highlight w:val="none"/>
              </w:rPr>
              <w:t xml:space="preserve"> </w:t>
            </w:r>
            <w:r>
              <w:rPr>
                <w:rFonts w:hint="eastAsia" w:ascii="宋体" w:hAnsi="宋体" w:cs="宋体"/>
                <w:color w:val="auto"/>
                <w:szCs w:val="21"/>
                <w:highlight w:val="none"/>
                <w:u w:val="single"/>
              </w:rPr>
              <w:t>有关无纸化项目电子招投标的操作手册，投标人可自行在广州公共资源交易中心网站相关栏目（首页 &gt; 服务指南 &gt; 系统帮助 &gt; 操作手册）下载。</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2.提交投标文件光盘备用</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投标人可按无纸化电子招投标操作手册的操作方法制作的非加密的电子投标文件刻入光盘（1份），在规定的时间、地点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读取提交的光盘。投标人也可不提交备用光盘。</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3.补救方案</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（1）投标文件解密失败的补救方案：</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之外原因解密失败且未递交电子光盘或递交的电子光盘不能读取的，视为撤回投标文件。</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（2）评标时突发情况的补救方案</w:t>
            </w:r>
          </w:p>
          <w:p>
            <w:pPr>
              <w:pStyle w:val="9"/>
              <w:topLinePunct/>
              <w:snapToGrid w:val="0"/>
              <w:rPr>
                <w:rFonts w:hint="eastAsia" w:hAnsi="宋体" w:cs="宋体"/>
                <w:color w:val="auto"/>
                <w:sz w:val="21"/>
                <w:szCs w:val="21"/>
                <w:highlight w:val="none"/>
                <w:u w:val="single"/>
              </w:rPr>
            </w:pPr>
            <w:r>
              <w:rPr>
                <w:rFonts w:hint="eastAsia" w:hAnsi="宋体" w:cs="宋体"/>
                <w:color w:val="auto"/>
                <w:sz w:val="21"/>
                <w:szCs w:val="21"/>
                <w:highlight w:val="none"/>
                <w:u w:val="single"/>
              </w:rPr>
              <w:t>若遇不可抗力发生（如：网络瘫痪、服务器损坏、交易系统故障短期无法恢复等因素），由评标委员会开启递交的全部投标文件光盘，并按光盘内容进行评审。</w:t>
            </w:r>
          </w:p>
          <w:p>
            <w:pPr>
              <w:pStyle w:val="9"/>
              <w:topLinePunct/>
              <w:snapToGrid w:val="0"/>
              <w:rPr>
                <w:rFonts w:hint="eastAsia" w:hAnsi="宋体" w:cs="宋体"/>
                <w:color w:val="auto"/>
                <w:szCs w:val="21"/>
                <w:highlight w:val="none"/>
              </w:rPr>
            </w:pPr>
            <w:r>
              <w:rPr>
                <w:rFonts w:hint="eastAsia" w:hAnsi="宋体" w:cs="宋体"/>
                <w:color w:val="auto"/>
                <w:sz w:val="21"/>
                <w:szCs w:val="21"/>
                <w:highlight w:val="none"/>
                <w:u w:val="singl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需要补充的其他内容</w:t>
            </w:r>
          </w:p>
        </w:tc>
        <w:tc>
          <w:tcPr>
            <w:tcW w:w="6035" w:type="dxa"/>
            <w:noWrap w:val="0"/>
            <w:vAlign w:val="center"/>
          </w:tcPr>
          <w:p>
            <w:pPr>
              <w:snapToGrid w:val="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10.1</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监理费支付</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监理费由招标人支付。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10.2</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其他费用</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交易服务费：中标人自行支付公共资源交易服务费，交易中心向中标人开具增值税发票。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10.3</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潜在投标人或利害关系人对本招标公告及招标文件内容异议的，向招标人书面提出。</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1）异议受理部门：</w:t>
            </w:r>
            <w:r>
              <w:rPr>
                <w:rFonts w:hint="eastAsia" w:ascii="宋体" w:hAnsi="宋体" w:cs="宋体"/>
                <w:color w:val="auto"/>
                <w:szCs w:val="21"/>
                <w:highlight w:val="none"/>
                <w:u w:val="single"/>
              </w:rPr>
              <w:t>广州市增城区水务建设管理所</w:t>
            </w:r>
            <w:r>
              <w:rPr>
                <w:rFonts w:hint="eastAsia" w:ascii="宋体" w:hAnsi="宋体" w:cs="宋体"/>
                <w:color w:val="auto"/>
                <w:szCs w:val="21"/>
                <w:highlight w:val="none"/>
              </w:rPr>
              <w:t>；</w:t>
            </w:r>
          </w:p>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2）联系电话：</w:t>
            </w:r>
            <w:r>
              <w:rPr>
                <w:rFonts w:hint="eastAsia" w:ascii="宋体" w:hAnsi="宋体" w:cs="宋体"/>
                <w:color w:val="auto"/>
                <w:szCs w:val="21"/>
                <w:highlight w:val="none"/>
                <w:u w:val="single"/>
              </w:rPr>
              <w:t>020-82639382；</w:t>
            </w:r>
          </w:p>
          <w:p>
            <w:pPr>
              <w:snapToGrid w:val="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3）地址：</w:t>
            </w:r>
            <w:r>
              <w:rPr>
                <w:rFonts w:hint="eastAsia" w:ascii="宋体" w:hAnsi="宋体" w:cs="宋体"/>
                <w:color w:val="auto"/>
                <w:szCs w:val="21"/>
                <w:highlight w:val="none"/>
                <w:u w:val="single"/>
                <w:lang w:eastAsia="zh-CN"/>
              </w:rPr>
              <w:t>广州市增城区荔城街园圃路4号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10.4</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招标监督机构</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招标监督机构：</w:t>
            </w:r>
            <w:r>
              <w:rPr>
                <w:rFonts w:hint="eastAsia" w:ascii="宋体" w:hAnsi="宋体" w:cs="宋体"/>
                <w:color w:val="auto"/>
                <w:szCs w:val="21"/>
                <w:highlight w:val="none"/>
                <w:u w:val="single"/>
              </w:rPr>
              <w:t>广州市增城区水务局</w:t>
            </w:r>
          </w:p>
          <w:p>
            <w:pPr>
              <w:snapToGrid w:val="0"/>
              <w:jc w:val="left"/>
              <w:rPr>
                <w:rFonts w:hint="eastAsia" w:ascii="宋体" w:hAnsi="宋体" w:cs="宋体"/>
                <w:color w:val="auto"/>
                <w:kern w:val="0"/>
                <w:szCs w:val="21"/>
                <w:highlight w:val="none"/>
              </w:rPr>
            </w:pPr>
            <w:r>
              <w:rPr>
                <w:rFonts w:hint="eastAsia" w:ascii="宋体" w:hAnsi="宋体" w:cs="宋体"/>
                <w:color w:val="auto"/>
                <w:szCs w:val="21"/>
                <w:highlight w:val="none"/>
              </w:rPr>
              <w:t>监管电话：</w:t>
            </w:r>
            <w:r>
              <w:rPr>
                <w:rFonts w:hint="eastAsia" w:ascii="宋体" w:hAnsi="宋体" w:cs="宋体"/>
                <w:color w:val="auto"/>
                <w:szCs w:val="21"/>
                <w:highlight w:val="none"/>
                <w:u w:val="single"/>
              </w:rPr>
              <w:t>020-82639502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10.5</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资格审查方式</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本项目采用资格后审方式，满足资格审查合格条件的投标申请人不足3名时为招标失败。招标人分析招标失败原因，修正招标方案，报有关管理部门核准后，重新组织招标。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10.6</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特别提示</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1）《投诉处理决定书》和《行政处理决定书》在行业主管部门网站上公布的，视为送达其他与决定书有关的当事人。</w:t>
            </w:r>
          </w:p>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2）投标人在本项目招标人的工程项目中存在下列行为的，将被拒绝一年内参与我单位后续工程投标。</w:t>
            </w:r>
          </w:p>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1.将中标工程转包或者违法分包的；</w:t>
            </w:r>
          </w:p>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2.在中标工程中不执行质量、安全生产相关规定的，造成质量或安全事故的；</w:t>
            </w:r>
          </w:p>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3.存在围标或串标情形的；</w:t>
            </w:r>
          </w:p>
          <w:p>
            <w:pPr>
              <w:snapToGrid w:val="0"/>
              <w:jc w:val="left"/>
              <w:rPr>
                <w:rFonts w:hint="eastAsia"/>
                <w:color w:val="auto"/>
                <w:highlight w:val="none"/>
              </w:rPr>
            </w:pPr>
            <w:r>
              <w:rPr>
                <w:rFonts w:hint="eastAsia" w:ascii="宋体" w:hAnsi="宋体" w:cs="宋体"/>
                <w:color w:val="auto"/>
                <w:szCs w:val="21"/>
                <w:highlight w:val="none"/>
              </w:rPr>
              <w:t>4.存在弄虚作假骗取中标情形的；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4"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10.7</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投标人是否参加开标</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开标时，投标人代表有权出席开标会，也可以自主决定不参加开标会，若投标人代表对开标过程提出异议，该投标人代表须同时出示本人身份证原件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78"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10.8</w:t>
            </w:r>
          </w:p>
        </w:tc>
        <w:tc>
          <w:tcPr>
            <w:tcW w:w="2534" w:type="dxa"/>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其他</w:t>
            </w:r>
          </w:p>
        </w:tc>
        <w:tc>
          <w:tcPr>
            <w:tcW w:w="6035" w:type="dxa"/>
            <w:noWrap w:val="0"/>
            <w:vAlign w:val="center"/>
          </w:tcPr>
          <w:p>
            <w:pPr>
              <w:snapToGrid w:val="0"/>
              <w:jc w:val="left"/>
              <w:rPr>
                <w:rFonts w:hint="eastAsia" w:ascii="宋体" w:hAnsi="宋体" w:cs="宋体"/>
                <w:color w:val="auto"/>
                <w:szCs w:val="21"/>
                <w:highlight w:val="none"/>
              </w:rPr>
            </w:pPr>
            <w:r>
              <w:rPr>
                <w:rFonts w:hint="eastAsia" w:ascii="宋体" w:hAnsi="宋体" w:cs="宋体"/>
                <w:color w:val="auto"/>
                <w:szCs w:val="21"/>
                <w:highlight w:val="none"/>
              </w:rPr>
              <w:t>在产生中标候选人后，招标人将中标候选人的投标文件商务部分的电子版（报价清单、监理大纲等涉及商业秘密的内容除外）在广州公共资源交易中心网站公开。</w:t>
            </w:r>
          </w:p>
        </w:tc>
      </w:tr>
    </w:tbl>
    <w:p>
      <w:pPr>
        <w:snapToGrid w:val="0"/>
        <w:jc w:val="left"/>
        <w:rPr>
          <w:rFonts w:hint="eastAsia" w:ascii="宋体" w:hAnsi="宋体" w:cs="宋体"/>
          <w:color w:val="auto"/>
          <w:highlight w:val="none"/>
        </w:rPr>
      </w:pPr>
      <w:r>
        <w:rPr>
          <w:rFonts w:hint="eastAsia" w:ascii="宋体" w:hAnsi="宋体" w:cs="宋体"/>
          <w:color w:val="auto"/>
          <w:sz w:val="24"/>
          <w:szCs w:val="24"/>
          <w:highlight w:val="none"/>
        </w:rPr>
        <w:br w:type="page"/>
      </w:r>
      <w:bookmarkStart w:id="20" w:name="_Toc20742"/>
      <w:bookmarkStart w:id="21" w:name="_Toc527028850"/>
      <w:bookmarkStart w:id="22" w:name="_Toc520310853"/>
      <w:bookmarkStart w:id="23" w:name="_Toc527028679"/>
      <w:bookmarkStart w:id="24" w:name="_Toc527028502"/>
      <w:r>
        <w:rPr>
          <w:rFonts w:hint="eastAsia" w:ascii="宋体" w:hAnsi="宋体" w:cs="宋体"/>
          <w:b/>
          <w:color w:val="auto"/>
          <w:kern w:val="44"/>
          <w:sz w:val="44"/>
          <w:szCs w:val="20"/>
          <w:highlight w:val="none"/>
        </w:rPr>
        <w:t>1. 总则</w:t>
      </w:r>
      <w:bookmarkEnd w:id="20"/>
    </w:p>
    <w:p>
      <w:pPr>
        <w:spacing w:line="360" w:lineRule="auto"/>
        <w:jc w:val="left"/>
        <w:rPr>
          <w:rFonts w:hint="eastAsia" w:ascii="宋体" w:hAnsi="宋体" w:cs="宋体"/>
          <w:color w:val="auto"/>
          <w:sz w:val="24"/>
          <w:szCs w:val="24"/>
          <w:highlight w:val="none"/>
        </w:rPr>
      </w:pPr>
      <w:bookmarkStart w:id="25" w:name="_Toc24358"/>
      <w:r>
        <w:rPr>
          <w:rFonts w:hint="eastAsia" w:ascii="宋体" w:hAnsi="宋体" w:cs="宋体"/>
          <w:color w:val="auto"/>
          <w:sz w:val="24"/>
          <w:szCs w:val="24"/>
          <w:highlight w:val="none"/>
        </w:rPr>
        <w:t>1.1 招标项目概况</w:t>
      </w:r>
      <w:bookmarkEnd w:id="25"/>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1.1.1根据《中华人民共和国招标投标法》、《中华人民共和国招标投标法实施条例》等有关法律、法规和规章的规定，本招标项目已具备招标条件，现对监理进行招标。</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 招标人：见投标人须知前附表。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1.1.3 招标代理机构：见投标人须知前附表。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1.1.4 招标项目名称：见投标人须知前附表。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1.1.5 项目建设地点：见投标人须知前附表。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1.1.6 项目建设规模：见投标人须知前附表。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1.1.7 工程项目施工预计开工日期和建设周期：见投标人须知前附表。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1.1.8 建筑安装工程费/工程概算：见投标人须知前附表。</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6" w:name="_Toc14275"/>
      <w:bookmarkStart w:id="27" w:name="_Toc3884"/>
      <w:r>
        <w:rPr>
          <w:rFonts w:hint="eastAsia" w:ascii="宋体" w:hAnsi="宋体" w:eastAsia="宋体" w:cs="宋体"/>
          <w:color w:val="auto"/>
          <w:sz w:val="24"/>
          <w:szCs w:val="24"/>
          <w:highlight w:val="none"/>
        </w:rPr>
        <w:t>1.2 招标项目的资金来源和落实情况</w:t>
      </w:r>
      <w:bookmarkEnd w:id="26"/>
      <w:bookmarkEnd w:id="2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 资金来源及比例：见投标人须知前附表。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 资金落实情况：见投标人须知前附表。</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8" w:name="_Toc18715"/>
      <w:bookmarkStart w:id="29" w:name="_Toc26446"/>
      <w:r>
        <w:rPr>
          <w:rFonts w:hint="eastAsia" w:ascii="宋体" w:hAnsi="宋体" w:eastAsia="宋体" w:cs="宋体"/>
          <w:color w:val="auto"/>
          <w:sz w:val="24"/>
          <w:szCs w:val="24"/>
          <w:highlight w:val="none"/>
        </w:rPr>
        <w:t>1.3招标范围、监理服务期限和质量标准</w:t>
      </w:r>
      <w:bookmarkEnd w:id="28"/>
      <w:bookmarkEnd w:id="2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1.3.1 招标范围：见投标人须知前附表。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1.3.2 监理服务期限：见投标人须知前附表。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1.3.3 质量标准：见投标人须知前附表。</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0" w:name="_Toc25462"/>
      <w:bookmarkStart w:id="31" w:name="_Toc29112"/>
      <w:r>
        <w:rPr>
          <w:rFonts w:hint="eastAsia" w:ascii="宋体" w:hAnsi="宋体" w:eastAsia="宋体" w:cs="宋体"/>
          <w:color w:val="auto"/>
          <w:sz w:val="24"/>
          <w:szCs w:val="24"/>
          <w:highlight w:val="none"/>
        </w:rPr>
        <w:t>1.4投标人资格要求</w:t>
      </w:r>
      <w:bookmarkEnd w:id="30"/>
      <w:bookmarkEnd w:id="31"/>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1.4.1 投标人应具备承担本招标项目资质条件、能力和信誉：</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（1）资质要求：见投标人须知前附表；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（2）财务要求：见投标人须知前附表；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（3）业绩要求：见投标人须知前附表；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（4）信誉要求：见投标人须知前附表；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（5）总监理工程师的资格要求：见投标人须知前附表；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（6）其他主要人员要求：见投标人须知前附表。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（7）试验检测仪器设备要求：见投标人须知前附表。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（8）其他要求：见投标人须知前附表。</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需要提交的相关证明材料见本章第3.5款的规定。</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1.4.2投标人须知前附表规定接受联合体投标的，联合体除应符合本章第1.4.1项和投标人须知前附表的要求外，还应遵守以下规定：</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（1）联合体各方应按招标文件提供的格式签订联合体协议书，明确联合体牵头方和各方权利义务，并承诺就中标项目向招标人承担连带责任；</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（2）由同一专业的单位组成的联合体，按照资质等级较低的单位确定资质等级；</w:t>
      </w:r>
    </w:p>
    <w:p>
      <w:pPr>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（3）联合体各方不得再以自己名义单独或参加其他联合体在本招标项目中投标，否则各相关投标均无效。</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1.4.3 投标人不得存在下列情形之一：</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（1）为招标人不具有独立法人资格的附属机构（单位）；</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（2）与招标人存在利害关系且可能影响招标公正性；</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（3）与本招标项目的其他投标人为同一个单位负责人；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（4）与本招标项目的其他投标人存在控股、管理关系；</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（5）为本招标项目的代建人；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（6）为本招标项目的招标代理机构；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（7）与本招标项目的代建人或招标代理机构同为一个法定代表人；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（8）与本招标项目的代建人或招标代理机构存在控股或参股关系；</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（9）与本招标项目的施工承包人以及建筑材料、建筑构配件和设备供应商有隶属关系或者其他利害关系；</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（10）被依法暂停或者取消投标资格；</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（11）被责令停产停业、暂扣或者吊销许可证、暂扣或者吊销执照；</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（12）进入清算程序，或被宣告破产，或其他丧失履约能力的情形；</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（13）在最近三年内发生重大监理质量问题（以相关行业主管部门的行政处罚决定或司法机关出具的有关法律文书为准）；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（14）被工商行政管理机关在全国企业信用信息公示系统中列入严重违法失信企业名单；</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（15）被最高人民法院在“信用中国”网站（www.creditchina.gov.cn）或各级信用信息共享平台中列入失信被执行人名单；</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（16）法律法规或投标人须知前附表规定的其他情形。</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2" w:name="_Toc5975"/>
      <w:bookmarkStart w:id="33" w:name="_Toc8276"/>
      <w:r>
        <w:rPr>
          <w:rFonts w:hint="eastAsia" w:ascii="宋体" w:hAnsi="宋体" w:eastAsia="宋体" w:cs="宋体"/>
          <w:color w:val="auto"/>
          <w:sz w:val="24"/>
          <w:szCs w:val="24"/>
          <w:highlight w:val="none"/>
        </w:rPr>
        <w:t>1.5 费用承担</w:t>
      </w:r>
      <w:bookmarkEnd w:id="32"/>
      <w:bookmarkEnd w:id="3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投标人准备和参加投标活动发生的费用自理。</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4" w:name="_Toc8200"/>
      <w:bookmarkStart w:id="35" w:name="_Toc8360"/>
      <w:r>
        <w:rPr>
          <w:rFonts w:hint="eastAsia" w:ascii="宋体" w:hAnsi="宋体" w:eastAsia="宋体" w:cs="宋体"/>
          <w:color w:val="auto"/>
          <w:sz w:val="24"/>
          <w:szCs w:val="24"/>
          <w:highlight w:val="none"/>
        </w:rPr>
        <w:t>1.6保密</w:t>
      </w:r>
      <w:bookmarkEnd w:id="34"/>
      <w:bookmarkEnd w:id="35"/>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参与招标投标活动的各方应对招标文件和投标文件中</w:t>
      </w:r>
      <w:bookmarkStart w:id="36" w:name="_Toc352691477"/>
      <w:bookmarkStart w:id="37" w:name="_Toc361508589"/>
      <w:bookmarkStart w:id="38" w:name="_Toc5326"/>
      <w:bookmarkStart w:id="39" w:name="_Toc384308214"/>
      <w:bookmarkStart w:id="40" w:name="_Toc369531519"/>
      <w:r>
        <w:rPr>
          <w:rFonts w:hint="eastAsia" w:ascii="宋体" w:hAnsi="宋体" w:cs="宋体"/>
          <w:color w:val="auto"/>
          <w:sz w:val="24"/>
          <w:szCs w:val="24"/>
          <w:highlight w:val="none"/>
        </w:rPr>
        <w:t>的商业和技术等秘密保密</w:t>
      </w:r>
      <w:bookmarkEnd w:id="36"/>
      <w:bookmarkEnd w:id="37"/>
      <w:bookmarkEnd w:id="38"/>
      <w:bookmarkEnd w:id="39"/>
      <w:bookmarkEnd w:id="40"/>
      <w:r>
        <w:rPr>
          <w:rFonts w:hint="eastAsia" w:ascii="宋体" w:hAnsi="宋体" w:cs="宋体"/>
          <w:color w:val="auto"/>
          <w:sz w:val="24"/>
          <w:szCs w:val="24"/>
          <w:highlight w:val="none"/>
        </w:rPr>
        <w:t>，否则应承担相应的法律责任。</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41" w:name="_Toc23057"/>
      <w:bookmarkStart w:id="42" w:name="_Toc20852"/>
      <w:r>
        <w:rPr>
          <w:rFonts w:hint="eastAsia" w:ascii="宋体" w:hAnsi="宋体" w:eastAsia="宋体" w:cs="宋体"/>
          <w:color w:val="auto"/>
          <w:sz w:val="24"/>
          <w:szCs w:val="24"/>
          <w:highlight w:val="none"/>
        </w:rPr>
        <w:t>1.7 语言文字</w:t>
      </w:r>
      <w:bookmarkEnd w:id="41"/>
      <w:bookmarkEnd w:id="42"/>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招标投标文件使用的语言文字为中文。专用术语使用外文的，应附有中文注释。</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43" w:name="_Toc29220"/>
      <w:bookmarkStart w:id="44" w:name="_Toc8469"/>
      <w:r>
        <w:rPr>
          <w:rFonts w:hint="eastAsia" w:ascii="宋体" w:hAnsi="宋体" w:eastAsia="宋体" w:cs="宋体"/>
          <w:color w:val="auto"/>
          <w:sz w:val="24"/>
          <w:szCs w:val="24"/>
          <w:highlight w:val="none"/>
        </w:rPr>
        <w:t>1.8计量单位</w:t>
      </w:r>
      <w:bookmarkEnd w:id="43"/>
      <w:bookmarkEnd w:id="44"/>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所有计量均采用中华人民共和国法定计量单位。</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45" w:name="_Toc247513962"/>
      <w:bookmarkStart w:id="46" w:name="_Toc361508594"/>
      <w:bookmarkStart w:id="47" w:name="_Toc152042315"/>
      <w:bookmarkStart w:id="48" w:name="_Toc247527563"/>
      <w:bookmarkStart w:id="49" w:name="_Toc482188480"/>
      <w:bookmarkStart w:id="50" w:name="_Toc391393967"/>
      <w:bookmarkStart w:id="51" w:name="_Toc384308219"/>
      <w:bookmarkStart w:id="52" w:name="_Toc370676289"/>
      <w:bookmarkStart w:id="53" w:name="_Toc27371"/>
      <w:bookmarkStart w:id="54" w:name="_Toc19199"/>
      <w:bookmarkStart w:id="55" w:name="_Toc300834959"/>
      <w:bookmarkStart w:id="56" w:name="_Toc144974507"/>
      <w:bookmarkStart w:id="57" w:name="_Toc152045539"/>
      <w:r>
        <w:rPr>
          <w:rFonts w:hint="eastAsia" w:ascii="宋体" w:hAnsi="宋体" w:eastAsia="宋体" w:cs="宋体"/>
          <w:color w:val="auto"/>
          <w:sz w:val="24"/>
          <w:szCs w:val="24"/>
          <w:highlight w:val="none"/>
        </w:rPr>
        <w:t>1.9 踏勘现场</w:t>
      </w:r>
      <w:bookmarkEnd w:id="45"/>
      <w:bookmarkEnd w:id="46"/>
      <w:bookmarkEnd w:id="47"/>
      <w:bookmarkEnd w:id="48"/>
      <w:bookmarkEnd w:id="49"/>
      <w:bookmarkEnd w:id="50"/>
      <w:bookmarkEnd w:id="51"/>
      <w:bookmarkEnd w:id="52"/>
      <w:bookmarkEnd w:id="53"/>
      <w:bookmarkEnd w:id="54"/>
      <w:bookmarkEnd w:id="55"/>
      <w:bookmarkEnd w:id="56"/>
      <w:bookmarkEnd w:id="5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1.9.2 投标人踏勘现场发生的费用自理。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1.9.3 除招标人的原因外，投标人自行负责在踏勘现场中所发生的人员伤亡和财产损失。</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1.9.4 招标人在踏勘现场中介绍的工程场地和相关的周边环境情况，供投标人在编制投标文件时参考，招标人不对投标人据此作出的判断和决策负责。</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58" w:name="_Toc17151"/>
      <w:bookmarkStart w:id="59" w:name="_Toc1617"/>
      <w:r>
        <w:rPr>
          <w:rFonts w:hint="eastAsia" w:ascii="宋体" w:hAnsi="宋体" w:eastAsia="宋体" w:cs="宋体"/>
          <w:color w:val="auto"/>
          <w:sz w:val="24"/>
          <w:szCs w:val="24"/>
          <w:highlight w:val="none"/>
        </w:rPr>
        <w:t>1.10投标预备会</w:t>
      </w:r>
      <w:bookmarkEnd w:id="58"/>
      <w:bookmarkEnd w:id="5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1.10.1 投标人须知前附表规定召开投标预备会的，招标人按投标人须知前附表规定的时间和地点召开投标预备会，澄清投标人提出的问题。</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1.10.2 投标人应按投标人须知前附表规定的时间和形式将提出的问题送达招标人，以便招标人在会议期间澄清。</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1.10.3 投标预备会后，招标人将对投标人所提问题的澄清，以投标人须知前附表规定的形式通知所有购买招标文件的投标人。该澄清内容为招标文件的组成部分。</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60" w:name="_Toc15034"/>
      <w:bookmarkStart w:id="61" w:name="_Toc18262"/>
      <w:r>
        <w:rPr>
          <w:rFonts w:hint="eastAsia" w:ascii="宋体" w:hAnsi="宋体" w:eastAsia="宋体" w:cs="宋体"/>
          <w:color w:val="auto"/>
          <w:sz w:val="24"/>
          <w:szCs w:val="24"/>
          <w:highlight w:val="none"/>
        </w:rPr>
        <w:t>1.11 分包</w:t>
      </w:r>
      <w:bookmarkEnd w:id="60"/>
      <w:bookmarkEnd w:id="61"/>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本项目严禁分包。</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62" w:name="_Toc15891"/>
      <w:bookmarkStart w:id="63" w:name="_Toc4296"/>
      <w:r>
        <w:rPr>
          <w:rFonts w:hint="eastAsia" w:ascii="宋体" w:hAnsi="宋体" w:eastAsia="宋体" w:cs="宋体"/>
          <w:color w:val="auto"/>
          <w:sz w:val="24"/>
          <w:szCs w:val="24"/>
          <w:highlight w:val="none"/>
        </w:rPr>
        <w:t>1.12响应和偏差</w:t>
      </w:r>
      <w:bookmarkEnd w:id="62"/>
      <w:bookmarkEnd w:id="6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1.12.1投标文件应当对招标文件的实质性要求和条件作出满足性或更有利于招标人的响应，否则，投标人的投标将被否决。实质性要求和条件见投标人须知前附表。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1.12.2 投标人应根据招标文件的要求提供投标监理大纲等内容以对招标文件作出响应。</w:t>
      </w:r>
    </w:p>
    <w:p>
      <w:pPr>
        <w:spacing w:line="360" w:lineRule="auto"/>
        <w:ind w:firstLine="435"/>
        <w:rPr>
          <w:rFonts w:hint="eastAsia" w:ascii="宋体" w:hAnsi="宋体" w:cs="宋体"/>
          <w:color w:val="auto"/>
          <w:sz w:val="24"/>
          <w:szCs w:val="24"/>
          <w:highlight w:val="none"/>
        </w:rPr>
      </w:pPr>
      <w:r>
        <w:rPr>
          <w:rFonts w:hint="eastAsia" w:ascii="宋体" w:hAnsi="宋体" w:cs="宋体"/>
          <w:color w:val="auto"/>
          <w:sz w:val="24"/>
          <w:szCs w:val="24"/>
          <w:highlight w:val="none"/>
        </w:rPr>
        <w:t>1.12.3投标人须知前附表允许投标文件偏离招标文件某些要求的，偏差应当符合招标文件规定的偏差范围和幅度。</w:t>
      </w:r>
    </w:p>
    <w:p>
      <w:pPr>
        <w:pStyle w:val="4"/>
        <w:keepNext w:val="0"/>
        <w:keepLines w:val="0"/>
        <w:spacing w:before="0" w:after="0" w:line="360" w:lineRule="auto"/>
        <w:rPr>
          <w:rFonts w:hint="eastAsia" w:ascii="宋体" w:hAnsi="宋体" w:eastAsia="宋体" w:cs="宋体"/>
          <w:color w:val="auto"/>
          <w:highlight w:val="none"/>
        </w:rPr>
      </w:pPr>
      <w:bookmarkStart w:id="64" w:name="_Toc7843"/>
      <w:bookmarkStart w:id="65" w:name="_Toc29981"/>
      <w:r>
        <w:rPr>
          <w:rFonts w:hint="eastAsia" w:ascii="宋体" w:hAnsi="宋体" w:eastAsia="宋体" w:cs="宋体"/>
          <w:color w:val="auto"/>
          <w:highlight w:val="none"/>
        </w:rPr>
        <w:t>2. 招标文件</w:t>
      </w:r>
      <w:bookmarkEnd w:id="64"/>
      <w:bookmarkEnd w:id="65"/>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66" w:name="_Toc19114"/>
      <w:bookmarkStart w:id="67" w:name="_Toc18291"/>
      <w:r>
        <w:rPr>
          <w:rFonts w:hint="eastAsia" w:ascii="宋体" w:hAnsi="宋体" w:eastAsia="宋体" w:cs="宋体"/>
          <w:color w:val="auto"/>
          <w:sz w:val="24"/>
          <w:szCs w:val="24"/>
          <w:highlight w:val="none"/>
        </w:rPr>
        <w:t>2.1 招标文件的组成</w:t>
      </w:r>
      <w:bookmarkEnd w:id="66"/>
      <w:bookmarkEnd w:id="67"/>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本招标文件包括：</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（1）招标公告（或投标邀请书）；</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（2）投标人须知；</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（3）评标办法；</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（4）合同条款及格式；</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（5）委托人要求；</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（6）投标文件格式；</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（7）投标人须知前附表规定的其他资料。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根据本章第1.10款、第2.2款和第2.3款对招标文件所作的澄清、修改，构成招标文件的组成部分。</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68" w:name="_Toc25358"/>
      <w:bookmarkStart w:id="69" w:name="_Toc24624"/>
      <w:r>
        <w:rPr>
          <w:rFonts w:hint="eastAsia" w:ascii="宋体" w:hAnsi="宋体" w:eastAsia="宋体" w:cs="宋体"/>
          <w:color w:val="auto"/>
          <w:sz w:val="24"/>
          <w:szCs w:val="24"/>
          <w:highlight w:val="none"/>
        </w:rPr>
        <w:t>2.2 招标文件的澄清</w:t>
      </w:r>
      <w:bookmarkEnd w:id="68"/>
      <w:bookmarkEnd w:id="6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2.2.3 除非招标人认为确有必要答复，否则，招标人有权拒绝回复投标人在本章第    2.2.1项规定的时间后的任何澄清要求。</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70" w:name="_Toc26250"/>
      <w:bookmarkStart w:id="71" w:name="_Toc2698"/>
      <w:bookmarkStart w:id="72" w:name="_Toc352691479"/>
      <w:r>
        <w:rPr>
          <w:rFonts w:hint="eastAsia" w:ascii="宋体" w:hAnsi="宋体" w:eastAsia="宋体" w:cs="宋体"/>
          <w:color w:val="auto"/>
          <w:sz w:val="24"/>
          <w:szCs w:val="24"/>
          <w:highlight w:val="none"/>
        </w:rPr>
        <w:t>2.3 招标文件的修</w:t>
      </w:r>
      <w:bookmarkStart w:id="73" w:name="_Toc369531521"/>
      <w:bookmarkStart w:id="74" w:name="_Toc16514"/>
      <w:r>
        <w:rPr>
          <w:rFonts w:hint="eastAsia" w:ascii="宋体" w:hAnsi="宋体" w:eastAsia="宋体" w:cs="宋体"/>
          <w:color w:val="auto"/>
          <w:sz w:val="24"/>
          <w:szCs w:val="24"/>
          <w:highlight w:val="none"/>
        </w:rPr>
        <w:t>改</w:t>
      </w:r>
      <w:bookmarkEnd w:id="70"/>
      <w:bookmarkEnd w:id="71"/>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72"/>
    <w:bookmarkEnd w:id="73"/>
    <w:bookmarkEnd w:id="74"/>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2.3.2 投标人收到修改内容</w:t>
      </w:r>
      <w:bookmarkStart w:id="75" w:name="_Toc300834958"/>
      <w:bookmarkStart w:id="76" w:name="_Toc152045538"/>
      <w:bookmarkStart w:id="77" w:name="_Toc352691482"/>
      <w:bookmarkStart w:id="78" w:name="_Toc24632"/>
      <w:bookmarkStart w:id="79" w:name="_Toc152042314"/>
      <w:bookmarkStart w:id="80" w:name="_Toc247513961"/>
      <w:bookmarkStart w:id="81" w:name="_Toc384308218"/>
      <w:bookmarkStart w:id="82" w:name="_Toc144974506"/>
      <w:bookmarkStart w:id="83" w:name="_Toc369531524"/>
      <w:bookmarkStart w:id="84" w:name="_Toc247527562"/>
      <w:bookmarkStart w:id="85" w:name="_Toc361508593"/>
      <w:r>
        <w:rPr>
          <w:rFonts w:hint="eastAsia" w:ascii="宋体" w:hAnsi="宋体" w:cs="宋体"/>
          <w:color w:val="auto"/>
          <w:sz w:val="24"/>
          <w:szCs w:val="24"/>
          <w:highlight w:val="none"/>
        </w:rPr>
        <w:t>后，</w:t>
      </w:r>
      <w:bookmarkEnd w:id="75"/>
      <w:bookmarkEnd w:id="76"/>
      <w:bookmarkEnd w:id="77"/>
      <w:bookmarkEnd w:id="78"/>
      <w:bookmarkEnd w:id="79"/>
      <w:bookmarkEnd w:id="80"/>
      <w:bookmarkEnd w:id="81"/>
      <w:bookmarkEnd w:id="82"/>
      <w:bookmarkEnd w:id="83"/>
      <w:bookmarkEnd w:id="84"/>
      <w:bookmarkEnd w:id="85"/>
      <w:bookmarkStart w:id="86" w:name="_Toc300834960"/>
      <w:bookmarkStart w:id="87" w:name="_Toc247513963"/>
      <w:bookmarkStart w:id="88" w:name="_Toc352691484"/>
      <w:bookmarkStart w:id="89" w:name="_Toc247527564"/>
      <w:bookmarkStart w:id="90" w:name="_Toc369531526"/>
      <w:bookmarkStart w:id="91" w:name="_Toc152045540"/>
      <w:bookmarkStart w:id="92" w:name="_Toc16623"/>
      <w:bookmarkStart w:id="93" w:name="_Toc144974508"/>
      <w:bookmarkStart w:id="94" w:name="_Toc384308220"/>
      <w:bookmarkStart w:id="95" w:name="_Toc361508595"/>
      <w:bookmarkStart w:id="96" w:name="_Toc152042316"/>
      <w:r>
        <w:rPr>
          <w:rFonts w:hint="eastAsia" w:ascii="宋体" w:hAnsi="宋体" w:cs="宋体"/>
          <w:color w:val="auto"/>
          <w:sz w:val="24"/>
          <w:szCs w:val="24"/>
          <w:highlight w:val="none"/>
        </w:rPr>
        <w:t>应按投标人须知前附表规定的时间和形式通知招标人，确认已收到该修改。</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97" w:name="_Toc622"/>
      <w:bookmarkStart w:id="98" w:name="_Toc20446"/>
      <w:r>
        <w:rPr>
          <w:rFonts w:hint="eastAsia" w:ascii="宋体" w:hAnsi="宋体" w:eastAsia="宋体" w:cs="宋体"/>
          <w:color w:val="auto"/>
          <w:sz w:val="24"/>
          <w:szCs w:val="24"/>
          <w:highlight w:val="none"/>
        </w:rPr>
        <w:t>2.</w:t>
      </w:r>
      <w:bookmarkEnd w:id="86"/>
      <w:bookmarkEnd w:id="87"/>
      <w:bookmarkEnd w:id="88"/>
      <w:bookmarkEnd w:id="89"/>
      <w:bookmarkEnd w:id="90"/>
      <w:bookmarkEnd w:id="91"/>
      <w:bookmarkEnd w:id="92"/>
      <w:bookmarkEnd w:id="93"/>
      <w:bookmarkEnd w:id="94"/>
      <w:bookmarkEnd w:id="95"/>
      <w:bookmarkEnd w:id="96"/>
      <w:r>
        <w:rPr>
          <w:rFonts w:hint="eastAsia" w:ascii="宋体" w:hAnsi="宋体" w:eastAsia="宋体" w:cs="宋体"/>
          <w:color w:val="auto"/>
          <w:sz w:val="24"/>
          <w:szCs w:val="24"/>
          <w:highlight w:val="none"/>
        </w:rPr>
        <w:t>4 招标文件的异议</w:t>
      </w:r>
      <w:bookmarkEnd w:id="97"/>
      <w:bookmarkEnd w:id="98"/>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投标人或者其他利害关系人对招标文件有异议的，应当在投标截止时间10日前以书面形式提出。招标人将在收到异议之日起3日内作出答复；作出答复前，将暂停招标投标活动。</w:t>
      </w:r>
      <w:r>
        <w:rPr>
          <w:rFonts w:hint="default" w:ascii="Times New Roman" w:hAnsi="Times New Roman"/>
          <w:color w:val="auto"/>
          <w:sz w:val="24"/>
          <w:szCs w:val="24"/>
          <w:highlight w:val="none"/>
        </w:rPr>
        <w:t>可通过线下书面或线上的形式提出异议。</w:t>
      </w:r>
      <w:r>
        <w:rPr>
          <w:rFonts w:hint="default" w:ascii="Times New Roman" w:hAnsi="Times New Roman"/>
          <w:color w:val="auto"/>
          <w:sz w:val="24"/>
          <w:szCs w:val="24"/>
          <w:highlight w:val="none"/>
          <w:lang w:eastAsia="zh-CN"/>
        </w:rPr>
        <w:t>在线异议</w:t>
      </w:r>
      <w:r>
        <w:rPr>
          <w:rFonts w:hint="default" w:ascii="Times New Roman" w:hAnsi="Times New Roman"/>
          <w:color w:val="auto"/>
          <w:sz w:val="24"/>
          <w:szCs w:val="24"/>
          <w:highlight w:val="none"/>
        </w:rPr>
        <w:t>具体操作详见“广州交易集团有限公司（广州公共资源交易中心）门户网站首页-&gt;服务指南-&gt;系统帮助-&gt;操作手册-&gt;发起及受理异议操作指引”</w:t>
      </w:r>
    </w:p>
    <w:p>
      <w:pPr>
        <w:pStyle w:val="4"/>
        <w:keepNext w:val="0"/>
        <w:keepLines w:val="0"/>
        <w:spacing w:before="0" w:after="0" w:line="360" w:lineRule="auto"/>
        <w:rPr>
          <w:rFonts w:hint="eastAsia" w:ascii="宋体" w:hAnsi="宋体" w:eastAsia="宋体" w:cs="宋体"/>
          <w:color w:val="auto"/>
          <w:highlight w:val="none"/>
        </w:rPr>
      </w:pPr>
      <w:bookmarkStart w:id="99" w:name="_Toc20188"/>
      <w:bookmarkStart w:id="100" w:name="_Toc5247"/>
      <w:r>
        <w:rPr>
          <w:rFonts w:hint="eastAsia" w:ascii="宋体" w:hAnsi="宋体" w:eastAsia="宋体" w:cs="宋体"/>
          <w:color w:val="auto"/>
          <w:highlight w:val="none"/>
        </w:rPr>
        <w:t>3. 投标文件</w:t>
      </w:r>
      <w:bookmarkEnd w:id="99"/>
      <w:bookmarkEnd w:id="100"/>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01" w:name="_Toc17006"/>
      <w:bookmarkStart w:id="102" w:name="_Toc28916"/>
      <w:r>
        <w:rPr>
          <w:rFonts w:hint="eastAsia" w:ascii="宋体" w:hAnsi="宋体" w:eastAsia="宋体" w:cs="宋体"/>
          <w:color w:val="auto"/>
          <w:sz w:val="24"/>
          <w:szCs w:val="24"/>
          <w:highlight w:val="none"/>
        </w:rPr>
        <w:t>3.1 投标文件的组成</w:t>
      </w:r>
      <w:bookmarkEnd w:id="101"/>
      <w:bookmarkEnd w:id="102"/>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3.1.1 投标文件应包括下列内容：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（1）投标函及投标函附录；</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（2）法定代表人身份证明；</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（3）授权委托书（适用于有委托代理人的情况）；</w:t>
      </w:r>
    </w:p>
    <w:p>
      <w:pPr>
        <w:spacing w:line="360" w:lineRule="auto"/>
        <w:ind w:firstLine="480" w:firstLineChars="200"/>
        <w:rPr>
          <w:rFonts w:hint="eastAsia"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（4）投标保证金；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（5）资格审查资料；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（6）监理大纲；</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（7）其他资料。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投标人在评标过程中作出的符合法律法规和招标文件规定的澄清确认，构成投标文件的组成部分。</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3.1.2 投标人须知前附表规定不接受联合体投标的，或投标人没有组成联合体的，投标文件不包括本章第3.1.1（3）目所指的联合体协议书。</w:t>
      </w:r>
    </w:p>
    <w:p>
      <w:pPr>
        <w:spacing w:line="360" w:lineRule="auto"/>
        <w:ind w:firstLine="410" w:firstLineChars="171"/>
        <w:rPr>
          <w:rFonts w:hint="eastAsia"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3.1.3 投标人须知前附表未要求提交投标保证金的，投标文件不包括本章第3.1.1（4）目所指的投标保证金。</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03" w:name="_Toc15761"/>
      <w:bookmarkStart w:id="104" w:name="_Toc6141"/>
      <w:r>
        <w:rPr>
          <w:rFonts w:hint="eastAsia" w:ascii="宋体" w:hAnsi="宋体" w:eastAsia="宋体" w:cs="宋体"/>
          <w:color w:val="auto"/>
          <w:sz w:val="24"/>
          <w:szCs w:val="24"/>
          <w:highlight w:val="none"/>
        </w:rPr>
        <w:t>3.2 投标报价</w:t>
      </w:r>
      <w:bookmarkEnd w:id="103"/>
      <w:bookmarkEnd w:id="104"/>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3.2.1投标报价应包括国家规定的增值税税金，除投标人须知前附表另有规定外，增值税税金按一般计税方法计算。投标人应按第六章“投标文件格式”的要求在投标函及投标函附录中进行报价。</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3.2.2 投标人应充分了解该项目的总体情况以及影响投标报价的其他要素。</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3.2.3</w:t>
      </w:r>
      <w:bookmarkStart w:id="105" w:name="_Toc144974511"/>
      <w:bookmarkEnd w:id="105"/>
      <w:bookmarkStart w:id="106" w:name="_Toc352691487"/>
      <w:bookmarkEnd w:id="106"/>
      <w:bookmarkStart w:id="107" w:name="_Toc152045543"/>
      <w:bookmarkEnd w:id="107"/>
      <w:bookmarkStart w:id="108" w:name="_Toc247513967"/>
      <w:bookmarkEnd w:id="108"/>
      <w:bookmarkStart w:id="109" w:name="_Toc15242"/>
      <w:bookmarkEnd w:id="109"/>
      <w:bookmarkStart w:id="110" w:name="_Toc300834964"/>
      <w:bookmarkEnd w:id="110"/>
      <w:bookmarkStart w:id="111" w:name="_Toc152042319"/>
      <w:bookmarkEnd w:id="111"/>
      <w:bookmarkStart w:id="112" w:name="_Toc384308224"/>
      <w:bookmarkEnd w:id="112"/>
      <w:bookmarkStart w:id="113" w:name="_Toc369531530"/>
      <w:bookmarkEnd w:id="113"/>
      <w:bookmarkStart w:id="114" w:name="_Toc361508599"/>
      <w:bookmarkEnd w:id="114"/>
      <w:bookmarkStart w:id="115" w:name="_Toc247527568"/>
      <w:bookmarkEnd w:id="115"/>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本项目的报价方式见投标人须知前附表。投标人在投标截止时间前修改投标函中的投标报价总额须符合本章第4.3款的有关要求</w:t>
      </w:r>
      <w:r>
        <w:rPr>
          <w:rFonts w:hint="eastAsia" w:ascii="宋体" w:hAnsi="宋体" w:cs="宋体"/>
          <w:color w:val="auto"/>
          <w:sz w:val="24"/>
          <w:szCs w:val="24"/>
          <w:highlight w:val="none"/>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3.2.4 招标人设有最高投标限价的，投标人的投标报价不得超过最高投标限价，最高投标限价在投标</w:t>
      </w:r>
      <w:bookmarkStart w:id="116" w:name="_Toc361508600"/>
      <w:bookmarkStart w:id="117" w:name="_Toc144974512"/>
      <w:bookmarkStart w:id="118" w:name="_Toc384308225"/>
      <w:bookmarkStart w:id="119" w:name="_Toc369531531"/>
      <w:bookmarkStart w:id="120" w:name="_Toc300834965"/>
      <w:bookmarkStart w:id="121" w:name="_Toc247513968"/>
      <w:bookmarkStart w:id="122" w:name="_Toc10429"/>
      <w:bookmarkStart w:id="123" w:name="_Toc152045544"/>
      <w:bookmarkStart w:id="124" w:name="_Toc152042320"/>
      <w:bookmarkStart w:id="125" w:name="_Toc247527569"/>
      <w:bookmarkStart w:id="126" w:name="_Toc352691488"/>
      <w:r>
        <w:rPr>
          <w:rFonts w:hint="eastAsia" w:ascii="宋体" w:hAnsi="宋体" w:cs="宋体"/>
          <w:color w:val="auto"/>
          <w:sz w:val="24"/>
          <w:szCs w:val="24"/>
          <w:highlight w:val="none"/>
        </w:rPr>
        <w:t>人须知前附表中载明。</w:t>
      </w:r>
      <w:bookmarkEnd w:id="116"/>
      <w:bookmarkEnd w:id="117"/>
      <w:bookmarkEnd w:id="118"/>
      <w:bookmarkEnd w:id="119"/>
      <w:bookmarkEnd w:id="120"/>
      <w:bookmarkEnd w:id="121"/>
      <w:bookmarkEnd w:id="122"/>
      <w:bookmarkEnd w:id="123"/>
      <w:bookmarkEnd w:id="124"/>
      <w:bookmarkEnd w:id="125"/>
      <w:bookmarkEnd w:id="126"/>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3.2.5 投标报价的其他要求见投标人须知前附表。</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27" w:name="_Toc31578"/>
      <w:bookmarkStart w:id="128" w:name="_Toc26962"/>
      <w:r>
        <w:rPr>
          <w:rFonts w:hint="eastAsia" w:ascii="宋体" w:hAnsi="宋体" w:eastAsia="宋体" w:cs="宋体"/>
          <w:color w:val="auto"/>
          <w:sz w:val="24"/>
          <w:szCs w:val="24"/>
          <w:highlight w:val="none"/>
        </w:rPr>
        <w:t>3.3 投标有效期</w:t>
      </w:r>
      <w:bookmarkEnd w:id="127"/>
      <w:bookmarkEnd w:id="128"/>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3.3.1 除投标人须知前附表另有规定外，投标有效期为90天。</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3.3.2 在投标有效期内，投标人撤销投标文件的，应承担招标文件和法律规定的责任。</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3.3.3 出现特殊情况需要延长投标有效期的，招标人以书面形式通知所有投标人延长投标有效期。投标人应予以书面答复，同意延长的，</w:t>
      </w:r>
      <w:r>
        <w:rPr>
          <w:rFonts w:hint="eastAsia" w:ascii="宋体" w:hAnsi="宋体" w:cs="宋体"/>
          <w:strike/>
          <w:color w:val="auto"/>
          <w:sz w:val="24"/>
          <w:szCs w:val="24"/>
          <w:highlight w:val="none"/>
        </w:rPr>
        <w:t>应相应延长其投标保证金的有效期，但</w:t>
      </w:r>
      <w:r>
        <w:rPr>
          <w:rFonts w:hint="eastAsia" w:ascii="宋体" w:hAnsi="宋体" w:cs="宋体"/>
          <w:strike w:val="0"/>
          <w:color w:val="auto"/>
          <w:sz w:val="24"/>
          <w:szCs w:val="24"/>
          <w:highlight w:val="none"/>
        </w:rPr>
        <w:t>不得</w:t>
      </w:r>
      <w:r>
        <w:rPr>
          <w:rFonts w:hint="eastAsia" w:ascii="宋体" w:hAnsi="宋体" w:cs="宋体"/>
          <w:color w:val="auto"/>
          <w:sz w:val="24"/>
          <w:szCs w:val="24"/>
          <w:highlight w:val="none"/>
        </w:rPr>
        <w:t>要求或被允许修改其投标文件；投标人拒绝延长的，其投标失效</w:t>
      </w:r>
      <w:r>
        <w:rPr>
          <w:rFonts w:hint="eastAsia" w:ascii="宋体" w:hAnsi="宋体" w:cs="宋体"/>
          <w:strike/>
          <w:color w:val="auto"/>
          <w:sz w:val="24"/>
          <w:szCs w:val="24"/>
          <w:highlight w:val="none"/>
        </w:rPr>
        <w:t>，但投标人有权收回其投标保证金及以现金或者支票形式递交的投标保证金的银行同期存款利息</w:t>
      </w:r>
      <w:r>
        <w:rPr>
          <w:rFonts w:hint="eastAsia" w:ascii="宋体" w:hAnsi="宋体" w:cs="宋体"/>
          <w:color w:val="auto"/>
          <w:sz w:val="24"/>
          <w:szCs w:val="24"/>
          <w:highlight w:val="none"/>
        </w:rPr>
        <w:t>。</w:t>
      </w:r>
    </w:p>
    <w:p>
      <w:pPr>
        <w:pStyle w:val="5"/>
        <w:keepNext w:val="0"/>
        <w:keepLines w:val="0"/>
        <w:spacing w:before="0" w:after="0" w:line="360" w:lineRule="auto"/>
        <w:ind w:firstLine="118"/>
        <w:rPr>
          <w:rFonts w:hint="eastAsia" w:ascii="宋体" w:hAnsi="宋体" w:eastAsia="宋体" w:cs="宋体"/>
          <w:strike/>
          <w:color w:val="auto"/>
          <w:sz w:val="24"/>
          <w:szCs w:val="24"/>
          <w:highlight w:val="none"/>
        </w:rPr>
      </w:pPr>
      <w:bookmarkStart w:id="129" w:name="_Toc29318"/>
      <w:bookmarkStart w:id="130" w:name="_Toc24265"/>
      <w:r>
        <w:rPr>
          <w:rFonts w:hint="eastAsia" w:ascii="宋体" w:hAnsi="宋体" w:eastAsia="宋体" w:cs="宋体"/>
          <w:strike/>
          <w:color w:val="auto"/>
          <w:sz w:val="24"/>
          <w:szCs w:val="24"/>
          <w:highlight w:val="none"/>
        </w:rPr>
        <w:t>3.4 投标保证金</w:t>
      </w:r>
      <w:bookmarkEnd w:id="129"/>
      <w:bookmarkEnd w:id="130"/>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3.4.1 投标人在递交投标文件的同时，应按投标人须知前附表规定的金额</w:t>
      </w:r>
      <w:bookmarkStart w:id="131" w:name="_Toc152045545"/>
      <w:bookmarkStart w:id="132" w:name="_Toc152042321"/>
      <w:bookmarkStart w:id="133" w:name="_Toc352691489"/>
      <w:bookmarkStart w:id="134" w:name="_Toc300834966"/>
      <w:bookmarkStart w:id="135" w:name="_Toc384308226"/>
      <w:bookmarkStart w:id="136" w:name="_Toc247513969"/>
      <w:bookmarkStart w:id="137" w:name="_Toc144974513"/>
      <w:bookmarkStart w:id="138" w:name="_Toc361508601"/>
      <w:bookmarkStart w:id="139" w:name="_Toc247527570"/>
      <w:bookmarkStart w:id="140" w:name="_Toc369531532"/>
      <w:bookmarkStart w:id="141" w:name="_Toc4592"/>
      <w:r>
        <w:rPr>
          <w:rFonts w:hint="eastAsia" w:ascii="宋体" w:hAnsi="宋体" w:cs="宋体"/>
          <w:strike/>
          <w:color w:val="auto"/>
          <w:sz w:val="24"/>
          <w:szCs w:val="24"/>
          <w:highlight w:val="none"/>
        </w:rPr>
        <w:t>、形式和第六章“投标文</w:t>
      </w:r>
      <w:bookmarkEnd w:id="131"/>
      <w:bookmarkEnd w:id="132"/>
      <w:bookmarkEnd w:id="133"/>
      <w:bookmarkEnd w:id="134"/>
      <w:bookmarkEnd w:id="135"/>
      <w:bookmarkEnd w:id="136"/>
      <w:bookmarkEnd w:id="137"/>
      <w:bookmarkEnd w:id="138"/>
      <w:bookmarkEnd w:id="139"/>
      <w:bookmarkEnd w:id="140"/>
      <w:bookmarkEnd w:id="141"/>
      <w:r>
        <w:rPr>
          <w:rFonts w:hint="eastAsia" w:ascii="宋体" w:hAnsi="宋体" w:cs="宋体"/>
          <w:strike/>
          <w:color w:val="auto"/>
          <w:sz w:val="24"/>
          <w:szCs w:val="24"/>
          <w:highlight w:val="none"/>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方递交，并应符合投标人须知前附表的规定。</w:t>
      </w:r>
    </w:p>
    <w:p>
      <w:pPr>
        <w:spacing w:line="360" w:lineRule="auto"/>
        <w:ind w:firstLine="480" w:firstLineChars="200"/>
        <w:jc w:val="left"/>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3.4.2 投标人不按本章第3.4.1项</w:t>
      </w:r>
      <w:bookmarkStart w:id="142" w:name="_Toc361508602"/>
      <w:bookmarkStart w:id="143" w:name="_Toc369531533"/>
      <w:bookmarkStart w:id="144" w:name="_Toc29025"/>
      <w:bookmarkStart w:id="145" w:name="_Toc352691490"/>
      <w:bookmarkStart w:id="146" w:name="_Toc384308227"/>
      <w:r>
        <w:rPr>
          <w:rFonts w:hint="eastAsia" w:ascii="宋体" w:hAnsi="宋体" w:cs="宋体"/>
          <w:strike/>
          <w:color w:val="auto"/>
          <w:sz w:val="24"/>
          <w:szCs w:val="24"/>
          <w:highlight w:val="none"/>
        </w:rPr>
        <w:t>要求提交投标保证金的，</w:t>
      </w:r>
      <w:bookmarkEnd w:id="142"/>
      <w:bookmarkEnd w:id="143"/>
      <w:bookmarkEnd w:id="144"/>
      <w:bookmarkEnd w:id="145"/>
      <w:bookmarkEnd w:id="146"/>
      <w:r>
        <w:rPr>
          <w:rFonts w:hint="eastAsia" w:ascii="宋体" w:hAnsi="宋体" w:cs="宋体"/>
          <w:strike/>
          <w:color w:val="auto"/>
          <w:sz w:val="24"/>
          <w:szCs w:val="24"/>
          <w:highlight w:val="none"/>
        </w:rPr>
        <w:t>评标委员会将否决其投标。</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3.4.3 招标人最迟将在与中标人</w:t>
      </w:r>
      <w:bookmarkStart w:id="147" w:name="_Toc144974514"/>
      <w:bookmarkStart w:id="148" w:name="_Toc361508603"/>
      <w:bookmarkStart w:id="149" w:name="_Toc247513970"/>
      <w:bookmarkStart w:id="150" w:name="_Toc369531534"/>
      <w:bookmarkStart w:id="151" w:name="_Toc14751"/>
      <w:bookmarkStart w:id="152" w:name="_Toc247527571"/>
      <w:bookmarkStart w:id="153" w:name="_Toc384308228"/>
      <w:bookmarkStart w:id="154" w:name="_Toc152045546"/>
      <w:bookmarkStart w:id="155" w:name="_Toc300834967"/>
      <w:bookmarkStart w:id="156" w:name="_Toc352691491"/>
      <w:bookmarkStart w:id="157" w:name="_Toc152042322"/>
      <w:r>
        <w:rPr>
          <w:rFonts w:hint="eastAsia" w:ascii="宋体" w:hAnsi="宋体" w:cs="宋体"/>
          <w:strike/>
          <w:color w:val="auto"/>
          <w:sz w:val="24"/>
          <w:szCs w:val="24"/>
          <w:highlight w:val="none"/>
        </w:rPr>
        <w:t>签订合同后5日</w:t>
      </w:r>
      <w:bookmarkEnd w:id="147"/>
      <w:bookmarkEnd w:id="148"/>
      <w:bookmarkEnd w:id="149"/>
      <w:bookmarkEnd w:id="150"/>
      <w:bookmarkEnd w:id="151"/>
      <w:bookmarkEnd w:id="152"/>
      <w:bookmarkEnd w:id="153"/>
      <w:bookmarkEnd w:id="154"/>
      <w:bookmarkEnd w:id="155"/>
      <w:bookmarkEnd w:id="156"/>
      <w:bookmarkEnd w:id="157"/>
      <w:r>
        <w:rPr>
          <w:rFonts w:hint="eastAsia" w:ascii="宋体" w:hAnsi="宋体" w:cs="宋体"/>
          <w:strike/>
          <w:color w:val="auto"/>
          <w:sz w:val="24"/>
          <w:szCs w:val="24"/>
          <w:highlight w:val="none"/>
        </w:rPr>
        <w:t>内</w:t>
      </w:r>
      <w:bookmarkStart w:id="158" w:name="_Toc144974515"/>
      <w:bookmarkStart w:id="159" w:name="_Toc369531535"/>
      <w:bookmarkStart w:id="160" w:name="_Toc352691492"/>
      <w:bookmarkStart w:id="161" w:name="_Toc384308229"/>
      <w:bookmarkStart w:id="162" w:name="_Toc247527572"/>
      <w:bookmarkStart w:id="163" w:name="_Toc247513971"/>
      <w:bookmarkStart w:id="164" w:name="_Toc152042323"/>
      <w:bookmarkStart w:id="165" w:name="_Toc17952"/>
      <w:bookmarkStart w:id="166" w:name="_Toc361508604"/>
      <w:bookmarkStart w:id="167" w:name="_Toc300834968"/>
      <w:bookmarkStart w:id="168" w:name="_Toc152045547"/>
      <w:r>
        <w:rPr>
          <w:rFonts w:hint="eastAsia" w:ascii="宋体" w:hAnsi="宋体" w:cs="宋体"/>
          <w:strike/>
          <w:color w:val="auto"/>
          <w:sz w:val="24"/>
          <w:szCs w:val="24"/>
          <w:highlight w:val="none"/>
        </w:rPr>
        <w:t>，向未中标的投标人和中</w:t>
      </w:r>
      <w:bookmarkEnd w:id="158"/>
      <w:bookmarkEnd w:id="159"/>
      <w:bookmarkEnd w:id="160"/>
      <w:bookmarkEnd w:id="161"/>
      <w:bookmarkEnd w:id="162"/>
      <w:bookmarkEnd w:id="163"/>
      <w:bookmarkEnd w:id="164"/>
      <w:bookmarkEnd w:id="165"/>
      <w:bookmarkEnd w:id="166"/>
      <w:bookmarkEnd w:id="167"/>
      <w:bookmarkEnd w:id="168"/>
      <w:r>
        <w:rPr>
          <w:rFonts w:hint="eastAsia" w:ascii="宋体" w:hAnsi="宋体" w:cs="宋体"/>
          <w:strike/>
          <w:color w:val="auto"/>
          <w:sz w:val="24"/>
          <w:szCs w:val="24"/>
          <w:highlight w:val="none"/>
        </w:rPr>
        <w:t>标人退还投标保证金。投标保证金以现金或者支票形式递交的，还应退还银行同期存款利息。</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3.4.4 有下列情形之一的，投标保证金将不予退还：</w:t>
      </w:r>
    </w:p>
    <w:p>
      <w:pPr>
        <w:spacing w:line="360" w:lineRule="auto"/>
        <w:ind w:firstLine="360" w:firstLineChars="15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（1）投标人在投标有效期内撤销投标文件；</w:t>
      </w:r>
    </w:p>
    <w:p>
      <w:pPr>
        <w:spacing w:line="360" w:lineRule="auto"/>
        <w:ind w:firstLine="360" w:firstLineChars="15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（2）中标人在收到中标通知书后，无正当理由不与招标人订立合同，在签订合同时向招标人提出附加条件，或者不按照招标文件要求提交履约保证金；</w:t>
      </w:r>
    </w:p>
    <w:p>
      <w:pPr>
        <w:spacing w:line="360" w:lineRule="auto"/>
        <w:ind w:firstLine="360" w:firstLineChars="15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（3）发生投标人须知前附表规定的其他可以不予退还投标保证金的情形。</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69" w:name="_Toc17845"/>
      <w:bookmarkStart w:id="170" w:name="_Toc1820"/>
      <w:r>
        <w:rPr>
          <w:rFonts w:hint="eastAsia" w:ascii="宋体" w:hAnsi="宋体" w:eastAsia="宋体" w:cs="宋体"/>
          <w:color w:val="auto"/>
          <w:sz w:val="24"/>
          <w:szCs w:val="24"/>
          <w:highlight w:val="none"/>
        </w:rPr>
        <w:t>3.5 资格审查资料（适用于未进行资格预审的）</w:t>
      </w:r>
      <w:bookmarkEnd w:id="169"/>
      <w:bookmarkEnd w:id="170"/>
    </w:p>
    <w:p>
      <w:pPr>
        <w:spacing w:line="360" w:lineRule="auto"/>
        <w:ind w:firstLine="480" w:firstLineChars="200"/>
        <w:rPr>
          <w:rFonts w:hint="eastAsia"/>
          <w:color w:val="auto"/>
          <w:highlight w:val="none"/>
        </w:rPr>
      </w:pPr>
      <w:r>
        <w:rPr>
          <w:rFonts w:hint="eastAsia" w:ascii="宋体" w:hAnsi="宋体" w:cs="宋体"/>
          <w:color w:val="auto"/>
          <w:sz w:val="24"/>
          <w:szCs w:val="24"/>
          <w:highlight w:val="none"/>
        </w:rPr>
        <w:t>除投标人须知前附表另有规定外，投标人应按下列规定提供资格审查资料，以证明其满足本章第1.4款规定的资质、财务、业绩、信誉等要求。</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3.5.1投标人参加投标的意思表达清楚，投标人代表被授权有效。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3.5.2</w:t>
      </w:r>
      <w:r>
        <w:rPr>
          <w:rFonts w:hint="eastAsia" w:ascii="宋体" w:hAnsi="宋体" w:cs="宋体"/>
          <w:color w:val="auto"/>
          <w:sz w:val="24"/>
          <w:szCs w:val="24"/>
          <w:highlight w:val="none"/>
        </w:rPr>
        <w:t>投标人具有独立法人资格，持有事业单位登记管理部门核发的事业单位法人证书或市场监管部门（或工商行政管理部门）核发的企业法人营业执照，且在营业期限内</w:t>
      </w:r>
      <w:r>
        <w:rPr>
          <w:rFonts w:hint="eastAsia" w:ascii="宋体" w:hAnsi="宋体"/>
          <w:color w:val="auto"/>
          <w:sz w:val="24"/>
          <w:highlight w:val="none"/>
        </w:rPr>
        <w:t>。</w:t>
      </w:r>
    </w:p>
    <w:p>
      <w:pPr>
        <w:adjustRightInd w:val="0"/>
        <w:snapToGrid w:val="0"/>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3.5.3投标人须具有承接本工程所需的</w:t>
      </w:r>
      <w:r>
        <w:rPr>
          <w:rFonts w:hint="eastAsia" w:ascii="宋体" w:hAnsi="宋体" w:cs="宋体"/>
          <w:color w:val="auto"/>
          <w:sz w:val="24"/>
          <w:highlight w:val="none"/>
        </w:rPr>
        <w:t>水利部颁发的水利工程施工监理甲级</w:t>
      </w:r>
      <w:r>
        <w:rPr>
          <w:rFonts w:hint="eastAsia" w:ascii="宋体" w:hAnsi="宋体"/>
          <w:color w:val="auto"/>
          <w:sz w:val="24"/>
          <w:highlight w:val="none"/>
        </w:rPr>
        <w:t>资质</w:t>
      </w:r>
      <w:r>
        <w:rPr>
          <w:rFonts w:hint="eastAsia" w:ascii="宋体" w:hAnsi="宋体"/>
          <w:color w:val="auto"/>
          <w:sz w:val="24"/>
          <w:highlight w:val="none"/>
          <w:lang w:eastAsia="zh-CN"/>
        </w:rPr>
        <w:t>。</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香港企业独立参加投标的，须在广东省住房和城乡建设主管部门备案且备案的业务范围满足本项目招标资质要求。注：依据《广东省住房和城乡建设厅关于印发香港工程建设咨询企业和专业人士在粤港澳大湾区内地城市开业执业试点管理暂行办法的通知》（粤建规范[2020]1号）确定。</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注：工程监理企业资质证书有效期按《水利部关于开展水利工程建设监理单位资质行政许可有关工作的公告》（中华人民共和国水利部公告2021年第9号）、《水利部关于水利工程建设监理单位和甲级质量检测单位资质等级证书延期的公告》（中华人民共和国水利部公告2022年第10号）等规定执行。</w:t>
      </w:r>
    </w:p>
    <w:p>
      <w:pPr>
        <w:adjustRightInd w:val="0"/>
        <w:snapToGrid w:val="0"/>
        <w:spacing w:line="360" w:lineRule="auto"/>
        <w:ind w:firstLine="480" w:firstLineChars="200"/>
        <w:rPr>
          <w:color w:val="auto"/>
          <w:highlight w:val="none"/>
        </w:rPr>
      </w:pPr>
      <w:r>
        <w:rPr>
          <w:rFonts w:hint="eastAsia" w:ascii="宋体" w:hAnsi="宋体"/>
          <w:color w:val="auto"/>
          <w:sz w:val="24"/>
          <w:highlight w:val="none"/>
        </w:rPr>
        <w:t>招标期间如行政主管部门对建设工程企业资质有效期发布新规定的，按新规定相应调整执行。</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3.5.4项目总监理工程师：具有有效的中国水利工程协会颁发的水利工程建设监理工程师资格证书，执业单位为本投标单位，且具有工程类高级(或以上）专业技术职称；或者具有中华人民共和国监理工程师注册证书且其注册专业为水利工程施工监理，注册单位为本投标单位，且具有工程类高级(或以上）专业技术职称。</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香港专业人士参与投标的，须在广东省住房和城乡建设主管部门备案且备案的业务范围满足本项目招标文件要求。注：（依据《广东省住房和城乡建设厅关于印发香港工程建设咨询企业和专业人士在粤港澳大湾区内地城市开业执业试点管理暂行办法的通知》（粤建规范[2020]1号）规定）。</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3.5.5投标登记前，投标人</w:t>
      </w:r>
      <w:r>
        <w:rPr>
          <w:rFonts w:hint="eastAsia" w:ascii="宋体" w:hAnsi="宋体" w:cs="宋体"/>
          <w:color w:val="auto"/>
          <w:sz w:val="24"/>
          <w:highlight w:val="none"/>
        </w:rPr>
        <w:t>须</w:t>
      </w:r>
      <w:r>
        <w:rPr>
          <w:rFonts w:hint="eastAsia" w:ascii="宋体" w:hAnsi="宋体"/>
          <w:color w:val="auto"/>
          <w:sz w:val="24"/>
          <w:highlight w:val="none"/>
        </w:rPr>
        <w:t>已在广州公共资源交易中心办理企业信息登记及拟担任本工程总监理工程师须是本单位在企业库中的在册人员；</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3.5.6投标人已按照</w:t>
      </w:r>
      <w:r>
        <w:rPr>
          <w:rFonts w:hint="eastAsia" w:ascii="宋体" w:hAnsi="宋体" w:cs="宋体"/>
          <w:bCs/>
          <w:color w:val="auto"/>
          <w:sz w:val="24"/>
          <w:szCs w:val="24"/>
          <w:highlight w:val="none"/>
        </w:rPr>
        <w:t>招标公告</w:t>
      </w:r>
      <w:r>
        <w:rPr>
          <w:rFonts w:hint="eastAsia" w:ascii="宋体" w:hAnsi="宋体"/>
          <w:color w:val="auto"/>
          <w:sz w:val="24"/>
          <w:highlight w:val="none"/>
        </w:rPr>
        <w:t>附件一的内容签署盖章的投标人声明。</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3.5.7关于联合体投标：本项目</w:t>
      </w:r>
      <w:r>
        <w:rPr>
          <w:rFonts w:hint="eastAsia" w:ascii="宋体" w:hAnsi="宋体"/>
          <w:color w:val="auto"/>
          <w:sz w:val="24"/>
          <w:highlight w:val="none"/>
          <w:lang w:val="en-US" w:eastAsia="zh-CN"/>
        </w:rPr>
        <w:t>不</w:t>
      </w:r>
      <w:r>
        <w:rPr>
          <w:rFonts w:hint="eastAsia" w:ascii="宋体" w:hAnsi="宋体"/>
          <w:color w:val="auto"/>
          <w:sz w:val="24"/>
          <w:highlight w:val="none"/>
        </w:rPr>
        <w:t>接受联合体投标。</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3.5.8</w:t>
      </w:r>
      <w:r>
        <w:rPr>
          <w:rFonts w:hint="eastAsia" w:ascii="宋体" w:hAnsi="宋体" w:cs="宋体"/>
          <w:color w:val="auto"/>
          <w:sz w:val="24"/>
          <w:highlight w:val="none"/>
        </w:rPr>
        <w:t>未被纳入国家、省、市、区的失信联合惩戒名单且未被限制参加建设工程投标的（具体名单以递交投标文件截止时间“信用广州”https://credit.gz.gov.cn/公布的名单为准）。注：因联合惩戒措施表述存在细微差别，惩戒措施与上文不完全一致但措施内容相同的，也应属于被限制参与相关项目的投标。</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71" w:name="_Toc824"/>
      <w:bookmarkStart w:id="172" w:name="_Toc25775"/>
      <w:r>
        <w:rPr>
          <w:rFonts w:hint="eastAsia" w:ascii="宋体" w:hAnsi="宋体" w:eastAsia="宋体" w:cs="宋体"/>
          <w:color w:val="auto"/>
          <w:sz w:val="24"/>
          <w:szCs w:val="24"/>
          <w:highlight w:val="none"/>
        </w:rPr>
        <w:t>3.6 备选投标方案</w:t>
      </w:r>
      <w:bookmarkEnd w:id="171"/>
      <w:bookmarkEnd w:id="172"/>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3.6.1 除投标人须知前附表规定允许外，投标人不得递交备选投标方案，否则其投标将被否决。</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3.6.3 投标人提供两个或两个以上投标报价，或者在投标文件中提供一个报价，但同时提供两个或两个以上</w:t>
      </w:r>
      <w:bookmarkStart w:id="173" w:name="_Toc361508607"/>
      <w:bookmarkStart w:id="174" w:name="_Toc144974518"/>
      <w:bookmarkStart w:id="175" w:name="_Toc29902"/>
      <w:bookmarkStart w:id="176" w:name="_Toc352691495"/>
      <w:bookmarkStart w:id="177" w:name="_Toc152042326"/>
      <w:bookmarkStart w:id="178" w:name="_Toc300834971"/>
      <w:bookmarkStart w:id="179" w:name="_Toc384308232"/>
      <w:bookmarkStart w:id="180" w:name="_Toc152045550"/>
      <w:bookmarkStart w:id="181" w:name="_Toc247527575"/>
      <w:bookmarkStart w:id="182" w:name="_Toc369531538"/>
      <w:bookmarkStart w:id="183" w:name="_Toc247513974"/>
      <w:r>
        <w:rPr>
          <w:rFonts w:hint="eastAsia" w:ascii="宋体" w:hAnsi="宋体" w:cs="宋体"/>
          <w:color w:val="auto"/>
          <w:sz w:val="24"/>
          <w:szCs w:val="24"/>
          <w:highlight w:val="none"/>
        </w:rPr>
        <w:t>监理方案的</w:t>
      </w:r>
      <w:bookmarkEnd w:id="173"/>
      <w:bookmarkEnd w:id="174"/>
      <w:bookmarkEnd w:id="175"/>
      <w:bookmarkEnd w:id="176"/>
      <w:bookmarkEnd w:id="177"/>
      <w:bookmarkEnd w:id="178"/>
      <w:bookmarkEnd w:id="179"/>
      <w:bookmarkEnd w:id="180"/>
      <w:bookmarkEnd w:id="181"/>
      <w:bookmarkEnd w:id="182"/>
      <w:bookmarkEnd w:id="183"/>
      <w:r>
        <w:rPr>
          <w:rFonts w:hint="eastAsia" w:ascii="宋体" w:hAnsi="宋体" w:cs="宋体"/>
          <w:color w:val="auto"/>
          <w:sz w:val="24"/>
          <w:szCs w:val="24"/>
          <w:highlight w:val="none"/>
        </w:rPr>
        <w:t>，视为提供备选方案。</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84" w:name="_Toc7422"/>
      <w:bookmarkStart w:id="185" w:name="_Toc23337"/>
      <w:r>
        <w:rPr>
          <w:rFonts w:hint="eastAsia" w:ascii="宋体" w:hAnsi="宋体" w:eastAsia="宋体" w:cs="宋体"/>
          <w:color w:val="auto"/>
          <w:sz w:val="24"/>
          <w:szCs w:val="24"/>
          <w:highlight w:val="none"/>
        </w:rPr>
        <w:t>3.7 投标文件的编制</w:t>
      </w:r>
      <w:bookmarkEnd w:id="184"/>
      <w:bookmarkEnd w:id="185"/>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3.7.2 投标文件应当对招标文件有关监理服务期限、投标有效期、委托人要求、招标范围等实质性内容作出响应。</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（2）投标文件正本一份，副本份数见投标人须知前附表。正本和副本的封面</w:t>
      </w:r>
      <w:r>
        <w:rPr>
          <w:rStyle w:val="31"/>
          <w:rFonts w:hint="eastAsia" w:ascii="宋体" w:hAnsi="宋体" w:cs="宋体"/>
          <w:strike/>
          <w:color w:val="auto"/>
          <w:kern w:val="0"/>
          <w:sz w:val="24"/>
          <w:szCs w:val="24"/>
          <w:highlight w:val="none"/>
        </w:rPr>
        <w:t>右上角</w:t>
      </w:r>
      <w:r>
        <w:rPr>
          <w:rFonts w:hint="eastAsia" w:ascii="宋体" w:hAnsi="宋体" w:cs="宋体"/>
          <w:strike/>
          <w:color w:val="auto"/>
          <w:sz w:val="24"/>
          <w:szCs w:val="24"/>
          <w:highlight w:val="none"/>
        </w:rPr>
        <w:t>上应清楚地标记“正本”或“副本”的字样。投标人应根据投标人须知前附表要求提供电子版文件。当副本和正本不一致或电子版文件和纸质正本文件不一致时，以纸质正本文件为准。</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（3）投标文件的正本与副本应分别装订，并编制目录，投标文件需分册装订的，具体分册装订要求见投标人须知前附表规定。</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4"/>
        <w:keepNext w:val="0"/>
        <w:keepLines w:val="0"/>
        <w:spacing w:before="0" w:after="0" w:line="360" w:lineRule="auto"/>
        <w:rPr>
          <w:rFonts w:hint="eastAsia" w:ascii="宋体" w:hAnsi="宋体" w:eastAsia="宋体" w:cs="宋体"/>
          <w:color w:val="auto"/>
          <w:highlight w:val="none"/>
        </w:rPr>
      </w:pPr>
      <w:bookmarkStart w:id="186" w:name="_Toc16599"/>
      <w:bookmarkStart w:id="187" w:name="_Toc17129"/>
      <w:r>
        <w:rPr>
          <w:rFonts w:hint="eastAsia" w:ascii="宋体" w:hAnsi="宋体" w:eastAsia="宋体" w:cs="宋体"/>
          <w:color w:val="auto"/>
          <w:highlight w:val="none"/>
        </w:rPr>
        <w:t>4. 投标</w:t>
      </w:r>
      <w:bookmarkEnd w:id="186"/>
      <w:bookmarkEnd w:id="187"/>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88" w:name="_Toc24271"/>
      <w:bookmarkStart w:id="189" w:name="_Toc10880"/>
      <w:r>
        <w:rPr>
          <w:rFonts w:hint="eastAsia" w:ascii="宋体" w:hAnsi="宋体" w:eastAsia="宋体" w:cs="宋体"/>
          <w:color w:val="auto"/>
          <w:sz w:val="24"/>
          <w:szCs w:val="24"/>
          <w:highlight w:val="none"/>
        </w:rPr>
        <w:t>4.1 投标文件的密封和标记</w:t>
      </w:r>
      <w:bookmarkEnd w:id="188"/>
      <w:bookmarkEnd w:id="189"/>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4.1.1 （A）投标文件应密封包装，并在封套的封口处加盖投标人单位章或由投标人的法定代表人或其授权的代理人签字。</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4.1.1 （B）投标人应当按照招标文件和电子招标投标交易平台的要求加密投标文件，具体要求见投标人须知前附表。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4.1.2 投标文件封套上应写明的内容见投标人须知前附表。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4.1.3 未按本章第4.1.1项要求密封的投标文件，招标人将予以拒收。</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90" w:name="_Toc13212"/>
      <w:bookmarkStart w:id="191" w:name="_Toc13276"/>
      <w:r>
        <w:rPr>
          <w:rFonts w:hint="eastAsia" w:ascii="宋体" w:hAnsi="宋体" w:eastAsia="宋体" w:cs="宋体"/>
          <w:color w:val="auto"/>
          <w:sz w:val="24"/>
          <w:szCs w:val="24"/>
          <w:highlight w:val="none"/>
        </w:rPr>
        <w:t>4.2 投标文件的递交</w:t>
      </w:r>
      <w:bookmarkEnd w:id="190"/>
      <w:bookmarkEnd w:id="191"/>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4.2.1 投标人应在投标人须知前附表规定的投标截止时间前递交投标文件。</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4.2.2 （A）投标人递交投标文件的地点：见投标人须知前附表。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4.2.2 （B）</w:t>
      </w:r>
      <w:r>
        <w:rPr>
          <w:rFonts w:hint="eastAsia" w:ascii="宋体" w:hAnsi="宋体" w:cs="宋体"/>
          <w:bCs/>
          <w:iCs/>
          <w:color w:val="auto"/>
          <w:sz w:val="24"/>
          <w:szCs w:val="24"/>
          <w:highlight w:val="none"/>
        </w:rPr>
        <w:t>投标人通过下载招标文件的电子招标投标交易平台递交电子投标文件。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4.2.3 除投标人须知前附表另有规定外，投标人所递交的投标文件不予退还。</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4.2.4 （A）招标人收到投标文件后，向投标人出具签收凭证。</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4.2.4 （B）投标人完成电子投标文件上传后，</w:t>
      </w:r>
      <w:r>
        <w:rPr>
          <w:rFonts w:hint="eastAsia" w:ascii="宋体" w:hAnsi="宋体" w:cs="宋体"/>
          <w:bCs/>
          <w:iCs/>
          <w:color w:val="auto"/>
          <w:sz w:val="24"/>
          <w:szCs w:val="24"/>
          <w:highlight w:val="none"/>
        </w:rPr>
        <w:t>电子招标投标交易平台</w:t>
      </w:r>
      <w:r>
        <w:rPr>
          <w:rFonts w:hint="eastAsia" w:ascii="宋体" w:hAnsi="宋体" w:cs="宋体"/>
          <w:color w:val="auto"/>
          <w:sz w:val="24"/>
          <w:szCs w:val="24"/>
          <w:highlight w:val="none"/>
        </w:rPr>
        <w:t>即时向投标人发出递交回执通知。递交时间以递交回执通知载明的传输完成时间为准。</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4.2.5 （A）逾期送达的投标文件，招标人将予以拒收。</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4.2.5 （B）逾期送达的投标文件，电子招标投标交易平台将予以拒收。</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192" w:name="_Toc16752"/>
      <w:bookmarkStart w:id="193" w:name="_Toc1894"/>
      <w:r>
        <w:rPr>
          <w:rFonts w:hint="eastAsia" w:ascii="宋体" w:hAnsi="宋体" w:eastAsia="宋体" w:cs="宋体"/>
          <w:color w:val="auto"/>
          <w:sz w:val="24"/>
          <w:szCs w:val="24"/>
          <w:highlight w:val="none"/>
        </w:rPr>
        <w:t>4.3 投标文件的修改与撤回</w:t>
      </w:r>
      <w:bookmarkEnd w:id="192"/>
      <w:bookmarkEnd w:id="19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4.3.1 在本章第4.2.1项规定的投标截止时间前，投标人可以修改或撤回已递交的投标文件，但应以书面形式通知招标人。</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4.3.2 （A）投标人修改或撤回已递交投标文件的书面通知应按照本章第3.7.3（A）项的要求签字或盖章。招标人收到书面通知后，向投标人出具签收凭证。</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4.3.2 （B）投标人修改或撤回已递交投标文件的通知，应按照本章第3.7.3（B）项的要求加盖电子印章。</w:t>
      </w:r>
      <w:r>
        <w:rPr>
          <w:rFonts w:hint="eastAsia" w:ascii="宋体" w:hAnsi="宋体" w:cs="宋体"/>
          <w:bCs/>
          <w:iCs/>
          <w:color w:val="auto"/>
          <w:sz w:val="24"/>
          <w:szCs w:val="24"/>
          <w:highlight w:val="none"/>
        </w:rPr>
        <w:t>电子招标投标交易平台收到通知后，</w:t>
      </w:r>
      <w:r>
        <w:rPr>
          <w:rFonts w:hint="eastAsia" w:ascii="宋体" w:hAnsi="宋体" w:cs="宋体"/>
          <w:color w:val="auto"/>
          <w:sz w:val="24"/>
          <w:szCs w:val="24"/>
          <w:highlight w:val="none"/>
        </w:rPr>
        <w:t>即时向投标人发出确认回执通知。</w:t>
      </w:r>
    </w:p>
    <w:p>
      <w:pPr>
        <w:spacing w:line="360" w:lineRule="auto"/>
        <w:ind w:firstLine="480" w:firstLineChars="200"/>
        <w:rPr>
          <w:rFonts w:hint="eastAsia"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4.3.3 投标人撤回投标文件的，招标人自收到投标人书面撤回通知之日起5日内退还已收取的投标保证金。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4.3.</w:t>
      </w:r>
      <w:bookmarkStart w:id="194" w:name="_Toc352691497"/>
      <w:bookmarkStart w:id="195" w:name="_Toc369531541"/>
      <w:bookmarkStart w:id="196" w:name="_Toc152045553"/>
      <w:bookmarkStart w:id="197" w:name="_Toc247527578"/>
      <w:bookmarkStart w:id="198" w:name="_Toc384308235"/>
      <w:bookmarkStart w:id="199" w:name="_Toc19203"/>
      <w:bookmarkStart w:id="200" w:name="_Toc152042329"/>
      <w:bookmarkStart w:id="201" w:name="_Toc247513977"/>
      <w:bookmarkStart w:id="202" w:name="_Toc300834974"/>
      <w:bookmarkStart w:id="203" w:name="_Toc144974521"/>
      <w:bookmarkStart w:id="204" w:name="_Toc361508610"/>
      <w:r>
        <w:rPr>
          <w:rFonts w:hint="eastAsia" w:ascii="宋体" w:hAnsi="宋体" w:cs="宋体"/>
          <w:color w:val="auto"/>
          <w:sz w:val="24"/>
          <w:szCs w:val="24"/>
          <w:highlight w:val="none"/>
        </w:rPr>
        <w:t>4 修改的内容为投标</w:t>
      </w:r>
      <w:bookmarkEnd w:id="194"/>
      <w:bookmarkEnd w:id="195"/>
      <w:bookmarkEnd w:id="196"/>
      <w:bookmarkEnd w:id="197"/>
      <w:bookmarkEnd w:id="198"/>
      <w:bookmarkEnd w:id="199"/>
      <w:bookmarkEnd w:id="200"/>
      <w:bookmarkEnd w:id="201"/>
      <w:bookmarkEnd w:id="202"/>
      <w:bookmarkEnd w:id="203"/>
      <w:bookmarkEnd w:id="204"/>
      <w:r>
        <w:rPr>
          <w:rFonts w:hint="eastAsia" w:ascii="宋体" w:hAnsi="宋体" w:cs="宋体"/>
          <w:color w:val="auto"/>
          <w:sz w:val="24"/>
          <w:szCs w:val="24"/>
          <w:highlight w:val="none"/>
        </w:rPr>
        <w:t>文件的组成部分。修改的投标文件应按照本章第3条、第4条的规定进行编制、密封、标记和递交，并标明“修改”字样。</w:t>
      </w:r>
    </w:p>
    <w:p>
      <w:pPr>
        <w:pStyle w:val="4"/>
        <w:keepNext w:val="0"/>
        <w:keepLines w:val="0"/>
        <w:spacing w:before="0" w:after="0" w:line="360" w:lineRule="auto"/>
        <w:rPr>
          <w:rFonts w:hint="eastAsia" w:ascii="宋体" w:hAnsi="宋体" w:eastAsia="宋体" w:cs="宋体"/>
          <w:color w:val="auto"/>
          <w:highlight w:val="none"/>
        </w:rPr>
      </w:pPr>
      <w:bookmarkStart w:id="205" w:name="_Toc26023"/>
      <w:bookmarkStart w:id="206" w:name="_Toc29281"/>
      <w:r>
        <w:rPr>
          <w:rFonts w:hint="eastAsia" w:ascii="宋体" w:hAnsi="宋体" w:eastAsia="宋体" w:cs="宋体"/>
          <w:color w:val="auto"/>
          <w:highlight w:val="none"/>
        </w:rPr>
        <w:t>5. 开标</w:t>
      </w:r>
      <w:bookmarkEnd w:id="205"/>
      <w:bookmarkEnd w:id="206"/>
    </w:p>
    <w:p>
      <w:pPr>
        <w:pStyle w:val="5"/>
        <w:keepNext w:val="0"/>
        <w:keepLines w:val="0"/>
        <w:spacing w:before="0" w:after="0" w:line="360" w:lineRule="auto"/>
        <w:ind w:firstLine="118"/>
        <w:rPr>
          <w:rFonts w:hint="eastAsia" w:ascii="宋体" w:hAnsi="宋体" w:eastAsia="宋体" w:cs="宋体"/>
          <w:strike/>
          <w:color w:val="auto"/>
          <w:sz w:val="24"/>
          <w:szCs w:val="24"/>
          <w:highlight w:val="none"/>
        </w:rPr>
      </w:pPr>
      <w:bookmarkStart w:id="207" w:name="_Toc10134"/>
      <w:bookmarkStart w:id="208" w:name="_Toc29787"/>
      <w:r>
        <w:rPr>
          <w:rFonts w:hint="eastAsia" w:ascii="宋体" w:hAnsi="宋体" w:eastAsia="宋体" w:cs="宋体"/>
          <w:strike/>
          <w:color w:val="auto"/>
          <w:sz w:val="24"/>
          <w:szCs w:val="24"/>
          <w:highlight w:val="none"/>
        </w:rPr>
        <w:t>5.1 开标时间和地点（A）</w:t>
      </w:r>
      <w:bookmarkEnd w:id="207"/>
      <w:bookmarkEnd w:id="208"/>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招标人在本章第4.2.1项规定的投标截止时间（开标时间）和投标人须知前附表规定的地点公开开标，并邀请所有投标人的法定代表人或其委托代理人准时参加。</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09" w:name="_Toc27125"/>
      <w:bookmarkStart w:id="210" w:name="_Toc28583"/>
      <w:r>
        <w:rPr>
          <w:rFonts w:hint="eastAsia" w:ascii="宋体" w:hAnsi="宋体" w:eastAsia="宋体" w:cs="宋体"/>
          <w:color w:val="auto"/>
          <w:sz w:val="24"/>
          <w:szCs w:val="24"/>
          <w:highlight w:val="none"/>
        </w:rPr>
        <w:t>5.1 开标时间和地点（B）</w:t>
      </w:r>
      <w:bookmarkEnd w:id="209"/>
      <w:bookmarkEnd w:id="210"/>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招标人在本章第4.2.1项规定的投标截止时间（开标时间）,通过电子招标投标交易平台公开开标，所有投标人的法定代表人或其委托代理人应当准时参加。</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11" w:name="_Toc28561"/>
      <w:bookmarkStart w:id="212" w:name="_Toc31545"/>
      <w:r>
        <w:rPr>
          <w:rFonts w:hint="eastAsia" w:ascii="宋体" w:hAnsi="宋体" w:eastAsia="宋体" w:cs="宋体"/>
          <w:color w:val="auto"/>
          <w:sz w:val="24"/>
          <w:szCs w:val="24"/>
          <w:highlight w:val="none"/>
        </w:rPr>
        <w:t>5.2 开标程序</w:t>
      </w:r>
      <w:bookmarkEnd w:id="211"/>
      <w:bookmarkEnd w:id="212"/>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主持人按下列程序进行开标：</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（1）宣布开标纪律；</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（2）公布在投标截止时间前递交投标文件的投标人名称；</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（3）宣布</w:t>
      </w:r>
      <w:bookmarkStart w:id="213" w:name="_Toc300834975"/>
      <w:bookmarkStart w:id="214" w:name="_Toc152045554"/>
      <w:bookmarkStart w:id="215" w:name="_Toc361508611"/>
      <w:bookmarkStart w:id="216" w:name="_Toc144974522"/>
      <w:bookmarkStart w:id="217" w:name="_Toc384308236"/>
      <w:bookmarkStart w:id="218" w:name="_Toc247513978"/>
      <w:bookmarkStart w:id="219" w:name="_Toc22119"/>
      <w:bookmarkStart w:id="220" w:name="_Toc247527579"/>
      <w:bookmarkStart w:id="221" w:name="_Toc352691498"/>
      <w:bookmarkStart w:id="222" w:name="_Toc152042330"/>
      <w:bookmarkStart w:id="223" w:name="_Toc369531542"/>
      <w:r>
        <w:rPr>
          <w:rFonts w:hint="eastAsia" w:ascii="宋体" w:hAnsi="宋体" w:cs="宋体"/>
          <w:color w:val="auto"/>
          <w:sz w:val="24"/>
          <w:szCs w:val="24"/>
          <w:highlight w:val="none"/>
        </w:rPr>
        <w:t>开标人、唱标人、记录人</w:t>
      </w:r>
      <w:bookmarkEnd w:id="213"/>
      <w:bookmarkEnd w:id="214"/>
      <w:bookmarkEnd w:id="215"/>
      <w:bookmarkEnd w:id="216"/>
      <w:bookmarkEnd w:id="217"/>
      <w:bookmarkEnd w:id="218"/>
      <w:bookmarkEnd w:id="219"/>
      <w:bookmarkEnd w:id="220"/>
      <w:bookmarkEnd w:id="221"/>
      <w:bookmarkEnd w:id="222"/>
      <w:bookmarkEnd w:id="223"/>
      <w:r>
        <w:rPr>
          <w:rFonts w:hint="eastAsia" w:ascii="宋体" w:hAnsi="宋体" w:cs="宋体"/>
          <w:color w:val="auto"/>
          <w:sz w:val="24"/>
          <w:szCs w:val="24"/>
          <w:highlight w:val="none"/>
        </w:rPr>
        <w:t>、监标人等有关人员姓名；</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（4）（A）检查投标文件的密封情况，按照投标人须知前附表规定的开标顺序当众开标，公布招标项目名称、投标人名称、投标保证金的递交情况、投标报价、监理服务期限及其他内容，并记录在案；</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（4）（B）投标人通过电子招标投标交易平台对已递交的电子投标文件进行解密，公布招标项目名称、投标人名称、</w:t>
      </w:r>
      <w:r>
        <w:rPr>
          <w:rFonts w:hint="eastAsia" w:ascii="宋体" w:hAnsi="宋体" w:cs="宋体"/>
          <w:strike/>
          <w:color w:val="auto"/>
          <w:sz w:val="24"/>
          <w:szCs w:val="24"/>
          <w:highlight w:val="none"/>
        </w:rPr>
        <w:t>投标保证金</w:t>
      </w:r>
      <w:r>
        <w:rPr>
          <w:rFonts w:hint="eastAsia" w:ascii="宋体" w:hAnsi="宋体" w:cs="宋体"/>
          <w:color w:val="auto"/>
          <w:sz w:val="24"/>
          <w:szCs w:val="24"/>
          <w:highlight w:val="none"/>
        </w:rPr>
        <w:t>的递交情况、投标报价、监理服务期限及其他内容，并记录在案；</w:t>
      </w:r>
    </w:p>
    <w:p>
      <w:pPr>
        <w:spacing w:line="360" w:lineRule="auto"/>
        <w:ind w:firstLine="480" w:firstLineChars="200"/>
        <w:rPr>
          <w:rFonts w:hint="eastAsia" w:ascii="宋体" w:hAnsi="宋体" w:cs="宋体"/>
          <w:strike/>
          <w:color w:val="auto"/>
          <w:sz w:val="24"/>
          <w:szCs w:val="24"/>
          <w:highlight w:val="none"/>
        </w:rPr>
      </w:pPr>
      <w:r>
        <w:rPr>
          <w:rFonts w:hint="eastAsia" w:ascii="宋体" w:hAnsi="宋体" w:cs="宋体"/>
          <w:strike/>
          <w:color w:val="auto"/>
          <w:sz w:val="24"/>
          <w:szCs w:val="24"/>
          <w:highlight w:val="none"/>
        </w:rPr>
        <w:t>（5）（A）投标人代表、招标人代表、监标人、记录人等有关人员在开标记录上签字确认；</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（5）（B）投标人代表、招标人代表、监标人、记录人等有关人员使用本人的电子印章在开标记录上签字确认；若有关人员不签字的，不影响开标程序。</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（6）开标结束。</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24" w:name="_Toc17685"/>
      <w:bookmarkStart w:id="225" w:name="_Toc24705"/>
      <w:r>
        <w:rPr>
          <w:rFonts w:hint="eastAsia" w:ascii="宋体" w:hAnsi="宋体" w:eastAsia="宋体" w:cs="宋体"/>
          <w:color w:val="auto"/>
          <w:sz w:val="24"/>
          <w:szCs w:val="24"/>
          <w:highlight w:val="none"/>
        </w:rPr>
        <w:t>5.3 开标异议</w:t>
      </w:r>
      <w:bookmarkEnd w:id="224"/>
      <w:bookmarkEnd w:id="225"/>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投标人代表对开标有异议的，应当在开标现场提出，同时出示本人身份证原件，招标人应当当场作出答复，并制作记录。参加在线开标的，投标人应通过广交易建设工程电子开标系统提出，招标人应通过系统答复，答复后方可结束开标。</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（1）具体操作详见“广州交易集团有限公司（广州公共资源交易中心）门户网站首页-&gt;服务指南-&gt;系统帮助-&gt;操作手册-&gt;发起及受理异议操作指引”。</w:t>
      </w:r>
    </w:p>
    <w:p>
      <w:pPr>
        <w:spacing w:line="360" w:lineRule="auto"/>
        <w:ind w:firstLine="410" w:firstLineChars="171"/>
        <w:rPr>
          <w:rFonts w:hint="eastAsia" w:ascii="宋体" w:hAnsi="宋体" w:cs="宋体"/>
          <w:color w:val="auto"/>
          <w:sz w:val="24"/>
          <w:szCs w:val="24"/>
          <w:highlight w:val="none"/>
        </w:rPr>
      </w:pPr>
      <w:r>
        <w:rPr>
          <w:rFonts w:hint="eastAsia" w:ascii="宋体" w:hAnsi="宋体" w:cs="宋体"/>
          <w:color w:val="auto"/>
          <w:sz w:val="24"/>
          <w:szCs w:val="24"/>
          <w:highlight w:val="none"/>
        </w:rPr>
        <w:t>（2）投标人可登录交易平台网站向招标人提出异议申请，招标人在线处理完异议后，提出异议的投标人可以在线查询处理结果。异议处理结果仅对提出异议的投标人开放查询。投标人登录广交易平台进入“我是投标人”-选择“新建设工程交易平台”-“异议管理”-点击“新增异议”-选择要发起异议的项目。</w:t>
      </w:r>
    </w:p>
    <w:p>
      <w:pPr>
        <w:pStyle w:val="4"/>
        <w:keepNext w:val="0"/>
        <w:keepLines w:val="0"/>
        <w:spacing w:before="0" w:after="0" w:line="360" w:lineRule="auto"/>
        <w:rPr>
          <w:rFonts w:hint="eastAsia" w:ascii="宋体" w:hAnsi="宋体" w:eastAsia="宋体" w:cs="宋体"/>
          <w:color w:val="auto"/>
          <w:highlight w:val="none"/>
        </w:rPr>
      </w:pPr>
      <w:bookmarkStart w:id="226" w:name="_Toc13048"/>
      <w:bookmarkStart w:id="227" w:name="_Toc4245"/>
      <w:r>
        <w:rPr>
          <w:rFonts w:hint="eastAsia" w:ascii="宋体" w:hAnsi="宋体" w:eastAsia="宋体" w:cs="宋体"/>
          <w:color w:val="auto"/>
          <w:highlight w:val="none"/>
        </w:rPr>
        <w:t>6. 评标</w:t>
      </w:r>
      <w:bookmarkEnd w:id="226"/>
      <w:bookmarkEnd w:id="227"/>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28" w:name="_Toc7968"/>
      <w:bookmarkStart w:id="229" w:name="_Toc4950"/>
      <w:r>
        <w:rPr>
          <w:rFonts w:hint="eastAsia" w:ascii="宋体" w:hAnsi="宋体" w:eastAsia="宋体" w:cs="宋体"/>
          <w:color w:val="auto"/>
          <w:sz w:val="24"/>
          <w:szCs w:val="24"/>
          <w:highlight w:val="none"/>
        </w:rPr>
        <w:t>6.1 评标委员会</w:t>
      </w:r>
      <w:bookmarkEnd w:id="228"/>
      <w:bookmarkEnd w:id="22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6.1.1 评标由招标人依法组建的评标委员会负责。</w:t>
      </w:r>
      <w:r>
        <w:rPr>
          <w:rFonts w:hint="eastAsia" w:ascii="宋体" w:hAnsi="宋体" w:cs="宋体"/>
          <w:strike/>
          <w:color w:val="auto"/>
          <w:sz w:val="24"/>
          <w:szCs w:val="24"/>
          <w:highlight w:val="none"/>
        </w:rPr>
        <w:t>评标委员会由招标人或其委托的招标代理机构熟悉相关业务的代表，以及有关技术、经济等方面的专家组成。</w:t>
      </w:r>
      <w:r>
        <w:rPr>
          <w:rFonts w:hint="eastAsia" w:ascii="宋体" w:hAnsi="宋体" w:cs="宋体"/>
          <w:color w:val="auto"/>
          <w:sz w:val="24"/>
          <w:szCs w:val="24"/>
          <w:highlight w:val="none"/>
        </w:rPr>
        <w:t>评标委员会成员人数以及技术、经济等方面专家的确定方式见投标人须知前附表。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6.1.2 评标委员会成员有下列情形之一的，应当回避：</w:t>
      </w:r>
    </w:p>
    <w:p>
      <w:pPr>
        <w:spacing w:line="360" w:lineRule="auto"/>
        <w:ind w:firstLine="820" w:firstLineChars="342"/>
        <w:rPr>
          <w:rFonts w:hint="eastAsia" w:ascii="宋体" w:hAnsi="宋体" w:cs="宋体"/>
          <w:color w:val="auto"/>
          <w:sz w:val="24"/>
          <w:szCs w:val="24"/>
          <w:highlight w:val="none"/>
        </w:rPr>
      </w:pPr>
      <w:r>
        <w:rPr>
          <w:rFonts w:hint="eastAsia" w:ascii="宋体" w:hAnsi="宋体" w:cs="宋体"/>
          <w:color w:val="auto"/>
          <w:sz w:val="24"/>
          <w:szCs w:val="24"/>
          <w:highlight w:val="none"/>
        </w:rPr>
        <w:t>（1）投标人或投标人主要负责人的近亲属；</w:t>
      </w:r>
    </w:p>
    <w:p>
      <w:pPr>
        <w:spacing w:line="360" w:lineRule="auto"/>
        <w:ind w:firstLine="820" w:firstLineChars="342"/>
        <w:rPr>
          <w:rFonts w:hint="eastAsia" w:ascii="宋体" w:hAnsi="宋体" w:cs="宋体"/>
          <w:color w:val="auto"/>
          <w:sz w:val="24"/>
          <w:szCs w:val="24"/>
          <w:highlight w:val="none"/>
        </w:rPr>
      </w:pPr>
      <w:r>
        <w:rPr>
          <w:rFonts w:hint="eastAsia" w:ascii="宋体" w:hAnsi="宋体" w:cs="宋体"/>
          <w:color w:val="auto"/>
          <w:sz w:val="24"/>
          <w:szCs w:val="24"/>
          <w:highlight w:val="none"/>
        </w:rPr>
        <w:t>（2）项目主管部门或者行政监督部门的人员；</w:t>
      </w:r>
    </w:p>
    <w:p>
      <w:pPr>
        <w:spacing w:line="360" w:lineRule="auto"/>
        <w:ind w:firstLine="820" w:firstLineChars="342"/>
        <w:rPr>
          <w:rFonts w:hint="eastAsia" w:ascii="宋体" w:hAnsi="宋体" w:cs="宋体"/>
          <w:color w:val="auto"/>
          <w:sz w:val="24"/>
          <w:szCs w:val="24"/>
          <w:highlight w:val="none"/>
        </w:rPr>
      </w:pPr>
      <w:r>
        <w:rPr>
          <w:rFonts w:hint="eastAsia" w:ascii="宋体" w:hAnsi="宋体" w:cs="宋体"/>
          <w:color w:val="auto"/>
          <w:sz w:val="24"/>
          <w:szCs w:val="24"/>
          <w:highlight w:val="none"/>
        </w:rPr>
        <w:t>（3）与投标人有经济利益关系，可能影响对投标公正评审的；</w:t>
      </w:r>
    </w:p>
    <w:p>
      <w:pPr>
        <w:spacing w:line="360" w:lineRule="auto"/>
        <w:ind w:firstLine="820" w:firstLineChars="342"/>
        <w:rPr>
          <w:rFonts w:hint="eastAsia" w:ascii="宋体" w:hAnsi="宋体" w:cs="宋体"/>
          <w:color w:val="auto"/>
          <w:sz w:val="24"/>
          <w:szCs w:val="24"/>
          <w:highlight w:val="none"/>
        </w:rPr>
      </w:pPr>
      <w:r>
        <w:rPr>
          <w:rFonts w:hint="eastAsia" w:ascii="宋体" w:hAnsi="宋体" w:cs="宋体"/>
          <w:color w:val="auto"/>
          <w:sz w:val="24"/>
          <w:szCs w:val="24"/>
          <w:highlight w:val="none"/>
        </w:rPr>
        <w:t>（4）曾因在招标、评</w:t>
      </w:r>
      <w:bookmarkStart w:id="230" w:name="_Toc247513979"/>
      <w:bookmarkStart w:id="231" w:name="_Toc6230"/>
      <w:bookmarkStart w:id="232" w:name="_Toc384308237"/>
      <w:bookmarkStart w:id="233" w:name="_Toc247527580"/>
      <w:bookmarkStart w:id="234" w:name="_Toc369531543"/>
      <w:bookmarkStart w:id="235" w:name="_Toc144974523"/>
      <w:bookmarkStart w:id="236" w:name="_Toc352691499"/>
      <w:bookmarkStart w:id="237" w:name="_Toc361508612"/>
      <w:bookmarkStart w:id="238" w:name="_Toc152042331"/>
      <w:bookmarkStart w:id="239" w:name="_Toc152045555"/>
      <w:bookmarkStart w:id="240" w:name="_Toc300834976"/>
      <w:r>
        <w:rPr>
          <w:rFonts w:hint="eastAsia" w:ascii="宋体" w:hAnsi="宋体" w:cs="宋体"/>
          <w:color w:val="auto"/>
          <w:sz w:val="24"/>
          <w:szCs w:val="24"/>
          <w:highlight w:val="none"/>
        </w:rPr>
        <w:t>标以及其他</w:t>
      </w:r>
      <w:bookmarkEnd w:id="230"/>
      <w:bookmarkEnd w:id="231"/>
      <w:bookmarkEnd w:id="232"/>
      <w:bookmarkEnd w:id="233"/>
      <w:bookmarkEnd w:id="234"/>
      <w:bookmarkEnd w:id="235"/>
      <w:bookmarkEnd w:id="236"/>
      <w:bookmarkEnd w:id="237"/>
      <w:bookmarkEnd w:id="238"/>
      <w:bookmarkEnd w:id="239"/>
      <w:bookmarkEnd w:id="240"/>
      <w:r>
        <w:rPr>
          <w:rFonts w:hint="eastAsia" w:ascii="宋体" w:hAnsi="宋体" w:cs="宋体"/>
          <w:color w:val="auto"/>
          <w:sz w:val="24"/>
          <w:szCs w:val="24"/>
          <w:highlight w:val="none"/>
        </w:rPr>
        <w:t>与</w:t>
      </w:r>
      <w:bookmarkStart w:id="241" w:name="_Toc247527581"/>
      <w:bookmarkStart w:id="242" w:name="_Toc369531544"/>
      <w:bookmarkStart w:id="243" w:name="_Toc352691500"/>
      <w:bookmarkStart w:id="244" w:name="_Toc152042332"/>
      <w:bookmarkStart w:id="245" w:name="_Toc247513980"/>
      <w:bookmarkStart w:id="246" w:name="_Toc361508613"/>
      <w:bookmarkStart w:id="247" w:name="_Toc144974524"/>
      <w:bookmarkStart w:id="248" w:name="_Toc300834977"/>
      <w:bookmarkStart w:id="249" w:name="_Toc384308238"/>
      <w:bookmarkStart w:id="250" w:name="_Toc152045556"/>
      <w:bookmarkStart w:id="251" w:name="_Toc17703"/>
      <w:r>
        <w:rPr>
          <w:rFonts w:hint="eastAsia" w:ascii="宋体" w:hAnsi="宋体" w:cs="宋体"/>
          <w:color w:val="auto"/>
          <w:sz w:val="24"/>
          <w:szCs w:val="24"/>
          <w:highlight w:val="none"/>
        </w:rPr>
        <w:t>招标投标有关活动中从事违法行</w:t>
      </w:r>
      <w:bookmarkEnd w:id="241"/>
      <w:bookmarkEnd w:id="242"/>
      <w:bookmarkEnd w:id="243"/>
      <w:bookmarkEnd w:id="244"/>
      <w:bookmarkEnd w:id="245"/>
      <w:bookmarkEnd w:id="246"/>
      <w:bookmarkEnd w:id="247"/>
      <w:bookmarkEnd w:id="248"/>
      <w:bookmarkEnd w:id="249"/>
      <w:bookmarkEnd w:id="250"/>
      <w:bookmarkEnd w:id="251"/>
      <w:r>
        <w:rPr>
          <w:rFonts w:hint="eastAsia" w:ascii="宋体" w:hAnsi="宋体" w:cs="宋体"/>
          <w:color w:val="auto"/>
          <w:sz w:val="24"/>
          <w:szCs w:val="24"/>
          <w:highlight w:val="none"/>
        </w:rPr>
        <w:t>为而受过行政处罚或刑事处罚的；</w:t>
      </w:r>
    </w:p>
    <w:p>
      <w:pPr>
        <w:spacing w:line="360" w:lineRule="auto"/>
        <w:ind w:firstLine="820" w:firstLineChars="342"/>
        <w:rPr>
          <w:rFonts w:hint="eastAsia" w:ascii="宋体" w:hAnsi="宋体" w:cs="宋体"/>
          <w:color w:val="auto"/>
          <w:sz w:val="24"/>
          <w:szCs w:val="24"/>
          <w:highlight w:val="none"/>
        </w:rPr>
      </w:pPr>
      <w:r>
        <w:rPr>
          <w:rFonts w:hint="eastAsia" w:ascii="宋体" w:hAnsi="宋体" w:cs="宋体"/>
          <w:color w:val="auto"/>
          <w:sz w:val="24"/>
          <w:szCs w:val="24"/>
          <w:highlight w:val="none"/>
        </w:rPr>
        <w:t>（5）与投标人有其他利害关系。</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52" w:name="_Toc3800"/>
      <w:bookmarkStart w:id="253" w:name="_Toc24794"/>
      <w:r>
        <w:rPr>
          <w:rFonts w:hint="eastAsia" w:ascii="宋体" w:hAnsi="宋体" w:eastAsia="宋体" w:cs="宋体"/>
          <w:color w:val="auto"/>
          <w:sz w:val="24"/>
          <w:szCs w:val="24"/>
          <w:highlight w:val="none"/>
        </w:rPr>
        <w:t>6.2 评标原则</w:t>
      </w:r>
      <w:bookmarkEnd w:id="252"/>
      <w:bookmarkEnd w:id="25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评标活动遵循公平、公正、科学和择优的原</w:t>
      </w:r>
      <w:bookmarkStart w:id="254" w:name="_Toc361508614"/>
      <w:bookmarkStart w:id="255" w:name="_Toc384308239"/>
      <w:bookmarkStart w:id="256" w:name="_Toc18949"/>
      <w:bookmarkStart w:id="257" w:name="_Toc152042333"/>
      <w:bookmarkStart w:id="258" w:name="_Toc352691501"/>
      <w:bookmarkStart w:id="259" w:name="_Toc300834978"/>
      <w:bookmarkStart w:id="260" w:name="_Toc369531545"/>
      <w:bookmarkStart w:id="261" w:name="_Toc152045557"/>
      <w:bookmarkStart w:id="262" w:name="_Toc247527582"/>
      <w:bookmarkStart w:id="263" w:name="_Toc144974525"/>
      <w:bookmarkStart w:id="264" w:name="_Toc247513981"/>
      <w:r>
        <w:rPr>
          <w:rFonts w:hint="eastAsia" w:ascii="宋体" w:hAnsi="宋体" w:cs="宋体"/>
          <w:color w:val="auto"/>
          <w:sz w:val="24"/>
          <w:szCs w:val="24"/>
          <w:highlight w:val="none"/>
        </w:rPr>
        <w:t>则。</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65" w:name="_Toc13960"/>
      <w:bookmarkStart w:id="266" w:name="_Toc13935"/>
      <w:r>
        <w:rPr>
          <w:rFonts w:hint="eastAsia" w:ascii="宋体" w:hAnsi="宋体" w:eastAsia="宋体" w:cs="宋体"/>
          <w:color w:val="auto"/>
          <w:sz w:val="24"/>
          <w:szCs w:val="24"/>
          <w:highlight w:val="none"/>
        </w:rPr>
        <w:t>6.3 评标</w:t>
      </w:r>
      <w:bookmarkEnd w:id="265"/>
      <w:bookmarkEnd w:id="266"/>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w:t>
      </w:r>
      <w:bookmarkEnd w:id="254"/>
      <w:bookmarkEnd w:id="255"/>
      <w:bookmarkEnd w:id="256"/>
      <w:bookmarkEnd w:id="257"/>
      <w:bookmarkEnd w:id="258"/>
      <w:bookmarkEnd w:id="259"/>
      <w:bookmarkEnd w:id="260"/>
      <w:bookmarkEnd w:id="261"/>
      <w:bookmarkEnd w:id="262"/>
      <w:bookmarkEnd w:id="263"/>
      <w:bookmarkEnd w:id="264"/>
      <w:r>
        <w:rPr>
          <w:rFonts w:hint="eastAsia" w:ascii="宋体" w:hAnsi="宋体" w:cs="宋体"/>
          <w:color w:val="auto"/>
          <w:sz w:val="24"/>
          <w:szCs w:val="24"/>
          <w:highlight w:val="none"/>
        </w:rPr>
        <w:t>.3.1评标委员会按照第三章“评标办法”规定的方法、评审因素、标准和程序对投标文件进行评审。第三章“评标办法”没有规定的方法、评审因素和标准，不作为评标依据。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6.3.2评标完成后，评标委员会应当向招标人提交书面评标报告和中标候选人名单。评标委员会推荐中标</w:t>
      </w:r>
      <w:bookmarkStart w:id="267" w:name="_Toc144974526"/>
      <w:bookmarkStart w:id="268" w:name="_Toc361508615"/>
      <w:bookmarkStart w:id="269" w:name="_Toc352691502"/>
      <w:bookmarkStart w:id="270" w:name="_Toc152042334"/>
      <w:bookmarkStart w:id="271" w:name="_Toc247527583"/>
      <w:bookmarkStart w:id="272" w:name="_Toc300834979"/>
      <w:bookmarkStart w:id="273" w:name="_Toc152045558"/>
      <w:bookmarkStart w:id="274" w:name="_Toc369531546"/>
      <w:bookmarkStart w:id="275" w:name="_Toc384308240"/>
      <w:bookmarkStart w:id="276" w:name="_Toc247513982"/>
      <w:bookmarkStart w:id="277" w:name="_Toc12259"/>
      <w:r>
        <w:rPr>
          <w:rFonts w:hint="eastAsia" w:ascii="宋体" w:hAnsi="宋体" w:cs="宋体"/>
          <w:color w:val="auto"/>
          <w:sz w:val="24"/>
          <w:szCs w:val="24"/>
          <w:highlight w:val="none"/>
        </w:rPr>
        <w:t>候选人的人数见投标人须知前附</w:t>
      </w:r>
      <w:bookmarkEnd w:id="267"/>
      <w:bookmarkEnd w:id="268"/>
      <w:bookmarkEnd w:id="269"/>
      <w:bookmarkEnd w:id="270"/>
      <w:bookmarkEnd w:id="271"/>
      <w:bookmarkEnd w:id="272"/>
      <w:bookmarkEnd w:id="273"/>
      <w:bookmarkEnd w:id="274"/>
      <w:bookmarkEnd w:id="275"/>
      <w:bookmarkEnd w:id="276"/>
      <w:bookmarkEnd w:id="277"/>
      <w:r>
        <w:rPr>
          <w:rFonts w:hint="eastAsia" w:ascii="宋体" w:hAnsi="宋体" w:cs="宋体"/>
          <w:color w:val="auto"/>
          <w:sz w:val="24"/>
          <w:szCs w:val="24"/>
          <w:highlight w:val="none"/>
        </w:rPr>
        <w:t>表。</w:t>
      </w:r>
    </w:p>
    <w:p>
      <w:pPr>
        <w:pStyle w:val="4"/>
        <w:keepNext w:val="0"/>
        <w:keepLines w:val="0"/>
        <w:spacing w:before="0" w:after="0" w:line="360" w:lineRule="auto"/>
        <w:rPr>
          <w:rFonts w:hint="eastAsia" w:ascii="宋体" w:hAnsi="宋体" w:eastAsia="宋体" w:cs="宋体"/>
          <w:color w:val="auto"/>
          <w:highlight w:val="none"/>
        </w:rPr>
      </w:pPr>
      <w:bookmarkStart w:id="278" w:name="_Toc31770"/>
      <w:bookmarkStart w:id="279" w:name="_Toc24960"/>
      <w:r>
        <w:rPr>
          <w:rFonts w:hint="eastAsia" w:ascii="宋体" w:hAnsi="宋体" w:eastAsia="宋体" w:cs="宋体"/>
          <w:color w:val="auto"/>
          <w:highlight w:val="none"/>
        </w:rPr>
        <w:t>7. 合同授予</w:t>
      </w:r>
      <w:bookmarkEnd w:id="278"/>
      <w:bookmarkEnd w:id="279"/>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80" w:name="_Toc20992"/>
      <w:bookmarkStart w:id="281" w:name="_Toc27199"/>
      <w:r>
        <w:rPr>
          <w:rFonts w:hint="eastAsia" w:ascii="宋体" w:hAnsi="宋体" w:eastAsia="宋体" w:cs="宋体"/>
          <w:color w:val="auto"/>
          <w:sz w:val="24"/>
          <w:szCs w:val="24"/>
          <w:highlight w:val="none"/>
        </w:rPr>
        <w:t>7.1 中标候选人公示</w:t>
      </w:r>
      <w:bookmarkEnd w:id="280"/>
      <w:bookmarkEnd w:id="281"/>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招标人在收到评标报告之日起3日内，按照投标人须知前附表规定的公示媒介和期限公示中标候选人，公示期3天（最后一天为工作天）。</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82" w:name="_Toc11562"/>
      <w:bookmarkStart w:id="283" w:name="_Toc9184"/>
      <w:r>
        <w:rPr>
          <w:rFonts w:hint="eastAsia" w:ascii="宋体" w:hAnsi="宋体" w:eastAsia="宋体" w:cs="宋体"/>
          <w:color w:val="auto"/>
          <w:sz w:val="24"/>
          <w:szCs w:val="24"/>
          <w:highlight w:val="none"/>
        </w:rPr>
        <w:t>7.2 评标结果异议</w:t>
      </w:r>
      <w:bookmarkEnd w:id="282"/>
      <w:bookmarkEnd w:id="283"/>
    </w:p>
    <w:p>
      <w:pPr>
        <w:spacing w:after="0" w:line="360" w:lineRule="auto"/>
        <w:ind w:firstLine="480" w:firstLineChars="200"/>
        <w:rPr>
          <w:rFonts w:hint="eastAsia" w:ascii="宋体" w:hAnsi="宋体" w:cs="宋体"/>
          <w:color w:val="auto"/>
          <w:sz w:val="24"/>
          <w:szCs w:val="24"/>
          <w:highlight w:val="none"/>
        </w:rPr>
      </w:pPr>
      <w:r>
        <w:rPr>
          <w:rFonts w:hint="eastAsia" w:ascii="宋体" w:hAnsi="宋体"/>
          <w:color w:val="auto"/>
          <w:sz w:val="24"/>
          <w:szCs w:val="24"/>
        </w:rPr>
        <w:t>投标人或者其他利害关系人对评标结果有异议的，应当在中标候选人公示期间提出，可以通过线下或线上的形式提出异议。</w:t>
      </w:r>
      <w:r>
        <w:rPr>
          <w:rFonts w:hint="eastAsia" w:ascii="宋体" w:hAnsi="宋体"/>
          <w:color w:val="auto"/>
          <w:sz w:val="24"/>
          <w:szCs w:val="24"/>
          <w:u w:val="single"/>
        </w:rPr>
        <w:t>线上提出异议的，应通过交易平台进行提交，</w:t>
      </w:r>
      <w:r>
        <w:rPr>
          <w:rFonts w:ascii="宋体" w:hAnsi="宋体" w:cs="宋体"/>
          <w:color w:val="auto"/>
          <w:sz w:val="24"/>
          <w:szCs w:val="24"/>
        </w:rPr>
        <w:t>招标人授权招标代理机构工作人员使用招标代理机构数字证书登录交易平台答复异议，异议答复是招标人真实意思表示</w:t>
      </w:r>
      <w:r>
        <w:rPr>
          <w:rFonts w:hint="eastAsia" w:ascii="宋体" w:hAnsi="宋体"/>
          <w:color w:val="auto"/>
          <w:sz w:val="24"/>
          <w:szCs w:val="24"/>
        </w:rPr>
        <w:t>。具体按照交易平台相关指南进行操作。</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84" w:name="_Toc26195"/>
      <w:bookmarkStart w:id="285" w:name="_Toc21260"/>
      <w:r>
        <w:rPr>
          <w:rFonts w:hint="eastAsia" w:ascii="宋体" w:hAnsi="宋体" w:eastAsia="宋体" w:cs="宋体"/>
          <w:color w:val="auto"/>
          <w:sz w:val="24"/>
          <w:szCs w:val="24"/>
          <w:highlight w:val="none"/>
        </w:rPr>
        <w:t>7.3 中标候选人履约能力审查</w:t>
      </w:r>
      <w:bookmarkEnd w:id="284"/>
      <w:bookmarkEnd w:id="285"/>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86" w:name="_Toc20519"/>
      <w:bookmarkStart w:id="287" w:name="_Toc4470"/>
      <w:r>
        <w:rPr>
          <w:rFonts w:hint="eastAsia" w:ascii="宋体" w:hAnsi="宋体" w:eastAsia="宋体" w:cs="宋体"/>
          <w:color w:val="auto"/>
          <w:sz w:val="24"/>
          <w:szCs w:val="24"/>
          <w:highlight w:val="none"/>
        </w:rPr>
        <w:t>7.4 定标</w:t>
      </w:r>
      <w:bookmarkEnd w:id="286"/>
      <w:bookmarkEnd w:id="28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按照投标人须知前附表的规定，招标人或招标人授权的评标委员会依法确定中标人。</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88" w:name="_Toc886"/>
      <w:bookmarkStart w:id="289" w:name="_Toc16786"/>
      <w:r>
        <w:rPr>
          <w:rFonts w:hint="eastAsia" w:ascii="宋体" w:hAnsi="宋体" w:eastAsia="宋体" w:cs="宋体"/>
          <w:color w:val="auto"/>
          <w:sz w:val="24"/>
          <w:szCs w:val="24"/>
          <w:highlight w:val="none"/>
        </w:rPr>
        <w:t>7.5 中标通知</w:t>
      </w:r>
      <w:bookmarkEnd w:id="288"/>
      <w:bookmarkEnd w:id="28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在本章第3.3款规定的投标有效期内，招标人以书面形式向中标人发出中标</w:t>
      </w:r>
      <w:bookmarkStart w:id="290" w:name="_Toc384308244"/>
      <w:bookmarkStart w:id="291" w:name="_Toc369531550"/>
      <w:bookmarkStart w:id="292" w:name="_Toc5668"/>
      <w:bookmarkStart w:id="293" w:name="_Toc352691506"/>
      <w:bookmarkStart w:id="294" w:name="_Toc300834983"/>
      <w:bookmarkStart w:id="295" w:name="_Toc361508619"/>
      <w:r>
        <w:rPr>
          <w:rFonts w:hint="eastAsia" w:ascii="宋体" w:hAnsi="宋体" w:cs="宋体"/>
          <w:color w:val="auto"/>
          <w:sz w:val="24"/>
          <w:szCs w:val="24"/>
          <w:highlight w:val="none"/>
        </w:rPr>
        <w:t>通知书，同时将中</w:t>
      </w:r>
      <w:bookmarkEnd w:id="290"/>
      <w:bookmarkEnd w:id="291"/>
      <w:bookmarkEnd w:id="292"/>
      <w:bookmarkEnd w:id="293"/>
      <w:bookmarkEnd w:id="294"/>
      <w:bookmarkEnd w:id="295"/>
      <w:r>
        <w:rPr>
          <w:rFonts w:hint="eastAsia" w:ascii="宋体" w:hAnsi="宋体" w:cs="宋体"/>
          <w:color w:val="auto"/>
          <w:sz w:val="24"/>
          <w:szCs w:val="24"/>
          <w:highlight w:val="none"/>
        </w:rPr>
        <w:t>标结果通知未中标的投标人。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出中标通知书前，中标人应未被纳入失信联合惩戒名单，失信联合惩戒名单以“信用广州”网站公布的名单为准。否则招标人取消其中标资格，招标人可以按照评标委员会提出的中标候选人名单排序依次确定其他中标候选人为中标人。</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96" w:name="_Toc11627"/>
      <w:bookmarkStart w:id="297" w:name="_Toc22862"/>
      <w:r>
        <w:rPr>
          <w:rFonts w:hint="eastAsia" w:ascii="宋体" w:hAnsi="宋体" w:eastAsia="宋体" w:cs="宋体"/>
          <w:color w:val="auto"/>
          <w:sz w:val="24"/>
          <w:szCs w:val="24"/>
          <w:highlight w:val="none"/>
        </w:rPr>
        <w:t>7.6 履约保证金</w:t>
      </w:r>
      <w:bookmarkEnd w:id="296"/>
      <w:bookmarkEnd w:id="297"/>
      <w:r>
        <w:rPr>
          <w:rFonts w:hint="eastAsia" w:ascii="宋体" w:hAnsi="宋体" w:eastAsia="宋体" w:cs="宋体"/>
          <w:color w:val="auto"/>
          <w:sz w:val="24"/>
          <w:szCs w:val="24"/>
          <w:highlight w:val="none"/>
          <w:u w:val="single"/>
        </w:rPr>
        <w:t>（本条不适用）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5%。联合体中标的，其履约保证金以联合体各方或者联合体中牵头方的名义提交。</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7.6.2 中标人不能按本章第7.6.1项要求提交履约保证金的，视为放弃中标，其投标保证金不予退还，给招标人造成的损失超过投标保证金数额的，中标人还应当对超过部分予以赔偿。</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298" w:name="_Toc9236"/>
      <w:bookmarkStart w:id="299" w:name="_Toc22684"/>
      <w:r>
        <w:rPr>
          <w:rFonts w:hint="eastAsia" w:ascii="宋体" w:hAnsi="宋体" w:eastAsia="宋体" w:cs="宋体"/>
          <w:color w:val="auto"/>
          <w:sz w:val="24"/>
          <w:szCs w:val="24"/>
          <w:highlight w:val="none"/>
        </w:rPr>
        <w:t>7.7 签订合同</w:t>
      </w:r>
      <w:bookmarkEnd w:id="298"/>
      <w:bookmarkEnd w:id="29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7.7.3联合体中标的，联合体各方应当共同与招标人签订合同，就中标项目向招标人承担连带责任。</w:t>
      </w:r>
    </w:p>
    <w:p>
      <w:pPr>
        <w:pStyle w:val="4"/>
        <w:keepNext w:val="0"/>
        <w:keepLines w:val="0"/>
        <w:spacing w:before="0" w:after="0" w:line="360" w:lineRule="auto"/>
        <w:rPr>
          <w:rFonts w:hint="eastAsia" w:ascii="宋体" w:hAnsi="宋体" w:eastAsia="宋体" w:cs="宋体"/>
          <w:color w:val="auto"/>
          <w:highlight w:val="none"/>
        </w:rPr>
      </w:pPr>
      <w:bookmarkStart w:id="300" w:name="_Toc361508627"/>
      <w:bookmarkStart w:id="301" w:name="_Toc384308252"/>
      <w:bookmarkStart w:id="302" w:name="_Toc24067"/>
      <w:bookmarkStart w:id="303" w:name="_Toc8460"/>
      <w:bookmarkStart w:id="304" w:name="_Toc19459"/>
      <w:bookmarkStart w:id="305" w:name="_Toc144974536"/>
      <w:bookmarkStart w:id="306" w:name="_Toc300834991"/>
      <w:bookmarkStart w:id="307" w:name="_Toc247513992"/>
      <w:bookmarkStart w:id="308" w:name="_Toc152042344"/>
      <w:bookmarkStart w:id="309" w:name="_Toc247527593"/>
      <w:bookmarkStart w:id="310" w:name="_Toc152045568"/>
      <w:r>
        <w:rPr>
          <w:rFonts w:hint="eastAsia" w:ascii="宋体" w:hAnsi="宋体" w:eastAsia="宋体" w:cs="宋体"/>
          <w:color w:val="auto"/>
          <w:highlight w:val="none"/>
        </w:rPr>
        <w:t>8.</w:t>
      </w:r>
      <w:bookmarkEnd w:id="300"/>
      <w:bookmarkEnd w:id="301"/>
      <w:bookmarkEnd w:id="302"/>
      <w:r>
        <w:rPr>
          <w:rFonts w:hint="eastAsia" w:ascii="宋体" w:hAnsi="宋体" w:eastAsia="宋体" w:cs="宋体"/>
          <w:color w:val="auto"/>
          <w:highlight w:val="none"/>
        </w:rPr>
        <w:t>纪律和监督</w:t>
      </w:r>
      <w:bookmarkEnd w:id="303"/>
      <w:bookmarkEnd w:id="304"/>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11" w:name="_Toc23080"/>
      <w:bookmarkStart w:id="312" w:name="_Toc16607"/>
      <w:r>
        <w:rPr>
          <w:rFonts w:hint="eastAsia" w:ascii="宋体" w:hAnsi="宋体" w:eastAsia="宋体" w:cs="宋体"/>
          <w:color w:val="auto"/>
          <w:sz w:val="24"/>
          <w:szCs w:val="24"/>
          <w:highlight w:val="none"/>
        </w:rPr>
        <w:t>8.1 对招标人的纪律要求</w:t>
      </w:r>
      <w:bookmarkEnd w:id="311"/>
      <w:bookmarkEnd w:id="312"/>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招标人不得泄露招标投标活动中应当保密的情况和资料，不得与投标人串通损害国家利益、社会公共利益或者他人合法权益。</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13" w:name="_Toc7775"/>
      <w:bookmarkStart w:id="314" w:name="_Toc26176"/>
      <w:r>
        <w:rPr>
          <w:rFonts w:hint="eastAsia" w:ascii="宋体" w:hAnsi="宋体" w:eastAsia="宋体" w:cs="宋体"/>
          <w:color w:val="auto"/>
          <w:sz w:val="24"/>
          <w:szCs w:val="24"/>
          <w:highlight w:val="none"/>
        </w:rPr>
        <w:t>8.2 对投标人的纪律要求</w:t>
      </w:r>
      <w:bookmarkEnd w:id="313"/>
      <w:bookmarkEnd w:id="314"/>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15" w:name="_Toc31006"/>
      <w:bookmarkStart w:id="316" w:name="_Toc4003"/>
      <w:r>
        <w:rPr>
          <w:rFonts w:hint="eastAsia" w:ascii="宋体" w:hAnsi="宋体" w:eastAsia="宋体" w:cs="宋体"/>
          <w:color w:val="auto"/>
          <w:sz w:val="24"/>
          <w:szCs w:val="24"/>
          <w:highlight w:val="none"/>
        </w:rPr>
        <w:t>8.3 对评标委员会成员的纪律要求</w:t>
      </w:r>
      <w:bookmarkEnd w:id="315"/>
      <w:bookmarkEnd w:id="316"/>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评标委员会成员不得收受他人的财物或者其他好处，不得向他人透露对投标文件的评审</w:t>
      </w:r>
      <w:bookmarkStart w:id="317" w:name="_Toc13644"/>
      <w:bookmarkStart w:id="318" w:name="_Toc369531559"/>
      <w:bookmarkStart w:id="319" w:name="_Toc361508628"/>
      <w:bookmarkStart w:id="320" w:name="_Toc352691515"/>
      <w:bookmarkStart w:id="321" w:name="_Toc384308253"/>
      <w:r>
        <w:rPr>
          <w:rFonts w:hint="eastAsia" w:ascii="宋体" w:hAnsi="宋体" w:cs="宋体"/>
          <w:color w:val="auto"/>
          <w:sz w:val="24"/>
          <w:szCs w:val="24"/>
          <w:highlight w:val="none"/>
        </w:rPr>
        <w:t>和比较、中标候选人</w:t>
      </w:r>
      <w:bookmarkEnd w:id="305"/>
      <w:bookmarkEnd w:id="306"/>
      <w:bookmarkEnd w:id="307"/>
      <w:bookmarkEnd w:id="308"/>
      <w:bookmarkEnd w:id="309"/>
      <w:bookmarkEnd w:id="310"/>
      <w:bookmarkEnd w:id="317"/>
      <w:bookmarkEnd w:id="318"/>
      <w:bookmarkEnd w:id="319"/>
      <w:bookmarkEnd w:id="320"/>
      <w:bookmarkEnd w:id="321"/>
      <w:r>
        <w:rPr>
          <w:rFonts w:hint="eastAsia" w:ascii="宋体" w:hAnsi="宋体" w:cs="宋体"/>
          <w:color w:val="auto"/>
          <w:sz w:val="24"/>
          <w:szCs w:val="24"/>
          <w:highlight w:val="none"/>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22" w:name="_Toc11224"/>
      <w:bookmarkStart w:id="323" w:name="_Toc3751"/>
      <w:r>
        <w:rPr>
          <w:rFonts w:hint="eastAsia" w:ascii="宋体" w:hAnsi="宋体" w:eastAsia="宋体" w:cs="宋体"/>
          <w:color w:val="auto"/>
          <w:sz w:val="24"/>
          <w:szCs w:val="24"/>
          <w:highlight w:val="none"/>
        </w:rPr>
        <w:t>8.4 对与评标活动有关的工作人员的纪律要求</w:t>
      </w:r>
      <w:bookmarkEnd w:id="322"/>
      <w:bookmarkEnd w:id="32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与评标活动有关的工作人员不得收受他人的财物或者其他好处，不得向他人透露对投标文件</w:t>
      </w:r>
      <w:bookmarkStart w:id="324" w:name="_Toc144974537"/>
      <w:bookmarkStart w:id="325" w:name="_Toc361508629"/>
      <w:bookmarkStart w:id="326" w:name="_Toc352691516"/>
      <w:bookmarkStart w:id="327" w:name="_Toc300834992"/>
      <w:bookmarkStart w:id="328" w:name="_Toc247513993"/>
      <w:bookmarkStart w:id="329" w:name="_Toc152045569"/>
      <w:bookmarkStart w:id="330" w:name="_Toc384308254"/>
      <w:bookmarkStart w:id="331" w:name="_Toc19429"/>
      <w:bookmarkStart w:id="332" w:name="_Toc369531560"/>
      <w:bookmarkStart w:id="333" w:name="_Toc247527594"/>
      <w:bookmarkStart w:id="334" w:name="_Toc152042345"/>
      <w:r>
        <w:rPr>
          <w:rFonts w:hint="eastAsia" w:ascii="宋体" w:hAnsi="宋体" w:cs="宋体"/>
          <w:color w:val="auto"/>
          <w:sz w:val="24"/>
          <w:szCs w:val="24"/>
          <w:highlight w:val="none"/>
        </w:rPr>
        <w:t>的评审和比较、中标</w:t>
      </w:r>
      <w:bookmarkEnd w:id="324"/>
      <w:bookmarkEnd w:id="325"/>
      <w:bookmarkEnd w:id="326"/>
      <w:bookmarkEnd w:id="327"/>
      <w:bookmarkEnd w:id="328"/>
      <w:bookmarkEnd w:id="329"/>
      <w:bookmarkEnd w:id="330"/>
      <w:bookmarkEnd w:id="331"/>
      <w:bookmarkEnd w:id="332"/>
      <w:bookmarkEnd w:id="333"/>
      <w:bookmarkEnd w:id="334"/>
      <w:r>
        <w:rPr>
          <w:rFonts w:hint="eastAsia" w:ascii="宋体" w:hAnsi="宋体" w:cs="宋体"/>
          <w:color w:val="auto"/>
          <w:sz w:val="24"/>
          <w:szCs w:val="24"/>
          <w:highlight w:val="none"/>
        </w:rPr>
        <w:t>候选人的推荐情况以及评标有关的其他情况。在评标活动中，与评标活动有关的工作人员不得擅离职守，影响评标程序正常进行。</w:t>
      </w:r>
    </w:p>
    <w:p>
      <w:pPr>
        <w:pStyle w:val="5"/>
        <w:keepNext w:val="0"/>
        <w:keepLines w:val="0"/>
        <w:spacing w:before="0" w:after="0" w:line="360" w:lineRule="auto"/>
        <w:ind w:firstLine="118"/>
        <w:rPr>
          <w:rFonts w:hint="eastAsia" w:ascii="宋体" w:hAnsi="宋体" w:eastAsia="宋体" w:cs="宋体"/>
          <w:color w:val="auto"/>
          <w:sz w:val="24"/>
          <w:szCs w:val="24"/>
          <w:highlight w:val="none"/>
        </w:rPr>
      </w:pPr>
      <w:bookmarkStart w:id="335" w:name="_Toc24952"/>
      <w:bookmarkStart w:id="336" w:name="_Toc13185"/>
      <w:r>
        <w:rPr>
          <w:rFonts w:hint="eastAsia" w:ascii="宋体" w:hAnsi="宋体" w:eastAsia="宋体" w:cs="宋体"/>
          <w:color w:val="auto"/>
          <w:sz w:val="24"/>
          <w:szCs w:val="24"/>
          <w:highlight w:val="none"/>
        </w:rPr>
        <w:t>8.5 投诉</w:t>
      </w:r>
      <w:bookmarkEnd w:id="335"/>
      <w:bookmarkEnd w:id="336"/>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8.5.2 投标人或者其他利害关系人对招标文件、开标和评标结果提出投诉的，应当按照投标人须知第2.4款、第5.3款和第7.2款的规定先向招标人提出异议。异议答复期间</w:t>
      </w:r>
      <w:bookmarkStart w:id="337" w:name="_Toc144974538"/>
      <w:bookmarkStart w:id="338" w:name="_Toc12776"/>
      <w:bookmarkStart w:id="339" w:name="_Toc152042346"/>
      <w:bookmarkStart w:id="340" w:name="_Toc300834993"/>
      <w:bookmarkStart w:id="341" w:name="_Toc384308255"/>
      <w:bookmarkStart w:id="342" w:name="_Toc247527595"/>
      <w:bookmarkStart w:id="343" w:name="_Toc369531561"/>
      <w:bookmarkStart w:id="344" w:name="_Toc361508630"/>
      <w:bookmarkStart w:id="345" w:name="_Toc247513994"/>
      <w:bookmarkStart w:id="346" w:name="_Toc152045570"/>
      <w:bookmarkStart w:id="347" w:name="_Toc352691517"/>
      <w:r>
        <w:rPr>
          <w:rFonts w:hint="eastAsia" w:ascii="宋体" w:hAnsi="宋体" w:cs="宋体"/>
          <w:color w:val="auto"/>
          <w:sz w:val="24"/>
          <w:szCs w:val="24"/>
          <w:highlight w:val="none"/>
        </w:rPr>
        <w:t>不计算在第8.5.</w:t>
      </w:r>
      <w:bookmarkEnd w:id="337"/>
      <w:bookmarkEnd w:id="338"/>
      <w:bookmarkEnd w:id="339"/>
      <w:bookmarkEnd w:id="340"/>
      <w:bookmarkEnd w:id="341"/>
      <w:bookmarkEnd w:id="342"/>
      <w:bookmarkEnd w:id="343"/>
      <w:bookmarkEnd w:id="344"/>
      <w:bookmarkEnd w:id="345"/>
      <w:bookmarkEnd w:id="346"/>
      <w:bookmarkEnd w:id="347"/>
      <w:r>
        <w:rPr>
          <w:rFonts w:hint="eastAsia" w:ascii="宋体" w:hAnsi="宋体" w:cs="宋体"/>
          <w:color w:val="auto"/>
          <w:sz w:val="24"/>
          <w:szCs w:val="24"/>
          <w:highlight w:val="none"/>
        </w:rPr>
        <w:t>1项规定的期限内。</w:t>
      </w:r>
    </w:p>
    <w:p>
      <w:pPr>
        <w:pStyle w:val="4"/>
        <w:keepNext w:val="0"/>
        <w:keepLines w:val="0"/>
        <w:spacing w:before="0" w:after="0" w:line="360" w:lineRule="auto"/>
        <w:rPr>
          <w:rFonts w:hint="eastAsia" w:ascii="宋体" w:hAnsi="宋体" w:eastAsia="宋体" w:cs="宋体"/>
          <w:color w:val="auto"/>
          <w:highlight w:val="none"/>
        </w:rPr>
      </w:pPr>
      <w:bookmarkStart w:id="348" w:name="_Toc25843"/>
      <w:bookmarkStart w:id="349" w:name="_Toc21279"/>
      <w:bookmarkStart w:id="350" w:name="_Toc477134992"/>
      <w:r>
        <w:rPr>
          <w:rFonts w:hint="eastAsia" w:ascii="宋体" w:hAnsi="宋体" w:eastAsia="宋体" w:cs="宋体"/>
          <w:color w:val="auto"/>
          <w:highlight w:val="none"/>
        </w:rPr>
        <w:t>9. 是否采用电子招标投标</w:t>
      </w:r>
      <w:bookmarkEnd w:id="348"/>
      <w:bookmarkEnd w:id="349"/>
      <w:bookmarkEnd w:id="350"/>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本招标项目是否采用电子招标投标方式，见投标人须知前附表。</w:t>
      </w:r>
    </w:p>
    <w:p>
      <w:pPr>
        <w:pStyle w:val="4"/>
        <w:keepNext w:val="0"/>
        <w:keepLines w:val="0"/>
        <w:spacing w:before="0" w:after="0" w:line="360" w:lineRule="auto"/>
        <w:rPr>
          <w:rFonts w:hint="eastAsia" w:ascii="宋体" w:hAnsi="宋体" w:eastAsia="宋体" w:cs="宋体"/>
          <w:color w:val="auto"/>
          <w:highlight w:val="none"/>
        </w:rPr>
      </w:pPr>
      <w:bookmarkStart w:id="351" w:name="_Toc4810"/>
      <w:bookmarkStart w:id="352" w:name="_Toc8079"/>
      <w:r>
        <w:rPr>
          <w:rFonts w:hint="eastAsia" w:ascii="宋体" w:hAnsi="宋体" w:eastAsia="宋体" w:cs="宋体"/>
          <w:color w:val="auto"/>
          <w:highlight w:val="none"/>
        </w:rPr>
        <w:t>10. 需要补充的其他内容</w:t>
      </w:r>
      <w:bookmarkEnd w:id="21"/>
      <w:bookmarkEnd w:id="22"/>
      <w:bookmarkEnd w:id="23"/>
      <w:bookmarkEnd w:id="24"/>
      <w:bookmarkEnd w:id="351"/>
      <w:r>
        <w:rPr>
          <w:rFonts w:hint="eastAsia" w:ascii="宋体" w:hAnsi="宋体" w:eastAsia="宋体" w:cs="宋体"/>
          <w:color w:val="auto"/>
          <w:highlight w:val="none"/>
        </w:rPr>
        <w:br w:type="page"/>
      </w:r>
      <w:bookmarkStart w:id="353" w:name="_Toc527028503"/>
      <w:r>
        <w:rPr>
          <w:rFonts w:hint="eastAsia" w:ascii="宋体" w:hAnsi="宋体" w:eastAsia="宋体" w:cs="宋体"/>
          <w:color w:val="auto"/>
          <w:highlight w:val="none"/>
        </w:rPr>
        <w:t>附件一：开标记录表</w:t>
      </w:r>
      <w:bookmarkEnd w:id="352"/>
      <w:bookmarkEnd w:id="353"/>
    </w:p>
    <w:p>
      <w:pPr>
        <w:spacing w:line="440" w:lineRule="exact"/>
        <w:jc w:val="center"/>
        <w:rPr>
          <w:rFonts w:hint="eastAsia" w:ascii="宋体" w:hAnsi="宋体" w:cs="宋体"/>
          <w:color w:val="auto"/>
          <w:sz w:val="28"/>
          <w:highlight w:val="none"/>
        </w:rPr>
      </w:pPr>
      <w:r>
        <w:rPr>
          <w:rFonts w:hint="eastAsia" w:ascii="宋体" w:hAnsi="宋体" w:cs="宋体"/>
          <w:color w:val="auto"/>
          <w:sz w:val="28"/>
          <w:highlight w:val="none"/>
        </w:rPr>
        <w:t>开标记录表</w:t>
      </w:r>
    </w:p>
    <w:p>
      <w:pPr>
        <w:spacing w:before="120" w:beforeLines="50" w:after="120" w:afterLines="50" w:line="400" w:lineRule="exact"/>
        <w:ind w:right="420"/>
        <w:jc w:val="right"/>
        <w:rPr>
          <w:rFonts w:hint="eastAsia" w:ascii="宋体" w:hAnsi="宋体" w:cs="宋体"/>
          <w:color w:val="auto"/>
          <w:highlight w:val="none"/>
        </w:rPr>
      </w:pPr>
      <w:r>
        <w:rPr>
          <w:rFonts w:hint="eastAsia" w:ascii="宋体" w:hAnsi="宋体" w:cs="宋体"/>
          <w:color w:val="auto"/>
          <w:highlight w:val="none"/>
        </w:rPr>
        <w:t>开标时间：</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highlight w:val="none"/>
          <w:u w:val="single"/>
        </w:rPr>
        <w:t xml:space="preserve">         </w:t>
      </w:r>
      <w:r>
        <w:rPr>
          <w:rFonts w:hint="eastAsia" w:ascii="宋体" w:hAnsi="宋体" w:cs="宋体"/>
          <w:color w:val="auto"/>
          <w:highlight w:val="none"/>
        </w:rPr>
        <w:t>时</w:t>
      </w:r>
      <w:r>
        <w:rPr>
          <w:rFonts w:hint="eastAsia" w:ascii="宋体" w:hAnsi="宋体" w:cs="宋体"/>
          <w:color w:val="auto"/>
          <w:highlight w:val="none"/>
          <w:u w:val="single"/>
        </w:rPr>
        <w:t xml:space="preserve">         </w:t>
      </w:r>
      <w:r>
        <w:rPr>
          <w:rFonts w:hint="eastAsia" w:ascii="宋体" w:hAnsi="宋体" w:cs="宋体"/>
          <w:color w:val="auto"/>
          <w:highlight w:val="none"/>
        </w:rPr>
        <w:t>分</w:t>
      </w:r>
    </w:p>
    <w:p>
      <w:pPr>
        <w:pStyle w:val="2"/>
        <w:rPr>
          <w:rFonts w:hint="eastAsia" w:ascii="宋体" w:hAnsi="宋体" w:cs="宋体"/>
          <w:color w:val="auto"/>
          <w:highlight w:val="none"/>
        </w:rPr>
      </w:pPr>
    </w:p>
    <w:tbl>
      <w:tblPr>
        <w:tblStyle w:val="22"/>
        <w:tblW w:w="0" w:type="auto"/>
        <w:jc w:val="center"/>
        <w:tblLayout w:type="fixed"/>
        <w:tblCellMar>
          <w:top w:w="0" w:type="dxa"/>
          <w:left w:w="108" w:type="dxa"/>
          <w:bottom w:w="0" w:type="dxa"/>
          <w:right w:w="108" w:type="dxa"/>
        </w:tblCellMar>
      </w:tblPr>
      <w:tblGrid>
        <w:gridCol w:w="639"/>
        <w:gridCol w:w="1106"/>
        <w:gridCol w:w="1106"/>
        <w:gridCol w:w="1265"/>
        <w:gridCol w:w="1106"/>
        <w:gridCol w:w="1106"/>
        <w:gridCol w:w="1106"/>
        <w:gridCol w:w="1106"/>
        <w:gridCol w:w="1107"/>
      </w:tblGrid>
      <w:tr>
        <w:tblPrEx>
          <w:tblCellMar>
            <w:top w:w="0" w:type="dxa"/>
            <w:left w:w="108" w:type="dxa"/>
            <w:bottom w:w="0" w:type="dxa"/>
            <w:right w:w="108" w:type="dxa"/>
          </w:tblCellMar>
        </w:tblPrEx>
        <w:trPr>
          <w:trHeight w:val="1157"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序号</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投标人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s="宋体"/>
                <w:color w:val="auto"/>
                <w:sz w:val="18"/>
                <w:highlight w:val="none"/>
              </w:rPr>
            </w:pPr>
            <w:r>
              <w:rPr>
                <w:rFonts w:hint="eastAsia" w:ascii="宋体" w:hAnsi="宋体" w:cs="宋体"/>
                <w:color w:val="auto"/>
                <w:sz w:val="18"/>
                <w:highlight w:val="none"/>
              </w:rPr>
              <w:t>密封情况</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strike/>
                <w:dstrike w:val="0"/>
                <w:color w:val="auto"/>
                <w:sz w:val="18"/>
                <w:highlight w:val="none"/>
              </w:rPr>
              <w:t>投标保证金</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投标报价</w:t>
            </w:r>
          </w:p>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（元）</w:t>
            </w: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投标下浮率（%）</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总监理工程师</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机器码是否相同</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color w:val="auto"/>
                <w:sz w:val="18"/>
                <w:highlight w:val="none"/>
              </w:rPr>
            </w:pPr>
            <w:r>
              <w:rPr>
                <w:rFonts w:hint="eastAsia" w:ascii="宋体" w:hAnsi="宋体" w:cs="宋体"/>
                <w:color w:val="auto"/>
                <w:sz w:val="18"/>
                <w:highlight w:val="none"/>
              </w:rPr>
              <w:t>投标人代表签名</w:t>
            </w:r>
          </w:p>
        </w:tc>
      </w:tr>
      <w:tr>
        <w:tblPrEx>
          <w:tblCellMar>
            <w:top w:w="0" w:type="dxa"/>
            <w:left w:w="108" w:type="dxa"/>
            <w:bottom w:w="0" w:type="dxa"/>
            <w:right w:w="108" w:type="dxa"/>
          </w:tblCellMar>
        </w:tblPrEx>
        <w:trPr>
          <w:trHeight w:val="569"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8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8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69"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8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8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69"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8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26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r>
        <w:tblPrEx>
          <w:tblCellMar>
            <w:top w:w="0" w:type="dxa"/>
            <w:left w:w="108" w:type="dxa"/>
            <w:bottom w:w="0" w:type="dxa"/>
            <w:right w:w="108" w:type="dxa"/>
          </w:tblCellMar>
        </w:tblPrEx>
        <w:trPr>
          <w:trHeight w:val="588" w:hRule="atLeast"/>
          <w:jc w:val="center"/>
        </w:trPr>
        <w:tc>
          <w:tcPr>
            <w:tcW w:w="411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r>
              <w:rPr>
                <w:rFonts w:hint="eastAsia" w:ascii="宋体" w:hAnsi="宋体" w:cs="宋体"/>
                <w:color w:val="auto"/>
                <w:highlight w:val="none"/>
              </w:rPr>
              <w:t>最高投标限价：</w:t>
            </w:r>
          </w:p>
        </w:tc>
        <w:tc>
          <w:tcPr>
            <w:tcW w:w="11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c>
          <w:tcPr>
            <w:tcW w:w="442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cs="宋体"/>
                <w:color w:val="auto"/>
                <w:highlight w:val="none"/>
              </w:rPr>
            </w:pPr>
          </w:p>
        </w:tc>
      </w:tr>
    </w:tbl>
    <w:p>
      <w:pPr>
        <w:pStyle w:val="2"/>
        <w:rPr>
          <w:rFonts w:hint="eastAsia" w:ascii="宋体" w:hAnsi="宋体" w:cs="宋体"/>
          <w:color w:val="auto"/>
          <w:highlight w:val="none"/>
        </w:rPr>
      </w:pPr>
    </w:p>
    <w:p>
      <w:pPr>
        <w:pStyle w:val="2"/>
        <w:rPr>
          <w:rFonts w:hint="eastAsia" w:ascii="宋体" w:hAnsi="宋体" w:cs="宋体"/>
          <w:color w:val="auto"/>
          <w:highlight w:val="none"/>
        </w:rPr>
      </w:pPr>
    </w:p>
    <w:p>
      <w:pPr>
        <w:spacing w:line="620" w:lineRule="exact"/>
        <w:rPr>
          <w:rFonts w:hint="eastAsia" w:ascii="宋体" w:hAnsi="宋体" w:cs="宋体"/>
          <w:color w:val="auto"/>
          <w:highlight w:val="none"/>
        </w:rPr>
      </w:pPr>
      <w:r>
        <w:rPr>
          <w:rFonts w:hint="eastAsia" w:ascii="宋体" w:hAnsi="宋体" w:cs="宋体"/>
          <w:color w:val="auto"/>
          <w:highlight w:val="none"/>
        </w:rPr>
        <w:t>招标人代表：</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记录人：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监标人：</w:t>
      </w:r>
      <w:r>
        <w:rPr>
          <w:rFonts w:hint="eastAsia" w:ascii="宋体" w:hAnsi="宋体" w:cs="宋体"/>
          <w:color w:val="auto"/>
          <w:highlight w:val="none"/>
          <w:u w:val="single"/>
        </w:rPr>
        <w:t xml:space="preserve">       </w:t>
      </w:r>
    </w:p>
    <w:p>
      <w:pPr>
        <w:spacing w:line="620" w:lineRule="exact"/>
        <w:jc w:val="right"/>
        <w:rPr>
          <w:rFonts w:hint="eastAsia" w:ascii="宋体" w:hAnsi="宋体" w:cs="宋体"/>
          <w:color w:val="auto"/>
          <w:sz w:val="20"/>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spacing w:line="620" w:lineRule="exact"/>
        <w:jc w:val="left"/>
        <w:rPr>
          <w:rFonts w:hint="eastAsia" w:ascii="宋体" w:hAnsi="宋体" w:cs="宋体"/>
          <w:color w:val="auto"/>
          <w:sz w:val="20"/>
          <w:highlight w:val="none"/>
        </w:rPr>
      </w:pPr>
      <w:r>
        <w:rPr>
          <w:rFonts w:hint="eastAsia" w:ascii="宋体" w:hAnsi="宋体" w:cs="宋体"/>
          <w:color w:val="auto"/>
          <w:szCs w:val="21"/>
          <w:highlight w:val="none"/>
          <w:u w:val="single"/>
        </w:rPr>
        <w:t>本表仅供参考，具体以开标时的开标记录表为准。</w:t>
      </w:r>
    </w:p>
    <w:p>
      <w:pPr>
        <w:spacing w:line="440" w:lineRule="exact"/>
        <w:rPr>
          <w:rFonts w:hint="eastAsia" w:ascii="宋体" w:hAnsi="宋体" w:cs="宋体"/>
          <w:color w:val="auto"/>
          <w:highlight w:val="none"/>
        </w:rPr>
      </w:pPr>
    </w:p>
    <w:p>
      <w:pPr>
        <w:pStyle w:val="5"/>
        <w:keepNext w:val="0"/>
        <w:keepLines w:val="0"/>
        <w:ind w:firstLine="137"/>
        <w:rPr>
          <w:rFonts w:hint="eastAsia" w:ascii="宋体" w:hAnsi="宋体" w:eastAsia="宋体" w:cs="宋体"/>
          <w:color w:val="auto"/>
          <w:highlight w:val="none"/>
        </w:rPr>
      </w:pPr>
      <w:bookmarkStart w:id="354" w:name="_Toc527028504"/>
      <w:r>
        <w:rPr>
          <w:rFonts w:hint="eastAsia" w:ascii="宋体" w:hAnsi="宋体" w:eastAsia="宋体" w:cs="宋体"/>
          <w:color w:val="auto"/>
          <w:highlight w:val="none"/>
        </w:rPr>
        <w:br w:type="page"/>
      </w:r>
      <w:bookmarkStart w:id="355" w:name="_Toc13841"/>
      <w:r>
        <w:rPr>
          <w:rFonts w:hint="eastAsia" w:ascii="宋体" w:hAnsi="宋体" w:eastAsia="宋体" w:cs="宋体"/>
          <w:color w:val="auto"/>
          <w:highlight w:val="none"/>
        </w:rPr>
        <w:t>附件二：问题澄清通知</w:t>
      </w:r>
      <w:bookmarkEnd w:id="354"/>
      <w:bookmarkEnd w:id="355"/>
    </w:p>
    <w:p>
      <w:pPr>
        <w:spacing w:line="440" w:lineRule="exact"/>
        <w:jc w:val="center"/>
        <w:rPr>
          <w:rFonts w:hint="eastAsia" w:ascii="宋体" w:hAnsi="宋体" w:cs="宋体"/>
          <w:color w:val="auto"/>
          <w:highlight w:val="none"/>
        </w:rPr>
      </w:pPr>
    </w:p>
    <w:p>
      <w:pPr>
        <w:spacing w:line="440" w:lineRule="exact"/>
        <w:jc w:val="center"/>
        <w:rPr>
          <w:rFonts w:hint="eastAsia" w:ascii="宋体" w:hAnsi="宋体" w:cs="宋体"/>
          <w:color w:val="auto"/>
          <w:sz w:val="28"/>
          <w:highlight w:val="none"/>
        </w:rPr>
      </w:pPr>
      <w:r>
        <w:rPr>
          <w:rFonts w:hint="eastAsia" w:ascii="宋体" w:hAnsi="宋体" w:cs="宋体"/>
          <w:color w:val="auto"/>
          <w:sz w:val="28"/>
          <w:highlight w:val="none"/>
        </w:rPr>
        <w:t>问题澄清通知</w:t>
      </w:r>
    </w:p>
    <w:p>
      <w:pPr>
        <w:spacing w:line="440" w:lineRule="exact"/>
        <w:jc w:val="center"/>
        <w:rPr>
          <w:rFonts w:hint="eastAsia" w:ascii="宋体" w:hAnsi="宋体" w:cs="宋体"/>
          <w:color w:val="auto"/>
          <w:highlight w:val="none"/>
        </w:rPr>
      </w:pPr>
      <w:r>
        <w:rPr>
          <w:rFonts w:hint="eastAsia" w:ascii="宋体" w:hAnsi="宋体" w:cs="宋体"/>
          <w:color w:val="auto"/>
          <w:highlight w:val="none"/>
        </w:rPr>
        <w:t>（编号：</w:t>
      </w:r>
      <w:r>
        <w:rPr>
          <w:rFonts w:hint="eastAsia" w:ascii="宋体" w:hAnsi="宋体" w:cs="宋体"/>
          <w:color w:val="auto"/>
          <w:sz w:val="28"/>
          <w:highlight w:val="none"/>
          <w:u w:val="single"/>
        </w:rPr>
        <w:t xml:space="preserve">               </w:t>
      </w:r>
      <w:r>
        <w:rPr>
          <w:rFonts w:hint="eastAsia" w:ascii="宋体" w:hAnsi="宋体" w:cs="宋体"/>
          <w:color w:val="auto"/>
          <w:highlight w:val="none"/>
        </w:rPr>
        <w:t>）</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（投标人名称）：</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r>
        <w:rPr>
          <w:rFonts w:hint="eastAsia" w:ascii="宋体" w:hAnsi="宋体" w:cs="宋体"/>
          <w:color w:val="auto"/>
          <w:highlight w:val="none"/>
        </w:rPr>
        <w:t>　　评标委员会对你方的投标文件进行了仔细的审查，现需你方对下列问题以书</w:t>
      </w:r>
      <w:bookmarkStart w:id="356" w:name="_Toc247514000"/>
      <w:bookmarkStart w:id="357" w:name="_Toc361508634"/>
      <w:bookmarkStart w:id="358" w:name="_Toc247527601"/>
      <w:bookmarkStart w:id="359" w:name="_Toc144974544"/>
      <w:bookmarkStart w:id="360" w:name="_Toc152042352"/>
      <w:bookmarkStart w:id="361" w:name="_Toc369531565"/>
      <w:bookmarkStart w:id="362" w:name="_Toc23050"/>
      <w:bookmarkStart w:id="363" w:name="_Toc300834996"/>
      <w:bookmarkStart w:id="364" w:name="_Toc384308260"/>
      <w:bookmarkStart w:id="365" w:name="_Toc152045576"/>
      <w:bookmarkStart w:id="366" w:name="_Toc352691521"/>
      <w:r>
        <w:rPr>
          <w:rFonts w:hint="eastAsia" w:ascii="宋体" w:hAnsi="宋体" w:cs="宋体"/>
          <w:color w:val="auto"/>
          <w:highlight w:val="none"/>
        </w:rPr>
        <w:t>面形式予以澄清、说明或补正：</w:t>
      </w:r>
    </w:p>
    <w:p>
      <w:pPr>
        <w:spacing w:line="440" w:lineRule="exact"/>
        <w:rPr>
          <w:rFonts w:hint="eastAsia" w:ascii="宋体" w:hAnsi="宋体" w:cs="宋体"/>
          <w:color w:val="auto"/>
          <w:highlight w:val="none"/>
        </w:rPr>
      </w:pPr>
      <w:r>
        <w:rPr>
          <w:rFonts w:hint="eastAsia" w:ascii="宋体" w:hAnsi="宋体" w:cs="宋体"/>
          <w:color w:val="auto"/>
          <w:highlight w:val="none"/>
        </w:rPr>
        <w:t>　　</w:t>
      </w:r>
    </w:p>
    <w:bookmarkEnd w:id="356"/>
    <w:bookmarkEnd w:id="357"/>
    <w:bookmarkEnd w:id="358"/>
    <w:bookmarkEnd w:id="359"/>
    <w:bookmarkEnd w:id="360"/>
    <w:bookmarkEnd w:id="361"/>
    <w:bookmarkEnd w:id="362"/>
    <w:bookmarkEnd w:id="363"/>
    <w:bookmarkEnd w:id="364"/>
    <w:bookmarkEnd w:id="365"/>
    <w:bookmarkEnd w:id="366"/>
    <w:p>
      <w:pPr>
        <w:spacing w:line="440" w:lineRule="exact"/>
        <w:rPr>
          <w:rFonts w:hint="eastAsia" w:ascii="宋体" w:hAnsi="宋体" w:cs="宋体"/>
          <w:color w:val="auto"/>
          <w:highlight w:val="none"/>
        </w:rPr>
      </w:pPr>
      <w:r>
        <w:rPr>
          <w:rFonts w:hint="eastAsia" w:ascii="宋体" w:hAnsi="宋体" w:cs="宋体"/>
          <w:color w:val="auto"/>
          <w:highlight w:val="none"/>
        </w:rPr>
        <w:t xml:space="preserve">    1.</w:t>
      </w:r>
    </w:p>
    <w:p>
      <w:pPr>
        <w:spacing w:line="440" w:lineRule="exact"/>
        <w:rPr>
          <w:rFonts w:hint="eastAsia" w:ascii="宋体" w:hAnsi="宋体" w:cs="宋体"/>
          <w:color w:val="auto"/>
          <w:highlight w:val="none"/>
        </w:rPr>
      </w:pPr>
      <w:r>
        <w:rPr>
          <w:rFonts w:hint="eastAsia" w:ascii="宋体" w:hAnsi="宋体" w:cs="宋体"/>
          <w:color w:val="auto"/>
          <w:highlight w:val="none"/>
        </w:rPr>
        <w:t xml:space="preserve">    2.</w:t>
      </w:r>
    </w:p>
    <w:p>
      <w:pPr>
        <w:spacing w:line="440" w:lineRule="exact"/>
        <w:rPr>
          <w:rFonts w:hint="eastAsia" w:ascii="宋体" w:hAnsi="宋体" w:cs="宋体"/>
          <w:color w:val="auto"/>
          <w:highlight w:val="none"/>
        </w:rPr>
      </w:pPr>
      <w:r>
        <w:rPr>
          <w:rFonts w:hint="eastAsia" w:ascii="宋体" w:hAnsi="宋体" w:cs="宋体"/>
          <w:color w:val="auto"/>
          <w:highlight w:val="none"/>
        </w:rPr>
        <w:t xml:space="preserve">     ......   </w:t>
      </w:r>
    </w:p>
    <w:p>
      <w:pPr>
        <w:spacing w:line="440" w:lineRule="exact"/>
        <w:rPr>
          <w:rFonts w:hint="eastAsia" w:ascii="宋体" w:hAnsi="宋体" w:cs="宋体"/>
          <w:color w:val="auto"/>
          <w:highlight w:val="none"/>
        </w:rPr>
      </w:pPr>
      <w:r>
        <w:rPr>
          <w:rFonts w:hint="eastAsia" w:ascii="宋体" w:hAnsi="宋体" w:cs="宋体"/>
          <w:color w:val="auto"/>
          <w:highlight w:val="none"/>
        </w:rPr>
        <w:t>　　　</w:t>
      </w:r>
    </w:p>
    <w:p>
      <w:pPr>
        <w:spacing w:line="440" w:lineRule="exact"/>
        <w:ind w:firstLine="405"/>
        <w:rPr>
          <w:rFonts w:hint="eastAsia" w:ascii="宋体" w:hAnsi="宋体" w:cs="宋体"/>
          <w:color w:val="auto"/>
          <w:highlight w:val="none"/>
        </w:rPr>
      </w:pPr>
      <w:r>
        <w:rPr>
          <w:rFonts w:hint="eastAsia" w:ascii="宋体" w:hAnsi="宋体" w:cs="宋体"/>
          <w:color w:val="auto"/>
          <w:highlight w:val="none"/>
        </w:rPr>
        <w:t>请将上述问题的澄清、说明或补正于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highlight w:val="none"/>
          <w:u w:val="single"/>
        </w:rPr>
        <w:t xml:space="preserve">       </w:t>
      </w:r>
      <w:r>
        <w:rPr>
          <w:rFonts w:hint="eastAsia" w:ascii="宋体" w:hAnsi="宋体" w:cs="宋体"/>
          <w:color w:val="auto"/>
          <w:highlight w:val="none"/>
        </w:rPr>
        <w:t>时前递交至</w:t>
      </w:r>
      <w:bookmarkStart w:id="367" w:name="_Toc247514001"/>
      <w:bookmarkStart w:id="368" w:name="_Toc152045577"/>
      <w:bookmarkStart w:id="369" w:name="_Toc152042353"/>
      <w:bookmarkStart w:id="370" w:name="_Toc28385"/>
      <w:bookmarkStart w:id="371" w:name="_Toc300834997"/>
      <w:bookmarkStart w:id="372" w:name="_Toc144974545"/>
      <w:bookmarkStart w:id="373" w:name="_Toc352691522"/>
      <w:bookmarkStart w:id="374" w:name="_Toc369531566"/>
      <w:bookmarkStart w:id="375" w:name="_Toc384308261"/>
      <w:bookmarkStart w:id="376" w:name="_Toc247527602"/>
      <w:bookmarkStart w:id="377" w:name="_Toc361508635"/>
    </w:p>
    <w:p>
      <w:pPr>
        <w:spacing w:line="440" w:lineRule="exact"/>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（详细地址）或传真至</w:t>
      </w:r>
      <w:bookmarkEnd w:id="367"/>
      <w:bookmarkEnd w:id="368"/>
      <w:bookmarkEnd w:id="369"/>
      <w:bookmarkEnd w:id="370"/>
      <w:bookmarkEnd w:id="371"/>
      <w:bookmarkEnd w:id="372"/>
      <w:bookmarkEnd w:id="373"/>
      <w:bookmarkEnd w:id="374"/>
      <w:bookmarkEnd w:id="375"/>
      <w:bookmarkEnd w:id="376"/>
      <w:bookmarkEnd w:id="377"/>
      <w:r>
        <w:rPr>
          <w:rFonts w:hint="eastAsia" w:ascii="宋体" w:hAnsi="宋体" w:cs="宋体"/>
          <w:color w:val="auto"/>
          <w:highlight w:val="none"/>
          <w:u w:val="single"/>
        </w:rPr>
        <w:t xml:space="preserve">                     </w:t>
      </w:r>
      <w:r>
        <w:rPr>
          <w:rFonts w:hint="eastAsia" w:ascii="宋体" w:hAnsi="宋体" w:cs="宋体"/>
          <w:color w:val="auto"/>
          <w:highlight w:val="none"/>
        </w:rPr>
        <w:t>（传真号码）或通过下载招标文件的电子招标交易平台上传。采用传真方式的，应在</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p>
    <w:p>
      <w:pPr>
        <w:spacing w:line="440" w:lineRule="exact"/>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highlight w:val="none"/>
          <w:u w:val="single"/>
        </w:rPr>
        <w:t xml:space="preserve">       </w:t>
      </w:r>
      <w:r>
        <w:rPr>
          <w:rFonts w:hint="eastAsia" w:ascii="宋体" w:hAnsi="宋体" w:cs="宋体"/>
          <w:color w:val="auto"/>
          <w:highlight w:val="none"/>
        </w:rPr>
        <w:t>时前将原件递交至</w:t>
      </w:r>
      <w:r>
        <w:rPr>
          <w:rFonts w:hint="eastAsia" w:ascii="宋体" w:hAnsi="宋体" w:cs="宋体"/>
          <w:color w:val="auto"/>
          <w:highlight w:val="none"/>
          <w:u w:val="single"/>
        </w:rPr>
        <w:t xml:space="preserve">                     </w:t>
      </w:r>
      <w:r>
        <w:rPr>
          <w:rFonts w:hint="eastAsia" w:ascii="宋体" w:hAnsi="宋体" w:cs="宋体"/>
          <w:color w:val="auto"/>
          <w:highlight w:val="none"/>
        </w:rPr>
        <w:t>（详细地址）。</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p>
    <w:p>
      <w:pPr>
        <w:spacing w:line="440" w:lineRule="exact"/>
        <w:ind w:firstLine="2100" w:firstLineChars="1000"/>
        <w:rPr>
          <w:rFonts w:hint="eastAsia" w:ascii="宋体" w:hAnsi="宋体" w:cs="宋体"/>
          <w:color w:val="auto"/>
          <w:highlight w:val="none"/>
        </w:rPr>
      </w:pPr>
      <w:r>
        <w:rPr>
          <w:rFonts w:hint="eastAsia" w:ascii="宋体" w:hAnsi="宋体" w:cs="宋体"/>
          <w:color w:val="auto"/>
          <w:highlight w:val="none"/>
        </w:rPr>
        <w:t>评标委员会授权的招标人或招标代理机构：</w:t>
      </w:r>
      <w:r>
        <w:rPr>
          <w:rFonts w:hint="eastAsia" w:ascii="宋体" w:hAnsi="宋体" w:cs="宋体"/>
          <w:color w:val="auto"/>
          <w:sz w:val="28"/>
          <w:highlight w:val="none"/>
          <w:u w:val="single"/>
        </w:rPr>
        <w:t xml:space="preserve">      </w:t>
      </w:r>
      <w:r>
        <w:rPr>
          <w:rFonts w:hint="eastAsia" w:ascii="宋体" w:hAnsi="宋体" w:cs="宋体"/>
          <w:color w:val="auto"/>
          <w:highlight w:val="none"/>
        </w:rPr>
        <w:t>（签字或盖章）</w:t>
      </w:r>
      <w:bookmarkStart w:id="378" w:name="_Toc247527603"/>
      <w:bookmarkStart w:id="379" w:name="_Toc352691523"/>
      <w:bookmarkStart w:id="380" w:name="_Toc152042354"/>
      <w:bookmarkStart w:id="381" w:name="_Toc247514002"/>
      <w:bookmarkStart w:id="382" w:name="_Toc384308262"/>
      <w:bookmarkStart w:id="383" w:name="_Toc152045578"/>
      <w:bookmarkStart w:id="384" w:name="_Toc300834998"/>
      <w:bookmarkStart w:id="385" w:name="_Toc369531567"/>
      <w:bookmarkStart w:id="386" w:name="_Toc6580"/>
      <w:bookmarkStart w:id="387" w:name="_Toc361508636"/>
      <w:bookmarkStart w:id="388" w:name="_Toc144974546"/>
    </w:p>
    <w:bookmarkEnd w:id="378"/>
    <w:bookmarkEnd w:id="379"/>
    <w:bookmarkEnd w:id="380"/>
    <w:bookmarkEnd w:id="381"/>
    <w:bookmarkEnd w:id="382"/>
    <w:bookmarkEnd w:id="383"/>
    <w:bookmarkEnd w:id="384"/>
    <w:bookmarkEnd w:id="385"/>
    <w:bookmarkEnd w:id="386"/>
    <w:bookmarkEnd w:id="387"/>
    <w:p>
      <w:pPr>
        <w:spacing w:line="440" w:lineRule="exact"/>
        <w:rPr>
          <w:rFonts w:hint="eastAsia" w:ascii="宋体" w:hAnsi="宋体" w:cs="宋体"/>
          <w:color w:val="auto"/>
          <w:highlight w:val="none"/>
        </w:rPr>
      </w:pPr>
      <w:bookmarkStart w:id="389" w:name="_Toc152042355"/>
    </w:p>
    <w:p>
      <w:pPr>
        <w:spacing w:line="440" w:lineRule="exact"/>
        <w:ind w:right="840"/>
        <w:jc w:val="right"/>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pStyle w:val="5"/>
        <w:keepNext w:val="0"/>
        <w:keepLines w:val="0"/>
        <w:ind w:firstLine="0" w:firstLineChars="0"/>
        <w:rPr>
          <w:rFonts w:hint="eastAsia" w:ascii="宋体" w:hAnsi="宋体" w:eastAsia="宋体" w:cs="宋体"/>
          <w:color w:val="auto"/>
          <w:highlight w:val="none"/>
        </w:rPr>
      </w:pPr>
    </w:p>
    <w:p>
      <w:pPr>
        <w:rPr>
          <w:rFonts w:hint="eastAsia" w:ascii="宋体" w:hAnsi="宋体" w:cs="宋体"/>
          <w:color w:val="auto"/>
          <w:highlight w:val="none"/>
        </w:rPr>
      </w:pPr>
    </w:p>
    <w:p>
      <w:pPr>
        <w:pStyle w:val="5"/>
        <w:keepNext w:val="0"/>
        <w:keepLines w:val="0"/>
        <w:ind w:firstLine="0" w:firstLineChars="0"/>
        <w:rPr>
          <w:rFonts w:hint="eastAsia" w:ascii="宋体" w:hAnsi="宋体" w:eastAsia="宋体" w:cs="宋体"/>
          <w:color w:val="auto"/>
          <w:highlight w:val="none"/>
        </w:rPr>
      </w:pPr>
    </w:p>
    <w:p>
      <w:pPr>
        <w:pStyle w:val="5"/>
        <w:keepNext w:val="0"/>
        <w:keepLines w:val="0"/>
        <w:ind w:firstLine="0" w:firstLineChars="0"/>
        <w:rPr>
          <w:rFonts w:hint="eastAsia" w:ascii="宋体" w:hAnsi="宋体" w:eastAsia="宋体" w:cs="宋体"/>
          <w:color w:val="auto"/>
          <w:highlight w:val="none"/>
        </w:rPr>
      </w:pPr>
      <w:bookmarkStart w:id="390" w:name="_Toc527028505"/>
      <w:r>
        <w:rPr>
          <w:rFonts w:hint="eastAsia" w:ascii="宋体" w:hAnsi="宋体" w:eastAsia="宋体" w:cs="宋体"/>
          <w:color w:val="auto"/>
          <w:highlight w:val="none"/>
        </w:rPr>
        <w:br w:type="page"/>
      </w:r>
      <w:bookmarkStart w:id="391" w:name="_Toc17913"/>
      <w:r>
        <w:rPr>
          <w:rFonts w:hint="eastAsia" w:ascii="宋体" w:hAnsi="宋体" w:eastAsia="宋体" w:cs="宋体"/>
          <w:color w:val="auto"/>
          <w:highlight w:val="none"/>
        </w:rPr>
        <w:t>附件三：问题的澄清</w:t>
      </w:r>
      <w:bookmarkEnd w:id="390"/>
      <w:bookmarkEnd w:id="391"/>
    </w:p>
    <w:p>
      <w:pPr>
        <w:spacing w:line="400" w:lineRule="exact"/>
        <w:jc w:val="center"/>
        <w:rPr>
          <w:rFonts w:hint="eastAsia" w:ascii="宋体" w:hAnsi="宋体" w:cs="宋体"/>
          <w:color w:val="auto"/>
          <w:sz w:val="28"/>
          <w:highlight w:val="none"/>
        </w:rPr>
      </w:pPr>
    </w:p>
    <w:p>
      <w:pPr>
        <w:spacing w:line="400" w:lineRule="exact"/>
        <w:jc w:val="center"/>
        <w:rPr>
          <w:rFonts w:hint="eastAsia" w:ascii="宋体" w:hAnsi="宋体" w:cs="宋体"/>
          <w:color w:val="auto"/>
          <w:sz w:val="28"/>
          <w:highlight w:val="none"/>
        </w:rPr>
      </w:pPr>
      <w:r>
        <w:rPr>
          <w:rFonts w:hint="eastAsia" w:ascii="宋体" w:hAnsi="宋体" w:cs="宋体"/>
          <w:color w:val="auto"/>
          <w:sz w:val="28"/>
          <w:highlight w:val="none"/>
        </w:rPr>
        <w:t>问</w:t>
      </w:r>
      <w:bookmarkEnd w:id="389"/>
      <w:r>
        <w:rPr>
          <w:rFonts w:hint="eastAsia" w:ascii="宋体" w:hAnsi="宋体" w:cs="宋体"/>
          <w:color w:val="auto"/>
          <w:sz w:val="28"/>
          <w:highlight w:val="none"/>
        </w:rPr>
        <w:t>题</w:t>
      </w:r>
      <w:bookmarkStart w:id="392" w:name="_Toc300834999"/>
      <w:bookmarkStart w:id="393" w:name="_Toc369531568"/>
      <w:bookmarkStart w:id="394" w:name="_Toc152042356"/>
      <w:bookmarkStart w:id="395" w:name="_Toc384308263"/>
      <w:bookmarkStart w:id="396" w:name="_Toc247527604"/>
      <w:bookmarkStart w:id="397" w:name="_Toc352691524"/>
      <w:bookmarkStart w:id="398" w:name="_Toc3622"/>
      <w:bookmarkStart w:id="399" w:name="_Toc247514003"/>
      <w:bookmarkStart w:id="400" w:name="_Toc152045579"/>
      <w:bookmarkStart w:id="401" w:name="_Toc361508637"/>
      <w:r>
        <w:rPr>
          <w:rFonts w:hint="eastAsia" w:ascii="宋体" w:hAnsi="宋体" w:cs="宋体"/>
          <w:color w:val="auto"/>
          <w:sz w:val="28"/>
          <w:highlight w:val="none"/>
        </w:rPr>
        <w:t>的澄清</w:t>
      </w:r>
    </w:p>
    <w:p>
      <w:pPr>
        <w:spacing w:line="400" w:lineRule="exact"/>
        <w:ind w:firstLine="3465" w:firstLineChars="1650"/>
        <w:rPr>
          <w:rFonts w:hint="eastAsia" w:ascii="宋体" w:hAnsi="宋体" w:cs="宋体"/>
          <w:color w:val="auto"/>
          <w:highlight w:val="none"/>
        </w:rPr>
      </w:pPr>
      <w:r>
        <w:rPr>
          <w:rFonts w:hint="eastAsia" w:ascii="宋体" w:hAnsi="宋体" w:cs="宋体"/>
          <w:color w:val="auto"/>
          <w:highlight w:val="none"/>
        </w:rPr>
        <w:t>（编号</w:t>
      </w:r>
      <w:bookmarkEnd w:id="388"/>
      <w:bookmarkEnd w:id="392"/>
      <w:bookmarkEnd w:id="393"/>
      <w:bookmarkEnd w:id="394"/>
      <w:bookmarkEnd w:id="395"/>
      <w:bookmarkEnd w:id="396"/>
      <w:bookmarkEnd w:id="397"/>
      <w:bookmarkEnd w:id="398"/>
      <w:bookmarkEnd w:id="399"/>
      <w:bookmarkEnd w:id="400"/>
      <w:bookmarkEnd w:id="401"/>
      <w:r>
        <w:rPr>
          <w:rFonts w:hint="eastAsia" w:ascii="宋体" w:hAnsi="宋体" w:cs="宋体"/>
          <w:color w:val="auto"/>
          <w:highlight w:val="none"/>
        </w:rPr>
        <w:t>：</w:t>
      </w:r>
      <w:r>
        <w:rPr>
          <w:rFonts w:hint="eastAsia" w:ascii="宋体" w:hAnsi="宋体" w:cs="宋体"/>
          <w:color w:val="auto"/>
          <w:sz w:val="28"/>
          <w:highlight w:val="none"/>
          <w:u w:val="single"/>
        </w:rPr>
        <w:t xml:space="preserve">           </w:t>
      </w:r>
      <w:r>
        <w:rPr>
          <w:rFonts w:hint="eastAsia" w:ascii="宋体" w:hAnsi="宋体" w:cs="宋体"/>
          <w:color w:val="auto"/>
          <w:highlight w:val="none"/>
        </w:rPr>
        <w:t>）</w:t>
      </w:r>
    </w:p>
    <w:p>
      <w:pPr>
        <w:spacing w:line="40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r>
        <w:rPr>
          <w:rFonts w:hint="eastAsia" w:ascii="宋体" w:hAnsi="宋体" w:cs="宋体"/>
          <w:color w:val="auto"/>
          <w:highlight w:val="none"/>
        </w:rPr>
        <w:t>评标委员会：</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r>
        <w:rPr>
          <w:rFonts w:hint="eastAsia" w:ascii="宋体" w:hAnsi="宋体" w:cs="宋体"/>
          <w:color w:val="auto"/>
          <w:highlight w:val="none"/>
        </w:rPr>
        <w:t>　　问题澄清通知（编号：</w:t>
      </w:r>
      <w:r>
        <w:rPr>
          <w:rFonts w:hint="eastAsia" w:ascii="宋体" w:hAnsi="宋体" w:cs="宋体"/>
          <w:color w:val="auto"/>
          <w:sz w:val="28"/>
          <w:highlight w:val="none"/>
          <w:u w:val="single"/>
        </w:rPr>
        <w:t xml:space="preserve">      </w:t>
      </w:r>
      <w:r>
        <w:rPr>
          <w:rFonts w:hint="eastAsia" w:ascii="宋体" w:hAnsi="宋体" w:cs="宋体"/>
          <w:color w:val="auto"/>
          <w:highlight w:val="none"/>
        </w:rPr>
        <w:t>）已收悉，现澄清、说明或补正如下：</w:t>
      </w:r>
    </w:p>
    <w:p>
      <w:pPr>
        <w:spacing w:line="440" w:lineRule="exact"/>
        <w:rPr>
          <w:rFonts w:hint="eastAsia" w:ascii="宋体" w:hAnsi="宋体" w:cs="宋体"/>
          <w:color w:val="auto"/>
          <w:highlight w:val="none"/>
        </w:rPr>
      </w:pPr>
      <w:r>
        <w:rPr>
          <w:rFonts w:hint="eastAsia" w:ascii="宋体" w:hAnsi="宋体" w:cs="宋体"/>
          <w:color w:val="auto"/>
          <w:highlight w:val="none"/>
        </w:rPr>
        <w:t>　     1.</w:t>
      </w:r>
    </w:p>
    <w:p>
      <w:pPr>
        <w:spacing w:line="440" w:lineRule="exact"/>
        <w:rPr>
          <w:rFonts w:hint="eastAsia" w:ascii="宋体" w:hAnsi="宋体" w:cs="宋体"/>
          <w:color w:val="auto"/>
          <w:highlight w:val="none"/>
        </w:rPr>
      </w:pPr>
      <w:r>
        <w:rPr>
          <w:rFonts w:hint="eastAsia" w:ascii="宋体" w:hAnsi="宋体" w:cs="宋体"/>
          <w:color w:val="auto"/>
          <w:highlight w:val="none"/>
        </w:rPr>
        <w:t>　     2.</w:t>
      </w:r>
    </w:p>
    <w:p>
      <w:pPr>
        <w:spacing w:line="440" w:lineRule="exact"/>
        <w:rPr>
          <w:rFonts w:hint="eastAsia" w:ascii="宋体" w:hAnsi="宋体" w:cs="宋体"/>
          <w:color w:val="auto"/>
          <w:highlight w:val="none"/>
        </w:rPr>
      </w:pPr>
      <w:r>
        <w:rPr>
          <w:rFonts w:hint="eastAsia" w:ascii="宋体" w:hAnsi="宋体" w:cs="宋体"/>
          <w:color w:val="auto"/>
          <w:highlight w:val="none"/>
        </w:rPr>
        <w:t>　    .....</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r>
        <w:rPr>
          <w:rFonts w:hint="eastAsia" w:ascii="宋体" w:hAnsi="宋体" w:cs="宋体"/>
          <w:color w:val="auto"/>
          <w:highlight w:val="none"/>
        </w:rPr>
        <w:t>　</w:t>
      </w:r>
    </w:p>
    <w:p>
      <w:pPr>
        <w:spacing w:line="440" w:lineRule="exact"/>
        <w:rPr>
          <w:rFonts w:hint="eastAsia" w:ascii="宋体" w:hAnsi="宋体" w:cs="宋体"/>
          <w:color w:val="auto"/>
          <w:highlight w:val="none"/>
        </w:rPr>
      </w:pPr>
    </w:p>
    <w:p>
      <w:pPr>
        <w:spacing w:line="440" w:lineRule="exact"/>
        <w:ind w:firstLine="420" w:firstLineChars="200"/>
        <w:rPr>
          <w:rFonts w:hint="eastAsia" w:ascii="宋体" w:hAnsi="宋体" w:cs="宋体"/>
          <w:color w:val="auto"/>
          <w:highlight w:val="none"/>
        </w:rPr>
      </w:pPr>
      <w:r>
        <w:rPr>
          <w:rFonts w:hint="eastAsia" w:ascii="宋体" w:hAnsi="宋体" w:cs="宋体"/>
          <w:color w:val="auto"/>
          <w:highlight w:val="none"/>
        </w:rPr>
        <w:t>上述问题澄清、说明或补正，不改变我方投标文件的实质性内容，构成我方投标文件的组成部分。</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p>
    <w:p>
      <w:pPr>
        <w:spacing w:line="480" w:lineRule="auto"/>
        <w:rPr>
          <w:rFonts w:hint="eastAsia" w:ascii="宋体" w:hAnsi="宋体" w:cs="宋体"/>
          <w:color w:val="auto"/>
          <w:highlight w:val="none"/>
        </w:rPr>
      </w:pPr>
      <w:r>
        <w:rPr>
          <w:rFonts w:hint="eastAsia" w:ascii="宋体" w:hAnsi="宋体" w:cs="宋体"/>
          <w:color w:val="auto"/>
          <w:highlight w:val="none"/>
        </w:rPr>
        <w:t>　　　　　　　　　　　　　　投标人：</w:t>
      </w:r>
      <w:r>
        <w:rPr>
          <w:rFonts w:hint="eastAsia" w:ascii="宋体" w:hAnsi="宋体" w:cs="宋体"/>
          <w:color w:val="auto"/>
          <w:sz w:val="28"/>
          <w:highlight w:val="none"/>
          <w:u w:val="single"/>
        </w:rPr>
        <w:t xml:space="preserve">                         </w:t>
      </w:r>
      <w:r>
        <w:rPr>
          <w:rFonts w:hint="eastAsia" w:ascii="宋体" w:hAnsi="宋体" w:cs="宋体"/>
          <w:color w:val="auto"/>
          <w:highlight w:val="none"/>
        </w:rPr>
        <w:t>（盖单位章）</w:t>
      </w:r>
    </w:p>
    <w:p>
      <w:pPr>
        <w:spacing w:line="480" w:lineRule="auto"/>
        <w:ind w:firstLine="2835" w:firstLineChars="1350"/>
        <w:rPr>
          <w:rFonts w:hint="eastAsia" w:ascii="宋体" w:hAnsi="宋体" w:cs="宋体"/>
          <w:color w:val="auto"/>
          <w:highlight w:val="none"/>
        </w:rPr>
      </w:pPr>
      <w:r>
        <w:rPr>
          <w:rFonts w:hint="eastAsia" w:ascii="宋体" w:hAnsi="宋体" w:cs="宋体"/>
          <w:color w:val="auto"/>
          <w:highlight w:val="none"/>
        </w:rPr>
        <w:t xml:space="preserve"> 法定代表人或其委托代理人：</w:t>
      </w:r>
      <w:r>
        <w:rPr>
          <w:rFonts w:hint="eastAsia" w:ascii="宋体" w:hAnsi="宋体" w:cs="宋体"/>
          <w:color w:val="auto"/>
          <w:highlight w:val="none"/>
          <w:u w:val="single"/>
        </w:rPr>
        <w:t xml:space="preserve">        </w:t>
      </w:r>
      <w:r>
        <w:rPr>
          <w:rFonts w:hint="eastAsia" w:ascii="宋体" w:hAnsi="宋体" w:cs="宋体"/>
          <w:color w:val="auto"/>
          <w:highlight w:val="none"/>
        </w:rPr>
        <w:t>（签字）</w:t>
      </w:r>
    </w:p>
    <w:p>
      <w:pPr>
        <w:spacing w:line="440" w:lineRule="exact"/>
        <w:rPr>
          <w:rFonts w:hint="eastAsia" w:ascii="宋体" w:hAnsi="宋体" w:cs="宋体"/>
          <w:color w:val="auto"/>
          <w:highlight w:val="none"/>
        </w:rPr>
      </w:pPr>
      <w:r>
        <w:rPr>
          <w:rFonts w:hint="eastAsia" w:ascii="宋体" w:hAnsi="宋体" w:cs="宋体"/>
          <w:color w:val="auto"/>
          <w:highlight w:val="none"/>
        </w:rPr>
        <w:t>　　　　　　　　　　　　　　　</w:t>
      </w:r>
    </w:p>
    <w:p>
      <w:pPr>
        <w:spacing w:line="440" w:lineRule="exact"/>
        <w:jc w:val="right"/>
        <w:rPr>
          <w:rFonts w:hint="eastAsia" w:ascii="宋体" w:hAnsi="宋体" w:cs="宋体"/>
          <w:color w:val="auto"/>
          <w:highlight w:val="none"/>
        </w:rPr>
      </w:pPr>
      <w:r>
        <w:rPr>
          <w:rFonts w:hint="eastAsia" w:ascii="宋体" w:hAnsi="宋体" w:cs="宋体"/>
          <w:color w:val="auto"/>
          <w:highlight w:val="none"/>
        </w:rPr>
        <w:t>　　　　　　　　　　　　　　　</w:t>
      </w:r>
      <w:r>
        <w:rPr>
          <w:rFonts w:hint="eastAsia" w:ascii="宋体" w:hAnsi="宋体" w:cs="宋体"/>
          <w:color w:val="auto"/>
          <w:highlight w:val="none"/>
          <w:u w:val="single"/>
        </w:rPr>
        <w:t xml:space="preserve">        </w:t>
      </w:r>
      <w:r>
        <w:rPr>
          <w:rFonts w:hint="eastAsia" w:ascii="宋体" w:hAnsi="宋体" w:cs="宋体"/>
          <w:color w:val="auto"/>
          <w:highlight w:val="none"/>
        </w:rPr>
        <w:t>年</w:t>
      </w:r>
      <w:bookmarkStart w:id="402" w:name="_Toc15139"/>
      <w:bookmarkStart w:id="403" w:name="_Toc152045581"/>
      <w:bookmarkStart w:id="404" w:name="_Toc144974548"/>
      <w:bookmarkStart w:id="405" w:name="_Toc152042358"/>
      <w:bookmarkStart w:id="406" w:name="_Toc361508640"/>
      <w:bookmarkStart w:id="407" w:name="_Toc384308266"/>
      <w:bookmarkStart w:id="408" w:name="_Toc352691527"/>
      <w:bookmarkStart w:id="409" w:name="_Toc247514005"/>
      <w:bookmarkStart w:id="410" w:name="_Toc247527606"/>
      <w:bookmarkStart w:id="411" w:name="_Toc369531571"/>
      <w:bookmarkStart w:id="412" w:name="_Toc300835002"/>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bookmarkEnd w:id="402"/>
    <w:bookmarkEnd w:id="403"/>
    <w:bookmarkEnd w:id="404"/>
    <w:bookmarkEnd w:id="405"/>
    <w:bookmarkEnd w:id="406"/>
    <w:bookmarkEnd w:id="407"/>
    <w:bookmarkEnd w:id="408"/>
    <w:bookmarkEnd w:id="409"/>
    <w:bookmarkEnd w:id="410"/>
    <w:bookmarkEnd w:id="411"/>
    <w:bookmarkEnd w:id="412"/>
    <w:p>
      <w:pPr>
        <w:spacing w:line="400" w:lineRule="exact"/>
        <w:rPr>
          <w:rFonts w:hint="eastAsia" w:ascii="宋体" w:hAnsi="宋体" w:cs="宋体"/>
          <w:color w:val="auto"/>
          <w:highlight w:val="none"/>
        </w:rPr>
      </w:pPr>
    </w:p>
    <w:p>
      <w:pPr>
        <w:pStyle w:val="5"/>
        <w:keepNext w:val="0"/>
        <w:keepLines w:val="0"/>
        <w:ind w:firstLine="137"/>
        <w:rPr>
          <w:rFonts w:hint="eastAsia" w:ascii="宋体" w:hAnsi="宋体" w:eastAsia="宋体" w:cs="宋体"/>
          <w:color w:val="auto"/>
          <w:highlight w:val="none"/>
        </w:rPr>
      </w:pPr>
      <w:bookmarkStart w:id="413" w:name="_Toc527028506"/>
      <w:r>
        <w:rPr>
          <w:rFonts w:hint="eastAsia" w:ascii="宋体" w:hAnsi="宋体" w:eastAsia="宋体" w:cs="宋体"/>
          <w:color w:val="auto"/>
          <w:highlight w:val="none"/>
        </w:rPr>
        <w:br w:type="page"/>
      </w:r>
      <w:bookmarkStart w:id="414" w:name="_Toc26799"/>
      <w:r>
        <w:rPr>
          <w:rFonts w:hint="eastAsia" w:ascii="宋体" w:hAnsi="宋体" w:eastAsia="宋体" w:cs="宋体"/>
          <w:color w:val="auto"/>
          <w:highlight w:val="none"/>
        </w:rPr>
        <w:t>附件四：确认通知</w:t>
      </w:r>
      <w:bookmarkEnd w:id="413"/>
      <w:bookmarkEnd w:id="414"/>
    </w:p>
    <w:p>
      <w:pPr>
        <w:spacing w:line="400" w:lineRule="exact"/>
        <w:rPr>
          <w:rFonts w:hint="eastAsia" w:ascii="宋体" w:hAnsi="宋体" w:cs="宋体"/>
          <w:color w:val="auto"/>
          <w:highlight w:val="none"/>
        </w:rPr>
      </w:pPr>
    </w:p>
    <w:p>
      <w:pPr>
        <w:spacing w:line="400" w:lineRule="exact"/>
        <w:jc w:val="center"/>
        <w:rPr>
          <w:rFonts w:hint="eastAsia" w:ascii="宋体" w:hAnsi="宋体" w:cs="宋体"/>
          <w:color w:val="auto"/>
          <w:sz w:val="28"/>
          <w:highlight w:val="none"/>
        </w:rPr>
      </w:pPr>
      <w:r>
        <w:rPr>
          <w:rFonts w:hint="eastAsia" w:ascii="宋体" w:hAnsi="宋体" w:cs="宋体"/>
          <w:color w:val="auto"/>
          <w:sz w:val="28"/>
          <w:highlight w:val="none"/>
        </w:rPr>
        <w:t>确认通知</w:t>
      </w:r>
    </w:p>
    <w:p>
      <w:pPr>
        <w:spacing w:line="40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（招标人名称）：</w:t>
      </w:r>
    </w:p>
    <w:p>
      <w:pPr>
        <w:spacing w:line="440" w:lineRule="exact"/>
        <w:rPr>
          <w:rFonts w:hint="eastAsia" w:ascii="宋体" w:hAnsi="宋体" w:cs="宋体"/>
          <w:color w:val="auto"/>
          <w:highlight w:val="none"/>
        </w:rPr>
      </w:pPr>
      <w:r>
        <w:rPr>
          <w:rFonts w:hint="eastAsia" w:ascii="宋体" w:hAnsi="宋体" w:cs="宋体"/>
          <w:color w:val="auto"/>
          <w:highlight w:val="none"/>
        </w:rPr>
        <w:t>　　</w:t>
      </w:r>
    </w:p>
    <w:p>
      <w:pPr>
        <w:spacing w:line="440" w:lineRule="exact"/>
        <w:ind w:firstLine="420" w:firstLineChars="200"/>
        <w:rPr>
          <w:rFonts w:hint="eastAsia" w:ascii="宋体" w:hAnsi="宋体" w:cs="宋体"/>
          <w:color w:val="auto"/>
          <w:highlight w:val="none"/>
        </w:rPr>
      </w:pPr>
      <w:r>
        <w:rPr>
          <w:rFonts w:hint="eastAsia" w:ascii="宋体" w:hAnsi="宋体" w:cs="宋体"/>
          <w:color w:val="auto"/>
          <w:highlight w:val="none"/>
        </w:rPr>
        <w:t>你方于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（项目名称）施工监理招标关于</w:t>
      </w:r>
      <w:r>
        <w:rPr>
          <w:rFonts w:hint="eastAsia" w:ascii="宋体" w:hAnsi="宋体" w:cs="宋体"/>
          <w:color w:val="auto"/>
          <w:highlight w:val="none"/>
          <w:u w:val="single"/>
        </w:rPr>
        <w:t>招标文件的澄清/修改</w:t>
      </w:r>
      <w:r>
        <w:rPr>
          <w:rFonts w:hint="eastAsia" w:ascii="宋体" w:hAnsi="宋体" w:cs="宋体"/>
          <w:color w:val="auto"/>
          <w:highlight w:val="none"/>
        </w:rPr>
        <w:t>的通知，我方已于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日收到。</w:t>
      </w:r>
    </w:p>
    <w:p>
      <w:pPr>
        <w:spacing w:line="440" w:lineRule="exact"/>
        <w:rPr>
          <w:rFonts w:hint="eastAsia" w:ascii="宋体" w:hAnsi="宋体" w:cs="宋体"/>
          <w:color w:val="auto"/>
          <w:highlight w:val="none"/>
        </w:rPr>
      </w:pPr>
      <w:r>
        <w:rPr>
          <w:rFonts w:hint="eastAsia" w:ascii="宋体" w:hAnsi="宋体" w:cs="宋体"/>
          <w:color w:val="auto"/>
          <w:highlight w:val="none"/>
        </w:rPr>
        <w:t>　　特此确认。</w:t>
      </w:r>
    </w:p>
    <w:p>
      <w:pPr>
        <w:spacing w:line="440" w:lineRule="exact"/>
        <w:rPr>
          <w:rFonts w:hint="eastAsia" w:ascii="宋体" w:hAnsi="宋体" w:cs="宋体"/>
          <w:color w:val="auto"/>
          <w:highlight w:val="none"/>
        </w:rPr>
      </w:pPr>
    </w:p>
    <w:p>
      <w:pPr>
        <w:spacing w:line="440" w:lineRule="exact"/>
        <w:rPr>
          <w:rFonts w:hint="eastAsia" w:ascii="宋体" w:hAnsi="宋体" w:cs="宋体"/>
          <w:color w:val="auto"/>
          <w:highlight w:val="none"/>
        </w:rPr>
      </w:pPr>
    </w:p>
    <w:p>
      <w:pPr>
        <w:spacing w:line="480" w:lineRule="auto"/>
        <w:ind w:firstLine="2415" w:firstLineChars="1150"/>
        <w:jc w:val="left"/>
        <w:rPr>
          <w:rFonts w:hint="eastAsia" w:ascii="宋体" w:hAnsi="宋体" w:cs="宋体"/>
          <w:color w:val="auto"/>
          <w:highlight w:val="none"/>
        </w:rPr>
      </w:pPr>
      <w:r>
        <w:rPr>
          <w:rFonts w:hint="eastAsia" w:ascii="宋体" w:hAnsi="宋体" w:cs="宋体"/>
          <w:color w:val="auto"/>
          <w:highlight w:val="none"/>
        </w:rPr>
        <w:t>投标人：</w:t>
      </w:r>
      <w:r>
        <w:rPr>
          <w:rFonts w:hint="eastAsia" w:ascii="宋体" w:hAnsi="宋体" w:cs="宋体"/>
          <w:color w:val="auto"/>
          <w:sz w:val="28"/>
          <w:highlight w:val="none"/>
          <w:u w:val="single"/>
        </w:rPr>
        <w:t xml:space="preserve">                           </w:t>
      </w:r>
      <w:r>
        <w:rPr>
          <w:rFonts w:hint="eastAsia" w:ascii="宋体" w:hAnsi="宋体" w:cs="宋体"/>
          <w:color w:val="auto"/>
          <w:highlight w:val="none"/>
        </w:rPr>
        <w:t>（盖单位章）</w:t>
      </w:r>
    </w:p>
    <w:p>
      <w:pPr>
        <w:spacing w:line="480" w:lineRule="auto"/>
        <w:ind w:firstLine="2415" w:firstLineChars="1150"/>
        <w:jc w:val="left"/>
        <w:rPr>
          <w:rFonts w:hint="eastAsia" w:ascii="宋体" w:hAnsi="宋体" w:cs="宋体"/>
          <w:color w:val="auto"/>
          <w:highlight w:val="none"/>
        </w:rPr>
      </w:pPr>
      <w:r>
        <w:rPr>
          <w:rFonts w:hint="eastAsia" w:ascii="宋体" w:hAnsi="宋体" w:cs="宋体"/>
          <w:color w:val="auto"/>
          <w:highlight w:val="none"/>
        </w:rPr>
        <w:t>法定代表人或委托代理人：</w:t>
      </w:r>
      <w:r>
        <w:rPr>
          <w:rFonts w:hint="eastAsia" w:ascii="宋体" w:hAnsi="宋体" w:cs="宋体"/>
          <w:color w:val="auto"/>
          <w:sz w:val="28"/>
          <w:highlight w:val="none"/>
          <w:u w:val="single"/>
        </w:rPr>
        <w:t xml:space="preserve">      </w:t>
      </w:r>
      <w:r>
        <w:rPr>
          <w:rFonts w:hint="eastAsia" w:ascii="宋体" w:hAnsi="宋体" w:cs="宋体"/>
          <w:color w:val="auto"/>
          <w:highlight w:val="none"/>
        </w:rPr>
        <w:t>（签字）</w:t>
      </w:r>
    </w:p>
    <w:p>
      <w:pPr>
        <w:spacing w:line="440" w:lineRule="exact"/>
        <w:rPr>
          <w:rFonts w:hint="eastAsia" w:ascii="宋体" w:hAnsi="宋体" w:cs="宋体"/>
          <w:color w:val="auto"/>
          <w:highlight w:val="none"/>
        </w:rPr>
      </w:pPr>
    </w:p>
    <w:p>
      <w:pPr>
        <w:spacing w:line="440" w:lineRule="exact"/>
        <w:ind w:firstLine="105" w:firstLineChars="50"/>
        <w:jc w:val="right"/>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pStyle w:val="3"/>
        <w:keepNext w:val="0"/>
        <w:keepLines w:val="0"/>
        <w:spacing w:line="460" w:lineRule="exact"/>
        <w:jc w:val="center"/>
        <w:rPr>
          <w:rFonts w:hint="eastAsia" w:ascii="宋体" w:hAnsi="宋体" w:cs="宋体"/>
          <w:color w:val="auto"/>
          <w:highlight w:val="none"/>
        </w:rPr>
      </w:pPr>
      <w:r>
        <w:rPr>
          <w:rFonts w:hint="eastAsia" w:ascii="宋体" w:hAnsi="宋体" w:cs="宋体"/>
          <w:color w:val="auto"/>
          <w:highlight w:val="none"/>
        </w:rPr>
        <w:br w:type="page"/>
      </w:r>
      <w:bookmarkStart w:id="415" w:name="_Toc25395"/>
      <w:r>
        <w:rPr>
          <w:rFonts w:hint="eastAsia" w:ascii="宋体" w:hAnsi="宋体" w:cs="宋体"/>
          <w:color w:val="auto"/>
          <w:highlight w:val="none"/>
        </w:rPr>
        <w:t>第三章评标办法（综合评估法）</w:t>
      </w:r>
    </w:p>
    <w:p>
      <w:pPr>
        <w:pStyle w:val="3"/>
        <w:keepNext w:val="0"/>
        <w:keepLines w:val="0"/>
        <w:spacing w:line="460" w:lineRule="exact"/>
        <w:jc w:val="center"/>
        <w:rPr>
          <w:rFonts w:hint="eastAsia" w:ascii="宋体" w:hAnsi="宋体" w:cs="宋体"/>
          <w:color w:val="auto"/>
          <w:highlight w:val="none"/>
        </w:rPr>
      </w:pPr>
      <w:r>
        <w:rPr>
          <w:rFonts w:hint="eastAsia" w:ascii="宋体" w:hAnsi="宋体" w:cs="宋体"/>
          <w:color w:val="auto"/>
          <w:highlight w:val="none"/>
        </w:rPr>
        <w:t>评标办法前附表</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3"/>
        <w:gridCol w:w="1205"/>
        <w:gridCol w:w="1571"/>
        <w:gridCol w:w="6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818"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评审因素</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4" w:hRule="atLeast"/>
        </w:trPr>
        <w:tc>
          <w:tcPr>
            <w:tcW w:w="61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highlight w:val="none"/>
              </w:rPr>
            </w:pPr>
            <w:r>
              <w:rPr>
                <w:color w:val="auto"/>
                <w:highlight w:val="none"/>
              </w:rPr>
              <w:t>1</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评标方法</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中标候选人排序方法</w:t>
            </w:r>
          </w:p>
        </w:tc>
        <w:tc>
          <w:tcPr>
            <w:tcW w:w="634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综合评分由高到低排序前</w:t>
            </w:r>
            <w:r>
              <w:rPr>
                <w:rFonts w:ascii="宋体" w:hAnsi="宋体"/>
                <w:color w:val="auto"/>
                <w:szCs w:val="21"/>
                <w:highlight w:val="none"/>
              </w:rPr>
              <w:t>3</w:t>
            </w:r>
            <w:r>
              <w:rPr>
                <w:rFonts w:hint="eastAsia" w:ascii="宋体" w:hAnsi="宋体"/>
                <w:color w:val="auto"/>
                <w:szCs w:val="21"/>
                <w:highlight w:val="none"/>
              </w:rPr>
              <w:t>名作为第一、第二、第三中标候选人，</w:t>
            </w:r>
            <w:r>
              <w:rPr>
                <w:rFonts w:ascii="宋体" w:hAnsi="宋体"/>
                <w:color w:val="auto"/>
                <w:szCs w:val="21"/>
                <w:highlight w:val="none"/>
              </w:rPr>
              <w:t>综合评分相等时，以</w:t>
            </w:r>
            <w:r>
              <w:rPr>
                <w:rFonts w:hint="eastAsia" w:ascii="宋体" w:hAnsi="宋体"/>
                <w:color w:val="auto"/>
                <w:szCs w:val="21"/>
                <w:highlight w:val="none"/>
              </w:rPr>
              <w:t>诚信得分高的</w:t>
            </w:r>
            <w:r>
              <w:rPr>
                <w:rFonts w:ascii="宋体" w:hAnsi="宋体"/>
                <w:color w:val="auto"/>
                <w:szCs w:val="21"/>
                <w:highlight w:val="none"/>
              </w:rPr>
              <w:t xml:space="preserve">优先； </w:t>
            </w:r>
            <w:r>
              <w:rPr>
                <w:rFonts w:hint="eastAsia" w:ascii="宋体" w:hAnsi="宋体"/>
                <w:color w:val="auto"/>
                <w:szCs w:val="21"/>
                <w:highlight w:val="none"/>
              </w:rPr>
              <w:t>诚信得分</w:t>
            </w:r>
            <w:r>
              <w:rPr>
                <w:rFonts w:ascii="宋体" w:hAnsi="宋体"/>
                <w:color w:val="auto"/>
                <w:szCs w:val="21"/>
                <w:highlight w:val="none"/>
              </w:rPr>
              <w:t>也相等的，以监理大纲得分高的优先；如果监理大纲得分也相等，</w:t>
            </w:r>
            <w:r>
              <w:rPr>
                <w:rFonts w:hint="eastAsia" w:ascii="宋体" w:hAnsi="宋体"/>
                <w:color w:val="auto"/>
                <w:szCs w:val="21"/>
                <w:highlight w:val="none"/>
              </w:rPr>
              <w:t>以投标人投标报价低</w:t>
            </w:r>
            <w:r>
              <w:rPr>
                <w:rFonts w:hint="eastAsia" w:ascii="宋体" w:hAnsi="宋体"/>
                <w:color w:val="auto"/>
                <w:szCs w:val="21"/>
                <w:highlight w:val="none"/>
              </w:rPr>
              <w:t>的优先；</w:t>
            </w:r>
            <w:r>
              <w:rPr>
                <w:rFonts w:hint="eastAsia" w:ascii="宋体" w:hAnsi="宋体" w:cs="宋体"/>
                <w:color w:val="auto"/>
                <w:szCs w:val="21"/>
                <w:highlight w:val="none"/>
              </w:rPr>
              <w:t>如仍存在相同情况，则对具有相同情况的投标人，按中标候选人数量规定，由评标委员会采用记名投票方式，以得票多的优先。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613" w:type="dxa"/>
            <w:vMerge w:val="restart"/>
            <w:tcBorders>
              <w:top w:val="single" w:color="auto" w:sz="4" w:space="0"/>
              <w:bottom w:val="single" w:color="auto" w:sz="4" w:space="0"/>
              <w:right w:val="single" w:color="auto" w:sz="4" w:space="0"/>
            </w:tcBorders>
            <w:noWrap w:val="0"/>
            <w:vAlign w:val="center"/>
          </w:tcPr>
          <w:p>
            <w:pPr>
              <w:jc w:val="center"/>
              <w:rPr>
                <w:color w:val="auto"/>
                <w:highlight w:val="none"/>
              </w:rPr>
            </w:pPr>
            <w:r>
              <w:rPr>
                <w:color w:val="auto"/>
                <w:highlight w:val="none"/>
              </w:rPr>
              <w:t>2.1.1</w:t>
            </w:r>
          </w:p>
        </w:tc>
        <w:tc>
          <w:tcPr>
            <w:tcW w:w="1205" w:type="dxa"/>
            <w:vMerge w:val="restart"/>
            <w:tcBorders>
              <w:top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形式评审标准</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投标人名称</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与营业执照、资质证书一致</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2" w:hRule="atLeast"/>
        </w:trPr>
        <w:tc>
          <w:tcPr>
            <w:tcW w:w="613" w:type="dxa"/>
            <w:vMerge w:val="continue"/>
            <w:tcBorders>
              <w:top w:val="nil"/>
              <w:bottom w:val="single" w:color="auto" w:sz="4" w:space="0"/>
              <w:right w:val="single" w:color="auto" w:sz="4" w:space="0"/>
            </w:tcBorders>
            <w:noWrap w:val="0"/>
            <w:vAlign w:val="center"/>
          </w:tcPr>
          <w:p>
            <w:pPr>
              <w:rPr>
                <w:color w:val="auto"/>
                <w:highlight w:val="none"/>
              </w:rPr>
            </w:pPr>
          </w:p>
        </w:tc>
        <w:tc>
          <w:tcPr>
            <w:tcW w:w="1205" w:type="dxa"/>
            <w:vMerge w:val="continue"/>
            <w:tcBorders>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投标函</w:t>
            </w:r>
            <w:r>
              <w:rPr>
                <w:rFonts w:hint="eastAsia" w:ascii="宋体" w:hAnsi="宋体"/>
                <w:color w:val="auto"/>
                <w:szCs w:val="21"/>
                <w:highlight w:val="none"/>
              </w:rPr>
              <w:t>及投标函附录</w:t>
            </w:r>
            <w:r>
              <w:rPr>
                <w:rFonts w:ascii="宋体" w:hAnsi="宋体"/>
                <w:color w:val="auto"/>
                <w:szCs w:val="21"/>
                <w:highlight w:val="none"/>
              </w:rPr>
              <w:t>签字盖章</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613" w:type="dxa"/>
            <w:vMerge w:val="continue"/>
            <w:tcBorders>
              <w:top w:val="nil"/>
              <w:bottom w:val="single" w:color="auto" w:sz="4" w:space="0"/>
              <w:right w:val="single" w:color="auto" w:sz="4" w:space="0"/>
            </w:tcBorders>
            <w:noWrap w:val="0"/>
            <w:vAlign w:val="center"/>
          </w:tcPr>
          <w:p>
            <w:pPr>
              <w:rPr>
                <w:color w:val="auto"/>
                <w:highlight w:val="none"/>
              </w:rPr>
            </w:pPr>
          </w:p>
        </w:tc>
        <w:tc>
          <w:tcPr>
            <w:tcW w:w="1205" w:type="dxa"/>
            <w:vMerge w:val="continue"/>
            <w:tcBorders>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投标文件格式</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符合第六章“投标文件格式”的规定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2" w:hRule="atLeast"/>
        </w:trPr>
        <w:tc>
          <w:tcPr>
            <w:tcW w:w="613" w:type="dxa"/>
            <w:vMerge w:val="continue"/>
            <w:tcBorders>
              <w:top w:val="nil"/>
              <w:bottom w:val="single" w:color="auto" w:sz="4" w:space="0"/>
              <w:right w:val="single" w:color="auto" w:sz="4" w:space="0"/>
            </w:tcBorders>
            <w:noWrap w:val="0"/>
            <w:vAlign w:val="center"/>
          </w:tcPr>
          <w:p>
            <w:pPr>
              <w:rPr>
                <w:color w:val="auto"/>
                <w:highlight w:val="none"/>
              </w:rPr>
            </w:pPr>
          </w:p>
        </w:tc>
        <w:tc>
          <w:tcPr>
            <w:tcW w:w="1205" w:type="dxa"/>
            <w:vMerge w:val="continue"/>
            <w:tcBorders>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投标人机器码</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投标人与其他投标人加密打包投标文件电脑机器特征码一致的(以广州公共资源交易中心评标系统的检索信息为准),其投标将被否决。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613" w:type="dxa"/>
            <w:vMerge w:val="continue"/>
            <w:tcBorders>
              <w:top w:val="nil"/>
              <w:bottom w:val="single" w:color="auto" w:sz="4" w:space="0"/>
              <w:right w:val="single" w:color="auto" w:sz="4" w:space="0"/>
            </w:tcBorders>
            <w:noWrap w:val="0"/>
            <w:vAlign w:val="center"/>
          </w:tcPr>
          <w:p>
            <w:pPr>
              <w:rPr>
                <w:color w:val="auto"/>
                <w:highlight w:val="none"/>
              </w:rPr>
            </w:pPr>
          </w:p>
        </w:tc>
        <w:tc>
          <w:tcPr>
            <w:tcW w:w="1205" w:type="dxa"/>
            <w:vMerge w:val="continue"/>
            <w:tcBorders>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备选投标方案</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613" w:type="dxa"/>
            <w:vMerge w:val="restart"/>
            <w:tcBorders>
              <w:top w:val="single" w:color="auto" w:sz="4" w:space="0"/>
              <w:right w:val="single" w:color="auto" w:sz="4" w:space="0"/>
            </w:tcBorders>
            <w:noWrap w:val="0"/>
            <w:vAlign w:val="center"/>
          </w:tcPr>
          <w:p>
            <w:pPr>
              <w:jc w:val="center"/>
              <w:rPr>
                <w:color w:val="auto"/>
                <w:highlight w:val="none"/>
              </w:rPr>
            </w:pPr>
            <w:r>
              <w:rPr>
                <w:color w:val="auto"/>
                <w:highlight w:val="none"/>
              </w:rPr>
              <w:t>2.1.2</w:t>
            </w:r>
          </w:p>
        </w:tc>
        <w:tc>
          <w:tcPr>
            <w:tcW w:w="1205" w:type="dxa"/>
            <w:vMerge w:val="restart"/>
            <w:tcBorders>
              <w:top w:val="single" w:color="auto" w:sz="4" w:space="0"/>
              <w:left w:val="single" w:color="auto" w:sz="4" w:space="0"/>
              <w:right w:val="single" w:color="auto" w:sz="4" w:space="0"/>
            </w:tcBorders>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 xml:space="preserve">资格评审标准  </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营业执照</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投标人具有独立法人资格，持有事业单位登记管理部门核发的事业单位法人证书或市场监管部门（工商行政管理部门）核发的企业法人营业执照，且在营业期限内。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7" w:hRule="atLeas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资质要求</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符合第二章“投标人须知”第1.4.1项规定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总监理工程师</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符合第二章“投标人须知”第1.4.1项规定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hint="eastAsia" w:ascii="宋体" w:hAnsi="宋体" w:cs="宋体"/>
                <w:color w:val="auto"/>
                <w:szCs w:val="21"/>
                <w:highlight w:val="none"/>
              </w:rPr>
              <w:t>其他要求</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1）投标人参加投标的意思表达清楚，投标人代表被授权有效。</w:t>
            </w:r>
          </w:p>
          <w:p>
            <w:pPr>
              <w:snapToGrid w:val="0"/>
              <w:rPr>
                <w:rFonts w:hint="eastAsia" w:ascii="宋体" w:hAnsi="宋体" w:cs="宋体"/>
                <w:color w:val="auto"/>
                <w:szCs w:val="21"/>
                <w:highlight w:val="none"/>
              </w:rPr>
            </w:pPr>
            <w:r>
              <w:rPr>
                <w:rFonts w:hint="eastAsia" w:ascii="宋体" w:hAnsi="宋体" w:cs="宋体"/>
                <w:color w:val="auto"/>
                <w:szCs w:val="21"/>
                <w:highlight w:val="none"/>
              </w:rPr>
              <w:t>2) 投标登记前，投标人须已在广州公共资源交易中心办理企业信息登记及拟担任本工程总监理工程师须是本单位在企业库中的在册人员。</w:t>
            </w:r>
          </w:p>
          <w:p>
            <w:pPr>
              <w:snapToGrid w:val="0"/>
              <w:rPr>
                <w:rFonts w:hint="eastAsia" w:ascii="宋体" w:hAnsi="宋体" w:cs="宋体"/>
                <w:color w:val="auto"/>
                <w:szCs w:val="21"/>
                <w:highlight w:val="none"/>
              </w:rPr>
            </w:pPr>
            <w:r>
              <w:rPr>
                <w:rFonts w:hint="eastAsia" w:ascii="宋体" w:hAnsi="宋体" w:cs="宋体"/>
                <w:color w:val="auto"/>
                <w:szCs w:val="21"/>
                <w:highlight w:val="none"/>
              </w:rPr>
              <w:t>3) 投标人已按照招标公告附件一要求的内容签署盖章的《投标人声明》。</w:t>
            </w:r>
          </w:p>
          <w:p>
            <w:pPr>
              <w:snapToGrid w:val="0"/>
              <w:rPr>
                <w:rFonts w:ascii="宋体" w:hAnsi="宋体"/>
                <w:color w:val="auto"/>
                <w:szCs w:val="21"/>
                <w:highlight w:val="none"/>
              </w:rPr>
            </w:pPr>
            <w:r>
              <w:rPr>
                <w:rFonts w:hint="eastAsia" w:ascii="宋体" w:hAnsi="宋体" w:cs="宋体"/>
                <w:color w:val="auto"/>
                <w:szCs w:val="21"/>
                <w:highlight w:val="none"/>
              </w:rPr>
              <w:t>4）未被纳入国家、省、市、区的失信联合惩戒名单且未被限制参加建设工程投标的（具体名单以递交投标文件截止时间“信用广州”https://credit.gz.gov.cn/公布的名单为准）。注：因联合惩戒措施表述存在细微差别，惩戒措施与上文不完全一致但措施内容相同的，也应属于被限制参与相关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4" w:hRule="atLeas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snapToGrid w:val="0"/>
              <w:rPr>
                <w:rFonts w:ascii="宋体" w:hAnsi="宋体"/>
                <w:color w:val="auto"/>
                <w:szCs w:val="21"/>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联合体投标人</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olor w:val="auto"/>
                <w:szCs w:val="21"/>
                <w:highlight w:val="none"/>
              </w:rPr>
            </w:pPr>
            <w:r>
              <w:rPr>
                <w:rFonts w:ascii="宋体" w:hAnsi="宋体"/>
                <w:color w:val="auto"/>
                <w:szCs w:val="21"/>
                <w:highlight w:val="none"/>
              </w:rPr>
              <w:t>符合第二章“投标人须知”第1.4.</w:t>
            </w:r>
            <w:r>
              <w:rPr>
                <w:rFonts w:hint="eastAsia" w:ascii="宋体" w:hAnsi="宋体"/>
                <w:color w:val="auto"/>
                <w:szCs w:val="21"/>
                <w:highlight w:val="none"/>
              </w:rPr>
              <w:t>2</w:t>
            </w:r>
            <w:r>
              <w:rPr>
                <w:rFonts w:ascii="宋体" w:hAnsi="宋体"/>
                <w:color w:val="auto"/>
                <w:szCs w:val="21"/>
                <w:highlight w:val="none"/>
              </w:rPr>
              <w:t>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atLeas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不存在禁止投标的情形</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不存在第二章“投标人须知”第1.4.3项规定的任何一种情形</w:t>
            </w:r>
            <w:r>
              <w:rPr>
                <w:rFonts w:hint="eastAsia" w:ascii="宋体" w:hAnsi="宋体"/>
                <w:color w:val="auto"/>
                <w:szCs w:val="21"/>
                <w:highlight w:val="none"/>
              </w:rPr>
              <w:t>。</w:t>
            </w:r>
            <w:r>
              <w:rPr>
                <w:rFonts w:hint="eastAsia" w:ascii="宋体" w:hAnsi="宋体" w:cs="宋体"/>
                <w:color w:val="auto"/>
                <w:szCs w:val="21"/>
                <w:highlight w:val="none"/>
              </w:rPr>
              <w:t>（以投标人声明为依据）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613" w:type="dxa"/>
            <w:vMerge w:val="restart"/>
            <w:tcBorders>
              <w:top w:val="single" w:color="auto" w:sz="4" w:space="0"/>
              <w:right w:val="single" w:color="auto" w:sz="4" w:space="0"/>
            </w:tcBorders>
            <w:noWrap w:val="0"/>
            <w:vAlign w:val="center"/>
          </w:tcPr>
          <w:p>
            <w:pPr>
              <w:jc w:val="center"/>
              <w:rPr>
                <w:color w:val="auto"/>
                <w:highlight w:val="none"/>
              </w:rPr>
            </w:pPr>
            <w:r>
              <w:rPr>
                <w:color w:val="auto"/>
                <w:highlight w:val="none"/>
              </w:rPr>
              <w:t>2.1.3</w:t>
            </w:r>
          </w:p>
        </w:tc>
        <w:tc>
          <w:tcPr>
            <w:tcW w:w="1205" w:type="dxa"/>
            <w:vMerge w:val="restart"/>
            <w:tcBorders>
              <w:top w:val="single" w:color="auto" w:sz="4" w:space="0"/>
              <w:left w:val="single" w:color="auto" w:sz="4" w:space="0"/>
              <w:right w:val="single" w:color="auto" w:sz="4" w:space="0"/>
            </w:tcBorders>
            <w:noWrap w:val="0"/>
            <w:vAlign w:val="center"/>
          </w:tcPr>
          <w:p>
            <w:pPr>
              <w:jc w:val="center"/>
              <w:rPr>
                <w:color w:val="auto"/>
                <w:highlight w:val="none"/>
              </w:rPr>
            </w:pPr>
            <w:r>
              <w:rPr>
                <w:color w:val="auto"/>
                <w:highlight w:val="none"/>
              </w:rPr>
              <w:t>响应性评审标准</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投标报价</w:t>
            </w:r>
          </w:p>
        </w:tc>
        <w:tc>
          <w:tcPr>
            <w:tcW w:w="6345" w:type="dxa"/>
            <w:tcBorders>
              <w:top w:val="single" w:color="auto" w:sz="4" w:space="0"/>
              <w:left w:val="single" w:color="auto" w:sz="4" w:space="0"/>
              <w:bottom w:val="single" w:color="auto" w:sz="4" w:space="0"/>
            </w:tcBorders>
            <w:noWrap w:val="0"/>
            <w:vAlign w:val="center"/>
          </w:tcPr>
          <w:p>
            <w:pPr>
              <w:snapToGrid w:val="0"/>
              <w:rPr>
                <w:rFonts w:ascii="宋体" w:hAnsi="宋体"/>
                <w:color w:val="auto"/>
                <w:szCs w:val="21"/>
                <w:highlight w:val="none"/>
              </w:rPr>
            </w:pPr>
            <w:r>
              <w:rPr>
                <w:rFonts w:ascii="宋体" w:hAnsi="宋体"/>
                <w:color w:val="auto"/>
                <w:szCs w:val="21"/>
                <w:highlight w:val="none"/>
              </w:rPr>
              <w:t>符合第二章“投标人须知”第3.2款规定</w:t>
            </w:r>
            <w:r>
              <w:rPr>
                <w:rFonts w:hint="eastAsia" w:ascii="宋体" w:hAnsi="宋体"/>
                <w:color w:val="auto"/>
                <w:szCs w:val="21"/>
                <w:highlight w:val="none"/>
              </w:rPr>
              <w:t>进行投标报价的；对同一招标项目没有出现两个或以上的投标报价，且修正无依据。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613" w:type="dxa"/>
            <w:vMerge w:val="continue"/>
            <w:tcBorders>
              <w:right w:val="single" w:color="auto" w:sz="4" w:space="0"/>
            </w:tcBorders>
            <w:noWrap w:val="0"/>
            <w:vAlign w:val="center"/>
          </w:tcPr>
          <w:p>
            <w:pPr>
              <w:jc w:val="center"/>
              <w:rPr>
                <w:color w:val="auto"/>
                <w:highlight w:val="none"/>
              </w:rPr>
            </w:pPr>
          </w:p>
        </w:tc>
        <w:tc>
          <w:tcPr>
            <w:tcW w:w="1205" w:type="dxa"/>
            <w:vMerge w:val="continue"/>
            <w:tcBorders>
              <w:left w:val="single" w:color="auto" w:sz="4" w:space="0"/>
              <w:right w:val="single" w:color="auto" w:sz="4" w:space="0"/>
            </w:tcBorders>
            <w:noWrap w:val="0"/>
            <w:vAlign w:val="center"/>
          </w:tcPr>
          <w:p>
            <w:pPr>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投标内容</w:t>
            </w:r>
          </w:p>
        </w:tc>
        <w:tc>
          <w:tcPr>
            <w:tcW w:w="6345" w:type="dxa"/>
            <w:tcBorders>
              <w:top w:val="single" w:color="auto" w:sz="4" w:space="0"/>
              <w:left w:val="single" w:color="auto" w:sz="4" w:space="0"/>
              <w:bottom w:val="single" w:color="auto" w:sz="4" w:space="0"/>
            </w:tcBorders>
            <w:noWrap w:val="0"/>
            <w:vAlign w:val="center"/>
          </w:tcPr>
          <w:p>
            <w:pPr>
              <w:snapToGrid w:val="0"/>
              <w:jc w:val="left"/>
              <w:rPr>
                <w:rFonts w:ascii="宋体" w:hAnsi="宋体"/>
                <w:color w:val="auto"/>
                <w:szCs w:val="21"/>
                <w:highlight w:val="none"/>
              </w:rPr>
            </w:pPr>
            <w:r>
              <w:rPr>
                <w:rFonts w:hint="eastAsia" w:ascii="宋体" w:hAnsi="宋体"/>
                <w:color w:val="auto"/>
                <w:szCs w:val="21"/>
                <w:highlight w:val="none"/>
              </w:rPr>
              <w:t>符合第二章“投标人须知”第 1.3.1 项规定。</w:t>
            </w:r>
            <w:r>
              <w:rPr>
                <w:rFonts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613" w:type="dxa"/>
            <w:vMerge w:val="continue"/>
            <w:tcBorders>
              <w:right w:val="single" w:color="auto" w:sz="4" w:space="0"/>
            </w:tcBorders>
            <w:noWrap w:val="0"/>
            <w:vAlign w:val="center"/>
          </w:tcPr>
          <w:p>
            <w:pPr>
              <w:jc w:val="center"/>
              <w:rPr>
                <w:color w:val="auto"/>
                <w:highlight w:val="none"/>
              </w:rPr>
            </w:pPr>
          </w:p>
        </w:tc>
        <w:tc>
          <w:tcPr>
            <w:tcW w:w="1205" w:type="dxa"/>
            <w:vMerge w:val="continue"/>
            <w:tcBorders>
              <w:left w:val="single" w:color="auto" w:sz="4" w:space="0"/>
              <w:right w:val="single" w:color="auto" w:sz="4" w:space="0"/>
            </w:tcBorders>
            <w:noWrap w:val="0"/>
            <w:vAlign w:val="center"/>
          </w:tcPr>
          <w:p>
            <w:pPr>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监理服务期限</w:t>
            </w:r>
          </w:p>
        </w:tc>
        <w:tc>
          <w:tcPr>
            <w:tcW w:w="6345" w:type="dxa"/>
            <w:tcBorders>
              <w:top w:val="single" w:color="auto" w:sz="4" w:space="0"/>
              <w:left w:val="single" w:color="auto" w:sz="4" w:space="0"/>
              <w:bottom w:val="single" w:color="auto" w:sz="4" w:space="0"/>
            </w:tcBorders>
            <w:noWrap w:val="0"/>
            <w:vAlign w:val="center"/>
          </w:tcPr>
          <w:p>
            <w:pPr>
              <w:snapToGrid w:val="0"/>
              <w:jc w:val="left"/>
              <w:rPr>
                <w:rFonts w:ascii="宋体" w:hAnsi="宋体"/>
                <w:color w:val="auto"/>
                <w:szCs w:val="21"/>
                <w:highlight w:val="none"/>
              </w:rPr>
            </w:pPr>
            <w:r>
              <w:rPr>
                <w:rFonts w:ascii="宋体" w:hAnsi="宋体"/>
                <w:color w:val="auto"/>
                <w:szCs w:val="21"/>
                <w:highlight w:val="none"/>
              </w:rPr>
              <w:t>符合第二章“投标人须知”第1.3.2项规定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613" w:type="dxa"/>
            <w:vMerge w:val="continue"/>
            <w:tcBorders>
              <w:right w:val="single" w:color="auto" w:sz="4" w:space="0"/>
            </w:tcBorders>
            <w:noWrap w:val="0"/>
            <w:vAlign w:val="center"/>
          </w:tcPr>
          <w:p>
            <w:pPr>
              <w:jc w:val="center"/>
              <w:rPr>
                <w:color w:val="auto"/>
                <w:highlight w:val="none"/>
              </w:rPr>
            </w:pPr>
          </w:p>
        </w:tc>
        <w:tc>
          <w:tcPr>
            <w:tcW w:w="1205" w:type="dxa"/>
            <w:vMerge w:val="continue"/>
            <w:tcBorders>
              <w:left w:val="single" w:color="auto" w:sz="4" w:space="0"/>
              <w:right w:val="single" w:color="auto" w:sz="4" w:space="0"/>
            </w:tcBorders>
            <w:noWrap w:val="0"/>
            <w:vAlign w:val="center"/>
          </w:tcPr>
          <w:p>
            <w:pPr>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质量标准</w:t>
            </w:r>
          </w:p>
        </w:tc>
        <w:tc>
          <w:tcPr>
            <w:tcW w:w="6345" w:type="dxa"/>
            <w:tcBorders>
              <w:top w:val="single" w:color="auto" w:sz="4" w:space="0"/>
              <w:left w:val="single" w:color="auto" w:sz="4" w:space="0"/>
              <w:bottom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符合第二章“投标人须知”第 1.3.3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1" w:hRule="atLeast"/>
        </w:trPr>
        <w:tc>
          <w:tcPr>
            <w:tcW w:w="613" w:type="dxa"/>
            <w:vMerge w:val="continue"/>
            <w:tcBorders>
              <w:right w:val="single" w:color="auto" w:sz="4" w:space="0"/>
            </w:tcBorders>
            <w:noWrap w:val="0"/>
            <w:vAlign w:val="center"/>
          </w:tcPr>
          <w:p>
            <w:pPr>
              <w:jc w:val="center"/>
              <w:rPr>
                <w:color w:val="auto"/>
                <w:highlight w:val="none"/>
              </w:rPr>
            </w:pPr>
          </w:p>
        </w:tc>
        <w:tc>
          <w:tcPr>
            <w:tcW w:w="1205" w:type="dxa"/>
            <w:vMerge w:val="continue"/>
            <w:tcBorders>
              <w:left w:val="single" w:color="auto" w:sz="4" w:space="0"/>
              <w:right w:val="single" w:color="auto" w:sz="4" w:space="0"/>
            </w:tcBorders>
            <w:noWrap w:val="0"/>
            <w:vAlign w:val="center"/>
          </w:tcPr>
          <w:p>
            <w:pPr>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投标有效期</w:t>
            </w:r>
          </w:p>
        </w:tc>
        <w:tc>
          <w:tcPr>
            <w:tcW w:w="6345" w:type="dxa"/>
            <w:tcBorders>
              <w:top w:val="single" w:color="auto" w:sz="4" w:space="0"/>
              <w:left w:val="single" w:color="auto" w:sz="4" w:space="0"/>
              <w:bottom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符合第二章“投标人须知”第 3.3.1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atLeas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trike/>
                <w:color w:val="auto"/>
                <w:szCs w:val="21"/>
                <w:highlight w:val="none"/>
              </w:rPr>
            </w:pPr>
            <w:r>
              <w:rPr>
                <w:rFonts w:ascii="宋体" w:hAnsi="宋体"/>
                <w:strike/>
                <w:color w:val="auto"/>
                <w:szCs w:val="21"/>
                <w:highlight w:val="none"/>
              </w:rPr>
              <w:t>投标保证金</w:t>
            </w:r>
          </w:p>
        </w:tc>
        <w:tc>
          <w:tcPr>
            <w:tcW w:w="6345" w:type="dxa"/>
            <w:tcBorders>
              <w:top w:val="single" w:color="auto" w:sz="4" w:space="0"/>
              <w:left w:val="single" w:color="auto" w:sz="4" w:space="0"/>
              <w:bottom w:val="single" w:color="auto" w:sz="4" w:space="0"/>
            </w:tcBorders>
            <w:noWrap w:val="0"/>
            <w:vAlign w:val="center"/>
          </w:tcPr>
          <w:p>
            <w:pPr>
              <w:snapToGrid w:val="0"/>
              <w:rPr>
                <w:rFonts w:ascii="宋体" w:hAnsi="宋体"/>
                <w:strike/>
                <w:color w:val="auto"/>
                <w:szCs w:val="21"/>
                <w:highlight w:val="none"/>
              </w:rPr>
            </w:pPr>
            <w:r>
              <w:rPr>
                <w:rFonts w:hint="eastAsia" w:ascii="宋体" w:hAnsi="宋体"/>
                <w:strike/>
                <w:color w:val="auto"/>
                <w:szCs w:val="21"/>
                <w:highlight w:val="none"/>
              </w:rPr>
              <w:t>符合第二章</w:t>
            </w:r>
            <w:r>
              <w:rPr>
                <w:rFonts w:ascii="宋体" w:hAnsi="宋体"/>
                <w:strike/>
                <w:color w:val="auto"/>
                <w:szCs w:val="21"/>
                <w:highlight w:val="none"/>
              </w:rPr>
              <w:t>“</w:t>
            </w:r>
            <w:r>
              <w:rPr>
                <w:rFonts w:hint="eastAsia" w:ascii="宋体" w:hAnsi="宋体"/>
                <w:strike/>
                <w:color w:val="auto"/>
                <w:szCs w:val="21"/>
                <w:highlight w:val="none"/>
              </w:rPr>
              <w:t>投标人须知</w:t>
            </w:r>
            <w:r>
              <w:rPr>
                <w:rFonts w:ascii="宋体" w:hAnsi="宋体"/>
                <w:strike/>
                <w:color w:val="auto"/>
                <w:szCs w:val="21"/>
                <w:highlight w:val="none"/>
              </w:rPr>
              <w:t>”</w:t>
            </w:r>
            <w:r>
              <w:rPr>
                <w:rFonts w:hint="eastAsia" w:ascii="宋体" w:hAnsi="宋体"/>
                <w:strike/>
                <w:color w:val="auto"/>
                <w:szCs w:val="21"/>
                <w:highlight w:val="none"/>
              </w:rPr>
              <w:t>第 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613" w:type="dxa"/>
            <w:vMerge w:val="continue"/>
            <w:tcBorders>
              <w:right w:val="single" w:color="auto" w:sz="4" w:space="0"/>
            </w:tcBorders>
            <w:noWrap w:val="0"/>
            <w:vAlign w:val="center"/>
          </w:tcPr>
          <w:p>
            <w:pPr>
              <w:rPr>
                <w:color w:val="auto"/>
                <w:highlight w:val="none"/>
              </w:rPr>
            </w:pPr>
          </w:p>
        </w:tc>
        <w:tc>
          <w:tcPr>
            <w:tcW w:w="1205" w:type="dxa"/>
            <w:vMerge w:val="continue"/>
            <w:tcBorders>
              <w:left w:val="single" w:color="auto" w:sz="4" w:space="0"/>
              <w:right w:val="single" w:color="auto" w:sz="4" w:space="0"/>
            </w:tcBorders>
            <w:noWrap w:val="0"/>
            <w:vAlign w:val="center"/>
          </w:tcPr>
          <w:p>
            <w:pP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olor w:val="auto"/>
                <w:szCs w:val="21"/>
                <w:highlight w:val="none"/>
              </w:rPr>
            </w:pPr>
            <w:r>
              <w:rPr>
                <w:rFonts w:hint="eastAsia" w:ascii="宋体" w:hAnsi="宋体"/>
                <w:color w:val="auto"/>
                <w:szCs w:val="21"/>
                <w:highlight w:val="none"/>
              </w:rPr>
              <w:t>串通投标情形</w:t>
            </w:r>
          </w:p>
        </w:tc>
        <w:tc>
          <w:tcPr>
            <w:tcW w:w="6345" w:type="dxa"/>
            <w:tcBorders>
              <w:top w:val="single" w:color="auto" w:sz="4" w:space="0"/>
              <w:left w:val="single" w:color="auto" w:sz="4" w:space="0"/>
              <w:bottom w:val="single" w:color="auto" w:sz="4" w:space="0"/>
            </w:tcBorders>
            <w:noWrap w:val="0"/>
            <w:vAlign w:val="top"/>
          </w:tcPr>
          <w:p>
            <w:pPr>
              <w:snapToGrid w:val="0"/>
              <w:jc w:val="left"/>
              <w:rPr>
                <w:rFonts w:ascii="宋体" w:hAnsi="宋体"/>
                <w:color w:val="auto"/>
                <w:szCs w:val="21"/>
                <w:highlight w:val="none"/>
              </w:rPr>
            </w:pPr>
            <w:r>
              <w:rPr>
                <w:rFonts w:hint="eastAsia" w:ascii="宋体" w:hAnsi="宋体"/>
                <w:color w:val="auto"/>
                <w:szCs w:val="21"/>
                <w:highlight w:val="non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818"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条款内容</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8" w:hRule="atLeast"/>
        </w:trPr>
        <w:tc>
          <w:tcPr>
            <w:tcW w:w="1818" w:type="dxa"/>
            <w:gridSpan w:val="2"/>
            <w:tcBorders>
              <w:bottom w:val="single" w:color="auto" w:sz="4" w:space="0"/>
              <w:right w:val="single" w:color="auto" w:sz="4" w:space="0"/>
            </w:tcBorders>
            <w:noWrap w:val="0"/>
            <w:vAlign w:val="center"/>
          </w:tcPr>
          <w:p>
            <w:pPr>
              <w:jc w:val="center"/>
              <w:rPr>
                <w:color w:val="auto"/>
                <w:highlight w:val="none"/>
              </w:rPr>
            </w:pPr>
            <w:r>
              <w:rPr>
                <w:color w:val="auto"/>
                <w:highlight w:val="none"/>
              </w:rPr>
              <w:t>2.2.1</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szCs w:val="21"/>
                <w:highlight w:val="none"/>
              </w:rPr>
            </w:pPr>
            <w:r>
              <w:rPr>
                <w:rFonts w:ascii="宋体" w:hAnsi="宋体"/>
                <w:color w:val="auto"/>
                <w:szCs w:val="21"/>
                <w:highlight w:val="none"/>
              </w:rPr>
              <w:t>分值构成</w:t>
            </w:r>
          </w:p>
          <w:p>
            <w:pPr>
              <w:snapToGrid w:val="0"/>
              <w:jc w:val="left"/>
              <w:rPr>
                <w:rFonts w:ascii="宋体" w:hAnsi="宋体"/>
                <w:color w:val="auto"/>
                <w:szCs w:val="21"/>
                <w:highlight w:val="none"/>
              </w:rPr>
            </w:pPr>
            <w:r>
              <w:rPr>
                <w:rFonts w:ascii="宋体" w:hAnsi="宋体"/>
                <w:color w:val="auto"/>
                <w:szCs w:val="21"/>
                <w:highlight w:val="none"/>
              </w:rPr>
              <w:t>(总分100分)</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10" w:lineRule="exact"/>
              <w:jc w:val="left"/>
              <w:rPr>
                <w:rFonts w:ascii="宋体" w:hAnsi="宋体" w:cs="宋体"/>
                <w:color w:val="auto"/>
                <w:szCs w:val="21"/>
                <w:highlight w:val="none"/>
              </w:rPr>
            </w:pPr>
            <w:r>
              <w:rPr>
                <w:rFonts w:hint="eastAsia" w:ascii="宋体" w:hAnsi="宋体" w:cs="宋体"/>
                <w:color w:val="auto"/>
                <w:szCs w:val="21"/>
                <w:highlight w:val="none"/>
              </w:rPr>
              <w:t>投标人总得分：100分</w:t>
            </w:r>
          </w:p>
          <w:p>
            <w:pPr>
              <w:autoSpaceDE w:val="0"/>
              <w:autoSpaceDN w:val="0"/>
              <w:adjustRightInd w:val="0"/>
              <w:spacing w:line="310" w:lineRule="exact"/>
              <w:jc w:val="left"/>
              <w:rPr>
                <w:rFonts w:ascii="宋体" w:hAnsi="宋体" w:cs="宋体"/>
                <w:color w:val="auto"/>
                <w:szCs w:val="21"/>
                <w:highlight w:val="none"/>
              </w:rPr>
            </w:pPr>
            <w:r>
              <w:rPr>
                <w:rFonts w:hint="eastAsia" w:ascii="宋体" w:hAnsi="宋体" w:cs="宋体"/>
                <w:color w:val="auto"/>
                <w:szCs w:val="21"/>
                <w:highlight w:val="none"/>
              </w:rPr>
              <w:t>资信业绩部分：50分 </w:t>
            </w:r>
          </w:p>
          <w:p>
            <w:pPr>
              <w:autoSpaceDE w:val="0"/>
              <w:autoSpaceDN w:val="0"/>
              <w:adjustRightInd w:val="0"/>
              <w:spacing w:line="310" w:lineRule="exact"/>
              <w:jc w:val="left"/>
              <w:rPr>
                <w:rFonts w:ascii="宋体" w:hAnsi="宋体" w:cs="宋体"/>
                <w:color w:val="auto"/>
                <w:szCs w:val="21"/>
                <w:highlight w:val="none"/>
              </w:rPr>
            </w:pPr>
            <w:r>
              <w:rPr>
                <w:rFonts w:hint="eastAsia" w:ascii="宋体" w:hAnsi="宋体" w:cs="宋体"/>
                <w:color w:val="auto"/>
                <w:szCs w:val="21"/>
                <w:highlight w:val="none"/>
              </w:rPr>
              <w:t>监理大纲部分：30分 </w:t>
            </w:r>
          </w:p>
          <w:p>
            <w:pPr>
              <w:autoSpaceDE w:val="0"/>
              <w:autoSpaceDN w:val="0"/>
              <w:adjustRightInd w:val="0"/>
              <w:spacing w:line="310" w:lineRule="exact"/>
              <w:jc w:val="left"/>
              <w:rPr>
                <w:rFonts w:ascii="宋体" w:hAnsi="宋体" w:cs="宋体"/>
                <w:color w:val="auto"/>
                <w:szCs w:val="21"/>
                <w:highlight w:val="none"/>
              </w:rPr>
            </w:pPr>
            <w:r>
              <w:rPr>
                <w:rFonts w:hint="eastAsia" w:ascii="宋体" w:hAnsi="宋体" w:cs="宋体"/>
                <w:color w:val="auto"/>
                <w:szCs w:val="21"/>
                <w:highlight w:val="none"/>
              </w:rPr>
              <w:t>投标报价：10分</w:t>
            </w:r>
          </w:p>
          <w:p>
            <w:pPr>
              <w:autoSpaceDE w:val="0"/>
              <w:autoSpaceDN w:val="0"/>
              <w:adjustRightInd w:val="0"/>
              <w:spacing w:line="310" w:lineRule="exact"/>
              <w:jc w:val="left"/>
              <w:rPr>
                <w:rFonts w:ascii="宋体" w:hAnsi="宋体" w:cs="宋体"/>
                <w:color w:val="auto"/>
                <w:szCs w:val="21"/>
                <w:highlight w:val="none"/>
              </w:rPr>
            </w:pPr>
            <w:r>
              <w:rPr>
                <w:rFonts w:hint="eastAsia" w:ascii="宋体" w:hAnsi="宋体" w:cs="宋体"/>
                <w:color w:val="auto"/>
                <w:szCs w:val="21"/>
                <w:highlight w:val="none"/>
              </w:rPr>
              <w:t>诚信评价分：10分</w:t>
            </w:r>
          </w:p>
          <w:p>
            <w:pPr>
              <w:pStyle w:val="8"/>
              <w:rPr>
                <w:color w:val="auto"/>
              </w:rPr>
            </w:pPr>
            <w:r>
              <w:rPr>
                <w:rFonts w:hint="eastAsia" w:ascii="宋体" w:hAnsi="宋体" w:cs="宋体"/>
                <w:color w:val="auto"/>
                <w:szCs w:val="21"/>
                <w:highlight w:val="none"/>
              </w:rPr>
              <w:t>投标人综合诚信评价排名得分（权重10%）</w:t>
            </w:r>
            <w:r>
              <w:rPr>
                <w:rFonts w:hint="eastAsia" w:hAnsi="宋体" w:cs="宋体"/>
                <w:color w:val="auto"/>
                <w:szCs w:val="21"/>
                <w:highlight w:val="none"/>
              </w:rPr>
              <w:t>按</w:t>
            </w:r>
            <w:r>
              <w:rPr>
                <w:rFonts w:hint="eastAsia"/>
                <w:color w:val="auto"/>
              </w:rPr>
              <w:t>广州市水务工程建设管理数字化监管平台 （http://112.94.68.142:8012/#/website）</w:t>
            </w:r>
          </w:p>
          <w:p>
            <w:pPr>
              <w:snapToGrid w:val="0"/>
              <w:jc w:val="left"/>
              <w:rPr>
                <w:rFonts w:hint="eastAsia" w:ascii="宋体" w:hAnsi="宋体"/>
                <w:color w:val="auto"/>
                <w:szCs w:val="21"/>
                <w:highlight w:val="none"/>
              </w:rPr>
            </w:pPr>
            <w:r>
              <w:rPr>
                <w:rFonts w:hint="eastAsia" w:hAnsi="宋体" w:cs="宋体"/>
                <w:color w:val="auto"/>
                <w:szCs w:val="21"/>
                <w:highlight w:val="none"/>
              </w:rPr>
              <w:t>中的“诚信排名&gt;&gt;监理—水利”</w:t>
            </w:r>
            <w:r>
              <w:rPr>
                <w:rFonts w:hint="eastAsia" w:ascii="宋体" w:hAnsi="宋体"/>
                <w:color w:val="auto"/>
                <w:szCs w:val="21"/>
                <w:highlight w:val="none"/>
              </w:rPr>
              <w:t>中“诚信综合评价”得分为准</w:t>
            </w:r>
            <w:r>
              <w:rPr>
                <w:rFonts w:hint="eastAsia" w:hAnsi="宋体" w:cs="宋体"/>
                <w:color w:val="auto"/>
                <w:szCs w:val="21"/>
                <w:highlight w:val="none"/>
              </w:rPr>
              <w:t>；</w:t>
            </w:r>
            <w:r>
              <w:rPr>
                <w:rFonts w:hint="eastAsia" w:ascii="宋体" w:hAnsi="宋体" w:cs="宋体"/>
                <w:color w:val="auto"/>
                <w:szCs w:val="21"/>
                <w:highlight w:val="none"/>
              </w:rPr>
              <w:t>未入库企业或在</w:t>
            </w:r>
            <w:r>
              <w:rPr>
                <w:rFonts w:hint="eastAsia"/>
                <w:color w:val="auto"/>
              </w:rPr>
              <w:t>广州市水务工程建设管理数字化监管平台</w:t>
            </w:r>
            <w:r>
              <w:rPr>
                <w:rFonts w:hint="eastAsia" w:ascii="宋体" w:hAnsi="宋体" w:cs="宋体"/>
                <w:color w:val="auto"/>
                <w:szCs w:val="21"/>
                <w:highlight w:val="none"/>
              </w:rPr>
              <w:t>中尚无诚信排名的投标人，其诚信评价分按80分计算。诚信评价总分应当采用诚信评价信息系统在招标公告发布第1天所在季度的上一季度公布的分数。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2" w:hRule="atLeast"/>
        </w:trPr>
        <w:tc>
          <w:tcPr>
            <w:tcW w:w="1818" w:type="dxa"/>
            <w:gridSpan w:val="2"/>
            <w:tcBorders>
              <w:top w:val="single" w:color="auto" w:sz="4" w:space="0"/>
              <w:bottom w:val="single" w:color="auto" w:sz="4" w:space="0"/>
              <w:right w:val="single" w:color="auto" w:sz="4" w:space="0"/>
            </w:tcBorders>
            <w:noWrap w:val="0"/>
            <w:vAlign w:val="center"/>
          </w:tcPr>
          <w:p>
            <w:pPr>
              <w:jc w:val="center"/>
              <w:rPr>
                <w:color w:val="auto"/>
                <w:highlight w:val="none"/>
              </w:rPr>
            </w:pPr>
            <w:r>
              <w:rPr>
                <w:color w:val="auto"/>
                <w:highlight w:val="none"/>
              </w:rPr>
              <w:t>2.2.2</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szCs w:val="21"/>
                <w:highlight w:val="none"/>
              </w:rPr>
            </w:pPr>
            <w:r>
              <w:rPr>
                <w:rFonts w:ascii="宋体" w:hAnsi="宋体"/>
                <w:color w:val="auto"/>
                <w:szCs w:val="21"/>
                <w:highlight w:val="none"/>
              </w:rPr>
              <w:t>评标基准价计算方法</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pacing w:val="-3"/>
                <w:highlight w:val="none"/>
              </w:rPr>
            </w:pPr>
            <w:r>
              <w:rPr>
                <w:rFonts w:hint="eastAsia" w:ascii="宋体" w:hAnsi="宋体"/>
                <w:color w:val="auto"/>
                <w:spacing w:val="-3"/>
                <w:highlight w:val="none"/>
              </w:rPr>
              <w:t>当通过形式评审、资格评审、响应性评审的</w:t>
            </w:r>
            <w:r>
              <w:rPr>
                <w:rFonts w:ascii="宋体" w:hAnsi="宋体"/>
                <w:color w:val="auto"/>
                <w:spacing w:val="-3"/>
                <w:highlight w:val="none"/>
              </w:rPr>
              <w:t>有效投标人且经算术校核的报价位于[</w:t>
            </w:r>
            <w:r>
              <w:rPr>
                <w:rFonts w:hint="eastAsia" w:ascii="宋体" w:hAnsi="宋体" w:cs="宋体"/>
                <w:color w:val="auto"/>
                <w:szCs w:val="21"/>
                <w:highlight w:val="none"/>
              </w:rPr>
              <w:t>最高投标限价×80%，最高投标限价</w:t>
            </w:r>
            <w:r>
              <w:rPr>
                <w:rFonts w:ascii="宋体" w:hAnsi="宋体"/>
                <w:color w:val="auto"/>
                <w:spacing w:val="-3"/>
                <w:highlight w:val="none"/>
              </w:rPr>
              <w:t>]区间的投标人的报价大于5个，去一个最高价和一个最低价后，剩余报价的算术平均值为评标基准价。若位于[</w:t>
            </w:r>
            <w:r>
              <w:rPr>
                <w:rFonts w:hint="eastAsia" w:ascii="宋体" w:hAnsi="宋体" w:cs="宋体"/>
                <w:color w:val="auto"/>
                <w:szCs w:val="21"/>
                <w:highlight w:val="none"/>
              </w:rPr>
              <w:t>最高投标限价</w:t>
            </w:r>
            <w:r>
              <w:rPr>
                <w:rFonts w:ascii="宋体" w:hAnsi="宋体"/>
                <w:color w:val="auto"/>
                <w:spacing w:val="-3"/>
                <w:highlight w:val="none"/>
              </w:rPr>
              <w:t>×80%，招标控制价]区间的投标人的报价少于或等于5个，直接取区间中的投标价的算术平均值为评标基准价。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7" w:hRule="atLeast"/>
        </w:trPr>
        <w:tc>
          <w:tcPr>
            <w:tcW w:w="1818" w:type="dxa"/>
            <w:gridSpan w:val="2"/>
            <w:tcBorders>
              <w:top w:val="single" w:color="auto" w:sz="4" w:space="0"/>
              <w:bottom w:val="single" w:color="auto" w:sz="4" w:space="0"/>
              <w:right w:val="single" w:color="auto" w:sz="4" w:space="0"/>
            </w:tcBorders>
            <w:noWrap w:val="0"/>
            <w:vAlign w:val="center"/>
          </w:tcPr>
          <w:p>
            <w:pPr>
              <w:jc w:val="center"/>
              <w:rPr>
                <w:color w:val="auto"/>
                <w:highlight w:val="none"/>
              </w:rPr>
            </w:pPr>
            <w:r>
              <w:rPr>
                <w:color w:val="auto"/>
                <w:highlight w:val="none"/>
              </w:rPr>
              <w:t>2.2.3</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highlight w:val="none"/>
              </w:rPr>
            </w:pPr>
            <w:r>
              <w:rPr>
                <w:rFonts w:ascii="宋体" w:hAnsi="宋体"/>
                <w:color w:val="auto"/>
                <w:szCs w:val="21"/>
                <w:highlight w:val="none"/>
              </w:rPr>
              <w:t>投标报价的偏差率计算公式</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spacing w:val="-3"/>
                <w:highlight w:val="none"/>
              </w:rPr>
            </w:pPr>
            <w:r>
              <w:rPr>
                <w:rFonts w:ascii="宋体" w:hAnsi="宋体"/>
                <w:color w:val="auto"/>
                <w:spacing w:val="-3"/>
                <w:highlight w:val="none"/>
              </w:rPr>
              <w:t>偏差率=100% ×|（投标人报价-评标基准价）|/评标基准价（偏差率出现小数点时，保留小数点后2位，第三位小数四舍五入。</w:t>
            </w:r>
            <w:r>
              <w:rPr>
                <w:rFonts w:hint="eastAsia" w:ascii="宋体" w:hAnsi="Courier New"/>
                <w:color w:val="auto"/>
                <w:szCs w:val="21"/>
                <w:highlight w:val="none"/>
              </w:rPr>
              <w:t>报价偏差率不足1%的，按直线内插法计算投标报价得分</w:t>
            </w:r>
            <w:r>
              <w:rPr>
                <w:rFonts w:ascii="宋体" w:hAnsi="宋体"/>
                <w:color w:val="auto"/>
                <w:spacing w:val="-3"/>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blHeader/>
        </w:trPr>
        <w:tc>
          <w:tcPr>
            <w:tcW w:w="1818"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评分因素</w:t>
            </w:r>
            <w:r>
              <w:rPr>
                <w:rFonts w:hint="eastAsia" w:ascii="宋体" w:hAnsi="宋体"/>
                <w:b/>
                <w:color w:val="auto"/>
                <w:szCs w:val="21"/>
                <w:highlight w:val="none"/>
              </w:rPr>
              <w:t>（偏差率）</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Cs w:val="21"/>
                <w:highlight w:val="none"/>
              </w:rPr>
            </w:pPr>
            <w:r>
              <w:rPr>
                <w:rFonts w:ascii="宋体" w:hAnsi="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1" w:hRule="atLeast"/>
        </w:trPr>
        <w:tc>
          <w:tcPr>
            <w:tcW w:w="613" w:type="dxa"/>
            <w:vMerge w:val="restart"/>
            <w:tcBorders>
              <w:top w:val="single" w:color="auto" w:sz="4" w:space="0"/>
              <w:bottom w:val="single" w:color="auto" w:sz="4" w:space="0"/>
              <w:right w:val="single" w:color="auto" w:sz="4" w:space="0"/>
            </w:tcBorders>
            <w:noWrap w:val="0"/>
            <w:vAlign w:val="center"/>
          </w:tcPr>
          <w:p>
            <w:pPr>
              <w:pStyle w:val="45"/>
              <w:kinsoku w:val="0"/>
              <w:overflowPunct w:val="0"/>
              <w:ind w:left="-63" w:leftChars="-30" w:right="-111" w:rightChars="-53" w:firstLine="63" w:firstLineChars="30"/>
              <w:jc w:val="center"/>
              <w:rPr>
                <w:color w:val="auto"/>
                <w:highlight w:val="none"/>
              </w:rPr>
            </w:pPr>
            <w:r>
              <w:rPr>
                <w:color w:val="auto"/>
                <w:highlight w:val="none"/>
              </w:rPr>
              <w:t>2.2.4</w:t>
            </w:r>
          </w:p>
          <w:p>
            <w:pPr>
              <w:pStyle w:val="45"/>
              <w:kinsoku w:val="0"/>
              <w:overflowPunct w:val="0"/>
              <w:spacing w:before="6" w:line="110" w:lineRule="exact"/>
              <w:ind w:left="-63" w:leftChars="-30" w:right="-111" w:rightChars="-53" w:firstLine="33" w:firstLineChars="30"/>
              <w:jc w:val="center"/>
              <w:rPr>
                <w:color w:val="auto"/>
                <w:sz w:val="11"/>
                <w:highlight w:val="none"/>
              </w:rPr>
            </w:pPr>
          </w:p>
          <w:p>
            <w:pPr>
              <w:pStyle w:val="45"/>
              <w:kinsoku w:val="0"/>
              <w:overflowPunct w:val="0"/>
              <w:ind w:left="-63" w:leftChars="-30" w:right="-111" w:rightChars="-53" w:firstLine="62" w:firstLineChars="30"/>
              <w:jc w:val="center"/>
              <w:rPr>
                <w:color w:val="auto"/>
                <w:highlight w:val="none"/>
              </w:rPr>
            </w:pPr>
            <w:r>
              <w:rPr>
                <w:rFonts w:ascii="宋体" w:hAnsi="宋体"/>
                <w:color w:val="auto"/>
                <w:spacing w:val="-1"/>
                <w:highlight w:val="none"/>
              </w:rPr>
              <w:t>（</w:t>
            </w:r>
            <w:r>
              <w:rPr>
                <w:color w:val="auto"/>
                <w:highlight w:val="none"/>
              </w:rPr>
              <w:t>1</w:t>
            </w:r>
            <w:r>
              <w:rPr>
                <w:rFonts w:ascii="宋体" w:hAnsi="宋体"/>
                <w:color w:val="auto"/>
                <w:highlight w:val="none"/>
              </w:rPr>
              <w:t>）</w:t>
            </w:r>
          </w:p>
        </w:tc>
        <w:tc>
          <w:tcPr>
            <w:tcW w:w="1205" w:type="dxa"/>
            <w:vMerge w:val="restart"/>
            <w:tcBorders>
              <w:top w:val="single" w:color="auto" w:sz="4" w:space="0"/>
              <w:bottom w:val="single" w:color="auto" w:sz="4" w:space="0"/>
              <w:right w:val="single" w:color="auto" w:sz="4" w:space="0"/>
            </w:tcBorders>
            <w:noWrap w:val="0"/>
            <w:vAlign w:val="center"/>
          </w:tcPr>
          <w:p>
            <w:pPr>
              <w:ind w:left="315" w:hanging="315" w:hangingChars="150"/>
              <w:jc w:val="center"/>
              <w:rPr>
                <w:rFonts w:hint="eastAsia" w:ascii="宋体" w:hAnsi="宋体"/>
                <w:color w:val="auto"/>
                <w:highlight w:val="none"/>
              </w:rPr>
            </w:pPr>
            <w:r>
              <w:rPr>
                <w:rFonts w:hint="eastAsia" w:ascii="宋体" w:hAnsi="宋体"/>
                <w:color w:val="auto"/>
                <w:highlight w:val="none"/>
              </w:rPr>
              <w:t>资信</w:t>
            </w:r>
            <w:r>
              <w:rPr>
                <w:rFonts w:hint="eastAsia" w:ascii="宋体" w:hAnsi="宋体"/>
                <w:color w:val="auto"/>
                <w:spacing w:val="-3"/>
                <w:highlight w:val="none"/>
              </w:rPr>
              <w:t>业</w:t>
            </w:r>
            <w:r>
              <w:rPr>
                <w:rFonts w:hint="eastAsia" w:ascii="宋体" w:hAnsi="宋体"/>
                <w:color w:val="auto"/>
                <w:highlight w:val="none"/>
              </w:rPr>
              <w:t>绩</w:t>
            </w:r>
          </w:p>
          <w:p>
            <w:pPr>
              <w:ind w:left="315" w:hanging="315" w:hangingChars="150"/>
              <w:jc w:val="center"/>
              <w:rPr>
                <w:rFonts w:hint="eastAsia"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ind w:left="315" w:hanging="315" w:hangingChars="150"/>
              <w:jc w:val="center"/>
              <w:rPr>
                <w:color w:val="auto"/>
                <w:highlight w:val="none"/>
              </w:rPr>
            </w:pPr>
            <w:r>
              <w:rPr>
                <w:rFonts w:hint="eastAsia" w:ascii="宋体" w:hAnsi="宋体"/>
                <w:color w:val="auto"/>
                <w:highlight w:val="none"/>
              </w:rPr>
              <w:t>（50分）</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tabs>
                <w:tab w:val="left" w:pos="235"/>
                <w:tab w:val="center" w:pos="737"/>
              </w:tabs>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eastAsia="zh-CN"/>
              </w:rPr>
              <w:tab/>
            </w:r>
            <w:r>
              <w:rPr>
                <w:rFonts w:hint="eastAsia" w:ascii="宋体" w:hAnsi="宋体" w:cs="宋体"/>
                <w:color w:val="auto"/>
                <w:szCs w:val="21"/>
                <w:highlight w:val="none"/>
                <w:lang w:eastAsia="zh-CN"/>
              </w:rPr>
              <w:tab/>
            </w:r>
            <w:r>
              <w:rPr>
                <w:rFonts w:hint="eastAsia" w:ascii="宋体" w:hAnsi="宋体" w:cs="宋体"/>
                <w:color w:val="auto"/>
                <w:szCs w:val="21"/>
                <w:highlight w:val="none"/>
              </w:rPr>
              <w:t>类似业绩</w:t>
            </w:r>
          </w:p>
          <w:p>
            <w:pPr>
              <w:spacing w:line="360" w:lineRule="auto"/>
              <w:jc w:val="center"/>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highlight w:val="none"/>
              </w:rPr>
            </w:pPr>
            <w:r>
              <w:rPr>
                <w:rFonts w:hint="eastAsia" w:ascii="宋体" w:hAnsi="宋体"/>
                <w:color w:val="auto"/>
                <w:highlight w:val="none"/>
              </w:rPr>
              <w:t>投标人2019年1月1日至今，完成过工程总投资</w:t>
            </w:r>
            <w:r>
              <w:rPr>
                <w:rFonts w:hint="eastAsia" w:ascii="宋体" w:hAnsi="宋体"/>
                <w:color w:val="auto"/>
                <w:highlight w:val="none"/>
                <w:lang w:val="en-US" w:eastAsia="zh-CN"/>
              </w:rPr>
              <w:t>1.4</w:t>
            </w:r>
            <w:r>
              <w:rPr>
                <w:rFonts w:hint="eastAsia" w:ascii="宋体" w:hAnsi="宋体"/>
                <w:color w:val="auto"/>
                <w:highlight w:val="none"/>
              </w:rPr>
              <w:t>亿元（不含）以上水利工程施工监理项目，每项得</w:t>
            </w:r>
            <w:r>
              <w:rPr>
                <w:rFonts w:hint="eastAsia" w:ascii="宋体" w:hAnsi="宋体"/>
                <w:color w:val="auto"/>
                <w:highlight w:val="none"/>
                <w:lang w:val="en-US" w:eastAsia="zh-CN"/>
              </w:rPr>
              <w:t>2</w:t>
            </w:r>
            <w:r>
              <w:rPr>
                <w:rFonts w:hint="eastAsia" w:ascii="宋体" w:hAnsi="宋体"/>
                <w:color w:val="auto"/>
                <w:highlight w:val="none"/>
              </w:rPr>
              <w:t>分，最</w:t>
            </w:r>
            <w:r>
              <w:rPr>
                <w:rFonts w:hint="eastAsia" w:ascii="宋体" w:hAnsi="宋体"/>
                <w:color w:val="auto"/>
                <w:highlight w:val="none"/>
                <w:lang w:val="en-US" w:eastAsia="zh-CN"/>
              </w:rPr>
              <w:t>高</w:t>
            </w:r>
            <w:r>
              <w:rPr>
                <w:rFonts w:hint="eastAsia" w:ascii="宋体" w:hAnsi="宋体"/>
                <w:color w:val="auto"/>
                <w:highlight w:val="none"/>
              </w:rPr>
              <w:t>得</w:t>
            </w:r>
            <w:r>
              <w:rPr>
                <w:rFonts w:hint="eastAsia" w:ascii="宋体" w:hAnsi="宋体"/>
                <w:color w:val="auto"/>
                <w:highlight w:val="none"/>
                <w:lang w:val="en-US" w:eastAsia="zh-CN"/>
              </w:rPr>
              <w:t>10</w:t>
            </w:r>
            <w:r>
              <w:rPr>
                <w:rFonts w:hint="eastAsia" w:ascii="宋体" w:hAnsi="宋体"/>
                <w:color w:val="auto"/>
                <w:highlight w:val="none"/>
              </w:rPr>
              <w:t>分。</w:t>
            </w:r>
          </w:p>
          <w:p>
            <w:pPr>
              <w:spacing w:line="360" w:lineRule="auto"/>
              <w:rPr>
                <w:rFonts w:hint="eastAsia"/>
                <w:color w:val="auto"/>
                <w:highlight w:val="none"/>
              </w:rPr>
            </w:pPr>
            <w:r>
              <w:rPr>
                <w:color w:val="auto"/>
                <w:kern w:val="0"/>
                <w:highlight w:val="none"/>
              </w:rPr>
              <w:t>注：</w:t>
            </w:r>
            <w:r>
              <w:rPr>
                <w:rFonts w:hint="eastAsia"/>
                <w:color w:val="auto"/>
                <w:kern w:val="0"/>
                <w:highlight w:val="none"/>
              </w:rPr>
              <w:t>须同时提供中标通知书、监理合同关键页和</w:t>
            </w:r>
            <w:r>
              <w:rPr>
                <w:rFonts w:hint="eastAsia" w:ascii="宋体" w:hAnsi="宋体"/>
                <w:color w:val="auto"/>
                <w:highlight w:val="none"/>
              </w:rPr>
              <w:t>单位工程验收鉴定书或完工验收鉴定书或竣工验收鉴定书或竣工验收报告。业绩时间以单位工程验收鉴定书或完工验收鉴定书或竣工验收鉴定书或竣工验收报告的验收时间为准</w:t>
            </w:r>
            <w:r>
              <w:rPr>
                <w:rFonts w:hint="eastAsia"/>
                <w:color w:val="auto"/>
                <w:kern w:val="0"/>
                <w:highlight w:val="none"/>
              </w:rPr>
              <w:t>，总投资</w:t>
            </w:r>
            <w:r>
              <w:rPr>
                <w:rFonts w:hint="eastAsia"/>
                <w:color w:val="auto"/>
                <w:kern w:val="0"/>
                <w:highlight w:val="none"/>
                <w:lang w:val="en-US" w:eastAsia="zh-CN"/>
              </w:rPr>
              <w:t>以</w:t>
            </w:r>
            <w:r>
              <w:rPr>
                <w:rFonts w:hint="eastAsia"/>
                <w:color w:val="auto"/>
                <w:kern w:val="0"/>
                <w:highlight w:val="none"/>
              </w:rPr>
              <w:t>监理合同</w:t>
            </w:r>
            <w:r>
              <w:rPr>
                <w:rFonts w:hint="eastAsia"/>
                <w:color w:val="auto"/>
                <w:kern w:val="0"/>
                <w:highlight w:val="none"/>
                <w:lang w:eastAsia="zh-CN"/>
              </w:rPr>
              <w:t>标注的总投资金额</w:t>
            </w:r>
            <w:r>
              <w:rPr>
                <w:rFonts w:hint="eastAsia"/>
                <w:color w:val="auto"/>
                <w:highlight w:val="none"/>
                <w:lang w:eastAsia="zh-CN"/>
              </w:rPr>
              <w:t>为准，</w:t>
            </w:r>
            <w:r>
              <w:rPr>
                <w:rFonts w:hint="eastAsia"/>
                <w:color w:val="auto"/>
                <w:kern w:val="0"/>
                <w:highlight w:val="none"/>
              </w:rPr>
              <w:t>如以上资料不能证明业绩规模或投资额的，须另提供立项批复等可证明业绩规模或投资额的相关材料，否则不得分。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95"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监理获奖业绩（8分）</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highlight w:val="none"/>
              </w:rPr>
            </w:pPr>
            <w:r>
              <w:rPr>
                <w:rFonts w:hint="eastAsia" w:ascii="宋体" w:hAnsi="宋体" w:cs="宋体"/>
                <w:color w:val="auto"/>
                <w:szCs w:val="21"/>
                <w:highlight w:val="none"/>
              </w:rPr>
              <w:t>投标</w:t>
            </w:r>
            <w:r>
              <w:rPr>
                <w:rFonts w:hint="eastAsia" w:ascii="宋体" w:hAnsi="宋体"/>
                <w:color w:val="auto"/>
                <w:highlight w:val="none"/>
              </w:rPr>
              <w:t>人2019年1月1日至今，独立承接的水利工程施工监理项目获得过质量奖项</w:t>
            </w:r>
            <w:r>
              <w:rPr>
                <w:rFonts w:hint="eastAsia" w:ascii="宋体" w:hAnsi="宋体"/>
                <w:color w:val="auto"/>
                <w:highlight w:val="none"/>
                <w:lang w:eastAsia="zh-CN"/>
              </w:rPr>
              <w:t>：</w:t>
            </w:r>
            <w:r>
              <w:rPr>
                <w:rFonts w:hint="eastAsia" w:ascii="宋体" w:hAnsi="宋体"/>
                <w:color w:val="auto"/>
                <w:highlight w:val="none"/>
                <w:lang w:val="en-US" w:eastAsia="zh-CN"/>
              </w:rPr>
              <w:t>获得过国家级奖项的每项得4分，最高得4分；获得过</w:t>
            </w:r>
            <w:r>
              <w:rPr>
                <w:rFonts w:hint="eastAsia" w:ascii="宋体" w:hAnsi="宋体"/>
                <w:color w:val="auto"/>
                <w:highlight w:val="none"/>
              </w:rPr>
              <w:t>省级</w:t>
            </w:r>
            <w:r>
              <w:rPr>
                <w:rFonts w:hint="eastAsia" w:ascii="宋体" w:hAnsi="宋体"/>
                <w:color w:val="auto"/>
                <w:highlight w:val="none"/>
                <w:lang w:val="en-US" w:eastAsia="zh-CN"/>
              </w:rPr>
              <w:t>奖项</w:t>
            </w:r>
            <w:r>
              <w:rPr>
                <w:rFonts w:hint="eastAsia" w:ascii="宋体" w:hAnsi="宋体"/>
                <w:color w:val="auto"/>
                <w:highlight w:val="none"/>
              </w:rPr>
              <w:t>的每项得</w:t>
            </w:r>
            <w:r>
              <w:rPr>
                <w:rFonts w:hint="eastAsia" w:ascii="宋体" w:hAnsi="宋体"/>
                <w:color w:val="auto"/>
                <w:highlight w:val="none"/>
                <w:lang w:val="en-US" w:eastAsia="zh-CN"/>
              </w:rPr>
              <w:t>1</w:t>
            </w:r>
            <w:r>
              <w:rPr>
                <w:rFonts w:hint="eastAsia" w:ascii="宋体" w:hAnsi="宋体"/>
                <w:color w:val="auto"/>
                <w:highlight w:val="none"/>
              </w:rPr>
              <w:t>分，最</w:t>
            </w:r>
            <w:r>
              <w:rPr>
                <w:rFonts w:hint="eastAsia" w:ascii="宋体" w:hAnsi="宋体"/>
                <w:color w:val="auto"/>
                <w:highlight w:val="none"/>
                <w:lang w:val="en-US" w:eastAsia="zh-CN"/>
              </w:rPr>
              <w:t>高</w:t>
            </w:r>
            <w:r>
              <w:rPr>
                <w:rFonts w:hint="eastAsia" w:ascii="宋体" w:hAnsi="宋体"/>
                <w:color w:val="auto"/>
                <w:highlight w:val="none"/>
              </w:rPr>
              <w:t>得</w:t>
            </w:r>
            <w:r>
              <w:rPr>
                <w:rFonts w:hint="eastAsia" w:ascii="宋体" w:hAnsi="宋体"/>
                <w:color w:val="auto"/>
                <w:highlight w:val="none"/>
                <w:lang w:val="en-US" w:eastAsia="zh-CN"/>
              </w:rPr>
              <w:t>4</w:t>
            </w:r>
            <w:r>
              <w:rPr>
                <w:rFonts w:hint="eastAsia" w:ascii="宋体" w:hAnsi="宋体"/>
                <w:color w:val="auto"/>
                <w:highlight w:val="none"/>
              </w:rPr>
              <w:t>分。</w:t>
            </w:r>
          </w:p>
          <w:p>
            <w:pPr>
              <w:spacing w:line="360" w:lineRule="auto"/>
              <w:rPr>
                <w:rFonts w:hint="eastAsia"/>
                <w:color w:val="auto"/>
                <w:highlight w:val="none"/>
              </w:rPr>
            </w:pPr>
            <w:r>
              <w:rPr>
                <w:rFonts w:hint="eastAsia" w:ascii="宋体" w:hAnsi="宋体"/>
                <w:color w:val="auto"/>
                <w:highlight w:val="none"/>
              </w:rPr>
              <w:t>注：</w:t>
            </w:r>
            <w:r>
              <w:rPr>
                <w:rFonts w:hint="eastAsia" w:ascii="宋体" w:hAnsi="宋体"/>
                <w:color w:val="auto"/>
                <w:highlight w:val="none"/>
                <w:lang w:val="en-US" w:eastAsia="zh-CN"/>
              </w:rPr>
              <w:t>以上最高得8分；</w:t>
            </w:r>
            <w:r>
              <w:rPr>
                <w:rFonts w:hint="eastAsia" w:ascii="宋体" w:hAnsi="宋体"/>
                <w:color w:val="auto"/>
                <w:highlight w:val="none"/>
              </w:rPr>
              <w:t>须</w:t>
            </w:r>
            <w:r>
              <w:rPr>
                <w:rFonts w:hint="eastAsia" w:ascii="宋体" w:hAnsi="宋体"/>
                <w:color w:val="auto"/>
                <w:highlight w:val="none"/>
                <w:lang w:val="en-US" w:eastAsia="zh-CN"/>
              </w:rPr>
              <w:t>同时</w:t>
            </w:r>
            <w:r>
              <w:rPr>
                <w:rFonts w:hint="eastAsia" w:ascii="宋体" w:hAnsi="宋体"/>
                <w:color w:val="auto"/>
                <w:highlight w:val="none"/>
              </w:rPr>
              <w:t>提供</w:t>
            </w:r>
            <w:r>
              <w:rPr>
                <w:rFonts w:hint="eastAsia" w:ascii="宋体" w:hAnsi="宋体"/>
                <w:color w:val="auto"/>
                <w:highlight w:val="none"/>
                <w:lang w:val="en-US" w:eastAsia="zh-CN"/>
              </w:rPr>
              <w:t>获奖项目的中标通知书、监理合同关键页和</w:t>
            </w:r>
            <w:r>
              <w:rPr>
                <w:rFonts w:hint="eastAsia" w:ascii="宋体" w:hAnsi="宋体"/>
                <w:color w:val="auto"/>
                <w:highlight w:val="none"/>
              </w:rPr>
              <w:t>获奖证书</w:t>
            </w:r>
            <w:r>
              <w:rPr>
                <w:rFonts w:hint="eastAsia" w:ascii="宋体" w:hAnsi="宋体"/>
                <w:color w:val="auto"/>
                <w:highlight w:val="none"/>
                <w:lang w:eastAsia="zh-CN"/>
              </w:rPr>
              <w:t>；</w:t>
            </w:r>
            <w:r>
              <w:rPr>
                <w:rFonts w:hint="eastAsia" w:ascii="宋体" w:hAnsi="宋体"/>
                <w:color w:val="auto"/>
                <w:highlight w:val="none"/>
              </w:rPr>
              <w:t>如颁证单位为协会的，还应提供该协会在“全国社会组织信用信息公示平台（试运行）”登记的网页截</w:t>
            </w:r>
            <w:r>
              <w:rPr>
                <w:rFonts w:hint="eastAsia" w:ascii="宋体" w:hAnsi="宋体" w:cs="宋体"/>
                <w:color w:val="auto"/>
                <w:szCs w:val="21"/>
                <w:highlight w:val="none"/>
              </w:rPr>
              <w:t>图，否则不得分。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1"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115" w:leftChars="-55" w:right="-122" w:rightChars="-58"/>
              <w:jc w:val="center"/>
              <w:rPr>
                <w:color w:val="auto"/>
                <w:highlight w:val="none"/>
              </w:rPr>
            </w:pPr>
          </w:p>
        </w:tc>
        <w:tc>
          <w:tcPr>
            <w:tcW w:w="15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项目总监</w:t>
            </w:r>
          </w:p>
          <w:p>
            <w:pPr>
              <w:spacing w:line="360" w:lineRule="auto"/>
              <w:jc w:val="center"/>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tc>
        <w:tc>
          <w:tcPr>
            <w:tcW w:w="6345"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（1）总监理工程师取得水利工程建设监理工程师资格10年（不含）以上的得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分；10年以下的得1分。</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（2）总监理工程师具有10年（不含）以上水利类</w:t>
            </w:r>
            <w:r>
              <w:rPr>
                <w:rFonts w:hint="eastAsia" w:ascii="宋体" w:hAnsi="宋体"/>
                <w:color w:val="auto"/>
                <w:highlight w:val="none"/>
              </w:rPr>
              <w:t>高级（或以上）职称证书</w:t>
            </w:r>
            <w:r>
              <w:rPr>
                <w:rFonts w:hint="eastAsia" w:ascii="宋体" w:hAnsi="宋体" w:cs="宋体"/>
                <w:color w:val="auto"/>
                <w:szCs w:val="21"/>
                <w:highlight w:val="none"/>
              </w:rPr>
              <w:t>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分；10年以下的得1分。</w:t>
            </w:r>
          </w:p>
          <w:p>
            <w:pPr>
              <w:spacing w:line="360" w:lineRule="auto"/>
              <w:rPr>
                <w:rFonts w:hint="eastAsia"/>
                <w:color w:val="auto"/>
                <w:highlight w:val="none"/>
              </w:rPr>
            </w:pPr>
            <w:r>
              <w:rPr>
                <w:rFonts w:hint="eastAsia" w:ascii="宋体" w:hAnsi="宋体" w:cs="宋体"/>
                <w:color w:val="auto"/>
                <w:szCs w:val="21"/>
                <w:highlight w:val="none"/>
              </w:rPr>
              <w:t>注：</w:t>
            </w:r>
            <w:r>
              <w:rPr>
                <w:rFonts w:hint="eastAsia"/>
                <w:color w:val="auto"/>
                <w:kern w:val="0"/>
                <w:highlight w:val="none"/>
              </w:rPr>
              <w:t>以上（1）和（2）</w:t>
            </w:r>
            <w:r>
              <w:rPr>
                <w:rFonts w:hint="eastAsia" w:hAnsi="宋体"/>
                <w:color w:val="auto"/>
                <w:highlight w:val="none"/>
              </w:rPr>
              <w:t>项</w:t>
            </w:r>
            <w:r>
              <w:rPr>
                <w:rFonts w:hint="eastAsia" w:ascii="宋体" w:hAnsi="宋体" w:cs="宋体"/>
                <w:color w:val="auto"/>
                <w:szCs w:val="21"/>
                <w:highlight w:val="none"/>
              </w:rPr>
              <w:t>最高得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分。提供总监理工程师的相关证书和近6个月（</w:t>
            </w:r>
            <w:r>
              <w:rPr>
                <w:rFonts w:hint="eastAsia" w:ascii="宋体" w:hAnsi="宋体" w:cs="宋体"/>
                <w:color w:val="auto"/>
                <w:szCs w:val="21"/>
                <w:highlight w:val="none"/>
                <w:lang w:val="en-US" w:eastAsia="zh-CN"/>
              </w:rPr>
              <w:t>2023年10月至2024年3月</w:t>
            </w:r>
            <w:r>
              <w:rPr>
                <w:rFonts w:hint="eastAsia" w:ascii="宋体" w:hAnsi="宋体" w:cs="宋体"/>
                <w:color w:val="auto"/>
                <w:szCs w:val="21"/>
                <w:highlight w:val="none"/>
              </w:rPr>
              <w:t>）在</w:t>
            </w:r>
            <w:r>
              <w:rPr>
                <w:rFonts w:hint="eastAsia" w:ascii="宋体" w:hAnsi="宋体"/>
                <w:color w:val="auto"/>
                <w:spacing w:val="-3"/>
                <w:highlight w:val="none"/>
              </w:rPr>
              <w:t>投标单位缴纳的社会保险证明或退休证明</w:t>
            </w:r>
            <w:r>
              <w:rPr>
                <w:rFonts w:hint="eastAsia" w:ascii="宋体" w:hAnsi="宋体"/>
                <w:color w:val="auto"/>
                <w:spacing w:val="-3"/>
                <w:highlight w:val="none"/>
                <w:lang w:eastAsia="zh-CN"/>
              </w:rPr>
              <w:t>（</w:t>
            </w:r>
            <w:r>
              <w:rPr>
                <w:rFonts w:hint="eastAsia" w:ascii="宋体" w:hAnsi="宋体"/>
                <w:color w:val="auto"/>
                <w:spacing w:val="-3"/>
                <w:highlight w:val="none"/>
                <w:lang w:val="en-US" w:eastAsia="zh-CN"/>
              </w:rPr>
              <w:t>含退休证及返聘证明</w:t>
            </w:r>
            <w:r>
              <w:rPr>
                <w:rFonts w:hint="eastAsia" w:ascii="宋体" w:hAnsi="宋体"/>
                <w:color w:val="auto"/>
                <w:spacing w:val="-3"/>
                <w:highlight w:val="none"/>
                <w:lang w:eastAsia="zh-CN"/>
              </w:rPr>
              <w:t>）</w:t>
            </w:r>
            <w:r>
              <w:rPr>
                <w:rFonts w:hint="eastAsia" w:ascii="宋体" w:hAnsi="宋体" w:cs="宋体"/>
                <w:color w:val="auto"/>
                <w:szCs w:val="21"/>
                <w:highlight w:val="none"/>
              </w:rPr>
              <w:t>，</w:t>
            </w:r>
            <w:r>
              <w:rPr>
                <w:rFonts w:hint="eastAsia" w:ascii="宋体" w:hAnsi="宋体"/>
                <w:color w:val="auto"/>
                <w:spacing w:val="-3"/>
                <w:highlight w:val="none"/>
              </w:rPr>
              <w:t>取得监理工程师资格证书时间以中国水利工程协会资格证书验证系统查询所显示的</w:t>
            </w:r>
            <w:r>
              <w:rPr>
                <w:rFonts w:hint="eastAsia" w:ascii="宋体" w:hAnsi="宋体"/>
                <w:color w:val="auto"/>
                <w:spacing w:val="-3"/>
                <w:highlight w:val="none"/>
                <w:lang w:val="en-US" w:eastAsia="zh-CN"/>
              </w:rPr>
              <w:t>证书取得时间起算</w:t>
            </w:r>
            <w:r>
              <w:rPr>
                <w:rFonts w:hint="eastAsia" w:ascii="宋体" w:hAnsi="宋体"/>
                <w:color w:val="auto"/>
                <w:spacing w:val="-3"/>
                <w:highlight w:val="none"/>
              </w:rPr>
              <w:t>为准</w:t>
            </w:r>
            <w:r>
              <w:rPr>
                <w:rFonts w:hint="eastAsia" w:ascii="宋体" w:hAnsi="宋体"/>
                <w:color w:val="auto"/>
                <w:spacing w:val="-3"/>
                <w:highlight w:val="none"/>
                <w:lang w:eastAsia="zh-CN"/>
              </w:rPr>
              <w:t>，</w:t>
            </w:r>
            <w:r>
              <w:rPr>
                <w:rFonts w:hint="eastAsia" w:ascii="宋体" w:hAnsi="宋体" w:cs="宋体"/>
                <w:color w:val="auto"/>
                <w:szCs w:val="21"/>
                <w:highlight w:val="none"/>
              </w:rPr>
              <w:t>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43"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r>
              <w:rPr>
                <w:rFonts w:hint="eastAsia" w:ascii="宋体" w:hAnsi="宋体" w:cs="宋体"/>
                <w:color w:val="auto"/>
                <w:szCs w:val="21"/>
                <w:highlight w:val="none"/>
              </w:rPr>
              <w:t>监理人员的配备（</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w:t>
            </w:r>
          </w:p>
        </w:tc>
        <w:tc>
          <w:tcPr>
            <w:tcW w:w="6345"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满足本项目专业监理人员（除总监外）要求：</w:t>
            </w:r>
          </w:p>
          <w:p>
            <w:pPr>
              <w:spacing w:line="360" w:lineRule="auto"/>
              <w:rPr>
                <w:rFonts w:hint="eastAsia"/>
                <w:color w:val="auto"/>
                <w:highlight w:val="none"/>
              </w:rPr>
            </w:pPr>
            <w:r>
              <w:rPr>
                <w:rFonts w:hint="eastAsia" w:ascii="宋体" w:hAnsi="宋体" w:cs="宋体"/>
                <w:color w:val="auto"/>
                <w:szCs w:val="21"/>
                <w:highlight w:val="none"/>
              </w:rPr>
              <w:t>①水工监理工程师2名：同时具有水利工程施工监理专业注册监理工程师证书和</w:t>
            </w:r>
            <w:r>
              <w:rPr>
                <w:rFonts w:hint="eastAsia" w:ascii="宋体" w:hAnsi="宋体"/>
                <w:color w:val="auto"/>
                <w:highlight w:val="none"/>
              </w:rPr>
              <w:t>水利类中级（或以上）职称证书的得2分；</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②机电金结监理工程师1名：同时具有机电及金属结构设备制造监理专业注册监理工程师证书和</w:t>
            </w:r>
            <w:r>
              <w:rPr>
                <w:rFonts w:hint="eastAsia" w:ascii="宋体" w:hAnsi="宋体"/>
                <w:color w:val="auto"/>
                <w:highlight w:val="none"/>
              </w:rPr>
              <w:t>高级（或以上）职称证书的得2分；</w:t>
            </w:r>
          </w:p>
          <w:p>
            <w:pPr>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rPr>
              <w:t>③</w:t>
            </w:r>
            <w:r>
              <w:rPr>
                <w:rFonts w:hint="eastAsia" w:ascii="宋体" w:hAnsi="宋体" w:eastAsia="宋体" w:cs="宋体"/>
                <w:color w:val="auto"/>
                <w:szCs w:val="21"/>
                <w:highlight w:val="none"/>
              </w:rPr>
              <w:t>造价工程师1名：同时具有水利工程造价工程师证书、水利工程施工监理专业注册监理工程师证书和水利类高级（或以上）职称证书的得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④监理员2名：具有监理员培训证书的得1分。</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注：以上岗位不得兼任，一人一岗。提供以上人员相关证书扫描件及近6个月（</w:t>
            </w:r>
            <w:r>
              <w:rPr>
                <w:rFonts w:hint="eastAsia" w:ascii="宋体" w:hAnsi="宋体" w:cs="宋体"/>
                <w:color w:val="auto"/>
                <w:szCs w:val="21"/>
                <w:highlight w:val="none"/>
                <w:lang w:val="en-US" w:eastAsia="zh-CN"/>
              </w:rPr>
              <w:t>2023年10月至2024年3月</w:t>
            </w:r>
            <w:r>
              <w:rPr>
                <w:rFonts w:hint="eastAsia" w:ascii="宋体" w:hAnsi="宋体" w:cs="宋体"/>
                <w:color w:val="auto"/>
                <w:szCs w:val="21"/>
                <w:highlight w:val="none"/>
              </w:rPr>
              <w:t>）在</w:t>
            </w:r>
            <w:r>
              <w:rPr>
                <w:rFonts w:hint="eastAsia" w:ascii="宋体" w:hAnsi="宋体"/>
                <w:color w:val="auto"/>
                <w:spacing w:val="-3"/>
                <w:highlight w:val="none"/>
              </w:rPr>
              <w:t>投标单位缴纳的社会保险证明或退休证明</w:t>
            </w:r>
            <w:r>
              <w:rPr>
                <w:rFonts w:hint="eastAsia" w:ascii="宋体" w:hAnsi="宋体"/>
                <w:color w:val="auto"/>
                <w:spacing w:val="-3"/>
                <w:highlight w:val="none"/>
                <w:lang w:eastAsia="zh-CN"/>
              </w:rPr>
              <w:t>（</w:t>
            </w:r>
            <w:r>
              <w:rPr>
                <w:rFonts w:hint="eastAsia" w:ascii="宋体" w:hAnsi="宋体"/>
                <w:color w:val="auto"/>
                <w:spacing w:val="-3"/>
                <w:highlight w:val="none"/>
                <w:lang w:val="en-US" w:eastAsia="zh-CN"/>
              </w:rPr>
              <w:t>含退休证及返聘证明</w:t>
            </w:r>
            <w:r>
              <w:rPr>
                <w:rFonts w:hint="eastAsia" w:ascii="宋体" w:hAnsi="宋体"/>
                <w:color w:val="auto"/>
                <w:spacing w:val="-3"/>
                <w:highlight w:val="none"/>
                <w:lang w:eastAsia="zh-CN"/>
              </w:rPr>
              <w:t>）</w:t>
            </w:r>
            <w:r>
              <w:rPr>
                <w:rFonts w:hint="eastAsia" w:ascii="宋体" w:hAnsi="宋体" w:cs="宋体"/>
                <w:color w:val="auto"/>
                <w:szCs w:val="21"/>
                <w:highlight w:val="none"/>
              </w:rPr>
              <w:t>，否则不得分，本项最高得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w:t>
            </w:r>
          </w:p>
          <w:p>
            <w:pPr>
              <w:pStyle w:val="2"/>
              <w:rPr>
                <w:rFonts w:hint="eastAsia"/>
                <w:b/>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19"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管理体系认证（6分）</w:t>
            </w:r>
          </w:p>
        </w:tc>
        <w:tc>
          <w:tcPr>
            <w:tcW w:w="6345" w:type="dxa"/>
            <w:tcBorders>
              <w:top w:val="single" w:color="auto" w:sz="4" w:space="0"/>
              <w:left w:val="single" w:color="auto" w:sz="4" w:space="0"/>
              <w:right w:val="single" w:color="auto" w:sz="4" w:space="0"/>
            </w:tcBorders>
            <w:noWrap w:val="0"/>
            <w:vAlign w:val="center"/>
          </w:tcPr>
          <w:p>
            <w:pPr>
              <w:pStyle w:val="42"/>
              <w:spacing w:after="0" w:line="360" w:lineRule="auto"/>
              <w:ind w:firstLine="0"/>
              <w:textAlignment w:val="auto"/>
              <w:rPr>
                <w:rFonts w:hint="eastAsia" w:ascii="宋体" w:hAnsi="宋体" w:cs="宋体"/>
                <w:color w:val="auto"/>
                <w:szCs w:val="21"/>
                <w:highlight w:val="none"/>
              </w:rPr>
            </w:pPr>
            <w:r>
              <w:rPr>
                <w:rFonts w:hint="eastAsia" w:ascii="宋体" w:hAnsi="宋体" w:cs="宋体"/>
                <w:color w:val="auto"/>
                <w:szCs w:val="21"/>
                <w:highlight w:val="none"/>
              </w:rPr>
              <w:t>投标人同时具有质量管理体系认证证书、环境管理体系认证证书、职业健康安全管理体系认证证书、信息安全管理体系认证证书和诚信管理体系认证证书且在有效期内得6分，</w:t>
            </w:r>
            <w:r>
              <w:rPr>
                <w:rFonts w:hint="eastAsia" w:ascii="宋体" w:hAnsi="宋体" w:cs="宋体"/>
                <w:color w:val="auto"/>
                <w:szCs w:val="21"/>
                <w:highlight w:val="none"/>
                <w:lang w:val="en-US" w:eastAsia="zh-CN"/>
              </w:rPr>
              <w:t>每少一项扣2分，扣完为止，</w:t>
            </w:r>
            <w:r>
              <w:rPr>
                <w:rFonts w:hint="eastAsia" w:ascii="宋体" w:hAnsi="宋体" w:cs="宋体"/>
                <w:color w:val="auto"/>
                <w:szCs w:val="21"/>
                <w:highlight w:val="none"/>
              </w:rPr>
              <w:t>不符合的不得分。</w:t>
            </w:r>
          </w:p>
          <w:p>
            <w:pPr>
              <w:pStyle w:val="42"/>
              <w:spacing w:after="0" w:line="360" w:lineRule="auto"/>
              <w:ind w:firstLine="0"/>
              <w:textAlignment w:val="auto"/>
              <w:rPr>
                <w:rFonts w:hint="eastAsia" w:ascii="宋体" w:hAnsi="宋体" w:cs="宋体"/>
                <w:color w:val="auto"/>
                <w:szCs w:val="21"/>
                <w:highlight w:val="none"/>
              </w:rPr>
            </w:pPr>
            <w:r>
              <w:rPr>
                <w:rFonts w:hint="eastAsia" w:ascii="宋体" w:hAnsi="宋体" w:cs="宋体"/>
                <w:color w:val="auto"/>
                <w:szCs w:val="21"/>
                <w:highlight w:val="none"/>
              </w:rPr>
              <w:t>注：1、提供评审的认证证书的认证范围必须同时包含水利工程施工监理，否则不得分；</w:t>
            </w:r>
          </w:p>
          <w:p>
            <w:pPr>
              <w:pStyle w:val="42"/>
              <w:spacing w:after="0" w:line="360" w:lineRule="auto"/>
              <w:ind w:firstLine="0"/>
              <w:textAlignment w:val="auto"/>
              <w:rPr>
                <w:rFonts w:hint="eastAsia" w:eastAsia="宋体"/>
                <w:color w:val="auto"/>
                <w:sz w:val="22"/>
                <w:highlight w:val="none"/>
                <w:lang w:eastAsia="zh-CN"/>
              </w:rPr>
            </w:pPr>
            <w:r>
              <w:rPr>
                <w:rFonts w:hint="eastAsia" w:ascii="宋体" w:hAnsi="宋体" w:cs="宋体"/>
                <w:color w:val="auto"/>
                <w:szCs w:val="21"/>
                <w:highlight w:val="none"/>
              </w:rPr>
              <w:t>2、</w:t>
            </w:r>
            <w:r>
              <w:rPr>
                <w:rFonts w:ascii="宋体" w:hAnsi="宋体" w:cs="宋体"/>
                <w:color w:val="auto"/>
                <w:szCs w:val="21"/>
                <w:highlight w:val="none"/>
              </w:rPr>
              <w:t>提供证书扫描件</w:t>
            </w:r>
            <w:r>
              <w:rPr>
                <w:rFonts w:hint="eastAsia" w:ascii="宋体" w:hAnsi="宋体" w:cs="宋体"/>
                <w:color w:val="auto"/>
                <w:szCs w:val="21"/>
                <w:highlight w:val="none"/>
              </w:rPr>
              <w:t>和全国认证认可信息公共服务平台（</w:t>
            </w:r>
            <w:r>
              <w:rPr>
                <w:rFonts w:ascii="宋体" w:hAnsi="宋体" w:cs="宋体"/>
                <w:color w:val="auto"/>
                <w:szCs w:val="21"/>
                <w:highlight w:val="none"/>
              </w:rPr>
              <w:fldChar w:fldCharType="begin"/>
            </w:r>
            <w:r>
              <w:rPr>
                <w:rFonts w:ascii="宋体" w:hAnsi="宋体" w:cs="宋体"/>
                <w:color w:val="auto"/>
                <w:szCs w:val="21"/>
                <w:highlight w:val="none"/>
              </w:rPr>
              <w:instrText xml:space="preserve"> HYPERLINK "http://cx.cnca.cn/" </w:instrText>
            </w:r>
            <w:r>
              <w:rPr>
                <w:rFonts w:ascii="宋体" w:hAnsi="宋体" w:cs="宋体"/>
                <w:color w:val="auto"/>
                <w:szCs w:val="21"/>
                <w:highlight w:val="none"/>
              </w:rPr>
              <w:fldChar w:fldCharType="separate"/>
            </w:r>
            <w:r>
              <w:rPr>
                <w:rFonts w:ascii="宋体" w:hAnsi="宋体" w:cs="宋体"/>
                <w:color w:val="auto"/>
                <w:szCs w:val="21"/>
                <w:highlight w:val="none"/>
              </w:rPr>
              <w:t>http://cx.cnca.cn/</w:t>
            </w:r>
            <w:r>
              <w:rPr>
                <w:rFonts w:ascii="宋体" w:hAnsi="宋体" w:cs="宋体"/>
                <w:color w:val="auto"/>
                <w:szCs w:val="21"/>
                <w:highlight w:val="none"/>
              </w:rPr>
              <w:fldChar w:fldCharType="end"/>
            </w:r>
            <w:r>
              <w:rPr>
                <w:rFonts w:hint="eastAsia" w:ascii="宋体" w:hAnsi="宋体" w:cs="宋体"/>
                <w:color w:val="auto"/>
                <w:szCs w:val="21"/>
                <w:highlight w:val="none"/>
              </w:rPr>
              <w:t>）查询结果截图，</w:t>
            </w:r>
            <w:r>
              <w:rPr>
                <w:rFonts w:ascii="宋体" w:hAnsi="宋体" w:cs="宋体"/>
                <w:color w:val="auto"/>
                <w:szCs w:val="21"/>
                <w:highlight w:val="none"/>
              </w:rPr>
              <w:t>否则不得分</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61"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企业资信</w:t>
            </w:r>
          </w:p>
          <w:p>
            <w:pPr>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tc>
        <w:tc>
          <w:tcPr>
            <w:tcW w:w="6345" w:type="dxa"/>
            <w:tcBorders>
              <w:top w:val="single" w:color="auto" w:sz="4" w:space="0"/>
              <w:left w:val="single" w:color="auto" w:sz="4" w:space="0"/>
              <w:right w:val="single" w:color="auto" w:sz="4" w:space="0"/>
            </w:tcBorders>
            <w:noWrap w:val="0"/>
            <w:vAlign w:val="center"/>
          </w:tcPr>
          <w:p>
            <w:pPr>
              <w:pStyle w:val="42"/>
              <w:numPr>
                <w:ilvl w:val="0"/>
                <w:numId w:val="2"/>
              </w:numPr>
              <w:spacing w:after="0" w:line="360" w:lineRule="auto"/>
              <w:ind w:firstLine="0"/>
              <w:textAlignment w:val="auto"/>
              <w:rPr>
                <w:rFonts w:hint="eastAsia" w:ascii="宋体" w:hAnsi="宋体" w:cs="宋体"/>
                <w:color w:val="auto"/>
                <w:szCs w:val="21"/>
                <w:highlight w:val="none"/>
                <w:lang w:val="en-US" w:eastAsia="zh-CN"/>
              </w:rPr>
            </w:pPr>
            <w:bookmarkStart w:id="634" w:name="_GoBack"/>
            <w:r>
              <w:rPr>
                <w:rFonts w:hint="eastAsia" w:ascii="宋体" w:hAnsi="宋体"/>
                <w:color w:val="auto"/>
                <w:szCs w:val="21"/>
                <w:highlight w:val="none"/>
              </w:rPr>
              <w:t>投标人</w:t>
            </w:r>
            <w:r>
              <w:rPr>
                <w:rFonts w:hint="eastAsia" w:ascii="宋体" w:hAnsi="宋体" w:cs="宋体"/>
                <w:color w:val="auto"/>
                <w:szCs w:val="21"/>
                <w:highlight w:val="none"/>
                <w:lang w:val="en-US" w:eastAsia="zh-CN"/>
              </w:rPr>
              <w:t>获得有效的国家级水利建设市场主体信用评价等级证书：获得AAA级的得5分，获得AA等级的得3分，获得A级或以下的得1分，没有的或证书不在有效期内的不得分。</w:t>
            </w:r>
          </w:p>
          <w:p>
            <w:pPr>
              <w:pStyle w:val="42"/>
              <w:numPr>
                <w:ilvl w:val="0"/>
                <w:numId w:val="0"/>
              </w:numPr>
              <w:spacing w:after="0" w:line="36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注：水利建设市场主体信用评价须同时提供在有效期内的证书电子版（或扫描件），及</w:t>
            </w:r>
            <w:r>
              <w:rPr>
                <w:rFonts w:hint="eastAsia" w:ascii="宋体" w:hAnsi="宋体" w:cs="宋体"/>
                <w:color w:val="auto"/>
                <w:kern w:val="2"/>
                <w:sz w:val="21"/>
                <w:szCs w:val="21"/>
                <w:highlight w:val="none"/>
                <w:lang w:val="en-US" w:eastAsia="zh-CN" w:bidi="ar-SA"/>
              </w:rPr>
              <w:t>提供</w:t>
            </w:r>
            <w:r>
              <w:rPr>
                <w:rFonts w:hint="eastAsia" w:ascii="宋体" w:hAnsi="宋体" w:cs="宋体"/>
                <w:strike w:val="0"/>
                <w:color w:val="auto"/>
                <w:kern w:val="2"/>
                <w:sz w:val="21"/>
                <w:szCs w:val="21"/>
                <w:highlight w:val="none"/>
                <w:lang w:val="en-US" w:eastAsia="zh-CN" w:bidi="ar-SA"/>
              </w:rPr>
              <w:t>水行政主管</w:t>
            </w:r>
            <w:r>
              <w:rPr>
                <w:rFonts w:hint="eastAsia" w:ascii="宋体" w:hAnsi="宋体" w:eastAsia="宋体" w:cs="宋体"/>
                <w:strike w:val="0"/>
                <w:color w:val="auto"/>
                <w:kern w:val="2"/>
                <w:sz w:val="21"/>
                <w:szCs w:val="21"/>
                <w:highlight w:val="none"/>
                <w:lang w:val="en-US" w:eastAsia="zh-CN" w:bidi="ar-SA"/>
              </w:rPr>
              <w:t>部门（或</w:t>
            </w:r>
            <w:r>
              <w:rPr>
                <w:rFonts w:hint="eastAsia" w:ascii="宋体" w:hAnsi="宋体" w:cs="宋体"/>
                <w:strike w:val="0"/>
                <w:color w:val="auto"/>
                <w:kern w:val="2"/>
                <w:sz w:val="21"/>
                <w:szCs w:val="21"/>
                <w:highlight w:val="none"/>
                <w:lang w:val="en-US" w:eastAsia="zh-CN" w:bidi="ar-SA"/>
              </w:rPr>
              <w:t>https://scjg.mwr.gov.cn/#/home网址</w:t>
            </w:r>
            <w:r>
              <w:rPr>
                <w:rFonts w:hint="eastAsia" w:ascii="宋体" w:hAnsi="宋体" w:eastAsia="宋体" w:cs="宋体"/>
                <w:strike w:val="0"/>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查询结果截图</w:t>
            </w:r>
            <w:r>
              <w:rPr>
                <w:rFonts w:hint="eastAsia" w:ascii="宋体" w:hAnsi="宋体" w:cs="宋体"/>
                <w:color w:val="auto"/>
                <w:kern w:val="2"/>
                <w:sz w:val="21"/>
                <w:szCs w:val="21"/>
                <w:highlight w:val="none"/>
                <w:lang w:val="en-US" w:eastAsia="zh-CN" w:bidi="ar-SA"/>
              </w:rPr>
              <w:t>，否则不得分。</w:t>
            </w:r>
          </w:p>
          <w:bookmarkEnd w:id="634"/>
          <w:p>
            <w:pPr>
              <w:spacing w:line="360" w:lineRule="auto"/>
              <w:contextualSpacing/>
              <w:rPr>
                <w:rFonts w:hint="eastAsia" w:ascii="宋体" w:hAnsi="宋体" w:cs="宋体"/>
                <w:color w:val="auto"/>
                <w:szCs w:val="21"/>
                <w:highlight w:val="none"/>
              </w:rPr>
            </w:pPr>
            <w:r>
              <w:rPr>
                <w:rFonts w:hint="eastAsia" w:ascii="宋体" w:hAnsi="宋体" w:cs="宋体"/>
                <w:color w:val="auto"/>
                <w:szCs w:val="21"/>
                <w:highlight w:val="none"/>
              </w:rPr>
              <w:t>（2）2019年1月1日至今，投标人获得工程类技术类奖项，国家级得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分，省级得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分，市级得1分，若提交多个证书供评审，但仅按最高级别计分一次，不累计得分，没有不得分。本项最高得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p>
            <w:pPr>
              <w:pStyle w:val="2"/>
              <w:spacing w:line="360" w:lineRule="auto"/>
              <w:rPr>
                <w:rFonts w:hint="eastAsia"/>
                <w:color w:val="auto"/>
                <w:highlight w:val="none"/>
                <w:lang w:val="en-US" w:eastAsia="zh-CN"/>
              </w:rPr>
            </w:pPr>
            <w:r>
              <w:rPr>
                <w:rFonts w:hint="eastAsia" w:ascii="宋体" w:hAnsi="宋体" w:cs="宋体"/>
                <w:color w:val="auto"/>
                <w:sz w:val="21"/>
                <w:szCs w:val="21"/>
                <w:highlight w:val="none"/>
                <w:lang w:val="en-US" w:eastAsia="zh-CN"/>
              </w:rPr>
              <w:t>注：须提供获奖证书，如颁证单位为协会的，还应提供该协会在“全国社会组织信用信息公示平台（试运行）”登记的网页截图。否则不得分。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23"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企业服务能力（</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60" w:lineRule="auto"/>
              <w:ind w:right="34"/>
              <w:jc w:val="left"/>
              <w:rPr>
                <w:rFonts w:hint="eastAsia" w:ascii="宋体" w:hAnsi="宋体" w:cs="宋体"/>
                <w:color w:val="auto"/>
                <w:szCs w:val="21"/>
                <w:highlight w:val="none"/>
              </w:rPr>
            </w:pPr>
            <w:r>
              <w:rPr>
                <w:rFonts w:hint="eastAsia" w:ascii="宋体" w:hAnsi="宋体" w:cs="宋体"/>
                <w:color w:val="auto"/>
                <w:szCs w:val="21"/>
                <w:highlight w:val="none"/>
              </w:rPr>
              <w:t>企业履约能力评价：具有履约能力评价认证证书，AAA等级或以上的得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分；AA等级的得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分；A等级或以下的得1分；没有的或证书不在有效期内的不得分。</w:t>
            </w:r>
          </w:p>
          <w:p>
            <w:pPr>
              <w:widowControl/>
              <w:spacing w:line="360" w:lineRule="auto"/>
              <w:ind w:right="34"/>
              <w:jc w:val="left"/>
              <w:rPr>
                <w:rFonts w:hint="eastAsia"/>
                <w:color w:val="auto"/>
                <w:highlight w:val="none"/>
              </w:rPr>
            </w:pPr>
            <w:r>
              <w:rPr>
                <w:rFonts w:hint="eastAsia" w:ascii="宋体" w:hAnsi="宋体" w:cs="宋体"/>
                <w:color w:val="auto"/>
                <w:szCs w:val="21"/>
                <w:highlight w:val="none"/>
              </w:rPr>
              <w:t>注：履约能力评价认证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认证范围须包含水利工程监理</w:t>
            </w:r>
            <w:r>
              <w:rPr>
                <w:rFonts w:hint="eastAsia" w:ascii="宋体" w:hAnsi="宋体" w:cs="宋体"/>
                <w:color w:val="auto"/>
                <w:szCs w:val="21"/>
                <w:highlight w:val="none"/>
                <w:lang w:eastAsia="zh-CN"/>
              </w:rPr>
              <w:t>）</w:t>
            </w:r>
            <w:r>
              <w:rPr>
                <w:rFonts w:hint="eastAsia" w:ascii="宋体" w:hAnsi="宋体" w:cs="宋体"/>
                <w:color w:val="auto"/>
                <w:szCs w:val="21"/>
                <w:highlight w:val="none"/>
              </w:rPr>
              <w:t>须提供证书扫描件和全国认证认可信息公共服务平台（</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"http://cx.cnca.cn/"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http://cx.cnca.cn/</w:t>
            </w:r>
            <w:r>
              <w:rPr>
                <w:rFonts w:hint="eastAsia" w:ascii="宋体" w:hAnsi="宋体" w:cs="宋体"/>
                <w:color w:val="auto"/>
                <w:szCs w:val="21"/>
                <w:highlight w:val="none"/>
              </w:rPr>
              <w:fldChar w:fldCharType="end"/>
            </w:r>
            <w:r>
              <w:rPr>
                <w:rFonts w:hint="eastAsia" w:ascii="宋体" w:hAnsi="宋体" w:cs="宋体"/>
                <w:color w:val="auto"/>
                <w:szCs w:val="21"/>
                <w:highlight w:val="none"/>
              </w:rPr>
              <w:t>）查询结果截图。否则不得分。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613" w:type="dxa"/>
            <w:vMerge w:val="restart"/>
            <w:tcBorders>
              <w:top w:val="single" w:color="auto" w:sz="4" w:space="0"/>
              <w:bottom w:val="single" w:color="auto" w:sz="4" w:space="0"/>
              <w:right w:val="single" w:color="auto" w:sz="4" w:space="0"/>
            </w:tcBorders>
            <w:noWrap w:val="0"/>
            <w:vAlign w:val="center"/>
          </w:tcPr>
          <w:p>
            <w:pPr>
              <w:pStyle w:val="45"/>
              <w:kinsoku w:val="0"/>
              <w:overflowPunct w:val="0"/>
              <w:ind w:left="-63" w:leftChars="-30" w:right="-111" w:rightChars="-53" w:firstLine="63" w:firstLineChars="30"/>
              <w:jc w:val="center"/>
              <w:rPr>
                <w:color w:val="auto"/>
                <w:highlight w:val="none"/>
              </w:rPr>
            </w:pPr>
            <w:r>
              <w:rPr>
                <w:color w:val="auto"/>
                <w:highlight w:val="none"/>
              </w:rPr>
              <w:t>2.2.4</w:t>
            </w:r>
          </w:p>
          <w:p>
            <w:pPr>
              <w:pStyle w:val="45"/>
              <w:kinsoku w:val="0"/>
              <w:overflowPunct w:val="0"/>
              <w:spacing w:before="4" w:line="110" w:lineRule="exact"/>
              <w:ind w:left="-63" w:leftChars="-30" w:right="-111" w:rightChars="-53" w:firstLine="33" w:firstLineChars="30"/>
              <w:jc w:val="center"/>
              <w:rPr>
                <w:color w:val="auto"/>
                <w:sz w:val="11"/>
                <w:highlight w:val="none"/>
              </w:rPr>
            </w:pPr>
          </w:p>
          <w:p>
            <w:pPr>
              <w:pStyle w:val="45"/>
              <w:kinsoku w:val="0"/>
              <w:overflowPunct w:val="0"/>
              <w:ind w:left="-63" w:leftChars="-30" w:right="-111" w:rightChars="-53" w:firstLine="62" w:firstLineChars="30"/>
              <w:jc w:val="center"/>
              <w:rPr>
                <w:color w:val="auto"/>
                <w:highlight w:val="none"/>
              </w:rPr>
            </w:pPr>
            <w:r>
              <w:rPr>
                <w:rFonts w:ascii="宋体" w:hAnsi="宋体"/>
                <w:color w:val="auto"/>
                <w:spacing w:val="-1"/>
                <w:highlight w:val="none"/>
              </w:rPr>
              <w:t>（</w:t>
            </w:r>
            <w:r>
              <w:rPr>
                <w:color w:val="auto"/>
                <w:highlight w:val="none"/>
              </w:rPr>
              <w:t>2</w:t>
            </w:r>
            <w:r>
              <w:rPr>
                <w:rFonts w:ascii="宋体" w:hAnsi="宋体"/>
                <w:color w:val="auto"/>
                <w:highlight w:val="none"/>
              </w:rPr>
              <w:t>）</w:t>
            </w:r>
          </w:p>
        </w:tc>
        <w:tc>
          <w:tcPr>
            <w:tcW w:w="1205" w:type="dxa"/>
            <w:vMerge w:val="restart"/>
            <w:tcBorders>
              <w:top w:val="single" w:color="auto" w:sz="4" w:space="0"/>
              <w:bottom w:val="single" w:color="auto" w:sz="4" w:space="0"/>
              <w:right w:val="single" w:color="auto" w:sz="4" w:space="0"/>
            </w:tcBorders>
            <w:noWrap w:val="0"/>
            <w:vAlign w:val="center"/>
          </w:tcPr>
          <w:p>
            <w:pPr>
              <w:spacing w:line="260" w:lineRule="exact"/>
              <w:ind w:left="315" w:hanging="315" w:hangingChars="150"/>
              <w:jc w:val="center"/>
              <w:rPr>
                <w:rFonts w:hint="eastAsia" w:ascii="宋体" w:hAnsi="Courier New"/>
                <w:color w:val="auto"/>
                <w:szCs w:val="21"/>
                <w:highlight w:val="none"/>
              </w:rPr>
            </w:pPr>
            <w:r>
              <w:rPr>
                <w:rFonts w:hint="eastAsia" w:ascii="宋体" w:hAnsi="宋体"/>
                <w:color w:val="auto"/>
                <w:highlight w:val="none"/>
              </w:rPr>
              <w:t>监理</w:t>
            </w:r>
            <w:r>
              <w:rPr>
                <w:rFonts w:hint="eastAsia" w:ascii="宋体" w:hAnsi="Courier New"/>
                <w:color w:val="auto"/>
                <w:szCs w:val="21"/>
                <w:highlight w:val="none"/>
              </w:rPr>
              <w:t>大纲</w:t>
            </w:r>
          </w:p>
          <w:p>
            <w:pPr>
              <w:spacing w:line="260" w:lineRule="exact"/>
              <w:ind w:left="315" w:hanging="315" w:hangingChars="150"/>
              <w:jc w:val="center"/>
              <w:rPr>
                <w:rFonts w:hint="eastAsia"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spacing w:line="260" w:lineRule="exact"/>
              <w:ind w:left="315" w:hanging="315" w:hangingChars="150"/>
              <w:jc w:val="center"/>
              <w:rPr>
                <w:color w:val="auto"/>
                <w:highlight w:val="none"/>
              </w:rPr>
            </w:pPr>
            <w:r>
              <w:rPr>
                <w:rFonts w:hint="eastAsia" w:ascii="宋体" w:hAnsi="宋体"/>
                <w:color w:val="auto"/>
                <w:highlight w:val="none"/>
              </w:rPr>
              <w:t>（</w:t>
            </w:r>
            <w:r>
              <w:rPr>
                <w:rFonts w:hint="eastAsia" w:ascii="宋体" w:hAnsi="Courier New"/>
                <w:color w:val="auto"/>
                <w:szCs w:val="21"/>
                <w:highlight w:val="none"/>
              </w:rPr>
              <w:t>30</w:t>
            </w:r>
            <w:r>
              <w:rPr>
                <w:rFonts w:hint="eastAsia" w:ascii="宋体" w:hAnsi="宋体"/>
                <w:color w:val="auto"/>
                <w:highlight w:val="none"/>
              </w:rPr>
              <w:t>分）</w:t>
            </w: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olor w:val="auto"/>
                <w:szCs w:val="21"/>
                <w:highlight w:val="none"/>
              </w:rPr>
            </w:pPr>
            <w:r>
              <w:rPr>
                <w:rFonts w:ascii="宋体" w:hAnsi="宋体"/>
                <w:color w:val="auto"/>
                <w:highlight w:val="none"/>
              </w:rPr>
              <w:t>监理范围、监理内容</w:t>
            </w:r>
            <w:r>
              <w:rPr>
                <w:rFonts w:hint="eastAsia" w:ascii="宋体" w:hAnsi="宋体"/>
                <w:color w:val="auto"/>
                <w:highlight w:val="none"/>
              </w:rPr>
              <w:t>（1分）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76" w:lineRule="auto"/>
              <w:rPr>
                <w:rFonts w:hint="eastAsia" w:ascii="宋体" w:hAnsi="宋体" w:cs="宋体"/>
                <w:color w:val="auto"/>
                <w:highlight w:val="none"/>
              </w:rPr>
            </w:pPr>
            <w:r>
              <w:rPr>
                <w:rFonts w:hint="eastAsia" w:ascii="宋体" w:hAnsi="宋体"/>
                <w:color w:val="auto"/>
                <w:highlight w:val="none"/>
              </w:rPr>
              <w:t>对监理工作范围内容明确，描述清晰。优得[1-0.7]</w:t>
            </w:r>
            <w:r>
              <w:rPr>
                <w:rFonts w:ascii="宋体" w:hAnsi="宋体"/>
                <w:color w:val="auto"/>
                <w:highlight w:val="none"/>
              </w:rPr>
              <w:t xml:space="preserve">分； </w:t>
            </w:r>
            <w:r>
              <w:rPr>
                <w:rFonts w:hint="eastAsia" w:ascii="宋体" w:hAnsi="宋体"/>
                <w:color w:val="auto"/>
                <w:highlight w:val="none"/>
              </w:rPr>
              <w:t>中得[0.7-0.3]</w:t>
            </w:r>
            <w:r>
              <w:rPr>
                <w:rFonts w:ascii="宋体" w:hAnsi="宋体"/>
                <w:color w:val="auto"/>
                <w:highlight w:val="none"/>
              </w:rPr>
              <w:t>分；差得</w:t>
            </w:r>
            <w:r>
              <w:rPr>
                <w:rFonts w:hint="eastAsia" w:ascii="宋体" w:hAnsi="宋体"/>
                <w:color w:val="auto"/>
                <w:highlight w:val="none"/>
              </w:rPr>
              <w:t>[0.3-0]分。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6"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s="宋体"/>
                <w:color w:val="auto"/>
                <w:szCs w:val="21"/>
                <w:highlight w:val="none"/>
              </w:rPr>
            </w:pPr>
            <w:r>
              <w:rPr>
                <w:rFonts w:ascii="宋体" w:hAnsi="宋体"/>
                <w:color w:val="auto"/>
                <w:highlight w:val="none"/>
              </w:rPr>
              <w:t>监理依据、监理工作目标</w:t>
            </w:r>
            <w:r>
              <w:rPr>
                <w:rFonts w:hint="eastAsia" w:ascii="宋体" w:hAnsi="宋体"/>
                <w:color w:val="auto"/>
                <w:highlight w:val="none"/>
              </w:rPr>
              <w:t>(1分)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hAnsi="宋体" w:cs="宋体"/>
                <w:color w:val="auto"/>
                <w:highlight w:val="none"/>
              </w:rPr>
            </w:pPr>
            <w:r>
              <w:rPr>
                <w:rFonts w:hint="eastAsia" w:ascii="宋体" w:hAnsi="宋体" w:cs="宋体"/>
                <w:color w:val="auto"/>
                <w:kern w:val="0"/>
                <w:highlight w:val="none"/>
              </w:rPr>
              <w:t>要求依据充分，目标明确。</w:t>
            </w:r>
            <w:r>
              <w:rPr>
                <w:rFonts w:hint="eastAsia" w:ascii="宋体" w:hAnsi="宋体"/>
                <w:color w:val="auto"/>
                <w:highlight w:val="none"/>
              </w:rPr>
              <w:t>优得[1-0.7]</w:t>
            </w:r>
            <w:r>
              <w:rPr>
                <w:rFonts w:ascii="宋体" w:hAnsi="宋体"/>
                <w:color w:val="auto"/>
                <w:highlight w:val="none"/>
              </w:rPr>
              <w:t xml:space="preserve">分； </w:t>
            </w:r>
            <w:r>
              <w:rPr>
                <w:rFonts w:hint="eastAsia" w:ascii="宋体" w:hAnsi="宋体"/>
                <w:color w:val="auto"/>
                <w:highlight w:val="none"/>
              </w:rPr>
              <w:t>中得[0.7-0.3]</w:t>
            </w:r>
            <w:r>
              <w:rPr>
                <w:rFonts w:ascii="宋体" w:hAnsi="宋体"/>
                <w:color w:val="auto"/>
                <w:highlight w:val="none"/>
              </w:rPr>
              <w:t>分；差得</w:t>
            </w:r>
            <w:r>
              <w:rPr>
                <w:rFonts w:hint="eastAsia" w:ascii="宋体" w:hAnsi="宋体"/>
                <w:color w:val="auto"/>
                <w:highlight w:val="none"/>
              </w:rPr>
              <w:t>[0.3-0]分。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5"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s="宋体"/>
                <w:color w:val="auto"/>
                <w:szCs w:val="21"/>
                <w:highlight w:val="none"/>
              </w:rPr>
            </w:pPr>
            <w:r>
              <w:rPr>
                <w:rFonts w:ascii="宋体" w:hAnsi="宋体"/>
                <w:color w:val="auto"/>
                <w:highlight w:val="none"/>
              </w:rPr>
              <w:t>监理机构</w:t>
            </w:r>
            <w:r>
              <w:rPr>
                <w:rFonts w:hint="eastAsia" w:ascii="宋体" w:hAnsi="宋体"/>
                <w:color w:val="auto"/>
                <w:highlight w:val="none"/>
              </w:rPr>
              <w:t>（框图）</w:t>
            </w:r>
            <w:r>
              <w:rPr>
                <w:rFonts w:ascii="宋体" w:hAnsi="宋体"/>
                <w:color w:val="auto"/>
                <w:highlight w:val="none"/>
              </w:rPr>
              <w:t>设置和岗位职责</w:t>
            </w:r>
            <w:r>
              <w:rPr>
                <w:rFonts w:hint="eastAsia" w:ascii="宋体" w:hAnsi="宋体"/>
                <w:color w:val="auto"/>
                <w:highlight w:val="none"/>
              </w:rPr>
              <w:t>(1分)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hAnsi="宋体" w:cs="宋体"/>
                <w:color w:val="auto"/>
                <w:highlight w:val="none"/>
              </w:rPr>
            </w:pPr>
            <w:r>
              <w:rPr>
                <w:rFonts w:hint="eastAsia" w:ascii="宋体" w:hAnsi="宋体"/>
                <w:color w:val="auto"/>
                <w:highlight w:val="none"/>
              </w:rPr>
              <w:t>机构设置合理，</w:t>
            </w:r>
            <w:r>
              <w:rPr>
                <w:rFonts w:ascii="宋体" w:hAnsi="宋体"/>
                <w:color w:val="auto"/>
                <w:highlight w:val="none"/>
              </w:rPr>
              <w:t>岗位职责</w:t>
            </w:r>
            <w:r>
              <w:rPr>
                <w:rFonts w:hint="eastAsia" w:ascii="宋体" w:hAnsi="宋体"/>
                <w:color w:val="auto"/>
                <w:highlight w:val="none"/>
              </w:rPr>
              <w:t>分工</w:t>
            </w:r>
            <w:r>
              <w:rPr>
                <w:rFonts w:hint="eastAsia" w:ascii="宋体" w:hAnsi="宋体" w:cs="宋体"/>
                <w:color w:val="auto"/>
                <w:kern w:val="0"/>
                <w:highlight w:val="none"/>
              </w:rPr>
              <w:t>明确合理</w:t>
            </w:r>
            <w:r>
              <w:rPr>
                <w:rFonts w:hint="eastAsia" w:ascii="宋体" w:hAnsi="宋体"/>
                <w:color w:val="auto"/>
                <w:highlight w:val="none"/>
              </w:rPr>
              <w:t>。优得[1-0.7]</w:t>
            </w:r>
            <w:r>
              <w:rPr>
                <w:rFonts w:ascii="宋体" w:hAnsi="宋体"/>
                <w:color w:val="auto"/>
                <w:highlight w:val="none"/>
              </w:rPr>
              <w:t>分；</w:t>
            </w:r>
            <w:r>
              <w:rPr>
                <w:rFonts w:hint="eastAsia" w:ascii="宋体" w:hAnsi="宋体"/>
                <w:color w:val="auto"/>
                <w:highlight w:val="none"/>
              </w:rPr>
              <w:t>中得[0.7-0.3]</w:t>
            </w:r>
            <w:r>
              <w:rPr>
                <w:rFonts w:ascii="宋体" w:hAnsi="宋体"/>
                <w:color w:val="auto"/>
                <w:highlight w:val="none"/>
              </w:rPr>
              <w:t>分；差得</w:t>
            </w:r>
            <w:r>
              <w:rPr>
                <w:rFonts w:hint="eastAsia" w:ascii="宋体" w:hAnsi="宋体"/>
                <w:color w:val="auto"/>
                <w:highlight w:val="none"/>
              </w:rPr>
              <w:t>[0.3-0]分。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9"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olor w:val="auto"/>
                <w:w w:val="95"/>
                <w:highlight w:val="none"/>
              </w:rPr>
            </w:pPr>
            <w:r>
              <w:rPr>
                <w:rFonts w:ascii="宋体" w:hAnsi="宋体"/>
                <w:color w:val="auto"/>
                <w:highlight w:val="none"/>
              </w:rPr>
              <w:t>监理工作程序、方法和制</w:t>
            </w:r>
            <w:r>
              <w:rPr>
                <w:rFonts w:ascii="宋体" w:hAnsi="宋体"/>
                <w:color w:val="auto"/>
                <w:w w:val="95"/>
                <w:highlight w:val="none"/>
              </w:rPr>
              <w:t>度</w:t>
            </w:r>
          </w:p>
          <w:p>
            <w:pPr>
              <w:snapToGrid w:val="0"/>
              <w:spacing w:line="276" w:lineRule="auto"/>
              <w:jc w:val="center"/>
              <w:rPr>
                <w:rFonts w:hint="eastAsia" w:ascii="宋体" w:hAnsi="宋体" w:cs="宋体"/>
                <w:color w:val="auto"/>
                <w:szCs w:val="21"/>
                <w:highlight w:val="none"/>
              </w:rPr>
            </w:pPr>
            <w:r>
              <w:rPr>
                <w:rFonts w:hint="eastAsia" w:ascii="宋体" w:hAnsi="宋体"/>
                <w:color w:val="auto"/>
                <w:highlight w:val="none"/>
              </w:rPr>
              <w:t>（2分）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s="宋体"/>
                <w:color w:val="auto"/>
                <w:kern w:val="0"/>
                <w:highlight w:val="none"/>
              </w:rPr>
              <w:t>有清晰的工作流程图、工作准则、方法合理、制度健全。</w:t>
            </w:r>
            <w:r>
              <w:rPr>
                <w:rFonts w:hint="eastAsia" w:ascii="宋体" w:hAnsi="宋体"/>
                <w:color w:val="auto"/>
                <w:highlight w:val="none"/>
              </w:rPr>
              <w:t>优得[2-1.5]</w:t>
            </w:r>
            <w:r>
              <w:rPr>
                <w:rFonts w:ascii="宋体" w:hAnsi="宋体"/>
                <w:color w:val="auto"/>
                <w:highlight w:val="none"/>
              </w:rPr>
              <w:t>分；</w:t>
            </w:r>
            <w:r>
              <w:rPr>
                <w:rFonts w:hint="eastAsia" w:ascii="宋体" w:hAnsi="宋体"/>
                <w:color w:val="auto"/>
                <w:highlight w:val="none"/>
              </w:rPr>
              <w:t>中得[1.5-0.5]</w:t>
            </w:r>
            <w:r>
              <w:rPr>
                <w:rFonts w:ascii="宋体" w:hAnsi="宋体"/>
                <w:color w:val="auto"/>
                <w:highlight w:val="none"/>
              </w:rPr>
              <w:t>分；差得</w:t>
            </w:r>
            <w:r>
              <w:rPr>
                <w:rFonts w:hint="eastAsia" w:ascii="宋体" w:hAnsi="宋体"/>
                <w:color w:val="auto"/>
                <w:highlight w:val="none"/>
              </w:rPr>
              <w:t>[0.5-0]分。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vMerge w:val="restart"/>
            <w:tcBorders>
              <w:top w:val="single" w:color="auto" w:sz="4" w:space="0"/>
              <w:left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olor w:val="auto"/>
                <w:highlight w:val="none"/>
              </w:rPr>
            </w:pPr>
          </w:p>
          <w:p>
            <w:pPr>
              <w:snapToGrid w:val="0"/>
              <w:spacing w:line="276" w:lineRule="auto"/>
              <w:jc w:val="center"/>
              <w:rPr>
                <w:rFonts w:hint="eastAsia" w:ascii="宋体" w:hAnsi="宋体"/>
                <w:color w:val="auto"/>
                <w:highlight w:val="none"/>
              </w:rPr>
            </w:pPr>
          </w:p>
          <w:p>
            <w:pPr>
              <w:snapToGrid w:val="0"/>
              <w:spacing w:line="276" w:lineRule="auto"/>
              <w:jc w:val="center"/>
              <w:rPr>
                <w:rFonts w:hint="eastAsia" w:ascii="宋体" w:hAnsi="宋体"/>
                <w:color w:val="auto"/>
                <w:highlight w:val="none"/>
              </w:rPr>
            </w:pPr>
          </w:p>
          <w:p>
            <w:pPr>
              <w:snapToGrid w:val="0"/>
              <w:spacing w:line="276" w:lineRule="auto"/>
              <w:jc w:val="center"/>
              <w:rPr>
                <w:rFonts w:hint="eastAsia" w:ascii="宋体" w:hAnsi="宋体"/>
                <w:color w:val="auto"/>
                <w:highlight w:val="none"/>
              </w:rPr>
            </w:pPr>
          </w:p>
          <w:p>
            <w:pPr>
              <w:snapToGrid w:val="0"/>
              <w:spacing w:line="276" w:lineRule="auto"/>
              <w:jc w:val="center"/>
              <w:rPr>
                <w:rFonts w:hint="eastAsia" w:ascii="宋体" w:hAnsi="宋体"/>
                <w:color w:val="auto"/>
                <w:highlight w:val="none"/>
              </w:rPr>
            </w:pPr>
            <w:r>
              <w:rPr>
                <w:rFonts w:ascii="宋体" w:hAnsi="宋体"/>
                <w:color w:val="auto"/>
                <w:highlight w:val="none"/>
              </w:rPr>
              <w:t>质量、进度、</w:t>
            </w:r>
            <w:r>
              <w:rPr>
                <w:rFonts w:hint="eastAsia" w:ascii="宋体" w:hAnsi="宋体"/>
                <w:color w:val="auto"/>
                <w:highlight w:val="none"/>
              </w:rPr>
              <w:t>投资</w:t>
            </w:r>
            <w:r>
              <w:rPr>
                <w:rFonts w:ascii="宋体" w:hAnsi="宋体"/>
                <w:color w:val="auto"/>
                <w:highlight w:val="none"/>
              </w:rPr>
              <w:t>、安全、环保监理措施</w:t>
            </w:r>
          </w:p>
          <w:p>
            <w:pPr>
              <w:snapToGrid w:val="0"/>
              <w:spacing w:line="276" w:lineRule="auto"/>
              <w:jc w:val="center"/>
              <w:rPr>
                <w:rFonts w:hint="eastAsia" w:ascii="宋体" w:hAnsi="宋体"/>
                <w:color w:val="auto"/>
                <w:szCs w:val="21"/>
                <w:highlight w:val="none"/>
              </w:rPr>
            </w:pPr>
            <w:r>
              <w:rPr>
                <w:rFonts w:hint="eastAsia" w:ascii="宋体" w:hAnsi="宋体"/>
                <w:color w:val="auto"/>
                <w:highlight w:val="none"/>
              </w:rPr>
              <w:t>（16分）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olor w:val="auto"/>
                <w:highlight w:val="none"/>
              </w:rPr>
              <w:t>质量监理措施（4分）：</w:t>
            </w:r>
            <w:r>
              <w:rPr>
                <w:rFonts w:hint="eastAsia" w:ascii="宋体" w:hAnsi="宋体" w:cs="宋体"/>
                <w:color w:val="auto"/>
                <w:kern w:val="0"/>
                <w:highlight w:val="none"/>
              </w:rPr>
              <w:t>要求目标明确、方法合理可行、措施具体、针对性强。</w:t>
            </w:r>
            <w:r>
              <w:rPr>
                <w:rFonts w:hint="eastAsia" w:ascii="宋体" w:hAnsi="宋体"/>
                <w:color w:val="auto"/>
                <w:highlight w:val="none"/>
              </w:rPr>
              <w:t>优得[</w:t>
            </w:r>
            <w:r>
              <w:rPr>
                <w:rFonts w:ascii="宋体" w:hAnsi="宋体"/>
                <w:color w:val="auto"/>
                <w:highlight w:val="none"/>
              </w:rPr>
              <w:t>4-3</w:t>
            </w:r>
            <w:r>
              <w:rPr>
                <w:rFonts w:hint="eastAsia" w:ascii="宋体" w:hAnsi="宋体"/>
                <w:color w:val="auto"/>
                <w:highlight w:val="none"/>
              </w:rPr>
              <w:t>]</w:t>
            </w:r>
            <w:r>
              <w:rPr>
                <w:rFonts w:ascii="宋体" w:hAnsi="宋体"/>
                <w:color w:val="auto"/>
                <w:highlight w:val="none"/>
              </w:rPr>
              <w:t>分；良得</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1.5]分；差得[1.5</w:t>
            </w:r>
            <w:r>
              <w:rPr>
                <w:rFonts w:ascii="宋体" w:hAnsi="宋体"/>
                <w:color w:val="auto"/>
                <w:highlight w:val="none"/>
              </w:rPr>
              <w:t>-</w:t>
            </w:r>
            <w:r>
              <w:rPr>
                <w:rFonts w:hint="eastAsia" w:ascii="宋体" w:hAnsi="宋体"/>
                <w:color w:val="auto"/>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vMerge w:val="continue"/>
            <w:tcBorders>
              <w:left w:val="single" w:color="auto" w:sz="4" w:space="0"/>
              <w:right w:val="single" w:color="auto" w:sz="4" w:space="0"/>
            </w:tcBorders>
            <w:noWrap w:val="0"/>
            <w:tcMar>
              <w:left w:w="57" w:type="dxa"/>
              <w:right w:w="57" w:type="dxa"/>
            </w:tcMar>
            <w:vAlign w:val="center"/>
          </w:tcPr>
          <w:p>
            <w:pPr>
              <w:snapToGrid w:val="0"/>
              <w:spacing w:line="276" w:lineRule="auto"/>
              <w:jc w:val="center"/>
              <w:rPr>
                <w:rFonts w:ascii="宋体" w:hAnsi="宋体"/>
                <w:color w:val="auto"/>
                <w:highlight w:val="none"/>
              </w:rPr>
            </w:pP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olor w:val="auto"/>
                <w:highlight w:val="none"/>
              </w:rPr>
              <w:t>进度监理措施（3分）：</w:t>
            </w:r>
            <w:r>
              <w:rPr>
                <w:rFonts w:hint="eastAsia" w:ascii="宋体" w:hAnsi="宋体" w:cs="宋体"/>
                <w:color w:val="auto"/>
                <w:kern w:val="0"/>
                <w:highlight w:val="none"/>
              </w:rPr>
              <w:t>要求目标明确、方法合理可行、措施具体、针对性强。</w:t>
            </w:r>
            <w:r>
              <w:rPr>
                <w:rFonts w:hint="eastAsia" w:ascii="宋体" w:hAnsi="宋体"/>
                <w:color w:val="auto"/>
                <w:highlight w:val="none"/>
              </w:rPr>
              <w:t>优得[3</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分；良得</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1]分；差得[1</w:t>
            </w:r>
            <w:r>
              <w:rPr>
                <w:rFonts w:ascii="宋体" w:hAnsi="宋体"/>
                <w:color w:val="auto"/>
                <w:highlight w:val="none"/>
              </w:rPr>
              <w:t>-</w:t>
            </w:r>
            <w:r>
              <w:rPr>
                <w:rFonts w:hint="eastAsia" w:ascii="宋体" w:hAnsi="宋体"/>
                <w:color w:val="auto"/>
                <w:highlight w:val="none"/>
              </w:rPr>
              <w:t>0]</w:t>
            </w:r>
            <w:r>
              <w:rPr>
                <w:rFonts w:ascii="宋体" w:hAnsi="宋体"/>
                <w:color w:val="auto"/>
                <w:highlight w:val="none"/>
              </w:rPr>
              <w:t xml:space="preserve"> </w:t>
            </w:r>
            <w:r>
              <w:rPr>
                <w:rFonts w:hint="eastAsia" w:ascii="宋体" w:hAnsi="宋体"/>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vMerge w:val="continue"/>
            <w:tcBorders>
              <w:left w:val="single" w:color="auto" w:sz="4" w:space="0"/>
              <w:right w:val="single" w:color="auto" w:sz="4" w:space="0"/>
            </w:tcBorders>
            <w:noWrap w:val="0"/>
            <w:tcMar>
              <w:left w:w="57" w:type="dxa"/>
              <w:right w:w="57" w:type="dxa"/>
            </w:tcMar>
            <w:vAlign w:val="center"/>
          </w:tcPr>
          <w:p>
            <w:pPr>
              <w:snapToGrid w:val="0"/>
              <w:spacing w:line="276" w:lineRule="auto"/>
              <w:jc w:val="center"/>
              <w:rPr>
                <w:rFonts w:ascii="宋体" w:hAnsi="宋体"/>
                <w:color w:val="auto"/>
                <w:highlight w:val="none"/>
              </w:rPr>
            </w:pP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olor w:val="auto"/>
                <w:highlight w:val="none"/>
              </w:rPr>
              <w:t>投资监理措施（3分）：</w:t>
            </w:r>
            <w:r>
              <w:rPr>
                <w:rFonts w:hint="eastAsia" w:ascii="宋体" w:hAnsi="宋体" w:cs="宋体"/>
                <w:color w:val="auto"/>
                <w:kern w:val="0"/>
                <w:highlight w:val="none"/>
              </w:rPr>
              <w:t>要求目标明确、方法合理可行、措施具体、针对性强。</w:t>
            </w:r>
            <w:r>
              <w:rPr>
                <w:rFonts w:hint="eastAsia" w:ascii="宋体" w:hAnsi="宋体"/>
                <w:color w:val="auto"/>
                <w:highlight w:val="none"/>
              </w:rPr>
              <w:t>优得[3</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分；良得</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1]分；差得[1</w:t>
            </w:r>
            <w:r>
              <w:rPr>
                <w:rFonts w:ascii="宋体" w:hAnsi="宋体"/>
                <w:color w:val="auto"/>
                <w:highlight w:val="none"/>
              </w:rPr>
              <w:t>-</w:t>
            </w:r>
            <w:r>
              <w:rPr>
                <w:rFonts w:hint="eastAsia" w:ascii="宋体" w:hAnsi="宋体"/>
                <w:color w:val="auto"/>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vMerge w:val="continue"/>
            <w:tcBorders>
              <w:left w:val="single" w:color="auto" w:sz="4" w:space="0"/>
              <w:right w:val="single" w:color="auto" w:sz="4" w:space="0"/>
            </w:tcBorders>
            <w:noWrap w:val="0"/>
            <w:tcMar>
              <w:left w:w="57" w:type="dxa"/>
              <w:right w:w="57" w:type="dxa"/>
            </w:tcMar>
            <w:vAlign w:val="center"/>
          </w:tcPr>
          <w:p>
            <w:pPr>
              <w:snapToGrid w:val="0"/>
              <w:spacing w:line="276" w:lineRule="auto"/>
              <w:jc w:val="center"/>
              <w:rPr>
                <w:rFonts w:ascii="宋体" w:hAnsi="宋体"/>
                <w:color w:val="auto"/>
                <w:highlight w:val="none"/>
              </w:rPr>
            </w:pP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olor w:val="auto"/>
                <w:highlight w:val="none"/>
              </w:rPr>
              <w:t>安全监理措施（3分）：</w:t>
            </w:r>
            <w:r>
              <w:rPr>
                <w:rFonts w:hint="eastAsia" w:ascii="宋体" w:hAnsi="宋体" w:cs="宋体"/>
                <w:color w:val="auto"/>
                <w:kern w:val="0"/>
                <w:highlight w:val="none"/>
              </w:rPr>
              <w:t>要求目标明确、方法合理可行、措施具体、针对性强。</w:t>
            </w:r>
            <w:r>
              <w:rPr>
                <w:rFonts w:hint="eastAsia" w:ascii="宋体" w:hAnsi="宋体"/>
                <w:color w:val="auto"/>
                <w:highlight w:val="none"/>
              </w:rPr>
              <w:t>优得[3</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分；良得</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1]分；差得[1</w:t>
            </w:r>
            <w:r>
              <w:rPr>
                <w:rFonts w:ascii="宋体" w:hAnsi="宋体"/>
                <w:color w:val="auto"/>
                <w:highlight w:val="none"/>
              </w:rPr>
              <w:t>-</w:t>
            </w:r>
            <w:r>
              <w:rPr>
                <w:rFonts w:hint="eastAsia" w:ascii="宋体" w:hAnsi="宋体"/>
                <w:color w:val="auto"/>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vMerge w:val="continue"/>
            <w:tcBorders>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ascii="宋体" w:hAnsi="宋体"/>
                <w:color w:val="auto"/>
                <w:highlight w:val="none"/>
              </w:rPr>
            </w:pP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olor w:val="auto"/>
                <w:highlight w:val="none"/>
              </w:rPr>
              <w:t>环保监理措施（3分）：</w:t>
            </w:r>
            <w:r>
              <w:rPr>
                <w:rFonts w:hint="eastAsia" w:ascii="宋体" w:hAnsi="宋体" w:cs="宋体"/>
                <w:color w:val="auto"/>
                <w:kern w:val="0"/>
                <w:highlight w:val="none"/>
              </w:rPr>
              <w:t>要求针对性强、措施具体、可操作。</w:t>
            </w:r>
            <w:r>
              <w:rPr>
                <w:rFonts w:hint="eastAsia" w:ascii="宋体" w:hAnsi="宋体"/>
                <w:color w:val="auto"/>
                <w:highlight w:val="none"/>
              </w:rPr>
              <w:t>优得[3</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分；良得</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1]分；差得[1</w:t>
            </w:r>
            <w:r>
              <w:rPr>
                <w:rFonts w:ascii="宋体" w:hAnsi="宋体"/>
                <w:color w:val="auto"/>
                <w:highlight w:val="none"/>
              </w:rPr>
              <w:t>-</w:t>
            </w:r>
            <w:r>
              <w:rPr>
                <w:rFonts w:hint="eastAsia" w:ascii="宋体" w:hAnsi="宋体"/>
                <w:color w:val="auto"/>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1"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olor w:val="auto"/>
                <w:szCs w:val="21"/>
                <w:highlight w:val="none"/>
              </w:rPr>
            </w:pPr>
            <w:r>
              <w:rPr>
                <w:rFonts w:ascii="宋体" w:hAnsi="宋体"/>
                <w:color w:val="auto"/>
                <w:highlight w:val="none"/>
              </w:rPr>
              <w:t>合同、信息管理方案</w:t>
            </w:r>
            <w:r>
              <w:rPr>
                <w:rFonts w:hint="eastAsia" w:ascii="宋体" w:hAnsi="宋体"/>
                <w:color w:val="auto"/>
                <w:highlight w:val="none"/>
              </w:rPr>
              <w:t>（2分）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s="宋体"/>
                <w:color w:val="auto"/>
                <w:highlight w:val="none"/>
              </w:rPr>
            </w:pPr>
            <w:r>
              <w:rPr>
                <w:rFonts w:hint="eastAsia" w:ascii="宋体" w:hAnsi="宋体" w:cs="宋体"/>
                <w:color w:val="auto"/>
                <w:kern w:val="0"/>
                <w:highlight w:val="none"/>
              </w:rPr>
              <w:t>合同管理、信息管理方法、针对性强、措施具体。</w:t>
            </w:r>
            <w:r>
              <w:rPr>
                <w:rFonts w:hint="eastAsia" w:ascii="宋体" w:hAnsi="宋体"/>
                <w:color w:val="auto"/>
                <w:highlight w:val="none"/>
              </w:rPr>
              <w:t>优得[2-1.5]</w:t>
            </w:r>
            <w:r>
              <w:rPr>
                <w:rFonts w:ascii="宋体" w:hAnsi="宋体"/>
                <w:color w:val="auto"/>
                <w:highlight w:val="none"/>
              </w:rPr>
              <w:t xml:space="preserve">分； </w:t>
            </w:r>
            <w:r>
              <w:rPr>
                <w:rFonts w:hint="eastAsia" w:ascii="宋体" w:hAnsi="宋体"/>
                <w:color w:val="auto"/>
                <w:highlight w:val="none"/>
              </w:rPr>
              <w:t>中得[1.5-0.5]</w:t>
            </w:r>
            <w:r>
              <w:rPr>
                <w:rFonts w:ascii="宋体" w:hAnsi="宋体"/>
                <w:color w:val="auto"/>
                <w:highlight w:val="none"/>
              </w:rPr>
              <w:t>分；差得</w:t>
            </w:r>
            <w:r>
              <w:rPr>
                <w:rFonts w:hint="eastAsia" w:ascii="宋体" w:hAnsi="宋体"/>
                <w:color w:val="auto"/>
                <w:highlight w:val="none"/>
              </w:rPr>
              <w:t>[0.5-0]分。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5"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ascii="宋体" w:hAnsi="宋体"/>
                <w:color w:val="auto"/>
                <w:highlight w:val="none"/>
              </w:rPr>
            </w:pPr>
            <w:r>
              <w:rPr>
                <w:rFonts w:ascii="宋体" w:hAnsi="宋体"/>
                <w:color w:val="auto"/>
                <w:highlight w:val="none"/>
              </w:rPr>
              <w:t>监理组织协调内容及措施</w:t>
            </w:r>
            <w:r>
              <w:rPr>
                <w:rFonts w:hint="eastAsia" w:ascii="宋体" w:hAnsi="宋体"/>
                <w:color w:val="auto"/>
                <w:highlight w:val="none"/>
              </w:rPr>
              <w:t>（2分）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olor w:val="auto"/>
                <w:highlight w:val="none"/>
              </w:rPr>
            </w:pPr>
            <w:r>
              <w:rPr>
                <w:rFonts w:hint="eastAsia" w:ascii="宋体" w:hAnsi="宋体" w:cs="宋体"/>
                <w:color w:val="auto"/>
                <w:kern w:val="0"/>
                <w:highlight w:val="none"/>
              </w:rPr>
              <w:t>协调方法清晰合理，有具体措施。</w:t>
            </w:r>
            <w:r>
              <w:rPr>
                <w:rFonts w:hint="eastAsia" w:ascii="宋体" w:hAnsi="宋体"/>
                <w:color w:val="auto"/>
                <w:highlight w:val="none"/>
              </w:rPr>
              <w:t>优得[2-1.5]</w:t>
            </w:r>
            <w:r>
              <w:rPr>
                <w:rFonts w:ascii="宋体" w:hAnsi="宋体"/>
                <w:color w:val="auto"/>
                <w:highlight w:val="none"/>
              </w:rPr>
              <w:t xml:space="preserve">分； </w:t>
            </w:r>
            <w:r>
              <w:rPr>
                <w:rFonts w:hint="eastAsia" w:ascii="宋体" w:hAnsi="宋体"/>
                <w:color w:val="auto"/>
                <w:highlight w:val="none"/>
              </w:rPr>
              <w:t>中得[1.5-0.5]</w:t>
            </w:r>
            <w:r>
              <w:rPr>
                <w:rFonts w:ascii="宋体" w:hAnsi="宋体"/>
                <w:color w:val="auto"/>
                <w:highlight w:val="none"/>
              </w:rPr>
              <w:t>分；差得</w:t>
            </w:r>
            <w:r>
              <w:rPr>
                <w:rFonts w:hint="eastAsia" w:ascii="宋体" w:hAnsi="宋体"/>
                <w:color w:val="auto"/>
                <w:highlight w:val="none"/>
              </w:rPr>
              <w:t>[0.5-0]分。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2"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ascii="宋体" w:hAnsi="宋体"/>
                <w:color w:val="auto"/>
                <w:highlight w:val="none"/>
              </w:rPr>
            </w:pPr>
            <w:r>
              <w:rPr>
                <w:rFonts w:ascii="宋体" w:hAnsi="宋体"/>
                <w:color w:val="auto"/>
                <w:highlight w:val="none"/>
              </w:rPr>
              <w:t>监理工作重点、难点分析</w:t>
            </w:r>
            <w:r>
              <w:rPr>
                <w:rFonts w:hint="eastAsia" w:ascii="宋体" w:hAnsi="宋体"/>
                <w:color w:val="auto"/>
                <w:highlight w:val="none"/>
              </w:rPr>
              <w:t>（2分）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rPr>
                <w:rFonts w:hint="eastAsia" w:ascii="宋体" w:hAnsi="宋体"/>
                <w:color w:val="auto"/>
                <w:highlight w:val="none"/>
              </w:rPr>
            </w:pPr>
            <w:r>
              <w:rPr>
                <w:rFonts w:hint="eastAsia" w:ascii="宋体" w:hAnsi="宋体" w:cs="宋体"/>
                <w:color w:val="auto"/>
                <w:kern w:val="0"/>
                <w:highlight w:val="none"/>
              </w:rPr>
              <w:t>要求针对性强、措施具体、可操作。</w:t>
            </w:r>
            <w:r>
              <w:rPr>
                <w:rFonts w:hint="eastAsia" w:ascii="宋体" w:hAnsi="宋体"/>
                <w:color w:val="auto"/>
                <w:highlight w:val="none"/>
              </w:rPr>
              <w:t>优得[2-1.5]</w:t>
            </w:r>
            <w:r>
              <w:rPr>
                <w:rFonts w:ascii="宋体" w:hAnsi="宋体"/>
                <w:color w:val="auto"/>
                <w:highlight w:val="none"/>
              </w:rPr>
              <w:t xml:space="preserve">分； </w:t>
            </w:r>
            <w:r>
              <w:rPr>
                <w:rFonts w:hint="eastAsia" w:ascii="宋体" w:hAnsi="宋体"/>
                <w:color w:val="auto"/>
                <w:highlight w:val="none"/>
              </w:rPr>
              <w:t>中得[1.5-0.5]</w:t>
            </w:r>
            <w:r>
              <w:rPr>
                <w:rFonts w:ascii="宋体" w:hAnsi="宋体"/>
                <w:color w:val="auto"/>
                <w:highlight w:val="none"/>
              </w:rPr>
              <w:t>分；差得</w:t>
            </w:r>
            <w:r>
              <w:rPr>
                <w:rFonts w:hint="eastAsia" w:ascii="宋体" w:hAnsi="宋体"/>
                <w:color w:val="auto"/>
                <w:highlight w:val="none"/>
              </w:rPr>
              <w:t>[0.5-0]分。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9"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olor w:val="auto"/>
                <w:highlight w:val="none"/>
              </w:rPr>
            </w:pPr>
            <w:r>
              <w:rPr>
                <w:rFonts w:hint="eastAsia" w:ascii="宋体" w:hAnsi="宋体"/>
                <w:color w:val="auto"/>
                <w:highlight w:val="none"/>
              </w:rPr>
              <w:t>会议制度</w:t>
            </w:r>
          </w:p>
          <w:p>
            <w:pPr>
              <w:snapToGrid w:val="0"/>
              <w:spacing w:line="276" w:lineRule="auto"/>
              <w:jc w:val="center"/>
              <w:rPr>
                <w:rFonts w:ascii="宋体" w:hAnsi="宋体"/>
                <w:color w:val="auto"/>
                <w:highlight w:val="none"/>
              </w:rPr>
            </w:pPr>
            <w:r>
              <w:rPr>
                <w:rFonts w:hint="eastAsia" w:ascii="宋体" w:hAnsi="宋体"/>
                <w:color w:val="auto"/>
                <w:highlight w:val="none"/>
              </w:rPr>
              <w:t>（1分）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ind w:left="1"/>
              <w:rPr>
                <w:rFonts w:hint="eastAsia" w:ascii="宋体" w:hAnsi="宋体"/>
                <w:color w:val="auto"/>
                <w:highlight w:val="none"/>
              </w:rPr>
            </w:pPr>
            <w:r>
              <w:rPr>
                <w:rFonts w:hint="eastAsia" w:ascii="宋体" w:hAnsi="宋体" w:cs="宋体"/>
                <w:color w:val="auto"/>
                <w:kern w:val="0"/>
                <w:highlight w:val="none"/>
              </w:rPr>
              <w:t>建立完善的工地会议制度。</w:t>
            </w:r>
            <w:r>
              <w:rPr>
                <w:rFonts w:hint="eastAsia" w:ascii="宋体" w:hAnsi="宋体"/>
                <w:color w:val="auto"/>
                <w:highlight w:val="none"/>
              </w:rPr>
              <w:t>优得[1-0.7]</w:t>
            </w:r>
            <w:r>
              <w:rPr>
                <w:rFonts w:ascii="宋体" w:hAnsi="宋体"/>
                <w:color w:val="auto"/>
                <w:highlight w:val="none"/>
              </w:rPr>
              <w:t xml:space="preserve">分； </w:t>
            </w:r>
            <w:r>
              <w:rPr>
                <w:rFonts w:hint="eastAsia" w:ascii="宋体" w:hAnsi="宋体"/>
                <w:color w:val="auto"/>
                <w:highlight w:val="none"/>
              </w:rPr>
              <w:t>中得[0.7-0.3]</w:t>
            </w:r>
            <w:r>
              <w:rPr>
                <w:rFonts w:ascii="宋体" w:hAnsi="宋体"/>
                <w:color w:val="auto"/>
                <w:highlight w:val="none"/>
              </w:rPr>
              <w:t>分；差得</w:t>
            </w:r>
            <w:r>
              <w:rPr>
                <w:rFonts w:hint="eastAsia" w:ascii="宋体" w:hAnsi="宋体"/>
                <w:color w:val="auto"/>
                <w:highlight w:val="none"/>
              </w:rPr>
              <w:t>[0.3-0]分。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13" w:type="dxa"/>
            <w:vMerge w:val="continue"/>
            <w:tcBorders>
              <w:top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p>
        </w:tc>
        <w:tc>
          <w:tcPr>
            <w:tcW w:w="1205" w:type="dxa"/>
            <w:vMerge w:val="continue"/>
            <w:tcBorders>
              <w:top w:val="single" w:color="auto" w:sz="4" w:space="0"/>
              <w:bottom w:val="single" w:color="auto" w:sz="4" w:space="0"/>
              <w:right w:val="single" w:color="auto" w:sz="4" w:space="0"/>
            </w:tcBorders>
            <w:noWrap w:val="0"/>
            <w:vAlign w:val="top"/>
          </w:tcPr>
          <w:p>
            <w:pPr>
              <w:pStyle w:val="45"/>
              <w:kinsoku w:val="0"/>
              <w:overflowPunct w:val="0"/>
              <w:spacing w:line="260" w:lineRule="exact"/>
              <w:ind w:left="-115" w:leftChars="-55" w:right="-122" w:rightChars="-58"/>
              <w:jc w:val="center"/>
              <w:rPr>
                <w:color w:val="auto"/>
                <w:highlight w:val="none"/>
              </w:rPr>
            </w:pPr>
          </w:p>
        </w:tc>
        <w:tc>
          <w:tcPr>
            <w:tcW w:w="15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76" w:lineRule="auto"/>
              <w:jc w:val="center"/>
              <w:rPr>
                <w:rFonts w:hint="eastAsia" w:ascii="宋体" w:hAnsi="宋体"/>
                <w:color w:val="auto"/>
                <w:highlight w:val="none"/>
              </w:rPr>
            </w:pPr>
            <w:r>
              <w:rPr>
                <w:rFonts w:ascii="宋体" w:hAnsi="宋体"/>
                <w:color w:val="auto"/>
                <w:highlight w:val="none"/>
              </w:rPr>
              <w:t>合理化建议</w:t>
            </w:r>
          </w:p>
          <w:p>
            <w:pPr>
              <w:snapToGrid w:val="0"/>
              <w:spacing w:line="276" w:lineRule="auto"/>
              <w:jc w:val="center"/>
              <w:rPr>
                <w:rFonts w:ascii="宋体" w:hAnsi="宋体"/>
                <w:color w:val="auto"/>
                <w:highlight w:val="none"/>
              </w:rPr>
            </w:pPr>
            <w:r>
              <w:rPr>
                <w:rFonts w:hint="eastAsia" w:ascii="宋体" w:hAnsi="宋体"/>
                <w:color w:val="auto"/>
                <w:highlight w:val="none"/>
              </w:rPr>
              <w:t>（2分）</w:t>
            </w:r>
          </w:p>
        </w:tc>
        <w:tc>
          <w:tcPr>
            <w:tcW w:w="634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88" w:lineRule="auto"/>
              <w:ind w:left="1"/>
              <w:rPr>
                <w:rFonts w:hint="eastAsia" w:ascii="宋体" w:hAnsi="宋体"/>
                <w:color w:val="auto"/>
                <w:highlight w:val="none"/>
              </w:rPr>
            </w:pPr>
            <w:r>
              <w:rPr>
                <w:rFonts w:hint="eastAsia" w:ascii="宋体" w:hAnsi="宋体" w:cs="宋体"/>
                <w:color w:val="auto"/>
                <w:kern w:val="0"/>
                <w:highlight w:val="none"/>
              </w:rPr>
              <w:t>具有科学、合理、可行及具体措施的建议并经评委分析论证认同的。</w:t>
            </w:r>
            <w:r>
              <w:rPr>
                <w:rFonts w:hint="eastAsia" w:ascii="宋体" w:hAnsi="宋体"/>
                <w:color w:val="auto"/>
                <w:highlight w:val="none"/>
              </w:rPr>
              <w:t>优得[2-1.5]</w:t>
            </w:r>
            <w:r>
              <w:rPr>
                <w:rFonts w:ascii="宋体" w:hAnsi="宋体"/>
                <w:color w:val="auto"/>
                <w:highlight w:val="none"/>
              </w:rPr>
              <w:t xml:space="preserve">分； </w:t>
            </w:r>
            <w:r>
              <w:rPr>
                <w:rFonts w:hint="eastAsia" w:ascii="宋体" w:hAnsi="宋体"/>
                <w:color w:val="auto"/>
                <w:highlight w:val="none"/>
              </w:rPr>
              <w:t>中得[1.5-0.5]</w:t>
            </w:r>
            <w:r>
              <w:rPr>
                <w:rFonts w:ascii="宋体" w:hAnsi="宋体"/>
                <w:color w:val="auto"/>
                <w:highlight w:val="none"/>
              </w:rPr>
              <w:t>分；差得</w:t>
            </w:r>
            <w:r>
              <w:rPr>
                <w:rFonts w:hint="eastAsia" w:ascii="宋体" w:hAnsi="宋体"/>
                <w:color w:val="auto"/>
                <w:highlight w:val="none"/>
              </w:rPr>
              <w:t>[0.5-0]分。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92" w:hRule="atLeast"/>
        </w:trPr>
        <w:tc>
          <w:tcPr>
            <w:tcW w:w="613" w:type="dxa"/>
            <w:tcBorders>
              <w:top w:val="single" w:color="auto" w:sz="4" w:space="0"/>
              <w:bottom w:val="single" w:color="auto" w:sz="4" w:space="0"/>
              <w:right w:val="single" w:color="auto" w:sz="4" w:space="0"/>
            </w:tcBorders>
            <w:noWrap w:val="0"/>
            <w:vAlign w:val="center"/>
          </w:tcPr>
          <w:p>
            <w:pPr>
              <w:pStyle w:val="45"/>
              <w:kinsoku w:val="0"/>
              <w:overflowPunct w:val="0"/>
              <w:ind w:left="-63" w:leftChars="-30" w:right="-111" w:rightChars="-53" w:firstLine="63" w:firstLineChars="30"/>
              <w:jc w:val="center"/>
              <w:rPr>
                <w:color w:val="auto"/>
                <w:highlight w:val="none"/>
              </w:rPr>
            </w:pPr>
          </w:p>
          <w:p>
            <w:pPr>
              <w:pStyle w:val="45"/>
              <w:kinsoku w:val="0"/>
              <w:overflowPunct w:val="0"/>
              <w:ind w:left="-63" w:leftChars="-30" w:right="-111" w:rightChars="-53" w:firstLine="63" w:firstLineChars="30"/>
              <w:jc w:val="center"/>
              <w:rPr>
                <w:color w:val="auto"/>
                <w:highlight w:val="none"/>
              </w:rPr>
            </w:pPr>
            <w:r>
              <w:rPr>
                <w:color w:val="auto"/>
                <w:highlight w:val="none"/>
              </w:rPr>
              <w:t>2.2.4</w:t>
            </w:r>
          </w:p>
          <w:p>
            <w:pPr>
              <w:pStyle w:val="45"/>
              <w:kinsoku w:val="0"/>
              <w:overflowPunct w:val="0"/>
              <w:ind w:left="-63" w:leftChars="-30" w:right="-111" w:rightChars="-53" w:firstLine="63" w:firstLineChars="30"/>
              <w:jc w:val="center"/>
              <w:rPr>
                <w:color w:val="auto"/>
                <w:highlight w:val="none"/>
              </w:rPr>
            </w:pPr>
            <w:r>
              <w:rPr>
                <w:color w:val="auto"/>
                <w:highlight w:val="none"/>
              </w:rPr>
              <w:t>（3）</w:t>
            </w:r>
          </w:p>
        </w:tc>
        <w:tc>
          <w:tcPr>
            <w:tcW w:w="1205" w:type="dxa"/>
            <w:tcBorders>
              <w:top w:val="single" w:color="auto" w:sz="4" w:space="0"/>
              <w:bottom w:val="single" w:color="auto" w:sz="4" w:space="0"/>
              <w:right w:val="single" w:color="auto" w:sz="4" w:space="0"/>
            </w:tcBorders>
            <w:noWrap w:val="0"/>
            <w:vAlign w:val="center"/>
          </w:tcPr>
          <w:p>
            <w:pPr>
              <w:spacing w:line="260" w:lineRule="exact"/>
              <w:ind w:left="315" w:hanging="315" w:hangingChars="150"/>
              <w:jc w:val="center"/>
              <w:rPr>
                <w:rFonts w:hint="eastAsia" w:ascii="宋体" w:hAnsi="Courier New"/>
                <w:color w:val="auto"/>
                <w:szCs w:val="21"/>
                <w:highlight w:val="none"/>
              </w:rPr>
            </w:pPr>
            <w:r>
              <w:rPr>
                <w:rFonts w:hint="eastAsia" w:ascii="宋体" w:hAnsi="宋体"/>
                <w:color w:val="auto"/>
                <w:highlight w:val="none"/>
              </w:rPr>
              <w:t>投标</w:t>
            </w:r>
            <w:r>
              <w:rPr>
                <w:rFonts w:hint="eastAsia" w:ascii="宋体" w:hAnsi="Courier New"/>
                <w:color w:val="auto"/>
                <w:szCs w:val="21"/>
                <w:highlight w:val="none"/>
              </w:rPr>
              <w:t>报价</w:t>
            </w:r>
          </w:p>
          <w:p>
            <w:pPr>
              <w:spacing w:line="260" w:lineRule="exact"/>
              <w:ind w:left="315" w:hanging="315" w:hangingChars="150"/>
              <w:jc w:val="center"/>
              <w:rPr>
                <w:rFonts w:hint="eastAsia"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spacing w:line="260" w:lineRule="exact"/>
              <w:ind w:left="315" w:hanging="315" w:hangingChars="150"/>
              <w:jc w:val="center"/>
              <w:rPr>
                <w:color w:val="auto"/>
                <w:highlight w:val="none"/>
              </w:rPr>
            </w:pPr>
            <w:r>
              <w:rPr>
                <w:rFonts w:hint="eastAsia" w:ascii="宋体" w:hAnsi="宋体"/>
                <w:color w:val="auto"/>
                <w:highlight w:val="none"/>
              </w:rPr>
              <w:t>（10分）</w:t>
            </w:r>
          </w:p>
        </w:tc>
        <w:tc>
          <w:tcPr>
            <w:tcW w:w="1571" w:type="dxa"/>
            <w:tcBorders>
              <w:top w:val="single" w:color="auto" w:sz="4" w:space="0"/>
              <w:left w:val="single" w:color="auto" w:sz="4" w:space="0"/>
              <w:right w:val="single" w:color="auto" w:sz="4" w:space="0"/>
            </w:tcBorders>
            <w:noWrap w:val="0"/>
            <w:tcMar>
              <w:left w:w="57" w:type="dxa"/>
              <w:right w:w="57" w:type="dxa"/>
            </w:tcMar>
            <w:vAlign w:val="center"/>
          </w:tcPr>
          <w:p>
            <w:pPr>
              <w:pStyle w:val="45"/>
              <w:kinsoku w:val="0"/>
              <w:overflowPunct w:val="0"/>
              <w:spacing w:before="14" w:line="260" w:lineRule="exact"/>
              <w:ind w:left="-102" w:leftChars="-49" w:hanging="1"/>
              <w:jc w:val="center"/>
              <w:rPr>
                <w:rFonts w:ascii="宋体" w:hAnsi="宋体"/>
                <w:color w:val="auto"/>
                <w:szCs w:val="21"/>
                <w:highlight w:val="none"/>
              </w:rPr>
            </w:pPr>
            <w:r>
              <w:rPr>
                <w:rFonts w:ascii="宋体" w:hAnsi="宋体"/>
                <w:color w:val="auto"/>
                <w:highlight w:val="none"/>
              </w:rPr>
              <w:t>报价得分</w:t>
            </w:r>
          </w:p>
        </w:tc>
        <w:tc>
          <w:tcPr>
            <w:tcW w:w="6345" w:type="dxa"/>
            <w:tcBorders>
              <w:top w:val="single" w:color="auto" w:sz="4" w:space="0"/>
              <w:left w:val="single" w:color="auto" w:sz="4" w:space="0"/>
              <w:right w:val="single" w:color="auto" w:sz="4" w:space="0"/>
            </w:tcBorders>
            <w:noWrap w:val="0"/>
            <w:tcMar>
              <w:left w:w="57" w:type="dxa"/>
              <w:right w:w="57" w:type="dxa"/>
            </w:tcMar>
            <w:vAlign w:val="center"/>
          </w:tcPr>
          <w:p>
            <w:pPr>
              <w:pStyle w:val="45"/>
              <w:kinsoku w:val="0"/>
              <w:overflowPunct w:val="0"/>
              <w:spacing w:line="360" w:lineRule="auto"/>
              <w:ind w:right="-57"/>
              <w:rPr>
                <w:rFonts w:ascii="宋体" w:hAnsi="宋体"/>
                <w:color w:val="auto"/>
                <w:szCs w:val="21"/>
                <w:highlight w:val="none"/>
              </w:rPr>
            </w:pPr>
            <w:r>
              <w:rPr>
                <w:rFonts w:ascii="宋体" w:hAnsi="宋体" w:cs="宋体"/>
                <w:color w:val="auto"/>
                <w:szCs w:val="21"/>
                <w:highlight w:val="none"/>
              </w:rPr>
              <w:t>以评标基准价作为计算各有效投标价得分的基础，当有效投标报价等于评标基准价时得10分；投标有效报价与评标基准价之差，每上偏1%扣0.3分，下偏1%扣0.2分。（得分扣至0分止）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5" w:hRule="atLeast"/>
        </w:trPr>
        <w:tc>
          <w:tcPr>
            <w:tcW w:w="613" w:type="dxa"/>
            <w:tcBorders>
              <w:top w:val="single" w:color="auto" w:sz="4" w:space="0"/>
              <w:left w:val="single" w:color="auto" w:sz="4" w:space="0"/>
              <w:bottom w:val="single" w:color="auto" w:sz="4" w:space="0"/>
              <w:right w:val="single" w:color="auto" w:sz="4" w:space="0"/>
            </w:tcBorders>
            <w:noWrap w:val="0"/>
            <w:vAlign w:val="center"/>
          </w:tcPr>
          <w:p>
            <w:pPr>
              <w:pStyle w:val="45"/>
              <w:kinsoku w:val="0"/>
              <w:overflowPunct w:val="0"/>
              <w:ind w:left="-63" w:leftChars="-30" w:right="-111" w:rightChars="-53" w:firstLine="63" w:firstLineChars="30"/>
              <w:jc w:val="center"/>
              <w:rPr>
                <w:color w:val="auto"/>
                <w:highlight w:val="none"/>
              </w:rPr>
            </w:pPr>
            <w:r>
              <w:rPr>
                <w:color w:val="auto"/>
                <w:highlight w:val="none"/>
              </w:rPr>
              <w:t>2.2.4</w:t>
            </w:r>
          </w:p>
          <w:p>
            <w:pPr>
              <w:pStyle w:val="45"/>
              <w:kinsoku w:val="0"/>
              <w:overflowPunct w:val="0"/>
              <w:ind w:left="-63" w:leftChars="-30" w:right="-111" w:rightChars="-53" w:firstLine="63" w:firstLineChars="30"/>
              <w:jc w:val="center"/>
              <w:rPr>
                <w:color w:val="auto"/>
                <w:highlight w:val="none"/>
              </w:rPr>
            </w:pPr>
            <w:r>
              <w:rPr>
                <w:color w:val="auto"/>
                <w:highlight w:val="none"/>
              </w:rPr>
              <w:t>（4）</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315" w:hanging="315" w:hangingChars="150"/>
              <w:jc w:val="center"/>
              <w:rPr>
                <w:rFonts w:ascii="宋体" w:hAnsi="Courier New"/>
                <w:color w:val="auto"/>
                <w:szCs w:val="21"/>
                <w:highlight w:val="none"/>
              </w:rPr>
            </w:pPr>
            <w:r>
              <w:rPr>
                <w:rFonts w:ascii="宋体" w:hAnsi="Courier New"/>
                <w:color w:val="auto"/>
                <w:szCs w:val="21"/>
                <w:highlight w:val="none"/>
              </w:rPr>
              <w:t>其他因素</w:t>
            </w:r>
          </w:p>
          <w:p>
            <w:pPr>
              <w:spacing w:line="260" w:lineRule="exact"/>
              <w:ind w:left="315" w:hanging="315" w:hangingChars="150"/>
              <w:jc w:val="center"/>
              <w:rPr>
                <w:rFonts w:hint="eastAsia" w:ascii="宋体" w:hAnsi="Courier New"/>
                <w:color w:val="auto"/>
                <w:szCs w:val="21"/>
                <w:highlight w:val="none"/>
              </w:rPr>
            </w:pPr>
            <w:r>
              <w:rPr>
                <w:rFonts w:ascii="宋体" w:hAnsi="Courier New"/>
                <w:color w:val="auto"/>
                <w:szCs w:val="21"/>
                <w:highlight w:val="none"/>
              </w:rPr>
              <w:t>评分标准</w:t>
            </w:r>
          </w:p>
          <w:p>
            <w:pPr>
              <w:spacing w:line="260" w:lineRule="exact"/>
              <w:ind w:left="315" w:hanging="315" w:hangingChars="150"/>
              <w:jc w:val="center"/>
              <w:rPr>
                <w:rFonts w:ascii="宋体" w:hAnsi="Courier New"/>
                <w:color w:val="auto"/>
                <w:szCs w:val="21"/>
                <w:highlight w:val="none"/>
              </w:rPr>
            </w:pPr>
            <w:r>
              <w:rPr>
                <w:rFonts w:hint="eastAsia" w:ascii="宋体" w:hAnsi="Courier New"/>
                <w:color w:val="auto"/>
                <w:szCs w:val="21"/>
                <w:highlight w:val="none"/>
              </w:rPr>
              <w:t>（10分）</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315" w:hanging="315" w:hangingChars="150"/>
              <w:jc w:val="center"/>
              <w:rPr>
                <w:rFonts w:ascii="宋体" w:hAnsi="Courier New"/>
                <w:color w:val="auto"/>
                <w:szCs w:val="21"/>
                <w:highlight w:val="none"/>
              </w:rPr>
            </w:pPr>
            <w:r>
              <w:rPr>
                <w:rFonts w:hint="eastAsia" w:ascii="宋体" w:hAnsi="Courier New"/>
                <w:color w:val="auto"/>
                <w:szCs w:val="21"/>
                <w:highlight w:val="none"/>
              </w:rPr>
              <w:t>诚信综合评价得分</w:t>
            </w:r>
          </w:p>
        </w:tc>
        <w:tc>
          <w:tcPr>
            <w:tcW w:w="6345" w:type="dxa"/>
            <w:tcBorders>
              <w:top w:val="single" w:color="auto" w:sz="4" w:space="0"/>
              <w:left w:val="single" w:color="auto" w:sz="4" w:space="0"/>
              <w:bottom w:val="single" w:color="auto" w:sz="4" w:space="0"/>
              <w:right w:val="single" w:color="auto" w:sz="4" w:space="0"/>
            </w:tcBorders>
            <w:noWrap w:val="0"/>
            <w:vAlign w:val="top"/>
          </w:tcPr>
          <w:p>
            <w:pPr>
              <w:pStyle w:val="45"/>
              <w:kinsoku w:val="0"/>
              <w:overflowPunct w:val="0"/>
              <w:spacing w:line="360" w:lineRule="auto"/>
              <w:ind w:right="-57"/>
              <w:rPr>
                <w:color w:val="auto"/>
                <w:szCs w:val="21"/>
                <w:highlight w:val="none"/>
              </w:rPr>
            </w:pPr>
            <w:r>
              <w:rPr>
                <w:color w:val="auto"/>
                <w:szCs w:val="21"/>
                <w:highlight w:val="none"/>
              </w:rPr>
              <w:t>诚信评价得分占投标人评标得分权重的10%。</w:t>
            </w:r>
          </w:p>
          <w:p>
            <w:pPr>
              <w:pStyle w:val="45"/>
              <w:kinsoku w:val="0"/>
              <w:overflowPunct w:val="0"/>
              <w:spacing w:line="360" w:lineRule="auto"/>
              <w:ind w:right="-57"/>
              <w:rPr>
                <w:color w:val="auto"/>
                <w:szCs w:val="21"/>
                <w:highlight w:val="none"/>
              </w:rPr>
            </w:pPr>
            <w:r>
              <w:rPr>
                <w:color w:val="auto"/>
                <w:szCs w:val="21"/>
                <w:highlight w:val="none"/>
              </w:rPr>
              <w:t>取</w:t>
            </w:r>
            <w:r>
              <w:rPr>
                <w:rFonts w:hint="eastAsia"/>
                <w:color w:val="auto"/>
              </w:rPr>
              <w:t>广州市水务工程建设管理数字化监管平台 （http://112.94.68.142:8012/#/website）</w:t>
            </w:r>
            <w:r>
              <w:rPr>
                <w:color w:val="auto"/>
                <w:szCs w:val="21"/>
                <w:highlight w:val="none"/>
              </w:rPr>
              <w:t>公布的本项目招标公告发布第1天所在季度的上一季度“监理-水利”诚信综合评价分；未入库企业或在</w:t>
            </w:r>
            <w:r>
              <w:rPr>
                <w:rFonts w:hint="eastAsia"/>
                <w:color w:val="auto"/>
              </w:rPr>
              <w:t>广州市水务工程建设管理数字化监管平台</w:t>
            </w:r>
            <w:r>
              <w:rPr>
                <w:color w:val="auto"/>
                <w:szCs w:val="21"/>
                <w:highlight w:val="none"/>
              </w:rPr>
              <w:t>中尚无诚信排名（“监理-水利”诚信综合评价分）的投标人（简称“未入库企业”），诚信评价总分取基准分，即“未入库企业”的诚信评价总分=100（市场行为评价分）×20%+75（质量安全管理评价得分）×50%+75（履约评价得分）×30%=80分。</w:t>
            </w:r>
          </w:p>
          <w:p>
            <w:pPr>
              <w:pStyle w:val="45"/>
              <w:kinsoku w:val="0"/>
              <w:overflowPunct w:val="0"/>
              <w:spacing w:line="360" w:lineRule="auto"/>
              <w:ind w:right="-57"/>
              <w:rPr>
                <w:color w:val="auto"/>
                <w:highlight w:val="none"/>
              </w:rPr>
            </w:pPr>
            <w:r>
              <w:rPr>
                <w:color w:val="auto"/>
                <w:szCs w:val="21"/>
                <w:highlight w:val="none"/>
              </w:rPr>
              <w:t>投标人诚信评价得分=诚信综合评价排名得分*诚信评价得分权重（10%）；诚信综合评价排名得分满分10分。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6" w:hRule="atLeast"/>
        </w:trPr>
        <w:tc>
          <w:tcPr>
            <w:tcW w:w="613" w:type="dxa"/>
            <w:tcBorders>
              <w:top w:val="single" w:color="auto" w:sz="4" w:space="0"/>
              <w:left w:val="single" w:color="auto" w:sz="4" w:space="0"/>
              <w:bottom w:val="single" w:color="auto" w:sz="4" w:space="0"/>
              <w:right w:val="single" w:color="auto" w:sz="4" w:space="0"/>
            </w:tcBorders>
            <w:noWrap w:val="0"/>
            <w:vAlign w:val="top"/>
          </w:tcPr>
          <w:p>
            <w:pPr>
              <w:pStyle w:val="45"/>
              <w:kinsoku w:val="0"/>
              <w:overflowPunct w:val="0"/>
              <w:ind w:left="-63" w:leftChars="-30" w:right="-111" w:rightChars="-53" w:firstLine="63" w:firstLineChars="30"/>
              <w:jc w:val="center"/>
              <w:rPr>
                <w:color w:val="auto"/>
                <w:highlight w:val="none"/>
              </w:rPr>
            </w:pPr>
            <w:r>
              <w:rPr>
                <w:color w:val="auto"/>
                <w:highlight w:val="none"/>
              </w:rPr>
              <w:t>2.2.4</w:t>
            </w:r>
          </w:p>
          <w:p>
            <w:pPr>
              <w:pStyle w:val="45"/>
              <w:kinsoku w:val="0"/>
              <w:overflowPunct w:val="0"/>
              <w:ind w:left="-63" w:leftChars="-30" w:right="-111" w:rightChars="-53" w:firstLine="63" w:firstLineChars="30"/>
              <w:jc w:val="center"/>
              <w:rPr>
                <w:color w:val="auto"/>
                <w:highlight w:val="none"/>
              </w:rPr>
            </w:pPr>
            <w:r>
              <w:rPr>
                <w:color w:val="auto"/>
                <w:highlight w:val="none"/>
              </w:rPr>
              <w:t>说明</w:t>
            </w:r>
          </w:p>
        </w:tc>
        <w:tc>
          <w:tcPr>
            <w:tcW w:w="912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color w:val="auto"/>
                <w:highlight w:val="none"/>
              </w:rPr>
            </w:pPr>
            <w:r>
              <w:rPr>
                <w:rFonts w:hint="eastAsia"/>
                <w:color w:val="auto"/>
                <w:highlight w:val="none"/>
              </w:rPr>
              <w:t>（1）投标人的综合得分为将各评委的评分去掉一个最高分和去掉一个最低分后取算术平均分（分数出现小数点时，保留小数点后二位，第三位小数四舍五入）。</w:t>
            </w:r>
          </w:p>
          <w:p>
            <w:pPr>
              <w:spacing w:line="360" w:lineRule="exact"/>
              <w:rPr>
                <w:color w:val="auto"/>
                <w:highlight w:val="none"/>
              </w:rPr>
            </w:pPr>
            <w:r>
              <w:rPr>
                <w:rFonts w:hint="eastAsia"/>
                <w:color w:val="auto"/>
                <w:highlight w:val="none"/>
              </w:rPr>
              <w:t>（2）投标单位必须确保投标文件中证明资料的真实性，否则将上报上级主管部门记入不良行为档案和在广州公共资源交易中心通报。</w:t>
            </w:r>
          </w:p>
        </w:tc>
      </w:tr>
      <w:bookmarkEnd w:id="415"/>
    </w:tbl>
    <w:p>
      <w:pPr>
        <w:pStyle w:val="4"/>
        <w:keepNext w:val="0"/>
        <w:keepLines w:val="0"/>
        <w:spacing w:line="360" w:lineRule="auto"/>
        <w:rPr>
          <w:rFonts w:ascii="Times New Roman" w:hAnsi="Times New Roman"/>
          <w:color w:val="auto"/>
          <w:highlight w:val="none"/>
        </w:rPr>
      </w:pPr>
      <w:bookmarkStart w:id="416" w:name="_Toc4308"/>
    </w:p>
    <w:p>
      <w:pPr>
        <w:pStyle w:val="4"/>
        <w:keepNext w:val="0"/>
        <w:keepLines w:val="0"/>
        <w:spacing w:line="360" w:lineRule="auto"/>
        <w:rPr>
          <w:rFonts w:hint="eastAsia" w:ascii="Times New Roman" w:hAnsi="Times New Roman"/>
          <w:color w:val="auto"/>
          <w:highlight w:val="none"/>
        </w:rPr>
      </w:pPr>
      <w:r>
        <w:rPr>
          <w:rFonts w:ascii="Times New Roman" w:hAnsi="Times New Roman"/>
          <w:color w:val="auto"/>
          <w:highlight w:val="none"/>
        </w:rPr>
        <w:t>1. 评标方法</w:t>
      </w:r>
      <w:bookmarkEnd w:id="416"/>
    </w:p>
    <w:p>
      <w:pPr>
        <w:spacing w:line="360" w:lineRule="auto"/>
        <w:ind w:firstLine="480" w:firstLineChars="200"/>
        <w:rPr>
          <w:color w:val="auto"/>
          <w:sz w:val="24"/>
          <w:szCs w:val="24"/>
          <w:highlight w:val="none"/>
        </w:rPr>
      </w:pPr>
      <w:r>
        <w:rPr>
          <w:color w:val="auto"/>
          <w:sz w:val="24"/>
          <w:szCs w:val="24"/>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417" w:name="_Toc247527623"/>
      <w:bookmarkStart w:id="418" w:name="_Toc384308272"/>
      <w:bookmarkStart w:id="419" w:name="_Toc352691533"/>
      <w:bookmarkStart w:id="420" w:name="_Toc247514022"/>
      <w:bookmarkStart w:id="421" w:name="_Toc361508646"/>
      <w:bookmarkStart w:id="422" w:name="_Toc144974565"/>
      <w:bookmarkStart w:id="423" w:name="_Toc152042375"/>
      <w:bookmarkStart w:id="424" w:name="_Toc4497"/>
      <w:bookmarkStart w:id="425" w:name="_Toc300835008"/>
      <w:bookmarkStart w:id="426" w:name="_Toc369531577"/>
      <w:bookmarkStart w:id="427" w:name="_Toc152045598"/>
      <w:r>
        <w:rPr>
          <w:color w:val="auto"/>
          <w:sz w:val="24"/>
          <w:szCs w:val="24"/>
          <w:highlight w:val="none"/>
        </w:rPr>
        <w:t>外。</w:t>
      </w:r>
      <w:bookmarkEnd w:id="417"/>
      <w:bookmarkEnd w:id="418"/>
      <w:bookmarkEnd w:id="419"/>
      <w:bookmarkEnd w:id="420"/>
      <w:bookmarkEnd w:id="421"/>
      <w:bookmarkEnd w:id="422"/>
      <w:bookmarkEnd w:id="423"/>
      <w:bookmarkEnd w:id="424"/>
      <w:bookmarkEnd w:id="425"/>
      <w:bookmarkEnd w:id="426"/>
      <w:bookmarkEnd w:id="427"/>
      <w:r>
        <w:rPr>
          <w:color w:val="auto"/>
          <w:sz w:val="24"/>
          <w:szCs w:val="24"/>
          <w:highlight w:val="none"/>
        </w:rPr>
        <w:t>综合评分相等时，以</w:t>
      </w:r>
      <w:r>
        <w:rPr>
          <w:rFonts w:hint="eastAsia"/>
          <w:color w:val="auto"/>
          <w:sz w:val="24"/>
          <w:szCs w:val="24"/>
          <w:highlight w:val="none"/>
        </w:rPr>
        <w:t>诚信得分高的</w:t>
      </w:r>
      <w:r>
        <w:rPr>
          <w:color w:val="auto"/>
          <w:sz w:val="24"/>
          <w:szCs w:val="24"/>
          <w:highlight w:val="none"/>
        </w:rPr>
        <w:t>优先；</w:t>
      </w:r>
      <w:r>
        <w:rPr>
          <w:rFonts w:hint="eastAsia"/>
          <w:color w:val="auto"/>
          <w:sz w:val="24"/>
          <w:szCs w:val="24"/>
          <w:highlight w:val="none"/>
        </w:rPr>
        <w:t>诚信得分</w:t>
      </w:r>
      <w:r>
        <w:rPr>
          <w:color w:val="auto"/>
          <w:sz w:val="24"/>
          <w:szCs w:val="24"/>
          <w:highlight w:val="none"/>
        </w:rPr>
        <w:t>也相等的，以监理大纲得分高的优先；如果监理大纲得分也相等，</w:t>
      </w:r>
      <w:r>
        <w:rPr>
          <w:rFonts w:hint="eastAsia"/>
          <w:color w:val="auto"/>
          <w:sz w:val="24"/>
          <w:szCs w:val="24"/>
          <w:highlight w:val="none"/>
        </w:rPr>
        <w:t>以投标人投标报价低</w:t>
      </w:r>
      <w:r>
        <w:rPr>
          <w:rFonts w:hint="eastAsia"/>
          <w:color w:val="auto"/>
          <w:sz w:val="24"/>
          <w:szCs w:val="24"/>
          <w:highlight w:val="none"/>
        </w:rPr>
        <w:t>的优先。</w:t>
      </w:r>
      <w:r>
        <w:rPr>
          <w:rFonts w:hint="eastAsia" w:ascii="宋体" w:hAnsi="宋体" w:cs="宋体"/>
          <w:color w:val="auto"/>
          <w:sz w:val="24"/>
          <w:szCs w:val="24"/>
          <w:highlight w:val="none"/>
        </w:rPr>
        <w:t>如仍存在相同情况，则对具有相同情况的投标人，按中标候选人数量规定，由评标委员会采用记名投票方式，以得票多的优先。</w:t>
      </w:r>
    </w:p>
    <w:p>
      <w:pPr>
        <w:pStyle w:val="4"/>
        <w:keepNext w:val="0"/>
        <w:keepLines w:val="0"/>
        <w:spacing w:line="260" w:lineRule="exact"/>
        <w:rPr>
          <w:rFonts w:ascii="Times New Roman" w:hAnsi="Times New Roman"/>
          <w:color w:val="auto"/>
          <w:highlight w:val="none"/>
        </w:rPr>
      </w:pPr>
      <w:bookmarkStart w:id="428" w:name="_Toc5331"/>
      <w:r>
        <w:rPr>
          <w:rFonts w:ascii="Times New Roman" w:hAnsi="Times New Roman"/>
          <w:color w:val="auto"/>
          <w:highlight w:val="none"/>
        </w:rPr>
        <w:t>2. 评审标准</w:t>
      </w:r>
      <w:bookmarkEnd w:id="428"/>
    </w:p>
    <w:p>
      <w:pPr>
        <w:pStyle w:val="5"/>
        <w:keepNext w:val="0"/>
        <w:keepLines w:val="0"/>
        <w:ind w:firstLine="137"/>
        <w:rPr>
          <w:rFonts w:ascii="Times New Roman"/>
          <w:color w:val="auto"/>
          <w:highlight w:val="none"/>
        </w:rPr>
      </w:pPr>
      <w:bookmarkStart w:id="429" w:name="_Toc27696"/>
      <w:r>
        <w:rPr>
          <w:rFonts w:ascii="Times New Roman"/>
          <w:color w:val="auto"/>
          <w:highlight w:val="none"/>
        </w:rPr>
        <w:t>2.1 初步评审标准</w:t>
      </w:r>
      <w:bookmarkEnd w:id="429"/>
    </w:p>
    <w:p>
      <w:pPr>
        <w:spacing w:line="400" w:lineRule="exact"/>
        <w:ind w:firstLine="480" w:firstLineChars="200"/>
        <w:rPr>
          <w:color w:val="auto"/>
          <w:sz w:val="24"/>
          <w:szCs w:val="24"/>
          <w:highlight w:val="none"/>
        </w:rPr>
      </w:pPr>
      <w:r>
        <w:rPr>
          <w:color w:val="auto"/>
          <w:sz w:val="24"/>
          <w:szCs w:val="24"/>
          <w:highlight w:val="none"/>
        </w:rPr>
        <w:t>2.1.1 形式评审标准：见评标办法前附表。</w:t>
      </w:r>
    </w:p>
    <w:p>
      <w:pPr>
        <w:spacing w:line="400" w:lineRule="exact"/>
        <w:ind w:firstLine="480" w:firstLineChars="200"/>
        <w:rPr>
          <w:color w:val="auto"/>
          <w:sz w:val="24"/>
          <w:szCs w:val="24"/>
          <w:highlight w:val="none"/>
        </w:rPr>
      </w:pPr>
      <w:r>
        <w:rPr>
          <w:color w:val="auto"/>
          <w:sz w:val="24"/>
          <w:szCs w:val="24"/>
          <w:highlight w:val="none"/>
        </w:rPr>
        <w:t>2.1.2 资格评审标准：见评标办法前附表。</w:t>
      </w:r>
    </w:p>
    <w:p>
      <w:pPr>
        <w:spacing w:line="400" w:lineRule="exact"/>
        <w:ind w:firstLine="480" w:firstLineChars="200"/>
        <w:rPr>
          <w:color w:val="auto"/>
          <w:highlight w:val="none"/>
        </w:rPr>
      </w:pPr>
      <w:r>
        <w:rPr>
          <w:color w:val="auto"/>
          <w:sz w:val="24"/>
          <w:szCs w:val="24"/>
          <w:highlight w:val="none"/>
        </w:rPr>
        <w:t>2.1.3 响应性评审标准：见评标办法前附表。</w:t>
      </w:r>
    </w:p>
    <w:p>
      <w:pPr>
        <w:pStyle w:val="5"/>
        <w:keepNext w:val="0"/>
        <w:keepLines w:val="0"/>
        <w:ind w:firstLine="137"/>
        <w:rPr>
          <w:rFonts w:ascii="Times New Roman"/>
          <w:color w:val="auto"/>
          <w:highlight w:val="none"/>
        </w:rPr>
      </w:pPr>
      <w:bookmarkStart w:id="430" w:name="_Toc24574"/>
      <w:r>
        <w:rPr>
          <w:rFonts w:ascii="Times New Roman"/>
          <w:color w:val="auto"/>
          <w:highlight w:val="none"/>
        </w:rPr>
        <w:t>2.2 分值构成与评分标准</w:t>
      </w:r>
      <w:bookmarkEnd w:id="430"/>
    </w:p>
    <w:p>
      <w:pPr>
        <w:spacing w:line="400" w:lineRule="exact"/>
        <w:ind w:firstLine="480" w:firstLineChars="200"/>
        <w:rPr>
          <w:color w:val="auto"/>
          <w:sz w:val="24"/>
          <w:szCs w:val="24"/>
          <w:highlight w:val="none"/>
        </w:rPr>
      </w:pPr>
      <w:r>
        <w:rPr>
          <w:color w:val="auto"/>
          <w:sz w:val="24"/>
          <w:szCs w:val="24"/>
          <w:highlight w:val="none"/>
        </w:rPr>
        <w:t>2.2.1 分值构成</w:t>
      </w:r>
    </w:p>
    <w:p>
      <w:pPr>
        <w:spacing w:line="400" w:lineRule="exact"/>
        <w:ind w:firstLine="480" w:firstLineChars="200"/>
        <w:rPr>
          <w:color w:val="auto"/>
          <w:sz w:val="24"/>
          <w:szCs w:val="24"/>
          <w:highlight w:val="none"/>
        </w:rPr>
      </w:pPr>
      <w:r>
        <w:rPr>
          <w:color w:val="auto"/>
          <w:sz w:val="24"/>
          <w:szCs w:val="24"/>
          <w:highlight w:val="none"/>
        </w:rPr>
        <w:t>（1）资信业绩部分：见评标办法前附表；</w:t>
      </w:r>
    </w:p>
    <w:p>
      <w:pPr>
        <w:spacing w:line="400" w:lineRule="exact"/>
        <w:ind w:firstLine="480" w:firstLineChars="200"/>
        <w:rPr>
          <w:color w:val="auto"/>
          <w:sz w:val="24"/>
          <w:szCs w:val="24"/>
          <w:highlight w:val="none"/>
        </w:rPr>
      </w:pPr>
      <w:r>
        <w:rPr>
          <w:color w:val="auto"/>
          <w:sz w:val="24"/>
          <w:szCs w:val="24"/>
          <w:highlight w:val="none"/>
        </w:rPr>
        <w:t>（2）监理大纲部分：见评标办法前附表；</w:t>
      </w:r>
    </w:p>
    <w:p>
      <w:pPr>
        <w:spacing w:line="400" w:lineRule="exact"/>
        <w:ind w:firstLine="480" w:firstLineChars="200"/>
        <w:rPr>
          <w:color w:val="auto"/>
          <w:sz w:val="24"/>
          <w:szCs w:val="24"/>
          <w:highlight w:val="none"/>
        </w:rPr>
      </w:pPr>
      <w:r>
        <w:rPr>
          <w:color w:val="auto"/>
          <w:sz w:val="24"/>
          <w:szCs w:val="24"/>
          <w:highlight w:val="none"/>
        </w:rPr>
        <w:t>（3）投标报价：见评标办法前附表；</w:t>
      </w:r>
    </w:p>
    <w:p>
      <w:pPr>
        <w:spacing w:line="400" w:lineRule="exact"/>
        <w:ind w:firstLine="480" w:firstLineChars="200"/>
        <w:rPr>
          <w:color w:val="auto"/>
          <w:sz w:val="24"/>
          <w:szCs w:val="24"/>
          <w:highlight w:val="none"/>
        </w:rPr>
      </w:pPr>
      <w:r>
        <w:rPr>
          <w:color w:val="auto"/>
          <w:sz w:val="24"/>
          <w:szCs w:val="24"/>
          <w:highlight w:val="none"/>
        </w:rPr>
        <w:t>（4）其他评分因素：见评标办法前附表。</w:t>
      </w:r>
    </w:p>
    <w:p>
      <w:pPr>
        <w:spacing w:line="400" w:lineRule="exact"/>
        <w:ind w:firstLine="480" w:firstLineChars="200"/>
        <w:rPr>
          <w:color w:val="auto"/>
          <w:sz w:val="24"/>
          <w:szCs w:val="24"/>
          <w:highlight w:val="none"/>
        </w:rPr>
      </w:pPr>
      <w:r>
        <w:rPr>
          <w:color w:val="auto"/>
          <w:sz w:val="24"/>
          <w:szCs w:val="24"/>
          <w:highlight w:val="none"/>
        </w:rPr>
        <w:t>2.2.2 评标基准价计算</w:t>
      </w:r>
    </w:p>
    <w:p>
      <w:pPr>
        <w:spacing w:line="400" w:lineRule="exact"/>
        <w:ind w:firstLine="480" w:firstLineChars="200"/>
        <w:rPr>
          <w:color w:val="auto"/>
          <w:sz w:val="24"/>
          <w:szCs w:val="24"/>
          <w:highlight w:val="none"/>
        </w:rPr>
      </w:pPr>
      <w:r>
        <w:rPr>
          <w:color w:val="auto"/>
          <w:sz w:val="24"/>
          <w:szCs w:val="24"/>
          <w:highlight w:val="none"/>
        </w:rPr>
        <w:t>评标基准价计算方法：见评标办法前附表。</w:t>
      </w:r>
    </w:p>
    <w:p>
      <w:pPr>
        <w:spacing w:line="400" w:lineRule="exact"/>
        <w:ind w:firstLine="480" w:firstLineChars="200"/>
        <w:rPr>
          <w:color w:val="auto"/>
          <w:sz w:val="24"/>
          <w:szCs w:val="24"/>
          <w:highlight w:val="none"/>
        </w:rPr>
      </w:pPr>
      <w:r>
        <w:rPr>
          <w:color w:val="auto"/>
          <w:sz w:val="24"/>
          <w:szCs w:val="24"/>
          <w:highlight w:val="none"/>
        </w:rPr>
        <w:t>2.2.3 投标报价的偏差率计算</w:t>
      </w:r>
    </w:p>
    <w:p>
      <w:pPr>
        <w:spacing w:line="400" w:lineRule="exact"/>
        <w:ind w:firstLine="480" w:firstLineChars="200"/>
        <w:rPr>
          <w:color w:val="auto"/>
          <w:sz w:val="24"/>
          <w:szCs w:val="24"/>
          <w:highlight w:val="none"/>
        </w:rPr>
      </w:pPr>
      <w:r>
        <w:rPr>
          <w:color w:val="auto"/>
          <w:sz w:val="24"/>
          <w:szCs w:val="24"/>
          <w:highlight w:val="none"/>
        </w:rPr>
        <w:t>投标报价的偏差率计算公式：见评标办法前附表。</w:t>
      </w:r>
    </w:p>
    <w:p>
      <w:pPr>
        <w:spacing w:line="400" w:lineRule="exact"/>
        <w:ind w:firstLine="480" w:firstLineChars="200"/>
        <w:rPr>
          <w:color w:val="auto"/>
          <w:sz w:val="24"/>
          <w:szCs w:val="24"/>
          <w:highlight w:val="none"/>
        </w:rPr>
      </w:pPr>
      <w:r>
        <w:rPr>
          <w:color w:val="auto"/>
          <w:sz w:val="24"/>
          <w:szCs w:val="24"/>
          <w:highlight w:val="none"/>
        </w:rPr>
        <w:t>2.2.4 评分标准</w:t>
      </w:r>
    </w:p>
    <w:p>
      <w:pPr>
        <w:spacing w:line="400" w:lineRule="exact"/>
        <w:ind w:firstLine="480" w:firstLineChars="200"/>
        <w:rPr>
          <w:color w:val="auto"/>
          <w:sz w:val="24"/>
          <w:szCs w:val="24"/>
          <w:highlight w:val="none"/>
        </w:rPr>
      </w:pPr>
      <w:r>
        <w:rPr>
          <w:color w:val="auto"/>
          <w:sz w:val="24"/>
          <w:szCs w:val="24"/>
          <w:highlight w:val="none"/>
        </w:rPr>
        <w:t>（1）资信业绩评分标准：见评标办法前附表；</w:t>
      </w:r>
    </w:p>
    <w:p>
      <w:pPr>
        <w:spacing w:line="400" w:lineRule="exact"/>
        <w:ind w:firstLine="480" w:firstLineChars="200"/>
        <w:rPr>
          <w:color w:val="auto"/>
          <w:sz w:val="24"/>
          <w:szCs w:val="24"/>
          <w:highlight w:val="none"/>
        </w:rPr>
      </w:pPr>
      <w:r>
        <w:rPr>
          <w:color w:val="auto"/>
          <w:sz w:val="24"/>
          <w:szCs w:val="24"/>
          <w:highlight w:val="none"/>
        </w:rPr>
        <w:t>（2）监理大纲评分标准：见评标办法前附表；</w:t>
      </w:r>
    </w:p>
    <w:p>
      <w:pPr>
        <w:spacing w:line="400" w:lineRule="exact"/>
        <w:ind w:firstLine="480" w:firstLineChars="200"/>
        <w:rPr>
          <w:color w:val="auto"/>
          <w:sz w:val="24"/>
          <w:szCs w:val="24"/>
          <w:highlight w:val="none"/>
        </w:rPr>
      </w:pPr>
      <w:r>
        <w:rPr>
          <w:color w:val="auto"/>
          <w:sz w:val="24"/>
          <w:szCs w:val="24"/>
          <w:highlight w:val="none"/>
        </w:rPr>
        <w:t>（3）投标报价评分标准：见评标办法前附表；</w:t>
      </w:r>
    </w:p>
    <w:p>
      <w:pPr>
        <w:spacing w:line="400" w:lineRule="exact"/>
        <w:ind w:firstLine="480" w:firstLineChars="200"/>
        <w:rPr>
          <w:color w:val="auto"/>
          <w:sz w:val="24"/>
          <w:szCs w:val="24"/>
          <w:highlight w:val="none"/>
        </w:rPr>
      </w:pPr>
      <w:r>
        <w:rPr>
          <w:color w:val="auto"/>
          <w:sz w:val="24"/>
          <w:szCs w:val="24"/>
          <w:highlight w:val="none"/>
        </w:rPr>
        <w:t>（4）其他因素评分标准：见评标办法前附表。</w:t>
      </w:r>
    </w:p>
    <w:p>
      <w:pPr>
        <w:pStyle w:val="4"/>
        <w:keepNext w:val="0"/>
        <w:keepLines w:val="0"/>
        <w:spacing w:line="260" w:lineRule="exact"/>
        <w:rPr>
          <w:rFonts w:ascii="Times New Roman" w:hAnsi="Times New Roman"/>
          <w:color w:val="auto"/>
          <w:highlight w:val="none"/>
        </w:rPr>
      </w:pPr>
      <w:bookmarkStart w:id="431" w:name="_Toc27407"/>
      <w:r>
        <w:rPr>
          <w:rFonts w:ascii="Times New Roman" w:hAnsi="Times New Roman"/>
          <w:color w:val="auto"/>
          <w:highlight w:val="none"/>
        </w:rPr>
        <w:t>3. 评标程序</w:t>
      </w:r>
      <w:bookmarkEnd w:id="431"/>
    </w:p>
    <w:p>
      <w:pPr>
        <w:pStyle w:val="5"/>
        <w:keepNext w:val="0"/>
        <w:keepLines w:val="0"/>
        <w:ind w:firstLine="137"/>
        <w:rPr>
          <w:rFonts w:ascii="Times New Roman"/>
          <w:color w:val="auto"/>
          <w:highlight w:val="none"/>
        </w:rPr>
      </w:pPr>
      <w:bookmarkStart w:id="432" w:name="_Toc23006"/>
      <w:r>
        <w:rPr>
          <w:rFonts w:ascii="Times New Roman"/>
          <w:color w:val="auto"/>
          <w:highlight w:val="none"/>
        </w:rPr>
        <w:t>3.1 初步评审</w:t>
      </w:r>
      <w:bookmarkEnd w:id="432"/>
    </w:p>
    <w:p>
      <w:pPr>
        <w:spacing w:line="400" w:lineRule="exact"/>
        <w:ind w:firstLine="480" w:firstLineChars="200"/>
        <w:rPr>
          <w:color w:val="auto"/>
          <w:sz w:val="24"/>
          <w:szCs w:val="24"/>
          <w:highlight w:val="none"/>
        </w:rPr>
      </w:pPr>
      <w:r>
        <w:rPr>
          <w:color w:val="auto"/>
          <w:sz w:val="24"/>
          <w:szCs w:val="24"/>
          <w:highlight w:val="none"/>
        </w:rPr>
        <w:t>3.1.1评标委员会依据本章第2.1款规定的标准对投标文件进行初步评审。有一项不符合评审标准的，评标委员会应当否决其投标。</w:t>
      </w:r>
    </w:p>
    <w:p>
      <w:pPr>
        <w:spacing w:line="400" w:lineRule="exact"/>
        <w:ind w:firstLine="480" w:firstLineChars="200"/>
        <w:rPr>
          <w:color w:val="auto"/>
          <w:sz w:val="24"/>
          <w:szCs w:val="24"/>
          <w:highlight w:val="none"/>
        </w:rPr>
      </w:pPr>
      <w:r>
        <w:rPr>
          <w:color w:val="auto"/>
          <w:sz w:val="24"/>
          <w:szCs w:val="24"/>
          <w:highlight w:val="none"/>
        </w:rPr>
        <w:t>3.1.2 投标人有以下情形之一的，评标委员会应当否决其投标：</w:t>
      </w:r>
    </w:p>
    <w:p>
      <w:pPr>
        <w:spacing w:line="400" w:lineRule="exact"/>
        <w:ind w:firstLine="480" w:firstLineChars="200"/>
        <w:rPr>
          <w:color w:val="auto"/>
          <w:sz w:val="24"/>
          <w:szCs w:val="24"/>
          <w:highlight w:val="none"/>
        </w:rPr>
      </w:pPr>
      <w:r>
        <w:rPr>
          <w:color w:val="auto"/>
          <w:sz w:val="24"/>
          <w:szCs w:val="24"/>
          <w:highlight w:val="none"/>
        </w:rPr>
        <w:t>（1）投标文件没有对招标文件的实质性要求和条件作出响应，或者对招标文件的偏差超出招标文件规定的偏差范围或最高项数；</w:t>
      </w:r>
    </w:p>
    <w:p>
      <w:pPr>
        <w:spacing w:line="400" w:lineRule="exact"/>
        <w:ind w:firstLine="480" w:firstLineChars="200"/>
        <w:rPr>
          <w:color w:val="auto"/>
          <w:sz w:val="24"/>
          <w:szCs w:val="24"/>
          <w:highlight w:val="none"/>
        </w:rPr>
      </w:pPr>
      <w:r>
        <w:rPr>
          <w:color w:val="auto"/>
          <w:sz w:val="24"/>
          <w:szCs w:val="24"/>
          <w:highlight w:val="none"/>
        </w:rPr>
        <w:t>（2）有串通投标、弄虚作假、行贿等违法行为。</w:t>
      </w:r>
    </w:p>
    <w:p>
      <w:pPr>
        <w:spacing w:line="400" w:lineRule="exact"/>
        <w:ind w:firstLine="480" w:firstLineChars="200"/>
        <w:rPr>
          <w:color w:val="auto"/>
          <w:sz w:val="24"/>
          <w:szCs w:val="24"/>
          <w:highlight w:val="none"/>
        </w:rPr>
      </w:pPr>
      <w:r>
        <w:rPr>
          <w:color w:val="auto"/>
          <w:sz w:val="24"/>
          <w:szCs w:val="24"/>
          <w:highlight w:val="none"/>
        </w:rPr>
        <w:t>3.1.3 投标报价有算术错误及其他错误的，评标委员会按以下原则要求投标人对投标报价进</w:t>
      </w:r>
      <w:bookmarkStart w:id="433" w:name="_Toc247527628"/>
      <w:bookmarkStart w:id="434" w:name="_Toc369531582"/>
      <w:bookmarkStart w:id="435" w:name="_Toc152042380"/>
      <w:bookmarkStart w:id="436" w:name="_Toc361508651"/>
      <w:bookmarkStart w:id="437" w:name="_Toc144974570"/>
      <w:bookmarkStart w:id="438" w:name="_Toc152045603"/>
      <w:bookmarkStart w:id="439" w:name="_Toc247514027"/>
      <w:bookmarkStart w:id="440" w:name="_Toc300835013"/>
      <w:bookmarkStart w:id="441" w:name="_Toc2907"/>
      <w:bookmarkStart w:id="442" w:name="_Toc352691538"/>
      <w:bookmarkStart w:id="443" w:name="_Toc384308277"/>
      <w:r>
        <w:rPr>
          <w:color w:val="auto"/>
          <w:sz w:val="24"/>
          <w:szCs w:val="24"/>
          <w:highlight w:val="none"/>
        </w:rPr>
        <w:t>行修正，并要求投标人书面澄清确认。</w:t>
      </w:r>
      <w:bookmarkEnd w:id="433"/>
      <w:bookmarkEnd w:id="434"/>
      <w:bookmarkEnd w:id="435"/>
      <w:bookmarkEnd w:id="436"/>
      <w:bookmarkEnd w:id="437"/>
      <w:bookmarkEnd w:id="438"/>
      <w:bookmarkEnd w:id="439"/>
      <w:bookmarkEnd w:id="440"/>
      <w:bookmarkEnd w:id="441"/>
      <w:bookmarkEnd w:id="442"/>
      <w:bookmarkEnd w:id="443"/>
      <w:r>
        <w:rPr>
          <w:color w:val="auto"/>
          <w:sz w:val="24"/>
          <w:szCs w:val="24"/>
          <w:highlight w:val="none"/>
        </w:rPr>
        <w:t>投标人拒不澄清确认的，评标委员会应当否决其投标：</w:t>
      </w:r>
    </w:p>
    <w:p>
      <w:pPr>
        <w:spacing w:line="400" w:lineRule="exact"/>
        <w:ind w:firstLine="480" w:firstLineChars="200"/>
        <w:rPr>
          <w:color w:val="auto"/>
          <w:sz w:val="24"/>
          <w:szCs w:val="24"/>
          <w:highlight w:val="none"/>
        </w:rPr>
      </w:pPr>
      <w:r>
        <w:rPr>
          <w:color w:val="auto"/>
          <w:sz w:val="24"/>
          <w:szCs w:val="24"/>
          <w:highlight w:val="none"/>
        </w:rPr>
        <w:t>（1）投标文件中的大写金额与小写金额不一致的，以大写金额为准；</w:t>
      </w:r>
    </w:p>
    <w:p>
      <w:pPr>
        <w:spacing w:line="400" w:lineRule="exact"/>
        <w:ind w:firstLine="480" w:firstLineChars="200"/>
        <w:rPr>
          <w:color w:val="auto"/>
          <w:sz w:val="24"/>
          <w:szCs w:val="24"/>
          <w:highlight w:val="none"/>
        </w:rPr>
      </w:pPr>
      <w:r>
        <w:rPr>
          <w:color w:val="auto"/>
          <w:sz w:val="24"/>
          <w:szCs w:val="24"/>
          <w:highlight w:val="none"/>
        </w:rPr>
        <w:t>（2）总价金额与单价金额不一致的，以单价金额为准，但单价金额小数点有明显错误的除外</w:t>
      </w:r>
      <w:r>
        <w:rPr>
          <w:rFonts w:hint="eastAsia"/>
          <w:color w:val="auto"/>
          <w:sz w:val="24"/>
          <w:szCs w:val="24"/>
          <w:highlight w:val="none"/>
        </w:rPr>
        <w:t>。</w:t>
      </w:r>
    </w:p>
    <w:p>
      <w:pPr>
        <w:pStyle w:val="5"/>
        <w:keepNext w:val="0"/>
        <w:keepLines w:val="0"/>
        <w:spacing w:line="260" w:lineRule="exact"/>
        <w:ind w:firstLine="137"/>
        <w:rPr>
          <w:rFonts w:ascii="Times New Roman"/>
          <w:color w:val="auto"/>
          <w:highlight w:val="none"/>
        </w:rPr>
      </w:pPr>
      <w:bookmarkStart w:id="444" w:name="_Toc21276"/>
      <w:r>
        <w:rPr>
          <w:rFonts w:ascii="Times New Roman"/>
          <w:color w:val="auto"/>
          <w:highlight w:val="none"/>
        </w:rPr>
        <w:t>3.2 详细评审</w:t>
      </w:r>
      <w:bookmarkEnd w:id="444"/>
    </w:p>
    <w:p>
      <w:pPr>
        <w:spacing w:line="400" w:lineRule="exact"/>
        <w:ind w:firstLine="480" w:firstLineChars="200"/>
        <w:rPr>
          <w:color w:val="auto"/>
          <w:sz w:val="24"/>
          <w:szCs w:val="24"/>
          <w:highlight w:val="none"/>
        </w:rPr>
      </w:pPr>
      <w:r>
        <w:rPr>
          <w:color w:val="auto"/>
          <w:sz w:val="24"/>
          <w:szCs w:val="24"/>
          <w:highlight w:val="none"/>
        </w:rPr>
        <w:t>3.2.1 评标委员会按本章第2.2款规定的量化因素和分值进行打分，并计算出综合评估得分。</w:t>
      </w:r>
    </w:p>
    <w:p>
      <w:pPr>
        <w:spacing w:line="400" w:lineRule="exact"/>
        <w:ind w:firstLine="480" w:firstLineChars="200"/>
        <w:rPr>
          <w:color w:val="auto"/>
          <w:sz w:val="24"/>
          <w:szCs w:val="24"/>
          <w:highlight w:val="none"/>
        </w:rPr>
      </w:pPr>
      <w:r>
        <w:rPr>
          <w:color w:val="auto"/>
          <w:sz w:val="24"/>
          <w:szCs w:val="24"/>
          <w:highlight w:val="none"/>
        </w:rPr>
        <w:t>（1）按本章第2.2.4（1）目规定的评审因素和分值对资信业绩部分计算出得分A；</w:t>
      </w:r>
    </w:p>
    <w:p>
      <w:pPr>
        <w:spacing w:line="400" w:lineRule="exact"/>
        <w:ind w:firstLine="480" w:firstLineChars="200"/>
        <w:rPr>
          <w:color w:val="auto"/>
          <w:sz w:val="24"/>
          <w:szCs w:val="24"/>
          <w:highlight w:val="none"/>
        </w:rPr>
      </w:pPr>
      <w:r>
        <w:rPr>
          <w:color w:val="auto"/>
          <w:sz w:val="24"/>
          <w:szCs w:val="24"/>
          <w:highlight w:val="none"/>
        </w:rPr>
        <w:t>（2）按本章第2.2.4（2）目规定的评审因素和分值对监理大纲部分计算出得分B；</w:t>
      </w:r>
    </w:p>
    <w:p>
      <w:pPr>
        <w:spacing w:line="400" w:lineRule="exact"/>
        <w:ind w:firstLine="480" w:firstLineChars="200"/>
        <w:rPr>
          <w:color w:val="auto"/>
          <w:sz w:val="24"/>
          <w:szCs w:val="24"/>
          <w:highlight w:val="none"/>
        </w:rPr>
      </w:pPr>
      <w:r>
        <w:rPr>
          <w:color w:val="auto"/>
          <w:sz w:val="24"/>
          <w:szCs w:val="24"/>
          <w:highlight w:val="none"/>
        </w:rPr>
        <w:t>（3）按本章第2.2.4（3）目规定的评审因素和</w:t>
      </w:r>
      <w:bookmarkStart w:id="445" w:name="_Toc361508652"/>
      <w:bookmarkStart w:id="446" w:name="_Toc144974571"/>
      <w:bookmarkStart w:id="447" w:name="_Toc152042381"/>
      <w:bookmarkStart w:id="448" w:name="_Toc300835014"/>
      <w:bookmarkStart w:id="449" w:name="_Toc369531583"/>
      <w:bookmarkStart w:id="450" w:name="_Toc247527629"/>
      <w:bookmarkStart w:id="451" w:name="_Toc352691539"/>
      <w:bookmarkStart w:id="452" w:name="_Toc152045604"/>
      <w:bookmarkStart w:id="453" w:name="_Toc247514028"/>
      <w:bookmarkStart w:id="454" w:name="_Toc384308278"/>
      <w:bookmarkStart w:id="455" w:name="_Toc24330"/>
      <w:r>
        <w:rPr>
          <w:color w:val="auto"/>
          <w:sz w:val="24"/>
          <w:szCs w:val="24"/>
          <w:highlight w:val="none"/>
        </w:rPr>
        <w:t>分值对投标报价</w:t>
      </w:r>
      <w:bookmarkEnd w:id="445"/>
      <w:bookmarkEnd w:id="446"/>
      <w:bookmarkEnd w:id="447"/>
      <w:bookmarkEnd w:id="448"/>
      <w:bookmarkEnd w:id="449"/>
      <w:bookmarkEnd w:id="450"/>
      <w:bookmarkEnd w:id="451"/>
      <w:bookmarkEnd w:id="452"/>
      <w:bookmarkEnd w:id="453"/>
      <w:bookmarkEnd w:id="454"/>
      <w:bookmarkEnd w:id="455"/>
      <w:r>
        <w:rPr>
          <w:color w:val="auto"/>
          <w:sz w:val="24"/>
          <w:szCs w:val="24"/>
          <w:highlight w:val="none"/>
        </w:rPr>
        <w:t>计</w:t>
      </w:r>
      <w:bookmarkStart w:id="456" w:name="_Toc144974572"/>
      <w:bookmarkStart w:id="457" w:name="_Toc152045605"/>
      <w:bookmarkStart w:id="458" w:name="_Toc247514029"/>
      <w:bookmarkStart w:id="459" w:name="_Toc384308279"/>
      <w:bookmarkStart w:id="460" w:name="_Toc247527630"/>
      <w:bookmarkStart w:id="461" w:name="_Toc152042382"/>
      <w:bookmarkStart w:id="462" w:name="_Toc300835015"/>
      <w:bookmarkStart w:id="463" w:name="_Toc361508653"/>
      <w:bookmarkStart w:id="464" w:name="_Toc352691540"/>
      <w:bookmarkStart w:id="465" w:name="_Toc18141"/>
      <w:bookmarkStart w:id="466" w:name="_Toc369531584"/>
      <w:r>
        <w:rPr>
          <w:color w:val="auto"/>
          <w:sz w:val="24"/>
          <w:szCs w:val="24"/>
          <w:highlight w:val="none"/>
        </w:rPr>
        <w:t>算出得分C；</w:t>
      </w:r>
    </w:p>
    <w:bookmarkEnd w:id="456"/>
    <w:bookmarkEnd w:id="457"/>
    <w:bookmarkEnd w:id="458"/>
    <w:bookmarkEnd w:id="459"/>
    <w:bookmarkEnd w:id="460"/>
    <w:bookmarkEnd w:id="461"/>
    <w:bookmarkEnd w:id="462"/>
    <w:bookmarkEnd w:id="463"/>
    <w:bookmarkEnd w:id="464"/>
    <w:bookmarkEnd w:id="465"/>
    <w:bookmarkEnd w:id="466"/>
    <w:p>
      <w:pPr>
        <w:spacing w:line="400" w:lineRule="exact"/>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4</w:t>
      </w:r>
      <w:r>
        <w:rPr>
          <w:color w:val="auto"/>
          <w:sz w:val="24"/>
          <w:szCs w:val="24"/>
          <w:highlight w:val="none"/>
        </w:rPr>
        <w:t>）按本章第2.2.4（</w:t>
      </w:r>
      <w:r>
        <w:rPr>
          <w:rFonts w:hint="eastAsia"/>
          <w:color w:val="auto"/>
          <w:sz w:val="24"/>
          <w:szCs w:val="24"/>
          <w:highlight w:val="none"/>
        </w:rPr>
        <w:t>4</w:t>
      </w:r>
      <w:r>
        <w:rPr>
          <w:color w:val="auto"/>
          <w:sz w:val="24"/>
          <w:szCs w:val="24"/>
          <w:highlight w:val="none"/>
        </w:rPr>
        <w:t>）目规定的评审因素和分值对其他评分因素计算出得分</w:t>
      </w:r>
      <w:r>
        <w:rPr>
          <w:rFonts w:hint="eastAsia"/>
          <w:color w:val="auto"/>
          <w:sz w:val="24"/>
          <w:szCs w:val="24"/>
          <w:highlight w:val="none"/>
        </w:rPr>
        <w:t>D</w:t>
      </w:r>
      <w:r>
        <w:rPr>
          <w:color w:val="auto"/>
          <w:sz w:val="24"/>
          <w:szCs w:val="24"/>
          <w:highlight w:val="none"/>
        </w:rPr>
        <w:t>；</w:t>
      </w:r>
    </w:p>
    <w:p>
      <w:pPr>
        <w:spacing w:line="400" w:lineRule="exact"/>
        <w:ind w:firstLine="480" w:firstLineChars="200"/>
        <w:rPr>
          <w:color w:val="auto"/>
          <w:sz w:val="24"/>
          <w:szCs w:val="24"/>
          <w:highlight w:val="none"/>
        </w:rPr>
      </w:pPr>
      <w:r>
        <w:rPr>
          <w:color w:val="auto"/>
          <w:sz w:val="24"/>
          <w:szCs w:val="24"/>
          <w:highlight w:val="none"/>
        </w:rPr>
        <w:t>3.2.2 评分分值计算保留小数点后两位，小数点后第三位“四舍五入”。</w:t>
      </w:r>
    </w:p>
    <w:p>
      <w:pPr>
        <w:spacing w:line="400" w:lineRule="exact"/>
        <w:ind w:firstLine="480" w:firstLineChars="200"/>
        <w:rPr>
          <w:color w:val="auto"/>
          <w:sz w:val="24"/>
          <w:szCs w:val="24"/>
          <w:highlight w:val="none"/>
        </w:rPr>
      </w:pPr>
      <w:r>
        <w:rPr>
          <w:color w:val="auto"/>
          <w:sz w:val="24"/>
          <w:szCs w:val="24"/>
          <w:highlight w:val="none"/>
        </w:rPr>
        <w:t>3.2.3 投标人得分=A+B+C</w:t>
      </w:r>
      <w:r>
        <w:rPr>
          <w:rFonts w:hint="eastAsia"/>
          <w:color w:val="auto"/>
          <w:sz w:val="24"/>
          <w:szCs w:val="24"/>
          <w:highlight w:val="none"/>
        </w:rPr>
        <w:t>+D</w:t>
      </w:r>
      <w:r>
        <w:rPr>
          <w:color w:val="auto"/>
          <w:sz w:val="24"/>
          <w:szCs w:val="24"/>
          <w:highlight w:val="none"/>
        </w:rPr>
        <w:t>。</w:t>
      </w:r>
    </w:p>
    <w:p>
      <w:pPr>
        <w:spacing w:line="400" w:lineRule="exact"/>
        <w:ind w:firstLine="480" w:firstLineChars="200"/>
        <w:rPr>
          <w:color w:val="auto"/>
          <w:sz w:val="24"/>
          <w:szCs w:val="24"/>
          <w:highlight w:val="none"/>
        </w:rPr>
      </w:pPr>
      <w:r>
        <w:rPr>
          <w:color w:val="auto"/>
          <w:sz w:val="24"/>
          <w:szCs w:val="24"/>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keepNext w:val="0"/>
        <w:keepLines w:val="0"/>
        <w:ind w:firstLine="137"/>
        <w:rPr>
          <w:rFonts w:ascii="Times New Roman"/>
          <w:color w:val="auto"/>
          <w:highlight w:val="none"/>
        </w:rPr>
      </w:pPr>
      <w:bookmarkStart w:id="467" w:name="_Toc30034"/>
      <w:r>
        <w:rPr>
          <w:rFonts w:ascii="Times New Roman"/>
          <w:color w:val="auto"/>
          <w:highlight w:val="none"/>
        </w:rPr>
        <w:t>3.3 投标文件的澄清</w:t>
      </w:r>
      <w:bookmarkEnd w:id="467"/>
    </w:p>
    <w:p>
      <w:pPr>
        <w:spacing w:line="400" w:lineRule="exact"/>
        <w:ind w:firstLine="480" w:firstLineChars="200"/>
        <w:rPr>
          <w:color w:val="auto"/>
          <w:sz w:val="24"/>
          <w:szCs w:val="24"/>
          <w:highlight w:val="none"/>
        </w:rPr>
      </w:pPr>
      <w:r>
        <w:rPr>
          <w:color w:val="auto"/>
          <w:sz w:val="24"/>
          <w:szCs w:val="24"/>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80" w:firstLineChars="200"/>
        <w:rPr>
          <w:color w:val="auto"/>
          <w:sz w:val="24"/>
          <w:szCs w:val="24"/>
          <w:highlight w:val="none"/>
        </w:rPr>
      </w:pPr>
      <w:r>
        <w:rPr>
          <w:color w:val="auto"/>
          <w:sz w:val="24"/>
          <w:szCs w:val="24"/>
          <w:highlight w:val="none"/>
        </w:rPr>
        <w:t>3.3.2 澄清、说明或补正不得超出投标文件的范围且不得改变投标文件的实质性内容，并构成投标文件的组成部分。</w:t>
      </w:r>
    </w:p>
    <w:p>
      <w:pPr>
        <w:spacing w:line="400" w:lineRule="exact"/>
        <w:ind w:firstLine="480" w:firstLineChars="200"/>
        <w:rPr>
          <w:color w:val="auto"/>
          <w:sz w:val="24"/>
          <w:szCs w:val="24"/>
          <w:highlight w:val="none"/>
        </w:rPr>
      </w:pPr>
      <w:r>
        <w:rPr>
          <w:color w:val="auto"/>
          <w:sz w:val="24"/>
          <w:szCs w:val="24"/>
          <w:highlight w:val="none"/>
        </w:rPr>
        <w:t>3.3.3 评标委员会对投标人提交的澄清、说明或补正有疑问的，可以要求投标人进一步澄清、说明或补正，直至满足评标委员会的要求。</w:t>
      </w:r>
    </w:p>
    <w:p>
      <w:pPr>
        <w:pStyle w:val="5"/>
        <w:keepNext w:val="0"/>
        <w:keepLines w:val="0"/>
        <w:ind w:firstLine="137"/>
        <w:rPr>
          <w:rFonts w:ascii="Times New Roman"/>
          <w:color w:val="auto"/>
          <w:highlight w:val="none"/>
        </w:rPr>
      </w:pPr>
      <w:bookmarkStart w:id="468" w:name="_Toc2067"/>
      <w:r>
        <w:rPr>
          <w:rFonts w:ascii="Times New Roman"/>
          <w:color w:val="auto"/>
          <w:highlight w:val="none"/>
        </w:rPr>
        <w:t>3.4 评标结果</w:t>
      </w:r>
      <w:bookmarkEnd w:id="468"/>
    </w:p>
    <w:p>
      <w:pPr>
        <w:spacing w:line="400" w:lineRule="exact"/>
        <w:ind w:firstLine="480" w:firstLineChars="200"/>
        <w:rPr>
          <w:color w:val="auto"/>
          <w:sz w:val="24"/>
          <w:szCs w:val="24"/>
          <w:highlight w:val="none"/>
        </w:rPr>
      </w:pPr>
      <w:r>
        <w:rPr>
          <w:color w:val="auto"/>
          <w:sz w:val="24"/>
          <w:szCs w:val="24"/>
          <w:highlight w:val="none"/>
        </w:rPr>
        <w:t>3.4.1 除第二章“投标人须知”前附表授权直接确定中标人外，评标委员会按照得分由高到低的顺序推荐中标候选人，并标明排序。</w:t>
      </w:r>
    </w:p>
    <w:p>
      <w:pPr>
        <w:spacing w:line="400" w:lineRule="exact"/>
        <w:ind w:firstLine="480" w:firstLineChars="200"/>
        <w:rPr>
          <w:color w:val="auto"/>
          <w:sz w:val="24"/>
          <w:szCs w:val="24"/>
          <w:highlight w:val="none"/>
        </w:rPr>
      </w:pPr>
      <w:r>
        <w:rPr>
          <w:color w:val="auto"/>
          <w:sz w:val="24"/>
          <w:szCs w:val="24"/>
          <w:highlight w:val="none"/>
        </w:rPr>
        <w:t>3.4.2 评标委员会完成评标后，应当向招标人提交书面评标报告和中标候选人名单。</w:t>
      </w:r>
    </w:p>
    <w:p>
      <w:pPr>
        <w:pStyle w:val="2"/>
        <w:rPr>
          <w:rFonts w:hint="eastAsia"/>
          <w:color w:val="auto"/>
          <w:highlight w:val="none"/>
        </w:rPr>
      </w:pPr>
    </w:p>
    <w:p>
      <w:pPr>
        <w:pStyle w:val="2"/>
        <w:rPr>
          <w:rFonts w:hint="eastAsia"/>
          <w:color w:val="auto"/>
          <w:highlight w:val="none"/>
        </w:rPr>
        <w:sectPr>
          <w:pgSz w:w="12240" w:h="15840"/>
          <w:pgMar w:top="1247" w:right="1247" w:bottom="1247" w:left="1247" w:header="720" w:footer="720" w:gutter="0"/>
          <w:cols w:space="720" w:num="1"/>
          <w:docGrid w:linePitch="285" w:charSpace="0"/>
        </w:sectPr>
      </w:pPr>
    </w:p>
    <w:p>
      <w:pPr>
        <w:pStyle w:val="3"/>
        <w:keepNext w:val="0"/>
        <w:keepLines w:val="0"/>
        <w:spacing w:after="240" w:afterLines="100" w:line="240" w:lineRule="auto"/>
        <w:jc w:val="center"/>
        <w:rPr>
          <w:rFonts w:hint="eastAsia" w:ascii="宋体" w:hAnsi="宋体" w:cs="宋体"/>
          <w:color w:val="auto"/>
          <w:highlight w:val="none"/>
        </w:rPr>
      </w:pPr>
      <w:bookmarkStart w:id="469" w:name="_Toc7448"/>
      <w:r>
        <w:rPr>
          <w:rFonts w:hint="eastAsia" w:ascii="宋体" w:hAnsi="宋体" w:cs="宋体"/>
          <w:color w:val="auto"/>
          <w:highlight w:val="none"/>
        </w:rPr>
        <w:t>第四章合同条款及格式</w:t>
      </w:r>
      <w:bookmarkEnd w:id="469"/>
    </w:p>
    <w:p>
      <w:pPr>
        <w:autoSpaceDE w:val="0"/>
        <w:autoSpaceDN w:val="0"/>
        <w:adjustRightInd w:val="0"/>
        <w:snapToGrid w:val="0"/>
        <w:spacing w:line="300" w:lineRule="auto"/>
        <w:jc w:val="center"/>
        <w:rPr>
          <w:rFonts w:hint="eastAsia" w:hAnsi="宋体"/>
          <w:b/>
          <w:bCs/>
          <w:color w:val="auto"/>
          <w:kern w:val="0"/>
          <w:sz w:val="28"/>
          <w:szCs w:val="28"/>
          <w:highlight w:val="none"/>
        </w:rPr>
      </w:pPr>
    </w:p>
    <w:p>
      <w:pPr>
        <w:autoSpaceDE w:val="0"/>
        <w:autoSpaceDN w:val="0"/>
        <w:adjustRightInd w:val="0"/>
        <w:snapToGrid w:val="0"/>
        <w:spacing w:line="300" w:lineRule="auto"/>
        <w:jc w:val="center"/>
        <w:rPr>
          <w:b/>
          <w:bCs/>
          <w:color w:val="auto"/>
          <w:kern w:val="0"/>
          <w:sz w:val="28"/>
          <w:szCs w:val="28"/>
          <w:highlight w:val="none"/>
        </w:rPr>
      </w:pPr>
      <w:r>
        <w:rPr>
          <w:rFonts w:hAnsi="宋体"/>
          <w:b/>
          <w:bCs/>
          <w:color w:val="auto"/>
          <w:kern w:val="0"/>
          <w:sz w:val="28"/>
          <w:szCs w:val="28"/>
          <w:highlight w:val="none"/>
        </w:rPr>
        <w:t>水利工程建设监理合同书</w:t>
      </w:r>
      <w:r>
        <w:rPr>
          <w:b/>
          <w:bCs/>
          <w:color w:val="auto"/>
          <w:kern w:val="0"/>
          <w:sz w:val="28"/>
          <w:szCs w:val="28"/>
          <w:highlight w:val="none"/>
        </w:rPr>
        <w:t>(</w:t>
      </w:r>
      <w:r>
        <w:rPr>
          <w:rFonts w:hAnsi="宋体"/>
          <w:b/>
          <w:bCs/>
          <w:color w:val="auto"/>
          <w:kern w:val="0"/>
          <w:sz w:val="28"/>
          <w:szCs w:val="28"/>
          <w:highlight w:val="none"/>
        </w:rPr>
        <w:t>格式</w:t>
      </w:r>
      <w:r>
        <w:rPr>
          <w:b/>
          <w:bCs/>
          <w:color w:val="auto"/>
          <w:kern w:val="0"/>
          <w:sz w:val="28"/>
          <w:szCs w:val="28"/>
          <w:highlight w:val="none"/>
        </w:rPr>
        <w:t>)</w:t>
      </w:r>
    </w:p>
    <w:p>
      <w:pPr>
        <w:autoSpaceDE w:val="0"/>
        <w:autoSpaceDN w:val="0"/>
        <w:adjustRightInd w:val="0"/>
        <w:snapToGrid w:val="0"/>
        <w:spacing w:before="100" w:beforeAutospacing="1" w:after="100" w:afterAutospacing="1" w:line="360" w:lineRule="auto"/>
        <w:rPr>
          <w:color w:val="auto"/>
          <w:kern w:val="0"/>
          <w:sz w:val="24"/>
          <w:highlight w:val="none"/>
        </w:rPr>
      </w:pPr>
      <w:r>
        <w:rPr>
          <w:rFonts w:hAnsi="宋体"/>
          <w:color w:val="auto"/>
          <w:kern w:val="0"/>
          <w:sz w:val="24"/>
          <w:highlight w:val="none"/>
        </w:rPr>
        <w:t>发包人：</w:t>
      </w:r>
      <w:r>
        <w:rPr>
          <w:color w:val="auto"/>
          <w:kern w:val="0"/>
          <w:sz w:val="24"/>
          <w:highlight w:val="none"/>
          <w:u w:val="single"/>
        </w:rPr>
        <w:t xml:space="preserve">                                           </w:t>
      </w:r>
    </w:p>
    <w:p>
      <w:pPr>
        <w:autoSpaceDE w:val="0"/>
        <w:autoSpaceDN w:val="0"/>
        <w:adjustRightInd w:val="0"/>
        <w:snapToGrid w:val="0"/>
        <w:spacing w:before="100" w:beforeAutospacing="1" w:after="100" w:afterAutospacing="1" w:line="360" w:lineRule="auto"/>
        <w:rPr>
          <w:rFonts w:hint="eastAsia"/>
          <w:color w:val="auto"/>
          <w:kern w:val="0"/>
          <w:sz w:val="24"/>
          <w:highlight w:val="none"/>
        </w:rPr>
      </w:pPr>
      <w:r>
        <w:rPr>
          <w:rFonts w:hAnsi="宋体"/>
          <w:color w:val="auto"/>
          <w:kern w:val="0"/>
          <w:sz w:val="24"/>
          <w:highlight w:val="none"/>
        </w:rPr>
        <w:t>监理人：</w:t>
      </w:r>
      <w:r>
        <w:rPr>
          <w:color w:val="auto"/>
          <w:kern w:val="0"/>
          <w:sz w:val="24"/>
          <w:highlight w:val="none"/>
          <w:u w:val="single"/>
        </w:rPr>
        <w:t xml:space="preserve">                                           </w:t>
      </w:r>
    </w:p>
    <w:p>
      <w:pPr>
        <w:autoSpaceDE w:val="0"/>
        <w:autoSpaceDN w:val="0"/>
        <w:adjustRightInd w:val="0"/>
        <w:snapToGrid w:val="0"/>
        <w:spacing w:before="100" w:beforeAutospacing="1" w:after="100" w:afterAutospacing="1" w:line="360" w:lineRule="auto"/>
        <w:rPr>
          <w:rFonts w:hint="eastAsia"/>
          <w:color w:val="auto"/>
          <w:kern w:val="0"/>
          <w:sz w:val="24"/>
          <w:highlight w:val="none"/>
          <w:u w:val="single"/>
        </w:rPr>
      </w:pPr>
      <w:r>
        <w:rPr>
          <w:rFonts w:hint="eastAsia" w:hAnsi="宋体"/>
          <w:color w:val="auto"/>
          <w:kern w:val="0"/>
          <w:sz w:val="24"/>
          <w:highlight w:val="none"/>
          <w:lang w:eastAsia="zh-CN"/>
        </w:rPr>
        <w:t>签订</w:t>
      </w:r>
      <w:r>
        <w:rPr>
          <w:rFonts w:hAnsi="宋体"/>
          <w:color w:val="auto"/>
          <w:kern w:val="0"/>
          <w:sz w:val="24"/>
          <w:highlight w:val="none"/>
        </w:rPr>
        <w:t>地点：</w:t>
      </w:r>
      <w:r>
        <w:rPr>
          <w:color w:val="auto"/>
          <w:kern w:val="0"/>
          <w:sz w:val="24"/>
          <w:highlight w:val="none"/>
          <w:u w:val="single"/>
        </w:rPr>
        <w:t xml:space="preserve">            </w:t>
      </w:r>
      <w:r>
        <w:rPr>
          <w:rFonts w:hint="eastAsia"/>
          <w:color w:val="auto"/>
          <w:kern w:val="0"/>
          <w:sz w:val="24"/>
          <w:highlight w:val="none"/>
          <w:u w:val="single"/>
        </w:rPr>
        <w:t xml:space="preserve">                             </w:t>
      </w:r>
    </w:p>
    <w:p>
      <w:pPr>
        <w:autoSpaceDE w:val="0"/>
        <w:autoSpaceDN w:val="0"/>
        <w:adjustRightInd w:val="0"/>
        <w:snapToGrid w:val="0"/>
        <w:spacing w:line="360" w:lineRule="auto"/>
        <w:rPr>
          <w:color w:val="auto"/>
          <w:kern w:val="0"/>
          <w:sz w:val="24"/>
          <w:highlight w:val="none"/>
        </w:rPr>
      </w:pPr>
      <w:r>
        <w:rPr>
          <w:rFonts w:hint="eastAsia" w:hAnsi="宋体"/>
          <w:color w:val="auto"/>
          <w:kern w:val="0"/>
          <w:sz w:val="24"/>
          <w:highlight w:val="none"/>
          <w:lang w:eastAsia="zh-CN"/>
        </w:rPr>
        <w:t>签订</w:t>
      </w:r>
      <w:r>
        <w:rPr>
          <w:rFonts w:hAnsi="宋体"/>
          <w:color w:val="auto"/>
          <w:kern w:val="0"/>
          <w:sz w:val="24"/>
          <w:highlight w:val="none"/>
        </w:rPr>
        <w:t>时间：</w:t>
      </w:r>
      <w:r>
        <w:rPr>
          <w:color w:val="auto"/>
          <w:kern w:val="0"/>
          <w:sz w:val="24"/>
          <w:highlight w:val="none"/>
          <w:u w:val="single"/>
        </w:rPr>
        <w:t xml:space="preserve">        </w:t>
      </w:r>
      <w:r>
        <w:rPr>
          <w:rFonts w:hAnsi="宋体"/>
          <w:color w:val="auto"/>
          <w:kern w:val="0"/>
          <w:sz w:val="24"/>
          <w:highlight w:val="none"/>
        </w:rPr>
        <w:t>年</w:t>
      </w:r>
      <w:r>
        <w:rPr>
          <w:color w:val="auto"/>
          <w:kern w:val="0"/>
          <w:sz w:val="24"/>
          <w:highlight w:val="none"/>
          <w:u w:val="single"/>
        </w:rPr>
        <w:t xml:space="preserve">    </w:t>
      </w:r>
      <w:r>
        <w:rPr>
          <w:rFonts w:hAnsi="宋体"/>
          <w:color w:val="auto"/>
          <w:kern w:val="0"/>
          <w:sz w:val="24"/>
          <w:highlight w:val="none"/>
        </w:rPr>
        <w:t>月</w:t>
      </w:r>
      <w:r>
        <w:rPr>
          <w:color w:val="auto"/>
          <w:kern w:val="0"/>
          <w:sz w:val="24"/>
          <w:highlight w:val="none"/>
          <w:u w:val="single"/>
        </w:rPr>
        <w:t xml:space="preserve">    </w:t>
      </w:r>
      <w:r>
        <w:rPr>
          <w:rFonts w:hAnsi="宋体"/>
          <w:color w:val="auto"/>
          <w:kern w:val="0"/>
          <w:sz w:val="24"/>
          <w:highlight w:val="none"/>
        </w:rPr>
        <w:t>日</w:t>
      </w:r>
    </w:p>
    <w:p>
      <w:pPr>
        <w:autoSpaceDE w:val="0"/>
        <w:autoSpaceDN w:val="0"/>
        <w:adjustRightInd w:val="0"/>
        <w:snapToGrid w:val="0"/>
        <w:spacing w:line="360" w:lineRule="auto"/>
        <w:ind w:firstLine="480" w:firstLineChars="200"/>
        <w:rPr>
          <w:rFonts w:hint="eastAsia" w:hAnsi="宋体"/>
          <w:color w:val="auto"/>
          <w:kern w:val="0"/>
          <w:sz w:val="24"/>
          <w:highlight w:val="none"/>
        </w:rPr>
      </w:pPr>
    </w:p>
    <w:p>
      <w:pPr>
        <w:autoSpaceDE w:val="0"/>
        <w:autoSpaceDN w:val="0"/>
        <w:adjustRightInd w:val="0"/>
        <w:snapToGrid w:val="0"/>
        <w:spacing w:line="360" w:lineRule="auto"/>
        <w:ind w:firstLine="480" w:firstLineChars="200"/>
        <w:rPr>
          <w:rFonts w:hint="eastAsia"/>
          <w:color w:val="auto"/>
          <w:kern w:val="0"/>
          <w:sz w:val="24"/>
          <w:highlight w:val="none"/>
        </w:rPr>
      </w:pPr>
      <w:r>
        <w:rPr>
          <w:rFonts w:hAnsi="宋体"/>
          <w:color w:val="auto"/>
          <w:kern w:val="0"/>
          <w:sz w:val="24"/>
          <w:highlight w:val="none"/>
        </w:rPr>
        <w:t>依据《中华人民共和国</w:t>
      </w:r>
      <w:r>
        <w:rPr>
          <w:rFonts w:hint="eastAsia" w:hAnsi="宋体"/>
          <w:color w:val="auto"/>
          <w:kern w:val="0"/>
          <w:sz w:val="24"/>
          <w:highlight w:val="none"/>
        </w:rPr>
        <w:t>民</w:t>
      </w:r>
      <w:r>
        <w:rPr>
          <w:rFonts w:hAnsi="宋体"/>
          <w:color w:val="auto"/>
          <w:kern w:val="0"/>
          <w:sz w:val="24"/>
          <w:highlight w:val="none"/>
        </w:rPr>
        <w:t>法</w:t>
      </w:r>
      <w:r>
        <w:rPr>
          <w:rFonts w:hint="eastAsia" w:hAnsi="宋体"/>
          <w:color w:val="auto"/>
          <w:kern w:val="0"/>
          <w:sz w:val="24"/>
          <w:highlight w:val="none"/>
        </w:rPr>
        <w:t>典</w:t>
      </w:r>
      <w:r>
        <w:rPr>
          <w:rFonts w:hAnsi="宋体"/>
          <w:color w:val="auto"/>
          <w:kern w:val="0"/>
          <w:sz w:val="24"/>
          <w:highlight w:val="none"/>
        </w:rPr>
        <w:t>》</w:t>
      </w:r>
      <w:r>
        <w:rPr>
          <w:color w:val="auto"/>
          <w:kern w:val="0"/>
          <w:sz w:val="24"/>
          <w:highlight w:val="none"/>
          <w:u w:val="single"/>
        </w:rPr>
        <w:t xml:space="preserve"> (</w:t>
      </w:r>
      <w:r>
        <w:rPr>
          <w:rFonts w:hAnsi="宋体"/>
          <w:color w:val="auto"/>
          <w:kern w:val="0"/>
          <w:sz w:val="24"/>
          <w:highlight w:val="none"/>
          <w:u w:val="single"/>
        </w:rPr>
        <w:t>以下简称发包人</w:t>
      </w:r>
      <w:r>
        <w:rPr>
          <w:color w:val="auto"/>
          <w:kern w:val="0"/>
          <w:sz w:val="24"/>
          <w:highlight w:val="none"/>
          <w:u w:val="single"/>
        </w:rPr>
        <w:t>)</w:t>
      </w:r>
      <w:r>
        <w:rPr>
          <w:color w:val="auto"/>
          <w:kern w:val="0"/>
          <w:sz w:val="24"/>
          <w:highlight w:val="none"/>
        </w:rPr>
        <w:t xml:space="preserve"> </w:t>
      </w:r>
      <w:r>
        <w:rPr>
          <w:rFonts w:hAnsi="宋体"/>
          <w:color w:val="auto"/>
          <w:kern w:val="0"/>
          <w:sz w:val="24"/>
          <w:highlight w:val="none"/>
        </w:rPr>
        <w:t>与</w:t>
      </w:r>
      <w:r>
        <w:rPr>
          <w:color w:val="auto"/>
          <w:kern w:val="0"/>
          <w:sz w:val="24"/>
          <w:highlight w:val="none"/>
          <w:u w:val="single"/>
        </w:rPr>
        <w:t>(</w:t>
      </w:r>
      <w:r>
        <w:rPr>
          <w:rFonts w:hAnsi="宋体"/>
          <w:color w:val="auto"/>
          <w:kern w:val="0"/>
          <w:sz w:val="24"/>
          <w:highlight w:val="none"/>
          <w:u w:val="single"/>
        </w:rPr>
        <w:t>以下简称监理人</w:t>
      </w:r>
      <w:r>
        <w:rPr>
          <w:color w:val="auto"/>
          <w:kern w:val="0"/>
          <w:sz w:val="24"/>
          <w:highlight w:val="none"/>
          <w:u w:val="single"/>
        </w:rPr>
        <w:t>)</w:t>
      </w:r>
      <w:r>
        <w:rPr>
          <w:rFonts w:hAnsi="宋体"/>
          <w:color w:val="auto"/>
          <w:kern w:val="0"/>
          <w:sz w:val="24"/>
          <w:highlight w:val="none"/>
        </w:rPr>
        <w:t>，就本项工程建设有关事项，经双方协商一致，订立本合同。</w:t>
      </w:r>
    </w:p>
    <w:p>
      <w:pPr>
        <w:autoSpaceDE w:val="0"/>
        <w:autoSpaceDN w:val="0"/>
        <w:adjustRightInd w:val="0"/>
        <w:snapToGrid w:val="0"/>
        <w:spacing w:line="360" w:lineRule="auto"/>
        <w:ind w:firstLine="480" w:firstLineChars="200"/>
        <w:rPr>
          <w:color w:val="auto"/>
          <w:kern w:val="0"/>
          <w:sz w:val="24"/>
          <w:highlight w:val="none"/>
        </w:rPr>
      </w:pPr>
      <w:r>
        <w:rPr>
          <w:rFonts w:hAnsi="宋体"/>
          <w:color w:val="auto"/>
          <w:kern w:val="0"/>
          <w:sz w:val="24"/>
          <w:highlight w:val="none"/>
        </w:rPr>
        <w:t>一、发包人委托监理人按本建设监理合同要求进行项目的建设监理。</w:t>
      </w:r>
    </w:p>
    <w:p>
      <w:pPr>
        <w:autoSpaceDE w:val="0"/>
        <w:autoSpaceDN w:val="0"/>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（一）</w:t>
      </w:r>
      <w:r>
        <w:rPr>
          <w:rFonts w:hAnsi="宋体"/>
          <w:color w:val="auto"/>
          <w:kern w:val="0"/>
          <w:sz w:val="24"/>
          <w:highlight w:val="none"/>
        </w:rPr>
        <w:t>工程概况：</w:t>
      </w:r>
    </w:p>
    <w:p>
      <w:pPr>
        <w:autoSpaceDE w:val="0"/>
        <w:autoSpaceDN w:val="0"/>
        <w:adjustRightInd w:val="0"/>
        <w:snapToGrid w:val="0"/>
        <w:spacing w:line="360" w:lineRule="auto"/>
        <w:ind w:firstLine="480" w:firstLineChars="200"/>
        <w:rPr>
          <w:rFonts w:hint="eastAsia"/>
          <w:color w:val="auto"/>
          <w:kern w:val="0"/>
          <w:sz w:val="24"/>
          <w:highlight w:val="none"/>
          <w:u w:val="single"/>
        </w:rPr>
      </w:pPr>
      <w:r>
        <w:rPr>
          <w:color w:val="auto"/>
          <w:kern w:val="0"/>
          <w:sz w:val="24"/>
          <w:highlight w:val="none"/>
        </w:rPr>
        <w:t>1.</w:t>
      </w:r>
      <w:r>
        <w:rPr>
          <w:rFonts w:hAnsi="宋体"/>
          <w:color w:val="auto"/>
          <w:kern w:val="0"/>
          <w:sz w:val="24"/>
          <w:highlight w:val="none"/>
        </w:rPr>
        <w:t>工程名称：</w:t>
      </w:r>
      <w:r>
        <w:rPr>
          <w:color w:val="auto"/>
          <w:kern w:val="0"/>
          <w:sz w:val="24"/>
          <w:highlight w:val="none"/>
        </w:rPr>
        <w:t xml:space="preserve"> </w:t>
      </w:r>
      <w:r>
        <w:rPr>
          <w:color w:val="auto"/>
          <w:kern w:val="0"/>
          <w:sz w:val="24"/>
          <w:highlight w:val="none"/>
          <w:u w:val="single"/>
        </w:rPr>
        <w:t xml:space="preserve">                  </w:t>
      </w:r>
      <w:r>
        <w:rPr>
          <w:rFonts w:hint="eastAsia"/>
          <w:color w:val="auto"/>
          <w:kern w:val="0"/>
          <w:sz w:val="24"/>
          <w:highlight w:val="none"/>
          <w:u w:val="single"/>
        </w:rPr>
        <w:t xml:space="preserve"> </w:t>
      </w:r>
    </w:p>
    <w:p>
      <w:pPr>
        <w:autoSpaceDE w:val="0"/>
        <w:autoSpaceDN w:val="0"/>
        <w:adjustRightInd w:val="0"/>
        <w:snapToGrid w:val="0"/>
        <w:spacing w:line="360" w:lineRule="auto"/>
        <w:ind w:firstLine="480" w:firstLineChars="200"/>
        <w:rPr>
          <w:rFonts w:hint="eastAsia"/>
          <w:color w:val="auto"/>
          <w:kern w:val="0"/>
          <w:sz w:val="24"/>
          <w:highlight w:val="none"/>
          <w:u w:val="single"/>
        </w:rPr>
      </w:pPr>
      <w:r>
        <w:rPr>
          <w:color w:val="auto"/>
          <w:kern w:val="0"/>
          <w:sz w:val="24"/>
          <w:highlight w:val="none"/>
        </w:rPr>
        <w:t>2.</w:t>
      </w:r>
      <w:r>
        <w:rPr>
          <w:rFonts w:hAnsi="宋体"/>
          <w:color w:val="auto"/>
          <w:kern w:val="0"/>
          <w:sz w:val="24"/>
          <w:highlight w:val="none"/>
        </w:rPr>
        <w:t>工程地点：</w:t>
      </w:r>
      <w:r>
        <w:rPr>
          <w:color w:val="auto"/>
          <w:kern w:val="0"/>
          <w:sz w:val="24"/>
          <w:highlight w:val="none"/>
        </w:rPr>
        <w:t xml:space="preserve"> </w:t>
      </w:r>
      <w:r>
        <w:rPr>
          <w:color w:val="auto"/>
          <w:kern w:val="0"/>
          <w:sz w:val="24"/>
          <w:highlight w:val="none"/>
          <w:u w:val="single"/>
        </w:rPr>
        <w:t xml:space="preserve">                  </w:t>
      </w:r>
      <w:r>
        <w:rPr>
          <w:rFonts w:hint="eastAsia"/>
          <w:color w:val="auto"/>
          <w:kern w:val="0"/>
          <w:sz w:val="24"/>
          <w:highlight w:val="none"/>
          <w:u w:val="single"/>
        </w:rPr>
        <w:t xml:space="preserve"> </w:t>
      </w:r>
    </w:p>
    <w:p>
      <w:pPr>
        <w:autoSpaceDE w:val="0"/>
        <w:autoSpaceDN w:val="0"/>
        <w:adjustRightInd w:val="0"/>
        <w:snapToGrid w:val="0"/>
        <w:spacing w:line="360" w:lineRule="auto"/>
        <w:ind w:firstLine="480" w:firstLineChars="200"/>
        <w:rPr>
          <w:rFonts w:hint="eastAsia"/>
          <w:color w:val="auto"/>
          <w:kern w:val="0"/>
          <w:sz w:val="24"/>
          <w:highlight w:val="none"/>
          <w:u w:val="single"/>
        </w:rPr>
      </w:pPr>
      <w:r>
        <w:rPr>
          <w:color w:val="auto"/>
          <w:kern w:val="0"/>
          <w:sz w:val="24"/>
          <w:highlight w:val="none"/>
        </w:rPr>
        <w:t>3.</w:t>
      </w:r>
      <w:r>
        <w:rPr>
          <w:rFonts w:hAnsi="宋体"/>
          <w:color w:val="auto"/>
          <w:kern w:val="0"/>
          <w:sz w:val="24"/>
          <w:highlight w:val="none"/>
        </w:rPr>
        <w:t>工程规模及特性：</w:t>
      </w:r>
      <w:r>
        <w:rPr>
          <w:color w:val="auto"/>
          <w:kern w:val="0"/>
          <w:sz w:val="24"/>
          <w:highlight w:val="none"/>
          <w:u w:val="single"/>
        </w:rPr>
        <w:t xml:space="preserve">             </w:t>
      </w:r>
      <w:r>
        <w:rPr>
          <w:rFonts w:hint="eastAsia"/>
          <w:color w:val="auto"/>
          <w:kern w:val="0"/>
          <w:sz w:val="24"/>
          <w:highlight w:val="none"/>
          <w:u w:val="single"/>
        </w:rPr>
        <w:t xml:space="preserve"> </w:t>
      </w:r>
    </w:p>
    <w:p>
      <w:pPr>
        <w:autoSpaceDE w:val="0"/>
        <w:autoSpaceDN w:val="0"/>
        <w:adjustRightInd w:val="0"/>
        <w:snapToGrid w:val="0"/>
        <w:spacing w:line="360" w:lineRule="auto"/>
        <w:ind w:firstLine="480" w:firstLineChars="200"/>
        <w:rPr>
          <w:rFonts w:hint="eastAsia"/>
          <w:color w:val="auto"/>
          <w:kern w:val="0"/>
          <w:sz w:val="24"/>
          <w:highlight w:val="none"/>
          <w:u w:val="single"/>
        </w:rPr>
      </w:pPr>
      <w:r>
        <w:rPr>
          <w:color w:val="auto"/>
          <w:kern w:val="0"/>
          <w:sz w:val="24"/>
          <w:highlight w:val="none"/>
        </w:rPr>
        <w:t>4.</w:t>
      </w:r>
      <w:r>
        <w:rPr>
          <w:rFonts w:hAnsi="宋体"/>
          <w:color w:val="auto"/>
          <w:kern w:val="0"/>
          <w:sz w:val="24"/>
          <w:highlight w:val="none"/>
        </w:rPr>
        <w:t>工程总投资：</w:t>
      </w:r>
      <w:r>
        <w:rPr>
          <w:color w:val="auto"/>
          <w:kern w:val="0"/>
          <w:sz w:val="24"/>
          <w:highlight w:val="none"/>
        </w:rPr>
        <w:t xml:space="preserve"> </w:t>
      </w:r>
      <w:r>
        <w:rPr>
          <w:rFonts w:hAnsi="宋体"/>
          <w:color w:val="auto"/>
          <w:kern w:val="0"/>
          <w:sz w:val="24"/>
          <w:highlight w:val="none"/>
        </w:rPr>
        <w:t>静态：</w:t>
      </w:r>
      <w:r>
        <w:rPr>
          <w:color w:val="auto"/>
          <w:kern w:val="0"/>
          <w:sz w:val="24"/>
          <w:highlight w:val="none"/>
          <w:u w:val="single"/>
        </w:rPr>
        <w:t xml:space="preserve">           </w:t>
      </w:r>
    </w:p>
    <w:p>
      <w:pPr>
        <w:autoSpaceDE w:val="0"/>
        <w:autoSpaceDN w:val="0"/>
        <w:adjustRightInd w:val="0"/>
        <w:snapToGrid w:val="0"/>
        <w:spacing w:line="360" w:lineRule="auto"/>
        <w:ind w:firstLine="480" w:firstLineChars="200"/>
        <w:rPr>
          <w:rFonts w:hint="eastAsia"/>
          <w:color w:val="auto"/>
          <w:kern w:val="0"/>
          <w:sz w:val="24"/>
          <w:highlight w:val="none"/>
          <w:u w:val="single"/>
        </w:rPr>
      </w:pPr>
      <w:r>
        <w:rPr>
          <w:color w:val="auto"/>
          <w:kern w:val="0"/>
          <w:sz w:val="24"/>
          <w:highlight w:val="none"/>
        </w:rPr>
        <w:t>5.</w:t>
      </w:r>
      <w:r>
        <w:rPr>
          <w:rFonts w:hAnsi="宋体"/>
          <w:color w:val="auto"/>
          <w:kern w:val="0"/>
          <w:sz w:val="24"/>
          <w:highlight w:val="none"/>
        </w:rPr>
        <w:t>工程总工期：</w:t>
      </w:r>
      <w:r>
        <w:rPr>
          <w:color w:val="auto"/>
          <w:kern w:val="0"/>
          <w:sz w:val="24"/>
          <w:highlight w:val="none"/>
          <w:u w:val="single"/>
        </w:rPr>
        <w:t xml:space="preserve">                 </w:t>
      </w:r>
      <w:r>
        <w:rPr>
          <w:rFonts w:hint="eastAsia"/>
          <w:color w:val="auto"/>
          <w:kern w:val="0"/>
          <w:sz w:val="24"/>
          <w:highlight w:val="none"/>
          <w:u w:val="single"/>
        </w:rPr>
        <w:t xml:space="preserve"> </w:t>
      </w:r>
    </w:p>
    <w:p>
      <w:pPr>
        <w:autoSpaceDE w:val="0"/>
        <w:autoSpaceDN w:val="0"/>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（二）</w:t>
      </w:r>
      <w:r>
        <w:rPr>
          <w:rFonts w:hAnsi="宋体"/>
          <w:color w:val="auto"/>
          <w:kern w:val="0"/>
          <w:sz w:val="24"/>
          <w:highlight w:val="none"/>
        </w:rPr>
        <w:t>监理范围：按照专用合同条款中约定的范围承担监理业务。</w:t>
      </w:r>
    </w:p>
    <w:p>
      <w:pPr>
        <w:autoSpaceDE w:val="0"/>
        <w:autoSpaceDN w:val="0"/>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（三）</w:t>
      </w:r>
      <w:r>
        <w:rPr>
          <w:rFonts w:hAnsi="宋体"/>
          <w:color w:val="auto"/>
          <w:kern w:val="0"/>
          <w:sz w:val="24"/>
          <w:highlight w:val="none"/>
        </w:rPr>
        <w:t>监理内容：按照专用合同条款中约定的内容承担监理业务。</w:t>
      </w:r>
    </w:p>
    <w:p>
      <w:pPr>
        <w:autoSpaceDE w:val="0"/>
        <w:autoSpaceDN w:val="0"/>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（四）</w:t>
      </w:r>
      <w:r>
        <w:rPr>
          <w:rFonts w:hAnsi="宋体"/>
          <w:color w:val="auto"/>
          <w:kern w:val="0"/>
          <w:sz w:val="24"/>
          <w:highlight w:val="none"/>
        </w:rPr>
        <w:t>工程建设监理的期限自</w:t>
      </w:r>
      <w:r>
        <w:rPr>
          <w:rFonts w:hint="eastAsia" w:hAnsi="宋体"/>
          <w:color w:val="auto"/>
          <w:kern w:val="0"/>
          <w:sz w:val="24"/>
          <w:highlight w:val="none"/>
          <w:lang w:eastAsia="zh-CN"/>
        </w:rPr>
        <w:t>合同签订</w:t>
      </w:r>
      <w:r>
        <w:rPr>
          <w:rFonts w:hAnsi="宋体"/>
          <w:color w:val="auto"/>
          <w:kern w:val="0"/>
          <w:sz w:val="24"/>
          <w:highlight w:val="none"/>
        </w:rPr>
        <w:t>之日起至竣工验收之日止。</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（五）</w:t>
      </w:r>
      <w:r>
        <w:rPr>
          <w:rFonts w:hAnsi="宋体"/>
          <w:color w:val="auto"/>
          <w:kern w:val="0"/>
          <w:sz w:val="24"/>
          <w:highlight w:val="none"/>
        </w:rPr>
        <w:t>建设监理报酬为</w:t>
      </w:r>
      <w:r>
        <w:rPr>
          <w:color w:val="auto"/>
          <w:kern w:val="0"/>
          <w:sz w:val="24"/>
          <w:highlight w:val="none"/>
          <w:u w:val="single"/>
        </w:rPr>
        <w:t xml:space="preserve">       </w:t>
      </w:r>
      <w:r>
        <w:rPr>
          <w:rFonts w:hAnsi="宋体"/>
          <w:color w:val="auto"/>
          <w:kern w:val="0"/>
          <w:sz w:val="24"/>
          <w:highlight w:val="none"/>
        </w:rPr>
        <w:t>元，由发包人按本专用合同条款约定的方式、时间向监理人结算支付。</w:t>
      </w:r>
    </w:p>
    <w:p>
      <w:pPr>
        <w:autoSpaceDE w:val="0"/>
        <w:autoSpaceDN w:val="0"/>
        <w:adjustRightInd w:val="0"/>
        <w:snapToGrid w:val="0"/>
        <w:spacing w:line="360" w:lineRule="auto"/>
        <w:ind w:firstLine="480" w:firstLineChars="200"/>
        <w:rPr>
          <w:rFonts w:hint="eastAsia"/>
          <w:color w:val="auto"/>
          <w:kern w:val="0"/>
          <w:sz w:val="24"/>
          <w:highlight w:val="none"/>
        </w:rPr>
      </w:pPr>
      <w:r>
        <w:rPr>
          <w:color w:val="auto"/>
          <w:kern w:val="0"/>
          <w:sz w:val="24"/>
          <w:highlight w:val="none"/>
        </w:rPr>
        <w:t>（六）因工程建设计划调整、较大的工程设计变更、不良地质条件等非监理人原因致使本合同约定的服务范围、内容和服务形式发生较大变化时，委托人有权对监理服务范围、内容和服务形式、监理服务期限进行调整，监理人不得拒绝，监理服务酬金按照实际完成的监理工作的正常服务费用计取。</w:t>
      </w:r>
    </w:p>
    <w:p>
      <w:pPr>
        <w:autoSpaceDE w:val="0"/>
        <w:autoSpaceDN w:val="0"/>
        <w:adjustRightInd w:val="0"/>
        <w:snapToGrid w:val="0"/>
        <w:spacing w:line="360" w:lineRule="auto"/>
        <w:ind w:firstLine="480" w:firstLineChars="200"/>
        <w:rPr>
          <w:color w:val="auto"/>
          <w:kern w:val="0"/>
          <w:sz w:val="24"/>
          <w:highlight w:val="none"/>
        </w:rPr>
      </w:pPr>
      <w:r>
        <w:rPr>
          <w:rFonts w:ascii="Times New Roman" w:hAnsi="宋体"/>
          <w:color w:val="auto"/>
          <w:sz w:val="24"/>
          <w:szCs w:val="24"/>
          <w:highlight w:val="none"/>
        </w:rPr>
        <w:t>（七）监理人投入本合同工作的监理组织机构概况</w:t>
      </w:r>
    </w:p>
    <w:p>
      <w:pPr>
        <w:pStyle w:val="14"/>
        <w:adjustRightInd w:val="0"/>
        <w:snapToGrid w:val="0"/>
        <w:spacing w:line="360" w:lineRule="auto"/>
        <w:ind w:firstLine="480" w:firstLineChars="200"/>
        <w:rPr>
          <w:rFonts w:ascii="Times New Roman"/>
          <w:color w:val="auto"/>
          <w:sz w:val="24"/>
          <w:szCs w:val="24"/>
          <w:highlight w:val="none"/>
          <w:u w:val="single"/>
        </w:rPr>
      </w:pPr>
      <w:r>
        <w:rPr>
          <w:rFonts w:ascii="Times New Roman" w:hAnsi="宋体"/>
          <w:color w:val="auto"/>
          <w:sz w:val="24"/>
          <w:szCs w:val="24"/>
          <w:highlight w:val="none"/>
        </w:rPr>
        <w:t>现场机构名称：</w:t>
      </w:r>
      <w:r>
        <w:rPr>
          <w:rFonts w:ascii="Times New Roman"/>
          <w:color w:val="auto"/>
          <w:sz w:val="24"/>
          <w:szCs w:val="24"/>
          <w:highlight w:val="none"/>
          <w:u w:val="single"/>
        </w:rPr>
        <w:t xml:space="preserve">                        </w:t>
      </w:r>
    </w:p>
    <w:p>
      <w:pPr>
        <w:pStyle w:val="14"/>
        <w:adjustRightInd w:val="0"/>
        <w:snapToGrid w:val="0"/>
        <w:spacing w:line="360" w:lineRule="auto"/>
        <w:ind w:firstLine="480" w:firstLineChars="200"/>
        <w:rPr>
          <w:rFonts w:ascii="Times New Roman"/>
          <w:color w:val="auto"/>
          <w:sz w:val="24"/>
          <w:szCs w:val="24"/>
          <w:highlight w:val="none"/>
        </w:rPr>
      </w:pPr>
      <w:r>
        <w:rPr>
          <w:rFonts w:ascii="Times New Roman" w:hAnsi="宋体"/>
          <w:color w:val="auto"/>
          <w:sz w:val="24"/>
          <w:szCs w:val="24"/>
          <w:highlight w:val="none"/>
        </w:rPr>
        <w:t>总监理工程师：</w:t>
      </w:r>
      <w:r>
        <w:rPr>
          <w:rFonts w:ascii="Times New Roman"/>
          <w:color w:val="auto"/>
          <w:sz w:val="24"/>
          <w:szCs w:val="24"/>
          <w:highlight w:val="none"/>
          <w:u w:val="single"/>
        </w:rPr>
        <w:t xml:space="preserve">                        </w:t>
      </w:r>
      <w:r>
        <w:rPr>
          <w:rFonts w:ascii="Times New Roman" w:hAnsi="宋体"/>
          <w:color w:val="auto"/>
          <w:sz w:val="24"/>
          <w:szCs w:val="24"/>
          <w:highlight w:val="none"/>
        </w:rPr>
        <w:t>（附资历表）</w:t>
      </w:r>
      <w:r>
        <w:rPr>
          <w:rFonts w:ascii="Times New Roman"/>
          <w:color w:val="auto"/>
          <w:sz w:val="24"/>
          <w:szCs w:val="24"/>
          <w:highlight w:val="none"/>
        </w:rPr>
        <w:t xml:space="preserve"> </w:t>
      </w:r>
    </w:p>
    <w:p>
      <w:pPr>
        <w:pStyle w:val="14"/>
        <w:adjustRightInd w:val="0"/>
        <w:snapToGrid w:val="0"/>
        <w:spacing w:line="360" w:lineRule="auto"/>
        <w:ind w:firstLine="480" w:firstLineChars="200"/>
        <w:rPr>
          <w:rFonts w:ascii="Times New Roman"/>
          <w:color w:val="auto"/>
          <w:sz w:val="24"/>
          <w:szCs w:val="24"/>
          <w:highlight w:val="none"/>
        </w:rPr>
      </w:pPr>
      <w:r>
        <w:rPr>
          <w:rFonts w:ascii="Times New Roman" w:hAnsi="宋体"/>
          <w:color w:val="auto"/>
          <w:sz w:val="24"/>
          <w:szCs w:val="24"/>
          <w:highlight w:val="none"/>
        </w:rPr>
        <w:t>现场专业监理工程师：</w:t>
      </w:r>
      <w:r>
        <w:rPr>
          <w:rFonts w:ascii="Times New Roman"/>
          <w:color w:val="auto"/>
          <w:sz w:val="24"/>
          <w:szCs w:val="24"/>
          <w:highlight w:val="none"/>
          <w:u w:val="single"/>
        </w:rPr>
        <w:t xml:space="preserve">                  </w:t>
      </w:r>
      <w:r>
        <w:rPr>
          <w:rFonts w:ascii="Times New Roman" w:hAnsi="宋体"/>
          <w:color w:val="auto"/>
          <w:sz w:val="24"/>
          <w:szCs w:val="24"/>
          <w:highlight w:val="none"/>
        </w:rPr>
        <w:t>（附资历表）</w:t>
      </w:r>
    </w:p>
    <w:p>
      <w:pPr>
        <w:pStyle w:val="14"/>
        <w:adjustRightInd w:val="0"/>
        <w:snapToGrid w:val="0"/>
        <w:spacing w:line="360" w:lineRule="auto"/>
        <w:ind w:firstLine="480" w:firstLineChars="200"/>
        <w:rPr>
          <w:rFonts w:ascii="Times New Roman"/>
          <w:color w:val="auto"/>
          <w:sz w:val="24"/>
          <w:szCs w:val="24"/>
          <w:highlight w:val="none"/>
        </w:rPr>
      </w:pPr>
      <w:r>
        <w:rPr>
          <w:rFonts w:ascii="Times New Roman" w:hAnsi="宋体"/>
          <w:color w:val="auto"/>
          <w:sz w:val="24"/>
          <w:szCs w:val="24"/>
          <w:highlight w:val="none"/>
        </w:rPr>
        <w:t>现场监理员人数：</w:t>
      </w:r>
      <w:r>
        <w:rPr>
          <w:rFonts w:ascii="Times New Roman"/>
          <w:color w:val="auto"/>
          <w:sz w:val="24"/>
          <w:szCs w:val="24"/>
          <w:highlight w:val="none"/>
          <w:u w:val="single"/>
        </w:rPr>
        <w:t xml:space="preserve">            </w:t>
      </w:r>
      <w:r>
        <w:rPr>
          <w:rFonts w:hint="eastAsia" w:ascii="Times New Roman"/>
          <w:color w:val="auto"/>
          <w:sz w:val="24"/>
          <w:szCs w:val="24"/>
          <w:highlight w:val="none"/>
          <w:u w:val="single"/>
        </w:rPr>
        <w:t xml:space="preserve">   </w:t>
      </w:r>
      <w:r>
        <w:rPr>
          <w:rFonts w:ascii="Times New Roman"/>
          <w:color w:val="auto"/>
          <w:sz w:val="24"/>
          <w:szCs w:val="24"/>
          <w:highlight w:val="none"/>
          <w:u w:val="single"/>
        </w:rPr>
        <w:t xml:space="preserve">       </w:t>
      </w:r>
      <w:r>
        <w:rPr>
          <w:rFonts w:ascii="Times New Roman" w:hAnsi="宋体"/>
          <w:color w:val="auto"/>
          <w:sz w:val="24"/>
          <w:szCs w:val="24"/>
          <w:highlight w:val="none"/>
        </w:rPr>
        <w:t>（附监理员情况表）</w:t>
      </w:r>
    </w:p>
    <w:p>
      <w:pPr>
        <w:autoSpaceDE w:val="0"/>
        <w:autoSpaceDN w:val="0"/>
        <w:adjustRightInd w:val="0"/>
        <w:snapToGrid w:val="0"/>
        <w:spacing w:line="360" w:lineRule="auto"/>
        <w:ind w:firstLine="480" w:firstLineChars="200"/>
        <w:rPr>
          <w:color w:val="auto"/>
          <w:kern w:val="0"/>
          <w:sz w:val="24"/>
          <w:szCs w:val="24"/>
          <w:highlight w:val="none"/>
        </w:rPr>
      </w:pPr>
      <w:r>
        <w:rPr>
          <w:rFonts w:hAnsi="宋体"/>
          <w:color w:val="auto"/>
          <w:kern w:val="0"/>
          <w:sz w:val="24"/>
          <w:szCs w:val="24"/>
          <w:highlight w:val="none"/>
        </w:rPr>
        <w:t>监理人必须按照投标文件的承诺组建现场监理机构，进驻现场开展监理工作，并配备相应的办公和生活设施；否则，将承担相应的违约责任。</w:t>
      </w:r>
    </w:p>
    <w:p>
      <w:pPr>
        <w:pStyle w:val="14"/>
        <w:adjustRightInd w:val="0"/>
        <w:snapToGrid w:val="0"/>
        <w:spacing w:line="360" w:lineRule="auto"/>
        <w:ind w:firstLine="480" w:firstLineChars="200"/>
        <w:rPr>
          <w:rFonts w:hint="eastAsia" w:ascii="Calibri" w:hAnsi="宋体"/>
          <w:color w:val="auto"/>
          <w:kern w:val="0"/>
          <w:sz w:val="24"/>
          <w:szCs w:val="24"/>
          <w:highlight w:val="none"/>
        </w:rPr>
      </w:pPr>
      <w:r>
        <w:rPr>
          <w:rFonts w:hint="eastAsia" w:ascii="Calibri" w:hAnsi="宋体"/>
          <w:color w:val="auto"/>
          <w:kern w:val="0"/>
          <w:sz w:val="24"/>
          <w:szCs w:val="24"/>
          <w:highlight w:val="none"/>
        </w:rPr>
        <w:t>监理人向发包人承诺：监理人在工程监理工作中如违反了相关法律、法规、规章、规程等监理制度的，或者本项目被区级以上行政管理部门书面通报三次或以上的，或者所承接的增城区不同水务项目一年内被区级以上行政管理部门书面通报三次或以上的监理人无条件接受发包人上报行业行政管理部门停止监理人叁年内在广州市增城区各级财政投资的所有建设项目承接新的监理业务（含投标活动），并向社会予以公开。如属恶意煽动并造成社会不良影响的，发包人将提请司法部门追究其法律责任。</w:t>
      </w:r>
    </w:p>
    <w:p>
      <w:pPr>
        <w:pStyle w:val="14"/>
        <w:adjustRightInd w:val="0"/>
        <w:snapToGrid w:val="0"/>
        <w:spacing w:line="360" w:lineRule="auto"/>
        <w:ind w:firstLine="480" w:firstLineChars="200"/>
        <w:rPr>
          <w:rFonts w:ascii="Times New Roman"/>
          <w:color w:val="auto"/>
          <w:sz w:val="24"/>
          <w:szCs w:val="24"/>
          <w:highlight w:val="none"/>
        </w:rPr>
      </w:pPr>
      <w:r>
        <w:rPr>
          <w:rFonts w:ascii="Times New Roman" w:hAnsi="宋体"/>
          <w:color w:val="auto"/>
          <w:sz w:val="24"/>
          <w:szCs w:val="24"/>
          <w:highlight w:val="none"/>
        </w:rPr>
        <w:t>二、建设监理合同的组成文件及解释顺序</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（一）</w:t>
      </w:r>
      <w:r>
        <w:rPr>
          <w:rFonts w:ascii="Times New Roman" w:hAnsi="宋体"/>
          <w:color w:val="auto"/>
          <w:sz w:val="24"/>
          <w:szCs w:val="24"/>
          <w:highlight w:val="none"/>
        </w:rPr>
        <w:t>监理合同书</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（二）</w:t>
      </w:r>
      <w:r>
        <w:rPr>
          <w:rFonts w:ascii="Times New Roman" w:hAnsi="宋体"/>
          <w:color w:val="auto"/>
          <w:sz w:val="24"/>
          <w:szCs w:val="24"/>
          <w:highlight w:val="none"/>
        </w:rPr>
        <w:t>监理中标通知书</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（三）</w:t>
      </w:r>
      <w:r>
        <w:rPr>
          <w:rFonts w:ascii="Times New Roman" w:hAnsi="宋体"/>
          <w:color w:val="auto"/>
          <w:sz w:val="24"/>
          <w:szCs w:val="24"/>
          <w:highlight w:val="none"/>
        </w:rPr>
        <w:t>监理实施过程中双方共同签署的补充文件</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（四）</w:t>
      </w:r>
      <w:r>
        <w:rPr>
          <w:rFonts w:ascii="Times New Roman" w:hAnsi="宋体"/>
          <w:color w:val="auto"/>
          <w:sz w:val="24"/>
          <w:szCs w:val="24"/>
          <w:highlight w:val="none"/>
        </w:rPr>
        <w:t>专用合同条款</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（五）</w:t>
      </w:r>
      <w:r>
        <w:rPr>
          <w:rFonts w:ascii="Times New Roman" w:hAnsi="宋体"/>
          <w:color w:val="auto"/>
          <w:sz w:val="24"/>
          <w:szCs w:val="24"/>
          <w:highlight w:val="none"/>
        </w:rPr>
        <w:t>通用合同条款</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（六）</w:t>
      </w:r>
      <w:r>
        <w:rPr>
          <w:rFonts w:ascii="Times New Roman" w:hAnsi="宋体"/>
          <w:color w:val="auto"/>
          <w:sz w:val="24"/>
          <w:szCs w:val="24"/>
          <w:highlight w:val="none"/>
        </w:rPr>
        <w:t>合同附件</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（七）</w:t>
      </w:r>
      <w:r>
        <w:rPr>
          <w:rFonts w:ascii="Times New Roman" w:hAnsi="宋体"/>
          <w:color w:val="auto"/>
          <w:sz w:val="24"/>
          <w:szCs w:val="24"/>
          <w:highlight w:val="none"/>
        </w:rPr>
        <w:t>监理招标书</w:t>
      </w:r>
    </w:p>
    <w:p>
      <w:pPr>
        <w:pStyle w:val="14"/>
        <w:adjustRightInd w:val="0"/>
        <w:snapToGrid w:val="0"/>
        <w:spacing w:line="360" w:lineRule="auto"/>
        <w:ind w:firstLine="480" w:firstLineChars="200"/>
        <w:rPr>
          <w:rFonts w:hint="eastAsia" w:ascii="Times New Roman"/>
          <w:color w:val="auto"/>
          <w:sz w:val="24"/>
          <w:szCs w:val="24"/>
          <w:highlight w:val="none"/>
        </w:rPr>
      </w:pPr>
      <w:r>
        <w:rPr>
          <w:rFonts w:hint="eastAsia" w:ascii="Times New Roman"/>
          <w:color w:val="auto"/>
          <w:sz w:val="24"/>
          <w:szCs w:val="24"/>
          <w:highlight w:val="none"/>
        </w:rPr>
        <w:t>（八）</w:t>
      </w:r>
      <w:r>
        <w:rPr>
          <w:rFonts w:ascii="Times New Roman" w:hAnsi="宋体"/>
          <w:color w:val="auto"/>
          <w:sz w:val="24"/>
          <w:szCs w:val="24"/>
          <w:highlight w:val="none"/>
        </w:rPr>
        <w:t>监理投标文件</w:t>
      </w:r>
    </w:p>
    <w:p>
      <w:pPr>
        <w:pStyle w:val="14"/>
        <w:adjustRightInd w:val="0"/>
        <w:snapToGrid w:val="0"/>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rPr>
        <w:t>（九）</w:t>
      </w:r>
      <w:r>
        <w:rPr>
          <w:rFonts w:ascii="Times New Roman" w:hAnsi="宋体"/>
          <w:color w:val="auto"/>
          <w:sz w:val="24"/>
          <w:szCs w:val="24"/>
          <w:highlight w:val="none"/>
        </w:rPr>
        <w:t>工程监理廉政责任书</w:t>
      </w:r>
    </w:p>
    <w:p>
      <w:pPr>
        <w:pStyle w:val="14"/>
        <w:adjustRightInd w:val="0"/>
        <w:snapToGrid w:val="0"/>
        <w:spacing w:line="360" w:lineRule="auto"/>
        <w:ind w:firstLine="480" w:firstLineChars="200"/>
        <w:rPr>
          <w:rFonts w:ascii="Times New Roman"/>
          <w:color w:val="auto"/>
          <w:sz w:val="24"/>
          <w:szCs w:val="24"/>
          <w:highlight w:val="none"/>
        </w:rPr>
      </w:pPr>
      <w:r>
        <w:rPr>
          <w:rFonts w:ascii="Times New Roman" w:hAnsi="宋体"/>
          <w:color w:val="auto"/>
          <w:sz w:val="24"/>
          <w:szCs w:val="24"/>
          <w:highlight w:val="none"/>
        </w:rPr>
        <w:t>上列合同文件为一整体，代替了本合同书签署前双方签署的所有的协议、会谈记录以及有关相互承诺的一切文件。</w:t>
      </w:r>
    </w:p>
    <w:p>
      <w:pPr>
        <w:autoSpaceDE w:val="0"/>
        <w:autoSpaceDN w:val="0"/>
        <w:adjustRightInd w:val="0"/>
        <w:snapToGrid w:val="0"/>
        <w:spacing w:line="360" w:lineRule="auto"/>
        <w:ind w:firstLine="480" w:firstLineChars="200"/>
        <w:rPr>
          <w:color w:val="auto"/>
          <w:kern w:val="0"/>
          <w:sz w:val="24"/>
          <w:highlight w:val="none"/>
        </w:rPr>
      </w:pPr>
      <w:r>
        <w:rPr>
          <w:color w:val="auto"/>
          <w:kern w:val="0"/>
          <w:sz w:val="24"/>
          <w:highlight w:val="none"/>
        </w:rPr>
        <w:t xml:space="preserve"> </w:t>
      </w:r>
      <w:r>
        <w:rPr>
          <w:rFonts w:hAnsi="宋体"/>
          <w:color w:val="auto"/>
          <w:kern w:val="0"/>
          <w:sz w:val="24"/>
          <w:highlight w:val="none"/>
        </w:rPr>
        <w:t>三、</w:t>
      </w:r>
      <w:r>
        <w:rPr>
          <w:color w:val="auto"/>
          <w:kern w:val="0"/>
          <w:sz w:val="24"/>
          <w:highlight w:val="none"/>
        </w:rPr>
        <w:t xml:space="preserve"> </w:t>
      </w:r>
      <w:r>
        <w:rPr>
          <w:rFonts w:hAnsi="宋体"/>
          <w:color w:val="auto"/>
          <w:kern w:val="0"/>
          <w:sz w:val="24"/>
          <w:highlight w:val="none"/>
        </w:rPr>
        <w:t>本合同书经双方法定代表人或其委托代理人签字</w:t>
      </w:r>
      <w:r>
        <w:rPr>
          <w:color w:val="auto"/>
          <w:kern w:val="0"/>
          <w:sz w:val="24"/>
          <w:highlight w:val="none"/>
        </w:rPr>
        <w:t>(</w:t>
      </w:r>
      <w:r>
        <w:rPr>
          <w:rFonts w:hAnsi="宋体"/>
          <w:color w:val="auto"/>
          <w:kern w:val="0"/>
          <w:sz w:val="24"/>
          <w:highlight w:val="none"/>
        </w:rPr>
        <w:t>盖章</w:t>
      </w:r>
      <w:r>
        <w:rPr>
          <w:color w:val="auto"/>
          <w:kern w:val="0"/>
          <w:sz w:val="24"/>
          <w:highlight w:val="none"/>
        </w:rPr>
        <w:t>)</w:t>
      </w:r>
      <w:r>
        <w:rPr>
          <w:rFonts w:hAnsi="宋体"/>
          <w:color w:val="auto"/>
          <w:kern w:val="0"/>
          <w:sz w:val="24"/>
          <w:highlight w:val="none"/>
        </w:rPr>
        <w:t>并加盖本单位公章后生效。</w:t>
      </w:r>
    </w:p>
    <w:p>
      <w:pPr>
        <w:autoSpaceDE w:val="0"/>
        <w:autoSpaceDN w:val="0"/>
        <w:adjustRightInd w:val="0"/>
        <w:snapToGrid w:val="0"/>
        <w:spacing w:line="360" w:lineRule="auto"/>
        <w:ind w:firstLine="480" w:firstLineChars="200"/>
        <w:rPr>
          <w:color w:val="auto"/>
          <w:kern w:val="0"/>
          <w:sz w:val="24"/>
          <w:highlight w:val="none"/>
        </w:rPr>
      </w:pPr>
      <w:r>
        <w:rPr>
          <w:color w:val="auto"/>
          <w:kern w:val="0"/>
          <w:sz w:val="24"/>
          <w:highlight w:val="none"/>
        </w:rPr>
        <w:t xml:space="preserve"> </w:t>
      </w:r>
      <w:r>
        <w:rPr>
          <w:rFonts w:hAnsi="宋体"/>
          <w:color w:val="auto"/>
          <w:kern w:val="0"/>
          <w:sz w:val="24"/>
          <w:highlight w:val="none"/>
        </w:rPr>
        <w:t>四、本合同书正本一式两份，具有同等法律效力，双方各执一份；副本六份，双方各执三份。</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发</w:t>
      </w:r>
      <w:r>
        <w:rPr>
          <w:color w:val="auto"/>
          <w:kern w:val="0"/>
          <w:sz w:val="24"/>
          <w:highlight w:val="none"/>
        </w:rPr>
        <w:t xml:space="preserve">  </w:t>
      </w:r>
      <w:r>
        <w:rPr>
          <w:rFonts w:hAnsi="宋体"/>
          <w:color w:val="auto"/>
          <w:kern w:val="0"/>
          <w:sz w:val="24"/>
          <w:highlight w:val="none"/>
        </w:rPr>
        <w:t>包</w:t>
      </w:r>
      <w:r>
        <w:rPr>
          <w:color w:val="auto"/>
          <w:kern w:val="0"/>
          <w:sz w:val="24"/>
          <w:highlight w:val="none"/>
        </w:rPr>
        <w:t xml:space="preserve">  </w:t>
      </w:r>
      <w:r>
        <w:rPr>
          <w:rFonts w:hAnsi="宋体"/>
          <w:color w:val="auto"/>
          <w:kern w:val="0"/>
          <w:sz w:val="24"/>
          <w:highlight w:val="none"/>
        </w:rPr>
        <w:t>人：</w:t>
      </w:r>
      <w:r>
        <w:rPr>
          <w:color w:val="auto"/>
          <w:kern w:val="0"/>
          <w:sz w:val="24"/>
          <w:highlight w:val="none"/>
        </w:rPr>
        <w:t>(</w:t>
      </w:r>
      <w:r>
        <w:rPr>
          <w:rFonts w:hAnsi="宋体"/>
          <w:color w:val="auto"/>
          <w:kern w:val="0"/>
          <w:sz w:val="24"/>
          <w:highlight w:val="none"/>
        </w:rPr>
        <w:t>盖章</w:t>
      </w:r>
      <w:r>
        <w:rPr>
          <w:color w:val="auto"/>
          <w:kern w:val="0"/>
          <w:sz w:val="24"/>
          <w:highlight w:val="none"/>
        </w:rPr>
        <w:t xml:space="preserve">)                   </w:t>
      </w:r>
      <w:r>
        <w:rPr>
          <w:rFonts w:hAnsi="宋体"/>
          <w:color w:val="auto"/>
          <w:kern w:val="0"/>
          <w:sz w:val="24"/>
          <w:highlight w:val="none"/>
        </w:rPr>
        <w:t>监</w:t>
      </w:r>
      <w:r>
        <w:rPr>
          <w:color w:val="auto"/>
          <w:kern w:val="0"/>
          <w:sz w:val="24"/>
          <w:highlight w:val="none"/>
        </w:rPr>
        <w:t xml:space="preserve">  </w:t>
      </w:r>
      <w:r>
        <w:rPr>
          <w:rFonts w:hAnsi="宋体"/>
          <w:color w:val="auto"/>
          <w:kern w:val="0"/>
          <w:sz w:val="24"/>
          <w:highlight w:val="none"/>
        </w:rPr>
        <w:t>理</w:t>
      </w:r>
      <w:r>
        <w:rPr>
          <w:color w:val="auto"/>
          <w:kern w:val="0"/>
          <w:sz w:val="24"/>
          <w:highlight w:val="none"/>
        </w:rPr>
        <w:t xml:space="preserve">  </w:t>
      </w:r>
      <w:r>
        <w:rPr>
          <w:rFonts w:hAnsi="宋体"/>
          <w:color w:val="auto"/>
          <w:kern w:val="0"/>
          <w:sz w:val="24"/>
          <w:highlight w:val="none"/>
        </w:rPr>
        <w:t>人：</w:t>
      </w:r>
      <w:r>
        <w:rPr>
          <w:color w:val="auto"/>
          <w:kern w:val="0"/>
          <w:sz w:val="24"/>
          <w:highlight w:val="none"/>
        </w:rPr>
        <w:t>(</w:t>
      </w:r>
      <w:r>
        <w:rPr>
          <w:rFonts w:hAnsi="宋体"/>
          <w:color w:val="auto"/>
          <w:kern w:val="0"/>
          <w:sz w:val="24"/>
          <w:highlight w:val="none"/>
        </w:rPr>
        <w:t>盖章</w:t>
      </w:r>
      <w:r>
        <w:rPr>
          <w:color w:val="auto"/>
          <w:kern w:val="0"/>
          <w:sz w:val="24"/>
          <w:highlight w:val="none"/>
        </w:rPr>
        <w:t>)</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法定代表人：</w:t>
      </w:r>
      <w:r>
        <w:rPr>
          <w:color w:val="auto"/>
          <w:kern w:val="0"/>
          <w:sz w:val="24"/>
          <w:highlight w:val="none"/>
        </w:rPr>
        <w:t>(</w:t>
      </w:r>
      <w:r>
        <w:rPr>
          <w:rFonts w:hAnsi="宋体"/>
          <w:color w:val="auto"/>
          <w:kern w:val="0"/>
          <w:sz w:val="24"/>
          <w:highlight w:val="none"/>
        </w:rPr>
        <w:t>签名</w:t>
      </w:r>
      <w:r>
        <w:rPr>
          <w:color w:val="auto"/>
          <w:kern w:val="0"/>
          <w:sz w:val="24"/>
          <w:highlight w:val="none"/>
        </w:rPr>
        <w:t xml:space="preserve">)                   </w:t>
      </w:r>
      <w:r>
        <w:rPr>
          <w:rFonts w:hAnsi="宋体"/>
          <w:color w:val="auto"/>
          <w:kern w:val="0"/>
          <w:sz w:val="24"/>
          <w:highlight w:val="none"/>
        </w:rPr>
        <w:t>法定代表人：</w:t>
      </w:r>
      <w:r>
        <w:rPr>
          <w:color w:val="auto"/>
          <w:kern w:val="0"/>
          <w:sz w:val="24"/>
          <w:highlight w:val="none"/>
        </w:rPr>
        <w:t>(</w:t>
      </w:r>
      <w:r>
        <w:rPr>
          <w:rFonts w:hAnsi="宋体"/>
          <w:color w:val="auto"/>
          <w:kern w:val="0"/>
          <w:sz w:val="24"/>
          <w:highlight w:val="none"/>
        </w:rPr>
        <w:t>签名</w:t>
      </w:r>
      <w:r>
        <w:rPr>
          <w:color w:val="auto"/>
          <w:kern w:val="0"/>
          <w:sz w:val="24"/>
          <w:highlight w:val="none"/>
        </w:rPr>
        <w:t>)</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委托代理人：</w:t>
      </w:r>
      <w:r>
        <w:rPr>
          <w:color w:val="auto"/>
          <w:kern w:val="0"/>
          <w:sz w:val="24"/>
          <w:highlight w:val="none"/>
        </w:rPr>
        <w:t>(</w:t>
      </w:r>
      <w:r>
        <w:rPr>
          <w:rFonts w:hAnsi="宋体"/>
          <w:color w:val="auto"/>
          <w:kern w:val="0"/>
          <w:sz w:val="24"/>
          <w:highlight w:val="none"/>
        </w:rPr>
        <w:t>签名</w:t>
      </w:r>
      <w:r>
        <w:rPr>
          <w:color w:val="auto"/>
          <w:kern w:val="0"/>
          <w:sz w:val="24"/>
          <w:highlight w:val="none"/>
        </w:rPr>
        <w:t xml:space="preserve">)                   </w:t>
      </w:r>
      <w:r>
        <w:rPr>
          <w:rFonts w:hAnsi="宋体"/>
          <w:color w:val="auto"/>
          <w:kern w:val="0"/>
          <w:sz w:val="24"/>
          <w:highlight w:val="none"/>
        </w:rPr>
        <w:t>委托代理人：</w:t>
      </w:r>
      <w:r>
        <w:rPr>
          <w:color w:val="auto"/>
          <w:kern w:val="0"/>
          <w:sz w:val="24"/>
          <w:highlight w:val="none"/>
        </w:rPr>
        <w:t>(</w:t>
      </w:r>
      <w:r>
        <w:rPr>
          <w:rFonts w:hAnsi="宋体"/>
          <w:color w:val="auto"/>
          <w:kern w:val="0"/>
          <w:sz w:val="24"/>
          <w:highlight w:val="none"/>
        </w:rPr>
        <w:t>签名</w:t>
      </w:r>
      <w:r>
        <w:rPr>
          <w:color w:val="auto"/>
          <w:kern w:val="0"/>
          <w:sz w:val="24"/>
          <w:highlight w:val="none"/>
        </w:rPr>
        <w:t>)</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邮</w:t>
      </w:r>
      <w:r>
        <w:rPr>
          <w:color w:val="auto"/>
          <w:kern w:val="0"/>
          <w:sz w:val="24"/>
          <w:highlight w:val="none"/>
        </w:rPr>
        <w:t xml:space="preserve">      </w:t>
      </w:r>
      <w:r>
        <w:rPr>
          <w:rFonts w:hAnsi="宋体"/>
          <w:color w:val="auto"/>
          <w:kern w:val="0"/>
          <w:sz w:val="24"/>
          <w:highlight w:val="none"/>
        </w:rPr>
        <w:t>编：</w:t>
      </w:r>
      <w:r>
        <w:rPr>
          <w:color w:val="auto"/>
          <w:kern w:val="0"/>
          <w:sz w:val="24"/>
          <w:highlight w:val="none"/>
        </w:rPr>
        <w:t xml:space="preserve">                         </w:t>
      </w:r>
      <w:r>
        <w:rPr>
          <w:rFonts w:hAnsi="宋体"/>
          <w:color w:val="auto"/>
          <w:kern w:val="0"/>
          <w:sz w:val="24"/>
          <w:highlight w:val="none"/>
        </w:rPr>
        <w:t>邮</w:t>
      </w:r>
      <w:r>
        <w:rPr>
          <w:color w:val="auto"/>
          <w:kern w:val="0"/>
          <w:sz w:val="24"/>
          <w:highlight w:val="none"/>
        </w:rPr>
        <w:t xml:space="preserve">      </w:t>
      </w:r>
      <w:r>
        <w:rPr>
          <w:rFonts w:hAnsi="宋体"/>
          <w:color w:val="auto"/>
          <w:kern w:val="0"/>
          <w:sz w:val="24"/>
          <w:highlight w:val="none"/>
        </w:rPr>
        <w:t>编：</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电</w:t>
      </w:r>
      <w:r>
        <w:rPr>
          <w:color w:val="auto"/>
          <w:kern w:val="0"/>
          <w:sz w:val="24"/>
          <w:highlight w:val="none"/>
        </w:rPr>
        <w:t xml:space="preserve">      </w:t>
      </w:r>
      <w:r>
        <w:rPr>
          <w:rFonts w:hAnsi="宋体"/>
          <w:color w:val="auto"/>
          <w:kern w:val="0"/>
          <w:sz w:val="24"/>
          <w:highlight w:val="none"/>
        </w:rPr>
        <w:t>话：</w:t>
      </w:r>
      <w:r>
        <w:rPr>
          <w:color w:val="auto"/>
          <w:kern w:val="0"/>
          <w:sz w:val="24"/>
          <w:highlight w:val="none"/>
        </w:rPr>
        <w:t xml:space="preserve">                         </w:t>
      </w:r>
      <w:r>
        <w:rPr>
          <w:rFonts w:hAnsi="宋体"/>
          <w:color w:val="auto"/>
          <w:kern w:val="0"/>
          <w:sz w:val="24"/>
          <w:highlight w:val="none"/>
        </w:rPr>
        <w:t>电</w:t>
      </w:r>
      <w:r>
        <w:rPr>
          <w:color w:val="auto"/>
          <w:kern w:val="0"/>
          <w:sz w:val="24"/>
          <w:highlight w:val="none"/>
        </w:rPr>
        <w:t xml:space="preserve">      </w:t>
      </w:r>
      <w:r>
        <w:rPr>
          <w:rFonts w:hAnsi="宋体"/>
          <w:color w:val="auto"/>
          <w:kern w:val="0"/>
          <w:sz w:val="24"/>
          <w:highlight w:val="none"/>
        </w:rPr>
        <w:t>话：</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传</w:t>
      </w:r>
      <w:r>
        <w:rPr>
          <w:color w:val="auto"/>
          <w:kern w:val="0"/>
          <w:sz w:val="24"/>
          <w:highlight w:val="none"/>
        </w:rPr>
        <w:t xml:space="preserve">      </w:t>
      </w:r>
      <w:r>
        <w:rPr>
          <w:rFonts w:hAnsi="宋体"/>
          <w:color w:val="auto"/>
          <w:kern w:val="0"/>
          <w:sz w:val="24"/>
          <w:highlight w:val="none"/>
        </w:rPr>
        <w:t>真：</w:t>
      </w:r>
      <w:r>
        <w:rPr>
          <w:color w:val="auto"/>
          <w:kern w:val="0"/>
          <w:sz w:val="24"/>
          <w:highlight w:val="none"/>
        </w:rPr>
        <w:t xml:space="preserve">                         </w:t>
      </w:r>
      <w:r>
        <w:rPr>
          <w:rFonts w:hAnsi="宋体"/>
          <w:color w:val="auto"/>
          <w:kern w:val="0"/>
          <w:sz w:val="24"/>
          <w:highlight w:val="none"/>
        </w:rPr>
        <w:t>传</w:t>
      </w:r>
      <w:r>
        <w:rPr>
          <w:color w:val="auto"/>
          <w:kern w:val="0"/>
          <w:sz w:val="24"/>
          <w:highlight w:val="none"/>
        </w:rPr>
        <w:t xml:space="preserve">      </w:t>
      </w:r>
      <w:r>
        <w:rPr>
          <w:rFonts w:hAnsi="宋体"/>
          <w:color w:val="auto"/>
          <w:kern w:val="0"/>
          <w:sz w:val="24"/>
          <w:highlight w:val="none"/>
        </w:rPr>
        <w:t>真：</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开</w:t>
      </w:r>
      <w:r>
        <w:rPr>
          <w:color w:val="auto"/>
          <w:kern w:val="0"/>
          <w:sz w:val="24"/>
          <w:highlight w:val="none"/>
        </w:rPr>
        <w:t xml:space="preserve"> </w:t>
      </w:r>
      <w:r>
        <w:rPr>
          <w:rFonts w:hAnsi="宋体"/>
          <w:color w:val="auto"/>
          <w:kern w:val="0"/>
          <w:sz w:val="24"/>
          <w:highlight w:val="none"/>
        </w:rPr>
        <w:t>户</w:t>
      </w:r>
      <w:r>
        <w:rPr>
          <w:color w:val="auto"/>
          <w:kern w:val="0"/>
          <w:sz w:val="24"/>
          <w:highlight w:val="none"/>
        </w:rPr>
        <w:t xml:space="preserve"> </w:t>
      </w:r>
      <w:r>
        <w:rPr>
          <w:rFonts w:hAnsi="宋体"/>
          <w:color w:val="auto"/>
          <w:kern w:val="0"/>
          <w:sz w:val="24"/>
          <w:highlight w:val="none"/>
        </w:rPr>
        <w:t>银行：</w:t>
      </w:r>
    </w:p>
    <w:p>
      <w:pPr>
        <w:autoSpaceDE w:val="0"/>
        <w:autoSpaceDN w:val="0"/>
        <w:adjustRightInd w:val="0"/>
        <w:snapToGrid w:val="0"/>
        <w:spacing w:line="360" w:lineRule="auto"/>
        <w:ind w:firstLine="340"/>
        <w:rPr>
          <w:color w:val="auto"/>
          <w:kern w:val="0"/>
          <w:sz w:val="24"/>
          <w:highlight w:val="none"/>
        </w:rPr>
      </w:pPr>
      <w:r>
        <w:rPr>
          <w:color w:val="auto"/>
          <w:kern w:val="0"/>
          <w:sz w:val="24"/>
          <w:highlight w:val="none"/>
        </w:rPr>
        <w:t xml:space="preserve">                                        </w:t>
      </w:r>
      <w:r>
        <w:rPr>
          <w:rFonts w:hAnsi="宋体"/>
          <w:color w:val="auto"/>
          <w:kern w:val="0"/>
          <w:sz w:val="24"/>
          <w:highlight w:val="none"/>
        </w:rPr>
        <w:t>账</w:t>
      </w:r>
      <w:r>
        <w:rPr>
          <w:color w:val="auto"/>
          <w:kern w:val="0"/>
          <w:sz w:val="24"/>
          <w:highlight w:val="none"/>
        </w:rPr>
        <w:t xml:space="preserve">      </w:t>
      </w:r>
      <w:r>
        <w:rPr>
          <w:rFonts w:hAnsi="宋体"/>
          <w:color w:val="auto"/>
          <w:kern w:val="0"/>
          <w:sz w:val="24"/>
          <w:highlight w:val="none"/>
        </w:rPr>
        <w:t>号：</w:t>
      </w:r>
    </w:p>
    <w:p>
      <w:pPr>
        <w:autoSpaceDE w:val="0"/>
        <w:autoSpaceDN w:val="0"/>
        <w:adjustRightInd w:val="0"/>
        <w:snapToGrid w:val="0"/>
        <w:spacing w:line="360" w:lineRule="auto"/>
        <w:ind w:firstLine="340"/>
        <w:rPr>
          <w:color w:val="auto"/>
          <w:kern w:val="0"/>
          <w:sz w:val="24"/>
          <w:highlight w:val="none"/>
        </w:rPr>
      </w:pPr>
    </w:p>
    <w:p>
      <w:pPr>
        <w:pStyle w:val="43"/>
        <w:ind w:firstLine="482"/>
        <w:jc w:val="center"/>
        <w:rPr>
          <w:rFonts w:ascii="Times New Roman" w:hAnsi="Times New Roman"/>
          <w:b/>
          <w:color w:val="auto"/>
          <w:sz w:val="32"/>
          <w:szCs w:val="32"/>
          <w:highlight w:val="none"/>
        </w:rPr>
      </w:pPr>
      <w:r>
        <w:rPr>
          <w:rFonts w:hAnsi="宋体"/>
          <w:color w:val="auto"/>
          <w:kern w:val="0"/>
          <w:highlight w:val="none"/>
          <w:lang w:val="zh-CN"/>
        </w:rPr>
        <w:br w:type="page"/>
      </w:r>
      <w:r>
        <w:rPr>
          <w:rFonts w:ascii="Times New Roman" w:hAnsi="宋体"/>
          <w:b/>
          <w:color w:val="auto"/>
          <w:sz w:val="32"/>
          <w:szCs w:val="32"/>
          <w:highlight w:val="none"/>
        </w:rPr>
        <w:t>第一部分</w:t>
      </w:r>
      <w:r>
        <w:rPr>
          <w:rFonts w:ascii="Times New Roman" w:hAnsi="Times New Roman"/>
          <w:b/>
          <w:color w:val="auto"/>
          <w:sz w:val="32"/>
          <w:szCs w:val="32"/>
          <w:highlight w:val="none"/>
        </w:rPr>
        <w:t xml:space="preserve">   </w:t>
      </w:r>
      <w:r>
        <w:rPr>
          <w:rFonts w:ascii="Times New Roman" w:hAnsi="宋体"/>
          <w:b/>
          <w:color w:val="auto"/>
          <w:sz w:val="32"/>
          <w:szCs w:val="32"/>
          <w:highlight w:val="none"/>
        </w:rPr>
        <w:t>通用合同条款</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词语</w:t>
      </w:r>
      <w:r>
        <w:rPr>
          <w:rFonts w:hint="eastAsia" w:ascii="Times New Roman" w:hAnsi="宋体"/>
          <w:color w:val="auto"/>
          <w:sz w:val="28"/>
          <w:szCs w:val="28"/>
          <w:highlight w:val="none"/>
          <w:lang w:eastAsia="zh-CN"/>
        </w:rPr>
        <w:t>含义</w:t>
      </w:r>
      <w:r>
        <w:rPr>
          <w:rFonts w:ascii="Times New Roman" w:hAnsi="宋体"/>
          <w:color w:val="auto"/>
          <w:sz w:val="28"/>
          <w:szCs w:val="28"/>
          <w:highlight w:val="none"/>
        </w:rPr>
        <w:t>及适用语言</w:t>
      </w:r>
    </w:p>
    <w:p>
      <w:pPr>
        <w:pStyle w:val="43"/>
        <w:ind w:firstLine="361"/>
        <w:rPr>
          <w:rFonts w:ascii="Times New Roman" w:hAnsi="宋体"/>
          <w:b/>
          <w:color w:val="auto"/>
          <w:highlight w:val="none"/>
        </w:rPr>
      </w:pPr>
      <w:r>
        <w:rPr>
          <w:rFonts w:ascii="Times New Roman" w:hAnsi="宋体"/>
          <w:b/>
          <w:color w:val="auto"/>
          <w:highlight w:val="none"/>
        </w:rPr>
        <w:t xml:space="preserve">第一条 </w:t>
      </w:r>
      <w:r>
        <w:rPr>
          <w:rFonts w:ascii="Times New Roman" w:hAnsi="宋体"/>
          <w:color w:val="auto"/>
          <w:highlight w:val="none"/>
        </w:rPr>
        <w:t>下列名词和用语，除上下文另有约定外，具有本条所赋予的</w:t>
      </w:r>
      <w:r>
        <w:rPr>
          <w:rFonts w:hint="eastAsia" w:ascii="Times New Roman" w:hAnsi="宋体"/>
          <w:color w:val="auto"/>
          <w:highlight w:val="none"/>
          <w:lang w:eastAsia="zh-CN"/>
        </w:rPr>
        <w:t>含义</w:t>
      </w:r>
      <w:r>
        <w:rPr>
          <w:rFonts w:ascii="Times New Roman" w:hAnsi="宋体"/>
          <w:color w:val="auto"/>
          <w:highlight w:val="none"/>
        </w:rPr>
        <w:t>：</w:t>
      </w:r>
    </w:p>
    <w:p>
      <w:pPr>
        <w:pStyle w:val="43"/>
        <w:ind w:firstLine="480" w:firstLineChars="200"/>
        <w:rPr>
          <w:rFonts w:ascii="Times New Roman" w:hAnsi="Times New Roman"/>
          <w:color w:val="auto"/>
          <w:highlight w:val="none"/>
        </w:rPr>
      </w:pPr>
      <w:r>
        <w:rPr>
          <w:rFonts w:ascii="Times New Roman" w:hAnsi="宋体"/>
          <w:color w:val="auto"/>
          <w:highlight w:val="none"/>
        </w:rPr>
        <w:t>一、</w:t>
      </w:r>
      <w:r>
        <w:rPr>
          <w:rFonts w:ascii="Times New Roman" w:hAnsi="Times New Roman"/>
          <w:color w:val="auto"/>
          <w:highlight w:val="none"/>
        </w:rPr>
        <w:t>“</w:t>
      </w:r>
      <w:r>
        <w:rPr>
          <w:rFonts w:ascii="Times New Roman" w:hAnsi="宋体"/>
          <w:color w:val="auto"/>
          <w:highlight w:val="none"/>
        </w:rPr>
        <w:t>委托人</w:t>
      </w:r>
      <w:r>
        <w:rPr>
          <w:rFonts w:ascii="Times New Roman" w:hAnsi="Times New Roman"/>
          <w:color w:val="auto"/>
          <w:highlight w:val="none"/>
        </w:rPr>
        <w:t>”</w:t>
      </w:r>
      <w:r>
        <w:rPr>
          <w:rFonts w:ascii="Times New Roman" w:hAnsi="宋体"/>
          <w:color w:val="auto"/>
          <w:highlight w:val="none"/>
        </w:rPr>
        <w:t>指承担工程建设项目直接建设管理责任，委托监理业务的法人或其合法继承人。</w:t>
      </w:r>
    </w:p>
    <w:p>
      <w:pPr>
        <w:pStyle w:val="43"/>
        <w:ind w:firstLine="480" w:firstLineChars="200"/>
        <w:rPr>
          <w:rFonts w:ascii="Times New Roman" w:hAnsi="Times New Roman"/>
          <w:color w:val="auto"/>
          <w:highlight w:val="none"/>
        </w:rPr>
      </w:pPr>
      <w:r>
        <w:rPr>
          <w:rFonts w:ascii="Times New Roman" w:hAnsi="宋体"/>
          <w:color w:val="auto"/>
          <w:highlight w:val="none"/>
        </w:rPr>
        <w:t>二、</w:t>
      </w:r>
      <w:r>
        <w:rPr>
          <w:rFonts w:ascii="Times New Roman" w:hAnsi="Times New Roman"/>
          <w:color w:val="auto"/>
          <w:highlight w:val="none"/>
        </w:rPr>
        <w:t>“</w:t>
      </w:r>
      <w:r>
        <w:rPr>
          <w:rFonts w:ascii="Times New Roman" w:hAnsi="宋体"/>
          <w:color w:val="auto"/>
          <w:highlight w:val="none"/>
        </w:rPr>
        <w:t>监理人</w:t>
      </w:r>
      <w:r>
        <w:rPr>
          <w:rFonts w:ascii="Times New Roman" w:hAnsi="Times New Roman"/>
          <w:color w:val="auto"/>
          <w:highlight w:val="none"/>
        </w:rPr>
        <w:t>”</w:t>
      </w:r>
      <w:r>
        <w:rPr>
          <w:rFonts w:ascii="Times New Roman" w:hAnsi="宋体"/>
          <w:color w:val="auto"/>
          <w:highlight w:val="none"/>
        </w:rPr>
        <w:t>指受委托人委托，提供监理服务的法人或其合法继承人。</w:t>
      </w:r>
    </w:p>
    <w:p>
      <w:pPr>
        <w:pStyle w:val="43"/>
        <w:ind w:firstLine="480" w:firstLineChars="200"/>
        <w:rPr>
          <w:rFonts w:ascii="Times New Roman" w:hAnsi="Times New Roman"/>
          <w:color w:val="auto"/>
          <w:highlight w:val="none"/>
        </w:rPr>
      </w:pPr>
      <w:r>
        <w:rPr>
          <w:rFonts w:ascii="Times New Roman" w:hAnsi="宋体"/>
          <w:color w:val="auto"/>
          <w:highlight w:val="none"/>
        </w:rPr>
        <w:t>三、</w:t>
      </w:r>
      <w:r>
        <w:rPr>
          <w:rFonts w:ascii="Times New Roman" w:hAnsi="Times New Roman"/>
          <w:color w:val="auto"/>
          <w:highlight w:val="none"/>
        </w:rPr>
        <w:t>“</w:t>
      </w:r>
      <w:r>
        <w:rPr>
          <w:rFonts w:ascii="Times New Roman" w:hAnsi="宋体"/>
          <w:color w:val="auto"/>
          <w:highlight w:val="none"/>
        </w:rPr>
        <w:t>承包人</w:t>
      </w:r>
      <w:r>
        <w:rPr>
          <w:rFonts w:ascii="Times New Roman" w:hAnsi="Times New Roman"/>
          <w:color w:val="auto"/>
          <w:highlight w:val="none"/>
        </w:rPr>
        <w:t>”</w:t>
      </w:r>
      <w:r>
        <w:rPr>
          <w:rFonts w:ascii="Times New Roman" w:hAnsi="宋体"/>
          <w:color w:val="auto"/>
          <w:highlight w:val="none"/>
        </w:rPr>
        <w:t>指与委托人</w:t>
      </w:r>
      <w:r>
        <w:rPr>
          <w:rFonts w:ascii="Times New Roman" w:hAnsi="Times New Roman"/>
          <w:color w:val="auto"/>
          <w:highlight w:val="none"/>
        </w:rPr>
        <w:t>(</w:t>
      </w:r>
      <w:r>
        <w:rPr>
          <w:rFonts w:ascii="Times New Roman" w:hAnsi="宋体"/>
          <w:color w:val="auto"/>
          <w:highlight w:val="none"/>
        </w:rPr>
        <w:t>发包人</w:t>
      </w:r>
      <w:r>
        <w:rPr>
          <w:rFonts w:ascii="Times New Roman" w:hAnsi="Times New Roman"/>
          <w:color w:val="auto"/>
          <w:highlight w:val="none"/>
        </w:rPr>
        <w:t>)</w:t>
      </w:r>
      <w:r>
        <w:rPr>
          <w:rFonts w:ascii="Times New Roman" w:hAnsi="宋体"/>
          <w:color w:val="auto"/>
          <w:highlight w:val="none"/>
        </w:rPr>
        <w:t>签订了施工合同，承担工程施工的法人或其合法继承人。</w:t>
      </w:r>
    </w:p>
    <w:p>
      <w:pPr>
        <w:pStyle w:val="43"/>
        <w:ind w:firstLine="480" w:firstLineChars="200"/>
        <w:rPr>
          <w:rFonts w:ascii="Times New Roman" w:hAnsi="Times New Roman"/>
          <w:color w:val="auto"/>
          <w:highlight w:val="none"/>
        </w:rPr>
      </w:pPr>
      <w:r>
        <w:rPr>
          <w:rFonts w:ascii="Times New Roman" w:hAnsi="宋体"/>
          <w:color w:val="auto"/>
          <w:highlight w:val="none"/>
        </w:rPr>
        <w:t>四、</w:t>
      </w:r>
      <w:r>
        <w:rPr>
          <w:rFonts w:ascii="Times New Roman" w:hAnsi="Times New Roman"/>
          <w:color w:val="auto"/>
          <w:highlight w:val="none"/>
        </w:rPr>
        <w:t>“</w:t>
      </w:r>
      <w:r>
        <w:rPr>
          <w:rFonts w:ascii="Times New Roman" w:hAnsi="宋体"/>
          <w:color w:val="auto"/>
          <w:highlight w:val="none"/>
        </w:rPr>
        <w:t>监理机构</w:t>
      </w:r>
      <w:r>
        <w:rPr>
          <w:rFonts w:ascii="Times New Roman" w:hAnsi="Times New Roman"/>
          <w:color w:val="auto"/>
          <w:highlight w:val="none"/>
        </w:rPr>
        <w:t>”</w:t>
      </w:r>
      <w:r>
        <w:rPr>
          <w:rFonts w:ascii="Times New Roman" w:hAnsi="宋体"/>
          <w:color w:val="auto"/>
          <w:highlight w:val="none"/>
        </w:rPr>
        <w:t>指监理人派驻工程现场直接开展监理业务的组织，由总监理工程师、监理工程师和监理员以及其他人员组成。</w:t>
      </w:r>
    </w:p>
    <w:p>
      <w:pPr>
        <w:pStyle w:val="43"/>
        <w:ind w:firstLine="480" w:firstLineChars="200"/>
        <w:rPr>
          <w:rFonts w:ascii="Times New Roman" w:hAnsi="Times New Roman"/>
          <w:color w:val="auto"/>
          <w:highlight w:val="none"/>
        </w:rPr>
      </w:pPr>
      <w:r>
        <w:rPr>
          <w:rFonts w:ascii="Times New Roman" w:hAnsi="宋体"/>
          <w:color w:val="auto"/>
          <w:highlight w:val="none"/>
        </w:rPr>
        <w:t>五、</w:t>
      </w:r>
      <w:r>
        <w:rPr>
          <w:rFonts w:ascii="Times New Roman" w:hAnsi="Times New Roman"/>
          <w:color w:val="auto"/>
          <w:highlight w:val="none"/>
        </w:rPr>
        <w:t>“</w:t>
      </w:r>
      <w:r>
        <w:rPr>
          <w:rFonts w:ascii="Times New Roman" w:hAnsi="宋体"/>
          <w:color w:val="auto"/>
          <w:highlight w:val="none"/>
        </w:rPr>
        <w:t>监理项目</w:t>
      </w:r>
      <w:r>
        <w:rPr>
          <w:rFonts w:ascii="Times New Roman" w:hAnsi="Times New Roman"/>
          <w:color w:val="auto"/>
          <w:highlight w:val="none"/>
        </w:rPr>
        <w:t>”</w:t>
      </w:r>
      <w:r>
        <w:rPr>
          <w:rFonts w:ascii="Times New Roman" w:hAnsi="宋体"/>
          <w:color w:val="auto"/>
          <w:highlight w:val="none"/>
        </w:rPr>
        <w:t>是指委托人委托监理人实施建设监理的工程建设项目。</w:t>
      </w:r>
    </w:p>
    <w:p>
      <w:pPr>
        <w:pStyle w:val="43"/>
        <w:ind w:firstLine="480" w:firstLineChars="200"/>
        <w:rPr>
          <w:rFonts w:ascii="Times New Roman" w:hAnsi="Times New Roman"/>
          <w:color w:val="auto"/>
          <w:highlight w:val="none"/>
        </w:rPr>
      </w:pPr>
      <w:r>
        <w:rPr>
          <w:rFonts w:ascii="Times New Roman" w:hAnsi="宋体"/>
          <w:color w:val="auto"/>
          <w:highlight w:val="none"/>
        </w:rPr>
        <w:t>六、</w:t>
      </w:r>
      <w:r>
        <w:rPr>
          <w:rFonts w:ascii="Times New Roman" w:hAnsi="Times New Roman"/>
          <w:color w:val="auto"/>
          <w:highlight w:val="none"/>
        </w:rPr>
        <w:t>“</w:t>
      </w:r>
      <w:r>
        <w:rPr>
          <w:rFonts w:ascii="Times New Roman" w:hAnsi="宋体"/>
          <w:color w:val="auto"/>
          <w:highlight w:val="none"/>
        </w:rPr>
        <w:t>服务</w:t>
      </w:r>
      <w:r>
        <w:rPr>
          <w:rFonts w:ascii="Times New Roman" w:hAnsi="Times New Roman"/>
          <w:color w:val="auto"/>
          <w:highlight w:val="none"/>
        </w:rPr>
        <w:t>”</w:t>
      </w:r>
      <w:r>
        <w:rPr>
          <w:rFonts w:ascii="Times New Roman" w:hAnsi="宋体"/>
          <w:color w:val="auto"/>
          <w:highlight w:val="none"/>
        </w:rPr>
        <w:t>是指监理人根据监理合同约定所承担的各项工作，包括正常服务和附加服务。</w:t>
      </w:r>
    </w:p>
    <w:p>
      <w:pPr>
        <w:pStyle w:val="43"/>
        <w:ind w:firstLine="480" w:firstLineChars="200"/>
        <w:rPr>
          <w:rFonts w:ascii="Times New Roman" w:hAnsi="Times New Roman"/>
          <w:color w:val="auto"/>
          <w:highlight w:val="none"/>
        </w:rPr>
      </w:pPr>
      <w:r>
        <w:rPr>
          <w:rFonts w:ascii="Times New Roman" w:hAnsi="宋体"/>
          <w:color w:val="auto"/>
          <w:highlight w:val="none"/>
        </w:rPr>
        <w:t>七、</w:t>
      </w:r>
      <w:r>
        <w:rPr>
          <w:rFonts w:ascii="Times New Roman" w:hAnsi="Times New Roman"/>
          <w:color w:val="auto"/>
          <w:highlight w:val="none"/>
        </w:rPr>
        <w:t>“</w:t>
      </w:r>
      <w:r>
        <w:rPr>
          <w:rFonts w:ascii="Times New Roman" w:hAnsi="宋体"/>
          <w:color w:val="auto"/>
          <w:highlight w:val="none"/>
        </w:rPr>
        <w:t>正常服务</w:t>
      </w:r>
      <w:r>
        <w:rPr>
          <w:rFonts w:ascii="Times New Roman" w:hAnsi="Times New Roman"/>
          <w:color w:val="auto"/>
          <w:highlight w:val="none"/>
        </w:rPr>
        <w:t>”</w:t>
      </w:r>
      <w:r>
        <w:rPr>
          <w:rFonts w:ascii="Times New Roman" w:hAnsi="宋体"/>
          <w:color w:val="auto"/>
          <w:highlight w:val="none"/>
        </w:rPr>
        <w:t>指监理人按照合同约定的监理范围、内容和期限所提供的服务。</w:t>
      </w:r>
    </w:p>
    <w:p>
      <w:pPr>
        <w:pStyle w:val="43"/>
        <w:ind w:firstLine="480" w:firstLineChars="200"/>
        <w:rPr>
          <w:rFonts w:ascii="Times New Roman" w:hAnsi="Times New Roman"/>
          <w:color w:val="auto"/>
          <w:highlight w:val="none"/>
        </w:rPr>
      </w:pPr>
      <w:r>
        <w:rPr>
          <w:rFonts w:ascii="Times New Roman" w:hAnsi="宋体"/>
          <w:color w:val="auto"/>
          <w:highlight w:val="none"/>
        </w:rPr>
        <w:t>八、</w:t>
      </w:r>
      <w:r>
        <w:rPr>
          <w:rFonts w:ascii="Times New Roman" w:hAnsi="Times New Roman"/>
          <w:color w:val="auto"/>
          <w:highlight w:val="none"/>
        </w:rPr>
        <w:t>“</w:t>
      </w:r>
      <w:r>
        <w:rPr>
          <w:rFonts w:ascii="Times New Roman" w:hAnsi="宋体"/>
          <w:color w:val="auto"/>
          <w:highlight w:val="none"/>
        </w:rPr>
        <w:t>附加服务</w:t>
      </w:r>
      <w:r>
        <w:rPr>
          <w:rFonts w:ascii="Times New Roman" w:hAnsi="Times New Roman"/>
          <w:color w:val="auto"/>
          <w:highlight w:val="none"/>
        </w:rPr>
        <w:t>”</w:t>
      </w:r>
      <w:r>
        <w:rPr>
          <w:rFonts w:ascii="Times New Roman" w:hAnsi="宋体"/>
          <w:color w:val="auto"/>
          <w:highlight w:val="none"/>
        </w:rPr>
        <w:t>指监理人为委托人提供正常服务以外的服务。</w:t>
      </w:r>
    </w:p>
    <w:p>
      <w:pPr>
        <w:pStyle w:val="43"/>
        <w:ind w:firstLine="480" w:firstLineChars="200"/>
        <w:rPr>
          <w:rFonts w:ascii="Times New Roman" w:hAnsi="Times New Roman"/>
          <w:color w:val="auto"/>
          <w:highlight w:val="none"/>
        </w:rPr>
      </w:pPr>
      <w:r>
        <w:rPr>
          <w:rFonts w:ascii="Times New Roman" w:hAnsi="宋体"/>
          <w:color w:val="auto"/>
          <w:highlight w:val="none"/>
        </w:rPr>
        <w:t>九、</w:t>
      </w:r>
      <w:r>
        <w:rPr>
          <w:rFonts w:ascii="Times New Roman" w:hAnsi="Times New Roman"/>
          <w:color w:val="auto"/>
          <w:highlight w:val="none"/>
        </w:rPr>
        <w:t>“</w:t>
      </w:r>
      <w:r>
        <w:rPr>
          <w:rFonts w:ascii="Times New Roman" w:hAnsi="宋体"/>
          <w:color w:val="auto"/>
          <w:highlight w:val="none"/>
        </w:rPr>
        <w:t>服务酬金</w:t>
      </w:r>
      <w:r>
        <w:rPr>
          <w:rFonts w:ascii="Times New Roman" w:hAnsi="Times New Roman"/>
          <w:color w:val="auto"/>
          <w:highlight w:val="none"/>
        </w:rPr>
        <w:t>”</w:t>
      </w:r>
      <w:r>
        <w:rPr>
          <w:rFonts w:ascii="Times New Roman" w:hAnsi="宋体"/>
          <w:color w:val="auto"/>
          <w:highlight w:val="none"/>
        </w:rPr>
        <w:t>指本合同中监理人完成</w:t>
      </w:r>
      <w:r>
        <w:rPr>
          <w:rFonts w:ascii="Times New Roman" w:hAnsi="Times New Roman"/>
          <w:color w:val="auto"/>
          <w:highlight w:val="none"/>
        </w:rPr>
        <w:t>“</w:t>
      </w:r>
      <w:r>
        <w:rPr>
          <w:rFonts w:ascii="Times New Roman" w:hAnsi="宋体"/>
          <w:color w:val="auto"/>
          <w:highlight w:val="none"/>
        </w:rPr>
        <w:t>正常服务</w:t>
      </w:r>
      <w:r>
        <w:rPr>
          <w:rFonts w:ascii="Times New Roman" w:hAnsi="Times New Roman"/>
          <w:color w:val="auto"/>
          <w:highlight w:val="none"/>
        </w:rPr>
        <w:t>”</w:t>
      </w:r>
      <w:r>
        <w:rPr>
          <w:rFonts w:ascii="Times New Roman" w:hAnsi="宋体"/>
          <w:color w:val="auto"/>
          <w:highlight w:val="none"/>
        </w:rPr>
        <w:t>、</w:t>
      </w:r>
      <w:r>
        <w:rPr>
          <w:rFonts w:ascii="Times New Roman" w:hAnsi="Times New Roman"/>
          <w:color w:val="auto"/>
          <w:highlight w:val="none"/>
        </w:rPr>
        <w:t>“</w:t>
      </w:r>
      <w:r>
        <w:rPr>
          <w:rFonts w:ascii="Times New Roman" w:hAnsi="宋体"/>
          <w:color w:val="auto"/>
          <w:highlight w:val="none"/>
        </w:rPr>
        <w:t>附加服务</w:t>
      </w:r>
      <w:r>
        <w:rPr>
          <w:rFonts w:ascii="Times New Roman" w:hAnsi="Times New Roman"/>
          <w:color w:val="auto"/>
          <w:highlight w:val="none"/>
        </w:rPr>
        <w:t>”</w:t>
      </w:r>
      <w:r>
        <w:rPr>
          <w:rFonts w:ascii="Times New Roman" w:hAnsi="宋体"/>
          <w:color w:val="auto"/>
          <w:highlight w:val="none"/>
        </w:rPr>
        <w:t>应得到的正常服务酬金和附加服务酬金。</w:t>
      </w:r>
    </w:p>
    <w:p>
      <w:pPr>
        <w:pStyle w:val="43"/>
        <w:ind w:firstLine="480" w:firstLineChars="200"/>
        <w:rPr>
          <w:rFonts w:ascii="Times New Roman" w:hAnsi="Times New Roman"/>
          <w:color w:val="auto"/>
          <w:highlight w:val="none"/>
        </w:rPr>
      </w:pPr>
      <w:r>
        <w:rPr>
          <w:rFonts w:ascii="Times New Roman" w:hAnsi="宋体"/>
          <w:color w:val="auto"/>
          <w:highlight w:val="none"/>
        </w:rPr>
        <w:t>十、</w:t>
      </w:r>
      <w:r>
        <w:rPr>
          <w:rFonts w:ascii="Times New Roman" w:hAnsi="Times New Roman"/>
          <w:color w:val="auto"/>
          <w:highlight w:val="none"/>
        </w:rPr>
        <w:t>“</w:t>
      </w:r>
      <w:r>
        <w:rPr>
          <w:rFonts w:ascii="Times New Roman" w:hAnsi="宋体"/>
          <w:color w:val="auto"/>
          <w:highlight w:val="none"/>
        </w:rPr>
        <w:t>天</w:t>
      </w:r>
      <w:r>
        <w:rPr>
          <w:rFonts w:ascii="Times New Roman" w:hAnsi="Times New Roman"/>
          <w:color w:val="auto"/>
          <w:highlight w:val="none"/>
        </w:rPr>
        <w:t>”</w:t>
      </w:r>
      <w:r>
        <w:rPr>
          <w:rFonts w:ascii="Times New Roman" w:hAnsi="宋体"/>
          <w:color w:val="auto"/>
          <w:highlight w:val="none"/>
        </w:rPr>
        <w:t>指日历天。</w:t>
      </w:r>
    </w:p>
    <w:p>
      <w:pPr>
        <w:pStyle w:val="43"/>
        <w:ind w:firstLine="480" w:firstLineChars="200"/>
        <w:rPr>
          <w:rFonts w:ascii="Times New Roman" w:hAnsi="Times New Roman"/>
          <w:color w:val="auto"/>
          <w:highlight w:val="none"/>
          <w:shd w:val="pct10" w:color="auto" w:fill="FFFFFF"/>
        </w:rPr>
      </w:pPr>
      <w:r>
        <w:rPr>
          <w:rFonts w:ascii="Times New Roman" w:hAnsi="宋体"/>
          <w:color w:val="auto"/>
          <w:highlight w:val="none"/>
        </w:rPr>
        <w:t>十一、</w:t>
      </w:r>
      <w:r>
        <w:rPr>
          <w:rFonts w:ascii="Times New Roman" w:hAnsi="Times New Roman"/>
          <w:color w:val="auto"/>
          <w:highlight w:val="none"/>
        </w:rPr>
        <w:t>“</w:t>
      </w:r>
      <w:r>
        <w:rPr>
          <w:rFonts w:ascii="Times New Roman" w:hAnsi="宋体"/>
          <w:color w:val="auto"/>
          <w:highlight w:val="none"/>
        </w:rPr>
        <w:t>现场</w:t>
      </w:r>
      <w:r>
        <w:rPr>
          <w:rFonts w:ascii="Times New Roman" w:hAnsi="Times New Roman"/>
          <w:color w:val="auto"/>
          <w:highlight w:val="none"/>
        </w:rPr>
        <w:t>”</w:t>
      </w:r>
      <w:r>
        <w:rPr>
          <w:rFonts w:ascii="Times New Roman" w:hAnsi="宋体"/>
          <w:color w:val="auto"/>
          <w:highlight w:val="none"/>
        </w:rPr>
        <w:t>指监理项目实施的场所。</w:t>
      </w:r>
    </w:p>
    <w:p>
      <w:pPr>
        <w:pStyle w:val="43"/>
        <w:ind w:firstLine="361"/>
        <w:rPr>
          <w:rFonts w:ascii="Times New Roman" w:hAnsi="Times New Roman"/>
          <w:color w:val="auto"/>
          <w:highlight w:val="none"/>
        </w:rPr>
      </w:pPr>
      <w:r>
        <w:rPr>
          <w:rFonts w:ascii="Times New Roman" w:hAnsi="宋体"/>
          <w:b/>
          <w:color w:val="auto"/>
          <w:highlight w:val="none"/>
        </w:rPr>
        <w:t>第二条</w:t>
      </w:r>
      <w:r>
        <w:rPr>
          <w:rFonts w:ascii="Times New Roman" w:hAnsi="Times New Roman"/>
          <w:b/>
          <w:color w:val="auto"/>
          <w:highlight w:val="none"/>
        </w:rPr>
        <w:t xml:space="preserve"> </w:t>
      </w:r>
      <w:r>
        <w:rPr>
          <w:rFonts w:ascii="Times New Roman" w:hAnsi="宋体"/>
          <w:color w:val="auto"/>
          <w:highlight w:val="none"/>
        </w:rPr>
        <w:t>本合同适用的语言文字为汉语文字。</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监理依据</w:t>
      </w:r>
    </w:p>
    <w:p>
      <w:pPr>
        <w:pStyle w:val="43"/>
        <w:ind w:firstLine="361"/>
        <w:rPr>
          <w:rFonts w:ascii="Times New Roman" w:hAnsi="Times New Roman"/>
          <w:color w:val="auto"/>
          <w:highlight w:val="none"/>
        </w:rPr>
      </w:pPr>
      <w:r>
        <w:rPr>
          <w:rFonts w:ascii="Times New Roman" w:hAnsi="宋体"/>
          <w:b/>
          <w:color w:val="auto"/>
          <w:highlight w:val="none"/>
        </w:rPr>
        <w:t>第三条</w:t>
      </w:r>
      <w:r>
        <w:rPr>
          <w:rFonts w:ascii="Times New Roman" w:hAnsi="Times New Roman"/>
          <w:color w:val="auto"/>
          <w:highlight w:val="none"/>
        </w:rPr>
        <w:t xml:space="preserve"> </w:t>
      </w:r>
      <w:r>
        <w:rPr>
          <w:rFonts w:ascii="Times New Roman" w:hAnsi="宋体"/>
          <w:color w:val="auto"/>
          <w:highlight w:val="none"/>
        </w:rPr>
        <w:t>监理的依据是有关工程建设的法律、法规、规章和规范性文件；工程建设强制性条文、有关技术标准；经批准的工程建设项目设计文件及其相关文件；监理合同、施工合同等合同文件。具体内容在专用合同条款中约定。</w:t>
      </w:r>
    </w:p>
    <w:p>
      <w:pPr>
        <w:pStyle w:val="43"/>
        <w:spacing w:before="120" w:beforeLines="50" w:after="120" w:afterLines="50"/>
        <w:jc w:val="center"/>
        <w:rPr>
          <w:rFonts w:ascii="Times New Roman" w:hAnsi="Times New Roman"/>
          <w:color w:val="auto"/>
          <w:highlight w:val="none"/>
        </w:rPr>
      </w:pPr>
      <w:r>
        <w:rPr>
          <w:rFonts w:ascii="Times New Roman" w:hAnsi="Times New Roman"/>
          <w:color w:val="auto"/>
          <w:highlight w:val="none"/>
        </w:rPr>
        <w:t xml:space="preserve">  </w:t>
      </w:r>
      <w:r>
        <w:rPr>
          <w:rFonts w:ascii="Times New Roman" w:hAnsi="宋体"/>
          <w:color w:val="auto"/>
          <w:sz w:val="28"/>
          <w:szCs w:val="28"/>
          <w:highlight w:val="none"/>
        </w:rPr>
        <w:t>通知和联系</w:t>
      </w:r>
    </w:p>
    <w:p>
      <w:pPr>
        <w:pStyle w:val="43"/>
        <w:ind w:firstLine="361"/>
        <w:rPr>
          <w:rFonts w:ascii="Times New Roman" w:hAnsi="Times New Roman"/>
          <w:color w:val="auto"/>
          <w:highlight w:val="none"/>
        </w:rPr>
      </w:pPr>
      <w:r>
        <w:rPr>
          <w:rFonts w:ascii="Times New Roman" w:hAnsi="宋体"/>
          <w:b/>
          <w:color w:val="auto"/>
          <w:highlight w:val="none"/>
        </w:rPr>
        <w:t>第四条</w:t>
      </w:r>
      <w:r>
        <w:rPr>
          <w:rFonts w:ascii="Times New Roman" w:hAnsi="Times New Roman"/>
          <w:b/>
          <w:color w:val="auto"/>
          <w:highlight w:val="none"/>
        </w:rPr>
        <w:t xml:space="preserve"> </w:t>
      </w:r>
      <w:r>
        <w:rPr>
          <w:rFonts w:ascii="Times New Roman" w:hAnsi="宋体"/>
          <w:color w:val="auto"/>
          <w:highlight w:val="none"/>
        </w:rPr>
        <w:t>委托人应指定一名联系人，负责与监理机构联系。更换联系人时，应提前通知监理人。</w:t>
      </w:r>
    </w:p>
    <w:p>
      <w:pPr>
        <w:pStyle w:val="43"/>
        <w:ind w:firstLine="361"/>
        <w:rPr>
          <w:rFonts w:ascii="Times New Roman" w:hAnsi="Times New Roman"/>
          <w:color w:val="auto"/>
          <w:highlight w:val="none"/>
        </w:rPr>
      </w:pPr>
      <w:r>
        <w:rPr>
          <w:rFonts w:ascii="Times New Roman" w:hAnsi="宋体"/>
          <w:b/>
          <w:color w:val="auto"/>
          <w:highlight w:val="none"/>
        </w:rPr>
        <w:t>第五条</w:t>
      </w:r>
      <w:r>
        <w:rPr>
          <w:rFonts w:ascii="Times New Roman" w:hAnsi="Times New Roman"/>
          <w:color w:val="auto"/>
          <w:highlight w:val="none"/>
        </w:rPr>
        <w:t xml:space="preserve"> </w:t>
      </w:r>
      <w:r>
        <w:rPr>
          <w:rFonts w:ascii="Times New Roman" w:hAnsi="宋体"/>
          <w:color w:val="auto"/>
          <w:highlight w:val="none"/>
        </w:rPr>
        <w:t>在监理合同实施过程中，双方的联系均应以书面函件为准。在不做出紧急处理即可能导致安全、质量事故的情况下，可先以口头形式通知，并在</w:t>
      </w:r>
      <w:r>
        <w:rPr>
          <w:rFonts w:ascii="Times New Roman" w:hAnsi="Times New Roman"/>
          <w:color w:val="auto"/>
          <w:highlight w:val="none"/>
        </w:rPr>
        <w:t>48</w:t>
      </w:r>
      <w:r>
        <w:rPr>
          <w:rFonts w:ascii="Times New Roman" w:hAnsi="宋体"/>
          <w:color w:val="auto"/>
          <w:highlight w:val="none"/>
        </w:rPr>
        <w:t>小时内补做书面通知。</w:t>
      </w:r>
    </w:p>
    <w:p>
      <w:pPr>
        <w:pStyle w:val="43"/>
        <w:ind w:firstLine="361"/>
        <w:rPr>
          <w:rFonts w:ascii="Times New Roman" w:hAnsi="Times New Roman"/>
          <w:color w:val="auto"/>
          <w:highlight w:val="none"/>
        </w:rPr>
      </w:pPr>
      <w:r>
        <w:rPr>
          <w:rFonts w:ascii="Times New Roman" w:hAnsi="宋体"/>
          <w:b/>
          <w:color w:val="auto"/>
          <w:highlight w:val="none"/>
        </w:rPr>
        <w:t>第六条</w:t>
      </w:r>
      <w:r>
        <w:rPr>
          <w:rFonts w:ascii="Times New Roman" w:hAnsi="Times New Roman"/>
          <w:color w:val="auto"/>
          <w:highlight w:val="none"/>
        </w:rPr>
        <w:t xml:space="preserve"> </w:t>
      </w:r>
      <w:r>
        <w:rPr>
          <w:rFonts w:ascii="Times New Roman" w:hAnsi="宋体"/>
          <w:color w:val="auto"/>
          <w:highlight w:val="none"/>
        </w:rPr>
        <w:t>委托人对委托监理范围内工程项目实施的意见和决策，应通过监理机构下达，法律、法规另有规定的除外。</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委托人的权利</w:t>
      </w:r>
    </w:p>
    <w:p>
      <w:pPr>
        <w:pStyle w:val="43"/>
        <w:ind w:firstLine="361"/>
        <w:rPr>
          <w:rFonts w:ascii="Times New Roman" w:hAnsi="Times New Roman"/>
          <w:color w:val="auto"/>
          <w:highlight w:val="none"/>
        </w:rPr>
      </w:pPr>
      <w:r>
        <w:rPr>
          <w:rFonts w:ascii="Times New Roman" w:hAnsi="宋体"/>
          <w:b/>
          <w:color w:val="auto"/>
          <w:highlight w:val="none"/>
        </w:rPr>
        <w:t>第七条</w:t>
      </w:r>
      <w:r>
        <w:rPr>
          <w:rFonts w:ascii="Times New Roman" w:hAnsi="Times New Roman"/>
          <w:color w:val="auto"/>
          <w:highlight w:val="none"/>
        </w:rPr>
        <w:t xml:space="preserve"> </w:t>
      </w:r>
      <w:r>
        <w:rPr>
          <w:rFonts w:ascii="Times New Roman" w:hAnsi="宋体"/>
          <w:color w:val="auto"/>
          <w:highlight w:val="none"/>
        </w:rPr>
        <w:t>委托人享有如下权利：</w:t>
      </w:r>
    </w:p>
    <w:p>
      <w:pPr>
        <w:pStyle w:val="43"/>
        <w:ind w:firstLine="480" w:firstLineChars="200"/>
        <w:rPr>
          <w:rFonts w:ascii="Times New Roman" w:hAnsi="Times New Roman"/>
          <w:color w:val="auto"/>
          <w:highlight w:val="none"/>
        </w:rPr>
      </w:pPr>
      <w:r>
        <w:rPr>
          <w:rFonts w:ascii="Times New Roman" w:hAnsi="宋体"/>
          <w:color w:val="auto"/>
          <w:highlight w:val="none"/>
        </w:rPr>
        <w:t>一、对监理工作进行监督、检查，并提出撤换不能胜任监理工作人员的建议或要求；</w:t>
      </w:r>
    </w:p>
    <w:p>
      <w:pPr>
        <w:pStyle w:val="43"/>
        <w:ind w:firstLine="482" w:firstLineChars="200"/>
        <w:rPr>
          <w:rFonts w:ascii="Times New Roman" w:hAnsi="Times New Roman"/>
          <w:color w:val="auto"/>
          <w:highlight w:val="none"/>
        </w:rPr>
      </w:pPr>
      <w:r>
        <w:rPr>
          <w:rFonts w:ascii="Times New Roman" w:hAnsi="宋体"/>
          <w:b/>
          <w:color w:val="auto"/>
          <w:highlight w:val="none"/>
        </w:rPr>
        <w:t>二、</w:t>
      </w:r>
      <w:r>
        <w:rPr>
          <w:rFonts w:ascii="Times New Roman" w:hAnsi="宋体"/>
          <w:color w:val="auto"/>
          <w:highlight w:val="none"/>
        </w:rPr>
        <w:t>对工程建设中质量、安全、投资、进度方面的重大问题的决策权；</w:t>
      </w:r>
    </w:p>
    <w:p>
      <w:pPr>
        <w:pStyle w:val="43"/>
        <w:ind w:firstLine="482" w:firstLineChars="200"/>
        <w:rPr>
          <w:rFonts w:ascii="Times New Roman" w:hAnsi="Times New Roman"/>
          <w:color w:val="auto"/>
          <w:highlight w:val="none"/>
        </w:rPr>
      </w:pPr>
      <w:r>
        <w:rPr>
          <w:rFonts w:ascii="Times New Roman" w:hAnsi="宋体"/>
          <w:b/>
          <w:color w:val="auto"/>
          <w:highlight w:val="none"/>
        </w:rPr>
        <w:t>三、</w:t>
      </w:r>
      <w:r>
        <w:rPr>
          <w:rFonts w:ascii="Times New Roman" w:hAnsi="宋体"/>
          <w:color w:val="auto"/>
          <w:highlight w:val="none"/>
        </w:rPr>
        <w:t>核定监理人签发的工程计量、付款凭证；</w:t>
      </w:r>
    </w:p>
    <w:p>
      <w:pPr>
        <w:pStyle w:val="43"/>
        <w:ind w:firstLine="480" w:firstLineChars="200"/>
        <w:rPr>
          <w:rFonts w:ascii="Times New Roman" w:hAnsi="Times New Roman"/>
          <w:b/>
          <w:color w:val="auto"/>
          <w:highlight w:val="none"/>
        </w:rPr>
      </w:pPr>
      <w:r>
        <w:rPr>
          <w:rFonts w:ascii="Times New Roman" w:hAnsi="宋体"/>
          <w:color w:val="auto"/>
          <w:highlight w:val="none"/>
        </w:rPr>
        <w:t>四、要求监理人提交监理月报、监理专题报告、监理工作报告和监理工作总结报告；</w:t>
      </w:r>
    </w:p>
    <w:p>
      <w:pPr>
        <w:pStyle w:val="43"/>
        <w:ind w:firstLine="480" w:firstLineChars="200"/>
        <w:rPr>
          <w:rFonts w:ascii="Times New Roman" w:hAnsi="Times New Roman"/>
          <w:b/>
          <w:color w:val="auto"/>
          <w:highlight w:val="none"/>
        </w:rPr>
      </w:pPr>
      <w:r>
        <w:rPr>
          <w:rFonts w:ascii="Times New Roman" w:hAnsi="宋体"/>
          <w:color w:val="auto"/>
          <w:highlight w:val="none"/>
        </w:rPr>
        <w:t>五、当监理人发生本合同专用条款约定的违约情形时，有权解除本合同。</w:t>
      </w:r>
    </w:p>
    <w:p>
      <w:pPr>
        <w:pStyle w:val="43"/>
        <w:ind w:firstLine="420"/>
        <w:jc w:val="center"/>
        <w:rPr>
          <w:rFonts w:ascii="Times New Roman" w:hAnsi="Times New Roman"/>
          <w:color w:val="auto"/>
          <w:highlight w:val="none"/>
        </w:rPr>
      </w:pPr>
      <w:r>
        <w:rPr>
          <w:rFonts w:ascii="Times New Roman" w:hAnsi="宋体"/>
          <w:color w:val="auto"/>
          <w:sz w:val="28"/>
          <w:szCs w:val="28"/>
          <w:highlight w:val="none"/>
        </w:rPr>
        <w:t>监理人的权利</w:t>
      </w:r>
    </w:p>
    <w:p>
      <w:pPr>
        <w:pStyle w:val="43"/>
        <w:ind w:firstLine="361"/>
        <w:rPr>
          <w:rFonts w:ascii="Times New Roman" w:hAnsi="Times New Roman"/>
          <w:color w:val="auto"/>
          <w:highlight w:val="none"/>
        </w:rPr>
      </w:pPr>
      <w:r>
        <w:rPr>
          <w:rFonts w:ascii="Times New Roman" w:hAnsi="宋体"/>
          <w:b/>
          <w:color w:val="auto"/>
          <w:highlight w:val="none"/>
        </w:rPr>
        <w:t>第八条</w:t>
      </w:r>
      <w:r>
        <w:rPr>
          <w:rFonts w:ascii="Times New Roman" w:hAnsi="Times New Roman"/>
          <w:b/>
          <w:color w:val="auto"/>
          <w:highlight w:val="none"/>
        </w:rPr>
        <w:t xml:space="preserve"> </w:t>
      </w:r>
      <w:r>
        <w:rPr>
          <w:rFonts w:ascii="Times New Roman" w:hAnsi="宋体"/>
          <w:color w:val="auto"/>
          <w:highlight w:val="none"/>
        </w:rPr>
        <w:t>委托人赋予监理人如下权利：</w:t>
      </w:r>
    </w:p>
    <w:p>
      <w:pPr>
        <w:pStyle w:val="43"/>
        <w:ind w:firstLine="480" w:firstLineChars="200"/>
        <w:rPr>
          <w:rFonts w:ascii="Times New Roman" w:hAnsi="Times New Roman"/>
          <w:color w:val="auto"/>
          <w:highlight w:val="none"/>
        </w:rPr>
      </w:pPr>
      <w:r>
        <w:rPr>
          <w:rFonts w:ascii="Times New Roman" w:hAnsi="宋体"/>
          <w:color w:val="auto"/>
          <w:highlight w:val="none"/>
        </w:rPr>
        <w:t>一、审查承包人拟选择的分包项目和分包人</w:t>
      </w:r>
      <w:r>
        <w:rPr>
          <w:rFonts w:ascii="Times New Roman" w:hAnsi="宋体"/>
          <w:color w:val="auto"/>
          <w:highlight w:val="none"/>
          <w:shd w:val="clear" w:color="auto" w:fill="FFFFFF"/>
        </w:rPr>
        <w:t>，报委托人批准</w:t>
      </w:r>
      <w:r>
        <w:rPr>
          <w:rFonts w:ascii="Times New Roman" w:hAnsi="宋体"/>
          <w:color w:val="auto"/>
          <w:highlight w:val="none"/>
        </w:rPr>
        <w:t>；</w:t>
      </w:r>
    </w:p>
    <w:p>
      <w:pPr>
        <w:pStyle w:val="43"/>
        <w:ind w:firstLine="480" w:firstLineChars="200"/>
        <w:rPr>
          <w:rFonts w:ascii="Times New Roman" w:hAnsi="Times New Roman"/>
          <w:color w:val="auto"/>
          <w:highlight w:val="none"/>
        </w:rPr>
      </w:pPr>
      <w:r>
        <w:rPr>
          <w:rFonts w:ascii="Times New Roman" w:hAnsi="宋体"/>
          <w:color w:val="auto"/>
          <w:highlight w:val="none"/>
        </w:rPr>
        <w:t>二、审查承包人提交的施工组织设计、安全技术措施及专项施工方案等各类文件；</w:t>
      </w:r>
    </w:p>
    <w:p>
      <w:pPr>
        <w:pStyle w:val="43"/>
        <w:ind w:firstLine="480" w:firstLineChars="200"/>
        <w:rPr>
          <w:rFonts w:ascii="Times New Roman" w:hAnsi="Times New Roman"/>
          <w:color w:val="auto"/>
          <w:highlight w:val="none"/>
        </w:rPr>
      </w:pPr>
      <w:r>
        <w:rPr>
          <w:rFonts w:ascii="Times New Roman" w:hAnsi="宋体"/>
          <w:color w:val="auto"/>
          <w:highlight w:val="none"/>
        </w:rPr>
        <w:t>三、核查并签发施工图纸；</w:t>
      </w:r>
    </w:p>
    <w:p>
      <w:pPr>
        <w:pStyle w:val="43"/>
        <w:ind w:firstLine="480" w:firstLineChars="200"/>
        <w:rPr>
          <w:rFonts w:ascii="Times New Roman" w:hAnsi="Times New Roman"/>
          <w:color w:val="auto"/>
          <w:highlight w:val="none"/>
        </w:rPr>
      </w:pPr>
      <w:r>
        <w:rPr>
          <w:rFonts w:ascii="Times New Roman" w:hAnsi="宋体"/>
          <w:color w:val="auto"/>
          <w:highlight w:val="none"/>
        </w:rPr>
        <w:t>四、签发合同项目开工令、暂停施工</w:t>
      </w:r>
      <w:r>
        <w:rPr>
          <w:rFonts w:ascii="Times New Roman" w:hAnsi="宋体"/>
          <w:color w:val="auto"/>
          <w:highlight w:val="none"/>
          <w:shd w:val="clear" w:color="auto" w:fill="FFFFFF"/>
        </w:rPr>
        <w:t>指示</w:t>
      </w:r>
      <w:r>
        <w:rPr>
          <w:rFonts w:ascii="Times New Roman" w:hAnsi="宋体"/>
          <w:color w:val="auto"/>
          <w:highlight w:val="none"/>
        </w:rPr>
        <w:t>，但应事先征得委托人同意；</w:t>
      </w:r>
      <w:r>
        <w:rPr>
          <w:rFonts w:ascii="Times New Roman" w:hAnsi="宋体"/>
          <w:color w:val="auto"/>
          <w:highlight w:val="none"/>
          <w:shd w:val="clear" w:color="auto" w:fill="FFFFFF"/>
        </w:rPr>
        <w:t>签发</w:t>
      </w:r>
      <w:r>
        <w:rPr>
          <w:rFonts w:ascii="Times New Roman" w:hAnsi="宋体"/>
          <w:color w:val="auto"/>
          <w:highlight w:val="none"/>
        </w:rPr>
        <w:t>进场通知、复工通知；</w:t>
      </w:r>
    </w:p>
    <w:p>
      <w:pPr>
        <w:pStyle w:val="43"/>
        <w:ind w:firstLine="480" w:firstLineChars="200"/>
        <w:rPr>
          <w:rFonts w:ascii="Times New Roman" w:hAnsi="Times New Roman"/>
          <w:color w:val="auto"/>
          <w:highlight w:val="none"/>
        </w:rPr>
      </w:pPr>
      <w:r>
        <w:rPr>
          <w:rFonts w:ascii="Times New Roman" w:hAnsi="宋体"/>
          <w:color w:val="auto"/>
          <w:highlight w:val="none"/>
        </w:rPr>
        <w:t>五、审核和签发工程计量、付款凭证；</w:t>
      </w:r>
    </w:p>
    <w:p>
      <w:pPr>
        <w:pStyle w:val="43"/>
        <w:ind w:firstLine="480" w:firstLineChars="200"/>
        <w:rPr>
          <w:rFonts w:ascii="Times New Roman" w:hAnsi="Times New Roman"/>
          <w:color w:val="auto"/>
          <w:highlight w:val="none"/>
        </w:rPr>
      </w:pPr>
      <w:r>
        <w:rPr>
          <w:rFonts w:ascii="Times New Roman" w:hAnsi="宋体"/>
          <w:color w:val="auto"/>
          <w:highlight w:val="none"/>
        </w:rPr>
        <w:t>六、核查承包人现场工作人员数量及相应岗位资格，有权要求承包人撤换不称职的现场工作人员；</w:t>
      </w:r>
    </w:p>
    <w:p>
      <w:pPr>
        <w:pStyle w:val="43"/>
        <w:ind w:firstLine="480" w:firstLineChars="200"/>
        <w:rPr>
          <w:rFonts w:ascii="Times New Roman" w:hAnsi="Times New Roman"/>
          <w:color w:val="auto"/>
          <w:highlight w:val="none"/>
        </w:rPr>
      </w:pPr>
      <w:r>
        <w:rPr>
          <w:rFonts w:ascii="Times New Roman" w:hAnsi="宋体"/>
          <w:color w:val="auto"/>
          <w:highlight w:val="none"/>
        </w:rPr>
        <w:t>七、发现承包人使用的施工设备影响工程质量或进度时，有权要求承包人增加或更换施工设备；</w:t>
      </w:r>
    </w:p>
    <w:p>
      <w:pPr>
        <w:pStyle w:val="43"/>
        <w:ind w:firstLine="480" w:firstLineChars="200"/>
        <w:rPr>
          <w:rFonts w:ascii="Times New Roman" w:hAnsi="Times New Roman"/>
          <w:color w:val="auto"/>
          <w:highlight w:val="none"/>
        </w:rPr>
      </w:pPr>
      <w:r>
        <w:rPr>
          <w:rFonts w:ascii="Times New Roman" w:hAnsi="宋体"/>
          <w:color w:val="auto"/>
          <w:highlight w:val="none"/>
        </w:rPr>
        <w:t>八、当委托人发生本合同专用条款约定的违约情形时，有权解除本合同；</w:t>
      </w:r>
    </w:p>
    <w:p>
      <w:pPr>
        <w:pStyle w:val="43"/>
        <w:ind w:firstLine="480" w:firstLineChars="200"/>
        <w:rPr>
          <w:rFonts w:ascii="Times New Roman" w:hAnsi="Times New Roman"/>
          <w:color w:val="auto"/>
          <w:highlight w:val="none"/>
        </w:rPr>
      </w:pPr>
      <w:r>
        <w:rPr>
          <w:rFonts w:ascii="Times New Roman" w:hAnsi="宋体"/>
          <w:color w:val="auto"/>
          <w:highlight w:val="none"/>
        </w:rPr>
        <w:t>九、专用合同条款约定的其他权利。</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委托人的义务</w:t>
      </w:r>
    </w:p>
    <w:p>
      <w:pPr>
        <w:pStyle w:val="43"/>
        <w:ind w:firstLine="361"/>
        <w:rPr>
          <w:rFonts w:ascii="Times New Roman" w:hAnsi="Times New Roman"/>
          <w:color w:val="auto"/>
          <w:highlight w:val="none"/>
        </w:rPr>
      </w:pPr>
      <w:r>
        <w:rPr>
          <w:rFonts w:ascii="Times New Roman" w:hAnsi="宋体"/>
          <w:b/>
          <w:color w:val="auto"/>
          <w:highlight w:val="none"/>
        </w:rPr>
        <w:t>第九条</w:t>
      </w:r>
      <w:r>
        <w:rPr>
          <w:rFonts w:ascii="Times New Roman" w:hAnsi="Times New Roman"/>
          <w:b/>
          <w:color w:val="auto"/>
          <w:highlight w:val="none"/>
        </w:rPr>
        <w:t xml:space="preserve"> </w:t>
      </w:r>
      <w:r>
        <w:rPr>
          <w:rFonts w:ascii="Times New Roman" w:hAnsi="宋体"/>
          <w:color w:val="auto"/>
          <w:highlight w:val="none"/>
        </w:rPr>
        <w:t>工程建设外部环境的协调工作。</w:t>
      </w:r>
    </w:p>
    <w:p>
      <w:pPr>
        <w:pStyle w:val="43"/>
        <w:ind w:firstLine="361"/>
        <w:rPr>
          <w:rFonts w:ascii="Times New Roman" w:hAnsi="Times New Roman"/>
          <w:color w:val="auto"/>
          <w:highlight w:val="none"/>
        </w:rPr>
      </w:pPr>
      <w:r>
        <w:rPr>
          <w:rFonts w:ascii="Times New Roman" w:hAnsi="宋体"/>
          <w:b/>
          <w:color w:val="auto"/>
          <w:highlight w:val="none"/>
        </w:rPr>
        <w:t>第十条</w:t>
      </w:r>
      <w:r>
        <w:rPr>
          <w:rFonts w:ascii="Times New Roman" w:hAnsi="Times New Roman"/>
          <w:b/>
          <w:color w:val="auto"/>
          <w:highlight w:val="none"/>
        </w:rPr>
        <w:t xml:space="preserve"> </w:t>
      </w:r>
      <w:r>
        <w:rPr>
          <w:rFonts w:ascii="Times New Roman" w:hAnsi="宋体"/>
          <w:color w:val="auto"/>
          <w:highlight w:val="none"/>
        </w:rPr>
        <w:t>按专用合同条款约定的时间、数量、方式，免费向监理机构提供开展监理服务的有关本工程建设的资料。</w:t>
      </w:r>
    </w:p>
    <w:p>
      <w:pPr>
        <w:pStyle w:val="43"/>
        <w:ind w:firstLine="361"/>
        <w:rPr>
          <w:rFonts w:ascii="Times New Roman" w:hAnsi="Times New Roman"/>
          <w:dstrike/>
          <w:color w:val="auto"/>
          <w:highlight w:val="none"/>
        </w:rPr>
      </w:pPr>
      <w:r>
        <w:rPr>
          <w:rFonts w:ascii="Times New Roman" w:hAnsi="宋体"/>
          <w:b/>
          <w:color w:val="auto"/>
          <w:highlight w:val="none"/>
        </w:rPr>
        <w:t>第十一条</w:t>
      </w:r>
      <w:r>
        <w:rPr>
          <w:rFonts w:ascii="Times New Roman" w:hAnsi="Times New Roman"/>
          <w:color w:val="auto"/>
          <w:highlight w:val="none"/>
        </w:rPr>
        <w:t xml:space="preserve"> </w:t>
      </w:r>
      <w:r>
        <w:rPr>
          <w:rFonts w:ascii="Times New Roman" w:hAnsi="宋体"/>
          <w:color w:val="auto"/>
          <w:highlight w:val="none"/>
        </w:rPr>
        <w:t>在专用合同条款约定的时间内，就监理机构书面提交并要求作出决定的问题作出书面决定，并及时送达监理机构。超过约定时间，监理机构未收到委托人的书面决定，且委托人未说明理由，监理机构可认为委托人对其提出的事宜已无不同意见，无须再作确认。</w:t>
      </w:r>
    </w:p>
    <w:p>
      <w:pPr>
        <w:pStyle w:val="43"/>
        <w:ind w:firstLine="361"/>
        <w:rPr>
          <w:rFonts w:ascii="Times New Roman" w:hAnsi="Times New Roman"/>
          <w:color w:val="auto"/>
          <w:highlight w:val="none"/>
          <w:shd w:val="pct10" w:color="auto" w:fill="FFFFFF"/>
        </w:rPr>
      </w:pPr>
      <w:r>
        <w:rPr>
          <w:rFonts w:ascii="Times New Roman" w:hAnsi="宋体"/>
          <w:b/>
          <w:color w:val="auto"/>
          <w:highlight w:val="none"/>
        </w:rPr>
        <w:t>第十二条</w:t>
      </w:r>
      <w:r>
        <w:rPr>
          <w:rFonts w:ascii="Times New Roman" w:hAnsi="Times New Roman"/>
          <w:b/>
          <w:color w:val="auto"/>
          <w:highlight w:val="none"/>
        </w:rPr>
        <w:t xml:space="preserve"> </w:t>
      </w:r>
      <w:r>
        <w:rPr>
          <w:rFonts w:ascii="Times New Roman" w:hAnsi="宋体"/>
          <w:color w:val="auto"/>
          <w:highlight w:val="none"/>
          <w:shd w:val="clear" w:color="auto" w:fill="FFFFFF"/>
        </w:rPr>
        <w:t>与承包人签订的施工合同中明确其赋予监理人的权限，并在工程开工前将监理单位、总监理工程师通知承包人。</w:t>
      </w:r>
    </w:p>
    <w:p>
      <w:pPr>
        <w:pStyle w:val="43"/>
        <w:ind w:firstLine="361"/>
        <w:rPr>
          <w:rFonts w:ascii="Times New Roman" w:hAnsi="Times New Roman"/>
          <w:color w:val="auto"/>
          <w:highlight w:val="none"/>
          <w:shd w:val="clear" w:color="auto" w:fill="FFFFFF"/>
        </w:rPr>
      </w:pPr>
      <w:r>
        <w:rPr>
          <w:rFonts w:ascii="Times New Roman" w:hAnsi="宋体"/>
          <w:b/>
          <w:color w:val="auto"/>
          <w:highlight w:val="none"/>
        </w:rPr>
        <w:t>第十三条</w:t>
      </w:r>
      <w:r>
        <w:rPr>
          <w:rFonts w:ascii="Times New Roman" w:hAnsi="Times New Roman"/>
          <w:color w:val="auto"/>
          <w:highlight w:val="none"/>
          <w:shd w:val="clear" w:color="auto" w:fill="FFFFFF"/>
        </w:rPr>
        <w:t xml:space="preserve"> </w:t>
      </w:r>
      <w:r>
        <w:rPr>
          <w:rFonts w:ascii="Times New Roman" w:hAnsi="宋体"/>
          <w:color w:val="auto"/>
          <w:highlight w:val="none"/>
          <w:shd w:val="clear" w:color="auto" w:fill="FFFFFF"/>
        </w:rPr>
        <w:t>提供监理人员在现场的工作和生活条件，具体内容在专用合同条款中明确。如果不能提供上述条件的，应按实际发生费用给予监理人补偿。</w:t>
      </w:r>
    </w:p>
    <w:p>
      <w:pPr>
        <w:pStyle w:val="43"/>
        <w:ind w:firstLine="361"/>
        <w:rPr>
          <w:rFonts w:ascii="Times New Roman" w:hAnsi="Times New Roman"/>
          <w:color w:val="auto"/>
          <w:highlight w:val="none"/>
        </w:rPr>
      </w:pPr>
      <w:r>
        <w:rPr>
          <w:rFonts w:ascii="Times New Roman" w:hAnsi="宋体"/>
          <w:b/>
          <w:color w:val="auto"/>
          <w:highlight w:val="none"/>
        </w:rPr>
        <w:t>第十四条</w:t>
      </w:r>
      <w:r>
        <w:rPr>
          <w:rFonts w:ascii="Times New Roman" w:hAnsi="Times New Roman"/>
          <w:color w:val="auto"/>
          <w:highlight w:val="none"/>
        </w:rPr>
        <w:t xml:space="preserve"> </w:t>
      </w:r>
      <w:r>
        <w:rPr>
          <w:rFonts w:ascii="Times New Roman" w:hAnsi="宋体"/>
          <w:color w:val="auto"/>
          <w:highlight w:val="none"/>
        </w:rPr>
        <w:t>按本合同约定及时、足额支付监理服务酬金。</w:t>
      </w:r>
    </w:p>
    <w:p>
      <w:pPr>
        <w:pStyle w:val="43"/>
        <w:ind w:firstLine="361"/>
        <w:rPr>
          <w:rFonts w:ascii="Times New Roman" w:hAnsi="Times New Roman"/>
          <w:color w:val="auto"/>
          <w:highlight w:val="none"/>
        </w:rPr>
      </w:pPr>
      <w:r>
        <w:rPr>
          <w:rFonts w:ascii="Times New Roman" w:hAnsi="宋体"/>
          <w:b/>
          <w:color w:val="auto"/>
          <w:highlight w:val="none"/>
        </w:rPr>
        <w:t>第十五条</w:t>
      </w:r>
      <w:r>
        <w:rPr>
          <w:rFonts w:ascii="Times New Roman" w:hAnsi="Times New Roman"/>
          <w:b/>
          <w:color w:val="auto"/>
          <w:highlight w:val="none"/>
        </w:rPr>
        <w:t xml:space="preserve"> </w:t>
      </w:r>
      <w:r>
        <w:rPr>
          <w:rFonts w:ascii="Times New Roman" w:hAnsi="宋体"/>
          <w:color w:val="auto"/>
          <w:highlight w:val="none"/>
        </w:rPr>
        <w:t>为监理机构指定具有检验、试验资质的机构并承担检验、试验相关费用。</w:t>
      </w:r>
    </w:p>
    <w:p>
      <w:pPr>
        <w:pStyle w:val="43"/>
        <w:ind w:firstLine="361"/>
        <w:rPr>
          <w:rFonts w:ascii="Times New Roman" w:hAnsi="Times New Roman"/>
          <w:color w:val="auto"/>
          <w:highlight w:val="none"/>
        </w:rPr>
      </w:pPr>
      <w:r>
        <w:rPr>
          <w:rFonts w:ascii="Times New Roman" w:hAnsi="宋体"/>
          <w:b/>
          <w:color w:val="auto"/>
          <w:highlight w:val="none"/>
        </w:rPr>
        <w:t>第十六条</w:t>
      </w:r>
      <w:r>
        <w:rPr>
          <w:rFonts w:ascii="Times New Roman" w:hAnsi="Times New Roman"/>
          <w:b/>
          <w:color w:val="auto"/>
          <w:highlight w:val="none"/>
        </w:rPr>
        <w:t xml:space="preserve"> </w:t>
      </w:r>
      <w:r>
        <w:rPr>
          <w:rFonts w:ascii="Times New Roman" w:hAnsi="宋体"/>
          <w:color w:val="auto"/>
          <w:highlight w:val="none"/>
        </w:rPr>
        <w:t>维护监理机构工作的独立性，不干涉监理机构正常开展监理业务，不擅自作出有悖于监理机构在合同授权范围内所作出的指示的决定；未经监理机构签字确认，不得支付工程款。</w:t>
      </w:r>
    </w:p>
    <w:p>
      <w:pPr>
        <w:pStyle w:val="43"/>
        <w:ind w:firstLine="361"/>
        <w:rPr>
          <w:rFonts w:ascii="Times New Roman" w:hAnsi="Times New Roman"/>
          <w:color w:val="auto"/>
          <w:highlight w:val="none"/>
        </w:rPr>
      </w:pPr>
      <w:r>
        <w:rPr>
          <w:rFonts w:ascii="Times New Roman" w:hAnsi="宋体"/>
          <w:b/>
          <w:color w:val="auto"/>
          <w:highlight w:val="none"/>
        </w:rPr>
        <w:t>第十七条</w:t>
      </w:r>
      <w:r>
        <w:rPr>
          <w:rFonts w:ascii="Times New Roman" w:hAnsi="Times New Roman"/>
          <w:color w:val="auto"/>
          <w:highlight w:val="none"/>
        </w:rPr>
        <w:t xml:space="preserve"> </w:t>
      </w:r>
      <w:r>
        <w:rPr>
          <w:rFonts w:ascii="Times New Roman" w:hAnsi="宋体"/>
          <w:color w:val="auto"/>
          <w:highlight w:val="none"/>
        </w:rPr>
        <w:t>为监理人员投保人身意外伤害险和第三者责任险。如要求监理人自己投保，则应同意监理人将投保的费用计入报价中。</w:t>
      </w:r>
    </w:p>
    <w:p>
      <w:pPr>
        <w:pStyle w:val="43"/>
        <w:ind w:firstLine="361"/>
        <w:rPr>
          <w:rFonts w:ascii="Times New Roman" w:hAnsi="Times New Roman"/>
          <w:color w:val="auto"/>
          <w:highlight w:val="none"/>
        </w:rPr>
      </w:pPr>
      <w:r>
        <w:rPr>
          <w:rFonts w:ascii="Times New Roman" w:hAnsi="宋体"/>
          <w:b/>
          <w:color w:val="auto"/>
          <w:highlight w:val="none"/>
        </w:rPr>
        <w:t>第十八条</w:t>
      </w:r>
      <w:r>
        <w:rPr>
          <w:rFonts w:ascii="Times New Roman" w:hAnsi="Times New Roman"/>
          <w:color w:val="auto"/>
          <w:highlight w:val="none"/>
        </w:rPr>
        <w:t xml:space="preserve"> </w:t>
      </w:r>
      <w:r>
        <w:rPr>
          <w:rFonts w:ascii="Times New Roman" w:hAnsi="宋体"/>
          <w:color w:val="auto"/>
          <w:highlight w:val="none"/>
        </w:rPr>
        <w:t>将投保工程险的保险合同提供给监理人作为工程合同管理的一部分。</w:t>
      </w:r>
    </w:p>
    <w:p>
      <w:pPr>
        <w:pStyle w:val="43"/>
        <w:ind w:firstLine="361"/>
        <w:rPr>
          <w:rFonts w:ascii="Times New Roman" w:hAnsi="Times New Roman"/>
          <w:color w:val="auto"/>
          <w:highlight w:val="none"/>
        </w:rPr>
      </w:pPr>
      <w:r>
        <w:rPr>
          <w:rFonts w:ascii="Times New Roman" w:hAnsi="宋体"/>
          <w:b/>
          <w:color w:val="auto"/>
          <w:highlight w:val="none"/>
        </w:rPr>
        <w:t>第十九条</w:t>
      </w:r>
      <w:r>
        <w:rPr>
          <w:rFonts w:ascii="Times New Roman" w:hAnsi="Times New Roman"/>
          <w:color w:val="auto"/>
          <w:highlight w:val="none"/>
        </w:rPr>
        <w:t xml:space="preserve"> </w:t>
      </w:r>
      <w:r>
        <w:rPr>
          <w:rFonts w:ascii="Times New Roman" w:hAnsi="宋体"/>
          <w:color w:val="auto"/>
          <w:highlight w:val="none"/>
        </w:rPr>
        <w:t>未经监理人同意，不得将监理人用于本工程监理服务的</w:t>
      </w:r>
      <w:r>
        <w:rPr>
          <w:rFonts w:ascii="Times New Roman" w:hAnsi="宋体"/>
          <w:color w:val="auto"/>
          <w:highlight w:val="none"/>
          <w:shd w:val="clear" w:color="auto" w:fill="FFFFFF"/>
        </w:rPr>
        <w:t>任何</w:t>
      </w:r>
      <w:r>
        <w:rPr>
          <w:rFonts w:ascii="Times New Roman" w:hAnsi="宋体"/>
          <w:color w:val="auto"/>
          <w:highlight w:val="none"/>
        </w:rPr>
        <w:t>文件直接或间接用于其他工程建设之中。</w:t>
      </w:r>
      <w:r>
        <w:rPr>
          <w:rFonts w:ascii="Times New Roman" w:hAnsi="Times New Roman"/>
          <w:b/>
          <w:color w:val="auto"/>
          <w:highlight w:val="none"/>
        </w:rPr>
        <w:t xml:space="preserve"> </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监理人的义务</w:t>
      </w:r>
    </w:p>
    <w:p>
      <w:pPr>
        <w:pStyle w:val="43"/>
        <w:ind w:firstLine="361"/>
        <w:rPr>
          <w:rFonts w:ascii="Times New Roman" w:hAnsi="Times New Roman"/>
          <w:color w:val="auto"/>
          <w:highlight w:val="none"/>
        </w:rPr>
      </w:pPr>
      <w:r>
        <w:rPr>
          <w:rFonts w:ascii="Times New Roman" w:hAnsi="宋体"/>
          <w:b/>
          <w:color w:val="auto"/>
          <w:highlight w:val="none"/>
        </w:rPr>
        <w:t>第二十条</w:t>
      </w:r>
      <w:r>
        <w:rPr>
          <w:rFonts w:ascii="Times New Roman" w:hAnsi="Times New Roman"/>
          <w:color w:val="auto"/>
          <w:highlight w:val="none"/>
        </w:rPr>
        <w:t xml:space="preserve"> </w:t>
      </w:r>
      <w:r>
        <w:rPr>
          <w:rFonts w:ascii="Times New Roman" w:hAnsi="宋体"/>
          <w:color w:val="auto"/>
          <w:highlight w:val="none"/>
        </w:rPr>
        <w:t>本着</w:t>
      </w:r>
      <w:r>
        <w:rPr>
          <w:rFonts w:ascii="Times New Roman" w:hAnsi="Times New Roman"/>
          <w:color w:val="auto"/>
          <w:highlight w:val="none"/>
        </w:rPr>
        <w:t>“</w:t>
      </w:r>
      <w:r>
        <w:rPr>
          <w:rFonts w:ascii="Times New Roman" w:hAnsi="宋体"/>
          <w:color w:val="auto"/>
          <w:highlight w:val="none"/>
        </w:rPr>
        <w:t>守法、诚信、公正、科学</w:t>
      </w:r>
      <w:r>
        <w:rPr>
          <w:rFonts w:ascii="Times New Roman" w:hAnsi="Times New Roman"/>
          <w:color w:val="auto"/>
          <w:highlight w:val="none"/>
        </w:rPr>
        <w:t>”</w:t>
      </w:r>
      <w:r>
        <w:rPr>
          <w:rFonts w:ascii="Times New Roman" w:hAnsi="宋体"/>
          <w:color w:val="auto"/>
          <w:highlight w:val="none"/>
        </w:rPr>
        <w:t>的原则，按专用合同条款约定的监理服务内容为委托人提供优质服务。</w:t>
      </w:r>
      <w:r>
        <w:rPr>
          <w:rFonts w:ascii="Times New Roman" w:hAnsi="Times New Roman"/>
          <w:color w:val="auto"/>
          <w:highlight w:val="none"/>
        </w:rPr>
        <w:t xml:space="preserve">  </w:t>
      </w:r>
    </w:p>
    <w:p>
      <w:pPr>
        <w:pStyle w:val="43"/>
        <w:ind w:firstLine="361"/>
        <w:rPr>
          <w:rFonts w:ascii="Times New Roman" w:hAnsi="Times New Roman"/>
          <w:color w:val="auto"/>
          <w:highlight w:val="none"/>
        </w:rPr>
      </w:pPr>
      <w:r>
        <w:rPr>
          <w:rFonts w:ascii="Times New Roman" w:hAnsi="宋体"/>
          <w:b/>
          <w:color w:val="auto"/>
          <w:highlight w:val="none"/>
        </w:rPr>
        <w:t>第二十一条</w:t>
      </w:r>
      <w:r>
        <w:rPr>
          <w:rFonts w:ascii="Times New Roman" w:hAnsi="Times New Roman"/>
          <w:color w:val="auto"/>
          <w:highlight w:val="none"/>
        </w:rPr>
        <w:t xml:space="preserve"> </w:t>
      </w:r>
      <w:r>
        <w:rPr>
          <w:rFonts w:ascii="Times New Roman" w:hAnsi="宋体"/>
          <w:color w:val="auto"/>
          <w:highlight w:val="none"/>
        </w:rPr>
        <w:t>在专用合同条款约定的时间内组建监理机构，并进驻现场。及时将监理规划、监理机构及其主要人员名单提交委托人，将监理机构及其人员名单、监理工程师和监理员的授权范围通知承包人；实施期间有变化的，应当及时通知承包人。更换总监理工程师和其他主要监理人员应征得委托人同意。</w:t>
      </w:r>
    </w:p>
    <w:p>
      <w:pPr>
        <w:pStyle w:val="43"/>
        <w:ind w:firstLine="361"/>
        <w:rPr>
          <w:rFonts w:ascii="Times New Roman" w:hAnsi="Times New Roman"/>
          <w:color w:val="auto"/>
          <w:highlight w:val="none"/>
        </w:rPr>
      </w:pPr>
      <w:r>
        <w:rPr>
          <w:rFonts w:ascii="Times New Roman" w:hAnsi="宋体"/>
          <w:b/>
          <w:color w:val="auto"/>
          <w:highlight w:val="none"/>
        </w:rPr>
        <w:t>第二十二条</w:t>
      </w:r>
      <w:r>
        <w:rPr>
          <w:rFonts w:ascii="Times New Roman" w:hAnsi="Times New Roman"/>
          <w:b/>
          <w:color w:val="auto"/>
          <w:highlight w:val="none"/>
        </w:rPr>
        <w:t xml:space="preserve"> </w:t>
      </w:r>
      <w:r>
        <w:rPr>
          <w:rFonts w:ascii="Times New Roman" w:hAnsi="宋体"/>
          <w:color w:val="auto"/>
          <w:highlight w:val="none"/>
        </w:rPr>
        <w:t>发现设计文件不符合有关规定或合同约定时，应向委托人报告。</w:t>
      </w:r>
    </w:p>
    <w:p>
      <w:pPr>
        <w:pStyle w:val="43"/>
        <w:ind w:firstLine="361"/>
        <w:rPr>
          <w:rFonts w:ascii="Times New Roman" w:hAnsi="Times New Roman"/>
          <w:color w:val="auto"/>
          <w:highlight w:val="none"/>
        </w:rPr>
      </w:pPr>
      <w:r>
        <w:rPr>
          <w:rFonts w:ascii="Times New Roman" w:hAnsi="宋体"/>
          <w:b/>
          <w:color w:val="auto"/>
          <w:highlight w:val="none"/>
        </w:rPr>
        <w:t>第二十三条</w:t>
      </w:r>
      <w:r>
        <w:rPr>
          <w:rFonts w:ascii="Times New Roman" w:hAnsi="Times New Roman"/>
          <w:b/>
          <w:color w:val="auto"/>
          <w:highlight w:val="none"/>
        </w:rPr>
        <w:t xml:space="preserve"> </w:t>
      </w:r>
      <w:r>
        <w:rPr>
          <w:rFonts w:ascii="Times New Roman" w:hAnsi="宋体"/>
          <w:color w:val="auto"/>
          <w:highlight w:val="none"/>
        </w:rPr>
        <w:t>核验建筑材料、建筑构配件和设备质量，检查、检验并确认工程的施工质量；检查施工安全生产情况。发现存在质量、安全事故隐患，或发生质量、安全事故，应按有关规定及时采取相应的监理措施。</w:t>
      </w:r>
    </w:p>
    <w:p>
      <w:pPr>
        <w:pStyle w:val="43"/>
        <w:ind w:firstLine="361"/>
        <w:rPr>
          <w:rFonts w:ascii="Times New Roman" w:hAnsi="Times New Roman"/>
          <w:color w:val="auto"/>
          <w:highlight w:val="none"/>
        </w:rPr>
      </w:pPr>
      <w:r>
        <w:rPr>
          <w:rFonts w:ascii="Times New Roman" w:hAnsi="宋体"/>
          <w:b/>
          <w:color w:val="auto"/>
          <w:highlight w:val="none"/>
        </w:rPr>
        <w:t>第二十四条</w:t>
      </w:r>
      <w:r>
        <w:rPr>
          <w:rFonts w:ascii="Times New Roman" w:hAnsi="Times New Roman"/>
          <w:color w:val="auto"/>
          <w:highlight w:val="none"/>
        </w:rPr>
        <w:t xml:space="preserve"> </w:t>
      </w:r>
      <w:r>
        <w:rPr>
          <w:rFonts w:ascii="Times New Roman" w:hAnsi="宋体"/>
          <w:color w:val="auto"/>
          <w:highlight w:val="none"/>
        </w:rPr>
        <w:t>监督、检查工程施工进度。</w:t>
      </w:r>
    </w:p>
    <w:p>
      <w:pPr>
        <w:pStyle w:val="43"/>
        <w:ind w:firstLine="361"/>
        <w:rPr>
          <w:rFonts w:ascii="Times New Roman" w:hAnsi="Times New Roman"/>
          <w:color w:val="auto"/>
          <w:highlight w:val="none"/>
        </w:rPr>
      </w:pPr>
      <w:r>
        <w:rPr>
          <w:rFonts w:ascii="Times New Roman" w:hAnsi="宋体"/>
          <w:b/>
          <w:color w:val="auto"/>
          <w:highlight w:val="none"/>
        </w:rPr>
        <w:t>第二十五条</w:t>
      </w:r>
      <w:r>
        <w:rPr>
          <w:rFonts w:ascii="Times New Roman" w:hAnsi="Times New Roman"/>
          <w:color w:val="auto"/>
          <w:highlight w:val="none"/>
        </w:rPr>
        <w:t xml:space="preserve"> </w:t>
      </w:r>
      <w:r>
        <w:rPr>
          <w:rFonts w:ascii="Times New Roman" w:hAnsi="宋体"/>
          <w:color w:val="auto"/>
          <w:highlight w:val="none"/>
        </w:rPr>
        <w:t>按照委托人签订的工程保险合同，做好施工现场工程保险合同的管理。协助委托人向保险公司及时提供一切必要的材料和证据。</w:t>
      </w:r>
    </w:p>
    <w:p>
      <w:pPr>
        <w:pStyle w:val="43"/>
        <w:ind w:firstLine="361"/>
        <w:rPr>
          <w:rFonts w:ascii="Times New Roman" w:hAnsi="Times New Roman"/>
          <w:color w:val="auto"/>
          <w:highlight w:val="none"/>
        </w:rPr>
      </w:pPr>
      <w:r>
        <w:rPr>
          <w:rFonts w:ascii="Times New Roman" w:hAnsi="宋体"/>
          <w:b/>
          <w:color w:val="auto"/>
          <w:highlight w:val="none"/>
        </w:rPr>
        <w:t>第二十六条</w:t>
      </w:r>
      <w:r>
        <w:rPr>
          <w:rFonts w:ascii="Times New Roman" w:hAnsi="Times New Roman"/>
          <w:color w:val="auto"/>
          <w:highlight w:val="none"/>
        </w:rPr>
        <w:t xml:space="preserve"> </w:t>
      </w:r>
      <w:r>
        <w:rPr>
          <w:rFonts w:ascii="Times New Roman" w:hAnsi="宋体"/>
          <w:color w:val="auto"/>
          <w:highlight w:val="none"/>
        </w:rPr>
        <w:t>协调施工合同各方之间的关系。</w:t>
      </w:r>
    </w:p>
    <w:p>
      <w:pPr>
        <w:pStyle w:val="43"/>
        <w:ind w:firstLine="361"/>
        <w:rPr>
          <w:rFonts w:ascii="Times New Roman" w:hAnsi="Times New Roman"/>
          <w:color w:val="auto"/>
          <w:highlight w:val="none"/>
        </w:rPr>
      </w:pPr>
      <w:r>
        <w:rPr>
          <w:rFonts w:ascii="Times New Roman" w:hAnsi="宋体"/>
          <w:b/>
          <w:color w:val="auto"/>
          <w:highlight w:val="none"/>
        </w:rPr>
        <w:t>第二十七条</w:t>
      </w:r>
      <w:r>
        <w:rPr>
          <w:rFonts w:ascii="Times New Roman" w:hAnsi="Times New Roman"/>
          <w:color w:val="auto"/>
          <w:highlight w:val="none"/>
        </w:rPr>
        <w:t xml:space="preserve"> </w:t>
      </w:r>
      <w:r>
        <w:rPr>
          <w:rFonts w:ascii="Times New Roman" w:hAnsi="宋体"/>
          <w:color w:val="auto"/>
          <w:highlight w:val="none"/>
        </w:rPr>
        <w:t>按照施工作业程序，采取旁站、巡视、跟踪检测和平行检测等方法实施监理。需要旁站的重要部位和关键工序在专用合同条款中约定。</w:t>
      </w:r>
    </w:p>
    <w:p>
      <w:pPr>
        <w:pStyle w:val="43"/>
        <w:ind w:firstLine="361"/>
        <w:rPr>
          <w:rFonts w:ascii="Times New Roman" w:hAnsi="Times New Roman"/>
          <w:color w:val="auto"/>
          <w:highlight w:val="none"/>
        </w:rPr>
      </w:pPr>
      <w:r>
        <w:rPr>
          <w:rFonts w:ascii="Times New Roman" w:hAnsi="宋体"/>
          <w:b/>
          <w:color w:val="auto"/>
          <w:highlight w:val="none"/>
        </w:rPr>
        <w:t>第二十八条</w:t>
      </w:r>
      <w:r>
        <w:rPr>
          <w:rFonts w:ascii="Times New Roman" w:hAnsi="Times New Roman"/>
          <w:b/>
          <w:color w:val="auto"/>
          <w:highlight w:val="none"/>
        </w:rPr>
        <w:t xml:space="preserve"> </w:t>
      </w:r>
      <w:r>
        <w:rPr>
          <w:rFonts w:ascii="Times New Roman" w:hAnsi="宋体"/>
          <w:color w:val="auto"/>
          <w:highlight w:val="none"/>
        </w:rPr>
        <w:t>及时做好工程施工</w:t>
      </w:r>
      <w:r>
        <w:rPr>
          <w:rFonts w:ascii="Times New Roman" w:hAnsi="宋体"/>
          <w:color w:val="auto"/>
          <w:highlight w:val="none"/>
          <w:shd w:val="clear" w:color="auto" w:fill="FFFFFF"/>
        </w:rPr>
        <w:t>过程</w:t>
      </w:r>
      <w:r>
        <w:rPr>
          <w:rFonts w:ascii="Times New Roman" w:hAnsi="宋体"/>
          <w:color w:val="auto"/>
          <w:highlight w:val="none"/>
        </w:rPr>
        <w:t>各种监理信息的收集、整理和归档，并保证现场记录、试验、检验、检查等资料的完整和真实。</w:t>
      </w:r>
    </w:p>
    <w:p>
      <w:pPr>
        <w:pStyle w:val="43"/>
        <w:ind w:firstLine="361"/>
        <w:rPr>
          <w:rFonts w:ascii="Times New Roman" w:hAnsi="Times New Roman"/>
          <w:color w:val="auto"/>
          <w:highlight w:val="none"/>
        </w:rPr>
      </w:pPr>
      <w:r>
        <w:rPr>
          <w:rFonts w:ascii="Times New Roman" w:hAnsi="宋体"/>
          <w:b/>
          <w:color w:val="auto"/>
          <w:highlight w:val="none"/>
        </w:rPr>
        <w:t>第二十九条</w:t>
      </w:r>
      <w:r>
        <w:rPr>
          <w:rFonts w:ascii="Times New Roman" w:hAnsi="Times New Roman"/>
          <w:b/>
          <w:color w:val="auto"/>
          <w:highlight w:val="none"/>
        </w:rPr>
        <w:t xml:space="preserve"> </w:t>
      </w:r>
      <w:r>
        <w:rPr>
          <w:rFonts w:ascii="Times New Roman" w:hAnsi="宋体"/>
          <w:color w:val="auto"/>
          <w:highlight w:val="none"/>
        </w:rPr>
        <w:t>编制《监理日志》，并向委托人提交监理月报、监理专题报告、监理工作报告和监理工作总结报告。</w:t>
      </w:r>
    </w:p>
    <w:p>
      <w:pPr>
        <w:pStyle w:val="43"/>
        <w:ind w:firstLine="361"/>
        <w:rPr>
          <w:rFonts w:ascii="Times New Roman" w:hAnsi="Times New Roman"/>
          <w:color w:val="auto"/>
          <w:highlight w:val="none"/>
        </w:rPr>
      </w:pPr>
      <w:r>
        <w:rPr>
          <w:rFonts w:ascii="Times New Roman" w:hAnsi="宋体"/>
          <w:b/>
          <w:color w:val="auto"/>
          <w:highlight w:val="none"/>
        </w:rPr>
        <w:t>第三十条</w:t>
      </w:r>
      <w:r>
        <w:rPr>
          <w:rFonts w:ascii="Times New Roman" w:hAnsi="Times New Roman"/>
          <w:b/>
          <w:color w:val="auto"/>
          <w:highlight w:val="none"/>
        </w:rPr>
        <w:t xml:space="preserve"> </w:t>
      </w:r>
      <w:r>
        <w:rPr>
          <w:rFonts w:ascii="Times New Roman" w:hAnsi="宋体"/>
          <w:color w:val="auto"/>
          <w:highlight w:val="none"/>
        </w:rPr>
        <w:t>按有关规定参加工程验收，做好相关配合工作。委托人委托监理人主持的分部工程验收由专用合同条款约定。</w:t>
      </w:r>
    </w:p>
    <w:p>
      <w:pPr>
        <w:pStyle w:val="43"/>
        <w:ind w:firstLine="361"/>
        <w:rPr>
          <w:rFonts w:ascii="Times New Roman" w:hAnsi="Times New Roman"/>
          <w:color w:val="auto"/>
          <w:highlight w:val="none"/>
        </w:rPr>
      </w:pPr>
      <w:r>
        <w:rPr>
          <w:rFonts w:ascii="Times New Roman" w:hAnsi="宋体"/>
          <w:b/>
          <w:color w:val="auto"/>
          <w:highlight w:val="none"/>
        </w:rPr>
        <w:t>第三十一条</w:t>
      </w:r>
      <w:r>
        <w:rPr>
          <w:rFonts w:ascii="Times New Roman" w:hAnsi="Times New Roman"/>
          <w:color w:val="auto"/>
          <w:highlight w:val="none"/>
        </w:rPr>
        <w:t xml:space="preserve"> </w:t>
      </w:r>
      <w:r>
        <w:rPr>
          <w:rFonts w:ascii="Times New Roman" w:hAnsi="宋体"/>
          <w:color w:val="auto"/>
          <w:highlight w:val="none"/>
        </w:rPr>
        <w:t>妥善做好委托人所提供的工程建设文件资料的保存、回收及保密工作。在本合同期限内或</w:t>
      </w:r>
      <w:r>
        <w:rPr>
          <w:rFonts w:ascii="Times New Roman" w:hAnsi="宋体"/>
          <w:color w:val="auto"/>
          <w:highlight w:val="none"/>
          <w:shd w:val="clear" w:color="auto" w:fill="FFFFFF"/>
        </w:rPr>
        <w:t>专用合同条款约定的合同终止后的一定期限内</w:t>
      </w:r>
      <w:r>
        <w:rPr>
          <w:rFonts w:ascii="Times New Roman" w:hAnsi="宋体"/>
          <w:color w:val="auto"/>
          <w:highlight w:val="none"/>
        </w:rPr>
        <w:t>，未征得委托人同意，不得公开涉及委托人的专利、专有技术或其他需保密的资料，不得泄露与本合同业务有关的技术、商务等</w:t>
      </w:r>
      <w:r>
        <w:rPr>
          <w:rFonts w:ascii="Times New Roman" w:hAnsi="宋体"/>
          <w:color w:val="auto"/>
          <w:highlight w:val="none"/>
          <w:shd w:val="clear" w:color="auto" w:fill="FFFFFF"/>
        </w:rPr>
        <w:t>秘密</w:t>
      </w:r>
      <w:r>
        <w:rPr>
          <w:rFonts w:ascii="Times New Roman" w:hAnsi="宋体"/>
          <w:color w:val="auto"/>
          <w:highlight w:val="none"/>
        </w:rPr>
        <w:t>。</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监理服务酬金</w:t>
      </w:r>
    </w:p>
    <w:p>
      <w:pPr>
        <w:pStyle w:val="43"/>
        <w:ind w:firstLine="361"/>
        <w:rPr>
          <w:rFonts w:ascii="Times New Roman" w:hAnsi="Times New Roman"/>
          <w:color w:val="auto"/>
          <w:highlight w:val="none"/>
        </w:rPr>
      </w:pPr>
      <w:r>
        <w:rPr>
          <w:rFonts w:ascii="Times New Roman" w:hAnsi="宋体"/>
          <w:b/>
          <w:color w:val="auto"/>
          <w:highlight w:val="none"/>
        </w:rPr>
        <w:t>第三十二条</w:t>
      </w:r>
      <w:r>
        <w:rPr>
          <w:rFonts w:ascii="Times New Roman" w:hAnsi="Times New Roman"/>
          <w:color w:val="auto"/>
          <w:highlight w:val="none"/>
        </w:rPr>
        <w:t xml:space="preserve"> </w:t>
      </w:r>
      <w:r>
        <w:rPr>
          <w:rFonts w:ascii="Times New Roman" w:hAnsi="宋体"/>
          <w:color w:val="auto"/>
          <w:highlight w:val="none"/>
        </w:rPr>
        <w:t>监理正常服务酬金的支付时间和支付方式在专用合同条款中约定。</w:t>
      </w:r>
    </w:p>
    <w:p>
      <w:pPr>
        <w:pStyle w:val="43"/>
        <w:ind w:firstLine="361"/>
        <w:rPr>
          <w:rFonts w:ascii="Times New Roman" w:hAnsi="Times New Roman"/>
          <w:color w:val="auto"/>
          <w:highlight w:val="none"/>
        </w:rPr>
      </w:pPr>
      <w:r>
        <w:rPr>
          <w:rFonts w:ascii="Times New Roman" w:hAnsi="宋体"/>
          <w:b/>
          <w:color w:val="auto"/>
          <w:highlight w:val="none"/>
        </w:rPr>
        <w:t>第三十三条</w:t>
      </w:r>
      <w:r>
        <w:rPr>
          <w:rFonts w:ascii="Times New Roman" w:hAnsi="Times New Roman"/>
          <w:color w:val="auto"/>
          <w:highlight w:val="none"/>
        </w:rPr>
        <w:t xml:space="preserve"> </w:t>
      </w:r>
      <w:r>
        <w:rPr>
          <w:rFonts w:ascii="Times New Roman" w:hAnsi="宋体"/>
          <w:color w:val="auto"/>
          <w:highlight w:val="none"/>
        </w:rPr>
        <w:t>除不可抗力外，有下列情形之一且由此引起监理工作量增加或服务期限延长，均应视为监理机构的附加服务，监理人应得到监理附加服务酬金：</w:t>
      </w:r>
    </w:p>
    <w:p>
      <w:pPr>
        <w:pStyle w:val="43"/>
        <w:ind w:firstLine="480" w:firstLineChars="200"/>
        <w:rPr>
          <w:rFonts w:ascii="Times New Roman" w:hAnsi="Times New Roman"/>
          <w:color w:val="auto"/>
          <w:highlight w:val="none"/>
        </w:rPr>
      </w:pPr>
      <w:r>
        <w:rPr>
          <w:rFonts w:ascii="Times New Roman" w:hAnsi="宋体"/>
          <w:color w:val="auto"/>
          <w:highlight w:val="none"/>
        </w:rPr>
        <w:t>一、由于委托人、第三方责任、</w:t>
      </w:r>
      <w:r>
        <w:rPr>
          <w:rFonts w:ascii="Times New Roman" w:hAnsi="宋体"/>
          <w:color w:val="auto"/>
          <w:highlight w:val="none"/>
          <w:shd w:val="clear" w:color="auto" w:fill="FFFFFF"/>
        </w:rPr>
        <w:t>设计变更</w:t>
      </w:r>
      <w:r>
        <w:rPr>
          <w:rFonts w:ascii="Times New Roman" w:hAnsi="宋体"/>
          <w:color w:val="auto"/>
          <w:highlight w:val="none"/>
        </w:rPr>
        <w:t>及不良地质条件等非监理人原因致使正常的监理服务受到阻碍或延误；</w:t>
      </w:r>
    </w:p>
    <w:p>
      <w:pPr>
        <w:pStyle w:val="43"/>
        <w:ind w:firstLine="480" w:firstLineChars="200"/>
        <w:rPr>
          <w:rFonts w:ascii="Times New Roman" w:hAnsi="Times New Roman"/>
          <w:color w:val="auto"/>
          <w:highlight w:val="none"/>
        </w:rPr>
      </w:pPr>
      <w:r>
        <w:rPr>
          <w:rFonts w:ascii="Times New Roman" w:hAnsi="宋体"/>
          <w:color w:val="auto"/>
          <w:highlight w:val="none"/>
        </w:rPr>
        <w:t>二、在本合同履行过程中，委托人要求监理机构完成监理合同约定范围和内容以外的服务；</w:t>
      </w:r>
    </w:p>
    <w:p>
      <w:pPr>
        <w:pStyle w:val="43"/>
        <w:ind w:firstLine="480" w:firstLineChars="200"/>
        <w:rPr>
          <w:rFonts w:ascii="Times New Roman" w:hAnsi="Times New Roman"/>
          <w:color w:val="auto"/>
          <w:highlight w:val="none"/>
        </w:rPr>
      </w:pPr>
      <w:r>
        <w:rPr>
          <w:rFonts w:ascii="Times New Roman" w:hAnsi="宋体"/>
          <w:color w:val="auto"/>
          <w:highlight w:val="none"/>
        </w:rPr>
        <w:t>三、由于非监理人原因暂停或终止监理业务时，其善后工作或恢复执行监理业务的工作。</w:t>
      </w:r>
    </w:p>
    <w:p>
      <w:pPr>
        <w:pStyle w:val="43"/>
        <w:ind w:firstLine="480" w:firstLineChars="200"/>
        <w:rPr>
          <w:rFonts w:ascii="Times New Roman" w:hAnsi="Times New Roman"/>
          <w:color w:val="auto"/>
          <w:highlight w:val="none"/>
        </w:rPr>
      </w:pPr>
      <w:r>
        <w:rPr>
          <w:rFonts w:hint="eastAsia" w:ascii="Times New Roman" w:hAnsi="宋体"/>
          <w:color w:val="auto"/>
          <w:highlight w:val="none"/>
        </w:rPr>
        <w:t>四、</w:t>
      </w:r>
      <w:r>
        <w:rPr>
          <w:rFonts w:ascii="Times New Roman" w:hAnsi="宋体"/>
          <w:color w:val="auto"/>
          <w:highlight w:val="none"/>
        </w:rPr>
        <w:t>监理人完成附加服务应得到的酬金，按</w:t>
      </w:r>
      <w:r>
        <w:rPr>
          <w:rFonts w:ascii="Times New Roman" w:hAnsi="宋体"/>
          <w:color w:val="auto"/>
          <w:highlight w:val="none"/>
          <w:shd w:val="clear" w:color="auto" w:fill="FFFFFF"/>
        </w:rPr>
        <w:t>专用合同条款约定的方法或</w:t>
      </w:r>
      <w:r>
        <w:rPr>
          <w:rFonts w:ascii="Times New Roman" w:hAnsi="宋体"/>
          <w:color w:val="auto"/>
          <w:highlight w:val="none"/>
        </w:rPr>
        <w:t>监理补充协议计取和支付。</w:t>
      </w:r>
    </w:p>
    <w:p>
      <w:pPr>
        <w:pStyle w:val="43"/>
        <w:ind w:firstLine="361"/>
        <w:rPr>
          <w:rFonts w:ascii="Times New Roman" w:hAnsi="Times New Roman"/>
          <w:b/>
          <w:color w:val="auto"/>
          <w:highlight w:val="none"/>
        </w:rPr>
      </w:pPr>
      <w:r>
        <w:rPr>
          <w:rFonts w:ascii="Times New Roman" w:hAnsi="宋体"/>
          <w:b/>
          <w:color w:val="auto"/>
          <w:highlight w:val="none"/>
        </w:rPr>
        <w:t>第三十四条</w:t>
      </w:r>
      <w:r>
        <w:rPr>
          <w:rFonts w:ascii="Times New Roman" w:hAnsi="Times New Roman"/>
          <w:b/>
          <w:color w:val="auto"/>
          <w:highlight w:val="none"/>
        </w:rPr>
        <w:t xml:space="preserve"> </w:t>
      </w:r>
      <w:r>
        <w:rPr>
          <w:rFonts w:ascii="Times New Roman" w:hAnsi="宋体"/>
          <w:color w:val="auto"/>
          <w:highlight w:val="none"/>
        </w:rPr>
        <w:t>国家有关法律、法规、规章和监理酬金标准发生变化时，应按有关规定调整监理服务酬金。</w:t>
      </w:r>
    </w:p>
    <w:p>
      <w:pPr>
        <w:pStyle w:val="43"/>
        <w:ind w:firstLine="361"/>
        <w:rPr>
          <w:rFonts w:ascii="Times New Roman" w:hAnsi="Times New Roman"/>
          <w:color w:val="auto"/>
          <w:highlight w:val="none"/>
        </w:rPr>
      </w:pPr>
      <w:r>
        <w:rPr>
          <w:rFonts w:ascii="Times New Roman" w:hAnsi="宋体"/>
          <w:b/>
          <w:color w:val="auto"/>
          <w:highlight w:val="none"/>
        </w:rPr>
        <w:t>第三十五条</w:t>
      </w:r>
      <w:r>
        <w:rPr>
          <w:rFonts w:ascii="Times New Roman" w:hAnsi="Times New Roman"/>
          <w:color w:val="auto"/>
          <w:highlight w:val="none"/>
        </w:rPr>
        <w:t xml:space="preserve"> </w:t>
      </w:r>
      <w:r>
        <w:rPr>
          <w:rFonts w:ascii="Times New Roman" w:hAnsi="宋体"/>
          <w:color w:val="auto"/>
          <w:highlight w:val="none"/>
        </w:rPr>
        <w:t>委托人对监理人</w:t>
      </w:r>
      <w:r>
        <w:rPr>
          <w:rFonts w:ascii="Times New Roman" w:hAnsi="宋体"/>
          <w:color w:val="auto"/>
          <w:highlight w:val="none"/>
          <w:shd w:val="clear" w:color="auto" w:fill="FFFFFF"/>
        </w:rPr>
        <w:t>申请支付的</w:t>
      </w:r>
      <w:r>
        <w:rPr>
          <w:rFonts w:ascii="Times New Roman" w:hAnsi="宋体"/>
          <w:color w:val="auto"/>
          <w:highlight w:val="none"/>
        </w:rPr>
        <w:t>监理酬金项目及金额有异议时，应当在收到监理人支付申请书</w:t>
      </w:r>
      <w:r>
        <w:rPr>
          <w:rFonts w:ascii="Times New Roman" w:hAnsi="宋体"/>
          <w:color w:val="auto"/>
          <w:highlight w:val="none"/>
          <w:shd w:val="clear" w:color="auto" w:fill="FFFFFF"/>
        </w:rPr>
        <w:t>后</w:t>
      </w:r>
      <w:r>
        <w:rPr>
          <w:rFonts w:ascii="Times New Roman" w:hAnsi="Times New Roman"/>
          <w:color w:val="auto"/>
          <w:highlight w:val="none"/>
        </w:rPr>
        <w:t>7</w:t>
      </w:r>
      <w:r>
        <w:rPr>
          <w:rFonts w:ascii="Times New Roman" w:hAnsi="宋体"/>
          <w:color w:val="auto"/>
          <w:highlight w:val="none"/>
        </w:rPr>
        <w:t>天内向监理人发出异议通知，由双方协商解决。</w:t>
      </w:r>
      <w:r>
        <w:rPr>
          <w:rFonts w:ascii="Times New Roman" w:hAnsi="Times New Roman"/>
          <w:color w:val="auto"/>
          <w:highlight w:val="none"/>
        </w:rPr>
        <w:t>7</w:t>
      </w:r>
      <w:r>
        <w:rPr>
          <w:rFonts w:ascii="Times New Roman" w:hAnsi="宋体"/>
          <w:color w:val="auto"/>
          <w:highlight w:val="none"/>
        </w:rPr>
        <w:t>天内未发出异议通知，则按通用合同条款第三十二条、第三十三条、第三十四条的约定支付。</w:t>
      </w:r>
    </w:p>
    <w:p>
      <w:pPr>
        <w:pStyle w:val="43"/>
        <w:rPr>
          <w:rFonts w:ascii="Times New Roman" w:hAnsi="Times New Roman"/>
          <w:color w:val="auto"/>
          <w:highlight w:val="none"/>
        </w:rPr>
      </w:pPr>
      <w:r>
        <w:rPr>
          <w:rFonts w:ascii="Times New Roman" w:hAnsi="宋体"/>
          <w:color w:val="auto"/>
          <w:highlight w:val="none"/>
        </w:rPr>
        <w:t>合同变更与终止</w:t>
      </w:r>
    </w:p>
    <w:p>
      <w:pPr>
        <w:pStyle w:val="43"/>
        <w:ind w:firstLine="361"/>
        <w:rPr>
          <w:rFonts w:ascii="Times New Roman" w:hAnsi="Times New Roman"/>
          <w:color w:val="auto"/>
          <w:highlight w:val="none"/>
        </w:rPr>
      </w:pPr>
      <w:r>
        <w:rPr>
          <w:rFonts w:ascii="Times New Roman" w:hAnsi="宋体"/>
          <w:b/>
          <w:color w:val="auto"/>
          <w:highlight w:val="none"/>
        </w:rPr>
        <w:t>第三十六条</w:t>
      </w:r>
      <w:r>
        <w:rPr>
          <w:rFonts w:ascii="Times New Roman" w:hAnsi="Times New Roman"/>
          <w:b/>
          <w:color w:val="auto"/>
          <w:highlight w:val="none"/>
        </w:rPr>
        <w:t xml:space="preserve"> </w:t>
      </w:r>
      <w:r>
        <w:rPr>
          <w:rFonts w:ascii="Times New Roman" w:hAnsi="宋体"/>
          <w:color w:val="auto"/>
          <w:highlight w:val="none"/>
        </w:rPr>
        <w:t>因工程建设计划调整、较大的工程设计变更、不良地质条件等非监理人原因致使本合同约定的服务范围、内容和服务形式发生较大变化时，双方对监理服务酬金计取、监理服务期限等有关合同条款应当充分协商，签订监理补充协议。</w:t>
      </w:r>
    </w:p>
    <w:p>
      <w:pPr>
        <w:pStyle w:val="43"/>
        <w:ind w:firstLine="361"/>
        <w:rPr>
          <w:rFonts w:ascii="Times New Roman" w:hAnsi="Times New Roman"/>
          <w:color w:val="auto"/>
          <w:highlight w:val="none"/>
          <w:u w:val="single"/>
          <w:shd w:val="pct10" w:color="auto" w:fill="FFFFFF"/>
        </w:rPr>
      </w:pPr>
      <w:r>
        <w:rPr>
          <w:rFonts w:ascii="Times New Roman" w:hAnsi="宋体"/>
          <w:b/>
          <w:color w:val="auto"/>
          <w:highlight w:val="none"/>
        </w:rPr>
        <w:t>第</w:t>
      </w:r>
      <w:r>
        <w:rPr>
          <w:rFonts w:ascii="Times New Roman" w:hAnsi="宋体"/>
          <w:b/>
          <w:color w:val="auto"/>
          <w:highlight w:val="none"/>
          <w:shd w:val="clear" w:color="auto" w:fill="FFFFFF"/>
        </w:rPr>
        <w:t>三十</w:t>
      </w:r>
      <w:r>
        <w:rPr>
          <w:rFonts w:ascii="Times New Roman" w:hAnsi="宋体"/>
          <w:b/>
          <w:color w:val="auto"/>
          <w:highlight w:val="none"/>
        </w:rPr>
        <w:t>七</w:t>
      </w:r>
      <w:r>
        <w:rPr>
          <w:rFonts w:ascii="Times New Roman" w:hAnsi="宋体"/>
          <w:b/>
          <w:color w:val="auto"/>
          <w:highlight w:val="none"/>
          <w:shd w:val="clear" w:color="auto" w:fill="FFFFFF"/>
        </w:rPr>
        <w:t>条</w:t>
      </w:r>
      <w:r>
        <w:rPr>
          <w:rFonts w:ascii="Times New Roman" w:hAnsi="Times New Roman"/>
          <w:color w:val="auto"/>
          <w:highlight w:val="none"/>
          <w:shd w:val="clear" w:color="auto" w:fill="FFFFFF"/>
        </w:rPr>
        <w:t xml:space="preserve"> </w:t>
      </w:r>
      <w:r>
        <w:rPr>
          <w:rFonts w:ascii="Times New Roman" w:hAnsi="宋体"/>
          <w:color w:val="auto"/>
          <w:highlight w:val="none"/>
          <w:shd w:val="clear" w:color="auto" w:fill="FFFFFF"/>
        </w:rPr>
        <w:t>当发生法律或本合同约定的解除合同的情形时，有权解除合同的一方要求解除合同的，应书面通知对方；若通知送达后</w:t>
      </w:r>
      <w:r>
        <w:rPr>
          <w:rFonts w:ascii="Times New Roman" w:hAnsi="Times New Roman"/>
          <w:color w:val="auto"/>
          <w:highlight w:val="none"/>
          <w:shd w:val="clear" w:color="auto" w:fill="FFFFFF"/>
        </w:rPr>
        <w:t>28</w:t>
      </w:r>
      <w:r>
        <w:rPr>
          <w:rFonts w:ascii="Times New Roman" w:hAnsi="宋体"/>
          <w:color w:val="auto"/>
          <w:highlight w:val="none"/>
          <w:shd w:val="clear" w:color="auto" w:fill="FFFFFF"/>
        </w:rPr>
        <w:t>天内未收到对方的答复，可发出终止监理合同的通知，本合同即行终止。因解除合同遭受损失的，除依法可以免除责任的外，应由责任方赔偿损失。</w:t>
      </w:r>
    </w:p>
    <w:p>
      <w:pPr>
        <w:pStyle w:val="43"/>
        <w:ind w:firstLine="361"/>
        <w:rPr>
          <w:rFonts w:ascii="Times New Roman" w:hAnsi="Times New Roman"/>
          <w:color w:val="auto"/>
          <w:highlight w:val="none"/>
        </w:rPr>
      </w:pPr>
      <w:r>
        <w:rPr>
          <w:rFonts w:ascii="Times New Roman" w:hAnsi="宋体"/>
          <w:b/>
          <w:color w:val="auto"/>
          <w:highlight w:val="none"/>
        </w:rPr>
        <w:t>第三十八条</w:t>
      </w:r>
      <w:r>
        <w:rPr>
          <w:rFonts w:ascii="Times New Roman" w:hAnsi="Times New Roman"/>
          <w:color w:val="auto"/>
          <w:highlight w:val="none"/>
        </w:rPr>
        <w:t xml:space="preserve"> </w:t>
      </w:r>
      <w:r>
        <w:rPr>
          <w:rFonts w:ascii="Times New Roman" w:hAnsi="宋体"/>
          <w:color w:val="auto"/>
          <w:highlight w:val="none"/>
        </w:rPr>
        <w:t>在监理服务期内，由于国家政策致使工程建设计划重大调整，或不可抗力致使合同不能履行时，双方协商解决因合同终止所产生的遗留问题。</w:t>
      </w:r>
    </w:p>
    <w:p>
      <w:pPr>
        <w:pStyle w:val="43"/>
        <w:ind w:firstLine="361"/>
        <w:rPr>
          <w:rFonts w:ascii="Times New Roman" w:hAnsi="Times New Roman"/>
          <w:color w:val="auto"/>
          <w:highlight w:val="none"/>
        </w:rPr>
      </w:pPr>
      <w:r>
        <w:rPr>
          <w:rFonts w:ascii="Times New Roman" w:hAnsi="宋体"/>
          <w:b/>
          <w:color w:val="auto"/>
          <w:highlight w:val="none"/>
        </w:rPr>
        <w:t>第三十九条</w:t>
      </w:r>
      <w:r>
        <w:rPr>
          <w:rFonts w:ascii="Times New Roman" w:hAnsi="Times New Roman"/>
          <w:color w:val="auto"/>
          <w:highlight w:val="none"/>
        </w:rPr>
        <w:t xml:space="preserve"> </w:t>
      </w:r>
      <w:r>
        <w:rPr>
          <w:rFonts w:ascii="Times New Roman" w:hAnsi="宋体"/>
          <w:color w:val="auto"/>
          <w:highlight w:val="none"/>
        </w:rPr>
        <w:t>本合同在监理期限届满并结清监理服务酬金后即终止。</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违约责任</w:t>
      </w:r>
    </w:p>
    <w:p>
      <w:pPr>
        <w:pStyle w:val="43"/>
        <w:ind w:firstLine="361"/>
        <w:rPr>
          <w:rFonts w:ascii="Times New Roman" w:hAnsi="Times New Roman"/>
          <w:color w:val="auto"/>
          <w:highlight w:val="none"/>
        </w:rPr>
      </w:pPr>
      <w:r>
        <w:rPr>
          <w:rFonts w:ascii="Times New Roman" w:hAnsi="宋体"/>
          <w:b/>
          <w:color w:val="auto"/>
          <w:highlight w:val="none"/>
        </w:rPr>
        <w:t>第四十条</w:t>
      </w:r>
      <w:r>
        <w:rPr>
          <w:rFonts w:ascii="Times New Roman" w:hAnsi="Times New Roman"/>
          <w:color w:val="auto"/>
          <w:highlight w:val="none"/>
        </w:rPr>
        <w:t xml:space="preserve"> </w:t>
      </w:r>
      <w:r>
        <w:rPr>
          <w:rFonts w:ascii="Times New Roman" w:hAnsi="宋体"/>
          <w:color w:val="auto"/>
          <w:highlight w:val="none"/>
        </w:rPr>
        <w:t>委托人未履行合同条款第十条、第十一条、第十三条、第十四条、第十五条、第十六条、第十七条、第十九条约定的义务和责任，除按专用合同条款约定向监理人支付违约金外，还应继续履行合同约定的义务和责任。</w:t>
      </w:r>
    </w:p>
    <w:p>
      <w:pPr>
        <w:pStyle w:val="43"/>
        <w:ind w:firstLine="361"/>
        <w:rPr>
          <w:rFonts w:ascii="Times New Roman" w:hAnsi="Times New Roman"/>
          <w:color w:val="auto"/>
          <w:highlight w:val="none"/>
        </w:rPr>
      </w:pPr>
      <w:r>
        <w:rPr>
          <w:rFonts w:ascii="Times New Roman" w:hAnsi="宋体"/>
          <w:b/>
          <w:color w:val="auto"/>
          <w:highlight w:val="none"/>
        </w:rPr>
        <w:t>第四十一条</w:t>
      </w:r>
      <w:r>
        <w:rPr>
          <w:rFonts w:ascii="Times New Roman" w:hAnsi="Times New Roman"/>
          <w:color w:val="auto"/>
          <w:highlight w:val="none"/>
        </w:rPr>
        <w:t xml:space="preserve"> </w:t>
      </w:r>
      <w:r>
        <w:rPr>
          <w:rFonts w:ascii="Times New Roman" w:hAnsi="宋体"/>
          <w:color w:val="auto"/>
          <w:highlight w:val="none"/>
        </w:rPr>
        <w:t>委托人未按合同条款第三十二条、第三十三条、第三十四条约定支付监理服务酬金，除按专用合同条款约定向监理人支付逾期付款违约金外，还应继续履行合同约定的支付义务。</w:t>
      </w:r>
    </w:p>
    <w:p>
      <w:pPr>
        <w:pStyle w:val="43"/>
        <w:ind w:firstLine="361"/>
        <w:rPr>
          <w:rFonts w:ascii="Times New Roman" w:hAnsi="Times New Roman"/>
          <w:color w:val="auto"/>
          <w:highlight w:val="none"/>
        </w:rPr>
      </w:pPr>
      <w:r>
        <w:rPr>
          <w:rFonts w:ascii="Times New Roman" w:hAnsi="宋体"/>
          <w:b/>
          <w:color w:val="auto"/>
          <w:highlight w:val="none"/>
        </w:rPr>
        <w:t>第四十二条</w:t>
      </w:r>
      <w:r>
        <w:rPr>
          <w:rFonts w:ascii="Times New Roman" w:hAnsi="Times New Roman"/>
          <w:color w:val="auto"/>
          <w:highlight w:val="none"/>
        </w:rPr>
        <w:t xml:space="preserve"> </w:t>
      </w:r>
      <w:r>
        <w:rPr>
          <w:rFonts w:ascii="Times New Roman" w:hAnsi="宋体"/>
          <w:color w:val="auto"/>
          <w:highlight w:val="none"/>
        </w:rPr>
        <w:t>监理人未履行合同条款第二十一条、第二十三条、第二十四条、第二十五条、第二十七条、第二十八条、第二十九条、第三十条、第三十一条约定的义务和责任，除按专用合同条款约定向委托人支付违约金外，还应继续履行合同约定的义务和责任。</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争议的解决</w:t>
      </w:r>
    </w:p>
    <w:p>
      <w:pPr>
        <w:pStyle w:val="43"/>
        <w:ind w:firstLine="361"/>
        <w:rPr>
          <w:rFonts w:ascii="Times New Roman" w:hAnsi="Times New Roman"/>
          <w:color w:val="auto"/>
          <w:highlight w:val="none"/>
        </w:rPr>
      </w:pPr>
      <w:r>
        <w:rPr>
          <w:rFonts w:ascii="Times New Roman" w:hAnsi="宋体"/>
          <w:b/>
          <w:color w:val="auto"/>
          <w:highlight w:val="none"/>
        </w:rPr>
        <w:t>第四十三条</w:t>
      </w:r>
      <w:r>
        <w:rPr>
          <w:rFonts w:ascii="Times New Roman" w:hAnsi="Times New Roman"/>
          <w:color w:val="auto"/>
          <w:highlight w:val="none"/>
        </w:rPr>
        <w:t xml:space="preserve"> </w:t>
      </w:r>
      <w:r>
        <w:rPr>
          <w:rFonts w:ascii="Times New Roman" w:hAnsi="宋体"/>
          <w:color w:val="auto"/>
          <w:highlight w:val="none"/>
        </w:rPr>
        <w:t>本合同发生争议，由当事人双方协商解决；也可由工程项目主管部门或合同争议调解机构调解；协商或调解未果时，经当事人双方同意可由仲裁机构仲裁；或向人民法院起诉。争议调解机构、仲裁机构在专用合同条款中约定。</w:t>
      </w:r>
    </w:p>
    <w:p>
      <w:pPr>
        <w:pStyle w:val="43"/>
        <w:ind w:firstLine="361"/>
        <w:rPr>
          <w:rFonts w:ascii="Times New Roman" w:hAnsi="Times New Roman"/>
          <w:color w:val="auto"/>
          <w:highlight w:val="none"/>
        </w:rPr>
      </w:pPr>
      <w:r>
        <w:rPr>
          <w:rFonts w:ascii="Times New Roman" w:hAnsi="宋体"/>
          <w:b/>
          <w:color w:val="auto"/>
          <w:highlight w:val="none"/>
        </w:rPr>
        <w:t>第四十四条</w:t>
      </w:r>
      <w:r>
        <w:rPr>
          <w:rFonts w:ascii="Times New Roman" w:hAnsi="Times New Roman"/>
          <w:color w:val="auto"/>
          <w:highlight w:val="none"/>
        </w:rPr>
        <w:t xml:space="preserve"> </w:t>
      </w:r>
      <w:r>
        <w:rPr>
          <w:rFonts w:ascii="Times New Roman" w:hAnsi="宋体"/>
          <w:color w:val="auto"/>
          <w:highlight w:val="none"/>
        </w:rPr>
        <w:t>在争议协商、调解、仲裁或起诉过程中，双方仍应继续履行本合同约定的责任和义务。</w:t>
      </w:r>
    </w:p>
    <w:p>
      <w:pPr>
        <w:pStyle w:val="43"/>
        <w:spacing w:before="120" w:beforeLines="50" w:after="120" w:afterLines="50"/>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其</w:t>
      </w:r>
      <w:r>
        <w:rPr>
          <w:rFonts w:ascii="Times New Roman" w:hAnsi="Times New Roman"/>
          <w:color w:val="auto"/>
          <w:sz w:val="28"/>
          <w:szCs w:val="28"/>
          <w:highlight w:val="none"/>
        </w:rPr>
        <w:t xml:space="preserve">   </w:t>
      </w:r>
      <w:r>
        <w:rPr>
          <w:rFonts w:ascii="Times New Roman" w:hAnsi="宋体"/>
          <w:color w:val="auto"/>
          <w:sz w:val="28"/>
          <w:szCs w:val="28"/>
          <w:highlight w:val="none"/>
        </w:rPr>
        <w:t>他</w:t>
      </w:r>
    </w:p>
    <w:p>
      <w:pPr>
        <w:pStyle w:val="43"/>
        <w:ind w:firstLine="361"/>
        <w:rPr>
          <w:rFonts w:ascii="Times New Roman" w:hAnsi="Times New Roman"/>
          <w:color w:val="auto"/>
          <w:highlight w:val="none"/>
        </w:rPr>
      </w:pPr>
      <w:r>
        <w:rPr>
          <w:rFonts w:ascii="Times New Roman" w:hAnsi="宋体"/>
          <w:b/>
          <w:color w:val="auto"/>
          <w:highlight w:val="none"/>
        </w:rPr>
        <w:t>第四十五条</w:t>
      </w:r>
      <w:r>
        <w:rPr>
          <w:rFonts w:ascii="Times New Roman" w:hAnsi="Times New Roman"/>
          <w:color w:val="auto"/>
          <w:highlight w:val="none"/>
        </w:rPr>
        <w:t xml:space="preserve"> </w:t>
      </w:r>
      <w:r>
        <w:rPr>
          <w:rFonts w:ascii="Times New Roman" w:hAnsi="宋体"/>
          <w:color w:val="auto"/>
          <w:highlight w:val="none"/>
        </w:rPr>
        <w:t>委托人可以对监理人提出并落实的合理化建议给予奖励。奖励办法在专用合同条款中约定。</w:t>
      </w:r>
    </w:p>
    <w:p>
      <w:pPr>
        <w:pStyle w:val="43"/>
        <w:ind w:firstLine="361"/>
        <w:jc w:val="center"/>
        <w:rPr>
          <w:rFonts w:ascii="Times New Roman" w:hAnsi="Times New Roman"/>
          <w:b/>
          <w:color w:val="auto"/>
          <w:kern w:val="0"/>
          <w:sz w:val="32"/>
          <w:szCs w:val="32"/>
          <w:highlight w:val="none"/>
        </w:rPr>
      </w:pPr>
    </w:p>
    <w:p>
      <w:pPr>
        <w:pStyle w:val="43"/>
        <w:ind w:firstLine="361"/>
        <w:jc w:val="center"/>
        <w:rPr>
          <w:rFonts w:ascii="Times New Roman" w:hAnsi="Times New Roman"/>
          <w:b/>
          <w:color w:val="auto"/>
          <w:kern w:val="0"/>
          <w:sz w:val="32"/>
          <w:szCs w:val="32"/>
          <w:highlight w:val="none"/>
        </w:rPr>
      </w:pPr>
      <w:r>
        <w:rPr>
          <w:rFonts w:ascii="Times New Roman" w:hAnsi="宋体"/>
          <w:b/>
          <w:color w:val="auto"/>
          <w:kern w:val="0"/>
          <w:sz w:val="32"/>
          <w:szCs w:val="32"/>
          <w:highlight w:val="none"/>
        </w:rPr>
        <w:br w:type="column"/>
      </w:r>
      <w:r>
        <w:rPr>
          <w:rFonts w:ascii="Times New Roman" w:hAnsi="宋体"/>
          <w:b/>
          <w:color w:val="auto"/>
          <w:kern w:val="0"/>
          <w:sz w:val="32"/>
          <w:szCs w:val="32"/>
          <w:highlight w:val="none"/>
        </w:rPr>
        <w:t>第二部分</w:t>
      </w:r>
      <w:r>
        <w:rPr>
          <w:rFonts w:ascii="Times New Roman" w:hAnsi="Times New Roman"/>
          <w:b/>
          <w:color w:val="auto"/>
          <w:kern w:val="0"/>
          <w:sz w:val="32"/>
          <w:szCs w:val="32"/>
          <w:highlight w:val="none"/>
        </w:rPr>
        <w:t xml:space="preserve"> </w:t>
      </w:r>
      <w:r>
        <w:rPr>
          <w:rFonts w:ascii="Times New Roman" w:hAnsi="宋体"/>
          <w:b/>
          <w:color w:val="auto"/>
          <w:kern w:val="0"/>
          <w:sz w:val="32"/>
          <w:szCs w:val="32"/>
          <w:highlight w:val="none"/>
        </w:rPr>
        <w:t>专用合同条款</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监理依据</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第三条</w:t>
      </w:r>
      <w:r>
        <w:rPr>
          <w:rFonts w:ascii="Times New Roman" w:hAnsi="Times New Roman"/>
          <w:color w:val="auto"/>
          <w:highlight w:val="none"/>
        </w:rPr>
        <w:t xml:space="preserve"> </w:t>
      </w:r>
      <w:r>
        <w:rPr>
          <w:rFonts w:ascii="Times New Roman" w:hAnsi="宋体"/>
          <w:color w:val="auto"/>
          <w:highlight w:val="none"/>
        </w:rPr>
        <w:t>本合同的监理依据为：</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水利部《水利工程建设监理规定》；</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水利部《水利工程建设监理单位管理办法》；</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水利部《水利工程建设监理人员管理办法》；</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《广东省建设工程监理条例》；</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广东省水利厅《监理导则》；</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其他适用于本合同的法律、法规和规章、有关文件。</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监理各项工作实施细则；</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经发包人批准的监理规划；</w:t>
      </w:r>
    </w:p>
    <w:p>
      <w:pPr>
        <w:pStyle w:val="43"/>
        <w:numPr>
          <w:ilvl w:val="0"/>
          <w:numId w:val="3"/>
        </w:numPr>
        <w:spacing w:line="360" w:lineRule="auto"/>
        <w:ind w:firstLine="360"/>
        <w:rPr>
          <w:rFonts w:ascii="Times New Roman" w:hAnsi="Times New Roman"/>
          <w:color w:val="auto"/>
          <w:highlight w:val="none"/>
        </w:rPr>
      </w:pPr>
      <w:r>
        <w:rPr>
          <w:rFonts w:hint="eastAsia" w:ascii="Times New Roman" w:hAnsi="宋体"/>
          <w:color w:val="auto"/>
          <w:highlight w:val="none"/>
        </w:rPr>
        <w:t>本</w:t>
      </w:r>
      <w:r>
        <w:rPr>
          <w:rFonts w:ascii="Times New Roman" w:hAnsi="宋体"/>
          <w:color w:val="auto"/>
          <w:highlight w:val="none"/>
        </w:rPr>
        <w:t>工程</w:t>
      </w:r>
      <w:r>
        <w:rPr>
          <w:rFonts w:hint="eastAsia" w:ascii="Times New Roman" w:hAnsi="宋体"/>
          <w:color w:val="auto"/>
          <w:highlight w:val="none"/>
        </w:rPr>
        <w:t>可行性研究报告、</w:t>
      </w:r>
      <w:r>
        <w:rPr>
          <w:rFonts w:ascii="Times New Roman" w:hAnsi="宋体"/>
          <w:color w:val="auto"/>
          <w:highlight w:val="none"/>
        </w:rPr>
        <w:t>初步设计报告及其批复文件；</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工程设计文件（包括图纸和设计说明）；</w:t>
      </w:r>
    </w:p>
    <w:p>
      <w:pPr>
        <w:pStyle w:val="43"/>
        <w:numPr>
          <w:ilvl w:val="0"/>
          <w:numId w:val="3"/>
        </w:numPr>
        <w:spacing w:line="360" w:lineRule="auto"/>
        <w:ind w:firstLine="360"/>
        <w:rPr>
          <w:rFonts w:hint="eastAsia" w:ascii="Times New Roman" w:hAnsi="Times New Roman"/>
          <w:color w:val="auto"/>
          <w:highlight w:val="none"/>
        </w:rPr>
      </w:pPr>
      <w:r>
        <w:rPr>
          <w:rFonts w:ascii="Times New Roman" w:hAnsi="宋体"/>
          <w:color w:val="auto"/>
          <w:highlight w:val="none"/>
        </w:rPr>
        <w:t>工程地质钻探资料；</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本工程监理合同；</w:t>
      </w:r>
    </w:p>
    <w:p>
      <w:pPr>
        <w:pStyle w:val="43"/>
        <w:numPr>
          <w:ilvl w:val="0"/>
          <w:numId w:val="3"/>
        </w:numPr>
        <w:spacing w:line="360" w:lineRule="auto"/>
        <w:ind w:firstLine="360"/>
        <w:rPr>
          <w:rFonts w:ascii="Times New Roman" w:hAnsi="Times New Roman"/>
          <w:color w:val="auto"/>
          <w:highlight w:val="none"/>
        </w:rPr>
      </w:pPr>
      <w:r>
        <w:rPr>
          <w:rFonts w:ascii="Times New Roman" w:hAnsi="宋体"/>
          <w:color w:val="auto"/>
          <w:highlight w:val="none"/>
        </w:rPr>
        <w:t>工程施工承包合同</w:t>
      </w:r>
      <w:r>
        <w:rPr>
          <w:rFonts w:hint="eastAsia" w:ascii="Times New Roman" w:hAnsi="宋体"/>
          <w:color w:val="auto"/>
          <w:highlight w:val="none"/>
        </w:rPr>
        <w:t>。</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委托人的权利</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第七条</w:t>
      </w:r>
      <w:r>
        <w:rPr>
          <w:rFonts w:hint="eastAsia" w:ascii="Times New Roman" w:hAnsi="宋体"/>
          <w:b/>
          <w:color w:val="auto"/>
          <w:highlight w:val="none"/>
        </w:rPr>
        <w:t xml:space="preserve"> </w:t>
      </w:r>
      <w:r>
        <w:rPr>
          <w:rFonts w:ascii="Times New Roman" w:hAnsi="宋体"/>
          <w:color w:val="auto"/>
          <w:highlight w:val="none"/>
        </w:rPr>
        <w:t>当监理人发生下列违约情形时，委托人有权解除合同：</w:t>
      </w:r>
    </w:p>
    <w:p>
      <w:pPr>
        <w:pStyle w:val="43"/>
        <w:spacing w:line="360" w:lineRule="auto"/>
        <w:ind w:firstLine="480" w:firstLineChars="200"/>
        <w:rPr>
          <w:rFonts w:ascii="Times New Roman" w:hAnsi="Times New Roman"/>
          <w:color w:val="auto"/>
          <w:highlight w:val="none"/>
          <w:u w:val="single"/>
        </w:rPr>
      </w:pPr>
      <w:r>
        <w:rPr>
          <w:rFonts w:ascii="Times New Roman" w:hAnsi="Times New Roman"/>
          <w:color w:val="auto"/>
          <w:highlight w:val="none"/>
        </w:rPr>
        <w:t>1</w:t>
      </w:r>
      <w:r>
        <w:rPr>
          <w:rFonts w:ascii="Times New Roman" w:hAnsi="宋体"/>
          <w:color w:val="auto"/>
          <w:highlight w:val="none"/>
        </w:rPr>
        <w:t>、本合同第四十二条第</w:t>
      </w:r>
      <w:r>
        <w:rPr>
          <w:rFonts w:ascii="Times New Roman" w:hAnsi="Times New Roman"/>
          <w:color w:val="auto"/>
          <w:highlight w:val="none"/>
        </w:rPr>
        <w:t>(13)</w:t>
      </w:r>
      <w:r>
        <w:rPr>
          <w:rFonts w:ascii="Times New Roman" w:hAnsi="宋体"/>
          <w:color w:val="auto"/>
          <w:highlight w:val="none"/>
        </w:rPr>
        <w:t>款。</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监理人的权利</w:t>
      </w:r>
    </w:p>
    <w:p>
      <w:pPr>
        <w:pStyle w:val="43"/>
        <w:spacing w:line="360" w:lineRule="auto"/>
        <w:ind w:firstLine="361"/>
        <w:rPr>
          <w:rFonts w:hint="eastAsia" w:ascii="Times New Roman" w:hAnsi="宋体"/>
          <w:b/>
          <w:color w:val="auto"/>
          <w:highlight w:val="none"/>
        </w:rPr>
      </w:pPr>
      <w:r>
        <w:rPr>
          <w:rFonts w:ascii="Times New Roman" w:hAnsi="宋体"/>
          <w:b/>
          <w:color w:val="auto"/>
          <w:highlight w:val="none"/>
        </w:rPr>
        <w:t>第八条</w:t>
      </w:r>
      <w:r>
        <w:rPr>
          <w:rFonts w:hint="eastAsia" w:ascii="Times New Roman" w:hAnsi="宋体"/>
          <w:b/>
          <w:color w:val="auto"/>
          <w:highlight w:val="none"/>
        </w:rPr>
        <w:t xml:space="preserve"> </w:t>
      </w:r>
      <w:r>
        <w:rPr>
          <w:rFonts w:ascii="Times New Roman" w:hAnsi="宋体"/>
          <w:color w:val="auto"/>
          <w:highlight w:val="none"/>
        </w:rPr>
        <w:t>委托人赋予监理人如下权利</w:t>
      </w:r>
    </w:p>
    <w:p>
      <w:pPr>
        <w:pStyle w:val="43"/>
        <w:spacing w:line="360" w:lineRule="auto"/>
        <w:ind w:firstLine="361"/>
        <w:rPr>
          <w:rFonts w:ascii="Times New Roman" w:hAnsi="Times New Roman"/>
          <w:color w:val="auto"/>
          <w:highlight w:val="none"/>
          <w:u w:val="single"/>
        </w:rPr>
      </w:pPr>
      <w:r>
        <w:rPr>
          <w:rFonts w:hint="eastAsia" w:ascii="Times New Roman" w:hAnsi="宋体"/>
          <w:color w:val="auto"/>
          <w:highlight w:val="none"/>
        </w:rPr>
        <w:t>（一）</w:t>
      </w:r>
      <w:r>
        <w:rPr>
          <w:rFonts w:ascii="Times New Roman" w:hAnsi="宋体"/>
          <w:color w:val="auto"/>
          <w:highlight w:val="none"/>
        </w:rPr>
        <w:t>当委托人发生下列违约情形时，监理人有权解除合同：在工程正常施工期间，委托人连续两个季度未向监理人支付进度款。</w:t>
      </w:r>
    </w:p>
    <w:p>
      <w:pPr>
        <w:pStyle w:val="43"/>
        <w:spacing w:line="360" w:lineRule="auto"/>
        <w:ind w:firstLine="354" w:firstLineChars="147"/>
        <w:rPr>
          <w:rFonts w:ascii="Times New Roman" w:hAnsi="Times New Roman"/>
          <w:color w:val="auto"/>
          <w:highlight w:val="none"/>
        </w:rPr>
      </w:pPr>
      <w:r>
        <w:rPr>
          <w:rFonts w:hint="eastAsia" w:ascii="Times New Roman" w:hAnsi="宋体"/>
          <w:b/>
          <w:color w:val="auto"/>
          <w:highlight w:val="none"/>
        </w:rPr>
        <w:t>（二）</w:t>
      </w:r>
      <w:r>
        <w:rPr>
          <w:rFonts w:ascii="Times New Roman" w:hAnsi="宋体"/>
          <w:color w:val="auto"/>
          <w:highlight w:val="none"/>
        </w:rPr>
        <w:t>委托人</w:t>
      </w:r>
      <w:r>
        <w:rPr>
          <w:rFonts w:ascii="Times New Roman" w:hAnsi="宋体"/>
          <w:color w:val="auto"/>
          <w:highlight w:val="none"/>
          <w:shd w:val="clear" w:color="auto" w:fill="FFFFFF"/>
        </w:rPr>
        <w:t>赋</w:t>
      </w:r>
      <w:r>
        <w:rPr>
          <w:rFonts w:ascii="Times New Roman" w:hAnsi="宋体"/>
          <w:color w:val="auto"/>
          <w:highlight w:val="none"/>
        </w:rPr>
        <w:t>予监理人的其他权利：</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highlight w:val="none"/>
        </w:rPr>
        <w:t>1</w:t>
      </w:r>
      <w:r>
        <w:rPr>
          <w:rFonts w:ascii="Times New Roman" w:hAnsi="宋体"/>
          <w:color w:val="auto"/>
          <w:highlight w:val="none"/>
        </w:rPr>
        <w:t>、</w:t>
      </w:r>
      <w:r>
        <w:rPr>
          <w:rFonts w:ascii="Times New Roman" w:hAnsi="宋体"/>
          <w:color w:val="auto"/>
          <w:kern w:val="0"/>
          <w:highlight w:val="none"/>
        </w:rPr>
        <w:t>选择工程施工、设备和材料供应等单位的建议权。</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2</w:t>
      </w:r>
      <w:r>
        <w:rPr>
          <w:rFonts w:ascii="Times New Roman" w:hAnsi="宋体"/>
          <w:color w:val="auto"/>
          <w:kern w:val="0"/>
          <w:highlight w:val="none"/>
        </w:rPr>
        <w:t>、协助发包人签订工程建设合同。</w:t>
      </w:r>
    </w:p>
    <w:p>
      <w:pPr>
        <w:pStyle w:val="43"/>
        <w:spacing w:line="360" w:lineRule="auto"/>
        <w:ind w:firstLine="480" w:firstLineChars="200"/>
        <w:rPr>
          <w:rFonts w:ascii="Times New Roman" w:hAnsi="Times New Roman"/>
          <w:color w:val="auto"/>
          <w:highlight w:val="none"/>
        </w:rPr>
      </w:pPr>
      <w:r>
        <w:rPr>
          <w:rFonts w:ascii="Times New Roman" w:hAnsi="Times New Roman"/>
          <w:color w:val="auto"/>
          <w:kern w:val="0"/>
          <w:highlight w:val="none"/>
        </w:rPr>
        <w:t>3</w:t>
      </w:r>
      <w:r>
        <w:rPr>
          <w:rFonts w:ascii="Times New Roman" w:hAnsi="宋体"/>
          <w:color w:val="auto"/>
          <w:kern w:val="0"/>
          <w:highlight w:val="none"/>
        </w:rPr>
        <w:t>、</w:t>
      </w:r>
      <w:r>
        <w:rPr>
          <w:rFonts w:ascii="Times New Roman" w:hAnsi="宋体"/>
          <w:color w:val="auto"/>
          <w:highlight w:val="none"/>
        </w:rPr>
        <w:t>当变更引起的合同价格增加</w:t>
      </w:r>
      <w:r>
        <w:rPr>
          <w:rFonts w:ascii="Times New Roman" w:hAnsi="宋体"/>
          <w:b/>
          <w:color w:val="auto"/>
          <w:highlight w:val="none"/>
        </w:rPr>
        <w:t>不大于</w:t>
      </w:r>
      <w:r>
        <w:rPr>
          <w:rFonts w:ascii="Times New Roman" w:hAnsi="Times New Roman"/>
          <w:b/>
          <w:color w:val="auto"/>
          <w:highlight w:val="none"/>
        </w:rPr>
        <w:t>1000</w:t>
      </w:r>
      <w:r>
        <w:rPr>
          <w:rFonts w:ascii="Times New Roman" w:hAnsi="宋体"/>
          <w:b/>
          <w:color w:val="auto"/>
          <w:highlight w:val="none"/>
        </w:rPr>
        <w:t>元，</w:t>
      </w:r>
      <w:r>
        <w:rPr>
          <w:rFonts w:ascii="Times New Roman" w:hAnsi="宋体"/>
          <w:color w:val="auto"/>
          <w:highlight w:val="none"/>
        </w:rPr>
        <w:t>设计变更现场的处置权。</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highlight w:val="none"/>
        </w:rPr>
        <w:t>4</w:t>
      </w:r>
      <w:r>
        <w:rPr>
          <w:rFonts w:ascii="Times New Roman" w:hAnsi="宋体"/>
          <w:color w:val="auto"/>
          <w:highlight w:val="none"/>
        </w:rPr>
        <w:t>、</w:t>
      </w:r>
      <w:r>
        <w:rPr>
          <w:rFonts w:ascii="Times New Roman" w:hAnsi="宋体"/>
          <w:color w:val="auto"/>
          <w:kern w:val="0"/>
          <w:highlight w:val="none"/>
        </w:rPr>
        <w:t>对全部工程的所有部位及其任何一项工艺、材料、构件和工程设备的检查、检验权。但上述的一切检查、检验不免除承包人按有关合同规定应负的责任。</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5</w:t>
      </w:r>
      <w:r>
        <w:rPr>
          <w:rFonts w:ascii="Times New Roman" w:hAnsi="宋体"/>
          <w:color w:val="auto"/>
          <w:kern w:val="0"/>
          <w:highlight w:val="none"/>
        </w:rPr>
        <w:t>、对全部工程的施工质量和工程上使用的材料、设备的检验权和确认权；安全生产和文明施工的监督权。</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6</w:t>
      </w:r>
      <w:r>
        <w:rPr>
          <w:rFonts w:ascii="Times New Roman" w:hAnsi="宋体"/>
          <w:color w:val="auto"/>
          <w:kern w:val="0"/>
          <w:highlight w:val="none"/>
        </w:rPr>
        <w:t>、工程施工进度的检查、监督权以及工程建设合同工期的签认权。</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7</w:t>
      </w:r>
      <w:r>
        <w:rPr>
          <w:rFonts w:ascii="Times New Roman" w:hAnsi="宋体"/>
          <w:color w:val="auto"/>
          <w:kern w:val="0"/>
          <w:highlight w:val="none"/>
        </w:rPr>
        <w:t>、工程款支付的审核和签认权，工程结算的复核确认和否认权。未经监理机构签字确认，发包人不支付任何工程款项。</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8</w:t>
      </w:r>
      <w:r>
        <w:rPr>
          <w:rFonts w:ascii="Times New Roman" w:hAnsi="宋体"/>
          <w:color w:val="auto"/>
          <w:kern w:val="0"/>
          <w:highlight w:val="none"/>
        </w:rPr>
        <w:t>、组织协调工程建设有关各方关系的主持权。</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9</w:t>
      </w:r>
      <w:r>
        <w:rPr>
          <w:rFonts w:ascii="Times New Roman" w:hAnsi="宋体"/>
          <w:color w:val="auto"/>
          <w:kern w:val="0"/>
          <w:highlight w:val="none"/>
        </w:rPr>
        <w:t>、按照安全和优化的原则，对工程实施中的重大技术问题自主向设计单位提出建议意见，并向发包人提出书面报告。</w:t>
      </w:r>
    </w:p>
    <w:p>
      <w:pPr>
        <w:pStyle w:val="43"/>
        <w:spacing w:line="360" w:lineRule="auto"/>
        <w:ind w:firstLine="480" w:firstLineChars="200"/>
        <w:rPr>
          <w:rFonts w:ascii="Times New Roman" w:hAnsi="Times New Roman"/>
          <w:color w:val="auto"/>
          <w:kern w:val="0"/>
          <w:highlight w:val="none"/>
        </w:rPr>
      </w:pPr>
      <w:r>
        <w:rPr>
          <w:rFonts w:ascii="Times New Roman" w:hAnsi="Times New Roman"/>
          <w:color w:val="auto"/>
          <w:kern w:val="0"/>
          <w:highlight w:val="none"/>
        </w:rPr>
        <w:t>10</w:t>
      </w:r>
      <w:r>
        <w:rPr>
          <w:rFonts w:ascii="Times New Roman" w:hAnsi="宋体"/>
          <w:color w:val="auto"/>
          <w:kern w:val="0"/>
          <w:highlight w:val="none"/>
        </w:rPr>
        <w:t>、工程建设实施设计文件的审核确认权。只有经监理机构审核确认并加盖公章的施工图纸和设计文件，才能成为有效的施工依据。</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委托人的义务</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第十条</w:t>
      </w:r>
      <w:r>
        <w:rPr>
          <w:rFonts w:ascii="Times New Roman" w:hAnsi="Times New Roman"/>
          <w:color w:val="auto"/>
          <w:highlight w:val="none"/>
        </w:rPr>
        <w:t xml:space="preserve"> </w:t>
      </w:r>
      <w:r>
        <w:rPr>
          <w:rFonts w:ascii="Times New Roman" w:hAnsi="宋体"/>
          <w:color w:val="auto"/>
          <w:highlight w:val="none"/>
        </w:rPr>
        <w:t>委托人向监理机构免费提供的资料为：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48"/>
        <w:gridCol w:w="813"/>
        <w:gridCol w:w="1626"/>
        <w:gridCol w:w="1626"/>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pStyle w:val="43"/>
              <w:spacing w:line="360" w:lineRule="auto"/>
              <w:jc w:val="center"/>
              <w:rPr>
                <w:rFonts w:ascii="Times New Roman" w:hAnsi="Times New Roman"/>
                <w:b/>
                <w:color w:val="auto"/>
                <w:sz w:val="21"/>
                <w:szCs w:val="21"/>
                <w:highlight w:val="none"/>
              </w:rPr>
            </w:pPr>
            <w:r>
              <w:rPr>
                <w:rFonts w:ascii="Times New Roman" w:hAnsi="宋体"/>
                <w:b/>
                <w:color w:val="auto"/>
                <w:sz w:val="21"/>
                <w:szCs w:val="21"/>
                <w:highlight w:val="none"/>
              </w:rPr>
              <w:t>序号</w:t>
            </w:r>
          </w:p>
        </w:tc>
        <w:tc>
          <w:tcPr>
            <w:tcW w:w="2848" w:type="dxa"/>
            <w:noWrap w:val="0"/>
            <w:vAlign w:val="center"/>
          </w:tcPr>
          <w:p>
            <w:pPr>
              <w:pStyle w:val="43"/>
              <w:spacing w:line="360" w:lineRule="auto"/>
              <w:jc w:val="center"/>
              <w:rPr>
                <w:rFonts w:ascii="Times New Roman" w:hAnsi="Times New Roman"/>
                <w:b/>
                <w:color w:val="auto"/>
                <w:sz w:val="21"/>
                <w:szCs w:val="21"/>
                <w:highlight w:val="none"/>
              </w:rPr>
            </w:pPr>
            <w:r>
              <w:rPr>
                <w:rFonts w:ascii="Times New Roman" w:hAnsi="宋体"/>
                <w:b/>
                <w:color w:val="auto"/>
                <w:sz w:val="21"/>
                <w:szCs w:val="21"/>
                <w:highlight w:val="none"/>
              </w:rPr>
              <w:t>资料名称</w:t>
            </w:r>
          </w:p>
        </w:tc>
        <w:tc>
          <w:tcPr>
            <w:tcW w:w="813" w:type="dxa"/>
            <w:noWrap w:val="0"/>
            <w:vAlign w:val="center"/>
          </w:tcPr>
          <w:p>
            <w:pPr>
              <w:pStyle w:val="43"/>
              <w:spacing w:line="360" w:lineRule="auto"/>
              <w:jc w:val="center"/>
              <w:rPr>
                <w:rFonts w:ascii="Times New Roman" w:hAnsi="Times New Roman"/>
                <w:b/>
                <w:color w:val="auto"/>
                <w:sz w:val="21"/>
                <w:szCs w:val="21"/>
                <w:highlight w:val="none"/>
              </w:rPr>
            </w:pPr>
            <w:r>
              <w:rPr>
                <w:rFonts w:ascii="Times New Roman" w:hAnsi="宋体"/>
                <w:b/>
                <w:color w:val="auto"/>
                <w:sz w:val="21"/>
                <w:szCs w:val="21"/>
                <w:highlight w:val="none"/>
              </w:rPr>
              <w:t>份数</w:t>
            </w:r>
          </w:p>
        </w:tc>
        <w:tc>
          <w:tcPr>
            <w:tcW w:w="1626" w:type="dxa"/>
            <w:noWrap w:val="0"/>
            <w:vAlign w:val="center"/>
          </w:tcPr>
          <w:p>
            <w:pPr>
              <w:pStyle w:val="43"/>
              <w:spacing w:line="360" w:lineRule="auto"/>
              <w:jc w:val="center"/>
              <w:rPr>
                <w:rFonts w:ascii="Times New Roman" w:hAnsi="Times New Roman"/>
                <w:b/>
                <w:color w:val="auto"/>
                <w:sz w:val="21"/>
                <w:szCs w:val="21"/>
                <w:highlight w:val="none"/>
              </w:rPr>
            </w:pPr>
            <w:r>
              <w:rPr>
                <w:rFonts w:ascii="Times New Roman" w:hAnsi="宋体"/>
                <w:b/>
                <w:color w:val="auto"/>
                <w:sz w:val="21"/>
                <w:szCs w:val="21"/>
                <w:highlight w:val="none"/>
              </w:rPr>
              <w:t>提供时间</w:t>
            </w:r>
          </w:p>
        </w:tc>
        <w:tc>
          <w:tcPr>
            <w:tcW w:w="1626" w:type="dxa"/>
            <w:noWrap w:val="0"/>
            <w:vAlign w:val="center"/>
          </w:tcPr>
          <w:p>
            <w:pPr>
              <w:pStyle w:val="43"/>
              <w:spacing w:line="360" w:lineRule="auto"/>
              <w:jc w:val="center"/>
              <w:rPr>
                <w:rFonts w:ascii="Times New Roman" w:hAnsi="Times New Roman"/>
                <w:b/>
                <w:color w:val="auto"/>
                <w:sz w:val="21"/>
                <w:szCs w:val="21"/>
                <w:highlight w:val="none"/>
              </w:rPr>
            </w:pPr>
            <w:r>
              <w:rPr>
                <w:rFonts w:ascii="Times New Roman" w:hAnsi="宋体"/>
                <w:b/>
                <w:color w:val="auto"/>
                <w:sz w:val="21"/>
                <w:szCs w:val="21"/>
                <w:highlight w:val="none"/>
              </w:rPr>
              <w:t>收回时间</w:t>
            </w:r>
          </w:p>
        </w:tc>
        <w:tc>
          <w:tcPr>
            <w:tcW w:w="2236" w:type="dxa"/>
            <w:noWrap w:val="0"/>
            <w:vAlign w:val="center"/>
          </w:tcPr>
          <w:p>
            <w:pPr>
              <w:pStyle w:val="43"/>
              <w:spacing w:line="360" w:lineRule="auto"/>
              <w:jc w:val="center"/>
              <w:rPr>
                <w:rFonts w:ascii="Times New Roman" w:hAnsi="Times New Roman"/>
                <w:b/>
                <w:color w:val="auto"/>
                <w:sz w:val="21"/>
                <w:szCs w:val="21"/>
                <w:highlight w:val="none"/>
              </w:rPr>
            </w:pPr>
            <w:r>
              <w:rPr>
                <w:rFonts w:ascii="Times New Roman" w:hAnsi="宋体"/>
                <w:b/>
                <w:color w:val="auto"/>
                <w:sz w:val="21"/>
                <w:szCs w:val="21"/>
                <w:highlight w:val="none"/>
              </w:rPr>
              <w:t>保存和保密要求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3" w:type="dxa"/>
            <w:noWrap w:val="0"/>
            <w:vAlign w:val="center"/>
          </w:tcPr>
          <w:p>
            <w:pPr>
              <w:pStyle w:val="43"/>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1</w:t>
            </w:r>
          </w:p>
        </w:tc>
        <w:tc>
          <w:tcPr>
            <w:tcW w:w="2848"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主管部门批准的项目建设文件及附件</w:t>
            </w:r>
          </w:p>
        </w:tc>
        <w:tc>
          <w:tcPr>
            <w:tcW w:w="813"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1</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合同生效后</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合同终止时</w:t>
            </w:r>
          </w:p>
        </w:tc>
        <w:tc>
          <w:tcPr>
            <w:tcW w:w="223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pStyle w:val="43"/>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2</w:t>
            </w:r>
          </w:p>
        </w:tc>
        <w:tc>
          <w:tcPr>
            <w:tcW w:w="2848"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设计文件及图纸</w:t>
            </w:r>
          </w:p>
        </w:tc>
        <w:tc>
          <w:tcPr>
            <w:tcW w:w="813"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1</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合同生效后</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合同终止时</w:t>
            </w:r>
          </w:p>
        </w:tc>
        <w:tc>
          <w:tcPr>
            <w:tcW w:w="2236" w:type="dxa"/>
            <w:noWrap w:val="0"/>
            <w:vAlign w:val="center"/>
          </w:tcPr>
          <w:p>
            <w:pPr>
              <w:pStyle w:val="43"/>
              <w:snapToGrid w:val="0"/>
              <w:spacing w:line="360" w:lineRule="auto"/>
              <w:jc w:val="center"/>
              <w:rPr>
                <w:rFonts w:ascii="Times New Roman" w:hAnsi="Times New Roman"/>
                <w:color w:val="auto"/>
                <w:kern w:val="0"/>
                <w:sz w:val="21"/>
                <w:szCs w:val="21"/>
                <w:highlight w:val="none"/>
              </w:rPr>
            </w:pPr>
            <w:r>
              <w:rPr>
                <w:rFonts w:ascii="Times New Roman" w:hAnsi="宋体"/>
                <w:color w:val="auto"/>
                <w:kern w:val="0"/>
                <w:sz w:val="21"/>
                <w:szCs w:val="21"/>
                <w:highlight w:val="none"/>
              </w:rPr>
              <w:t>不得流入非相</w:t>
            </w:r>
          </w:p>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关单位及个人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13" w:type="dxa"/>
            <w:noWrap w:val="0"/>
            <w:vAlign w:val="center"/>
          </w:tcPr>
          <w:p>
            <w:pPr>
              <w:pStyle w:val="43"/>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3</w:t>
            </w:r>
          </w:p>
        </w:tc>
        <w:tc>
          <w:tcPr>
            <w:tcW w:w="2848"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有关技术资料</w:t>
            </w:r>
          </w:p>
        </w:tc>
        <w:tc>
          <w:tcPr>
            <w:tcW w:w="813"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1</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合同生效后</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合同终止时</w:t>
            </w:r>
          </w:p>
        </w:tc>
        <w:tc>
          <w:tcPr>
            <w:tcW w:w="2236" w:type="dxa"/>
            <w:noWrap w:val="0"/>
            <w:vAlign w:val="center"/>
          </w:tcPr>
          <w:p>
            <w:pPr>
              <w:pStyle w:val="43"/>
              <w:snapToGrid w:val="0"/>
              <w:spacing w:line="360" w:lineRule="auto"/>
              <w:jc w:val="center"/>
              <w:rPr>
                <w:rFonts w:ascii="Times New Roman" w:hAnsi="Times New Roman"/>
                <w:color w:val="auto"/>
                <w:kern w:val="0"/>
                <w:sz w:val="21"/>
                <w:szCs w:val="21"/>
                <w:highlight w:val="none"/>
              </w:rPr>
            </w:pPr>
            <w:r>
              <w:rPr>
                <w:rFonts w:ascii="Times New Roman" w:hAnsi="宋体"/>
                <w:color w:val="auto"/>
                <w:kern w:val="0"/>
                <w:sz w:val="21"/>
                <w:szCs w:val="21"/>
                <w:highlight w:val="none"/>
              </w:rPr>
              <w:t>不得流入非相</w:t>
            </w:r>
          </w:p>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关单位及个人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3" w:type="dxa"/>
            <w:noWrap w:val="0"/>
            <w:vAlign w:val="center"/>
          </w:tcPr>
          <w:p>
            <w:pPr>
              <w:pStyle w:val="43"/>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4</w:t>
            </w:r>
          </w:p>
        </w:tc>
        <w:tc>
          <w:tcPr>
            <w:tcW w:w="2848"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与有关承包人签订的合同</w:t>
            </w:r>
          </w:p>
        </w:tc>
        <w:tc>
          <w:tcPr>
            <w:tcW w:w="813"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1</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合同生效后</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合同终止时</w:t>
            </w:r>
          </w:p>
        </w:tc>
        <w:tc>
          <w:tcPr>
            <w:tcW w:w="223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center"/>
          </w:tcPr>
          <w:p>
            <w:pPr>
              <w:pStyle w:val="43"/>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5</w:t>
            </w:r>
          </w:p>
        </w:tc>
        <w:tc>
          <w:tcPr>
            <w:tcW w:w="2848"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其他有关资料</w:t>
            </w:r>
          </w:p>
        </w:tc>
        <w:tc>
          <w:tcPr>
            <w:tcW w:w="813"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Times New Roman"/>
                <w:color w:val="auto"/>
                <w:kern w:val="0"/>
                <w:sz w:val="21"/>
                <w:szCs w:val="21"/>
                <w:highlight w:val="none"/>
              </w:rPr>
              <w:t>1</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合同生效后</w:t>
            </w:r>
          </w:p>
        </w:tc>
        <w:tc>
          <w:tcPr>
            <w:tcW w:w="162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合同终止时</w:t>
            </w:r>
          </w:p>
        </w:tc>
        <w:tc>
          <w:tcPr>
            <w:tcW w:w="2236" w:type="dxa"/>
            <w:noWrap w:val="0"/>
            <w:vAlign w:val="center"/>
          </w:tcPr>
          <w:p>
            <w:pPr>
              <w:pStyle w:val="43"/>
              <w:snapToGrid w:val="0"/>
              <w:spacing w:line="360" w:lineRule="auto"/>
              <w:jc w:val="center"/>
              <w:rPr>
                <w:rFonts w:ascii="Times New Roman" w:hAnsi="Times New Roman"/>
                <w:color w:val="auto"/>
                <w:sz w:val="21"/>
                <w:szCs w:val="21"/>
                <w:highlight w:val="none"/>
              </w:rPr>
            </w:pPr>
            <w:r>
              <w:rPr>
                <w:rFonts w:ascii="Times New Roman" w:hAnsi="宋体"/>
                <w:color w:val="auto"/>
                <w:kern w:val="0"/>
                <w:sz w:val="21"/>
                <w:szCs w:val="21"/>
                <w:highlight w:val="none"/>
              </w:rPr>
              <w:t>不得流入非相关单位及个人</w:t>
            </w:r>
          </w:p>
        </w:tc>
      </w:tr>
    </w:tbl>
    <w:p>
      <w:pPr>
        <w:pStyle w:val="43"/>
        <w:spacing w:line="360" w:lineRule="auto"/>
        <w:ind w:firstLine="361"/>
        <w:rPr>
          <w:rFonts w:ascii="Times New Roman" w:hAnsi="Times New Roman"/>
          <w:color w:val="auto"/>
          <w:highlight w:val="none"/>
        </w:rPr>
      </w:pPr>
      <w:r>
        <w:rPr>
          <w:rFonts w:ascii="Times New Roman" w:hAnsi="宋体"/>
          <w:b/>
          <w:color w:val="auto"/>
          <w:highlight w:val="none"/>
        </w:rPr>
        <w:t>第十一条</w:t>
      </w:r>
      <w:r>
        <w:rPr>
          <w:rFonts w:ascii="Times New Roman" w:hAnsi="Times New Roman"/>
          <w:color w:val="auto"/>
          <w:highlight w:val="none"/>
        </w:rPr>
        <w:t xml:space="preserve"> </w:t>
      </w:r>
      <w:r>
        <w:rPr>
          <w:rFonts w:ascii="Times New Roman" w:hAnsi="宋体"/>
          <w:color w:val="auto"/>
          <w:highlight w:val="none"/>
        </w:rPr>
        <w:t>委托人对监理机构书面提交并要求作出决定的事宜作出书面决定并送达的时限：</w:t>
      </w:r>
    </w:p>
    <w:p>
      <w:pPr>
        <w:pStyle w:val="43"/>
        <w:spacing w:line="360" w:lineRule="auto"/>
        <w:rPr>
          <w:rFonts w:ascii="Times New Roman" w:hAnsi="Times New Roman"/>
          <w:color w:val="auto"/>
          <w:highlight w:val="none"/>
        </w:rPr>
      </w:pPr>
      <w:r>
        <w:rPr>
          <w:rFonts w:ascii="Times New Roman" w:hAnsi="宋体"/>
          <w:color w:val="auto"/>
          <w:highlight w:val="none"/>
        </w:rPr>
        <w:t>一般文件</w:t>
      </w:r>
      <w:r>
        <w:rPr>
          <w:rFonts w:ascii="Times New Roman" w:hAnsi="Times New Roman"/>
          <w:color w:val="auto"/>
          <w:highlight w:val="none"/>
          <w:u w:val="single"/>
        </w:rPr>
        <w:t xml:space="preserve"> 7 </w:t>
      </w:r>
      <w:r>
        <w:rPr>
          <w:rFonts w:ascii="Times New Roman" w:hAnsi="宋体"/>
          <w:color w:val="auto"/>
          <w:highlight w:val="none"/>
        </w:rPr>
        <w:t>天；紧急事项</w:t>
      </w:r>
      <w:r>
        <w:rPr>
          <w:rFonts w:ascii="Times New Roman" w:hAnsi="Times New Roman"/>
          <w:color w:val="auto"/>
          <w:highlight w:val="none"/>
          <w:u w:val="single"/>
        </w:rPr>
        <w:t xml:space="preserve"> 2 </w:t>
      </w:r>
      <w:r>
        <w:rPr>
          <w:rFonts w:ascii="Times New Roman" w:hAnsi="宋体"/>
          <w:color w:val="auto"/>
          <w:highlight w:val="none"/>
        </w:rPr>
        <w:t>天；变更文件</w:t>
      </w:r>
      <w:r>
        <w:rPr>
          <w:rFonts w:ascii="Times New Roman" w:hAnsi="Times New Roman"/>
          <w:color w:val="auto"/>
          <w:highlight w:val="none"/>
          <w:u w:val="single"/>
        </w:rPr>
        <w:t xml:space="preserve"> 5 </w:t>
      </w:r>
      <w:r>
        <w:rPr>
          <w:rFonts w:ascii="Times New Roman" w:hAnsi="宋体"/>
          <w:color w:val="auto"/>
          <w:highlight w:val="none"/>
        </w:rPr>
        <w:t>天。</w:t>
      </w:r>
    </w:p>
    <w:p>
      <w:pPr>
        <w:pStyle w:val="43"/>
        <w:spacing w:line="360" w:lineRule="auto"/>
        <w:ind w:firstLine="361" w:firstLineChars="150"/>
        <w:rPr>
          <w:rFonts w:ascii="Times New Roman" w:hAnsi="Times New Roman"/>
          <w:color w:val="auto"/>
          <w:kern w:val="0"/>
          <w:highlight w:val="none"/>
        </w:rPr>
      </w:pPr>
      <w:r>
        <w:rPr>
          <w:rFonts w:ascii="Times New Roman" w:hAnsi="宋体"/>
          <w:b/>
          <w:color w:val="auto"/>
          <w:highlight w:val="none"/>
        </w:rPr>
        <w:t>第十三条</w:t>
      </w:r>
      <w:r>
        <w:rPr>
          <w:rFonts w:ascii="Times New Roman" w:hAnsi="Times New Roman"/>
          <w:b/>
          <w:color w:val="auto"/>
          <w:highlight w:val="none"/>
        </w:rPr>
        <w:t xml:space="preserve"> </w:t>
      </w:r>
      <w:r>
        <w:rPr>
          <w:rFonts w:ascii="Times New Roman" w:hAnsi="宋体"/>
          <w:color w:val="auto"/>
          <w:kern w:val="0"/>
          <w:highlight w:val="none"/>
        </w:rPr>
        <w:t>发包人不向监理机构提供生活和办公用房，不提供通讯设施、交通工具、办公设施和设备，也不向监理机构专门支付生活和办公用房、通讯设施、交通工具、办公设施和设备的使用、维护与运行等费用，监理人应将有关费用包含在合同监理服务费总金额中，并应在投标文件中列明拟投入的房屋、设施、设备、工具等的情况和房屋、设施、设备、工具等的使用、维修与运行等费用。合同实施期间的供水、供电由监理人自行解决。</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第十七条</w:t>
      </w:r>
      <w:r>
        <w:rPr>
          <w:rFonts w:ascii="Times New Roman" w:hAnsi="Times New Roman"/>
          <w:color w:val="auto"/>
          <w:highlight w:val="none"/>
        </w:rPr>
        <w:t xml:space="preserve"> </w:t>
      </w:r>
      <w:r>
        <w:rPr>
          <w:rFonts w:ascii="Times New Roman" w:hAnsi="宋体"/>
          <w:color w:val="auto"/>
          <w:highlight w:val="none"/>
        </w:rPr>
        <w:t>委托人不为监理人员投保人身意外伤害险和第三者责任险，由监理人自己投保，</w:t>
      </w:r>
      <w:r>
        <w:rPr>
          <w:rFonts w:ascii="Times New Roman" w:hAnsi="宋体"/>
          <w:color w:val="auto"/>
          <w:kern w:val="0"/>
          <w:highlight w:val="none"/>
        </w:rPr>
        <w:t>监理人应将</w:t>
      </w:r>
      <w:r>
        <w:rPr>
          <w:rFonts w:ascii="Times New Roman" w:hAnsi="宋体"/>
          <w:color w:val="auto"/>
          <w:highlight w:val="none"/>
        </w:rPr>
        <w:t>投保的费用</w:t>
      </w:r>
      <w:r>
        <w:rPr>
          <w:rFonts w:ascii="Times New Roman" w:hAnsi="宋体"/>
          <w:color w:val="auto"/>
          <w:kern w:val="0"/>
          <w:highlight w:val="none"/>
        </w:rPr>
        <w:t>包含在合同监理服务费总金额</w:t>
      </w:r>
      <w:r>
        <w:rPr>
          <w:rFonts w:ascii="Times New Roman" w:hAnsi="宋体"/>
          <w:color w:val="auto"/>
          <w:highlight w:val="none"/>
        </w:rPr>
        <w:t>中。</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监理人的义务</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第二十一条</w:t>
      </w:r>
      <w:r>
        <w:rPr>
          <w:rFonts w:ascii="Times New Roman" w:hAnsi="Times New Roman"/>
          <w:color w:val="auto"/>
          <w:highlight w:val="none"/>
        </w:rPr>
        <w:t xml:space="preserve"> </w:t>
      </w:r>
      <w:r>
        <w:rPr>
          <w:rFonts w:ascii="Times New Roman" w:hAnsi="宋体"/>
          <w:color w:val="auto"/>
          <w:highlight w:val="none"/>
        </w:rPr>
        <w:t>监理人应当在业主通知进场后</w:t>
      </w:r>
      <w:r>
        <w:rPr>
          <w:rFonts w:ascii="Times New Roman" w:hAnsi="Times New Roman"/>
          <w:color w:val="auto"/>
          <w:highlight w:val="none"/>
          <w:u w:val="single"/>
        </w:rPr>
        <w:t xml:space="preserve"> 5 </w:t>
      </w:r>
      <w:r>
        <w:rPr>
          <w:rFonts w:ascii="Times New Roman" w:hAnsi="宋体"/>
          <w:color w:val="auto"/>
          <w:highlight w:val="none"/>
        </w:rPr>
        <w:t>天内组建监理机构，并进驻现场。监理</w:t>
      </w:r>
      <w:r>
        <w:rPr>
          <w:rFonts w:ascii="Times New Roman" w:hAnsi="宋体"/>
          <w:color w:val="auto"/>
          <w:spacing w:val="-4"/>
          <w:szCs w:val="24"/>
          <w:highlight w:val="none"/>
        </w:rPr>
        <w:t>人未经业主同意不得随意更换派驻本项目的监理人员，否则委托人将责令其进行整改</w:t>
      </w:r>
      <w:r>
        <w:rPr>
          <w:rFonts w:ascii="Times New Roman" w:hAnsi="宋体"/>
          <w:color w:val="auto"/>
          <w:highlight w:val="none"/>
        </w:rPr>
        <w:t>。</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第二十七条</w:t>
      </w:r>
      <w:r>
        <w:rPr>
          <w:rFonts w:ascii="Times New Roman" w:hAnsi="Times New Roman"/>
          <w:color w:val="auto"/>
          <w:highlight w:val="none"/>
        </w:rPr>
        <w:t xml:space="preserve"> </w:t>
      </w:r>
      <w:r>
        <w:rPr>
          <w:rFonts w:ascii="Times New Roman" w:hAnsi="宋体"/>
          <w:color w:val="auto"/>
          <w:highlight w:val="none"/>
        </w:rPr>
        <w:t>需要旁站的重要部位和关键工序</w:t>
      </w:r>
    </w:p>
    <w:p>
      <w:pPr>
        <w:pStyle w:val="43"/>
        <w:adjustRightInd w:val="0"/>
        <w:snapToGrid w:val="0"/>
        <w:spacing w:line="360" w:lineRule="auto"/>
        <w:ind w:left="479" w:leftChars="228"/>
        <w:rPr>
          <w:rFonts w:ascii="Times New Roman" w:hAnsi="Times New Roman"/>
          <w:color w:val="auto"/>
          <w:highlight w:val="none"/>
        </w:rPr>
      </w:pPr>
      <w:r>
        <w:rPr>
          <w:rFonts w:ascii="Times New Roman" w:hAnsi="Times New Roman"/>
          <w:color w:val="auto"/>
          <w:highlight w:val="none"/>
        </w:rPr>
        <w:t>1</w:t>
      </w:r>
      <w:r>
        <w:rPr>
          <w:rFonts w:ascii="Times New Roman" w:hAnsi="宋体"/>
          <w:color w:val="auto"/>
          <w:highlight w:val="none"/>
        </w:rPr>
        <w:t>、需旁站监理的工程重要部位是：按现行有关规范。</w:t>
      </w:r>
    </w:p>
    <w:p>
      <w:pPr>
        <w:pStyle w:val="43"/>
        <w:adjustRightInd w:val="0"/>
        <w:snapToGrid w:val="0"/>
        <w:spacing w:line="360" w:lineRule="auto"/>
        <w:ind w:left="479" w:leftChars="228"/>
        <w:rPr>
          <w:rFonts w:ascii="Times New Roman" w:hAnsi="Times New Roman"/>
          <w:color w:val="auto"/>
          <w:highlight w:val="none"/>
        </w:rPr>
      </w:pPr>
      <w:r>
        <w:rPr>
          <w:rFonts w:ascii="Times New Roman" w:hAnsi="Times New Roman"/>
          <w:color w:val="auto"/>
          <w:highlight w:val="none"/>
        </w:rPr>
        <w:t>2</w:t>
      </w:r>
      <w:r>
        <w:rPr>
          <w:rFonts w:ascii="Times New Roman" w:hAnsi="宋体"/>
          <w:color w:val="auto"/>
          <w:highlight w:val="none"/>
        </w:rPr>
        <w:t>、需旁站监理的关键工序是：按现行有关规范。</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第三十条</w:t>
      </w:r>
      <w:r>
        <w:rPr>
          <w:rFonts w:ascii="Times New Roman" w:hAnsi="Times New Roman"/>
          <w:b/>
          <w:color w:val="auto"/>
          <w:highlight w:val="none"/>
        </w:rPr>
        <w:t xml:space="preserve"> </w:t>
      </w:r>
      <w:r>
        <w:rPr>
          <w:rFonts w:ascii="Times New Roman" w:hAnsi="宋体"/>
          <w:color w:val="auto"/>
          <w:highlight w:val="none"/>
        </w:rPr>
        <w:t>委托人委托监理人主持的分部工程验收：</w:t>
      </w:r>
      <w:r>
        <w:rPr>
          <w:rFonts w:ascii="Times New Roman" w:hAnsi="Times New Roman"/>
          <w:color w:val="auto"/>
          <w:highlight w:val="none"/>
          <w:u w:val="single"/>
        </w:rPr>
        <w:t xml:space="preserve"> </w:t>
      </w:r>
      <w:r>
        <w:rPr>
          <w:rFonts w:ascii="Times New Roman" w:hAnsi="宋体"/>
          <w:color w:val="auto"/>
          <w:highlight w:val="none"/>
          <w:u w:val="single"/>
        </w:rPr>
        <w:t>无</w:t>
      </w:r>
      <w:r>
        <w:rPr>
          <w:rFonts w:ascii="Times New Roman" w:hAnsi="Times New Roman"/>
          <w:color w:val="auto"/>
          <w:highlight w:val="none"/>
          <w:u w:val="single"/>
        </w:rPr>
        <w:t xml:space="preserve"> </w:t>
      </w:r>
      <w:r>
        <w:rPr>
          <w:rFonts w:ascii="Times New Roman" w:hAnsi="宋体"/>
          <w:color w:val="auto"/>
          <w:highlight w:val="none"/>
        </w:rPr>
        <w:t>。</w:t>
      </w:r>
    </w:p>
    <w:p>
      <w:pPr>
        <w:pStyle w:val="43"/>
        <w:spacing w:line="360" w:lineRule="auto"/>
        <w:ind w:firstLine="361"/>
        <w:rPr>
          <w:rFonts w:hint="eastAsia" w:ascii="Times New Roman" w:hAnsi="宋体"/>
          <w:color w:val="auto"/>
          <w:highlight w:val="none"/>
        </w:rPr>
      </w:pPr>
      <w:r>
        <w:rPr>
          <w:rFonts w:ascii="Times New Roman" w:hAnsi="宋体"/>
          <w:b/>
          <w:color w:val="auto"/>
          <w:highlight w:val="none"/>
        </w:rPr>
        <w:t>第三十一条</w:t>
      </w:r>
      <w:r>
        <w:rPr>
          <w:rFonts w:ascii="Times New Roman" w:hAnsi="Times New Roman"/>
          <w:b/>
          <w:color w:val="auto"/>
          <w:highlight w:val="none"/>
        </w:rPr>
        <w:t xml:space="preserve"> </w:t>
      </w:r>
      <w:r>
        <w:rPr>
          <w:rFonts w:ascii="Times New Roman" w:hAnsi="宋体"/>
          <w:color w:val="auto"/>
          <w:highlight w:val="none"/>
        </w:rPr>
        <w:t>在本合同终止后</w:t>
      </w:r>
      <w:r>
        <w:rPr>
          <w:rFonts w:ascii="Times New Roman" w:hAnsi="Times New Roman"/>
          <w:color w:val="auto"/>
          <w:highlight w:val="none"/>
          <w:u w:val="single"/>
          <w:shd w:val="clear" w:color="auto" w:fill="FFFFFF"/>
        </w:rPr>
        <w:t xml:space="preserve"> 180 </w:t>
      </w:r>
      <w:r>
        <w:rPr>
          <w:rFonts w:ascii="Times New Roman" w:hAnsi="宋体"/>
          <w:color w:val="auto"/>
          <w:highlight w:val="none"/>
          <w:shd w:val="clear" w:color="auto" w:fill="FFFFFF"/>
        </w:rPr>
        <w:t>天内</w:t>
      </w:r>
      <w:r>
        <w:rPr>
          <w:rFonts w:ascii="Times New Roman" w:hAnsi="宋体"/>
          <w:color w:val="auto"/>
          <w:highlight w:val="none"/>
        </w:rPr>
        <w:t>，未征得委托人同意，不得泄露与本合同业务有关的技术、商务等</w:t>
      </w:r>
      <w:r>
        <w:rPr>
          <w:rFonts w:ascii="Times New Roman" w:hAnsi="宋体"/>
          <w:color w:val="auto"/>
          <w:highlight w:val="none"/>
          <w:shd w:val="clear" w:color="auto" w:fill="FFFFFF"/>
        </w:rPr>
        <w:t>秘密</w:t>
      </w:r>
      <w:r>
        <w:rPr>
          <w:rFonts w:ascii="Times New Roman" w:hAnsi="宋体"/>
          <w:color w:val="auto"/>
          <w:highlight w:val="none"/>
        </w:rPr>
        <w:t>。</w:t>
      </w:r>
    </w:p>
    <w:p>
      <w:pPr>
        <w:pStyle w:val="43"/>
        <w:spacing w:line="360" w:lineRule="auto"/>
        <w:ind w:firstLine="361"/>
        <w:rPr>
          <w:rFonts w:ascii="Times New Roman" w:hAnsi="Times New Roman"/>
          <w:color w:val="auto"/>
          <w:highlight w:val="none"/>
        </w:rPr>
      </w:pPr>
    </w:p>
    <w:p>
      <w:pPr>
        <w:pStyle w:val="43"/>
        <w:spacing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监理服务酬金</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第三十二条</w:t>
      </w:r>
      <w:r>
        <w:rPr>
          <w:rFonts w:ascii="Times New Roman" w:hAnsi="Times New Roman"/>
          <w:b/>
          <w:color w:val="auto"/>
          <w:highlight w:val="none"/>
        </w:rPr>
        <w:t xml:space="preserve"> </w:t>
      </w:r>
      <w:r>
        <w:rPr>
          <w:rFonts w:ascii="Times New Roman" w:hAnsi="宋体"/>
          <w:color w:val="auto"/>
          <w:highlight w:val="none"/>
        </w:rPr>
        <w:t>监理正常服务酬金支付方法：</w:t>
      </w:r>
    </w:p>
    <w:p>
      <w:pPr>
        <w:pStyle w:val="43"/>
        <w:spacing w:line="360" w:lineRule="auto"/>
        <w:ind w:firstLine="480" w:firstLineChars="200"/>
        <w:rPr>
          <w:rFonts w:ascii="Times New Roman" w:hAnsi="Times New Roman"/>
          <w:color w:val="auto"/>
          <w:kern w:val="0"/>
          <w:highlight w:val="none"/>
        </w:rPr>
      </w:pPr>
      <w:r>
        <w:rPr>
          <w:rFonts w:ascii="Times New Roman" w:hAnsi="宋体"/>
          <w:color w:val="auto"/>
          <w:highlight w:val="none"/>
        </w:rPr>
        <w:t>一、支付时间为：</w:t>
      </w:r>
      <w:r>
        <w:rPr>
          <w:rFonts w:ascii="Times New Roman" w:hAnsi="宋体"/>
          <w:color w:val="auto"/>
          <w:kern w:val="0"/>
          <w:highlight w:val="none"/>
        </w:rPr>
        <w:t>监理报酬的支付按进展情况阶段分期支付。</w:t>
      </w:r>
    </w:p>
    <w:p>
      <w:pPr>
        <w:pStyle w:val="43"/>
        <w:spacing w:line="360" w:lineRule="auto"/>
        <w:ind w:firstLine="480" w:firstLineChars="200"/>
        <w:rPr>
          <w:rFonts w:hint="eastAsia" w:ascii="Times New Roman" w:hAnsi="宋体"/>
          <w:color w:val="auto"/>
          <w:kern w:val="0"/>
          <w:highlight w:val="none"/>
        </w:rPr>
      </w:pPr>
      <w:r>
        <w:rPr>
          <w:rFonts w:ascii="Times New Roman" w:hAnsi="宋体"/>
          <w:color w:val="auto"/>
          <w:highlight w:val="none"/>
        </w:rPr>
        <w:t>二、支付方式为：</w:t>
      </w:r>
      <w:r>
        <w:rPr>
          <w:rFonts w:ascii="Times New Roman" w:hAnsi="宋体"/>
          <w:color w:val="auto"/>
          <w:kern w:val="0"/>
          <w:highlight w:val="none"/>
        </w:rPr>
        <w:t>监理报酬的支付将分为前期支付</w:t>
      </w:r>
      <w:r>
        <w:rPr>
          <w:rFonts w:hint="eastAsia" w:ascii="Times New Roman" w:hAnsi="宋体"/>
          <w:color w:val="auto"/>
          <w:kern w:val="0"/>
          <w:highlight w:val="none"/>
        </w:rPr>
        <w:t>、</w:t>
      </w:r>
      <w:r>
        <w:rPr>
          <w:rFonts w:ascii="Times New Roman" w:hAnsi="宋体"/>
          <w:color w:val="auto"/>
          <w:kern w:val="0"/>
          <w:highlight w:val="none"/>
        </w:rPr>
        <w:t>中期支付和最终支付。</w:t>
      </w:r>
    </w:p>
    <w:p>
      <w:pPr>
        <w:pStyle w:val="43"/>
        <w:spacing w:line="360" w:lineRule="auto"/>
        <w:ind w:firstLine="393"/>
        <w:rPr>
          <w:rFonts w:hint="eastAsia" w:ascii="Times New Roman" w:hAnsi="Times New Roman"/>
          <w:b/>
          <w:color w:val="auto"/>
          <w:kern w:val="0"/>
          <w:szCs w:val="24"/>
          <w:highlight w:val="none"/>
        </w:rPr>
      </w:pPr>
    </w:p>
    <w:p>
      <w:pPr>
        <w:pStyle w:val="43"/>
        <w:spacing w:line="360" w:lineRule="auto"/>
        <w:ind w:firstLine="357" w:firstLineChars="149"/>
        <w:rPr>
          <w:rFonts w:hint="eastAsia" w:ascii="Times New Roman" w:hAnsi="Times New Roman"/>
          <w:b/>
          <w:color w:val="auto"/>
          <w:kern w:val="0"/>
          <w:szCs w:val="24"/>
          <w:highlight w:val="none"/>
        </w:rPr>
      </w:pPr>
      <w:r>
        <w:rPr>
          <w:rFonts w:hint="eastAsia" w:ascii="Times New Roman" w:hAnsi="Times New Roman"/>
          <w:color w:val="auto"/>
          <w:kern w:val="0"/>
          <w:szCs w:val="24"/>
          <w:highlight w:val="none"/>
        </w:rPr>
        <w:t>(1)</w:t>
      </w:r>
      <w:r>
        <w:rPr>
          <w:rFonts w:hint="eastAsia" w:ascii="Times New Roman" w:hAnsi="Times New Roman"/>
          <w:b/>
          <w:color w:val="auto"/>
          <w:kern w:val="0"/>
          <w:szCs w:val="24"/>
          <w:highlight w:val="none"/>
        </w:rPr>
        <w:t>前期支付</w:t>
      </w:r>
    </w:p>
    <w:p>
      <w:pPr>
        <w:pStyle w:val="14"/>
        <w:adjustRightInd w:val="0"/>
        <w:snapToGrid w:val="0"/>
        <w:spacing w:line="360" w:lineRule="auto"/>
        <w:ind w:firstLine="480"/>
        <w:rPr>
          <w:rFonts w:hAnsi="宋体"/>
          <w:color w:val="auto"/>
          <w:kern w:val="0"/>
          <w:sz w:val="24"/>
          <w:highlight w:val="none"/>
        </w:rPr>
      </w:pPr>
      <w:r>
        <w:rPr>
          <w:rFonts w:hint="eastAsia" w:hAnsi="宋体"/>
          <w:color w:val="auto"/>
          <w:kern w:val="0"/>
          <w:sz w:val="24"/>
          <w:highlight w:val="none"/>
        </w:rPr>
        <w:t>本合同签订后14天内，第一次支付服务酬金为监理合同价的30%。</w:t>
      </w:r>
    </w:p>
    <w:p>
      <w:pPr>
        <w:pStyle w:val="43"/>
        <w:spacing w:line="360" w:lineRule="auto"/>
        <w:ind w:firstLine="393"/>
        <w:rPr>
          <w:rFonts w:ascii="Times New Roman" w:hAnsi="Times New Roman"/>
          <w:b/>
          <w:color w:val="auto"/>
          <w:kern w:val="0"/>
          <w:szCs w:val="24"/>
          <w:highlight w:val="none"/>
        </w:rPr>
      </w:pPr>
      <w:r>
        <w:rPr>
          <w:rFonts w:ascii="Times New Roman" w:hAnsi="Times New Roman"/>
          <w:color w:val="auto"/>
          <w:kern w:val="0"/>
          <w:szCs w:val="24"/>
          <w:highlight w:val="none"/>
        </w:rPr>
        <w:t>(</w:t>
      </w:r>
      <w:r>
        <w:rPr>
          <w:rFonts w:hint="eastAsia" w:ascii="Times New Roman" w:hAnsi="Times New Roman"/>
          <w:color w:val="auto"/>
          <w:kern w:val="0"/>
          <w:szCs w:val="24"/>
          <w:highlight w:val="none"/>
        </w:rPr>
        <w:t>2</w:t>
      </w:r>
      <w:r>
        <w:rPr>
          <w:rFonts w:ascii="Times New Roman" w:hAnsi="Times New Roman"/>
          <w:color w:val="auto"/>
          <w:kern w:val="0"/>
          <w:szCs w:val="24"/>
          <w:highlight w:val="none"/>
        </w:rPr>
        <w:t xml:space="preserve">) </w:t>
      </w:r>
      <w:r>
        <w:rPr>
          <w:rFonts w:ascii="Times New Roman" w:hAnsi="宋体"/>
          <w:b/>
          <w:color w:val="auto"/>
          <w:kern w:val="0"/>
          <w:szCs w:val="24"/>
          <w:highlight w:val="none"/>
        </w:rPr>
        <w:t>中期支付</w:t>
      </w:r>
    </w:p>
    <w:p>
      <w:pPr>
        <w:pStyle w:val="14"/>
        <w:adjustRightInd w:val="0"/>
        <w:snapToGrid w:val="0"/>
        <w:spacing w:line="360" w:lineRule="auto"/>
        <w:ind w:firstLine="480"/>
        <w:rPr>
          <w:rFonts w:ascii="Times New Roman" w:hAnsi="宋体"/>
          <w:color w:val="auto"/>
          <w:sz w:val="24"/>
          <w:szCs w:val="24"/>
          <w:highlight w:val="none"/>
        </w:rPr>
      </w:pPr>
      <w:r>
        <w:rPr>
          <w:rFonts w:hint="eastAsia" w:hAnsi="宋体"/>
          <w:color w:val="auto"/>
          <w:kern w:val="0"/>
          <w:sz w:val="24"/>
          <w:highlight w:val="none"/>
        </w:rPr>
        <w:t>工程监理费按照工程进度支付，进场开工完成工程量40%时，支付至合同价的35%；工程完成工程量50%时，支付至合同价的45%；工程完成工程量60%时，支付至合同价的55%；工程完成工程量70%时，支付至合同价的65%；工程完成工程量80%时，支付至合同价的75%；工程完成工程量90%时，支付至合同价的85%。工程完工后，支付至合同监理费的95%。</w:t>
      </w:r>
      <w:r>
        <w:rPr>
          <w:rFonts w:ascii="Times New Roman" w:hAnsi="宋体"/>
          <w:color w:val="auto"/>
          <w:sz w:val="24"/>
          <w:szCs w:val="24"/>
          <w:highlight w:val="none"/>
        </w:rPr>
        <w:t>监理单位应在工程进度达到支付标准后当月</w:t>
      </w:r>
      <w:r>
        <w:rPr>
          <w:rFonts w:ascii="Times New Roman"/>
          <w:color w:val="auto"/>
          <w:sz w:val="24"/>
          <w:szCs w:val="24"/>
          <w:highlight w:val="none"/>
        </w:rPr>
        <w:t>20</w:t>
      </w:r>
      <w:r>
        <w:rPr>
          <w:rFonts w:ascii="Times New Roman" w:hAnsi="宋体"/>
          <w:color w:val="auto"/>
          <w:sz w:val="24"/>
          <w:szCs w:val="24"/>
          <w:highlight w:val="none"/>
        </w:rPr>
        <w:t>日前向委托人提交支付申请，委托人将根据支付申请进行审批支付，支付申请包括以下项目：</w:t>
      </w:r>
    </w:p>
    <w:p>
      <w:pPr>
        <w:pStyle w:val="14"/>
        <w:adjustRightInd w:val="0"/>
        <w:snapToGrid w:val="0"/>
        <w:spacing w:line="360" w:lineRule="auto"/>
        <w:ind w:firstLine="480"/>
        <w:rPr>
          <w:rFonts w:ascii="Times New Roman"/>
          <w:color w:val="auto"/>
          <w:sz w:val="24"/>
          <w:szCs w:val="24"/>
          <w:highlight w:val="none"/>
        </w:rPr>
      </w:pPr>
      <w:r>
        <w:rPr>
          <w:rFonts w:ascii="Times New Roman"/>
          <w:color w:val="auto"/>
          <w:sz w:val="24"/>
          <w:szCs w:val="24"/>
          <w:highlight w:val="none"/>
        </w:rPr>
        <w:t>A</w:t>
      </w:r>
      <w:r>
        <w:rPr>
          <w:rFonts w:ascii="Times New Roman" w:hAnsi="宋体"/>
          <w:color w:val="auto"/>
          <w:sz w:val="24"/>
          <w:szCs w:val="24"/>
          <w:highlight w:val="none"/>
        </w:rPr>
        <w:t>、正常服务的监理费用</w:t>
      </w:r>
    </w:p>
    <w:p>
      <w:pPr>
        <w:pStyle w:val="14"/>
        <w:adjustRightInd w:val="0"/>
        <w:snapToGrid w:val="0"/>
        <w:spacing w:line="360" w:lineRule="auto"/>
        <w:ind w:firstLine="480"/>
        <w:rPr>
          <w:rFonts w:ascii="Times New Roman" w:hAnsi="宋体"/>
          <w:color w:val="auto"/>
          <w:sz w:val="24"/>
          <w:szCs w:val="24"/>
          <w:highlight w:val="none"/>
        </w:rPr>
      </w:pPr>
      <w:r>
        <w:rPr>
          <w:rFonts w:ascii="Times New Roman" w:hAnsi="宋体"/>
          <w:color w:val="auto"/>
          <w:sz w:val="24"/>
          <w:szCs w:val="24"/>
          <w:highlight w:val="none"/>
        </w:rPr>
        <w:t>计算式：正常服务的监理费用</w:t>
      </w:r>
      <w:r>
        <w:rPr>
          <w:rFonts w:ascii="Times New Roman"/>
          <w:color w:val="auto"/>
          <w:sz w:val="24"/>
          <w:szCs w:val="24"/>
          <w:highlight w:val="none"/>
        </w:rPr>
        <w:t>=</w:t>
      </w:r>
      <w:r>
        <w:rPr>
          <w:rFonts w:ascii="Times New Roman" w:hAnsi="宋体"/>
          <w:color w:val="auto"/>
          <w:sz w:val="24"/>
          <w:szCs w:val="24"/>
          <w:highlight w:val="none"/>
        </w:rPr>
        <w:t>工程所对应的合同监理费，合同监理取费依据按</w:t>
      </w:r>
      <w:r>
        <w:rPr>
          <w:rFonts w:ascii="Times New Roman" w:hAnsi="宋体"/>
          <w:b/>
          <w:color w:val="auto"/>
          <w:sz w:val="24"/>
          <w:szCs w:val="24"/>
          <w:highlight w:val="none"/>
        </w:rPr>
        <w:t>发改价格</w:t>
      </w:r>
      <w:r>
        <w:rPr>
          <w:rFonts w:ascii="Times New Roman"/>
          <w:b/>
          <w:color w:val="auto"/>
          <w:sz w:val="24"/>
          <w:szCs w:val="24"/>
          <w:highlight w:val="none"/>
        </w:rPr>
        <w:t>[2007]670</w:t>
      </w:r>
      <w:r>
        <w:rPr>
          <w:rFonts w:ascii="Times New Roman" w:hAnsi="宋体"/>
          <w:b/>
          <w:color w:val="auto"/>
          <w:sz w:val="24"/>
          <w:szCs w:val="24"/>
          <w:highlight w:val="none"/>
        </w:rPr>
        <w:t>号文、增城区财政局、增城区发展和改革局联合发文（增财</w:t>
      </w:r>
      <w:r>
        <w:rPr>
          <w:rFonts w:ascii="Times New Roman"/>
          <w:b/>
          <w:color w:val="auto"/>
          <w:sz w:val="24"/>
          <w:szCs w:val="24"/>
          <w:highlight w:val="none"/>
        </w:rPr>
        <w:t>[2009]59</w:t>
      </w:r>
      <w:r>
        <w:rPr>
          <w:rFonts w:ascii="Times New Roman" w:hAnsi="宋体"/>
          <w:b/>
          <w:color w:val="auto"/>
          <w:sz w:val="24"/>
          <w:szCs w:val="24"/>
          <w:highlight w:val="none"/>
        </w:rPr>
        <w:t>号）</w:t>
      </w:r>
      <w:r>
        <w:rPr>
          <w:rFonts w:ascii="Times New Roman" w:hAnsi="宋体"/>
          <w:color w:val="auto"/>
          <w:sz w:val="24"/>
          <w:szCs w:val="24"/>
          <w:highlight w:val="none"/>
        </w:rPr>
        <w:t>执行。合同总监理费不得超过评审的概算中的工程建设监理费。计算如下表：</w:t>
      </w:r>
    </w:p>
    <w:tbl>
      <w:tblPr>
        <w:tblStyle w:val="22"/>
        <w:tblW w:w="0" w:type="auto"/>
        <w:tblInd w:w="103" w:type="dxa"/>
        <w:tblLayout w:type="fixed"/>
        <w:tblCellMar>
          <w:top w:w="0" w:type="dxa"/>
          <w:left w:w="108" w:type="dxa"/>
          <w:bottom w:w="0" w:type="dxa"/>
          <w:right w:w="108" w:type="dxa"/>
        </w:tblCellMar>
      </w:tblPr>
      <w:tblGrid>
        <w:gridCol w:w="712"/>
        <w:gridCol w:w="2929"/>
        <w:gridCol w:w="1751"/>
        <w:gridCol w:w="3958"/>
      </w:tblGrid>
      <w:tr>
        <w:tblPrEx>
          <w:tblCellMar>
            <w:top w:w="0" w:type="dxa"/>
            <w:left w:w="108" w:type="dxa"/>
            <w:bottom w:w="0" w:type="dxa"/>
            <w:right w:w="108" w:type="dxa"/>
          </w:tblCellMar>
        </w:tblPrEx>
        <w:trPr>
          <w:trHeight w:val="514"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color w:val="auto"/>
                <w:kern w:val="0"/>
                <w:highlight w:val="none"/>
              </w:rPr>
            </w:pPr>
            <w:r>
              <w:rPr>
                <w:rFonts w:hAnsi="宋体"/>
                <w:b/>
                <w:color w:val="auto"/>
                <w:kern w:val="0"/>
                <w:highlight w:val="none"/>
              </w:rPr>
              <w:t>序号</w:t>
            </w:r>
          </w:p>
        </w:tc>
        <w:tc>
          <w:tcPr>
            <w:tcW w:w="2929" w:type="dxa"/>
            <w:tcBorders>
              <w:top w:val="single" w:color="auto" w:sz="4" w:space="0"/>
              <w:left w:val="nil"/>
              <w:bottom w:val="single" w:color="auto" w:sz="4" w:space="0"/>
              <w:right w:val="single" w:color="auto" w:sz="4" w:space="0"/>
            </w:tcBorders>
            <w:noWrap w:val="0"/>
            <w:vAlign w:val="center"/>
          </w:tcPr>
          <w:p>
            <w:pPr>
              <w:widowControl/>
              <w:jc w:val="center"/>
              <w:rPr>
                <w:b/>
                <w:color w:val="auto"/>
                <w:kern w:val="0"/>
                <w:highlight w:val="none"/>
              </w:rPr>
            </w:pPr>
            <w:r>
              <w:rPr>
                <w:rFonts w:hAnsi="宋体"/>
                <w:b/>
                <w:color w:val="auto"/>
                <w:kern w:val="0"/>
                <w:highlight w:val="none"/>
              </w:rPr>
              <w:t>项目</w:t>
            </w:r>
          </w:p>
        </w:tc>
        <w:tc>
          <w:tcPr>
            <w:tcW w:w="1751" w:type="dxa"/>
            <w:tcBorders>
              <w:top w:val="single" w:color="auto" w:sz="4" w:space="0"/>
              <w:left w:val="nil"/>
              <w:bottom w:val="single" w:color="auto" w:sz="4" w:space="0"/>
              <w:right w:val="single" w:color="auto" w:sz="4" w:space="0"/>
            </w:tcBorders>
            <w:noWrap w:val="0"/>
            <w:vAlign w:val="center"/>
          </w:tcPr>
          <w:p>
            <w:pPr>
              <w:widowControl/>
              <w:jc w:val="center"/>
              <w:rPr>
                <w:b/>
                <w:color w:val="auto"/>
                <w:kern w:val="0"/>
                <w:highlight w:val="none"/>
              </w:rPr>
            </w:pPr>
            <w:r>
              <w:rPr>
                <w:rFonts w:hint="eastAsia" w:hAnsi="宋体"/>
                <w:b/>
                <w:color w:val="auto"/>
                <w:kern w:val="0"/>
                <w:highlight w:val="none"/>
              </w:rPr>
              <w:t>金额</w:t>
            </w:r>
            <w:r>
              <w:rPr>
                <w:rFonts w:hAnsi="宋体"/>
                <w:b/>
                <w:color w:val="auto"/>
                <w:kern w:val="0"/>
                <w:highlight w:val="none"/>
              </w:rPr>
              <w:t>（万元）</w:t>
            </w:r>
          </w:p>
        </w:tc>
        <w:tc>
          <w:tcPr>
            <w:tcW w:w="3958" w:type="dxa"/>
            <w:tcBorders>
              <w:top w:val="single" w:color="auto" w:sz="4" w:space="0"/>
              <w:left w:val="nil"/>
              <w:bottom w:val="single" w:color="auto" w:sz="4" w:space="0"/>
              <w:right w:val="single" w:color="auto" w:sz="4" w:space="0"/>
            </w:tcBorders>
            <w:noWrap w:val="0"/>
            <w:vAlign w:val="center"/>
          </w:tcPr>
          <w:p>
            <w:pPr>
              <w:widowControl/>
              <w:jc w:val="center"/>
              <w:rPr>
                <w:b/>
                <w:color w:val="auto"/>
                <w:kern w:val="0"/>
                <w:highlight w:val="none"/>
              </w:rPr>
            </w:pPr>
            <w:r>
              <w:rPr>
                <w:rFonts w:hAnsi="宋体"/>
                <w:b/>
                <w:color w:val="auto"/>
                <w:kern w:val="0"/>
                <w:highlight w:val="none"/>
              </w:rPr>
              <w:t>备注</w:t>
            </w:r>
          </w:p>
        </w:tc>
      </w:tr>
      <w:tr>
        <w:tblPrEx>
          <w:tblCellMar>
            <w:top w:w="0" w:type="dxa"/>
            <w:left w:w="108" w:type="dxa"/>
            <w:bottom w:w="0" w:type="dxa"/>
            <w:right w:w="108" w:type="dxa"/>
          </w:tblCellMar>
        </w:tblPrEx>
        <w:trPr>
          <w:trHeight w:val="70"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b/>
                <w:color w:val="auto"/>
                <w:kern w:val="0"/>
                <w:highlight w:val="none"/>
              </w:rPr>
            </w:pPr>
            <w:r>
              <w:rPr>
                <w:b/>
                <w:color w:val="auto"/>
                <w:kern w:val="0"/>
                <w:highlight w:val="none"/>
              </w:rPr>
              <w:t>1</w:t>
            </w:r>
          </w:p>
        </w:tc>
        <w:tc>
          <w:tcPr>
            <w:tcW w:w="2929"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kern w:val="0"/>
                <w:highlight w:val="none"/>
              </w:rPr>
              <w:t>工程</w:t>
            </w:r>
            <w:r>
              <w:rPr>
                <w:rFonts w:hAnsi="宋体"/>
                <w:b/>
                <w:color w:val="auto"/>
                <w:highlight w:val="none"/>
              </w:rPr>
              <w:t>监理</w:t>
            </w:r>
            <w:r>
              <w:rPr>
                <w:rFonts w:hAnsi="宋体"/>
                <w:b/>
                <w:color w:val="auto"/>
                <w:kern w:val="0"/>
                <w:highlight w:val="none"/>
              </w:rPr>
              <w:t>费计费额</w:t>
            </w:r>
          </w:p>
        </w:tc>
        <w:tc>
          <w:tcPr>
            <w:tcW w:w="1751" w:type="dxa"/>
            <w:tcBorders>
              <w:top w:val="nil"/>
              <w:left w:val="nil"/>
              <w:bottom w:val="single" w:color="auto" w:sz="4" w:space="0"/>
              <w:right w:val="single" w:color="auto" w:sz="4" w:space="0"/>
            </w:tcBorders>
            <w:noWrap w:val="0"/>
            <w:vAlign w:val="center"/>
          </w:tcPr>
          <w:p>
            <w:pPr>
              <w:widowControl/>
              <w:jc w:val="center"/>
              <w:rPr>
                <w:rFonts w:hint="eastAsia" w:hAnsi="宋体"/>
                <w:b/>
                <w:color w:val="auto"/>
                <w:highlight w:val="none"/>
              </w:rPr>
            </w:pPr>
          </w:p>
        </w:tc>
        <w:tc>
          <w:tcPr>
            <w:tcW w:w="3958"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highlight w:val="none"/>
              </w:rPr>
              <w:t>工程评审概算及结算中的相应</w:t>
            </w:r>
            <w:r>
              <w:rPr>
                <w:rFonts w:hAnsi="宋体"/>
                <w:b/>
                <w:color w:val="auto"/>
                <w:kern w:val="0"/>
                <w:highlight w:val="none"/>
              </w:rPr>
              <w:t>计费额，按</w:t>
            </w:r>
            <w:r>
              <w:rPr>
                <w:rFonts w:hAnsi="宋体"/>
                <w:b/>
                <w:color w:val="auto"/>
                <w:highlight w:val="none"/>
              </w:rPr>
              <w:t>发改价格</w:t>
            </w:r>
            <w:r>
              <w:rPr>
                <w:b/>
                <w:color w:val="auto"/>
                <w:highlight w:val="none"/>
              </w:rPr>
              <w:t>[2007]670</w:t>
            </w:r>
            <w:r>
              <w:rPr>
                <w:rFonts w:hAnsi="宋体"/>
                <w:b/>
                <w:color w:val="auto"/>
                <w:highlight w:val="none"/>
              </w:rPr>
              <w:t>号文</w:t>
            </w:r>
            <w:r>
              <w:rPr>
                <w:rFonts w:hAnsi="宋体"/>
                <w:b/>
                <w:color w:val="auto"/>
                <w:kern w:val="0"/>
                <w:highlight w:val="none"/>
              </w:rPr>
              <w:t>要求计算</w:t>
            </w:r>
          </w:p>
        </w:tc>
      </w:tr>
      <w:tr>
        <w:tblPrEx>
          <w:tblCellMar>
            <w:top w:w="0" w:type="dxa"/>
            <w:left w:w="108" w:type="dxa"/>
            <w:bottom w:w="0" w:type="dxa"/>
            <w:right w:w="108" w:type="dxa"/>
          </w:tblCellMar>
        </w:tblPrEx>
        <w:trPr>
          <w:trHeight w:val="285"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b/>
                <w:color w:val="auto"/>
                <w:kern w:val="0"/>
                <w:highlight w:val="none"/>
              </w:rPr>
            </w:pPr>
            <w:r>
              <w:rPr>
                <w:b/>
                <w:color w:val="auto"/>
                <w:kern w:val="0"/>
                <w:highlight w:val="none"/>
              </w:rPr>
              <w:t>2</w:t>
            </w:r>
          </w:p>
        </w:tc>
        <w:tc>
          <w:tcPr>
            <w:tcW w:w="2929"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kern w:val="0"/>
                <w:highlight w:val="none"/>
              </w:rPr>
              <w:t>监理服务收费基价</w:t>
            </w:r>
          </w:p>
        </w:tc>
        <w:tc>
          <w:tcPr>
            <w:tcW w:w="1751" w:type="dxa"/>
            <w:tcBorders>
              <w:top w:val="nil"/>
              <w:left w:val="nil"/>
              <w:bottom w:val="single" w:color="auto" w:sz="4" w:space="0"/>
              <w:right w:val="single" w:color="auto" w:sz="4" w:space="0"/>
            </w:tcBorders>
            <w:noWrap w:val="0"/>
            <w:vAlign w:val="center"/>
          </w:tcPr>
          <w:p>
            <w:pPr>
              <w:widowControl/>
              <w:jc w:val="center"/>
              <w:rPr>
                <w:b/>
                <w:color w:val="auto"/>
                <w:kern w:val="0"/>
                <w:sz w:val="28"/>
                <w:szCs w:val="28"/>
                <w:highlight w:val="none"/>
              </w:rPr>
            </w:pPr>
          </w:p>
        </w:tc>
        <w:tc>
          <w:tcPr>
            <w:tcW w:w="3958" w:type="dxa"/>
            <w:tcBorders>
              <w:top w:val="nil"/>
              <w:left w:val="nil"/>
              <w:bottom w:val="single" w:color="auto" w:sz="4" w:space="0"/>
              <w:right w:val="single" w:color="auto" w:sz="4" w:space="0"/>
            </w:tcBorders>
            <w:noWrap w:val="0"/>
            <w:vAlign w:val="center"/>
          </w:tcPr>
          <w:p>
            <w:pPr>
              <w:widowControl/>
              <w:rPr>
                <w:b/>
                <w:color w:val="auto"/>
                <w:highlight w:val="none"/>
              </w:rPr>
            </w:pPr>
            <w:r>
              <w:rPr>
                <w:rFonts w:hAnsi="宋体"/>
                <w:b/>
                <w:color w:val="auto"/>
                <w:highlight w:val="none"/>
              </w:rPr>
              <w:t>工程评审概算中的监理费</w:t>
            </w:r>
          </w:p>
        </w:tc>
      </w:tr>
      <w:tr>
        <w:tblPrEx>
          <w:tblCellMar>
            <w:top w:w="0" w:type="dxa"/>
            <w:left w:w="108" w:type="dxa"/>
            <w:bottom w:w="0" w:type="dxa"/>
            <w:right w:w="108" w:type="dxa"/>
          </w:tblCellMar>
        </w:tblPrEx>
        <w:trPr>
          <w:trHeight w:val="435"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b/>
                <w:color w:val="auto"/>
                <w:kern w:val="0"/>
                <w:highlight w:val="none"/>
              </w:rPr>
            </w:pPr>
            <w:r>
              <w:rPr>
                <w:b/>
                <w:color w:val="auto"/>
                <w:kern w:val="0"/>
                <w:highlight w:val="none"/>
              </w:rPr>
              <w:t>3</w:t>
            </w:r>
          </w:p>
        </w:tc>
        <w:tc>
          <w:tcPr>
            <w:tcW w:w="2929"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kern w:val="0"/>
                <w:highlight w:val="none"/>
              </w:rPr>
              <w:t>浮动幅度值（</w:t>
            </w:r>
            <w:r>
              <w:rPr>
                <w:rFonts w:hAnsi="宋体"/>
                <w:b/>
                <w:color w:val="auto"/>
                <w:highlight w:val="none"/>
              </w:rPr>
              <w:t>监理</w:t>
            </w:r>
            <w:r>
              <w:rPr>
                <w:rFonts w:hAnsi="宋体"/>
                <w:b/>
                <w:color w:val="auto"/>
                <w:kern w:val="0"/>
                <w:highlight w:val="none"/>
              </w:rPr>
              <w:t>费下浮率）</w:t>
            </w:r>
          </w:p>
        </w:tc>
        <w:tc>
          <w:tcPr>
            <w:tcW w:w="1751" w:type="dxa"/>
            <w:tcBorders>
              <w:top w:val="nil"/>
              <w:left w:val="nil"/>
              <w:bottom w:val="single" w:color="auto" w:sz="4" w:space="0"/>
              <w:right w:val="single" w:color="auto" w:sz="4" w:space="0"/>
            </w:tcBorders>
            <w:noWrap w:val="0"/>
            <w:vAlign w:val="center"/>
          </w:tcPr>
          <w:p>
            <w:pPr>
              <w:jc w:val="center"/>
              <w:rPr>
                <w:b/>
                <w:color w:val="auto"/>
                <w:kern w:val="0"/>
                <w:highlight w:val="none"/>
              </w:rPr>
            </w:pPr>
          </w:p>
        </w:tc>
        <w:tc>
          <w:tcPr>
            <w:tcW w:w="3958"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b/>
                <w:color w:val="auto"/>
                <w:kern w:val="0"/>
                <w:highlight w:val="none"/>
              </w:rPr>
              <w:t>0%</w:t>
            </w:r>
            <w:r>
              <w:rPr>
                <w:rFonts w:hAnsi="宋体"/>
                <w:b/>
                <w:color w:val="auto"/>
                <w:kern w:val="0"/>
                <w:highlight w:val="none"/>
              </w:rPr>
              <w:t>～</w:t>
            </w:r>
            <w:r>
              <w:rPr>
                <w:b/>
                <w:color w:val="auto"/>
                <w:kern w:val="0"/>
                <w:highlight w:val="none"/>
              </w:rPr>
              <w:t>20%</w:t>
            </w:r>
            <w:r>
              <w:rPr>
                <w:rFonts w:hAnsi="宋体"/>
                <w:b/>
                <w:color w:val="auto"/>
                <w:kern w:val="0"/>
                <w:highlight w:val="none"/>
              </w:rPr>
              <w:t>内参考（含界值）</w:t>
            </w:r>
          </w:p>
        </w:tc>
      </w:tr>
      <w:tr>
        <w:tblPrEx>
          <w:tblCellMar>
            <w:top w:w="0" w:type="dxa"/>
            <w:left w:w="108" w:type="dxa"/>
            <w:bottom w:w="0" w:type="dxa"/>
            <w:right w:w="108" w:type="dxa"/>
          </w:tblCellMar>
        </w:tblPrEx>
        <w:trPr>
          <w:trHeight w:val="412"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b/>
                <w:color w:val="auto"/>
                <w:kern w:val="0"/>
                <w:highlight w:val="none"/>
              </w:rPr>
            </w:pPr>
            <w:r>
              <w:rPr>
                <w:b/>
                <w:color w:val="auto"/>
                <w:kern w:val="0"/>
                <w:highlight w:val="none"/>
              </w:rPr>
              <w:t>4</w:t>
            </w:r>
          </w:p>
        </w:tc>
        <w:tc>
          <w:tcPr>
            <w:tcW w:w="2929"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kern w:val="0"/>
                <w:highlight w:val="none"/>
              </w:rPr>
              <w:t>工程总</w:t>
            </w:r>
            <w:r>
              <w:rPr>
                <w:rFonts w:hAnsi="宋体"/>
                <w:b/>
                <w:color w:val="auto"/>
                <w:highlight w:val="none"/>
              </w:rPr>
              <w:t>监理</w:t>
            </w:r>
            <w:r>
              <w:rPr>
                <w:rFonts w:hAnsi="宋体"/>
                <w:b/>
                <w:color w:val="auto"/>
                <w:kern w:val="0"/>
                <w:highlight w:val="none"/>
              </w:rPr>
              <w:t>收费</w:t>
            </w:r>
          </w:p>
        </w:tc>
        <w:tc>
          <w:tcPr>
            <w:tcW w:w="1751" w:type="dxa"/>
            <w:tcBorders>
              <w:top w:val="nil"/>
              <w:left w:val="nil"/>
              <w:bottom w:val="single" w:color="auto" w:sz="4" w:space="0"/>
              <w:right w:val="single" w:color="auto" w:sz="4" w:space="0"/>
            </w:tcBorders>
            <w:noWrap w:val="0"/>
            <w:vAlign w:val="center"/>
          </w:tcPr>
          <w:p>
            <w:pPr>
              <w:jc w:val="center"/>
              <w:rPr>
                <w:b/>
                <w:color w:val="auto"/>
                <w:kern w:val="0"/>
                <w:highlight w:val="none"/>
              </w:rPr>
            </w:pPr>
          </w:p>
        </w:tc>
        <w:tc>
          <w:tcPr>
            <w:tcW w:w="3958"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kern w:val="0"/>
                <w:highlight w:val="none"/>
              </w:rPr>
              <w:t>（</w:t>
            </w:r>
            <w:r>
              <w:rPr>
                <w:b/>
                <w:color w:val="auto"/>
                <w:kern w:val="0"/>
                <w:highlight w:val="none"/>
              </w:rPr>
              <w:t>2</w:t>
            </w:r>
            <w:r>
              <w:rPr>
                <w:rFonts w:hAnsi="宋体"/>
                <w:b/>
                <w:color w:val="auto"/>
                <w:kern w:val="0"/>
                <w:highlight w:val="none"/>
              </w:rPr>
              <w:t>项）</w:t>
            </w:r>
            <w:r>
              <w:rPr>
                <w:b/>
                <w:color w:val="auto"/>
                <w:kern w:val="0"/>
                <w:highlight w:val="none"/>
              </w:rPr>
              <w:t>*[1-</w:t>
            </w:r>
            <w:r>
              <w:rPr>
                <w:rFonts w:hAnsi="宋体"/>
                <w:b/>
                <w:color w:val="auto"/>
                <w:kern w:val="0"/>
                <w:highlight w:val="none"/>
              </w:rPr>
              <w:t>（</w:t>
            </w:r>
            <w:r>
              <w:rPr>
                <w:b/>
                <w:color w:val="auto"/>
                <w:kern w:val="0"/>
                <w:highlight w:val="none"/>
              </w:rPr>
              <w:t>3</w:t>
            </w:r>
            <w:r>
              <w:rPr>
                <w:rFonts w:hAnsi="宋体"/>
                <w:b/>
                <w:color w:val="auto"/>
                <w:kern w:val="0"/>
                <w:highlight w:val="none"/>
              </w:rPr>
              <w:t>项）</w:t>
            </w:r>
            <w:r>
              <w:rPr>
                <w:b/>
                <w:color w:val="auto"/>
                <w:kern w:val="0"/>
                <w:highlight w:val="none"/>
              </w:rPr>
              <w:t>]</w:t>
            </w:r>
          </w:p>
        </w:tc>
      </w:tr>
      <w:tr>
        <w:tblPrEx>
          <w:tblCellMar>
            <w:top w:w="0" w:type="dxa"/>
            <w:left w:w="108" w:type="dxa"/>
            <w:bottom w:w="0" w:type="dxa"/>
            <w:right w:w="108" w:type="dxa"/>
          </w:tblCellMar>
        </w:tblPrEx>
        <w:trPr>
          <w:trHeight w:val="404" w:hRule="atLeast"/>
        </w:trPr>
        <w:tc>
          <w:tcPr>
            <w:tcW w:w="712" w:type="dxa"/>
            <w:tcBorders>
              <w:top w:val="nil"/>
              <w:left w:val="single" w:color="auto" w:sz="4" w:space="0"/>
              <w:bottom w:val="single" w:color="auto" w:sz="4" w:space="0"/>
              <w:right w:val="single" w:color="auto" w:sz="4" w:space="0"/>
            </w:tcBorders>
            <w:noWrap w:val="0"/>
            <w:vAlign w:val="center"/>
          </w:tcPr>
          <w:p>
            <w:pPr>
              <w:widowControl/>
              <w:jc w:val="center"/>
              <w:rPr>
                <w:b/>
                <w:color w:val="auto"/>
                <w:kern w:val="0"/>
                <w:highlight w:val="none"/>
              </w:rPr>
            </w:pPr>
            <w:r>
              <w:rPr>
                <w:b/>
                <w:color w:val="auto"/>
                <w:kern w:val="0"/>
                <w:highlight w:val="none"/>
              </w:rPr>
              <w:t>5</w:t>
            </w:r>
          </w:p>
        </w:tc>
        <w:tc>
          <w:tcPr>
            <w:tcW w:w="2929" w:type="dxa"/>
            <w:tcBorders>
              <w:top w:val="nil"/>
              <w:left w:val="nil"/>
              <w:bottom w:val="single" w:color="auto" w:sz="4" w:space="0"/>
              <w:right w:val="single" w:color="auto" w:sz="4" w:space="0"/>
            </w:tcBorders>
            <w:noWrap w:val="0"/>
            <w:vAlign w:val="center"/>
          </w:tcPr>
          <w:p>
            <w:pPr>
              <w:widowControl/>
              <w:rPr>
                <w:b/>
                <w:color w:val="auto"/>
                <w:kern w:val="0"/>
                <w:highlight w:val="none"/>
              </w:rPr>
            </w:pPr>
            <w:r>
              <w:rPr>
                <w:rFonts w:hAnsi="宋体"/>
                <w:b/>
                <w:color w:val="auto"/>
                <w:kern w:val="0"/>
                <w:highlight w:val="none"/>
              </w:rPr>
              <w:t>合同工程监理收费</w:t>
            </w:r>
          </w:p>
        </w:tc>
        <w:tc>
          <w:tcPr>
            <w:tcW w:w="1751" w:type="dxa"/>
            <w:tcBorders>
              <w:top w:val="nil"/>
              <w:left w:val="nil"/>
              <w:bottom w:val="single" w:color="auto" w:sz="4" w:space="0"/>
              <w:right w:val="single" w:color="auto" w:sz="4" w:space="0"/>
            </w:tcBorders>
            <w:noWrap w:val="0"/>
            <w:vAlign w:val="center"/>
          </w:tcPr>
          <w:p>
            <w:pPr>
              <w:widowControl/>
              <w:jc w:val="center"/>
              <w:rPr>
                <w:b/>
                <w:color w:val="auto"/>
                <w:kern w:val="0"/>
                <w:highlight w:val="none"/>
              </w:rPr>
            </w:pPr>
          </w:p>
        </w:tc>
        <w:tc>
          <w:tcPr>
            <w:tcW w:w="3958" w:type="dxa"/>
            <w:tcBorders>
              <w:top w:val="nil"/>
              <w:left w:val="nil"/>
              <w:bottom w:val="single" w:color="auto" w:sz="4" w:space="0"/>
              <w:right w:val="single" w:color="auto" w:sz="4" w:space="0"/>
            </w:tcBorders>
            <w:noWrap w:val="0"/>
            <w:vAlign w:val="center"/>
          </w:tcPr>
          <w:p>
            <w:pPr>
              <w:widowControl/>
              <w:rPr>
                <w:b/>
                <w:color w:val="auto"/>
                <w:kern w:val="0"/>
                <w:highlight w:val="none"/>
              </w:rPr>
            </w:pPr>
          </w:p>
        </w:tc>
      </w:tr>
      <w:tr>
        <w:tblPrEx>
          <w:tblCellMar>
            <w:top w:w="0" w:type="dxa"/>
            <w:left w:w="108" w:type="dxa"/>
            <w:bottom w:w="0" w:type="dxa"/>
            <w:right w:w="108" w:type="dxa"/>
          </w:tblCellMar>
        </w:tblPrEx>
        <w:trPr>
          <w:trHeight w:val="600" w:hRule="atLeast"/>
        </w:trPr>
        <w:tc>
          <w:tcPr>
            <w:tcW w:w="9350" w:type="dxa"/>
            <w:gridSpan w:val="4"/>
            <w:tcBorders>
              <w:top w:val="nil"/>
              <w:left w:val="single" w:color="auto" w:sz="4" w:space="0"/>
              <w:bottom w:val="single" w:color="auto" w:sz="4" w:space="0"/>
              <w:right w:val="single" w:color="auto" w:sz="4" w:space="0"/>
            </w:tcBorders>
            <w:noWrap w:val="0"/>
            <w:vAlign w:val="center"/>
          </w:tcPr>
          <w:p>
            <w:pPr>
              <w:widowControl/>
              <w:rPr>
                <w:b/>
                <w:color w:val="auto"/>
                <w:highlight w:val="none"/>
              </w:rPr>
            </w:pPr>
            <w:r>
              <w:rPr>
                <w:rFonts w:hAnsi="宋体"/>
                <w:b/>
                <w:color w:val="auto"/>
                <w:highlight w:val="none"/>
              </w:rPr>
              <w:t>监理服务收费基价</w:t>
            </w:r>
            <w:r>
              <w:rPr>
                <w:rFonts w:hint="eastAsia" w:hAnsi="宋体"/>
                <w:b/>
                <w:color w:val="auto"/>
                <w:highlight w:val="none"/>
              </w:rPr>
              <w:t xml:space="preserve"> </w:t>
            </w:r>
            <w:r>
              <w:rPr>
                <w:b/>
                <w:color w:val="auto"/>
                <w:highlight w:val="none"/>
              </w:rPr>
              <w:t>=</w:t>
            </w:r>
            <w:r>
              <w:rPr>
                <w:rFonts w:hAnsi="宋体"/>
                <w:b/>
                <w:color w:val="auto"/>
                <w:highlight w:val="none"/>
              </w:rPr>
              <w:t>工程评审概算中的监理费</w:t>
            </w:r>
            <w:r>
              <w:rPr>
                <w:rFonts w:hint="eastAsia" w:hAnsi="宋体"/>
                <w:b/>
                <w:color w:val="auto"/>
                <w:highlight w:val="none"/>
              </w:rPr>
              <w:t xml:space="preserve"> </w:t>
            </w:r>
            <w:r>
              <w:rPr>
                <w:b/>
                <w:color w:val="auto"/>
                <w:highlight w:val="none"/>
              </w:rPr>
              <w:t>=</w:t>
            </w:r>
            <w:r>
              <w:rPr>
                <w:rFonts w:hint="eastAsia"/>
                <w:b/>
                <w:color w:val="auto"/>
                <w:highlight w:val="none"/>
              </w:rPr>
              <w:t xml:space="preserve">      </w:t>
            </w:r>
            <w:r>
              <w:rPr>
                <w:rFonts w:hAnsi="宋体"/>
                <w:b/>
                <w:color w:val="auto"/>
                <w:highlight w:val="none"/>
              </w:rPr>
              <w:t>万元</w:t>
            </w:r>
          </w:p>
        </w:tc>
      </w:tr>
    </w:tbl>
    <w:p>
      <w:pPr>
        <w:pStyle w:val="14"/>
        <w:adjustRightInd w:val="0"/>
        <w:snapToGrid w:val="0"/>
        <w:spacing w:line="360" w:lineRule="auto"/>
        <w:ind w:firstLine="480"/>
        <w:rPr>
          <w:rFonts w:ascii="Times New Roman"/>
          <w:color w:val="auto"/>
          <w:sz w:val="24"/>
          <w:szCs w:val="24"/>
          <w:highlight w:val="none"/>
        </w:rPr>
      </w:pPr>
      <w:r>
        <w:rPr>
          <w:rFonts w:ascii="Times New Roman"/>
          <w:color w:val="auto"/>
          <w:sz w:val="24"/>
          <w:szCs w:val="24"/>
          <w:highlight w:val="none"/>
        </w:rPr>
        <w:t>B</w:t>
      </w:r>
      <w:r>
        <w:rPr>
          <w:rFonts w:ascii="Times New Roman" w:hAnsi="宋体"/>
          <w:color w:val="auto"/>
          <w:sz w:val="24"/>
          <w:szCs w:val="24"/>
          <w:highlight w:val="none"/>
        </w:rPr>
        <w:t>、按本监理专用合同条款第四十五条的规定，本季度应得的奖励</w:t>
      </w:r>
      <w:r>
        <w:rPr>
          <w:rFonts w:ascii="Times New Roman"/>
          <w:color w:val="auto"/>
          <w:sz w:val="24"/>
          <w:szCs w:val="24"/>
          <w:highlight w:val="none"/>
        </w:rPr>
        <w:t>(</w:t>
      </w:r>
      <w:r>
        <w:rPr>
          <w:rFonts w:ascii="Times New Roman" w:hAnsi="宋体"/>
          <w:color w:val="auto"/>
          <w:sz w:val="24"/>
          <w:szCs w:val="24"/>
          <w:highlight w:val="none"/>
        </w:rPr>
        <w:t>需提供证明资料</w:t>
      </w:r>
      <w:r>
        <w:rPr>
          <w:rFonts w:ascii="Times New Roman"/>
          <w:color w:val="auto"/>
          <w:sz w:val="24"/>
          <w:szCs w:val="24"/>
          <w:highlight w:val="none"/>
        </w:rPr>
        <w:t>)</w:t>
      </w:r>
      <w:r>
        <w:rPr>
          <w:rFonts w:ascii="Times New Roman" w:hAnsi="宋体"/>
          <w:color w:val="auto"/>
          <w:sz w:val="24"/>
          <w:szCs w:val="24"/>
          <w:highlight w:val="none"/>
        </w:rPr>
        <w:t>；</w:t>
      </w:r>
    </w:p>
    <w:p>
      <w:pPr>
        <w:pStyle w:val="14"/>
        <w:adjustRightInd w:val="0"/>
        <w:snapToGrid w:val="0"/>
        <w:spacing w:line="360" w:lineRule="auto"/>
        <w:ind w:firstLine="480"/>
        <w:rPr>
          <w:rFonts w:ascii="Times New Roman"/>
          <w:color w:val="auto"/>
          <w:sz w:val="24"/>
          <w:szCs w:val="24"/>
          <w:highlight w:val="none"/>
        </w:rPr>
      </w:pPr>
      <w:r>
        <w:rPr>
          <w:rFonts w:ascii="Times New Roman"/>
          <w:color w:val="auto"/>
          <w:sz w:val="24"/>
          <w:szCs w:val="24"/>
          <w:highlight w:val="none"/>
        </w:rPr>
        <w:t>C</w:t>
      </w:r>
      <w:r>
        <w:rPr>
          <w:rFonts w:ascii="Times New Roman" w:hAnsi="宋体"/>
          <w:color w:val="auto"/>
          <w:sz w:val="24"/>
          <w:szCs w:val="24"/>
          <w:highlight w:val="none"/>
        </w:rPr>
        <w:t>、按本合同规定本阶段应得的其它费用；</w:t>
      </w:r>
      <w:r>
        <w:rPr>
          <w:rFonts w:ascii="Times New Roman"/>
          <w:color w:val="auto"/>
          <w:sz w:val="24"/>
          <w:szCs w:val="24"/>
          <w:highlight w:val="none"/>
        </w:rPr>
        <w:t xml:space="preserve">    </w:t>
      </w:r>
    </w:p>
    <w:p>
      <w:pPr>
        <w:pStyle w:val="14"/>
        <w:adjustRightInd w:val="0"/>
        <w:snapToGrid w:val="0"/>
        <w:spacing w:line="360" w:lineRule="auto"/>
        <w:ind w:firstLine="480"/>
        <w:rPr>
          <w:rFonts w:ascii="Times New Roman"/>
          <w:color w:val="auto"/>
          <w:sz w:val="24"/>
          <w:szCs w:val="24"/>
          <w:highlight w:val="none"/>
        </w:rPr>
      </w:pPr>
      <w:r>
        <w:rPr>
          <w:rFonts w:ascii="Times New Roman"/>
          <w:color w:val="auto"/>
          <w:sz w:val="24"/>
          <w:szCs w:val="24"/>
          <w:highlight w:val="none"/>
        </w:rPr>
        <w:t>D</w:t>
      </w:r>
      <w:r>
        <w:rPr>
          <w:rFonts w:ascii="Times New Roman" w:hAnsi="宋体"/>
          <w:color w:val="auto"/>
          <w:sz w:val="24"/>
          <w:szCs w:val="24"/>
          <w:highlight w:val="none"/>
        </w:rPr>
        <w:t>、按本监理专用合同条款第四十二条的有关规定本阶段应扣除的款项；</w:t>
      </w:r>
    </w:p>
    <w:p>
      <w:pPr>
        <w:pStyle w:val="43"/>
        <w:spacing w:line="360" w:lineRule="auto"/>
        <w:rPr>
          <w:rFonts w:ascii="Times New Roman" w:hAnsi="Times New Roman"/>
          <w:color w:val="auto"/>
          <w:spacing w:val="11"/>
          <w:kern w:val="0"/>
          <w:highlight w:val="none"/>
        </w:rPr>
      </w:pPr>
      <w:r>
        <w:rPr>
          <w:rFonts w:ascii="Times New Roman" w:hAnsi="Times New Roman"/>
          <w:color w:val="auto"/>
          <w:spacing w:val="11"/>
          <w:kern w:val="0"/>
          <w:highlight w:val="none"/>
        </w:rPr>
        <w:t xml:space="preserve"> </w:t>
      </w:r>
      <w:r>
        <w:rPr>
          <w:rFonts w:hint="eastAsia" w:ascii="Times New Roman" w:hAnsi="Times New Roman"/>
          <w:color w:val="auto"/>
          <w:spacing w:val="11"/>
          <w:kern w:val="0"/>
          <w:highlight w:val="none"/>
        </w:rPr>
        <w:t xml:space="preserve">  </w:t>
      </w:r>
      <w:r>
        <w:rPr>
          <w:rFonts w:ascii="Times New Roman" w:hAnsi="Times New Roman"/>
          <w:color w:val="auto"/>
          <w:spacing w:val="11"/>
          <w:kern w:val="0"/>
          <w:highlight w:val="none"/>
        </w:rPr>
        <w:t>(</w:t>
      </w:r>
      <w:r>
        <w:rPr>
          <w:rFonts w:hint="eastAsia" w:ascii="Times New Roman" w:hAnsi="Times New Roman"/>
          <w:color w:val="auto"/>
          <w:spacing w:val="11"/>
          <w:kern w:val="0"/>
          <w:highlight w:val="none"/>
        </w:rPr>
        <w:t>3</w:t>
      </w:r>
      <w:r>
        <w:rPr>
          <w:rFonts w:ascii="Times New Roman" w:hAnsi="Times New Roman"/>
          <w:color w:val="auto"/>
          <w:spacing w:val="11"/>
          <w:kern w:val="0"/>
          <w:highlight w:val="none"/>
        </w:rPr>
        <w:t xml:space="preserve">) </w:t>
      </w:r>
      <w:r>
        <w:rPr>
          <w:rFonts w:ascii="Times New Roman" w:hAnsi="宋体"/>
          <w:b/>
          <w:color w:val="auto"/>
          <w:spacing w:val="11"/>
          <w:kern w:val="0"/>
          <w:highlight w:val="none"/>
        </w:rPr>
        <w:t>最终支付</w:t>
      </w:r>
      <w:r>
        <w:rPr>
          <w:rFonts w:hint="eastAsia" w:ascii="Times New Roman" w:hAnsi="Times New Roman"/>
          <w:b/>
          <w:color w:val="auto"/>
          <w:spacing w:val="11"/>
          <w:kern w:val="0"/>
          <w:highlight w:val="none"/>
        </w:rPr>
        <w:t>5</w:t>
      </w:r>
      <w:r>
        <w:rPr>
          <w:rFonts w:ascii="Times New Roman" w:hAnsi="Times New Roman"/>
          <w:b/>
          <w:color w:val="auto"/>
          <w:spacing w:val="11"/>
          <w:kern w:val="0"/>
          <w:highlight w:val="none"/>
        </w:rPr>
        <w:t>%</w:t>
      </w:r>
      <w:r>
        <w:rPr>
          <w:rFonts w:ascii="Times New Roman" w:hAnsi="宋体"/>
          <w:b/>
          <w:color w:val="auto"/>
          <w:spacing w:val="11"/>
          <w:kern w:val="0"/>
          <w:highlight w:val="none"/>
        </w:rPr>
        <w:t>的监理报酬，</w:t>
      </w:r>
      <w:r>
        <w:rPr>
          <w:rFonts w:ascii="Times New Roman" w:hAnsi="宋体"/>
          <w:color w:val="auto"/>
          <w:spacing w:val="11"/>
          <w:kern w:val="0"/>
          <w:highlight w:val="none"/>
        </w:rPr>
        <w:t>在工程施工结算后</w:t>
      </w:r>
      <w:r>
        <w:rPr>
          <w:rFonts w:ascii="Times New Roman" w:hAnsi="Times New Roman"/>
          <w:color w:val="auto"/>
          <w:spacing w:val="11"/>
          <w:kern w:val="0"/>
          <w:highlight w:val="none"/>
        </w:rPr>
        <w:t>14</w:t>
      </w:r>
      <w:r>
        <w:rPr>
          <w:rFonts w:ascii="Times New Roman" w:hAnsi="宋体"/>
          <w:color w:val="auto"/>
          <w:spacing w:val="11"/>
          <w:kern w:val="0"/>
          <w:highlight w:val="none"/>
        </w:rPr>
        <w:t>天内予以支付，监理费最终结算价不得超过经评审的概算中的工程建设监理费。</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第三十三条</w:t>
      </w:r>
      <w:r>
        <w:rPr>
          <w:rFonts w:ascii="Times New Roman" w:hAnsi="Times New Roman"/>
          <w:b/>
          <w:color w:val="auto"/>
          <w:highlight w:val="none"/>
        </w:rPr>
        <w:t xml:space="preserve"> </w:t>
      </w:r>
      <w:r>
        <w:rPr>
          <w:rFonts w:ascii="Times New Roman" w:hAnsi="宋体"/>
          <w:color w:val="auto"/>
          <w:highlight w:val="none"/>
        </w:rPr>
        <w:t>监理附加服务酬金的计取与支付方法：</w:t>
      </w:r>
    </w:p>
    <w:p>
      <w:pPr>
        <w:pStyle w:val="43"/>
        <w:spacing w:line="360" w:lineRule="auto"/>
        <w:ind w:firstLine="482" w:firstLineChars="200"/>
        <w:rPr>
          <w:rFonts w:ascii="Times New Roman" w:hAnsi="Times New Roman"/>
          <w:b/>
          <w:color w:val="auto"/>
          <w:highlight w:val="none"/>
        </w:rPr>
      </w:pPr>
      <w:r>
        <w:rPr>
          <w:rFonts w:ascii="Times New Roman" w:hAnsi="宋体"/>
          <w:b/>
          <w:color w:val="auto"/>
          <w:highlight w:val="none"/>
        </w:rPr>
        <w:t>一、计取方法为：</w:t>
      </w:r>
      <w:r>
        <w:rPr>
          <w:rFonts w:hint="eastAsia" w:ascii="Times New Roman" w:hAnsi="宋体"/>
          <w:color w:val="auto"/>
          <w:highlight w:val="none"/>
          <w:u w:val="single"/>
        </w:rPr>
        <w:t>监理附加服务所需的费用，监理人在投标报价时应充分考虑，委托人不另行计算和支付该项费用</w:t>
      </w:r>
      <w:r>
        <w:rPr>
          <w:rFonts w:ascii="Times New Roman" w:hAnsi="宋体"/>
          <w:b/>
          <w:color w:val="auto"/>
          <w:highlight w:val="none"/>
        </w:rPr>
        <w:t>。</w:t>
      </w:r>
    </w:p>
    <w:p>
      <w:pPr>
        <w:pStyle w:val="43"/>
        <w:spacing w:line="360" w:lineRule="auto"/>
        <w:ind w:firstLine="482" w:firstLineChars="200"/>
        <w:rPr>
          <w:rFonts w:ascii="Times New Roman" w:hAnsi="Times New Roman"/>
          <w:b/>
          <w:color w:val="auto"/>
          <w:highlight w:val="none"/>
        </w:rPr>
      </w:pPr>
      <w:r>
        <w:rPr>
          <w:rFonts w:ascii="Times New Roman" w:hAnsi="宋体"/>
          <w:b/>
          <w:color w:val="auto"/>
          <w:highlight w:val="none"/>
        </w:rPr>
        <w:t>二、支付方式为：</w:t>
      </w:r>
      <w:r>
        <w:rPr>
          <w:rFonts w:hint="eastAsia" w:ascii="Times New Roman" w:hAnsi="宋体"/>
          <w:color w:val="auto"/>
          <w:highlight w:val="none"/>
          <w:u w:val="single"/>
        </w:rPr>
        <w:t>无</w:t>
      </w:r>
      <w:r>
        <w:rPr>
          <w:rFonts w:ascii="Times New Roman" w:hAnsi="宋体"/>
          <w:b/>
          <w:color w:val="auto"/>
          <w:highlight w:val="none"/>
        </w:rPr>
        <w:t>。</w:t>
      </w:r>
    </w:p>
    <w:p>
      <w:pPr>
        <w:pStyle w:val="43"/>
        <w:spacing w:line="360" w:lineRule="auto"/>
        <w:ind w:firstLine="482" w:firstLineChars="200"/>
        <w:rPr>
          <w:rFonts w:ascii="Times New Roman" w:hAnsi="Times New Roman"/>
          <w:b/>
          <w:color w:val="auto"/>
          <w:highlight w:val="none"/>
        </w:rPr>
      </w:pPr>
      <w:r>
        <w:rPr>
          <w:rFonts w:ascii="Times New Roman" w:hAnsi="宋体"/>
          <w:b/>
          <w:color w:val="auto"/>
          <w:highlight w:val="none"/>
        </w:rPr>
        <w:t>三、支付时间为：</w:t>
      </w:r>
      <w:r>
        <w:rPr>
          <w:rFonts w:hint="eastAsia" w:ascii="Times New Roman" w:hAnsi="宋体"/>
          <w:color w:val="auto"/>
          <w:highlight w:val="none"/>
          <w:u w:val="single"/>
        </w:rPr>
        <w:t>无</w:t>
      </w:r>
      <w:r>
        <w:rPr>
          <w:rFonts w:ascii="Times New Roman" w:hAnsi="宋体"/>
          <w:b/>
          <w:color w:val="auto"/>
          <w:highlight w:val="none"/>
        </w:rPr>
        <w:t>。</w:t>
      </w:r>
    </w:p>
    <w:p>
      <w:pPr>
        <w:pStyle w:val="43"/>
        <w:tabs>
          <w:tab w:val="center" w:pos="4907"/>
        </w:tabs>
        <w:spacing w:before="120" w:beforeLines="50" w:after="120" w:afterLines="50" w:line="360" w:lineRule="auto"/>
        <w:ind w:firstLine="420"/>
        <w:rPr>
          <w:rFonts w:hint="eastAsia" w:ascii="Times New Roman" w:hAnsi="宋体"/>
          <w:color w:val="auto"/>
          <w:highlight w:val="none"/>
        </w:rPr>
      </w:pPr>
      <w:r>
        <w:rPr>
          <w:rFonts w:ascii="Times New Roman" w:hAnsi="宋体"/>
          <w:b/>
          <w:color w:val="auto"/>
          <w:highlight w:val="none"/>
        </w:rPr>
        <w:t>第三十</w:t>
      </w:r>
      <w:r>
        <w:rPr>
          <w:rFonts w:hint="eastAsia" w:ascii="Times New Roman" w:hAnsi="宋体"/>
          <w:b/>
          <w:color w:val="auto"/>
          <w:highlight w:val="none"/>
        </w:rPr>
        <w:t>六</w:t>
      </w:r>
      <w:r>
        <w:rPr>
          <w:rFonts w:ascii="Times New Roman" w:hAnsi="宋体"/>
          <w:b/>
          <w:color w:val="auto"/>
          <w:highlight w:val="none"/>
        </w:rPr>
        <w:t>条</w:t>
      </w:r>
      <w:r>
        <w:rPr>
          <w:rFonts w:hint="eastAsia" w:ascii="Times New Roman" w:hAnsi="宋体"/>
          <w:b/>
          <w:color w:val="auto"/>
          <w:highlight w:val="none"/>
        </w:rPr>
        <w:t xml:space="preserve"> </w:t>
      </w:r>
      <w:r>
        <w:rPr>
          <w:rFonts w:hint="eastAsia" w:ascii="Times New Roman" w:hAnsi="宋体"/>
          <w:color w:val="auto"/>
          <w:highlight w:val="none"/>
        </w:rPr>
        <w:t>因工程建设计划调整、较大的工程设计变更、不良地质条件等非监理人原因致使本合同约定的服务范围、内容和服务形式发生较大变化时，委托人有权对监理服务范围、内容和服务形式、监理服务期限进行调整，监理人不行拒绝，监理服务酬金按照实际完成的监理工作的正常服务费用计取。</w:t>
      </w:r>
    </w:p>
    <w:p>
      <w:pPr>
        <w:pStyle w:val="43"/>
        <w:tabs>
          <w:tab w:val="center" w:pos="4907"/>
        </w:tabs>
        <w:spacing w:before="120" w:beforeLines="50" w:after="120" w:afterLines="50" w:line="360" w:lineRule="auto"/>
        <w:ind w:firstLine="420"/>
        <w:rPr>
          <w:rFonts w:ascii="Times New Roman" w:hAnsi="Times New Roman"/>
          <w:color w:val="auto"/>
          <w:sz w:val="28"/>
          <w:szCs w:val="28"/>
          <w:highlight w:val="none"/>
        </w:rPr>
      </w:pPr>
      <w:r>
        <w:rPr>
          <w:rFonts w:ascii="Times New Roman" w:hAnsi="宋体"/>
          <w:color w:val="auto"/>
          <w:sz w:val="28"/>
          <w:szCs w:val="28"/>
          <w:highlight w:val="none"/>
        </w:rPr>
        <w:tab/>
      </w:r>
      <w:r>
        <w:rPr>
          <w:rFonts w:ascii="Times New Roman" w:hAnsi="宋体"/>
          <w:color w:val="auto"/>
          <w:sz w:val="28"/>
          <w:szCs w:val="28"/>
          <w:highlight w:val="none"/>
        </w:rPr>
        <w:t>违约责任</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第四十条</w:t>
      </w:r>
      <w:r>
        <w:rPr>
          <w:rFonts w:ascii="Times New Roman" w:hAnsi="Times New Roman"/>
          <w:color w:val="auto"/>
          <w:highlight w:val="none"/>
        </w:rPr>
        <w:t xml:space="preserve"> </w:t>
      </w:r>
      <w:r>
        <w:rPr>
          <w:rFonts w:ascii="Times New Roman" w:hAnsi="宋体"/>
          <w:color w:val="auto"/>
          <w:highlight w:val="none"/>
        </w:rPr>
        <w:t>委托人违约，应支付给监理人违约金。</w:t>
      </w:r>
    </w:p>
    <w:p>
      <w:pPr>
        <w:pStyle w:val="43"/>
        <w:spacing w:line="360" w:lineRule="auto"/>
        <w:ind w:firstLine="480" w:firstLineChars="200"/>
        <w:rPr>
          <w:rFonts w:ascii="Times New Roman" w:hAnsi="Times New Roman"/>
          <w:color w:val="auto"/>
          <w:highlight w:val="none"/>
        </w:rPr>
      </w:pPr>
      <w:r>
        <w:rPr>
          <w:rFonts w:ascii="Times New Roman" w:hAnsi="宋体"/>
          <w:color w:val="auto"/>
          <w:highlight w:val="none"/>
        </w:rPr>
        <w:t>违约金：</w:t>
      </w:r>
      <w:r>
        <w:rPr>
          <w:rFonts w:ascii="Times New Roman" w:hAnsi="宋体"/>
          <w:color w:val="auto"/>
          <w:highlight w:val="none"/>
          <w:u w:val="single"/>
        </w:rPr>
        <w:t>由双方协商确定</w:t>
      </w:r>
      <w:r>
        <w:rPr>
          <w:rFonts w:ascii="Times New Roman" w:hAnsi="宋体"/>
          <w:color w:val="auto"/>
          <w:highlight w:val="none"/>
        </w:rPr>
        <w:t>。</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第四十一条</w:t>
      </w:r>
      <w:r>
        <w:rPr>
          <w:rFonts w:ascii="Times New Roman" w:hAnsi="Times New Roman"/>
          <w:color w:val="auto"/>
          <w:highlight w:val="none"/>
        </w:rPr>
        <w:t xml:space="preserve"> </w:t>
      </w:r>
      <w:r>
        <w:rPr>
          <w:rFonts w:ascii="Times New Roman" w:hAnsi="宋体"/>
          <w:color w:val="auto"/>
          <w:kern w:val="0"/>
          <w:szCs w:val="27"/>
          <w:highlight w:val="none"/>
        </w:rPr>
        <w:t>若委托人不能按期支付监理服务酬金，委托人按中国人民银行同期贷款利率向监理人支付逾期付款利息。</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第四十二条</w:t>
      </w:r>
      <w:r>
        <w:rPr>
          <w:rFonts w:ascii="Times New Roman" w:hAnsi="Times New Roman"/>
          <w:color w:val="auto"/>
          <w:highlight w:val="none"/>
        </w:rPr>
        <w:t xml:space="preserve"> </w:t>
      </w:r>
      <w:r>
        <w:rPr>
          <w:rFonts w:ascii="Times New Roman" w:hAnsi="宋体"/>
          <w:color w:val="auto"/>
          <w:highlight w:val="none"/>
        </w:rPr>
        <w:t>监理人有以下违约行为，应支付给委托人违约金：</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 监理人在履行监理服务合同中，由于过失行为给发包人带来经济损失的，应赔偿发包人的赔偿金计算公式为：</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赔偿金=直接经济损失×报酬(税金等各项应扣费用扣除后)比率</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(2) 监理人未按规定进驻现场或者未按要求旁站监理的，除按承诺书接受处罚，并每次向发包人支付1仟元违约金。</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(3) 监理人未按规定向发包人报告工作或者提供不实报告的，向发包人支付违约金1仟元。</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(4) 监理人指派不具有相应资质的人员进行监理的，向发包人支付违约金1仟元。</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(5) 监理人及其工作人员接受承包人或者建筑材料、建筑构配件和设备供应人的利益或者请客送礼的，每次向发包人支付违约金5仟元。</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(6) 监理人在工作中超越合同规定权限审批的，向发包人支付违约金1仟元，负有直接责任的监理人员应当被撤换。</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(7) 监理人在计量或变更设计工作中弄虚作假的，每次向发包人支付1万元违约金；造成发包人损失的，应当赔偿全部损失或者与有关责任人连带赔偿全部损失；负有直接责任的监理人员应当被撤换。</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(8) 监理人明知不合格的建设工程、建筑材料、建筑构配件和设备按照合格签字的，向发包人支付1万元违约金；造成发包人损失的，应当赔偿部分损失或者与有关责任人连带赔偿全部损失。</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(9) 监理人对承包人的野蛮施工、违规操作、上一工序（单元工程）质量未验收合格就进行下一工序（单元工程）施工的行为未及时采取有效措施的，每次</w:t>
      </w:r>
      <w:r>
        <w:rPr>
          <w:rFonts w:hint="eastAsia" w:ascii="宋体" w:hAnsi="宋体" w:cs="宋体"/>
          <w:color w:val="auto"/>
          <w:kern w:val="0"/>
          <w:highlight w:val="none"/>
          <w:lang w:eastAsia="zh-CN"/>
        </w:rPr>
        <w:t>向</w:t>
      </w:r>
      <w:r>
        <w:rPr>
          <w:rFonts w:hint="eastAsia" w:ascii="宋体" w:hAnsi="宋体" w:cs="宋体"/>
          <w:color w:val="auto"/>
          <w:kern w:val="0"/>
          <w:highlight w:val="none"/>
        </w:rPr>
        <w:t>发包人支付违约金5仟元，造成发包人损失的，应当赔偿全部损失或者与有关责任人连带赔偿全部损失；负有直接责任的监理人员应当被撤换。</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(10) 监理人与承包人串通，弄虚作假、降低工程质量的，向发包人支付1万元违约金；造成发包人损失的，应当赔偿全部损失或者与有关责任人连带赔偿全部损失。</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(11) 监理人及其工作人员向承包人介绍分包队伍，推荐建筑材料、建筑构配件和设备的，向发包人支付1万元违约金，监理人及其介绍的分包队伍将被清除出场。但介绍或者推荐经发包人书面同意的除外。</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(12) 监理人转包或者分包监理业务的，发包人有权解除合同，给发包人造成损失的，还应当赔偿全部损失或者与有关责任人连带赔偿全部损失。</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(13) 因监理人的故意行为致使工期延误的，逾期每日向发包人支付1仟元违约金；给发包人造成损失的，还应当赔偿全部损失或者与有关责任人连带赔偿全部损失。</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(14) 监理人有第(2)至第(4)项情形各累计超过3次，或者有(5)至(10)项情形累计各超过2次，或有第(11)项情形的，发包人有权解除合同，由此造成的损失概由监理人承担。</w:t>
      </w:r>
    </w:p>
    <w:p>
      <w:pPr>
        <w:pStyle w:val="43"/>
        <w:spacing w:line="360" w:lineRule="auto"/>
        <w:ind w:firstLine="480" w:firstLineChars="200"/>
        <w:rPr>
          <w:rFonts w:ascii="宋体" w:hAnsi="宋体" w:cs="宋体"/>
          <w:color w:val="auto"/>
          <w:kern w:val="0"/>
          <w:highlight w:val="none"/>
        </w:rPr>
      </w:pPr>
      <w:r>
        <w:rPr>
          <w:rFonts w:hint="eastAsia" w:ascii="宋体" w:hAnsi="宋体" w:cs="宋体"/>
          <w:color w:val="auto"/>
          <w:kern w:val="0"/>
          <w:highlight w:val="none"/>
        </w:rPr>
        <w:t>(15) 监理人的违约行为给发包人造成重大损失或者情节严重的，将移送司法机关处理。</w:t>
      </w:r>
    </w:p>
    <w:p>
      <w:pPr>
        <w:pStyle w:val="43"/>
        <w:spacing w:line="360" w:lineRule="auto"/>
        <w:ind w:firstLine="480" w:firstLineChars="200"/>
        <w:rPr>
          <w:rFonts w:ascii="宋体" w:hAnsi="宋体" w:cs="宋体"/>
          <w:b/>
          <w:color w:val="auto"/>
          <w:kern w:val="0"/>
          <w:highlight w:val="none"/>
        </w:rPr>
      </w:pPr>
      <w:r>
        <w:rPr>
          <w:rFonts w:hint="eastAsia" w:ascii="宋体" w:hAnsi="宋体" w:cs="宋体"/>
          <w:color w:val="auto"/>
          <w:kern w:val="0"/>
          <w:highlight w:val="none"/>
        </w:rPr>
        <w:t>(16) 监理人的未按专用条款第21条规定派驻监理人员，应当向发包人支付合同价20％的违约金</w:t>
      </w:r>
      <w:r>
        <w:rPr>
          <w:rFonts w:hint="eastAsia" w:ascii="宋体" w:hAnsi="宋体" w:cs="宋体"/>
          <w:b/>
          <w:color w:val="auto"/>
          <w:kern w:val="0"/>
          <w:highlight w:val="none"/>
        </w:rPr>
        <w:t>。</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争议的解决</w:t>
      </w:r>
    </w:p>
    <w:p>
      <w:pPr>
        <w:pStyle w:val="43"/>
        <w:spacing w:line="360" w:lineRule="auto"/>
        <w:ind w:firstLine="361"/>
        <w:rPr>
          <w:rFonts w:ascii="Times New Roman" w:hAnsi="Times New Roman"/>
          <w:color w:val="auto"/>
          <w:highlight w:val="none"/>
        </w:rPr>
      </w:pPr>
      <w:r>
        <w:rPr>
          <w:rFonts w:ascii="Times New Roman" w:hAnsi="宋体"/>
          <w:b/>
          <w:color w:val="auto"/>
          <w:highlight w:val="none"/>
        </w:rPr>
        <w:t>第四十三条</w:t>
      </w:r>
      <w:r>
        <w:rPr>
          <w:rFonts w:ascii="Times New Roman" w:hAnsi="Times New Roman"/>
          <w:color w:val="auto"/>
          <w:highlight w:val="none"/>
        </w:rPr>
        <w:t xml:space="preserve"> </w:t>
      </w:r>
      <w:r>
        <w:rPr>
          <w:rFonts w:ascii="Times New Roman" w:hAnsi="宋体"/>
          <w:color w:val="auto"/>
          <w:highlight w:val="none"/>
        </w:rPr>
        <w:t>争议</w:t>
      </w:r>
      <w:r>
        <w:rPr>
          <w:rFonts w:hint="eastAsia" w:ascii="Times New Roman" w:hAnsi="宋体"/>
          <w:color w:val="auto"/>
          <w:highlight w:val="none"/>
        </w:rPr>
        <w:t>解决方式</w:t>
      </w:r>
      <w:r>
        <w:rPr>
          <w:rFonts w:ascii="Times New Roman" w:hAnsi="宋体"/>
          <w:color w:val="auto"/>
          <w:highlight w:val="none"/>
        </w:rPr>
        <w:t>：</w:t>
      </w:r>
    </w:p>
    <w:p>
      <w:pPr>
        <w:pStyle w:val="43"/>
        <w:spacing w:line="360" w:lineRule="auto"/>
        <w:ind w:firstLine="480" w:firstLineChars="200"/>
        <w:rPr>
          <w:rFonts w:ascii="Times New Roman" w:hAnsi="Times New Roman"/>
          <w:color w:val="auto"/>
          <w:highlight w:val="none"/>
        </w:rPr>
      </w:pPr>
      <w:r>
        <w:rPr>
          <w:rFonts w:ascii="Times New Roman" w:hAnsi="宋体"/>
          <w:color w:val="auto"/>
          <w:highlight w:val="none"/>
        </w:rPr>
        <w:t>争议调解机构为广州市增城区水务局</w:t>
      </w:r>
      <w:r>
        <w:rPr>
          <w:rFonts w:ascii="Times New Roman" w:hAnsi="Times New Roman"/>
          <w:color w:val="auto"/>
          <w:highlight w:val="none"/>
        </w:rPr>
        <w:t xml:space="preserve"> </w:t>
      </w:r>
      <w:r>
        <w:rPr>
          <w:rFonts w:hint="eastAsia" w:ascii="Times New Roman" w:hAnsi="Times New Roman"/>
          <w:color w:val="auto"/>
          <w:highlight w:val="none"/>
        </w:rPr>
        <w:t>，如调解不成，双方均可向广州市增城区人民法院提起诉讼</w:t>
      </w:r>
      <w:r>
        <w:rPr>
          <w:rFonts w:ascii="Times New Roman" w:hAnsi="宋体"/>
          <w:color w:val="auto"/>
          <w:highlight w:val="none"/>
        </w:rPr>
        <w:t>。</w:t>
      </w:r>
    </w:p>
    <w:p>
      <w:pPr>
        <w:pStyle w:val="43"/>
        <w:spacing w:before="120" w:beforeLines="50" w:after="120" w:afterLines="50" w:line="360" w:lineRule="auto"/>
        <w:ind w:firstLine="420"/>
        <w:jc w:val="center"/>
        <w:rPr>
          <w:rFonts w:ascii="Times New Roman" w:hAnsi="Times New Roman"/>
          <w:color w:val="auto"/>
          <w:sz w:val="28"/>
          <w:szCs w:val="28"/>
          <w:highlight w:val="none"/>
        </w:rPr>
      </w:pPr>
      <w:r>
        <w:rPr>
          <w:rFonts w:ascii="Times New Roman" w:hAnsi="宋体"/>
          <w:color w:val="auto"/>
          <w:sz w:val="28"/>
          <w:szCs w:val="28"/>
          <w:highlight w:val="none"/>
        </w:rPr>
        <w:t>其</w:t>
      </w:r>
      <w:r>
        <w:rPr>
          <w:rFonts w:ascii="Times New Roman" w:hAnsi="Times New Roman"/>
          <w:color w:val="auto"/>
          <w:sz w:val="28"/>
          <w:szCs w:val="28"/>
          <w:highlight w:val="none"/>
        </w:rPr>
        <w:t xml:space="preserve">  </w:t>
      </w:r>
      <w:r>
        <w:rPr>
          <w:rFonts w:ascii="Times New Roman" w:hAnsi="宋体"/>
          <w:color w:val="auto"/>
          <w:sz w:val="28"/>
          <w:szCs w:val="28"/>
          <w:highlight w:val="none"/>
        </w:rPr>
        <w:t>他</w:t>
      </w:r>
    </w:p>
    <w:p>
      <w:pPr>
        <w:pStyle w:val="43"/>
        <w:spacing w:line="360" w:lineRule="auto"/>
        <w:ind w:firstLine="361"/>
        <w:rPr>
          <w:rFonts w:ascii="Times New Roman" w:hAnsi="宋体"/>
          <w:color w:val="auto"/>
          <w:kern w:val="0"/>
          <w:highlight w:val="none"/>
        </w:rPr>
      </w:pPr>
      <w:r>
        <w:rPr>
          <w:rFonts w:ascii="Times New Roman" w:hAnsi="宋体"/>
          <w:b/>
          <w:color w:val="auto"/>
          <w:highlight w:val="none"/>
        </w:rPr>
        <w:t>第四十五条</w:t>
      </w:r>
      <w:r>
        <w:rPr>
          <w:rFonts w:ascii="Times New Roman" w:hAnsi="Times New Roman"/>
          <w:b/>
          <w:color w:val="auto"/>
          <w:highlight w:val="none"/>
        </w:rPr>
        <w:t xml:space="preserve"> </w:t>
      </w:r>
      <w:r>
        <w:rPr>
          <w:rFonts w:ascii="Times New Roman" w:hAnsi="宋体"/>
          <w:color w:val="auto"/>
          <w:kern w:val="0"/>
          <w:highlight w:val="none"/>
        </w:rPr>
        <w:t>本项目</w:t>
      </w:r>
      <w:r>
        <w:rPr>
          <w:rFonts w:ascii="Times New Roman" w:hAnsi="宋体"/>
          <w:color w:val="auto"/>
          <w:highlight w:val="none"/>
        </w:rPr>
        <w:t>委托人对监理人提出并落实的合理化建议</w:t>
      </w:r>
      <w:r>
        <w:rPr>
          <w:rFonts w:ascii="Times New Roman" w:hAnsi="宋体"/>
          <w:color w:val="auto"/>
          <w:kern w:val="0"/>
          <w:highlight w:val="none"/>
        </w:rPr>
        <w:t>无奖励。</w:t>
      </w:r>
    </w:p>
    <w:p>
      <w:pPr>
        <w:pStyle w:val="43"/>
        <w:ind w:firstLine="361"/>
        <w:jc w:val="center"/>
        <w:rPr>
          <w:rFonts w:hint="eastAsia" w:ascii="宋体" w:hAnsi="宋体" w:cs="宋体"/>
          <w:color w:val="auto"/>
          <w:sz w:val="36"/>
          <w:szCs w:val="36"/>
          <w:highlight w:val="none"/>
        </w:rPr>
      </w:pPr>
      <w:r>
        <w:rPr>
          <w:rFonts w:ascii="Times New Roman" w:hAnsi="宋体"/>
          <w:color w:val="auto"/>
          <w:kern w:val="0"/>
          <w:highlight w:val="none"/>
        </w:rPr>
        <w:br w:type="page"/>
      </w:r>
      <w:bookmarkStart w:id="470" w:name="_Toc14624"/>
      <w:r>
        <w:rPr>
          <w:rFonts w:hint="eastAsia" w:ascii="Times New Roman" w:hAnsi="宋体"/>
          <w:b/>
          <w:color w:val="auto"/>
          <w:kern w:val="0"/>
          <w:sz w:val="32"/>
          <w:szCs w:val="32"/>
          <w:highlight w:val="none"/>
        </w:rPr>
        <w:t>合同附</w:t>
      </w:r>
      <w:bookmarkEnd w:id="470"/>
      <w:r>
        <w:rPr>
          <w:rFonts w:hint="eastAsia" w:ascii="Times New Roman" w:hAnsi="宋体"/>
          <w:b/>
          <w:color w:val="auto"/>
          <w:kern w:val="0"/>
          <w:sz w:val="32"/>
          <w:szCs w:val="32"/>
          <w:highlight w:val="none"/>
        </w:rPr>
        <w:t>加条款</w:t>
      </w:r>
    </w:p>
    <w:p>
      <w:pPr>
        <w:autoSpaceDE w:val="0"/>
        <w:autoSpaceDN w:val="0"/>
        <w:adjustRightInd w:val="0"/>
        <w:snapToGrid w:val="0"/>
        <w:spacing w:line="300" w:lineRule="auto"/>
        <w:ind w:firstLine="482" w:firstLineChars="200"/>
        <w:rPr>
          <w:b/>
          <w:bCs/>
          <w:color w:val="auto"/>
          <w:kern w:val="0"/>
          <w:sz w:val="24"/>
          <w:highlight w:val="none"/>
        </w:rPr>
      </w:pPr>
      <w:r>
        <w:rPr>
          <w:rFonts w:hAnsi="宋体"/>
          <w:b/>
          <w:bCs/>
          <w:color w:val="auto"/>
          <w:kern w:val="0"/>
          <w:sz w:val="24"/>
          <w:highlight w:val="none"/>
        </w:rPr>
        <w:t>本合同监理服务内容：</w:t>
      </w:r>
      <w:r>
        <w:rPr>
          <w:b/>
          <w:bCs/>
          <w:color w:val="auto"/>
          <w:kern w:val="0"/>
          <w:sz w:val="24"/>
          <w:highlight w:val="none"/>
        </w:rPr>
        <w:t xml:space="preserve"> </w:t>
      </w:r>
    </w:p>
    <w:p>
      <w:pPr>
        <w:autoSpaceDE w:val="0"/>
        <w:autoSpaceDN w:val="0"/>
        <w:adjustRightInd w:val="0"/>
        <w:snapToGrid w:val="0"/>
        <w:spacing w:line="360" w:lineRule="auto"/>
        <w:ind w:firstLine="480" w:firstLineChars="200"/>
        <w:rPr>
          <w:color w:val="auto"/>
          <w:kern w:val="0"/>
          <w:sz w:val="24"/>
          <w:highlight w:val="none"/>
        </w:rPr>
      </w:pPr>
      <w:r>
        <w:rPr>
          <w:color w:val="auto"/>
          <w:kern w:val="0"/>
          <w:sz w:val="24"/>
          <w:highlight w:val="none"/>
        </w:rPr>
        <w:t>(</w:t>
      </w:r>
      <w:r>
        <w:rPr>
          <w:rFonts w:hAnsi="宋体"/>
          <w:color w:val="auto"/>
          <w:kern w:val="0"/>
          <w:sz w:val="24"/>
          <w:highlight w:val="none"/>
        </w:rPr>
        <w:t>一</w:t>
      </w:r>
      <w:r>
        <w:rPr>
          <w:color w:val="auto"/>
          <w:kern w:val="0"/>
          <w:sz w:val="24"/>
          <w:highlight w:val="none"/>
        </w:rPr>
        <w:t>)</w:t>
      </w:r>
      <w:r>
        <w:rPr>
          <w:rFonts w:hAnsi="宋体"/>
          <w:color w:val="auto"/>
          <w:kern w:val="0"/>
          <w:sz w:val="24"/>
          <w:highlight w:val="none"/>
        </w:rPr>
        <w:t>设计方面</w:t>
      </w:r>
    </w:p>
    <w:p>
      <w:pPr>
        <w:autoSpaceDE w:val="0"/>
        <w:autoSpaceDN w:val="0"/>
        <w:adjustRightInd w:val="0"/>
        <w:snapToGrid w:val="0"/>
        <w:spacing w:line="360" w:lineRule="auto"/>
        <w:ind w:firstLine="480"/>
        <w:rPr>
          <w:color w:val="auto"/>
          <w:kern w:val="0"/>
          <w:sz w:val="24"/>
          <w:highlight w:val="none"/>
        </w:rPr>
      </w:pPr>
      <w:r>
        <w:rPr>
          <w:color w:val="auto"/>
          <w:kern w:val="0"/>
          <w:sz w:val="24"/>
          <w:highlight w:val="none"/>
        </w:rPr>
        <w:t xml:space="preserve">1. </w:t>
      </w:r>
      <w:r>
        <w:rPr>
          <w:rFonts w:hAnsi="宋体"/>
          <w:color w:val="auto"/>
          <w:kern w:val="0"/>
          <w:sz w:val="24"/>
          <w:highlight w:val="none"/>
        </w:rPr>
        <w:t>核查并签发施工图，发现问题向委托人反映，重大问题向委托人做专题报告。</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2. </w:t>
      </w:r>
      <w:r>
        <w:rPr>
          <w:rFonts w:hAnsi="宋体"/>
          <w:color w:val="auto"/>
          <w:kern w:val="0"/>
          <w:sz w:val="24"/>
          <w:highlight w:val="none"/>
        </w:rPr>
        <w:t>主持或与委托人联合主持设计技术交底会议，编写会议纪要。</w:t>
      </w:r>
    </w:p>
    <w:p>
      <w:pPr>
        <w:autoSpaceDE w:val="0"/>
        <w:autoSpaceDN w:val="0"/>
        <w:adjustRightInd w:val="0"/>
        <w:snapToGrid w:val="0"/>
        <w:spacing w:line="360" w:lineRule="auto"/>
        <w:ind w:firstLine="480" w:firstLineChars="200"/>
        <w:rPr>
          <w:color w:val="auto"/>
          <w:kern w:val="0"/>
          <w:sz w:val="24"/>
          <w:highlight w:val="none"/>
        </w:rPr>
      </w:pPr>
      <w:r>
        <w:rPr>
          <w:color w:val="auto"/>
          <w:kern w:val="0"/>
          <w:sz w:val="24"/>
          <w:highlight w:val="none"/>
        </w:rPr>
        <w:t xml:space="preserve">3. </w:t>
      </w:r>
      <w:r>
        <w:rPr>
          <w:rFonts w:hAnsi="宋体"/>
          <w:color w:val="auto"/>
          <w:kern w:val="0"/>
          <w:sz w:val="24"/>
          <w:highlight w:val="none"/>
        </w:rPr>
        <w:t>协助委托人会同设计人对重大技术问题和优化设计进行专题讨论。</w:t>
      </w:r>
    </w:p>
    <w:p>
      <w:pPr>
        <w:autoSpaceDE w:val="0"/>
        <w:autoSpaceDN w:val="0"/>
        <w:adjustRightInd w:val="0"/>
        <w:snapToGrid w:val="0"/>
        <w:spacing w:line="360" w:lineRule="auto"/>
        <w:ind w:firstLine="480" w:firstLineChars="200"/>
        <w:rPr>
          <w:color w:val="auto"/>
          <w:kern w:val="0"/>
          <w:sz w:val="24"/>
          <w:highlight w:val="none"/>
          <w:lang w:val="en-GB"/>
        </w:rPr>
      </w:pPr>
      <w:r>
        <w:rPr>
          <w:color w:val="auto"/>
          <w:kern w:val="0"/>
          <w:sz w:val="24"/>
          <w:highlight w:val="none"/>
        </w:rPr>
        <w:t xml:space="preserve">4. </w:t>
      </w:r>
      <w:r>
        <w:rPr>
          <w:rFonts w:hAnsi="宋体"/>
          <w:color w:val="auto"/>
          <w:kern w:val="0"/>
          <w:sz w:val="24"/>
          <w:highlight w:val="none"/>
        </w:rPr>
        <w:t>审核</w:t>
      </w:r>
      <w:r>
        <w:rPr>
          <w:rFonts w:hAnsi="宋体"/>
          <w:color w:val="auto"/>
          <w:spacing w:val="-4"/>
          <w:kern w:val="0"/>
          <w:sz w:val="24"/>
          <w:szCs w:val="24"/>
          <w:highlight w:val="none"/>
        </w:rPr>
        <w:t>承包人对施工图</w:t>
      </w:r>
      <w:r>
        <w:rPr>
          <w:rFonts w:hAnsi="宋体"/>
          <w:color w:val="auto"/>
          <w:kern w:val="0"/>
          <w:sz w:val="24"/>
          <w:highlight w:val="none"/>
        </w:rPr>
        <w:t>的意见和建议，协助委托人会同设计人进行研究。</w:t>
      </w:r>
    </w:p>
    <w:p>
      <w:pPr>
        <w:autoSpaceDE w:val="0"/>
        <w:autoSpaceDN w:val="0"/>
        <w:adjustRightInd w:val="0"/>
        <w:snapToGrid w:val="0"/>
        <w:spacing w:line="360" w:lineRule="auto"/>
        <w:ind w:firstLine="480" w:firstLineChars="200"/>
        <w:rPr>
          <w:color w:val="auto"/>
          <w:kern w:val="0"/>
          <w:sz w:val="24"/>
          <w:highlight w:val="none"/>
        </w:rPr>
      </w:pPr>
      <w:r>
        <w:rPr>
          <w:color w:val="auto"/>
          <w:kern w:val="0"/>
          <w:sz w:val="24"/>
          <w:highlight w:val="none"/>
          <w:lang w:val="en-GB"/>
        </w:rPr>
        <w:t>5</w:t>
      </w:r>
      <w:r>
        <w:rPr>
          <w:color w:val="auto"/>
          <w:kern w:val="0"/>
          <w:sz w:val="24"/>
          <w:highlight w:val="none"/>
        </w:rPr>
        <w:t xml:space="preserve">. </w:t>
      </w:r>
      <w:r>
        <w:rPr>
          <w:rFonts w:hAnsi="宋体"/>
          <w:color w:val="auto"/>
          <w:kern w:val="0"/>
          <w:sz w:val="24"/>
          <w:highlight w:val="none"/>
        </w:rPr>
        <w:t>其他相关业务。</w:t>
      </w:r>
    </w:p>
    <w:p>
      <w:pPr>
        <w:autoSpaceDE w:val="0"/>
        <w:autoSpaceDN w:val="0"/>
        <w:adjustRightInd w:val="0"/>
        <w:snapToGrid w:val="0"/>
        <w:spacing w:line="360" w:lineRule="auto"/>
        <w:ind w:firstLine="480" w:firstLineChars="200"/>
        <w:rPr>
          <w:color w:val="auto"/>
          <w:kern w:val="0"/>
          <w:sz w:val="24"/>
          <w:highlight w:val="none"/>
        </w:rPr>
      </w:pPr>
      <w:r>
        <w:rPr>
          <w:color w:val="auto"/>
          <w:kern w:val="0"/>
          <w:sz w:val="24"/>
          <w:highlight w:val="none"/>
        </w:rPr>
        <w:t>(</w:t>
      </w:r>
      <w:r>
        <w:rPr>
          <w:rFonts w:hAnsi="宋体"/>
          <w:color w:val="auto"/>
          <w:kern w:val="0"/>
          <w:sz w:val="24"/>
          <w:highlight w:val="none"/>
        </w:rPr>
        <w:t>二</w:t>
      </w:r>
      <w:r>
        <w:rPr>
          <w:color w:val="auto"/>
          <w:kern w:val="0"/>
          <w:sz w:val="24"/>
          <w:highlight w:val="none"/>
        </w:rPr>
        <w:t>)</w:t>
      </w:r>
      <w:r>
        <w:rPr>
          <w:rFonts w:hAnsi="宋体"/>
          <w:color w:val="auto"/>
          <w:kern w:val="0"/>
          <w:sz w:val="24"/>
          <w:highlight w:val="none"/>
        </w:rPr>
        <w:t>采购方面</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1. </w:t>
      </w:r>
      <w:r>
        <w:rPr>
          <w:rFonts w:hAnsi="宋体"/>
          <w:color w:val="auto"/>
          <w:kern w:val="0"/>
          <w:sz w:val="24"/>
          <w:highlight w:val="none"/>
        </w:rPr>
        <w:t>协助委托人进行采购招标。</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2. </w:t>
      </w:r>
      <w:r>
        <w:rPr>
          <w:rFonts w:hAnsi="宋体"/>
          <w:color w:val="auto"/>
          <w:kern w:val="0"/>
          <w:sz w:val="24"/>
          <w:highlight w:val="none"/>
        </w:rPr>
        <w:t>协助委托人对进场的永久工程设备进行质量检验与到货验收。</w:t>
      </w:r>
    </w:p>
    <w:p>
      <w:pPr>
        <w:autoSpaceDE w:val="0"/>
        <w:autoSpaceDN w:val="0"/>
        <w:adjustRightInd w:val="0"/>
        <w:snapToGrid w:val="0"/>
        <w:spacing w:line="360" w:lineRule="auto"/>
        <w:ind w:firstLine="480"/>
        <w:rPr>
          <w:color w:val="auto"/>
          <w:kern w:val="0"/>
          <w:sz w:val="24"/>
          <w:highlight w:val="none"/>
        </w:rPr>
      </w:pPr>
      <w:r>
        <w:rPr>
          <w:color w:val="auto"/>
          <w:kern w:val="0"/>
          <w:sz w:val="24"/>
          <w:highlight w:val="none"/>
        </w:rPr>
        <w:t xml:space="preserve">3. </w:t>
      </w:r>
      <w:r>
        <w:rPr>
          <w:rFonts w:hAnsi="宋体"/>
          <w:color w:val="auto"/>
          <w:kern w:val="0"/>
          <w:sz w:val="24"/>
          <w:highlight w:val="none"/>
        </w:rPr>
        <w:t>其他相关业务。</w:t>
      </w:r>
    </w:p>
    <w:p>
      <w:pPr>
        <w:autoSpaceDE w:val="0"/>
        <w:autoSpaceDN w:val="0"/>
        <w:adjustRightInd w:val="0"/>
        <w:snapToGrid w:val="0"/>
        <w:spacing w:line="360" w:lineRule="auto"/>
        <w:ind w:firstLine="480"/>
        <w:rPr>
          <w:color w:val="auto"/>
          <w:kern w:val="0"/>
          <w:sz w:val="24"/>
          <w:highlight w:val="none"/>
        </w:rPr>
      </w:pPr>
      <w:r>
        <w:rPr>
          <w:color w:val="auto"/>
          <w:kern w:val="0"/>
          <w:sz w:val="24"/>
          <w:highlight w:val="none"/>
        </w:rPr>
        <w:t>(</w:t>
      </w:r>
      <w:r>
        <w:rPr>
          <w:rFonts w:hAnsi="宋体"/>
          <w:color w:val="auto"/>
          <w:kern w:val="0"/>
          <w:sz w:val="24"/>
          <w:highlight w:val="none"/>
        </w:rPr>
        <w:t>三</w:t>
      </w:r>
      <w:r>
        <w:rPr>
          <w:color w:val="auto"/>
          <w:kern w:val="0"/>
          <w:sz w:val="24"/>
          <w:highlight w:val="none"/>
        </w:rPr>
        <w:t xml:space="preserve">) </w:t>
      </w:r>
      <w:r>
        <w:rPr>
          <w:rFonts w:hAnsi="宋体"/>
          <w:color w:val="auto"/>
          <w:kern w:val="0"/>
          <w:sz w:val="24"/>
          <w:highlight w:val="none"/>
        </w:rPr>
        <w:t>施工方面</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1. </w:t>
      </w:r>
      <w:r>
        <w:rPr>
          <w:rFonts w:hAnsi="宋体"/>
          <w:color w:val="auto"/>
          <w:kern w:val="0"/>
          <w:sz w:val="24"/>
          <w:highlight w:val="none"/>
        </w:rPr>
        <w:t>协助委托人进行工程施工招标和签订工程施工合同。</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2. </w:t>
      </w:r>
      <w:r>
        <w:rPr>
          <w:rFonts w:hAnsi="宋体"/>
          <w:color w:val="auto"/>
          <w:kern w:val="0"/>
          <w:sz w:val="24"/>
          <w:highlight w:val="none"/>
        </w:rPr>
        <w:t>全面管理工程施工合同，审查承包人选择的分包单位，并报委托人批准。</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3. </w:t>
      </w:r>
      <w:r>
        <w:rPr>
          <w:rFonts w:hAnsi="宋体"/>
          <w:color w:val="auto"/>
          <w:kern w:val="0"/>
          <w:sz w:val="24"/>
          <w:highlight w:val="none"/>
        </w:rPr>
        <w:t>督促委托人按工程施工合同的约定，落实必须提供的施工条件，检查承包人的开工准备工作。</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4. </w:t>
      </w:r>
      <w:r>
        <w:rPr>
          <w:rFonts w:hAnsi="宋体"/>
          <w:color w:val="auto"/>
          <w:kern w:val="0"/>
          <w:sz w:val="24"/>
          <w:highlight w:val="none"/>
        </w:rPr>
        <w:t>审核按工程施工合同文件约定应由承包人提交的设计文件。</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5. </w:t>
      </w:r>
      <w:r>
        <w:rPr>
          <w:rFonts w:hAnsi="宋体"/>
          <w:color w:val="auto"/>
          <w:kern w:val="0"/>
          <w:sz w:val="24"/>
          <w:highlight w:val="none"/>
        </w:rPr>
        <w:t>审查承包人提交的施工组织设计、施工进度计划、施工措施计划；审核工艺试验成果等。</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6. </w:t>
      </w:r>
      <w:r>
        <w:rPr>
          <w:rFonts w:hAnsi="宋体"/>
          <w:color w:val="auto"/>
          <w:kern w:val="0"/>
          <w:sz w:val="24"/>
          <w:highlight w:val="none"/>
        </w:rPr>
        <w:t>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7. </w:t>
      </w:r>
      <w:r>
        <w:rPr>
          <w:rFonts w:hAnsi="宋体"/>
          <w:color w:val="auto"/>
          <w:kern w:val="0"/>
          <w:sz w:val="24"/>
          <w:highlight w:val="none"/>
        </w:rPr>
        <w:t>施工质量控制。审查承包人的质量保证体系和措施，审查承包人的实验条件；依据工程施工合同文件、设计文件、技术标准，对施工全过程进行检查，对重要部分、</w:t>
      </w:r>
      <w:r>
        <w:rPr>
          <w:rFonts w:hint="eastAsia" w:hAnsi="宋体"/>
          <w:color w:val="auto"/>
          <w:kern w:val="0"/>
          <w:sz w:val="24"/>
          <w:highlight w:val="none"/>
          <w:lang w:eastAsia="zh-CN"/>
        </w:rPr>
        <w:t>关键</w:t>
      </w:r>
      <w:r>
        <w:rPr>
          <w:rFonts w:hAnsi="宋体"/>
          <w:color w:val="auto"/>
          <w:kern w:val="0"/>
          <w:sz w:val="24"/>
          <w:highlight w:val="none"/>
        </w:rPr>
        <w:t>工序进行旁站监理；按照有关规定，对承包人进场的工程设备、建筑材料、建筑构配件、中间产品进行跟踪检测和平行检测；复核承包人自评的工程质量等级；审核承包人提出的工程质量缺陷处理方案，参与调查质量事故。</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8. </w:t>
      </w:r>
      <w:r>
        <w:rPr>
          <w:rFonts w:hAnsi="宋体"/>
          <w:color w:val="auto"/>
          <w:kern w:val="0"/>
          <w:sz w:val="24"/>
          <w:highlight w:val="none"/>
        </w:rPr>
        <w:t>资金控制：协助委托人编制付款计划；审查承包人提交的资金流计划；核定承包人完成的工程量，审核承包人提交的支付申请，签发付款凭证；受理索赔申请，提出处理建议意见；处理工程变更。</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9. </w:t>
      </w:r>
      <w:r>
        <w:rPr>
          <w:rFonts w:hAnsi="宋体"/>
          <w:color w:val="auto"/>
          <w:kern w:val="0"/>
          <w:sz w:val="24"/>
          <w:highlight w:val="none"/>
        </w:rPr>
        <w:t>施工安全控制。审查承包人提出的安全技术措施、专项施工方案，并检查实施情况；检查防洪渡汛措施落实情况；参与安全事故调查。</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10. </w:t>
      </w:r>
      <w:r>
        <w:rPr>
          <w:rFonts w:hAnsi="宋体"/>
          <w:color w:val="auto"/>
          <w:kern w:val="0"/>
          <w:sz w:val="24"/>
          <w:highlight w:val="none"/>
        </w:rPr>
        <w:t>协调施工合同各方之间的关系。</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11. </w:t>
      </w:r>
      <w:r>
        <w:rPr>
          <w:rFonts w:hAnsi="宋体"/>
          <w:color w:val="auto"/>
          <w:kern w:val="0"/>
          <w:sz w:val="24"/>
          <w:highlight w:val="none"/>
        </w:rPr>
        <w:t>按有关规定参加工程验收，负责完成监理资料的汇总整理，协助委托人检查承包人的合同执行情况；做好验收的各项准备工作或者配合工作，提供工程监理资料，提交监理工作报告。</w:t>
      </w:r>
    </w:p>
    <w:p>
      <w:pPr>
        <w:autoSpaceDE w:val="0"/>
        <w:autoSpaceDN w:val="0"/>
        <w:adjustRightInd w:val="0"/>
        <w:snapToGrid w:val="0"/>
        <w:spacing w:line="360" w:lineRule="auto"/>
        <w:rPr>
          <w:color w:val="auto"/>
          <w:kern w:val="0"/>
          <w:sz w:val="24"/>
          <w:highlight w:val="none"/>
        </w:rPr>
      </w:pPr>
      <w:r>
        <w:rPr>
          <w:color w:val="auto"/>
          <w:kern w:val="0"/>
          <w:sz w:val="24"/>
          <w:highlight w:val="none"/>
        </w:rPr>
        <w:t xml:space="preserve">    12. </w:t>
      </w:r>
      <w:r>
        <w:rPr>
          <w:rFonts w:hAnsi="宋体"/>
          <w:color w:val="auto"/>
          <w:kern w:val="0"/>
          <w:sz w:val="24"/>
          <w:highlight w:val="none"/>
        </w:rPr>
        <w:t>档案管理。做好施工现场的监理记录与信息反馈；做好监理文档管理工作，合同期限届满时按照档案管理要求整理、归档并移交委托人。</w:t>
      </w:r>
    </w:p>
    <w:p>
      <w:pPr>
        <w:autoSpaceDE w:val="0"/>
        <w:autoSpaceDN w:val="0"/>
        <w:adjustRightInd w:val="0"/>
        <w:snapToGrid w:val="0"/>
        <w:spacing w:line="360" w:lineRule="auto"/>
        <w:ind w:firstLine="480"/>
        <w:rPr>
          <w:color w:val="auto"/>
          <w:kern w:val="0"/>
          <w:sz w:val="24"/>
          <w:highlight w:val="none"/>
        </w:rPr>
      </w:pPr>
      <w:r>
        <w:rPr>
          <w:color w:val="auto"/>
          <w:kern w:val="0"/>
          <w:sz w:val="24"/>
          <w:highlight w:val="none"/>
        </w:rPr>
        <w:t>13.</w:t>
      </w:r>
      <w:r>
        <w:rPr>
          <w:color w:val="auto"/>
          <w:sz w:val="26"/>
          <w:szCs w:val="26"/>
          <w:highlight w:val="none"/>
        </w:rPr>
        <w:t xml:space="preserve"> </w:t>
      </w:r>
      <w:r>
        <w:rPr>
          <w:rFonts w:hAnsi="宋体"/>
          <w:color w:val="auto"/>
          <w:kern w:val="0"/>
          <w:sz w:val="24"/>
          <w:highlight w:val="none"/>
        </w:rPr>
        <w:t>监督承包人执行保修期工作计划，检查和验收尾工项目，对已移交工程中出现的质量缺陷等调查原因并提出处理意见。</w:t>
      </w:r>
    </w:p>
    <w:p>
      <w:pPr>
        <w:autoSpaceDE w:val="0"/>
        <w:autoSpaceDN w:val="0"/>
        <w:adjustRightInd w:val="0"/>
        <w:snapToGrid w:val="0"/>
        <w:spacing w:line="360" w:lineRule="auto"/>
        <w:ind w:firstLine="480"/>
        <w:rPr>
          <w:color w:val="auto"/>
          <w:kern w:val="0"/>
          <w:sz w:val="24"/>
          <w:highlight w:val="none"/>
        </w:rPr>
      </w:pPr>
      <w:r>
        <w:rPr>
          <w:color w:val="auto"/>
          <w:kern w:val="0"/>
          <w:sz w:val="24"/>
          <w:highlight w:val="none"/>
        </w:rPr>
        <w:t xml:space="preserve">14. </w:t>
      </w:r>
      <w:r>
        <w:rPr>
          <w:rFonts w:hAnsi="宋体"/>
          <w:color w:val="auto"/>
          <w:kern w:val="0"/>
          <w:sz w:val="24"/>
          <w:highlight w:val="none"/>
        </w:rPr>
        <w:t>按照委托人签订的工程保险合同，做好施工现场工程保险合同的管理。协助委托人向保险公司及时提供一切必要的材料核证据。</w:t>
      </w:r>
    </w:p>
    <w:p>
      <w:pPr>
        <w:autoSpaceDE w:val="0"/>
        <w:autoSpaceDN w:val="0"/>
        <w:adjustRightInd w:val="0"/>
        <w:snapToGrid w:val="0"/>
        <w:spacing w:line="360" w:lineRule="auto"/>
        <w:ind w:firstLine="480"/>
        <w:rPr>
          <w:rFonts w:hAnsi="宋体"/>
          <w:color w:val="auto"/>
          <w:kern w:val="0"/>
          <w:sz w:val="24"/>
          <w:highlight w:val="none"/>
        </w:rPr>
      </w:pPr>
      <w:r>
        <w:rPr>
          <w:color w:val="auto"/>
          <w:kern w:val="0"/>
          <w:sz w:val="24"/>
          <w:highlight w:val="none"/>
        </w:rPr>
        <w:t>1</w:t>
      </w:r>
      <w:r>
        <w:rPr>
          <w:rFonts w:hint="eastAsia"/>
          <w:color w:val="auto"/>
          <w:kern w:val="0"/>
          <w:sz w:val="24"/>
          <w:highlight w:val="none"/>
        </w:rPr>
        <w:t>5</w:t>
      </w:r>
      <w:r>
        <w:rPr>
          <w:color w:val="auto"/>
          <w:kern w:val="0"/>
          <w:sz w:val="24"/>
          <w:highlight w:val="none"/>
        </w:rPr>
        <w:t xml:space="preserve">. </w:t>
      </w:r>
      <w:r>
        <w:rPr>
          <w:rFonts w:hAnsi="宋体"/>
          <w:color w:val="auto"/>
          <w:kern w:val="0"/>
          <w:sz w:val="24"/>
          <w:highlight w:val="none"/>
        </w:rPr>
        <w:t>其他相关工作。</w:t>
      </w:r>
    </w:p>
    <w:p>
      <w:pPr>
        <w:spacing w:line="360" w:lineRule="auto"/>
        <w:jc w:val="center"/>
        <w:rPr>
          <w:b/>
          <w:bCs/>
          <w:color w:val="auto"/>
          <w:kern w:val="0"/>
          <w:sz w:val="32"/>
          <w:szCs w:val="32"/>
          <w:highlight w:val="none"/>
          <w:lang w:val="zh-CN"/>
        </w:rPr>
      </w:pPr>
      <w:r>
        <w:rPr>
          <w:color w:val="auto"/>
          <w:kern w:val="0"/>
          <w:sz w:val="24"/>
          <w:highlight w:val="none"/>
          <w:lang w:val="zh-CN"/>
        </w:rPr>
        <w:br w:type="page"/>
      </w:r>
      <w:r>
        <w:rPr>
          <w:rFonts w:hAnsi="宋体"/>
          <w:b/>
          <w:color w:val="auto"/>
          <w:kern w:val="0"/>
          <w:sz w:val="32"/>
          <w:szCs w:val="32"/>
          <w:highlight w:val="none"/>
        </w:rPr>
        <w:t>第</w:t>
      </w:r>
      <w:r>
        <w:rPr>
          <w:rFonts w:hint="eastAsia" w:hAnsi="宋体"/>
          <w:b/>
          <w:color w:val="auto"/>
          <w:kern w:val="0"/>
          <w:sz w:val="32"/>
          <w:szCs w:val="32"/>
          <w:highlight w:val="none"/>
        </w:rPr>
        <w:t>三</w:t>
      </w:r>
      <w:r>
        <w:rPr>
          <w:rFonts w:hAnsi="宋体"/>
          <w:b/>
          <w:color w:val="auto"/>
          <w:kern w:val="0"/>
          <w:sz w:val="32"/>
          <w:szCs w:val="32"/>
          <w:highlight w:val="none"/>
        </w:rPr>
        <w:t xml:space="preserve">部分 </w:t>
      </w:r>
      <w:r>
        <w:rPr>
          <w:rFonts w:hAnsi="宋体"/>
          <w:b/>
          <w:color w:val="auto"/>
          <w:kern w:val="0"/>
          <w:sz w:val="32"/>
          <w:szCs w:val="32"/>
          <w:highlight w:val="none"/>
          <w:lang w:val="zh-CN"/>
        </w:rPr>
        <w:t xml:space="preserve"> </w:t>
      </w:r>
      <w:r>
        <w:rPr>
          <w:rFonts w:hint="eastAsia" w:hAnsi="宋体"/>
          <w:b/>
          <w:color w:val="auto"/>
          <w:kern w:val="0"/>
          <w:sz w:val="32"/>
          <w:szCs w:val="32"/>
          <w:highlight w:val="none"/>
          <w:lang w:val="zh-CN"/>
        </w:rPr>
        <w:t>合同附件</w:t>
      </w:r>
    </w:p>
    <w:p>
      <w:pPr>
        <w:autoSpaceDE w:val="0"/>
        <w:autoSpaceDN w:val="0"/>
        <w:adjustRightInd w:val="0"/>
        <w:spacing w:line="360" w:lineRule="auto"/>
        <w:rPr>
          <w:b/>
          <w:bCs/>
          <w:color w:val="auto"/>
          <w:kern w:val="0"/>
          <w:sz w:val="32"/>
          <w:szCs w:val="32"/>
          <w:highlight w:val="none"/>
          <w:lang w:val="zh-CN"/>
        </w:rPr>
      </w:pPr>
      <w:r>
        <w:rPr>
          <w:rFonts w:hint="eastAsia"/>
          <w:color w:val="auto"/>
          <w:kern w:val="0"/>
          <w:sz w:val="24"/>
          <w:highlight w:val="none"/>
          <w:lang w:val="zh-CN"/>
        </w:rPr>
        <w:t>附件：</w:t>
      </w:r>
      <w:r>
        <w:rPr>
          <w:rFonts w:hint="eastAsia"/>
          <w:b/>
          <w:bCs/>
          <w:color w:val="auto"/>
          <w:kern w:val="0"/>
          <w:sz w:val="24"/>
          <w:szCs w:val="32"/>
          <w:highlight w:val="none"/>
          <w:lang w:val="zh-CN"/>
        </w:rPr>
        <w:t>工程建设项目廉政责任书</w:t>
      </w:r>
    </w:p>
    <w:p>
      <w:pPr>
        <w:spacing w:line="360" w:lineRule="auto"/>
        <w:ind w:firstLine="420" w:firstLineChars="200"/>
        <w:rPr>
          <w:rFonts w:hint="eastAsia"/>
          <w:color w:val="auto"/>
          <w:highlight w:val="none"/>
        </w:rPr>
      </w:pPr>
      <w:r>
        <w:rPr>
          <w:rFonts w:hint="eastAsia"/>
          <w:color w:val="auto"/>
          <w:highlight w:val="none"/>
        </w:rPr>
        <w:t>工程项目名称：</w:t>
      </w:r>
      <w:r>
        <w:rPr>
          <w:rFonts w:hint="eastAsia"/>
          <w:color w:val="auto"/>
          <w:highlight w:val="none"/>
          <w:u w:val="single"/>
        </w:rPr>
        <w:t xml:space="preserve">      </w:t>
      </w:r>
    </w:p>
    <w:p>
      <w:pPr>
        <w:spacing w:line="360" w:lineRule="auto"/>
        <w:ind w:firstLine="420" w:firstLineChars="200"/>
        <w:rPr>
          <w:rFonts w:hint="eastAsia"/>
          <w:color w:val="auto"/>
          <w:highlight w:val="none"/>
        </w:rPr>
      </w:pPr>
      <w:r>
        <w:rPr>
          <w:rFonts w:hint="eastAsia"/>
          <w:color w:val="auto"/>
          <w:highlight w:val="none"/>
        </w:rPr>
        <w:t>工程项目地址：</w:t>
      </w:r>
      <w:r>
        <w:rPr>
          <w:rFonts w:hint="eastAsia" w:hAnsi="宋体"/>
          <w:color w:val="auto"/>
          <w:kern w:val="0"/>
          <w:highlight w:val="none"/>
          <w:u w:val="single"/>
        </w:rPr>
        <w:t xml:space="preserve">                    </w:t>
      </w:r>
    </w:p>
    <w:p>
      <w:pPr>
        <w:spacing w:line="360" w:lineRule="auto"/>
        <w:rPr>
          <w:rFonts w:hint="eastAsia" w:hAnsi="宋体"/>
          <w:color w:val="auto"/>
          <w:sz w:val="24"/>
          <w:szCs w:val="24"/>
          <w:highlight w:val="none"/>
          <w:u w:val="single"/>
        </w:rPr>
      </w:pPr>
      <w:r>
        <w:rPr>
          <w:rFonts w:hint="eastAsia"/>
          <w:color w:val="auto"/>
          <w:highlight w:val="none"/>
        </w:rPr>
        <w:t xml:space="preserve">    建设单位（甲方）：</w:t>
      </w:r>
      <w:r>
        <w:rPr>
          <w:rFonts w:hint="eastAsia" w:hAnsi="宋体"/>
          <w:color w:val="auto"/>
          <w:kern w:val="0"/>
          <w:highlight w:val="none"/>
          <w:u w:val="single"/>
          <w:lang w:val="zh-CN"/>
        </w:rPr>
        <w:t xml:space="preserve">           </w:t>
      </w:r>
    </w:p>
    <w:p>
      <w:pPr>
        <w:spacing w:line="360" w:lineRule="auto"/>
        <w:ind w:firstLine="420" w:firstLineChars="200"/>
        <w:rPr>
          <w:rFonts w:hint="eastAsia" w:hAnsi="宋体"/>
          <w:color w:val="auto"/>
          <w:kern w:val="0"/>
          <w:highlight w:val="none"/>
          <w:u w:val="single"/>
        </w:rPr>
      </w:pPr>
      <w:r>
        <w:rPr>
          <w:rFonts w:hint="eastAsia" w:hAnsi="宋体"/>
          <w:color w:val="auto"/>
          <w:kern w:val="0"/>
          <w:highlight w:val="none"/>
        </w:rPr>
        <w:t>监理单位（乙方）：</w:t>
      </w:r>
      <w:r>
        <w:rPr>
          <w:rFonts w:hint="eastAsia" w:hAnsi="宋体"/>
          <w:color w:val="auto"/>
          <w:kern w:val="0"/>
          <w:highlight w:val="none"/>
          <w:u w:val="single"/>
        </w:rPr>
        <w:t xml:space="preserve">                    </w:t>
      </w:r>
    </w:p>
    <w:p>
      <w:pPr>
        <w:spacing w:line="360" w:lineRule="auto"/>
        <w:ind w:firstLine="420" w:firstLineChars="200"/>
        <w:rPr>
          <w:rFonts w:hint="eastAsia"/>
          <w:color w:val="auto"/>
          <w:highlight w:val="none"/>
        </w:rPr>
      </w:pPr>
      <w:r>
        <w:rPr>
          <w:rFonts w:hint="eastAsia"/>
          <w:color w:val="auto"/>
          <w:highlight w:val="none"/>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360" w:lineRule="auto"/>
        <w:ind w:firstLine="422" w:firstLineChars="200"/>
        <w:rPr>
          <w:rFonts w:hint="eastAsia"/>
          <w:color w:val="auto"/>
          <w:highlight w:val="none"/>
        </w:rPr>
      </w:pPr>
      <w:r>
        <w:rPr>
          <w:rFonts w:hint="eastAsia"/>
          <w:b/>
          <w:color w:val="auto"/>
          <w:highlight w:val="none"/>
        </w:rPr>
        <w:t xml:space="preserve">第一条  </w:t>
      </w:r>
      <w:r>
        <w:rPr>
          <w:rFonts w:hint="eastAsia"/>
          <w:color w:val="auto"/>
          <w:highlight w:val="none"/>
        </w:rPr>
        <w:t>甲乙双方的责任</w:t>
      </w:r>
    </w:p>
    <w:p>
      <w:pPr>
        <w:spacing w:line="360" w:lineRule="auto"/>
        <w:ind w:firstLine="420" w:firstLineChars="200"/>
        <w:rPr>
          <w:rFonts w:hint="eastAsia"/>
          <w:color w:val="auto"/>
          <w:highlight w:val="none"/>
        </w:rPr>
      </w:pPr>
      <w:r>
        <w:rPr>
          <w:rFonts w:hint="eastAsia"/>
          <w:color w:val="auto"/>
          <w:highlight w:val="none"/>
        </w:rPr>
        <w:t>（一）应严格遵守国家关于市场准入、项目招标投标、工程建设、施工安装和市场活动等有关法律、法规、相关政策、以及廉政建设的各项规定。</w:t>
      </w:r>
    </w:p>
    <w:p>
      <w:pPr>
        <w:spacing w:line="360" w:lineRule="auto"/>
        <w:ind w:firstLine="420" w:firstLineChars="200"/>
        <w:rPr>
          <w:rFonts w:hint="eastAsia"/>
          <w:color w:val="auto"/>
          <w:highlight w:val="none"/>
        </w:rPr>
      </w:pPr>
      <w:r>
        <w:rPr>
          <w:rFonts w:hint="eastAsia"/>
          <w:color w:val="auto"/>
          <w:highlight w:val="none"/>
        </w:rPr>
        <w:t>（二）严格执行建设工程项目承发包合同文件，自觉按合同办事。</w:t>
      </w:r>
    </w:p>
    <w:p>
      <w:pPr>
        <w:spacing w:line="360" w:lineRule="auto"/>
        <w:ind w:firstLine="420" w:firstLineChars="200"/>
        <w:rPr>
          <w:rFonts w:hint="eastAsia"/>
          <w:color w:val="auto"/>
          <w:highlight w:val="none"/>
        </w:rPr>
      </w:pPr>
      <w:r>
        <w:rPr>
          <w:rFonts w:hint="eastAsia"/>
          <w:color w:val="auto"/>
          <w:highlight w:val="none"/>
        </w:rPr>
        <w:t>（三）业务活动必须坚持公开、公平、公正、诚信、透明的原则（除法律法规另有规定者外），不得为获取不正当的利益，损害国家、集体和对方利益，不得违反工程建设管理、施工安装的规章制度。</w:t>
      </w:r>
    </w:p>
    <w:p>
      <w:pPr>
        <w:spacing w:line="360" w:lineRule="auto"/>
        <w:ind w:firstLine="420" w:firstLineChars="200"/>
        <w:rPr>
          <w:rFonts w:hint="eastAsia"/>
          <w:color w:val="auto"/>
          <w:highlight w:val="none"/>
        </w:rPr>
      </w:pPr>
      <w:r>
        <w:rPr>
          <w:rFonts w:hint="eastAsia"/>
          <w:color w:val="auto"/>
          <w:highlight w:val="none"/>
        </w:rPr>
        <w:t>（四）发现对方在业务活动中有违规、违纪、违法行为的，应及时提醒对方，情节严重的，应向其上级主管部门或纪检监察、司法等有关机关举报。</w:t>
      </w:r>
    </w:p>
    <w:p>
      <w:pPr>
        <w:spacing w:line="360" w:lineRule="auto"/>
        <w:ind w:firstLine="422" w:firstLineChars="200"/>
        <w:rPr>
          <w:rFonts w:hint="eastAsia"/>
          <w:b/>
          <w:color w:val="auto"/>
          <w:highlight w:val="none"/>
        </w:rPr>
      </w:pPr>
      <w:r>
        <w:rPr>
          <w:rFonts w:hint="eastAsia"/>
          <w:b/>
          <w:color w:val="auto"/>
          <w:highlight w:val="none"/>
        </w:rPr>
        <w:t xml:space="preserve">第二条  </w:t>
      </w:r>
      <w:r>
        <w:rPr>
          <w:rFonts w:hint="eastAsia"/>
          <w:color w:val="auto"/>
          <w:highlight w:val="none"/>
        </w:rPr>
        <w:t>甲方的责任</w:t>
      </w:r>
    </w:p>
    <w:p>
      <w:pPr>
        <w:spacing w:line="360" w:lineRule="auto"/>
        <w:ind w:firstLine="420" w:firstLineChars="200"/>
        <w:rPr>
          <w:rFonts w:hint="eastAsia"/>
          <w:color w:val="auto"/>
          <w:highlight w:val="none"/>
        </w:rPr>
      </w:pPr>
      <w:r>
        <w:rPr>
          <w:rFonts w:hint="eastAsia"/>
          <w:color w:val="auto"/>
          <w:highlight w:val="none"/>
        </w:rPr>
        <w:t>甲方的领导和从事该建设工程项目的工作人员，在工程建设的事前、事中、事后应遵守以下规定：</w:t>
      </w:r>
    </w:p>
    <w:p>
      <w:pPr>
        <w:spacing w:line="360" w:lineRule="auto"/>
        <w:ind w:firstLine="420" w:firstLineChars="200"/>
        <w:rPr>
          <w:rFonts w:hint="eastAsia"/>
          <w:color w:val="auto"/>
          <w:highlight w:val="none"/>
        </w:rPr>
      </w:pPr>
      <w:r>
        <w:rPr>
          <w:rFonts w:hint="eastAsia"/>
          <w:color w:val="auto"/>
          <w:highlight w:val="none"/>
        </w:rPr>
        <w:t>（一）不准向乙方和相关单位索要或接受回扣、礼金、有价证券、贵重物品和好处费、感谢费等。</w:t>
      </w:r>
    </w:p>
    <w:p>
      <w:pPr>
        <w:spacing w:line="360" w:lineRule="auto"/>
        <w:ind w:firstLine="420" w:firstLineChars="200"/>
        <w:rPr>
          <w:rFonts w:hint="eastAsia"/>
          <w:color w:val="auto"/>
          <w:highlight w:val="none"/>
        </w:rPr>
      </w:pPr>
      <w:r>
        <w:rPr>
          <w:rFonts w:hint="eastAsia"/>
          <w:color w:val="auto"/>
          <w:highlight w:val="none"/>
        </w:rPr>
        <w:t>（二）不准在乙方和相关单位报销任何应由甲方或个人支付的费用。</w:t>
      </w:r>
    </w:p>
    <w:p>
      <w:pPr>
        <w:spacing w:line="360" w:lineRule="auto"/>
        <w:ind w:firstLine="420" w:firstLineChars="200"/>
        <w:rPr>
          <w:rFonts w:hint="eastAsia"/>
          <w:color w:val="auto"/>
          <w:highlight w:val="none"/>
        </w:rPr>
      </w:pPr>
      <w:r>
        <w:rPr>
          <w:rFonts w:hint="eastAsia"/>
          <w:color w:val="auto"/>
          <w:highlight w:val="none"/>
        </w:rPr>
        <w:t>（三）不准要求、暗示或接受乙方和相关单位为个人装修住房、婚丧嫁娶、配偶子女的工作安排以及出国（境）、旅游等提供方便。</w:t>
      </w:r>
    </w:p>
    <w:p>
      <w:pPr>
        <w:spacing w:line="360" w:lineRule="auto"/>
        <w:ind w:firstLine="420" w:firstLineChars="200"/>
        <w:rPr>
          <w:rFonts w:hint="eastAsia"/>
          <w:color w:val="auto"/>
          <w:highlight w:val="none"/>
        </w:rPr>
      </w:pPr>
      <w:r>
        <w:rPr>
          <w:rFonts w:hint="eastAsia"/>
          <w:color w:val="auto"/>
          <w:highlight w:val="none"/>
        </w:rPr>
        <w:t>（四）不准参加有可能影响公正执行公务的乙方和相关单位的宴请和健身、娱乐等活动。</w:t>
      </w:r>
    </w:p>
    <w:p>
      <w:pPr>
        <w:spacing w:line="360" w:lineRule="auto"/>
        <w:ind w:firstLine="420" w:firstLineChars="200"/>
        <w:rPr>
          <w:rFonts w:hint="eastAsia"/>
          <w:color w:val="auto"/>
          <w:highlight w:val="none"/>
        </w:rPr>
      </w:pPr>
      <w:r>
        <w:rPr>
          <w:rFonts w:hint="eastAsia"/>
          <w:color w:val="auto"/>
          <w:highlight w:val="none"/>
        </w:rPr>
        <w:t>（五）不准向乙方介绍或为配偶、子女、亲属参与同甲方项目工程项目工程施工合同有关的设备、材料、工程分包、劳务等经济活动。不得任何理由要求乙方和相关单位推荐分包单位和要求乙方购买项目工程施工合同规定以外的材料、设备登记。</w:t>
      </w:r>
    </w:p>
    <w:p>
      <w:pPr>
        <w:spacing w:line="360" w:lineRule="auto"/>
        <w:ind w:firstLine="422" w:firstLineChars="200"/>
        <w:rPr>
          <w:rFonts w:hint="eastAsia"/>
          <w:color w:val="auto"/>
          <w:highlight w:val="none"/>
        </w:rPr>
      </w:pPr>
      <w:r>
        <w:rPr>
          <w:rFonts w:hint="eastAsia"/>
          <w:b/>
          <w:color w:val="auto"/>
          <w:highlight w:val="none"/>
        </w:rPr>
        <w:t xml:space="preserve">第三条  </w:t>
      </w:r>
      <w:r>
        <w:rPr>
          <w:rFonts w:hint="eastAsia"/>
          <w:color w:val="auto"/>
          <w:highlight w:val="none"/>
        </w:rPr>
        <w:t>乙方的责任</w:t>
      </w:r>
    </w:p>
    <w:p>
      <w:pPr>
        <w:spacing w:line="360" w:lineRule="auto"/>
        <w:ind w:firstLine="420" w:firstLineChars="200"/>
        <w:rPr>
          <w:rFonts w:hint="eastAsia"/>
          <w:color w:val="auto"/>
          <w:highlight w:val="none"/>
        </w:rPr>
      </w:pPr>
      <w:r>
        <w:rPr>
          <w:rFonts w:hint="eastAsia"/>
          <w:color w:val="auto"/>
          <w:highlight w:val="none"/>
        </w:rPr>
        <w:t>应与甲方保持正常的业务交往，按照有关法律法规和程序开展业务工作，严格执行工程建设的有关方针、政策，尤其是有关建筑施工安装的强制性标准和规范，并遵守以下规定：</w:t>
      </w:r>
    </w:p>
    <w:p>
      <w:pPr>
        <w:spacing w:line="360" w:lineRule="auto"/>
        <w:ind w:firstLine="420" w:firstLineChars="200"/>
        <w:rPr>
          <w:rFonts w:hint="eastAsia"/>
          <w:color w:val="auto"/>
          <w:highlight w:val="none"/>
        </w:rPr>
      </w:pPr>
      <w:r>
        <w:rPr>
          <w:rFonts w:hint="eastAsia"/>
          <w:color w:val="auto"/>
          <w:highlight w:val="none"/>
        </w:rPr>
        <w:t>（一）不准以任何理由向甲方、相关单位及其工作人员索要、接受或赠送礼金、有价证券、贵重物品及回扣、好处费、感谢费等。</w:t>
      </w:r>
    </w:p>
    <w:p>
      <w:pPr>
        <w:spacing w:line="360" w:lineRule="auto"/>
        <w:ind w:firstLine="420" w:firstLineChars="200"/>
        <w:rPr>
          <w:rFonts w:hint="eastAsia"/>
          <w:color w:val="auto"/>
          <w:highlight w:val="none"/>
        </w:rPr>
      </w:pPr>
      <w:r>
        <w:rPr>
          <w:rFonts w:hint="eastAsia"/>
          <w:color w:val="auto"/>
          <w:highlight w:val="none"/>
        </w:rPr>
        <w:t>（二）不准以任何理由为甲方和相关单位报销应由对方或个人支付的费用。</w:t>
      </w:r>
    </w:p>
    <w:p>
      <w:pPr>
        <w:spacing w:line="360" w:lineRule="auto"/>
        <w:ind w:firstLine="420" w:firstLineChars="200"/>
        <w:rPr>
          <w:rFonts w:hint="eastAsia"/>
          <w:color w:val="auto"/>
          <w:highlight w:val="none"/>
        </w:rPr>
      </w:pPr>
      <w:r>
        <w:rPr>
          <w:rFonts w:hint="eastAsia"/>
          <w:color w:val="auto"/>
          <w:highlight w:val="none"/>
        </w:rPr>
        <w:t>（三）不准接受或暗示为甲方、相关单位或个人装修住房、婚丧嫁娶、配偶子女的工作安排以及出国（境）、旅游等提供方便。</w:t>
      </w:r>
    </w:p>
    <w:p>
      <w:pPr>
        <w:spacing w:line="360" w:lineRule="auto"/>
        <w:ind w:firstLine="420" w:firstLineChars="200"/>
        <w:rPr>
          <w:rFonts w:hint="eastAsia"/>
          <w:color w:val="auto"/>
          <w:highlight w:val="none"/>
        </w:rPr>
      </w:pPr>
      <w:r>
        <w:rPr>
          <w:rFonts w:hint="eastAsia"/>
          <w:color w:val="auto"/>
          <w:highlight w:val="none"/>
        </w:rPr>
        <w:t>（四）不准以任何理由为甲方、相关单位或个人组织有可能影响公正执行公务的宴请、健身、娱乐等活动。</w:t>
      </w:r>
    </w:p>
    <w:p>
      <w:pPr>
        <w:spacing w:line="360" w:lineRule="auto"/>
        <w:ind w:firstLine="422" w:firstLineChars="200"/>
        <w:rPr>
          <w:rFonts w:hint="eastAsia"/>
          <w:color w:val="auto"/>
          <w:highlight w:val="none"/>
        </w:rPr>
      </w:pPr>
      <w:r>
        <w:rPr>
          <w:rFonts w:hint="eastAsia"/>
          <w:b/>
          <w:color w:val="auto"/>
          <w:highlight w:val="none"/>
        </w:rPr>
        <w:t xml:space="preserve">第四条  </w:t>
      </w:r>
      <w:r>
        <w:rPr>
          <w:rFonts w:hint="eastAsia"/>
          <w:color w:val="auto"/>
          <w:highlight w:val="none"/>
        </w:rPr>
        <w:t>违约责任</w:t>
      </w:r>
    </w:p>
    <w:p>
      <w:pPr>
        <w:spacing w:line="360" w:lineRule="auto"/>
        <w:ind w:firstLine="420" w:firstLineChars="200"/>
        <w:rPr>
          <w:rFonts w:hint="eastAsia"/>
          <w:color w:val="auto"/>
          <w:highlight w:val="none"/>
        </w:rPr>
      </w:pPr>
      <w:r>
        <w:rPr>
          <w:rFonts w:hint="eastAsia"/>
          <w:color w:val="auto"/>
          <w:highlight w:val="none"/>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360" w:lineRule="auto"/>
        <w:ind w:firstLine="420" w:firstLineChars="200"/>
        <w:rPr>
          <w:rFonts w:hint="eastAsia"/>
          <w:color w:val="auto"/>
          <w:highlight w:val="none"/>
        </w:rPr>
      </w:pPr>
      <w:r>
        <w:rPr>
          <w:rFonts w:hint="eastAsia"/>
          <w:color w:val="auto"/>
          <w:highlight w:val="none"/>
        </w:rPr>
        <w:t>（二）乙方工作人员有违反责任书第一、三条责任行为的，按照管理权限，依据有关法律法规和规定给予党纪、政纪处分或组织处理；涉嫌犯罪的，移交司法机关追究刑事责任；给甲方单位造成经济损失的，应予以赔偿。</w:t>
      </w:r>
    </w:p>
    <w:p>
      <w:pPr>
        <w:spacing w:line="360" w:lineRule="auto"/>
        <w:ind w:firstLine="422" w:firstLineChars="200"/>
        <w:rPr>
          <w:rFonts w:hint="eastAsia"/>
          <w:color w:val="auto"/>
          <w:highlight w:val="none"/>
        </w:rPr>
      </w:pPr>
      <w:r>
        <w:rPr>
          <w:rFonts w:hint="eastAsia"/>
          <w:b/>
          <w:color w:val="auto"/>
          <w:highlight w:val="none"/>
        </w:rPr>
        <w:t xml:space="preserve">第五条 </w:t>
      </w:r>
      <w:r>
        <w:rPr>
          <w:rFonts w:hint="eastAsia"/>
          <w:color w:val="auto"/>
          <w:highlight w:val="none"/>
        </w:rPr>
        <w:t xml:space="preserve"> 本责任书作为工程施工合同的附件，与工程施工合同具有同等法律效力。经双方签署后立即生效。</w:t>
      </w:r>
    </w:p>
    <w:p>
      <w:pPr>
        <w:spacing w:line="360" w:lineRule="auto"/>
        <w:ind w:firstLine="422" w:firstLineChars="200"/>
        <w:rPr>
          <w:rFonts w:hint="eastAsia"/>
          <w:color w:val="auto"/>
          <w:highlight w:val="none"/>
        </w:rPr>
      </w:pPr>
      <w:r>
        <w:rPr>
          <w:rFonts w:hint="eastAsia"/>
          <w:b/>
          <w:color w:val="auto"/>
          <w:highlight w:val="none"/>
        </w:rPr>
        <w:t>第六条</w:t>
      </w:r>
      <w:r>
        <w:rPr>
          <w:rFonts w:hint="eastAsia"/>
          <w:color w:val="auto"/>
          <w:highlight w:val="none"/>
        </w:rPr>
        <w:t xml:space="preserve">  本责任书的有效期为双方签署之日起至该工程项目竣工验收合格时止。</w:t>
      </w:r>
    </w:p>
    <w:p>
      <w:pPr>
        <w:spacing w:line="360" w:lineRule="auto"/>
        <w:ind w:firstLine="422" w:firstLineChars="200"/>
        <w:rPr>
          <w:rFonts w:hint="eastAsia"/>
          <w:color w:val="auto"/>
          <w:highlight w:val="none"/>
        </w:rPr>
      </w:pPr>
      <w:r>
        <w:rPr>
          <w:rFonts w:hint="eastAsia"/>
          <w:b/>
          <w:color w:val="auto"/>
          <w:highlight w:val="none"/>
        </w:rPr>
        <w:t xml:space="preserve">第七条 </w:t>
      </w:r>
      <w:r>
        <w:rPr>
          <w:rFonts w:hint="eastAsia"/>
          <w:color w:val="auto"/>
          <w:highlight w:val="none"/>
        </w:rPr>
        <w:t xml:space="preserve"> 本责任书一式四份，由甲乙双方各执一份，送交甲乙双方的监督单位各一份。</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甲方单位：（盖章）              乙方单位：（盖章）</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法定代表人：                   法定代表人：</w:t>
      </w:r>
    </w:p>
    <w:p>
      <w:pPr>
        <w:spacing w:line="360" w:lineRule="auto"/>
        <w:ind w:firstLine="420" w:firstLineChars="200"/>
        <w:rPr>
          <w:rFonts w:hint="eastAsia"/>
          <w:color w:val="auto"/>
          <w:highlight w:val="none"/>
        </w:rPr>
      </w:pPr>
      <w:r>
        <w:rPr>
          <w:rFonts w:hint="eastAsia"/>
          <w:color w:val="auto"/>
          <w:highlight w:val="none"/>
        </w:rPr>
        <w:t>地址：                          地址：</w:t>
      </w:r>
    </w:p>
    <w:p>
      <w:pPr>
        <w:spacing w:line="360" w:lineRule="auto"/>
        <w:ind w:firstLine="420" w:firstLineChars="200"/>
        <w:rPr>
          <w:rFonts w:hint="eastAsia"/>
          <w:color w:val="auto"/>
          <w:highlight w:val="none"/>
        </w:rPr>
      </w:pPr>
      <w:r>
        <w:rPr>
          <w:rFonts w:hint="eastAsia"/>
          <w:color w:val="auto"/>
          <w:highlight w:val="none"/>
        </w:rPr>
        <w:t>电话：                          电话：</w:t>
      </w:r>
    </w:p>
    <w:p>
      <w:pPr>
        <w:spacing w:line="360" w:lineRule="auto"/>
        <w:ind w:firstLine="420" w:firstLineChars="200"/>
        <w:jc w:val="center"/>
        <w:rPr>
          <w:rFonts w:hint="eastAsia"/>
          <w:color w:val="auto"/>
          <w:highlight w:val="none"/>
        </w:rPr>
      </w:pPr>
      <w:r>
        <w:rPr>
          <w:rFonts w:hint="eastAsia"/>
          <w:color w:val="auto"/>
          <w:highlight w:val="none"/>
        </w:rPr>
        <w:t>年   月   日</w:t>
      </w:r>
    </w:p>
    <w:p>
      <w:pPr>
        <w:spacing w:line="360" w:lineRule="auto"/>
        <w:ind w:firstLine="420" w:firstLineChars="200"/>
        <w:jc w:val="center"/>
        <w:rPr>
          <w:rFonts w:hint="eastAsia"/>
          <w:color w:val="auto"/>
          <w:highlight w:val="none"/>
        </w:rPr>
      </w:pPr>
    </w:p>
    <w:p>
      <w:pPr>
        <w:spacing w:line="360" w:lineRule="auto"/>
        <w:ind w:firstLine="420" w:firstLineChars="200"/>
        <w:jc w:val="center"/>
        <w:rPr>
          <w:rFonts w:hint="eastAsia"/>
          <w:color w:val="auto"/>
          <w:highlight w:val="none"/>
        </w:rPr>
      </w:pPr>
    </w:p>
    <w:p>
      <w:pPr>
        <w:spacing w:before="50" w:after="120" w:afterLines="50" w:line="360" w:lineRule="auto"/>
        <w:rPr>
          <w:rFonts w:hint="eastAsia" w:ascii="宋体" w:hAnsi="宋体" w:cs="宋体"/>
          <w:b/>
          <w:color w:val="auto"/>
          <w:sz w:val="44"/>
          <w:szCs w:val="44"/>
          <w:highlight w:val="none"/>
          <w:u w:val="single"/>
        </w:rPr>
      </w:pPr>
    </w:p>
    <w:p>
      <w:pPr>
        <w:autoSpaceDE w:val="0"/>
        <w:autoSpaceDN w:val="0"/>
        <w:adjustRightInd w:val="0"/>
        <w:rPr>
          <w:rFonts w:hint="eastAsia" w:ascii="宋体" w:hAnsi="宋体" w:cs="宋体"/>
          <w:color w:val="auto"/>
          <w:kern w:val="0"/>
          <w:highlight w:val="none"/>
        </w:rPr>
      </w:pPr>
      <w:r>
        <w:rPr>
          <w:rFonts w:hint="eastAsia" w:ascii="宋体" w:hAnsi="宋体" w:cs="宋体"/>
          <w:color w:val="auto"/>
          <w:kern w:val="0"/>
          <w:highlight w:val="none"/>
        </w:rPr>
        <w:br w:type="page"/>
      </w:r>
    </w:p>
    <w:p>
      <w:pPr>
        <w:pStyle w:val="3"/>
        <w:keepNext w:val="0"/>
        <w:keepLines w:val="0"/>
        <w:spacing w:line="440" w:lineRule="exact"/>
        <w:jc w:val="center"/>
        <w:rPr>
          <w:rFonts w:hint="eastAsia" w:ascii="宋体" w:hAnsi="宋体" w:cs="宋体"/>
          <w:color w:val="auto"/>
          <w:highlight w:val="none"/>
        </w:rPr>
      </w:pPr>
      <w:bookmarkStart w:id="471" w:name="_Toc29308"/>
      <w:bookmarkStart w:id="472" w:name="_Toc246997081"/>
      <w:bookmarkStart w:id="473" w:name="_Toc179632787"/>
      <w:bookmarkStart w:id="474" w:name="_Toc247085853"/>
      <w:bookmarkStart w:id="475" w:name="_Toc246996338"/>
      <w:bookmarkStart w:id="476" w:name="_Toc247527798"/>
      <w:bookmarkStart w:id="477" w:name="_Toc144974578"/>
      <w:bookmarkStart w:id="478" w:name="_Toc144974829"/>
      <w:bookmarkStart w:id="479" w:name="_Toc152042549"/>
      <w:bookmarkStart w:id="480" w:name="_Toc247514197"/>
      <w:bookmarkStart w:id="481" w:name="_Toc184635122"/>
      <w:bookmarkStart w:id="482" w:name="_Toc152042388"/>
      <w:bookmarkStart w:id="483" w:name="_Toc152045610"/>
      <w:bookmarkStart w:id="484" w:name="_Toc300835199"/>
      <w:r>
        <w:rPr>
          <w:rFonts w:hint="eastAsia" w:ascii="宋体" w:hAnsi="宋体" w:cs="宋体"/>
          <w:color w:val="auto"/>
          <w:highlight w:val="none"/>
        </w:rPr>
        <w:t>第二卷</w:t>
      </w:r>
      <w:bookmarkEnd w:id="471"/>
    </w:p>
    <w:p>
      <w:pPr>
        <w:pStyle w:val="3"/>
        <w:keepNext w:val="0"/>
        <w:keepLines w:val="0"/>
        <w:jc w:val="center"/>
        <w:rPr>
          <w:rFonts w:hint="eastAsia" w:ascii="宋体" w:hAnsi="宋体" w:cs="宋体"/>
          <w:color w:val="auto"/>
          <w:highlight w:val="none"/>
        </w:rPr>
      </w:pPr>
      <w:bookmarkStart w:id="485" w:name="_Toc26734"/>
      <w:r>
        <w:rPr>
          <w:rFonts w:hint="eastAsia" w:ascii="宋体" w:hAnsi="宋体" w:cs="宋体"/>
          <w:color w:val="auto"/>
          <w:highlight w:val="none"/>
        </w:rPr>
        <w:t>第五章委托人要求</w:t>
      </w:r>
      <w:bookmarkEnd w:id="472"/>
      <w:bookmarkEnd w:id="473"/>
      <w:bookmarkEnd w:id="474"/>
      <w:bookmarkEnd w:id="475"/>
      <w:bookmarkEnd w:id="485"/>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委托人要求通常包括但不限于以下内容：</w:t>
      </w:r>
    </w:p>
    <w:p>
      <w:pPr>
        <w:pStyle w:val="4"/>
        <w:keepNext w:val="0"/>
        <w:keepLines w:val="0"/>
        <w:rPr>
          <w:rFonts w:hint="eastAsia" w:ascii="宋体" w:hAnsi="宋体" w:eastAsia="宋体" w:cs="宋体"/>
          <w:b w:val="0"/>
          <w:color w:val="auto"/>
          <w:sz w:val="28"/>
          <w:szCs w:val="28"/>
          <w:highlight w:val="none"/>
        </w:rPr>
      </w:pPr>
      <w:bookmarkStart w:id="486" w:name="_Toc527028520"/>
      <w:bookmarkStart w:id="487" w:name="_Toc511557110"/>
      <w:bookmarkStart w:id="488" w:name="_Toc343"/>
      <w:bookmarkStart w:id="489" w:name="_Toc482188637"/>
      <w:r>
        <w:rPr>
          <w:rFonts w:hint="eastAsia" w:ascii="宋体" w:hAnsi="宋体" w:eastAsia="宋体" w:cs="宋体"/>
          <w:b w:val="0"/>
          <w:color w:val="auto"/>
          <w:sz w:val="28"/>
          <w:szCs w:val="28"/>
          <w:highlight w:val="none"/>
        </w:rPr>
        <w:t>一、监理要求</w:t>
      </w:r>
      <w:bookmarkEnd w:id="486"/>
      <w:bookmarkEnd w:id="487"/>
      <w:bookmarkEnd w:id="488"/>
      <w:bookmarkEnd w:id="489"/>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招标人应当根据项目情况在本章中明确相应的监理要求，一般应包括以下内容：</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1.项目概况</w:t>
      </w:r>
    </w:p>
    <w:p>
      <w:pPr>
        <w:spacing w:line="360" w:lineRule="auto"/>
        <w:ind w:firstLine="480" w:firstLineChars="200"/>
        <w:jc w:val="left"/>
        <w:rPr>
          <w:rFonts w:hint="eastAsia" w:ascii="宋体" w:hAnsi="宋体" w:cs="宋体"/>
          <w:color w:val="auto"/>
          <w:sz w:val="24"/>
          <w:szCs w:val="24"/>
          <w:highlight w:val="none"/>
          <w:u w:val="single"/>
          <w:lang w:bidi="ar"/>
        </w:rPr>
      </w:pPr>
      <w:r>
        <w:rPr>
          <w:rFonts w:hint="eastAsia" w:ascii="宋体" w:hAnsi="宋体" w:cs="宋体"/>
          <w:color w:val="auto"/>
          <w:sz w:val="24"/>
          <w:szCs w:val="24"/>
          <w:highlight w:val="none"/>
          <w:u w:val="single"/>
          <w:lang w:bidi="ar"/>
        </w:rPr>
        <w:t>项目位于仙村镇,主要建设内容为:</w:t>
      </w:r>
      <w:r>
        <w:rPr>
          <w:rFonts w:hint="eastAsia" w:ascii="宋体" w:hAnsi="宋体" w:cs="宋体"/>
          <w:color w:val="auto"/>
          <w:sz w:val="24"/>
          <w:szCs w:val="24"/>
          <w:u w:val="single"/>
          <w:lang w:bidi="ar"/>
        </w:rPr>
        <w:t>西福河堤防工程：结合仙村园区总体规划和西福河规划岸线调整，对西福河右岸(仙村园区段)堤防进行综合整治，整治起点为三合围排洪渠，终点为荔新公路，整治长度为3.728km,其中桩号XFH0+000~XFH0+750段堤防按1级堤防考虑设置8m堤顶路，桩号XFH0+750~XFH3+728段按照堤路结合原则新建28m堤顶路，堤路结合段按城市主干路标准建设，双向4车道，设计速度40km/h,同时配建园区照明设备和配套绿化设施等。穿堤箱涵工程：沿西福河堤防新建穿堤箱涵4座，分别位于桩号XFH0+100、XFH0+730、XFH3+000、XFH3+700;下碧潭涌、截洪沟：沿园区规划道路北侧新建下碧潭涌，长593m,河道底宽4m, 河道水域宽度按10m布置，园区平整完毕后，沿南部山体新建截洪沟，截洪沟接入下碧潭涌，拦截山水，保障厂区安全。</w:t>
      </w:r>
    </w:p>
    <w:p>
      <w:pPr>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项目</w:t>
      </w:r>
      <w:r>
        <w:rPr>
          <w:rFonts w:hint="eastAsia" w:ascii="宋体" w:hAnsi="宋体" w:cs="宋体"/>
          <w:color w:val="auto"/>
          <w:kern w:val="0"/>
          <w:sz w:val="24"/>
          <w:highlight w:val="none"/>
          <w:u w:val="single"/>
          <w:lang w:eastAsia="zh-CN"/>
        </w:rPr>
        <w:t>概算</w:t>
      </w:r>
      <w:r>
        <w:rPr>
          <w:rFonts w:hint="eastAsia" w:ascii="宋体" w:hAnsi="宋体" w:cs="宋体"/>
          <w:color w:val="auto"/>
          <w:kern w:val="0"/>
          <w:sz w:val="24"/>
          <w:highlight w:val="none"/>
          <w:u w:val="single"/>
        </w:rPr>
        <w:t>总投资</w:t>
      </w:r>
      <w:r>
        <w:rPr>
          <w:rFonts w:hint="eastAsia" w:ascii="宋体" w:hAnsi="宋体" w:cs="宋体"/>
          <w:color w:val="auto"/>
          <w:kern w:val="0"/>
          <w:sz w:val="24"/>
          <w:highlight w:val="none"/>
          <w:u w:val="single"/>
          <w:lang w:val="en-US" w:eastAsia="zh-CN"/>
        </w:rPr>
        <w:t>404660446.21</w:t>
      </w:r>
      <w:r>
        <w:rPr>
          <w:rFonts w:hint="eastAsia" w:ascii="宋体" w:hAnsi="宋体" w:cs="宋体"/>
          <w:color w:val="auto"/>
          <w:kern w:val="0"/>
          <w:sz w:val="24"/>
          <w:highlight w:val="none"/>
          <w:u w:val="single"/>
        </w:rPr>
        <w:t>元，</w:t>
      </w:r>
      <w:r>
        <w:rPr>
          <w:rFonts w:hint="eastAsia" w:ascii="宋体" w:hAnsi="宋体" w:cs="宋体"/>
          <w:color w:val="auto"/>
          <w:kern w:val="0"/>
          <w:sz w:val="24"/>
          <w:highlight w:val="none"/>
          <w:u w:val="single"/>
          <w:lang w:eastAsia="zh-CN"/>
        </w:rPr>
        <w:t>水利部分</w:t>
      </w:r>
      <w:r>
        <w:rPr>
          <w:rFonts w:hint="eastAsia" w:ascii="宋体" w:hAnsi="宋体" w:cs="宋体"/>
          <w:color w:val="auto"/>
          <w:kern w:val="0"/>
          <w:sz w:val="24"/>
          <w:highlight w:val="none"/>
          <w:u w:val="single"/>
        </w:rPr>
        <w:t>建安费约</w:t>
      </w:r>
      <w:r>
        <w:rPr>
          <w:rFonts w:hint="eastAsia" w:ascii="宋体" w:hAnsi="宋体" w:cs="宋体"/>
          <w:color w:val="auto"/>
          <w:kern w:val="0"/>
          <w:sz w:val="24"/>
          <w:highlight w:val="none"/>
          <w:u w:val="single"/>
          <w:lang w:val="en-US" w:eastAsia="zh-CN"/>
        </w:rPr>
        <w:t>218307050.61</w:t>
      </w:r>
      <w:r>
        <w:rPr>
          <w:rFonts w:hint="eastAsia" w:ascii="宋体" w:hAnsi="宋体" w:cs="宋体"/>
          <w:color w:val="auto"/>
          <w:kern w:val="0"/>
          <w:sz w:val="24"/>
          <w:highlight w:val="none"/>
          <w:u w:val="single"/>
        </w:rPr>
        <w:t>元。</w:t>
      </w:r>
    </w:p>
    <w:p>
      <w:pPr>
        <w:spacing w:line="360" w:lineRule="auto"/>
        <w:jc w:val="left"/>
        <w:rPr>
          <w:rFonts w:hint="eastAsia" w:ascii="宋体" w:hAnsi="宋体" w:cs="宋体"/>
          <w:color w:val="auto"/>
          <w:sz w:val="24"/>
          <w:szCs w:val="24"/>
          <w:highlight w:val="none"/>
        </w:rPr>
      </w:pPr>
      <w:r>
        <w:rPr>
          <w:rFonts w:hint="eastAsia" w:ascii="宋体" w:hAnsi="宋体" w:cs="宋体"/>
          <w:color w:val="auto"/>
          <w:kern w:val="0"/>
          <w:sz w:val="24"/>
          <w:highlight w:val="none"/>
        </w:rPr>
        <w:t xml:space="preserve"> </w:t>
      </w:r>
      <w:r>
        <w:rPr>
          <w:rFonts w:hint="eastAsia" w:ascii="宋体" w:hAnsi="宋体" w:cs="宋体"/>
          <w:color w:val="auto"/>
          <w:sz w:val="24"/>
          <w:szCs w:val="24"/>
          <w:highlight w:val="none"/>
        </w:rPr>
        <w:t>2. 招标范围及内容</w:t>
      </w:r>
    </w:p>
    <w:p>
      <w:pPr>
        <w:adjustRightInd w:val="0"/>
        <w:snapToGrid w:val="0"/>
        <w:spacing w:line="360" w:lineRule="auto"/>
        <w:ind w:firstLine="480" w:firstLineChars="200"/>
        <w:jc w:val="left"/>
        <w:rPr>
          <w:rFonts w:hint="eastAsia" w:ascii="宋体" w:hAnsi="宋体" w:cs="宋体"/>
          <w:color w:val="auto"/>
          <w:szCs w:val="21"/>
          <w:highlight w:val="none"/>
        </w:rPr>
      </w:pPr>
      <w:r>
        <w:rPr>
          <w:rFonts w:hint="eastAsia" w:ascii="宋体" w:hAnsi="宋体" w:cs="宋体"/>
          <w:color w:val="auto"/>
          <w:sz w:val="24"/>
          <w:szCs w:val="24"/>
          <w:highlight w:val="none"/>
        </w:rPr>
        <w:t>招标内容：</w:t>
      </w:r>
      <w:r>
        <w:rPr>
          <w:rFonts w:hint="eastAsia" w:ascii="宋体" w:hAnsi="宋体" w:cs="宋体"/>
          <w:color w:val="auto"/>
          <w:sz w:val="24"/>
          <w:highlight w:val="none"/>
          <w:u w:val="single"/>
        </w:rPr>
        <w:t>负责本项目施工准备阶段、施工阶段、工程收尾阶段（包括但不限于竣工验收、整改、工程移交、工程结算等）、保修阶段（缺陷责任期）的质量控制、职业健康、安全生产及环境监督管理、投资控制、进度控制、合同管理、信息管理、组织协调等全过程监理工作。</w:t>
      </w:r>
    </w:p>
    <w:p>
      <w:pPr>
        <w:tabs>
          <w:tab w:val="left" w:pos="7513"/>
        </w:tabs>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3.监理服务期：</w:t>
      </w:r>
      <w:r>
        <w:rPr>
          <w:rFonts w:hint="eastAsia" w:ascii="宋体" w:hAnsi="宋体" w:cs="宋体"/>
          <w:color w:val="auto"/>
          <w:sz w:val="24"/>
          <w:szCs w:val="24"/>
          <w:highlight w:val="none"/>
          <w:u w:val="single"/>
        </w:rPr>
        <w:t>从中标人收到招标人中标通知或参加由招标人组织的进场动员会开始算起，至本项目工程质量保修期结束且本合同工程结算金额经政府主管部门审定之日止。</w:t>
      </w:r>
    </w:p>
    <w:p>
      <w:pPr>
        <w:adjustRightInd w:val="0"/>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4.监理依据：</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（1）适用的法律、行政法规及部门规章；</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（2）与工程有关的规范、标准、规程；</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（3）工程勘察文件、设计文件及其他文件；</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（4）本工程监理的委托合同及补充合同；</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（5）委托人签订的勘察、设计和施工承包合同；</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（6）合同履行中与监理服务有关的来往函件；</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（7）其他监理依据。</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5.监理的技术要求：</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（1）符合法律、行政法规及部门规章；</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（2）符合本工程有关的规范、标准、规程；</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6.监理人员、设备要求：详见本项目招标文件和招标公告。</w:t>
      </w:r>
    </w:p>
    <w:p>
      <w:pPr>
        <w:spacing w:line="44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7.监理文件要求：本工程监理文件包括监理管理文件、质量监理文件、安全监理文件、环保监理文件、费用与进度监理文件、合同事项管理文件，以及监理日志、巡视记录、旁站记录、监理月报、监理工作报告等其他监理文件和影像资料，具体类别、编制要求、编制内容、提交时间和份数等应满足相关法律法规的规定。</w:t>
      </w:r>
    </w:p>
    <w:p>
      <w:pPr>
        <w:pStyle w:val="2"/>
        <w:rPr>
          <w:rFonts w:hint="eastAsia"/>
          <w:color w:val="auto"/>
          <w:lang w:eastAsia="zh-CN"/>
        </w:rPr>
      </w:pPr>
    </w:p>
    <w:p>
      <w:pPr>
        <w:spacing w:line="44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8.监理工作目标要求</w:t>
      </w:r>
    </w:p>
    <w:p>
      <w:pPr>
        <w:pStyle w:val="2"/>
        <w:rPr>
          <w:rFonts w:hint="eastAsia"/>
          <w:color w:val="auto"/>
          <w:lang w:eastAsia="zh-CN"/>
        </w:rPr>
      </w:pP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①质量控制目标：执行国家、地方或行业现行的工程建设质量验收标准及规范，须达到合格标准。</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②进度控制目标：施工工期为业主下达开工令或开工报告审批之日起。按施工进度要求控制。</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③投资控制目标：投资控制在政府批准的工程投资总概算及预算内。</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④安全文明管理目标：确保工程无重大安全事故。</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⑤合同管理目标：\</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⑥信息管理目标：\</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⑦建筑节能目标：\</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9. 其他要求</w:t>
      </w:r>
    </w:p>
    <w:p>
      <w:pPr>
        <w:pStyle w:val="4"/>
        <w:keepNext w:val="0"/>
        <w:keepLines w:val="0"/>
        <w:rPr>
          <w:rFonts w:hint="eastAsia" w:ascii="宋体" w:hAnsi="宋体" w:eastAsia="宋体" w:cs="宋体"/>
          <w:b w:val="0"/>
          <w:color w:val="auto"/>
          <w:sz w:val="28"/>
          <w:szCs w:val="28"/>
          <w:highlight w:val="none"/>
        </w:rPr>
      </w:pPr>
      <w:bookmarkStart w:id="490" w:name="_Toc17300"/>
      <w:bookmarkStart w:id="491" w:name="_Toc511557111"/>
      <w:bookmarkStart w:id="492" w:name="_Toc527028521"/>
      <w:bookmarkStart w:id="493" w:name="_Toc482188638"/>
      <w:r>
        <w:rPr>
          <w:rFonts w:hint="eastAsia" w:ascii="宋体" w:hAnsi="宋体" w:eastAsia="宋体" w:cs="宋体"/>
          <w:b w:val="0"/>
          <w:color w:val="auto"/>
          <w:sz w:val="28"/>
          <w:szCs w:val="28"/>
          <w:highlight w:val="none"/>
        </w:rPr>
        <w:t>二、适用规范标准</w:t>
      </w:r>
      <w:bookmarkEnd w:id="490"/>
      <w:bookmarkEnd w:id="491"/>
      <w:bookmarkEnd w:id="492"/>
      <w:bookmarkEnd w:id="493"/>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 国家、行业、项目所在地规范名录：</w:t>
      </w:r>
      <w:r>
        <w:rPr>
          <w:rFonts w:hint="eastAsia" w:ascii="宋体" w:hAnsi="宋体" w:cs="宋体"/>
          <w:color w:val="auto"/>
          <w:sz w:val="24"/>
          <w:szCs w:val="24"/>
          <w:highlight w:val="none"/>
          <w:u w:val="single"/>
        </w:rPr>
        <w:t>按国家、行业、项目所在地规范名录执行。</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 国家、行业、项目所在地标准名录：</w:t>
      </w:r>
      <w:r>
        <w:rPr>
          <w:rFonts w:hint="eastAsia" w:ascii="宋体" w:hAnsi="宋体" w:cs="宋体"/>
          <w:color w:val="auto"/>
          <w:sz w:val="24"/>
          <w:szCs w:val="24"/>
          <w:highlight w:val="none"/>
          <w:u w:val="single"/>
        </w:rPr>
        <w:t>按国家、行业、项目所在地规范标准执行。</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 国家、行业、项目所在地规程名录：</w:t>
      </w:r>
      <w:r>
        <w:rPr>
          <w:rFonts w:hint="eastAsia" w:ascii="宋体" w:hAnsi="宋体" w:cs="宋体"/>
          <w:color w:val="auto"/>
          <w:sz w:val="24"/>
          <w:szCs w:val="24"/>
          <w:highlight w:val="none"/>
          <w:u w:val="single"/>
        </w:rPr>
        <w:t>按国家、行业、项目所在地规范规程执行。</w:t>
      </w:r>
    </w:p>
    <w:p>
      <w:pPr>
        <w:pStyle w:val="4"/>
        <w:keepNext w:val="0"/>
        <w:keepLines w:val="0"/>
        <w:rPr>
          <w:rFonts w:hint="eastAsia" w:ascii="宋体" w:hAnsi="宋体" w:eastAsia="宋体" w:cs="宋体"/>
          <w:b w:val="0"/>
          <w:color w:val="auto"/>
          <w:sz w:val="28"/>
          <w:szCs w:val="28"/>
          <w:highlight w:val="none"/>
        </w:rPr>
      </w:pPr>
      <w:bookmarkStart w:id="494" w:name="_Toc482188639"/>
      <w:bookmarkStart w:id="495" w:name="_Toc7782"/>
      <w:bookmarkStart w:id="496" w:name="_Toc527028522"/>
      <w:bookmarkStart w:id="497" w:name="_Toc511557112"/>
      <w:r>
        <w:rPr>
          <w:rFonts w:hint="eastAsia" w:ascii="宋体" w:hAnsi="宋体" w:eastAsia="宋体" w:cs="宋体"/>
          <w:b w:val="0"/>
          <w:color w:val="auto"/>
          <w:sz w:val="28"/>
          <w:szCs w:val="28"/>
          <w:highlight w:val="none"/>
        </w:rPr>
        <w:t>三、成果文件要求</w:t>
      </w:r>
      <w:bookmarkEnd w:id="494"/>
      <w:bookmarkEnd w:id="495"/>
      <w:bookmarkEnd w:id="496"/>
      <w:bookmarkEnd w:id="49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 成果文件的组成</w:t>
      </w:r>
    </w:p>
    <w:p>
      <w:pPr>
        <w:numPr>
          <w:ilvl w:val="0"/>
          <w:numId w:val="4"/>
        </w:numPr>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1、勘察设计文件、建设工程监理合同及其他合同文件；</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2、监理规划、监理实施细则；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3、设计交底和图纸会审会议纪要；</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4、施工组织设计、（专项）施工方案、施工进度计划报审文件资料；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5、分包单位资格报审文件资料；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6、施工控制测量成果报验文件资料；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7、总监理工程师任命书、工程开工令、暂停令、复工令、开工或复工报审文件资料；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8、工程材料、设备、构配件报验文件资料；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9、见证取样和平行检验文件资料；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10、工程质量检查报验资料及工程有关验收资料；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11、工程变更、费用索赔及工程延期文件资料；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12、工程计量、工程款支付文件资料；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13、监理通知单、工作联系单与监理报告；</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14、第一次工地会议、监理例会、专题会议等会议纪要；</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15、监理月报、监理日志、旁站记录；</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16、工程质量或生产安全事故处理文件资料；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17、工程质量评估报告及竣工验收监理文件资料；</w:t>
      </w:r>
    </w:p>
    <w:p>
      <w:pPr>
        <w:numPr>
          <w:ilvl w:val="0"/>
          <w:numId w:val="4"/>
        </w:numPr>
        <w:tabs>
          <w:tab w:val="left" w:pos="680"/>
        </w:tabs>
        <w:snapToGrid w:val="0"/>
        <w:spacing w:after="200"/>
        <w:ind w:hanging="720" w:hangingChars="3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18、监理工作总结。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 成果文件的深度:</w:t>
      </w:r>
      <w:r>
        <w:rPr>
          <w:rFonts w:hint="eastAsia" w:ascii="宋体" w:hAnsi="宋体" w:cs="宋体"/>
          <w:color w:val="auto"/>
          <w:sz w:val="24"/>
          <w:szCs w:val="24"/>
          <w:highlight w:val="none"/>
          <w:u w:val="single"/>
        </w:rPr>
        <w:t xml:space="preserve"> 满足本项目监理服务要求。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 成果文件的格式要求:</w:t>
      </w:r>
      <w:r>
        <w:rPr>
          <w:rFonts w:hint="eastAsia" w:ascii="宋体" w:hAnsi="宋体" w:cs="宋体"/>
          <w:color w:val="auto"/>
          <w:sz w:val="24"/>
          <w:szCs w:val="24"/>
          <w:highlight w:val="none"/>
          <w:u w:val="single"/>
        </w:rPr>
        <w:t xml:space="preserve"> 满足本项目监理服务要求。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 成果文件的份数要求:</w:t>
      </w:r>
      <w:r>
        <w:rPr>
          <w:rFonts w:hint="eastAsia" w:ascii="宋体" w:hAnsi="宋体" w:cs="宋体"/>
          <w:color w:val="auto"/>
          <w:sz w:val="24"/>
          <w:szCs w:val="24"/>
          <w:highlight w:val="none"/>
          <w:u w:val="single"/>
        </w:rPr>
        <w:t xml:space="preserve"> 一式六份；</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 成果文件的载体要求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（1）纸质版的要求：:</w:t>
      </w:r>
      <w:r>
        <w:rPr>
          <w:rFonts w:hint="eastAsia" w:ascii="宋体" w:hAnsi="宋体" w:cs="宋体"/>
          <w:color w:val="auto"/>
          <w:sz w:val="24"/>
          <w:szCs w:val="24"/>
          <w:highlight w:val="none"/>
          <w:u w:val="single"/>
        </w:rPr>
        <w:t xml:space="preserve"> 一式六份；</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（2）电子版的要求：:</w:t>
      </w:r>
      <w:r>
        <w:rPr>
          <w:rFonts w:hint="eastAsia" w:ascii="宋体" w:hAnsi="宋体" w:cs="宋体"/>
          <w:color w:val="auto"/>
          <w:sz w:val="24"/>
          <w:szCs w:val="24"/>
          <w:highlight w:val="none"/>
          <w:u w:val="single"/>
        </w:rPr>
        <w:t xml:space="preserve"> 与纸质版一致的电子版文件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（3）其他要求。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 成果文件的其他要求:</w:t>
      </w:r>
      <w:r>
        <w:rPr>
          <w:rFonts w:hint="eastAsia" w:ascii="宋体" w:hAnsi="宋体" w:cs="宋体"/>
          <w:color w:val="auto"/>
          <w:sz w:val="24"/>
          <w:szCs w:val="24"/>
          <w:highlight w:val="none"/>
          <w:u w:val="single"/>
        </w:rPr>
        <w:t xml:space="preserve"> 满足本项目监理服务要求。</w:t>
      </w:r>
    </w:p>
    <w:p>
      <w:pPr>
        <w:pStyle w:val="4"/>
        <w:keepNext w:val="0"/>
        <w:keepLines w:val="0"/>
        <w:rPr>
          <w:rFonts w:hint="eastAsia" w:ascii="宋体" w:hAnsi="宋体" w:eastAsia="宋体" w:cs="宋体"/>
          <w:b w:val="0"/>
          <w:color w:val="auto"/>
          <w:sz w:val="28"/>
          <w:szCs w:val="28"/>
          <w:highlight w:val="none"/>
        </w:rPr>
      </w:pPr>
      <w:bookmarkStart w:id="498" w:name="_Toc482188640"/>
      <w:bookmarkStart w:id="499" w:name="_Toc511557113"/>
      <w:bookmarkStart w:id="500" w:name="_Toc4097"/>
      <w:bookmarkStart w:id="501" w:name="_Toc527028523"/>
      <w:r>
        <w:rPr>
          <w:rFonts w:hint="eastAsia" w:ascii="宋体" w:hAnsi="宋体" w:eastAsia="宋体" w:cs="宋体"/>
          <w:b w:val="0"/>
          <w:color w:val="auto"/>
          <w:sz w:val="28"/>
          <w:szCs w:val="28"/>
          <w:highlight w:val="none"/>
        </w:rPr>
        <w:t>四、委托人财产清单</w:t>
      </w:r>
      <w:bookmarkEnd w:id="498"/>
      <w:bookmarkEnd w:id="499"/>
      <w:bookmarkEnd w:id="500"/>
      <w:bookmarkEnd w:id="501"/>
    </w:p>
    <w:p>
      <w:pPr>
        <w:pStyle w:val="5"/>
        <w:keepNext w:val="0"/>
        <w:keepLines w:val="0"/>
        <w:spacing w:before="0" w:after="0" w:line="260" w:lineRule="exact"/>
        <w:ind w:firstLine="35" w:firstLineChars="17"/>
        <w:rPr>
          <w:rFonts w:hint="eastAsia" w:ascii="宋体" w:hAnsi="宋体" w:eastAsia="宋体" w:cs="宋体"/>
          <w:color w:val="auto"/>
          <w:sz w:val="21"/>
          <w:szCs w:val="21"/>
          <w:highlight w:val="none"/>
        </w:rPr>
      </w:pPr>
      <w:bookmarkStart w:id="502" w:name="_Toc511557114"/>
      <w:bookmarkStart w:id="503" w:name="_Toc527028524"/>
      <w:bookmarkStart w:id="504" w:name="_Toc527028703"/>
      <w:bookmarkStart w:id="505" w:name="_Toc527028874"/>
      <w:bookmarkStart w:id="506" w:name="_Toc482188641"/>
    </w:p>
    <w:p>
      <w:pPr>
        <w:pStyle w:val="5"/>
        <w:keepNext w:val="0"/>
        <w:keepLines w:val="0"/>
        <w:spacing w:line="260" w:lineRule="exact"/>
        <w:ind w:firstLine="47" w:firstLineChars="17"/>
        <w:rPr>
          <w:rFonts w:hint="eastAsia" w:ascii="宋体" w:hAnsi="宋体" w:eastAsia="宋体" w:cs="宋体"/>
          <w:color w:val="auto"/>
          <w:highlight w:val="none"/>
        </w:rPr>
      </w:pPr>
      <w:bookmarkStart w:id="507" w:name="_Toc16618"/>
      <w:r>
        <w:rPr>
          <w:rFonts w:hint="eastAsia" w:ascii="宋体" w:hAnsi="宋体" w:eastAsia="宋体" w:cs="宋体"/>
          <w:color w:val="auto"/>
          <w:highlight w:val="none"/>
        </w:rPr>
        <w:t>（一）委托人提供的设备、设施</w:t>
      </w:r>
      <w:bookmarkEnd w:id="502"/>
      <w:bookmarkEnd w:id="503"/>
      <w:bookmarkEnd w:id="504"/>
      <w:bookmarkEnd w:id="505"/>
      <w:bookmarkEnd w:id="506"/>
      <w:bookmarkEnd w:id="507"/>
    </w:p>
    <w:p>
      <w:pPr>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1. 委托人提供的办公房屋及冷暖设施：</w:t>
      </w:r>
      <w:r>
        <w:rPr>
          <w:rFonts w:hint="eastAsia" w:ascii="宋体" w:hAnsi="宋体" w:cs="宋体"/>
          <w:color w:val="auto"/>
          <w:sz w:val="24"/>
          <w:szCs w:val="24"/>
          <w:highlight w:val="none"/>
          <w:u w:val="single"/>
        </w:rPr>
        <w:t>根据项目实际情况需求提供；</w:t>
      </w:r>
    </w:p>
    <w:p>
      <w:pPr>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2. 委托人提供的设备清单：</w:t>
      </w:r>
      <w:r>
        <w:rPr>
          <w:rFonts w:hint="eastAsia" w:ascii="宋体" w:hAnsi="宋体" w:cs="宋体"/>
          <w:color w:val="auto"/>
          <w:sz w:val="24"/>
          <w:szCs w:val="24"/>
          <w:highlight w:val="none"/>
          <w:u w:val="single"/>
        </w:rPr>
        <w:t>根据项目实际情况需求提供；</w:t>
      </w:r>
    </w:p>
    <w:p>
      <w:pPr>
        <w:spacing w:line="360" w:lineRule="auto"/>
        <w:ind w:firstLine="480" w:firstLineChars="200"/>
        <w:rPr>
          <w:rFonts w:hint="eastAsia" w:ascii="宋体" w:hAnsi="宋体" w:cs="宋体"/>
          <w:color w:val="auto"/>
          <w:highlight w:val="none"/>
        </w:rPr>
      </w:pPr>
      <w:r>
        <w:rPr>
          <w:rFonts w:hint="eastAsia" w:ascii="宋体" w:hAnsi="宋体" w:cs="宋体"/>
          <w:color w:val="auto"/>
          <w:sz w:val="24"/>
          <w:szCs w:val="24"/>
          <w:highlight w:val="none"/>
        </w:rPr>
        <w:t>3. 委托人提供的设施清单：</w:t>
      </w:r>
      <w:r>
        <w:rPr>
          <w:rFonts w:hint="eastAsia" w:ascii="宋体" w:hAnsi="宋体" w:cs="宋体"/>
          <w:color w:val="auto"/>
          <w:sz w:val="24"/>
          <w:szCs w:val="24"/>
          <w:highlight w:val="none"/>
          <w:u w:val="single"/>
        </w:rPr>
        <w:t>根据项目实际情况需求提供；</w:t>
      </w:r>
    </w:p>
    <w:p>
      <w:pPr>
        <w:pStyle w:val="5"/>
        <w:keepNext w:val="0"/>
        <w:keepLines w:val="0"/>
        <w:spacing w:line="260" w:lineRule="exact"/>
        <w:ind w:firstLine="47" w:firstLineChars="17"/>
        <w:rPr>
          <w:rFonts w:hint="eastAsia" w:ascii="宋体" w:hAnsi="宋体" w:eastAsia="宋体" w:cs="宋体"/>
          <w:color w:val="auto"/>
          <w:highlight w:val="none"/>
        </w:rPr>
      </w:pPr>
      <w:bookmarkStart w:id="508" w:name="_Toc527028704"/>
      <w:bookmarkStart w:id="509" w:name="_Toc482188642"/>
      <w:bookmarkStart w:id="510" w:name="_Toc527028525"/>
      <w:bookmarkStart w:id="511" w:name="_Toc511557115"/>
      <w:bookmarkStart w:id="512" w:name="_Toc14642"/>
      <w:bookmarkStart w:id="513" w:name="_Toc527028875"/>
      <w:r>
        <w:rPr>
          <w:rFonts w:hint="eastAsia" w:ascii="宋体" w:hAnsi="宋体" w:eastAsia="宋体" w:cs="宋体"/>
          <w:color w:val="auto"/>
          <w:highlight w:val="none"/>
        </w:rPr>
        <w:t>（二）委托人提供的资料</w:t>
      </w:r>
      <w:bookmarkEnd w:id="508"/>
      <w:bookmarkEnd w:id="509"/>
      <w:bookmarkEnd w:id="510"/>
      <w:bookmarkEnd w:id="511"/>
      <w:bookmarkEnd w:id="512"/>
      <w:bookmarkEnd w:id="51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 定位放线的基准点、基准线和基准标高</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 委托人取得的有关审批、核准和备案材料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 勘察文件、设计文件等资料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 技术标准、规范</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 工程承包合同及其他相关合同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 其他资料</w:t>
      </w:r>
    </w:p>
    <w:p>
      <w:pPr>
        <w:pStyle w:val="5"/>
        <w:keepNext w:val="0"/>
        <w:keepLines w:val="0"/>
        <w:ind w:firstLine="137"/>
        <w:rPr>
          <w:rFonts w:hint="eastAsia" w:ascii="宋体" w:hAnsi="宋体" w:eastAsia="宋体" w:cs="宋体"/>
          <w:color w:val="auto"/>
          <w:highlight w:val="none"/>
        </w:rPr>
      </w:pPr>
      <w:bookmarkStart w:id="514" w:name="_Toc527028705"/>
      <w:bookmarkStart w:id="515" w:name="_Toc527028876"/>
      <w:bookmarkStart w:id="516" w:name="_Toc527028526"/>
      <w:bookmarkStart w:id="517" w:name="_Toc511557116"/>
      <w:bookmarkStart w:id="518" w:name="_Toc6846"/>
      <w:bookmarkStart w:id="519" w:name="_Toc482188643"/>
      <w:r>
        <w:rPr>
          <w:rFonts w:hint="eastAsia" w:ascii="宋体" w:hAnsi="宋体" w:eastAsia="宋体" w:cs="宋体"/>
          <w:color w:val="auto"/>
          <w:highlight w:val="none"/>
        </w:rPr>
        <w:t>（三）委托人财产使用要求及退还要求</w:t>
      </w:r>
      <w:bookmarkEnd w:id="514"/>
      <w:bookmarkEnd w:id="515"/>
      <w:bookmarkEnd w:id="516"/>
      <w:bookmarkEnd w:id="517"/>
      <w:bookmarkEnd w:id="518"/>
      <w:bookmarkEnd w:id="51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 委托人财产使用要求：</w:t>
      </w:r>
      <w:r>
        <w:rPr>
          <w:rFonts w:hint="eastAsia" w:ascii="宋体" w:hAnsi="宋体" w:cs="宋体"/>
          <w:color w:val="auto"/>
          <w:sz w:val="24"/>
          <w:szCs w:val="24"/>
          <w:highlight w:val="none"/>
          <w:u w:val="single"/>
        </w:rPr>
        <w:t>监理人对委托人财产保存完好，避免有损坏或丢失等情况发生；</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 委托人财产退还要求：</w:t>
      </w:r>
      <w:r>
        <w:rPr>
          <w:rFonts w:hint="eastAsia" w:ascii="宋体" w:hAnsi="宋体" w:cs="宋体"/>
          <w:color w:val="auto"/>
          <w:sz w:val="24"/>
          <w:szCs w:val="24"/>
          <w:highlight w:val="none"/>
          <w:u w:val="single"/>
        </w:rPr>
        <w:t>工程完工后监理人将委托人财产全数完好地退还给委托人。</w:t>
      </w:r>
    </w:p>
    <w:p>
      <w:pPr>
        <w:pStyle w:val="4"/>
        <w:keepNext w:val="0"/>
        <w:keepLines w:val="0"/>
        <w:rPr>
          <w:rFonts w:hint="eastAsia" w:ascii="宋体" w:hAnsi="宋体" w:eastAsia="宋体" w:cs="宋体"/>
          <w:b w:val="0"/>
          <w:color w:val="auto"/>
          <w:sz w:val="28"/>
          <w:szCs w:val="28"/>
          <w:highlight w:val="none"/>
        </w:rPr>
      </w:pPr>
      <w:bookmarkStart w:id="520" w:name="_Toc527028527"/>
      <w:bookmarkStart w:id="521" w:name="_Toc511557117"/>
      <w:bookmarkStart w:id="522" w:name="_Toc482188644"/>
      <w:bookmarkStart w:id="523" w:name="_Toc5280"/>
      <w:r>
        <w:rPr>
          <w:rFonts w:hint="eastAsia" w:ascii="宋体" w:hAnsi="宋体" w:eastAsia="宋体" w:cs="宋体"/>
          <w:b w:val="0"/>
          <w:color w:val="auto"/>
          <w:sz w:val="28"/>
          <w:szCs w:val="28"/>
          <w:highlight w:val="none"/>
        </w:rPr>
        <w:t>五、委托人提供的便利条件</w:t>
      </w:r>
      <w:bookmarkEnd w:id="520"/>
      <w:bookmarkEnd w:id="521"/>
      <w:bookmarkEnd w:id="522"/>
      <w:bookmarkEnd w:id="523"/>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 委托人提供的生活条件：</w:t>
      </w:r>
      <w:r>
        <w:rPr>
          <w:rFonts w:hint="eastAsia" w:ascii="宋体" w:hAnsi="宋体" w:cs="宋体"/>
          <w:color w:val="auto"/>
          <w:sz w:val="24"/>
          <w:szCs w:val="24"/>
          <w:highlight w:val="none"/>
          <w:u w:val="single"/>
        </w:rPr>
        <w:t>根据项目实际情况需求提供；</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 委托人提供的交通条件：</w:t>
      </w:r>
      <w:r>
        <w:rPr>
          <w:rFonts w:hint="eastAsia" w:ascii="宋体" w:hAnsi="宋体" w:cs="宋体"/>
          <w:color w:val="auto"/>
          <w:sz w:val="24"/>
          <w:szCs w:val="24"/>
          <w:highlight w:val="none"/>
          <w:u w:val="single"/>
        </w:rPr>
        <w:t>无</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 委托人提供的网络、通讯条件：</w:t>
      </w:r>
      <w:r>
        <w:rPr>
          <w:rFonts w:hint="eastAsia" w:ascii="宋体" w:hAnsi="宋体" w:cs="宋体"/>
          <w:color w:val="auto"/>
          <w:sz w:val="24"/>
          <w:szCs w:val="24"/>
          <w:highlight w:val="none"/>
          <w:u w:val="single"/>
        </w:rPr>
        <w:t>无</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 委托人提供的协助人员：</w:t>
      </w:r>
      <w:r>
        <w:rPr>
          <w:rFonts w:hint="eastAsia" w:ascii="宋体" w:hAnsi="宋体" w:cs="宋体"/>
          <w:color w:val="auto"/>
          <w:sz w:val="24"/>
          <w:szCs w:val="24"/>
          <w:highlight w:val="none"/>
          <w:u w:val="single"/>
        </w:rPr>
        <w:t>无</w:t>
      </w:r>
      <w:bookmarkStart w:id="524" w:name="_Toc482188645"/>
      <w:r>
        <w:rPr>
          <w:rFonts w:hint="eastAsia" w:ascii="宋体" w:hAnsi="宋体" w:cs="宋体"/>
          <w:color w:val="auto"/>
          <w:sz w:val="24"/>
          <w:szCs w:val="24"/>
          <w:highlight w:val="none"/>
        </w:rPr>
        <w:t>……</w:t>
      </w:r>
    </w:p>
    <w:p>
      <w:pPr>
        <w:pStyle w:val="4"/>
        <w:keepNext w:val="0"/>
        <w:keepLines w:val="0"/>
        <w:spacing w:line="240" w:lineRule="exact"/>
        <w:rPr>
          <w:rFonts w:hint="eastAsia" w:ascii="宋体" w:hAnsi="宋体" w:eastAsia="宋体" w:cs="宋体"/>
          <w:b w:val="0"/>
          <w:color w:val="auto"/>
          <w:sz w:val="28"/>
          <w:szCs w:val="28"/>
          <w:highlight w:val="none"/>
        </w:rPr>
      </w:pPr>
      <w:bookmarkStart w:id="525" w:name="_Toc511557118"/>
      <w:bookmarkStart w:id="526" w:name="_Toc527028528"/>
      <w:bookmarkStart w:id="527" w:name="_Toc4698"/>
      <w:r>
        <w:rPr>
          <w:rFonts w:hint="eastAsia" w:ascii="宋体" w:hAnsi="宋体" w:eastAsia="宋体" w:cs="宋体"/>
          <w:b w:val="0"/>
          <w:color w:val="auto"/>
          <w:sz w:val="28"/>
          <w:szCs w:val="28"/>
          <w:highlight w:val="none"/>
        </w:rPr>
        <w:t>六、监理人需要自备的工作条件</w:t>
      </w:r>
      <w:bookmarkEnd w:id="524"/>
      <w:bookmarkEnd w:id="525"/>
      <w:bookmarkEnd w:id="526"/>
      <w:bookmarkEnd w:id="527"/>
    </w:p>
    <w:p>
      <w:pPr>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1. 监理人自备的工作手册： </w:t>
      </w:r>
      <w:r>
        <w:rPr>
          <w:rFonts w:hint="eastAsia" w:ascii="宋体" w:hAnsi="宋体" w:cs="宋体"/>
          <w:color w:val="auto"/>
          <w:sz w:val="24"/>
          <w:szCs w:val="24"/>
          <w:highlight w:val="none"/>
          <w:u w:val="single"/>
        </w:rPr>
        <w:t xml:space="preserve">             /                      </w:t>
      </w:r>
    </w:p>
    <w:p>
      <w:pPr>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2. 监理人自备的办公设备： </w:t>
      </w:r>
      <w:r>
        <w:rPr>
          <w:rFonts w:hint="eastAsia" w:ascii="宋体" w:hAnsi="宋体" w:cs="宋体"/>
          <w:color w:val="auto"/>
          <w:sz w:val="24"/>
          <w:szCs w:val="24"/>
          <w:highlight w:val="none"/>
          <w:u w:val="single"/>
        </w:rPr>
        <w:t xml:space="preserve">             /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3. 监理人自备的交通工具： </w:t>
      </w:r>
      <w:r>
        <w:rPr>
          <w:rFonts w:hint="eastAsia" w:ascii="宋体" w:hAnsi="宋体" w:cs="宋体"/>
          <w:color w:val="auto"/>
          <w:sz w:val="24"/>
          <w:szCs w:val="24"/>
          <w:highlight w:val="none"/>
          <w:u w:val="single"/>
        </w:rPr>
        <w:t xml:space="preserve">             /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4. 监理人自备的现场办公设施： </w:t>
      </w:r>
      <w:r>
        <w:rPr>
          <w:rFonts w:hint="eastAsia" w:ascii="宋体" w:hAnsi="宋体" w:cs="宋体"/>
          <w:color w:val="auto"/>
          <w:sz w:val="24"/>
          <w:szCs w:val="24"/>
          <w:highlight w:val="none"/>
          <w:u w:val="single"/>
        </w:rPr>
        <w:t xml:space="preserve">             /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5. 监理人自备的安全设施： </w:t>
      </w:r>
      <w:r>
        <w:rPr>
          <w:rFonts w:hint="eastAsia" w:ascii="宋体" w:hAnsi="宋体" w:cs="宋体"/>
          <w:color w:val="auto"/>
          <w:sz w:val="24"/>
          <w:szCs w:val="24"/>
          <w:highlight w:val="none"/>
          <w:u w:val="single"/>
        </w:rPr>
        <w:t xml:space="preserve">             /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6. 监理人自备的试验检测仪器、设备、工具： </w:t>
      </w:r>
      <w:r>
        <w:rPr>
          <w:rFonts w:hint="eastAsia" w:ascii="宋体" w:hAnsi="宋体" w:cs="宋体"/>
          <w:color w:val="auto"/>
          <w:sz w:val="24"/>
          <w:szCs w:val="24"/>
          <w:highlight w:val="none"/>
          <w:u w:val="single"/>
        </w:rPr>
        <w:t xml:space="preserve">             /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 监理人自备的试验用房、样品用房：</w:t>
      </w:r>
      <w:r>
        <w:rPr>
          <w:rFonts w:hint="eastAsia" w:ascii="宋体" w:hAnsi="宋体" w:cs="宋体"/>
          <w:color w:val="auto"/>
          <w:sz w:val="24"/>
          <w:szCs w:val="24"/>
          <w:highlight w:val="none"/>
          <w:u w:val="single"/>
        </w:rPr>
        <w:t xml:space="preserve">             /               </w:t>
      </w:r>
    </w:p>
    <w:p>
      <w:pPr>
        <w:pStyle w:val="4"/>
        <w:keepNext w:val="0"/>
        <w:keepLines w:val="0"/>
        <w:rPr>
          <w:rFonts w:hint="eastAsia" w:ascii="宋体" w:hAnsi="宋体" w:eastAsia="宋体" w:cs="宋体"/>
          <w:b w:val="0"/>
          <w:color w:val="auto"/>
          <w:sz w:val="28"/>
          <w:szCs w:val="28"/>
          <w:highlight w:val="none"/>
        </w:rPr>
      </w:pPr>
      <w:bookmarkStart w:id="528" w:name="_Toc511557119"/>
      <w:bookmarkStart w:id="529" w:name="_Toc16954"/>
      <w:bookmarkStart w:id="530" w:name="_Toc527028529"/>
      <w:bookmarkStart w:id="531" w:name="_Toc482188646"/>
      <w:r>
        <w:rPr>
          <w:rFonts w:hint="eastAsia" w:ascii="宋体" w:hAnsi="宋体" w:eastAsia="宋体" w:cs="宋体"/>
          <w:b w:val="0"/>
          <w:color w:val="auto"/>
          <w:sz w:val="28"/>
          <w:szCs w:val="28"/>
          <w:highlight w:val="none"/>
        </w:rPr>
        <w:t>七、委托人的其他要求</w:t>
      </w:r>
      <w:bookmarkEnd w:id="528"/>
      <w:bookmarkEnd w:id="529"/>
      <w:bookmarkEnd w:id="530"/>
      <w:bookmarkEnd w:id="531"/>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委托人的其他要求：</w:t>
      </w:r>
      <w:r>
        <w:rPr>
          <w:rFonts w:hint="eastAsia" w:ascii="宋体" w:hAnsi="宋体" w:cs="宋体"/>
          <w:color w:val="auto"/>
          <w:sz w:val="24"/>
          <w:szCs w:val="24"/>
          <w:highlight w:val="none"/>
          <w:u w:val="single"/>
        </w:rPr>
        <w:t>其他要求详见按监理合同。</w:t>
      </w:r>
    </w:p>
    <w:p>
      <w:pPr>
        <w:pStyle w:val="2"/>
        <w:rPr>
          <w:rFonts w:hint="eastAsia" w:ascii="宋体" w:hAnsi="宋体" w:cs="宋体"/>
          <w:color w:val="auto"/>
          <w:highlight w:val="none"/>
        </w:rPr>
      </w:pPr>
      <w:r>
        <w:rPr>
          <w:rFonts w:hint="eastAsia" w:ascii="宋体" w:hAnsi="宋体" w:cs="宋体"/>
          <w:color w:val="auto"/>
          <w:sz w:val="21"/>
          <w:highlight w:val="none"/>
        </w:rPr>
        <w:br w:type="page"/>
      </w:r>
    </w:p>
    <w:p>
      <w:pPr>
        <w:pStyle w:val="3"/>
        <w:keepNext w:val="0"/>
        <w:keepLines w:val="0"/>
        <w:jc w:val="center"/>
        <w:rPr>
          <w:rFonts w:hint="eastAsia" w:ascii="宋体" w:hAnsi="宋体" w:cs="宋体"/>
          <w:color w:val="auto"/>
          <w:highlight w:val="none"/>
        </w:rPr>
      </w:pPr>
      <w:bookmarkStart w:id="532" w:name="_Toc13796"/>
      <w:r>
        <w:rPr>
          <w:rFonts w:hint="eastAsia" w:ascii="宋体" w:hAnsi="宋体" w:cs="宋体"/>
          <w:color w:val="auto"/>
          <w:highlight w:val="none"/>
        </w:rPr>
        <w:t>第三卷</w:t>
      </w:r>
      <w:bookmarkEnd w:id="532"/>
    </w:p>
    <w:p>
      <w:pPr>
        <w:rPr>
          <w:rFonts w:hint="eastAsia" w:ascii="宋体" w:hAnsi="宋体" w:cs="宋体"/>
          <w:color w:val="auto"/>
          <w:highlight w:val="none"/>
        </w:rPr>
      </w:pPr>
    </w:p>
    <w:p>
      <w:pPr>
        <w:spacing w:line="400" w:lineRule="exact"/>
        <w:jc w:val="center"/>
        <w:rPr>
          <w:rFonts w:hint="eastAsia" w:ascii="宋体" w:hAnsi="宋体" w:cs="宋体"/>
          <w:color w:val="auto"/>
          <w:highlight w:val="none"/>
        </w:rPr>
      </w:pPr>
    </w:p>
    <w:p>
      <w:pPr>
        <w:pStyle w:val="3"/>
        <w:keepNext w:val="0"/>
        <w:keepLines w:val="0"/>
        <w:jc w:val="center"/>
        <w:rPr>
          <w:rFonts w:hint="eastAsia" w:ascii="宋体" w:hAnsi="宋体" w:cs="宋体"/>
          <w:color w:val="auto"/>
          <w:highlight w:val="none"/>
        </w:rPr>
      </w:pPr>
      <w:bookmarkStart w:id="533" w:name="_Toc5560"/>
      <w:r>
        <w:rPr>
          <w:rFonts w:hint="eastAsia" w:ascii="宋体" w:hAnsi="宋体" w:cs="宋体"/>
          <w:color w:val="auto"/>
          <w:highlight w:val="none"/>
        </w:rPr>
        <w:t>第六章 投标文件格式</w:t>
      </w:r>
      <w:bookmarkEnd w:id="533"/>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autoSpaceDE w:val="0"/>
        <w:autoSpaceDN w:val="0"/>
        <w:adjustRightInd w:val="0"/>
        <w:jc w:val="center"/>
        <w:rPr>
          <w:rFonts w:hint="eastAsia" w:ascii="宋体" w:hAnsi="宋体" w:cs="宋体"/>
          <w:color w:val="auto"/>
          <w:highlight w:val="none"/>
        </w:rPr>
      </w:pPr>
      <w:r>
        <w:rPr>
          <w:rFonts w:hint="eastAsia" w:ascii="宋体" w:hAnsi="宋体" w:cs="宋体"/>
          <w:color w:val="auto"/>
          <w:highlight w:val="none"/>
        </w:rPr>
        <w:br w:type="page"/>
      </w:r>
    </w:p>
    <w:p>
      <w:pPr>
        <w:autoSpaceDE w:val="0"/>
        <w:autoSpaceDN w:val="0"/>
        <w:adjustRightInd w:val="0"/>
        <w:jc w:val="center"/>
        <w:rPr>
          <w:rFonts w:hint="eastAsia" w:ascii="宋体" w:hAnsi="宋体" w:cs="宋体"/>
          <w:color w:val="auto"/>
          <w:highlight w:val="none"/>
        </w:rPr>
      </w:pPr>
    </w:p>
    <w:p>
      <w:pPr>
        <w:autoSpaceDE w:val="0"/>
        <w:autoSpaceDN w:val="0"/>
        <w:adjustRightInd w:val="0"/>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增城国家级开发区仙村园区西福河堤防达标整治（仙村园区段）及环园路建设工程（水利部分）施工监理</w:t>
      </w:r>
    </w:p>
    <w:p>
      <w:pPr>
        <w:spacing w:line="400" w:lineRule="exact"/>
        <w:rPr>
          <w:rFonts w:hint="eastAsia" w:ascii="宋体" w:hAnsi="宋体" w:cs="宋体"/>
          <w:color w:val="auto"/>
          <w:highlight w:val="none"/>
        </w:rPr>
      </w:pPr>
    </w:p>
    <w:p>
      <w:pPr>
        <w:autoSpaceDE w:val="0"/>
        <w:autoSpaceDN w:val="0"/>
        <w:adjustRightInd w:val="0"/>
        <w:jc w:val="center"/>
        <w:rPr>
          <w:rFonts w:hint="eastAsia" w:ascii="宋体" w:hAnsi="宋体" w:cs="宋体"/>
          <w:b/>
          <w:color w:val="auto"/>
          <w:sz w:val="44"/>
          <w:szCs w:val="44"/>
          <w:highlight w:val="none"/>
        </w:rPr>
      </w:pPr>
    </w:p>
    <w:p>
      <w:pPr>
        <w:rPr>
          <w:rFonts w:hint="eastAsia" w:ascii="宋体" w:hAnsi="宋体" w:cs="宋体"/>
          <w:color w:val="auto"/>
          <w:sz w:val="20"/>
          <w:highlight w:val="none"/>
        </w:rPr>
      </w:pPr>
    </w:p>
    <w:p>
      <w:pPr>
        <w:rPr>
          <w:rFonts w:hint="eastAsia" w:ascii="宋体" w:hAnsi="宋体" w:cs="宋体"/>
          <w:color w:val="auto"/>
          <w:sz w:val="20"/>
          <w:highlight w:val="none"/>
        </w:rPr>
      </w:pPr>
    </w:p>
    <w:p>
      <w:pPr>
        <w:rPr>
          <w:rFonts w:hint="eastAsia" w:ascii="宋体" w:hAnsi="宋体" w:cs="宋体"/>
          <w:color w:val="auto"/>
          <w:sz w:val="20"/>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jc w:val="center"/>
        <w:rPr>
          <w:rFonts w:hint="eastAsia" w:ascii="宋体" w:hAnsi="宋体" w:cs="宋体"/>
          <w:color w:val="auto"/>
          <w:sz w:val="84"/>
          <w:szCs w:val="84"/>
          <w:highlight w:val="none"/>
        </w:rPr>
      </w:pPr>
      <w:r>
        <w:rPr>
          <w:rFonts w:hint="eastAsia" w:ascii="宋体" w:hAnsi="宋体" w:cs="宋体"/>
          <w:color w:val="auto"/>
          <w:sz w:val="84"/>
          <w:szCs w:val="84"/>
          <w:highlight w:val="none"/>
        </w:rPr>
        <w:t>投 标 文 件</w:t>
      </w:r>
    </w:p>
    <w:p>
      <w:pPr>
        <w:jc w:val="center"/>
        <w:rPr>
          <w:rFonts w:hint="eastAsia" w:ascii="宋体" w:hAnsi="宋体" w:cs="宋体"/>
          <w:color w:val="auto"/>
          <w:sz w:val="44"/>
          <w:highlight w:val="none"/>
        </w:rPr>
      </w:pPr>
    </w:p>
    <w:p>
      <w:pPr>
        <w:rPr>
          <w:rFonts w:hint="eastAsia" w:ascii="宋体" w:hAnsi="宋体" w:cs="宋体"/>
          <w:color w:val="auto"/>
          <w:sz w:val="28"/>
          <w:highlight w:val="none"/>
        </w:rPr>
      </w:pPr>
    </w:p>
    <w:p>
      <w:pPr>
        <w:rPr>
          <w:rFonts w:hint="eastAsia" w:ascii="宋体" w:hAnsi="宋体" w:cs="宋体"/>
          <w:color w:val="auto"/>
          <w:sz w:val="28"/>
          <w:highlight w:val="none"/>
        </w:rPr>
      </w:pPr>
    </w:p>
    <w:p>
      <w:pPr>
        <w:rPr>
          <w:rFonts w:hint="eastAsia" w:ascii="宋体" w:hAnsi="宋体" w:cs="宋体"/>
          <w:color w:val="auto"/>
          <w:sz w:val="28"/>
          <w:highlight w:val="none"/>
        </w:rPr>
      </w:pPr>
    </w:p>
    <w:p>
      <w:pPr>
        <w:pStyle w:val="2"/>
        <w:rPr>
          <w:rFonts w:hint="eastAsia"/>
          <w:color w:val="auto"/>
          <w:highlight w:val="none"/>
        </w:rPr>
      </w:pPr>
    </w:p>
    <w:p>
      <w:pPr>
        <w:rPr>
          <w:rFonts w:hint="eastAsia" w:ascii="宋体" w:hAnsi="宋体" w:cs="宋体"/>
          <w:color w:val="auto"/>
          <w:sz w:val="28"/>
          <w:highlight w:val="none"/>
        </w:rPr>
      </w:pPr>
    </w:p>
    <w:p>
      <w:pPr>
        <w:rPr>
          <w:rFonts w:hint="eastAsia" w:ascii="宋体" w:hAnsi="宋体" w:cs="宋体"/>
          <w:color w:val="auto"/>
          <w:sz w:val="28"/>
          <w:highlight w:val="none"/>
        </w:rPr>
      </w:pPr>
    </w:p>
    <w:p>
      <w:pPr>
        <w:rPr>
          <w:rFonts w:hint="eastAsia" w:ascii="宋体" w:hAnsi="宋体" w:cs="宋体"/>
          <w:color w:val="auto"/>
          <w:sz w:val="28"/>
          <w:highlight w:val="none"/>
        </w:rPr>
      </w:pPr>
    </w:p>
    <w:p>
      <w:pPr>
        <w:rPr>
          <w:rFonts w:hint="eastAsia" w:ascii="宋体" w:hAnsi="宋体" w:cs="宋体"/>
          <w:color w:val="auto"/>
          <w:sz w:val="28"/>
          <w:highlight w:val="none"/>
        </w:rPr>
      </w:pPr>
    </w:p>
    <w:p>
      <w:pPr>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spacing w:line="360" w:lineRule="auto"/>
        <w:ind w:firstLine="1120" w:firstLineChars="400"/>
        <w:rPr>
          <w:rFonts w:hint="eastAsia" w:ascii="宋体" w:hAnsi="宋体" w:cs="宋体"/>
          <w:color w:val="auto"/>
          <w:sz w:val="28"/>
          <w:highlight w:val="none"/>
          <w:u w:val="single"/>
        </w:rPr>
      </w:pPr>
      <w:r>
        <w:rPr>
          <w:rFonts w:hint="eastAsia" w:ascii="宋体" w:hAnsi="宋体" w:cs="宋体"/>
          <w:color w:val="auto"/>
          <w:sz w:val="28"/>
          <w:highlight w:val="none"/>
        </w:rPr>
        <w:t>投标人：</w:t>
      </w:r>
      <w:r>
        <w:rPr>
          <w:rFonts w:hint="eastAsia" w:ascii="宋体" w:hAnsi="宋体" w:cs="宋体"/>
          <w:color w:val="auto"/>
          <w:highlight w:val="none"/>
          <w:u w:val="single"/>
        </w:rPr>
        <w:t xml:space="preserve">                                            </w:t>
      </w:r>
      <w:r>
        <w:rPr>
          <w:rFonts w:hint="eastAsia" w:ascii="宋体" w:hAnsi="宋体" w:cs="宋体"/>
          <w:color w:val="auto"/>
          <w:sz w:val="28"/>
          <w:highlight w:val="none"/>
        </w:rPr>
        <w:t>（盖单位章）</w:t>
      </w:r>
    </w:p>
    <w:p>
      <w:pPr>
        <w:spacing w:line="360" w:lineRule="auto"/>
        <w:ind w:firstLine="1120" w:firstLineChars="400"/>
        <w:jc w:val="left"/>
        <w:rPr>
          <w:rFonts w:hint="eastAsia" w:ascii="宋体" w:hAnsi="宋体" w:cs="宋体"/>
          <w:color w:val="auto"/>
          <w:sz w:val="28"/>
          <w:highlight w:val="none"/>
        </w:rPr>
      </w:pPr>
      <w:r>
        <w:rPr>
          <w:rFonts w:hint="eastAsia" w:ascii="宋体" w:hAnsi="宋体" w:cs="宋体"/>
          <w:color w:val="auto"/>
          <w:sz w:val="28"/>
          <w:highlight w:val="none"/>
        </w:rPr>
        <w:t>法定代表人或其委托代理人：</w:t>
      </w:r>
      <w:r>
        <w:rPr>
          <w:rFonts w:hint="eastAsia" w:ascii="宋体" w:hAnsi="宋体" w:cs="宋体"/>
          <w:color w:val="auto"/>
          <w:highlight w:val="none"/>
          <w:u w:val="single"/>
        </w:rPr>
        <w:t xml:space="preserve">       </w:t>
      </w:r>
      <w:r>
        <w:rPr>
          <w:rFonts w:hint="eastAsia" w:ascii="宋体" w:hAnsi="宋体" w:cs="宋体"/>
          <w:color w:val="auto"/>
          <w:sz w:val="28"/>
          <w:highlight w:val="none"/>
        </w:rPr>
        <w:t>（签字）</w:t>
      </w:r>
    </w:p>
    <w:p>
      <w:pPr>
        <w:jc w:val="center"/>
        <w:rPr>
          <w:rFonts w:hint="eastAsia" w:ascii="宋体" w:hAnsi="宋体" w:cs="宋体"/>
          <w:color w:val="auto"/>
          <w:sz w:val="28"/>
          <w:highlight w:val="none"/>
        </w:rPr>
      </w:pPr>
    </w:p>
    <w:p>
      <w:pPr>
        <w:spacing w:line="400" w:lineRule="exact"/>
        <w:jc w:val="center"/>
        <w:rPr>
          <w:rFonts w:hint="eastAsia" w:ascii="宋体" w:hAnsi="宋体" w:cs="宋体"/>
          <w:color w:val="auto"/>
          <w:sz w:val="28"/>
          <w:highlight w:val="none"/>
        </w:rPr>
      </w:pPr>
      <w:r>
        <w:rPr>
          <w:rFonts w:hint="eastAsia" w:ascii="宋体" w:hAnsi="宋体" w:cs="宋体"/>
          <w:color w:val="auto"/>
          <w:highlight w:val="none"/>
          <w:u w:val="single"/>
        </w:rPr>
        <w:t xml:space="preserve">       </w:t>
      </w:r>
      <w:r>
        <w:rPr>
          <w:rFonts w:hint="eastAsia" w:ascii="宋体" w:hAnsi="宋体" w:cs="宋体"/>
          <w:color w:val="auto"/>
          <w:sz w:val="28"/>
          <w:highlight w:val="none"/>
        </w:rPr>
        <w:t>年</w:t>
      </w:r>
      <w:r>
        <w:rPr>
          <w:rFonts w:hint="eastAsia" w:ascii="宋体" w:hAnsi="宋体" w:cs="宋体"/>
          <w:color w:val="auto"/>
          <w:highlight w:val="none"/>
          <w:u w:val="single"/>
        </w:rPr>
        <w:t xml:space="preserve">       </w:t>
      </w:r>
      <w:r>
        <w:rPr>
          <w:rFonts w:hint="eastAsia" w:ascii="宋体" w:hAnsi="宋体" w:cs="宋体"/>
          <w:color w:val="auto"/>
          <w:sz w:val="28"/>
          <w:highlight w:val="none"/>
        </w:rPr>
        <w:t>月</w:t>
      </w:r>
      <w:r>
        <w:rPr>
          <w:rFonts w:hint="eastAsia" w:ascii="宋体" w:hAnsi="宋体" w:cs="宋体"/>
          <w:color w:val="auto"/>
          <w:highlight w:val="none"/>
          <w:u w:val="single"/>
        </w:rPr>
        <w:t xml:space="preserve">       </w:t>
      </w:r>
      <w:r>
        <w:rPr>
          <w:rFonts w:hint="eastAsia" w:ascii="宋体" w:hAnsi="宋体" w:cs="宋体"/>
          <w:color w:val="auto"/>
          <w:sz w:val="28"/>
          <w:highlight w:val="none"/>
        </w:rPr>
        <w:t>日</w:t>
      </w:r>
    </w:p>
    <w:p>
      <w:pPr>
        <w:pStyle w:val="4"/>
        <w:keepNext w:val="0"/>
        <w:keepLines w:val="0"/>
        <w:jc w:val="center"/>
        <w:rPr>
          <w:rFonts w:hint="eastAsia" w:ascii="宋体" w:hAnsi="宋体" w:eastAsia="宋体" w:cs="宋体"/>
          <w:color w:val="auto"/>
          <w:highlight w:val="none"/>
        </w:rPr>
      </w:pPr>
    </w:p>
    <w:p>
      <w:pPr>
        <w:pStyle w:val="4"/>
        <w:keepNext w:val="0"/>
        <w:keepLines w:val="0"/>
        <w:jc w:val="center"/>
        <w:rPr>
          <w:rFonts w:hint="eastAsia" w:ascii="宋体" w:hAnsi="宋体" w:eastAsia="宋体" w:cs="宋体"/>
          <w:color w:val="auto"/>
          <w:highlight w:val="none"/>
        </w:rPr>
      </w:pPr>
      <w:bookmarkStart w:id="534" w:name="_Toc14258"/>
      <w:r>
        <w:rPr>
          <w:rFonts w:hint="eastAsia" w:ascii="宋体" w:hAnsi="宋体" w:eastAsia="宋体" w:cs="宋体"/>
          <w:color w:val="auto"/>
          <w:highlight w:val="none"/>
        </w:rPr>
        <w:br w:type="page"/>
      </w:r>
      <w:r>
        <w:rPr>
          <w:rFonts w:hint="eastAsia" w:ascii="宋体" w:hAnsi="宋体" w:eastAsia="宋体" w:cs="宋体"/>
          <w:color w:val="auto"/>
          <w:highlight w:val="none"/>
        </w:rPr>
        <w:t>目   录</w:t>
      </w:r>
      <w:bookmarkEnd w:id="534"/>
    </w:p>
    <w:p>
      <w:pPr>
        <w:spacing w:line="540" w:lineRule="exact"/>
        <w:rPr>
          <w:rFonts w:hint="eastAsia" w:ascii="宋体" w:hAnsi="宋体" w:cs="宋体"/>
          <w:color w:val="auto"/>
          <w:highlight w:val="none"/>
        </w:rPr>
      </w:pPr>
      <w:r>
        <w:rPr>
          <w:rFonts w:hint="eastAsia" w:ascii="宋体" w:hAnsi="宋体" w:cs="宋体"/>
          <w:color w:val="auto"/>
          <w:highlight w:val="none"/>
        </w:rPr>
        <w:t>一、投标函及投标函附录</w:t>
      </w:r>
    </w:p>
    <w:p>
      <w:pPr>
        <w:spacing w:line="540" w:lineRule="exact"/>
        <w:rPr>
          <w:rFonts w:hint="eastAsia" w:ascii="宋体" w:hAnsi="宋体" w:cs="宋体"/>
          <w:color w:val="auto"/>
          <w:highlight w:val="none"/>
        </w:rPr>
      </w:pPr>
      <w:r>
        <w:rPr>
          <w:rFonts w:hint="eastAsia" w:ascii="宋体" w:hAnsi="宋体" w:cs="宋体"/>
          <w:color w:val="auto"/>
          <w:highlight w:val="none"/>
        </w:rPr>
        <w:t>二、法定代表人身份证明</w:t>
      </w:r>
    </w:p>
    <w:p>
      <w:pPr>
        <w:spacing w:line="540" w:lineRule="exact"/>
        <w:rPr>
          <w:rFonts w:hint="eastAsia" w:ascii="宋体" w:hAnsi="宋体" w:cs="宋体"/>
          <w:color w:val="auto"/>
          <w:highlight w:val="none"/>
        </w:rPr>
      </w:pPr>
      <w:r>
        <w:rPr>
          <w:rFonts w:hint="eastAsia" w:ascii="宋体" w:hAnsi="宋体" w:cs="宋体"/>
          <w:color w:val="auto"/>
          <w:highlight w:val="none"/>
        </w:rPr>
        <w:t>三、授权委托书（适用于有委托代理人的情况）</w:t>
      </w:r>
    </w:p>
    <w:p>
      <w:pPr>
        <w:spacing w:line="540" w:lineRule="exact"/>
        <w:rPr>
          <w:rFonts w:hint="eastAsia" w:ascii="宋体" w:hAnsi="宋体" w:cs="宋体"/>
          <w:strike/>
          <w:color w:val="auto"/>
          <w:highlight w:val="none"/>
        </w:rPr>
      </w:pPr>
      <w:bookmarkStart w:id="535" w:name="_Toc11582_WPSOffice_Level1"/>
      <w:bookmarkStart w:id="536" w:name="_Toc7039"/>
      <w:bookmarkStart w:id="537" w:name="_Toc369531691"/>
      <w:bookmarkStart w:id="538" w:name="_Toc352691655"/>
      <w:r>
        <w:rPr>
          <w:rFonts w:hint="eastAsia" w:ascii="宋体" w:hAnsi="宋体" w:cs="宋体"/>
          <w:strike/>
          <w:color w:val="auto"/>
          <w:highlight w:val="none"/>
        </w:rPr>
        <w:t>四、投标保证金</w:t>
      </w:r>
      <w:bookmarkEnd w:id="535"/>
    </w:p>
    <w:p>
      <w:pPr>
        <w:spacing w:line="540" w:lineRule="exact"/>
        <w:rPr>
          <w:rFonts w:hint="eastAsia" w:ascii="宋体" w:hAnsi="宋体" w:cs="宋体"/>
          <w:color w:val="auto"/>
          <w:highlight w:val="none"/>
        </w:rPr>
      </w:pPr>
      <w:bookmarkStart w:id="539" w:name="_Toc31872_WPSOffice_Level1"/>
      <w:r>
        <w:rPr>
          <w:rFonts w:hint="eastAsia" w:ascii="宋体" w:hAnsi="宋体" w:cs="宋体"/>
          <w:color w:val="auto"/>
          <w:highlight w:val="none"/>
        </w:rPr>
        <w:t>五、资格审查资料</w:t>
      </w:r>
      <w:bookmarkEnd w:id="539"/>
    </w:p>
    <w:p>
      <w:pPr>
        <w:spacing w:line="540" w:lineRule="exact"/>
        <w:rPr>
          <w:rFonts w:hint="eastAsia" w:ascii="宋体" w:hAnsi="宋体" w:cs="宋体"/>
          <w:color w:val="auto"/>
          <w:highlight w:val="none"/>
        </w:rPr>
      </w:pPr>
      <w:bookmarkStart w:id="540" w:name="_Toc26650_WPSOffice_Level1"/>
      <w:r>
        <w:rPr>
          <w:rFonts w:hint="eastAsia" w:ascii="宋体" w:hAnsi="宋体" w:cs="宋体"/>
          <w:color w:val="auto"/>
          <w:highlight w:val="none"/>
        </w:rPr>
        <w:t>六、监理大纲</w:t>
      </w:r>
      <w:bookmarkEnd w:id="540"/>
    </w:p>
    <w:p>
      <w:pPr>
        <w:spacing w:line="540" w:lineRule="exact"/>
        <w:rPr>
          <w:rFonts w:hint="eastAsia" w:ascii="宋体" w:hAnsi="宋体" w:cs="宋体"/>
          <w:color w:val="auto"/>
          <w:highlight w:val="none"/>
        </w:rPr>
      </w:pPr>
      <w:bookmarkStart w:id="541" w:name="_Toc976_WPSOffice_Level1"/>
      <w:r>
        <w:rPr>
          <w:rFonts w:hint="eastAsia" w:ascii="宋体" w:hAnsi="宋体" w:cs="宋体"/>
          <w:color w:val="auto"/>
          <w:highlight w:val="none"/>
        </w:rPr>
        <w:t>七、其他资料</w:t>
      </w:r>
      <w:bookmarkEnd w:id="541"/>
    </w:p>
    <w:p>
      <w:pPr>
        <w:spacing w:line="540" w:lineRule="exact"/>
        <w:rPr>
          <w:rFonts w:hint="eastAsia" w:ascii="宋体" w:hAnsi="宋体" w:cs="宋体"/>
          <w:color w:val="auto"/>
          <w:sz w:val="20"/>
          <w:highlight w:val="none"/>
        </w:rPr>
      </w:pPr>
    </w:p>
    <w:p>
      <w:pPr>
        <w:spacing w:line="540" w:lineRule="exact"/>
        <w:rPr>
          <w:rFonts w:hint="eastAsia" w:ascii="宋体" w:hAnsi="宋体" w:cs="宋体"/>
          <w:color w:val="auto"/>
          <w:sz w:val="20"/>
          <w:highlight w:val="none"/>
        </w:rPr>
      </w:pPr>
    </w:p>
    <w:p>
      <w:pPr>
        <w:spacing w:line="540" w:lineRule="exact"/>
        <w:rPr>
          <w:rFonts w:hint="eastAsia" w:ascii="宋体" w:hAnsi="宋体" w:cs="宋体"/>
          <w:color w:val="auto"/>
          <w:sz w:val="20"/>
          <w:highlight w:val="none"/>
        </w:rPr>
      </w:pPr>
    </w:p>
    <w:bookmarkEnd w:id="536"/>
    <w:bookmarkEnd w:id="537"/>
    <w:bookmarkEnd w:id="538"/>
    <w:p>
      <w:pPr>
        <w:pStyle w:val="4"/>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542" w:name="_Toc30612"/>
      <w:r>
        <w:rPr>
          <w:rFonts w:hint="eastAsia" w:ascii="宋体" w:hAnsi="宋体" w:eastAsia="宋体" w:cs="宋体"/>
          <w:color w:val="auto"/>
          <w:highlight w:val="none"/>
        </w:rPr>
        <w:t>一、投标</w:t>
      </w:r>
      <w:bookmarkStart w:id="543" w:name="_Toc352691656"/>
      <w:bookmarkStart w:id="544" w:name="_Toc6931"/>
      <w:bookmarkStart w:id="545" w:name="_Toc369531692"/>
      <w:r>
        <w:rPr>
          <w:rFonts w:hint="eastAsia" w:ascii="宋体" w:hAnsi="宋体" w:eastAsia="宋体" w:cs="宋体"/>
          <w:color w:val="auto"/>
          <w:highlight w:val="none"/>
        </w:rPr>
        <w:t>函及投标函附录</w:t>
      </w:r>
      <w:bookmarkEnd w:id="542"/>
    </w:p>
    <w:bookmarkEnd w:id="543"/>
    <w:bookmarkEnd w:id="544"/>
    <w:bookmarkEnd w:id="545"/>
    <w:p>
      <w:pPr>
        <w:pStyle w:val="5"/>
        <w:keepNext w:val="0"/>
        <w:keepLines w:val="0"/>
        <w:spacing w:before="0" w:after="0"/>
        <w:ind w:firstLine="137"/>
        <w:jc w:val="center"/>
        <w:rPr>
          <w:rFonts w:hint="eastAsia" w:ascii="宋体" w:hAnsi="宋体" w:eastAsia="宋体" w:cs="宋体"/>
          <w:color w:val="auto"/>
          <w:highlight w:val="none"/>
        </w:rPr>
      </w:pPr>
      <w:bookmarkStart w:id="546" w:name="_Toc359594235"/>
      <w:bookmarkStart w:id="547" w:name="_Toc482188651"/>
      <w:bookmarkStart w:id="548" w:name="_Toc370676426"/>
      <w:bookmarkStart w:id="549" w:name="_Toc385943065"/>
      <w:bookmarkStart w:id="550" w:name="_Toc391394111"/>
      <w:bookmarkStart w:id="551" w:name="_Toc18410"/>
      <w:r>
        <w:rPr>
          <w:rFonts w:hint="eastAsia" w:ascii="宋体" w:hAnsi="宋体" w:eastAsia="宋体" w:cs="宋体"/>
          <w:color w:val="auto"/>
          <w:highlight w:val="none"/>
        </w:rPr>
        <w:t>（一）投标函</w:t>
      </w:r>
      <w:bookmarkEnd w:id="546"/>
      <w:bookmarkEnd w:id="547"/>
      <w:bookmarkEnd w:id="548"/>
      <w:bookmarkEnd w:id="549"/>
      <w:bookmarkEnd w:id="550"/>
      <w:bookmarkEnd w:id="551"/>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（招标人名称）：</w:t>
      </w:r>
    </w:p>
    <w:p>
      <w:pPr>
        <w:spacing w:line="380" w:lineRule="exact"/>
        <w:ind w:firstLine="405"/>
        <w:jc w:val="left"/>
        <w:rPr>
          <w:rFonts w:hint="eastAsia" w:ascii="宋体" w:hAnsi="宋体" w:cs="宋体"/>
          <w:color w:val="auto"/>
          <w:szCs w:val="21"/>
          <w:highlight w:val="none"/>
        </w:rPr>
      </w:pPr>
      <w:r>
        <w:rPr>
          <w:rFonts w:hint="eastAsia" w:ascii="宋体" w:hAnsi="宋体" w:cs="宋体"/>
          <w:color w:val="auto"/>
          <w:szCs w:val="21"/>
          <w:highlight w:val="none"/>
        </w:rPr>
        <w:t>1．我方已仔细研究了</w:t>
      </w:r>
      <w:r>
        <w:rPr>
          <w:rFonts w:hint="eastAsia" w:ascii="宋体" w:hAnsi="宋体" w:cs="宋体"/>
          <w:color w:val="auto"/>
          <w:szCs w:val="21"/>
          <w:highlight w:val="none"/>
          <w:u w:val="single"/>
        </w:rPr>
        <w:t>增城国家级开发区仙村园区西福河堤防达标整治（仙村园区段）及环园路建设工程（水利部分）施工监理</w:t>
      </w:r>
      <w:r>
        <w:rPr>
          <w:rFonts w:hint="eastAsia" w:ascii="宋体" w:hAnsi="宋体" w:cs="宋体"/>
          <w:color w:val="auto"/>
          <w:szCs w:val="21"/>
          <w:highlight w:val="none"/>
        </w:rPr>
        <w:t>招标项目招标文件的全部内容，愿意以人民币</w:t>
      </w:r>
      <w:r>
        <w:rPr>
          <w:rFonts w:hint="eastAsia" w:ascii="宋体" w:hAnsi="宋体" w:cs="宋体"/>
          <w:color w:val="auto"/>
          <w:szCs w:val="21"/>
          <w:highlight w:val="none"/>
          <w:u w:val="single"/>
        </w:rPr>
        <w:t xml:space="preserve">       （大写）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元）（投标下浮率为：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）的投标总报价（其中，增值税税率为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），监理服务期限：</w:t>
      </w:r>
      <w:r>
        <w:rPr>
          <w:rFonts w:hint="eastAsia" w:ascii="宋体" w:hAnsi="宋体" w:cs="宋体"/>
          <w:color w:val="auto"/>
          <w:szCs w:val="21"/>
          <w:highlight w:val="none"/>
          <w:u w:val="single"/>
        </w:rPr>
        <w:t>按招标文件要求</w:t>
      </w:r>
      <w:r>
        <w:rPr>
          <w:rFonts w:hint="eastAsia" w:ascii="宋体" w:hAnsi="宋体" w:cs="宋体"/>
          <w:color w:val="auto"/>
          <w:szCs w:val="21"/>
          <w:highlight w:val="none"/>
        </w:rPr>
        <w:t>，按合同约定完成监理工作。</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 我方的投标文件包括下列内容：</w:t>
      </w:r>
    </w:p>
    <w:p>
      <w:pPr>
        <w:snapToGrid w:val="0"/>
        <w:spacing w:line="380" w:lineRule="exact"/>
        <w:ind w:firstLine="405"/>
        <w:rPr>
          <w:rFonts w:hint="eastAsia" w:ascii="宋体" w:hAnsi="宋体" w:cs="宋体"/>
          <w:color w:val="auto"/>
          <w:szCs w:val="21"/>
          <w:highlight w:val="none"/>
        </w:rPr>
      </w:pPr>
      <w:r>
        <w:rPr>
          <w:rFonts w:hint="eastAsia" w:ascii="宋体" w:hAnsi="宋体" w:cs="宋体"/>
          <w:color w:val="auto"/>
          <w:szCs w:val="21"/>
          <w:highlight w:val="none"/>
        </w:rPr>
        <w:t>（1）投标函</w:t>
      </w:r>
      <w:r>
        <w:rPr>
          <w:rFonts w:hint="eastAsia" w:ascii="宋体" w:hAnsi="宋体" w:cs="宋体"/>
          <w:color w:val="auto"/>
          <w:highlight w:val="none"/>
        </w:rPr>
        <w:t>及投标函附录</w:t>
      </w:r>
      <w:r>
        <w:rPr>
          <w:rFonts w:hint="eastAsia" w:ascii="宋体" w:hAnsi="宋体" w:cs="宋体"/>
          <w:color w:val="auto"/>
          <w:szCs w:val="21"/>
          <w:highlight w:val="none"/>
        </w:rPr>
        <w:t>；</w:t>
      </w:r>
    </w:p>
    <w:p>
      <w:pPr>
        <w:snapToGrid w:val="0"/>
        <w:spacing w:line="380" w:lineRule="exact"/>
        <w:ind w:firstLine="405"/>
        <w:rPr>
          <w:rFonts w:hint="eastAsia" w:ascii="宋体" w:hAnsi="宋体" w:cs="宋体"/>
          <w:color w:val="auto"/>
          <w:szCs w:val="21"/>
          <w:highlight w:val="none"/>
        </w:rPr>
      </w:pPr>
      <w:r>
        <w:rPr>
          <w:rFonts w:hint="eastAsia" w:ascii="宋体" w:hAnsi="宋体" w:cs="宋体"/>
          <w:color w:val="auto"/>
          <w:szCs w:val="21"/>
          <w:highlight w:val="none"/>
        </w:rPr>
        <w:t>（2）法定代表人身份证明</w:t>
      </w:r>
    </w:p>
    <w:p>
      <w:pPr>
        <w:snapToGrid w:val="0"/>
        <w:spacing w:line="380" w:lineRule="exact"/>
        <w:ind w:firstLine="405"/>
        <w:rPr>
          <w:rFonts w:hint="eastAsia" w:ascii="宋体" w:hAnsi="宋体" w:cs="宋体"/>
          <w:color w:val="auto"/>
          <w:szCs w:val="21"/>
          <w:highlight w:val="none"/>
        </w:rPr>
      </w:pPr>
      <w:r>
        <w:rPr>
          <w:rFonts w:hint="eastAsia" w:ascii="宋体" w:hAnsi="宋体" w:cs="宋体"/>
          <w:color w:val="auto"/>
          <w:szCs w:val="21"/>
          <w:highlight w:val="none"/>
        </w:rPr>
        <w:t>（3）授权委托书</w:t>
      </w:r>
      <w:r>
        <w:rPr>
          <w:rFonts w:hint="eastAsia" w:ascii="宋体" w:hAnsi="宋体" w:cs="宋体"/>
          <w:color w:val="auto"/>
          <w:highlight w:val="none"/>
        </w:rPr>
        <w:t>（适用于有委托代理人的情况）</w:t>
      </w:r>
      <w:r>
        <w:rPr>
          <w:rFonts w:hint="eastAsia" w:ascii="宋体" w:hAnsi="宋体" w:cs="宋体"/>
          <w:color w:val="auto"/>
          <w:szCs w:val="21"/>
          <w:highlight w:val="none"/>
        </w:rPr>
        <w:t>；</w:t>
      </w:r>
    </w:p>
    <w:p>
      <w:pPr>
        <w:snapToGrid w:val="0"/>
        <w:spacing w:line="380" w:lineRule="exact"/>
        <w:ind w:firstLine="405"/>
        <w:rPr>
          <w:rFonts w:hint="eastAsia" w:ascii="宋体" w:hAnsi="宋体" w:cs="宋体"/>
          <w:strike/>
          <w:color w:val="auto"/>
          <w:szCs w:val="21"/>
          <w:highlight w:val="none"/>
        </w:rPr>
      </w:pPr>
      <w:r>
        <w:rPr>
          <w:rFonts w:hint="eastAsia" w:ascii="宋体" w:hAnsi="宋体" w:cs="宋体"/>
          <w:strike/>
          <w:color w:val="auto"/>
          <w:szCs w:val="21"/>
          <w:highlight w:val="none"/>
        </w:rPr>
        <w:t>（4）投标保证金；</w:t>
      </w:r>
    </w:p>
    <w:p>
      <w:pPr>
        <w:snapToGrid w:val="0"/>
        <w:spacing w:line="380" w:lineRule="exact"/>
        <w:ind w:firstLine="405"/>
        <w:rPr>
          <w:rFonts w:hint="eastAsia" w:ascii="宋体" w:hAnsi="宋体" w:cs="宋体"/>
          <w:color w:val="auto"/>
          <w:szCs w:val="21"/>
          <w:highlight w:val="none"/>
        </w:rPr>
      </w:pPr>
      <w:r>
        <w:rPr>
          <w:rFonts w:hint="eastAsia" w:ascii="宋体" w:hAnsi="宋体" w:cs="宋体"/>
          <w:color w:val="auto"/>
          <w:szCs w:val="21"/>
          <w:highlight w:val="none"/>
        </w:rPr>
        <w:t>（5）资格审查资料；</w:t>
      </w:r>
    </w:p>
    <w:p>
      <w:pPr>
        <w:snapToGrid w:val="0"/>
        <w:spacing w:line="380" w:lineRule="exact"/>
        <w:ind w:firstLine="405"/>
        <w:rPr>
          <w:rFonts w:hint="eastAsia" w:ascii="宋体" w:hAnsi="宋体" w:cs="宋体"/>
          <w:color w:val="auto"/>
          <w:szCs w:val="21"/>
          <w:highlight w:val="none"/>
        </w:rPr>
      </w:pPr>
      <w:r>
        <w:rPr>
          <w:rFonts w:hint="eastAsia" w:ascii="宋体" w:hAnsi="宋体" w:cs="宋体"/>
          <w:color w:val="auto"/>
          <w:szCs w:val="21"/>
          <w:highlight w:val="none"/>
        </w:rPr>
        <w:t>（6）监理大纲；</w:t>
      </w:r>
    </w:p>
    <w:p>
      <w:pPr>
        <w:snapToGrid w:val="0"/>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（7）其他资料。</w:t>
      </w:r>
    </w:p>
    <w:p>
      <w:pPr>
        <w:snapToGrid w:val="0"/>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投标文件的上述组成部分如存在内容不一致的，以投标函为准。</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3．我方承诺在招标文件规定的投标有效期内不撤销投标文件。</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4．如我方中标，我方承诺：</w:t>
      </w:r>
    </w:p>
    <w:p>
      <w:pPr>
        <w:spacing w:line="380" w:lineRule="exact"/>
        <w:ind w:left="945" w:leftChars="400" w:hanging="105" w:hangingChars="50"/>
        <w:rPr>
          <w:rFonts w:hint="eastAsia" w:ascii="宋体" w:hAnsi="宋体" w:cs="宋体"/>
          <w:color w:val="auto"/>
          <w:szCs w:val="21"/>
          <w:highlight w:val="none"/>
        </w:rPr>
      </w:pPr>
      <w:r>
        <w:rPr>
          <w:rFonts w:hint="eastAsia" w:ascii="宋体" w:hAnsi="宋体" w:cs="宋体"/>
          <w:color w:val="auto"/>
          <w:szCs w:val="21"/>
          <w:highlight w:val="none"/>
        </w:rPr>
        <w:t>（1）在收到中标通知书后，在中标通知书规定的期限内与你方签订合同；</w:t>
      </w:r>
    </w:p>
    <w:p>
      <w:pPr>
        <w:spacing w:line="380" w:lineRule="exact"/>
        <w:ind w:left="945" w:leftChars="400" w:hanging="105" w:hangingChars="50"/>
        <w:rPr>
          <w:rFonts w:hint="eastAsia" w:ascii="宋体" w:hAnsi="宋体" w:cs="宋体"/>
          <w:color w:val="auto"/>
          <w:szCs w:val="21"/>
          <w:highlight w:val="none"/>
        </w:rPr>
      </w:pPr>
      <w:r>
        <w:rPr>
          <w:rFonts w:hint="eastAsia" w:ascii="宋体" w:hAnsi="宋体" w:cs="宋体"/>
          <w:color w:val="auto"/>
          <w:szCs w:val="21"/>
          <w:highlight w:val="none"/>
        </w:rPr>
        <w:t>（2）在签订合同时不向你方提出附加条件；</w:t>
      </w:r>
    </w:p>
    <w:p>
      <w:pPr>
        <w:spacing w:line="380" w:lineRule="exact"/>
        <w:ind w:left="945" w:leftChars="400" w:hanging="105" w:hangingChars="50"/>
        <w:rPr>
          <w:rFonts w:hint="eastAsia" w:ascii="宋体" w:hAnsi="宋体" w:cs="宋体"/>
          <w:strike/>
          <w:color w:val="auto"/>
          <w:szCs w:val="21"/>
          <w:highlight w:val="none"/>
        </w:rPr>
      </w:pPr>
      <w:r>
        <w:rPr>
          <w:rFonts w:hint="eastAsia" w:ascii="宋体" w:hAnsi="宋体" w:cs="宋体"/>
          <w:strike/>
          <w:color w:val="auto"/>
          <w:szCs w:val="21"/>
          <w:highlight w:val="none"/>
        </w:rPr>
        <w:t>（3）按照招标文件要求提交履约保证金；</w:t>
      </w:r>
      <w:bookmarkStart w:id="552" w:name="_Toc352691658"/>
      <w:bookmarkStart w:id="553" w:name="_Toc369531694"/>
      <w:bookmarkStart w:id="554" w:name="_Toc1187"/>
    </w:p>
    <w:p>
      <w:pPr>
        <w:spacing w:line="380" w:lineRule="exact"/>
        <w:ind w:left="945" w:leftChars="400" w:hanging="105" w:hangingChars="50"/>
        <w:rPr>
          <w:rFonts w:hint="eastAsia" w:ascii="宋体" w:hAnsi="宋体" w:cs="宋体"/>
          <w:color w:val="auto"/>
          <w:szCs w:val="21"/>
          <w:highlight w:val="none"/>
        </w:rPr>
      </w:pPr>
      <w:r>
        <w:rPr>
          <w:rFonts w:hint="eastAsia" w:ascii="宋体" w:hAnsi="宋体" w:cs="宋体"/>
          <w:color w:val="auto"/>
          <w:szCs w:val="21"/>
          <w:highlight w:val="none"/>
        </w:rPr>
        <w:t>（4）在合</w:t>
      </w:r>
      <w:bookmarkEnd w:id="552"/>
      <w:bookmarkEnd w:id="553"/>
      <w:bookmarkEnd w:id="554"/>
      <w:r>
        <w:rPr>
          <w:rFonts w:hint="eastAsia" w:ascii="宋体" w:hAnsi="宋体" w:cs="宋体"/>
          <w:color w:val="auto"/>
          <w:szCs w:val="21"/>
          <w:highlight w:val="none"/>
        </w:rPr>
        <w:t>同约定的期限内完成合同规定的全部义务。</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5．我方在此声明，所递交的投标文件及有关资料内容完整、真实和准确，且不存在第二章“投标人须知”第1.4.3项规定的任何一种情形。</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（其他补充说明）。</w:t>
      </w:r>
      <w:bookmarkEnd w:id="476"/>
      <w:bookmarkEnd w:id="477"/>
      <w:bookmarkEnd w:id="478"/>
      <w:bookmarkEnd w:id="479"/>
      <w:bookmarkEnd w:id="480"/>
      <w:bookmarkEnd w:id="481"/>
      <w:bookmarkEnd w:id="482"/>
      <w:bookmarkEnd w:id="483"/>
      <w:bookmarkEnd w:id="484"/>
      <w:bookmarkStart w:id="555" w:name="_Toc352691660"/>
      <w:bookmarkEnd w:id="555"/>
      <w:bookmarkStart w:id="556" w:name="_Toc16568"/>
      <w:bookmarkEnd w:id="556"/>
      <w:bookmarkStart w:id="557" w:name="_Toc352691659"/>
      <w:bookmarkEnd w:id="557"/>
      <w:bookmarkStart w:id="558" w:name="_Toc16824"/>
      <w:bookmarkEnd w:id="558"/>
      <w:bookmarkStart w:id="559" w:name="_Toc369531696"/>
      <w:bookmarkEnd w:id="559"/>
      <w:bookmarkStart w:id="560" w:name="_Toc369531695"/>
      <w:bookmarkEnd w:id="560"/>
    </w:p>
    <w:p>
      <w:pPr>
        <w:spacing w:line="38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投 标 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（盖单位章）</w:t>
      </w:r>
    </w:p>
    <w:p>
      <w:pPr>
        <w:spacing w:line="380" w:lineRule="exact"/>
        <w:jc w:val="left"/>
        <w:rPr>
          <w:rFonts w:hint="eastAsia" w:ascii="宋体" w:hAnsi="宋体" w:cs="宋体"/>
          <w:color w:val="auto"/>
          <w:szCs w:val="21"/>
          <w:highlight w:val="none"/>
        </w:rPr>
      </w:pPr>
      <w:r>
        <w:rPr>
          <w:rFonts w:hint="eastAsia" w:ascii="宋体" w:hAnsi="宋体" w:cs="宋体"/>
          <w:color w:val="auto"/>
          <w:highlight w:val="none"/>
        </w:rPr>
        <w:t xml:space="preserve">                        法定代表人</w:t>
      </w:r>
      <w:r>
        <w:rPr>
          <w:rFonts w:hint="eastAsia" w:ascii="宋体" w:hAnsi="宋体" w:cs="宋体"/>
          <w:color w:val="auto"/>
          <w:szCs w:val="21"/>
          <w:highlight w:val="none"/>
        </w:rPr>
        <w:t>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（签字）</w:t>
      </w:r>
    </w:p>
    <w:p>
      <w:pPr>
        <w:spacing w:line="38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p>
    <w:p>
      <w:pPr>
        <w:spacing w:line="38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网    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spacing w:line="38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spacing w:line="38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spacing w:line="38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spacing w:line="380" w:lineRule="exact"/>
        <w:ind w:firstLine="4725" w:firstLineChars="2250"/>
        <w:jc w:val="right"/>
        <w:rPr>
          <w:rFonts w:hint="eastAsia" w:ascii="宋体" w:hAnsi="宋体" w:cs="宋体"/>
          <w:color w:val="auto"/>
          <w:szCs w:val="21"/>
          <w:highlight w:val="none"/>
        </w:rPr>
      </w:pPr>
      <w:r>
        <w:rPr>
          <w:rFonts w:hint="eastAsia" w:ascii="宋体" w:hAnsi="宋体" w:cs="宋体"/>
          <w:color w:val="auto"/>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highlight w:val="none"/>
          <w:u w:val="single"/>
        </w:rPr>
        <w:t xml:space="preserve">      </w:t>
      </w:r>
      <w:r>
        <w:rPr>
          <w:rFonts w:hint="eastAsia" w:ascii="宋体" w:hAnsi="宋体" w:cs="宋体"/>
          <w:color w:val="auto"/>
          <w:szCs w:val="21"/>
          <w:highlight w:val="none"/>
        </w:rPr>
        <w:t>日</w:t>
      </w:r>
      <w:bookmarkStart w:id="561" w:name="_Toc384308375"/>
      <w:bookmarkStart w:id="562" w:name="_Toc152045787"/>
      <w:bookmarkStart w:id="563" w:name="_Toc352691661"/>
      <w:bookmarkStart w:id="564" w:name="_Toc144974856"/>
      <w:bookmarkStart w:id="565" w:name="_Toc152042576"/>
      <w:bookmarkStart w:id="566" w:name="_Toc300835209"/>
      <w:bookmarkStart w:id="567" w:name="_Toc369531697"/>
      <w:bookmarkStart w:id="568" w:name="_Toc247527827"/>
      <w:bookmarkStart w:id="569" w:name="_Toc247514246"/>
      <w:bookmarkStart w:id="570" w:name="_Toc17960"/>
      <w:bookmarkStart w:id="571" w:name="_Toc361508752"/>
    </w:p>
    <w:p>
      <w:pPr>
        <w:pStyle w:val="2"/>
        <w:rPr>
          <w:rFonts w:hint="eastAsia"/>
          <w:color w:val="auto"/>
          <w:highlight w:val="none"/>
        </w:rPr>
      </w:pPr>
      <w:r>
        <w:rPr>
          <w:rFonts w:hint="eastAsia"/>
          <w:color w:val="auto"/>
          <w:highlight w:val="none"/>
        </w:rPr>
        <w:br w:type="page"/>
      </w:r>
    </w:p>
    <w:p>
      <w:pPr>
        <w:pStyle w:val="5"/>
        <w:keepNext w:val="0"/>
        <w:keepLines w:val="0"/>
        <w:ind w:firstLine="137"/>
        <w:jc w:val="center"/>
        <w:rPr>
          <w:rFonts w:hint="eastAsia" w:ascii="宋体" w:hAnsi="宋体" w:eastAsia="宋体" w:cs="宋体"/>
          <w:color w:val="auto"/>
          <w:highlight w:val="none"/>
        </w:rPr>
      </w:pPr>
      <w:bookmarkStart w:id="572" w:name="_Toc370676427"/>
      <w:bookmarkStart w:id="573" w:name="_Toc25253"/>
      <w:bookmarkStart w:id="574" w:name="_Toc359594236"/>
      <w:bookmarkStart w:id="575" w:name="_Toc482188652"/>
      <w:bookmarkStart w:id="576" w:name="_Toc391394112"/>
      <w:bookmarkStart w:id="577" w:name="_Toc385943066"/>
      <w:r>
        <w:rPr>
          <w:rFonts w:hint="eastAsia" w:ascii="宋体" w:hAnsi="宋体" w:eastAsia="宋体" w:cs="宋体"/>
          <w:color w:val="auto"/>
          <w:highlight w:val="none"/>
        </w:rPr>
        <w:t>（二）投标函附录</w:t>
      </w:r>
      <w:bookmarkEnd w:id="572"/>
      <w:bookmarkEnd w:id="573"/>
      <w:bookmarkEnd w:id="574"/>
      <w:bookmarkEnd w:id="575"/>
      <w:bookmarkEnd w:id="576"/>
      <w:bookmarkEnd w:id="577"/>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592"/>
        <w:gridCol w:w="1317"/>
        <w:gridCol w:w="3637"/>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序号</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条款名称</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合同条款号</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约定内容</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1</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总监理工程师</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 xml:space="preserve">姓名： </w:t>
            </w:r>
          </w:p>
          <w:p>
            <w:pPr>
              <w:jc w:val="left"/>
              <w:rPr>
                <w:rFonts w:hint="eastAsia" w:ascii="宋体" w:hAnsi="宋体" w:cs="宋体"/>
                <w:b/>
                <w:color w:val="auto"/>
                <w:highlight w:val="none"/>
              </w:rPr>
            </w:pPr>
            <w:r>
              <w:rPr>
                <w:rFonts w:hint="eastAsia" w:ascii="宋体" w:hAnsi="宋体" w:cs="宋体"/>
                <w:b/>
                <w:color w:val="auto"/>
                <w:highlight w:val="none"/>
              </w:rPr>
              <w:t>技术职称：</w:t>
            </w:r>
          </w:p>
          <w:p>
            <w:pPr>
              <w:jc w:val="left"/>
              <w:rPr>
                <w:rFonts w:hint="eastAsia" w:ascii="宋体" w:hAnsi="宋体" w:cs="宋体"/>
                <w:b/>
                <w:color w:val="auto"/>
                <w:highlight w:val="none"/>
              </w:rPr>
            </w:pPr>
            <w:r>
              <w:rPr>
                <w:rFonts w:hint="eastAsia" w:ascii="宋体" w:hAnsi="宋体" w:cs="宋体"/>
                <w:b/>
                <w:color w:val="auto"/>
                <w:highlight w:val="none"/>
              </w:rPr>
              <w:t>证书编号：</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2</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监理服务期限</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按招标文件要求</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3</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投标内容</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按招标文件要求</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4</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质量标准</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按招标文件要求</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5</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投标总报价（监理报价）</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监理报价（元）：</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6</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投标下浮率</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pacing w:val="-16"/>
                <w:sz w:val="24"/>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投标下浮率：</w:t>
            </w:r>
            <w:r>
              <w:rPr>
                <w:rFonts w:hint="eastAsia" w:ascii="宋体" w:hAnsi="宋体" w:cs="宋体"/>
                <w:b/>
                <w:color w:val="auto"/>
                <w:highlight w:val="none"/>
                <w:u w:val="single"/>
              </w:rPr>
              <w:t xml:space="preserve">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7</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投标有效期</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pacing w:val="-16"/>
                <w:sz w:val="24"/>
                <w:highlight w:val="none"/>
              </w:rPr>
            </w:pPr>
            <w:r>
              <w:rPr>
                <w:rFonts w:hint="eastAsia" w:ascii="宋体" w:hAnsi="宋体" w:cs="宋体"/>
                <w:color w:val="auto"/>
                <w:spacing w:val="-16"/>
                <w:sz w:val="24"/>
                <w:highlight w:val="none"/>
              </w:rPr>
              <w:t>/</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color w:val="auto"/>
                <w:highlight w:val="none"/>
              </w:rPr>
            </w:pPr>
            <w:r>
              <w:rPr>
                <w:rFonts w:hint="eastAsia" w:ascii="宋体" w:hAnsi="宋体" w:cs="宋体"/>
                <w:b/>
                <w:color w:val="auto"/>
                <w:highlight w:val="none"/>
              </w:rPr>
              <w:t>90日历天（从投标截止之日算起）</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highlight w:val="none"/>
              </w:rPr>
            </w:pPr>
          </w:p>
        </w:tc>
      </w:tr>
    </w:tbl>
    <w:p>
      <w:pPr>
        <w:spacing w:line="440" w:lineRule="exact"/>
        <w:ind w:firstLine="2520" w:firstLineChars="1200"/>
        <w:jc w:val="left"/>
        <w:rPr>
          <w:rFonts w:hint="eastAsia" w:ascii="宋体" w:hAnsi="宋体" w:cs="宋体"/>
          <w:color w:val="auto"/>
          <w:szCs w:val="21"/>
          <w:highlight w:val="none"/>
        </w:rPr>
      </w:pPr>
    </w:p>
    <w:p>
      <w:pPr>
        <w:spacing w:line="440" w:lineRule="exact"/>
        <w:ind w:firstLine="2520" w:firstLineChars="1200"/>
        <w:jc w:val="left"/>
        <w:rPr>
          <w:rFonts w:hint="eastAsia" w:ascii="宋体" w:hAnsi="宋体" w:cs="宋体"/>
          <w:color w:val="auto"/>
          <w:szCs w:val="21"/>
          <w:highlight w:val="none"/>
        </w:rPr>
      </w:pPr>
      <w:r>
        <w:rPr>
          <w:rFonts w:hint="eastAsia" w:ascii="宋体" w:hAnsi="宋体" w:cs="宋体"/>
          <w:color w:val="auto"/>
          <w:szCs w:val="21"/>
          <w:highlight w:val="none"/>
        </w:rPr>
        <w:t>投 标 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（盖单位章）</w:t>
      </w:r>
    </w:p>
    <w:p>
      <w:pPr>
        <w:spacing w:line="440" w:lineRule="exact"/>
        <w:jc w:val="left"/>
        <w:rPr>
          <w:rFonts w:hint="eastAsia" w:ascii="宋体" w:hAnsi="宋体" w:cs="宋体"/>
          <w:color w:val="auto"/>
          <w:szCs w:val="21"/>
          <w:highlight w:val="none"/>
        </w:rPr>
      </w:pPr>
      <w:r>
        <w:rPr>
          <w:rFonts w:hint="eastAsia" w:ascii="宋体" w:hAnsi="宋体" w:cs="宋体"/>
          <w:color w:val="auto"/>
          <w:highlight w:val="none"/>
        </w:rPr>
        <w:t xml:space="preserve">                        法定代表人</w:t>
      </w:r>
      <w:r>
        <w:rPr>
          <w:rFonts w:hint="eastAsia" w:ascii="宋体" w:hAnsi="宋体" w:cs="宋体"/>
          <w:color w:val="auto"/>
          <w:szCs w:val="21"/>
          <w:highlight w:val="none"/>
        </w:rPr>
        <w:t>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（签字）</w:t>
      </w:r>
    </w:p>
    <w:p>
      <w:pPr>
        <w:spacing w:line="440" w:lineRule="exact"/>
        <w:ind w:firstLine="4725" w:firstLineChars="2250"/>
        <w:jc w:val="right"/>
        <w:rPr>
          <w:rFonts w:hint="eastAsia" w:ascii="宋体" w:hAnsi="宋体" w:cs="宋体"/>
          <w:color w:val="auto"/>
          <w:szCs w:val="21"/>
          <w:highlight w:val="none"/>
        </w:rPr>
      </w:pPr>
      <w:r>
        <w:rPr>
          <w:rFonts w:hint="eastAsia" w:ascii="宋体" w:hAnsi="宋体" w:cs="宋体"/>
          <w:color w:val="auto"/>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highlight w:val="none"/>
          <w:u w:val="single"/>
        </w:rPr>
        <w:t xml:space="preserve">      </w:t>
      </w:r>
      <w:r>
        <w:rPr>
          <w:rFonts w:hint="eastAsia" w:ascii="宋体" w:hAnsi="宋体" w:cs="宋体"/>
          <w:color w:val="auto"/>
          <w:szCs w:val="21"/>
          <w:highlight w:val="none"/>
        </w:rPr>
        <w:t>日</w:t>
      </w:r>
    </w:p>
    <w:p>
      <w:pPr>
        <w:spacing w:line="440" w:lineRule="exact"/>
        <w:rPr>
          <w:rFonts w:hint="eastAsia" w:ascii="宋体" w:hAnsi="宋体" w:cs="宋体"/>
          <w:color w:val="auto"/>
          <w:szCs w:val="21"/>
          <w:highlight w:val="none"/>
        </w:rPr>
      </w:pPr>
    </w:p>
    <w:p>
      <w:pPr>
        <w:spacing w:line="440" w:lineRule="exact"/>
        <w:ind w:firstLine="420" w:firstLineChars="200"/>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pStyle w:val="4"/>
        <w:keepNext w:val="0"/>
        <w:keepLines w:val="0"/>
        <w:jc w:val="center"/>
        <w:rPr>
          <w:rFonts w:hint="eastAsia" w:ascii="宋体" w:hAnsi="宋体" w:eastAsia="宋体" w:cs="宋体"/>
          <w:color w:val="auto"/>
          <w:sz w:val="20"/>
          <w:highlight w:val="none"/>
        </w:rPr>
      </w:pPr>
      <w:bookmarkStart w:id="578" w:name="_Toc31785"/>
      <w:r>
        <w:rPr>
          <w:rFonts w:ascii="宋体" w:hAnsi="宋体" w:eastAsia="宋体" w:cs="宋体"/>
          <w:color w:val="auto"/>
          <w:highlight w:val="none"/>
        </w:rPr>
        <w:br w:type="page"/>
      </w:r>
      <w:r>
        <w:rPr>
          <w:rFonts w:hint="eastAsia" w:ascii="宋体" w:hAnsi="宋体" w:eastAsia="宋体" w:cs="宋体"/>
          <w:color w:val="auto"/>
          <w:highlight w:val="none"/>
        </w:rPr>
        <w:t>二</w:t>
      </w:r>
      <w:bookmarkEnd w:id="561"/>
      <w:bookmarkEnd w:id="562"/>
      <w:bookmarkEnd w:id="563"/>
      <w:bookmarkEnd w:id="564"/>
      <w:bookmarkEnd w:id="565"/>
      <w:bookmarkEnd w:id="566"/>
      <w:bookmarkEnd w:id="567"/>
      <w:bookmarkEnd w:id="568"/>
      <w:bookmarkEnd w:id="569"/>
      <w:bookmarkEnd w:id="570"/>
      <w:bookmarkEnd w:id="571"/>
      <w:r>
        <w:rPr>
          <w:rFonts w:hint="eastAsia" w:ascii="宋体" w:hAnsi="宋体" w:eastAsia="宋体" w:cs="宋体"/>
          <w:color w:val="auto"/>
          <w:highlight w:val="none"/>
        </w:rPr>
        <w:t>、法定代表人身份证明</w:t>
      </w:r>
      <w:bookmarkEnd w:id="578"/>
    </w:p>
    <w:p>
      <w:pPr>
        <w:spacing w:line="440" w:lineRule="exact"/>
        <w:rPr>
          <w:rFonts w:hint="eastAsia" w:ascii="宋体" w:hAnsi="宋体" w:cs="宋体"/>
          <w:color w:val="auto"/>
          <w:highlight w:val="none"/>
        </w:rPr>
      </w:pP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投标人名称：</w:t>
      </w:r>
      <w:r>
        <w:rPr>
          <w:rFonts w:hint="eastAsia" w:ascii="宋体" w:hAnsi="宋体" w:cs="宋体"/>
          <w:color w:val="auto"/>
          <w:sz w:val="24"/>
          <w:szCs w:val="24"/>
          <w:highlight w:val="none"/>
          <w:u w:val="single"/>
        </w:rPr>
        <w:t xml:space="preserve">                        </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姓名：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性别：</w:t>
      </w:r>
      <w:bookmarkStart w:id="579" w:name="_Toc27897"/>
      <w:bookmarkStart w:id="580" w:name="_Toc369531698"/>
      <w:bookmarkStart w:id="581" w:name="_Toc352691662"/>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bookmarkEnd w:id="579"/>
      <w:bookmarkEnd w:id="580"/>
      <w:bookmarkEnd w:id="581"/>
      <w:r>
        <w:rPr>
          <w:rFonts w:hint="eastAsia" w:ascii="宋体" w:hAnsi="宋体" w:cs="宋体"/>
          <w:color w:val="auto"/>
          <w:sz w:val="24"/>
          <w:szCs w:val="24"/>
          <w:highlight w:val="none"/>
        </w:rPr>
        <w:t>龄</w:t>
      </w:r>
      <w:bookmarkStart w:id="582" w:name="_Toc300835211"/>
      <w:bookmarkStart w:id="583" w:name="_Toc15573"/>
      <w:bookmarkStart w:id="584" w:name="_Toc247514248"/>
      <w:bookmarkStart w:id="585" w:name="_Toc369531699"/>
      <w:bookmarkStart w:id="586" w:name="_Toc152042578"/>
      <w:bookmarkStart w:id="587" w:name="_Toc144974858"/>
      <w:bookmarkStart w:id="588" w:name="_Toc361508754"/>
      <w:bookmarkStart w:id="589" w:name="_Toc384308377"/>
      <w:bookmarkStart w:id="590" w:name="_Toc352691663"/>
      <w:bookmarkStart w:id="591" w:name="_Toc247527829"/>
      <w:bookmarkStart w:id="592" w:name="_Toc152045789"/>
      <w:r>
        <w:rPr>
          <w:rFonts w:hint="eastAsia" w:ascii="宋体" w:hAnsi="宋体" w:cs="宋体"/>
          <w:color w:val="auto"/>
          <w:sz w:val="24"/>
          <w:szCs w:val="24"/>
          <w:highlight w:val="none"/>
        </w:rPr>
        <w:t>：</w:t>
      </w:r>
      <w:bookmarkEnd w:id="582"/>
      <w:bookmarkEnd w:id="583"/>
      <w:bookmarkEnd w:id="584"/>
      <w:bookmarkEnd w:id="585"/>
      <w:bookmarkEnd w:id="586"/>
      <w:bookmarkEnd w:id="587"/>
      <w:bookmarkEnd w:id="588"/>
      <w:bookmarkEnd w:id="589"/>
      <w:bookmarkEnd w:id="590"/>
      <w:bookmarkEnd w:id="591"/>
      <w:bookmarkEnd w:id="592"/>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（投标人名称）的法定代表人。</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附：法定代表人身份证扫描件。</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注：本身份证明需由投标人加盖单位公章。</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color w:val="auto"/>
          <w:sz w:val="24"/>
          <w:szCs w:val="24"/>
          <w:highlight w:val="none"/>
        </w:rPr>
      </w:pPr>
    </w:p>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（盖单位章）</w:t>
      </w:r>
    </w:p>
    <w:p>
      <w:pPr>
        <w:spacing w:line="440" w:lineRule="exact"/>
        <w:rPr>
          <w:rFonts w:hint="eastAsia" w:ascii="宋体" w:hAnsi="宋体" w:cs="宋体"/>
          <w:color w:val="auto"/>
          <w:sz w:val="24"/>
          <w:szCs w:val="24"/>
          <w:highlight w:val="none"/>
        </w:rPr>
      </w:pPr>
    </w:p>
    <w:p>
      <w:pPr>
        <w:spacing w:line="440" w:lineRule="exact"/>
        <w:ind w:firstLine="5280" w:firstLineChars="2200"/>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color w:val="auto"/>
          <w:sz w:val="20"/>
          <w:highlight w:val="none"/>
        </w:rPr>
      </w:pPr>
    </w:p>
    <w:p>
      <w:pPr>
        <w:spacing w:line="440" w:lineRule="exact"/>
        <w:rPr>
          <w:rFonts w:hint="eastAsia" w:ascii="宋体" w:hAnsi="宋体" w:cs="宋体"/>
          <w:color w:val="auto"/>
          <w:sz w:val="20"/>
          <w:highlight w:val="none"/>
        </w:rPr>
      </w:pPr>
    </w:p>
    <w:p>
      <w:pPr>
        <w:spacing w:line="440" w:lineRule="exact"/>
        <w:rPr>
          <w:rFonts w:hint="eastAsia" w:ascii="宋体" w:hAnsi="宋体" w:cs="宋体"/>
          <w:color w:val="auto"/>
          <w:sz w:val="20"/>
          <w:highlight w:val="none"/>
        </w:rPr>
      </w:pPr>
    </w:p>
    <w:p>
      <w:pPr>
        <w:spacing w:line="440" w:lineRule="exact"/>
        <w:rPr>
          <w:rFonts w:hint="eastAsia" w:ascii="宋体" w:hAnsi="宋体" w:cs="宋体"/>
          <w:color w:val="auto"/>
          <w:sz w:val="20"/>
          <w:highlight w:val="none"/>
        </w:rPr>
      </w:pPr>
    </w:p>
    <w:p>
      <w:pPr>
        <w:pStyle w:val="4"/>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593" w:name="_Toc2992"/>
      <w:r>
        <w:rPr>
          <w:rFonts w:hint="eastAsia" w:ascii="宋体" w:hAnsi="宋体" w:eastAsia="宋体" w:cs="宋体"/>
          <w:color w:val="auto"/>
          <w:highlight w:val="none"/>
        </w:rPr>
        <w:t>三、授权委托书</w:t>
      </w:r>
      <w:bookmarkEnd w:id="593"/>
    </w:p>
    <w:p>
      <w:pPr>
        <w:spacing w:line="440" w:lineRule="exact"/>
        <w:rPr>
          <w:rFonts w:hint="eastAsia" w:ascii="宋体" w:hAnsi="宋体" w:cs="宋体"/>
          <w:color w:val="auto"/>
          <w:highlight w:val="none"/>
        </w:rPr>
      </w:pPr>
    </w:p>
    <w:p>
      <w:pPr>
        <w:topLinePunct/>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（投标人名称）的法定代表人，现委托</w:t>
      </w:r>
      <w:r>
        <w:rPr>
          <w:rFonts w:hint="eastAsia" w:ascii="宋体" w:hAnsi="宋体" w:cs="宋体"/>
          <w:color w:val="auto"/>
          <w:sz w:val="24"/>
          <w:szCs w:val="24"/>
          <w:highlight w:val="none"/>
          <w:u w:val="single"/>
        </w:rPr>
        <w:t xml:space="preserve">            （姓名）</w:t>
      </w:r>
      <w:r>
        <w:rPr>
          <w:rFonts w:hint="eastAsia" w:ascii="宋体" w:hAnsi="宋体" w:cs="宋体"/>
          <w:color w:val="auto"/>
          <w:sz w:val="24"/>
          <w:szCs w:val="24"/>
          <w:highlight w:val="none"/>
        </w:rPr>
        <w:t>为我方代理人。代理人根据授权，以我方名义签署、澄清确认、递交、撤回、修改监理招标项目投标文件、签订合同和处理有关事宜，其法律后果由我方承担。</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委托期限：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代理人无转委托权。</w:t>
      </w:r>
    </w:p>
    <w:p>
      <w:pPr>
        <w:spacing w:line="440" w:lineRule="exact"/>
        <w:ind w:firstLine="480" w:firstLineChars="200"/>
        <w:rPr>
          <w:rFonts w:hint="eastAsia" w:ascii="宋体" w:hAnsi="宋体" w:cs="宋体"/>
          <w:color w:val="auto"/>
          <w:sz w:val="24"/>
          <w:szCs w:val="24"/>
          <w:highlight w:val="none"/>
        </w:rPr>
      </w:pP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附：法定代表人身份证扫描件及委托代理人身份证扫描件</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注：本授权委托书需由投标人加盖单位公章并由其法定代表人和委托代理人签署。</w:t>
      </w:r>
    </w:p>
    <w:p>
      <w:pPr>
        <w:spacing w:line="440" w:lineRule="exact"/>
        <w:rPr>
          <w:rFonts w:hint="eastAsia" w:ascii="宋体" w:hAnsi="宋体" w:cs="宋体"/>
          <w:color w:val="auto"/>
          <w:sz w:val="24"/>
          <w:szCs w:val="24"/>
          <w:highlight w:val="none"/>
        </w:rPr>
      </w:pPr>
    </w:p>
    <w:p>
      <w:pPr>
        <w:spacing w:line="440" w:lineRule="exact"/>
        <w:ind w:firstLine="3076" w:firstLineChars="1282"/>
        <w:rPr>
          <w:rFonts w:hint="eastAsia" w:ascii="宋体" w:hAnsi="宋体" w:cs="宋体"/>
          <w:color w:val="auto"/>
          <w:sz w:val="24"/>
          <w:szCs w:val="24"/>
          <w:highlight w:val="none"/>
        </w:rPr>
      </w:pPr>
      <w:r>
        <w:rPr>
          <w:rFonts w:hint="eastAsia" w:ascii="宋体" w:hAnsi="宋体" w:cs="宋体"/>
          <w:color w:val="auto"/>
          <w:sz w:val="24"/>
          <w:szCs w:val="24"/>
          <w:highlight w:val="none"/>
        </w:rPr>
        <w:t>投  标  人：</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（盖单位章）</w:t>
      </w:r>
    </w:p>
    <w:p>
      <w:pPr>
        <w:spacing w:line="440" w:lineRule="exact"/>
        <w:ind w:firstLine="3076" w:firstLineChars="1282"/>
        <w:rPr>
          <w:rFonts w:hint="eastAsia" w:ascii="宋体" w:hAnsi="宋体" w:cs="宋体"/>
          <w:color w:val="auto"/>
          <w:sz w:val="24"/>
          <w:szCs w:val="24"/>
          <w:highlight w:val="none"/>
        </w:rPr>
      </w:pPr>
    </w:p>
    <w:p>
      <w:pPr>
        <w:spacing w:line="440" w:lineRule="exact"/>
        <w:ind w:firstLine="3074" w:firstLineChars="128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（签字或签章）</w:t>
      </w:r>
    </w:p>
    <w:p>
      <w:pPr>
        <w:spacing w:line="440" w:lineRule="exact"/>
        <w:ind w:firstLine="3076" w:firstLineChars="1282"/>
        <w:rPr>
          <w:rFonts w:hint="eastAsia" w:ascii="宋体" w:hAnsi="宋体" w:cs="宋体"/>
          <w:color w:val="auto"/>
          <w:sz w:val="24"/>
          <w:szCs w:val="24"/>
          <w:highlight w:val="none"/>
        </w:rPr>
      </w:pPr>
    </w:p>
    <w:p>
      <w:pPr>
        <w:spacing w:line="440" w:lineRule="exact"/>
        <w:ind w:firstLine="3076" w:firstLineChars="1282"/>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p>
    <w:p>
      <w:pPr>
        <w:spacing w:line="440" w:lineRule="exact"/>
        <w:ind w:firstLine="3076" w:firstLineChars="1282"/>
        <w:rPr>
          <w:rFonts w:hint="eastAsia" w:ascii="宋体" w:hAnsi="宋体" w:cs="宋体"/>
          <w:color w:val="auto"/>
          <w:sz w:val="24"/>
          <w:szCs w:val="24"/>
          <w:highlight w:val="none"/>
        </w:rPr>
      </w:pPr>
    </w:p>
    <w:p>
      <w:pPr>
        <w:spacing w:line="440" w:lineRule="exact"/>
        <w:ind w:firstLine="3076" w:firstLineChars="1282"/>
        <w:rPr>
          <w:rFonts w:hint="eastAsia" w:ascii="宋体" w:hAnsi="宋体" w:cs="宋体"/>
          <w:color w:val="auto"/>
          <w:sz w:val="24"/>
          <w:szCs w:val="24"/>
          <w:highlight w:val="none"/>
        </w:rPr>
      </w:pPr>
      <w:r>
        <w:rPr>
          <w:rFonts w:hint="eastAsia" w:ascii="宋体" w:hAnsi="宋体" w:cs="宋体"/>
          <w:color w:val="auto"/>
          <w:sz w:val="24"/>
          <w:szCs w:val="24"/>
          <w:highlight w:val="none"/>
        </w:rPr>
        <w:t>委托代理人：</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（签字）</w:t>
      </w:r>
    </w:p>
    <w:p>
      <w:pPr>
        <w:spacing w:line="440" w:lineRule="exact"/>
        <w:ind w:firstLine="3076" w:firstLineChars="1282"/>
        <w:rPr>
          <w:rFonts w:hint="eastAsia" w:ascii="宋体" w:hAnsi="宋体" w:cs="宋体"/>
          <w:color w:val="auto"/>
          <w:sz w:val="24"/>
          <w:szCs w:val="24"/>
          <w:highlight w:val="none"/>
        </w:rPr>
      </w:pPr>
    </w:p>
    <w:p>
      <w:pPr>
        <w:spacing w:line="440" w:lineRule="exact"/>
        <w:ind w:firstLine="3076" w:firstLineChars="1282"/>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p>
    <w:p>
      <w:pPr>
        <w:spacing w:line="440" w:lineRule="exact"/>
        <w:ind w:firstLine="3076" w:firstLineChars="1282"/>
        <w:rPr>
          <w:rFonts w:hint="eastAsia" w:ascii="宋体" w:hAnsi="宋体" w:cs="宋体"/>
          <w:color w:val="auto"/>
          <w:sz w:val="24"/>
          <w:szCs w:val="24"/>
          <w:highlight w:val="none"/>
        </w:rPr>
      </w:pPr>
    </w:p>
    <w:p>
      <w:pPr>
        <w:spacing w:line="440" w:lineRule="exact"/>
        <w:ind w:firstLine="3076" w:firstLineChars="1282"/>
        <w:rPr>
          <w:rFonts w:hint="eastAsia" w:ascii="宋体" w:hAnsi="宋体" w:cs="宋体"/>
          <w:color w:val="auto"/>
          <w:sz w:val="24"/>
          <w:szCs w:val="24"/>
          <w:highlight w:val="none"/>
        </w:rPr>
      </w:pPr>
    </w:p>
    <w:p>
      <w:pPr>
        <w:spacing w:line="440" w:lineRule="exact"/>
        <w:ind w:firstLine="4636" w:firstLineChars="1932"/>
        <w:jc w:val="righ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440" w:lineRule="exact"/>
        <w:ind w:firstLine="4057" w:firstLineChars="1932"/>
        <w:jc w:val="right"/>
        <w:rPr>
          <w:rFonts w:hint="eastAsia" w:ascii="宋体" w:hAnsi="宋体" w:cs="宋体"/>
          <w:color w:val="auto"/>
          <w:highlight w:val="none"/>
        </w:rPr>
      </w:pPr>
    </w:p>
    <w:p>
      <w:pPr>
        <w:pStyle w:val="4"/>
        <w:keepNext w:val="0"/>
        <w:keepLines w:val="0"/>
        <w:jc w:val="center"/>
        <w:rPr>
          <w:rFonts w:hint="eastAsia" w:ascii="宋体" w:hAnsi="宋体" w:eastAsia="宋体" w:cs="宋体"/>
          <w:color w:val="auto"/>
          <w:highlight w:val="none"/>
        </w:rPr>
      </w:pPr>
    </w:p>
    <w:p>
      <w:pPr>
        <w:pStyle w:val="4"/>
        <w:keepNext w:val="0"/>
        <w:keepLines w:val="0"/>
        <w:jc w:val="center"/>
        <w:rPr>
          <w:rFonts w:hint="eastAsia" w:ascii="宋体" w:hAnsi="宋体" w:eastAsia="宋体" w:cs="宋体"/>
          <w:strike/>
          <w:color w:val="auto"/>
          <w:highlight w:val="none"/>
        </w:rPr>
      </w:pPr>
      <w:r>
        <w:rPr>
          <w:rFonts w:hint="eastAsia" w:ascii="宋体" w:hAnsi="宋体" w:eastAsia="宋体" w:cs="宋体"/>
          <w:color w:val="auto"/>
          <w:highlight w:val="none"/>
        </w:rPr>
        <w:br w:type="page"/>
      </w:r>
      <w:bookmarkStart w:id="594" w:name="_Toc15700"/>
      <w:r>
        <w:rPr>
          <w:rFonts w:hint="eastAsia" w:ascii="宋体" w:hAnsi="宋体" w:eastAsia="宋体" w:cs="宋体"/>
          <w:strike/>
          <w:color w:val="auto"/>
          <w:highlight w:val="none"/>
        </w:rPr>
        <w:t>四、</w:t>
      </w:r>
      <w:bookmarkStart w:id="595" w:name="_Toc369531702"/>
      <w:bookmarkStart w:id="596" w:name="_Toc384308381"/>
      <w:bookmarkStart w:id="597" w:name="_Toc247527832"/>
      <w:bookmarkStart w:id="598" w:name="_Toc152042581"/>
      <w:bookmarkStart w:id="599" w:name="_Toc300835214"/>
      <w:bookmarkStart w:id="600" w:name="_Toc13469"/>
      <w:bookmarkStart w:id="601" w:name="_Toc247514284"/>
      <w:bookmarkStart w:id="602" w:name="_Toc361508757"/>
      <w:bookmarkStart w:id="603" w:name="_Toc352691666"/>
      <w:bookmarkStart w:id="604" w:name="_Toc152045792"/>
      <w:bookmarkStart w:id="605" w:name="_Toc144974861"/>
      <w:r>
        <w:rPr>
          <w:rFonts w:hint="eastAsia" w:ascii="宋体" w:hAnsi="宋体" w:eastAsia="宋体" w:cs="宋体"/>
          <w:strike/>
          <w:color w:val="auto"/>
          <w:highlight w:val="none"/>
        </w:rPr>
        <w:t>投标保证金</w:t>
      </w:r>
      <w:bookmarkEnd w:id="594"/>
    </w:p>
    <w:p>
      <w:pPr>
        <w:spacing w:line="440" w:lineRule="exact"/>
        <w:jc w:val="center"/>
        <w:rPr>
          <w:rFonts w:hint="eastAsia" w:ascii="宋体" w:hAnsi="宋体" w:cs="宋体"/>
          <w:strike/>
          <w:color w:val="auto"/>
          <w:szCs w:val="21"/>
          <w:highlight w:val="none"/>
        </w:rPr>
      </w:pPr>
      <w:r>
        <w:rPr>
          <w:rFonts w:hint="eastAsia" w:ascii="宋体" w:hAnsi="宋体" w:cs="宋体"/>
          <w:strike/>
          <w:color w:val="auto"/>
          <w:sz w:val="24"/>
          <w:szCs w:val="24"/>
          <w:highlight w:val="none"/>
        </w:rPr>
        <w:t>（详见本招标文件第二章投标人须知前附表3.4.1）</w:t>
      </w:r>
    </w:p>
    <w:p>
      <w:pPr>
        <w:spacing w:line="440" w:lineRule="exact"/>
        <w:ind w:right="420"/>
        <w:jc w:val="center"/>
        <w:rPr>
          <w:rFonts w:hint="eastAsia" w:ascii="宋体" w:hAnsi="宋体" w:cs="宋体"/>
          <w:color w:val="auto"/>
          <w:szCs w:val="21"/>
          <w:highlight w:val="none"/>
        </w:rPr>
        <w:sectPr>
          <w:pgSz w:w="12240" w:h="15840"/>
          <w:pgMar w:top="1247" w:right="1247" w:bottom="1247" w:left="1247" w:header="720" w:footer="720" w:gutter="0"/>
          <w:cols w:space="720" w:num="1"/>
          <w:docGrid w:linePitch="285" w:charSpace="0"/>
        </w:sectPr>
      </w:pPr>
    </w:p>
    <w:bookmarkEnd w:id="595"/>
    <w:bookmarkEnd w:id="596"/>
    <w:bookmarkEnd w:id="597"/>
    <w:bookmarkEnd w:id="598"/>
    <w:bookmarkEnd w:id="599"/>
    <w:bookmarkEnd w:id="600"/>
    <w:bookmarkEnd w:id="601"/>
    <w:bookmarkEnd w:id="602"/>
    <w:bookmarkEnd w:id="603"/>
    <w:bookmarkEnd w:id="604"/>
    <w:bookmarkEnd w:id="605"/>
    <w:p>
      <w:pPr>
        <w:pStyle w:val="4"/>
        <w:keepNext w:val="0"/>
        <w:keepLines w:val="0"/>
        <w:spacing w:after="0"/>
        <w:jc w:val="center"/>
        <w:rPr>
          <w:rFonts w:hint="eastAsia" w:ascii="宋体" w:hAnsi="宋体" w:eastAsia="宋体" w:cs="宋体"/>
          <w:color w:val="auto"/>
          <w:highlight w:val="none"/>
        </w:rPr>
      </w:pPr>
      <w:bookmarkStart w:id="606" w:name="_Toc27246"/>
      <w:bookmarkStart w:id="607" w:name="_Toc361508760"/>
      <w:r>
        <w:rPr>
          <w:rFonts w:hint="eastAsia" w:ascii="宋体" w:hAnsi="宋体" w:eastAsia="宋体" w:cs="宋体"/>
          <w:color w:val="auto"/>
          <w:highlight w:val="none"/>
        </w:rPr>
        <w:t>五、资格审查资料</w:t>
      </w:r>
      <w:bookmarkEnd w:id="606"/>
    </w:p>
    <w:p>
      <w:pPr>
        <w:pStyle w:val="5"/>
        <w:keepNext w:val="0"/>
        <w:keepLines w:val="0"/>
        <w:spacing w:before="20" w:after="0"/>
        <w:ind w:firstLine="137"/>
        <w:jc w:val="center"/>
        <w:rPr>
          <w:rFonts w:hint="eastAsia" w:ascii="宋体" w:hAnsi="宋体" w:eastAsia="宋体" w:cs="宋体"/>
          <w:color w:val="auto"/>
          <w:highlight w:val="none"/>
        </w:rPr>
      </w:pPr>
      <w:bookmarkStart w:id="608" w:name="_Toc13569"/>
      <w:r>
        <w:rPr>
          <w:rFonts w:hint="eastAsia" w:ascii="宋体" w:hAnsi="宋体" w:eastAsia="宋体" w:cs="宋体"/>
          <w:color w:val="auto"/>
          <w:highlight w:val="none"/>
        </w:rPr>
        <w:t>（一）基本情况表</w:t>
      </w:r>
      <w:bookmarkEnd w:id="608"/>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91"/>
        <w:gridCol w:w="1004"/>
        <w:gridCol w:w="1150"/>
        <w:gridCol w:w="1444"/>
        <w:gridCol w:w="462"/>
        <w:gridCol w:w="978"/>
        <w:gridCol w:w="926"/>
        <w:gridCol w:w="319"/>
        <w:gridCol w:w="13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投标人名称</w:t>
            </w:r>
          </w:p>
        </w:tc>
        <w:tc>
          <w:tcPr>
            <w:tcW w:w="7669"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注册地址</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邮政编码</w:t>
            </w:r>
          </w:p>
        </w:tc>
        <w:tc>
          <w:tcPr>
            <w:tcW w:w="26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联系方式</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联系人</w:t>
            </w:r>
          </w:p>
        </w:tc>
        <w:tc>
          <w:tcPr>
            <w:tcW w:w="259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电 话</w:t>
            </w:r>
          </w:p>
        </w:tc>
        <w:tc>
          <w:tcPr>
            <w:tcW w:w="26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传  真</w:t>
            </w:r>
          </w:p>
        </w:tc>
        <w:tc>
          <w:tcPr>
            <w:tcW w:w="259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网 址</w:t>
            </w:r>
          </w:p>
        </w:tc>
        <w:tc>
          <w:tcPr>
            <w:tcW w:w="26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法定代表人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姓名</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444"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技术职称</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电话</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szCs w:val="21"/>
                <w:highlight w:val="none"/>
              </w:rPr>
              <w:t>技术负责人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姓名</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444"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技术职称</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电话</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企业</w:t>
            </w:r>
            <w:r>
              <w:rPr>
                <w:rFonts w:hint="eastAsia" w:ascii="宋体" w:hAnsi="宋体" w:cs="宋体"/>
                <w:color w:val="auto"/>
                <w:szCs w:val="21"/>
                <w:highlight w:val="none"/>
              </w:rPr>
              <w:t>监理</w:t>
            </w:r>
            <w:r>
              <w:rPr>
                <w:rFonts w:hint="eastAsia" w:ascii="宋体" w:hAnsi="宋体" w:cs="宋体"/>
                <w:color w:val="auto"/>
                <w:highlight w:val="none"/>
              </w:rPr>
              <w:t>资质证书</w:t>
            </w:r>
          </w:p>
        </w:tc>
        <w:tc>
          <w:tcPr>
            <w:tcW w:w="7669"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ind w:firstLine="105" w:firstLineChars="50"/>
              <w:jc w:val="center"/>
              <w:rPr>
                <w:rFonts w:hint="eastAsia" w:ascii="宋体" w:hAnsi="宋体" w:cs="宋体"/>
                <w:color w:val="auto"/>
                <w:highlight w:val="none"/>
              </w:rPr>
            </w:pPr>
            <w:r>
              <w:rPr>
                <w:rFonts w:hint="eastAsia" w:ascii="宋体" w:hAnsi="宋体" w:cs="宋体"/>
                <w:color w:val="auto"/>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质量管理体系证书（如有）</w:t>
            </w:r>
          </w:p>
        </w:tc>
        <w:tc>
          <w:tcPr>
            <w:tcW w:w="7669"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ind w:firstLine="105" w:firstLineChars="50"/>
              <w:jc w:val="center"/>
              <w:rPr>
                <w:rFonts w:hint="eastAsia" w:ascii="宋体" w:hAnsi="宋体" w:cs="宋体"/>
                <w:color w:val="auto"/>
                <w:highlight w:val="none"/>
              </w:rPr>
            </w:pPr>
            <w:r>
              <w:rPr>
                <w:rFonts w:hint="eastAsia" w:ascii="宋体" w:hAnsi="宋体" w:cs="宋体"/>
                <w:color w:val="auto"/>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营业执照号</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4071"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注册资本</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462" w:type="dxa"/>
            <w:vMerge w:val="restart"/>
            <w:tcBorders>
              <w:top w:val="single" w:color="auto" w:sz="4" w:space="0"/>
              <w:left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其中</w:t>
            </w:r>
          </w:p>
        </w:tc>
        <w:tc>
          <w:tcPr>
            <w:tcW w:w="190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高级职称人员</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成立日期</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462" w:type="dxa"/>
            <w:vMerge w:val="continue"/>
            <w:tcBorders>
              <w:left w:val="single" w:color="auto" w:sz="4" w:space="0"/>
              <w:right w:val="single" w:color="auto" w:sz="4" w:space="0"/>
            </w:tcBorders>
            <w:noWrap w:val="0"/>
            <w:vAlign w:val="center"/>
          </w:tcPr>
          <w:p>
            <w:pPr>
              <w:jc w:val="center"/>
              <w:rPr>
                <w:rFonts w:hint="eastAsia" w:ascii="宋体" w:hAnsi="宋体" w:cs="宋体"/>
                <w:color w:val="auto"/>
                <w:highlight w:val="none"/>
              </w:rPr>
            </w:pPr>
          </w:p>
        </w:tc>
        <w:tc>
          <w:tcPr>
            <w:tcW w:w="190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中级职称人员</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基本账户开户银行</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462" w:type="dxa"/>
            <w:vMerge w:val="continue"/>
            <w:tcBorders>
              <w:left w:val="single" w:color="auto" w:sz="4" w:space="0"/>
              <w:right w:val="single" w:color="auto" w:sz="4" w:space="0"/>
            </w:tcBorders>
            <w:noWrap w:val="0"/>
            <w:vAlign w:val="center"/>
          </w:tcPr>
          <w:p>
            <w:pPr>
              <w:jc w:val="center"/>
              <w:rPr>
                <w:rFonts w:hint="eastAsia" w:ascii="宋体" w:hAnsi="宋体" w:cs="宋体"/>
                <w:color w:val="auto"/>
                <w:highlight w:val="none"/>
              </w:rPr>
            </w:pPr>
          </w:p>
        </w:tc>
        <w:tc>
          <w:tcPr>
            <w:tcW w:w="190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技术人员数量</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基本账户银行账号</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c>
          <w:tcPr>
            <w:tcW w:w="462" w:type="dxa"/>
            <w:vMerge w:val="continue"/>
            <w:tcBorders>
              <w:left w:val="single" w:color="auto" w:sz="4" w:space="0"/>
              <w:right w:val="single" w:color="auto" w:sz="4" w:space="0"/>
            </w:tcBorders>
            <w:noWrap w:val="0"/>
            <w:vAlign w:val="center"/>
          </w:tcPr>
          <w:p>
            <w:pPr>
              <w:jc w:val="center"/>
              <w:rPr>
                <w:rFonts w:hint="eastAsia" w:ascii="宋体" w:hAnsi="宋体" w:cs="宋体"/>
                <w:color w:val="auto"/>
                <w:highlight w:val="none"/>
              </w:rPr>
            </w:pPr>
          </w:p>
        </w:tc>
        <w:tc>
          <w:tcPr>
            <w:tcW w:w="190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szCs w:val="21"/>
                <w:highlight w:val="none"/>
              </w:rPr>
              <w:t>各类注册人员</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right w:val="single" w:color="auto" w:sz="4" w:space="0"/>
            </w:tcBorders>
            <w:noWrap w:val="0"/>
            <w:vAlign w:val="center"/>
          </w:tcPr>
          <w:p>
            <w:pPr>
              <w:topLinePunct/>
              <w:spacing w:before="100" w:beforeAutospacing="1" w:after="100" w:afterAutospacing="1" w:line="440" w:lineRule="exact"/>
              <w:ind w:firstLine="210" w:firstLineChars="100"/>
              <w:jc w:val="center"/>
              <w:rPr>
                <w:rFonts w:hint="eastAsia" w:ascii="宋体" w:hAnsi="宋体" w:cs="宋体"/>
                <w:color w:val="auto"/>
                <w:highlight w:val="none"/>
              </w:rPr>
            </w:pPr>
            <w:r>
              <w:rPr>
                <w:rFonts w:hint="eastAsia" w:ascii="宋体" w:hAnsi="宋体" w:cs="宋体"/>
                <w:color w:val="auto"/>
                <w:highlight w:val="none"/>
              </w:rPr>
              <w:t>经营范围</w:t>
            </w:r>
          </w:p>
        </w:tc>
        <w:tc>
          <w:tcPr>
            <w:tcW w:w="7669" w:type="dxa"/>
            <w:gridSpan w:val="8"/>
            <w:tcBorders>
              <w:top w:val="single" w:color="auto" w:sz="4" w:space="0"/>
              <w:left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291" w:type="dxa"/>
            <w:tcBorders>
              <w:top w:val="single" w:color="auto" w:sz="4" w:space="0"/>
              <w:left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szCs w:val="21"/>
                <w:highlight w:val="none"/>
              </w:rPr>
              <w:t>投标人关联企业情况（包括但不限于与投标人法定代表人为同一人或者存在控股、管理关系的不同单位）</w:t>
            </w:r>
          </w:p>
        </w:tc>
        <w:tc>
          <w:tcPr>
            <w:tcW w:w="7669" w:type="dxa"/>
            <w:gridSpan w:val="8"/>
            <w:tcBorders>
              <w:top w:val="single" w:color="auto" w:sz="4" w:space="0"/>
              <w:left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291"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备注</w:t>
            </w:r>
          </w:p>
        </w:tc>
        <w:tc>
          <w:tcPr>
            <w:tcW w:w="7669"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p>
        </w:tc>
      </w:tr>
    </w:tbl>
    <w:p>
      <w:pPr>
        <w:spacing w:line="400" w:lineRule="exact"/>
        <w:rPr>
          <w:rFonts w:hint="eastAsia" w:ascii="宋体" w:hAnsi="宋体" w:cs="宋体"/>
          <w:color w:val="auto"/>
          <w:highlight w:val="none"/>
        </w:rPr>
      </w:pPr>
      <w:r>
        <w:rPr>
          <w:rFonts w:hint="eastAsia" w:ascii="宋体" w:hAnsi="宋体" w:cs="宋体"/>
          <w:color w:val="auto"/>
          <w:highlight w:val="none"/>
        </w:rPr>
        <w:t>注：投标人应根据投标人须知第3.5.2及3.5.3项的要求在本表后附相关证明材料。</w:t>
      </w:r>
    </w:p>
    <w:p>
      <w:pPr>
        <w:pStyle w:val="5"/>
        <w:keepNext w:val="0"/>
        <w:keepLines w:val="0"/>
        <w:ind w:firstLine="137"/>
        <w:rPr>
          <w:rFonts w:hint="eastAsia" w:ascii="宋体" w:hAnsi="宋体" w:eastAsia="宋体" w:cs="宋体"/>
          <w:color w:val="auto"/>
          <w:highlight w:val="none"/>
        </w:rPr>
      </w:pPr>
    </w:p>
    <w:bookmarkEnd w:id="607"/>
    <w:p>
      <w:pPr>
        <w:pStyle w:val="5"/>
        <w:keepNext w:val="0"/>
        <w:keepLines w:val="0"/>
        <w:spacing w:before="20" w:after="0"/>
        <w:ind w:firstLine="137"/>
        <w:jc w:val="center"/>
        <w:rPr>
          <w:rFonts w:hint="eastAsia" w:ascii="宋体" w:hAnsi="宋体" w:eastAsia="宋体" w:cs="宋体"/>
          <w:color w:val="auto"/>
          <w:highlight w:val="none"/>
        </w:rPr>
      </w:pPr>
      <w:bookmarkStart w:id="609" w:name="_Toc391394125"/>
      <w:bookmarkStart w:id="610" w:name="_Toc370676440"/>
      <w:bookmarkStart w:id="611" w:name="_Toc152042594"/>
      <w:bookmarkStart w:id="612" w:name="_Toc359594249"/>
      <w:bookmarkStart w:id="613" w:name="_Toc152045805"/>
      <w:bookmarkStart w:id="614" w:name="_Toc300835232"/>
      <w:bookmarkStart w:id="615" w:name="_Toc179632825"/>
      <w:bookmarkStart w:id="616" w:name="_Toc385943079"/>
      <w:bookmarkStart w:id="617" w:name="_Toc9737"/>
      <w:bookmarkStart w:id="618" w:name="_Toc384308390"/>
      <w:bookmarkStart w:id="619" w:name="_Toc482188668"/>
      <w:bookmarkStart w:id="620" w:name="_Toc144974873"/>
      <w:r>
        <w:rPr>
          <w:rFonts w:hint="eastAsia" w:ascii="宋体" w:hAnsi="宋体" w:eastAsia="宋体" w:cs="宋体"/>
          <w:color w:val="auto"/>
          <w:highlight w:val="none"/>
        </w:rPr>
        <w:br w:type="page"/>
      </w:r>
      <w:bookmarkStart w:id="621" w:name="_Toc22485"/>
      <w:r>
        <w:rPr>
          <w:rFonts w:hint="eastAsia" w:ascii="宋体" w:hAnsi="宋体" w:eastAsia="宋体" w:cs="宋体"/>
          <w:color w:val="auto"/>
          <w:highlight w:val="none"/>
        </w:rPr>
        <w:t>（二）总监理工程师简历表</w:t>
      </w:r>
      <w:bookmarkEnd w:id="609"/>
      <w:bookmarkEnd w:id="610"/>
      <w:bookmarkEnd w:id="611"/>
      <w:bookmarkEnd w:id="612"/>
      <w:bookmarkEnd w:id="613"/>
      <w:bookmarkEnd w:id="614"/>
      <w:bookmarkEnd w:id="615"/>
      <w:bookmarkEnd w:id="616"/>
      <w:bookmarkEnd w:id="617"/>
      <w:bookmarkEnd w:id="618"/>
      <w:bookmarkEnd w:id="619"/>
      <w:bookmarkEnd w:id="620"/>
      <w:bookmarkEnd w:id="621"/>
    </w:p>
    <w:p>
      <w:pPr>
        <w:topLinePunct/>
        <w:spacing w:line="440" w:lineRule="exact"/>
        <w:jc w:val="center"/>
        <w:rPr>
          <w:rFonts w:hint="eastAsia" w:ascii="宋体" w:hAnsi="宋体" w:cs="宋体"/>
          <w:color w:val="auto"/>
          <w:sz w:val="23"/>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416"/>
        <w:gridCol w:w="809"/>
        <w:gridCol w:w="1117"/>
        <w:gridCol w:w="1245"/>
        <w:gridCol w:w="825"/>
        <w:gridCol w:w="1474"/>
        <w:gridCol w:w="468"/>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85"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姓  名</w:t>
            </w:r>
          </w:p>
        </w:tc>
        <w:tc>
          <w:tcPr>
            <w:tcW w:w="1225" w:type="dxa"/>
            <w:gridSpan w:val="2"/>
            <w:noWrap w:val="0"/>
            <w:vAlign w:val="center"/>
          </w:tcPr>
          <w:p>
            <w:pPr>
              <w:spacing w:line="440" w:lineRule="exact"/>
              <w:jc w:val="center"/>
              <w:rPr>
                <w:rFonts w:hint="eastAsia" w:ascii="宋体" w:hAnsi="宋体" w:cs="宋体"/>
                <w:color w:val="auto"/>
                <w:highlight w:val="none"/>
              </w:rPr>
            </w:pPr>
          </w:p>
        </w:tc>
        <w:tc>
          <w:tcPr>
            <w:tcW w:w="1117"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年龄</w:t>
            </w:r>
          </w:p>
        </w:tc>
        <w:tc>
          <w:tcPr>
            <w:tcW w:w="1245" w:type="dxa"/>
            <w:noWrap w:val="0"/>
            <w:vAlign w:val="center"/>
          </w:tcPr>
          <w:p>
            <w:pPr>
              <w:spacing w:line="440" w:lineRule="exact"/>
              <w:jc w:val="center"/>
              <w:rPr>
                <w:rFonts w:hint="eastAsia" w:ascii="宋体" w:hAnsi="宋体" w:cs="宋体"/>
                <w:color w:val="auto"/>
                <w:highlight w:val="none"/>
              </w:rPr>
            </w:pPr>
          </w:p>
        </w:tc>
        <w:tc>
          <w:tcPr>
            <w:tcW w:w="2767" w:type="dxa"/>
            <w:gridSpan w:val="3"/>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执业资格证书（或上岗证书）名称</w:t>
            </w:r>
          </w:p>
        </w:tc>
        <w:tc>
          <w:tcPr>
            <w:tcW w:w="2219"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85"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职  称</w:t>
            </w:r>
          </w:p>
        </w:tc>
        <w:tc>
          <w:tcPr>
            <w:tcW w:w="1225" w:type="dxa"/>
            <w:gridSpan w:val="2"/>
            <w:noWrap w:val="0"/>
            <w:vAlign w:val="center"/>
          </w:tcPr>
          <w:p>
            <w:pPr>
              <w:spacing w:line="440" w:lineRule="exact"/>
              <w:jc w:val="center"/>
              <w:rPr>
                <w:rFonts w:hint="eastAsia" w:ascii="宋体" w:hAnsi="宋体" w:cs="宋体"/>
                <w:color w:val="auto"/>
                <w:highlight w:val="none"/>
              </w:rPr>
            </w:pPr>
          </w:p>
        </w:tc>
        <w:tc>
          <w:tcPr>
            <w:tcW w:w="1117"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学历</w:t>
            </w:r>
          </w:p>
        </w:tc>
        <w:tc>
          <w:tcPr>
            <w:tcW w:w="1245" w:type="dxa"/>
            <w:noWrap w:val="0"/>
            <w:vAlign w:val="center"/>
          </w:tcPr>
          <w:p>
            <w:pPr>
              <w:spacing w:line="440" w:lineRule="exact"/>
              <w:jc w:val="center"/>
              <w:rPr>
                <w:rFonts w:hint="eastAsia" w:ascii="宋体" w:hAnsi="宋体" w:cs="宋体"/>
                <w:color w:val="auto"/>
                <w:highlight w:val="none"/>
              </w:rPr>
            </w:pPr>
          </w:p>
        </w:tc>
        <w:tc>
          <w:tcPr>
            <w:tcW w:w="2767" w:type="dxa"/>
            <w:gridSpan w:val="3"/>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拟在本项目任职</w:t>
            </w:r>
          </w:p>
        </w:tc>
        <w:tc>
          <w:tcPr>
            <w:tcW w:w="2219"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85"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工作年限</w:t>
            </w:r>
          </w:p>
        </w:tc>
        <w:tc>
          <w:tcPr>
            <w:tcW w:w="3587" w:type="dxa"/>
            <w:gridSpan w:val="4"/>
            <w:noWrap w:val="0"/>
            <w:vAlign w:val="center"/>
          </w:tcPr>
          <w:p>
            <w:pPr>
              <w:spacing w:line="440" w:lineRule="exact"/>
              <w:jc w:val="center"/>
              <w:rPr>
                <w:rFonts w:hint="eastAsia" w:ascii="宋体" w:hAnsi="宋体" w:cs="宋体"/>
                <w:color w:val="auto"/>
                <w:highlight w:val="none"/>
              </w:rPr>
            </w:pPr>
          </w:p>
        </w:tc>
        <w:tc>
          <w:tcPr>
            <w:tcW w:w="2767" w:type="dxa"/>
            <w:gridSpan w:val="3"/>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从事监理工作年限</w:t>
            </w:r>
          </w:p>
        </w:tc>
        <w:tc>
          <w:tcPr>
            <w:tcW w:w="2219"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385"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毕业学校</w:t>
            </w:r>
          </w:p>
        </w:tc>
        <w:tc>
          <w:tcPr>
            <w:tcW w:w="8573" w:type="dxa"/>
            <w:gridSpan w:val="8"/>
            <w:noWrap w:val="0"/>
            <w:vAlign w:val="center"/>
          </w:tcPr>
          <w:p>
            <w:pPr>
              <w:spacing w:before="100" w:beforeAutospacing="1" w:after="100" w:afterAutospacing="1" w:line="440" w:lineRule="exact"/>
              <w:ind w:firstLine="1155" w:firstLineChars="550"/>
              <w:rPr>
                <w:rFonts w:hint="eastAsia" w:ascii="宋体" w:hAnsi="宋体" w:cs="宋体"/>
                <w:color w:val="auto"/>
                <w:highlight w:val="none"/>
              </w:rPr>
            </w:pPr>
            <w:r>
              <w:rPr>
                <w:rFonts w:hint="eastAsia" w:ascii="宋体" w:hAnsi="宋体" w:cs="宋体"/>
                <w:color w:val="auto"/>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958" w:type="dxa"/>
            <w:gridSpan w:val="9"/>
            <w:noWrap w:val="0"/>
            <w:vAlign w:val="center"/>
          </w:tcPr>
          <w:p>
            <w:pPr>
              <w:spacing w:before="100" w:beforeAutospacing="1" w:after="100" w:afterAutospacing="1" w:line="440" w:lineRule="exact"/>
              <w:jc w:val="left"/>
              <w:rPr>
                <w:rFonts w:hint="eastAsia" w:ascii="宋体" w:hAnsi="宋体" w:cs="宋体"/>
                <w:color w:val="auto"/>
                <w:highlight w:val="none"/>
              </w:rPr>
            </w:pPr>
            <w:r>
              <w:rPr>
                <w:rFonts w:hint="eastAsia" w:ascii="宋体" w:hAnsi="宋体" w:cs="宋体"/>
                <w:color w:val="auto"/>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801" w:type="dxa"/>
            <w:gridSpan w:val="2"/>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时  间</w:t>
            </w:r>
          </w:p>
        </w:tc>
        <w:tc>
          <w:tcPr>
            <w:tcW w:w="3996" w:type="dxa"/>
            <w:gridSpan w:val="4"/>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参加过的类似项目</w:t>
            </w:r>
          </w:p>
        </w:tc>
        <w:tc>
          <w:tcPr>
            <w:tcW w:w="1474"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担任职务</w:t>
            </w:r>
          </w:p>
        </w:tc>
        <w:tc>
          <w:tcPr>
            <w:tcW w:w="2687" w:type="dxa"/>
            <w:gridSpan w:val="2"/>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top"/>
          </w:tcPr>
          <w:p>
            <w:pPr>
              <w:spacing w:line="440" w:lineRule="exact"/>
              <w:rPr>
                <w:rFonts w:hint="eastAsia" w:ascii="宋体" w:hAnsi="宋体" w:cs="宋体"/>
                <w:color w:val="auto"/>
                <w:highlight w:val="none"/>
              </w:rPr>
            </w:pPr>
          </w:p>
        </w:tc>
        <w:tc>
          <w:tcPr>
            <w:tcW w:w="3996" w:type="dxa"/>
            <w:gridSpan w:val="4"/>
            <w:noWrap w:val="0"/>
            <w:vAlign w:val="top"/>
          </w:tcPr>
          <w:p>
            <w:pPr>
              <w:spacing w:line="440" w:lineRule="exact"/>
              <w:rPr>
                <w:rFonts w:hint="eastAsia" w:ascii="宋体" w:hAnsi="宋体" w:cs="宋体"/>
                <w:color w:val="auto"/>
                <w:highlight w:val="none"/>
              </w:rPr>
            </w:pPr>
          </w:p>
        </w:tc>
        <w:tc>
          <w:tcPr>
            <w:tcW w:w="1474" w:type="dxa"/>
            <w:noWrap w:val="0"/>
            <w:vAlign w:val="top"/>
          </w:tcPr>
          <w:p>
            <w:pPr>
              <w:spacing w:line="440" w:lineRule="exact"/>
              <w:rPr>
                <w:rFonts w:hint="eastAsia" w:ascii="宋体" w:hAnsi="宋体" w:cs="宋体"/>
                <w:color w:val="auto"/>
                <w:highlight w:val="none"/>
              </w:rPr>
            </w:pPr>
          </w:p>
        </w:tc>
        <w:tc>
          <w:tcPr>
            <w:tcW w:w="2687" w:type="dxa"/>
            <w:gridSpan w:val="2"/>
            <w:noWrap w:val="0"/>
            <w:vAlign w:val="top"/>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top"/>
          </w:tcPr>
          <w:p>
            <w:pPr>
              <w:spacing w:line="440" w:lineRule="exact"/>
              <w:rPr>
                <w:rFonts w:hint="eastAsia" w:ascii="宋体" w:hAnsi="宋体" w:cs="宋体"/>
                <w:color w:val="auto"/>
                <w:highlight w:val="none"/>
              </w:rPr>
            </w:pPr>
          </w:p>
        </w:tc>
        <w:tc>
          <w:tcPr>
            <w:tcW w:w="3996" w:type="dxa"/>
            <w:gridSpan w:val="4"/>
            <w:noWrap w:val="0"/>
            <w:vAlign w:val="top"/>
          </w:tcPr>
          <w:p>
            <w:pPr>
              <w:spacing w:line="440" w:lineRule="exact"/>
              <w:rPr>
                <w:rFonts w:hint="eastAsia" w:ascii="宋体" w:hAnsi="宋体" w:cs="宋体"/>
                <w:color w:val="auto"/>
                <w:highlight w:val="none"/>
              </w:rPr>
            </w:pPr>
          </w:p>
        </w:tc>
        <w:tc>
          <w:tcPr>
            <w:tcW w:w="1474" w:type="dxa"/>
            <w:noWrap w:val="0"/>
            <w:vAlign w:val="top"/>
          </w:tcPr>
          <w:p>
            <w:pPr>
              <w:spacing w:line="440" w:lineRule="exact"/>
              <w:rPr>
                <w:rFonts w:hint="eastAsia" w:ascii="宋体" w:hAnsi="宋体" w:cs="宋体"/>
                <w:color w:val="auto"/>
                <w:highlight w:val="none"/>
              </w:rPr>
            </w:pPr>
          </w:p>
        </w:tc>
        <w:tc>
          <w:tcPr>
            <w:tcW w:w="2687" w:type="dxa"/>
            <w:gridSpan w:val="2"/>
            <w:noWrap w:val="0"/>
            <w:vAlign w:val="top"/>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top"/>
          </w:tcPr>
          <w:p>
            <w:pPr>
              <w:spacing w:line="440" w:lineRule="exact"/>
              <w:rPr>
                <w:rFonts w:hint="eastAsia" w:ascii="宋体" w:hAnsi="宋体" w:cs="宋体"/>
                <w:color w:val="auto"/>
                <w:highlight w:val="none"/>
              </w:rPr>
            </w:pPr>
          </w:p>
        </w:tc>
        <w:tc>
          <w:tcPr>
            <w:tcW w:w="3996" w:type="dxa"/>
            <w:gridSpan w:val="4"/>
            <w:noWrap w:val="0"/>
            <w:vAlign w:val="top"/>
          </w:tcPr>
          <w:p>
            <w:pPr>
              <w:spacing w:line="440" w:lineRule="exact"/>
              <w:rPr>
                <w:rFonts w:hint="eastAsia" w:ascii="宋体" w:hAnsi="宋体" w:cs="宋体"/>
                <w:color w:val="auto"/>
                <w:highlight w:val="none"/>
              </w:rPr>
            </w:pPr>
          </w:p>
        </w:tc>
        <w:tc>
          <w:tcPr>
            <w:tcW w:w="1474" w:type="dxa"/>
            <w:noWrap w:val="0"/>
            <w:vAlign w:val="top"/>
          </w:tcPr>
          <w:p>
            <w:pPr>
              <w:spacing w:line="440" w:lineRule="exact"/>
              <w:rPr>
                <w:rFonts w:hint="eastAsia" w:ascii="宋体" w:hAnsi="宋体" w:cs="宋体"/>
                <w:color w:val="auto"/>
                <w:highlight w:val="none"/>
              </w:rPr>
            </w:pPr>
          </w:p>
        </w:tc>
        <w:tc>
          <w:tcPr>
            <w:tcW w:w="2687" w:type="dxa"/>
            <w:gridSpan w:val="2"/>
            <w:noWrap w:val="0"/>
            <w:vAlign w:val="top"/>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bl>
    <w:p>
      <w:pPr>
        <w:spacing w:line="440" w:lineRule="exact"/>
        <w:rPr>
          <w:rFonts w:hint="eastAsia" w:ascii="宋体" w:hAnsi="宋体" w:cs="宋体"/>
          <w:color w:val="auto"/>
          <w:highlight w:val="none"/>
        </w:rPr>
      </w:pPr>
      <w:r>
        <w:rPr>
          <w:rFonts w:hint="eastAsia" w:ascii="宋体" w:hAnsi="宋体" w:cs="宋体"/>
          <w:color w:val="auto"/>
          <w:highlight w:val="none"/>
        </w:rPr>
        <w:t>注：投标人应根据投标人须知第3.5.4项的要求在本表后附相关证明材料。</w:t>
      </w:r>
    </w:p>
    <w:p>
      <w:pPr>
        <w:spacing w:line="440" w:lineRule="exact"/>
        <w:rPr>
          <w:rFonts w:hint="eastAsia" w:ascii="宋体" w:hAnsi="宋体" w:cs="宋体"/>
          <w:color w:val="auto"/>
          <w:highlight w:val="none"/>
        </w:rPr>
      </w:pPr>
      <w:bookmarkStart w:id="622" w:name="_Toc352703741"/>
      <w:bookmarkStart w:id="623" w:name="_Toc300835229"/>
    </w:p>
    <w:p>
      <w:pPr>
        <w:spacing w:line="440" w:lineRule="exact"/>
        <w:jc w:val="center"/>
        <w:rPr>
          <w:rFonts w:hint="eastAsia" w:ascii="宋体" w:hAnsi="宋体" w:cs="宋体"/>
          <w:color w:val="auto"/>
          <w:sz w:val="28"/>
          <w:szCs w:val="20"/>
          <w:highlight w:val="none"/>
        </w:rPr>
      </w:pPr>
    </w:p>
    <w:p>
      <w:pPr>
        <w:pStyle w:val="5"/>
        <w:keepNext w:val="0"/>
        <w:keepLines w:val="0"/>
        <w:spacing w:before="20" w:after="0"/>
        <w:ind w:firstLine="137"/>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624" w:name="_Toc16156"/>
      <w:r>
        <w:rPr>
          <w:rFonts w:hint="eastAsia" w:ascii="宋体" w:hAnsi="宋体" w:eastAsia="宋体" w:cs="宋体"/>
          <w:color w:val="auto"/>
          <w:highlight w:val="none"/>
        </w:rPr>
        <w:t>（三）投标登记前已办理企业信息登记网页信息截图</w:t>
      </w:r>
      <w:bookmarkEnd w:id="624"/>
    </w:p>
    <w:p>
      <w:pPr>
        <w:spacing w:line="440" w:lineRule="exact"/>
        <w:rPr>
          <w:rFonts w:hint="eastAsia" w:ascii="宋体" w:hAnsi="宋体" w:cs="宋体"/>
          <w:color w:val="auto"/>
          <w:highlight w:val="none"/>
        </w:rPr>
      </w:pPr>
    </w:p>
    <w:p>
      <w:pPr>
        <w:spacing w:line="440" w:lineRule="exact"/>
        <w:jc w:val="center"/>
        <w:rPr>
          <w:rFonts w:hint="eastAsia" w:ascii="宋体" w:hAnsi="宋体" w:cs="宋体"/>
          <w:color w:val="auto"/>
          <w:highlight w:val="none"/>
        </w:rPr>
      </w:pPr>
      <w:r>
        <w:rPr>
          <w:rFonts w:hint="eastAsia" w:ascii="宋体" w:hAnsi="宋体" w:cs="宋体"/>
          <w:color w:val="auto"/>
          <w:highlight w:val="none"/>
        </w:rPr>
        <w:t>注：投标人应根据投标人须知第3.5.5项的要求附相关证明材料。</w:t>
      </w:r>
    </w:p>
    <w:bookmarkEnd w:id="622"/>
    <w:bookmarkEnd w:id="623"/>
    <w:p>
      <w:pPr>
        <w:pStyle w:val="13"/>
        <w:tabs>
          <w:tab w:val="right" w:leader="dot" w:pos="8640"/>
        </w:tabs>
        <w:ind w:left="840"/>
        <w:rPr>
          <w:rFonts w:hint="eastAsia" w:ascii="宋体" w:hAnsi="宋体" w:cs="宋体"/>
          <w:color w:val="auto"/>
          <w:highlight w:val="none"/>
        </w:rPr>
      </w:pPr>
      <w:bookmarkStart w:id="625" w:name="_Toc482188666"/>
    </w:p>
    <w:p>
      <w:pPr>
        <w:pStyle w:val="5"/>
        <w:keepNext w:val="0"/>
        <w:keepLines w:val="0"/>
        <w:spacing w:before="20" w:after="0"/>
        <w:ind w:firstLine="137"/>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625"/>
      <w:bookmarkStart w:id="626" w:name="_Toc21423"/>
      <w:r>
        <w:rPr>
          <w:rFonts w:hint="eastAsia" w:ascii="宋体" w:hAnsi="宋体" w:eastAsia="宋体" w:cs="宋体"/>
          <w:color w:val="auto"/>
          <w:highlight w:val="none"/>
        </w:rPr>
        <w:t>（四）投标人声明</w:t>
      </w:r>
      <w:bookmarkEnd w:id="626"/>
    </w:p>
    <w:p>
      <w:pPr>
        <w:jc w:val="center"/>
        <w:rPr>
          <w:rFonts w:hint="eastAsia" w:ascii="宋体" w:hAnsi="宋体" w:cs="宋体"/>
          <w:color w:val="auto"/>
          <w:sz w:val="28"/>
          <w:szCs w:val="28"/>
          <w:highlight w:val="none"/>
        </w:rPr>
      </w:pPr>
      <w:bookmarkStart w:id="627" w:name="_Toc5109"/>
      <w:r>
        <w:rPr>
          <w:rFonts w:hint="eastAsia" w:ascii="宋体" w:hAnsi="宋体" w:cs="宋体"/>
          <w:color w:val="auto"/>
          <w:sz w:val="28"/>
          <w:szCs w:val="28"/>
          <w:highlight w:val="none"/>
        </w:rPr>
        <w:t>格式详见招标公告附件一</w:t>
      </w:r>
      <w:bookmarkEnd w:id="627"/>
    </w:p>
    <w:p>
      <w:pPr>
        <w:jc w:val="right"/>
        <w:rPr>
          <w:rFonts w:hint="eastAsia" w:ascii="宋体" w:hAnsi="宋体" w:cs="宋体"/>
          <w:color w:val="auto"/>
          <w:kern w:val="0"/>
          <w:sz w:val="24"/>
          <w:highlight w:val="none"/>
        </w:rPr>
      </w:pPr>
    </w:p>
    <w:p>
      <w:pPr>
        <w:rPr>
          <w:rFonts w:hint="eastAsia" w:ascii="宋体" w:hAnsi="宋体" w:cs="宋体"/>
          <w:color w:val="auto"/>
          <w:kern w:val="0"/>
          <w:sz w:val="24"/>
          <w:highlight w:val="none"/>
        </w:rPr>
      </w:pPr>
    </w:p>
    <w:p>
      <w:pPr>
        <w:rPr>
          <w:rFonts w:hint="eastAsia" w:ascii="宋体" w:hAnsi="宋体" w:cs="宋体"/>
          <w:color w:val="auto"/>
          <w:sz w:val="28"/>
          <w:szCs w:val="28"/>
          <w:highlight w:val="none"/>
        </w:rPr>
      </w:pPr>
    </w:p>
    <w:p>
      <w:pPr>
        <w:jc w:val="center"/>
        <w:rPr>
          <w:rFonts w:hint="eastAsia" w:ascii="宋体" w:hAnsi="宋体" w:cs="宋体"/>
          <w:color w:val="auto"/>
          <w:sz w:val="28"/>
          <w:szCs w:val="20"/>
          <w:highlight w:val="none"/>
        </w:rPr>
      </w:pPr>
    </w:p>
    <w:p>
      <w:pPr>
        <w:rPr>
          <w:rFonts w:hint="eastAsia"/>
          <w:color w:val="auto"/>
          <w:highlight w:val="none"/>
        </w:rPr>
      </w:pPr>
      <w:r>
        <w:rPr>
          <w:rFonts w:hint="eastAsia" w:ascii="宋体" w:hAnsi="宋体" w:cs="宋体"/>
          <w:color w:val="auto"/>
          <w:highlight w:val="none"/>
        </w:rPr>
        <w:br w:type="page"/>
      </w:r>
      <w:bookmarkStart w:id="628" w:name="_Toc18863"/>
      <w:r>
        <w:rPr>
          <w:rFonts w:hint="eastAsia" w:ascii="宋体" w:hAnsi="宋体" w:cs="宋体"/>
          <w:bCs/>
          <w:color w:val="auto"/>
          <w:sz w:val="32"/>
          <w:szCs w:val="20"/>
          <w:highlight w:val="none"/>
        </w:rPr>
        <w:t>六、监理大纲</w:t>
      </w:r>
      <w:bookmarkEnd w:id="628"/>
    </w:p>
    <w:p>
      <w:pPr>
        <w:spacing w:line="360" w:lineRule="auto"/>
        <w:ind w:firstLine="474" w:firstLineChars="226"/>
        <w:rPr>
          <w:rFonts w:hint="eastAsia" w:ascii="宋体" w:hAnsi="宋体" w:cs="宋体"/>
          <w:color w:val="auto"/>
          <w:szCs w:val="21"/>
          <w:highlight w:val="none"/>
        </w:rPr>
      </w:pPr>
    </w:p>
    <w:p>
      <w:pPr>
        <w:spacing w:line="360" w:lineRule="auto"/>
        <w:ind w:firstLine="474" w:firstLineChars="226"/>
        <w:rPr>
          <w:rFonts w:hint="eastAsia" w:ascii="宋体" w:hAnsi="宋体" w:cs="宋体"/>
          <w:color w:val="auto"/>
          <w:szCs w:val="21"/>
          <w:highlight w:val="none"/>
        </w:rPr>
      </w:pPr>
      <w:r>
        <w:rPr>
          <w:rFonts w:hint="eastAsia" w:ascii="宋体" w:hAnsi="宋体" w:cs="宋体"/>
          <w:color w:val="auto"/>
          <w:szCs w:val="21"/>
          <w:highlight w:val="none"/>
        </w:rPr>
        <w:t>监理大纲应包括（但不限于）下列内容：</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一、监理范围、监理内容</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二、监理依据、监理工作目标</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三、监理机构（框图）设置和岗位职责</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四、监理工作程序、方法和制度</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五、质量、进度、投资、安全、环保监理措施</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六、合同、信息管理方案</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七、监理组织协调内容及措施</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八、监理工作重点、难点分析</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九、会议制度</w:t>
      </w:r>
    </w:p>
    <w:p>
      <w:pPr>
        <w:spacing w:line="360" w:lineRule="auto"/>
        <w:ind w:firstLine="420" w:firstLineChars="200"/>
        <w:rPr>
          <w:rFonts w:hint="default" w:ascii="宋体" w:hAnsi="宋体" w:eastAsia="宋体" w:cs="Times New Roman"/>
          <w:color w:val="auto"/>
          <w:highlight w:val="none"/>
          <w:lang w:val="en-US" w:eastAsia="zh-CN"/>
        </w:rPr>
      </w:pPr>
      <w:r>
        <w:rPr>
          <w:rFonts w:hint="default" w:ascii="宋体" w:hAnsi="宋体" w:eastAsia="宋体" w:cs="Times New Roman"/>
          <w:color w:val="auto"/>
          <w:highlight w:val="none"/>
          <w:lang w:val="en-US" w:eastAsia="zh-CN"/>
        </w:rPr>
        <w:t>十、合理化建议</w:t>
      </w:r>
    </w:p>
    <w:p>
      <w:pPr>
        <w:rPr>
          <w:rFonts w:hint="eastAsia" w:ascii="宋体" w:hAnsi="宋体" w:cs="宋体"/>
          <w:color w:val="auto"/>
          <w:highlight w:val="none"/>
        </w:rPr>
      </w:pPr>
      <w:r>
        <w:rPr>
          <w:rFonts w:hint="eastAsia" w:ascii="宋体" w:hAnsi="宋体" w:cs="宋体"/>
          <w:color w:val="auto"/>
          <w:highlight w:val="none"/>
        </w:rPr>
        <w:t>………</w:t>
      </w:r>
    </w:p>
    <w:p>
      <w:pPr>
        <w:rPr>
          <w:rFonts w:hint="eastAsia" w:ascii="宋体" w:hAnsi="宋体" w:cs="宋体"/>
          <w:color w:val="auto"/>
          <w:highlight w:val="none"/>
        </w:rPr>
      </w:pPr>
    </w:p>
    <w:p>
      <w:pPr>
        <w:rPr>
          <w:rFonts w:hint="eastAsia" w:ascii="宋体" w:hAnsi="宋体" w:cs="宋体"/>
          <w:color w:val="auto"/>
          <w:highlight w:val="none"/>
        </w:rPr>
      </w:pPr>
    </w:p>
    <w:p>
      <w:pPr>
        <w:pStyle w:val="4"/>
        <w:keepNext w:val="0"/>
        <w:keepLines w:val="0"/>
        <w:spacing w:after="0"/>
        <w:jc w:val="center"/>
        <w:rPr>
          <w:rFonts w:hint="eastAsia" w:ascii="宋体" w:hAnsi="宋体" w:eastAsia="宋体" w:cs="宋体"/>
          <w:b w:val="0"/>
          <w:color w:val="auto"/>
          <w:highlight w:val="none"/>
        </w:rPr>
      </w:pPr>
      <w:r>
        <w:rPr>
          <w:rFonts w:hint="eastAsia" w:ascii="宋体" w:hAnsi="宋体" w:eastAsia="宋体" w:cs="宋体"/>
          <w:color w:val="auto"/>
          <w:highlight w:val="none"/>
        </w:rPr>
        <w:br w:type="page"/>
      </w:r>
      <w:bookmarkStart w:id="629" w:name="_Toc21430"/>
      <w:r>
        <w:rPr>
          <w:rFonts w:hint="eastAsia" w:ascii="宋体" w:hAnsi="宋体" w:eastAsia="宋体" w:cs="宋体"/>
          <w:b w:val="0"/>
          <w:color w:val="auto"/>
          <w:highlight w:val="none"/>
        </w:rPr>
        <w:t>七、其他资料</w:t>
      </w:r>
      <w:bookmarkEnd w:id="629"/>
    </w:p>
    <w:p>
      <w:pPr>
        <w:pStyle w:val="5"/>
        <w:keepNext w:val="0"/>
        <w:keepLines w:val="0"/>
        <w:ind w:firstLine="137"/>
        <w:jc w:val="center"/>
        <w:rPr>
          <w:rFonts w:hint="eastAsia" w:ascii="宋体" w:hAnsi="宋体" w:eastAsia="宋体" w:cs="宋体"/>
          <w:color w:val="auto"/>
          <w:highlight w:val="none"/>
        </w:rPr>
      </w:pPr>
      <w:bookmarkStart w:id="630" w:name="_Toc7162"/>
      <w:r>
        <w:rPr>
          <w:rFonts w:hint="eastAsia" w:ascii="宋体" w:hAnsi="宋体" w:eastAsia="宋体" w:cs="宋体"/>
          <w:color w:val="auto"/>
          <w:highlight w:val="none"/>
        </w:rPr>
        <w:t>（一）近年企业承接过的类似项目情况表</w:t>
      </w:r>
      <w:bookmarkEnd w:id="630"/>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项目名称</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项目所在地</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委托人名称</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委托人地址</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委托人电话</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合同价格</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监理服务期限</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监理内容</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总监理工程师</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项目描述</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p>
            <w:pPr>
              <w:topLinePunct/>
              <w:spacing w:line="440" w:lineRule="exact"/>
              <w:rPr>
                <w:rFonts w:hint="eastAsia" w:ascii="宋体" w:hAnsi="宋体" w:cs="宋体"/>
                <w:color w:val="auto"/>
                <w:highlight w:val="none"/>
              </w:rPr>
            </w:pPr>
          </w:p>
          <w:p>
            <w:pPr>
              <w:topLinePunct/>
              <w:spacing w:line="440" w:lineRule="exact"/>
              <w:rPr>
                <w:rFonts w:hint="eastAsia" w:ascii="宋体" w:hAnsi="宋体" w:cs="宋体"/>
                <w:color w:val="auto"/>
                <w:highlight w:val="none"/>
              </w:rPr>
            </w:pPr>
          </w:p>
          <w:p>
            <w:pPr>
              <w:topLinePunct/>
              <w:spacing w:line="440" w:lineRule="exact"/>
              <w:rPr>
                <w:rFonts w:hint="eastAsia" w:ascii="宋体" w:hAnsi="宋体" w:cs="宋体"/>
                <w:color w:val="auto"/>
                <w:highlight w:val="none"/>
              </w:rPr>
            </w:pPr>
          </w:p>
          <w:p>
            <w:pPr>
              <w:topLinePunct/>
              <w:spacing w:line="440" w:lineRule="exact"/>
              <w:rPr>
                <w:rFonts w:hint="eastAsia" w:ascii="宋体" w:hAnsi="宋体" w:cs="宋体"/>
                <w:color w:val="auto"/>
                <w:highlight w:val="none"/>
              </w:rPr>
            </w:pPr>
          </w:p>
          <w:p>
            <w:pPr>
              <w:topLinePunct/>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highlight w:val="none"/>
              </w:rPr>
            </w:pPr>
            <w:r>
              <w:rPr>
                <w:rFonts w:hint="eastAsia" w:ascii="宋体" w:hAnsi="宋体" w:cs="宋体"/>
                <w:color w:val="auto"/>
                <w:highlight w:val="none"/>
              </w:rPr>
              <w:t>备注</w:t>
            </w:r>
          </w:p>
        </w:tc>
        <w:tc>
          <w:tcPr>
            <w:tcW w:w="7308" w:type="dxa"/>
            <w:tcBorders>
              <w:top w:val="single" w:color="auto" w:sz="4" w:space="0"/>
              <w:left w:val="single" w:color="auto" w:sz="4" w:space="0"/>
              <w:bottom w:val="single" w:color="auto" w:sz="4" w:space="0"/>
              <w:right w:val="single" w:color="auto" w:sz="4" w:space="0"/>
            </w:tcBorders>
            <w:noWrap w:val="0"/>
            <w:vAlign w:val="top"/>
          </w:tcPr>
          <w:p>
            <w:pPr>
              <w:topLinePunct/>
              <w:spacing w:line="440" w:lineRule="exact"/>
              <w:rPr>
                <w:rFonts w:hint="eastAsia" w:ascii="宋体" w:hAnsi="宋体" w:cs="宋体"/>
                <w:color w:val="auto"/>
                <w:highlight w:val="none"/>
              </w:rPr>
            </w:pPr>
          </w:p>
        </w:tc>
      </w:tr>
    </w:tbl>
    <w:p>
      <w:pPr>
        <w:spacing w:line="440" w:lineRule="exact"/>
        <w:rPr>
          <w:rFonts w:hint="eastAsia" w:ascii="宋体" w:hAnsi="宋体" w:cs="宋体"/>
          <w:color w:val="auto"/>
          <w:highlight w:val="none"/>
        </w:rPr>
      </w:pPr>
      <w:r>
        <w:rPr>
          <w:rFonts w:hint="eastAsia" w:ascii="宋体" w:hAnsi="宋体" w:cs="宋体"/>
          <w:color w:val="auto"/>
          <w:highlight w:val="none"/>
        </w:rPr>
        <w:t>注：投标人应根据评标办法前附表第2.2.4项说明的要求在本表后附相关证明材料。</w:t>
      </w:r>
    </w:p>
    <w:p>
      <w:pPr>
        <w:spacing w:line="440" w:lineRule="exact"/>
        <w:rPr>
          <w:rFonts w:hint="eastAsia" w:ascii="宋体" w:hAnsi="宋体" w:cs="宋体"/>
          <w:color w:val="auto"/>
          <w:highlight w:val="none"/>
        </w:rPr>
      </w:pPr>
    </w:p>
    <w:p>
      <w:pPr>
        <w:pStyle w:val="2"/>
        <w:rPr>
          <w:rFonts w:hint="eastAsia" w:ascii="宋体" w:hAnsi="宋体" w:cs="宋体"/>
          <w:color w:val="auto"/>
          <w:highlight w:val="none"/>
        </w:rPr>
      </w:pPr>
    </w:p>
    <w:p>
      <w:pPr>
        <w:pStyle w:val="5"/>
        <w:keepNext w:val="0"/>
        <w:keepLines w:val="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631" w:name="_Toc20694"/>
      <w:r>
        <w:rPr>
          <w:rFonts w:hint="eastAsia" w:ascii="宋体" w:hAnsi="宋体" w:eastAsia="宋体" w:cs="宋体"/>
          <w:color w:val="auto"/>
          <w:highlight w:val="none"/>
        </w:rPr>
        <w:t>（二）拟委任的主要人员汇总表</w:t>
      </w:r>
      <w:bookmarkEnd w:id="631"/>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583"/>
        <w:gridCol w:w="1232"/>
        <w:gridCol w:w="747"/>
        <w:gridCol w:w="606"/>
        <w:gridCol w:w="1407"/>
        <w:gridCol w:w="879"/>
        <w:gridCol w:w="108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restart"/>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序号</w:t>
            </w:r>
          </w:p>
        </w:tc>
        <w:tc>
          <w:tcPr>
            <w:tcW w:w="1583" w:type="dxa"/>
            <w:vMerge w:val="restart"/>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本项目任职</w:t>
            </w:r>
          </w:p>
        </w:tc>
        <w:tc>
          <w:tcPr>
            <w:tcW w:w="1232" w:type="dxa"/>
            <w:vMerge w:val="restart"/>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姓名</w:t>
            </w:r>
          </w:p>
        </w:tc>
        <w:tc>
          <w:tcPr>
            <w:tcW w:w="747" w:type="dxa"/>
            <w:vMerge w:val="restart"/>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职称</w:t>
            </w:r>
          </w:p>
        </w:tc>
        <w:tc>
          <w:tcPr>
            <w:tcW w:w="606" w:type="dxa"/>
            <w:vMerge w:val="restart"/>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专业</w:t>
            </w:r>
          </w:p>
        </w:tc>
        <w:tc>
          <w:tcPr>
            <w:tcW w:w="3370" w:type="dxa"/>
            <w:gridSpan w:val="3"/>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执业或职业资格证明</w:t>
            </w:r>
          </w:p>
        </w:tc>
        <w:tc>
          <w:tcPr>
            <w:tcW w:w="1407"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noWrap w:val="0"/>
            <w:vAlign w:val="center"/>
          </w:tcPr>
          <w:p>
            <w:pPr>
              <w:rPr>
                <w:rFonts w:hint="eastAsia" w:ascii="宋体" w:hAnsi="宋体" w:cs="宋体"/>
                <w:color w:val="auto"/>
                <w:highlight w:val="none"/>
              </w:rPr>
            </w:pPr>
          </w:p>
        </w:tc>
        <w:tc>
          <w:tcPr>
            <w:tcW w:w="1583" w:type="dxa"/>
            <w:vMerge w:val="continue"/>
            <w:noWrap w:val="0"/>
            <w:vAlign w:val="top"/>
          </w:tcPr>
          <w:p>
            <w:pPr>
              <w:rPr>
                <w:rFonts w:hint="eastAsia" w:ascii="宋体" w:hAnsi="宋体" w:cs="宋体"/>
                <w:color w:val="auto"/>
                <w:highlight w:val="none"/>
              </w:rPr>
            </w:pPr>
          </w:p>
        </w:tc>
        <w:tc>
          <w:tcPr>
            <w:tcW w:w="1232" w:type="dxa"/>
            <w:vMerge w:val="continue"/>
            <w:noWrap w:val="0"/>
            <w:vAlign w:val="center"/>
          </w:tcPr>
          <w:p>
            <w:pPr>
              <w:rPr>
                <w:rFonts w:hint="eastAsia" w:ascii="宋体" w:hAnsi="宋体" w:cs="宋体"/>
                <w:color w:val="auto"/>
                <w:highlight w:val="none"/>
              </w:rPr>
            </w:pPr>
          </w:p>
        </w:tc>
        <w:tc>
          <w:tcPr>
            <w:tcW w:w="747" w:type="dxa"/>
            <w:vMerge w:val="continue"/>
            <w:noWrap w:val="0"/>
            <w:vAlign w:val="center"/>
          </w:tcPr>
          <w:p>
            <w:pPr>
              <w:rPr>
                <w:rFonts w:hint="eastAsia" w:ascii="宋体" w:hAnsi="宋体" w:cs="宋体"/>
                <w:color w:val="auto"/>
                <w:highlight w:val="none"/>
              </w:rPr>
            </w:pPr>
          </w:p>
        </w:tc>
        <w:tc>
          <w:tcPr>
            <w:tcW w:w="606" w:type="dxa"/>
            <w:vMerge w:val="continue"/>
            <w:noWrap w:val="0"/>
            <w:vAlign w:val="center"/>
          </w:tcPr>
          <w:p>
            <w:pPr>
              <w:spacing w:line="440" w:lineRule="exact"/>
              <w:jc w:val="center"/>
              <w:rPr>
                <w:rFonts w:hint="eastAsia" w:ascii="宋体" w:hAnsi="宋体" w:cs="宋体"/>
                <w:color w:val="auto"/>
                <w:highlight w:val="none"/>
              </w:rPr>
            </w:pPr>
          </w:p>
        </w:tc>
        <w:tc>
          <w:tcPr>
            <w:tcW w:w="1407"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证书名称</w:t>
            </w:r>
          </w:p>
        </w:tc>
        <w:tc>
          <w:tcPr>
            <w:tcW w:w="879"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级别</w:t>
            </w:r>
          </w:p>
        </w:tc>
        <w:tc>
          <w:tcPr>
            <w:tcW w:w="1084"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证号</w:t>
            </w:r>
          </w:p>
        </w:tc>
        <w:tc>
          <w:tcPr>
            <w:tcW w:w="1407"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center"/>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center"/>
          </w:tcPr>
          <w:p>
            <w:pPr>
              <w:spacing w:line="440" w:lineRule="exact"/>
              <w:jc w:val="center"/>
              <w:rPr>
                <w:rFonts w:hint="eastAsia" w:ascii="宋体" w:hAnsi="宋体" w:cs="宋体"/>
                <w:color w:val="auto"/>
                <w:highlight w:val="none"/>
              </w:rPr>
            </w:pPr>
          </w:p>
        </w:tc>
        <w:tc>
          <w:tcPr>
            <w:tcW w:w="747" w:type="dxa"/>
            <w:noWrap w:val="0"/>
            <w:vAlign w:val="center"/>
          </w:tcPr>
          <w:p>
            <w:pPr>
              <w:spacing w:line="440" w:lineRule="exact"/>
              <w:jc w:val="center"/>
              <w:rPr>
                <w:rFonts w:hint="eastAsia" w:ascii="宋体" w:hAnsi="宋体" w:cs="宋体"/>
                <w:color w:val="auto"/>
                <w:highlight w:val="none"/>
              </w:rPr>
            </w:pPr>
          </w:p>
        </w:tc>
        <w:tc>
          <w:tcPr>
            <w:tcW w:w="606" w:type="dxa"/>
            <w:noWrap w:val="0"/>
            <w:vAlign w:val="center"/>
          </w:tcPr>
          <w:p>
            <w:pPr>
              <w:spacing w:line="440" w:lineRule="exact"/>
              <w:jc w:val="center"/>
              <w:rPr>
                <w:rFonts w:hint="eastAsia" w:ascii="宋体" w:hAnsi="宋体" w:cs="宋体"/>
                <w:color w:val="auto"/>
                <w:highlight w:val="none"/>
              </w:rPr>
            </w:pPr>
          </w:p>
        </w:tc>
        <w:tc>
          <w:tcPr>
            <w:tcW w:w="1407" w:type="dxa"/>
            <w:noWrap w:val="0"/>
            <w:vAlign w:val="center"/>
          </w:tcPr>
          <w:p>
            <w:pPr>
              <w:spacing w:line="440" w:lineRule="exact"/>
              <w:jc w:val="center"/>
              <w:rPr>
                <w:rFonts w:hint="eastAsia" w:ascii="宋体" w:hAnsi="宋体" w:cs="宋体"/>
                <w:color w:val="auto"/>
                <w:highlight w:val="none"/>
              </w:rPr>
            </w:pPr>
          </w:p>
        </w:tc>
        <w:tc>
          <w:tcPr>
            <w:tcW w:w="879" w:type="dxa"/>
            <w:noWrap w:val="0"/>
            <w:vAlign w:val="center"/>
          </w:tcPr>
          <w:p>
            <w:pPr>
              <w:spacing w:line="440" w:lineRule="exact"/>
              <w:jc w:val="center"/>
              <w:rPr>
                <w:rFonts w:hint="eastAsia" w:ascii="宋体" w:hAnsi="宋体" w:cs="宋体"/>
                <w:color w:val="auto"/>
                <w:highlight w:val="none"/>
              </w:rPr>
            </w:pPr>
          </w:p>
        </w:tc>
        <w:tc>
          <w:tcPr>
            <w:tcW w:w="1084" w:type="dxa"/>
            <w:noWrap w:val="0"/>
            <w:vAlign w:val="center"/>
          </w:tcPr>
          <w:p>
            <w:pPr>
              <w:spacing w:line="440" w:lineRule="exact"/>
              <w:jc w:val="center"/>
              <w:rPr>
                <w:rFonts w:hint="eastAsia" w:ascii="宋体" w:hAnsi="宋体" w:cs="宋体"/>
                <w:color w:val="auto"/>
                <w:highlight w:val="none"/>
              </w:rPr>
            </w:pPr>
          </w:p>
        </w:tc>
        <w:tc>
          <w:tcPr>
            <w:tcW w:w="1407"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noWrap w:val="0"/>
            <w:vAlign w:val="top"/>
          </w:tcPr>
          <w:p>
            <w:pPr>
              <w:spacing w:line="440" w:lineRule="exact"/>
              <w:jc w:val="center"/>
              <w:rPr>
                <w:rFonts w:hint="eastAsia" w:ascii="宋体" w:hAnsi="宋体" w:cs="宋体"/>
                <w:color w:val="auto"/>
                <w:highlight w:val="none"/>
              </w:rPr>
            </w:pPr>
          </w:p>
        </w:tc>
        <w:tc>
          <w:tcPr>
            <w:tcW w:w="1583" w:type="dxa"/>
            <w:noWrap w:val="0"/>
            <w:vAlign w:val="top"/>
          </w:tcPr>
          <w:p>
            <w:pPr>
              <w:spacing w:line="440" w:lineRule="exact"/>
              <w:jc w:val="center"/>
              <w:rPr>
                <w:rFonts w:hint="eastAsia" w:ascii="宋体" w:hAnsi="宋体" w:cs="宋体"/>
                <w:color w:val="auto"/>
                <w:highlight w:val="none"/>
              </w:rPr>
            </w:pPr>
          </w:p>
        </w:tc>
        <w:tc>
          <w:tcPr>
            <w:tcW w:w="1232" w:type="dxa"/>
            <w:noWrap w:val="0"/>
            <w:vAlign w:val="top"/>
          </w:tcPr>
          <w:p>
            <w:pPr>
              <w:spacing w:line="440" w:lineRule="exact"/>
              <w:jc w:val="center"/>
              <w:rPr>
                <w:rFonts w:hint="eastAsia" w:ascii="宋体" w:hAnsi="宋体" w:cs="宋体"/>
                <w:color w:val="auto"/>
                <w:highlight w:val="none"/>
              </w:rPr>
            </w:pPr>
          </w:p>
        </w:tc>
        <w:tc>
          <w:tcPr>
            <w:tcW w:w="747" w:type="dxa"/>
            <w:noWrap w:val="0"/>
            <w:vAlign w:val="top"/>
          </w:tcPr>
          <w:p>
            <w:pPr>
              <w:spacing w:line="440" w:lineRule="exact"/>
              <w:jc w:val="center"/>
              <w:rPr>
                <w:rFonts w:hint="eastAsia" w:ascii="宋体" w:hAnsi="宋体" w:cs="宋体"/>
                <w:color w:val="auto"/>
                <w:highlight w:val="none"/>
              </w:rPr>
            </w:pPr>
          </w:p>
        </w:tc>
        <w:tc>
          <w:tcPr>
            <w:tcW w:w="606"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c>
          <w:tcPr>
            <w:tcW w:w="879" w:type="dxa"/>
            <w:noWrap w:val="0"/>
            <w:vAlign w:val="top"/>
          </w:tcPr>
          <w:p>
            <w:pPr>
              <w:spacing w:line="440" w:lineRule="exact"/>
              <w:jc w:val="center"/>
              <w:rPr>
                <w:rFonts w:hint="eastAsia" w:ascii="宋体" w:hAnsi="宋体" w:cs="宋体"/>
                <w:color w:val="auto"/>
                <w:highlight w:val="none"/>
              </w:rPr>
            </w:pPr>
          </w:p>
        </w:tc>
        <w:tc>
          <w:tcPr>
            <w:tcW w:w="1084" w:type="dxa"/>
            <w:noWrap w:val="0"/>
            <w:vAlign w:val="top"/>
          </w:tcPr>
          <w:p>
            <w:pPr>
              <w:spacing w:line="440" w:lineRule="exact"/>
              <w:jc w:val="center"/>
              <w:rPr>
                <w:rFonts w:hint="eastAsia" w:ascii="宋体" w:hAnsi="宋体" w:cs="宋体"/>
                <w:color w:val="auto"/>
                <w:highlight w:val="none"/>
              </w:rPr>
            </w:pPr>
          </w:p>
        </w:tc>
        <w:tc>
          <w:tcPr>
            <w:tcW w:w="1407" w:type="dxa"/>
            <w:noWrap w:val="0"/>
            <w:vAlign w:val="top"/>
          </w:tcPr>
          <w:p>
            <w:pPr>
              <w:spacing w:line="440" w:lineRule="exact"/>
              <w:jc w:val="center"/>
              <w:rPr>
                <w:rFonts w:hint="eastAsia" w:ascii="宋体" w:hAnsi="宋体" w:cs="宋体"/>
                <w:color w:val="auto"/>
                <w:highlight w:val="none"/>
              </w:rPr>
            </w:pPr>
          </w:p>
        </w:tc>
      </w:tr>
    </w:tbl>
    <w:p>
      <w:pPr>
        <w:pStyle w:val="5"/>
        <w:keepNext w:val="0"/>
        <w:keepLines w:val="0"/>
        <w:ind w:firstLine="137"/>
        <w:jc w:val="center"/>
        <w:rPr>
          <w:rFonts w:hint="eastAsia" w:ascii="宋体" w:hAnsi="宋体" w:eastAsia="宋体" w:cs="宋体"/>
          <w:color w:val="auto"/>
          <w:highlight w:val="none"/>
        </w:rPr>
      </w:pPr>
    </w:p>
    <w:p>
      <w:pPr>
        <w:pStyle w:val="5"/>
        <w:keepNext w:val="0"/>
        <w:keepLines w:val="0"/>
        <w:ind w:firstLine="137"/>
        <w:jc w:val="center"/>
        <w:rPr>
          <w:rFonts w:hint="eastAsia" w:ascii="宋体" w:hAnsi="宋体" w:eastAsia="宋体" w:cs="宋体"/>
          <w:color w:val="auto"/>
          <w:highlight w:val="none"/>
        </w:rPr>
      </w:pPr>
    </w:p>
    <w:p>
      <w:pPr>
        <w:pStyle w:val="5"/>
        <w:keepNext w:val="0"/>
        <w:keepLines w:val="0"/>
        <w:ind w:firstLine="137"/>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632" w:name="_Toc1852"/>
      <w:r>
        <w:rPr>
          <w:rFonts w:hint="eastAsia" w:ascii="宋体" w:hAnsi="宋体" w:eastAsia="宋体" w:cs="宋体"/>
          <w:color w:val="auto"/>
          <w:highlight w:val="none"/>
        </w:rPr>
        <w:t>（三）主要人员简历表</w:t>
      </w:r>
      <w:bookmarkEnd w:id="632"/>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416"/>
        <w:gridCol w:w="809"/>
        <w:gridCol w:w="1117"/>
        <w:gridCol w:w="1245"/>
        <w:gridCol w:w="825"/>
        <w:gridCol w:w="1474"/>
        <w:gridCol w:w="468"/>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85"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姓  名</w:t>
            </w:r>
          </w:p>
        </w:tc>
        <w:tc>
          <w:tcPr>
            <w:tcW w:w="1225" w:type="dxa"/>
            <w:gridSpan w:val="2"/>
            <w:noWrap w:val="0"/>
            <w:vAlign w:val="center"/>
          </w:tcPr>
          <w:p>
            <w:pPr>
              <w:spacing w:line="440" w:lineRule="exact"/>
              <w:jc w:val="center"/>
              <w:rPr>
                <w:rFonts w:hint="eastAsia" w:ascii="宋体" w:hAnsi="宋体" w:cs="宋体"/>
                <w:color w:val="auto"/>
                <w:highlight w:val="none"/>
              </w:rPr>
            </w:pPr>
          </w:p>
        </w:tc>
        <w:tc>
          <w:tcPr>
            <w:tcW w:w="1117"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年龄</w:t>
            </w:r>
          </w:p>
        </w:tc>
        <w:tc>
          <w:tcPr>
            <w:tcW w:w="1245" w:type="dxa"/>
            <w:noWrap w:val="0"/>
            <w:vAlign w:val="center"/>
          </w:tcPr>
          <w:p>
            <w:pPr>
              <w:spacing w:line="440" w:lineRule="exact"/>
              <w:jc w:val="center"/>
              <w:rPr>
                <w:rFonts w:hint="eastAsia" w:ascii="宋体" w:hAnsi="宋体" w:cs="宋体"/>
                <w:color w:val="auto"/>
                <w:highlight w:val="none"/>
              </w:rPr>
            </w:pPr>
          </w:p>
        </w:tc>
        <w:tc>
          <w:tcPr>
            <w:tcW w:w="2767" w:type="dxa"/>
            <w:gridSpan w:val="3"/>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执业资格证书（或上岗证书）名称</w:t>
            </w:r>
          </w:p>
        </w:tc>
        <w:tc>
          <w:tcPr>
            <w:tcW w:w="2219"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85" w:type="dxa"/>
            <w:noWrap w:val="0"/>
            <w:vAlign w:val="center"/>
          </w:tcPr>
          <w:p>
            <w:pPr>
              <w:spacing w:line="440" w:lineRule="exact"/>
              <w:jc w:val="center"/>
              <w:rPr>
                <w:rFonts w:hint="eastAsia" w:ascii="宋体" w:hAnsi="宋体" w:cs="宋体"/>
                <w:color w:val="auto"/>
                <w:highlight w:val="none"/>
              </w:rPr>
            </w:pPr>
            <w:r>
              <w:rPr>
                <w:rFonts w:hint="eastAsia" w:ascii="宋体" w:hAnsi="宋体" w:cs="宋体"/>
                <w:color w:val="auto"/>
                <w:highlight w:val="none"/>
              </w:rPr>
              <w:t>职  称</w:t>
            </w:r>
          </w:p>
        </w:tc>
        <w:tc>
          <w:tcPr>
            <w:tcW w:w="1225" w:type="dxa"/>
            <w:gridSpan w:val="2"/>
            <w:noWrap w:val="0"/>
            <w:vAlign w:val="center"/>
          </w:tcPr>
          <w:p>
            <w:pPr>
              <w:spacing w:line="440" w:lineRule="exact"/>
              <w:jc w:val="center"/>
              <w:rPr>
                <w:rFonts w:hint="eastAsia" w:ascii="宋体" w:hAnsi="宋体" w:cs="宋体"/>
                <w:color w:val="auto"/>
                <w:highlight w:val="none"/>
              </w:rPr>
            </w:pPr>
          </w:p>
        </w:tc>
        <w:tc>
          <w:tcPr>
            <w:tcW w:w="1117"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学历</w:t>
            </w:r>
          </w:p>
        </w:tc>
        <w:tc>
          <w:tcPr>
            <w:tcW w:w="1245" w:type="dxa"/>
            <w:noWrap w:val="0"/>
            <w:vAlign w:val="center"/>
          </w:tcPr>
          <w:p>
            <w:pPr>
              <w:spacing w:line="440" w:lineRule="exact"/>
              <w:jc w:val="center"/>
              <w:rPr>
                <w:rFonts w:hint="eastAsia" w:ascii="宋体" w:hAnsi="宋体" w:cs="宋体"/>
                <w:color w:val="auto"/>
                <w:highlight w:val="none"/>
              </w:rPr>
            </w:pPr>
          </w:p>
        </w:tc>
        <w:tc>
          <w:tcPr>
            <w:tcW w:w="2767" w:type="dxa"/>
            <w:gridSpan w:val="3"/>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拟在本项目任职</w:t>
            </w:r>
          </w:p>
        </w:tc>
        <w:tc>
          <w:tcPr>
            <w:tcW w:w="2219"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85"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工作年限</w:t>
            </w:r>
          </w:p>
        </w:tc>
        <w:tc>
          <w:tcPr>
            <w:tcW w:w="3587" w:type="dxa"/>
            <w:gridSpan w:val="4"/>
            <w:noWrap w:val="0"/>
            <w:vAlign w:val="center"/>
          </w:tcPr>
          <w:p>
            <w:pPr>
              <w:spacing w:line="440" w:lineRule="exact"/>
              <w:jc w:val="center"/>
              <w:rPr>
                <w:rFonts w:hint="eastAsia" w:ascii="宋体" w:hAnsi="宋体" w:cs="宋体"/>
                <w:color w:val="auto"/>
                <w:highlight w:val="none"/>
              </w:rPr>
            </w:pPr>
          </w:p>
        </w:tc>
        <w:tc>
          <w:tcPr>
            <w:tcW w:w="2767" w:type="dxa"/>
            <w:gridSpan w:val="3"/>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从事监理工作年限</w:t>
            </w:r>
          </w:p>
        </w:tc>
        <w:tc>
          <w:tcPr>
            <w:tcW w:w="2219" w:type="dxa"/>
            <w:noWrap w:val="0"/>
            <w:vAlign w:val="center"/>
          </w:tcPr>
          <w:p>
            <w:pPr>
              <w:spacing w:line="440" w:lineRule="exact"/>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385"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毕业学校</w:t>
            </w:r>
          </w:p>
        </w:tc>
        <w:tc>
          <w:tcPr>
            <w:tcW w:w="8573" w:type="dxa"/>
            <w:gridSpan w:val="8"/>
            <w:noWrap w:val="0"/>
            <w:vAlign w:val="center"/>
          </w:tcPr>
          <w:p>
            <w:pPr>
              <w:spacing w:before="100" w:beforeAutospacing="1" w:after="100" w:afterAutospacing="1" w:line="440" w:lineRule="exact"/>
              <w:ind w:firstLine="1155" w:firstLineChars="550"/>
              <w:rPr>
                <w:rFonts w:hint="eastAsia" w:ascii="宋体" w:hAnsi="宋体" w:cs="宋体"/>
                <w:color w:val="auto"/>
                <w:highlight w:val="none"/>
              </w:rPr>
            </w:pPr>
            <w:r>
              <w:rPr>
                <w:rFonts w:hint="eastAsia" w:ascii="宋体" w:hAnsi="宋体" w:cs="宋体"/>
                <w:color w:val="auto"/>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958" w:type="dxa"/>
            <w:gridSpan w:val="9"/>
            <w:noWrap w:val="0"/>
            <w:vAlign w:val="center"/>
          </w:tcPr>
          <w:p>
            <w:pPr>
              <w:spacing w:before="100" w:beforeAutospacing="1" w:after="100" w:afterAutospacing="1" w:line="440" w:lineRule="exact"/>
              <w:jc w:val="left"/>
              <w:rPr>
                <w:rFonts w:hint="eastAsia" w:ascii="宋体" w:hAnsi="宋体" w:cs="宋体"/>
                <w:color w:val="auto"/>
                <w:highlight w:val="none"/>
              </w:rPr>
            </w:pPr>
            <w:r>
              <w:rPr>
                <w:rFonts w:hint="eastAsia" w:ascii="宋体" w:hAnsi="宋体" w:cs="宋体"/>
                <w:color w:val="auto"/>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801" w:type="dxa"/>
            <w:gridSpan w:val="2"/>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时  间</w:t>
            </w:r>
          </w:p>
        </w:tc>
        <w:tc>
          <w:tcPr>
            <w:tcW w:w="3996" w:type="dxa"/>
            <w:gridSpan w:val="4"/>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参加过的类似项目</w:t>
            </w:r>
          </w:p>
        </w:tc>
        <w:tc>
          <w:tcPr>
            <w:tcW w:w="1474" w:type="dxa"/>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担任职务</w:t>
            </w:r>
          </w:p>
        </w:tc>
        <w:tc>
          <w:tcPr>
            <w:tcW w:w="2687" w:type="dxa"/>
            <w:gridSpan w:val="2"/>
            <w:noWrap w:val="0"/>
            <w:vAlign w:val="center"/>
          </w:tcPr>
          <w:p>
            <w:pPr>
              <w:spacing w:before="100" w:beforeAutospacing="1" w:after="100" w:afterAutospacing="1" w:line="440" w:lineRule="exact"/>
              <w:jc w:val="center"/>
              <w:rPr>
                <w:rFonts w:hint="eastAsia" w:ascii="宋体" w:hAnsi="宋体" w:cs="宋体"/>
                <w:color w:val="auto"/>
                <w:highlight w:val="none"/>
              </w:rPr>
            </w:pPr>
            <w:r>
              <w:rPr>
                <w:rFonts w:hint="eastAsia" w:ascii="宋体" w:hAnsi="宋体" w:cs="宋体"/>
                <w:color w:val="auto"/>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top"/>
          </w:tcPr>
          <w:p>
            <w:pPr>
              <w:spacing w:line="440" w:lineRule="exact"/>
              <w:rPr>
                <w:rFonts w:hint="eastAsia" w:ascii="宋体" w:hAnsi="宋体" w:cs="宋体"/>
                <w:color w:val="auto"/>
                <w:highlight w:val="none"/>
              </w:rPr>
            </w:pPr>
          </w:p>
        </w:tc>
        <w:tc>
          <w:tcPr>
            <w:tcW w:w="3996" w:type="dxa"/>
            <w:gridSpan w:val="4"/>
            <w:noWrap w:val="0"/>
            <w:vAlign w:val="top"/>
          </w:tcPr>
          <w:p>
            <w:pPr>
              <w:spacing w:line="440" w:lineRule="exact"/>
              <w:rPr>
                <w:rFonts w:hint="eastAsia" w:ascii="宋体" w:hAnsi="宋体" w:cs="宋体"/>
                <w:color w:val="auto"/>
                <w:highlight w:val="none"/>
              </w:rPr>
            </w:pPr>
          </w:p>
        </w:tc>
        <w:tc>
          <w:tcPr>
            <w:tcW w:w="1474" w:type="dxa"/>
            <w:noWrap w:val="0"/>
            <w:vAlign w:val="top"/>
          </w:tcPr>
          <w:p>
            <w:pPr>
              <w:spacing w:line="440" w:lineRule="exact"/>
              <w:rPr>
                <w:rFonts w:hint="eastAsia" w:ascii="宋体" w:hAnsi="宋体" w:cs="宋体"/>
                <w:color w:val="auto"/>
                <w:highlight w:val="none"/>
              </w:rPr>
            </w:pPr>
          </w:p>
        </w:tc>
        <w:tc>
          <w:tcPr>
            <w:tcW w:w="2687" w:type="dxa"/>
            <w:gridSpan w:val="2"/>
            <w:noWrap w:val="0"/>
            <w:vAlign w:val="top"/>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top"/>
          </w:tcPr>
          <w:p>
            <w:pPr>
              <w:spacing w:line="440" w:lineRule="exact"/>
              <w:rPr>
                <w:rFonts w:hint="eastAsia" w:ascii="宋体" w:hAnsi="宋体" w:cs="宋体"/>
                <w:color w:val="auto"/>
                <w:highlight w:val="none"/>
              </w:rPr>
            </w:pPr>
          </w:p>
        </w:tc>
        <w:tc>
          <w:tcPr>
            <w:tcW w:w="3996" w:type="dxa"/>
            <w:gridSpan w:val="4"/>
            <w:noWrap w:val="0"/>
            <w:vAlign w:val="top"/>
          </w:tcPr>
          <w:p>
            <w:pPr>
              <w:spacing w:line="440" w:lineRule="exact"/>
              <w:rPr>
                <w:rFonts w:hint="eastAsia" w:ascii="宋体" w:hAnsi="宋体" w:cs="宋体"/>
                <w:color w:val="auto"/>
                <w:highlight w:val="none"/>
              </w:rPr>
            </w:pPr>
          </w:p>
        </w:tc>
        <w:tc>
          <w:tcPr>
            <w:tcW w:w="1474" w:type="dxa"/>
            <w:noWrap w:val="0"/>
            <w:vAlign w:val="top"/>
          </w:tcPr>
          <w:p>
            <w:pPr>
              <w:spacing w:line="440" w:lineRule="exact"/>
              <w:rPr>
                <w:rFonts w:hint="eastAsia" w:ascii="宋体" w:hAnsi="宋体" w:cs="宋体"/>
                <w:color w:val="auto"/>
                <w:highlight w:val="none"/>
              </w:rPr>
            </w:pPr>
          </w:p>
        </w:tc>
        <w:tc>
          <w:tcPr>
            <w:tcW w:w="2687" w:type="dxa"/>
            <w:gridSpan w:val="2"/>
            <w:noWrap w:val="0"/>
            <w:vAlign w:val="top"/>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top"/>
          </w:tcPr>
          <w:p>
            <w:pPr>
              <w:spacing w:line="440" w:lineRule="exact"/>
              <w:rPr>
                <w:rFonts w:hint="eastAsia" w:ascii="宋体" w:hAnsi="宋体" w:cs="宋体"/>
                <w:color w:val="auto"/>
                <w:highlight w:val="none"/>
              </w:rPr>
            </w:pPr>
          </w:p>
        </w:tc>
        <w:tc>
          <w:tcPr>
            <w:tcW w:w="3996" w:type="dxa"/>
            <w:gridSpan w:val="4"/>
            <w:noWrap w:val="0"/>
            <w:vAlign w:val="top"/>
          </w:tcPr>
          <w:p>
            <w:pPr>
              <w:spacing w:line="440" w:lineRule="exact"/>
              <w:rPr>
                <w:rFonts w:hint="eastAsia" w:ascii="宋体" w:hAnsi="宋体" w:cs="宋体"/>
                <w:color w:val="auto"/>
                <w:highlight w:val="none"/>
              </w:rPr>
            </w:pPr>
          </w:p>
        </w:tc>
        <w:tc>
          <w:tcPr>
            <w:tcW w:w="1474" w:type="dxa"/>
            <w:noWrap w:val="0"/>
            <w:vAlign w:val="top"/>
          </w:tcPr>
          <w:p>
            <w:pPr>
              <w:spacing w:line="440" w:lineRule="exact"/>
              <w:rPr>
                <w:rFonts w:hint="eastAsia" w:ascii="宋体" w:hAnsi="宋体" w:cs="宋体"/>
                <w:color w:val="auto"/>
                <w:highlight w:val="none"/>
              </w:rPr>
            </w:pPr>
          </w:p>
        </w:tc>
        <w:tc>
          <w:tcPr>
            <w:tcW w:w="2687" w:type="dxa"/>
            <w:gridSpan w:val="2"/>
            <w:noWrap w:val="0"/>
            <w:vAlign w:val="top"/>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1" w:type="dxa"/>
            <w:gridSpan w:val="2"/>
            <w:noWrap w:val="0"/>
            <w:vAlign w:val="center"/>
          </w:tcPr>
          <w:p>
            <w:pPr>
              <w:spacing w:line="440" w:lineRule="exact"/>
              <w:rPr>
                <w:rFonts w:hint="eastAsia" w:ascii="宋体" w:hAnsi="宋体" w:cs="宋体"/>
                <w:color w:val="auto"/>
                <w:highlight w:val="none"/>
              </w:rPr>
            </w:pPr>
          </w:p>
        </w:tc>
        <w:tc>
          <w:tcPr>
            <w:tcW w:w="3996" w:type="dxa"/>
            <w:gridSpan w:val="4"/>
            <w:noWrap w:val="0"/>
            <w:vAlign w:val="center"/>
          </w:tcPr>
          <w:p>
            <w:pPr>
              <w:spacing w:line="440" w:lineRule="exact"/>
              <w:rPr>
                <w:rFonts w:hint="eastAsia" w:ascii="宋体" w:hAnsi="宋体" w:cs="宋体"/>
                <w:color w:val="auto"/>
                <w:highlight w:val="none"/>
              </w:rPr>
            </w:pPr>
          </w:p>
        </w:tc>
        <w:tc>
          <w:tcPr>
            <w:tcW w:w="1474" w:type="dxa"/>
            <w:noWrap w:val="0"/>
            <w:vAlign w:val="center"/>
          </w:tcPr>
          <w:p>
            <w:pPr>
              <w:spacing w:line="440" w:lineRule="exact"/>
              <w:rPr>
                <w:rFonts w:hint="eastAsia" w:ascii="宋体" w:hAnsi="宋体" w:cs="宋体"/>
                <w:color w:val="auto"/>
                <w:highlight w:val="none"/>
              </w:rPr>
            </w:pPr>
          </w:p>
        </w:tc>
        <w:tc>
          <w:tcPr>
            <w:tcW w:w="2687" w:type="dxa"/>
            <w:gridSpan w:val="2"/>
            <w:noWrap w:val="0"/>
            <w:vAlign w:val="center"/>
          </w:tcPr>
          <w:p>
            <w:pPr>
              <w:spacing w:line="440" w:lineRule="exact"/>
              <w:rPr>
                <w:rFonts w:hint="eastAsia" w:ascii="宋体" w:hAnsi="宋体" w:cs="宋体"/>
                <w:color w:val="auto"/>
                <w:highlight w:val="none"/>
              </w:rPr>
            </w:pPr>
          </w:p>
        </w:tc>
      </w:tr>
    </w:tbl>
    <w:p>
      <w:pPr>
        <w:spacing w:line="440" w:lineRule="exact"/>
        <w:rPr>
          <w:rFonts w:hint="eastAsia" w:ascii="宋体" w:hAnsi="宋体" w:cs="宋体"/>
          <w:color w:val="auto"/>
          <w:highlight w:val="none"/>
        </w:rPr>
      </w:pPr>
      <w:r>
        <w:rPr>
          <w:rFonts w:hint="eastAsia" w:ascii="宋体" w:hAnsi="宋体" w:cs="宋体"/>
          <w:color w:val="auto"/>
          <w:highlight w:val="none"/>
        </w:rPr>
        <w:t>注：投标人应根据评标办法前附表第2.2.4项说明的要求在本表后附相关证明材料。</w:t>
      </w:r>
    </w:p>
    <w:p>
      <w:pPr>
        <w:pStyle w:val="5"/>
        <w:keepNext w:val="0"/>
        <w:keepLines w:val="0"/>
        <w:ind w:firstLine="137"/>
        <w:rPr>
          <w:rFonts w:hint="eastAsia" w:ascii="宋体" w:hAnsi="宋体" w:eastAsia="宋体" w:cs="宋体"/>
          <w:color w:val="auto"/>
          <w:highlight w:val="none"/>
        </w:rPr>
      </w:pPr>
    </w:p>
    <w:p>
      <w:pPr>
        <w:pStyle w:val="5"/>
        <w:keepNext w:val="0"/>
        <w:keepLines w:val="0"/>
        <w:ind w:firstLine="137"/>
        <w:rPr>
          <w:rFonts w:hint="eastAsia" w:ascii="宋体" w:hAnsi="宋体" w:eastAsia="宋体" w:cs="宋体"/>
          <w:color w:val="auto"/>
          <w:highlight w:val="none"/>
        </w:rPr>
      </w:pPr>
    </w:p>
    <w:p>
      <w:pPr>
        <w:pStyle w:val="5"/>
        <w:keepNext w:val="0"/>
        <w:keepLines w:val="0"/>
        <w:ind w:firstLine="137"/>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633" w:name="_Toc11079"/>
      <w:r>
        <w:rPr>
          <w:rFonts w:hint="eastAsia" w:ascii="宋体" w:hAnsi="宋体" w:eastAsia="宋体" w:cs="宋体"/>
          <w:color w:val="auto"/>
          <w:highlight w:val="none"/>
        </w:rPr>
        <w:t>（四）拟投入本项目的主要试验检测仪器设备表</w:t>
      </w:r>
      <w:bookmarkEnd w:id="633"/>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567"/>
        <w:gridCol w:w="1147"/>
        <w:gridCol w:w="916"/>
        <w:gridCol w:w="1044"/>
        <w:gridCol w:w="1217"/>
        <w:gridCol w:w="174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92"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567"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仪器设备</w:t>
            </w:r>
          </w:p>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名称</w:t>
            </w:r>
          </w:p>
        </w:tc>
        <w:tc>
          <w:tcPr>
            <w:tcW w:w="1147"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型号</w:t>
            </w:r>
          </w:p>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规格</w:t>
            </w:r>
          </w:p>
        </w:tc>
        <w:tc>
          <w:tcPr>
            <w:tcW w:w="916"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044"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国别</w:t>
            </w:r>
          </w:p>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产地</w:t>
            </w:r>
          </w:p>
        </w:tc>
        <w:tc>
          <w:tcPr>
            <w:tcW w:w="1217"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制造</w:t>
            </w:r>
          </w:p>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年份</w:t>
            </w:r>
          </w:p>
        </w:tc>
        <w:tc>
          <w:tcPr>
            <w:tcW w:w="1745"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用途</w:t>
            </w:r>
          </w:p>
        </w:tc>
        <w:tc>
          <w:tcPr>
            <w:tcW w:w="1428"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center"/>
          </w:tcPr>
          <w:p>
            <w:pPr>
              <w:spacing w:line="440" w:lineRule="exact"/>
              <w:jc w:val="center"/>
              <w:rPr>
                <w:rFonts w:hint="eastAsia" w:ascii="宋体" w:hAnsi="宋体" w:cs="宋体"/>
                <w:color w:val="auto"/>
                <w:szCs w:val="21"/>
                <w:highlight w:val="none"/>
              </w:rPr>
            </w:pPr>
          </w:p>
        </w:tc>
        <w:tc>
          <w:tcPr>
            <w:tcW w:w="1567" w:type="dxa"/>
            <w:noWrap w:val="0"/>
            <w:vAlign w:val="center"/>
          </w:tcPr>
          <w:p>
            <w:pPr>
              <w:spacing w:line="440" w:lineRule="exact"/>
              <w:jc w:val="center"/>
              <w:rPr>
                <w:rFonts w:hint="eastAsia" w:ascii="宋体" w:hAnsi="宋体" w:cs="宋体"/>
                <w:color w:val="auto"/>
                <w:szCs w:val="21"/>
                <w:highlight w:val="none"/>
              </w:rPr>
            </w:pPr>
          </w:p>
        </w:tc>
        <w:tc>
          <w:tcPr>
            <w:tcW w:w="1147" w:type="dxa"/>
            <w:noWrap w:val="0"/>
            <w:vAlign w:val="center"/>
          </w:tcPr>
          <w:p>
            <w:pPr>
              <w:spacing w:line="440" w:lineRule="exact"/>
              <w:jc w:val="center"/>
              <w:rPr>
                <w:rFonts w:hint="eastAsia" w:ascii="宋体" w:hAnsi="宋体" w:cs="宋体"/>
                <w:color w:val="auto"/>
                <w:szCs w:val="21"/>
                <w:highlight w:val="none"/>
              </w:rPr>
            </w:pPr>
          </w:p>
        </w:tc>
        <w:tc>
          <w:tcPr>
            <w:tcW w:w="916" w:type="dxa"/>
            <w:noWrap w:val="0"/>
            <w:vAlign w:val="center"/>
          </w:tcPr>
          <w:p>
            <w:pPr>
              <w:spacing w:line="440" w:lineRule="exact"/>
              <w:jc w:val="center"/>
              <w:rPr>
                <w:rFonts w:hint="eastAsia" w:ascii="宋体" w:hAnsi="宋体" w:cs="宋体"/>
                <w:color w:val="auto"/>
                <w:szCs w:val="21"/>
                <w:highlight w:val="none"/>
              </w:rPr>
            </w:pPr>
          </w:p>
        </w:tc>
        <w:tc>
          <w:tcPr>
            <w:tcW w:w="1044" w:type="dxa"/>
            <w:noWrap w:val="0"/>
            <w:vAlign w:val="center"/>
          </w:tcPr>
          <w:p>
            <w:pPr>
              <w:spacing w:line="440" w:lineRule="exact"/>
              <w:jc w:val="center"/>
              <w:rPr>
                <w:rFonts w:hint="eastAsia" w:ascii="宋体" w:hAnsi="宋体" w:cs="宋体"/>
                <w:color w:val="auto"/>
                <w:szCs w:val="21"/>
                <w:highlight w:val="none"/>
              </w:rPr>
            </w:pPr>
          </w:p>
        </w:tc>
        <w:tc>
          <w:tcPr>
            <w:tcW w:w="1217" w:type="dxa"/>
            <w:noWrap w:val="0"/>
            <w:vAlign w:val="center"/>
          </w:tcPr>
          <w:p>
            <w:pPr>
              <w:spacing w:line="440" w:lineRule="exact"/>
              <w:jc w:val="center"/>
              <w:rPr>
                <w:rFonts w:hint="eastAsia" w:ascii="宋体" w:hAnsi="宋体" w:cs="宋体"/>
                <w:color w:val="auto"/>
                <w:szCs w:val="21"/>
                <w:highlight w:val="none"/>
              </w:rPr>
            </w:pPr>
          </w:p>
        </w:tc>
        <w:tc>
          <w:tcPr>
            <w:tcW w:w="1745" w:type="dxa"/>
            <w:noWrap w:val="0"/>
            <w:vAlign w:val="center"/>
          </w:tcPr>
          <w:p>
            <w:pPr>
              <w:spacing w:line="440" w:lineRule="exact"/>
              <w:jc w:val="center"/>
              <w:rPr>
                <w:rFonts w:hint="eastAsia" w:ascii="宋体" w:hAnsi="宋体" w:cs="宋体"/>
                <w:color w:val="auto"/>
                <w:szCs w:val="21"/>
                <w:highlight w:val="none"/>
              </w:rPr>
            </w:pPr>
          </w:p>
        </w:tc>
        <w:tc>
          <w:tcPr>
            <w:tcW w:w="1428" w:type="dxa"/>
            <w:noWrap w:val="0"/>
            <w:vAlign w:val="center"/>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center"/>
          </w:tcPr>
          <w:p>
            <w:pPr>
              <w:spacing w:line="440" w:lineRule="exact"/>
              <w:jc w:val="center"/>
              <w:rPr>
                <w:rFonts w:hint="eastAsia" w:ascii="宋体" w:hAnsi="宋体" w:cs="宋体"/>
                <w:color w:val="auto"/>
                <w:szCs w:val="21"/>
                <w:highlight w:val="none"/>
              </w:rPr>
            </w:pPr>
          </w:p>
        </w:tc>
        <w:tc>
          <w:tcPr>
            <w:tcW w:w="1567" w:type="dxa"/>
            <w:noWrap w:val="0"/>
            <w:vAlign w:val="center"/>
          </w:tcPr>
          <w:p>
            <w:pPr>
              <w:spacing w:line="440" w:lineRule="exact"/>
              <w:jc w:val="center"/>
              <w:rPr>
                <w:rFonts w:hint="eastAsia" w:ascii="宋体" w:hAnsi="宋体" w:cs="宋体"/>
                <w:color w:val="auto"/>
                <w:szCs w:val="21"/>
                <w:highlight w:val="none"/>
              </w:rPr>
            </w:pPr>
          </w:p>
        </w:tc>
        <w:tc>
          <w:tcPr>
            <w:tcW w:w="1147" w:type="dxa"/>
            <w:noWrap w:val="0"/>
            <w:vAlign w:val="center"/>
          </w:tcPr>
          <w:p>
            <w:pPr>
              <w:spacing w:line="440" w:lineRule="exact"/>
              <w:jc w:val="center"/>
              <w:rPr>
                <w:rFonts w:hint="eastAsia" w:ascii="宋体" w:hAnsi="宋体" w:cs="宋体"/>
                <w:color w:val="auto"/>
                <w:szCs w:val="21"/>
                <w:highlight w:val="none"/>
              </w:rPr>
            </w:pPr>
          </w:p>
        </w:tc>
        <w:tc>
          <w:tcPr>
            <w:tcW w:w="916" w:type="dxa"/>
            <w:noWrap w:val="0"/>
            <w:vAlign w:val="center"/>
          </w:tcPr>
          <w:p>
            <w:pPr>
              <w:spacing w:line="440" w:lineRule="exact"/>
              <w:jc w:val="center"/>
              <w:rPr>
                <w:rFonts w:hint="eastAsia" w:ascii="宋体" w:hAnsi="宋体" w:cs="宋体"/>
                <w:color w:val="auto"/>
                <w:szCs w:val="21"/>
                <w:highlight w:val="none"/>
              </w:rPr>
            </w:pPr>
          </w:p>
        </w:tc>
        <w:tc>
          <w:tcPr>
            <w:tcW w:w="1044" w:type="dxa"/>
            <w:noWrap w:val="0"/>
            <w:vAlign w:val="center"/>
          </w:tcPr>
          <w:p>
            <w:pPr>
              <w:spacing w:line="440" w:lineRule="exact"/>
              <w:jc w:val="center"/>
              <w:rPr>
                <w:rFonts w:hint="eastAsia" w:ascii="宋体" w:hAnsi="宋体" w:cs="宋体"/>
                <w:color w:val="auto"/>
                <w:szCs w:val="21"/>
                <w:highlight w:val="none"/>
              </w:rPr>
            </w:pPr>
          </w:p>
        </w:tc>
        <w:tc>
          <w:tcPr>
            <w:tcW w:w="1217" w:type="dxa"/>
            <w:noWrap w:val="0"/>
            <w:vAlign w:val="center"/>
          </w:tcPr>
          <w:p>
            <w:pPr>
              <w:spacing w:line="440" w:lineRule="exact"/>
              <w:jc w:val="center"/>
              <w:rPr>
                <w:rFonts w:hint="eastAsia" w:ascii="宋体" w:hAnsi="宋体" w:cs="宋体"/>
                <w:color w:val="auto"/>
                <w:szCs w:val="21"/>
                <w:highlight w:val="none"/>
              </w:rPr>
            </w:pPr>
          </w:p>
        </w:tc>
        <w:tc>
          <w:tcPr>
            <w:tcW w:w="1745" w:type="dxa"/>
            <w:noWrap w:val="0"/>
            <w:vAlign w:val="center"/>
          </w:tcPr>
          <w:p>
            <w:pPr>
              <w:spacing w:line="440" w:lineRule="exact"/>
              <w:jc w:val="center"/>
              <w:rPr>
                <w:rFonts w:hint="eastAsia" w:ascii="宋体" w:hAnsi="宋体" w:cs="宋体"/>
                <w:color w:val="auto"/>
                <w:szCs w:val="21"/>
                <w:highlight w:val="none"/>
              </w:rPr>
            </w:pPr>
          </w:p>
        </w:tc>
        <w:tc>
          <w:tcPr>
            <w:tcW w:w="1428" w:type="dxa"/>
            <w:noWrap w:val="0"/>
            <w:vAlign w:val="center"/>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2" w:type="dxa"/>
            <w:noWrap w:val="0"/>
            <w:vAlign w:val="top"/>
          </w:tcPr>
          <w:p>
            <w:pPr>
              <w:spacing w:line="440" w:lineRule="exact"/>
              <w:jc w:val="center"/>
              <w:rPr>
                <w:rFonts w:hint="eastAsia" w:ascii="宋体" w:hAnsi="宋体" w:cs="宋体"/>
                <w:color w:val="auto"/>
                <w:szCs w:val="21"/>
                <w:highlight w:val="none"/>
              </w:rPr>
            </w:pPr>
          </w:p>
        </w:tc>
        <w:tc>
          <w:tcPr>
            <w:tcW w:w="1567" w:type="dxa"/>
            <w:noWrap w:val="0"/>
            <w:vAlign w:val="top"/>
          </w:tcPr>
          <w:p>
            <w:pPr>
              <w:spacing w:line="440" w:lineRule="exact"/>
              <w:jc w:val="center"/>
              <w:rPr>
                <w:rFonts w:hint="eastAsia" w:ascii="宋体" w:hAnsi="宋体" w:cs="宋体"/>
                <w:color w:val="auto"/>
                <w:szCs w:val="21"/>
                <w:highlight w:val="none"/>
              </w:rPr>
            </w:pPr>
          </w:p>
        </w:tc>
        <w:tc>
          <w:tcPr>
            <w:tcW w:w="1147" w:type="dxa"/>
            <w:noWrap w:val="0"/>
            <w:vAlign w:val="top"/>
          </w:tcPr>
          <w:p>
            <w:pPr>
              <w:spacing w:line="440" w:lineRule="exact"/>
              <w:jc w:val="center"/>
              <w:rPr>
                <w:rFonts w:hint="eastAsia" w:ascii="宋体" w:hAnsi="宋体" w:cs="宋体"/>
                <w:color w:val="auto"/>
                <w:szCs w:val="21"/>
                <w:highlight w:val="none"/>
              </w:rPr>
            </w:pPr>
          </w:p>
        </w:tc>
        <w:tc>
          <w:tcPr>
            <w:tcW w:w="916" w:type="dxa"/>
            <w:noWrap w:val="0"/>
            <w:vAlign w:val="top"/>
          </w:tcPr>
          <w:p>
            <w:pPr>
              <w:spacing w:line="440" w:lineRule="exact"/>
              <w:jc w:val="center"/>
              <w:rPr>
                <w:rFonts w:hint="eastAsia" w:ascii="宋体" w:hAnsi="宋体" w:cs="宋体"/>
                <w:color w:val="auto"/>
                <w:szCs w:val="21"/>
                <w:highlight w:val="none"/>
              </w:rPr>
            </w:pPr>
          </w:p>
        </w:tc>
        <w:tc>
          <w:tcPr>
            <w:tcW w:w="1044" w:type="dxa"/>
            <w:noWrap w:val="0"/>
            <w:vAlign w:val="top"/>
          </w:tcPr>
          <w:p>
            <w:pPr>
              <w:spacing w:line="440" w:lineRule="exact"/>
              <w:jc w:val="center"/>
              <w:rPr>
                <w:rFonts w:hint="eastAsia" w:ascii="宋体" w:hAnsi="宋体" w:cs="宋体"/>
                <w:color w:val="auto"/>
                <w:szCs w:val="21"/>
                <w:highlight w:val="none"/>
              </w:rPr>
            </w:pPr>
          </w:p>
        </w:tc>
        <w:tc>
          <w:tcPr>
            <w:tcW w:w="1217" w:type="dxa"/>
            <w:noWrap w:val="0"/>
            <w:vAlign w:val="top"/>
          </w:tcPr>
          <w:p>
            <w:pPr>
              <w:spacing w:line="440" w:lineRule="exact"/>
              <w:jc w:val="center"/>
              <w:rPr>
                <w:rFonts w:hint="eastAsia" w:ascii="宋体" w:hAnsi="宋体" w:cs="宋体"/>
                <w:color w:val="auto"/>
                <w:szCs w:val="21"/>
                <w:highlight w:val="none"/>
              </w:rPr>
            </w:pPr>
          </w:p>
        </w:tc>
        <w:tc>
          <w:tcPr>
            <w:tcW w:w="1745" w:type="dxa"/>
            <w:noWrap w:val="0"/>
            <w:vAlign w:val="top"/>
          </w:tcPr>
          <w:p>
            <w:pPr>
              <w:spacing w:line="440" w:lineRule="exact"/>
              <w:jc w:val="center"/>
              <w:rPr>
                <w:rFonts w:hint="eastAsia" w:ascii="宋体" w:hAnsi="宋体" w:cs="宋体"/>
                <w:color w:val="auto"/>
                <w:szCs w:val="21"/>
                <w:highlight w:val="none"/>
              </w:rPr>
            </w:pPr>
          </w:p>
        </w:tc>
        <w:tc>
          <w:tcPr>
            <w:tcW w:w="1428" w:type="dxa"/>
            <w:noWrap w:val="0"/>
            <w:vAlign w:val="top"/>
          </w:tcPr>
          <w:p>
            <w:pPr>
              <w:spacing w:line="440" w:lineRule="exact"/>
              <w:jc w:val="center"/>
              <w:rPr>
                <w:rFonts w:hint="eastAsia" w:ascii="宋体" w:hAnsi="宋体" w:cs="宋体"/>
                <w:color w:val="auto"/>
                <w:szCs w:val="21"/>
                <w:highlight w:val="none"/>
              </w:rPr>
            </w:pPr>
          </w:p>
        </w:tc>
      </w:tr>
    </w:tbl>
    <w:p>
      <w:pPr>
        <w:pStyle w:val="4"/>
        <w:keepNext w:val="0"/>
        <w:keepLines w:val="0"/>
        <w:spacing w:after="0"/>
        <w:jc w:val="center"/>
        <w:rPr>
          <w:rFonts w:hint="eastAsia" w:ascii="宋体" w:hAnsi="宋体" w:eastAsia="宋体" w:cs="宋体"/>
          <w:color w:val="auto"/>
          <w:highlight w:val="none"/>
        </w:rPr>
      </w:pPr>
    </w:p>
    <w:p>
      <w:pPr>
        <w:rPr>
          <w:rFonts w:hint="eastAsia" w:ascii="宋体" w:hAnsi="宋体" w:cs="宋体"/>
          <w:color w:val="auto"/>
          <w:highlight w:val="none"/>
        </w:rPr>
      </w:pPr>
    </w:p>
    <w:p>
      <w:pPr>
        <w:pStyle w:val="5"/>
        <w:keepNext w:val="0"/>
        <w:keepLines w:val="0"/>
        <w:ind w:firstLine="137"/>
        <w:jc w:val="center"/>
        <w:rPr>
          <w:rFonts w:hint="eastAsia" w:ascii="宋体" w:hAnsi="宋体" w:eastAsia="宋体" w:cs="宋体"/>
          <w:color w:val="auto"/>
        </w:rPr>
      </w:pPr>
      <w:r>
        <w:rPr>
          <w:rFonts w:ascii="宋体" w:hAnsi="宋体" w:cs="宋体"/>
          <w:color w:val="auto"/>
          <w:highlight w:val="none"/>
        </w:rPr>
        <w:br w:type="page"/>
      </w:r>
      <w:r>
        <w:rPr>
          <w:rFonts w:hint="eastAsia" w:ascii="宋体" w:hAnsi="宋体" w:eastAsia="宋体" w:cs="宋体"/>
          <w:color w:val="auto"/>
          <w:highlight w:val="none"/>
        </w:rPr>
        <w:t>（五）其他资信证明材</w:t>
      </w:r>
      <w:r>
        <w:rPr>
          <w:rFonts w:hint="eastAsia" w:ascii="宋体" w:hAnsi="宋体" w:eastAsia="宋体" w:cs="宋体"/>
          <w:color w:val="auto"/>
        </w:rPr>
        <w:t>料</w:t>
      </w:r>
    </w:p>
    <w:p>
      <w:pPr>
        <w:jc w:val="center"/>
        <w:rPr>
          <w:rFonts w:hint="eastAsia"/>
          <w:color w:val="auto"/>
        </w:rPr>
      </w:pPr>
      <w:r>
        <w:rPr>
          <w:rFonts w:hint="eastAsia"/>
          <w:color w:val="auto"/>
        </w:rPr>
        <w:t>（投标人自行按评审要求提供）</w:t>
      </w:r>
    </w:p>
    <w:sectPr>
      <w:pgSz w:w="12240" w:h="15840"/>
      <w:pgMar w:top="1247" w:right="1247" w:bottom="1247" w:left="1247"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5"/>
      </w:rPr>
    </w:pPr>
    <w:r>
      <w:fldChar w:fldCharType="begin"/>
    </w:r>
    <w:r>
      <w:rPr>
        <w:rStyle w:val="25"/>
      </w:rPr>
      <w:instrText xml:space="preserve">PAGE  </w:instrText>
    </w:r>
    <w:r>
      <w:fldChar w:fldCharType="separate"/>
    </w:r>
    <w:r>
      <w:rPr>
        <w:rStyle w:val="25"/>
      </w:rPr>
      <w:t>91</w:t>
    </w:r>
    <w:r>
      <w:fldChar w:fldCharType="end"/>
    </w:r>
  </w:p>
  <w:p>
    <w:pPr>
      <w:spacing w:line="400" w:lineRule="exact"/>
    </w:pPr>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29</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hint="eastAsia"/>
        <w:szCs w:val="24"/>
      </w:rPr>
    </w:pPr>
    <w:r>
      <w:rPr>
        <w:rFonts w:hint="eastAsia"/>
        <w:b/>
        <w:sz w:val="24"/>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444500</wp:posOffset>
              </wp:positionV>
              <wp:extent cx="6153150" cy="0"/>
              <wp:effectExtent l="0" t="5080" r="0" b="4445"/>
              <wp:wrapNone/>
              <wp:docPr id="1" name="Line 1"/>
              <wp:cNvGraphicFramePr/>
              <a:graphic xmlns:a="http://schemas.openxmlformats.org/drawingml/2006/main">
                <a:graphicData uri="http://schemas.microsoft.com/office/word/2010/wordprocessingShape">
                  <wps:wsp>
                    <wps:cNvCnPr/>
                    <wps:spPr>
                      <a:xfrm>
                        <a:off x="0" y="0"/>
                        <a:ext cx="6153150" cy="0"/>
                      </a:xfrm>
                      <a:prstGeom prst="line">
                        <a:avLst/>
                      </a:prstGeom>
                      <a:ln w="3175" cap="flat" cmpd="sng">
                        <a:solidFill>
                          <a:srgbClr val="FFFFFF"/>
                        </a:solidFill>
                        <a:prstDash val="solid"/>
                        <a:headEnd type="none" w="med" len="med"/>
                        <a:tailEnd type="none" w="med" len="med"/>
                      </a:ln>
                    </wps:spPr>
                    <wps:bodyPr upright="1"/>
                  </wps:wsp>
                </a:graphicData>
              </a:graphic>
            </wp:anchor>
          </w:drawing>
        </mc:Choice>
        <mc:Fallback>
          <w:pict>
            <v:line id="Line 1" o:spid="_x0000_s1026" o:spt="20" style="position:absolute;left:0pt;margin-left:-1.35pt;margin-top:35pt;height:0pt;width:484.5pt;z-index:251659264;mso-width-relative:page;mso-height-relative:page;" filled="f" stroked="t" coordsize="21600,21600" o:gfxdata="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8p8ftcAAAAIAQAADwAAAAAA&#10;AAABACAAAAAiAAAAZHJzL2Rvd25yZXYueG1sUEsBAhQAFAAAAAgAh07iQPLjBinbAQAA2QMAAA4A&#10;AAAAAAAAAQAgAAAAJgEAAGRycy9lMm9Eb2MueG1sUEsFBgAAAAAGAAYAWQEAAHMFAAAAAA==&#10;">
              <v:fill on="f" focussize="0,0"/>
              <v:stroke weight="0.25pt" color="#FFFFFF"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577"/>
        </w:tabs>
        <w:ind w:left="577" w:hanging="577"/>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DC506F"/>
    <w:multiLevelType w:val="multilevel"/>
    <w:tmpl w:val="0ADC506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55A3343"/>
    <w:multiLevelType w:val="singleLevel"/>
    <w:tmpl w:val="155A3343"/>
    <w:lvl w:ilvl="0" w:tentative="0">
      <w:start w:val="1"/>
      <w:numFmt w:val="decimal"/>
      <w:suff w:val="nothing"/>
      <w:lvlText w:val="（%1）"/>
      <w:lvlJc w:val="left"/>
    </w:lvl>
  </w:abstractNum>
  <w:abstractNum w:abstractNumId="3">
    <w:nsid w:val="6FAA44F7"/>
    <w:multiLevelType w:val="singleLevel"/>
    <w:tmpl w:val="6FAA44F7"/>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NzZiY2E5MmM4MTc5YTY3OTMxZWNiMjYyNjRkZGYifQ=="/>
  </w:docVars>
  <w:rsids>
    <w:rsidRoot w:val="00664CA0"/>
    <w:rsid w:val="00014AA6"/>
    <w:rsid w:val="000203F8"/>
    <w:rsid w:val="00034BE2"/>
    <w:rsid w:val="000373E5"/>
    <w:rsid w:val="00053DBB"/>
    <w:rsid w:val="00097A48"/>
    <w:rsid w:val="000A0C60"/>
    <w:rsid w:val="000A239E"/>
    <w:rsid w:val="000D22F1"/>
    <w:rsid w:val="000D3B3D"/>
    <w:rsid w:val="000E355A"/>
    <w:rsid w:val="00110DA1"/>
    <w:rsid w:val="00114B7D"/>
    <w:rsid w:val="00117486"/>
    <w:rsid w:val="001224F2"/>
    <w:rsid w:val="00132798"/>
    <w:rsid w:val="00141439"/>
    <w:rsid w:val="00157A30"/>
    <w:rsid w:val="001736FA"/>
    <w:rsid w:val="00181EC5"/>
    <w:rsid w:val="001835C5"/>
    <w:rsid w:val="001A028A"/>
    <w:rsid w:val="001A3E7B"/>
    <w:rsid w:val="001A3F9E"/>
    <w:rsid w:val="001A52A4"/>
    <w:rsid w:val="001D4112"/>
    <w:rsid w:val="001E165D"/>
    <w:rsid w:val="001E3E6B"/>
    <w:rsid w:val="001F02CA"/>
    <w:rsid w:val="001F2F8F"/>
    <w:rsid w:val="00221E03"/>
    <w:rsid w:val="00224DD4"/>
    <w:rsid w:val="00272A08"/>
    <w:rsid w:val="002922E6"/>
    <w:rsid w:val="002A22E3"/>
    <w:rsid w:val="002A7540"/>
    <w:rsid w:val="002B31AA"/>
    <w:rsid w:val="002C609F"/>
    <w:rsid w:val="002D15D9"/>
    <w:rsid w:val="002D40C8"/>
    <w:rsid w:val="002D63F6"/>
    <w:rsid w:val="002E4635"/>
    <w:rsid w:val="002F277F"/>
    <w:rsid w:val="002F725C"/>
    <w:rsid w:val="00303058"/>
    <w:rsid w:val="00304149"/>
    <w:rsid w:val="0030460A"/>
    <w:rsid w:val="00304ADC"/>
    <w:rsid w:val="00324E09"/>
    <w:rsid w:val="00324EF5"/>
    <w:rsid w:val="003461DD"/>
    <w:rsid w:val="003641C4"/>
    <w:rsid w:val="00382D52"/>
    <w:rsid w:val="003862F0"/>
    <w:rsid w:val="00392BFB"/>
    <w:rsid w:val="003A1EAA"/>
    <w:rsid w:val="003A2C30"/>
    <w:rsid w:val="003B2B05"/>
    <w:rsid w:val="003D588D"/>
    <w:rsid w:val="003D794A"/>
    <w:rsid w:val="003F25CD"/>
    <w:rsid w:val="004017AB"/>
    <w:rsid w:val="00412E3E"/>
    <w:rsid w:val="00417D66"/>
    <w:rsid w:val="00421B42"/>
    <w:rsid w:val="004260FA"/>
    <w:rsid w:val="00456863"/>
    <w:rsid w:val="004602B8"/>
    <w:rsid w:val="00460859"/>
    <w:rsid w:val="00463309"/>
    <w:rsid w:val="0047542B"/>
    <w:rsid w:val="00480F39"/>
    <w:rsid w:val="004842DF"/>
    <w:rsid w:val="00497D66"/>
    <w:rsid w:val="004A15C6"/>
    <w:rsid w:val="004C77D9"/>
    <w:rsid w:val="004D0684"/>
    <w:rsid w:val="004F1BFD"/>
    <w:rsid w:val="00566B52"/>
    <w:rsid w:val="00576D21"/>
    <w:rsid w:val="0058201D"/>
    <w:rsid w:val="005C0E02"/>
    <w:rsid w:val="005F035D"/>
    <w:rsid w:val="00607031"/>
    <w:rsid w:val="0061084B"/>
    <w:rsid w:val="00612C46"/>
    <w:rsid w:val="0062076D"/>
    <w:rsid w:val="00620FB5"/>
    <w:rsid w:val="006267D8"/>
    <w:rsid w:val="00646F78"/>
    <w:rsid w:val="00660A55"/>
    <w:rsid w:val="00663828"/>
    <w:rsid w:val="00664CA0"/>
    <w:rsid w:val="00667822"/>
    <w:rsid w:val="00673614"/>
    <w:rsid w:val="00692572"/>
    <w:rsid w:val="00692D1B"/>
    <w:rsid w:val="00693001"/>
    <w:rsid w:val="006A47E6"/>
    <w:rsid w:val="006B1819"/>
    <w:rsid w:val="006B1AD9"/>
    <w:rsid w:val="006D10D5"/>
    <w:rsid w:val="006E1C07"/>
    <w:rsid w:val="00750C81"/>
    <w:rsid w:val="00750FCA"/>
    <w:rsid w:val="0075472B"/>
    <w:rsid w:val="007776C9"/>
    <w:rsid w:val="00796820"/>
    <w:rsid w:val="007C179C"/>
    <w:rsid w:val="007F019E"/>
    <w:rsid w:val="007F2B2E"/>
    <w:rsid w:val="007F3077"/>
    <w:rsid w:val="007F67B6"/>
    <w:rsid w:val="008137AE"/>
    <w:rsid w:val="00857E7F"/>
    <w:rsid w:val="0086363A"/>
    <w:rsid w:val="00874A9A"/>
    <w:rsid w:val="00887325"/>
    <w:rsid w:val="008900B7"/>
    <w:rsid w:val="0089599A"/>
    <w:rsid w:val="0089617F"/>
    <w:rsid w:val="00897F61"/>
    <w:rsid w:val="008D32B3"/>
    <w:rsid w:val="008E6734"/>
    <w:rsid w:val="008F0EF3"/>
    <w:rsid w:val="008F6774"/>
    <w:rsid w:val="0090125A"/>
    <w:rsid w:val="00903D06"/>
    <w:rsid w:val="0090437A"/>
    <w:rsid w:val="0091135F"/>
    <w:rsid w:val="0091431E"/>
    <w:rsid w:val="00937F91"/>
    <w:rsid w:val="009700C0"/>
    <w:rsid w:val="0097105C"/>
    <w:rsid w:val="009949EF"/>
    <w:rsid w:val="009A417A"/>
    <w:rsid w:val="009B14D4"/>
    <w:rsid w:val="009C6828"/>
    <w:rsid w:val="009D7E79"/>
    <w:rsid w:val="009E1429"/>
    <w:rsid w:val="009E183B"/>
    <w:rsid w:val="00A07680"/>
    <w:rsid w:val="00A07CBB"/>
    <w:rsid w:val="00A316CD"/>
    <w:rsid w:val="00A4644E"/>
    <w:rsid w:val="00A7281A"/>
    <w:rsid w:val="00A76F2B"/>
    <w:rsid w:val="00A92A6C"/>
    <w:rsid w:val="00AA0C29"/>
    <w:rsid w:val="00AA5942"/>
    <w:rsid w:val="00AB73A2"/>
    <w:rsid w:val="00AC7080"/>
    <w:rsid w:val="00AD6A91"/>
    <w:rsid w:val="00AF4C84"/>
    <w:rsid w:val="00AF75BA"/>
    <w:rsid w:val="00B12DB0"/>
    <w:rsid w:val="00B37A1C"/>
    <w:rsid w:val="00B51619"/>
    <w:rsid w:val="00B60A04"/>
    <w:rsid w:val="00B64C35"/>
    <w:rsid w:val="00B70779"/>
    <w:rsid w:val="00B86496"/>
    <w:rsid w:val="00BF4887"/>
    <w:rsid w:val="00C05C22"/>
    <w:rsid w:val="00C20683"/>
    <w:rsid w:val="00C334BE"/>
    <w:rsid w:val="00C40AF3"/>
    <w:rsid w:val="00C46977"/>
    <w:rsid w:val="00C51D91"/>
    <w:rsid w:val="00C74BB3"/>
    <w:rsid w:val="00C83319"/>
    <w:rsid w:val="00CB05A7"/>
    <w:rsid w:val="00CF0A31"/>
    <w:rsid w:val="00CF6C0C"/>
    <w:rsid w:val="00CF791B"/>
    <w:rsid w:val="00D07F72"/>
    <w:rsid w:val="00D11648"/>
    <w:rsid w:val="00D25472"/>
    <w:rsid w:val="00D3567A"/>
    <w:rsid w:val="00D432C7"/>
    <w:rsid w:val="00D648C2"/>
    <w:rsid w:val="00D73BC0"/>
    <w:rsid w:val="00D8638D"/>
    <w:rsid w:val="00D92D3E"/>
    <w:rsid w:val="00DA145F"/>
    <w:rsid w:val="00DA1EC9"/>
    <w:rsid w:val="00DC3BF0"/>
    <w:rsid w:val="00DE32FA"/>
    <w:rsid w:val="00DE4479"/>
    <w:rsid w:val="00E1076D"/>
    <w:rsid w:val="00E401DA"/>
    <w:rsid w:val="00E506BF"/>
    <w:rsid w:val="00E57F3C"/>
    <w:rsid w:val="00E67046"/>
    <w:rsid w:val="00E707F7"/>
    <w:rsid w:val="00E9620F"/>
    <w:rsid w:val="00EB7377"/>
    <w:rsid w:val="00EC6A00"/>
    <w:rsid w:val="00ED21E5"/>
    <w:rsid w:val="00ED4FBE"/>
    <w:rsid w:val="00EE2705"/>
    <w:rsid w:val="00EE693C"/>
    <w:rsid w:val="00F12D58"/>
    <w:rsid w:val="00F226C0"/>
    <w:rsid w:val="00F229D3"/>
    <w:rsid w:val="00F31E1C"/>
    <w:rsid w:val="00F35799"/>
    <w:rsid w:val="00F35E31"/>
    <w:rsid w:val="00F44C97"/>
    <w:rsid w:val="00F57B23"/>
    <w:rsid w:val="00F674CC"/>
    <w:rsid w:val="00F93B45"/>
    <w:rsid w:val="00F96F29"/>
    <w:rsid w:val="00FA13EB"/>
    <w:rsid w:val="00FA5740"/>
    <w:rsid w:val="00FE0247"/>
    <w:rsid w:val="00FE30E1"/>
    <w:rsid w:val="00FE398A"/>
    <w:rsid w:val="00FE596E"/>
    <w:rsid w:val="01C82533"/>
    <w:rsid w:val="01F43FA4"/>
    <w:rsid w:val="029F0F02"/>
    <w:rsid w:val="05144DFE"/>
    <w:rsid w:val="051711CE"/>
    <w:rsid w:val="05FF2B50"/>
    <w:rsid w:val="0698394E"/>
    <w:rsid w:val="070C446B"/>
    <w:rsid w:val="07850D94"/>
    <w:rsid w:val="07C8674F"/>
    <w:rsid w:val="0809455A"/>
    <w:rsid w:val="08230508"/>
    <w:rsid w:val="083426BC"/>
    <w:rsid w:val="085001AF"/>
    <w:rsid w:val="08583884"/>
    <w:rsid w:val="08CC2817"/>
    <w:rsid w:val="08D61075"/>
    <w:rsid w:val="08E301A4"/>
    <w:rsid w:val="08EF678C"/>
    <w:rsid w:val="09F3483A"/>
    <w:rsid w:val="0AA37DAD"/>
    <w:rsid w:val="0CA8758D"/>
    <w:rsid w:val="0CD33DCE"/>
    <w:rsid w:val="0D70677E"/>
    <w:rsid w:val="0D9309A4"/>
    <w:rsid w:val="0DEC562B"/>
    <w:rsid w:val="0E7F0A19"/>
    <w:rsid w:val="0E881AB4"/>
    <w:rsid w:val="0E9663E6"/>
    <w:rsid w:val="10321FC4"/>
    <w:rsid w:val="10356E40"/>
    <w:rsid w:val="10E24031"/>
    <w:rsid w:val="115E530D"/>
    <w:rsid w:val="116619F8"/>
    <w:rsid w:val="123B2F12"/>
    <w:rsid w:val="12703FA4"/>
    <w:rsid w:val="12EF6DAC"/>
    <w:rsid w:val="13A350DD"/>
    <w:rsid w:val="13FB7488"/>
    <w:rsid w:val="15C07158"/>
    <w:rsid w:val="168228B7"/>
    <w:rsid w:val="17087A39"/>
    <w:rsid w:val="17D347F3"/>
    <w:rsid w:val="195B3FBF"/>
    <w:rsid w:val="19704276"/>
    <w:rsid w:val="1A02400A"/>
    <w:rsid w:val="1A37338A"/>
    <w:rsid w:val="1AB40EFE"/>
    <w:rsid w:val="1B285CF5"/>
    <w:rsid w:val="1B9032FB"/>
    <w:rsid w:val="1C5E078E"/>
    <w:rsid w:val="1CE94639"/>
    <w:rsid w:val="1D4E1204"/>
    <w:rsid w:val="1D7C4114"/>
    <w:rsid w:val="1D8834DD"/>
    <w:rsid w:val="1E897A54"/>
    <w:rsid w:val="1F793BF8"/>
    <w:rsid w:val="1F804FE5"/>
    <w:rsid w:val="20361689"/>
    <w:rsid w:val="20547AC4"/>
    <w:rsid w:val="21934F26"/>
    <w:rsid w:val="22B95CCA"/>
    <w:rsid w:val="23C47ABA"/>
    <w:rsid w:val="24617F8A"/>
    <w:rsid w:val="26714DB3"/>
    <w:rsid w:val="26B455D3"/>
    <w:rsid w:val="27500708"/>
    <w:rsid w:val="27CE110F"/>
    <w:rsid w:val="29000B19"/>
    <w:rsid w:val="29675EE1"/>
    <w:rsid w:val="29C90947"/>
    <w:rsid w:val="29E35D21"/>
    <w:rsid w:val="2A330B32"/>
    <w:rsid w:val="2A876BB2"/>
    <w:rsid w:val="2AF04F6E"/>
    <w:rsid w:val="2B086676"/>
    <w:rsid w:val="2BEE68FD"/>
    <w:rsid w:val="2DA877CA"/>
    <w:rsid w:val="2DF63E90"/>
    <w:rsid w:val="2EA23817"/>
    <w:rsid w:val="2EE03B74"/>
    <w:rsid w:val="2F854671"/>
    <w:rsid w:val="2F9738E6"/>
    <w:rsid w:val="306E5EF6"/>
    <w:rsid w:val="315C0A51"/>
    <w:rsid w:val="32771278"/>
    <w:rsid w:val="32F907D5"/>
    <w:rsid w:val="33196CA4"/>
    <w:rsid w:val="333E0D6D"/>
    <w:rsid w:val="33793382"/>
    <w:rsid w:val="33EB3C92"/>
    <w:rsid w:val="3463510E"/>
    <w:rsid w:val="35227208"/>
    <w:rsid w:val="354E748C"/>
    <w:rsid w:val="35E918A9"/>
    <w:rsid w:val="362F0DDF"/>
    <w:rsid w:val="37331896"/>
    <w:rsid w:val="37CB5D7B"/>
    <w:rsid w:val="382F5365"/>
    <w:rsid w:val="390702DB"/>
    <w:rsid w:val="3A6F3C53"/>
    <w:rsid w:val="3A8404C5"/>
    <w:rsid w:val="3B1C494F"/>
    <w:rsid w:val="3B612590"/>
    <w:rsid w:val="3BD56D2D"/>
    <w:rsid w:val="3CEB2A01"/>
    <w:rsid w:val="3D024E30"/>
    <w:rsid w:val="3D2343AF"/>
    <w:rsid w:val="3D4428D0"/>
    <w:rsid w:val="3DAE7C70"/>
    <w:rsid w:val="3DB026F2"/>
    <w:rsid w:val="3E7600DA"/>
    <w:rsid w:val="3E9068D5"/>
    <w:rsid w:val="3FC272EB"/>
    <w:rsid w:val="401036FC"/>
    <w:rsid w:val="40190E34"/>
    <w:rsid w:val="41297BB4"/>
    <w:rsid w:val="414D2E8F"/>
    <w:rsid w:val="418A3332"/>
    <w:rsid w:val="418B1628"/>
    <w:rsid w:val="437078CA"/>
    <w:rsid w:val="43A05E6F"/>
    <w:rsid w:val="44973997"/>
    <w:rsid w:val="47C277C5"/>
    <w:rsid w:val="482102FA"/>
    <w:rsid w:val="48EC0D41"/>
    <w:rsid w:val="49296CD4"/>
    <w:rsid w:val="49A26C73"/>
    <w:rsid w:val="49A26EA2"/>
    <w:rsid w:val="4A3C55E8"/>
    <w:rsid w:val="4AF316D0"/>
    <w:rsid w:val="4C190025"/>
    <w:rsid w:val="4E3E63A0"/>
    <w:rsid w:val="4F151386"/>
    <w:rsid w:val="4F720667"/>
    <w:rsid w:val="4F9F6D77"/>
    <w:rsid w:val="4FC5224A"/>
    <w:rsid w:val="50AF3C08"/>
    <w:rsid w:val="50C8713D"/>
    <w:rsid w:val="50FD551C"/>
    <w:rsid w:val="51576423"/>
    <w:rsid w:val="516F5418"/>
    <w:rsid w:val="521A5D14"/>
    <w:rsid w:val="533D21F8"/>
    <w:rsid w:val="55054942"/>
    <w:rsid w:val="55D1682B"/>
    <w:rsid w:val="575022C0"/>
    <w:rsid w:val="588E5F10"/>
    <w:rsid w:val="591A3B60"/>
    <w:rsid w:val="59A42581"/>
    <w:rsid w:val="5A8D20CC"/>
    <w:rsid w:val="5C73618F"/>
    <w:rsid w:val="5C8820A0"/>
    <w:rsid w:val="5F536572"/>
    <w:rsid w:val="60382A9F"/>
    <w:rsid w:val="63385377"/>
    <w:rsid w:val="6347725E"/>
    <w:rsid w:val="634D5D18"/>
    <w:rsid w:val="63853EBE"/>
    <w:rsid w:val="64E37672"/>
    <w:rsid w:val="64F4374A"/>
    <w:rsid w:val="65194EC6"/>
    <w:rsid w:val="65484244"/>
    <w:rsid w:val="674A0C0E"/>
    <w:rsid w:val="6753700F"/>
    <w:rsid w:val="67996340"/>
    <w:rsid w:val="683B29E0"/>
    <w:rsid w:val="6986628F"/>
    <w:rsid w:val="69DD092B"/>
    <w:rsid w:val="6A000E13"/>
    <w:rsid w:val="6A684C8A"/>
    <w:rsid w:val="6B2D0105"/>
    <w:rsid w:val="6BBA236D"/>
    <w:rsid w:val="6CB62F3D"/>
    <w:rsid w:val="6DC90293"/>
    <w:rsid w:val="6E1641AA"/>
    <w:rsid w:val="6F7F7567"/>
    <w:rsid w:val="6FC54E17"/>
    <w:rsid w:val="70714632"/>
    <w:rsid w:val="71254A7C"/>
    <w:rsid w:val="7177281E"/>
    <w:rsid w:val="7210257D"/>
    <w:rsid w:val="73B47162"/>
    <w:rsid w:val="744C4DDD"/>
    <w:rsid w:val="74970960"/>
    <w:rsid w:val="74E23BE1"/>
    <w:rsid w:val="75A57E00"/>
    <w:rsid w:val="76017E90"/>
    <w:rsid w:val="77E068EF"/>
    <w:rsid w:val="78426F3E"/>
    <w:rsid w:val="78706279"/>
    <w:rsid w:val="79246A49"/>
    <w:rsid w:val="795C11F1"/>
    <w:rsid w:val="7AAD00BC"/>
    <w:rsid w:val="7AB91CCB"/>
    <w:rsid w:val="7AF15B7C"/>
    <w:rsid w:val="7B6F2D13"/>
    <w:rsid w:val="7B7446B2"/>
    <w:rsid w:val="7BF435EB"/>
    <w:rsid w:val="7D805C34"/>
    <w:rsid w:val="7DB249B5"/>
    <w:rsid w:val="7EA93754"/>
    <w:rsid w:val="7F3505EC"/>
    <w:rsid w:val="7FD227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autoRedefine/>
    <w:qFormat/>
    <w:uiPriority w:val="0"/>
    <w:pPr>
      <w:keepNext/>
      <w:keepLines/>
      <w:spacing w:before="100" w:after="100"/>
      <w:outlineLvl w:val="1"/>
    </w:pPr>
    <w:rPr>
      <w:rFonts w:ascii="Arial" w:hAnsi="Arial" w:eastAsia="黑体"/>
      <w:b/>
      <w:sz w:val="32"/>
      <w:szCs w:val="20"/>
    </w:rPr>
  </w:style>
  <w:style w:type="paragraph" w:styleId="5">
    <w:name w:val="heading 3"/>
    <w:basedOn w:val="1"/>
    <w:next w:val="1"/>
    <w:autoRedefine/>
    <w:qFormat/>
    <w:uiPriority w:val="0"/>
    <w:pPr>
      <w:keepNext/>
      <w:keepLines/>
      <w:spacing w:before="260" w:after="260"/>
      <w:ind w:firstLine="49" w:firstLineChars="49"/>
      <w:outlineLvl w:val="2"/>
    </w:pPr>
    <w:rPr>
      <w:rFonts w:ascii="黑体" w:eastAsia="黑体"/>
      <w:sz w:val="28"/>
      <w:szCs w:val="20"/>
    </w:rPr>
  </w:style>
  <w:style w:type="character" w:default="1" w:styleId="23">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2">
    <w:name w:val="footer"/>
    <w:basedOn w:val="1"/>
    <w:link w:val="34"/>
    <w:autoRedefine/>
    <w:qFormat/>
    <w:uiPriority w:val="99"/>
    <w:pPr>
      <w:tabs>
        <w:tab w:val="center" w:pos="4153"/>
        <w:tab w:val="right" w:pos="8306"/>
      </w:tabs>
      <w:snapToGrid w:val="0"/>
      <w:jc w:val="left"/>
    </w:pPr>
    <w:rPr>
      <w:sz w:val="18"/>
    </w:rPr>
  </w:style>
  <w:style w:type="paragraph" w:styleId="6">
    <w:name w:val="Normal Indent"/>
    <w:basedOn w:val="1"/>
    <w:next w:val="1"/>
    <w:autoRedefine/>
    <w:unhideWhenUsed/>
    <w:qFormat/>
    <w:uiPriority w:val="99"/>
    <w:pPr>
      <w:ind w:firstLine="420"/>
    </w:pPr>
  </w:style>
  <w:style w:type="paragraph" w:styleId="7">
    <w:name w:val="Document Map"/>
    <w:basedOn w:val="1"/>
    <w:link w:val="35"/>
    <w:autoRedefine/>
    <w:qFormat/>
    <w:uiPriority w:val="0"/>
    <w:rPr>
      <w:rFonts w:ascii="宋体"/>
      <w:sz w:val="18"/>
      <w:szCs w:val="18"/>
    </w:rPr>
  </w:style>
  <w:style w:type="paragraph" w:styleId="8">
    <w:name w:val="annotation text"/>
    <w:basedOn w:val="1"/>
    <w:autoRedefine/>
    <w:qFormat/>
    <w:uiPriority w:val="0"/>
    <w:pPr>
      <w:jc w:val="left"/>
    </w:pPr>
  </w:style>
  <w:style w:type="paragraph" w:styleId="9">
    <w:name w:val="Body Text 3"/>
    <w:basedOn w:val="1"/>
    <w:autoRedefine/>
    <w:qFormat/>
    <w:uiPriority w:val="0"/>
    <w:rPr>
      <w:rFonts w:ascii="宋体"/>
      <w:sz w:val="24"/>
      <w:szCs w:val="20"/>
    </w:rPr>
  </w:style>
  <w:style w:type="paragraph" w:styleId="10">
    <w:name w:val="Body Text"/>
    <w:basedOn w:val="11"/>
    <w:next w:val="11"/>
    <w:autoRedefine/>
    <w:unhideWhenUsed/>
    <w:qFormat/>
    <w:uiPriority w:val="0"/>
    <w:pPr>
      <w:spacing w:after="120"/>
    </w:pPr>
    <w:rPr>
      <w:rFonts w:ascii="Times New Roman" w:hAnsi="Times New Roman"/>
      <w:szCs w:val="20"/>
    </w:rPr>
  </w:style>
  <w:style w:type="paragraph" w:styleId="11">
    <w:name w:val="Title"/>
    <w:basedOn w:val="1"/>
    <w:next w:val="1"/>
    <w:autoRedefine/>
    <w:qFormat/>
    <w:uiPriority w:val="0"/>
    <w:pPr>
      <w:widowControl w:val="0"/>
      <w:spacing w:after="0" w:line="360" w:lineRule="auto"/>
      <w:ind w:firstLine="200" w:firstLineChars="200"/>
      <w:jc w:val="both"/>
      <w:outlineLvl w:val="0"/>
    </w:pPr>
    <w:rPr>
      <w:rFonts w:ascii="Times New Roman" w:hAnsi="Times New Roman" w:eastAsia="宋体" w:cs="Times New Roman"/>
      <w:b/>
      <w:bCs/>
      <w:color w:val="auto"/>
      <w:kern w:val="0"/>
      <w:sz w:val="28"/>
      <w:szCs w:val="32"/>
    </w:rPr>
  </w:style>
  <w:style w:type="paragraph" w:styleId="12">
    <w:name w:val="Body Text Indent"/>
    <w:basedOn w:val="1"/>
    <w:autoRedefine/>
    <w:qFormat/>
    <w:uiPriority w:val="0"/>
    <w:pPr>
      <w:spacing w:after="120"/>
      <w:ind w:left="420" w:leftChars="200"/>
    </w:pPr>
    <w:rPr>
      <w:rFonts w:ascii="Times New Roman" w:hAnsi="Times New Roman"/>
      <w:szCs w:val="20"/>
    </w:rPr>
  </w:style>
  <w:style w:type="paragraph" w:styleId="13">
    <w:name w:val="toc 3"/>
    <w:basedOn w:val="1"/>
    <w:next w:val="1"/>
    <w:autoRedefine/>
    <w:qFormat/>
    <w:uiPriority w:val="39"/>
    <w:pPr>
      <w:ind w:left="400" w:leftChars="400"/>
    </w:pPr>
  </w:style>
  <w:style w:type="paragraph" w:styleId="14">
    <w:name w:val="Plain Text"/>
    <w:basedOn w:val="1"/>
    <w:next w:val="1"/>
    <w:link w:val="36"/>
    <w:autoRedefine/>
    <w:qFormat/>
    <w:uiPriority w:val="0"/>
    <w:rPr>
      <w:rFonts w:ascii="宋体"/>
    </w:rPr>
  </w:style>
  <w:style w:type="paragraph" w:styleId="15">
    <w:name w:val="Balloon Text"/>
    <w:basedOn w:val="1"/>
    <w:link w:val="37"/>
    <w:autoRedefine/>
    <w:qFormat/>
    <w:uiPriority w:val="0"/>
    <w:rPr>
      <w:sz w:val="18"/>
      <w:szCs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autoRedefine/>
    <w:qFormat/>
    <w:uiPriority w:val="39"/>
  </w:style>
  <w:style w:type="paragraph" w:styleId="18">
    <w:name w:val="toc 2"/>
    <w:basedOn w:val="1"/>
    <w:next w:val="1"/>
    <w:autoRedefine/>
    <w:qFormat/>
    <w:uiPriority w:val="39"/>
    <w:pPr>
      <w:ind w:left="200" w:leftChars="200"/>
    </w:pPr>
  </w:style>
  <w:style w:type="paragraph" w:styleId="1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0">
    <w:name w:val="Body Text First Indent"/>
    <w:basedOn w:val="10"/>
    <w:autoRedefine/>
    <w:qFormat/>
    <w:uiPriority w:val="0"/>
    <w:pPr>
      <w:spacing w:line="312" w:lineRule="auto"/>
      <w:ind w:firstLine="420"/>
    </w:pPr>
    <w:rPr>
      <w:szCs w:val="24"/>
      <w:lang w:val="en-US" w:eastAsia="zh-CN"/>
    </w:rPr>
  </w:style>
  <w:style w:type="paragraph" w:styleId="21">
    <w:name w:val="Body Text First Indent 2"/>
    <w:basedOn w:val="12"/>
    <w:autoRedefine/>
    <w:qFormat/>
    <w:uiPriority w:val="0"/>
    <w:pPr>
      <w:ind w:firstLine="420" w:firstLineChars="200"/>
    </w:pPr>
  </w:style>
  <w:style w:type="character" w:styleId="24">
    <w:name w:val="Strong"/>
    <w:autoRedefine/>
    <w:qFormat/>
    <w:uiPriority w:val="0"/>
    <w:rPr>
      <w:b/>
    </w:rPr>
  </w:style>
  <w:style w:type="character" w:styleId="25">
    <w:name w:val="page number"/>
    <w:autoRedefine/>
    <w:qFormat/>
    <w:uiPriority w:val="0"/>
  </w:style>
  <w:style w:type="character" w:styleId="26">
    <w:name w:val="FollowedHyperlink"/>
    <w:autoRedefine/>
    <w:qFormat/>
    <w:uiPriority w:val="0"/>
    <w:rPr>
      <w:rFonts w:hint="eastAsia" w:ascii="微软雅黑" w:hAnsi="微软雅黑" w:eastAsia="微软雅黑" w:cs="微软雅黑"/>
      <w:color w:val="337AB7"/>
      <w:u w:val="none"/>
    </w:rPr>
  </w:style>
  <w:style w:type="character" w:styleId="27">
    <w:name w:val="Emphasis"/>
    <w:autoRedefine/>
    <w:qFormat/>
    <w:uiPriority w:val="0"/>
    <w:rPr>
      <w:i/>
    </w:rPr>
  </w:style>
  <w:style w:type="character" w:styleId="28">
    <w:name w:val="HTML Definition"/>
    <w:autoRedefine/>
    <w:qFormat/>
    <w:uiPriority w:val="0"/>
    <w:rPr>
      <w:i/>
    </w:rPr>
  </w:style>
  <w:style w:type="character" w:styleId="29">
    <w:name w:val="Hyperlink"/>
    <w:autoRedefine/>
    <w:qFormat/>
    <w:uiPriority w:val="99"/>
    <w:rPr>
      <w:color w:val="000000"/>
      <w:u w:val="none"/>
    </w:rPr>
  </w:style>
  <w:style w:type="character" w:styleId="30">
    <w:name w:val="HTML Code"/>
    <w:autoRedefine/>
    <w:qFormat/>
    <w:uiPriority w:val="0"/>
    <w:rPr>
      <w:rFonts w:hint="default" w:ascii="Consolas" w:hAnsi="Consolas" w:eastAsia="Consolas" w:cs="Consolas"/>
      <w:color w:val="C7254E"/>
      <w:sz w:val="21"/>
      <w:szCs w:val="21"/>
      <w:bdr w:val="single" w:color="E1E1E1" w:sz="6" w:space="0"/>
      <w:shd w:val="clear" w:color="auto" w:fill="F9F2F4"/>
    </w:rPr>
  </w:style>
  <w:style w:type="character" w:styleId="31">
    <w:name w:val="annotation reference"/>
    <w:autoRedefine/>
    <w:qFormat/>
    <w:uiPriority w:val="0"/>
    <w:rPr>
      <w:sz w:val="21"/>
    </w:rPr>
  </w:style>
  <w:style w:type="character" w:styleId="32">
    <w:name w:val="HTML Keyboard"/>
    <w:autoRedefine/>
    <w:qFormat/>
    <w:uiPriority w:val="0"/>
    <w:rPr>
      <w:rFonts w:hint="default" w:ascii="Consolas" w:hAnsi="Consolas" w:eastAsia="Consolas" w:cs="Consolas"/>
      <w:color w:val="FFFFFF"/>
      <w:sz w:val="21"/>
      <w:szCs w:val="21"/>
      <w:shd w:val="clear" w:color="auto" w:fill="333333"/>
    </w:rPr>
  </w:style>
  <w:style w:type="character" w:styleId="33">
    <w:name w:val="HTML Sample"/>
    <w:autoRedefine/>
    <w:qFormat/>
    <w:uiPriority w:val="0"/>
    <w:rPr>
      <w:rFonts w:ascii="Consolas" w:hAnsi="Consolas" w:eastAsia="Consolas" w:cs="Consolas"/>
      <w:sz w:val="21"/>
      <w:szCs w:val="21"/>
    </w:rPr>
  </w:style>
  <w:style w:type="character" w:customStyle="1" w:styleId="34">
    <w:name w:val="页脚 Char"/>
    <w:link w:val="2"/>
    <w:autoRedefine/>
    <w:qFormat/>
    <w:uiPriority w:val="99"/>
    <w:rPr>
      <w:rFonts w:ascii="Calibri" w:hAnsi="Calibri"/>
      <w:kern w:val="2"/>
      <w:sz w:val="18"/>
      <w:szCs w:val="22"/>
    </w:rPr>
  </w:style>
  <w:style w:type="character" w:customStyle="1" w:styleId="35">
    <w:name w:val="文档结构图 Char"/>
    <w:basedOn w:val="23"/>
    <w:link w:val="7"/>
    <w:autoRedefine/>
    <w:qFormat/>
    <w:uiPriority w:val="0"/>
    <w:rPr>
      <w:rFonts w:ascii="宋体" w:hAnsi="Calibri"/>
      <w:kern w:val="2"/>
      <w:sz w:val="18"/>
      <w:szCs w:val="18"/>
    </w:rPr>
  </w:style>
  <w:style w:type="character" w:customStyle="1" w:styleId="36">
    <w:name w:val="纯文本 Char"/>
    <w:link w:val="14"/>
    <w:autoRedefine/>
    <w:qFormat/>
    <w:uiPriority w:val="0"/>
    <w:rPr>
      <w:rFonts w:ascii="宋体" w:hAnsi="Calibri"/>
      <w:kern w:val="2"/>
      <w:sz w:val="21"/>
      <w:szCs w:val="22"/>
    </w:rPr>
  </w:style>
  <w:style w:type="character" w:customStyle="1" w:styleId="37">
    <w:name w:val="批注框文本 Char"/>
    <w:link w:val="15"/>
    <w:autoRedefine/>
    <w:qFormat/>
    <w:uiPriority w:val="0"/>
    <w:rPr>
      <w:rFonts w:ascii="Calibri" w:hAnsi="Calibri"/>
      <w:kern w:val="2"/>
      <w:sz w:val="18"/>
      <w:szCs w:val="18"/>
    </w:rPr>
  </w:style>
  <w:style w:type="character" w:customStyle="1" w:styleId="38">
    <w:name w:val="username"/>
    <w:autoRedefine/>
    <w:qFormat/>
    <w:uiPriority w:val="0"/>
  </w:style>
  <w:style w:type="character" w:customStyle="1" w:styleId="39">
    <w:name w:val="font01"/>
    <w:autoRedefine/>
    <w:qFormat/>
    <w:uiPriority w:val="0"/>
    <w:rPr>
      <w:rFonts w:hint="eastAsia" w:ascii="宋体" w:hAnsi="宋体" w:eastAsia="宋体" w:cs="宋体"/>
      <w:color w:val="000000"/>
      <w:sz w:val="21"/>
      <w:szCs w:val="21"/>
      <w:u w:val="none"/>
    </w:rPr>
  </w:style>
  <w:style w:type="character" w:customStyle="1" w:styleId="40">
    <w:name w:val="title26"/>
    <w:autoRedefine/>
    <w:qFormat/>
    <w:uiPriority w:val="0"/>
  </w:style>
  <w:style w:type="paragraph" w:customStyle="1" w:styleId="41">
    <w:name w:val="正文 New"/>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42">
    <w:name w:val="BodyText1I"/>
    <w:basedOn w:val="1"/>
    <w:autoRedefine/>
    <w:qFormat/>
    <w:uiPriority w:val="0"/>
    <w:pPr>
      <w:spacing w:after="120" w:line="312" w:lineRule="auto"/>
      <w:ind w:firstLine="420"/>
      <w:textAlignment w:val="baseline"/>
    </w:pPr>
    <w:rPr>
      <w:rFonts w:ascii="Times New Roman" w:hAnsi="Times New Roman"/>
    </w:rPr>
  </w:style>
  <w:style w:type="paragraph" w:customStyle="1" w:styleId="43">
    <w:name w:val="Char Char Char Char Char Char Char"/>
    <w:basedOn w:val="1"/>
    <w:autoRedefine/>
    <w:qFormat/>
    <w:uiPriority w:val="0"/>
    <w:pPr>
      <w:spacing w:line="300" w:lineRule="auto"/>
    </w:pPr>
    <w:rPr>
      <w:rFonts w:ascii="Tahoma" w:hAnsi="Tahoma"/>
      <w:sz w:val="24"/>
      <w:szCs w:val="20"/>
    </w:rPr>
  </w:style>
  <w:style w:type="paragraph" w:customStyle="1" w:styleId="44">
    <w:name w:val="TOC 标题1"/>
    <w:basedOn w:val="3"/>
    <w:next w:val="1"/>
    <w:autoRedefine/>
    <w:qFormat/>
    <w:uiPriority w:val="0"/>
    <w:pPr>
      <w:widowControl/>
      <w:spacing w:before="480" w:after="0" w:line="276" w:lineRule="auto"/>
      <w:jc w:val="left"/>
      <w:outlineLvl w:val="9"/>
    </w:pPr>
    <w:rPr>
      <w:rFonts w:ascii="Cambria" w:hAnsi="Cambria"/>
      <w:color w:val="365F91"/>
      <w:kern w:val="0"/>
      <w:sz w:val="28"/>
    </w:rPr>
  </w:style>
  <w:style w:type="paragraph" w:customStyle="1" w:styleId="45">
    <w:name w:val="Table Paragraph"/>
    <w:basedOn w:val="1"/>
    <w:autoRedefine/>
    <w:unhideWhenUsed/>
    <w:qFormat/>
    <w:uiPriority w:val="99"/>
    <w:rPr>
      <w:rFonts w:hint="eastAsia"/>
      <w:sz w:val="21"/>
    </w:rPr>
  </w:style>
  <w:style w:type="character" w:customStyle="1" w:styleId="46">
    <w:name w:val="NormalCharacter"/>
    <w:autoRedefine/>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6820</Words>
  <Characters>38877</Characters>
  <Lines>323</Lines>
  <Paragraphs>91</Paragraphs>
  <TotalTime>22</TotalTime>
  <ScaleCrop>false</ScaleCrop>
  <LinksUpToDate>false</LinksUpToDate>
  <CharactersWithSpaces>45606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2023-05-16T09:01:00Z</dcterms:created>
  <dc:creator>Administrator</dc:creator>
  <cp:lastModifiedBy>office</cp:lastModifiedBy>
  <cp:lastPrinted>2024-04-18T03:51:00Z</cp:lastPrinted>
  <dcterms:modified xsi:type="dcterms:W3CDTF">2024-04-19T09:16:19Z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8296B9D59B4C4C5F871F25B3D8FD3C79_13</vt:lpwstr>
  </property>
</Properties>
</file>