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highlight w:val="none"/>
        </w:rPr>
      </w:pPr>
    </w:p>
    <w:p>
      <w:pPr>
        <w:jc w:val="center"/>
        <w:rPr>
          <w:rFonts w:ascii="宋体" w:hAnsi="宋体"/>
          <w:b/>
          <w:sz w:val="44"/>
          <w:szCs w:val="44"/>
          <w:highlight w:val="none"/>
        </w:rPr>
      </w:pPr>
    </w:p>
    <w:p>
      <w:pPr>
        <w:jc w:val="center"/>
        <w:rPr>
          <w:rFonts w:hint="eastAsia" w:ascii="宋体" w:hAnsi="宋体" w:eastAsia="宋体" w:cs="Times New Roman"/>
          <w:b/>
          <w:sz w:val="44"/>
          <w:szCs w:val="44"/>
          <w:highlight w:val="none"/>
        </w:rPr>
      </w:pPr>
      <w:r>
        <w:rPr>
          <w:rFonts w:hint="eastAsia" w:ascii="宋体" w:hAnsi="宋体" w:eastAsia="宋体" w:cs="Times New Roman"/>
          <w:b/>
          <w:sz w:val="44"/>
          <w:szCs w:val="44"/>
          <w:highlight w:val="none"/>
        </w:rPr>
        <w:t>广州外国语学校（增城校区）建设工程</w:t>
      </w:r>
    </w:p>
    <w:p>
      <w:pPr>
        <w:jc w:val="center"/>
        <w:rPr>
          <w:rFonts w:hint="eastAsia" w:ascii="宋体" w:hAnsi="宋体" w:eastAsia="宋体" w:cs="Times New Roman"/>
          <w:b/>
          <w:sz w:val="44"/>
          <w:szCs w:val="44"/>
          <w:highlight w:val="none"/>
        </w:rPr>
      </w:pPr>
    </w:p>
    <w:p>
      <w:pPr>
        <w:jc w:val="center"/>
        <w:rPr>
          <w:rFonts w:ascii="宋体" w:hAnsi="宋体"/>
          <w:b/>
          <w:sz w:val="44"/>
          <w:szCs w:val="44"/>
          <w:highlight w:val="none"/>
        </w:rPr>
      </w:pPr>
      <w:r>
        <w:rPr>
          <w:rFonts w:hint="eastAsia" w:ascii="宋体" w:hAnsi="宋体" w:eastAsia="宋体" w:cs="Times New Roman"/>
          <w:b/>
          <w:sz w:val="44"/>
          <w:szCs w:val="44"/>
          <w:highlight w:val="none"/>
        </w:rPr>
        <w:t>设</w:t>
      </w:r>
      <w:r>
        <w:rPr>
          <w:rFonts w:hint="eastAsia" w:ascii="宋体" w:hAnsi="宋体"/>
          <w:b/>
          <w:sz w:val="44"/>
          <w:szCs w:val="44"/>
          <w:highlight w:val="none"/>
        </w:rPr>
        <w:t>计任务书</w:t>
      </w: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spacing w:line="440" w:lineRule="exact"/>
        <w:ind w:firstLine="105" w:firstLineChars="50"/>
        <w:rPr>
          <w:rFonts w:ascii="宋体" w:hAnsi="宋体"/>
          <w:szCs w:val="21"/>
          <w:highlight w:val="none"/>
        </w:rPr>
      </w:pPr>
    </w:p>
    <w:p>
      <w:pPr>
        <w:jc w:val="center"/>
        <w:rPr>
          <w:b/>
          <w:sz w:val="36"/>
          <w:szCs w:val="36"/>
          <w:highlight w:val="none"/>
        </w:rPr>
      </w:pPr>
    </w:p>
    <w:p>
      <w:pPr>
        <w:jc w:val="center"/>
        <w:rPr>
          <w:b/>
          <w:sz w:val="36"/>
          <w:szCs w:val="36"/>
          <w:highlight w:val="none"/>
        </w:rPr>
      </w:pPr>
      <w:r>
        <w:rPr>
          <w:rFonts w:hint="eastAsia"/>
          <w:b/>
          <w:sz w:val="36"/>
          <w:szCs w:val="36"/>
          <w:highlight w:val="none"/>
        </w:rPr>
        <w:t xml:space="preserve">    </w:t>
      </w:r>
    </w:p>
    <w:p>
      <w:pPr>
        <w:jc w:val="center"/>
        <w:rPr>
          <w:b/>
          <w:sz w:val="36"/>
          <w:szCs w:val="36"/>
          <w:highlight w:val="none"/>
        </w:rPr>
      </w:pPr>
      <w:r>
        <w:rPr>
          <w:rFonts w:hint="eastAsia"/>
          <w:b/>
          <w:sz w:val="36"/>
          <w:szCs w:val="36"/>
          <w:highlight w:val="none"/>
        </w:rPr>
        <w:t>二〇二四年</w:t>
      </w:r>
      <w:r>
        <w:rPr>
          <w:rFonts w:hint="eastAsia"/>
          <w:b/>
          <w:sz w:val="36"/>
          <w:szCs w:val="36"/>
          <w:highlight w:val="none"/>
          <w:lang w:val="en-US" w:eastAsia="zh-CN"/>
        </w:rPr>
        <w:t>四</w:t>
      </w:r>
      <w:r>
        <w:rPr>
          <w:rFonts w:hint="eastAsia"/>
          <w:b/>
          <w:sz w:val="36"/>
          <w:szCs w:val="36"/>
          <w:highlight w:val="none"/>
        </w:rPr>
        <w:t>月</w:t>
      </w:r>
    </w:p>
    <w:p>
      <w:pPr>
        <w:jc w:val="center"/>
        <w:rPr>
          <w:b/>
          <w:sz w:val="36"/>
          <w:szCs w:val="36"/>
          <w:highlight w:val="none"/>
        </w:rPr>
      </w:pPr>
    </w:p>
    <w:p>
      <w:pPr>
        <w:pStyle w:val="2"/>
        <w:rPr>
          <w:highlight w:val="none"/>
        </w:rPr>
      </w:pPr>
    </w:p>
    <w:p>
      <w:pPr>
        <w:jc w:val="center"/>
        <w:rPr>
          <w:b/>
          <w:sz w:val="36"/>
          <w:szCs w:val="36"/>
          <w:highlight w:val="none"/>
        </w:rPr>
      </w:pPr>
    </w:p>
    <w:p>
      <w:pPr>
        <w:pStyle w:val="3"/>
        <w:tabs>
          <w:tab w:val="left" w:pos="3570"/>
        </w:tabs>
        <w:spacing w:before="156" w:beforeLines="50" w:after="156" w:afterLines="50" w:line="240" w:lineRule="auto"/>
        <w:jc w:val="center"/>
        <w:rPr>
          <w:rFonts w:ascii="宋体" w:hAnsi="宋体"/>
          <w:b w:val="0"/>
          <w:sz w:val="32"/>
          <w:szCs w:val="32"/>
          <w:highlight w:val="none"/>
        </w:rPr>
      </w:pPr>
      <w:bookmarkStart w:id="0" w:name="_Toc462255814"/>
      <w:bookmarkStart w:id="1" w:name="_Toc162001378"/>
      <w:bookmarkStart w:id="2" w:name="_Toc462261993"/>
      <w:bookmarkStart w:id="3" w:name="_Toc162001465"/>
      <w:bookmarkStart w:id="4" w:name="_Toc15019"/>
      <w:bookmarkStart w:id="5" w:name="_Toc462089674"/>
      <w:bookmarkStart w:id="6" w:name="_Toc462091622"/>
      <w:bookmarkStart w:id="7" w:name="_Toc25877"/>
      <w:bookmarkStart w:id="8" w:name="_Toc2500"/>
      <w:r>
        <w:rPr>
          <w:rFonts w:hint="eastAsia" w:ascii="宋体" w:hAnsi="宋体"/>
          <w:b w:val="0"/>
          <w:sz w:val="32"/>
          <w:szCs w:val="32"/>
          <w:highlight w:val="none"/>
        </w:rPr>
        <w:t>目录</w:t>
      </w:r>
      <w:bookmarkEnd w:id="0"/>
      <w:bookmarkEnd w:id="1"/>
      <w:bookmarkEnd w:id="2"/>
      <w:bookmarkEnd w:id="3"/>
      <w:bookmarkEnd w:id="4"/>
      <w:bookmarkEnd w:id="5"/>
      <w:bookmarkEnd w:id="6"/>
      <w:bookmarkEnd w:id="7"/>
      <w:bookmarkEnd w:id="8"/>
    </w:p>
    <w:p>
      <w:pPr>
        <w:pStyle w:val="17"/>
        <w:tabs>
          <w:tab w:val="right" w:leader="dot" w:pos="8306"/>
        </w:tabs>
      </w:pPr>
      <w:r>
        <w:rPr>
          <w:rFonts w:ascii="宋体" w:hAnsi="宋体"/>
          <w:szCs w:val="21"/>
          <w:highlight w:val="none"/>
        </w:rPr>
        <w:fldChar w:fldCharType="begin"/>
      </w:r>
      <w:r>
        <w:rPr>
          <w:rFonts w:ascii="宋体" w:hAnsi="宋体"/>
          <w:szCs w:val="21"/>
          <w:highlight w:val="none"/>
        </w:rPr>
        <w:instrText xml:space="preserve"> TOC \o "1-3" \h \z \u </w:instrText>
      </w:r>
      <w:r>
        <w:rPr>
          <w:rFonts w:ascii="宋体" w:hAnsi="宋体"/>
          <w:szCs w:val="21"/>
          <w:highlight w:val="none"/>
        </w:rPr>
        <w:fldChar w:fldCharType="separate"/>
      </w:r>
      <w:r>
        <w:rPr>
          <w:rFonts w:ascii="宋体" w:hAnsi="宋体"/>
          <w:szCs w:val="21"/>
          <w:highlight w:val="none"/>
        </w:rPr>
        <w:fldChar w:fldCharType="begin"/>
      </w:r>
      <w:r>
        <w:rPr>
          <w:rFonts w:ascii="宋体" w:hAnsi="宋体"/>
          <w:szCs w:val="21"/>
          <w:highlight w:val="none"/>
        </w:rPr>
        <w:instrText xml:space="preserve"> HYPERLINK \l _Toc2500 </w:instrText>
      </w:r>
      <w:r>
        <w:rPr>
          <w:rFonts w:ascii="宋体" w:hAnsi="宋体"/>
          <w:szCs w:val="21"/>
          <w:highlight w:val="none"/>
        </w:rPr>
        <w:fldChar w:fldCharType="separate"/>
      </w:r>
      <w:r>
        <w:rPr>
          <w:rFonts w:hint="eastAsia" w:ascii="宋体" w:hAnsi="宋体"/>
          <w:szCs w:val="32"/>
          <w:highlight w:val="none"/>
        </w:rPr>
        <w:t>目录</w:t>
      </w:r>
      <w:r>
        <w:tab/>
      </w:r>
      <w:r>
        <w:fldChar w:fldCharType="begin"/>
      </w:r>
      <w:r>
        <w:instrText xml:space="preserve"> PAGEREF _Toc2500 \h </w:instrText>
      </w:r>
      <w:r>
        <w:fldChar w:fldCharType="separate"/>
      </w:r>
      <w:r>
        <w:t>2</w:t>
      </w:r>
      <w:r>
        <w:fldChar w:fldCharType="end"/>
      </w:r>
      <w:r>
        <w:rPr>
          <w:rFonts w:ascii="宋体" w:hAnsi="宋体"/>
          <w:szCs w:val="21"/>
          <w:highlight w:val="none"/>
        </w:rPr>
        <w:fldChar w:fldCharType="end"/>
      </w:r>
    </w:p>
    <w:p>
      <w:pPr>
        <w:pStyle w:val="17"/>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_Toc7831 </w:instrText>
      </w:r>
      <w:r>
        <w:rPr>
          <w:rFonts w:ascii="宋体" w:hAnsi="宋体"/>
          <w:szCs w:val="21"/>
          <w:highlight w:val="none"/>
        </w:rPr>
        <w:fldChar w:fldCharType="separate"/>
      </w:r>
      <w:r>
        <w:rPr>
          <w:rFonts w:hint="eastAsia" w:ascii="宋体" w:hAnsi="宋体"/>
          <w:bCs w:val="0"/>
          <w:szCs w:val="36"/>
          <w:highlight w:val="none"/>
        </w:rPr>
        <w:t>第一章</w:t>
      </w:r>
      <w:r>
        <w:rPr>
          <w:rFonts w:ascii="宋体" w:hAnsi="宋体"/>
          <w:bCs w:val="0"/>
          <w:szCs w:val="36"/>
          <w:highlight w:val="none"/>
        </w:rPr>
        <w:t xml:space="preserve"> </w:t>
      </w:r>
      <w:r>
        <w:rPr>
          <w:rFonts w:hint="eastAsia" w:ascii="宋体" w:hAnsi="宋体"/>
          <w:bCs w:val="0"/>
          <w:szCs w:val="36"/>
          <w:highlight w:val="none"/>
        </w:rPr>
        <w:t>总则</w:t>
      </w:r>
      <w:r>
        <w:tab/>
      </w:r>
      <w:r>
        <w:fldChar w:fldCharType="begin"/>
      </w:r>
      <w:r>
        <w:instrText xml:space="preserve"> PAGEREF _Toc7831 \h </w:instrText>
      </w:r>
      <w:r>
        <w:fldChar w:fldCharType="separate"/>
      </w:r>
      <w:r>
        <w:t>5</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_Toc14020 </w:instrText>
      </w:r>
      <w:r>
        <w:rPr>
          <w:rFonts w:ascii="宋体" w:hAnsi="宋体"/>
          <w:szCs w:val="21"/>
          <w:highlight w:val="none"/>
        </w:rPr>
        <w:fldChar w:fldCharType="separate"/>
      </w:r>
      <w:r>
        <w:rPr>
          <w:rFonts w:ascii="宋体" w:hAnsi="宋体" w:eastAsia="宋体" w:cs="黑体"/>
          <w:bCs/>
          <w:kern w:val="2"/>
          <w:szCs w:val="21"/>
          <w:highlight w:val="none"/>
          <w:lang w:val="en-US" w:eastAsia="zh-CN" w:bidi="ar-SA"/>
          <w14:ligatures w14:val="standardContextual"/>
        </w:rPr>
        <w:t>一、</w:t>
      </w:r>
      <w:r>
        <w:rPr>
          <w:rFonts w:hint="eastAsia" w:ascii="宋体" w:hAnsi="宋体"/>
          <w:szCs w:val="21"/>
          <w:highlight w:val="none"/>
        </w:rPr>
        <w:t>项目提出背景</w:t>
      </w:r>
      <w:r>
        <w:tab/>
      </w:r>
      <w:r>
        <w:fldChar w:fldCharType="begin"/>
      </w:r>
      <w:r>
        <w:instrText xml:space="preserve"> PAGEREF _Toc14020 \h </w:instrText>
      </w:r>
      <w:r>
        <w:fldChar w:fldCharType="separate"/>
      </w:r>
      <w:r>
        <w:t>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_Toc30657 </w:instrText>
      </w:r>
      <w:r>
        <w:rPr>
          <w:rFonts w:ascii="宋体" w:hAnsi="宋体"/>
          <w:szCs w:val="21"/>
          <w:highlight w:val="none"/>
        </w:rPr>
        <w:fldChar w:fldCharType="separate"/>
      </w:r>
      <w:r>
        <w:rPr>
          <w:rFonts w:ascii="Times New Roman" w:hAnsi="Times New Roman" w:eastAsia="宋体" w:cs="Times New Roman"/>
          <w:bCs w:val="0"/>
          <w:i w:val="0"/>
          <w:iCs w:val="0"/>
          <w:caps w:val="0"/>
          <w:smallCaps w:val="0"/>
          <w:strike w:val="0"/>
          <w:dstrike w:val="0"/>
          <w:spacing w:val="0"/>
          <w:kern w:val="2"/>
          <w:position w:val="0"/>
          <w:szCs w:val="21"/>
          <w:highlight w:val="none"/>
          <w:lang w:val="en-US" w:eastAsia="zh-CN" w:bidi="ar-SA"/>
          <w14:ligatures w14:val="standardContextual"/>
        </w:rPr>
        <w:t>(一)</w:t>
      </w:r>
      <w:r>
        <w:rPr>
          <w:rFonts w:hint="eastAsia"/>
          <w:highlight w:val="none"/>
        </w:rPr>
        <w:t>项目建设背景</w:t>
      </w:r>
      <w:r>
        <w:tab/>
      </w:r>
      <w:r>
        <w:fldChar w:fldCharType="begin"/>
      </w:r>
      <w:r>
        <w:instrText xml:space="preserve"> PAGEREF _Toc30657 \h </w:instrText>
      </w:r>
      <w:r>
        <w:fldChar w:fldCharType="separate"/>
      </w:r>
      <w:r>
        <w:t>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_Toc12274 </w:instrText>
      </w:r>
      <w:r>
        <w:rPr>
          <w:rFonts w:ascii="宋体" w:hAnsi="宋体"/>
          <w:szCs w:val="21"/>
          <w:highlight w:val="none"/>
        </w:rPr>
        <w:fldChar w:fldCharType="separate"/>
      </w:r>
      <w:r>
        <w:rPr>
          <w:rFonts w:ascii="Times New Roman" w:hAnsi="Times New Roman" w:eastAsia="宋体" w:cs="Times New Roman"/>
          <w:bCs w:val="0"/>
          <w:i w:val="0"/>
          <w:iCs w:val="0"/>
          <w:caps w:val="0"/>
          <w:smallCaps w:val="0"/>
          <w:strike w:val="0"/>
          <w:dstrike w:val="0"/>
          <w:spacing w:val="0"/>
          <w:kern w:val="2"/>
          <w:position w:val="0"/>
          <w:szCs w:val="21"/>
          <w:highlight w:val="none"/>
          <w:lang w:val="en-US" w:eastAsia="zh-CN" w:bidi="ar-SA"/>
          <w14:ligatures w14:val="standardContextual"/>
        </w:rPr>
        <w:t>(二)</w:t>
      </w:r>
      <w:r>
        <w:rPr>
          <w:rFonts w:hint="eastAsia"/>
          <w:highlight w:val="none"/>
        </w:rPr>
        <w:t>项目选址</w:t>
      </w:r>
      <w:r>
        <w:tab/>
      </w:r>
      <w:r>
        <w:fldChar w:fldCharType="begin"/>
      </w:r>
      <w:r>
        <w:instrText xml:space="preserve"> PAGEREF _Toc12274 \h </w:instrText>
      </w:r>
      <w:r>
        <w:fldChar w:fldCharType="separate"/>
      </w:r>
      <w:r>
        <w:t>5</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_Toc3794 </w:instrText>
      </w:r>
      <w:r>
        <w:rPr>
          <w:rFonts w:ascii="宋体" w:hAnsi="宋体"/>
          <w:szCs w:val="21"/>
          <w:highlight w:val="none"/>
        </w:rPr>
        <w:fldChar w:fldCharType="separate"/>
      </w:r>
      <w:r>
        <w:rPr>
          <w:rFonts w:hint="eastAsia" w:ascii="宋体" w:hAnsi="宋体" w:eastAsia="宋体" w:cs="黑体"/>
          <w:bCs/>
          <w:kern w:val="2"/>
          <w:szCs w:val="21"/>
          <w:highlight w:val="none"/>
          <w:lang w:val="en-US" w:eastAsia="zh-CN" w:bidi="ar-SA"/>
          <w14:ligatures w14:val="standardContextual"/>
        </w:rPr>
        <w:t>二、</w:t>
      </w:r>
      <w:r>
        <w:rPr>
          <w:rFonts w:hint="eastAsia" w:ascii="宋体" w:hAnsi="宋体"/>
          <w:szCs w:val="21"/>
          <w:highlight w:val="none"/>
        </w:rPr>
        <w:t>设计任务书编制依据</w:t>
      </w:r>
      <w:r>
        <w:tab/>
      </w:r>
      <w:r>
        <w:fldChar w:fldCharType="begin"/>
      </w:r>
      <w:r>
        <w:instrText xml:space="preserve"> PAGEREF _Toc3794 \h </w:instrText>
      </w:r>
      <w:r>
        <w:fldChar w:fldCharType="separate"/>
      </w:r>
      <w:r>
        <w:t>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_Toc12552 </w:instrText>
      </w:r>
      <w:r>
        <w:rPr>
          <w:rFonts w:ascii="宋体" w:hAnsi="宋体"/>
          <w:szCs w:val="21"/>
          <w:highlight w:val="none"/>
        </w:rPr>
        <w:fldChar w:fldCharType="separate"/>
      </w:r>
      <w:r>
        <w:rPr>
          <w:rFonts w:ascii="Times New Roman" w:hAnsi="Times New Roman" w:eastAsia="宋体" w:cs="Times New Roman"/>
          <w:bCs w:val="0"/>
          <w:i w:val="0"/>
          <w:iCs w:val="0"/>
          <w:caps w:val="0"/>
          <w:smallCaps w:val="0"/>
          <w:strike w:val="0"/>
          <w:dstrike w:val="0"/>
          <w:spacing w:val="0"/>
          <w:kern w:val="2"/>
          <w:position w:val="0"/>
          <w:szCs w:val="21"/>
          <w:highlight w:val="none"/>
          <w:lang w:val="en-US" w:eastAsia="zh-CN" w:bidi="ar-SA"/>
          <w14:ligatures w14:val="standardContextual"/>
        </w:rPr>
        <w:t>(一)</w:t>
      </w:r>
      <w:r>
        <w:rPr>
          <w:rFonts w:hint="eastAsia"/>
          <w:highlight w:val="none"/>
        </w:rPr>
        <w:t>法律法规</w:t>
      </w:r>
      <w:r>
        <w:tab/>
      </w:r>
      <w:r>
        <w:fldChar w:fldCharType="begin"/>
      </w:r>
      <w:r>
        <w:instrText xml:space="preserve"> PAGEREF _Toc12552 \h </w:instrText>
      </w:r>
      <w:r>
        <w:fldChar w:fldCharType="separate"/>
      </w:r>
      <w:r>
        <w:t>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_Toc20053 </w:instrText>
      </w:r>
      <w:r>
        <w:rPr>
          <w:rFonts w:ascii="宋体" w:hAnsi="宋体"/>
          <w:szCs w:val="21"/>
          <w:highlight w:val="none"/>
        </w:rPr>
        <w:fldChar w:fldCharType="separate"/>
      </w:r>
      <w:r>
        <w:rPr>
          <w:rFonts w:hint="eastAsia" w:ascii="宋体" w:hAnsi="宋体" w:eastAsia="宋体" w:cs="Times New Roman"/>
          <w:bCs/>
          <w:kern w:val="2"/>
          <w:szCs w:val="21"/>
          <w:highlight w:val="none"/>
          <w:lang w:val="en-US" w:eastAsia="zh-CN" w:bidi="ar-SA"/>
          <w14:ligatures w14:val="standardContextual"/>
        </w:rPr>
        <w:t>(二)</w:t>
      </w:r>
      <w:r>
        <w:rPr>
          <w:rFonts w:hint="eastAsia"/>
          <w:highlight w:val="none"/>
        </w:rPr>
        <w:t>技术标准与规范</w:t>
      </w:r>
      <w:r>
        <w:tab/>
      </w:r>
      <w:r>
        <w:fldChar w:fldCharType="begin"/>
      </w:r>
      <w:r>
        <w:instrText xml:space="preserve"> PAGEREF _Toc20053 \h </w:instrText>
      </w:r>
      <w:r>
        <w:fldChar w:fldCharType="separate"/>
      </w:r>
      <w:r>
        <w:t>6</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_Toc26960 </w:instrText>
      </w:r>
      <w:r>
        <w:rPr>
          <w:rFonts w:ascii="宋体" w:hAnsi="宋体"/>
          <w:szCs w:val="21"/>
          <w:highlight w:val="none"/>
        </w:rPr>
        <w:fldChar w:fldCharType="separate"/>
      </w:r>
      <w:r>
        <w:rPr>
          <w:rFonts w:hint="eastAsia" w:ascii="宋体" w:hAnsi="宋体" w:eastAsia="宋体" w:cs="Times New Roman"/>
          <w:bCs/>
          <w:kern w:val="2"/>
          <w:szCs w:val="21"/>
          <w:highlight w:val="none"/>
          <w:lang w:val="en-US" w:eastAsia="zh-CN" w:bidi="ar-SA"/>
          <w14:ligatures w14:val="standardContextual"/>
        </w:rPr>
        <w:t>(三)</w:t>
      </w:r>
      <w:r>
        <w:rPr>
          <w:rFonts w:hint="eastAsia"/>
          <w:highlight w:val="none"/>
        </w:rPr>
        <w:t>相关文件</w:t>
      </w:r>
      <w:r>
        <w:tab/>
      </w:r>
      <w:r>
        <w:fldChar w:fldCharType="begin"/>
      </w:r>
      <w:r>
        <w:instrText xml:space="preserve"> PAGEREF _Toc26960 \h </w:instrText>
      </w:r>
      <w:r>
        <w:fldChar w:fldCharType="separate"/>
      </w:r>
      <w:r>
        <w:t>6</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_Toc942 </w:instrText>
      </w:r>
      <w:r>
        <w:rPr>
          <w:rFonts w:ascii="宋体" w:hAnsi="宋体"/>
          <w:szCs w:val="21"/>
          <w:highlight w:val="none"/>
        </w:rPr>
        <w:fldChar w:fldCharType="separate"/>
      </w:r>
      <w:r>
        <w:rPr>
          <w:rFonts w:hint="eastAsia" w:ascii="宋体" w:hAnsi="宋体" w:eastAsia="宋体" w:cs="Times New Roman"/>
          <w:bCs/>
          <w:kern w:val="2"/>
          <w:szCs w:val="21"/>
          <w:highlight w:val="none"/>
          <w:lang w:val="en-US" w:eastAsia="zh-CN" w:bidi="ar-SA"/>
          <w14:ligatures w14:val="standardContextual"/>
        </w:rPr>
        <w:t>(四)</w:t>
      </w:r>
      <w:r>
        <w:rPr>
          <w:rFonts w:hint="eastAsia"/>
          <w:highlight w:val="none"/>
        </w:rPr>
        <w:t>上位规划资料</w:t>
      </w:r>
      <w:r>
        <w:tab/>
      </w:r>
      <w:r>
        <w:fldChar w:fldCharType="begin"/>
      </w:r>
      <w:r>
        <w:instrText xml:space="preserve"> PAGEREF _Toc942 \h </w:instrText>
      </w:r>
      <w:r>
        <w:fldChar w:fldCharType="separate"/>
      </w:r>
      <w:r>
        <w:t>7</w:t>
      </w:r>
      <w:r>
        <w:fldChar w:fldCharType="end"/>
      </w:r>
      <w:r>
        <w:rPr>
          <w:rFonts w:ascii="宋体" w:hAnsi="宋体"/>
          <w:szCs w:val="21"/>
          <w:highlight w:val="none"/>
        </w:rPr>
        <w:fldChar w:fldCharType="end"/>
      </w:r>
    </w:p>
    <w:p>
      <w:pPr>
        <w:pStyle w:val="17"/>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_Toc26326 </w:instrText>
      </w:r>
      <w:r>
        <w:rPr>
          <w:rFonts w:ascii="宋体" w:hAnsi="宋体"/>
          <w:szCs w:val="21"/>
          <w:highlight w:val="none"/>
        </w:rPr>
        <w:fldChar w:fldCharType="separate"/>
      </w:r>
      <w:r>
        <w:rPr>
          <w:rFonts w:hint="eastAsia" w:ascii="宋体" w:hAnsi="宋体"/>
          <w:bCs w:val="0"/>
          <w:szCs w:val="36"/>
          <w:highlight w:val="none"/>
        </w:rPr>
        <w:t>第二章</w:t>
      </w:r>
      <w:r>
        <w:rPr>
          <w:rFonts w:ascii="宋体" w:hAnsi="宋体"/>
          <w:bCs w:val="0"/>
          <w:szCs w:val="36"/>
          <w:highlight w:val="none"/>
        </w:rPr>
        <w:t xml:space="preserve"> </w:t>
      </w:r>
      <w:r>
        <w:rPr>
          <w:rFonts w:hint="eastAsia" w:ascii="宋体" w:hAnsi="宋体"/>
          <w:bCs w:val="0"/>
          <w:szCs w:val="36"/>
          <w:highlight w:val="none"/>
        </w:rPr>
        <w:t>项目概况</w:t>
      </w:r>
      <w:r>
        <w:tab/>
      </w:r>
      <w:r>
        <w:fldChar w:fldCharType="begin"/>
      </w:r>
      <w:r>
        <w:instrText xml:space="preserve"> PAGEREF _Toc26326 \h </w:instrText>
      </w:r>
      <w:r>
        <w:fldChar w:fldCharType="separate"/>
      </w:r>
      <w:r>
        <w:t>8</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_Toc2568 </w:instrText>
      </w:r>
      <w:r>
        <w:rPr>
          <w:rFonts w:ascii="宋体" w:hAnsi="宋体"/>
          <w:szCs w:val="21"/>
          <w:highlight w:val="none"/>
        </w:rPr>
        <w:fldChar w:fldCharType="separate"/>
      </w:r>
      <w:r>
        <w:rPr>
          <w:rFonts w:ascii="宋体" w:hAnsi="宋体" w:eastAsia="宋体" w:cs="黑体"/>
          <w:bCs/>
          <w:kern w:val="2"/>
          <w:szCs w:val="32"/>
          <w:highlight w:val="none"/>
          <w:lang w:val="en-US" w:eastAsia="zh-CN" w:bidi="ar-SA"/>
          <w14:ligatures w14:val="standardContextual"/>
        </w:rPr>
        <w:t>一、</w:t>
      </w:r>
      <w:r>
        <w:rPr>
          <w:rFonts w:hint="eastAsia" w:ascii="宋体" w:hAnsi="宋体"/>
          <w:highlight w:val="none"/>
        </w:rPr>
        <w:t>项目基本信息</w:t>
      </w:r>
      <w:r>
        <w:tab/>
      </w:r>
      <w:r>
        <w:fldChar w:fldCharType="begin"/>
      </w:r>
      <w:r>
        <w:instrText xml:space="preserve"> PAGEREF _Toc2568 \h </w:instrText>
      </w:r>
      <w:r>
        <w:fldChar w:fldCharType="separate"/>
      </w:r>
      <w:r>
        <w:t>8</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_Toc20517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(一)</w:t>
      </w:r>
      <w:r>
        <w:rPr>
          <w:rFonts w:hint="eastAsia"/>
          <w:highlight w:val="none"/>
        </w:rPr>
        <w:t>项目名称</w:t>
      </w:r>
      <w:r>
        <w:tab/>
      </w:r>
      <w:r>
        <w:fldChar w:fldCharType="begin"/>
      </w:r>
      <w:r>
        <w:instrText xml:space="preserve"> PAGEREF _Toc20517 \h </w:instrText>
      </w:r>
      <w:r>
        <w:fldChar w:fldCharType="separate"/>
      </w:r>
      <w:r>
        <w:t>8</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_Toc28069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(二)</w:t>
      </w:r>
      <w:r>
        <w:rPr>
          <w:rFonts w:hint="eastAsia"/>
          <w:highlight w:val="none"/>
        </w:rPr>
        <w:t>项目位置</w:t>
      </w:r>
      <w:r>
        <w:tab/>
      </w:r>
      <w:r>
        <w:fldChar w:fldCharType="begin"/>
      </w:r>
      <w:r>
        <w:instrText xml:space="preserve"> PAGEREF _Toc28069 \h </w:instrText>
      </w:r>
      <w:r>
        <w:fldChar w:fldCharType="separate"/>
      </w:r>
      <w:r>
        <w:t>8</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_Toc2256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(三)</w:t>
      </w:r>
      <w:r>
        <w:rPr>
          <w:rFonts w:hint="eastAsia"/>
          <w:highlight w:val="none"/>
        </w:rPr>
        <w:t>项目建设内容</w:t>
      </w:r>
      <w:r>
        <w:tab/>
      </w:r>
      <w:r>
        <w:fldChar w:fldCharType="begin"/>
      </w:r>
      <w:r>
        <w:instrText xml:space="preserve"> PAGEREF _Toc2256 \h </w:instrText>
      </w:r>
      <w:r>
        <w:fldChar w:fldCharType="separate"/>
      </w:r>
      <w:r>
        <w:t>8</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_Toc21181 </w:instrText>
      </w:r>
      <w:r>
        <w:rPr>
          <w:rFonts w:ascii="宋体" w:hAnsi="宋体"/>
          <w:szCs w:val="21"/>
          <w:highlight w:val="none"/>
        </w:rPr>
        <w:fldChar w:fldCharType="separate"/>
      </w:r>
      <w:r>
        <w:rPr>
          <w:rFonts w:hint="eastAsia" w:ascii="宋体" w:hAnsi="宋体" w:cs="宋体"/>
          <w:kern w:val="28"/>
          <w:highlight w:val="none"/>
        </w:rPr>
        <w:t>二、</w:t>
      </w:r>
      <w:r>
        <w:rPr>
          <w:rFonts w:hint="eastAsia" w:ascii="宋体" w:hAnsi="宋体"/>
          <w:highlight w:val="none"/>
        </w:rPr>
        <w:t>项目工作范围和内容</w:t>
      </w:r>
      <w:r>
        <w:tab/>
      </w:r>
      <w:r>
        <w:fldChar w:fldCharType="begin"/>
      </w:r>
      <w:r>
        <w:instrText xml:space="preserve"> PAGEREF _Toc21181 \h </w:instrText>
      </w:r>
      <w:r>
        <w:fldChar w:fldCharType="separate"/>
      </w:r>
      <w:r>
        <w:t>8</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_Toc32599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(一)</w:t>
      </w:r>
      <w:r>
        <w:rPr>
          <w:rFonts w:hint="eastAsia"/>
          <w:highlight w:val="none"/>
        </w:rPr>
        <w:t>全过程规划建筑设计，设计内容包括：</w:t>
      </w:r>
      <w:r>
        <w:tab/>
      </w:r>
      <w:r>
        <w:fldChar w:fldCharType="begin"/>
      </w:r>
      <w:r>
        <w:instrText xml:space="preserve"> PAGEREF _Toc32599 \h </w:instrText>
      </w:r>
      <w:r>
        <w:fldChar w:fldCharType="separate"/>
      </w:r>
      <w:r>
        <w:t>8</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_Toc1109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(二)</w:t>
      </w:r>
      <w:r>
        <w:rPr>
          <w:rFonts w:hint="eastAsia"/>
          <w:highlight w:val="none"/>
        </w:rPr>
        <w:t>绿色建筑工程咨询及设计</w:t>
      </w:r>
      <w:r>
        <w:tab/>
      </w:r>
      <w:r>
        <w:fldChar w:fldCharType="begin"/>
      </w:r>
      <w:r>
        <w:instrText xml:space="preserve"> PAGEREF _Toc1109 \h </w:instrText>
      </w:r>
      <w:r>
        <w:fldChar w:fldCharType="separate"/>
      </w:r>
      <w:r>
        <w:t>9</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_Toc5932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(三)</w:t>
      </w:r>
      <w:r>
        <w:rPr>
          <w:rFonts w:hint="eastAsia"/>
          <w:highlight w:val="none"/>
        </w:rPr>
        <w:t>海绵城市建筑工程咨询及设计</w:t>
      </w:r>
      <w:r>
        <w:tab/>
      </w:r>
      <w:r>
        <w:fldChar w:fldCharType="begin"/>
      </w:r>
      <w:r>
        <w:instrText xml:space="preserve"> PAGEREF _Toc5932 \h </w:instrText>
      </w:r>
      <w:r>
        <w:fldChar w:fldCharType="separate"/>
      </w:r>
      <w:r>
        <w:t>10</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_Toc29352 </w:instrText>
      </w:r>
      <w:r>
        <w:rPr>
          <w:rFonts w:ascii="宋体" w:hAnsi="宋体"/>
          <w:szCs w:val="21"/>
          <w:highlight w:val="none"/>
        </w:rPr>
        <w:fldChar w:fldCharType="separate"/>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四</w:t>
      </w:r>
      <w:r>
        <w:rPr>
          <w:rFonts w:hint="eastAsia" w:ascii="宋体" w:hAnsi="宋体" w:eastAsia="宋体" w:cs="Times New Roman"/>
          <w:highlight w:val="none"/>
          <w:lang w:eastAsia="zh-CN"/>
        </w:rPr>
        <w:t>）</w:t>
      </w:r>
      <w:r>
        <w:rPr>
          <w:rFonts w:hint="default"/>
          <w:highlight w:val="none"/>
        </w:rPr>
        <w:t>装配式建筑工程咨询及设计</w:t>
      </w:r>
      <w:r>
        <w:tab/>
      </w:r>
      <w:r>
        <w:fldChar w:fldCharType="begin"/>
      </w:r>
      <w:r>
        <w:instrText xml:space="preserve"> PAGEREF _Toc29352 \h </w:instrText>
      </w:r>
      <w:r>
        <w:fldChar w:fldCharType="separate"/>
      </w:r>
      <w:r>
        <w:t>10</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_Toc30687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w:t>
      </w:r>
      <w:r>
        <w:rPr>
          <w:rFonts w:hint="eastAsia" w:cs="Times New Roman"/>
          <w:bCs/>
          <w:kern w:val="2"/>
          <w:szCs w:val="21"/>
          <w:highlight w:val="none"/>
          <w:lang w:val="en-US" w:eastAsia="zh-CN" w:bidi="ar-SA"/>
          <w14:ligatures w14:val="standardContextual"/>
        </w:rPr>
        <w:t>五</w:t>
      </w:r>
      <w:r>
        <w:rPr>
          <w:rFonts w:ascii="宋体" w:hAnsi="宋体" w:eastAsia="宋体" w:cs="Times New Roman"/>
          <w:bCs/>
          <w:kern w:val="2"/>
          <w:szCs w:val="21"/>
          <w:highlight w:val="none"/>
          <w:lang w:val="en-US" w:eastAsia="zh-CN" w:bidi="ar-SA"/>
          <w14:ligatures w14:val="standardContextual"/>
        </w:rPr>
        <w:t>)</w:t>
      </w:r>
      <w:r>
        <w:rPr>
          <w:rFonts w:hint="eastAsia"/>
          <w:highlight w:val="none"/>
        </w:rPr>
        <w:t>BIM设计</w:t>
      </w:r>
      <w:r>
        <w:tab/>
      </w:r>
      <w:r>
        <w:fldChar w:fldCharType="begin"/>
      </w:r>
      <w:r>
        <w:instrText xml:space="preserve"> PAGEREF _Toc30687 \h </w:instrText>
      </w:r>
      <w:r>
        <w:fldChar w:fldCharType="separate"/>
      </w:r>
      <w:r>
        <w:t>11</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_Toc26150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w:t>
      </w:r>
      <w:r>
        <w:rPr>
          <w:rFonts w:hint="eastAsia" w:cs="Times New Roman"/>
          <w:bCs/>
          <w:kern w:val="2"/>
          <w:szCs w:val="21"/>
          <w:highlight w:val="none"/>
          <w:lang w:val="en-US" w:eastAsia="zh-CN" w:bidi="ar-SA"/>
          <w14:ligatures w14:val="standardContextual"/>
        </w:rPr>
        <w:t>六</w:t>
      </w:r>
      <w:r>
        <w:rPr>
          <w:rFonts w:ascii="宋体" w:hAnsi="宋体" w:eastAsia="宋体" w:cs="Times New Roman"/>
          <w:bCs/>
          <w:kern w:val="2"/>
          <w:szCs w:val="21"/>
          <w:highlight w:val="none"/>
          <w:lang w:val="en-US" w:eastAsia="zh-CN" w:bidi="ar-SA"/>
          <w14:ligatures w14:val="standardContextual"/>
        </w:rPr>
        <w:t>)</w:t>
      </w:r>
      <w:r>
        <w:rPr>
          <w:rFonts w:hint="eastAsia"/>
          <w:highlight w:val="none"/>
        </w:rPr>
        <w:t>缺陷责任期的项目全过程勘察设计。</w:t>
      </w:r>
      <w:r>
        <w:tab/>
      </w:r>
      <w:r>
        <w:fldChar w:fldCharType="begin"/>
      </w:r>
      <w:r>
        <w:instrText xml:space="preserve"> PAGEREF _Toc26150 \h </w:instrText>
      </w:r>
      <w:r>
        <w:fldChar w:fldCharType="separate"/>
      </w:r>
      <w:r>
        <w:t>12</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_Toc4801 </w:instrText>
      </w:r>
      <w:r>
        <w:rPr>
          <w:rFonts w:ascii="宋体" w:hAnsi="宋体"/>
          <w:szCs w:val="21"/>
          <w:highlight w:val="none"/>
        </w:rPr>
        <w:fldChar w:fldCharType="separate"/>
      </w:r>
      <w:r>
        <w:rPr>
          <w:rFonts w:hint="eastAsia" w:ascii="宋体" w:hAnsi="宋体" w:eastAsia="宋体" w:cs="Times New Roman"/>
          <w:highlight w:val="none"/>
          <w:lang w:val="en-US" w:eastAsia="zh-CN"/>
        </w:rPr>
        <w:t>(</w:t>
      </w:r>
      <w:r>
        <w:rPr>
          <w:rFonts w:hint="eastAsia" w:cs="Times New Roman"/>
          <w:highlight w:val="none"/>
          <w:lang w:val="en-US" w:eastAsia="zh-CN"/>
        </w:rPr>
        <w:t>七</w:t>
      </w:r>
      <w:r>
        <w:rPr>
          <w:rFonts w:hint="eastAsia" w:ascii="宋体" w:hAnsi="宋体" w:eastAsia="宋体" w:cs="Times New Roman"/>
          <w:highlight w:val="none"/>
          <w:lang w:val="en-US" w:eastAsia="zh-CN"/>
        </w:rPr>
        <w:t>)</w:t>
      </w:r>
      <w:r>
        <w:rPr>
          <w:rFonts w:hint="eastAsia" w:ascii="宋体" w:hAnsi="宋体" w:eastAsia="宋体" w:cs="Times New Roman"/>
          <w:highlight w:val="none"/>
        </w:rPr>
        <w:t>项目总建筑师及其团队服务内容</w:t>
      </w:r>
      <w:r>
        <w:rPr>
          <w:rFonts w:hint="eastAsia" w:ascii="宋体" w:hAnsi="宋体" w:eastAsia="宋体" w:cs="Times New Roman"/>
          <w:highlight w:val="none"/>
          <w:lang w:eastAsia="zh-CN"/>
        </w:rPr>
        <w:t>。</w:t>
      </w:r>
      <w:r>
        <w:tab/>
      </w:r>
      <w:r>
        <w:fldChar w:fldCharType="begin"/>
      </w:r>
      <w:r>
        <w:instrText xml:space="preserve"> PAGEREF _Toc4801 \h </w:instrText>
      </w:r>
      <w:r>
        <w:fldChar w:fldCharType="separate"/>
      </w:r>
      <w:r>
        <w:t>12</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_Toc4878 </w:instrText>
      </w:r>
      <w:r>
        <w:rPr>
          <w:rFonts w:ascii="宋体" w:hAnsi="宋体"/>
          <w:szCs w:val="21"/>
          <w:highlight w:val="none"/>
        </w:rPr>
        <w:fldChar w:fldCharType="separate"/>
      </w:r>
      <w:r>
        <w:rPr>
          <w:rFonts w:hint="eastAsia" w:ascii="宋体" w:hAnsi="宋体" w:eastAsia="宋体" w:cs="黑体"/>
          <w:bCs/>
          <w:kern w:val="2"/>
          <w:szCs w:val="32"/>
          <w:highlight w:val="none"/>
          <w:lang w:val="en-US" w:eastAsia="zh-CN" w:bidi="ar-SA"/>
          <w14:ligatures w14:val="standardContextual"/>
        </w:rPr>
        <w:t>三、</w:t>
      </w:r>
      <w:r>
        <w:rPr>
          <w:rFonts w:hint="eastAsia" w:ascii="宋体" w:hAnsi="宋体"/>
          <w:highlight w:val="none"/>
        </w:rPr>
        <w:t>建设用地现状情况</w:t>
      </w:r>
      <w:r>
        <w:tab/>
      </w:r>
      <w:r>
        <w:fldChar w:fldCharType="begin"/>
      </w:r>
      <w:r>
        <w:instrText xml:space="preserve"> PAGEREF _Toc4878 \h </w:instrText>
      </w:r>
      <w:r>
        <w:fldChar w:fldCharType="separate"/>
      </w:r>
      <w:r>
        <w:t>13</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_Toc31354 </w:instrText>
      </w:r>
      <w:r>
        <w:rPr>
          <w:rFonts w:ascii="宋体" w:hAnsi="宋体"/>
          <w:szCs w:val="21"/>
          <w:highlight w:val="none"/>
        </w:rPr>
        <w:fldChar w:fldCharType="separate"/>
      </w:r>
      <w:r>
        <w:rPr>
          <w:rFonts w:ascii="宋体" w:hAnsi="宋体" w:eastAsia="宋体" w:cs="黑体"/>
          <w:bCs/>
          <w:kern w:val="2"/>
          <w:szCs w:val="21"/>
          <w:highlight w:val="none"/>
          <w:lang w:val="en-US" w:eastAsia="zh-CN" w:bidi="ar-SA"/>
          <w14:ligatures w14:val="standardContextual"/>
        </w:rPr>
        <w:t>(一)</w:t>
      </w:r>
      <w:r>
        <w:rPr>
          <w:rFonts w:hint="eastAsia" w:ascii="宋体" w:hAnsi="宋体" w:eastAsia="宋体" w:cs="黑体"/>
          <w:bCs/>
          <w:szCs w:val="21"/>
          <w:highlight w:val="none"/>
        </w:rPr>
        <w:t>自然条件</w:t>
      </w:r>
      <w:r>
        <w:tab/>
      </w:r>
      <w:r>
        <w:fldChar w:fldCharType="begin"/>
      </w:r>
      <w:r>
        <w:instrText xml:space="preserve"> PAGEREF _Toc31354 \h </w:instrText>
      </w:r>
      <w:r>
        <w:fldChar w:fldCharType="separate"/>
      </w:r>
      <w:r>
        <w:t>13</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_Toc23341 </w:instrText>
      </w:r>
      <w:r>
        <w:rPr>
          <w:rFonts w:ascii="宋体" w:hAnsi="宋体"/>
          <w:szCs w:val="21"/>
          <w:highlight w:val="none"/>
        </w:rPr>
        <w:fldChar w:fldCharType="separate"/>
      </w:r>
      <w:r>
        <w:rPr>
          <w:rFonts w:ascii="宋体" w:hAnsi="宋体" w:eastAsia="宋体" w:cs="黑体"/>
          <w:bCs/>
          <w:kern w:val="2"/>
          <w:szCs w:val="21"/>
          <w:highlight w:val="none"/>
          <w:lang w:val="en-US" w:eastAsia="zh-CN" w:bidi="ar-SA"/>
          <w14:ligatures w14:val="standardContextual"/>
        </w:rPr>
        <w:t>(二)</w:t>
      </w:r>
      <w:r>
        <w:rPr>
          <w:rFonts w:hint="eastAsia" w:ascii="宋体" w:hAnsi="宋体" w:eastAsia="宋体" w:cs="黑体"/>
          <w:bCs/>
          <w:szCs w:val="21"/>
          <w:highlight w:val="none"/>
        </w:rPr>
        <w:t>气候条件</w:t>
      </w:r>
      <w:r>
        <w:tab/>
      </w:r>
      <w:r>
        <w:fldChar w:fldCharType="begin"/>
      </w:r>
      <w:r>
        <w:instrText xml:space="preserve"> PAGEREF _Toc23341 \h </w:instrText>
      </w:r>
      <w:r>
        <w:fldChar w:fldCharType="separate"/>
      </w:r>
      <w:r>
        <w:t>14</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_Toc17505 </w:instrText>
      </w:r>
      <w:r>
        <w:rPr>
          <w:rFonts w:ascii="宋体" w:hAnsi="宋体"/>
          <w:szCs w:val="21"/>
          <w:highlight w:val="none"/>
        </w:rPr>
        <w:fldChar w:fldCharType="separate"/>
      </w:r>
      <w:r>
        <w:rPr>
          <w:rFonts w:ascii="宋体" w:hAnsi="宋体" w:eastAsia="宋体" w:cs="黑体"/>
          <w:bCs/>
          <w:kern w:val="2"/>
          <w:szCs w:val="21"/>
          <w:highlight w:val="none"/>
          <w:lang w:val="en-US" w:eastAsia="zh-CN" w:bidi="ar-SA"/>
          <w14:ligatures w14:val="standardContextual"/>
        </w:rPr>
        <w:t>(三)</w:t>
      </w:r>
      <w:r>
        <w:rPr>
          <w:rFonts w:hint="eastAsia" w:ascii="宋体" w:hAnsi="宋体" w:eastAsia="宋体" w:cs="黑体"/>
          <w:bCs/>
          <w:szCs w:val="21"/>
          <w:highlight w:val="none"/>
        </w:rPr>
        <w:t>工程地质和水文地质条件(暂参考临近地块</w:t>
      </w:r>
      <w:r>
        <w:rPr>
          <w:rFonts w:ascii="宋体" w:hAnsi="宋体" w:eastAsia="宋体" w:cs="黑体"/>
          <w:bCs/>
          <w:szCs w:val="21"/>
          <w:highlight w:val="none"/>
        </w:rPr>
        <w:t>)</w:t>
      </w:r>
      <w:r>
        <w:tab/>
      </w:r>
      <w:r>
        <w:fldChar w:fldCharType="begin"/>
      </w:r>
      <w:r>
        <w:instrText xml:space="preserve"> PAGEREF _Toc17505 \h </w:instrText>
      </w:r>
      <w:r>
        <w:fldChar w:fldCharType="separate"/>
      </w:r>
      <w:r>
        <w:t>14</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_Toc13900 </w:instrText>
      </w:r>
      <w:r>
        <w:rPr>
          <w:rFonts w:ascii="宋体" w:hAnsi="宋体"/>
          <w:szCs w:val="21"/>
          <w:highlight w:val="none"/>
        </w:rPr>
        <w:fldChar w:fldCharType="separate"/>
      </w:r>
      <w:r>
        <w:rPr>
          <w:rFonts w:ascii="宋体" w:hAnsi="宋体" w:eastAsia="宋体" w:cs="黑体"/>
          <w:bCs/>
          <w:kern w:val="2"/>
          <w:szCs w:val="21"/>
          <w:highlight w:val="none"/>
          <w:lang w:val="en-US" w:eastAsia="zh-CN" w:bidi="ar-SA"/>
          <w14:ligatures w14:val="standardContextual"/>
        </w:rPr>
        <w:t>(四)</w:t>
      </w:r>
      <w:r>
        <w:rPr>
          <w:rFonts w:hint="eastAsia" w:ascii="宋体" w:hAnsi="宋体" w:eastAsia="宋体" w:cs="黑体"/>
          <w:bCs/>
          <w:kern w:val="2"/>
          <w:szCs w:val="21"/>
          <w:highlight w:val="none"/>
          <w:lang w:val="en-US" w:eastAsia="zh-CN" w:bidi="ar-SA"/>
          <w14:ligatures w14:val="standardContextual"/>
        </w:rPr>
        <w:t>交通条件</w:t>
      </w:r>
      <w:r>
        <w:tab/>
      </w:r>
      <w:r>
        <w:fldChar w:fldCharType="begin"/>
      </w:r>
      <w:r>
        <w:instrText xml:space="preserve"> PAGEREF _Toc13900 \h </w:instrText>
      </w:r>
      <w:r>
        <w:fldChar w:fldCharType="separate"/>
      </w:r>
      <w:r>
        <w:t>19</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_Toc10657 </w:instrText>
      </w:r>
      <w:r>
        <w:rPr>
          <w:rFonts w:ascii="宋体" w:hAnsi="宋体"/>
          <w:szCs w:val="21"/>
          <w:highlight w:val="none"/>
        </w:rPr>
        <w:fldChar w:fldCharType="separate"/>
      </w:r>
      <w:r>
        <w:rPr>
          <w:rFonts w:hint="eastAsia" w:ascii="宋体" w:hAnsi="宋体" w:eastAsia="宋体" w:cs="黑体"/>
          <w:bCs/>
          <w:kern w:val="2"/>
          <w:szCs w:val="21"/>
          <w:highlight w:val="none"/>
          <w:lang w:val="en-US" w:eastAsia="zh-CN" w:bidi="ar-SA"/>
          <w14:ligatures w14:val="standardContextual"/>
        </w:rPr>
        <w:t>(五)社会经济条件</w:t>
      </w:r>
      <w:r>
        <w:tab/>
      </w:r>
      <w:r>
        <w:fldChar w:fldCharType="begin"/>
      </w:r>
      <w:r>
        <w:instrText xml:space="preserve"> PAGEREF _Toc10657 \h </w:instrText>
      </w:r>
      <w:r>
        <w:fldChar w:fldCharType="separate"/>
      </w:r>
      <w:r>
        <w:t>20</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_Toc16208 </w:instrText>
      </w:r>
      <w:r>
        <w:rPr>
          <w:rFonts w:ascii="宋体" w:hAnsi="宋体"/>
          <w:szCs w:val="21"/>
          <w:highlight w:val="none"/>
        </w:rPr>
        <w:fldChar w:fldCharType="separate"/>
      </w:r>
      <w:r>
        <w:rPr>
          <w:rFonts w:hint="eastAsia" w:ascii="宋体" w:hAnsi="宋体" w:eastAsia="宋体" w:cs="黑体"/>
          <w:bCs/>
          <w:kern w:val="2"/>
          <w:szCs w:val="21"/>
          <w:highlight w:val="none"/>
          <w:lang w:val="en-US" w:eastAsia="zh-CN" w:bidi="ar-SA"/>
          <w14:ligatures w14:val="standardContextual"/>
        </w:rPr>
        <w:t>(六)项目周边公共设施条件</w:t>
      </w:r>
      <w:r>
        <w:tab/>
      </w:r>
      <w:r>
        <w:fldChar w:fldCharType="begin"/>
      </w:r>
      <w:r>
        <w:instrText xml:space="preserve"> PAGEREF _Toc16208 \h </w:instrText>
      </w:r>
      <w:r>
        <w:fldChar w:fldCharType="separate"/>
      </w:r>
      <w:r>
        <w:t>21</w:t>
      </w:r>
      <w:r>
        <w:fldChar w:fldCharType="end"/>
      </w:r>
      <w:r>
        <w:rPr>
          <w:rFonts w:ascii="宋体" w:hAnsi="宋体"/>
          <w:szCs w:val="21"/>
          <w:highlight w:val="none"/>
        </w:rPr>
        <w:fldChar w:fldCharType="end"/>
      </w:r>
    </w:p>
    <w:p>
      <w:pPr>
        <w:pStyle w:val="17"/>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_Toc3690 </w:instrText>
      </w:r>
      <w:r>
        <w:rPr>
          <w:rFonts w:ascii="宋体" w:hAnsi="宋体"/>
          <w:szCs w:val="21"/>
          <w:highlight w:val="none"/>
        </w:rPr>
        <w:fldChar w:fldCharType="separate"/>
      </w:r>
      <w:r>
        <w:rPr>
          <w:rFonts w:hint="eastAsia" w:ascii="宋体" w:hAnsi="宋体"/>
          <w:szCs w:val="36"/>
          <w:highlight w:val="none"/>
        </w:rPr>
        <w:t>第三章</w:t>
      </w:r>
      <w:r>
        <w:rPr>
          <w:rFonts w:ascii="宋体" w:hAnsi="宋体"/>
          <w:szCs w:val="36"/>
          <w:highlight w:val="none"/>
        </w:rPr>
        <w:t xml:space="preserve"> </w:t>
      </w:r>
      <w:r>
        <w:rPr>
          <w:rFonts w:hint="eastAsia" w:ascii="宋体" w:hAnsi="宋体"/>
          <w:szCs w:val="36"/>
          <w:highlight w:val="none"/>
        </w:rPr>
        <w:t>设计目标及原则</w:t>
      </w:r>
      <w:r>
        <w:tab/>
      </w:r>
      <w:r>
        <w:fldChar w:fldCharType="begin"/>
      </w:r>
      <w:r>
        <w:instrText xml:space="preserve"> PAGEREF _Toc3690 \h </w:instrText>
      </w:r>
      <w:r>
        <w:fldChar w:fldCharType="separate"/>
      </w:r>
      <w:r>
        <w:t>23</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_Toc4891 </w:instrText>
      </w:r>
      <w:r>
        <w:rPr>
          <w:rFonts w:ascii="宋体" w:hAnsi="宋体"/>
          <w:szCs w:val="21"/>
          <w:highlight w:val="none"/>
        </w:rPr>
        <w:fldChar w:fldCharType="separate"/>
      </w:r>
      <w:r>
        <w:rPr>
          <w:rFonts w:ascii="宋体" w:hAnsi="宋体" w:eastAsia="宋体" w:cs="黑体"/>
          <w:bCs/>
          <w:kern w:val="2"/>
          <w:szCs w:val="32"/>
          <w:highlight w:val="none"/>
          <w:lang w:val="en-US" w:eastAsia="zh-CN" w:bidi="ar-SA"/>
          <w14:ligatures w14:val="standardContextual"/>
        </w:rPr>
        <w:t>一、</w:t>
      </w:r>
      <w:r>
        <w:rPr>
          <w:rFonts w:hint="eastAsia" w:ascii="宋体" w:hAnsi="宋体"/>
          <w:highlight w:val="none"/>
        </w:rPr>
        <w:t>设计目标</w:t>
      </w:r>
      <w:r>
        <w:tab/>
      </w:r>
      <w:r>
        <w:fldChar w:fldCharType="begin"/>
      </w:r>
      <w:r>
        <w:instrText xml:space="preserve"> PAGEREF _Toc4891 \h </w:instrText>
      </w:r>
      <w:r>
        <w:fldChar w:fldCharType="separate"/>
      </w:r>
      <w:r>
        <w:t>23</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_Toc1980 </w:instrText>
      </w:r>
      <w:r>
        <w:rPr>
          <w:rFonts w:ascii="宋体" w:hAnsi="宋体"/>
          <w:szCs w:val="21"/>
          <w:highlight w:val="none"/>
        </w:rPr>
        <w:fldChar w:fldCharType="separate"/>
      </w:r>
      <w:r>
        <w:rPr>
          <w:rFonts w:ascii="宋体" w:hAnsi="宋体" w:eastAsia="宋体" w:cs="黑体"/>
          <w:bCs/>
          <w:kern w:val="2"/>
          <w:szCs w:val="32"/>
          <w:highlight w:val="none"/>
          <w:lang w:val="en-US" w:eastAsia="zh-CN" w:bidi="ar-SA"/>
          <w14:ligatures w14:val="standardContextual"/>
        </w:rPr>
        <w:t>二、</w:t>
      </w:r>
      <w:r>
        <w:rPr>
          <w:rFonts w:hint="eastAsia" w:ascii="宋体" w:hAnsi="宋体"/>
          <w:highlight w:val="none"/>
        </w:rPr>
        <w:t>设计原则</w:t>
      </w:r>
      <w:r>
        <w:tab/>
      </w:r>
      <w:r>
        <w:fldChar w:fldCharType="begin"/>
      </w:r>
      <w:r>
        <w:instrText xml:space="preserve"> PAGEREF _Toc1980 \h </w:instrText>
      </w:r>
      <w:r>
        <w:fldChar w:fldCharType="separate"/>
      </w:r>
      <w:r>
        <w:t>23</w:t>
      </w:r>
      <w:r>
        <w:fldChar w:fldCharType="end"/>
      </w:r>
      <w:r>
        <w:rPr>
          <w:rFonts w:ascii="宋体" w:hAnsi="宋体"/>
          <w:szCs w:val="21"/>
          <w:highlight w:val="none"/>
        </w:rPr>
        <w:fldChar w:fldCharType="end"/>
      </w:r>
    </w:p>
    <w:p>
      <w:pPr>
        <w:pStyle w:val="17"/>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_Toc22443 </w:instrText>
      </w:r>
      <w:r>
        <w:rPr>
          <w:rFonts w:ascii="宋体" w:hAnsi="宋体"/>
          <w:szCs w:val="21"/>
          <w:highlight w:val="none"/>
        </w:rPr>
        <w:fldChar w:fldCharType="separate"/>
      </w:r>
      <w:r>
        <w:rPr>
          <w:rFonts w:hint="eastAsia" w:ascii="宋体" w:hAnsi="宋体"/>
          <w:szCs w:val="36"/>
          <w:highlight w:val="none"/>
        </w:rPr>
        <w:t>第四章</w:t>
      </w:r>
      <w:r>
        <w:rPr>
          <w:rFonts w:ascii="宋体" w:hAnsi="宋体"/>
          <w:szCs w:val="36"/>
          <w:highlight w:val="none"/>
        </w:rPr>
        <w:t xml:space="preserve"> </w:t>
      </w:r>
      <w:r>
        <w:rPr>
          <w:rFonts w:hint="eastAsia" w:ascii="宋体" w:hAnsi="宋体"/>
          <w:szCs w:val="36"/>
          <w:highlight w:val="none"/>
        </w:rPr>
        <w:t>规划设计要求</w:t>
      </w:r>
      <w:r>
        <w:tab/>
      </w:r>
      <w:r>
        <w:fldChar w:fldCharType="begin"/>
      </w:r>
      <w:r>
        <w:instrText xml:space="preserve"> PAGEREF _Toc22443 \h </w:instrText>
      </w:r>
      <w:r>
        <w:fldChar w:fldCharType="separate"/>
      </w:r>
      <w:r>
        <w:t>28</w:t>
      </w:r>
      <w:r>
        <w:fldChar w:fldCharType="end"/>
      </w:r>
      <w:r>
        <w:rPr>
          <w:rFonts w:ascii="宋体" w:hAnsi="宋体"/>
          <w:szCs w:val="21"/>
          <w:highlight w:val="none"/>
        </w:rPr>
        <w:fldChar w:fldCharType="end"/>
      </w:r>
      <w:bookmarkStart w:id="353" w:name="_GoBack"/>
      <w:bookmarkEnd w:id="353"/>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_Toc31896 </w:instrText>
      </w:r>
      <w:r>
        <w:rPr>
          <w:rFonts w:ascii="宋体" w:hAnsi="宋体"/>
          <w:szCs w:val="21"/>
          <w:highlight w:val="none"/>
        </w:rPr>
        <w:fldChar w:fldCharType="separate"/>
      </w:r>
      <w:r>
        <w:rPr>
          <w:rFonts w:ascii="宋体" w:hAnsi="宋体" w:eastAsia="宋体" w:cs="黑体"/>
          <w:bCs/>
          <w:kern w:val="2"/>
          <w:szCs w:val="21"/>
          <w:highlight w:val="none"/>
          <w:lang w:val="en-US" w:eastAsia="zh-CN" w:bidi="ar-SA"/>
          <w14:ligatures w14:val="standardContextual"/>
        </w:rPr>
        <w:t>一、</w:t>
      </w:r>
      <w:r>
        <w:rPr>
          <w:rFonts w:hint="eastAsia" w:ascii="宋体" w:hAnsi="宋体"/>
          <w:szCs w:val="21"/>
          <w:highlight w:val="none"/>
        </w:rPr>
        <w:t>规划范围</w:t>
      </w:r>
      <w:r>
        <w:tab/>
      </w:r>
      <w:r>
        <w:fldChar w:fldCharType="begin"/>
      </w:r>
      <w:r>
        <w:instrText xml:space="preserve"> PAGEREF _Toc31896 \h </w:instrText>
      </w:r>
      <w:r>
        <w:fldChar w:fldCharType="separate"/>
      </w:r>
      <w:r>
        <w:t>28</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_Toc13586 </w:instrText>
      </w:r>
      <w:r>
        <w:rPr>
          <w:rFonts w:ascii="宋体" w:hAnsi="宋体"/>
          <w:szCs w:val="21"/>
          <w:highlight w:val="none"/>
        </w:rPr>
        <w:fldChar w:fldCharType="separate"/>
      </w:r>
      <w:r>
        <w:rPr>
          <w:rFonts w:hint="eastAsia" w:ascii="宋体" w:hAnsi="宋体"/>
          <w:highlight w:val="none"/>
        </w:rPr>
        <w:t>二、总平面布局</w:t>
      </w:r>
      <w:r>
        <w:tab/>
      </w:r>
      <w:r>
        <w:fldChar w:fldCharType="begin"/>
      </w:r>
      <w:r>
        <w:instrText xml:space="preserve"> PAGEREF _Toc13586 \h </w:instrText>
      </w:r>
      <w:r>
        <w:fldChar w:fldCharType="separate"/>
      </w:r>
      <w:r>
        <w:t>28</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_Toc9619 </w:instrText>
      </w:r>
      <w:r>
        <w:rPr>
          <w:rFonts w:ascii="宋体" w:hAnsi="宋体"/>
          <w:szCs w:val="21"/>
          <w:highlight w:val="none"/>
        </w:rPr>
        <w:fldChar w:fldCharType="separate"/>
      </w:r>
      <w:r>
        <w:rPr>
          <w:rFonts w:hint="eastAsia" w:ascii="宋体" w:hAnsi="宋体" w:eastAsia="宋体" w:cs="黑体"/>
          <w:bCs/>
          <w:kern w:val="2"/>
          <w:szCs w:val="21"/>
          <w:highlight w:val="none"/>
          <w:lang w:val="en-US" w:eastAsia="zh-CN" w:bidi="ar-SA"/>
          <w14:ligatures w14:val="standardContextual"/>
        </w:rPr>
        <w:t>三、</w:t>
      </w:r>
      <w:r>
        <w:rPr>
          <w:rFonts w:hint="eastAsia" w:ascii="宋体" w:hAnsi="宋体"/>
          <w:szCs w:val="21"/>
          <w:highlight w:val="none"/>
        </w:rPr>
        <w:t>规划设计</w:t>
      </w:r>
      <w:r>
        <w:rPr>
          <w:rFonts w:hint="eastAsia" w:ascii="宋体" w:hAnsi="宋体"/>
          <w:szCs w:val="21"/>
          <w:highlight w:val="none"/>
          <w:lang w:val="en-US" w:eastAsia="zh-CN"/>
        </w:rPr>
        <w:t>要求</w:t>
      </w:r>
      <w:r>
        <w:tab/>
      </w:r>
      <w:r>
        <w:fldChar w:fldCharType="begin"/>
      </w:r>
      <w:r>
        <w:instrText xml:space="preserve"> PAGEREF _Toc9619 \h </w:instrText>
      </w:r>
      <w:r>
        <w:fldChar w:fldCharType="separate"/>
      </w:r>
      <w:r>
        <w:t>31</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_Toc5939 </w:instrText>
      </w:r>
      <w:r>
        <w:rPr>
          <w:rFonts w:ascii="宋体" w:hAnsi="宋体"/>
          <w:szCs w:val="21"/>
          <w:highlight w:val="none"/>
        </w:rPr>
        <w:fldChar w:fldCharType="separate"/>
      </w:r>
      <w:r>
        <w:rPr>
          <w:rFonts w:hint="eastAsia" w:ascii="宋体" w:hAnsi="宋体" w:eastAsia="宋体" w:cs="Times New Roman"/>
          <w:bCs/>
          <w:kern w:val="2"/>
          <w:szCs w:val="21"/>
          <w:highlight w:val="none"/>
          <w:lang w:val="en-US" w:eastAsia="zh-CN" w:bidi="ar-SA"/>
          <w14:ligatures w14:val="standardContextual"/>
        </w:rPr>
        <w:t>(一)</w:t>
      </w:r>
      <w:r>
        <w:rPr>
          <w:rFonts w:hint="eastAsia"/>
          <w:highlight w:val="none"/>
        </w:rPr>
        <w:t>建筑退缩</w:t>
      </w:r>
      <w:r>
        <w:tab/>
      </w:r>
      <w:r>
        <w:fldChar w:fldCharType="begin"/>
      </w:r>
      <w:r>
        <w:instrText xml:space="preserve"> PAGEREF _Toc5939 \h </w:instrText>
      </w:r>
      <w:r>
        <w:fldChar w:fldCharType="separate"/>
      </w:r>
      <w:r>
        <w:t>31</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_Toc1565 </w:instrText>
      </w:r>
      <w:r>
        <w:rPr>
          <w:rFonts w:ascii="宋体" w:hAnsi="宋体"/>
          <w:szCs w:val="21"/>
          <w:highlight w:val="none"/>
        </w:rPr>
        <w:fldChar w:fldCharType="separate"/>
      </w:r>
      <w:r>
        <w:rPr>
          <w:rFonts w:hint="eastAsia" w:ascii="宋体" w:hAnsi="宋体" w:eastAsia="宋体" w:cs="Times New Roman"/>
          <w:bCs/>
          <w:kern w:val="2"/>
          <w:szCs w:val="21"/>
          <w:highlight w:val="none"/>
          <w:lang w:val="en-US" w:eastAsia="zh-CN" w:bidi="ar-SA"/>
          <w14:ligatures w14:val="standardContextual"/>
        </w:rPr>
        <w:t>(二)</w:t>
      </w:r>
      <w:r>
        <w:rPr>
          <w:rFonts w:hint="eastAsia"/>
          <w:highlight w:val="none"/>
        </w:rPr>
        <w:t>开发强度</w:t>
      </w:r>
      <w:r>
        <w:tab/>
      </w:r>
      <w:r>
        <w:fldChar w:fldCharType="begin"/>
      </w:r>
      <w:r>
        <w:instrText xml:space="preserve"> PAGEREF _Toc1565 \h </w:instrText>
      </w:r>
      <w:r>
        <w:fldChar w:fldCharType="separate"/>
      </w:r>
      <w:r>
        <w:t>32</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_Toc1645 </w:instrText>
      </w:r>
      <w:r>
        <w:rPr>
          <w:rFonts w:ascii="宋体" w:hAnsi="宋体"/>
          <w:szCs w:val="21"/>
          <w:highlight w:val="none"/>
        </w:rPr>
        <w:fldChar w:fldCharType="separate"/>
      </w:r>
      <w:r>
        <w:rPr>
          <w:rFonts w:hint="eastAsia" w:ascii="宋体" w:hAnsi="宋体" w:eastAsia="宋体" w:cs="Times New Roman"/>
          <w:bCs/>
          <w:kern w:val="2"/>
          <w:szCs w:val="21"/>
          <w:highlight w:val="none"/>
          <w:lang w:val="en-US" w:eastAsia="zh-CN" w:bidi="ar-SA"/>
          <w14:ligatures w14:val="standardContextual"/>
        </w:rPr>
        <w:t>(三)</w:t>
      </w:r>
      <w:r>
        <w:rPr>
          <w:rFonts w:hint="eastAsia"/>
          <w:highlight w:val="none"/>
        </w:rPr>
        <w:t>建筑间距</w:t>
      </w:r>
      <w:r>
        <w:tab/>
      </w:r>
      <w:r>
        <w:fldChar w:fldCharType="begin"/>
      </w:r>
      <w:r>
        <w:instrText xml:space="preserve"> PAGEREF _Toc1645 \h </w:instrText>
      </w:r>
      <w:r>
        <w:fldChar w:fldCharType="separate"/>
      </w:r>
      <w:r>
        <w:t>32</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_Toc5381 </w:instrText>
      </w:r>
      <w:r>
        <w:rPr>
          <w:rFonts w:ascii="宋体" w:hAnsi="宋体"/>
          <w:szCs w:val="21"/>
          <w:highlight w:val="none"/>
        </w:rPr>
        <w:fldChar w:fldCharType="separate"/>
      </w:r>
      <w:r>
        <w:rPr>
          <w:rFonts w:hint="eastAsia" w:ascii="宋体" w:hAnsi="宋体" w:eastAsia="宋体" w:cs="黑体"/>
          <w:bCs/>
          <w:kern w:val="2"/>
          <w:szCs w:val="28"/>
          <w:highlight w:val="none"/>
          <w:lang w:val="en-US" w:eastAsia="zh-CN" w:bidi="ar-SA"/>
          <w14:ligatures w14:val="standardContextual"/>
        </w:rPr>
        <w:t>四、</w:t>
      </w:r>
      <w:r>
        <w:rPr>
          <w:rFonts w:hint="eastAsia" w:ascii="宋体" w:hAnsi="宋体"/>
          <w:szCs w:val="28"/>
          <w:highlight w:val="none"/>
        </w:rPr>
        <w:t>道路交通系统</w:t>
      </w:r>
      <w:r>
        <w:tab/>
      </w:r>
      <w:r>
        <w:fldChar w:fldCharType="begin"/>
      </w:r>
      <w:r>
        <w:instrText xml:space="preserve"> PAGEREF _Toc5381 \h </w:instrText>
      </w:r>
      <w:r>
        <w:fldChar w:fldCharType="separate"/>
      </w:r>
      <w:r>
        <w:t>32</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_Toc5785 </w:instrText>
      </w:r>
      <w:r>
        <w:rPr>
          <w:rFonts w:ascii="宋体" w:hAnsi="宋体"/>
          <w:szCs w:val="21"/>
          <w:highlight w:val="none"/>
        </w:rPr>
        <w:fldChar w:fldCharType="separate"/>
      </w:r>
      <w:r>
        <w:rPr>
          <w:rFonts w:hint="eastAsia" w:ascii="宋体" w:hAnsi="宋体"/>
          <w:szCs w:val="28"/>
          <w:highlight w:val="none"/>
        </w:rPr>
        <w:t>五、地下空间与人防工程</w:t>
      </w:r>
      <w:r>
        <w:tab/>
      </w:r>
      <w:r>
        <w:fldChar w:fldCharType="begin"/>
      </w:r>
      <w:r>
        <w:instrText xml:space="preserve"> PAGEREF _Toc5785 \h </w:instrText>
      </w:r>
      <w:r>
        <w:fldChar w:fldCharType="separate"/>
      </w:r>
      <w:r>
        <w:t>32</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_Toc13812 </w:instrText>
      </w:r>
      <w:r>
        <w:rPr>
          <w:rFonts w:ascii="宋体" w:hAnsi="宋体"/>
          <w:szCs w:val="21"/>
          <w:highlight w:val="none"/>
        </w:rPr>
        <w:fldChar w:fldCharType="separate"/>
      </w:r>
      <w:r>
        <w:rPr>
          <w:rFonts w:hint="eastAsia" w:ascii="宋体" w:hAnsi="宋体"/>
          <w:szCs w:val="24"/>
          <w:highlight w:val="none"/>
        </w:rPr>
        <w:t>六、竖向设计</w:t>
      </w:r>
      <w:r>
        <w:tab/>
      </w:r>
      <w:r>
        <w:fldChar w:fldCharType="begin"/>
      </w:r>
      <w:r>
        <w:instrText xml:space="preserve"> PAGEREF _Toc13812 \h </w:instrText>
      </w:r>
      <w:r>
        <w:fldChar w:fldCharType="separate"/>
      </w:r>
      <w:r>
        <w:t>32</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_Toc9996 </w:instrText>
      </w:r>
      <w:r>
        <w:rPr>
          <w:rFonts w:ascii="宋体" w:hAnsi="宋体"/>
          <w:szCs w:val="21"/>
          <w:highlight w:val="none"/>
        </w:rPr>
        <w:fldChar w:fldCharType="separate"/>
      </w:r>
      <w:r>
        <w:rPr>
          <w:rFonts w:hint="default" w:ascii="宋体" w:hAnsi="宋体" w:eastAsia="宋体" w:cs="黑体"/>
          <w:bCs/>
          <w:szCs w:val="24"/>
        </w:rPr>
        <w:t xml:space="preserve">七、 </w:t>
      </w:r>
      <w:r>
        <w:rPr>
          <w:rFonts w:hint="eastAsia" w:ascii="宋体" w:hAnsi="宋体" w:eastAsia="宋体" w:cs="黑体"/>
          <w:bCs/>
          <w:szCs w:val="24"/>
          <w:highlight w:val="none"/>
        </w:rPr>
        <w:t>绿化景观系统</w:t>
      </w:r>
      <w:r>
        <w:tab/>
      </w:r>
      <w:r>
        <w:fldChar w:fldCharType="begin"/>
      </w:r>
      <w:r>
        <w:instrText xml:space="preserve"> PAGEREF _Toc9996 \h </w:instrText>
      </w:r>
      <w:r>
        <w:fldChar w:fldCharType="separate"/>
      </w:r>
      <w:r>
        <w:t>33</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_Toc29692 </w:instrText>
      </w:r>
      <w:r>
        <w:rPr>
          <w:rFonts w:ascii="宋体" w:hAnsi="宋体"/>
          <w:szCs w:val="21"/>
          <w:highlight w:val="none"/>
        </w:rPr>
        <w:fldChar w:fldCharType="separate"/>
      </w:r>
      <w:r>
        <w:rPr>
          <w:rFonts w:hint="default" w:ascii="宋体" w:hAnsi="宋体" w:eastAsia="宋体"/>
          <w:szCs w:val="24"/>
        </w:rPr>
        <w:t xml:space="preserve">八、 </w:t>
      </w:r>
      <w:r>
        <w:rPr>
          <w:rFonts w:hint="eastAsia" w:ascii="宋体" w:hAnsi="宋体" w:eastAsia="宋体" w:cs="黑体"/>
          <w:bCs/>
          <w:szCs w:val="24"/>
          <w:highlight w:val="none"/>
        </w:rPr>
        <w:t>体育</w:t>
      </w:r>
      <w:r>
        <w:rPr>
          <w:rFonts w:hint="eastAsia" w:ascii="宋体" w:hAnsi="宋体" w:eastAsia="宋体"/>
          <w:szCs w:val="24"/>
          <w:highlight w:val="none"/>
        </w:rPr>
        <w:t>设施</w:t>
      </w:r>
      <w:r>
        <w:tab/>
      </w:r>
      <w:r>
        <w:fldChar w:fldCharType="begin"/>
      </w:r>
      <w:r>
        <w:instrText xml:space="preserve"> PAGEREF _Toc29692 \h </w:instrText>
      </w:r>
      <w:r>
        <w:fldChar w:fldCharType="separate"/>
      </w:r>
      <w:r>
        <w:t>33</w:t>
      </w:r>
      <w:r>
        <w:fldChar w:fldCharType="end"/>
      </w:r>
      <w:r>
        <w:rPr>
          <w:rFonts w:ascii="宋体" w:hAnsi="宋体"/>
          <w:szCs w:val="21"/>
          <w:highlight w:val="none"/>
        </w:rPr>
        <w:fldChar w:fldCharType="end"/>
      </w:r>
    </w:p>
    <w:p>
      <w:pPr>
        <w:pStyle w:val="17"/>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_Toc17266 </w:instrText>
      </w:r>
      <w:r>
        <w:rPr>
          <w:rFonts w:ascii="宋体" w:hAnsi="宋体"/>
          <w:szCs w:val="21"/>
          <w:highlight w:val="none"/>
        </w:rPr>
        <w:fldChar w:fldCharType="separate"/>
      </w:r>
      <w:r>
        <w:rPr>
          <w:rFonts w:hint="eastAsia" w:ascii="宋体" w:hAnsi="宋体"/>
          <w:szCs w:val="36"/>
          <w:highlight w:val="none"/>
        </w:rPr>
        <w:t>第五章</w:t>
      </w:r>
      <w:r>
        <w:rPr>
          <w:rFonts w:ascii="宋体" w:hAnsi="宋体"/>
          <w:szCs w:val="36"/>
          <w:highlight w:val="none"/>
        </w:rPr>
        <w:t xml:space="preserve"> </w:t>
      </w:r>
      <w:r>
        <w:rPr>
          <w:rFonts w:hint="eastAsia" w:ascii="宋体" w:hAnsi="宋体"/>
          <w:szCs w:val="36"/>
          <w:highlight w:val="none"/>
        </w:rPr>
        <w:t>建筑设计要求</w:t>
      </w:r>
      <w:r>
        <w:tab/>
      </w:r>
      <w:r>
        <w:fldChar w:fldCharType="begin"/>
      </w:r>
      <w:r>
        <w:instrText xml:space="preserve"> PAGEREF _Toc17266 \h </w:instrText>
      </w:r>
      <w:r>
        <w:fldChar w:fldCharType="separate"/>
      </w:r>
      <w:r>
        <w:t>34</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_Toc11634 </w:instrText>
      </w:r>
      <w:r>
        <w:rPr>
          <w:rFonts w:ascii="宋体" w:hAnsi="宋体"/>
          <w:szCs w:val="21"/>
          <w:highlight w:val="none"/>
        </w:rPr>
        <w:fldChar w:fldCharType="separate"/>
      </w:r>
      <w:r>
        <w:rPr>
          <w:rFonts w:ascii="宋体" w:hAnsi="宋体" w:eastAsia="宋体" w:cs="黑体"/>
          <w:bCs/>
          <w:kern w:val="2"/>
          <w:szCs w:val="32"/>
          <w:highlight w:val="none"/>
          <w:lang w:val="en-US" w:eastAsia="zh-CN" w:bidi="ar-SA"/>
          <w14:ligatures w14:val="standardContextual"/>
        </w:rPr>
        <w:t>一、</w:t>
      </w:r>
      <w:r>
        <w:rPr>
          <w:rFonts w:hint="eastAsia" w:ascii="宋体" w:hAnsi="宋体"/>
          <w:highlight w:val="none"/>
        </w:rPr>
        <w:t>建设规模</w:t>
      </w:r>
      <w:r>
        <w:tab/>
      </w:r>
      <w:r>
        <w:fldChar w:fldCharType="begin"/>
      </w:r>
      <w:r>
        <w:instrText xml:space="preserve"> PAGEREF _Toc11634 \h </w:instrText>
      </w:r>
      <w:r>
        <w:fldChar w:fldCharType="separate"/>
      </w:r>
      <w:r>
        <w:t>34</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_Toc13503 </w:instrText>
      </w:r>
      <w:r>
        <w:rPr>
          <w:rFonts w:ascii="宋体" w:hAnsi="宋体"/>
          <w:szCs w:val="21"/>
          <w:highlight w:val="none"/>
        </w:rPr>
        <w:fldChar w:fldCharType="separate"/>
      </w:r>
      <w:r>
        <w:rPr>
          <w:rFonts w:ascii="宋体" w:hAnsi="宋体" w:eastAsia="宋体" w:cs="黑体"/>
          <w:bCs/>
          <w:kern w:val="2"/>
          <w:szCs w:val="32"/>
          <w:highlight w:val="none"/>
          <w:lang w:val="en-US" w:eastAsia="zh-CN" w:bidi="ar-SA"/>
          <w14:ligatures w14:val="standardContextual"/>
        </w:rPr>
        <w:t>二、</w:t>
      </w:r>
      <w:r>
        <w:rPr>
          <w:rFonts w:hint="eastAsia" w:ascii="宋体" w:hAnsi="宋体"/>
          <w:highlight w:val="none"/>
        </w:rPr>
        <w:t>总平面布置规划</w:t>
      </w:r>
      <w:r>
        <w:tab/>
      </w:r>
      <w:r>
        <w:fldChar w:fldCharType="begin"/>
      </w:r>
      <w:r>
        <w:instrText xml:space="preserve"> PAGEREF _Toc13503 \h </w:instrText>
      </w:r>
      <w:r>
        <w:fldChar w:fldCharType="separate"/>
      </w:r>
      <w:r>
        <w:t>34</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_Toc9120 </w:instrText>
      </w:r>
      <w:r>
        <w:rPr>
          <w:rFonts w:ascii="宋体" w:hAnsi="宋体"/>
          <w:szCs w:val="21"/>
          <w:highlight w:val="none"/>
        </w:rPr>
        <w:fldChar w:fldCharType="separate"/>
      </w:r>
      <w:r>
        <w:rPr>
          <w:rFonts w:ascii="Times New Roman" w:hAnsi="Times New Roman" w:eastAsia="宋体" w:cs="Times New Roman"/>
          <w:kern w:val="2"/>
          <w:szCs w:val="24"/>
          <w:highlight w:val="none"/>
          <w:lang w:val="en-US" w:eastAsia="zh-CN" w:bidi="ar-SA"/>
          <w14:ligatures w14:val="standardContextual"/>
        </w:rPr>
        <w:t>(一)</w:t>
      </w:r>
      <w:r>
        <w:rPr>
          <w:rFonts w:hint="eastAsia"/>
          <w:highlight w:val="none"/>
        </w:rPr>
        <w:t>项目主要建筑设施</w:t>
      </w:r>
      <w:r>
        <w:tab/>
      </w:r>
      <w:r>
        <w:fldChar w:fldCharType="begin"/>
      </w:r>
      <w:r>
        <w:instrText xml:space="preserve"> PAGEREF _Toc9120 \h </w:instrText>
      </w:r>
      <w:r>
        <w:fldChar w:fldCharType="separate"/>
      </w:r>
      <w:r>
        <w:t>34</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_Toc2708 </w:instrText>
      </w:r>
      <w:r>
        <w:rPr>
          <w:rFonts w:ascii="宋体" w:hAnsi="宋体"/>
          <w:szCs w:val="21"/>
          <w:highlight w:val="none"/>
        </w:rPr>
        <w:fldChar w:fldCharType="separate"/>
      </w:r>
      <w:r>
        <w:rPr>
          <w:rFonts w:hint="eastAsia"/>
          <w:bCs/>
          <w:highlight w:val="none"/>
        </w:rPr>
        <w:t>【以上建设规模仅作为参考，实际以满足学校功能使用设计方案为准】</w:t>
      </w:r>
      <w:r>
        <w:tab/>
      </w:r>
      <w:r>
        <w:fldChar w:fldCharType="begin"/>
      </w:r>
      <w:r>
        <w:instrText xml:space="preserve"> PAGEREF _Toc2708 \h </w:instrText>
      </w:r>
      <w:r>
        <w:fldChar w:fldCharType="separate"/>
      </w:r>
      <w:r>
        <w:t>34</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_Toc13598 </w:instrText>
      </w:r>
      <w:r>
        <w:rPr>
          <w:rFonts w:ascii="宋体" w:hAnsi="宋体"/>
          <w:szCs w:val="21"/>
          <w:highlight w:val="none"/>
        </w:rPr>
        <w:fldChar w:fldCharType="separate"/>
      </w:r>
      <w:r>
        <w:rPr>
          <w:rFonts w:ascii="宋体" w:hAnsi="宋体" w:eastAsia="宋体" w:cs="Times New Roman"/>
          <w:kern w:val="2"/>
          <w:szCs w:val="24"/>
          <w:highlight w:val="none"/>
          <w:lang w:val="en-US" w:eastAsia="zh-CN" w:bidi="ar-SA"/>
          <w14:ligatures w14:val="standardContextual"/>
        </w:rPr>
        <w:t>(二)</w:t>
      </w:r>
      <w:r>
        <w:rPr>
          <w:rFonts w:hint="eastAsia" w:ascii="宋体" w:hAnsi="宋体"/>
          <w:szCs w:val="28"/>
          <w:highlight w:val="none"/>
        </w:rPr>
        <w:t>道路</w:t>
      </w:r>
      <w:r>
        <w:tab/>
      </w:r>
      <w:r>
        <w:fldChar w:fldCharType="begin"/>
      </w:r>
      <w:r>
        <w:instrText xml:space="preserve"> PAGEREF _Toc13598 \h </w:instrText>
      </w:r>
      <w:r>
        <w:fldChar w:fldCharType="separate"/>
      </w:r>
      <w:r>
        <w:t>34</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_Toc26816 </w:instrText>
      </w:r>
      <w:r>
        <w:rPr>
          <w:rFonts w:ascii="宋体" w:hAnsi="宋体"/>
          <w:szCs w:val="21"/>
          <w:highlight w:val="none"/>
        </w:rPr>
        <w:fldChar w:fldCharType="separate"/>
      </w:r>
      <w:r>
        <w:rPr>
          <w:rFonts w:ascii="宋体" w:hAnsi="宋体" w:eastAsia="宋体" w:cs="Times New Roman"/>
          <w:kern w:val="2"/>
          <w:szCs w:val="24"/>
          <w:highlight w:val="none"/>
          <w:lang w:val="en-US" w:eastAsia="zh-CN" w:bidi="ar-SA"/>
          <w14:ligatures w14:val="standardContextual"/>
        </w:rPr>
        <w:t>(三)</w:t>
      </w:r>
      <w:r>
        <w:rPr>
          <w:rFonts w:hint="eastAsia" w:ascii="宋体" w:hAnsi="宋体"/>
          <w:szCs w:val="28"/>
          <w:highlight w:val="none"/>
        </w:rPr>
        <w:t>配套设施建设项目</w:t>
      </w:r>
      <w:r>
        <w:tab/>
      </w:r>
      <w:r>
        <w:fldChar w:fldCharType="begin"/>
      </w:r>
      <w:r>
        <w:instrText xml:space="preserve"> PAGEREF _Toc26816 \h </w:instrText>
      </w:r>
      <w:r>
        <w:fldChar w:fldCharType="separate"/>
      </w:r>
      <w:r>
        <w:t>35</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_Toc32715 </w:instrText>
      </w:r>
      <w:r>
        <w:rPr>
          <w:rFonts w:ascii="宋体" w:hAnsi="宋体"/>
          <w:szCs w:val="21"/>
          <w:highlight w:val="none"/>
        </w:rPr>
        <w:fldChar w:fldCharType="separate"/>
      </w:r>
      <w:r>
        <w:rPr>
          <w:rFonts w:hint="eastAsia" w:ascii="宋体" w:hAnsi="宋体" w:eastAsia="宋体"/>
          <w:highlight w:val="none"/>
          <w:lang w:val="en-US" w:eastAsia="zh-CN"/>
        </w:rPr>
        <w:t>三、</w:t>
      </w:r>
      <w:r>
        <w:rPr>
          <w:rFonts w:hint="eastAsia" w:ascii="宋体" w:hAnsi="宋体" w:eastAsia="宋体"/>
          <w:highlight w:val="none"/>
        </w:rPr>
        <w:t>建设工程建筑设计具体要求</w:t>
      </w:r>
      <w:r>
        <w:tab/>
      </w:r>
      <w:r>
        <w:fldChar w:fldCharType="begin"/>
      </w:r>
      <w:r>
        <w:instrText xml:space="preserve"> PAGEREF _Toc32715 \h </w:instrText>
      </w:r>
      <w:r>
        <w:fldChar w:fldCharType="separate"/>
      </w:r>
      <w:r>
        <w:t>35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_Toc451 </w:instrText>
      </w:r>
      <w:r>
        <w:rPr>
          <w:rFonts w:ascii="宋体" w:hAnsi="宋体"/>
          <w:szCs w:val="21"/>
          <w:highlight w:val="none"/>
        </w:rPr>
        <w:fldChar w:fldCharType="separate"/>
      </w:r>
      <w:r>
        <w:rPr>
          <w:rFonts w:ascii="宋体" w:hAnsi="宋体" w:eastAsia="宋体" w:cs="仿宋_GB2312"/>
          <w:kern w:val="2"/>
          <w:szCs w:val="28"/>
          <w:highlight w:val="none"/>
          <w:lang w:val="en-US" w:eastAsia="zh-CN" w:bidi="ar-SA"/>
          <w14:ligatures w14:val="standardContextual"/>
        </w:rPr>
        <w:t>(一)</w:t>
      </w:r>
      <w:r>
        <w:rPr>
          <w:rFonts w:hint="eastAsia" w:hAnsi="宋体" w:cs="仿宋_GB2312"/>
          <w:szCs w:val="28"/>
          <w:highlight w:val="none"/>
        </w:rPr>
        <w:t>环保要求</w:t>
      </w:r>
      <w:r>
        <w:tab/>
      </w:r>
      <w:r>
        <w:fldChar w:fldCharType="begin"/>
      </w:r>
      <w:r>
        <w:instrText xml:space="preserve"> PAGEREF _Toc451 \h </w:instrText>
      </w:r>
      <w:r>
        <w:fldChar w:fldCharType="separate"/>
      </w:r>
      <w:r>
        <w:t>35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_Toc20418 </w:instrText>
      </w:r>
      <w:r>
        <w:rPr>
          <w:rFonts w:ascii="宋体" w:hAnsi="宋体"/>
          <w:szCs w:val="21"/>
          <w:highlight w:val="none"/>
        </w:rPr>
        <w:fldChar w:fldCharType="separate"/>
      </w:r>
      <w:r>
        <w:rPr>
          <w:rFonts w:ascii="宋体" w:hAnsi="宋体" w:eastAsia="宋体" w:cs="仿宋_GB2312"/>
          <w:kern w:val="2"/>
          <w:szCs w:val="28"/>
          <w:highlight w:val="none"/>
          <w:lang w:val="en-US" w:eastAsia="zh-CN" w:bidi="ar-SA"/>
          <w14:ligatures w14:val="standardContextual"/>
        </w:rPr>
        <w:t>(二)</w:t>
      </w:r>
      <w:r>
        <w:rPr>
          <w:rFonts w:hint="eastAsia" w:hAnsi="宋体" w:cs="仿宋_GB2312"/>
          <w:szCs w:val="28"/>
          <w:highlight w:val="none"/>
        </w:rPr>
        <w:t>节能</w:t>
      </w:r>
      <w:r>
        <w:tab/>
      </w:r>
      <w:r>
        <w:fldChar w:fldCharType="begin"/>
      </w:r>
      <w:r>
        <w:instrText xml:space="preserve"> PAGEREF _Toc20418 \h </w:instrText>
      </w:r>
      <w:r>
        <w:fldChar w:fldCharType="separate"/>
      </w:r>
      <w:r>
        <w:t>35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_Toc11905 </w:instrText>
      </w:r>
      <w:r>
        <w:rPr>
          <w:rFonts w:ascii="宋体" w:hAnsi="宋体"/>
          <w:szCs w:val="21"/>
          <w:highlight w:val="none"/>
        </w:rPr>
        <w:fldChar w:fldCharType="separate"/>
      </w:r>
      <w:r>
        <w:rPr>
          <w:rFonts w:ascii="宋体" w:hAnsi="宋体" w:eastAsia="宋体" w:cs="仿宋_GB2312"/>
          <w:kern w:val="2"/>
          <w:szCs w:val="28"/>
          <w:highlight w:val="none"/>
          <w:lang w:val="en-US" w:eastAsia="zh-CN" w:bidi="ar-SA"/>
          <w14:ligatures w14:val="standardContextual"/>
        </w:rPr>
        <w:t>(三)</w:t>
      </w:r>
      <w:r>
        <w:rPr>
          <w:rFonts w:hint="eastAsia" w:hAnsi="宋体" w:cs="仿宋_GB2312"/>
          <w:szCs w:val="28"/>
          <w:highlight w:val="none"/>
        </w:rPr>
        <w:t>绿色建筑</w:t>
      </w:r>
      <w:r>
        <w:tab/>
      </w:r>
      <w:r>
        <w:fldChar w:fldCharType="begin"/>
      </w:r>
      <w:r>
        <w:instrText xml:space="preserve"> PAGEREF _Toc11905 \h </w:instrText>
      </w:r>
      <w:r>
        <w:fldChar w:fldCharType="separate"/>
      </w:r>
      <w:r>
        <w:t>35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_Toc10941 </w:instrText>
      </w:r>
      <w:r>
        <w:rPr>
          <w:rFonts w:ascii="宋体" w:hAnsi="宋体"/>
          <w:szCs w:val="21"/>
          <w:highlight w:val="none"/>
        </w:rPr>
        <w:fldChar w:fldCharType="separate"/>
      </w:r>
      <w:r>
        <w:rPr>
          <w:rFonts w:ascii="宋体" w:hAnsi="宋体" w:eastAsia="宋体" w:cs="仿宋_GB2312"/>
          <w:kern w:val="2"/>
          <w:szCs w:val="28"/>
          <w:highlight w:val="none"/>
          <w:lang w:val="en-US" w:eastAsia="zh-CN" w:bidi="ar-SA"/>
          <w14:ligatures w14:val="standardContextual"/>
        </w:rPr>
        <w:t>(四)</w:t>
      </w:r>
      <w:r>
        <w:rPr>
          <w:rFonts w:hint="eastAsia" w:hAnsi="宋体" w:cs="仿宋_GB2312"/>
          <w:szCs w:val="28"/>
          <w:highlight w:val="none"/>
        </w:rPr>
        <w:t>结构及基础形式</w:t>
      </w:r>
      <w:r>
        <w:tab/>
      </w:r>
      <w:r>
        <w:fldChar w:fldCharType="begin"/>
      </w:r>
      <w:r>
        <w:instrText xml:space="preserve"> PAGEREF _Toc10941 \h </w:instrText>
      </w:r>
      <w:r>
        <w:fldChar w:fldCharType="separate"/>
      </w:r>
      <w:r>
        <w:t>35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_Toc21645 </w:instrText>
      </w:r>
      <w:r>
        <w:rPr>
          <w:rFonts w:ascii="宋体" w:hAnsi="宋体"/>
          <w:szCs w:val="21"/>
          <w:highlight w:val="none"/>
        </w:rPr>
        <w:fldChar w:fldCharType="separate"/>
      </w:r>
      <w:r>
        <w:rPr>
          <w:rFonts w:ascii="宋体" w:hAnsi="宋体" w:eastAsia="宋体" w:cs="仿宋_GB2312"/>
          <w:kern w:val="2"/>
          <w:szCs w:val="28"/>
          <w:highlight w:val="none"/>
          <w:lang w:val="en-US" w:eastAsia="zh-CN" w:bidi="ar-SA"/>
          <w14:ligatures w14:val="standardContextual"/>
        </w:rPr>
        <w:t>(五)</w:t>
      </w:r>
      <w:r>
        <w:rPr>
          <w:rFonts w:hint="eastAsia" w:hAnsi="宋体" w:cs="仿宋_GB2312"/>
          <w:szCs w:val="28"/>
          <w:highlight w:val="none"/>
        </w:rPr>
        <w:t>给排水及消防系统</w:t>
      </w:r>
      <w:r>
        <w:tab/>
      </w:r>
      <w:r>
        <w:fldChar w:fldCharType="begin"/>
      </w:r>
      <w:r>
        <w:instrText xml:space="preserve"> PAGEREF _Toc21645 \h </w:instrText>
      </w:r>
      <w:r>
        <w:fldChar w:fldCharType="separate"/>
      </w:r>
      <w:r>
        <w:t>35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_Toc962 </w:instrText>
      </w:r>
      <w:r>
        <w:rPr>
          <w:rFonts w:ascii="宋体" w:hAnsi="宋体"/>
          <w:szCs w:val="21"/>
          <w:highlight w:val="none"/>
        </w:rPr>
        <w:fldChar w:fldCharType="separate"/>
      </w:r>
      <w:r>
        <w:rPr>
          <w:rFonts w:ascii="宋体" w:hAnsi="宋体" w:eastAsia="宋体" w:cs="仿宋_GB2312"/>
          <w:kern w:val="2"/>
          <w:szCs w:val="28"/>
          <w:highlight w:val="none"/>
          <w:lang w:val="en-US" w:eastAsia="zh-CN" w:bidi="ar-SA"/>
          <w14:ligatures w14:val="standardContextual"/>
        </w:rPr>
        <w:t>(六)</w:t>
      </w:r>
      <w:r>
        <w:rPr>
          <w:rFonts w:hint="eastAsia" w:hAnsi="宋体" w:cs="仿宋_GB2312"/>
          <w:szCs w:val="28"/>
          <w:highlight w:val="none"/>
        </w:rPr>
        <w:t>电气工程</w:t>
      </w:r>
      <w:r>
        <w:tab/>
      </w:r>
      <w:r>
        <w:fldChar w:fldCharType="begin"/>
      </w:r>
      <w:r>
        <w:instrText xml:space="preserve"> PAGEREF _Toc962 \h </w:instrText>
      </w:r>
      <w:r>
        <w:fldChar w:fldCharType="separate"/>
      </w:r>
      <w:r>
        <w:t>36</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_Toc6056 </w:instrText>
      </w:r>
      <w:r>
        <w:rPr>
          <w:rFonts w:ascii="宋体" w:hAnsi="宋体"/>
          <w:szCs w:val="21"/>
          <w:highlight w:val="none"/>
        </w:rPr>
        <w:fldChar w:fldCharType="separate"/>
      </w:r>
      <w:r>
        <w:rPr>
          <w:rFonts w:ascii="宋体" w:hAnsi="宋体" w:eastAsia="宋体" w:cs="仿宋_GB2312"/>
          <w:kern w:val="2"/>
          <w:szCs w:val="28"/>
          <w:highlight w:val="none"/>
          <w:lang w:val="en-US" w:eastAsia="zh-CN" w:bidi="ar-SA"/>
          <w14:ligatures w14:val="standardContextual"/>
        </w:rPr>
        <w:t>(七)</w:t>
      </w:r>
      <w:r>
        <w:rPr>
          <w:rFonts w:hint="eastAsia" w:hAnsi="宋体" w:cs="仿宋_GB2312"/>
          <w:szCs w:val="28"/>
          <w:highlight w:val="none"/>
        </w:rPr>
        <w:t>通风空调系统</w:t>
      </w:r>
      <w:r>
        <w:tab/>
      </w:r>
      <w:r>
        <w:fldChar w:fldCharType="begin"/>
      </w:r>
      <w:r>
        <w:instrText xml:space="preserve"> PAGEREF _Toc6056 \h </w:instrText>
      </w:r>
      <w:r>
        <w:fldChar w:fldCharType="separate"/>
      </w:r>
      <w:r>
        <w:t>36</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_Toc16658 </w:instrText>
      </w:r>
      <w:r>
        <w:rPr>
          <w:rFonts w:ascii="宋体" w:hAnsi="宋体"/>
          <w:szCs w:val="21"/>
          <w:highlight w:val="none"/>
        </w:rPr>
        <w:fldChar w:fldCharType="separate"/>
      </w:r>
      <w:r>
        <w:rPr>
          <w:rFonts w:ascii="宋体" w:hAnsi="宋体" w:eastAsia="宋体" w:cs="仿宋_GB2312"/>
          <w:kern w:val="2"/>
          <w:szCs w:val="28"/>
          <w:highlight w:val="none"/>
          <w:lang w:val="en-US" w:eastAsia="zh-CN" w:bidi="ar-SA"/>
          <w14:ligatures w14:val="standardContextual"/>
        </w:rPr>
        <w:t>(八)</w:t>
      </w:r>
      <w:r>
        <w:rPr>
          <w:rFonts w:hint="eastAsia" w:hAnsi="宋体" w:cs="仿宋_GB2312"/>
          <w:szCs w:val="28"/>
          <w:highlight w:val="none"/>
        </w:rPr>
        <w:t>弱电方案</w:t>
      </w:r>
      <w:r>
        <w:tab/>
      </w:r>
      <w:r>
        <w:fldChar w:fldCharType="begin"/>
      </w:r>
      <w:r>
        <w:instrText xml:space="preserve"> PAGEREF _Toc16658 \h </w:instrText>
      </w:r>
      <w:r>
        <w:fldChar w:fldCharType="separate"/>
      </w:r>
      <w:r>
        <w:t>37</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_Toc30834 </w:instrText>
      </w:r>
      <w:r>
        <w:rPr>
          <w:rFonts w:ascii="宋体" w:hAnsi="宋体"/>
          <w:szCs w:val="21"/>
          <w:highlight w:val="none"/>
        </w:rPr>
        <w:fldChar w:fldCharType="separate"/>
      </w:r>
      <w:r>
        <w:rPr>
          <w:rFonts w:hint="eastAsia" w:ascii="宋体" w:hAnsi="宋体" w:eastAsia="宋体" w:cs="仿宋_GB2312"/>
          <w:kern w:val="2"/>
          <w:szCs w:val="28"/>
          <w:highlight w:val="none"/>
          <w:lang w:val="en-US" w:eastAsia="zh-CN" w:bidi="ar-SA"/>
          <w14:ligatures w14:val="standardContextual"/>
        </w:rPr>
        <w:t>（九）移动通信基础设施</w:t>
      </w:r>
      <w:r>
        <w:tab/>
      </w:r>
      <w:r>
        <w:fldChar w:fldCharType="begin"/>
      </w:r>
      <w:r>
        <w:instrText xml:space="preserve"> PAGEREF _Toc30834 \h </w:instrText>
      </w:r>
      <w:r>
        <w:fldChar w:fldCharType="separate"/>
      </w:r>
      <w:r>
        <w:t>41</w:t>
      </w:r>
      <w:r>
        <w:fldChar w:fldCharType="end"/>
      </w:r>
      <w:r>
        <w:rPr>
          <w:rFonts w:ascii="宋体" w:hAnsi="宋体"/>
          <w:szCs w:val="21"/>
          <w:highlight w:val="none"/>
        </w:rPr>
        <w:fldChar w:fldCharType="end"/>
      </w:r>
    </w:p>
    <w:p>
      <w:pPr>
        <w:pStyle w:val="17"/>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_Toc20141 </w:instrText>
      </w:r>
      <w:r>
        <w:rPr>
          <w:rFonts w:ascii="宋体" w:hAnsi="宋体"/>
          <w:szCs w:val="21"/>
          <w:highlight w:val="none"/>
        </w:rPr>
        <w:fldChar w:fldCharType="separate"/>
      </w:r>
      <w:r>
        <w:rPr>
          <w:rFonts w:hint="eastAsia" w:ascii="宋体" w:hAnsi="宋体"/>
          <w:szCs w:val="36"/>
          <w:highlight w:val="none"/>
        </w:rPr>
        <w:t>第六章</w:t>
      </w:r>
      <w:r>
        <w:rPr>
          <w:rFonts w:ascii="宋体" w:hAnsi="宋体"/>
          <w:szCs w:val="36"/>
          <w:highlight w:val="none"/>
        </w:rPr>
        <w:t xml:space="preserve"> </w:t>
      </w:r>
      <w:r>
        <w:rPr>
          <w:rFonts w:hint="eastAsia" w:ascii="宋体" w:hAnsi="宋体"/>
          <w:szCs w:val="36"/>
          <w:highlight w:val="none"/>
        </w:rPr>
        <w:t>工程图纸设计深度</w:t>
      </w:r>
      <w:r>
        <w:tab/>
      </w:r>
      <w:r>
        <w:fldChar w:fldCharType="begin"/>
      </w:r>
      <w:r>
        <w:instrText xml:space="preserve"> PAGEREF _Toc20141 \h </w:instrText>
      </w:r>
      <w:r>
        <w:fldChar w:fldCharType="separate"/>
      </w:r>
      <w:r>
        <w:t>42</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_Toc20824 </w:instrText>
      </w:r>
      <w:r>
        <w:rPr>
          <w:rFonts w:ascii="宋体" w:hAnsi="宋体"/>
          <w:szCs w:val="21"/>
          <w:highlight w:val="none"/>
        </w:rPr>
        <w:fldChar w:fldCharType="separate"/>
      </w:r>
      <w:r>
        <w:rPr>
          <w:rFonts w:hint="eastAsia" w:ascii="宋体" w:hAnsi="宋体"/>
          <w:highlight w:val="none"/>
        </w:rPr>
        <w:t>一、一般要求</w:t>
      </w:r>
      <w:r>
        <w:tab/>
      </w:r>
      <w:r>
        <w:fldChar w:fldCharType="begin"/>
      </w:r>
      <w:r>
        <w:instrText xml:space="preserve"> PAGEREF _Toc20824 \h </w:instrText>
      </w:r>
      <w:r>
        <w:fldChar w:fldCharType="separate"/>
      </w:r>
      <w:r>
        <w:t>42</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_Toc2545 </w:instrText>
      </w:r>
      <w:r>
        <w:rPr>
          <w:rFonts w:ascii="宋体" w:hAnsi="宋体"/>
          <w:szCs w:val="21"/>
          <w:highlight w:val="none"/>
        </w:rPr>
        <w:fldChar w:fldCharType="separate"/>
      </w:r>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建筑方案设计的设计文件包括：</w:t>
      </w:r>
      <w:r>
        <w:tab/>
      </w:r>
      <w:r>
        <w:fldChar w:fldCharType="begin"/>
      </w:r>
      <w:r>
        <w:instrText xml:space="preserve"> PAGEREF _Toc2545 \h </w:instrText>
      </w:r>
      <w:r>
        <w:fldChar w:fldCharType="separate"/>
      </w:r>
      <w:r>
        <w:t>42</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_Toc27720 </w:instrText>
      </w:r>
      <w:r>
        <w:rPr>
          <w:rFonts w:ascii="宋体" w:hAnsi="宋体"/>
          <w:szCs w:val="21"/>
          <w:highlight w:val="none"/>
        </w:rPr>
        <w:fldChar w:fldCharType="separate"/>
      </w:r>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文件编排顺序</w:t>
      </w:r>
      <w:r>
        <w:tab/>
      </w:r>
      <w:r>
        <w:fldChar w:fldCharType="begin"/>
      </w:r>
      <w:r>
        <w:instrText xml:space="preserve"> PAGEREF _Toc27720 \h </w:instrText>
      </w:r>
      <w:r>
        <w:fldChar w:fldCharType="separate"/>
      </w:r>
      <w:r>
        <w:t>42</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_Toc30482 </w:instrText>
      </w:r>
      <w:r>
        <w:rPr>
          <w:rFonts w:ascii="宋体" w:hAnsi="宋体"/>
          <w:szCs w:val="21"/>
          <w:highlight w:val="none"/>
        </w:rPr>
        <w:fldChar w:fldCharType="separate"/>
      </w:r>
      <w:r>
        <w:rPr>
          <w:rFonts w:hint="eastAsia" w:ascii="宋体" w:hAnsi="宋体"/>
          <w:highlight w:val="none"/>
        </w:rPr>
        <w:t>二、</w:t>
      </w:r>
      <w:r>
        <w:rPr>
          <w:rFonts w:ascii="宋体" w:hAnsi="宋体"/>
          <w:highlight w:val="none"/>
        </w:rPr>
        <w:t>设计说明</w:t>
      </w:r>
      <w:r>
        <w:tab/>
      </w:r>
      <w:r>
        <w:fldChar w:fldCharType="begin"/>
      </w:r>
      <w:r>
        <w:instrText xml:space="preserve"> PAGEREF _Toc30482 \h </w:instrText>
      </w:r>
      <w:r>
        <w:fldChar w:fldCharType="separate"/>
      </w:r>
      <w:r>
        <w:t>42</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_Toc32435 </w:instrText>
      </w:r>
      <w:r>
        <w:rPr>
          <w:rFonts w:ascii="宋体" w:hAnsi="宋体"/>
          <w:szCs w:val="21"/>
          <w:highlight w:val="none"/>
        </w:rPr>
        <w:fldChar w:fldCharType="separate"/>
      </w:r>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设计依据和设计要求</w:t>
      </w:r>
      <w:r>
        <w:tab/>
      </w:r>
      <w:r>
        <w:fldChar w:fldCharType="begin"/>
      </w:r>
      <w:r>
        <w:instrText xml:space="preserve"> PAGEREF _Toc32435 \h </w:instrText>
      </w:r>
      <w:r>
        <w:fldChar w:fldCharType="separate"/>
      </w:r>
      <w:r>
        <w:t>42</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_Toc30597 </w:instrText>
      </w:r>
      <w:r>
        <w:rPr>
          <w:rFonts w:ascii="宋体" w:hAnsi="宋体"/>
          <w:szCs w:val="21"/>
          <w:highlight w:val="none"/>
        </w:rPr>
        <w:fldChar w:fldCharType="separate"/>
      </w:r>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建筑设计说明</w:t>
      </w:r>
      <w:r>
        <w:tab/>
      </w:r>
      <w:r>
        <w:fldChar w:fldCharType="begin"/>
      </w:r>
      <w:r>
        <w:instrText xml:space="preserve"> PAGEREF _Toc30597 \h </w:instrText>
      </w:r>
      <w:r>
        <w:fldChar w:fldCharType="separate"/>
      </w:r>
      <w:r>
        <w:t>43</w:t>
      </w:r>
      <w:r>
        <w:fldChar w:fldCharType="end"/>
      </w:r>
      <w:r>
        <w:rPr>
          <w:rFonts w:ascii="宋体" w:hAnsi="宋体"/>
          <w:szCs w:val="21"/>
          <w:highlight w:val="none"/>
        </w:rPr>
        <w:fldChar w:fldCharType="end"/>
      </w:r>
    </w:p>
    <w:p>
      <w:pPr>
        <w:pStyle w:val="19"/>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_Toc1758 </w:instrText>
      </w:r>
      <w:r>
        <w:rPr>
          <w:rFonts w:ascii="宋体" w:hAnsi="宋体"/>
          <w:szCs w:val="21"/>
          <w:highlight w:val="none"/>
        </w:rPr>
        <w:fldChar w:fldCharType="separate"/>
      </w:r>
      <w:r>
        <w:rPr>
          <w:rFonts w:hint="eastAsia" w:ascii="宋体" w:hAnsi="宋体" w:cs="Times New Roman"/>
          <w:highlight w:val="none"/>
        </w:rPr>
        <w:t>三、</w:t>
      </w:r>
      <w:r>
        <w:rPr>
          <w:rFonts w:ascii="宋体" w:hAnsi="宋体" w:cs="Times New Roman"/>
          <w:highlight w:val="none"/>
        </w:rPr>
        <w:t>图纸文件</w:t>
      </w:r>
      <w:r>
        <w:tab/>
      </w:r>
      <w:r>
        <w:fldChar w:fldCharType="begin"/>
      </w:r>
      <w:r>
        <w:instrText xml:space="preserve"> PAGEREF _Toc1758 \h </w:instrText>
      </w:r>
      <w:r>
        <w:fldChar w:fldCharType="separate"/>
      </w:r>
      <w:r>
        <w:t>43</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_Toc12437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(一)</w:t>
      </w:r>
      <w:r>
        <w:rPr>
          <w:rFonts w:hint="eastAsia" w:ascii="宋体" w:hAnsi="宋体" w:eastAsia="宋体"/>
          <w:bCs/>
          <w:szCs w:val="21"/>
          <w:highlight w:val="none"/>
        </w:rPr>
        <w:t>方案设计阶段的成果内容应包括但不限于以下内容：</w:t>
      </w:r>
      <w:r>
        <w:tab/>
      </w:r>
      <w:r>
        <w:fldChar w:fldCharType="begin"/>
      </w:r>
      <w:r>
        <w:instrText xml:space="preserve"> PAGEREF _Toc12437 \h </w:instrText>
      </w:r>
      <w:r>
        <w:fldChar w:fldCharType="separate"/>
      </w:r>
      <w:r>
        <w:t>43</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_Toc7325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(二)</w:t>
      </w:r>
      <w:r>
        <w:rPr>
          <w:rFonts w:hint="eastAsia" w:ascii="宋体" w:hAnsi="宋体" w:eastAsia="宋体"/>
          <w:bCs/>
          <w:szCs w:val="21"/>
          <w:highlight w:val="none"/>
        </w:rPr>
        <w:t>方案深化设计阶段</w:t>
      </w:r>
      <w:r>
        <w:tab/>
      </w:r>
      <w:r>
        <w:fldChar w:fldCharType="begin"/>
      </w:r>
      <w:r>
        <w:instrText xml:space="preserve"> PAGEREF _Toc7325 \h </w:instrText>
      </w:r>
      <w:r>
        <w:fldChar w:fldCharType="separate"/>
      </w:r>
      <w:r>
        <w:t>45</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_Toc2993 </w:instrText>
      </w:r>
      <w:r>
        <w:rPr>
          <w:rFonts w:ascii="宋体" w:hAnsi="宋体"/>
          <w:szCs w:val="21"/>
          <w:highlight w:val="none"/>
        </w:rPr>
        <w:fldChar w:fldCharType="separate"/>
      </w:r>
      <w:r>
        <w:rPr>
          <w:rFonts w:ascii="宋体" w:hAnsi="宋体" w:eastAsia="宋体" w:cs="Times New Roman"/>
          <w:bCs/>
          <w:kern w:val="2"/>
          <w:szCs w:val="21"/>
          <w:highlight w:val="none"/>
          <w:lang w:val="en-US" w:eastAsia="zh-CN" w:bidi="ar-SA"/>
          <w14:ligatures w14:val="standardContextual"/>
        </w:rPr>
        <w:t>(三)</w:t>
      </w:r>
      <w:r>
        <w:rPr>
          <w:rFonts w:hint="eastAsia" w:ascii="宋体" w:hAnsi="宋体" w:eastAsia="宋体"/>
          <w:bCs/>
          <w:szCs w:val="21"/>
          <w:highlight w:val="none"/>
        </w:rPr>
        <w:t>施工图设计阶段</w:t>
      </w:r>
      <w:r>
        <w:tab/>
      </w:r>
      <w:r>
        <w:fldChar w:fldCharType="begin"/>
      </w:r>
      <w:r>
        <w:instrText xml:space="preserve"> PAGEREF _Toc2993 \h </w:instrText>
      </w:r>
      <w:r>
        <w:fldChar w:fldCharType="separate"/>
      </w:r>
      <w:r>
        <w:t>47</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_Toc6368 </w:instrText>
      </w:r>
      <w:r>
        <w:rPr>
          <w:rFonts w:ascii="宋体" w:hAnsi="宋体"/>
          <w:szCs w:val="21"/>
          <w:highlight w:val="none"/>
        </w:rPr>
        <w:fldChar w:fldCharType="separate"/>
      </w:r>
      <w:r>
        <w:rPr>
          <w:rFonts w:hint="eastAsia"/>
          <w:highlight w:val="none"/>
        </w:rPr>
        <w:t>（四）</w:t>
      </w:r>
      <w:r>
        <w:rPr>
          <w:highlight w:val="none"/>
        </w:rPr>
        <w:t>工程造价估算</w:t>
      </w:r>
      <w:r>
        <w:tab/>
      </w:r>
      <w:r>
        <w:fldChar w:fldCharType="begin"/>
      </w:r>
      <w:r>
        <w:instrText xml:space="preserve"> PAGEREF _Toc6368 \h </w:instrText>
      </w:r>
      <w:r>
        <w:fldChar w:fldCharType="separate"/>
      </w:r>
      <w:r>
        <w:t>49</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_Toc17985 </w:instrText>
      </w:r>
      <w:r>
        <w:rPr>
          <w:rFonts w:ascii="宋体" w:hAnsi="宋体"/>
          <w:szCs w:val="21"/>
          <w:highlight w:val="none"/>
        </w:rPr>
        <w:fldChar w:fldCharType="separate"/>
      </w:r>
      <w:r>
        <w:rPr>
          <w:rFonts w:hint="eastAsia"/>
          <w:highlight w:val="none"/>
        </w:rPr>
        <w:t>（五）设计依据与规划建筑设计投标方案成果文件要求</w:t>
      </w:r>
      <w:r>
        <w:tab/>
      </w:r>
      <w:r>
        <w:fldChar w:fldCharType="begin"/>
      </w:r>
      <w:r>
        <w:instrText xml:space="preserve"> PAGEREF _Toc17985 \h </w:instrText>
      </w:r>
      <w:r>
        <w:fldChar w:fldCharType="separate"/>
      </w:r>
      <w:r>
        <w:t>50</w:t>
      </w:r>
      <w:r>
        <w:fldChar w:fldCharType="end"/>
      </w:r>
      <w:r>
        <w:rPr>
          <w:rFonts w:ascii="宋体" w:hAnsi="宋体"/>
          <w:szCs w:val="21"/>
          <w:highlight w:val="none"/>
        </w:rPr>
        <w:fldChar w:fldCharType="end"/>
      </w:r>
    </w:p>
    <w:p>
      <w:pPr>
        <w:pStyle w:val="11"/>
        <w:tabs>
          <w:tab w:val="right" w:leader="dot" w:pos="8306"/>
        </w:tabs>
      </w:pPr>
      <w:r>
        <w:rPr>
          <w:rFonts w:ascii="宋体" w:hAnsi="宋体"/>
          <w:szCs w:val="21"/>
          <w:highlight w:val="none"/>
        </w:rPr>
        <w:fldChar w:fldCharType="begin"/>
      </w:r>
      <w:r>
        <w:rPr>
          <w:rFonts w:ascii="宋体" w:hAnsi="宋体"/>
          <w:szCs w:val="21"/>
          <w:highlight w:val="none"/>
        </w:rPr>
        <w:instrText xml:space="preserve"> HYPERLINK \l _Toc21186 </w:instrText>
      </w:r>
      <w:r>
        <w:rPr>
          <w:rFonts w:ascii="宋体" w:hAnsi="宋体"/>
          <w:szCs w:val="21"/>
          <w:highlight w:val="none"/>
        </w:rPr>
        <w:fldChar w:fldCharType="separate"/>
      </w:r>
      <w:r>
        <w:rPr>
          <w:rFonts w:hint="eastAsia"/>
          <w:highlight w:val="none"/>
        </w:rPr>
        <w:t>（六）BIM要求</w:t>
      </w:r>
      <w:r>
        <w:tab/>
      </w:r>
      <w:r>
        <w:fldChar w:fldCharType="begin"/>
      </w:r>
      <w:r>
        <w:instrText xml:space="preserve"> PAGEREF _Toc21186 \h </w:instrText>
      </w:r>
      <w:r>
        <w:fldChar w:fldCharType="separate"/>
      </w:r>
      <w:r>
        <w:t>52</w:t>
      </w:r>
      <w:r>
        <w:fldChar w:fldCharType="end"/>
      </w:r>
      <w:r>
        <w:rPr>
          <w:rFonts w:ascii="宋体" w:hAnsi="宋体"/>
          <w:szCs w:val="21"/>
          <w:highlight w:val="none"/>
        </w:rPr>
        <w:fldChar w:fldCharType="end"/>
      </w:r>
    </w:p>
    <w:p>
      <w:pPr>
        <w:spacing w:line="440" w:lineRule="exact"/>
        <w:ind w:firstLine="105" w:firstLineChars="50"/>
        <w:rPr>
          <w:rFonts w:ascii="宋体" w:hAnsi="宋体"/>
          <w:szCs w:val="21"/>
          <w:highlight w:val="none"/>
        </w:rPr>
      </w:pPr>
      <w:r>
        <w:rPr>
          <w:rFonts w:ascii="宋体" w:hAnsi="宋体"/>
          <w:szCs w:val="21"/>
          <w:highlight w:val="none"/>
        </w:rPr>
        <w:fldChar w:fldCharType="end"/>
      </w:r>
    </w:p>
    <w:p>
      <w:pPr>
        <w:widowControl/>
        <w:jc w:val="left"/>
        <w:rPr>
          <w:rFonts w:ascii="宋体" w:hAnsi="宋体"/>
          <w:szCs w:val="21"/>
          <w:highlight w:val="none"/>
        </w:rPr>
        <w:sectPr>
          <w:headerReference r:id="rId5" w:type="default"/>
          <w:headerReference r:id="rId6" w:type="even"/>
          <w:pgSz w:w="11906" w:h="16838"/>
          <w:pgMar w:top="1440" w:right="1800" w:bottom="1440" w:left="1800" w:header="851" w:footer="992" w:gutter="0"/>
          <w:pgNumType w:start="1"/>
          <w:cols w:space="720" w:num="1"/>
          <w:docGrid w:type="lines" w:linePitch="312" w:charSpace="0"/>
        </w:sectPr>
      </w:pPr>
    </w:p>
    <w:p>
      <w:pPr>
        <w:spacing w:line="440" w:lineRule="exact"/>
        <w:rPr>
          <w:rFonts w:ascii="宋体" w:hAnsi="宋体"/>
          <w:szCs w:val="21"/>
          <w:highlight w:val="none"/>
        </w:rPr>
      </w:pPr>
    </w:p>
    <w:p>
      <w:pPr>
        <w:rPr>
          <w:rFonts w:ascii="宋体" w:hAnsi="宋体"/>
          <w:sz w:val="36"/>
          <w:szCs w:val="36"/>
          <w:highlight w:val="none"/>
        </w:rPr>
      </w:pPr>
      <w:bookmarkStart w:id="9" w:name="_Toc462255815"/>
      <w:bookmarkStart w:id="10" w:name="_Toc27603"/>
      <w:r>
        <w:rPr>
          <w:rFonts w:hint="eastAsia" w:ascii="宋体" w:hAnsi="宋体"/>
          <w:sz w:val="36"/>
          <w:szCs w:val="36"/>
          <w:highlight w:val="none"/>
        </w:rPr>
        <w:br w:type="page"/>
      </w:r>
    </w:p>
    <w:p>
      <w:pPr>
        <w:pStyle w:val="3"/>
        <w:tabs>
          <w:tab w:val="left" w:pos="3570"/>
        </w:tabs>
        <w:spacing w:before="156" w:beforeLines="50" w:after="156" w:afterLines="50" w:line="360" w:lineRule="auto"/>
        <w:jc w:val="center"/>
        <w:rPr>
          <w:rFonts w:ascii="宋体" w:hAnsi="宋体"/>
          <w:bCs w:val="0"/>
          <w:sz w:val="36"/>
          <w:szCs w:val="36"/>
          <w:highlight w:val="none"/>
        </w:rPr>
      </w:pPr>
      <w:bookmarkStart w:id="11" w:name="_Toc7831"/>
      <w:r>
        <w:rPr>
          <w:rFonts w:hint="eastAsia" w:ascii="宋体" w:hAnsi="宋体"/>
          <w:bCs w:val="0"/>
          <w:sz w:val="36"/>
          <w:szCs w:val="36"/>
          <w:highlight w:val="none"/>
        </w:rPr>
        <w:t>第一章</w:t>
      </w:r>
      <w:r>
        <w:rPr>
          <w:rFonts w:ascii="宋体" w:hAnsi="宋体"/>
          <w:bCs w:val="0"/>
          <w:sz w:val="36"/>
          <w:szCs w:val="36"/>
          <w:highlight w:val="none"/>
        </w:rPr>
        <w:t xml:space="preserve"> </w:t>
      </w:r>
      <w:r>
        <w:rPr>
          <w:rFonts w:hint="eastAsia" w:ascii="宋体" w:hAnsi="宋体"/>
          <w:bCs w:val="0"/>
          <w:sz w:val="36"/>
          <w:szCs w:val="36"/>
          <w:highlight w:val="none"/>
        </w:rPr>
        <w:t>总则</w:t>
      </w:r>
      <w:bookmarkEnd w:id="9"/>
      <w:bookmarkEnd w:id="10"/>
      <w:bookmarkEnd w:id="11"/>
    </w:p>
    <w:p>
      <w:pPr>
        <w:pStyle w:val="4"/>
        <w:numPr>
          <w:ilvl w:val="0"/>
          <w:numId w:val="0"/>
        </w:numPr>
        <w:spacing w:before="120" w:after="120" w:line="360" w:lineRule="auto"/>
        <w:ind w:left="0" w:leftChars="0" w:firstLine="0" w:firstLineChars="0"/>
        <w:contextualSpacing/>
        <w:rPr>
          <w:rFonts w:ascii="宋体" w:hAnsi="宋体"/>
          <w:sz w:val="21"/>
          <w:szCs w:val="21"/>
          <w:highlight w:val="none"/>
        </w:rPr>
      </w:pPr>
      <w:bookmarkStart w:id="12" w:name="_Toc462255816"/>
      <w:bookmarkStart w:id="13" w:name="_Toc23148"/>
      <w:bookmarkStart w:id="14" w:name="_Toc14020"/>
      <w:r>
        <w:rPr>
          <w:rFonts w:ascii="宋体" w:hAnsi="宋体" w:eastAsia="宋体" w:cs="黑体"/>
          <w:b/>
          <w:bCs/>
          <w:kern w:val="2"/>
          <w:sz w:val="32"/>
          <w:szCs w:val="21"/>
          <w:highlight w:val="none"/>
          <w:lang w:val="en-US" w:eastAsia="zh-CN" w:bidi="ar-SA"/>
          <w14:ligatures w14:val="standardContextual"/>
        </w:rPr>
        <w:t>一、</w:t>
      </w:r>
      <w:r>
        <w:rPr>
          <w:rFonts w:hint="eastAsia" w:ascii="宋体" w:hAnsi="宋体"/>
          <w:szCs w:val="21"/>
          <w:highlight w:val="none"/>
        </w:rPr>
        <w:t>项目提出背景</w:t>
      </w:r>
      <w:bookmarkEnd w:id="12"/>
      <w:bookmarkEnd w:id="13"/>
      <w:bookmarkEnd w:id="14"/>
    </w:p>
    <w:p>
      <w:pPr>
        <w:pStyle w:val="5"/>
        <w:numPr>
          <w:ilvl w:val="0"/>
          <w:numId w:val="0"/>
        </w:numPr>
        <w:spacing w:before="156" w:after="156"/>
        <w:ind w:left="0" w:leftChars="0" w:firstLine="283" w:firstLineChars="135"/>
        <w:rPr>
          <w:sz w:val="21"/>
          <w:highlight w:val="none"/>
        </w:rPr>
      </w:pPr>
      <w:bookmarkStart w:id="15" w:name="_Toc462255817"/>
      <w:bookmarkStart w:id="16" w:name="_Toc23233"/>
      <w:bookmarkStart w:id="17" w:name="_Toc30657"/>
      <w:r>
        <w:rPr>
          <w:rFonts w:ascii="Times New Roman" w:hAnsi="Times New Roman" w:eastAsia="宋体" w:cs="Times New Roman"/>
          <w:b w:val="0"/>
          <w:bCs w:val="0"/>
          <w:i w:val="0"/>
          <w:iCs w:val="0"/>
          <w:caps w:val="0"/>
          <w:smallCaps w:val="0"/>
          <w:strike w:val="0"/>
          <w:dstrike w:val="0"/>
          <w:color w:val="000000"/>
          <w:spacing w:val="0"/>
          <w:kern w:val="2"/>
          <w:position w:val="0"/>
          <w:sz w:val="21"/>
          <w:szCs w:val="21"/>
          <w:highlight w:val="none"/>
          <w:u w:val="none"/>
          <w:lang w:val="en-US" w:eastAsia="zh-CN" w:bidi="ar-SA"/>
          <w14:ligatures w14:val="standardContextual"/>
        </w:rPr>
        <w:t>(一)</w:t>
      </w:r>
      <w:r>
        <w:rPr>
          <w:rFonts w:hint="eastAsia"/>
          <w:highlight w:val="none"/>
        </w:rPr>
        <w:t>项目建设背景</w:t>
      </w:r>
      <w:bookmarkEnd w:id="15"/>
      <w:bookmarkEnd w:id="16"/>
      <w:bookmarkEnd w:id="17"/>
    </w:p>
    <w:p>
      <w:pPr>
        <w:ind w:firstLine="480" w:firstLineChars="200"/>
        <w:contextualSpacing/>
        <w:rPr>
          <w:rFonts w:ascii="宋体" w:hAnsi="宋体" w:cs="宋体"/>
          <w:kern w:val="28"/>
          <w:sz w:val="24"/>
          <w:szCs w:val="21"/>
          <w:highlight w:val="none"/>
        </w:rPr>
      </w:pPr>
      <w:r>
        <w:rPr>
          <w:rFonts w:hint="eastAsia" w:ascii="宋体" w:hAnsi="宋体" w:cs="宋体"/>
          <w:kern w:val="28"/>
          <w:sz w:val="24"/>
          <w:szCs w:val="21"/>
          <w:highlight w:val="none"/>
        </w:rPr>
        <w:t>近年来，增城区加大民生投入力度，区教育事业得到了长足发展。但是随着增城区经济社会的迅速发展，人口不断增加，教育资源缺口日益凸显，与教育资源优势区的差距仍然存在。根据我国学生义务教育及高中入学的普遍性规律来看，全区初中阶段和高中阶段的学位缺口比较明显。根据《广州教育城一期控制性详细规划》，本项目周边建有完全中学1所、小学2所、幼儿园4所，可提供中学学位约2700个、小学学位2970个、幼儿园学位1530个。项目选址地处广州市教育城腹地，随着13所市属职业院校（含技校）的入住，富士康科技小镇的发展，学位需求快速增加，学位问题凸显严重。</w:t>
      </w:r>
    </w:p>
    <w:p>
      <w:pPr>
        <w:ind w:firstLine="480" w:firstLineChars="200"/>
        <w:contextualSpacing/>
        <w:rPr>
          <w:rFonts w:ascii="宋体" w:hAnsi="宋体" w:cs="宋体"/>
          <w:kern w:val="28"/>
          <w:sz w:val="24"/>
          <w:szCs w:val="21"/>
          <w:highlight w:val="none"/>
        </w:rPr>
      </w:pPr>
      <w:r>
        <w:rPr>
          <w:rFonts w:hint="eastAsia" w:ascii="宋体" w:hAnsi="宋体" w:cs="宋体"/>
          <w:kern w:val="28"/>
          <w:sz w:val="24"/>
          <w:szCs w:val="21"/>
          <w:highlight w:val="none"/>
        </w:rPr>
        <w:t>为使广州外国语学校（增城校区）工程顺利开展，特此进行设计任务书编制。</w:t>
      </w:r>
    </w:p>
    <w:p>
      <w:pPr>
        <w:pStyle w:val="5"/>
        <w:numPr>
          <w:ilvl w:val="0"/>
          <w:numId w:val="0"/>
        </w:numPr>
        <w:spacing w:before="156" w:after="156"/>
        <w:ind w:left="0" w:leftChars="0" w:firstLine="282" w:firstLineChars="101"/>
        <w:rPr>
          <w:highlight w:val="none"/>
        </w:rPr>
      </w:pPr>
      <w:bookmarkStart w:id="18" w:name="_Toc3286"/>
      <w:bookmarkStart w:id="19" w:name="_Toc462255818"/>
      <w:bookmarkStart w:id="20" w:name="_Toc12274"/>
      <w:r>
        <w:rPr>
          <w:rFonts w:ascii="Times New Roman" w:hAnsi="Times New Roman" w:eastAsia="宋体" w:cs="Times New Roman"/>
          <w:b w:val="0"/>
          <w:bCs w:val="0"/>
          <w:i w:val="0"/>
          <w:iCs w:val="0"/>
          <w:caps w:val="0"/>
          <w:smallCaps w:val="0"/>
          <w:strike w:val="0"/>
          <w:dstrike w:val="0"/>
          <w:color w:val="000000"/>
          <w:spacing w:val="0"/>
          <w:kern w:val="2"/>
          <w:position w:val="0"/>
          <w:sz w:val="28"/>
          <w:szCs w:val="21"/>
          <w:highlight w:val="none"/>
          <w:u w:val="none"/>
          <w:lang w:val="en-US" w:eastAsia="zh-CN" w:bidi="ar-SA"/>
          <w14:ligatures w14:val="standardContextual"/>
        </w:rPr>
        <w:t>(二)</w:t>
      </w:r>
      <w:r>
        <w:rPr>
          <w:rFonts w:hint="eastAsia"/>
          <w:highlight w:val="none"/>
        </w:rPr>
        <w:t>项目选址</w:t>
      </w:r>
      <w:bookmarkEnd w:id="18"/>
      <w:bookmarkEnd w:id="19"/>
      <w:bookmarkEnd w:id="20"/>
    </w:p>
    <w:p>
      <w:pPr>
        <w:ind w:firstLine="480" w:firstLineChars="200"/>
        <w:contextualSpacing/>
        <w:rPr>
          <w:rFonts w:ascii="宋体" w:hAnsi="宋体" w:cs="宋体"/>
          <w:kern w:val="28"/>
          <w:sz w:val="24"/>
          <w:szCs w:val="21"/>
          <w:highlight w:val="none"/>
        </w:rPr>
      </w:pPr>
      <w:r>
        <w:rPr>
          <w:rFonts w:hint="eastAsia" w:ascii="宋体" w:hAnsi="宋体"/>
          <w:sz w:val="24"/>
          <w:highlight w:val="none"/>
        </w:rPr>
        <w:t>项目位于增城区朱村街广州科教城中轴线东侧，市医药职业学校以西，叠翠湖公园以南，富士康科技小镇（一期）以北。</w:t>
      </w:r>
    </w:p>
    <w:p>
      <w:pPr>
        <w:pStyle w:val="4"/>
        <w:numPr>
          <w:ilvl w:val="0"/>
          <w:numId w:val="0"/>
        </w:numPr>
        <w:spacing w:before="120" w:after="120" w:line="360" w:lineRule="auto"/>
        <w:ind w:left="0" w:leftChars="0" w:firstLine="0" w:firstLineChars="0"/>
        <w:contextualSpacing/>
        <w:rPr>
          <w:rFonts w:ascii="宋体" w:hAnsi="宋体"/>
          <w:szCs w:val="21"/>
          <w:highlight w:val="none"/>
        </w:rPr>
      </w:pPr>
      <w:bookmarkStart w:id="21" w:name="_Toc462255819"/>
      <w:bookmarkStart w:id="22" w:name="_Toc22286"/>
      <w:bookmarkStart w:id="23" w:name="_Toc3794"/>
      <w:r>
        <w:rPr>
          <w:rFonts w:hint="eastAsia" w:ascii="宋体" w:hAnsi="宋体" w:eastAsia="宋体" w:cs="黑体"/>
          <w:b/>
          <w:bCs/>
          <w:kern w:val="2"/>
          <w:sz w:val="32"/>
          <w:szCs w:val="21"/>
          <w:highlight w:val="none"/>
          <w:lang w:val="en-US" w:eastAsia="zh-CN" w:bidi="ar-SA"/>
          <w14:ligatures w14:val="standardContextual"/>
        </w:rPr>
        <w:t>二、</w:t>
      </w:r>
      <w:r>
        <w:rPr>
          <w:rFonts w:hint="eastAsia" w:ascii="宋体" w:hAnsi="宋体"/>
          <w:szCs w:val="21"/>
          <w:highlight w:val="none"/>
        </w:rPr>
        <w:t>设计任务书编制依据</w:t>
      </w:r>
      <w:bookmarkEnd w:id="21"/>
      <w:bookmarkEnd w:id="22"/>
      <w:bookmarkEnd w:id="23"/>
    </w:p>
    <w:p>
      <w:pPr>
        <w:pStyle w:val="5"/>
        <w:numPr>
          <w:ilvl w:val="0"/>
          <w:numId w:val="0"/>
        </w:numPr>
        <w:spacing w:before="156" w:after="156"/>
        <w:ind w:left="0" w:leftChars="0" w:firstLine="420" w:firstLineChars="0"/>
        <w:rPr>
          <w:highlight w:val="none"/>
        </w:rPr>
      </w:pPr>
      <w:bookmarkStart w:id="24" w:name="_Toc462255820"/>
      <w:bookmarkStart w:id="25" w:name="_Toc10734"/>
      <w:bookmarkStart w:id="26" w:name="_Toc12552"/>
      <w:r>
        <w:rPr>
          <w:rFonts w:ascii="Times New Roman" w:hAnsi="Times New Roman" w:eastAsia="宋体" w:cs="Times New Roman"/>
          <w:b w:val="0"/>
          <w:bCs w:val="0"/>
          <w:i w:val="0"/>
          <w:iCs w:val="0"/>
          <w:caps w:val="0"/>
          <w:smallCaps w:val="0"/>
          <w:strike w:val="0"/>
          <w:dstrike w:val="0"/>
          <w:color w:val="000000"/>
          <w:spacing w:val="0"/>
          <w:kern w:val="2"/>
          <w:position w:val="0"/>
          <w:sz w:val="28"/>
          <w:szCs w:val="21"/>
          <w:highlight w:val="none"/>
          <w:u w:val="none"/>
          <w:lang w:val="en-US" w:eastAsia="zh-CN" w:bidi="ar-SA"/>
          <w14:ligatures w14:val="standardContextual"/>
        </w:rPr>
        <w:t>(一)</w:t>
      </w:r>
      <w:r>
        <w:rPr>
          <w:rFonts w:hint="eastAsia"/>
          <w:highlight w:val="none"/>
        </w:rPr>
        <w:t>法律法规</w:t>
      </w:r>
      <w:bookmarkEnd w:id="24"/>
      <w:bookmarkEnd w:id="25"/>
      <w:bookmarkEnd w:id="26"/>
    </w:p>
    <w:p>
      <w:pPr>
        <w:pStyle w:val="50"/>
        <w:numPr>
          <w:ilvl w:val="0"/>
          <w:numId w:val="0"/>
        </w:numPr>
        <w:ind w:left="0" w:leftChars="0" w:firstLine="472" w:firstLineChars="236"/>
        <w:contextualSpacing/>
        <w:rPr>
          <w:rFonts w:ascii="宋体" w:hAnsi="宋体" w:eastAsia="宋体"/>
          <w:sz w:val="24"/>
          <w:szCs w:val="21"/>
          <w:highlight w:val="none"/>
        </w:rPr>
      </w:pPr>
      <w:r>
        <w:rPr>
          <w:rFonts w:hint="eastAsia" w:ascii="宋体" w:hAnsi="宋体" w:eastAsia="宋体" w:cs="Times New Roman"/>
          <w:spacing w:val="-20"/>
          <w:kern w:val="2"/>
          <w:sz w:val="24"/>
          <w:szCs w:val="21"/>
          <w:highlight w:val="none"/>
          <w:lang w:val="en-US" w:eastAsia="zh-CN" w:bidi="ar-SA"/>
          <w14:ligatures w14:val="standardContextual"/>
        </w:rPr>
        <w:t>1.</w:t>
      </w:r>
      <w:r>
        <w:rPr>
          <w:rFonts w:hint="eastAsia" w:ascii="宋体" w:hAnsi="宋体" w:eastAsia="宋体"/>
          <w:sz w:val="24"/>
          <w:szCs w:val="21"/>
          <w:highlight w:val="none"/>
        </w:rPr>
        <w:t>《中华人民共和国建筑法》（</w:t>
      </w:r>
      <w:r>
        <w:rPr>
          <w:rFonts w:ascii="宋体" w:hAnsi="宋体" w:eastAsia="宋体"/>
          <w:sz w:val="24"/>
          <w:szCs w:val="21"/>
          <w:highlight w:val="none"/>
        </w:rPr>
        <w:t>2011年7月1日起</w:t>
      </w:r>
      <w:r>
        <w:rPr>
          <w:rFonts w:hint="eastAsia" w:ascii="宋体" w:hAnsi="宋体" w:eastAsia="宋体"/>
          <w:sz w:val="24"/>
          <w:szCs w:val="21"/>
          <w:highlight w:val="none"/>
        </w:rPr>
        <w:t>施行）</w:t>
      </w:r>
    </w:p>
    <w:p>
      <w:pPr>
        <w:pStyle w:val="50"/>
        <w:numPr>
          <w:ilvl w:val="0"/>
          <w:numId w:val="0"/>
        </w:numPr>
        <w:ind w:left="0" w:leftChars="0" w:firstLine="472" w:firstLineChars="236"/>
        <w:contextualSpacing/>
        <w:rPr>
          <w:rFonts w:ascii="宋体" w:hAnsi="宋体" w:eastAsia="宋体"/>
          <w:sz w:val="24"/>
          <w:szCs w:val="21"/>
          <w:highlight w:val="none"/>
        </w:rPr>
      </w:pPr>
      <w:r>
        <w:rPr>
          <w:rFonts w:hint="eastAsia" w:ascii="宋体" w:hAnsi="宋体" w:eastAsia="宋体" w:cs="Times New Roman"/>
          <w:spacing w:val="-20"/>
          <w:kern w:val="2"/>
          <w:sz w:val="24"/>
          <w:szCs w:val="21"/>
          <w:highlight w:val="none"/>
          <w:lang w:val="en-US" w:eastAsia="zh-CN" w:bidi="ar-SA"/>
          <w14:ligatures w14:val="standardContextual"/>
        </w:rPr>
        <w:t>2.</w:t>
      </w:r>
      <w:r>
        <w:rPr>
          <w:rFonts w:hint="eastAsia" w:ascii="宋体" w:hAnsi="宋体" w:eastAsia="宋体"/>
          <w:sz w:val="24"/>
          <w:szCs w:val="21"/>
          <w:highlight w:val="none"/>
        </w:rPr>
        <w:t>《中华人民共和国城乡规划法》（</w:t>
      </w:r>
      <w:r>
        <w:rPr>
          <w:rFonts w:ascii="宋体" w:hAnsi="宋体" w:eastAsia="宋体"/>
          <w:sz w:val="24"/>
          <w:szCs w:val="21"/>
          <w:highlight w:val="none"/>
        </w:rPr>
        <w:t>2008年1月1日起</w:t>
      </w:r>
      <w:r>
        <w:rPr>
          <w:rFonts w:hint="eastAsia" w:ascii="宋体" w:hAnsi="宋体" w:eastAsia="宋体"/>
          <w:sz w:val="24"/>
          <w:szCs w:val="21"/>
          <w:highlight w:val="none"/>
        </w:rPr>
        <w:t>施行）</w:t>
      </w:r>
    </w:p>
    <w:p>
      <w:pPr>
        <w:pStyle w:val="50"/>
        <w:numPr>
          <w:ilvl w:val="0"/>
          <w:numId w:val="0"/>
        </w:numPr>
        <w:ind w:left="0" w:leftChars="0" w:firstLine="472" w:firstLineChars="236"/>
        <w:contextualSpacing/>
        <w:rPr>
          <w:rFonts w:ascii="宋体" w:hAnsi="宋体" w:eastAsia="宋体"/>
          <w:sz w:val="24"/>
          <w:szCs w:val="21"/>
          <w:highlight w:val="none"/>
        </w:rPr>
      </w:pPr>
      <w:r>
        <w:rPr>
          <w:rFonts w:hint="eastAsia" w:ascii="宋体" w:hAnsi="宋体" w:eastAsia="宋体" w:cs="Times New Roman"/>
          <w:spacing w:val="-20"/>
          <w:kern w:val="2"/>
          <w:sz w:val="24"/>
          <w:szCs w:val="21"/>
          <w:highlight w:val="none"/>
          <w:lang w:val="en-US" w:eastAsia="zh-CN" w:bidi="ar-SA"/>
          <w14:ligatures w14:val="standardContextual"/>
        </w:rPr>
        <w:t>3.</w:t>
      </w:r>
      <w:r>
        <w:rPr>
          <w:rFonts w:hint="eastAsia" w:ascii="宋体" w:hAnsi="宋体" w:eastAsia="宋体"/>
          <w:sz w:val="24"/>
          <w:szCs w:val="21"/>
          <w:highlight w:val="none"/>
        </w:rPr>
        <w:t>《中华人民共和国环境保护法》（</w:t>
      </w:r>
      <w:r>
        <w:rPr>
          <w:rFonts w:ascii="宋体" w:hAnsi="宋体" w:eastAsia="宋体"/>
          <w:sz w:val="24"/>
          <w:szCs w:val="21"/>
          <w:highlight w:val="none"/>
        </w:rPr>
        <w:t>2015年1月1日起</w:t>
      </w:r>
      <w:r>
        <w:rPr>
          <w:rFonts w:hint="eastAsia" w:ascii="宋体" w:hAnsi="宋体" w:eastAsia="宋体"/>
          <w:sz w:val="24"/>
          <w:szCs w:val="21"/>
          <w:highlight w:val="none"/>
        </w:rPr>
        <w:t>施行）</w:t>
      </w:r>
    </w:p>
    <w:p>
      <w:pPr>
        <w:pStyle w:val="50"/>
        <w:numPr>
          <w:ilvl w:val="0"/>
          <w:numId w:val="0"/>
        </w:numPr>
        <w:ind w:left="0" w:leftChars="0" w:firstLine="472" w:firstLineChars="236"/>
        <w:contextualSpacing/>
        <w:rPr>
          <w:rFonts w:ascii="宋体" w:hAnsi="宋体" w:eastAsia="宋体"/>
          <w:sz w:val="24"/>
          <w:szCs w:val="21"/>
          <w:highlight w:val="none"/>
        </w:rPr>
      </w:pPr>
      <w:r>
        <w:rPr>
          <w:rFonts w:hint="eastAsia" w:ascii="宋体" w:hAnsi="宋体" w:eastAsia="宋体" w:cs="Times New Roman"/>
          <w:spacing w:val="-20"/>
          <w:kern w:val="2"/>
          <w:sz w:val="24"/>
          <w:szCs w:val="21"/>
          <w:highlight w:val="none"/>
          <w:lang w:val="en-US" w:eastAsia="zh-CN" w:bidi="ar-SA"/>
          <w14:ligatures w14:val="standardContextual"/>
        </w:rPr>
        <w:t>4.</w:t>
      </w:r>
      <w:r>
        <w:rPr>
          <w:rFonts w:ascii="宋体" w:hAnsi="宋体" w:eastAsia="宋体"/>
          <w:sz w:val="24"/>
          <w:szCs w:val="21"/>
          <w:highlight w:val="none"/>
        </w:rPr>
        <w:t>中华人民共和国消防法(2019修正)</w:t>
      </w:r>
      <w:r>
        <w:rPr>
          <w:rFonts w:hint="eastAsia" w:ascii="宋体" w:hAnsi="宋体" w:eastAsia="宋体"/>
          <w:sz w:val="24"/>
          <w:szCs w:val="21"/>
          <w:highlight w:val="none"/>
        </w:rPr>
        <w:t>（</w:t>
      </w:r>
      <w:r>
        <w:rPr>
          <w:rFonts w:ascii="宋体" w:hAnsi="宋体" w:eastAsia="宋体"/>
          <w:sz w:val="24"/>
          <w:szCs w:val="21"/>
          <w:highlight w:val="none"/>
        </w:rPr>
        <w:t>20</w:t>
      </w:r>
      <w:r>
        <w:rPr>
          <w:rFonts w:hint="eastAsia" w:ascii="宋体" w:hAnsi="宋体" w:eastAsia="宋体"/>
          <w:sz w:val="24"/>
          <w:szCs w:val="21"/>
          <w:highlight w:val="none"/>
        </w:rPr>
        <w:t>1</w:t>
      </w:r>
      <w:r>
        <w:rPr>
          <w:rFonts w:ascii="宋体" w:hAnsi="宋体" w:eastAsia="宋体"/>
          <w:sz w:val="24"/>
          <w:szCs w:val="21"/>
          <w:highlight w:val="none"/>
        </w:rPr>
        <w:t>9年</w:t>
      </w:r>
      <w:r>
        <w:rPr>
          <w:rFonts w:hint="eastAsia" w:ascii="宋体" w:hAnsi="宋体" w:eastAsia="宋体"/>
          <w:sz w:val="24"/>
          <w:szCs w:val="21"/>
          <w:highlight w:val="none"/>
        </w:rPr>
        <w:t>4</w:t>
      </w:r>
      <w:r>
        <w:rPr>
          <w:rFonts w:ascii="宋体" w:hAnsi="宋体" w:eastAsia="宋体"/>
          <w:sz w:val="24"/>
          <w:szCs w:val="21"/>
          <w:highlight w:val="none"/>
        </w:rPr>
        <w:t>月</w:t>
      </w:r>
      <w:r>
        <w:rPr>
          <w:rFonts w:hint="eastAsia" w:ascii="宋体" w:hAnsi="宋体" w:eastAsia="宋体"/>
          <w:sz w:val="24"/>
          <w:szCs w:val="21"/>
          <w:highlight w:val="none"/>
        </w:rPr>
        <w:t>23</w:t>
      </w:r>
      <w:r>
        <w:rPr>
          <w:rFonts w:ascii="宋体" w:hAnsi="宋体" w:eastAsia="宋体"/>
          <w:sz w:val="24"/>
          <w:szCs w:val="21"/>
          <w:highlight w:val="none"/>
        </w:rPr>
        <w:t>日起</w:t>
      </w:r>
      <w:r>
        <w:rPr>
          <w:rFonts w:hint="eastAsia" w:ascii="宋体" w:hAnsi="宋体" w:eastAsia="宋体"/>
          <w:sz w:val="24"/>
          <w:szCs w:val="21"/>
          <w:highlight w:val="none"/>
        </w:rPr>
        <w:t>施行）</w:t>
      </w:r>
    </w:p>
    <w:p>
      <w:pPr>
        <w:pStyle w:val="50"/>
        <w:numPr>
          <w:ilvl w:val="0"/>
          <w:numId w:val="0"/>
        </w:numPr>
        <w:ind w:left="0" w:leftChars="0" w:firstLine="472" w:firstLineChars="236"/>
        <w:contextualSpacing/>
        <w:rPr>
          <w:rFonts w:ascii="宋体" w:hAnsi="宋体" w:eastAsia="宋体"/>
          <w:sz w:val="24"/>
          <w:szCs w:val="21"/>
          <w:highlight w:val="none"/>
        </w:rPr>
      </w:pPr>
      <w:r>
        <w:rPr>
          <w:rFonts w:hint="eastAsia" w:ascii="宋体" w:hAnsi="宋体" w:eastAsia="宋体" w:cs="Times New Roman"/>
          <w:spacing w:val="-20"/>
          <w:kern w:val="2"/>
          <w:sz w:val="24"/>
          <w:szCs w:val="21"/>
          <w:highlight w:val="none"/>
          <w:lang w:val="en-US" w:eastAsia="zh-CN" w:bidi="ar-SA"/>
          <w14:ligatures w14:val="standardContextual"/>
        </w:rPr>
        <w:t>5.</w:t>
      </w:r>
      <w:r>
        <w:rPr>
          <w:rFonts w:hint="eastAsia" w:ascii="宋体" w:hAnsi="宋体" w:eastAsia="宋体"/>
          <w:sz w:val="24"/>
          <w:szCs w:val="21"/>
          <w:highlight w:val="none"/>
        </w:rPr>
        <w:t>《建筑工程质量管理条例》（</w:t>
      </w:r>
      <w:r>
        <w:rPr>
          <w:rFonts w:ascii="宋体" w:hAnsi="宋体" w:eastAsia="宋体"/>
          <w:sz w:val="24"/>
          <w:szCs w:val="21"/>
          <w:highlight w:val="none"/>
        </w:rPr>
        <w:t>2003年7月1日起</w:t>
      </w:r>
      <w:r>
        <w:rPr>
          <w:rFonts w:hint="eastAsia" w:ascii="宋体" w:hAnsi="宋体" w:eastAsia="宋体"/>
          <w:sz w:val="24"/>
          <w:szCs w:val="21"/>
          <w:highlight w:val="none"/>
        </w:rPr>
        <w:t>施行）</w:t>
      </w:r>
    </w:p>
    <w:p>
      <w:pPr>
        <w:pStyle w:val="50"/>
        <w:numPr>
          <w:ilvl w:val="0"/>
          <w:numId w:val="0"/>
        </w:numPr>
        <w:ind w:left="0" w:leftChars="0" w:firstLine="472" w:firstLineChars="236"/>
        <w:contextualSpacing/>
        <w:rPr>
          <w:rFonts w:ascii="宋体" w:hAnsi="宋体" w:eastAsia="宋体"/>
          <w:sz w:val="24"/>
          <w:szCs w:val="21"/>
          <w:highlight w:val="none"/>
        </w:rPr>
      </w:pPr>
      <w:r>
        <w:rPr>
          <w:rFonts w:hint="eastAsia" w:ascii="宋体" w:hAnsi="宋体" w:eastAsia="宋体" w:cs="Times New Roman"/>
          <w:spacing w:val="-20"/>
          <w:kern w:val="2"/>
          <w:sz w:val="24"/>
          <w:szCs w:val="21"/>
          <w:highlight w:val="none"/>
          <w:lang w:val="en-US" w:eastAsia="zh-CN" w:bidi="ar-SA"/>
          <w14:ligatures w14:val="standardContextual"/>
        </w:rPr>
        <w:t>6.</w:t>
      </w:r>
      <w:r>
        <w:rPr>
          <w:rFonts w:hint="eastAsia" w:ascii="宋体" w:hAnsi="宋体" w:eastAsia="宋体"/>
          <w:sz w:val="24"/>
          <w:szCs w:val="21"/>
          <w:highlight w:val="none"/>
        </w:rPr>
        <w:t>建设部《实施工程建设强制性标准监督规定》（</w:t>
      </w:r>
      <w:r>
        <w:rPr>
          <w:rFonts w:ascii="宋体" w:hAnsi="宋体" w:eastAsia="宋体"/>
          <w:sz w:val="24"/>
          <w:szCs w:val="21"/>
          <w:highlight w:val="none"/>
        </w:rPr>
        <w:t>2000年8月25日起</w:t>
      </w:r>
      <w:r>
        <w:rPr>
          <w:rFonts w:hint="eastAsia" w:ascii="宋体" w:hAnsi="宋体" w:eastAsia="宋体"/>
          <w:sz w:val="24"/>
          <w:szCs w:val="21"/>
          <w:highlight w:val="none"/>
        </w:rPr>
        <w:t>施行）</w:t>
      </w:r>
    </w:p>
    <w:p>
      <w:pPr>
        <w:pStyle w:val="50"/>
        <w:numPr>
          <w:ilvl w:val="0"/>
          <w:numId w:val="0"/>
        </w:numPr>
        <w:ind w:left="0" w:leftChars="0" w:firstLine="472" w:firstLineChars="236"/>
        <w:contextualSpacing/>
        <w:rPr>
          <w:rFonts w:ascii="宋体" w:hAnsi="宋体" w:eastAsia="宋体"/>
          <w:sz w:val="24"/>
          <w:szCs w:val="21"/>
          <w:highlight w:val="none"/>
        </w:rPr>
      </w:pPr>
      <w:r>
        <w:rPr>
          <w:rFonts w:hint="eastAsia" w:ascii="宋体" w:hAnsi="宋体" w:eastAsia="宋体" w:cs="Times New Roman"/>
          <w:spacing w:val="-20"/>
          <w:kern w:val="2"/>
          <w:sz w:val="24"/>
          <w:szCs w:val="21"/>
          <w:highlight w:val="none"/>
          <w:lang w:val="en-US" w:eastAsia="zh-CN" w:bidi="ar-SA"/>
          <w14:ligatures w14:val="standardContextual"/>
        </w:rPr>
        <w:t>7.</w:t>
      </w:r>
      <w:r>
        <w:rPr>
          <w:rFonts w:hint="eastAsia" w:ascii="宋体" w:hAnsi="宋体" w:eastAsia="宋体"/>
          <w:sz w:val="24"/>
          <w:szCs w:val="21"/>
          <w:highlight w:val="none"/>
        </w:rPr>
        <w:t>其它相关的法律、法规等。</w:t>
      </w:r>
    </w:p>
    <w:p>
      <w:pPr>
        <w:pStyle w:val="5"/>
        <w:numPr>
          <w:ilvl w:val="0"/>
          <w:numId w:val="0"/>
        </w:numPr>
        <w:spacing w:before="156" w:after="156"/>
        <w:ind w:left="0" w:leftChars="0" w:firstLine="426" w:firstLineChars="0"/>
        <w:rPr>
          <w:highlight w:val="none"/>
        </w:rPr>
      </w:pPr>
      <w:bookmarkStart w:id="27" w:name="_Toc25572"/>
      <w:bookmarkStart w:id="28" w:name="_Toc440300684"/>
      <w:bookmarkStart w:id="29" w:name="_Toc462255821"/>
      <w:bookmarkStart w:id="30" w:name="_Toc20053"/>
      <w:r>
        <w:rPr>
          <w:rFonts w:hint="eastAsia" w:ascii="宋体" w:hAnsi="宋体" w:eastAsia="宋体" w:cs="Times New Roman"/>
          <w:bCs/>
          <w:kern w:val="2"/>
          <w:sz w:val="28"/>
          <w:szCs w:val="21"/>
          <w:highlight w:val="none"/>
          <w:lang w:val="en-US" w:eastAsia="zh-CN" w:bidi="ar-SA"/>
          <w14:ligatures w14:val="standardContextual"/>
        </w:rPr>
        <w:t>(二)</w:t>
      </w:r>
      <w:r>
        <w:rPr>
          <w:rFonts w:hint="eastAsia"/>
          <w:highlight w:val="none"/>
        </w:rPr>
        <w:t>技术标准与规范</w:t>
      </w:r>
      <w:bookmarkEnd w:id="27"/>
      <w:bookmarkEnd w:id="28"/>
      <w:bookmarkEnd w:id="29"/>
      <w:bookmarkEnd w:id="30"/>
    </w:p>
    <w:p>
      <w:pPr>
        <w:pStyle w:val="50"/>
        <w:ind w:left="567" w:firstLine="0"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（见附件1）</w:t>
      </w:r>
    </w:p>
    <w:p>
      <w:pPr>
        <w:pStyle w:val="5"/>
        <w:numPr>
          <w:ilvl w:val="0"/>
          <w:numId w:val="0"/>
        </w:numPr>
        <w:spacing w:before="156" w:after="156"/>
        <w:ind w:left="0" w:leftChars="0" w:firstLine="425" w:firstLineChars="152"/>
        <w:rPr>
          <w:highlight w:val="none"/>
        </w:rPr>
      </w:pPr>
      <w:bookmarkStart w:id="31" w:name="_Toc462255822"/>
      <w:bookmarkStart w:id="32" w:name="_Toc2219"/>
      <w:bookmarkStart w:id="33" w:name="_Toc26960"/>
      <w:r>
        <w:rPr>
          <w:rFonts w:hint="eastAsia" w:ascii="宋体" w:hAnsi="宋体" w:eastAsia="宋体" w:cs="Times New Roman"/>
          <w:bCs/>
          <w:kern w:val="2"/>
          <w:sz w:val="28"/>
          <w:szCs w:val="21"/>
          <w:highlight w:val="none"/>
          <w:lang w:val="en-US" w:eastAsia="zh-CN" w:bidi="ar-SA"/>
          <w14:ligatures w14:val="standardContextual"/>
        </w:rPr>
        <w:t>(三)</w:t>
      </w:r>
      <w:r>
        <w:rPr>
          <w:rFonts w:hint="eastAsia"/>
          <w:highlight w:val="none"/>
        </w:rPr>
        <w:t>相关文件</w:t>
      </w:r>
      <w:bookmarkEnd w:id="31"/>
      <w:bookmarkEnd w:id="32"/>
      <w:bookmarkEnd w:id="33"/>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1.《中华人民共和国义务教育法》；</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2.《广州市国民经济和社会发展第十四个五年规划和2035年远景目标纲要》；</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3.《广州市教育事业发展“十四五”规划》；</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4.《广州市增城区人民政府关于印发广州市增城区国民经济和社会发展第十四个五年规划和2035年远景目标纲要的通知》；</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5.《关于广州科技教育城融资方案及工作计划的请示》；</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 xml:space="preserve">6.《城市普通中小学校校舍建设标准》（建标〔2002〕102 号）； </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 xml:space="preserve">7.教育部关于进一步加强中小学校校舍建设与管理工作的通知（教发〔2006〕21号）； </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 xml:space="preserve">8.《广东省义务教育阶段学校办学基本标准（试行）》（2008）； </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 xml:space="preserve">9.《关于印发《广东省义务教育标准化学校标准》的通知》（粤教基〔2013〕17 号）； </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10.《广州市建设项目配建停车位指标》；</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11.《中小学校设计规范》（GB50099-2011）；</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12.《广州市普通中小学校建设标准指引》（2021年12月）；</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 xml:space="preserve">13.《广东省中小学校体育卫生工作条件基本标准》（粤教体〔2009〕83号）；《广州市示范性普通高中学校认定办法和指标体系》； </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14.《广州市人民防空管理规定》（2013年版）；</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15.《广州市增城区中小学校装修设计指引》</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16.《广州市居住区配套幼儿园、中小学装修标准》</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17.项目建设单位提供的其他资料。</w:t>
      </w:r>
    </w:p>
    <w:p>
      <w:pPr>
        <w:pStyle w:val="5"/>
        <w:numPr>
          <w:ilvl w:val="0"/>
          <w:numId w:val="0"/>
        </w:numPr>
        <w:spacing w:before="156" w:after="156"/>
        <w:ind w:left="0" w:leftChars="0" w:firstLine="425" w:firstLineChars="152"/>
        <w:rPr>
          <w:highlight w:val="none"/>
        </w:rPr>
      </w:pPr>
      <w:bookmarkStart w:id="34" w:name="_Toc8973"/>
      <w:bookmarkStart w:id="35" w:name="_Toc462255823"/>
      <w:bookmarkStart w:id="36" w:name="_Toc942"/>
      <w:r>
        <w:rPr>
          <w:rFonts w:hint="eastAsia" w:ascii="宋体" w:hAnsi="宋体" w:eastAsia="宋体" w:cs="Times New Roman"/>
          <w:bCs/>
          <w:kern w:val="2"/>
          <w:sz w:val="28"/>
          <w:szCs w:val="21"/>
          <w:highlight w:val="none"/>
          <w:lang w:val="en-US" w:eastAsia="zh-CN" w:bidi="ar-SA"/>
          <w14:ligatures w14:val="standardContextual"/>
        </w:rPr>
        <w:t>(四)</w:t>
      </w:r>
      <w:r>
        <w:rPr>
          <w:rFonts w:hint="eastAsia"/>
          <w:highlight w:val="none"/>
        </w:rPr>
        <w:t>上位规划资料</w:t>
      </w:r>
      <w:bookmarkEnd w:id="34"/>
      <w:bookmarkEnd w:id="35"/>
      <w:bookmarkEnd w:id="36"/>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1.《广州教育城一期控制性详细规划》（2014版）</w:t>
      </w:r>
    </w:p>
    <w:p>
      <w:pPr>
        <w:pStyle w:val="50"/>
        <w:numPr>
          <w:ilvl w:val="0"/>
          <w:numId w:val="0"/>
        </w:numPr>
        <w:ind w:left="0" w:leftChars="0" w:firstLine="566" w:firstLineChars="236"/>
        <w:contextualSpacing/>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2.《广州科教城城市设计及控制性详细规划优化技术文件》</w:t>
      </w:r>
    </w:p>
    <w:p>
      <w:pPr>
        <w:widowControl/>
        <w:jc w:val="left"/>
        <w:rPr>
          <w:rFonts w:ascii="宋体" w:hAnsi="宋体"/>
          <w:b/>
          <w:bCs/>
          <w:kern w:val="44"/>
          <w:sz w:val="36"/>
          <w:szCs w:val="36"/>
          <w:highlight w:val="none"/>
        </w:rPr>
      </w:pPr>
      <w:r>
        <w:rPr>
          <w:rFonts w:ascii="宋体" w:hAnsi="宋体"/>
          <w:sz w:val="36"/>
          <w:szCs w:val="36"/>
          <w:highlight w:val="none"/>
        </w:rPr>
        <w:br w:type="page"/>
      </w:r>
    </w:p>
    <w:p>
      <w:pPr>
        <w:pStyle w:val="3"/>
        <w:tabs>
          <w:tab w:val="left" w:pos="3570"/>
        </w:tabs>
        <w:spacing w:before="156" w:beforeLines="50" w:after="156" w:afterLines="50" w:line="360" w:lineRule="auto"/>
        <w:jc w:val="center"/>
        <w:rPr>
          <w:rFonts w:ascii="宋体" w:hAnsi="宋体"/>
          <w:bCs w:val="0"/>
          <w:sz w:val="36"/>
          <w:szCs w:val="36"/>
          <w:highlight w:val="none"/>
        </w:rPr>
      </w:pPr>
      <w:bookmarkStart w:id="37" w:name="_Toc30643"/>
      <w:bookmarkStart w:id="38" w:name="_Toc462255824"/>
      <w:bookmarkStart w:id="39" w:name="_Toc26326"/>
      <w:r>
        <w:rPr>
          <w:rFonts w:hint="eastAsia" w:ascii="宋体" w:hAnsi="宋体"/>
          <w:bCs w:val="0"/>
          <w:sz w:val="36"/>
          <w:szCs w:val="36"/>
          <w:highlight w:val="none"/>
        </w:rPr>
        <w:t>第二章</w:t>
      </w:r>
      <w:r>
        <w:rPr>
          <w:rFonts w:ascii="宋体" w:hAnsi="宋体"/>
          <w:bCs w:val="0"/>
          <w:sz w:val="36"/>
          <w:szCs w:val="36"/>
          <w:highlight w:val="none"/>
        </w:rPr>
        <w:t xml:space="preserve"> </w:t>
      </w:r>
      <w:r>
        <w:rPr>
          <w:rFonts w:hint="eastAsia" w:ascii="宋体" w:hAnsi="宋体"/>
          <w:bCs w:val="0"/>
          <w:sz w:val="36"/>
          <w:szCs w:val="36"/>
          <w:highlight w:val="none"/>
        </w:rPr>
        <w:t>项目概况</w:t>
      </w:r>
      <w:bookmarkEnd w:id="37"/>
      <w:bookmarkEnd w:id="38"/>
      <w:bookmarkEnd w:id="39"/>
    </w:p>
    <w:p>
      <w:pPr>
        <w:pStyle w:val="4"/>
        <w:numPr>
          <w:ilvl w:val="0"/>
          <w:numId w:val="0"/>
        </w:numPr>
        <w:spacing w:before="120" w:after="120" w:line="360" w:lineRule="auto"/>
        <w:ind w:left="0" w:leftChars="0" w:firstLine="0" w:firstLineChars="0"/>
        <w:rPr>
          <w:rFonts w:ascii="宋体" w:hAnsi="宋体"/>
          <w:highlight w:val="none"/>
        </w:rPr>
      </w:pPr>
      <w:bookmarkStart w:id="40" w:name="_Toc5262"/>
      <w:bookmarkStart w:id="41" w:name="_Toc462255825"/>
      <w:bookmarkStart w:id="42" w:name="_Toc2568"/>
      <w:r>
        <w:rPr>
          <w:rFonts w:ascii="宋体" w:hAnsi="宋体" w:eastAsia="宋体" w:cs="黑体"/>
          <w:b/>
          <w:bCs/>
          <w:kern w:val="2"/>
          <w:sz w:val="32"/>
          <w:szCs w:val="32"/>
          <w:highlight w:val="none"/>
          <w:lang w:val="en-US" w:eastAsia="zh-CN" w:bidi="ar-SA"/>
          <w14:ligatures w14:val="standardContextual"/>
        </w:rPr>
        <w:t>一、</w:t>
      </w:r>
      <w:r>
        <w:rPr>
          <w:rFonts w:hint="eastAsia" w:ascii="宋体" w:hAnsi="宋体"/>
          <w:highlight w:val="none"/>
        </w:rPr>
        <w:t>项目基本信息</w:t>
      </w:r>
      <w:bookmarkEnd w:id="40"/>
      <w:bookmarkEnd w:id="41"/>
      <w:bookmarkEnd w:id="42"/>
    </w:p>
    <w:p>
      <w:pPr>
        <w:pStyle w:val="5"/>
        <w:numPr>
          <w:ilvl w:val="0"/>
          <w:numId w:val="0"/>
        </w:numPr>
        <w:spacing w:before="156" w:after="156"/>
        <w:ind w:left="0" w:leftChars="0" w:firstLine="425" w:firstLineChars="152"/>
        <w:rPr>
          <w:highlight w:val="none"/>
        </w:rPr>
      </w:pPr>
      <w:bookmarkStart w:id="43" w:name="_Toc6918"/>
      <w:bookmarkStart w:id="44" w:name="_Toc462255826"/>
      <w:bookmarkStart w:id="45" w:name="_Toc20517"/>
      <w:r>
        <w:rPr>
          <w:rFonts w:ascii="宋体" w:hAnsi="宋体" w:eastAsia="宋体" w:cs="Times New Roman"/>
          <w:bCs/>
          <w:kern w:val="2"/>
          <w:sz w:val="28"/>
          <w:szCs w:val="21"/>
          <w:highlight w:val="none"/>
          <w:lang w:val="en-US" w:eastAsia="zh-CN" w:bidi="ar-SA"/>
          <w14:ligatures w14:val="standardContextual"/>
        </w:rPr>
        <w:t>(一)</w:t>
      </w:r>
      <w:r>
        <w:rPr>
          <w:rFonts w:hint="eastAsia"/>
          <w:highlight w:val="none"/>
        </w:rPr>
        <w:t>项目名称</w:t>
      </w:r>
      <w:bookmarkEnd w:id="43"/>
      <w:bookmarkEnd w:id="44"/>
      <w:bookmarkEnd w:id="45"/>
    </w:p>
    <w:p>
      <w:pPr>
        <w:pStyle w:val="76"/>
        <w:rPr>
          <w:highlight w:val="none"/>
        </w:rPr>
      </w:pPr>
      <w:r>
        <w:rPr>
          <w:rFonts w:hint="eastAsia"/>
          <w:highlight w:val="none"/>
        </w:rPr>
        <w:t>广州外国语学校（增城校区）建设工程</w:t>
      </w:r>
    </w:p>
    <w:p>
      <w:pPr>
        <w:pStyle w:val="5"/>
        <w:numPr>
          <w:ilvl w:val="0"/>
          <w:numId w:val="0"/>
        </w:numPr>
        <w:spacing w:before="156" w:after="156"/>
        <w:ind w:left="0" w:leftChars="0" w:firstLine="426" w:firstLineChars="0"/>
        <w:rPr>
          <w:highlight w:val="none"/>
        </w:rPr>
      </w:pPr>
      <w:bookmarkStart w:id="46" w:name="_Toc10289"/>
      <w:bookmarkStart w:id="47" w:name="_Toc462255827"/>
      <w:bookmarkStart w:id="48" w:name="_Toc28069"/>
      <w:r>
        <w:rPr>
          <w:rFonts w:ascii="宋体" w:hAnsi="宋体" w:eastAsia="宋体" w:cs="Times New Roman"/>
          <w:bCs/>
          <w:kern w:val="2"/>
          <w:sz w:val="28"/>
          <w:szCs w:val="21"/>
          <w:highlight w:val="none"/>
          <w:lang w:val="en-US" w:eastAsia="zh-CN" w:bidi="ar-SA"/>
          <w14:ligatures w14:val="standardContextual"/>
        </w:rPr>
        <w:t>(二)</w:t>
      </w:r>
      <w:r>
        <w:rPr>
          <w:rFonts w:hint="eastAsia"/>
          <w:highlight w:val="none"/>
        </w:rPr>
        <w:t>项目位置</w:t>
      </w:r>
      <w:bookmarkEnd w:id="46"/>
      <w:bookmarkEnd w:id="47"/>
      <w:bookmarkEnd w:id="48"/>
    </w:p>
    <w:p>
      <w:pPr>
        <w:ind w:firstLine="480" w:firstLineChars="200"/>
        <w:contextualSpacing/>
        <w:rPr>
          <w:rFonts w:ascii="宋体" w:hAnsi="宋体"/>
          <w:b/>
          <w:sz w:val="24"/>
          <w:szCs w:val="21"/>
          <w:highlight w:val="none"/>
        </w:rPr>
      </w:pPr>
      <w:r>
        <w:rPr>
          <w:rFonts w:hint="eastAsia" w:ascii="宋体" w:hAnsi="宋体" w:cs="宋体"/>
          <w:kern w:val="28"/>
          <w:sz w:val="24"/>
          <w:szCs w:val="21"/>
          <w:highlight w:val="none"/>
        </w:rPr>
        <w:t>项目位于增城区朱村街广州科教城中轴线东侧，市医药职业学校以西，叠翠湖公园以南，富士康科技小镇（一期）以北,该地块不涉及限建区、禁建区、永久基本农田、生态保护区、水源保护</w:t>
      </w:r>
      <w:r>
        <w:rPr>
          <w:rStyle w:val="77"/>
          <w:rFonts w:hint="eastAsia"/>
          <w:highlight w:val="none"/>
        </w:rPr>
        <w:t>区，项目场址符合《广东省义务教育标准化学校标准》、《中小学校设计规范》（</w:t>
      </w:r>
      <w:r>
        <w:rPr>
          <w:rStyle w:val="77"/>
          <w:highlight w:val="none"/>
        </w:rPr>
        <w:t>G</w:t>
      </w:r>
      <w:r>
        <w:rPr>
          <w:rFonts w:ascii="宋体" w:hAnsi="宋体" w:cs="宋体"/>
          <w:kern w:val="28"/>
          <w:sz w:val="24"/>
          <w:szCs w:val="21"/>
          <w:highlight w:val="none"/>
        </w:rPr>
        <w:t>B50099-2011）等的相关要求</w:t>
      </w:r>
      <w:r>
        <w:rPr>
          <w:rFonts w:hint="eastAsia" w:ascii="宋体" w:hAnsi="宋体"/>
          <w:sz w:val="24"/>
          <w:highlight w:val="none"/>
        </w:rPr>
        <w:t>。</w:t>
      </w:r>
    </w:p>
    <w:p>
      <w:pPr>
        <w:pStyle w:val="5"/>
        <w:numPr>
          <w:ilvl w:val="0"/>
          <w:numId w:val="0"/>
        </w:numPr>
        <w:spacing w:before="156" w:after="156"/>
        <w:ind w:left="0" w:leftChars="0" w:firstLine="426" w:firstLineChars="0"/>
        <w:rPr>
          <w:highlight w:val="none"/>
        </w:rPr>
      </w:pPr>
      <w:bookmarkStart w:id="49" w:name="_Toc462255828"/>
      <w:bookmarkStart w:id="50" w:name="_Toc2256"/>
      <w:r>
        <w:rPr>
          <w:rFonts w:ascii="宋体" w:hAnsi="宋体" w:eastAsia="宋体" w:cs="Times New Roman"/>
          <w:bCs/>
          <w:kern w:val="2"/>
          <w:sz w:val="28"/>
          <w:szCs w:val="21"/>
          <w:highlight w:val="none"/>
          <w:lang w:val="en-US" w:eastAsia="zh-CN" w:bidi="ar-SA"/>
          <w14:ligatures w14:val="standardContextual"/>
        </w:rPr>
        <w:t>(三)</w:t>
      </w:r>
      <w:r>
        <w:rPr>
          <w:rFonts w:hint="eastAsia"/>
          <w:highlight w:val="none"/>
        </w:rPr>
        <w:t>项目建设内容</w:t>
      </w:r>
      <w:bookmarkEnd w:id="49"/>
      <w:bookmarkEnd w:id="50"/>
    </w:p>
    <w:p>
      <w:pPr>
        <w:pStyle w:val="76"/>
        <w:rPr>
          <w:highlight w:val="none"/>
        </w:rPr>
      </w:pPr>
      <w:r>
        <w:rPr>
          <w:rFonts w:hint="eastAsia"/>
          <w:highlight w:val="none"/>
        </w:rPr>
        <w:t>项目办学规模为60班3000人。项目总用地面积11680</w:t>
      </w:r>
      <w:r>
        <w:rPr>
          <w:rFonts w:hint="eastAsia"/>
          <w:highlight w:val="none"/>
          <w:lang w:val="en-US" w:eastAsia="zh-CN"/>
        </w:rPr>
        <w:t>7</w:t>
      </w:r>
      <w:r>
        <w:rPr>
          <w:rFonts w:hint="eastAsia"/>
          <w:highlight w:val="none"/>
        </w:rPr>
        <w:t>平方米，约175.21亩；本项目总建筑面积为103210平方米，地上建筑面积96540平方米，地下建筑面积6670平方米，其中计容面积为88830平方米，不计容面积为14380平方米。</w:t>
      </w:r>
    </w:p>
    <w:p>
      <w:pPr>
        <w:pStyle w:val="4"/>
        <w:rPr>
          <w:rFonts w:ascii="宋体" w:hAnsi="宋体"/>
          <w:highlight w:val="none"/>
        </w:rPr>
      </w:pPr>
      <w:bookmarkStart w:id="51" w:name="_Toc21181"/>
      <w:r>
        <w:rPr>
          <w:rFonts w:hint="eastAsia" w:ascii="宋体" w:hAnsi="宋体" w:cs="宋体"/>
          <w:kern w:val="28"/>
          <w:highlight w:val="none"/>
        </w:rPr>
        <w:t>二、</w:t>
      </w:r>
      <w:bookmarkStart w:id="52" w:name="_Toc462255829"/>
      <w:r>
        <w:rPr>
          <w:rFonts w:hint="eastAsia" w:ascii="宋体" w:hAnsi="宋体"/>
          <w:highlight w:val="none"/>
        </w:rPr>
        <w:t>项目工作范围和内容</w:t>
      </w:r>
      <w:bookmarkEnd w:id="51"/>
      <w:bookmarkEnd w:id="52"/>
    </w:p>
    <w:p>
      <w:pPr>
        <w:pStyle w:val="5"/>
        <w:numPr>
          <w:ilvl w:val="0"/>
          <w:numId w:val="0"/>
        </w:numPr>
        <w:spacing w:before="156" w:after="156"/>
        <w:ind w:left="0" w:leftChars="0" w:firstLine="426" w:firstLineChars="0"/>
        <w:rPr>
          <w:highlight w:val="none"/>
        </w:rPr>
      </w:pPr>
      <w:bookmarkStart w:id="53" w:name="_Toc462255830"/>
      <w:bookmarkStart w:id="54" w:name="_Toc32599"/>
      <w:bookmarkStart w:id="55" w:name="_Toc462255831"/>
      <w:r>
        <w:rPr>
          <w:rFonts w:ascii="宋体" w:hAnsi="宋体" w:eastAsia="宋体" w:cs="Times New Roman"/>
          <w:bCs/>
          <w:kern w:val="2"/>
          <w:sz w:val="28"/>
          <w:szCs w:val="21"/>
          <w:highlight w:val="none"/>
          <w:lang w:val="en-US" w:eastAsia="zh-CN" w:bidi="ar-SA"/>
          <w14:ligatures w14:val="standardContextual"/>
        </w:rPr>
        <w:t>(一)</w:t>
      </w:r>
      <w:r>
        <w:rPr>
          <w:rFonts w:hint="eastAsia"/>
          <w:highlight w:val="none"/>
        </w:rPr>
        <w:t>全过程规划建筑设计，设计内容包括：</w:t>
      </w:r>
      <w:bookmarkEnd w:id="53"/>
      <w:bookmarkEnd w:id="54"/>
    </w:p>
    <w:p>
      <w:pPr>
        <w:pStyle w:val="50"/>
        <w:numPr>
          <w:ilvl w:val="0"/>
          <w:numId w:val="0"/>
        </w:numPr>
        <w:ind w:left="0" w:leftChars="0" w:firstLine="462" w:firstLineChars="0"/>
        <w:contextualSpacing/>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1.</w:t>
      </w:r>
      <w:r>
        <w:rPr>
          <w:rFonts w:hint="eastAsia" w:ascii="宋体" w:hAnsi="宋体" w:eastAsia="宋体"/>
          <w:sz w:val="24"/>
          <w:szCs w:val="24"/>
          <w:highlight w:val="none"/>
        </w:rPr>
        <w:t>修建性详细规划：包括总平面规划设计、竖向规划设计、管线综合设计、建筑布局、交通组织、景观绿化、日照分析等。</w:t>
      </w:r>
    </w:p>
    <w:p>
      <w:pPr>
        <w:pStyle w:val="59"/>
        <w:numPr>
          <w:ilvl w:val="0"/>
          <w:numId w:val="0"/>
        </w:numPr>
        <w:ind w:left="0" w:leftChars="0" w:firstLine="462" w:firstLineChars="0"/>
        <w:contextualSpacing/>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2.</w:t>
      </w:r>
      <w:r>
        <w:rPr>
          <w:rFonts w:hint="eastAsia" w:ascii="宋体" w:hAnsi="宋体" w:eastAsia="宋体"/>
          <w:sz w:val="24"/>
          <w:szCs w:val="24"/>
          <w:highlight w:val="none"/>
        </w:rPr>
        <w:t>项目整体（含建筑、用地范围内的室外市政等）设计方案及深化、初步设计、施工图设计（含设计变更）并编制工程的初步设计概算，包括场地平整、基坑支护及土方工程、建筑、结构、给排水、强电、消防、暖通、燃气、弱电智能化（含智能化系统项目建设方案（如有））、装配式建筑、污水处理、废气处理、人防工程、室内装修、幕墙、节能、劳动安全卫生、消防的专项流程、基础配套设施、室内外管线综合平衡、室外市政、景观园建、室内外标识系统、海绵城市、设备选型等；配合厨房二次深化设计，配合教学设施设备（含可移动体育设施）、宿舍生活设施、学生桌椅（相关机电专业预留条件配合）。</w:t>
      </w:r>
    </w:p>
    <w:p>
      <w:pPr>
        <w:pStyle w:val="59"/>
        <w:numPr>
          <w:ilvl w:val="0"/>
          <w:numId w:val="0"/>
        </w:numPr>
        <w:ind w:left="0" w:leftChars="0" w:firstLine="462" w:firstLineChars="0"/>
        <w:contextualSpacing/>
        <w:rPr>
          <w:rFonts w:ascii="宋体" w:hAnsi="宋体" w:eastAsia="宋体"/>
          <w:sz w:val="24"/>
          <w:szCs w:val="24"/>
          <w:highlight w:val="none"/>
        </w:rPr>
      </w:pPr>
      <w:r>
        <w:rPr>
          <w:rFonts w:hint="eastAsia" w:ascii="宋体" w:hAnsi="宋体" w:eastAsia="宋体" w:cs="Times New Roman"/>
          <w:kern w:val="2"/>
          <w:sz w:val="24"/>
          <w:szCs w:val="24"/>
          <w:highlight w:val="none"/>
          <w:lang w:val="en-US" w:eastAsia="zh-CN" w:bidi="ar-SA"/>
          <w14:ligatures w14:val="standardContextual"/>
        </w:rPr>
        <w:t>3</w:t>
      </w:r>
      <w:r>
        <w:rPr>
          <w:rFonts w:ascii="宋体" w:hAnsi="宋体" w:eastAsia="宋体" w:cs="Times New Roman"/>
          <w:kern w:val="2"/>
          <w:sz w:val="24"/>
          <w:szCs w:val="24"/>
          <w:highlight w:val="none"/>
          <w:lang w:val="en-US" w:eastAsia="zh-CN" w:bidi="ar-SA"/>
          <w14:ligatures w14:val="standardContextual"/>
        </w:rPr>
        <w:t>.</w:t>
      </w:r>
      <w:r>
        <w:rPr>
          <w:rFonts w:hint="eastAsia" w:ascii="宋体" w:hAnsi="宋体" w:eastAsia="宋体"/>
          <w:sz w:val="24"/>
          <w:szCs w:val="24"/>
          <w:highlight w:val="none"/>
        </w:rPr>
        <w:t>项目用地范围内基础配套设施工程设计、室内外管线综合平衡设计、室内外体育设施、室外道路广场、园林工程设计、室内外标识系统设计的方案设计、初步设计和施工图设计（含设计变更），初步设计概算等。</w:t>
      </w:r>
    </w:p>
    <w:p>
      <w:pPr>
        <w:pStyle w:val="59"/>
        <w:numPr>
          <w:ilvl w:val="0"/>
          <w:numId w:val="0"/>
        </w:numPr>
        <w:ind w:left="0" w:leftChars="0" w:firstLine="462" w:firstLineChars="0"/>
        <w:contextualSpacing/>
        <w:rPr>
          <w:rFonts w:ascii="宋体" w:hAnsi="宋体" w:eastAsia="宋体"/>
          <w:sz w:val="24"/>
          <w:szCs w:val="24"/>
          <w:highlight w:val="none"/>
        </w:rPr>
      </w:pPr>
      <w:r>
        <w:rPr>
          <w:rFonts w:hint="eastAsia" w:ascii="宋体" w:hAnsi="宋体" w:eastAsia="宋体" w:cs="Times New Roman"/>
          <w:kern w:val="2"/>
          <w:sz w:val="24"/>
          <w:szCs w:val="24"/>
          <w:highlight w:val="none"/>
          <w:lang w:val="en-US" w:eastAsia="zh-CN" w:bidi="ar-SA"/>
          <w14:ligatures w14:val="standardContextual"/>
        </w:rPr>
        <w:t>4</w:t>
      </w:r>
      <w:r>
        <w:rPr>
          <w:rFonts w:ascii="宋体" w:hAnsi="宋体" w:eastAsia="宋体" w:cs="Times New Roman"/>
          <w:kern w:val="2"/>
          <w:sz w:val="24"/>
          <w:szCs w:val="24"/>
          <w:highlight w:val="none"/>
          <w:lang w:val="en-US" w:eastAsia="zh-CN" w:bidi="ar-SA"/>
          <w14:ligatures w14:val="standardContextual"/>
        </w:rPr>
        <w:t>.</w:t>
      </w:r>
      <w:r>
        <w:rPr>
          <w:rFonts w:hint="eastAsia" w:ascii="宋体" w:hAnsi="宋体" w:eastAsia="宋体"/>
          <w:sz w:val="24"/>
          <w:szCs w:val="24"/>
          <w:highlight w:val="none"/>
        </w:rPr>
        <w:t>概算编制：以施工图图纸编制项目概算，需达到</w:t>
      </w:r>
      <w:r>
        <w:rPr>
          <w:rFonts w:hint="eastAsia" w:ascii="宋体" w:hAnsi="宋体" w:eastAsia="宋体"/>
          <w:sz w:val="24"/>
          <w:szCs w:val="24"/>
          <w:highlight w:val="none"/>
          <w:lang w:val="en-US" w:eastAsia="zh-CN"/>
        </w:rPr>
        <w:t>财政</w:t>
      </w:r>
      <w:r>
        <w:rPr>
          <w:rFonts w:hint="eastAsia" w:ascii="宋体" w:hAnsi="宋体" w:eastAsia="宋体"/>
          <w:sz w:val="24"/>
          <w:szCs w:val="24"/>
          <w:highlight w:val="none"/>
        </w:rPr>
        <w:t>评审深度要求。</w:t>
      </w:r>
    </w:p>
    <w:p>
      <w:pPr>
        <w:pStyle w:val="59"/>
        <w:numPr>
          <w:ilvl w:val="0"/>
          <w:numId w:val="0"/>
        </w:numPr>
        <w:ind w:left="0" w:leftChars="0" w:firstLine="462" w:firstLineChars="0"/>
        <w:contextualSpacing/>
        <w:rPr>
          <w:rFonts w:ascii="宋体" w:hAnsi="宋体" w:eastAsia="宋体"/>
          <w:sz w:val="24"/>
          <w:szCs w:val="24"/>
          <w:highlight w:val="none"/>
        </w:rPr>
      </w:pPr>
      <w:r>
        <w:rPr>
          <w:rFonts w:hint="eastAsia" w:ascii="宋体" w:hAnsi="宋体" w:eastAsia="宋体" w:cs="Times New Roman"/>
          <w:kern w:val="2"/>
          <w:sz w:val="24"/>
          <w:szCs w:val="24"/>
          <w:highlight w:val="none"/>
          <w:lang w:val="en-US" w:eastAsia="zh-CN" w:bidi="ar-SA"/>
          <w14:ligatures w14:val="standardContextual"/>
        </w:rPr>
        <w:t>5</w:t>
      </w:r>
      <w:r>
        <w:rPr>
          <w:rFonts w:ascii="宋体" w:hAnsi="宋体" w:eastAsia="宋体" w:cs="Times New Roman"/>
          <w:kern w:val="2"/>
          <w:sz w:val="24"/>
          <w:szCs w:val="24"/>
          <w:highlight w:val="none"/>
          <w:lang w:val="en-US" w:eastAsia="zh-CN" w:bidi="ar-SA"/>
          <w14:ligatures w14:val="standardContextual"/>
        </w:rPr>
        <w:t>.</w:t>
      </w:r>
      <w:r>
        <w:rPr>
          <w:rFonts w:hint="eastAsia" w:ascii="宋体" w:hAnsi="宋体" w:eastAsia="宋体"/>
          <w:sz w:val="24"/>
          <w:szCs w:val="24"/>
          <w:highlight w:val="none"/>
        </w:rPr>
        <w:t>施工阶段的现场服务：根据工程建设进展情况和甲方的要求提供现场服务，及时派出各专业工程师解决工程中涉及到的设计问题。</w:t>
      </w:r>
    </w:p>
    <w:p>
      <w:pPr>
        <w:pStyle w:val="59"/>
        <w:numPr>
          <w:ilvl w:val="0"/>
          <w:numId w:val="0"/>
        </w:numPr>
        <w:ind w:left="0" w:leftChars="0" w:firstLine="462" w:firstLineChars="0"/>
        <w:contextualSpacing/>
        <w:rPr>
          <w:rFonts w:ascii="宋体" w:hAnsi="宋体" w:eastAsia="宋体"/>
          <w:sz w:val="24"/>
          <w:szCs w:val="24"/>
          <w:highlight w:val="none"/>
        </w:rPr>
      </w:pPr>
      <w:r>
        <w:rPr>
          <w:rFonts w:hint="eastAsia" w:ascii="宋体" w:hAnsi="宋体" w:eastAsia="宋体" w:cs="Times New Roman"/>
          <w:kern w:val="2"/>
          <w:sz w:val="24"/>
          <w:szCs w:val="24"/>
          <w:highlight w:val="none"/>
          <w:lang w:val="en-US" w:eastAsia="zh-CN" w:bidi="ar-SA"/>
          <w14:ligatures w14:val="standardContextual"/>
        </w:rPr>
        <w:t>6</w:t>
      </w:r>
      <w:r>
        <w:rPr>
          <w:rFonts w:ascii="宋体" w:hAnsi="宋体" w:eastAsia="宋体" w:cs="Times New Roman"/>
          <w:kern w:val="2"/>
          <w:sz w:val="24"/>
          <w:szCs w:val="24"/>
          <w:highlight w:val="none"/>
          <w:lang w:val="en-US" w:eastAsia="zh-CN" w:bidi="ar-SA"/>
          <w14:ligatures w14:val="standardContextual"/>
        </w:rPr>
        <w:t>.</w:t>
      </w:r>
      <w:r>
        <w:rPr>
          <w:rFonts w:hint="eastAsia" w:ascii="宋体" w:hAnsi="宋体" w:eastAsia="宋体"/>
          <w:sz w:val="24"/>
          <w:szCs w:val="24"/>
          <w:highlight w:val="none"/>
        </w:rPr>
        <w:t>相关配合服务：主要包括报审报建配合服务（提供所需图纸及说明等，包括不限于项目的规划报建（含技术审查）、各专项报建、装配式建筑预评价、初步设计审查、概预算评审、消防审查、施工图审查等）、招标配合服务、项目设备造型配合服务、工程结（决）算配合服务、保修阶段的服务等，服务期至上述工作完成为止。</w:t>
      </w:r>
    </w:p>
    <w:p>
      <w:pPr>
        <w:pStyle w:val="50"/>
        <w:numPr>
          <w:ilvl w:val="0"/>
          <w:numId w:val="0"/>
        </w:numPr>
        <w:ind w:left="0" w:leftChars="0" w:firstLine="530" w:firstLineChars="221"/>
        <w:rPr>
          <w:rFonts w:ascii="宋体" w:hAnsi="宋体" w:eastAsia="宋体"/>
          <w:sz w:val="24"/>
          <w:highlight w:val="none"/>
        </w:rPr>
      </w:pPr>
      <w:r>
        <w:rPr>
          <w:rFonts w:hint="eastAsia" w:ascii="宋体" w:hAnsi="宋体" w:eastAsia="宋体" w:cs="Times New Roman"/>
          <w:kern w:val="2"/>
          <w:sz w:val="24"/>
          <w:szCs w:val="24"/>
          <w:highlight w:val="none"/>
          <w:lang w:val="en-US" w:eastAsia="zh-CN" w:bidi="ar-SA"/>
          <w14:ligatures w14:val="standardContextual"/>
        </w:rPr>
        <w:t>7</w:t>
      </w:r>
      <w:r>
        <w:rPr>
          <w:rFonts w:ascii="宋体" w:hAnsi="宋体" w:eastAsia="宋体" w:cs="Times New Roman"/>
          <w:kern w:val="2"/>
          <w:sz w:val="24"/>
          <w:szCs w:val="24"/>
          <w:highlight w:val="none"/>
          <w:lang w:val="en-US" w:eastAsia="zh-CN" w:bidi="ar-SA"/>
          <w14:ligatures w14:val="standardContextual"/>
        </w:rPr>
        <w:t>.</w:t>
      </w:r>
      <w:r>
        <w:rPr>
          <w:rFonts w:hint="eastAsia" w:ascii="宋体" w:hAnsi="宋体" w:eastAsia="宋体"/>
          <w:sz w:val="24"/>
          <w:szCs w:val="24"/>
          <w:highlight w:val="none"/>
        </w:rPr>
        <w:t>各阶段设计文件深度要求必须满足《建筑工程设计文件编制深度规定》的要求，各专业还应该满足各专业工程设计文件编制深度规范或规定的要求。各单体在方案、概算、竣工阶段要有单体的经济指标表。</w:t>
      </w:r>
    </w:p>
    <w:bookmarkEnd w:id="55"/>
    <w:p>
      <w:pPr>
        <w:pStyle w:val="5"/>
        <w:numPr>
          <w:ilvl w:val="0"/>
          <w:numId w:val="0"/>
        </w:numPr>
        <w:spacing w:before="156" w:after="156"/>
        <w:ind w:left="0" w:leftChars="0" w:firstLine="426" w:firstLineChars="0"/>
        <w:rPr>
          <w:highlight w:val="none"/>
        </w:rPr>
      </w:pPr>
      <w:bookmarkStart w:id="56" w:name="_Toc1109"/>
      <w:bookmarkStart w:id="57" w:name="_Toc26959"/>
      <w:bookmarkStart w:id="58" w:name="_Toc462255832"/>
      <w:r>
        <w:rPr>
          <w:rFonts w:ascii="宋体" w:hAnsi="宋体" w:eastAsia="宋体" w:cs="Times New Roman"/>
          <w:bCs/>
          <w:kern w:val="2"/>
          <w:sz w:val="28"/>
          <w:szCs w:val="21"/>
          <w:highlight w:val="none"/>
          <w:lang w:val="en-US" w:eastAsia="zh-CN" w:bidi="ar-SA"/>
          <w14:ligatures w14:val="standardContextual"/>
        </w:rPr>
        <w:t>(二)</w:t>
      </w:r>
      <w:r>
        <w:rPr>
          <w:rFonts w:hint="eastAsia"/>
          <w:highlight w:val="none"/>
        </w:rPr>
        <w:t>绿色建筑工程咨询及设计</w:t>
      </w:r>
      <w:bookmarkEnd w:id="56"/>
    </w:p>
    <w:p>
      <w:pPr>
        <w:ind w:firstLine="480" w:firstLineChars="200"/>
        <w:contextualSpacing/>
        <w:rPr>
          <w:rFonts w:ascii="宋体" w:hAnsi="宋体"/>
          <w:sz w:val="24"/>
          <w:highlight w:val="none"/>
        </w:rPr>
      </w:pPr>
      <w:r>
        <w:rPr>
          <w:rFonts w:hint="eastAsia" w:ascii="宋体" w:hAnsi="宋体"/>
          <w:sz w:val="24"/>
          <w:highlight w:val="none"/>
        </w:rPr>
        <w:t>1.完成绿色建筑</w:t>
      </w:r>
      <w:r>
        <w:rPr>
          <w:rFonts w:hint="eastAsia" w:ascii="宋体" w:hAnsi="宋体"/>
          <w:sz w:val="24"/>
          <w:highlight w:val="none"/>
          <w:lang w:val="en-US" w:eastAsia="zh-CN"/>
        </w:rPr>
        <w:t>二</w:t>
      </w:r>
      <w:r>
        <w:rPr>
          <w:rFonts w:hint="eastAsia" w:ascii="宋体" w:hAnsi="宋体"/>
          <w:sz w:val="24"/>
          <w:highlight w:val="none"/>
        </w:rPr>
        <w:t>星级设计</w:t>
      </w:r>
    </w:p>
    <w:p>
      <w:pPr>
        <w:ind w:firstLine="480" w:firstLineChars="200"/>
        <w:contextualSpacing/>
        <w:rPr>
          <w:rFonts w:ascii="宋体" w:hAnsi="宋体"/>
          <w:sz w:val="24"/>
          <w:highlight w:val="none"/>
        </w:rPr>
      </w:pPr>
      <w:r>
        <w:rPr>
          <w:rFonts w:hint="eastAsia" w:ascii="宋体" w:hAnsi="宋体"/>
          <w:sz w:val="24"/>
          <w:highlight w:val="none"/>
        </w:rPr>
        <w:t>（1）初步设计方案咨询服务；</w:t>
      </w:r>
    </w:p>
    <w:p>
      <w:pPr>
        <w:ind w:firstLine="480" w:firstLineChars="200"/>
        <w:contextualSpacing/>
        <w:rPr>
          <w:rFonts w:ascii="宋体" w:hAnsi="宋体"/>
          <w:sz w:val="24"/>
          <w:highlight w:val="none"/>
        </w:rPr>
      </w:pPr>
      <w:r>
        <w:rPr>
          <w:rFonts w:hint="eastAsia" w:ascii="宋体" w:hAnsi="宋体"/>
          <w:sz w:val="24"/>
          <w:highlight w:val="none"/>
        </w:rPr>
        <w:t>a.分析项目适用的技术措施与实现策略；</w:t>
      </w:r>
    </w:p>
    <w:p>
      <w:pPr>
        <w:ind w:firstLine="480" w:firstLineChars="200"/>
        <w:contextualSpacing/>
        <w:rPr>
          <w:rFonts w:ascii="宋体" w:hAnsi="宋体"/>
          <w:sz w:val="24"/>
          <w:highlight w:val="none"/>
        </w:rPr>
      </w:pPr>
      <w:r>
        <w:rPr>
          <w:rFonts w:hint="eastAsia" w:ascii="宋体" w:hAnsi="宋体"/>
          <w:sz w:val="24"/>
          <w:highlight w:val="none"/>
        </w:rPr>
        <w:t>b.完成初步方案、投资估算、星级评估。</w:t>
      </w:r>
    </w:p>
    <w:p>
      <w:pPr>
        <w:ind w:firstLine="480" w:firstLineChars="200"/>
        <w:contextualSpacing/>
        <w:rPr>
          <w:rFonts w:ascii="宋体" w:hAnsi="宋体"/>
          <w:sz w:val="24"/>
          <w:highlight w:val="none"/>
        </w:rPr>
      </w:pPr>
      <w:r>
        <w:rPr>
          <w:rFonts w:hint="eastAsia" w:ascii="宋体" w:hAnsi="宋体"/>
          <w:sz w:val="24"/>
          <w:highlight w:val="none"/>
        </w:rPr>
        <w:t>（2）方案优化设计阶段咨询服务；</w:t>
      </w:r>
    </w:p>
    <w:p>
      <w:pPr>
        <w:ind w:firstLine="480" w:firstLineChars="200"/>
        <w:contextualSpacing/>
        <w:rPr>
          <w:rFonts w:ascii="宋体" w:hAnsi="宋体"/>
          <w:sz w:val="24"/>
          <w:highlight w:val="none"/>
        </w:rPr>
      </w:pPr>
      <w:r>
        <w:rPr>
          <w:rFonts w:hint="eastAsia" w:ascii="宋体" w:hAnsi="宋体"/>
          <w:sz w:val="24"/>
          <w:highlight w:val="none"/>
        </w:rPr>
        <w:t>a.确定项目技术措施要求；</w:t>
      </w:r>
    </w:p>
    <w:p>
      <w:pPr>
        <w:ind w:firstLine="480" w:firstLineChars="200"/>
        <w:contextualSpacing/>
        <w:rPr>
          <w:rFonts w:ascii="宋体" w:hAnsi="宋体"/>
          <w:sz w:val="24"/>
          <w:highlight w:val="none"/>
        </w:rPr>
      </w:pPr>
      <w:r>
        <w:rPr>
          <w:rFonts w:hint="eastAsia" w:ascii="宋体" w:hAnsi="宋体"/>
          <w:sz w:val="24"/>
          <w:highlight w:val="none"/>
        </w:rPr>
        <w:t>b.完成设计各专业的提案，落实技术要点、相关产品；</w:t>
      </w:r>
    </w:p>
    <w:p>
      <w:pPr>
        <w:ind w:firstLine="480" w:firstLineChars="200"/>
        <w:contextualSpacing/>
        <w:rPr>
          <w:rFonts w:ascii="宋体" w:hAnsi="宋体"/>
          <w:sz w:val="24"/>
          <w:highlight w:val="none"/>
        </w:rPr>
      </w:pPr>
      <w:r>
        <w:rPr>
          <w:rFonts w:hint="eastAsia" w:ascii="宋体" w:hAnsi="宋体"/>
          <w:sz w:val="24"/>
          <w:highlight w:val="none"/>
        </w:rPr>
        <w:t>c.指导施工图设计；</w:t>
      </w:r>
    </w:p>
    <w:p>
      <w:pPr>
        <w:ind w:firstLine="480" w:firstLineChars="200"/>
        <w:contextualSpacing/>
        <w:rPr>
          <w:rFonts w:ascii="宋体" w:hAnsi="宋体"/>
          <w:sz w:val="24"/>
          <w:highlight w:val="none"/>
        </w:rPr>
      </w:pPr>
      <w:r>
        <w:rPr>
          <w:rFonts w:hint="eastAsia" w:ascii="宋体" w:hAnsi="宋体"/>
          <w:sz w:val="24"/>
          <w:highlight w:val="none"/>
        </w:rPr>
        <w:t>（3）施工图</w:t>
      </w:r>
      <w:r>
        <w:rPr>
          <w:rFonts w:hint="eastAsia" w:ascii="宋体" w:hAnsi="宋体" w:cs="宋体"/>
          <w:kern w:val="28"/>
          <w:sz w:val="24"/>
          <w:highlight w:val="none"/>
        </w:rPr>
        <w:t>设计</w:t>
      </w:r>
      <w:r>
        <w:rPr>
          <w:rFonts w:hint="eastAsia" w:ascii="宋体" w:hAnsi="宋体"/>
          <w:sz w:val="24"/>
          <w:highlight w:val="none"/>
        </w:rPr>
        <w:t>阶段</w:t>
      </w:r>
    </w:p>
    <w:p>
      <w:pPr>
        <w:ind w:firstLine="480" w:firstLineChars="200"/>
        <w:contextualSpacing/>
        <w:rPr>
          <w:rFonts w:ascii="宋体" w:hAnsi="宋体"/>
          <w:sz w:val="24"/>
          <w:highlight w:val="none"/>
        </w:rPr>
      </w:pPr>
      <w:r>
        <w:rPr>
          <w:rFonts w:hint="eastAsia" w:ascii="宋体" w:hAnsi="宋体"/>
          <w:sz w:val="24"/>
          <w:highlight w:val="none"/>
        </w:rPr>
        <w:t>a.完成相关各项方案分析报告和计算书；</w:t>
      </w:r>
    </w:p>
    <w:p>
      <w:pPr>
        <w:ind w:firstLine="480" w:firstLineChars="200"/>
        <w:contextualSpacing/>
        <w:rPr>
          <w:rFonts w:ascii="宋体" w:hAnsi="宋体"/>
          <w:sz w:val="24"/>
          <w:highlight w:val="none"/>
        </w:rPr>
      </w:pPr>
      <w:r>
        <w:rPr>
          <w:rFonts w:hint="eastAsia" w:ascii="宋体" w:hAnsi="宋体"/>
          <w:sz w:val="24"/>
          <w:highlight w:val="none"/>
        </w:rPr>
        <w:t>b.制作绿色建筑施工图审查全部材料；</w:t>
      </w:r>
    </w:p>
    <w:p>
      <w:pPr>
        <w:ind w:firstLine="480" w:firstLineChars="200"/>
        <w:contextualSpacing/>
        <w:rPr>
          <w:rFonts w:ascii="宋体" w:hAnsi="宋体"/>
          <w:sz w:val="24"/>
          <w:highlight w:val="none"/>
        </w:rPr>
      </w:pPr>
      <w:r>
        <w:rPr>
          <w:rFonts w:hint="eastAsia" w:ascii="宋体" w:hAnsi="宋体"/>
          <w:sz w:val="24"/>
          <w:highlight w:val="none"/>
        </w:rPr>
        <w:t>c.通过施工图审查；</w:t>
      </w:r>
    </w:p>
    <w:p>
      <w:pPr>
        <w:pStyle w:val="5"/>
        <w:numPr>
          <w:ilvl w:val="0"/>
          <w:numId w:val="0"/>
        </w:numPr>
        <w:spacing w:before="156" w:after="156"/>
        <w:ind w:left="0" w:leftChars="0" w:firstLine="426" w:firstLineChars="0"/>
        <w:rPr>
          <w:highlight w:val="none"/>
        </w:rPr>
      </w:pPr>
      <w:bookmarkStart w:id="59" w:name="_Toc5932"/>
      <w:r>
        <w:rPr>
          <w:rFonts w:ascii="宋体" w:hAnsi="宋体" w:eastAsia="宋体" w:cs="Times New Roman"/>
          <w:bCs/>
          <w:kern w:val="2"/>
          <w:sz w:val="28"/>
          <w:szCs w:val="21"/>
          <w:highlight w:val="none"/>
          <w:lang w:val="en-US" w:eastAsia="zh-CN" w:bidi="ar-SA"/>
          <w14:ligatures w14:val="standardContextual"/>
        </w:rPr>
        <w:t>(三)</w:t>
      </w:r>
      <w:r>
        <w:rPr>
          <w:rFonts w:hint="eastAsia"/>
          <w:highlight w:val="none"/>
        </w:rPr>
        <w:t>海绵城市建筑工程咨询及设计</w:t>
      </w:r>
      <w:bookmarkEnd w:id="59"/>
    </w:p>
    <w:p>
      <w:pPr>
        <w:ind w:firstLine="480" w:firstLineChars="200"/>
        <w:rPr>
          <w:rFonts w:ascii="宋体" w:hAnsi="宋体" w:cs="宋体"/>
          <w:kern w:val="28"/>
          <w:sz w:val="24"/>
          <w:highlight w:val="none"/>
        </w:rPr>
      </w:pPr>
      <w:r>
        <w:rPr>
          <w:rFonts w:hint="eastAsia" w:ascii="宋体" w:hAnsi="宋体" w:cs="宋体"/>
          <w:kern w:val="28"/>
          <w:sz w:val="24"/>
          <w:highlight w:val="none"/>
        </w:rPr>
        <w:t>包括但不限于以下工作：</w:t>
      </w:r>
    </w:p>
    <w:p>
      <w:pPr>
        <w:ind w:firstLine="480" w:firstLineChars="200"/>
        <w:contextualSpacing/>
        <w:rPr>
          <w:rFonts w:ascii="宋体" w:hAnsi="宋体"/>
          <w:sz w:val="24"/>
          <w:highlight w:val="none"/>
        </w:rPr>
      </w:pPr>
      <w:r>
        <w:rPr>
          <w:rFonts w:hint="eastAsia" w:ascii="宋体" w:hAnsi="宋体"/>
          <w:sz w:val="24"/>
          <w:highlight w:val="none"/>
        </w:rPr>
        <w:t>1、方案设计阶段：</w:t>
      </w:r>
    </w:p>
    <w:p>
      <w:pPr>
        <w:ind w:firstLine="480" w:firstLineChars="200"/>
        <w:contextualSpacing/>
        <w:rPr>
          <w:rFonts w:ascii="宋体" w:hAnsi="宋体"/>
          <w:sz w:val="24"/>
          <w:highlight w:val="none"/>
        </w:rPr>
      </w:pPr>
      <w:r>
        <w:rPr>
          <w:rFonts w:hint="eastAsia" w:ascii="宋体" w:hAnsi="宋体"/>
          <w:sz w:val="24"/>
          <w:highlight w:val="none"/>
        </w:rPr>
        <w:t>配合项目方案设计，与建筑、给排水专业沟通协调，完成海绵城市规划设计专篇及海绵城市方案图，取得建设工程规划许可证。</w:t>
      </w:r>
    </w:p>
    <w:p>
      <w:pPr>
        <w:ind w:firstLine="480" w:firstLineChars="200"/>
        <w:contextualSpacing/>
        <w:rPr>
          <w:rFonts w:ascii="宋体" w:hAnsi="宋体"/>
          <w:sz w:val="24"/>
          <w:highlight w:val="none"/>
        </w:rPr>
      </w:pPr>
      <w:r>
        <w:rPr>
          <w:rFonts w:hint="eastAsia" w:ascii="宋体" w:hAnsi="宋体"/>
          <w:sz w:val="24"/>
          <w:highlight w:val="none"/>
        </w:rPr>
        <w:t>2、施工图阶段：</w:t>
      </w:r>
    </w:p>
    <w:p>
      <w:pPr>
        <w:ind w:firstLine="480" w:firstLineChars="200"/>
        <w:contextualSpacing/>
        <w:rPr>
          <w:rFonts w:ascii="宋体" w:hAnsi="宋体"/>
          <w:sz w:val="24"/>
          <w:highlight w:val="none"/>
        </w:rPr>
      </w:pPr>
      <w:r>
        <w:rPr>
          <w:rFonts w:hint="eastAsia" w:ascii="宋体" w:hAnsi="宋体"/>
          <w:sz w:val="24"/>
          <w:highlight w:val="none"/>
        </w:rPr>
        <w:t>配合项目施工图设计，与建筑、给排水及景观专业沟通协调，完成海绵城市设计专篇及海绵城市施工图，取得施工图审查合格证，配合指导现场施工。</w:t>
      </w:r>
    </w:p>
    <w:p>
      <w:pPr>
        <w:ind w:firstLine="480" w:firstLineChars="200"/>
        <w:rPr>
          <w:rFonts w:ascii="宋体" w:hAnsi="宋体" w:cs="宋体"/>
          <w:kern w:val="28"/>
          <w:sz w:val="24"/>
          <w:highlight w:val="none"/>
        </w:rPr>
      </w:pPr>
      <w:r>
        <w:rPr>
          <w:rFonts w:hint="eastAsia" w:ascii="宋体" w:hAnsi="宋体" w:cs="宋体"/>
          <w:kern w:val="28"/>
          <w:sz w:val="24"/>
          <w:highlight w:val="none"/>
        </w:rPr>
        <w:t>3.施工阶段</w:t>
      </w:r>
    </w:p>
    <w:p>
      <w:pPr>
        <w:ind w:firstLine="480" w:firstLineChars="200"/>
        <w:rPr>
          <w:rFonts w:hint="eastAsia" w:ascii="宋体" w:hAnsi="宋体" w:cs="宋体"/>
          <w:kern w:val="28"/>
          <w:sz w:val="24"/>
          <w:highlight w:val="none"/>
        </w:rPr>
      </w:pPr>
      <w:r>
        <w:rPr>
          <w:rFonts w:hint="eastAsia" w:ascii="宋体" w:hAnsi="宋体" w:cs="宋体"/>
          <w:kern w:val="28"/>
          <w:sz w:val="24"/>
          <w:highlight w:val="none"/>
        </w:rPr>
        <w:t>指导并配合项目施工单位实施海绵城市各项设施施工，通过海绵城市建设效果评估。</w:t>
      </w:r>
    </w:p>
    <w:p>
      <w:pPr>
        <w:pStyle w:val="5"/>
        <w:numPr>
          <w:ilvl w:val="0"/>
          <w:numId w:val="0"/>
        </w:numPr>
        <w:spacing w:before="156" w:after="156"/>
        <w:ind w:left="0" w:firstLine="426"/>
        <w:rPr>
          <w:rFonts w:hint="default"/>
          <w:highlight w:val="none"/>
        </w:rPr>
      </w:pPr>
      <w:bookmarkStart w:id="60" w:name="_Toc4657"/>
      <w:bookmarkStart w:id="61" w:name="_Toc29352"/>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四</w:t>
      </w:r>
      <w:r>
        <w:rPr>
          <w:rFonts w:hint="eastAsia" w:ascii="宋体" w:hAnsi="宋体" w:eastAsia="宋体" w:cs="Times New Roman"/>
          <w:highlight w:val="none"/>
          <w:lang w:eastAsia="zh-CN"/>
        </w:rPr>
        <w:t>）</w:t>
      </w:r>
      <w:r>
        <w:rPr>
          <w:rFonts w:hint="default"/>
          <w:highlight w:val="none"/>
        </w:rPr>
        <w:t>装配式建筑工程咨询及设计</w:t>
      </w:r>
      <w:bookmarkEnd w:id="60"/>
      <w:bookmarkEnd w:id="61"/>
    </w:p>
    <w:p>
      <w:pPr>
        <w:ind w:firstLine="480" w:firstLineChars="200"/>
        <w:contextualSpacing/>
        <w:rPr>
          <w:rFonts w:hint="eastAsia" w:ascii="宋体" w:hAnsi="宋体" w:cs="Times New Roman"/>
          <w:sz w:val="24"/>
          <w:highlight w:val="none"/>
          <w:shd w:val="clear"/>
        </w:rPr>
      </w:pPr>
      <w:r>
        <w:rPr>
          <w:rFonts w:hint="eastAsia" w:ascii="宋体" w:hAnsi="宋体" w:cs="Times New Roman"/>
          <w:sz w:val="24"/>
          <w:highlight w:val="none"/>
          <w:shd w:val="clear"/>
        </w:rPr>
        <w:t>充分考虑项目定位、建设规模、装配化目标、成本限额以及各种外部条件影响因素，制定合理的建筑装配式概念方案，提高预制构件的标准化程度，并由建设单位牵头，与参建各方共同确定合理的实施方案。</w:t>
      </w:r>
    </w:p>
    <w:p>
      <w:pPr>
        <w:ind w:firstLine="480" w:firstLineChars="200"/>
        <w:contextualSpacing/>
        <w:rPr>
          <w:rFonts w:hint="eastAsia" w:ascii="宋体" w:hAnsi="宋体" w:cs="Times New Roman"/>
          <w:sz w:val="24"/>
          <w:highlight w:val="none"/>
          <w:shd w:val="clear"/>
        </w:rPr>
      </w:pPr>
      <w:r>
        <w:rPr>
          <w:rFonts w:hint="eastAsia" w:ascii="宋体" w:hAnsi="宋体" w:cs="Times New Roman"/>
          <w:sz w:val="24"/>
          <w:highlight w:val="none"/>
          <w:shd w:val="clear"/>
        </w:rPr>
        <w:t>1、方案阶段</w:t>
      </w:r>
    </w:p>
    <w:p>
      <w:pPr>
        <w:ind w:firstLine="480" w:firstLineChars="200"/>
        <w:contextualSpacing/>
        <w:rPr>
          <w:rFonts w:hint="eastAsia" w:ascii="宋体" w:hAnsi="宋体" w:cs="Times New Roman"/>
          <w:sz w:val="24"/>
          <w:highlight w:val="none"/>
          <w:shd w:val="clear"/>
        </w:rPr>
      </w:pPr>
      <w:r>
        <w:rPr>
          <w:rFonts w:hint="eastAsia" w:ascii="宋体" w:hAnsi="宋体" w:cs="Times New Roman"/>
          <w:sz w:val="24"/>
          <w:highlight w:val="none"/>
          <w:shd w:val="clear"/>
        </w:rPr>
        <w:t>根据技术策划实施方案做好装配式方案选型设计，为初步设计阶段工作奠定基础。</w:t>
      </w:r>
    </w:p>
    <w:p>
      <w:pPr>
        <w:ind w:firstLine="480" w:firstLineChars="200"/>
        <w:contextualSpacing/>
        <w:rPr>
          <w:rFonts w:hint="eastAsia" w:ascii="宋体" w:hAnsi="宋体" w:cs="Times New Roman"/>
          <w:sz w:val="24"/>
          <w:highlight w:val="none"/>
          <w:shd w:val="clear"/>
        </w:rPr>
      </w:pPr>
      <w:r>
        <w:rPr>
          <w:rFonts w:hint="eastAsia" w:ascii="宋体" w:hAnsi="宋体" w:cs="Times New Roman"/>
          <w:sz w:val="24"/>
          <w:highlight w:val="none"/>
          <w:shd w:val="clear"/>
        </w:rPr>
        <w:t>2、初步设计阶段</w:t>
      </w:r>
    </w:p>
    <w:p>
      <w:pPr>
        <w:ind w:firstLine="480" w:firstLineChars="200"/>
        <w:contextualSpacing/>
        <w:rPr>
          <w:rFonts w:hint="eastAsia" w:ascii="宋体" w:hAnsi="宋体" w:cs="Times New Roman"/>
          <w:sz w:val="24"/>
          <w:highlight w:val="none"/>
          <w:shd w:val="clear"/>
        </w:rPr>
      </w:pPr>
      <w:r>
        <w:rPr>
          <w:rFonts w:hint="eastAsia" w:ascii="宋体" w:hAnsi="宋体" w:cs="Times New Roman"/>
          <w:sz w:val="24"/>
          <w:highlight w:val="none"/>
          <w:shd w:val="clear"/>
        </w:rPr>
        <w:t>应与各专业进行协同设计，进一步细化和落实所采用的技术方案的可行性。</w:t>
      </w:r>
    </w:p>
    <w:p>
      <w:pPr>
        <w:ind w:firstLine="480" w:firstLineChars="200"/>
        <w:contextualSpacing/>
        <w:rPr>
          <w:rFonts w:hint="eastAsia" w:ascii="宋体" w:hAnsi="宋体" w:cs="Times New Roman"/>
          <w:sz w:val="24"/>
          <w:highlight w:val="none"/>
          <w:shd w:val="clear"/>
        </w:rPr>
      </w:pPr>
      <w:r>
        <w:rPr>
          <w:rFonts w:hint="eastAsia" w:ascii="宋体" w:hAnsi="宋体" w:cs="Times New Roman"/>
          <w:sz w:val="24"/>
          <w:highlight w:val="none"/>
          <w:shd w:val="clear"/>
        </w:rPr>
        <w:t>3、施工图设计阶段</w:t>
      </w:r>
    </w:p>
    <w:p>
      <w:pPr>
        <w:ind w:firstLine="480" w:firstLineChars="200"/>
        <w:contextualSpacing/>
        <w:rPr>
          <w:rFonts w:hint="eastAsia" w:ascii="宋体" w:hAnsi="宋体" w:cs="Times New Roman"/>
          <w:sz w:val="24"/>
          <w:highlight w:val="none"/>
          <w:shd w:val="clear"/>
        </w:rPr>
      </w:pPr>
      <w:r>
        <w:rPr>
          <w:rFonts w:hint="eastAsia" w:ascii="宋体" w:hAnsi="宋体" w:cs="Times New Roman"/>
          <w:sz w:val="24"/>
          <w:highlight w:val="none"/>
          <w:shd w:val="clear"/>
        </w:rPr>
        <w:t>施工图设计应按照初步设计阶段制定的技术措施进行设计，形成完整可实施的施工图设计文件。</w:t>
      </w:r>
    </w:p>
    <w:p>
      <w:pPr>
        <w:ind w:firstLine="480" w:firstLineChars="200"/>
        <w:contextualSpacing/>
        <w:rPr>
          <w:rFonts w:hint="eastAsia" w:ascii="宋体" w:hAnsi="宋体" w:cs="Times New Roman"/>
          <w:sz w:val="24"/>
          <w:highlight w:val="none"/>
          <w:shd w:val="clear"/>
        </w:rPr>
      </w:pPr>
      <w:r>
        <w:rPr>
          <w:rFonts w:hint="eastAsia" w:ascii="宋体" w:hAnsi="宋体" w:cs="Times New Roman"/>
          <w:sz w:val="24"/>
          <w:highlight w:val="none"/>
          <w:shd w:val="clear"/>
        </w:rPr>
        <w:t>4、构件深化设计阶段</w:t>
      </w:r>
    </w:p>
    <w:p>
      <w:pPr>
        <w:ind w:firstLine="480" w:firstLineChars="200"/>
        <w:contextualSpacing/>
        <w:rPr>
          <w:rFonts w:hint="eastAsia" w:ascii="宋体" w:hAnsi="宋体"/>
          <w:sz w:val="24"/>
          <w:highlight w:val="none"/>
        </w:rPr>
      </w:pPr>
      <w:r>
        <w:rPr>
          <w:rFonts w:hint="eastAsia" w:ascii="宋体" w:hAnsi="宋体" w:cs="Times New Roman"/>
          <w:sz w:val="24"/>
          <w:highlight w:val="none"/>
          <w:shd w:val="clear"/>
        </w:rPr>
        <w:t>配合装配式预制构件厂家完成预制构件拆分、设计工作。</w:t>
      </w:r>
    </w:p>
    <w:p>
      <w:pPr>
        <w:pStyle w:val="5"/>
        <w:numPr>
          <w:ilvl w:val="0"/>
          <w:numId w:val="0"/>
        </w:numPr>
        <w:spacing w:before="156" w:after="156"/>
        <w:ind w:left="0" w:leftChars="0" w:firstLine="426" w:firstLineChars="0"/>
        <w:rPr>
          <w:highlight w:val="none"/>
        </w:rPr>
      </w:pPr>
      <w:bookmarkStart w:id="62" w:name="_Toc30687"/>
      <w:r>
        <w:rPr>
          <w:rFonts w:ascii="宋体" w:hAnsi="宋体" w:eastAsia="宋体" w:cs="Times New Roman"/>
          <w:bCs/>
          <w:kern w:val="2"/>
          <w:sz w:val="28"/>
          <w:szCs w:val="21"/>
          <w:highlight w:val="none"/>
          <w:lang w:val="en-US" w:eastAsia="zh-CN" w:bidi="ar-SA"/>
          <w14:ligatures w14:val="standardContextual"/>
        </w:rPr>
        <w:t>(</w:t>
      </w:r>
      <w:r>
        <w:rPr>
          <w:rFonts w:hint="eastAsia" w:cs="Times New Roman"/>
          <w:bCs/>
          <w:kern w:val="2"/>
          <w:sz w:val="28"/>
          <w:szCs w:val="21"/>
          <w:highlight w:val="none"/>
          <w:lang w:val="en-US" w:eastAsia="zh-CN" w:bidi="ar-SA"/>
          <w14:ligatures w14:val="standardContextual"/>
        </w:rPr>
        <w:t>五</w:t>
      </w:r>
      <w:r>
        <w:rPr>
          <w:rFonts w:ascii="宋体" w:hAnsi="宋体" w:eastAsia="宋体" w:cs="Times New Roman"/>
          <w:bCs/>
          <w:kern w:val="2"/>
          <w:sz w:val="28"/>
          <w:szCs w:val="21"/>
          <w:highlight w:val="none"/>
          <w:lang w:val="en-US" w:eastAsia="zh-CN" w:bidi="ar-SA"/>
          <w14:ligatures w14:val="standardContextual"/>
        </w:rPr>
        <w:t>)</w:t>
      </w:r>
      <w:r>
        <w:rPr>
          <w:rFonts w:hint="eastAsia"/>
          <w:highlight w:val="none"/>
        </w:rPr>
        <w:t>BIM设计</w:t>
      </w:r>
      <w:bookmarkEnd w:id="62"/>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按照《建筑信息模型施工应用标准》（GB/T51235-2017）、《关于推进建筑信息模型应用的指导意见》（建质函[2015]159号）和《2016-2020年建筑业信息化发展纲要》（建质函[2016]183号）等标准规范文件的要求，在初步设计、施工图设计阶段等方面落实建筑信息模型（BIM）在本项目的创建和应用。</w:t>
      </w:r>
    </w:p>
    <w:p>
      <w:pPr>
        <w:ind w:firstLine="720" w:firstLineChars="300"/>
        <w:rPr>
          <w:rFonts w:ascii="宋体" w:hAnsi="宋体" w:cs="宋体"/>
          <w:sz w:val="24"/>
          <w:highlight w:val="none"/>
          <w:shd w:val="clear" w:color="auto" w:fill="FFFFFF"/>
        </w:rPr>
      </w:pPr>
      <w:bookmarkStart w:id="63" w:name="_Toc19073"/>
      <w:bookmarkStart w:id="64" w:name="_Toc2284"/>
      <w:r>
        <w:rPr>
          <w:rFonts w:hint="eastAsia" w:ascii="宋体" w:hAnsi="宋体" w:cs="宋体"/>
          <w:sz w:val="24"/>
          <w:highlight w:val="none"/>
          <w:shd w:val="clear" w:color="auto" w:fill="FFFFFF"/>
        </w:rPr>
        <w:t>1、工作内容</w:t>
      </w:r>
      <w:bookmarkEnd w:id="63"/>
      <w:bookmarkEnd w:id="64"/>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1.1 设计人应用相关正版软件进行BIM3D建模（包括建筑、结构、电气、给排水、消防、暖通等专业），并负责渲染与生成动画演示。建议建模采用Autodesk软件，计价算量采用广联达软件，模型整合采用Navisworks软件，动画采用3Dmax软件。模型精度要求LOD</w:t>
      </w:r>
      <w:r>
        <w:rPr>
          <w:rFonts w:ascii="宋体" w:hAnsi="宋体" w:cs="宋体"/>
          <w:sz w:val="24"/>
          <w:highlight w:val="none"/>
          <w:shd w:val="clear" w:color="auto" w:fill="FFFFFF"/>
        </w:rPr>
        <w:t>300</w:t>
      </w:r>
      <w:r>
        <w:rPr>
          <w:rFonts w:hint="eastAsia" w:ascii="宋体" w:hAnsi="宋体" w:cs="宋体"/>
          <w:sz w:val="24"/>
          <w:highlight w:val="none"/>
          <w:shd w:val="clear" w:color="auto" w:fill="FFFFFF"/>
        </w:rPr>
        <w:t>。</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1.2 设计人通过BIM模型检查设计成果，如有错误，向发包人提交错误报告；对模型中各专业进行碰撞检测分析，形成碰撞检测报告；并进行管线综合优化，提交优化后的BIM模型。以提升设计和施工效率，减少后续在施工阶段出现的设计变更或修改及施工过程中可能出现的返工浪费。</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 xml:space="preserve">1.3 项目实施过程中，设计人派遣有经验的BIM人员参与施工交底和进行常规巡场工作，并协助施工现场根据施工现场发生的变更（如设计、施工联系单等变更），进行复核。 </w:t>
      </w:r>
    </w:p>
    <w:p>
      <w:pPr>
        <w:ind w:firstLine="720" w:firstLineChars="300"/>
        <w:rPr>
          <w:rFonts w:ascii="宋体" w:hAnsi="宋体" w:cs="宋体"/>
          <w:sz w:val="24"/>
          <w:highlight w:val="none"/>
          <w:shd w:val="clear" w:color="auto" w:fill="FFFFFF"/>
        </w:rPr>
      </w:pPr>
      <w:bookmarkStart w:id="65" w:name="_Toc21570"/>
      <w:bookmarkStart w:id="66" w:name="_Toc15434"/>
      <w:r>
        <w:rPr>
          <w:rFonts w:hint="eastAsia" w:ascii="宋体" w:hAnsi="宋体" w:cs="宋体"/>
          <w:sz w:val="24"/>
          <w:highlight w:val="none"/>
          <w:shd w:val="clear" w:color="auto" w:fill="FFFFFF"/>
        </w:rPr>
        <w:t>2、提交成果要求</w:t>
      </w:r>
      <w:bookmarkEnd w:id="65"/>
      <w:bookmarkEnd w:id="66"/>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2.1设计人向发包人交付约定的成果文件。发包人如需增加成果内容的数量，由双方协商解决。双方确定的项目实施进度要求如下：</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（1） BIM模型建立</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1） 建筑BIM模型</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2） 结构BIM模型</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3） MEP-BIM模型</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4） 效果图渲染</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5） 建筑动画</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（2）设计变更BIM模型修改</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1) 建筑设计变更</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2) 结构设计变更</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3) MEP设计变更</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（3）BIM模型碰撞检测及优化</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1）专业内碰撞</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2）MEP与结构的之间的碰撞</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2.2 BIM模型过程文件须按照发包人要求随时提供给发包人，以供协调、查看之用，并配合发包人进行协调或者按照发包人的具体要求进行协调。</w:t>
      </w:r>
    </w:p>
    <w:p>
      <w:pPr>
        <w:ind w:firstLine="720" w:firstLineChars="300"/>
        <w:rPr>
          <w:rFonts w:ascii="宋体" w:hAnsi="宋体" w:cs="宋体"/>
          <w:sz w:val="24"/>
          <w:highlight w:val="none"/>
          <w:shd w:val="clear" w:color="auto" w:fill="FFFFFF"/>
        </w:rPr>
      </w:pPr>
      <w:r>
        <w:rPr>
          <w:rFonts w:hint="eastAsia" w:ascii="宋体" w:hAnsi="宋体" w:cs="宋体"/>
          <w:sz w:val="24"/>
          <w:highlight w:val="none"/>
          <w:shd w:val="clear" w:color="auto" w:fill="FFFFFF"/>
        </w:rPr>
        <w:t>2.3 提供给发包人一套完整的BIM模型以及相关样板文件（含电子版文件）。</w:t>
      </w:r>
    </w:p>
    <w:p>
      <w:pPr>
        <w:pStyle w:val="5"/>
        <w:numPr>
          <w:ilvl w:val="0"/>
          <w:numId w:val="0"/>
        </w:numPr>
        <w:spacing w:before="156" w:after="156"/>
        <w:ind w:left="0" w:leftChars="0" w:firstLine="426" w:firstLineChars="0"/>
        <w:rPr>
          <w:highlight w:val="none"/>
        </w:rPr>
      </w:pPr>
      <w:bookmarkStart w:id="67" w:name="_Toc26150"/>
      <w:r>
        <w:rPr>
          <w:rFonts w:ascii="宋体" w:hAnsi="宋体" w:eastAsia="宋体" w:cs="Times New Roman"/>
          <w:bCs/>
          <w:kern w:val="2"/>
          <w:sz w:val="28"/>
          <w:szCs w:val="21"/>
          <w:highlight w:val="none"/>
          <w:lang w:val="en-US" w:eastAsia="zh-CN" w:bidi="ar-SA"/>
          <w14:ligatures w14:val="standardContextual"/>
        </w:rPr>
        <w:t>(</w:t>
      </w:r>
      <w:r>
        <w:rPr>
          <w:rFonts w:hint="eastAsia" w:cs="Times New Roman"/>
          <w:bCs/>
          <w:kern w:val="2"/>
          <w:sz w:val="28"/>
          <w:szCs w:val="21"/>
          <w:highlight w:val="none"/>
          <w:lang w:val="en-US" w:eastAsia="zh-CN" w:bidi="ar-SA"/>
          <w14:ligatures w14:val="standardContextual"/>
        </w:rPr>
        <w:t>六</w:t>
      </w:r>
      <w:r>
        <w:rPr>
          <w:rFonts w:ascii="宋体" w:hAnsi="宋体" w:eastAsia="宋体" w:cs="Times New Roman"/>
          <w:bCs/>
          <w:kern w:val="2"/>
          <w:sz w:val="28"/>
          <w:szCs w:val="21"/>
          <w:highlight w:val="none"/>
          <w:lang w:val="en-US" w:eastAsia="zh-CN" w:bidi="ar-SA"/>
          <w14:ligatures w14:val="standardContextual"/>
        </w:rPr>
        <w:t>)</w:t>
      </w:r>
      <w:r>
        <w:rPr>
          <w:rFonts w:hint="eastAsia"/>
          <w:highlight w:val="none"/>
        </w:rPr>
        <w:t>缺陷责任期的项目全过程勘察设计。</w:t>
      </w:r>
      <w:bookmarkEnd w:id="67"/>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rPr>
        <w:t>设计专业包括不限于场地平整、基坑支护及土方工程、建筑、结构、给排水、强电、消防、暖通、燃气、弱电智能化（含智能化系统项目建设方案）（如有）、装配式建筑、污水处理、废气处理、人防工程、室内装修、幕墙、节能、劳动安全卫生、消防的专项流程、基础配套设施、室内外管线综合平衡、</w:t>
      </w:r>
      <w:r>
        <w:rPr>
          <w:rFonts w:hint="eastAsia" w:ascii="宋体" w:hAnsi="宋体" w:eastAsia="宋体"/>
          <w:sz w:val="24"/>
          <w:szCs w:val="24"/>
          <w:highlight w:val="none"/>
        </w:rPr>
        <w:t>室内外体育设施、</w:t>
      </w:r>
      <w:r>
        <w:rPr>
          <w:rFonts w:hint="eastAsia" w:ascii="宋体" w:hAnsi="宋体" w:eastAsia="宋体" w:cs="宋体"/>
          <w:kern w:val="28"/>
          <w:sz w:val="24"/>
          <w:highlight w:val="none"/>
        </w:rPr>
        <w:t>室外市政、景观园建、室内外标识系统、海绵城市、设备选型等。</w:t>
      </w:r>
    </w:p>
    <w:p>
      <w:pPr>
        <w:pStyle w:val="5"/>
        <w:numPr>
          <w:ilvl w:val="0"/>
          <w:numId w:val="0"/>
        </w:numPr>
        <w:spacing w:before="156" w:after="156"/>
        <w:ind w:left="0" w:leftChars="0" w:firstLine="426" w:firstLineChars="0"/>
        <w:rPr>
          <w:rFonts w:hint="eastAsia" w:ascii="宋体" w:hAnsi="宋体" w:eastAsia="宋体" w:cs="Times New Roman"/>
          <w:highlight w:val="none"/>
          <w:lang w:val="en-US" w:eastAsia="zh-CN"/>
        </w:rPr>
      </w:pPr>
      <w:bookmarkStart w:id="68" w:name="_Toc4801"/>
      <w:r>
        <w:rPr>
          <w:rFonts w:hint="eastAsia" w:ascii="宋体" w:hAnsi="宋体" w:eastAsia="宋体" w:cs="Times New Roman"/>
          <w:highlight w:val="none"/>
          <w:lang w:val="en-US" w:eastAsia="zh-CN"/>
        </w:rPr>
        <w:t>(</w:t>
      </w:r>
      <w:r>
        <w:rPr>
          <w:rFonts w:hint="eastAsia" w:cs="Times New Roman"/>
          <w:highlight w:val="none"/>
          <w:lang w:val="en-US" w:eastAsia="zh-CN"/>
        </w:rPr>
        <w:t>七</w:t>
      </w:r>
      <w:r>
        <w:rPr>
          <w:rFonts w:hint="eastAsia" w:ascii="宋体" w:hAnsi="宋体" w:eastAsia="宋体" w:cs="Times New Roman"/>
          <w:highlight w:val="none"/>
          <w:lang w:val="en-US" w:eastAsia="zh-CN"/>
        </w:rPr>
        <w:t>)</w:t>
      </w:r>
      <w:r>
        <w:rPr>
          <w:rFonts w:hint="eastAsia" w:ascii="宋体" w:hAnsi="宋体" w:eastAsia="宋体" w:cs="Times New Roman"/>
          <w:highlight w:val="none"/>
        </w:rPr>
        <w:t>项目总建筑师及其团队服务内容</w:t>
      </w:r>
      <w:r>
        <w:rPr>
          <w:rFonts w:hint="eastAsia" w:ascii="宋体" w:hAnsi="宋体" w:eastAsia="宋体" w:cs="Times New Roman"/>
          <w:highlight w:val="none"/>
          <w:lang w:eastAsia="zh-CN"/>
        </w:rPr>
        <w:t>。</w:t>
      </w:r>
      <w:bookmarkEnd w:id="68"/>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rPr>
        <w:t>项目总建筑师及其团队服务内容根据【《广州市住房和城乡建设局关于印发&lt;广州市建筑师负责制试点实施工作方案（试行）&gt;的通知》（穗建技[2022]852号）】文件</w:t>
      </w:r>
      <w:r>
        <w:rPr>
          <w:rFonts w:hint="eastAsia" w:ascii="仿宋" w:hAnsi="仿宋" w:eastAsia="仿宋"/>
          <w:b w:val="0"/>
          <w:bCs w:val="0"/>
          <w:color w:val="auto"/>
          <w:sz w:val="24"/>
          <w:szCs w:val="24"/>
          <w:highlight w:val="none"/>
          <w:lang w:eastAsia="zh-CN"/>
        </w:rPr>
        <w:t>做好相关工作</w:t>
      </w:r>
      <w:r>
        <w:rPr>
          <w:rFonts w:hint="eastAsia" w:ascii="宋体" w:hAnsi="宋体" w:eastAsia="宋体" w:cs="宋体"/>
          <w:kern w:val="28"/>
          <w:sz w:val="24"/>
          <w:highlight w:val="none"/>
        </w:rPr>
        <w:t>，为本项目建筑工程提供服务。具体服务内容如下：</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w:t>
      </w:r>
      <w:r>
        <w:rPr>
          <w:rFonts w:hint="eastAsia" w:ascii="宋体" w:hAnsi="宋体" w:eastAsia="宋体" w:cs="宋体"/>
          <w:kern w:val="28"/>
          <w:sz w:val="24"/>
          <w:highlight w:val="none"/>
        </w:rPr>
        <w:t>总图设计。</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2、</w:t>
      </w:r>
      <w:r>
        <w:rPr>
          <w:rFonts w:hint="eastAsia" w:ascii="宋体" w:hAnsi="宋体" w:eastAsia="宋体" w:cs="宋体"/>
          <w:kern w:val="28"/>
          <w:sz w:val="24"/>
          <w:highlight w:val="none"/>
        </w:rPr>
        <w:t>明确设计目标、设计标准、制订设计工期计划。</w:t>
      </w:r>
    </w:p>
    <w:p>
      <w:pPr>
        <w:ind w:firstLine="480" w:firstLineChars="200"/>
        <w:rPr>
          <w:rFonts w:hint="eastAsia" w:ascii="宋体" w:hAnsi="宋体" w:eastAsia="宋体" w:cs="宋体"/>
          <w:kern w:val="28"/>
          <w:sz w:val="24"/>
          <w:highlight w:val="none"/>
          <w:lang w:eastAsia="zh-CN"/>
        </w:rPr>
      </w:pPr>
      <w:r>
        <w:rPr>
          <w:rFonts w:hint="eastAsia" w:ascii="宋体" w:hAnsi="宋体" w:eastAsia="宋体" w:cs="宋体"/>
          <w:kern w:val="28"/>
          <w:sz w:val="24"/>
          <w:highlight w:val="none"/>
          <w:lang w:val="en-US" w:eastAsia="zh-CN"/>
        </w:rPr>
        <w:t>3、</w:t>
      </w:r>
      <w:r>
        <w:rPr>
          <w:rFonts w:hint="eastAsia" w:ascii="宋体" w:hAnsi="宋体" w:eastAsia="宋体" w:cs="宋体"/>
          <w:kern w:val="28"/>
          <w:sz w:val="24"/>
          <w:highlight w:val="none"/>
        </w:rPr>
        <w:t>设计任务书审核</w:t>
      </w:r>
      <w:r>
        <w:rPr>
          <w:rFonts w:hint="eastAsia" w:ascii="宋体" w:hAnsi="宋体" w:eastAsia="宋体" w:cs="宋体"/>
          <w:kern w:val="28"/>
          <w:sz w:val="24"/>
          <w:highlight w:val="none"/>
          <w:lang w:val="en-US" w:eastAsia="zh-CN"/>
        </w:rPr>
        <w:t>。</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4、</w:t>
      </w:r>
      <w:r>
        <w:rPr>
          <w:rFonts w:hint="eastAsia" w:ascii="宋体" w:hAnsi="宋体" w:eastAsia="宋体" w:cs="宋体"/>
          <w:kern w:val="28"/>
          <w:sz w:val="24"/>
          <w:highlight w:val="none"/>
        </w:rPr>
        <w:t>概念方案深化及优化、估算。</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5、</w:t>
      </w:r>
      <w:r>
        <w:rPr>
          <w:rFonts w:hint="eastAsia" w:ascii="宋体" w:hAnsi="宋体" w:eastAsia="宋体" w:cs="宋体"/>
          <w:kern w:val="28"/>
          <w:sz w:val="24"/>
          <w:highlight w:val="none"/>
        </w:rPr>
        <w:t>初步设计、概算，组织设计审查及优化。</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6、</w:t>
      </w:r>
      <w:r>
        <w:rPr>
          <w:rFonts w:hint="eastAsia" w:ascii="宋体" w:hAnsi="宋体" w:eastAsia="宋体" w:cs="宋体"/>
          <w:kern w:val="28"/>
          <w:sz w:val="24"/>
          <w:highlight w:val="none"/>
        </w:rPr>
        <w:t>施工图设计，设计审查及优化。</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7、</w:t>
      </w:r>
      <w:r>
        <w:rPr>
          <w:rFonts w:hint="eastAsia" w:ascii="宋体" w:hAnsi="宋体" w:eastAsia="宋体" w:cs="宋体"/>
          <w:kern w:val="28"/>
          <w:sz w:val="24"/>
          <w:highlight w:val="none"/>
        </w:rPr>
        <w:t>提交材料技术规格书、设计样板，确定视觉样板范围及设计。</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8、</w:t>
      </w:r>
      <w:r>
        <w:rPr>
          <w:rFonts w:hint="eastAsia" w:ascii="宋体" w:hAnsi="宋体" w:eastAsia="宋体" w:cs="宋体"/>
          <w:kern w:val="28"/>
          <w:sz w:val="24"/>
          <w:highlight w:val="none"/>
        </w:rPr>
        <w:t>预算编制或审核（如有）。</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9、</w:t>
      </w:r>
      <w:r>
        <w:rPr>
          <w:rFonts w:hint="eastAsia" w:ascii="宋体" w:hAnsi="宋体" w:eastAsia="宋体" w:cs="宋体"/>
          <w:kern w:val="28"/>
          <w:sz w:val="24"/>
          <w:highlight w:val="none"/>
        </w:rPr>
        <w:t>整合及审核专项设计（人防、幕墙、室内装修、景观、海</w:t>
      </w:r>
      <w:r>
        <w:rPr>
          <w:rFonts w:hint="eastAsia" w:ascii="宋体" w:hAnsi="宋体" w:eastAsia="宋体" w:cs="宋体"/>
          <w:kern w:val="28"/>
          <w:sz w:val="24"/>
          <w:highlight w:val="none"/>
          <w:lang w:eastAsia="zh-CN"/>
        </w:rPr>
        <w:t>绵</w:t>
      </w:r>
      <w:r>
        <w:rPr>
          <w:rFonts w:hint="eastAsia" w:ascii="宋体" w:hAnsi="宋体" w:eastAsia="宋体" w:cs="宋体"/>
          <w:kern w:val="28"/>
          <w:sz w:val="24"/>
          <w:highlight w:val="none"/>
        </w:rPr>
        <w:t>城市等及施工深化图设计）。</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11、</w:t>
      </w:r>
      <w:r>
        <w:rPr>
          <w:rFonts w:hint="eastAsia" w:ascii="宋体" w:hAnsi="宋体" w:eastAsia="宋体" w:cs="宋体"/>
          <w:kern w:val="28"/>
          <w:sz w:val="24"/>
          <w:highlight w:val="none"/>
        </w:rPr>
        <w:t>协助编制材料和主要设备清单。</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12、</w:t>
      </w:r>
      <w:r>
        <w:rPr>
          <w:rFonts w:hint="eastAsia" w:ascii="宋体" w:hAnsi="宋体" w:eastAsia="宋体" w:cs="宋体"/>
          <w:kern w:val="28"/>
          <w:sz w:val="24"/>
          <w:highlight w:val="none"/>
        </w:rPr>
        <w:t>协助编制并协商合同技术部分条款。</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13、</w:t>
      </w:r>
      <w:r>
        <w:rPr>
          <w:rFonts w:hint="eastAsia" w:ascii="宋体" w:hAnsi="宋体" w:eastAsia="宋体" w:cs="宋体"/>
          <w:kern w:val="28"/>
          <w:sz w:val="24"/>
          <w:highlight w:val="none"/>
        </w:rPr>
        <w:t>设计交底、图纸会审。</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14、</w:t>
      </w:r>
      <w:r>
        <w:rPr>
          <w:rFonts w:hint="eastAsia" w:ascii="宋体" w:hAnsi="宋体" w:eastAsia="宋体" w:cs="宋体"/>
          <w:kern w:val="28"/>
          <w:sz w:val="24"/>
          <w:highlight w:val="none"/>
        </w:rPr>
        <w:t>审核施工详图和施工深化及加工图。</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15、</w:t>
      </w:r>
      <w:r>
        <w:rPr>
          <w:rFonts w:hint="eastAsia" w:ascii="宋体" w:hAnsi="宋体" w:eastAsia="宋体" w:cs="宋体"/>
          <w:kern w:val="28"/>
          <w:sz w:val="24"/>
          <w:highlight w:val="none"/>
        </w:rPr>
        <w:t>协助确认材料、设备样板，审查视觉样板间。</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16、</w:t>
      </w:r>
      <w:r>
        <w:rPr>
          <w:rFonts w:hint="eastAsia" w:ascii="宋体" w:hAnsi="宋体" w:eastAsia="宋体" w:cs="宋体"/>
          <w:kern w:val="28"/>
          <w:sz w:val="24"/>
          <w:highlight w:val="none"/>
        </w:rPr>
        <w:t>设计管控、设计变更管理。</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17、</w:t>
      </w:r>
      <w:r>
        <w:rPr>
          <w:rFonts w:hint="eastAsia" w:ascii="宋体" w:hAnsi="宋体" w:eastAsia="宋体" w:cs="宋体"/>
          <w:kern w:val="28"/>
          <w:sz w:val="24"/>
          <w:highlight w:val="none"/>
        </w:rPr>
        <w:t>巡场并编写巡场报告。</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18、</w:t>
      </w:r>
      <w:r>
        <w:rPr>
          <w:rFonts w:hint="eastAsia" w:ascii="宋体" w:hAnsi="宋体" w:eastAsia="宋体" w:cs="宋体"/>
          <w:kern w:val="28"/>
          <w:sz w:val="24"/>
          <w:highlight w:val="none"/>
        </w:rPr>
        <w:t>参加隐蔽工程验收。</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19、</w:t>
      </w:r>
      <w:r>
        <w:rPr>
          <w:rFonts w:hint="eastAsia" w:ascii="宋体" w:hAnsi="宋体" w:eastAsia="宋体" w:cs="宋体"/>
          <w:kern w:val="28"/>
          <w:sz w:val="24"/>
          <w:highlight w:val="none"/>
        </w:rPr>
        <w:t>协助行政审批相关工作。</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20、</w:t>
      </w:r>
      <w:r>
        <w:rPr>
          <w:rFonts w:hint="eastAsia" w:ascii="宋体" w:hAnsi="宋体" w:eastAsia="宋体" w:cs="宋体"/>
          <w:kern w:val="28"/>
          <w:sz w:val="24"/>
          <w:highlight w:val="none"/>
        </w:rPr>
        <w:t>编制竣工图和使用手册。</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21、</w:t>
      </w:r>
      <w:r>
        <w:rPr>
          <w:rFonts w:hint="eastAsia" w:ascii="宋体" w:hAnsi="宋体" w:eastAsia="宋体" w:cs="宋体"/>
          <w:kern w:val="28"/>
          <w:sz w:val="24"/>
          <w:highlight w:val="none"/>
        </w:rPr>
        <w:t>参与工程验收和竣工交付，协助文件归档。</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22、</w:t>
      </w:r>
      <w:r>
        <w:rPr>
          <w:rFonts w:hint="eastAsia" w:ascii="宋体" w:hAnsi="宋体" w:eastAsia="宋体" w:cs="宋体"/>
          <w:kern w:val="28"/>
          <w:sz w:val="24"/>
          <w:highlight w:val="none"/>
        </w:rPr>
        <w:t>配合竣工结算、决算报告。</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23、</w:t>
      </w:r>
      <w:r>
        <w:rPr>
          <w:rFonts w:hint="eastAsia" w:ascii="宋体" w:hAnsi="宋体" w:eastAsia="宋体" w:cs="宋体"/>
          <w:kern w:val="28"/>
          <w:sz w:val="24"/>
          <w:highlight w:val="none"/>
        </w:rPr>
        <w:t>技术经济指标分析。</w:t>
      </w:r>
    </w:p>
    <w:p>
      <w:pPr>
        <w:ind w:firstLine="480" w:firstLineChars="200"/>
        <w:rPr>
          <w:rFonts w:hint="eastAsia" w:ascii="宋体" w:hAnsi="宋体" w:eastAsia="宋体" w:cs="宋体"/>
          <w:kern w:val="28"/>
          <w:sz w:val="24"/>
          <w:highlight w:val="none"/>
        </w:rPr>
      </w:pPr>
      <w:r>
        <w:rPr>
          <w:rFonts w:hint="eastAsia" w:ascii="宋体" w:hAnsi="宋体" w:eastAsia="宋体" w:cs="宋体"/>
          <w:kern w:val="28"/>
          <w:sz w:val="24"/>
          <w:highlight w:val="none"/>
          <w:lang w:val="en-US" w:eastAsia="zh-CN"/>
        </w:rPr>
        <w:t>24、</w:t>
      </w:r>
      <w:r>
        <w:rPr>
          <w:rFonts w:hint="eastAsia" w:ascii="宋体" w:hAnsi="宋体" w:eastAsia="宋体" w:cs="宋体"/>
          <w:kern w:val="28"/>
          <w:sz w:val="24"/>
          <w:highlight w:val="none"/>
        </w:rPr>
        <w:t>配合审计等。</w:t>
      </w:r>
    </w:p>
    <w:p>
      <w:pPr>
        <w:pStyle w:val="4"/>
        <w:numPr>
          <w:ilvl w:val="0"/>
          <w:numId w:val="0"/>
        </w:numPr>
        <w:spacing w:before="120" w:after="120" w:line="360" w:lineRule="auto"/>
        <w:ind w:left="0" w:leftChars="0" w:firstLine="0" w:firstLineChars="0"/>
        <w:rPr>
          <w:rFonts w:ascii="宋体" w:hAnsi="宋体"/>
          <w:highlight w:val="none"/>
        </w:rPr>
      </w:pPr>
      <w:bookmarkStart w:id="69" w:name="_Toc4878"/>
      <w:r>
        <w:rPr>
          <w:rFonts w:hint="eastAsia" w:ascii="宋体" w:hAnsi="宋体" w:eastAsia="宋体" w:cs="黑体"/>
          <w:b/>
          <w:bCs/>
          <w:kern w:val="2"/>
          <w:sz w:val="32"/>
          <w:szCs w:val="32"/>
          <w:highlight w:val="none"/>
          <w:lang w:val="en-US" w:eastAsia="zh-CN" w:bidi="ar-SA"/>
          <w14:ligatures w14:val="standardContextual"/>
        </w:rPr>
        <w:t>三、</w:t>
      </w:r>
      <w:r>
        <w:rPr>
          <w:rFonts w:hint="eastAsia" w:ascii="宋体" w:hAnsi="宋体"/>
          <w:highlight w:val="none"/>
        </w:rPr>
        <w:t>建设用地现状情况</w:t>
      </w:r>
      <w:bookmarkEnd w:id="57"/>
      <w:bookmarkEnd w:id="58"/>
      <w:bookmarkEnd w:id="69"/>
    </w:p>
    <w:p>
      <w:pPr>
        <w:pStyle w:val="50"/>
        <w:numPr>
          <w:ilvl w:val="0"/>
          <w:numId w:val="0"/>
        </w:numPr>
        <w:spacing w:before="240" w:after="120"/>
        <w:ind w:left="0" w:leftChars="0" w:firstLine="425" w:firstLineChars="152"/>
        <w:outlineLvl w:val="2"/>
        <w:rPr>
          <w:rFonts w:ascii="宋体" w:hAnsi="宋体" w:eastAsia="宋体" w:cs="黑体"/>
          <w:bCs/>
          <w:szCs w:val="21"/>
          <w:highlight w:val="none"/>
        </w:rPr>
      </w:pPr>
      <w:bookmarkStart w:id="70" w:name="_Toc462255917"/>
      <w:bookmarkStart w:id="71" w:name="_Toc462255833"/>
      <w:bookmarkStart w:id="72" w:name="_Toc31354"/>
      <w:r>
        <w:rPr>
          <w:rFonts w:ascii="宋体" w:hAnsi="宋体" w:eastAsia="宋体" w:cs="黑体"/>
          <w:bCs/>
          <w:kern w:val="2"/>
          <w:sz w:val="28"/>
          <w:szCs w:val="21"/>
          <w:highlight w:val="none"/>
          <w:lang w:val="en-US" w:eastAsia="zh-CN" w:bidi="ar-SA"/>
          <w14:ligatures w14:val="standardContextual"/>
        </w:rPr>
        <w:t>(一)</w:t>
      </w:r>
      <w:r>
        <w:rPr>
          <w:rFonts w:hint="eastAsia" w:ascii="宋体" w:hAnsi="宋体" w:eastAsia="宋体" w:cs="黑体"/>
          <w:bCs/>
          <w:szCs w:val="21"/>
          <w:highlight w:val="none"/>
        </w:rPr>
        <w:t>自然条件</w:t>
      </w:r>
      <w:bookmarkEnd w:id="70"/>
      <w:bookmarkEnd w:id="71"/>
      <w:bookmarkEnd w:id="72"/>
    </w:p>
    <w:p>
      <w:pPr>
        <w:ind w:firstLine="480" w:firstLineChars="200"/>
        <w:rPr>
          <w:rFonts w:ascii="宋体" w:hAnsi="宋体"/>
          <w:sz w:val="24"/>
          <w:szCs w:val="21"/>
          <w:highlight w:val="none"/>
        </w:rPr>
      </w:pPr>
      <w:r>
        <w:rPr>
          <w:rFonts w:hint="eastAsia" w:ascii="宋体" w:hAnsi="宋体"/>
          <w:sz w:val="24"/>
          <w:szCs w:val="21"/>
          <w:highlight w:val="none"/>
        </w:rPr>
        <w:t>1.地理位置</w:t>
      </w:r>
    </w:p>
    <w:p>
      <w:pPr>
        <w:ind w:firstLine="480" w:firstLineChars="200"/>
        <w:rPr>
          <w:rFonts w:ascii="宋体" w:hAnsi="宋体"/>
          <w:sz w:val="24"/>
          <w:szCs w:val="21"/>
          <w:highlight w:val="none"/>
        </w:rPr>
      </w:pPr>
      <w:r>
        <w:rPr>
          <w:rFonts w:hint="eastAsia" w:ascii="宋体" w:hAnsi="宋体" w:cs="宋体"/>
          <w:kern w:val="28"/>
          <w:sz w:val="24"/>
          <w:szCs w:val="21"/>
          <w:highlight w:val="none"/>
        </w:rPr>
        <w:t>项目位于增城区朱村街广州科教城中轴线东侧，市医药职业学校以西，叠翠湖公园以南，富士康科技小镇（一期）以北。</w:t>
      </w:r>
    </w:p>
    <w:p>
      <w:pPr>
        <w:pStyle w:val="50"/>
        <w:numPr>
          <w:ilvl w:val="0"/>
          <w:numId w:val="3"/>
        </w:numPr>
        <w:ind w:left="0" w:firstLine="480" w:firstLineChars="0"/>
        <w:outlineLvl w:val="3"/>
        <w:rPr>
          <w:rFonts w:ascii="宋体" w:hAnsi="宋体" w:eastAsia="宋体"/>
          <w:kern w:val="28"/>
          <w:sz w:val="24"/>
          <w:szCs w:val="24"/>
          <w:highlight w:val="none"/>
        </w:rPr>
      </w:pPr>
      <w:r>
        <w:rPr>
          <w:rFonts w:hint="eastAsia" w:ascii="宋体" w:hAnsi="宋体" w:eastAsia="宋体"/>
          <w:kern w:val="28"/>
          <w:sz w:val="24"/>
          <w:szCs w:val="24"/>
          <w:highlight w:val="none"/>
        </w:rPr>
        <w:t>地形地貌及区域地质</w:t>
      </w:r>
    </w:p>
    <w:p>
      <w:pPr>
        <w:ind w:firstLine="480" w:firstLineChars="200"/>
        <w:rPr>
          <w:rFonts w:ascii="宋体" w:hAnsi="宋体"/>
          <w:sz w:val="24"/>
          <w:szCs w:val="21"/>
          <w:highlight w:val="none"/>
        </w:rPr>
      </w:pPr>
      <w:r>
        <w:rPr>
          <w:rFonts w:hint="eastAsia" w:ascii="宋体" w:hAnsi="宋体"/>
          <w:sz w:val="24"/>
          <w:szCs w:val="21"/>
          <w:highlight w:val="none"/>
        </w:rPr>
        <w:t>项目拟建场址空气清新、阳光充足、排水通畅、环境适宜。周围无毗邻集贸市场、公共娱乐场所、医院传染病房、太平间、公安看守所等不利于学生学习和身心健康以及危及学生安全的场所，周边配套道路规划完善。</w:t>
      </w:r>
    </w:p>
    <w:p>
      <w:pPr>
        <w:pStyle w:val="50"/>
        <w:numPr>
          <w:ilvl w:val="0"/>
          <w:numId w:val="0"/>
        </w:numPr>
        <w:spacing w:before="240" w:after="120"/>
        <w:ind w:left="0" w:leftChars="0" w:firstLine="425" w:firstLineChars="152"/>
        <w:outlineLvl w:val="2"/>
        <w:rPr>
          <w:rFonts w:ascii="宋体" w:hAnsi="宋体" w:eastAsia="宋体" w:cs="黑体"/>
          <w:bCs/>
          <w:szCs w:val="21"/>
          <w:highlight w:val="none"/>
        </w:rPr>
      </w:pPr>
      <w:bookmarkStart w:id="73" w:name="_Toc23341"/>
      <w:r>
        <w:rPr>
          <w:rFonts w:ascii="宋体" w:hAnsi="宋体" w:eastAsia="宋体" w:cs="黑体"/>
          <w:bCs/>
          <w:kern w:val="2"/>
          <w:sz w:val="28"/>
          <w:szCs w:val="21"/>
          <w:highlight w:val="none"/>
          <w:lang w:val="en-US" w:eastAsia="zh-CN" w:bidi="ar-SA"/>
          <w14:ligatures w14:val="standardContextual"/>
        </w:rPr>
        <w:t>(二)</w:t>
      </w:r>
      <w:r>
        <w:rPr>
          <w:rFonts w:hint="eastAsia" w:ascii="宋体" w:hAnsi="宋体" w:eastAsia="宋体" w:cs="黑体"/>
          <w:bCs/>
          <w:szCs w:val="21"/>
          <w:highlight w:val="none"/>
        </w:rPr>
        <w:t>气候条件</w:t>
      </w:r>
      <w:bookmarkEnd w:id="73"/>
    </w:p>
    <w:p>
      <w:pPr>
        <w:ind w:firstLine="480" w:firstLineChars="200"/>
        <w:rPr>
          <w:rFonts w:ascii="宋体" w:hAnsi="宋体"/>
          <w:sz w:val="24"/>
          <w:szCs w:val="21"/>
          <w:highlight w:val="none"/>
        </w:rPr>
      </w:pPr>
      <w:r>
        <w:rPr>
          <w:rFonts w:hint="eastAsia" w:ascii="宋体" w:hAnsi="宋体"/>
          <w:sz w:val="24"/>
          <w:szCs w:val="21"/>
          <w:highlight w:val="none"/>
        </w:rPr>
        <w:t>增城区属南亚热带海洋性季风气候，北回归线经过增城北部，特点是气温高、雨量充沛、霜日少、光照充足，全年都可栽培作物。但因季风交替迟早及强弱不同，气候多变。受地势影响，北部山区与南部平原气候有差异。一年四季的气候特征：春季，从立春日起，阴雨连绵空气潮湿，温度较低，一般是</w:t>
      </w:r>
      <w:r>
        <w:rPr>
          <w:rFonts w:ascii="宋体" w:hAnsi="宋体"/>
          <w:sz w:val="24"/>
          <w:szCs w:val="21"/>
          <w:highlight w:val="none"/>
        </w:rPr>
        <w:t>12.7</w:t>
      </w:r>
      <w:r>
        <w:rPr>
          <w:rFonts w:hint="eastAsia" w:ascii="宋体" w:hAnsi="宋体"/>
          <w:sz w:val="24"/>
          <w:szCs w:val="21"/>
          <w:highlight w:val="none"/>
        </w:rPr>
        <w:t>~</w:t>
      </w:r>
      <w:r>
        <w:rPr>
          <w:rFonts w:ascii="宋体" w:hAnsi="宋体"/>
          <w:sz w:val="24"/>
          <w:szCs w:val="21"/>
          <w:highlight w:val="none"/>
        </w:rPr>
        <w:t>21.7</w:t>
      </w:r>
      <w:r>
        <w:rPr>
          <w:rFonts w:hint="eastAsia" w:ascii="宋体" w:hAnsi="宋体"/>
          <w:sz w:val="24"/>
          <w:szCs w:val="21"/>
          <w:highlight w:val="none"/>
        </w:rPr>
        <w:t>℃之间。夏季，从</w:t>
      </w:r>
      <w:r>
        <w:rPr>
          <w:rFonts w:ascii="宋体" w:hAnsi="宋体"/>
          <w:sz w:val="24"/>
          <w:szCs w:val="21"/>
          <w:highlight w:val="none"/>
        </w:rPr>
        <w:t>4</w:t>
      </w:r>
      <w:r>
        <w:rPr>
          <w:rFonts w:hint="eastAsia" w:ascii="宋体" w:hAnsi="宋体"/>
          <w:sz w:val="24"/>
          <w:szCs w:val="21"/>
          <w:highlight w:val="none"/>
        </w:rPr>
        <w:t>月中旬始，气温上升，最高气温为</w:t>
      </w:r>
      <w:r>
        <w:rPr>
          <w:rFonts w:ascii="宋体" w:hAnsi="宋体"/>
          <w:sz w:val="24"/>
          <w:szCs w:val="21"/>
          <w:highlight w:val="none"/>
        </w:rPr>
        <w:t>28.5</w:t>
      </w:r>
      <w:r>
        <w:rPr>
          <w:rFonts w:hint="eastAsia" w:ascii="宋体" w:hAnsi="宋体"/>
          <w:sz w:val="24"/>
          <w:szCs w:val="21"/>
          <w:highlight w:val="none"/>
        </w:rPr>
        <w:t>℃，天气常受副热带高压控制，空气闷热；</w:t>
      </w:r>
      <w:r>
        <w:rPr>
          <w:rFonts w:ascii="宋体" w:hAnsi="宋体"/>
          <w:sz w:val="24"/>
          <w:szCs w:val="21"/>
          <w:highlight w:val="none"/>
        </w:rPr>
        <w:t>4~6</w:t>
      </w:r>
      <w:r>
        <w:rPr>
          <w:rFonts w:hint="eastAsia" w:ascii="宋体" w:hAnsi="宋体"/>
          <w:sz w:val="24"/>
          <w:szCs w:val="21"/>
          <w:highlight w:val="none"/>
        </w:rPr>
        <w:t>月份多锋面雨，</w:t>
      </w:r>
      <w:r>
        <w:rPr>
          <w:rFonts w:ascii="宋体" w:hAnsi="宋体"/>
          <w:sz w:val="24"/>
          <w:szCs w:val="21"/>
          <w:highlight w:val="none"/>
        </w:rPr>
        <w:t>7~9</w:t>
      </w:r>
      <w:r>
        <w:rPr>
          <w:rFonts w:hint="eastAsia" w:ascii="宋体" w:hAnsi="宋体"/>
          <w:sz w:val="24"/>
          <w:szCs w:val="21"/>
          <w:highlight w:val="none"/>
        </w:rPr>
        <w:t>月份多台风雨；常发生洪涝灾害。秋季，从</w:t>
      </w:r>
      <w:r>
        <w:rPr>
          <w:rFonts w:ascii="宋体" w:hAnsi="宋体"/>
          <w:sz w:val="24"/>
          <w:szCs w:val="21"/>
          <w:highlight w:val="none"/>
        </w:rPr>
        <w:t>10</w:t>
      </w:r>
      <w:r>
        <w:rPr>
          <w:rFonts w:hint="eastAsia" w:ascii="宋体" w:hAnsi="宋体"/>
          <w:sz w:val="24"/>
          <w:szCs w:val="21"/>
          <w:highlight w:val="none"/>
        </w:rPr>
        <w:t>月下旬始，受北方干冷空气南下影响，气温下降，干旱少雨，但天气凉爽；</w:t>
      </w:r>
      <w:r>
        <w:rPr>
          <w:rFonts w:ascii="宋体" w:hAnsi="宋体"/>
          <w:sz w:val="24"/>
          <w:szCs w:val="21"/>
          <w:highlight w:val="none"/>
        </w:rPr>
        <w:t>12~1</w:t>
      </w:r>
      <w:r>
        <w:rPr>
          <w:rFonts w:hint="eastAsia" w:ascii="宋体" w:hAnsi="宋体"/>
          <w:sz w:val="24"/>
          <w:szCs w:val="21"/>
          <w:highlight w:val="none"/>
        </w:rPr>
        <w:t>月，常有寒潮侵袭，偶有霜天。冬季，境内无气候学上的冬季，但人们仍将气温较低的</w:t>
      </w:r>
      <w:r>
        <w:rPr>
          <w:rFonts w:ascii="宋体" w:hAnsi="宋体"/>
          <w:sz w:val="24"/>
          <w:szCs w:val="21"/>
          <w:highlight w:val="none"/>
        </w:rPr>
        <w:t>11~1</w:t>
      </w:r>
      <w:r>
        <w:rPr>
          <w:rFonts w:hint="eastAsia" w:ascii="宋体" w:hAnsi="宋体"/>
          <w:sz w:val="24"/>
          <w:szCs w:val="21"/>
          <w:highlight w:val="none"/>
        </w:rPr>
        <w:t>月称为冬季。多年平均气压为</w:t>
      </w:r>
      <w:r>
        <w:rPr>
          <w:rFonts w:ascii="宋体" w:hAnsi="宋体"/>
          <w:sz w:val="24"/>
          <w:szCs w:val="21"/>
          <w:highlight w:val="none"/>
        </w:rPr>
        <w:t>1012.2</w:t>
      </w:r>
      <w:r>
        <w:rPr>
          <w:rFonts w:hint="eastAsia" w:ascii="宋体" w:hAnsi="宋体"/>
          <w:sz w:val="24"/>
          <w:szCs w:val="21"/>
          <w:highlight w:val="none"/>
        </w:rPr>
        <w:t>毫巴，冬夏相差较大。冬季受极地高压控制，气压较高，</w:t>
      </w:r>
      <w:r>
        <w:rPr>
          <w:rFonts w:ascii="宋体" w:hAnsi="宋体"/>
          <w:sz w:val="24"/>
          <w:szCs w:val="21"/>
          <w:highlight w:val="none"/>
        </w:rPr>
        <w:t>12~1</w:t>
      </w:r>
      <w:r>
        <w:rPr>
          <w:rFonts w:hint="eastAsia" w:ascii="宋体" w:hAnsi="宋体"/>
          <w:sz w:val="24"/>
          <w:szCs w:val="21"/>
          <w:highlight w:val="none"/>
        </w:rPr>
        <w:t>月平均</w:t>
      </w:r>
      <w:r>
        <w:rPr>
          <w:rFonts w:ascii="宋体" w:hAnsi="宋体"/>
          <w:sz w:val="24"/>
          <w:szCs w:val="21"/>
          <w:highlight w:val="none"/>
        </w:rPr>
        <w:t>1020</w:t>
      </w:r>
      <w:r>
        <w:rPr>
          <w:rFonts w:hint="eastAsia" w:ascii="宋体" w:hAnsi="宋体"/>
          <w:sz w:val="24"/>
          <w:szCs w:val="21"/>
          <w:highlight w:val="none"/>
        </w:rPr>
        <w:t>毫巴左右；夏季受热带气旋影响，气压较低，</w:t>
      </w:r>
      <w:r>
        <w:rPr>
          <w:rFonts w:ascii="宋体" w:hAnsi="宋体"/>
          <w:sz w:val="24"/>
          <w:szCs w:val="21"/>
          <w:highlight w:val="none"/>
        </w:rPr>
        <w:t>7~8</w:t>
      </w:r>
      <w:r>
        <w:rPr>
          <w:rFonts w:hint="eastAsia" w:ascii="宋体" w:hAnsi="宋体"/>
          <w:sz w:val="24"/>
          <w:szCs w:val="21"/>
          <w:highlight w:val="none"/>
        </w:rPr>
        <w:t>月平均在</w:t>
      </w:r>
      <w:r>
        <w:rPr>
          <w:rFonts w:ascii="宋体" w:hAnsi="宋体"/>
          <w:sz w:val="24"/>
          <w:szCs w:val="21"/>
          <w:highlight w:val="none"/>
        </w:rPr>
        <w:t>1003</w:t>
      </w:r>
      <w:r>
        <w:rPr>
          <w:rFonts w:hint="eastAsia" w:ascii="宋体" w:hAnsi="宋体"/>
          <w:sz w:val="24"/>
          <w:szCs w:val="21"/>
          <w:highlight w:val="none"/>
        </w:rPr>
        <w:t>毫巴左右。</w:t>
      </w:r>
    </w:p>
    <w:p>
      <w:pPr>
        <w:pStyle w:val="50"/>
        <w:numPr>
          <w:ilvl w:val="0"/>
          <w:numId w:val="0"/>
        </w:numPr>
        <w:spacing w:before="240" w:after="120"/>
        <w:ind w:left="0" w:leftChars="0" w:firstLine="425" w:firstLineChars="152"/>
        <w:outlineLvl w:val="2"/>
        <w:rPr>
          <w:rFonts w:ascii="宋体" w:hAnsi="宋体" w:eastAsia="宋体" w:cs="黑体"/>
          <w:bCs/>
          <w:szCs w:val="21"/>
          <w:highlight w:val="none"/>
        </w:rPr>
      </w:pPr>
      <w:bookmarkStart w:id="74" w:name="_Toc17505"/>
      <w:r>
        <w:rPr>
          <w:rFonts w:ascii="宋体" w:hAnsi="宋体" w:eastAsia="宋体" w:cs="黑体"/>
          <w:bCs/>
          <w:kern w:val="2"/>
          <w:sz w:val="28"/>
          <w:szCs w:val="21"/>
          <w:highlight w:val="none"/>
          <w:lang w:val="en-US" w:eastAsia="zh-CN" w:bidi="ar-SA"/>
          <w14:ligatures w14:val="standardContextual"/>
        </w:rPr>
        <w:t>(三)</w:t>
      </w:r>
      <w:r>
        <w:rPr>
          <w:rFonts w:hint="eastAsia" w:ascii="宋体" w:hAnsi="宋体" w:eastAsia="宋体" w:cs="黑体"/>
          <w:bCs/>
          <w:szCs w:val="21"/>
          <w:highlight w:val="none"/>
        </w:rPr>
        <w:t>工程地质和水文地质条件(暂参考临近地块</w:t>
      </w:r>
      <w:r>
        <w:rPr>
          <w:rFonts w:ascii="宋体" w:hAnsi="宋体" w:eastAsia="宋体" w:cs="黑体"/>
          <w:bCs/>
          <w:szCs w:val="21"/>
          <w:highlight w:val="none"/>
        </w:rPr>
        <w:t>)</w:t>
      </w:r>
      <w:bookmarkEnd w:id="74"/>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1、场地地形、地貌及环境</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增城的地貌特征：北部地势较高，南部较低，山地以低山为主，占全市面积8.3%，是九连山脉的延长部分，山脉呈东北与南西走向，平等排列的中山与低山，其间形成了东江与增江。丘陵地主要分布在中南部，占全市面积的35.1%。台地多在中南部，占全市面积23.2%。南部是三角洲平原，加上河谷平原，占全市面积的35.4%。</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拟建场地</w:t>
      </w:r>
      <w:r>
        <w:rPr>
          <w:rFonts w:hint="eastAsia" w:ascii="宋体" w:hAnsi="宋体" w:cs="宋体"/>
          <w:kern w:val="28"/>
          <w:sz w:val="24"/>
          <w:szCs w:val="21"/>
          <w:highlight w:val="none"/>
        </w:rPr>
        <w:t>位于广东省广州市增城市朱村街道科教城规划范围，交通便利。</w:t>
      </w:r>
      <w:r>
        <w:rPr>
          <w:rFonts w:ascii="宋体" w:hAnsi="宋体"/>
          <w:sz w:val="24"/>
          <w:szCs w:val="21"/>
          <w:highlight w:val="none"/>
        </w:rPr>
        <w:t xml:space="preserve"> </w:t>
      </w:r>
    </w:p>
    <w:p>
      <w:pPr>
        <w:adjustRightInd w:val="0"/>
        <w:snapToGrid w:val="0"/>
        <w:ind w:firstLine="480" w:firstLineChars="200"/>
        <w:rPr>
          <w:rFonts w:ascii="宋体" w:hAnsi="宋体"/>
          <w:sz w:val="24"/>
          <w:szCs w:val="21"/>
          <w:highlight w:val="none"/>
        </w:rPr>
      </w:pPr>
      <w:bookmarkStart w:id="75" w:name="_Toc494463721"/>
      <w:bookmarkStart w:id="76" w:name="_Toc477168291"/>
      <w:r>
        <w:rPr>
          <w:rFonts w:hint="eastAsia" w:ascii="宋体" w:hAnsi="宋体"/>
          <w:sz w:val="24"/>
          <w:szCs w:val="21"/>
          <w:highlight w:val="none"/>
        </w:rPr>
        <w:t>2、地质构造</w:t>
      </w:r>
      <w:bookmarkEnd w:id="75"/>
      <w:bookmarkEnd w:id="76"/>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增城位于华夏系构造带与岭南东西向构造带交接处，经历了加里东、印支、燕山与喜马拉雅等构造发育阶段。加里东期组成岩石是下古生界变质岩，构造线呈北东向，如增城凸起。华力西～印支期由石炭系组成的向斜槽部，两翼为上泥盆统构成的向斜构造，称为永汉向斜。向南伸延至龙潭埔。燕山期：燕山运动形成了断陷盆地，如东莞盆地。新塘与金兰寺等的紫红色砂岩，即是东莞盆地的北部组成物。喜马拉雅期：燕山期形成的东莞盆地，继续发展，接受第三纪沉积。</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本境断裂带包括：</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广州～从化断裂带自连平往南经新丰～从化～广州～开平～阳江入海。长450公里，宽约5～20公里。其中段由温泉～神岗断裂组成，对增城影响较大的是温泉断裂段。东侧露出的是下古生代变质岩和中生代花岗岩，西侧露出的是二迭系、石炭系、泥盆系以及中～上侏罗统。增城混合岩体是组成增城凸起的一部分，由于断裂的错动，使它产生了扭动。</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罗浮山断裂带：断裂带的中段，西起广州，经新塘～博罗福田，东西长90公里。有宽达10～40米的硅化碎带、摩陵岩化带和断层角砾岩带。</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其他断裂带东西向的从化灌村～龙门永汉断裂带，经过增城高滩～牛牯嶂，断裂带东北盘是大尖山火山喷出岩，西南盘是古生界砂页岩，岩石非常破碎，节理发育。这组断裂带有3处4个热水群出露。水温29℃～63℃，并有较浓厚的硫磺味。还可能存在的地下热水有：派潭～灵山河谷、福和河谷。</w:t>
      </w:r>
    </w:p>
    <w:p>
      <w:pPr>
        <w:adjustRightInd w:val="0"/>
        <w:snapToGrid w:val="0"/>
        <w:ind w:firstLine="480" w:firstLineChars="200"/>
        <w:rPr>
          <w:rFonts w:ascii="宋体" w:hAnsi="宋体"/>
          <w:sz w:val="24"/>
          <w:szCs w:val="21"/>
          <w:highlight w:val="none"/>
        </w:rPr>
      </w:pPr>
      <w:bookmarkStart w:id="77" w:name="OLE_LINK6"/>
      <w:r>
        <w:rPr>
          <w:rFonts w:hint="eastAsia" w:ascii="宋体" w:hAnsi="宋体"/>
          <w:sz w:val="24"/>
          <w:szCs w:val="21"/>
          <w:highlight w:val="none"/>
        </w:rPr>
        <w:t>根据《广州市增城区地质灾害防治“十四五”规划》，本项目位于地面塌陷中易发区，下一阶段针对建设用地范围进一步开展地质灾害危险性评估。</w:t>
      </w:r>
      <w:bookmarkEnd w:id="77"/>
      <w:bookmarkStart w:id="78" w:name="_Toc79539265"/>
      <w:bookmarkStart w:id="79" w:name="_Toc494463722"/>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3、岩土层构成及工程特性</w:t>
      </w:r>
      <w:bookmarkEnd w:id="78"/>
      <w:bookmarkEnd w:id="79"/>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综合岩土层的种类及其工程地质特征、成因类型、地层时代等，将勘探孔控制范围内岩土层自上而下划分为人工填土层、第四系冲积层、第四系残积层及下燕山三期花岗岩等共四大类；现分述如下：</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1）人工填土层（Qml，层号①）</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素填土（①）：该层全部钻孔有见到，层厚：0.80～21.10m，平均6.00m。灰黄色-灰黑色，松散，由粉质粘土、粘性土及碎石等堆填而成，局部夹块石，岩性为微风化花岗岩。位于小学部位填土层较厚，回填较多直径较大的块石。</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该层取土样42组，其主要物理力学指标平均值如下：天然含水量W=23.12％，孔隙比e=0.74，液性指数IL=0.37，压缩系数a1-2=0.39MPa-1，压缩模量ES=4.70MPa；粘聚力标准值C=20.12kPa，内摩擦角标准值Φ=18.02°。</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野外标准贯入试验204次，实测击数N′=3～45击，平均16击；该层不建议承载力特征值。</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2）第四系冲积层（Qml，层号②）</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根据其工程特性不同可分为6个亚层:</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a、粗砂（②1）：该层21个钻孔有见到。层顶标高：19.82～26.13m，层顶埋深：1.30～15.80m，层厚：1.10～6.50m，平均2.56m。灰黄色，饱和，松散，成分为石英砂粒，颗粒不均匀，级配差，含少量泥质。</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该层取砂样6组，标准贯入试验18次，实测击数N′=9～20击，平均13.5击。建议地基承载力特征值ƒak=180kPa。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a、粉质粘土（②2）：该层115个钻孔有见到。层顶标高：12.82～29.32m，层顶埋深：0.80～21.10m，层厚：0.40～12.10m，平均4.08m。青灰色，可塑，以粘粒为主，含少量砂质。</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该层取土样40组，其主要物理力学指标平均值如下：天然含水量W=23.53％，孔隙比e=0.73，液性指数IL=0.39，压缩系数a1-2=0.39MPa-1，压缩模量ES=4.75MPa；粘聚力标准值C=22.49kPa，内摩擦角标准值Φ=17.81°。野外标准贯入试验177次，实测击数N′=6～16击，平均12.1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建议地基承载力特征值ƒak=150kPa。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c、中砂（②3）：该层91个钻孔有见到。层顶标高：9.69～25.82m，层顶埋深：1.60～26.60m，层厚：0.80～7.70m，平均2.87m。灰白色，饱和，稍密，成分由石英砂粒组成，颗粒不均匀，级配良。</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该层取砂样18组，标准贯入试验37次，实测击数N′=12～25击，平均15击。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建议地基承载力特征值ƒak=180kPa。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d、淤泥质土（②4）：该层63个钻孔有见到。层顶标高：9.88～25.82m，层顶埋深：3.10～30.40m，层厚：0.60～9.10m，平均2.71m。灰黑色，饱和，软塑，含较多粉细砂及有机质，具腐臭味。</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该层取土样18组，其主要物理力学指标平均值如下：天然含水量W=65.04％，孔隙比e=1.92，液性指数IL=1.70，压缩系数a1-2=1.64MPa-1，压缩模量ES=2.37MPa；粘聚力标准值C=6.61kPa，内摩擦角标准值Φ=3.33°。野外标准贯入试验62次，实测击数N′=2～6击，平均4.8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建议地基承载力特征值ƒak=60kPa。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e、粉质粘土（②5）：该层158个钻孔有见到。层顶标高：2.66～28.59m，层顶埋深：1.30～30.30m，层厚：0.80～12.70m，平均4.86m。灰黄色，可塑，粘性好，干强度高，韧性高，无摇振反应，有光泽反应，成分以粘粉粒为主局部地段含砂量较高相变为泥质中细砂。</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该层取土样108组，其主要物理力学指标平均值如下：天然含水量W=25.28％，孔隙比e=0.78，液性指数IL=0.39，压缩系数a1-2=0.45MPa-1，压缩模量ES=4.70MPa；粘聚力标准值C=21.76kPa，内摩擦角标准值Φ=18.13°。野外标准贯入试验57次，实测击数N′=8～18击，平均13.0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建议地基承载力特征值ƒak=160kPa。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f、粗砂（②6）：该层106个钻孔有见到。层顶标高：4.24～24.05m，层顶埋深：5.30～32.00m，层厚：0.90～10.40m，平均3.31m。青灰白色，饱和，稍密，成分为石英砂粒，颗粒不均匀，分选性差，含少量泥质。</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该层取砂样34组，标准贯入试验130次，实测击数N′=10～23击，平均17.8击。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建议地基承载力特征值ƒak=240kPa。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3）残积土层（Qel层号③）</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砂质粘性土：该层158个钻孔有见到。层顶标高：2.74～30.02m，层顶埋深：1.70～33.30m，层厚：0.20～15.00m，平均5.55m。黄褐色，硬塑状，为花岗岩风化土，遇水易软化崩解，局部残留强风化岩块，无摇振反应，切面稍有光泽，干强度中等，韧性中等。</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该层取土样63组，其主要物理力学指标平均值如下：天然含水量W=23.96％，孔隙比e=0.78，液性指数IL=0.32，压缩系数a1-2=0.37MPa-1，压缩模量ES=5.04MPa；粘聚力标准值C=17.05kPa，内摩擦角标准值Φ=23.59°。</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野外标准贯入试验331次，实测击数N′=16～29击，平均24.7击；建议地基承载力特征值ƒak=240kPa。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4）燕山三期花岗岩（γ52（3） ，层号④）</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场地基岩为燕山三期，岩性以花岗岩为主，在勘探孔揭露深度范围内按其风化程度不同可分为全、强、中及微风化岩带，分述以下：</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a、全风化花岗岩（层号④1）该层163个钻孔有见到，层顶标高-3.74～24.22m，层顶埋深9.80～39.80m，层厚1.10～12.40m，平均4.91m。黄褐色，岩石风化剧烈，大部分矿物已风化成土状，岩芯呈坚硬土柱状，岩块手捏易碎，遇水易软化、崩解。</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该层取土样34组，其主要物理力学指标平均值如下：天然含水量W=199.99％，孔隙比e=0.66，液性指数IL=0.24，压缩系数a1-2=0.32MPa-1，压缩模量ES=5.60MPa；粘聚力标准值C=19.04kPa，内摩擦角标准值Φ=23.11°。</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标准贯入试验286次，其实测击数N′=33～69击，平均46.5击。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据《岩土工程勘察规范》（GB50021-2001）（2009年版）中表3.2.2-1和表3.2.2-3的规定岩石坚硬程度属极软岩，岩体完整程度较破碎，岩体基本质量等级属Ⅴ类。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建议承载力特征值ƒaK=400kPa。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b、强风化花岗岩（层号④2）: 该层全部钻孔有见到，层顶标高-10.54～19.82m，层顶埋深11.90～45.50m，厚度0.30～20.20m，平均4.97m。褐黄色，大部分矿物已显著风化，岩石风化强烈，岩芯多呈半岩半土状，局部为碎块状，岩芯用手可折断或压碎，岩质极软。</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标准贯入试验50次，其实测击数N′=71～81击，平均73.4击。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据《岩土工程勘察规范》（GB50021-2001）（2009年版）中表3.2.2-1和表3.2.2-3的规定岩石坚硬程度属极软岩，岩体完整程度较破碎，岩体基本质量等级属Ⅴ类。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建议岩石地基承载力特征值ƒa=500kPa。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c、中风化花岗岩（层号④3）：本层194个钻孔有见到，层顶标高-30.74～17.02m，层顶埋深13.70～56.30m，层厚0.50～17.30m，平均3.23m。褐黄色，粗粒花岗结构，中厚层状构造，节理裂隙较发育，岩芯呈碎块为主，少量短柱状，岩质硬。</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取岩样10组，其天然单轴抗压强度平均值压强度为14.1～21.8MPa,平均18.5MPa，标准值17.1MPa。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根据《岩土工程勘察规范》（GB50021-2001）中表3.2.2-1和表3.2.2-3的规定岩石属软岩，完整程度为较破碎，岩体基本质量等级属Ⅳ类。</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建议承载力特征值ƒa=2000kPa。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d、微风化花岗岩（层号④4）：该层163个钻孔有见到，层顶标高-23.07～18.12m，层顶埋深15.20～60.20m，层厚1.00～6.80m，平均3.32m。黄褐色，粗粒花岗结构，中厚层状构造，节理裂隙稍发育，岩芯呈短柱状为主，岩质坚硬，敲击声脆。</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取岩样27组，其天然单轴抗压强度平均值压强度为30～88.8MPa,平均51.1MPa，标准值46.8MPa。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根据《岩土工程勘察规范》（GB50021-2001）中表3.2.2-1和表3.2.2-3的规定岩石属较硬岩，完整程度为较完整，岩体基本质量等级属Ⅲ类。建议承载力特征值ƒa=5000kPa。</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4、整体结论</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（1）根据场地区域地质资料，结合本次勘察结果，拟建场地在勘探深度范围内除有人工填土及风化土等特殊性岩土外，未发现有影响场地稳定性的其它不良地质现象，场地基本稳定，适宜建设拟建项目。</w:t>
      </w:r>
    </w:p>
    <w:p>
      <w:pPr>
        <w:adjustRightInd w:val="0"/>
        <w:snapToGrid w:val="0"/>
        <w:ind w:firstLine="480" w:firstLineChars="200"/>
        <w:rPr>
          <w:rFonts w:ascii="宋体" w:hAnsi="宋体"/>
          <w:sz w:val="24"/>
          <w:szCs w:val="21"/>
          <w:highlight w:val="none"/>
        </w:rPr>
      </w:pPr>
      <w:r>
        <w:rPr>
          <w:rFonts w:hint="eastAsia" w:ascii="宋体" w:hAnsi="宋体"/>
          <w:sz w:val="24"/>
          <w:szCs w:val="21"/>
          <w:highlight w:val="none"/>
        </w:rPr>
        <w:t>（2）根据《建筑抗震设计规范》(GB50011-2010)，本地段抗震设防烈度为6度，设计地震分组为第一组，设计基本地震加速度为0.05g，特征周期为0.35s；结合本次勘察结果，按照《建筑抗震设计规范》(GB50011-2010)有关标准判定：建筑场地类别为Ⅱ类，建筑场地为抗震不利地段。</w:t>
      </w:r>
    </w:p>
    <w:p>
      <w:pPr>
        <w:adjustRightInd w:val="0"/>
        <w:snapToGrid w:val="0"/>
        <w:ind w:firstLine="480" w:firstLineChars="200"/>
        <w:rPr>
          <w:rFonts w:ascii="宋体" w:hAnsi="宋体" w:cs="黑体"/>
          <w:bCs/>
          <w:szCs w:val="21"/>
          <w:highlight w:val="none"/>
        </w:rPr>
      </w:pPr>
      <w:r>
        <w:rPr>
          <w:rFonts w:hint="eastAsia" w:ascii="宋体" w:hAnsi="宋体"/>
          <w:sz w:val="24"/>
          <w:szCs w:val="21"/>
          <w:highlight w:val="none"/>
        </w:rPr>
        <w:t>（3）根据水质及土质分析，拟建场地地下水对混凝土结构具微腐蚀性，水对砼结构中钢筋的腐蚀性具微腐蚀性。土对混凝土结构具微腐蚀性，对砼结构中钢筋的腐蚀性具微腐蚀性，对钢结构具微腐蚀性。对建筑构件应采取相应的防护措施，有关建筑材料的腐蚀性防护，应符合国家现行标准《工业建筑防腐蚀性设计规范》（GB50046）的规定。</w:t>
      </w:r>
    </w:p>
    <w:p>
      <w:pPr>
        <w:pStyle w:val="50"/>
        <w:numPr>
          <w:ilvl w:val="0"/>
          <w:numId w:val="0"/>
        </w:numPr>
        <w:spacing w:before="240" w:after="120"/>
        <w:ind w:left="0" w:leftChars="0" w:firstLine="425" w:firstLineChars="152"/>
        <w:outlineLvl w:val="2"/>
        <w:rPr>
          <w:rFonts w:ascii="宋体" w:hAnsi="宋体" w:eastAsia="宋体" w:cs="黑体"/>
          <w:bCs/>
          <w:kern w:val="2"/>
          <w:sz w:val="28"/>
          <w:szCs w:val="21"/>
          <w:highlight w:val="none"/>
          <w:lang w:val="en-US" w:eastAsia="zh-CN" w:bidi="ar-SA"/>
          <w14:ligatures w14:val="standardContextual"/>
        </w:rPr>
      </w:pPr>
      <w:bookmarkStart w:id="80" w:name="_Toc13900"/>
      <w:r>
        <w:rPr>
          <w:rFonts w:ascii="宋体" w:hAnsi="宋体" w:eastAsia="宋体" w:cs="黑体"/>
          <w:bCs/>
          <w:kern w:val="2"/>
          <w:sz w:val="28"/>
          <w:szCs w:val="21"/>
          <w:highlight w:val="none"/>
          <w:lang w:val="en-US" w:eastAsia="zh-CN" w:bidi="ar-SA"/>
          <w14:ligatures w14:val="standardContextual"/>
        </w:rPr>
        <w:t>(四)</w:t>
      </w:r>
      <w:r>
        <w:rPr>
          <w:rFonts w:hint="eastAsia" w:ascii="宋体" w:hAnsi="宋体" w:eastAsia="宋体" w:cs="黑体"/>
          <w:bCs/>
          <w:kern w:val="2"/>
          <w:sz w:val="28"/>
          <w:szCs w:val="21"/>
          <w:highlight w:val="none"/>
          <w:lang w:val="en-US" w:eastAsia="zh-CN" w:bidi="ar-SA"/>
          <w14:ligatures w14:val="standardContextual"/>
        </w:rPr>
        <w:t>交通条件</w:t>
      </w:r>
      <w:bookmarkEnd w:id="80"/>
    </w:p>
    <w:p>
      <w:pPr>
        <w:ind w:firstLine="480" w:firstLineChars="200"/>
        <w:rPr>
          <w:rFonts w:ascii="宋体" w:hAnsi="宋体"/>
          <w:sz w:val="24"/>
          <w:szCs w:val="21"/>
          <w:highlight w:val="none"/>
        </w:rPr>
      </w:pPr>
      <w:bookmarkStart w:id="81" w:name="_Toc10938"/>
      <w:r>
        <w:rPr>
          <w:rFonts w:hint="eastAsia" w:ascii="宋体" w:hAnsi="宋体"/>
          <w:sz w:val="24"/>
          <w:szCs w:val="21"/>
          <w:highlight w:val="none"/>
        </w:rPr>
        <w:t>增城地处穗莞深港黄金走廊和广深科技创新走廊的重要节点，穗莞深城际轨道、广州地铁13号线和21号线，以及广汕客专、东北客货车外绕线等汇集增城，形成广州东部交通枢纽中心和广州新东站；广惠、广深等7条高速公路贯穿全境。30分钟可达广州中心城区，40分钟内坐拥广州、深圳两大空港和黄埔港、新塘港两大海港资源，1小时左右可达珠三角任何一个城市，形成了现代化陆运、海运、空运立体式“大交通”网络。</w:t>
      </w:r>
      <w:bookmarkEnd w:id="81"/>
    </w:p>
    <w:p>
      <w:pPr>
        <w:pStyle w:val="50"/>
        <w:numPr>
          <w:ilvl w:val="0"/>
          <w:numId w:val="0"/>
        </w:numPr>
        <w:spacing w:before="240" w:after="120"/>
        <w:ind w:left="0" w:leftChars="0" w:firstLine="425" w:firstLineChars="152"/>
        <w:outlineLvl w:val="2"/>
        <w:rPr>
          <w:rFonts w:ascii="宋体" w:hAnsi="宋体" w:eastAsia="宋体" w:cs="黑体"/>
          <w:bCs/>
          <w:kern w:val="2"/>
          <w:sz w:val="28"/>
          <w:szCs w:val="21"/>
          <w:highlight w:val="none"/>
          <w:lang w:val="en-US" w:eastAsia="zh-CN" w:bidi="ar-SA"/>
          <w14:ligatures w14:val="standardContextual"/>
        </w:rPr>
      </w:pPr>
      <w:bookmarkStart w:id="82" w:name="_Toc10657"/>
      <w:r>
        <w:rPr>
          <w:rFonts w:hint="eastAsia" w:ascii="宋体" w:hAnsi="宋体" w:eastAsia="宋体" w:cs="黑体"/>
          <w:bCs/>
          <w:kern w:val="2"/>
          <w:sz w:val="28"/>
          <w:szCs w:val="21"/>
          <w:highlight w:val="none"/>
          <w:lang w:val="en-US" w:eastAsia="zh-CN" w:bidi="ar-SA"/>
          <w14:ligatures w14:val="standardContextual"/>
        </w:rPr>
        <w:t>(五)社会经济条件</w:t>
      </w:r>
      <w:bookmarkEnd w:id="82"/>
    </w:p>
    <w:p>
      <w:pPr>
        <w:ind w:firstLine="480" w:firstLineChars="200"/>
        <w:rPr>
          <w:rFonts w:ascii="宋体" w:hAnsi="宋体"/>
          <w:sz w:val="24"/>
          <w:szCs w:val="21"/>
          <w:highlight w:val="none"/>
        </w:rPr>
      </w:pPr>
      <w:r>
        <w:rPr>
          <w:rFonts w:hint="eastAsia" w:ascii="宋体" w:hAnsi="宋体"/>
          <w:sz w:val="24"/>
          <w:szCs w:val="21"/>
          <w:highlight w:val="none"/>
        </w:rPr>
        <w:t>2021年增城区</w:t>
      </w:r>
      <w:r>
        <w:rPr>
          <w:rFonts w:hint="eastAsia" w:ascii="宋体" w:hAnsi="宋体" w:eastAsia="宋体" w:cs="宋体"/>
          <w:kern w:val="28"/>
          <w:sz w:val="24"/>
          <w:szCs w:val="21"/>
          <w:highlight w:val="none"/>
        </w:rPr>
        <w:t>地区</w:t>
      </w:r>
      <w:r>
        <w:rPr>
          <w:rFonts w:hint="eastAsia" w:ascii="宋体" w:hAnsi="宋体"/>
          <w:sz w:val="24"/>
          <w:szCs w:val="21"/>
          <w:highlight w:val="none"/>
        </w:rPr>
        <w:t>生产总值为1266.66亿元，同比增长10.8%，两年平均增长8%。其中，第一产业增加值为65.25亿元，同比增长4.8%，两年平均增长8.3%；第二产业增加值为524.19亿元，同比增长10.4%，两年平均增长4.9%；第三产业增加值为677.22亿元，同比增长11.8%，两年平均增长10.7%。</w:t>
      </w:r>
    </w:p>
    <w:p>
      <w:pPr>
        <w:ind w:firstLine="480" w:firstLineChars="200"/>
        <w:rPr>
          <w:rFonts w:ascii="宋体" w:hAnsi="宋体"/>
          <w:sz w:val="24"/>
          <w:szCs w:val="21"/>
          <w:highlight w:val="none"/>
        </w:rPr>
      </w:pPr>
      <w:r>
        <w:rPr>
          <w:rFonts w:hint="eastAsia" w:ascii="宋体" w:hAnsi="宋体"/>
          <w:sz w:val="24"/>
          <w:szCs w:val="21"/>
          <w:highlight w:val="none"/>
        </w:rPr>
        <w:t>工业生产成为全区经济增长的“顶梁柱”。2021年，增城区努力克服汽车缺芯、错峰用电、能耗约束、原材料价格上涨等不利因素影响，工业主要宏观指标保持在合理区间，规模以上工业增加值增速14.2%、规模以上工业总产值增速11.1%，均以双位数收官，保持稳健增长态势。</w:t>
      </w:r>
    </w:p>
    <w:p>
      <w:pPr>
        <w:ind w:firstLine="480" w:firstLineChars="200"/>
        <w:rPr>
          <w:rFonts w:ascii="宋体" w:hAnsi="宋体"/>
          <w:sz w:val="24"/>
          <w:szCs w:val="21"/>
          <w:highlight w:val="none"/>
        </w:rPr>
      </w:pPr>
      <w:r>
        <w:rPr>
          <w:rFonts w:hint="eastAsia" w:ascii="宋体" w:hAnsi="宋体"/>
          <w:sz w:val="24"/>
          <w:szCs w:val="21"/>
          <w:highlight w:val="none"/>
        </w:rPr>
        <w:t>产业是经济发展的关键所在。2021年，全区“3+5”战略性新兴产业工业增加值197.80亿元，占全区规模以上工业增加值的67.5%，同比增长18.5%，高于全区规模以上工业增加值增速4.3个百分点，高于全市“3+5”战略性新兴产业增加值增速10.2个百分点，增速居全市前列。有6个战略性新兴产业</w:t>
      </w:r>
      <w:r>
        <w:rPr>
          <w:rFonts w:hint="eastAsia" w:ascii="宋体" w:hAnsi="宋体" w:eastAsia="宋体" w:cs="宋体"/>
          <w:kern w:val="28"/>
          <w:sz w:val="24"/>
          <w:szCs w:val="21"/>
          <w:highlight w:val="none"/>
        </w:rPr>
        <w:t>增加值</w:t>
      </w:r>
      <w:r>
        <w:rPr>
          <w:rFonts w:hint="eastAsia" w:ascii="宋体" w:hAnsi="宋体"/>
          <w:sz w:val="24"/>
          <w:szCs w:val="21"/>
          <w:highlight w:val="none"/>
        </w:rPr>
        <w:t>增速高于全市，在超视界、国显科技等工业新动能的带动下，新一代信息技术产业增加值同比增长61.7%，高于全市40.0个百分点，增速居全市第一。</w:t>
      </w:r>
    </w:p>
    <w:p>
      <w:pPr>
        <w:ind w:firstLine="480" w:firstLineChars="200"/>
        <w:rPr>
          <w:rFonts w:ascii="宋体" w:hAnsi="宋体"/>
          <w:sz w:val="24"/>
          <w:szCs w:val="21"/>
          <w:highlight w:val="none"/>
        </w:rPr>
      </w:pPr>
      <w:r>
        <w:rPr>
          <w:rFonts w:hint="eastAsia" w:ascii="宋体" w:hAnsi="宋体"/>
          <w:sz w:val="24"/>
          <w:szCs w:val="21"/>
          <w:highlight w:val="none"/>
        </w:rPr>
        <w:t>2021年，全区固定资产投资完成1067亿元，连续四年超千亿元。从内外资结构看，国有投资完成303.15亿元，同比增长42.2%；港澳台及外商投资完成127.12亿元，同比增长14.6%，成为稳投资的重要支撑。从各镇街投资指标看，新塘镇、中新镇、石滩镇、永宁街在总量上均实现超过百亿的规模。增速上，9个镇街实现正增长，宁西街、正果镇、石滩镇实现领跑。从总量和增速综合来看，石滩镇、中新镇占得先机，总量均超过130亿元，分别实现41.9%和25.5%的增长。</w:t>
      </w:r>
    </w:p>
    <w:p>
      <w:pPr>
        <w:ind w:firstLine="480" w:firstLineChars="200"/>
        <w:rPr>
          <w:rFonts w:hint="eastAsia" w:ascii="宋体" w:hAnsi="宋体" w:eastAsia="宋体" w:cs="宋体"/>
          <w:kern w:val="28"/>
          <w:sz w:val="24"/>
          <w:szCs w:val="21"/>
          <w:highlight w:val="none"/>
        </w:rPr>
      </w:pPr>
      <w:r>
        <w:rPr>
          <w:rFonts w:hint="eastAsia" w:ascii="宋体" w:hAnsi="宋体" w:eastAsia="宋体" w:cs="宋体"/>
          <w:kern w:val="28"/>
          <w:sz w:val="24"/>
          <w:szCs w:val="21"/>
          <w:highlight w:val="none"/>
        </w:rPr>
        <w:t>全区社会消费品零售总额完成444.62亿元，同比增长9.4%。其中，服装、鞋帽、针纺织品维持平稳增长，同比增长50.88%；限额以上网上商店零售额保持增长态势，完成零售额117.12亿元，同比增长3.81%。商品销售总额完成6979.87亿元，同比增长80.3%，其中化工材料及制品类维持较快增长，同比增长61.32%；建筑及装潢材料类销售额平稳增长，同比增长35.82%；煤炭及制品类销售额加快增长，同比增长50.20%。</w:t>
      </w:r>
    </w:p>
    <w:p>
      <w:pPr>
        <w:pStyle w:val="50"/>
        <w:numPr>
          <w:ilvl w:val="0"/>
          <w:numId w:val="0"/>
        </w:numPr>
        <w:spacing w:before="240" w:after="120"/>
        <w:ind w:left="0" w:leftChars="0" w:firstLine="425" w:firstLineChars="152"/>
        <w:outlineLvl w:val="2"/>
        <w:rPr>
          <w:rFonts w:ascii="宋体" w:hAnsi="宋体" w:eastAsia="宋体" w:cs="黑体"/>
          <w:bCs/>
          <w:kern w:val="2"/>
          <w:sz w:val="28"/>
          <w:szCs w:val="21"/>
          <w:highlight w:val="none"/>
          <w:lang w:val="en-US" w:eastAsia="zh-CN" w:bidi="ar-SA"/>
          <w14:ligatures w14:val="standardContextual"/>
        </w:rPr>
      </w:pPr>
      <w:bookmarkStart w:id="83" w:name="_Toc16208"/>
      <w:r>
        <w:rPr>
          <w:rFonts w:hint="eastAsia" w:ascii="宋体" w:hAnsi="宋体" w:eastAsia="宋体" w:cs="黑体"/>
          <w:bCs/>
          <w:kern w:val="2"/>
          <w:sz w:val="28"/>
          <w:szCs w:val="21"/>
          <w:highlight w:val="none"/>
          <w:lang w:val="en-US" w:eastAsia="zh-CN" w:bidi="ar-SA"/>
          <w14:ligatures w14:val="standardContextual"/>
        </w:rPr>
        <w:t>(六)项目周边公共设施条件</w:t>
      </w:r>
      <w:bookmarkEnd w:id="83"/>
    </w:p>
    <w:p>
      <w:pPr>
        <w:pStyle w:val="50"/>
        <w:numPr>
          <w:ilvl w:val="0"/>
          <w:numId w:val="4"/>
        </w:numPr>
        <w:ind w:left="0" w:firstLine="480" w:firstLineChars="0"/>
        <w:jc w:val="left"/>
        <w:outlineLvl w:val="3"/>
        <w:rPr>
          <w:rFonts w:ascii="宋体" w:hAnsi="宋体" w:eastAsia="宋体"/>
          <w:kern w:val="28"/>
          <w:sz w:val="24"/>
          <w:szCs w:val="24"/>
          <w:highlight w:val="none"/>
        </w:rPr>
      </w:pPr>
      <w:bookmarkStart w:id="84" w:name="_Toc25597"/>
      <w:r>
        <w:rPr>
          <w:rFonts w:ascii="宋体" w:hAnsi="宋体" w:eastAsia="宋体"/>
          <w:kern w:val="28"/>
          <w:sz w:val="24"/>
          <w:szCs w:val="24"/>
          <w:highlight w:val="none"/>
        </w:rPr>
        <w:t>供水</w:t>
      </w:r>
    </w:p>
    <w:p>
      <w:pPr>
        <w:adjustRightInd w:val="0"/>
        <w:snapToGrid w:val="0"/>
        <w:ind w:firstLine="480" w:firstLineChars="200"/>
        <w:rPr>
          <w:rFonts w:hint="eastAsia" w:ascii="宋体" w:hAnsi="宋体"/>
          <w:sz w:val="24"/>
          <w:szCs w:val="21"/>
          <w:highlight w:val="none"/>
        </w:rPr>
      </w:pPr>
      <w:r>
        <w:rPr>
          <w:rFonts w:hint="eastAsia" w:ascii="宋体" w:hAnsi="宋体"/>
          <w:sz w:val="24"/>
          <w:szCs w:val="21"/>
          <w:highlight w:val="none"/>
          <w:lang w:val="en-US" w:eastAsia="zh-CN"/>
        </w:rPr>
        <w:t>拟建市政供水主管位于地块南侧尚礼大道</w:t>
      </w:r>
      <w:r>
        <w:rPr>
          <w:rFonts w:hint="eastAsia" w:ascii="宋体" w:hAnsi="宋体"/>
          <w:sz w:val="24"/>
          <w:szCs w:val="21"/>
          <w:highlight w:val="none"/>
        </w:rPr>
        <w:t>。</w:t>
      </w:r>
    </w:p>
    <w:p>
      <w:pPr>
        <w:pStyle w:val="50"/>
        <w:numPr>
          <w:ilvl w:val="0"/>
          <w:numId w:val="5"/>
        </w:numPr>
        <w:ind w:left="0" w:firstLine="480" w:firstLineChars="0"/>
        <w:jc w:val="left"/>
        <w:outlineLvl w:val="3"/>
        <w:rPr>
          <w:rFonts w:ascii="宋体" w:hAnsi="宋体" w:eastAsia="宋体"/>
          <w:kern w:val="28"/>
          <w:sz w:val="24"/>
          <w:szCs w:val="24"/>
          <w:highlight w:val="none"/>
        </w:rPr>
      </w:pPr>
      <w:r>
        <w:rPr>
          <w:rFonts w:hint="eastAsia" w:ascii="宋体" w:hAnsi="宋体" w:eastAsia="宋体"/>
          <w:kern w:val="28"/>
          <w:sz w:val="24"/>
          <w:szCs w:val="24"/>
          <w:highlight w:val="none"/>
        </w:rPr>
        <w:t>排水</w:t>
      </w:r>
    </w:p>
    <w:p>
      <w:pPr>
        <w:adjustRightInd w:val="0"/>
        <w:snapToGrid w:val="0"/>
        <w:ind w:firstLine="480" w:firstLineChars="200"/>
        <w:rPr>
          <w:rFonts w:hint="default" w:ascii="宋体" w:hAnsi="宋体" w:eastAsia="宋体"/>
          <w:sz w:val="24"/>
          <w:szCs w:val="21"/>
          <w:highlight w:val="none"/>
          <w:lang w:val="en-US" w:eastAsia="zh-CN"/>
        </w:rPr>
      </w:pPr>
      <w:r>
        <w:rPr>
          <w:rFonts w:hint="eastAsia" w:ascii="宋体" w:hAnsi="宋体"/>
          <w:sz w:val="24"/>
          <w:szCs w:val="21"/>
          <w:highlight w:val="none"/>
          <w:lang w:val="en-US" w:eastAsia="zh-CN"/>
        </w:rPr>
        <w:t>项目周边无公共污水管网，本地区未完善雨污分流管网。</w:t>
      </w:r>
    </w:p>
    <w:p>
      <w:pPr>
        <w:pStyle w:val="50"/>
        <w:numPr>
          <w:ilvl w:val="0"/>
          <w:numId w:val="6"/>
        </w:numPr>
        <w:ind w:firstLine="0" w:firstLineChars="0"/>
        <w:jc w:val="left"/>
        <w:outlineLvl w:val="3"/>
        <w:rPr>
          <w:rFonts w:hint="eastAsia" w:ascii="宋体" w:hAnsi="宋体" w:eastAsia="宋体" w:cs="Times New Roman"/>
          <w:kern w:val="28"/>
          <w:sz w:val="24"/>
          <w:szCs w:val="24"/>
          <w:highlight w:val="none"/>
        </w:rPr>
      </w:pPr>
      <w:r>
        <w:rPr>
          <w:rFonts w:hint="eastAsia" w:ascii="宋体" w:hAnsi="宋体" w:eastAsia="宋体" w:cs="Times New Roman"/>
          <w:kern w:val="28"/>
          <w:sz w:val="24"/>
          <w:szCs w:val="24"/>
          <w:highlight w:val="none"/>
        </w:rPr>
        <w:t>供电</w:t>
      </w:r>
    </w:p>
    <w:p>
      <w:pPr>
        <w:pStyle w:val="50"/>
        <w:numPr>
          <w:ilvl w:val="-1"/>
          <w:numId w:val="0"/>
        </w:numPr>
        <w:ind w:left="480" w:firstLine="0" w:firstLineChars="0"/>
        <w:jc w:val="left"/>
        <w:outlineLvl w:val="3"/>
        <w:rPr>
          <w:rFonts w:hint="default" w:ascii="宋体" w:hAnsi="宋体" w:eastAsia="宋体"/>
          <w:kern w:val="28"/>
          <w:sz w:val="24"/>
          <w:szCs w:val="24"/>
          <w:highlight w:val="none"/>
          <w:lang w:val="en-US" w:eastAsia="zh-CN"/>
        </w:rPr>
      </w:pPr>
      <w:r>
        <w:rPr>
          <w:rFonts w:hint="eastAsia" w:ascii="宋体" w:hAnsi="宋体" w:eastAsia="宋体"/>
          <w:kern w:val="28"/>
          <w:sz w:val="24"/>
          <w:szCs w:val="24"/>
          <w:highlight w:val="none"/>
          <w:lang w:val="en-US" w:eastAsia="zh-CN"/>
        </w:rPr>
        <w:t>本项目可满足10KV双电源接入条件，拟定电源两路都由110KV凤岗变电站接取，距离项目红线路由约2.6千米。</w:t>
      </w:r>
    </w:p>
    <w:p>
      <w:pPr>
        <w:pStyle w:val="50"/>
        <w:numPr>
          <w:ilvl w:val="0"/>
          <w:numId w:val="6"/>
        </w:numPr>
        <w:ind w:left="0" w:firstLine="480" w:firstLineChars="0"/>
        <w:jc w:val="left"/>
        <w:outlineLvl w:val="3"/>
        <w:rPr>
          <w:rFonts w:ascii="宋体" w:hAnsi="宋体" w:eastAsia="宋体"/>
          <w:kern w:val="28"/>
          <w:sz w:val="24"/>
          <w:szCs w:val="24"/>
          <w:highlight w:val="none"/>
        </w:rPr>
      </w:pPr>
      <w:r>
        <w:rPr>
          <w:rFonts w:ascii="宋体" w:hAnsi="宋体" w:eastAsia="宋体"/>
          <w:kern w:val="28"/>
          <w:sz w:val="24"/>
          <w:szCs w:val="24"/>
          <w:highlight w:val="none"/>
        </w:rPr>
        <w:t>通信</w:t>
      </w:r>
    </w:p>
    <w:p>
      <w:pPr>
        <w:adjustRightInd w:val="0"/>
        <w:snapToGrid w:val="0"/>
        <w:ind w:firstLine="480" w:firstLineChars="200"/>
        <w:rPr>
          <w:rFonts w:hint="eastAsia" w:ascii="宋体" w:hAnsi="宋体"/>
          <w:sz w:val="24"/>
          <w:szCs w:val="21"/>
          <w:highlight w:val="none"/>
        </w:rPr>
      </w:pPr>
      <w:r>
        <w:rPr>
          <w:rFonts w:hint="eastAsia" w:ascii="宋体" w:hAnsi="宋体"/>
          <w:sz w:val="24"/>
          <w:szCs w:val="21"/>
          <w:highlight w:val="none"/>
        </w:rPr>
        <w:t>项目场址周边敷设通信管线。</w:t>
      </w:r>
    </w:p>
    <w:p>
      <w:pPr>
        <w:pStyle w:val="50"/>
        <w:numPr>
          <w:ilvl w:val="0"/>
          <w:numId w:val="6"/>
        </w:numPr>
        <w:ind w:left="0" w:firstLine="480" w:firstLineChars="0"/>
        <w:jc w:val="left"/>
        <w:outlineLvl w:val="3"/>
        <w:rPr>
          <w:rFonts w:ascii="宋体" w:hAnsi="宋体" w:eastAsia="宋体"/>
          <w:kern w:val="28"/>
          <w:sz w:val="24"/>
          <w:szCs w:val="24"/>
          <w:highlight w:val="none"/>
        </w:rPr>
      </w:pPr>
      <w:r>
        <w:rPr>
          <w:rFonts w:hint="eastAsia" w:ascii="宋体" w:hAnsi="宋体" w:eastAsia="宋体"/>
          <w:kern w:val="28"/>
          <w:sz w:val="24"/>
          <w:szCs w:val="24"/>
          <w:highlight w:val="none"/>
        </w:rPr>
        <w:t>燃气</w:t>
      </w:r>
    </w:p>
    <w:p>
      <w:pPr>
        <w:adjustRightInd w:val="0"/>
        <w:snapToGrid w:val="0"/>
        <w:ind w:firstLine="480" w:firstLineChars="200"/>
        <w:rPr>
          <w:rFonts w:hint="eastAsia" w:ascii="宋体" w:hAnsi="宋体"/>
          <w:sz w:val="24"/>
          <w:szCs w:val="21"/>
          <w:highlight w:val="none"/>
        </w:rPr>
      </w:pPr>
      <w:r>
        <w:rPr>
          <w:rFonts w:hint="eastAsia" w:ascii="宋体" w:hAnsi="宋体"/>
          <w:sz w:val="24"/>
          <w:szCs w:val="21"/>
          <w:highlight w:val="none"/>
          <w:lang w:val="en-US" w:eastAsia="zh-CN"/>
        </w:rPr>
        <w:t>项目周边有现状燃</w:t>
      </w:r>
      <w:r>
        <w:rPr>
          <w:rFonts w:hint="eastAsia" w:ascii="宋体" w:hAnsi="宋体"/>
          <w:sz w:val="24"/>
          <w:szCs w:val="21"/>
          <w:highlight w:val="none"/>
        </w:rPr>
        <w:t>气管</w:t>
      </w:r>
      <w:r>
        <w:rPr>
          <w:rFonts w:hint="eastAsia" w:ascii="宋体" w:hAnsi="宋体"/>
          <w:sz w:val="24"/>
          <w:szCs w:val="21"/>
          <w:highlight w:val="none"/>
          <w:lang w:eastAsia="zh-CN"/>
        </w:rPr>
        <w:t>，</w:t>
      </w:r>
      <w:r>
        <w:rPr>
          <w:rFonts w:hint="eastAsia" w:ascii="宋体" w:hAnsi="宋体"/>
          <w:sz w:val="24"/>
          <w:szCs w:val="21"/>
          <w:highlight w:val="none"/>
          <w:lang w:val="en-US" w:eastAsia="zh-CN"/>
        </w:rPr>
        <w:t>用气可由地块周边现状燃气管接入</w:t>
      </w:r>
      <w:r>
        <w:rPr>
          <w:rFonts w:hint="eastAsia" w:ascii="宋体" w:hAnsi="宋体"/>
          <w:sz w:val="24"/>
          <w:szCs w:val="21"/>
          <w:highlight w:val="none"/>
        </w:rPr>
        <w:t>。</w:t>
      </w:r>
    </w:p>
    <w:p>
      <w:pPr>
        <w:pStyle w:val="50"/>
        <w:numPr>
          <w:ilvl w:val="0"/>
          <w:numId w:val="6"/>
        </w:numPr>
        <w:ind w:left="0" w:firstLine="480" w:firstLineChars="0"/>
        <w:jc w:val="left"/>
        <w:outlineLvl w:val="3"/>
        <w:rPr>
          <w:rFonts w:ascii="宋体" w:hAnsi="宋体" w:eastAsia="宋体"/>
          <w:kern w:val="28"/>
          <w:sz w:val="24"/>
          <w:szCs w:val="24"/>
          <w:highlight w:val="none"/>
        </w:rPr>
      </w:pPr>
      <w:r>
        <w:rPr>
          <w:rFonts w:hint="eastAsia" w:ascii="宋体" w:hAnsi="宋体" w:eastAsia="宋体"/>
          <w:kern w:val="28"/>
          <w:sz w:val="24"/>
          <w:szCs w:val="24"/>
          <w:highlight w:val="none"/>
        </w:rPr>
        <w:t>交通</w:t>
      </w:r>
    </w:p>
    <w:p>
      <w:pPr>
        <w:adjustRightInd w:val="0"/>
        <w:snapToGrid w:val="0"/>
        <w:ind w:firstLine="480" w:firstLineChars="200"/>
        <w:rPr>
          <w:rFonts w:hint="eastAsia" w:ascii="宋体" w:hAnsi="宋体"/>
          <w:sz w:val="24"/>
          <w:szCs w:val="21"/>
          <w:highlight w:val="none"/>
        </w:rPr>
      </w:pPr>
      <w:r>
        <w:rPr>
          <w:rFonts w:hint="eastAsia" w:ascii="宋体" w:hAnsi="宋体"/>
          <w:sz w:val="24"/>
          <w:szCs w:val="21"/>
          <w:highlight w:val="none"/>
        </w:rPr>
        <w:t>项目位于广州市增城区朱村街广州科教城中轴线东侧、市医药职业学校以西，叠翠湖公园以南，富士康科技小镇（一期）以北。选址区位条件优越，交通便利，距离地铁21号线凤岗站不足1km，10分钟车程可达增城广场，30分钟可达广州天河，1小时可达广州白云机场和深圳宝安机场。</w:t>
      </w:r>
    </w:p>
    <w:p>
      <w:pPr>
        <w:pStyle w:val="23"/>
        <w:numPr>
          <w:ilvl w:val="0"/>
          <w:numId w:val="6"/>
        </w:numPr>
        <w:ind w:left="0" w:leftChars="0" w:firstLine="480"/>
        <w:rPr>
          <w:rFonts w:ascii="宋体" w:hAnsi="宋体"/>
          <w:kern w:val="28"/>
          <w:sz w:val="24"/>
          <w:highlight w:val="none"/>
        </w:rPr>
      </w:pPr>
      <w:r>
        <w:rPr>
          <w:rFonts w:hint="eastAsia" w:ascii="宋体" w:hAnsi="宋体"/>
          <w:kern w:val="28"/>
          <w:sz w:val="24"/>
          <w:highlight w:val="none"/>
        </w:rPr>
        <w:t>其他</w:t>
      </w:r>
    </w:p>
    <w:p>
      <w:pPr>
        <w:adjustRightInd w:val="0"/>
        <w:snapToGrid w:val="0"/>
        <w:ind w:firstLine="480" w:firstLineChars="200"/>
        <w:rPr>
          <w:rFonts w:hint="eastAsia" w:ascii="宋体" w:hAnsi="宋体"/>
          <w:sz w:val="24"/>
          <w:szCs w:val="21"/>
          <w:highlight w:val="none"/>
        </w:rPr>
      </w:pPr>
      <w:r>
        <w:rPr>
          <w:rFonts w:hint="eastAsia" w:ascii="宋体" w:hAnsi="宋体"/>
          <w:sz w:val="24"/>
          <w:szCs w:val="21"/>
          <w:highlight w:val="none"/>
        </w:rPr>
        <w:t>本项目施工条件良好，增城区有较大的建材市场，交通便利且距离项目场址较近，施工所需建材均能便利的购买到。</w:t>
      </w:r>
    </w:p>
    <w:p>
      <w:pPr>
        <w:ind w:firstLine="480" w:firstLineChars="200"/>
        <w:rPr>
          <w:rFonts w:hint="eastAsia" w:ascii="宋体" w:hAnsi="宋体" w:eastAsia="宋体" w:cs="宋体"/>
          <w:kern w:val="28"/>
          <w:sz w:val="24"/>
          <w:szCs w:val="21"/>
          <w:highlight w:val="none"/>
        </w:rPr>
      </w:pPr>
      <w:r>
        <w:rPr>
          <w:rFonts w:hint="eastAsia" w:ascii="宋体" w:hAnsi="宋体" w:eastAsia="宋体" w:cs="宋体"/>
          <w:kern w:val="28"/>
          <w:sz w:val="24"/>
          <w:szCs w:val="21"/>
          <w:highlight w:val="none"/>
        </w:rPr>
        <w:t>周边公共设施条件良好，完全满足新建的要求。根据《广州教育城一期控制性详细规划》，本项目周边规划布置有以下城市级公共服务设施，目前正处于前期阶段。</w:t>
      </w:r>
    </w:p>
    <w:p>
      <w:pPr>
        <w:pStyle w:val="76"/>
        <w:numPr>
          <w:ilvl w:val="0"/>
          <w:numId w:val="7"/>
        </w:numPr>
        <w:ind w:firstLineChars="0"/>
        <w:rPr>
          <w:highlight w:val="none"/>
        </w:rPr>
      </w:pPr>
      <w:r>
        <w:rPr>
          <w:rFonts w:hint="eastAsia"/>
          <w:highlight w:val="none"/>
        </w:rPr>
        <w:t>文化体育设施：规划布置1处体育馆、1处文化科技馆。</w:t>
      </w:r>
    </w:p>
    <w:p>
      <w:pPr>
        <w:pStyle w:val="76"/>
        <w:numPr>
          <w:ilvl w:val="0"/>
          <w:numId w:val="7"/>
        </w:numPr>
        <w:ind w:firstLineChars="0"/>
        <w:rPr>
          <w:highlight w:val="none"/>
        </w:rPr>
      </w:pPr>
      <w:r>
        <w:rPr>
          <w:rFonts w:hint="eastAsia"/>
          <w:highlight w:val="none"/>
        </w:rPr>
        <w:t>教育科研用地：规划布置1处市级公共实训鉴定中心。</w:t>
      </w:r>
    </w:p>
    <w:p>
      <w:pPr>
        <w:pStyle w:val="76"/>
        <w:numPr>
          <w:ilvl w:val="0"/>
          <w:numId w:val="7"/>
        </w:numPr>
        <w:ind w:firstLineChars="0"/>
        <w:rPr>
          <w:highlight w:val="none"/>
        </w:rPr>
      </w:pPr>
      <w:r>
        <w:rPr>
          <w:rFonts w:hint="eastAsia"/>
          <w:highlight w:val="none"/>
        </w:rPr>
        <w:t>医疗卫生设施：规划布置1座 600 床综合医院。</w:t>
      </w:r>
    </w:p>
    <w:p>
      <w:pPr>
        <w:pStyle w:val="76"/>
        <w:numPr>
          <w:ilvl w:val="0"/>
          <w:numId w:val="7"/>
        </w:numPr>
        <w:ind w:firstLineChars="0"/>
        <w:rPr>
          <w:highlight w:val="none"/>
        </w:rPr>
      </w:pPr>
      <w:r>
        <w:rPr>
          <w:rFonts w:hint="eastAsia"/>
          <w:highlight w:val="none"/>
        </w:rPr>
        <w:t>商业服务业设施：规划布置1处学术交流会议中心和1处商业中心。</w:t>
      </w:r>
    </w:p>
    <w:p>
      <w:pPr>
        <w:pStyle w:val="76"/>
        <w:numPr>
          <w:ilvl w:val="0"/>
          <w:numId w:val="7"/>
        </w:numPr>
        <w:ind w:firstLineChars="0"/>
        <w:rPr>
          <w:highlight w:val="none"/>
        </w:rPr>
      </w:pPr>
      <w:r>
        <w:rPr>
          <w:rFonts w:hint="eastAsia"/>
          <w:highlight w:val="none"/>
        </w:rPr>
        <w:t>商务设施：规划布置5处创新研发用地及5处校企合作用地。</w:t>
      </w:r>
    </w:p>
    <w:p>
      <w:pPr>
        <w:pStyle w:val="76"/>
        <w:rPr>
          <w:highlight w:val="none"/>
        </w:rPr>
      </w:pPr>
      <w:r>
        <w:rPr>
          <w:rFonts w:hint="eastAsia"/>
          <w:highlight w:val="none"/>
        </w:rPr>
        <w:t>同时，规划区范围内13所职业学校已推进建设，广州铁路业技术学院、市幼儿师范高等专科学校已经开学，市交通运输职业学校、市城市职业学校等四所预计2023年建成并开学。规划区内及周边现已建成科慧花园、中国赛宝花园、恒展·江山时代花园等新建小区及安置区，随着居住人口的不断增加，目前规划区内风秀小学、风秀幼儿园、朱村街第一幼儿园等已投入使用。已建成居住小区沿街商业、超市等商业配套亦逐步完善。</w:t>
      </w:r>
    </w:p>
    <w:p>
      <w:pPr>
        <w:tabs>
          <w:tab w:val="left" w:pos="7219"/>
        </w:tabs>
        <w:rPr>
          <w:rFonts w:hint="eastAsia" w:ascii="宋体" w:hAnsi="宋体" w:eastAsia="宋体"/>
          <w:sz w:val="36"/>
          <w:szCs w:val="36"/>
          <w:highlight w:val="none"/>
          <w:lang w:eastAsia="zh-CN"/>
        </w:rPr>
      </w:pPr>
      <w:bookmarkStart w:id="85" w:name="_Toc462255835"/>
      <w:r>
        <w:rPr>
          <w:rFonts w:hint="eastAsia" w:ascii="宋体" w:hAnsi="宋体"/>
          <w:sz w:val="36"/>
          <w:szCs w:val="36"/>
          <w:highlight w:val="none"/>
        </w:rPr>
        <w:br w:type="page"/>
      </w:r>
    </w:p>
    <w:p>
      <w:pPr>
        <w:pStyle w:val="3"/>
        <w:tabs>
          <w:tab w:val="left" w:pos="3570"/>
        </w:tabs>
        <w:spacing w:before="156" w:beforeLines="50" w:after="156" w:afterLines="50" w:line="360" w:lineRule="auto"/>
        <w:jc w:val="center"/>
        <w:rPr>
          <w:rFonts w:ascii="宋体" w:hAnsi="宋体"/>
          <w:sz w:val="36"/>
          <w:szCs w:val="36"/>
          <w:highlight w:val="none"/>
        </w:rPr>
      </w:pPr>
      <w:bookmarkStart w:id="86" w:name="_Toc3690"/>
      <w:r>
        <w:rPr>
          <w:rFonts w:hint="eastAsia" w:ascii="宋体" w:hAnsi="宋体"/>
          <w:sz w:val="36"/>
          <w:szCs w:val="36"/>
          <w:highlight w:val="none"/>
        </w:rPr>
        <w:t>第三章</w:t>
      </w:r>
      <w:r>
        <w:rPr>
          <w:rFonts w:ascii="宋体" w:hAnsi="宋体"/>
          <w:sz w:val="36"/>
          <w:szCs w:val="36"/>
          <w:highlight w:val="none"/>
        </w:rPr>
        <w:t xml:space="preserve"> </w:t>
      </w:r>
      <w:r>
        <w:rPr>
          <w:rFonts w:hint="eastAsia" w:ascii="宋体" w:hAnsi="宋体"/>
          <w:sz w:val="36"/>
          <w:szCs w:val="36"/>
          <w:highlight w:val="none"/>
        </w:rPr>
        <w:t>设计目标及原则</w:t>
      </w:r>
      <w:bookmarkEnd w:id="84"/>
      <w:bookmarkEnd w:id="85"/>
      <w:bookmarkEnd w:id="86"/>
    </w:p>
    <w:p>
      <w:pPr>
        <w:pStyle w:val="4"/>
        <w:numPr>
          <w:ilvl w:val="0"/>
          <w:numId w:val="0"/>
        </w:numPr>
        <w:spacing w:before="120" w:after="120" w:line="360" w:lineRule="auto"/>
        <w:ind w:left="0" w:leftChars="0" w:firstLine="0" w:firstLineChars="0"/>
        <w:rPr>
          <w:rFonts w:ascii="宋体" w:hAnsi="宋体"/>
          <w:highlight w:val="none"/>
        </w:rPr>
      </w:pPr>
      <w:bookmarkStart w:id="87" w:name="_Toc11512"/>
      <w:bookmarkStart w:id="88" w:name="_Toc462255836"/>
      <w:bookmarkStart w:id="89" w:name="_Toc4891"/>
      <w:r>
        <w:rPr>
          <w:rFonts w:ascii="宋体" w:hAnsi="宋体" w:eastAsia="宋体" w:cs="黑体"/>
          <w:b/>
          <w:bCs/>
          <w:kern w:val="2"/>
          <w:sz w:val="32"/>
          <w:szCs w:val="32"/>
          <w:highlight w:val="none"/>
          <w:lang w:val="en-US" w:eastAsia="zh-CN" w:bidi="ar-SA"/>
          <w14:ligatures w14:val="standardContextual"/>
        </w:rPr>
        <w:t>一、</w:t>
      </w:r>
      <w:r>
        <w:rPr>
          <w:rFonts w:hint="eastAsia" w:ascii="宋体" w:hAnsi="宋体"/>
          <w:highlight w:val="none"/>
        </w:rPr>
        <w:t>设计目标</w:t>
      </w:r>
      <w:bookmarkEnd w:id="87"/>
      <w:bookmarkEnd w:id="88"/>
      <w:bookmarkEnd w:id="89"/>
    </w:p>
    <w:p>
      <w:pPr>
        <w:ind w:firstLine="480" w:firstLineChars="200"/>
        <w:contextualSpacing/>
        <w:rPr>
          <w:rFonts w:hint="eastAsia" w:ascii="宋体" w:hAnsi="宋体"/>
          <w:sz w:val="24"/>
          <w:szCs w:val="21"/>
          <w:highlight w:val="none"/>
        </w:rPr>
      </w:pPr>
      <w:bookmarkStart w:id="90" w:name="_Toc12323"/>
      <w:r>
        <w:rPr>
          <w:rFonts w:hint="eastAsia" w:ascii="宋体" w:hAnsi="宋体"/>
          <w:sz w:val="24"/>
          <w:szCs w:val="21"/>
          <w:highlight w:val="none"/>
        </w:rPr>
        <w:t>项目总用地面积116807平方米，办学规模为60班，总建筑面积103210平方米，其中，计容面积88830平方米，不计容面积14380平方米。建设内容主要包括教学实验楼、科技艺术楼、综合楼、体育馆、会堂、食堂、学生宿舍、教师休息室、架空层、停车库等建筑工程，并配套建设室外运动场地、道路广场、绿化景观、升旗台、综合管网等室外工程。</w:t>
      </w:r>
    </w:p>
    <w:p>
      <w:pPr>
        <w:spacing w:before="120" w:after="120" w:line="360" w:lineRule="auto"/>
        <w:ind w:left="0" w:leftChars="0" w:firstLine="482" w:firstLineChars="200"/>
        <w:contextualSpacing/>
        <w:jc w:val="center"/>
        <w:rPr>
          <w:rFonts w:hint="eastAsia" w:ascii="宋体" w:hAnsi="宋体" w:eastAsia="宋体" w:cs="Times New Roman"/>
          <w:b/>
          <w:bCs/>
          <w:sz w:val="24"/>
          <w:szCs w:val="21"/>
          <w:highlight w:val="none"/>
        </w:rPr>
      </w:pPr>
      <w:r>
        <w:rPr>
          <w:rFonts w:hint="eastAsia" w:ascii="宋体" w:hAnsi="宋体" w:eastAsia="宋体" w:cs="Times New Roman"/>
          <w:b/>
          <w:bCs/>
          <w:sz w:val="24"/>
          <w:szCs w:val="21"/>
          <w:highlight w:val="none"/>
        </w:rPr>
        <w:t>建筑方案主要技术经济指标表</w:t>
      </w:r>
    </w:p>
    <w:tbl>
      <w:tblPr>
        <w:tblStyle w:val="24"/>
        <w:tblW w:w="5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1"/>
        <w:gridCol w:w="1754"/>
        <w:gridCol w:w="752"/>
        <w:gridCol w:w="100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blHeader/>
          <w:jc w:val="center"/>
        </w:trPr>
        <w:tc>
          <w:tcPr>
            <w:tcW w:w="8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0"/>
                <w:sz w:val="21"/>
                <w:szCs w:val="21"/>
                <w:highlight w:val="none"/>
                <w:u w:val="none"/>
                <w:lang w:val="en-US" w:eastAsia="zh-CN" w:bidi="ar"/>
              </w:rPr>
              <w:t>序号</w:t>
            </w:r>
          </w:p>
        </w:tc>
        <w:tc>
          <w:tcPr>
            <w:tcW w:w="17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0"/>
                <w:sz w:val="21"/>
                <w:szCs w:val="21"/>
                <w:highlight w:val="none"/>
                <w:u w:val="none"/>
                <w:lang w:val="en-US" w:eastAsia="zh-CN" w:bidi="ar"/>
              </w:rPr>
              <w:t>内容</w:t>
            </w:r>
          </w:p>
        </w:tc>
        <w:tc>
          <w:tcPr>
            <w:tcW w:w="7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0"/>
                <w:sz w:val="21"/>
                <w:szCs w:val="21"/>
                <w:highlight w:val="none"/>
                <w:u w:val="none"/>
                <w:lang w:val="en-US" w:eastAsia="zh-CN" w:bidi="ar"/>
              </w:rPr>
              <w:t>单位</w:t>
            </w:r>
          </w:p>
        </w:tc>
        <w:tc>
          <w:tcPr>
            <w:tcW w:w="1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0"/>
                <w:sz w:val="21"/>
                <w:szCs w:val="21"/>
                <w:highlight w:val="none"/>
                <w:u w:val="none"/>
                <w:lang w:val="en-US" w:eastAsia="zh-CN" w:bidi="ar"/>
              </w:rPr>
              <w:t>合计</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7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用地面积</w:t>
            </w:r>
          </w:p>
        </w:tc>
        <w:tc>
          <w:tcPr>
            <w:tcW w:w="7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1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116807 </w:t>
            </w:r>
          </w:p>
        </w:tc>
        <w:tc>
          <w:tcPr>
            <w:tcW w:w="951" w:type="dxa"/>
            <w:tcBorders>
              <w:tl2br w:val="nil"/>
              <w:tr2bl w:val="nil"/>
            </w:tcBorders>
            <w:shd w:val="clear" w:color="auto" w:fill="auto"/>
            <w:vAlign w:val="center"/>
          </w:tcPr>
          <w:p>
            <w:pPr>
              <w:jc w:val="both"/>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7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总建筑面积</w:t>
            </w:r>
          </w:p>
        </w:tc>
        <w:tc>
          <w:tcPr>
            <w:tcW w:w="7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1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103210</w:t>
            </w:r>
          </w:p>
        </w:tc>
        <w:tc>
          <w:tcPr>
            <w:tcW w:w="951" w:type="dxa"/>
            <w:tcBorders>
              <w:tl2br w:val="nil"/>
              <w:tr2bl w:val="nil"/>
            </w:tcBorders>
            <w:shd w:val="clear" w:color="auto" w:fill="auto"/>
            <w:vAlign w:val="center"/>
          </w:tcPr>
          <w:p>
            <w:pPr>
              <w:jc w:val="both"/>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17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计容建筑面积</w:t>
            </w:r>
          </w:p>
        </w:tc>
        <w:tc>
          <w:tcPr>
            <w:tcW w:w="7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1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88830</w:t>
            </w:r>
          </w:p>
        </w:tc>
        <w:tc>
          <w:tcPr>
            <w:tcW w:w="951" w:type="dxa"/>
            <w:tcBorders>
              <w:tl2br w:val="nil"/>
              <w:tr2bl w:val="nil"/>
            </w:tcBorders>
            <w:shd w:val="clear" w:color="auto" w:fill="auto"/>
            <w:vAlign w:val="center"/>
          </w:tcPr>
          <w:p>
            <w:pPr>
              <w:jc w:val="both"/>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17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不计容建筑面积</w:t>
            </w:r>
          </w:p>
        </w:tc>
        <w:tc>
          <w:tcPr>
            <w:tcW w:w="7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1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14380</w:t>
            </w:r>
          </w:p>
        </w:tc>
        <w:tc>
          <w:tcPr>
            <w:tcW w:w="951" w:type="dxa"/>
            <w:tcBorders>
              <w:tl2br w:val="nil"/>
              <w:tr2bl w:val="nil"/>
            </w:tcBorders>
            <w:shd w:val="clear" w:color="auto" w:fill="auto"/>
            <w:vAlign w:val="center"/>
          </w:tcPr>
          <w:p>
            <w:pPr>
              <w:jc w:val="both"/>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7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容积率</w:t>
            </w:r>
          </w:p>
        </w:tc>
        <w:tc>
          <w:tcPr>
            <w:tcW w:w="7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1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u w:val="none"/>
                <w:lang w:val="en-US" w:eastAsia="zh-CN" w:bidi="ar"/>
                <w14:ligatures w14:val="standardContextual"/>
              </w:rPr>
            </w:pPr>
            <w:r>
              <w:rPr>
                <w:rFonts w:hint="eastAsia" w:ascii="仿宋" w:hAnsi="仿宋" w:eastAsia="仿宋" w:cs="仿宋"/>
                <w:color w:val="auto"/>
                <w:kern w:val="0"/>
                <w:szCs w:val="21"/>
                <w:highlight w:val="none"/>
                <w:u w:val="none"/>
                <w:lang w:val="en-US" w:eastAsia="zh-CN" w:bidi="ar"/>
              </w:rPr>
              <w:t>≤1.2</w:t>
            </w:r>
          </w:p>
        </w:tc>
        <w:tc>
          <w:tcPr>
            <w:tcW w:w="951" w:type="dxa"/>
            <w:tcBorders>
              <w:tl2br w:val="nil"/>
              <w:tr2bl w:val="nil"/>
            </w:tcBorders>
            <w:shd w:val="clear" w:color="auto" w:fill="auto"/>
            <w:vAlign w:val="center"/>
          </w:tcPr>
          <w:p>
            <w:pPr>
              <w:jc w:val="both"/>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w:t>
            </w:r>
          </w:p>
        </w:tc>
        <w:tc>
          <w:tcPr>
            <w:tcW w:w="17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建筑密度</w:t>
            </w:r>
          </w:p>
        </w:tc>
        <w:tc>
          <w:tcPr>
            <w:tcW w:w="7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c>
          <w:tcPr>
            <w:tcW w:w="1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u w:val="none"/>
                <w:lang w:val="en-US" w:eastAsia="zh-CN" w:bidi="ar"/>
                <w14:ligatures w14:val="standardContextual"/>
              </w:rPr>
            </w:pPr>
            <w:r>
              <w:rPr>
                <w:rFonts w:hint="eastAsia" w:ascii="仿宋" w:hAnsi="仿宋" w:eastAsia="仿宋" w:cs="仿宋"/>
                <w:color w:val="auto"/>
                <w:kern w:val="0"/>
                <w:szCs w:val="21"/>
                <w:highlight w:val="none"/>
                <w:u w:val="none"/>
                <w:lang w:val="en-US" w:eastAsia="zh-CN" w:bidi="ar"/>
              </w:rPr>
              <w:t>≤40</w:t>
            </w:r>
          </w:p>
        </w:tc>
        <w:tc>
          <w:tcPr>
            <w:tcW w:w="951" w:type="dxa"/>
            <w:tcBorders>
              <w:tl2br w:val="nil"/>
              <w:tr2bl w:val="nil"/>
            </w:tcBorders>
            <w:shd w:val="clear" w:color="auto" w:fill="auto"/>
            <w:vAlign w:val="center"/>
          </w:tcPr>
          <w:p>
            <w:pPr>
              <w:jc w:val="both"/>
              <w:rPr>
                <w:rFonts w:hint="eastAsia" w:ascii="仿宋" w:hAnsi="仿宋" w:eastAsia="仿宋" w:cs="仿宋"/>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7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绿化率</w:t>
            </w:r>
          </w:p>
        </w:tc>
        <w:tc>
          <w:tcPr>
            <w:tcW w:w="75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lang w:val="en-US" w:eastAsia="zh-CN"/>
              </w:rPr>
              <w:t>%</w:t>
            </w:r>
          </w:p>
        </w:tc>
        <w:tc>
          <w:tcPr>
            <w:tcW w:w="10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u w:val="none"/>
                <w:lang w:val="en-US" w:eastAsia="zh-CN" w:bidi="ar"/>
                <w14:ligatures w14:val="standardContextual"/>
              </w:rPr>
            </w:pPr>
            <w:r>
              <w:rPr>
                <w:rFonts w:hint="eastAsia" w:ascii="仿宋" w:hAnsi="仿宋" w:eastAsia="仿宋" w:cs="仿宋"/>
                <w:color w:val="auto"/>
                <w:kern w:val="0"/>
                <w:szCs w:val="21"/>
                <w:highlight w:val="none"/>
                <w:u w:val="none"/>
                <w:lang w:val="en-US" w:eastAsia="zh-CN" w:bidi="ar"/>
              </w:rPr>
              <w:t>≥30</w:t>
            </w:r>
          </w:p>
        </w:tc>
        <w:tc>
          <w:tcPr>
            <w:tcW w:w="951" w:type="dxa"/>
            <w:tcBorders>
              <w:tl2br w:val="nil"/>
              <w:tr2bl w:val="nil"/>
            </w:tcBorders>
            <w:shd w:val="clear" w:color="auto" w:fill="auto"/>
            <w:vAlign w:val="center"/>
          </w:tcPr>
          <w:p>
            <w:pPr>
              <w:jc w:val="left"/>
              <w:rPr>
                <w:rFonts w:hint="eastAsia" w:ascii="仿宋" w:hAnsi="仿宋" w:eastAsia="仿宋" w:cs="仿宋"/>
                <w:i w:val="0"/>
                <w:iCs w:val="0"/>
                <w:color w:val="auto"/>
                <w:kern w:val="2"/>
                <w:sz w:val="21"/>
                <w:szCs w:val="21"/>
                <w:highlight w:val="none"/>
                <w:u w:val="none"/>
                <w:lang w:val="en-US" w:eastAsia="zh-CN" w:bidi="ar-SA"/>
              </w:rPr>
            </w:pPr>
          </w:p>
        </w:tc>
      </w:tr>
    </w:tbl>
    <w:p>
      <w:pPr>
        <w:pStyle w:val="23"/>
        <w:spacing w:before="120" w:after="120" w:line="360" w:lineRule="auto"/>
        <w:ind w:left="0" w:leftChars="0" w:firstLineChars="0"/>
        <w:jc w:val="left"/>
        <w:rPr>
          <w:rFonts w:hint="eastAsia"/>
          <w:highlight w:val="none"/>
        </w:rPr>
      </w:pPr>
      <w:r>
        <w:rPr>
          <w:rFonts w:hint="eastAsia"/>
          <w:b/>
          <w:bCs/>
          <w:highlight w:val="none"/>
        </w:rPr>
        <w:t>【以上建设规模仅作为参考，实际以满足学校功能使用设计方案为准】</w:t>
      </w:r>
    </w:p>
    <w:p>
      <w:pPr>
        <w:pStyle w:val="4"/>
        <w:numPr>
          <w:ilvl w:val="0"/>
          <w:numId w:val="0"/>
        </w:numPr>
        <w:spacing w:before="120" w:after="120" w:line="360" w:lineRule="auto"/>
        <w:ind w:left="0" w:leftChars="0" w:firstLine="0" w:firstLineChars="0"/>
        <w:rPr>
          <w:rFonts w:ascii="宋体" w:hAnsi="宋体"/>
          <w:highlight w:val="none"/>
        </w:rPr>
      </w:pPr>
      <w:bookmarkStart w:id="91" w:name="_Toc1980"/>
      <w:r>
        <w:rPr>
          <w:rFonts w:ascii="宋体" w:hAnsi="宋体" w:eastAsia="宋体" w:cs="黑体"/>
          <w:b/>
          <w:bCs/>
          <w:kern w:val="2"/>
          <w:sz w:val="32"/>
          <w:szCs w:val="32"/>
          <w:highlight w:val="none"/>
          <w:lang w:val="en-US" w:eastAsia="zh-CN" w:bidi="ar-SA"/>
          <w14:ligatures w14:val="standardContextual"/>
        </w:rPr>
        <w:t>二、</w:t>
      </w:r>
      <w:r>
        <w:rPr>
          <w:rFonts w:hint="eastAsia" w:ascii="宋体" w:hAnsi="宋体"/>
          <w:highlight w:val="none"/>
        </w:rPr>
        <w:t>设计原则</w:t>
      </w:r>
      <w:bookmarkEnd w:id="90"/>
      <w:bookmarkEnd w:id="91"/>
    </w:p>
    <w:p>
      <w:pPr>
        <w:pStyle w:val="50"/>
        <w:numPr>
          <w:ilvl w:val="0"/>
          <w:numId w:val="0"/>
        </w:numPr>
        <w:spacing w:before="240" w:after="120"/>
        <w:ind w:left="0" w:firstLine="425" w:firstLineChars="152"/>
        <w:rPr>
          <w:rFonts w:hint="eastAsia" w:ascii="宋体" w:hAnsi="宋体" w:eastAsia="宋体" w:cs="黑体"/>
          <w:bCs/>
          <w:sz w:val="28"/>
          <w:szCs w:val="21"/>
          <w:highlight w:val="none"/>
        </w:rPr>
      </w:pPr>
      <w:bookmarkStart w:id="92" w:name="_Toc462255921"/>
      <w:bookmarkStart w:id="93" w:name="_Toc11071"/>
      <w:bookmarkStart w:id="94" w:name="_Toc462255837"/>
      <w:bookmarkStart w:id="95" w:name="_Toc11155"/>
      <w:r>
        <w:rPr>
          <w:rFonts w:hint="eastAsia" w:ascii="宋体" w:hAnsi="宋体" w:eastAsia="宋体" w:cs="黑体"/>
          <w:bCs/>
          <w:kern w:val="2"/>
          <w:sz w:val="28"/>
          <w:szCs w:val="21"/>
          <w:highlight w:val="none"/>
          <w:lang w:val="en-US" w:eastAsia="zh-CN" w:bidi="ar-SA"/>
          <w14:ligatures w14:val="standardContextual"/>
        </w:rPr>
        <w:t>(一)</w:t>
      </w:r>
      <w:r>
        <w:rPr>
          <w:rFonts w:hint="eastAsia" w:ascii="宋体" w:hAnsi="宋体" w:eastAsia="宋体" w:cs="黑体"/>
          <w:bCs/>
          <w:szCs w:val="21"/>
          <w:highlight w:val="none"/>
        </w:rPr>
        <w:t>基本原则</w:t>
      </w:r>
      <w:bookmarkEnd w:id="92"/>
      <w:bookmarkEnd w:id="93"/>
      <w:bookmarkEnd w:id="94"/>
      <w:bookmarkEnd w:id="95"/>
    </w:p>
    <w:p>
      <w:pPr>
        <w:ind w:firstLine="570"/>
        <w:rPr>
          <w:rFonts w:hint="eastAsia" w:ascii="宋体" w:hAnsi="宋体" w:eastAsia="宋体"/>
          <w:sz w:val="24"/>
          <w:szCs w:val="21"/>
          <w:highlight w:val="none"/>
          <w:lang w:val="en-US" w:eastAsia="zh-CN"/>
        </w:rPr>
      </w:pPr>
      <w:r>
        <w:rPr>
          <w:rFonts w:hint="eastAsia" w:ascii="宋体" w:hAnsi="宋体"/>
          <w:sz w:val="24"/>
          <w:szCs w:val="21"/>
          <w:highlight w:val="none"/>
          <w:lang w:val="en-US" w:eastAsia="zh-CN"/>
        </w:rPr>
        <w:t>1.规划理念</w:t>
      </w:r>
    </w:p>
    <w:p>
      <w:pPr>
        <w:ind w:firstLine="570"/>
        <w:rPr>
          <w:rFonts w:ascii="宋体" w:hAnsi="宋体"/>
          <w:sz w:val="24"/>
          <w:highlight w:val="none"/>
        </w:rPr>
      </w:pPr>
      <w:r>
        <w:rPr>
          <w:rFonts w:hint="eastAsia" w:ascii="宋体" w:hAnsi="宋体"/>
          <w:sz w:val="24"/>
          <w:szCs w:val="21"/>
          <w:highlight w:val="none"/>
        </w:rPr>
        <w:t>考虑到拟建项目的建设目标、功能、用途，并根据用地的现状地形地势条件、周边环境等因素，确定拟</w:t>
      </w:r>
      <w:r>
        <w:rPr>
          <w:rFonts w:hint="eastAsia" w:ascii="宋体" w:hAnsi="宋体"/>
          <w:sz w:val="24"/>
          <w:highlight w:val="none"/>
        </w:rPr>
        <w:t>理念如下：</w:t>
      </w:r>
    </w:p>
    <w:p>
      <w:pPr>
        <w:pStyle w:val="76"/>
        <w:numPr>
          <w:ilvl w:val="0"/>
          <w:numId w:val="0"/>
        </w:numPr>
        <w:ind w:left="920" w:leftChars="0" w:hanging="440" w:firstLineChars="0"/>
        <w:rPr>
          <w:highlight w:val="none"/>
        </w:rPr>
      </w:pPr>
      <w:r>
        <w:rPr>
          <w:rFonts w:hint="eastAsia" w:cs="宋体"/>
          <w:kern w:val="28"/>
          <w:sz w:val="24"/>
          <w:szCs w:val="21"/>
          <w:highlight w:val="none"/>
          <w:lang w:val="en-US" w:eastAsia="zh-CN" w:bidi="ar-SA"/>
          <w14:ligatures w14:val="standardContextual"/>
        </w:rPr>
        <w:t>（1）</w:t>
      </w:r>
      <w:r>
        <w:rPr>
          <w:rFonts w:hint="eastAsia"/>
          <w:highlight w:val="none"/>
        </w:rPr>
        <w:t>现代化校园</w:t>
      </w:r>
    </w:p>
    <w:p>
      <w:pPr>
        <w:ind w:firstLine="570"/>
        <w:rPr>
          <w:rFonts w:ascii="宋体" w:hAnsi="宋体"/>
          <w:sz w:val="24"/>
          <w:highlight w:val="none"/>
        </w:rPr>
      </w:pPr>
      <w:r>
        <w:rPr>
          <w:rFonts w:hint="eastAsia" w:ascii="宋体" w:hAnsi="宋体"/>
          <w:sz w:val="24"/>
          <w:highlight w:val="none"/>
        </w:rPr>
        <w:t>把握基础教育发展趋势，顺应基础教育内涵变化。基础教育的内涵由传统的教师对学生的单向灌输向以学生为主体的，以人的发展和素质培养为中心的开放式教育转化。规划营造多层次交流空间，通过课堂内外交流环境的潜移默化，促使学生全面素质的提高，使学生养成自觉学习的习惯。</w:t>
      </w:r>
    </w:p>
    <w:p>
      <w:pPr>
        <w:pStyle w:val="76"/>
        <w:numPr>
          <w:ilvl w:val="0"/>
          <w:numId w:val="0"/>
        </w:numPr>
        <w:ind w:left="920" w:leftChars="0" w:hanging="440" w:firstLineChars="0"/>
        <w:rPr>
          <w:highlight w:val="none"/>
        </w:rPr>
      </w:pPr>
      <w:r>
        <w:rPr>
          <w:rFonts w:hint="eastAsia" w:cs="宋体"/>
          <w:kern w:val="28"/>
          <w:sz w:val="24"/>
          <w:szCs w:val="21"/>
          <w:highlight w:val="none"/>
          <w:lang w:val="en-US" w:eastAsia="zh-CN" w:bidi="ar-SA"/>
          <w14:ligatures w14:val="standardContextual"/>
        </w:rPr>
        <w:t>（2）</w:t>
      </w:r>
      <w:r>
        <w:rPr>
          <w:rFonts w:hint="eastAsia"/>
          <w:highlight w:val="none"/>
        </w:rPr>
        <w:t>生态化校园</w:t>
      </w:r>
    </w:p>
    <w:p>
      <w:pPr>
        <w:ind w:firstLine="570"/>
        <w:rPr>
          <w:rFonts w:ascii="宋体" w:hAnsi="宋体"/>
          <w:sz w:val="24"/>
          <w:highlight w:val="none"/>
        </w:rPr>
      </w:pPr>
      <w:r>
        <w:rPr>
          <w:rFonts w:hint="eastAsia" w:ascii="宋体" w:hAnsi="宋体"/>
          <w:sz w:val="24"/>
          <w:highlight w:val="none"/>
        </w:rPr>
        <w:t>以生态环保意识为指导，人与自然共存。充分利用现有地形、地貌营造高雅、有文化氛围、有活力的校园环境，并在单体布局中，尽可能满足节能通风和环保的要求。充分利用场地现有自然条件，因地制宜，人工建筑与自然环境相融合，突出建筑群布置的层次感，同时加强校园环境景观的配套设计，体现校园花园化、生态化。</w:t>
      </w:r>
    </w:p>
    <w:p>
      <w:pPr>
        <w:pStyle w:val="76"/>
        <w:numPr>
          <w:ilvl w:val="0"/>
          <w:numId w:val="0"/>
        </w:numPr>
        <w:ind w:left="920" w:leftChars="0" w:hanging="440" w:firstLineChars="0"/>
        <w:rPr>
          <w:highlight w:val="none"/>
        </w:rPr>
      </w:pPr>
      <w:r>
        <w:rPr>
          <w:rFonts w:hint="eastAsia" w:cs="宋体"/>
          <w:kern w:val="28"/>
          <w:sz w:val="24"/>
          <w:szCs w:val="21"/>
          <w:highlight w:val="none"/>
          <w:lang w:val="en-US" w:eastAsia="zh-CN" w:bidi="ar-SA"/>
          <w14:ligatures w14:val="standardContextual"/>
        </w:rPr>
        <w:t>（3）</w:t>
      </w:r>
      <w:r>
        <w:rPr>
          <w:rFonts w:hint="eastAsia"/>
          <w:highlight w:val="none"/>
        </w:rPr>
        <w:t>园林化校园</w:t>
      </w:r>
    </w:p>
    <w:p>
      <w:pPr>
        <w:pStyle w:val="76"/>
        <w:rPr>
          <w:szCs w:val="24"/>
          <w:highlight w:val="none"/>
        </w:rPr>
      </w:pPr>
      <w:r>
        <w:rPr>
          <w:rFonts w:hint="eastAsia"/>
          <w:highlight w:val="none"/>
        </w:rPr>
        <w:t>以规划、景观、建筑三位一体的整体化校园设计为目标，在外部空间的设计中，从整个校园生态环境到单体建筑内部，营造多层次的园林空间，立足于提高修养，陶冶情操起到“环境育人”的作用，加强校园环境的整体性。</w:t>
      </w:r>
    </w:p>
    <w:p>
      <w:pPr>
        <w:pStyle w:val="76"/>
        <w:numPr>
          <w:ilvl w:val="0"/>
          <w:numId w:val="0"/>
        </w:numPr>
        <w:ind w:left="920" w:leftChars="0" w:hanging="440" w:firstLineChars="0"/>
        <w:rPr>
          <w:szCs w:val="24"/>
          <w:highlight w:val="none"/>
        </w:rPr>
      </w:pPr>
      <w:r>
        <w:rPr>
          <w:rFonts w:hint="eastAsia" w:cs="宋体"/>
          <w:kern w:val="28"/>
          <w:sz w:val="24"/>
          <w:szCs w:val="21"/>
          <w:highlight w:val="none"/>
          <w:lang w:val="en-US" w:eastAsia="zh-CN" w:bidi="ar-SA"/>
          <w14:ligatures w14:val="standardContextual"/>
        </w:rPr>
        <w:t>（4）</w:t>
      </w:r>
      <w:r>
        <w:rPr>
          <w:rFonts w:hint="eastAsia"/>
          <w:highlight w:val="none"/>
        </w:rPr>
        <w:t>人性化校园</w:t>
      </w:r>
    </w:p>
    <w:p>
      <w:pPr>
        <w:pStyle w:val="76"/>
        <w:ind w:firstLineChars="200"/>
        <w:rPr>
          <w:rFonts w:hint="eastAsia" w:ascii="宋体" w:hAnsi="宋体" w:eastAsia="宋体" w:cs="宋体"/>
          <w:sz w:val="24"/>
          <w:highlight w:val="none"/>
        </w:rPr>
      </w:pPr>
      <w:r>
        <w:rPr>
          <w:rFonts w:hint="eastAsia" w:ascii="宋体" w:hAnsi="宋体" w:eastAsia="宋体" w:cs="宋体"/>
          <w:sz w:val="24"/>
          <w:highlight w:val="none"/>
        </w:rPr>
        <w:t>人性化规划理论反对盲目追求威严感和大尺度空间的观念，坚持校园规划以人为本的原则，要求体现对师生的关怀，创造多样性的、趣味性的校园空间，讲求空间的多层次性、连续性和人性化设计，追求校园空间对学生创造力的激发和素质的培养。</w:t>
      </w:r>
    </w:p>
    <w:p>
      <w:pPr>
        <w:pStyle w:val="76"/>
        <w:numPr>
          <w:ilvl w:val="0"/>
          <w:numId w:val="0"/>
        </w:numPr>
        <w:ind w:left="920" w:leftChars="0" w:hanging="440" w:firstLineChars="0"/>
        <w:rPr>
          <w:highlight w:val="none"/>
        </w:rPr>
      </w:pPr>
      <w:r>
        <w:rPr>
          <w:rFonts w:hint="eastAsia" w:cs="宋体"/>
          <w:kern w:val="28"/>
          <w:sz w:val="24"/>
          <w:szCs w:val="21"/>
          <w:highlight w:val="none"/>
          <w:lang w:val="en-US" w:eastAsia="zh-CN" w:bidi="ar-SA"/>
          <w14:ligatures w14:val="standardContextual"/>
        </w:rPr>
        <w:t>（5）</w:t>
      </w:r>
      <w:r>
        <w:rPr>
          <w:rFonts w:hint="eastAsia"/>
          <w:highlight w:val="none"/>
        </w:rPr>
        <w:t>岭南特色校园</w:t>
      </w:r>
    </w:p>
    <w:p>
      <w:pPr>
        <w:pStyle w:val="76"/>
        <w:rPr>
          <w:rFonts w:hint="eastAsia"/>
          <w:highlight w:val="none"/>
        </w:rPr>
      </w:pPr>
      <w:r>
        <w:rPr>
          <w:rFonts w:hint="eastAsia"/>
          <w:highlight w:val="none"/>
        </w:rPr>
        <w:t>规划、景观、建筑空间要与当地自然生态和人文环境相融合，校园力求体现现代岭南特色，提炼传统岭南文化、建筑、园林特色，传承并发扬现有校区的岭南脉络，打造现代与岭南相结合的特色校园空间。</w:t>
      </w:r>
    </w:p>
    <w:p>
      <w:pPr>
        <w:ind w:firstLine="570"/>
        <w:rPr>
          <w:rFonts w:hint="eastAsia" w:ascii="宋体" w:hAnsi="宋体" w:eastAsia="宋体" w:cs="Times New Roman"/>
          <w:bCs w:val="0"/>
          <w:sz w:val="24"/>
          <w:szCs w:val="21"/>
          <w:highlight w:val="none"/>
        </w:rPr>
      </w:pPr>
      <w:bookmarkStart w:id="96" w:name="_Toc462255923"/>
      <w:bookmarkStart w:id="97" w:name="_Toc462255839"/>
      <w:r>
        <w:rPr>
          <w:rFonts w:hint="eastAsia" w:ascii="宋体" w:hAnsi="宋体" w:eastAsia="宋体" w:cs="Times New Roman"/>
          <w:bCs w:val="0"/>
          <w:kern w:val="2"/>
          <w:sz w:val="24"/>
          <w:szCs w:val="21"/>
          <w:highlight w:val="none"/>
          <w:lang w:val="en-US" w:eastAsia="zh-CN" w:bidi="ar-SA"/>
          <w14:ligatures w14:val="standardContextual"/>
        </w:rPr>
        <w:t>2.</w:t>
      </w:r>
      <w:r>
        <w:rPr>
          <w:rFonts w:hint="eastAsia" w:ascii="宋体" w:hAnsi="宋体" w:eastAsia="宋体" w:cs="Times New Roman"/>
          <w:bCs w:val="0"/>
          <w:sz w:val="24"/>
          <w:szCs w:val="21"/>
          <w:highlight w:val="none"/>
        </w:rPr>
        <w:t>规划构思</w:t>
      </w:r>
      <w:bookmarkEnd w:id="96"/>
      <w:bookmarkEnd w:id="97"/>
    </w:p>
    <w:p>
      <w:pPr>
        <w:ind w:firstLine="480" w:firstLineChars="200"/>
        <w:rPr>
          <w:rFonts w:ascii="宋体" w:hAnsi="宋体"/>
          <w:sz w:val="24"/>
          <w:highlight w:val="none"/>
        </w:rPr>
      </w:pPr>
      <w:r>
        <w:rPr>
          <w:rFonts w:hint="eastAsia" w:ascii="宋体" w:hAnsi="宋体"/>
          <w:sz w:val="24"/>
          <w:highlight w:val="none"/>
        </w:rPr>
        <w:t>结合规划设计范围区位条件及现状，充分考虑相应功能发展用地，本着“适用、安全、经济、美观”和适度超前的设计原则，规划设计应坚决贯彻党的基本方针、政策、遵守国家省市制定的有关设计规范及设计标准，力求实现经济、社会和环境效益的综合优化，为达到功能合理，投资经济、节能省地、可持续发展的目的，形成布局合理、功能齐全、设施完善、可持续发展的现代化学校，创造出高层次的育人校园环境和一流的新世纪校园建设景观。应该从以下几个方面充分考虑：</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rPr>
        <w:t>应充分体现“防灾、抗灾、安全第一的”设计思想，在工程设计中适当提高建设标准，整体设计遵循“确保安全、适用、实用、方便学生”的原则。</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根据建设场地气候、水文、地质、地貌、植被以及当地的建筑材料施工水平，从学校所处城镇及自身远期发展的角度出发，校区建设不但要满足学校内部的功能，还应当成为所在城镇的有机组成部份，并有利于提升当地文化品位。</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规划设计坚持“超前而不奢华、先进与适用并举”的原则。学校功能的设置既要满足学校教学等日常功能需要，做到分区明确、适度聚集、平面简洁实用；又能做到适度超前，设计需综合考虑当今形势下的国际化新教学模式，结合本校办学特色，设置更加丰富的教学内容，布局更加多元、开放、共享的教学空间，充分考虑校园可持续发展、技术和设备更新发展的需求，给予宽松的空间预留。</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规划设计风格需在创新的基础上，考虑广州外国语学校文化和本部校园空间的传承，着重体现现代建筑特色，体现人文韵味、校园特色和学校精神。</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塑造复合功能结构</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串联式空间模式：将行政办公楼、图书馆、教学楼等主要建筑单体通过风雨连廊以串联式布局来组合成建筑群体，建筑之间形成空间核心感，各虚实空间相互穿插。广州为多雨地区，建设风雨连廊可以避免风雨侵扰，除避免风雨侵扰、交通联系等主要功能外，还有美化环境、增设休息与嬉戏空间、宣传、展示等功能。</w:t>
      </w:r>
    </w:p>
    <w:p>
      <w:pPr>
        <w:ind w:firstLine="480" w:firstLineChars="200"/>
        <w:rPr>
          <w:rFonts w:hint="eastAsia" w:ascii="宋体" w:hAnsi="宋体" w:eastAsia="宋体" w:cs="Times New Roman"/>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lang w:eastAsia="zh-CN"/>
        </w:rPr>
        <w:t>）</w:t>
      </w:r>
      <w:r>
        <w:rPr>
          <w:rFonts w:hint="eastAsia" w:ascii="宋体" w:hAnsi="宋体" w:eastAsia="宋体" w:cs="Times New Roman"/>
          <w:highlight w:val="none"/>
        </w:rPr>
        <w:t>营造自然生态的空间场所</w:t>
      </w:r>
    </w:p>
    <w:p>
      <w:pPr>
        <w:pStyle w:val="54"/>
        <w:ind w:firstLine="480" w:firstLineChars="200"/>
        <w:rPr>
          <w:rFonts w:hint="eastAsia" w:ascii="宋体" w:hAnsi="宋体" w:eastAsia="宋体" w:cs="Times New Roman"/>
          <w:highlight w:val="none"/>
        </w:rPr>
      </w:pPr>
      <w:r>
        <w:rPr>
          <w:rFonts w:hint="eastAsia" w:hAnsi="宋体" w:cs="Times New Roman"/>
          <w:highlight w:val="none"/>
        </w:rPr>
        <w:t>设计中仔细研究基地现状，归纳总结，得出合理的整体功能布局，对景观视线进行分析，从而让设计以达到景观最大化，让学校既是学习的园地，又是生活的栖息地。功能与景观、生态及人文协调发展以及人与自然的共生共融。</w:t>
      </w:r>
    </w:p>
    <w:p>
      <w:pPr>
        <w:ind w:firstLine="480" w:firstLineChars="200"/>
        <w:rPr>
          <w:rFonts w:hint="eastAsia" w:ascii="宋体" w:hAnsi="宋体" w:cs="Times New Roman"/>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lang w:eastAsia="zh-CN"/>
        </w:rPr>
        <w:t>）</w:t>
      </w:r>
      <w:r>
        <w:rPr>
          <w:rFonts w:hint="eastAsia" w:ascii="宋体" w:hAnsi="宋体" w:cs="Times New Roman"/>
          <w:sz w:val="24"/>
          <w:highlight w:val="none"/>
        </w:rPr>
        <w:t>构建和谐理想景观</w:t>
      </w:r>
    </w:p>
    <w:p>
      <w:pPr>
        <w:pStyle w:val="54"/>
        <w:ind w:firstLine="480" w:firstLineChars="200"/>
        <w:rPr>
          <w:rFonts w:hint="eastAsia" w:ascii="宋体" w:hAnsi="宋体" w:eastAsia="宋体" w:cs="Times New Roman"/>
          <w:highlight w:val="none"/>
          <w:lang w:eastAsia="zh-CN"/>
        </w:rPr>
      </w:pPr>
      <w:r>
        <w:rPr>
          <w:rFonts w:hint="eastAsia" w:hAnsi="宋体" w:cs="Times New Roman"/>
          <w:highlight w:val="none"/>
        </w:rPr>
        <w:t>尊重基地自然生态和景观特色。运用生态学理论，实现人与自然、区域与城市的和谐共生，塑造高品位的艺术景观环境，营造充满活力和魅力的义务教育场所和优异的成长空间，树立可持续发展的典范。</w:t>
      </w:r>
    </w:p>
    <w:p>
      <w:pPr>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（8）</w:t>
      </w:r>
      <w:r>
        <w:rPr>
          <w:rFonts w:hint="eastAsia" w:ascii="宋体" w:hAnsi="宋体"/>
          <w:sz w:val="24"/>
          <w:highlight w:val="none"/>
        </w:rPr>
        <w:t>绿色节能</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绿色节能建筑规划须符合广州市的总体规划的要求，具有鲜明的现代特色并结合岭南建筑特点，为增城区居民营造一个良好的教育场所。满足广州市对公共建筑的绿色节能要求，符合国家绿色建设标准。</w:t>
      </w:r>
    </w:p>
    <w:p>
      <w:pPr>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9</w:t>
      </w:r>
      <w:r>
        <w:rPr>
          <w:rFonts w:hint="eastAsia" w:ascii="宋体" w:hAnsi="宋体" w:eastAsia="宋体" w:cs="Times New Roman"/>
          <w:sz w:val="24"/>
          <w:highlight w:val="none"/>
          <w:lang w:eastAsia="zh-CN"/>
        </w:rPr>
        <w:t>）</w:t>
      </w:r>
      <w:r>
        <w:rPr>
          <w:rFonts w:hint="eastAsia" w:ascii="宋体" w:hAnsi="宋体"/>
          <w:sz w:val="24"/>
          <w:highlight w:val="none"/>
        </w:rPr>
        <w:t>海绵城市</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基于海绵城市低影响开发的理念，将场地地表雨水排放和LID设施相结合，变传统排水系统为可持续水量和水质管理系统，实现对雨水的综合利用。</w:t>
      </w:r>
    </w:p>
    <w:p>
      <w:pPr>
        <w:pStyle w:val="76"/>
        <w:rPr>
          <w:highlight w:val="none"/>
        </w:rPr>
      </w:pPr>
      <w:r>
        <w:rPr>
          <w:rFonts w:hint="eastAsia"/>
          <w:highlight w:val="none"/>
        </w:rPr>
        <w:t>根据《海绵城市建设技术指南—低影响开发雨水系统构建（试行）》，广州市属于年径流总量控制率的Ⅳ区，年径流总量控制率应为（70%≤α≤85%）</w:t>
      </w:r>
    </w:p>
    <w:p>
      <w:pPr>
        <w:pStyle w:val="76"/>
        <w:rPr>
          <w:highlight w:val="none"/>
        </w:rPr>
      </w:pPr>
      <w:r>
        <w:rPr>
          <w:rFonts w:hint="eastAsia"/>
          <w:highlight w:val="none"/>
        </w:rPr>
        <w:t>根据项目</w:t>
      </w:r>
      <w:r>
        <w:rPr>
          <w:rFonts w:hint="eastAsia" w:ascii="宋体" w:hAnsi="宋体" w:eastAsia="宋体" w:cs="宋体"/>
          <w:highlight w:val="none"/>
        </w:rPr>
        <w:t>用地</w:t>
      </w:r>
      <w:r>
        <w:rPr>
          <w:rFonts w:hint="eastAsia"/>
          <w:highlight w:val="none"/>
        </w:rPr>
        <w:t>性质、用地规模、项目定位及规划要求等实际情况合理布置海绵城市设施，对排水系统、绿地系统、道路系统等区域的雨水进行有效吸纳、蓄渗和缓释，有效控制雨水径流，实现海绵建设总体控制目标。</w:t>
      </w:r>
    </w:p>
    <w:p>
      <w:pPr>
        <w:pStyle w:val="76"/>
        <w:rPr>
          <w:highlight w:val="none"/>
        </w:rPr>
      </w:pPr>
      <w:r>
        <w:rPr>
          <w:rFonts w:hint="eastAsia"/>
          <w:highlight w:val="none"/>
        </w:rPr>
        <w:t>根据《</w:t>
      </w:r>
      <w:r>
        <w:rPr>
          <w:rFonts w:hint="eastAsia" w:ascii="宋体" w:hAnsi="宋体" w:eastAsia="宋体" w:cs="宋体"/>
          <w:highlight w:val="none"/>
        </w:rPr>
        <w:t>广州市</w:t>
      </w:r>
      <w:r>
        <w:rPr>
          <w:rFonts w:hint="eastAsia"/>
          <w:highlight w:val="none"/>
        </w:rPr>
        <w:t>海绵城市建设指标体系（试行）》，建设区域内开发建设后的年径流总量控制率不低于70%，针对本项目，海绵城市的设计思路需要从两个方面进行考虑：雨水的调蓄和雨水的下渗。</w:t>
      </w:r>
    </w:p>
    <w:p>
      <w:pPr>
        <w:pStyle w:val="76"/>
        <w:numPr>
          <w:ilvl w:val="0"/>
          <w:numId w:val="0"/>
        </w:numPr>
        <w:ind w:left="720" w:leftChars="0" w:hanging="360" w:firstLineChars="0"/>
        <w:rPr>
          <w:highlight w:val="none"/>
        </w:rPr>
      </w:pPr>
      <w:r>
        <w:rPr>
          <w:rFonts w:hint="eastAsia" w:ascii="宋体" w:hAnsi="宋体" w:eastAsia="宋体" w:cs="宋体"/>
          <w:kern w:val="28"/>
          <w:sz w:val="24"/>
          <w:szCs w:val="21"/>
          <w:highlight w:val="none"/>
          <w:lang w:val="en-US" w:eastAsia="zh-CN" w:bidi="ar-SA"/>
          <w14:ligatures w14:val="standardContextual"/>
        </w:rPr>
        <w:t>（10）</w:t>
      </w:r>
      <w:r>
        <w:rPr>
          <w:rFonts w:hint="eastAsia"/>
          <w:highlight w:val="none"/>
        </w:rPr>
        <w:t>装配式建筑</w:t>
      </w:r>
    </w:p>
    <w:p>
      <w:pPr>
        <w:pStyle w:val="57"/>
        <w:ind w:firstLine="480" w:firstLineChars="200"/>
        <w:rPr>
          <w:rFonts w:ascii="宋体" w:hAnsi="宋体" w:cs="宋体"/>
          <w:sz w:val="24"/>
          <w:szCs w:val="24"/>
          <w:highlight w:val="none"/>
        </w:rPr>
      </w:pPr>
      <w:r>
        <w:rPr>
          <w:rFonts w:hint="eastAsia" w:ascii="宋体" w:hAnsi="宋体" w:cs="宋体"/>
          <w:sz w:val="24"/>
          <w:szCs w:val="24"/>
          <w:highlight w:val="none"/>
        </w:rPr>
        <w:t>根据中华人民共和国国家标准《装配式建筑评价标准》GB/T51129-2017及广东省装配式建筑评价标准DBJ 15-163-2019设计。</w:t>
      </w:r>
    </w:p>
    <w:p>
      <w:pPr>
        <w:pStyle w:val="57"/>
        <w:ind w:firstLine="480" w:firstLineChars="200"/>
        <w:rPr>
          <w:rFonts w:ascii="宋体" w:hAnsi="宋体" w:cs="宋体"/>
          <w:sz w:val="24"/>
          <w:szCs w:val="24"/>
          <w:highlight w:val="none"/>
        </w:rPr>
      </w:pPr>
      <w:r>
        <w:rPr>
          <w:rFonts w:hint="eastAsia" w:ascii="宋体" w:hAnsi="宋体" w:cs="宋体"/>
          <w:sz w:val="24"/>
          <w:szCs w:val="24"/>
          <w:highlight w:val="none"/>
        </w:rPr>
        <w:t>1）装配率计算和装配式建筑等级评价宜以单体建筑作为计算和评价单元，并应符合下列规定：</w:t>
      </w:r>
    </w:p>
    <w:p>
      <w:pPr>
        <w:pStyle w:val="57"/>
        <w:ind w:firstLine="480" w:firstLineChars="200"/>
        <w:rPr>
          <w:rFonts w:ascii="宋体" w:hAnsi="宋体" w:cs="宋体"/>
          <w:sz w:val="24"/>
          <w:szCs w:val="24"/>
          <w:highlight w:val="none"/>
        </w:rPr>
      </w:pPr>
      <w:r>
        <w:rPr>
          <w:rFonts w:hint="eastAsia" w:ascii="仿宋" w:hAnsi="仿宋" w:eastAsia="仿宋" w:cs="仿宋"/>
          <w:sz w:val="24"/>
          <w:szCs w:val="24"/>
          <w:highlight w:val="none"/>
        </w:rPr>
        <w:t>①</w:t>
      </w:r>
      <w:r>
        <w:rPr>
          <w:rFonts w:hint="eastAsia" w:ascii="宋体" w:hAnsi="宋体" w:cs="宋体"/>
          <w:sz w:val="24"/>
          <w:szCs w:val="24"/>
          <w:highlight w:val="none"/>
        </w:rPr>
        <w:t>单体建筑应按项目规划批准文件的建筑编号确认；</w:t>
      </w:r>
    </w:p>
    <w:p>
      <w:pPr>
        <w:pStyle w:val="57"/>
        <w:ind w:firstLine="480" w:firstLineChars="200"/>
        <w:rPr>
          <w:rFonts w:ascii="宋体" w:hAnsi="宋体" w:cs="宋体"/>
          <w:sz w:val="24"/>
          <w:szCs w:val="24"/>
          <w:highlight w:val="none"/>
        </w:rPr>
      </w:pPr>
      <w:r>
        <w:rPr>
          <w:rFonts w:hint="eastAsia" w:ascii="仿宋" w:hAnsi="仿宋" w:eastAsia="仿宋" w:cs="仿宋"/>
          <w:sz w:val="24"/>
          <w:szCs w:val="24"/>
          <w:highlight w:val="none"/>
        </w:rPr>
        <w:t>②</w:t>
      </w:r>
      <w:r>
        <w:rPr>
          <w:rFonts w:hint="eastAsia" w:ascii="宋体" w:hAnsi="宋体" w:cs="宋体"/>
          <w:sz w:val="24"/>
          <w:szCs w:val="24"/>
          <w:highlight w:val="none"/>
        </w:rPr>
        <w:t>单体建筑由主楼和裙楼组成时，主楼和裙楼可按不同的单体建筑进行计算和评价；</w:t>
      </w:r>
    </w:p>
    <w:p>
      <w:pPr>
        <w:pStyle w:val="57"/>
        <w:ind w:firstLine="480" w:firstLineChars="200"/>
        <w:rPr>
          <w:rFonts w:ascii="宋体" w:hAnsi="宋体" w:cs="宋体"/>
          <w:sz w:val="24"/>
          <w:szCs w:val="24"/>
          <w:highlight w:val="none"/>
        </w:rPr>
      </w:pPr>
      <w:r>
        <w:rPr>
          <w:rFonts w:hint="eastAsia" w:ascii="仿宋" w:hAnsi="仿宋" w:eastAsia="仿宋" w:cs="仿宋"/>
          <w:sz w:val="24"/>
          <w:szCs w:val="24"/>
          <w:highlight w:val="none"/>
        </w:rPr>
        <w:t>③</w:t>
      </w:r>
      <w:r>
        <w:rPr>
          <w:rFonts w:hint="eastAsia" w:ascii="宋体" w:hAnsi="宋体" w:cs="宋体"/>
          <w:sz w:val="24"/>
          <w:szCs w:val="24"/>
          <w:highlight w:val="none"/>
        </w:rPr>
        <w:t>单体建筑的层数不大于3层，且地上建筑面积不超过500m2时，可由多个单体建筑组成建筑组团作为计算和评价单元；</w:t>
      </w:r>
    </w:p>
    <w:p>
      <w:pPr>
        <w:pStyle w:val="57"/>
        <w:ind w:firstLine="480" w:firstLineChars="200"/>
        <w:rPr>
          <w:rFonts w:ascii="宋体" w:hAnsi="宋体" w:cs="宋体"/>
          <w:sz w:val="24"/>
          <w:szCs w:val="24"/>
          <w:highlight w:val="none"/>
        </w:rPr>
      </w:pPr>
      <w:r>
        <w:rPr>
          <w:rFonts w:hint="eastAsia" w:ascii="宋体" w:hAnsi="宋体" w:cs="宋体"/>
          <w:sz w:val="24"/>
          <w:szCs w:val="24"/>
          <w:highlight w:val="none"/>
        </w:rPr>
        <w:t>2）装配式建筑评价应符合下列规定：</w:t>
      </w:r>
    </w:p>
    <w:p>
      <w:pPr>
        <w:pStyle w:val="57"/>
        <w:ind w:firstLine="480" w:firstLineChars="200"/>
        <w:rPr>
          <w:rFonts w:ascii="宋体" w:hAnsi="宋体" w:cs="宋体"/>
          <w:sz w:val="24"/>
          <w:szCs w:val="24"/>
          <w:highlight w:val="none"/>
        </w:rPr>
      </w:pPr>
      <w:r>
        <w:rPr>
          <w:rFonts w:hint="eastAsia" w:ascii="仿宋" w:hAnsi="仿宋" w:eastAsia="仿宋" w:cs="仿宋"/>
          <w:sz w:val="24"/>
          <w:szCs w:val="24"/>
          <w:highlight w:val="none"/>
        </w:rPr>
        <w:t>①</w:t>
      </w:r>
      <w:r>
        <w:rPr>
          <w:rFonts w:hint="eastAsia" w:ascii="宋体" w:hAnsi="宋体" w:cs="宋体"/>
          <w:sz w:val="24"/>
          <w:szCs w:val="24"/>
          <w:highlight w:val="none"/>
        </w:rPr>
        <w:t>设计阶段宜进行预评价，并应按设计文件计算装配率；</w:t>
      </w:r>
    </w:p>
    <w:p>
      <w:pPr>
        <w:pStyle w:val="57"/>
        <w:ind w:firstLine="480" w:firstLineChars="200"/>
        <w:rPr>
          <w:rFonts w:ascii="宋体" w:hAnsi="宋体" w:cs="宋体"/>
          <w:sz w:val="24"/>
          <w:szCs w:val="24"/>
          <w:highlight w:val="none"/>
        </w:rPr>
      </w:pPr>
      <w:r>
        <w:rPr>
          <w:rFonts w:hint="eastAsia" w:ascii="仿宋" w:hAnsi="仿宋" w:eastAsia="仿宋" w:cs="仿宋"/>
          <w:sz w:val="24"/>
          <w:szCs w:val="24"/>
          <w:highlight w:val="none"/>
        </w:rPr>
        <w:t>②</w:t>
      </w:r>
      <w:r>
        <w:rPr>
          <w:rFonts w:hint="eastAsia" w:ascii="宋体" w:hAnsi="宋体" w:cs="宋体"/>
          <w:sz w:val="24"/>
          <w:szCs w:val="24"/>
          <w:highlight w:val="none"/>
        </w:rPr>
        <w:t>项目评价应在项目竣工验收阶段进行，并应按竣工验收资料计算装配率和确定评价等级。</w:t>
      </w:r>
    </w:p>
    <w:p>
      <w:pPr>
        <w:pStyle w:val="57"/>
        <w:ind w:firstLine="480" w:firstLineChars="200"/>
        <w:rPr>
          <w:rFonts w:ascii="宋体" w:hAnsi="宋体" w:cs="宋体"/>
          <w:sz w:val="24"/>
          <w:szCs w:val="24"/>
          <w:highlight w:val="none"/>
        </w:rPr>
      </w:pPr>
      <w:r>
        <w:rPr>
          <w:rFonts w:hint="eastAsia" w:ascii="宋体" w:hAnsi="宋体" w:cs="宋体"/>
          <w:sz w:val="24"/>
          <w:szCs w:val="24"/>
          <w:highlight w:val="none"/>
        </w:rPr>
        <w:t>3）本项目单体建筑（评价单元）同时满足下列要求时，认定为装配式建筑：</w:t>
      </w:r>
    </w:p>
    <w:p>
      <w:pPr>
        <w:pStyle w:val="57"/>
        <w:ind w:firstLine="480" w:firstLineChars="200"/>
        <w:rPr>
          <w:rFonts w:ascii="宋体" w:hAnsi="宋体" w:cs="宋体"/>
          <w:sz w:val="24"/>
          <w:szCs w:val="24"/>
          <w:highlight w:val="none"/>
        </w:rPr>
      </w:pPr>
      <w:r>
        <w:rPr>
          <w:rFonts w:hint="eastAsia" w:ascii="仿宋" w:hAnsi="仿宋" w:eastAsia="仿宋" w:cs="仿宋"/>
          <w:sz w:val="24"/>
          <w:szCs w:val="24"/>
          <w:highlight w:val="none"/>
        </w:rPr>
        <w:t>①</w:t>
      </w:r>
      <w:r>
        <w:rPr>
          <w:rFonts w:hint="eastAsia" w:ascii="宋体" w:hAnsi="宋体" w:cs="宋体"/>
          <w:sz w:val="24"/>
          <w:szCs w:val="24"/>
          <w:highlight w:val="none"/>
        </w:rPr>
        <w:t>主体结构部分的评价分值不低于20分；</w:t>
      </w:r>
    </w:p>
    <w:p>
      <w:pPr>
        <w:pStyle w:val="57"/>
        <w:ind w:firstLine="480" w:firstLineChars="200"/>
        <w:rPr>
          <w:rFonts w:ascii="宋体" w:hAnsi="宋体" w:cs="宋体"/>
          <w:sz w:val="24"/>
          <w:szCs w:val="24"/>
          <w:highlight w:val="none"/>
        </w:rPr>
      </w:pPr>
      <w:r>
        <w:rPr>
          <w:rFonts w:hint="eastAsia" w:ascii="仿宋" w:hAnsi="仿宋" w:eastAsia="仿宋" w:cs="仿宋"/>
          <w:sz w:val="24"/>
          <w:szCs w:val="24"/>
          <w:highlight w:val="none"/>
        </w:rPr>
        <w:t>②</w:t>
      </w:r>
      <w:r>
        <w:rPr>
          <w:rFonts w:hint="eastAsia" w:ascii="宋体" w:hAnsi="宋体" w:cs="宋体"/>
          <w:sz w:val="24"/>
          <w:szCs w:val="24"/>
          <w:highlight w:val="none"/>
        </w:rPr>
        <w:t>围护墙和内隔墙部分的评价分值不低于10分；</w:t>
      </w:r>
    </w:p>
    <w:p>
      <w:pPr>
        <w:pStyle w:val="57"/>
        <w:ind w:firstLine="480" w:firstLineChars="200"/>
        <w:rPr>
          <w:rFonts w:ascii="宋体" w:hAnsi="宋体" w:cs="宋体"/>
          <w:sz w:val="24"/>
          <w:szCs w:val="24"/>
          <w:highlight w:val="none"/>
        </w:rPr>
      </w:pPr>
      <w:r>
        <w:rPr>
          <w:rFonts w:hint="eastAsia" w:ascii="仿宋" w:hAnsi="仿宋" w:eastAsia="仿宋" w:cs="仿宋"/>
          <w:sz w:val="24"/>
          <w:szCs w:val="24"/>
          <w:highlight w:val="none"/>
        </w:rPr>
        <w:t>③</w:t>
      </w:r>
      <w:r>
        <w:rPr>
          <w:rFonts w:hint="eastAsia" w:ascii="宋体" w:hAnsi="宋体" w:cs="宋体"/>
          <w:sz w:val="24"/>
          <w:szCs w:val="24"/>
          <w:highlight w:val="none"/>
        </w:rPr>
        <w:t>采用全装修；</w:t>
      </w:r>
    </w:p>
    <w:p>
      <w:pPr>
        <w:pStyle w:val="57"/>
        <w:ind w:firstLine="480" w:firstLineChars="200"/>
        <w:rPr>
          <w:rFonts w:ascii="宋体" w:hAnsi="宋体" w:cs="宋体"/>
          <w:sz w:val="24"/>
          <w:szCs w:val="24"/>
          <w:highlight w:val="none"/>
        </w:rPr>
      </w:pPr>
      <w:r>
        <w:rPr>
          <w:rFonts w:hint="eastAsia" w:ascii="仿宋" w:hAnsi="仿宋" w:eastAsia="仿宋" w:cs="仿宋"/>
          <w:sz w:val="24"/>
          <w:szCs w:val="24"/>
          <w:highlight w:val="none"/>
        </w:rPr>
        <w:t>④</w:t>
      </w:r>
      <w:r>
        <w:rPr>
          <w:rFonts w:hint="eastAsia" w:ascii="宋体" w:hAnsi="宋体" w:cs="宋体"/>
          <w:sz w:val="24"/>
          <w:szCs w:val="24"/>
          <w:highlight w:val="none"/>
        </w:rPr>
        <w:t>装配率不低于50%。</w:t>
      </w:r>
    </w:p>
    <w:p>
      <w:pPr>
        <w:pStyle w:val="50"/>
        <w:spacing w:before="240" w:after="120"/>
        <w:ind w:firstLine="425" w:firstLineChars="152"/>
        <w:rPr>
          <w:rFonts w:hint="eastAsia" w:ascii="宋体" w:hAnsi="宋体" w:eastAsia="宋体" w:cs="黑体"/>
          <w:bCs/>
          <w:szCs w:val="21"/>
          <w:highlight w:val="none"/>
        </w:rPr>
      </w:pPr>
      <w:r>
        <w:rPr>
          <w:rFonts w:hint="eastAsia" w:ascii="宋体" w:hAnsi="宋体" w:eastAsia="宋体" w:cs="黑体"/>
          <w:bCs/>
          <w:kern w:val="2"/>
          <w:sz w:val="28"/>
          <w:szCs w:val="21"/>
          <w:highlight w:val="none"/>
          <w:lang w:val="en-US" w:eastAsia="zh-CN" w:bidi="ar-SA"/>
          <w14:ligatures w14:val="standardContextual"/>
        </w:rPr>
        <w:t>(二)</w:t>
      </w:r>
      <w:r>
        <w:rPr>
          <w:rFonts w:hint="eastAsia" w:ascii="宋体" w:hAnsi="宋体" w:eastAsia="宋体" w:cs="黑体"/>
          <w:bCs/>
          <w:szCs w:val="21"/>
          <w:highlight w:val="none"/>
        </w:rPr>
        <w:t>其他相关要求</w:t>
      </w:r>
    </w:p>
    <w:p>
      <w:pPr>
        <w:pStyle w:val="57"/>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14:ligatures w14:val="standardContextual"/>
        </w:rPr>
        <w:t>1.</w:t>
      </w:r>
      <w:r>
        <w:rPr>
          <w:rFonts w:hint="eastAsia" w:ascii="宋体" w:hAnsi="宋体" w:eastAsia="宋体" w:cs="宋体"/>
          <w:sz w:val="24"/>
          <w:szCs w:val="24"/>
          <w:highlight w:val="none"/>
        </w:rPr>
        <w:t>满足业主关于项目投资控制的目标</w:t>
      </w:r>
    </w:p>
    <w:p>
      <w:pPr>
        <w:pStyle w:val="57"/>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在保证设计质量的前提下，本项目必须按照政府主管部门确定的投资额度和要求严格控制，实行限额设计，严格控制初步设计和施工图设计的变更，确保工程概、预算不突破投资目标。</w:t>
      </w:r>
    </w:p>
    <w:p>
      <w:pPr>
        <w:pStyle w:val="57"/>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满足国家关于中小学建筑设计的规范标准的要求及设计行业相关技术规范条文的要求，严格执行国家工程建设标准强制性条文。</w:t>
      </w:r>
    </w:p>
    <w:p>
      <w:pPr>
        <w:pStyle w:val="57"/>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规划与建筑设计应满足建筑功能的要求，在使用上应具有较大的适应性和灵活性，各功能分区既要相对独立，又要有机联系，便于统一管理。</w:t>
      </w:r>
    </w:p>
    <w:p>
      <w:pPr>
        <w:pStyle w:val="57"/>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项目的设计方案，应严格以经批准的可行性研究报告关于项目的建设规模及标准作为设计的刚性指标，以批准的投资估算作为刚性的设计限额指标。对于设计标准应在此基础上予以明确，并以规划等相关职能部门审核为准，最终以使用单位、建设单位和行业主管部门盖章确认的《功能需求书》为基础，以设计方案及初步设计的审核结果作为施工图设计依据。</w:t>
      </w:r>
    </w:p>
    <w:p>
      <w:pPr>
        <w:pStyle w:val="57"/>
        <w:rPr>
          <w:rFonts w:hint="eastAsia" w:ascii="宋体" w:hAnsi="宋体" w:cs="宋体"/>
          <w:sz w:val="24"/>
          <w:szCs w:val="24"/>
          <w:highlight w:val="none"/>
        </w:rPr>
      </w:pPr>
    </w:p>
    <w:p>
      <w:pPr>
        <w:rPr>
          <w:rFonts w:hint="eastAsia" w:ascii="宋体" w:hAnsi="宋体"/>
          <w:sz w:val="36"/>
          <w:szCs w:val="36"/>
          <w:highlight w:val="none"/>
        </w:rPr>
      </w:pPr>
      <w:bookmarkStart w:id="98" w:name="_Toc462255841"/>
      <w:r>
        <w:rPr>
          <w:rFonts w:hint="eastAsia" w:ascii="宋体" w:hAnsi="宋体"/>
          <w:sz w:val="36"/>
          <w:szCs w:val="36"/>
          <w:highlight w:val="none"/>
        </w:rPr>
        <w:br w:type="page"/>
      </w:r>
    </w:p>
    <w:p>
      <w:pPr>
        <w:pStyle w:val="3"/>
        <w:tabs>
          <w:tab w:val="left" w:pos="3570"/>
        </w:tabs>
        <w:spacing w:before="156" w:beforeLines="50" w:after="156" w:afterLines="50" w:line="360" w:lineRule="auto"/>
        <w:jc w:val="center"/>
        <w:rPr>
          <w:rFonts w:ascii="宋体" w:hAnsi="宋体"/>
          <w:sz w:val="36"/>
          <w:szCs w:val="36"/>
          <w:highlight w:val="none"/>
        </w:rPr>
      </w:pPr>
      <w:bookmarkStart w:id="99" w:name="_Toc22443"/>
      <w:r>
        <w:rPr>
          <w:rFonts w:hint="eastAsia" w:ascii="宋体" w:hAnsi="宋体"/>
          <w:sz w:val="36"/>
          <w:szCs w:val="36"/>
          <w:highlight w:val="none"/>
        </w:rPr>
        <w:t>第四章</w:t>
      </w:r>
      <w:r>
        <w:rPr>
          <w:rFonts w:ascii="宋体" w:hAnsi="宋体"/>
          <w:sz w:val="36"/>
          <w:szCs w:val="36"/>
          <w:highlight w:val="none"/>
        </w:rPr>
        <w:t xml:space="preserve"> </w:t>
      </w:r>
      <w:r>
        <w:rPr>
          <w:rFonts w:hint="eastAsia" w:ascii="宋体" w:hAnsi="宋体"/>
          <w:sz w:val="36"/>
          <w:szCs w:val="36"/>
          <w:highlight w:val="none"/>
        </w:rPr>
        <w:t>规划设计要求</w:t>
      </w:r>
      <w:bookmarkEnd w:id="98"/>
      <w:bookmarkEnd w:id="99"/>
    </w:p>
    <w:p>
      <w:pPr>
        <w:pStyle w:val="4"/>
        <w:numPr>
          <w:ilvl w:val="0"/>
          <w:numId w:val="0"/>
        </w:numPr>
        <w:spacing w:before="120" w:after="120" w:line="360" w:lineRule="auto"/>
        <w:ind w:left="0" w:leftChars="0" w:firstLine="0" w:firstLineChars="0"/>
        <w:rPr>
          <w:rFonts w:ascii="宋体" w:hAnsi="宋体"/>
          <w:szCs w:val="21"/>
          <w:highlight w:val="none"/>
        </w:rPr>
      </w:pPr>
      <w:bookmarkStart w:id="100" w:name="_Toc462255842"/>
      <w:bookmarkStart w:id="101" w:name="_Toc31896"/>
      <w:r>
        <w:rPr>
          <w:rFonts w:ascii="宋体" w:hAnsi="宋体" w:eastAsia="宋体" w:cs="黑体"/>
          <w:b/>
          <w:bCs/>
          <w:kern w:val="2"/>
          <w:sz w:val="32"/>
          <w:szCs w:val="21"/>
          <w:highlight w:val="none"/>
          <w:lang w:val="en-US" w:eastAsia="zh-CN" w:bidi="ar-SA"/>
          <w14:ligatures w14:val="standardContextual"/>
        </w:rPr>
        <w:t>一、</w:t>
      </w:r>
      <w:r>
        <w:rPr>
          <w:rFonts w:hint="eastAsia" w:ascii="宋体" w:hAnsi="宋体"/>
          <w:szCs w:val="21"/>
          <w:highlight w:val="none"/>
        </w:rPr>
        <w:t>规划范围</w:t>
      </w:r>
      <w:bookmarkEnd w:id="100"/>
      <w:bookmarkEnd w:id="101"/>
    </w:p>
    <w:p>
      <w:pPr>
        <w:pStyle w:val="76"/>
        <w:rPr>
          <w:rFonts w:hint="eastAsia"/>
          <w:highlight w:val="none"/>
        </w:rPr>
      </w:pPr>
      <w:bookmarkStart w:id="102" w:name="_Toc462255843"/>
      <w:r>
        <w:rPr>
          <w:rFonts w:hint="eastAsia"/>
          <w:highlight w:val="none"/>
        </w:rPr>
        <w:t>项目位于增城区朱村街广州科教城中轴线东侧，市医药职业学校以西，叠翠湖公园以南，富士康科技小镇（一期）以北。</w:t>
      </w:r>
    </w:p>
    <w:p>
      <w:pPr>
        <w:pStyle w:val="76"/>
        <w:rPr>
          <w:rFonts w:hint="eastAsia"/>
          <w:highlight w:val="none"/>
        </w:rPr>
      </w:pPr>
      <w:r>
        <w:rPr>
          <w:rFonts w:hint="eastAsia"/>
          <w:highlight w:val="none"/>
        </w:rPr>
        <w:t>项目总用地面积116807平方米，办学规模为60班，总建筑面积103210平方米，其中，计容面积88830平方米，不计容面积14380平方米。建设内容主要包括教学实验楼、科技艺术楼、综合楼、体育馆、会堂、食堂、学生宿舍、教师休息室、架空层、停车库等建筑工程，并配套建设室外运动场地、道路广场、绿化景观、升旗台、综合管网等室外工程。</w:t>
      </w:r>
    </w:p>
    <w:p>
      <w:pPr>
        <w:pStyle w:val="4"/>
        <w:spacing w:before="120" w:after="120" w:line="360" w:lineRule="auto"/>
        <w:rPr>
          <w:rFonts w:ascii="宋体" w:hAnsi="宋体"/>
          <w:highlight w:val="none"/>
        </w:rPr>
      </w:pPr>
      <w:bookmarkStart w:id="103" w:name="_Toc13586"/>
      <w:r>
        <w:rPr>
          <w:rFonts w:hint="eastAsia" w:ascii="宋体" w:hAnsi="宋体"/>
          <w:highlight w:val="none"/>
        </w:rPr>
        <w:t>二、总平面布局</w:t>
      </w:r>
      <w:bookmarkEnd w:id="102"/>
      <w:bookmarkEnd w:id="103"/>
      <w:bookmarkStart w:id="104" w:name="_Toc462255475"/>
      <w:bookmarkEnd w:id="104"/>
      <w:bookmarkStart w:id="105" w:name="_Toc462262026"/>
      <w:bookmarkEnd w:id="105"/>
      <w:bookmarkStart w:id="106" w:name="_Toc462262025"/>
      <w:bookmarkEnd w:id="106"/>
      <w:bookmarkStart w:id="107" w:name="_Toc462262038"/>
      <w:bookmarkEnd w:id="107"/>
      <w:bookmarkStart w:id="108" w:name="_Toc462255935"/>
      <w:bookmarkEnd w:id="108"/>
      <w:bookmarkStart w:id="109" w:name="_Toc462262041"/>
      <w:bookmarkEnd w:id="109"/>
      <w:bookmarkStart w:id="110" w:name="_Toc462255484"/>
      <w:bookmarkEnd w:id="110"/>
      <w:bookmarkStart w:id="111" w:name="_Toc462255474"/>
      <w:bookmarkEnd w:id="111"/>
      <w:bookmarkStart w:id="112" w:name="_Toc462256866"/>
      <w:bookmarkEnd w:id="112"/>
      <w:bookmarkStart w:id="113" w:name="_Toc462255859"/>
      <w:bookmarkEnd w:id="113"/>
      <w:bookmarkStart w:id="114" w:name="_Toc462255472"/>
      <w:bookmarkEnd w:id="114"/>
      <w:bookmarkStart w:id="115" w:name="_Toc462256871"/>
      <w:bookmarkEnd w:id="115"/>
      <w:bookmarkStart w:id="116" w:name="_Toc462255847"/>
      <w:bookmarkEnd w:id="116"/>
      <w:bookmarkStart w:id="117" w:name="_Toc462256864"/>
      <w:bookmarkEnd w:id="117"/>
      <w:bookmarkStart w:id="118" w:name="_Toc462262034"/>
      <w:bookmarkEnd w:id="118"/>
      <w:bookmarkStart w:id="119" w:name="_Toc462262037"/>
      <w:bookmarkEnd w:id="119"/>
      <w:bookmarkStart w:id="120" w:name="_Toc462255856"/>
      <w:bookmarkEnd w:id="120"/>
      <w:bookmarkStart w:id="121" w:name="_Toc462255936"/>
      <w:bookmarkEnd w:id="121"/>
      <w:bookmarkStart w:id="122" w:name="_Toc462255860"/>
      <w:bookmarkEnd w:id="122"/>
      <w:bookmarkStart w:id="123" w:name="_Toc462255848"/>
      <w:bookmarkEnd w:id="123"/>
      <w:bookmarkStart w:id="124" w:name="_Toc462256877"/>
      <w:bookmarkEnd w:id="124"/>
      <w:bookmarkStart w:id="125" w:name="_Toc462256870"/>
      <w:bookmarkEnd w:id="125"/>
      <w:bookmarkStart w:id="126" w:name="_Toc462262030"/>
      <w:bookmarkEnd w:id="126"/>
      <w:bookmarkStart w:id="127" w:name="_Toc462255939"/>
      <w:bookmarkEnd w:id="127"/>
      <w:bookmarkStart w:id="128" w:name="_Toc462255932"/>
      <w:bookmarkEnd w:id="128"/>
      <w:bookmarkStart w:id="129" w:name="_Toc462262032"/>
      <w:bookmarkEnd w:id="129"/>
      <w:bookmarkStart w:id="130" w:name="_Toc462255945"/>
      <w:bookmarkEnd w:id="130"/>
      <w:bookmarkStart w:id="131" w:name="_Toc462262040"/>
      <w:bookmarkEnd w:id="131"/>
      <w:bookmarkStart w:id="132" w:name="_Toc462255862"/>
      <w:bookmarkEnd w:id="132"/>
      <w:bookmarkStart w:id="133" w:name="_Toc462255934"/>
      <w:bookmarkEnd w:id="133"/>
      <w:bookmarkStart w:id="134" w:name="_Toc462255478"/>
      <w:bookmarkEnd w:id="134"/>
      <w:bookmarkStart w:id="135" w:name="_Toc462255938"/>
      <w:bookmarkEnd w:id="135"/>
      <w:bookmarkStart w:id="136" w:name="_Toc462255470"/>
      <w:bookmarkEnd w:id="136"/>
      <w:bookmarkStart w:id="137" w:name="_Toc462255852"/>
      <w:bookmarkEnd w:id="137"/>
      <w:bookmarkStart w:id="138" w:name="_Toc462255946"/>
      <w:bookmarkEnd w:id="138"/>
      <w:bookmarkStart w:id="139" w:name="_Toc462255485"/>
      <w:bookmarkEnd w:id="139"/>
      <w:bookmarkStart w:id="140" w:name="_Toc462256865"/>
      <w:bookmarkEnd w:id="140"/>
      <w:bookmarkStart w:id="141" w:name="_Toc462255471"/>
      <w:bookmarkEnd w:id="141"/>
      <w:bookmarkStart w:id="142" w:name="_Toc462255942"/>
      <w:bookmarkEnd w:id="142"/>
      <w:bookmarkStart w:id="143" w:name="_Toc462255849"/>
      <w:bookmarkEnd w:id="143"/>
      <w:bookmarkStart w:id="144" w:name="_Toc462255479"/>
      <w:bookmarkEnd w:id="144"/>
      <w:bookmarkStart w:id="145" w:name="_Toc462255929"/>
      <w:bookmarkEnd w:id="145"/>
      <w:bookmarkStart w:id="146" w:name="_Toc462255940"/>
      <w:bookmarkEnd w:id="146"/>
      <w:bookmarkStart w:id="147" w:name="_Toc462255483"/>
      <w:bookmarkEnd w:id="147"/>
      <w:bookmarkStart w:id="148" w:name="_Toc462256868"/>
      <w:bookmarkEnd w:id="148"/>
      <w:bookmarkStart w:id="149" w:name="_Toc462255482"/>
      <w:bookmarkEnd w:id="149"/>
      <w:bookmarkStart w:id="150" w:name="_Toc462255858"/>
      <w:bookmarkEnd w:id="150"/>
      <w:bookmarkStart w:id="151" w:name="_Toc462255846"/>
      <w:bookmarkEnd w:id="151"/>
      <w:bookmarkStart w:id="152" w:name="_Toc462262024"/>
      <w:bookmarkEnd w:id="152"/>
      <w:bookmarkStart w:id="153" w:name="_Toc462255943"/>
      <w:bookmarkEnd w:id="153"/>
      <w:bookmarkStart w:id="154" w:name="_Toc462256862"/>
      <w:bookmarkEnd w:id="154"/>
      <w:bookmarkStart w:id="155" w:name="_Toc462255487"/>
      <w:bookmarkEnd w:id="155"/>
      <w:bookmarkStart w:id="156" w:name="_Toc462255941"/>
      <w:bookmarkEnd w:id="156"/>
      <w:bookmarkStart w:id="157" w:name="_Toc462255933"/>
      <w:bookmarkEnd w:id="157"/>
      <w:bookmarkStart w:id="158" w:name="_Toc462255486"/>
      <w:bookmarkEnd w:id="158"/>
      <w:bookmarkStart w:id="159" w:name="_Toc462255947"/>
      <w:bookmarkEnd w:id="159"/>
      <w:bookmarkStart w:id="160" w:name="_Toc462262036"/>
      <w:bookmarkEnd w:id="160"/>
      <w:bookmarkStart w:id="161" w:name="_Toc462262035"/>
      <w:bookmarkEnd w:id="161"/>
      <w:bookmarkStart w:id="162" w:name="_Toc462255931"/>
      <w:bookmarkEnd w:id="162"/>
      <w:bookmarkStart w:id="163" w:name="_Toc462256878"/>
      <w:bookmarkEnd w:id="163"/>
      <w:bookmarkStart w:id="164" w:name="_Toc462255845"/>
      <w:bookmarkEnd w:id="164"/>
      <w:bookmarkStart w:id="165" w:name="_Toc462262029"/>
      <w:bookmarkEnd w:id="165"/>
      <w:bookmarkStart w:id="166" w:name="_Toc462256867"/>
      <w:bookmarkEnd w:id="166"/>
      <w:bookmarkStart w:id="167" w:name="_Toc462256879"/>
      <w:bookmarkEnd w:id="167"/>
      <w:bookmarkStart w:id="168" w:name="_Toc462255857"/>
      <w:bookmarkEnd w:id="168"/>
      <w:bookmarkStart w:id="169" w:name="_Toc462262031"/>
      <w:bookmarkEnd w:id="169"/>
      <w:bookmarkStart w:id="170" w:name="_Toc462256880"/>
      <w:bookmarkEnd w:id="170"/>
      <w:bookmarkStart w:id="171" w:name="_Toc462255863"/>
      <w:bookmarkEnd w:id="171"/>
      <w:bookmarkStart w:id="172" w:name="_Toc462262023"/>
      <w:bookmarkEnd w:id="172"/>
      <w:bookmarkStart w:id="173" w:name="_Toc462255854"/>
      <w:bookmarkEnd w:id="173"/>
      <w:bookmarkStart w:id="174" w:name="_Toc462255853"/>
      <w:bookmarkEnd w:id="174"/>
      <w:bookmarkStart w:id="175" w:name="_Toc462256872"/>
      <w:bookmarkEnd w:id="175"/>
      <w:bookmarkStart w:id="176" w:name="_Toc462256874"/>
      <w:bookmarkEnd w:id="176"/>
      <w:bookmarkStart w:id="177" w:name="_Toc462255481"/>
      <w:bookmarkEnd w:id="177"/>
      <w:bookmarkStart w:id="178" w:name="_Toc462256875"/>
      <w:bookmarkEnd w:id="178"/>
      <w:bookmarkStart w:id="179" w:name="_Toc462256876"/>
      <w:bookmarkEnd w:id="179"/>
      <w:bookmarkStart w:id="180" w:name="_Toc462255855"/>
      <w:bookmarkEnd w:id="180"/>
      <w:bookmarkStart w:id="181" w:name="_Toc462255851"/>
      <w:bookmarkEnd w:id="181"/>
      <w:bookmarkStart w:id="182" w:name="_Toc462255477"/>
      <w:bookmarkEnd w:id="182"/>
      <w:bookmarkStart w:id="183" w:name="_Toc462262033"/>
      <w:bookmarkEnd w:id="183"/>
      <w:bookmarkStart w:id="184" w:name="_Toc462255480"/>
      <w:bookmarkEnd w:id="184"/>
      <w:bookmarkStart w:id="185" w:name="_Toc462262027"/>
      <w:bookmarkEnd w:id="185"/>
      <w:bookmarkStart w:id="186" w:name="_Toc462256869"/>
      <w:bookmarkEnd w:id="186"/>
      <w:bookmarkStart w:id="187" w:name="_Toc462255850"/>
      <w:bookmarkEnd w:id="187"/>
      <w:bookmarkStart w:id="188" w:name="_Toc462255469"/>
      <w:bookmarkEnd w:id="188"/>
      <w:bookmarkStart w:id="189" w:name="_Toc462255937"/>
      <w:bookmarkEnd w:id="189"/>
      <w:bookmarkStart w:id="190" w:name="_Toc462255944"/>
      <w:bookmarkEnd w:id="190"/>
      <w:bookmarkStart w:id="191" w:name="_Toc462255930"/>
      <w:bookmarkEnd w:id="191"/>
      <w:bookmarkStart w:id="192" w:name="_Toc462256873"/>
      <w:bookmarkEnd w:id="192"/>
      <w:bookmarkStart w:id="193" w:name="_Toc462255476"/>
      <w:bookmarkEnd w:id="193"/>
      <w:bookmarkStart w:id="194" w:name="_Toc462256863"/>
      <w:bookmarkEnd w:id="194"/>
      <w:bookmarkStart w:id="195" w:name="_Toc462262039"/>
      <w:bookmarkEnd w:id="195"/>
      <w:bookmarkStart w:id="196" w:name="_Toc462255473"/>
      <w:bookmarkEnd w:id="196"/>
      <w:bookmarkStart w:id="197" w:name="_Toc462255861"/>
      <w:bookmarkEnd w:id="197"/>
      <w:bookmarkStart w:id="198" w:name="_Toc462262028"/>
      <w:bookmarkEnd w:id="198"/>
      <w:bookmarkStart w:id="199" w:name="_Toc462255864"/>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总平面规划构思为：尊重环境、利用地形，动静分离，疏密有致，形成内外有别而又相互渗透的功能分区及顺应地形的自由式校园布局；适度聚集，形成组团的建筑布局。以体现生态环境，同时结合建筑美学，人文景观等相关科学，创造一个环保、生态、可持续发展的新型现代教学园区和反映人文精神纯净典雅的氛围。</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（1）总平面布置原则</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1）贯彻党的基本方针、政策、在设计中遵守国家省市制定的有关设计规范及设计标准；</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 xml:space="preserve">2）遵循“以人为本”的指导思想，创造一个环境优美、功能齐备的教学环境； </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3）在设计中从该地块地理环境及规划原理入手，从空间形式到内部功能完美的协调起来，体现简洁清新、朴素大方、宁静典雅的特色，做到实用、方便，视风向、水源、阳光合理布局；</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4）功能分区明确，满足学校教学等日常功能需要。</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（2）总平面布置要求</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力求在总图规划中实现经济、社会和环境效益的综合优化，达到功能合理，投资经济、节能省地。应该从以下几个方面充分考虑：</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 xml:space="preserve">1）应充分体现“防灾、抗灾、安全第一的”设计思想，在工程设计中适当提高建设标准，同时遵循“确保安全、适用、实用、方便学生”的原则，建筑防火符合现行有关建筑防火标准的规定。 </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2）项目建成后学校布局将按照学生教学区、运动区、生活区等不同功能分区合理布局；功能的设置既要满足现实的教育学生的目的，又能做到适度超前。</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 xml:space="preserve">3）场地设计上，充分利用现有基地，满足城市总体规划的要求。根据城市规划的相关要求，合理组织场地内外的各种人流、物流，力求做到内外交通简捷便利，畅通顺达，避免各种流线间的相互干扰。在建筑单体设计上，做到分区明确，流线清晰，布局合理，提高建筑的利用效率。 </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4）建筑抗震能力的措施主要包括：提高结构的整体刚度，如楼板和墙；提供多道抗震防线，纵向包括框架和墙，横向包括墙、构架柱和腰箍；走廊加柱；不采用预制板；加强构造柱拉结；不采用悬挑走廊；有条件可采用隔震垫隔震。</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5）在场地环境设计上，注重环境的保护和设计，除了对场地环境进行整体设计外，还注重对环境有不利影响的废水、废气、噪音的处理。在减小外界因素对建筑的影响的同时也注重建筑对周边环境的影响，力求做到建筑和周边环境的共生。</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6）根据建设场地气候、水文、地质、地貌、植被以及当地的建筑材料施工水平，从学校所处城镇及自身远期发展的角度出发，校区建设不但要满足学校内部的功能，还应当成为所在城镇的有机组成部份，并有利于提升当地文化品位。</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（3）本项目总平面布置</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1）项目建设内容与规模</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本项目计算指标用地面积</w:t>
      </w:r>
      <w:r>
        <w:rPr>
          <w:rFonts w:hint="eastAsia" w:ascii="宋体" w:hAnsi="宋体"/>
          <w:sz w:val="24"/>
          <w:highlight w:val="none"/>
          <w14:ligatures w14:val="none"/>
        </w:rPr>
        <w:t>116807</w:t>
      </w:r>
      <w:r>
        <w:rPr>
          <w:rFonts w:hint="eastAsia" w:ascii="宋体" w:hAnsi="宋体" w:eastAsia="宋体" w:cs="Times New Roman"/>
          <w:sz w:val="24"/>
          <w:highlight w:val="none"/>
          <w14:ligatures w14:val="none"/>
        </w:rPr>
        <w:t>平方米。按现状，本项目建设工程涉及的用地、空间布局条件充足，符合总体规划要求。</w:t>
      </w:r>
      <w:r>
        <w:rPr>
          <w:rFonts w:hint="eastAsia" w:ascii="宋体" w:hAnsi="宋体"/>
          <w:sz w:val="24"/>
          <w:highlight w:val="none"/>
          <w14:ligatures w14:val="none"/>
        </w:rPr>
        <w:t>建设内容主要包括教学实验楼、科技艺术楼、综合楼、体育馆、会堂、食堂、学生宿舍、教师休息室、架空层、停车库等建筑工程，并配套建设室外运动场地、道路广场、绿化景观、升旗台、综合管网等室外工程。总建筑面积103210平方米</w:t>
      </w:r>
      <w:r>
        <w:rPr>
          <w:rFonts w:hint="eastAsia" w:ascii="宋体" w:hAnsi="宋体" w:eastAsia="宋体" w:cs="Times New Roman"/>
          <w:sz w:val="24"/>
          <w:highlight w:val="none"/>
          <w14:ligatures w14:val="none"/>
        </w:rPr>
        <w:t>。</w:t>
      </w:r>
    </w:p>
    <w:p>
      <w:pPr>
        <w:pStyle w:val="54"/>
        <w:rPr>
          <w:rFonts w:hint="eastAsia"/>
          <w:highlight w:val="none"/>
        </w:rPr>
      </w:pP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 xml:space="preserve">2）环境和绿化设计分析 </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建设项目按园林式、生态型学校进行建设。通过大面积的道路绿化，将各建筑组群的庭院绿化联为一体，创造独特的绿化开敞空间和优美的学校环境。在总平面设计和单体设计上，体现“以人为本”的生态设计的根本宗旨。总平面设计结合现状的环境，布置集中绿化广场，密林步道，阳光草坡等生态节点，创造舒适的多种空间环境体验。</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3）道路交通系统设计分析</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拟建校园的交通系统规划以“人车分流，步行优先”为原则，既解决各大功能组团的车行要求，又保证场区内舒适的步行环境。</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①车行系统</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拟建场区规划中采用“主道路加支状路网”的模式来组织场地内的车流，既将各功能区有机联接形成一个整体，又使各功能区具有各自的独立功能。所有单体建筑临近场区道路进行布置，便于车辆方便地到达各个功能区。通过环状道路与支状路的敷设以增加道路的通达性，形成多通道的道路系统。</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②步行系统</w:t>
      </w:r>
    </w:p>
    <w:p>
      <w:pPr>
        <w:ind w:firstLine="480" w:firstLineChars="200"/>
        <w:rPr>
          <w:rFonts w:hint="eastAsia" w:ascii="宋体" w:hAnsi="宋体" w:eastAsia="宋体" w:cs="Times New Roman"/>
          <w:sz w:val="24"/>
          <w:highlight w:val="none"/>
          <w14:ligatures w14:val="none"/>
        </w:rPr>
      </w:pPr>
      <w:r>
        <w:rPr>
          <w:rFonts w:hint="eastAsia" w:ascii="宋体" w:hAnsi="宋体" w:cs="Times New Roman"/>
          <w:sz w:val="24"/>
          <w:highlight w:val="none"/>
          <w:lang w:eastAsia="zh-CN"/>
          <w14:ligatures w14:val="none"/>
        </w:rPr>
        <w:t>合适</w:t>
      </w:r>
      <w:r>
        <w:rPr>
          <w:rFonts w:hint="eastAsia" w:ascii="宋体" w:hAnsi="宋体" w:eastAsia="宋体" w:cs="Times New Roman"/>
          <w:sz w:val="24"/>
          <w:highlight w:val="none"/>
          <w14:ligatures w14:val="none"/>
        </w:rPr>
        <w:t>的步行道路系统，与车行系统相互协调，并结合绿化和园林小品，给场区创造舒适的多样化的无目的交往空间，增加了学生之间以及学生与教师之间的交流。步行系统和景观系统交叉穿插，营造一种田园牧歌式的生活意境，并有利于形成个性化的景观。</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③消防交通系统</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本项目场地内设置消防车道，满足消防车通行要求，校内各建筑之间距离满足消防规范要求以及火灾扑救要求。</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4）总平面无障碍设计</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A.无障碍设计范围：a.建筑入口；b.入口平台；c.公共走道。</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B.无障碍设计内容:</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a.无障碍入口：以坡道的形式解决室内外高差，坡度为1/12，净宽大于1.2米。</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 xml:space="preserve">b.通道：考虑到轮椅通行的宽度，建筑公共走道的宽度均大于1800，通道地面平整、防滑、不松动、不积水，以方便坐轮椅人士；不同材料铺装的地面相互取平，走道与卫生间、室外平台的高差不大于 15mm 并以斜面过渡。 </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 xml:space="preserve">c.楼梯：楼梯底部及顶部平台设有可触觉的警告条。 </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 xml:space="preserve">d.厕所：设置无障碍专用卫生间，厕所的大小、入口门扇、便器的高度、扶手以及按钮的设置均按照规范进行设计。 </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C.无障碍通路、停车位、建筑入口、残疾人厕所等无障碍设施的位置及走向，均设置国际通用的无障碍标志牌。</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5）竖向规划</w:t>
      </w:r>
    </w:p>
    <w:p>
      <w:pPr>
        <w:ind w:firstLine="480" w:firstLineChars="200"/>
        <w:rPr>
          <w:rFonts w:hint="eastAsia" w:ascii="宋体" w:hAnsi="宋体" w:eastAsia="宋体" w:cs="Times New Roman"/>
          <w:sz w:val="24"/>
          <w:highlight w:val="none"/>
          <w14:ligatures w14:val="none"/>
        </w:rPr>
      </w:pPr>
      <w:r>
        <w:rPr>
          <w:rFonts w:hint="eastAsia" w:ascii="宋体" w:hAnsi="宋体" w:eastAsia="宋体" w:cs="Times New Roman"/>
          <w:sz w:val="24"/>
          <w:highlight w:val="none"/>
          <w14:ligatures w14:val="none"/>
        </w:rPr>
        <w:t xml:space="preserve">竖向设计总的原则是与周围道路的标高相协调，满足管线布置的需要；满足排水排污管道接入市政管道的需要。根据地形变化的实际情况，确定建筑物室内地坪标高与室外地坪标的高差。 </w:t>
      </w:r>
    </w:p>
    <w:p>
      <w:pPr>
        <w:ind w:firstLine="480" w:firstLineChars="200"/>
        <w:rPr>
          <w:rFonts w:ascii="宋体" w:hAnsi="宋体" w:eastAsia="宋体" w:cs="宋体"/>
          <w:sz w:val="24"/>
          <w:highlight w:val="none"/>
          <w14:ligatures w14:val="none"/>
        </w:rPr>
      </w:pPr>
      <w:r>
        <w:rPr>
          <w:rFonts w:hint="eastAsia" w:ascii="宋体" w:hAnsi="宋体" w:eastAsia="宋体" w:cs="Times New Roman"/>
          <w:sz w:val="24"/>
          <w:highlight w:val="none"/>
          <w14:ligatures w14:val="none"/>
        </w:rPr>
        <w:t>道路纵坡坡度0.2%至0.3%，道路横坡坡度为1.5%，区域内的消防道路面采用双面坡，地面雨水由雨水口收集经雨水管系统有组织排入市政雨水管。汽车坡道下端均布置有排水明沟，场地内道路也布置有雨水口。</w:t>
      </w:r>
    </w:p>
    <w:p>
      <w:pPr>
        <w:pStyle w:val="4"/>
        <w:numPr>
          <w:ilvl w:val="0"/>
          <w:numId w:val="0"/>
        </w:numPr>
        <w:spacing w:before="120" w:after="120" w:line="360" w:lineRule="auto"/>
        <w:ind w:left="420" w:leftChars="0" w:hanging="420" w:firstLineChars="0"/>
        <w:rPr>
          <w:rFonts w:hint="eastAsia" w:ascii="宋体" w:hAnsi="宋体" w:eastAsia="宋体"/>
          <w:szCs w:val="21"/>
          <w:highlight w:val="none"/>
          <w:lang w:val="en-US" w:eastAsia="zh-CN"/>
        </w:rPr>
      </w:pPr>
      <w:bookmarkStart w:id="200" w:name="_Toc9619"/>
      <w:r>
        <w:rPr>
          <w:rFonts w:hint="eastAsia" w:ascii="宋体" w:hAnsi="宋体" w:eastAsia="宋体" w:cs="黑体"/>
          <w:b/>
          <w:bCs/>
          <w:kern w:val="2"/>
          <w:sz w:val="32"/>
          <w:szCs w:val="21"/>
          <w:highlight w:val="none"/>
          <w:lang w:val="en-US" w:eastAsia="zh-CN" w:bidi="ar-SA"/>
          <w14:ligatures w14:val="standardContextual"/>
        </w:rPr>
        <w:t>三、</w:t>
      </w:r>
      <w:r>
        <w:rPr>
          <w:rFonts w:hint="eastAsia" w:ascii="宋体" w:hAnsi="宋体"/>
          <w:szCs w:val="21"/>
          <w:highlight w:val="none"/>
        </w:rPr>
        <w:t>规划设计</w:t>
      </w:r>
      <w:bookmarkEnd w:id="199"/>
      <w:r>
        <w:rPr>
          <w:rFonts w:hint="eastAsia" w:ascii="宋体" w:hAnsi="宋体"/>
          <w:szCs w:val="21"/>
          <w:highlight w:val="none"/>
          <w:lang w:val="en-US" w:eastAsia="zh-CN"/>
        </w:rPr>
        <w:t>要求</w:t>
      </w:r>
      <w:bookmarkEnd w:id="200"/>
    </w:p>
    <w:p>
      <w:pPr>
        <w:ind w:firstLine="480" w:firstLineChars="200"/>
        <w:rPr>
          <w:rFonts w:hint="eastAsia" w:ascii="宋体" w:hAnsi="宋体"/>
          <w:sz w:val="24"/>
          <w:highlight w:val="none"/>
        </w:rPr>
      </w:pPr>
      <w:bookmarkStart w:id="201" w:name="_Toc462255949"/>
      <w:bookmarkStart w:id="202" w:name="_Toc462255865"/>
      <w:r>
        <w:rPr>
          <w:rFonts w:hint="eastAsia" w:ascii="宋体" w:hAnsi="宋体"/>
          <w:sz w:val="24"/>
          <w:highlight w:val="none"/>
        </w:rPr>
        <w:t>本项目建筑结构拟采用框架结构，总建筑面积为103210平方米，计容积率建筑面积约</w:t>
      </w:r>
      <w:r>
        <w:rPr>
          <w:rFonts w:hint="eastAsia" w:ascii="宋体" w:hAnsi="宋体"/>
          <w:sz w:val="24"/>
          <w:highlight w:val="none"/>
          <w:lang w:eastAsia="zh-CN"/>
        </w:rPr>
        <w:t>8</w:t>
      </w:r>
      <w:r>
        <w:rPr>
          <w:rFonts w:hint="eastAsia" w:ascii="宋体" w:hAnsi="宋体"/>
          <w:sz w:val="24"/>
          <w:highlight w:val="none"/>
          <w:lang w:val="en-US" w:eastAsia="zh-CN"/>
        </w:rPr>
        <w:t>8830</w:t>
      </w:r>
      <w:r>
        <w:rPr>
          <w:rFonts w:hint="eastAsia" w:ascii="宋体" w:hAnsi="宋体"/>
          <w:sz w:val="24"/>
          <w:highlight w:val="none"/>
        </w:rPr>
        <w:t>平方米，不计容建筑面积约</w:t>
      </w:r>
      <w:r>
        <w:rPr>
          <w:rFonts w:hint="eastAsia" w:ascii="宋体" w:hAnsi="宋体"/>
          <w:sz w:val="24"/>
          <w:highlight w:val="none"/>
          <w:lang w:eastAsia="zh-CN"/>
        </w:rPr>
        <w:t>1</w:t>
      </w:r>
      <w:r>
        <w:rPr>
          <w:rFonts w:hint="eastAsia" w:ascii="宋体" w:hAnsi="宋体"/>
          <w:sz w:val="24"/>
          <w:highlight w:val="none"/>
          <w:lang w:val="en-US" w:eastAsia="zh-CN"/>
        </w:rPr>
        <w:t>4380</w:t>
      </w:r>
      <w:r>
        <w:rPr>
          <w:rFonts w:hint="eastAsia" w:ascii="宋体" w:hAnsi="宋体"/>
          <w:sz w:val="24"/>
          <w:highlight w:val="none"/>
        </w:rPr>
        <w:t>平方米。</w:t>
      </w:r>
    </w:p>
    <w:p>
      <w:pPr>
        <w:ind w:firstLine="480" w:firstLineChars="200"/>
        <w:rPr>
          <w:rFonts w:hint="eastAsia" w:ascii="宋体" w:hAnsi="宋体"/>
          <w:sz w:val="24"/>
          <w:highlight w:val="none"/>
        </w:rPr>
      </w:pPr>
      <w:r>
        <w:rPr>
          <w:rFonts w:hint="eastAsia" w:ascii="宋体" w:hAnsi="宋体"/>
          <w:sz w:val="24"/>
          <w:highlight w:val="none"/>
        </w:rPr>
        <w:t>新楼建筑主立面设计着重体现现代建筑特色，突出学校建筑风格，建筑立面取得良好的视觉效果。</w:t>
      </w:r>
    </w:p>
    <w:p>
      <w:pPr>
        <w:ind w:firstLine="480" w:firstLineChars="200"/>
        <w:rPr>
          <w:rFonts w:hint="eastAsia" w:ascii="宋体" w:hAnsi="宋体"/>
          <w:sz w:val="24"/>
          <w:highlight w:val="none"/>
        </w:rPr>
      </w:pPr>
      <w:r>
        <w:rPr>
          <w:rFonts w:hint="eastAsia" w:ascii="宋体" w:hAnsi="宋体"/>
          <w:sz w:val="24"/>
          <w:highlight w:val="none"/>
        </w:rPr>
        <w:t>本项目拟新建教学实验楼、综合楼、食堂、体育馆和学生宿舍等建筑。教学楼和综合楼通过连廊把每栋建筑有机的串联起来，整体协调美观，还能有助于建筑形成“穿堂风”，有助于空气流通。</w:t>
      </w:r>
    </w:p>
    <w:p>
      <w:pPr>
        <w:spacing w:beforeLines="0" w:afterLines="0"/>
        <w:ind w:left="0" w:leftChars="0" w:firstLine="480" w:firstLineChars="200"/>
        <w:rPr>
          <w:rFonts w:hint="eastAsia" w:ascii="宋体" w:hAnsi="宋体" w:eastAsia="宋体" w:cs="Times New Roman"/>
          <w:bCs/>
          <w:kern w:val="2"/>
          <w:sz w:val="28"/>
          <w:szCs w:val="21"/>
          <w:highlight w:val="none"/>
          <w:lang w:val="en-US" w:eastAsia="zh-CN" w:bidi="ar-SA"/>
          <w14:ligatures w14:val="standardContextual"/>
        </w:rPr>
      </w:pPr>
      <w:r>
        <w:rPr>
          <w:rFonts w:hint="eastAsia" w:ascii="宋体" w:hAnsi="宋体"/>
          <w:sz w:val="24"/>
          <w:highlight w:val="none"/>
        </w:rPr>
        <w:t>耐火等级符合《建筑设计防火规范》要求</w:t>
      </w:r>
      <w:r>
        <w:rPr>
          <w:rFonts w:hint="eastAsia" w:ascii="宋体" w:hAnsi="宋体"/>
          <w:color w:val="FF0000"/>
          <w:sz w:val="24"/>
          <w:highlight w:val="none"/>
          <w:lang w:eastAsia="zh-CN"/>
        </w:rPr>
        <w:t>，</w:t>
      </w:r>
      <w:r>
        <w:rPr>
          <w:rFonts w:hint="eastAsia" w:ascii="宋体" w:hAnsi="宋体"/>
          <w:sz w:val="24"/>
          <w:highlight w:val="none"/>
        </w:rPr>
        <w:t>每栋建筑物周边较空旷，满足防火间距的要求，通过校内道路消防车通道，可以直达建筑物周边。各栋建筑物 的楼梯通道直通其楼前广场或空旷地块，集中人流能迅速疏散。日照，通风，卫生等均能满足设计标准。</w:t>
      </w:r>
    </w:p>
    <w:p>
      <w:pPr>
        <w:pStyle w:val="5"/>
        <w:numPr>
          <w:ilvl w:val="0"/>
          <w:numId w:val="0"/>
        </w:numPr>
        <w:spacing w:beforeLines="0" w:afterLines="0"/>
        <w:ind w:left="0" w:leftChars="0" w:firstLine="283" w:firstLineChars="0"/>
        <w:rPr>
          <w:highlight w:val="none"/>
        </w:rPr>
      </w:pPr>
      <w:bookmarkStart w:id="203" w:name="_Toc5939"/>
      <w:r>
        <w:rPr>
          <w:rFonts w:hint="eastAsia" w:ascii="宋体" w:hAnsi="宋体" w:eastAsia="宋体" w:cs="Times New Roman"/>
          <w:bCs/>
          <w:kern w:val="2"/>
          <w:sz w:val="28"/>
          <w:szCs w:val="21"/>
          <w:highlight w:val="none"/>
          <w:lang w:val="en-US" w:eastAsia="zh-CN" w:bidi="ar-SA"/>
          <w14:ligatures w14:val="standardContextual"/>
        </w:rPr>
        <w:t>(一)</w:t>
      </w:r>
      <w:r>
        <w:rPr>
          <w:rFonts w:hint="eastAsia"/>
          <w:highlight w:val="none"/>
        </w:rPr>
        <w:t>建筑退缩</w:t>
      </w:r>
      <w:bookmarkEnd w:id="201"/>
      <w:bookmarkEnd w:id="202"/>
      <w:bookmarkEnd w:id="203"/>
    </w:p>
    <w:p>
      <w:pPr>
        <w:pStyle w:val="76"/>
        <w:rPr>
          <w:rFonts w:hint="eastAsia" w:ascii="宋体" w:hAnsi="宋体" w:eastAsia="宋体" w:cs="宋体"/>
          <w:highlight w:val="none"/>
        </w:rPr>
      </w:pPr>
      <w:r>
        <w:rPr>
          <w:rFonts w:hint="eastAsia" w:ascii="宋体" w:hAnsi="宋体" w:eastAsia="宋体" w:cs="宋体"/>
          <w:highlight w:val="none"/>
        </w:rPr>
        <w:t>满足相关规范要求。</w:t>
      </w:r>
    </w:p>
    <w:p>
      <w:pPr>
        <w:pStyle w:val="5"/>
        <w:numPr>
          <w:ilvl w:val="0"/>
          <w:numId w:val="0"/>
        </w:numPr>
        <w:spacing w:beforeLines="0" w:afterLines="0"/>
        <w:ind w:left="0" w:leftChars="0" w:firstLine="283" w:firstLineChars="0"/>
        <w:rPr>
          <w:highlight w:val="none"/>
        </w:rPr>
      </w:pPr>
      <w:bookmarkStart w:id="204" w:name="_Toc462255950"/>
      <w:bookmarkStart w:id="205" w:name="_Toc462255866"/>
      <w:bookmarkStart w:id="206" w:name="_Toc1565"/>
      <w:r>
        <w:rPr>
          <w:rFonts w:hint="eastAsia" w:ascii="宋体" w:hAnsi="宋体" w:eastAsia="宋体" w:cs="Times New Roman"/>
          <w:bCs/>
          <w:kern w:val="2"/>
          <w:sz w:val="28"/>
          <w:szCs w:val="21"/>
          <w:highlight w:val="none"/>
          <w:lang w:val="en-US" w:eastAsia="zh-CN" w:bidi="ar-SA"/>
          <w14:ligatures w14:val="standardContextual"/>
        </w:rPr>
        <w:t>(二)</w:t>
      </w:r>
      <w:r>
        <w:rPr>
          <w:rFonts w:hint="eastAsia"/>
          <w:highlight w:val="none"/>
        </w:rPr>
        <w:t>开发强度</w:t>
      </w:r>
      <w:bookmarkEnd w:id="204"/>
      <w:bookmarkEnd w:id="205"/>
      <w:bookmarkEnd w:id="206"/>
    </w:p>
    <w:p>
      <w:pPr>
        <w:pStyle w:val="76"/>
        <w:rPr>
          <w:rFonts w:ascii="宋体" w:hAnsi="宋体"/>
          <w:sz w:val="24"/>
          <w:highlight w:val="none"/>
        </w:rPr>
      </w:pPr>
      <w:r>
        <w:rPr>
          <w:rFonts w:hint="eastAsia" w:ascii="宋体" w:hAnsi="宋体"/>
          <w:sz w:val="24"/>
          <w:highlight w:val="none"/>
        </w:rPr>
        <w:t>建筑用地面积约116807㎡，建筑容积率≤1.</w:t>
      </w:r>
      <w:r>
        <w:rPr>
          <w:rFonts w:hint="eastAsia"/>
          <w:sz w:val="24"/>
          <w:highlight w:val="none"/>
          <w:lang w:val="en-US" w:eastAsia="zh-CN"/>
        </w:rPr>
        <w:t>2</w:t>
      </w:r>
      <w:r>
        <w:rPr>
          <w:rFonts w:hint="eastAsia" w:ascii="宋体" w:hAnsi="宋体"/>
          <w:sz w:val="24"/>
          <w:highlight w:val="none"/>
        </w:rPr>
        <w:t>，建筑密度≤</w:t>
      </w:r>
      <w:r>
        <w:rPr>
          <w:rFonts w:hint="eastAsia"/>
          <w:sz w:val="24"/>
          <w:highlight w:val="none"/>
          <w:lang w:val="en-US" w:eastAsia="zh-CN"/>
        </w:rPr>
        <w:t>40</w:t>
      </w:r>
      <w:r>
        <w:rPr>
          <w:rFonts w:hint="eastAsia" w:ascii="宋体" w:hAnsi="宋体"/>
          <w:sz w:val="24"/>
          <w:highlight w:val="none"/>
        </w:rPr>
        <w:t>%，绿地率≥30%。</w:t>
      </w:r>
    </w:p>
    <w:p>
      <w:pPr>
        <w:pStyle w:val="5"/>
        <w:numPr>
          <w:ilvl w:val="0"/>
          <w:numId w:val="0"/>
        </w:numPr>
        <w:spacing w:beforeLines="0" w:afterLines="0"/>
        <w:ind w:left="0" w:leftChars="0" w:firstLine="283" w:firstLineChars="0"/>
        <w:rPr>
          <w:highlight w:val="none"/>
        </w:rPr>
      </w:pPr>
      <w:bookmarkStart w:id="207" w:name="_Toc462255867"/>
      <w:bookmarkStart w:id="208" w:name="_Toc462255951"/>
      <w:bookmarkStart w:id="209" w:name="_Toc1645"/>
      <w:r>
        <w:rPr>
          <w:rFonts w:hint="eastAsia" w:ascii="宋体" w:hAnsi="宋体" w:eastAsia="宋体" w:cs="Times New Roman"/>
          <w:bCs/>
          <w:kern w:val="2"/>
          <w:sz w:val="28"/>
          <w:szCs w:val="21"/>
          <w:highlight w:val="none"/>
          <w:lang w:val="en-US" w:eastAsia="zh-CN" w:bidi="ar-SA"/>
          <w14:ligatures w14:val="standardContextual"/>
        </w:rPr>
        <w:t>(三)</w:t>
      </w:r>
      <w:r>
        <w:rPr>
          <w:rFonts w:hint="eastAsia"/>
          <w:highlight w:val="none"/>
        </w:rPr>
        <w:t>建筑间距</w:t>
      </w:r>
      <w:bookmarkEnd w:id="207"/>
      <w:bookmarkEnd w:id="208"/>
      <w:bookmarkEnd w:id="209"/>
    </w:p>
    <w:p>
      <w:pPr>
        <w:pStyle w:val="76"/>
        <w:rPr>
          <w:rFonts w:hint="eastAsia" w:ascii="宋体" w:hAnsi="宋体" w:eastAsia="宋体" w:cs="宋体"/>
          <w:highlight w:val="none"/>
        </w:rPr>
      </w:pPr>
      <w:r>
        <w:rPr>
          <w:rFonts w:hint="eastAsia" w:ascii="宋体" w:hAnsi="宋体" w:eastAsia="宋体" w:cs="宋体"/>
          <w:highlight w:val="none"/>
        </w:rPr>
        <w:t>参考增城区关于建筑工程的建筑间距规定。</w:t>
      </w:r>
    </w:p>
    <w:p>
      <w:pPr>
        <w:pStyle w:val="76"/>
        <w:rPr>
          <w:rFonts w:hint="eastAsia" w:ascii="宋体" w:hAnsi="宋体" w:eastAsia="宋体" w:cs="宋体"/>
          <w:highlight w:val="none"/>
          <w:lang w:eastAsia="zh-CN"/>
        </w:rPr>
      </w:pPr>
      <w:r>
        <w:rPr>
          <w:rFonts w:hint="eastAsia" w:ascii="宋体" w:hAnsi="宋体" w:eastAsia="宋体" w:cs="宋体"/>
          <w:highlight w:val="none"/>
        </w:rPr>
        <w:t>《广州市城乡规划技术规定》</w:t>
      </w:r>
      <w:r>
        <w:rPr>
          <w:rFonts w:hint="eastAsia" w:ascii="宋体" w:hAnsi="宋体" w:eastAsia="宋体" w:cs="宋体"/>
          <w:highlight w:val="none"/>
          <w:lang w:eastAsia="zh-CN"/>
        </w:rPr>
        <w:t>。</w:t>
      </w:r>
    </w:p>
    <w:p>
      <w:pPr>
        <w:pStyle w:val="4"/>
        <w:numPr>
          <w:ilvl w:val="0"/>
          <w:numId w:val="0"/>
        </w:numPr>
        <w:spacing w:before="120" w:after="120" w:line="360" w:lineRule="auto"/>
        <w:ind w:left="0" w:leftChars="0" w:firstLine="0" w:firstLineChars="0"/>
        <w:contextualSpacing/>
        <w:rPr>
          <w:rFonts w:ascii="宋体" w:hAnsi="宋体"/>
          <w:sz w:val="28"/>
          <w:szCs w:val="28"/>
          <w:highlight w:val="none"/>
        </w:rPr>
      </w:pPr>
      <w:bookmarkStart w:id="210" w:name="_Toc462255868"/>
      <w:bookmarkStart w:id="211" w:name="_Toc5381"/>
      <w:r>
        <w:rPr>
          <w:rFonts w:hint="eastAsia" w:ascii="宋体" w:hAnsi="宋体" w:eastAsia="宋体" w:cs="黑体"/>
          <w:b/>
          <w:bCs/>
          <w:kern w:val="2"/>
          <w:sz w:val="28"/>
          <w:szCs w:val="28"/>
          <w:highlight w:val="none"/>
          <w:lang w:val="en-US" w:eastAsia="zh-CN" w:bidi="ar-SA"/>
          <w14:ligatures w14:val="standardContextual"/>
        </w:rPr>
        <w:t>四、</w:t>
      </w:r>
      <w:r>
        <w:rPr>
          <w:rFonts w:hint="eastAsia" w:ascii="宋体" w:hAnsi="宋体"/>
          <w:sz w:val="28"/>
          <w:szCs w:val="28"/>
          <w:highlight w:val="none"/>
        </w:rPr>
        <w:t>道路交通系统</w:t>
      </w:r>
      <w:bookmarkEnd w:id="210"/>
      <w:bookmarkEnd w:id="211"/>
    </w:p>
    <w:p>
      <w:pPr>
        <w:pStyle w:val="76"/>
        <w:rPr>
          <w:highlight w:val="none"/>
        </w:rPr>
      </w:pPr>
      <w:r>
        <w:rPr>
          <w:rFonts w:hint="eastAsia"/>
          <w:highlight w:val="none"/>
        </w:rPr>
        <w:t>拟建校园的交通系统规划需根据城市规划的相关要求，综合现场场地环境因素，以“人车分流，步行优先”为原则，合理组织场地内外的各种人流、物流和车流：需考虑校内道路、停车场、自行车等交通设施的合理安排，解决各大功能组团的车行要求，力求做到内外交通简捷便利、畅通顺达，避免各种流线间的相互干扰；需考虑广州地区多雨的气候条件，需保证场区内舒适的步行环境，将建筑进行有机联系，合理组织学生流线，避免瞬时高峰，形成完整高效的人形流线。</w:t>
      </w:r>
    </w:p>
    <w:p>
      <w:pPr>
        <w:pStyle w:val="4"/>
        <w:rPr>
          <w:rFonts w:ascii="宋体" w:hAnsi="宋体"/>
          <w:b w:val="0"/>
          <w:sz w:val="28"/>
          <w:szCs w:val="28"/>
          <w:highlight w:val="none"/>
        </w:rPr>
      </w:pPr>
      <w:bookmarkStart w:id="212" w:name="_Toc5785"/>
      <w:r>
        <w:rPr>
          <w:rFonts w:hint="eastAsia" w:ascii="宋体" w:hAnsi="宋体"/>
          <w:sz w:val="28"/>
          <w:szCs w:val="28"/>
          <w:highlight w:val="none"/>
        </w:rPr>
        <w:t>五、</w:t>
      </w:r>
      <w:bookmarkStart w:id="213" w:name="_Toc462255869"/>
      <w:r>
        <w:rPr>
          <w:rFonts w:hint="eastAsia" w:ascii="宋体" w:hAnsi="宋体"/>
          <w:sz w:val="28"/>
          <w:szCs w:val="28"/>
          <w:highlight w:val="none"/>
        </w:rPr>
        <w:t>地下空间与人防工程</w:t>
      </w:r>
      <w:bookmarkEnd w:id="212"/>
      <w:bookmarkEnd w:id="213"/>
    </w:p>
    <w:p>
      <w:pPr>
        <w:pStyle w:val="50"/>
        <w:numPr>
          <w:ilvl w:val="0"/>
          <w:numId w:val="0"/>
        </w:numPr>
        <w:ind w:left="902" w:leftChars="0" w:hanging="420" w:firstLineChars="0"/>
        <w:contextualSpacing/>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1.</w:t>
      </w:r>
      <w:r>
        <w:rPr>
          <w:rFonts w:hint="eastAsia" w:ascii="宋体" w:hAnsi="宋体" w:eastAsia="宋体"/>
          <w:sz w:val="24"/>
          <w:szCs w:val="24"/>
          <w:highlight w:val="none"/>
        </w:rPr>
        <w:t>设计单位根据实际情况考虑设计地下车库；</w:t>
      </w:r>
    </w:p>
    <w:p>
      <w:pPr>
        <w:pStyle w:val="50"/>
        <w:numPr>
          <w:ilvl w:val="0"/>
          <w:numId w:val="0"/>
        </w:numPr>
        <w:ind w:left="902" w:leftChars="0" w:hanging="420" w:firstLineChars="0"/>
        <w:contextualSpacing/>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2.</w:t>
      </w:r>
      <w:r>
        <w:rPr>
          <w:rFonts w:hint="eastAsia" w:ascii="宋体" w:hAnsi="宋体" w:eastAsia="宋体"/>
          <w:sz w:val="24"/>
          <w:szCs w:val="24"/>
          <w:highlight w:val="none"/>
        </w:rPr>
        <w:t>拟建地下室，安排辅助设施、停车库、人防工程等功能。</w:t>
      </w:r>
    </w:p>
    <w:p>
      <w:pPr>
        <w:pStyle w:val="50"/>
        <w:numPr>
          <w:ilvl w:val="0"/>
          <w:numId w:val="0"/>
        </w:numPr>
        <w:ind w:left="0" w:leftChars="0" w:firstLine="490" w:firstLineChars="0"/>
        <w:contextualSpacing/>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3.</w:t>
      </w:r>
      <w:r>
        <w:rPr>
          <w:rFonts w:hint="eastAsia" w:ascii="宋体" w:hAnsi="宋体" w:eastAsia="宋体"/>
          <w:sz w:val="24"/>
          <w:szCs w:val="24"/>
          <w:highlight w:val="none"/>
        </w:rPr>
        <w:t>地下停车库：原则上必须设置在建筑红线图范围内，其出入口坡道也应在红线范围内且与主体工程同时设计、施工及使用。出于人车分流的考虑，机动车出入口应按规范设置；另外地下停车库人、车出入应进行周密的考虑，避免交叉设置，同时考虑地面与地下的交通转换、人流活动的延续与组织。</w:t>
      </w:r>
    </w:p>
    <w:p>
      <w:pPr>
        <w:pStyle w:val="4"/>
        <w:rPr>
          <w:rFonts w:ascii="宋体" w:hAnsi="宋体"/>
          <w:b w:val="0"/>
          <w:sz w:val="28"/>
          <w:szCs w:val="24"/>
          <w:highlight w:val="none"/>
        </w:rPr>
      </w:pPr>
      <w:bookmarkStart w:id="214" w:name="_Toc13812"/>
      <w:r>
        <w:rPr>
          <w:rFonts w:hint="eastAsia" w:ascii="宋体" w:hAnsi="宋体"/>
          <w:sz w:val="28"/>
          <w:szCs w:val="24"/>
          <w:highlight w:val="none"/>
        </w:rPr>
        <w:t>六、</w:t>
      </w:r>
      <w:bookmarkStart w:id="215" w:name="_Toc462255870"/>
      <w:r>
        <w:rPr>
          <w:rFonts w:hint="eastAsia" w:ascii="宋体" w:hAnsi="宋体"/>
          <w:sz w:val="28"/>
          <w:szCs w:val="24"/>
          <w:highlight w:val="none"/>
        </w:rPr>
        <w:t>竖向设计</w:t>
      </w:r>
      <w:bookmarkEnd w:id="214"/>
      <w:bookmarkEnd w:id="215"/>
    </w:p>
    <w:p>
      <w:pPr>
        <w:ind w:firstLine="480" w:firstLineChars="200"/>
        <w:rPr>
          <w:rFonts w:ascii="宋体" w:hAnsi="宋体" w:cs="宋体"/>
          <w:sz w:val="24"/>
          <w:highlight w:val="none"/>
        </w:rPr>
      </w:pPr>
      <w:r>
        <w:rPr>
          <w:rFonts w:hint="eastAsia" w:ascii="宋体" w:hAnsi="宋体" w:cs="宋体"/>
          <w:sz w:val="24"/>
          <w:highlight w:val="none"/>
        </w:rPr>
        <w:t>建筑通过绿化，将各建筑组群的庭院绿化联为一体，创造独特的绿化开敞空间和优美的学校环境。在总平面设计和单体设计上，体现“以人为本”的生态设计理念。</w:t>
      </w:r>
    </w:p>
    <w:p>
      <w:pPr>
        <w:ind w:firstLine="482"/>
        <w:rPr>
          <w:rFonts w:ascii="宋体" w:hAnsi="宋体"/>
          <w:sz w:val="24"/>
          <w:highlight w:val="none"/>
        </w:rPr>
      </w:pPr>
      <w:r>
        <w:rPr>
          <w:rFonts w:hint="eastAsia" w:ascii="宋体" w:hAnsi="宋体"/>
          <w:sz w:val="24"/>
          <w:highlight w:val="none"/>
        </w:rPr>
        <w:t>建筑总平面设计应提供场地与建筑的竖向标高。规定将建筑首层地面标高定为±</w:t>
      </w:r>
      <w:r>
        <w:rPr>
          <w:rFonts w:ascii="宋体" w:hAnsi="宋体"/>
          <w:sz w:val="24"/>
          <w:highlight w:val="none"/>
        </w:rPr>
        <w:t>0.00</w:t>
      </w:r>
      <w:r>
        <w:rPr>
          <w:rFonts w:hint="eastAsia" w:ascii="宋体" w:hAnsi="宋体"/>
          <w:sz w:val="24"/>
          <w:highlight w:val="none"/>
        </w:rPr>
        <w:t>标高。建筑物室外地坪标高参照四周道路规划标高确定，满足该地块内雨水排放的要求，且不得影响周围用地的使用。</w:t>
      </w:r>
    </w:p>
    <w:p>
      <w:pPr>
        <w:pStyle w:val="50"/>
        <w:numPr>
          <w:ilvl w:val="2"/>
          <w:numId w:val="8"/>
        </w:numPr>
        <w:spacing w:before="240" w:after="120"/>
        <w:ind w:left="0" w:firstLine="0" w:firstLineChars="0"/>
        <w:outlineLvl w:val="1"/>
        <w:rPr>
          <w:rFonts w:ascii="宋体" w:hAnsi="宋体" w:eastAsia="宋体" w:cs="黑体"/>
          <w:b/>
          <w:bCs/>
          <w:szCs w:val="24"/>
          <w:highlight w:val="none"/>
        </w:rPr>
      </w:pPr>
      <w:bookmarkStart w:id="216" w:name="_Toc462255871"/>
      <w:bookmarkStart w:id="217" w:name="_Toc9996"/>
      <w:r>
        <w:rPr>
          <w:rFonts w:hint="eastAsia" w:ascii="宋体" w:hAnsi="宋体" w:eastAsia="宋体" w:cs="黑体"/>
          <w:b/>
          <w:bCs/>
          <w:szCs w:val="24"/>
          <w:highlight w:val="none"/>
        </w:rPr>
        <w:t>绿化景观系统</w:t>
      </w:r>
      <w:bookmarkEnd w:id="216"/>
      <w:bookmarkEnd w:id="217"/>
    </w:p>
    <w:p>
      <w:pPr>
        <w:pStyle w:val="76"/>
        <w:rPr>
          <w:highlight w:val="none"/>
        </w:rPr>
      </w:pPr>
      <w:r>
        <w:rPr>
          <w:rFonts w:hint="eastAsia"/>
          <w:highlight w:val="none"/>
        </w:rPr>
        <w:t>在场地景观环境设计上，体现“以人为本”的生态设计的根本宗旨，从场地环境和校园文人精神出发，创造独特的绿化开敞空间和优美的学校环境，并使之与教学功能有机结合，形成多层次的校园生态景观，营造充满活力和魅力的义务教育场所和优异的成长空间，树立可持续发展的典范。</w:t>
      </w:r>
    </w:p>
    <w:p>
      <w:pPr>
        <w:pStyle w:val="76"/>
        <w:rPr>
          <w:rFonts w:hint="eastAsia"/>
          <w:highlight w:val="none"/>
        </w:rPr>
      </w:pPr>
      <w:r>
        <w:rPr>
          <w:rFonts w:hint="eastAsia"/>
          <w:highlight w:val="none"/>
        </w:rPr>
        <w:t>除了对场地环境进行整体设计外，还注重对环境有不利影响的废水、废气、噪音的处理，做到实用、方便、视风向、水源、阳光合理布局。在减小外界因素对建筑的影响的同时也注重建筑对周边环境的影响，力求做到建筑和周边环境的共生。</w:t>
      </w:r>
    </w:p>
    <w:p>
      <w:pPr>
        <w:ind w:firstLine="570"/>
        <w:rPr>
          <w:rFonts w:ascii="宋体" w:hAnsi="宋体"/>
          <w:sz w:val="24"/>
          <w:highlight w:val="none"/>
        </w:rPr>
      </w:pPr>
      <w:r>
        <w:rPr>
          <w:rFonts w:hint="eastAsia" w:ascii="宋体" w:hAnsi="宋体"/>
          <w:sz w:val="24"/>
          <w:highlight w:val="none"/>
        </w:rPr>
        <w:t>场区绿化主要由自然生态绿化、广场绿化、体育绿化、庭院绿化以及绿化景观道路组成。</w:t>
      </w:r>
    </w:p>
    <w:p>
      <w:pPr>
        <w:pStyle w:val="50"/>
        <w:numPr>
          <w:ilvl w:val="0"/>
          <w:numId w:val="9"/>
        </w:numPr>
        <w:ind w:left="0" w:firstLine="490" w:firstLineChars="0"/>
        <w:rPr>
          <w:rFonts w:ascii="宋体" w:hAnsi="宋体" w:eastAsia="宋体"/>
          <w:sz w:val="24"/>
          <w:szCs w:val="24"/>
          <w:highlight w:val="none"/>
        </w:rPr>
      </w:pPr>
      <w:r>
        <w:rPr>
          <w:rFonts w:hint="eastAsia" w:ascii="宋体" w:hAnsi="宋体" w:eastAsia="宋体"/>
          <w:sz w:val="24"/>
          <w:szCs w:val="24"/>
          <w:highlight w:val="none"/>
        </w:rPr>
        <w:t>校前区由自然生态绿化、广场绿化、绿化景观道路组成。</w:t>
      </w:r>
    </w:p>
    <w:p>
      <w:pPr>
        <w:pStyle w:val="50"/>
        <w:numPr>
          <w:ilvl w:val="0"/>
          <w:numId w:val="9"/>
        </w:numPr>
        <w:ind w:left="0" w:firstLine="490" w:firstLineChars="0"/>
        <w:rPr>
          <w:rFonts w:ascii="宋体" w:hAnsi="宋体" w:eastAsia="宋体"/>
          <w:sz w:val="24"/>
          <w:szCs w:val="24"/>
          <w:highlight w:val="none"/>
        </w:rPr>
      </w:pPr>
      <w:r>
        <w:rPr>
          <w:rFonts w:hint="eastAsia" w:ascii="宋体" w:hAnsi="宋体" w:eastAsia="宋体"/>
          <w:sz w:val="24"/>
          <w:szCs w:val="24"/>
          <w:highlight w:val="none"/>
        </w:rPr>
        <w:t>教学区由景观绿化、庭院绿化组成。以绿色景观衬托出教学区的书院特色，营造充满诗意的场区核心景观。</w:t>
      </w:r>
    </w:p>
    <w:p>
      <w:pPr>
        <w:pStyle w:val="50"/>
        <w:numPr>
          <w:ilvl w:val="0"/>
          <w:numId w:val="9"/>
        </w:numPr>
        <w:ind w:left="0" w:firstLine="490" w:firstLineChars="0"/>
        <w:rPr>
          <w:rFonts w:ascii="宋体" w:hAnsi="宋体" w:eastAsia="宋体"/>
          <w:sz w:val="24"/>
          <w:szCs w:val="24"/>
          <w:highlight w:val="none"/>
        </w:rPr>
      </w:pPr>
      <w:r>
        <w:rPr>
          <w:rFonts w:hint="eastAsia" w:ascii="宋体" w:hAnsi="宋体" w:eastAsia="宋体"/>
          <w:sz w:val="24"/>
          <w:szCs w:val="24"/>
          <w:highlight w:val="none"/>
        </w:rPr>
        <w:t>体育区由体育绿化、绿化景观道路组成。</w:t>
      </w:r>
    </w:p>
    <w:p>
      <w:pPr>
        <w:pStyle w:val="50"/>
        <w:numPr>
          <w:ilvl w:val="0"/>
          <w:numId w:val="9"/>
        </w:numPr>
        <w:ind w:left="0" w:firstLine="490" w:firstLineChars="0"/>
        <w:rPr>
          <w:rFonts w:ascii="宋体" w:hAnsi="宋体" w:eastAsia="宋体"/>
          <w:sz w:val="24"/>
          <w:szCs w:val="24"/>
          <w:highlight w:val="none"/>
        </w:rPr>
      </w:pPr>
      <w:r>
        <w:rPr>
          <w:rFonts w:hint="eastAsia" w:ascii="宋体" w:hAnsi="宋体" w:eastAsia="宋体"/>
          <w:sz w:val="24"/>
          <w:szCs w:val="24"/>
          <w:highlight w:val="none"/>
        </w:rPr>
        <w:t>建筑组团之间的绿化：绿化融入建筑，增强建筑的围合感，并有利于改善建筑周边生态环境。</w:t>
      </w:r>
    </w:p>
    <w:p>
      <w:pPr>
        <w:pStyle w:val="76"/>
        <w:ind w:firstLine="0" w:firstLineChars="0"/>
        <w:rPr>
          <w:rFonts w:hint="eastAsia"/>
          <w:highlight w:val="none"/>
        </w:rPr>
      </w:pPr>
    </w:p>
    <w:p>
      <w:pPr>
        <w:pStyle w:val="50"/>
        <w:numPr>
          <w:ilvl w:val="2"/>
          <w:numId w:val="8"/>
        </w:numPr>
        <w:spacing w:before="240" w:after="120"/>
        <w:ind w:left="0" w:firstLine="0" w:firstLineChars="0"/>
        <w:outlineLvl w:val="1"/>
        <w:rPr>
          <w:rFonts w:ascii="宋体" w:hAnsi="宋体" w:eastAsia="宋体"/>
          <w:b/>
          <w:szCs w:val="24"/>
          <w:highlight w:val="none"/>
        </w:rPr>
      </w:pPr>
      <w:bookmarkStart w:id="218" w:name="_Toc29692"/>
      <w:r>
        <w:rPr>
          <w:rFonts w:hint="eastAsia" w:ascii="宋体" w:hAnsi="宋体" w:eastAsia="宋体" w:cs="黑体"/>
          <w:b/>
          <w:bCs/>
          <w:szCs w:val="24"/>
          <w:highlight w:val="none"/>
        </w:rPr>
        <w:t>体育</w:t>
      </w:r>
      <w:r>
        <w:rPr>
          <w:rFonts w:hint="eastAsia" w:ascii="宋体" w:hAnsi="宋体" w:eastAsia="宋体"/>
          <w:b/>
          <w:szCs w:val="24"/>
          <w:highlight w:val="none"/>
        </w:rPr>
        <w:t>设施</w:t>
      </w:r>
      <w:bookmarkEnd w:id="218"/>
    </w:p>
    <w:p>
      <w:pPr>
        <w:pStyle w:val="76"/>
        <w:rPr>
          <w:highlight w:val="none"/>
        </w:rPr>
      </w:pPr>
      <w:r>
        <w:rPr>
          <w:rFonts w:hint="eastAsia"/>
          <w:highlight w:val="none"/>
        </w:rPr>
        <w:t>体育运动区由</w:t>
      </w:r>
      <w:r>
        <w:rPr>
          <w:rFonts w:hint="eastAsia" w:ascii="宋体" w:hAnsi="宋体"/>
          <w:sz w:val="24"/>
          <w:highlight w:val="none"/>
        </w:rPr>
        <w:t>风雨操场、</w:t>
      </w:r>
      <w:r>
        <w:rPr>
          <w:rFonts w:hint="eastAsia"/>
          <w:highlight w:val="none"/>
        </w:rPr>
        <w:t>田径场、室外篮球场、室外羽毛球场、室外排球场及周边绿化组成</w:t>
      </w:r>
      <w:bookmarkStart w:id="219" w:name="_Toc462255872"/>
      <w:r>
        <w:rPr>
          <w:rFonts w:hint="eastAsia"/>
          <w:highlight w:val="none"/>
        </w:rPr>
        <w:t>。</w:t>
      </w:r>
    </w:p>
    <w:p>
      <w:pPr>
        <w:pStyle w:val="2"/>
        <w:rPr>
          <w:highlight w:val="none"/>
        </w:rPr>
      </w:pPr>
    </w:p>
    <w:p>
      <w:pPr>
        <w:rPr>
          <w:rFonts w:hint="eastAsia" w:ascii="宋体" w:hAnsi="宋体"/>
          <w:sz w:val="36"/>
          <w:szCs w:val="36"/>
          <w:highlight w:val="none"/>
        </w:rPr>
      </w:pPr>
      <w:r>
        <w:rPr>
          <w:rFonts w:hint="eastAsia" w:ascii="宋体" w:hAnsi="宋体"/>
          <w:sz w:val="36"/>
          <w:szCs w:val="36"/>
          <w:highlight w:val="none"/>
        </w:rPr>
        <w:br w:type="page"/>
      </w:r>
    </w:p>
    <w:p>
      <w:pPr>
        <w:pStyle w:val="3"/>
        <w:tabs>
          <w:tab w:val="left" w:pos="3570"/>
        </w:tabs>
        <w:spacing w:before="156" w:beforeLines="50" w:after="156" w:afterLines="50" w:line="360" w:lineRule="auto"/>
        <w:jc w:val="center"/>
        <w:rPr>
          <w:rFonts w:ascii="宋体" w:hAnsi="宋体"/>
          <w:sz w:val="36"/>
          <w:szCs w:val="36"/>
          <w:highlight w:val="none"/>
        </w:rPr>
      </w:pPr>
      <w:bookmarkStart w:id="220" w:name="_Toc17266"/>
      <w:r>
        <w:rPr>
          <w:rFonts w:hint="eastAsia" w:ascii="宋体" w:hAnsi="宋体"/>
          <w:sz w:val="36"/>
          <w:szCs w:val="36"/>
          <w:highlight w:val="none"/>
        </w:rPr>
        <w:t>第五章</w:t>
      </w:r>
      <w:r>
        <w:rPr>
          <w:rFonts w:ascii="宋体" w:hAnsi="宋体"/>
          <w:sz w:val="36"/>
          <w:szCs w:val="36"/>
          <w:highlight w:val="none"/>
        </w:rPr>
        <w:t xml:space="preserve"> </w:t>
      </w:r>
      <w:r>
        <w:rPr>
          <w:rFonts w:hint="eastAsia" w:ascii="宋体" w:hAnsi="宋体"/>
          <w:sz w:val="36"/>
          <w:szCs w:val="36"/>
          <w:highlight w:val="none"/>
        </w:rPr>
        <w:t>建筑设计要求</w:t>
      </w:r>
      <w:bookmarkEnd w:id="219"/>
      <w:bookmarkEnd w:id="220"/>
    </w:p>
    <w:p>
      <w:pPr>
        <w:pStyle w:val="4"/>
        <w:numPr>
          <w:ilvl w:val="0"/>
          <w:numId w:val="0"/>
        </w:numPr>
        <w:spacing w:before="120" w:after="120" w:line="360" w:lineRule="auto"/>
        <w:ind w:left="0" w:leftChars="0" w:firstLine="0" w:firstLineChars="0"/>
        <w:rPr>
          <w:rFonts w:ascii="宋体" w:hAnsi="宋体"/>
          <w:highlight w:val="none"/>
        </w:rPr>
      </w:pPr>
      <w:bookmarkStart w:id="221" w:name="_Toc462255873"/>
      <w:bookmarkStart w:id="222" w:name="_Toc11634"/>
      <w:r>
        <w:rPr>
          <w:rFonts w:ascii="宋体" w:hAnsi="宋体" w:eastAsia="宋体" w:cs="黑体"/>
          <w:b/>
          <w:bCs/>
          <w:kern w:val="2"/>
          <w:sz w:val="32"/>
          <w:szCs w:val="32"/>
          <w:highlight w:val="none"/>
          <w:lang w:val="en-US" w:eastAsia="zh-CN" w:bidi="ar-SA"/>
          <w14:ligatures w14:val="standardContextual"/>
        </w:rPr>
        <w:t>一、</w:t>
      </w:r>
      <w:r>
        <w:rPr>
          <w:rFonts w:hint="eastAsia" w:ascii="宋体" w:hAnsi="宋体"/>
          <w:highlight w:val="none"/>
        </w:rPr>
        <w:t>建设规模</w:t>
      </w:r>
      <w:bookmarkEnd w:id="221"/>
      <w:bookmarkEnd w:id="222"/>
    </w:p>
    <w:p>
      <w:pPr>
        <w:ind w:firstLine="480" w:firstLineChars="200"/>
        <w:contextualSpacing/>
        <w:rPr>
          <w:rFonts w:ascii="宋体" w:hAnsi="宋体"/>
          <w:sz w:val="24"/>
          <w:highlight w:val="none"/>
        </w:rPr>
      </w:pPr>
      <w:r>
        <w:rPr>
          <w:rFonts w:hint="eastAsia" w:ascii="宋体" w:hAnsi="宋体"/>
          <w:sz w:val="24"/>
          <w:highlight w:val="none"/>
        </w:rPr>
        <w:t>项目总用地面积116807平方米，办学规模为60班3000人。总建筑面积103210平方米，其中，计容面积88830平方米，不计容面积14380平方米。建设内容主要包括教学实验楼、科技艺术楼、综合楼、体育馆、会堂、食堂、学生宿舍、教师休息室、架空层、停车库等建筑工程，并配套建设室外运动场地、道路广场、绿化景观、升旗台、综合管网等室外工程。</w:t>
      </w:r>
    </w:p>
    <w:p>
      <w:pPr>
        <w:pStyle w:val="4"/>
        <w:numPr>
          <w:ilvl w:val="0"/>
          <w:numId w:val="0"/>
        </w:numPr>
        <w:spacing w:before="120" w:after="120" w:line="360" w:lineRule="auto"/>
        <w:ind w:left="0" w:leftChars="0" w:firstLine="0" w:firstLineChars="0"/>
        <w:rPr>
          <w:rFonts w:ascii="宋体" w:hAnsi="宋体"/>
          <w:highlight w:val="none"/>
        </w:rPr>
      </w:pPr>
      <w:bookmarkStart w:id="223" w:name="_Toc462255874"/>
      <w:bookmarkStart w:id="224" w:name="_Toc13503"/>
      <w:r>
        <w:rPr>
          <w:rFonts w:ascii="宋体" w:hAnsi="宋体" w:eastAsia="宋体" w:cs="黑体"/>
          <w:b/>
          <w:bCs/>
          <w:kern w:val="2"/>
          <w:sz w:val="32"/>
          <w:szCs w:val="32"/>
          <w:highlight w:val="none"/>
          <w:lang w:val="en-US" w:eastAsia="zh-CN" w:bidi="ar-SA"/>
          <w14:ligatures w14:val="standardContextual"/>
        </w:rPr>
        <w:t>二、</w:t>
      </w:r>
      <w:r>
        <w:rPr>
          <w:rFonts w:hint="eastAsia" w:ascii="宋体" w:hAnsi="宋体"/>
          <w:highlight w:val="none"/>
        </w:rPr>
        <w:t>总平面布置规划</w:t>
      </w:r>
      <w:bookmarkEnd w:id="223"/>
      <w:bookmarkEnd w:id="224"/>
    </w:p>
    <w:p>
      <w:pPr>
        <w:pStyle w:val="51"/>
        <w:numPr>
          <w:ilvl w:val="0"/>
          <w:numId w:val="0"/>
        </w:numPr>
        <w:spacing w:beforeLines="0" w:afterLines="0"/>
        <w:ind w:left="0" w:leftChars="0" w:firstLine="560" w:firstLineChars="0"/>
        <w:outlineLvl w:val="2"/>
        <w:rPr>
          <w:highlight w:val="none"/>
        </w:rPr>
      </w:pPr>
      <w:bookmarkStart w:id="225" w:name="_Toc462255959"/>
      <w:bookmarkStart w:id="226" w:name="_Toc462255875"/>
      <w:bookmarkStart w:id="227" w:name="_Toc9120"/>
      <w:r>
        <w:rPr>
          <w:rFonts w:ascii="Times New Roman" w:hAnsi="Times New Roman" w:eastAsia="宋体" w:cs="Times New Roman"/>
          <w:kern w:val="2"/>
          <w:sz w:val="28"/>
          <w:szCs w:val="24"/>
          <w:highlight w:val="none"/>
          <w:lang w:val="en-US" w:eastAsia="zh-CN" w:bidi="ar-SA"/>
          <w14:ligatures w14:val="standardContextual"/>
        </w:rPr>
        <w:t>(一)</w:t>
      </w:r>
      <w:r>
        <w:rPr>
          <w:rFonts w:hint="eastAsia"/>
          <w:highlight w:val="none"/>
        </w:rPr>
        <w:t>项目主要建筑设施</w:t>
      </w:r>
      <w:bookmarkEnd w:id="225"/>
      <w:bookmarkEnd w:id="226"/>
      <w:bookmarkEnd w:id="227"/>
    </w:p>
    <w:tbl>
      <w:tblPr>
        <w:tblStyle w:val="24"/>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56"/>
        <w:gridCol w:w="2664"/>
        <w:gridCol w:w="992"/>
        <w:gridCol w:w="99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8" w:type="dxa"/>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序号</w:t>
            </w:r>
          </w:p>
        </w:tc>
        <w:tc>
          <w:tcPr>
            <w:tcW w:w="3120" w:type="dxa"/>
            <w:gridSpan w:val="2"/>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项目</w:t>
            </w:r>
          </w:p>
        </w:tc>
        <w:tc>
          <w:tcPr>
            <w:tcW w:w="992" w:type="dxa"/>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单位</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面积</w:t>
            </w:r>
          </w:p>
        </w:tc>
        <w:tc>
          <w:tcPr>
            <w:tcW w:w="3118" w:type="dxa"/>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shd w:val="clear" w:color="auto" w:fill="auto"/>
            <w:vAlign w:val="center"/>
          </w:tcPr>
          <w:p>
            <w:pPr>
              <w:widowControl/>
              <w:spacing w:line="240" w:lineRule="auto"/>
              <w:jc w:val="center"/>
              <w:textAlignment w:val="center"/>
              <w:rPr>
                <w:sz w:val="24"/>
                <w:highlight w:val="none"/>
              </w:rPr>
            </w:pPr>
            <w:r>
              <w:rPr>
                <w:kern w:val="0"/>
                <w:sz w:val="24"/>
                <w:highlight w:val="none"/>
                <w:lang w:bidi="ar"/>
              </w:rPr>
              <w:t>1</w:t>
            </w:r>
          </w:p>
        </w:tc>
        <w:tc>
          <w:tcPr>
            <w:tcW w:w="3120" w:type="dxa"/>
            <w:gridSpan w:val="2"/>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项目总用地</w:t>
            </w:r>
          </w:p>
        </w:tc>
        <w:tc>
          <w:tcPr>
            <w:tcW w:w="992" w:type="dxa"/>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116807</w:t>
            </w:r>
          </w:p>
        </w:tc>
        <w:tc>
          <w:tcPr>
            <w:tcW w:w="3118" w:type="dxa"/>
            <w:shd w:val="clear" w:color="auto" w:fill="auto"/>
            <w:vAlign w:val="center"/>
          </w:tcPr>
          <w:p>
            <w:pPr>
              <w:jc w:val="center"/>
              <w:rPr>
                <w:rFonts w:ascii="等线" w:hAnsi="等线" w:eastAsia="等线" w:cs="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Merge w:val="restart"/>
            <w:shd w:val="clear" w:color="auto" w:fill="auto"/>
            <w:vAlign w:val="center"/>
          </w:tcPr>
          <w:p>
            <w:pPr>
              <w:widowControl/>
              <w:spacing w:line="240" w:lineRule="auto"/>
              <w:jc w:val="center"/>
              <w:textAlignment w:val="center"/>
              <w:rPr>
                <w:sz w:val="24"/>
                <w:highlight w:val="none"/>
              </w:rPr>
            </w:pPr>
            <w:r>
              <w:rPr>
                <w:kern w:val="0"/>
                <w:sz w:val="24"/>
                <w:highlight w:val="none"/>
                <w:lang w:bidi="ar"/>
              </w:rPr>
              <w:t>2</w:t>
            </w:r>
          </w:p>
        </w:tc>
        <w:tc>
          <w:tcPr>
            <w:tcW w:w="3120" w:type="dxa"/>
            <w:gridSpan w:val="2"/>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总建筑面积</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103210</w:t>
            </w:r>
          </w:p>
        </w:tc>
        <w:tc>
          <w:tcPr>
            <w:tcW w:w="3118" w:type="dxa"/>
            <w:shd w:val="clear" w:color="auto" w:fill="auto"/>
            <w:vAlign w:val="center"/>
          </w:tcPr>
          <w:p>
            <w:pPr>
              <w:widowControl/>
              <w:spacing w:line="240" w:lineRule="auto"/>
              <w:jc w:val="center"/>
              <w:textAlignment w:val="center"/>
              <w:rPr>
                <w:rFonts w:ascii="等线" w:hAnsi="等线" w:eastAsia="等线" w:cs="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dxa"/>
            <w:vMerge w:val="continue"/>
            <w:shd w:val="clear" w:color="auto" w:fill="auto"/>
            <w:vAlign w:val="center"/>
          </w:tcPr>
          <w:p>
            <w:pPr>
              <w:widowControl/>
              <w:spacing w:line="240" w:lineRule="auto"/>
              <w:jc w:val="center"/>
              <w:textAlignment w:val="center"/>
              <w:rPr>
                <w:kern w:val="0"/>
                <w:sz w:val="24"/>
                <w:highlight w:val="none"/>
                <w:lang w:bidi="ar"/>
              </w:rPr>
            </w:pPr>
          </w:p>
        </w:tc>
        <w:tc>
          <w:tcPr>
            <w:tcW w:w="3120" w:type="dxa"/>
            <w:gridSpan w:val="2"/>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计容建筑面积</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88830</w:t>
            </w:r>
          </w:p>
        </w:tc>
        <w:tc>
          <w:tcPr>
            <w:tcW w:w="3118" w:type="dxa"/>
            <w:shd w:val="clear" w:color="auto" w:fill="auto"/>
            <w:vAlign w:val="center"/>
          </w:tcPr>
          <w:p>
            <w:pPr>
              <w:widowControl/>
              <w:spacing w:line="240" w:lineRule="auto"/>
              <w:jc w:val="center"/>
              <w:textAlignment w:val="center"/>
              <w:rPr>
                <w:rFonts w:ascii="等线" w:hAnsi="等线" w:eastAsia="等线" w:cs="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vMerge w:val="continue"/>
            <w:shd w:val="clear" w:color="auto" w:fill="auto"/>
            <w:vAlign w:val="center"/>
          </w:tcPr>
          <w:p>
            <w:pPr>
              <w:jc w:val="center"/>
              <w:rPr>
                <w:rFonts w:ascii="等线" w:hAnsi="等线" w:eastAsia="等线" w:cs="等线"/>
                <w:sz w:val="24"/>
                <w:highlight w:val="none"/>
              </w:rPr>
            </w:pPr>
          </w:p>
        </w:tc>
        <w:tc>
          <w:tcPr>
            <w:tcW w:w="456" w:type="dxa"/>
            <w:vMerge w:val="restart"/>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其中</w:t>
            </w:r>
          </w:p>
        </w:tc>
        <w:tc>
          <w:tcPr>
            <w:tcW w:w="2664" w:type="dxa"/>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教学及辅助用房</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49823</w:t>
            </w:r>
          </w:p>
        </w:tc>
        <w:tc>
          <w:tcPr>
            <w:tcW w:w="3118" w:type="dxa"/>
            <w:vMerge w:val="restart"/>
            <w:shd w:val="clear" w:color="auto" w:fill="auto"/>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具体功能和指标参考《广州市普通中小学校建设标准指引》设置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vMerge w:val="continue"/>
            <w:shd w:val="clear" w:color="auto" w:fill="auto"/>
            <w:vAlign w:val="center"/>
          </w:tcPr>
          <w:p>
            <w:pPr>
              <w:jc w:val="center"/>
              <w:rPr>
                <w:rFonts w:ascii="等线" w:hAnsi="等线" w:eastAsia="等线" w:cs="等线"/>
                <w:sz w:val="24"/>
                <w:highlight w:val="none"/>
              </w:rPr>
            </w:pPr>
          </w:p>
        </w:tc>
        <w:tc>
          <w:tcPr>
            <w:tcW w:w="456" w:type="dxa"/>
            <w:vMerge w:val="continue"/>
            <w:shd w:val="clear" w:color="auto" w:fill="auto"/>
            <w:vAlign w:val="center"/>
          </w:tcPr>
          <w:p>
            <w:pPr>
              <w:jc w:val="center"/>
              <w:rPr>
                <w:rFonts w:ascii="宋体" w:hAnsi="宋体" w:cs="宋体"/>
                <w:sz w:val="24"/>
                <w:highlight w:val="none"/>
              </w:rPr>
            </w:pPr>
          </w:p>
        </w:tc>
        <w:tc>
          <w:tcPr>
            <w:tcW w:w="2664"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行政办公用房</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3672</w:t>
            </w:r>
          </w:p>
        </w:tc>
        <w:tc>
          <w:tcPr>
            <w:tcW w:w="3118" w:type="dxa"/>
            <w:vMerge w:val="continue"/>
            <w:shd w:val="clear" w:color="auto" w:fill="auto"/>
            <w:vAlign w:val="center"/>
          </w:tcPr>
          <w:p>
            <w:pPr>
              <w:widowControl/>
              <w:spacing w:line="240" w:lineRule="auto"/>
              <w:jc w:val="center"/>
              <w:textAlignment w:val="center"/>
              <w:rPr>
                <w:rFonts w:hint="eastAsia" w:ascii="宋体" w:hAnsi="宋体" w:eastAsia="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vMerge w:val="continue"/>
            <w:shd w:val="clear" w:color="auto" w:fill="auto"/>
            <w:vAlign w:val="center"/>
          </w:tcPr>
          <w:p>
            <w:pPr>
              <w:jc w:val="center"/>
              <w:rPr>
                <w:rFonts w:ascii="等线" w:hAnsi="等线" w:eastAsia="等线" w:cs="等线"/>
                <w:sz w:val="24"/>
                <w:highlight w:val="none"/>
              </w:rPr>
            </w:pPr>
          </w:p>
        </w:tc>
        <w:tc>
          <w:tcPr>
            <w:tcW w:w="456" w:type="dxa"/>
            <w:vMerge w:val="continue"/>
            <w:shd w:val="clear" w:color="auto" w:fill="auto"/>
            <w:vAlign w:val="center"/>
          </w:tcPr>
          <w:p>
            <w:pPr>
              <w:jc w:val="center"/>
              <w:rPr>
                <w:rFonts w:ascii="宋体" w:hAnsi="宋体" w:cs="宋体"/>
                <w:sz w:val="24"/>
                <w:highlight w:val="none"/>
              </w:rPr>
            </w:pPr>
          </w:p>
        </w:tc>
        <w:tc>
          <w:tcPr>
            <w:tcW w:w="2664"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生活服务用房</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7135</w:t>
            </w:r>
          </w:p>
        </w:tc>
        <w:tc>
          <w:tcPr>
            <w:tcW w:w="3118" w:type="dxa"/>
            <w:vMerge w:val="continue"/>
            <w:shd w:val="clear" w:color="auto" w:fill="auto"/>
            <w:vAlign w:val="center"/>
          </w:tcPr>
          <w:p>
            <w:pPr>
              <w:widowControl/>
              <w:spacing w:line="240" w:lineRule="auto"/>
              <w:jc w:val="center"/>
              <w:textAlignment w:val="center"/>
              <w:rPr>
                <w:rFonts w:hint="eastAsia" w:ascii="宋体" w:hAnsi="宋体" w:eastAsia="宋体" w:cs="宋体"/>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8" w:type="dxa"/>
            <w:vMerge w:val="continue"/>
            <w:shd w:val="clear" w:color="auto" w:fill="auto"/>
            <w:vAlign w:val="center"/>
          </w:tcPr>
          <w:p>
            <w:pPr>
              <w:jc w:val="center"/>
              <w:rPr>
                <w:sz w:val="24"/>
                <w:highlight w:val="none"/>
              </w:rPr>
            </w:pPr>
          </w:p>
        </w:tc>
        <w:tc>
          <w:tcPr>
            <w:tcW w:w="456" w:type="dxa"/>
            <w:vMerge w:val="continue"/>
            <w:shd w:val="clear" w:color="auto" w:fill="auto"/>
            <w:vAlign w:val="center"/>
          </w:tcPr>
          <w:p>
            <w:pPr>
              <w:jc w:val="center"/>
              <w:rPr>
                <w:rFonts w:ascii="宋体" w:hAnsi="宋体" w:cs="宋体"/>
                <w:sz w:val="24"/>
                <w:highlight w:val="none"/>
              </w:rPr>
            </w:pPr>
          </w:p>
        </w:tc>
        <w:tc>
          <w:tcPr>
            <w:tcW w:w="2664"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学生宿舍</w:t>
            </w:r>
          </w:p>
        </w:tc>
        <w:tc>
          <w:tcPr>
            <w:tcW w:w="992" w:type="dxa"/>
            <w:shd w:val="clear" w:color="auto" w:fill="auto"/>
            <w:vAlign w:val="center"/>
          </w:tcPr>
          <w:p>
            <w:pPr>
              <w:widowControl/>
              <w:spacing w:line="240" w:lineRule="auto"/>
              <w:jc w:val="center"/>
              <w:textAlignment w:val="center"/>
              <w:rPr>
                <w:rFonts w:ascii="宋体" w:hAnsi="宋体" w:cs="宋体"/>
                <w:sz w:val="24"/>
                <w:highlight w:val="none"/>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27000</w:t>
            </w:r>
          </w:p>
        </w:tc>
        <w:tc>
          <w:tcPr>
            <w:tcW w:w="3118" w:type="dxa"/>
            <w:shd w:val="clear" w:color="auto" w:fill="auto"/>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按6人间设计，可设计为高层建筑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vMerge w:val="continue"/>
            <w:shd w:val="clear" w:color="auto" w:fill="auto"/>
            <w:vAlign w:val="center"/>
          </w:tcPr>
          <w:p>
            <w:pPr>
              <w:jc w:val="center"/>
              <w:rPr>
                <w:sz w:val="24"/>
                <w:highlight w:val="none"/>
              </w:rPr>
            </w:pPr>
          </w:p>
        </w:tc>
        <w:tc>
          <w:tcPr>
            <w:tcW w:w="456" w:type="dxa"/>
            <w:vMerge w:val="continue"/>
            <w:shd w:val="clear" w:color="auto" w:fill="auto"/>
            <w:vAlign w:val="center"/>
          </w:tcPr>
          <w:p>
            <w:pPr>
              <w:jc w:val="center"/>
              <w:rPr>
                <w:rFonts w:ascii="宋体" w:hAnsi="宋体" w:cs="宋体"/>
                <w:sz w:val="24"/>
                <w:highlight w:val="none"/>
              </w:rPr>
            </w:pPr>
          </w:p>
        </w:tc>
        <w:tc>
          <w:tcPr>
            <w:tcW w:w="2664"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教师休息室</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1200</w:t>
            </w:r>
          </w:p>
        </w:tc>
        <w:tc>
          <w:tcPr>
            <w:tcW w:w="3118" w:type="dxa"/>
            <w:shd w:val="clear" w:color="auto" w:fill="auto"/>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vMerge w:val="continue"/>
            <w:shd w:val="clear" w:color="auto" w:fill="auto"/>
            <w:vAlign w:val="center"/>
          </w:tcPr>
          <w:p>
            <w:pPr>
              <w:jc w:val="center"/>
              <w:rPr>
                <w:sz w:val="24"/>
                <w:highlight w:val="none"/>
              </w:rPr>
            </w:pPr>
          </w:p>
        </w:tc>
        <w:tc>
          <w:tcPr>
            <w:tcW w:w="3120" w:type="dxa"/>
            <w:gridSpan w:val="2"/>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不计容建筑面积</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14380</w:t>
            </w:r>
          </w:p>
        </w:tc>
        <w:tc>
          <w:tcPr>
            <w:tcW w:w="3118" w:type="dxa"/>
            <w:shd w:val="clear" w:color="auto" w:fill="auto"/>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vMerge w:val="continue"/>
            <w:shd w:val="clear" w:color="auto" w:fill="auto"/>
            <w:vAlign w:val="center"/>
          </w:tcPr>
          <w:p>
            <w:pPr>
              <w:jc w:val="center"/>
              <w:rPr>
                <w:sz w:val="24"/>
                <w:highlight w:val="none"/>
              </w:rPr>
            </w:pPr>
          </w:p>
        </w:tc>
        <w:tc>
          <w:tcPr>
            <w:tcW w:w="456" w:type="dxa"/>
            <w:vMerge w:val="restart"/>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其中</w:t>
            </w:r>
          </w:p>
        </w:tc>
        <w:tc>
          <w:tcPr>
            <w:tcW w:w="2664"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架空层</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7710</w:t>
            </w:r>
          </w:p>
        </w:tc>
        <w:tc>
          <w:tcPr>
            <w:tcW w:w="3118" w:type="dxa"/>
            <w:shd w:val="clear" w:color="auto" w:fill="auto"/>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vMerge w:val="continue"/>
            <w:shd w:val="clear" w:color="auto" w:fill="auto"/>
            <w:vAlign w:val="center"/>
          </w:tcPr>
          <w:p>
            <w:pPr>
              <w:jc w:val="center"/>
              <w:rPr>
                <w:sz w:val="24"/>
                <w:highlight w:val="none"/>
              </w:rPr>
            </w:pPr>
          </w:p>
        </w:tc>
        <w:tc>
          <w:tcPr>
            <w:tcW w:w="456" w:type="dxa"/>
            <w:vMerge w:val="continue"/>
            <w:shd w:val="clear" w:color="auto" w:fill="auto"/>
            <w:vAlign w:val="center"/>
          </w:tcPr>
          <w:p>
            <w:pPr>
              <w:widowControl/>
              <w:spacing w:line="240" w:lineRule="auto"/>
              <w:jc w:val="center"/>
              <w:textAlignment w:val="center"/>
              <w:rPr>
                <w:rFonts w:ascii="宋体" w:hAnsi="宋体" w:cs="宋体"/>
                <w:kern w:val="0"/>
                <w:sz w:val="24"/>
                <w:highlight w:val="none"/>
                <w:lang w:bidi="ar"/>
              </w:rPr>
            </w:pPr>
          </w:p>
        </w:tc>
        <w:tc>
          <w:tcPr>
            <w:tcW w:w="2664"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地下车库及设备用房</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6670</w:t>
            </w:r>
          </w:p>
        </w:tc>
        <w:tc>
          <w:tcPr>
            <w:tcW w:w="3118" w:type="dxa"/>
            <w:shd w:val="clear" w:color="auto" w:fill="auto"/>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shd w:val="clear" w:color="auto" w:fill="auto"/>
            <w:vAlign w:val="center"/>
          </w:tcPr>
          <w:p>
            <w:pPr>
              <w:widowControl/>
              <w:spacing w:line="240" w:lineRule="auto"/>
              <w:jc w:val="center"/>
              <w:textAlignment w:val="center"/>
              <w:rPr>
                <w:rFonts w:hint="eastAsia" w:eastAsia="宋体"/>
                <w:kern w:val="0"/>
                <w:sz w:val="24"/>
                <w:highlight w:val="none"/>
                <w:lang w:val="en-US" w:eastAsia="zh-CN" w:bidi="ar"/>
              </w:rPr>
            </w:pPr>
            <w:r>
              <w:rPr>
                <w:rFonts w:hint="eastAsia"/>
                <w:kern w:val="0"/>
                <w:sz w:val="24"/>
                <w:highlight w:val="none"/>
                <w:lang w:val="en-US" w:eastAsia="zh-CN" w:bidi="ar"/>
              </w:rPr>
              <w:t>3</w:t>
            </w:r>
          </w:p>
        </w:tc>
        <w:tc>
          <w:tcPr>
            <w:tcW w:w="3120" w:type="dxa"/>
            <w:gridSpan w:val="2"/>
            <w:shd w:val="clear" w:color="auto" w:fill="auto"/>
            <w:vAlign w:val="center"/>
          </w:tcPr>
          <w:p>
            <w:pPr>
              <w:widowControl/>
              <w:spacing w:line="24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容积率</w:t>
            </w:r>
          </w:p>
        </w:tc>
        <w:tc>
          <w:tcPr>
            <w:tcW w:w="992" w:type="dxa"/>
            <w:shd w:val="clear" w:color="auto" w:fill="auto"/>
            <w:vAlign w:val="center"/>
          </w:tcPr>
          <w:p>
            <w:pPr>
              <w:widowControl/>
              <w:spacing w:line="240" w:lineRule="auto"/>
              <w:jc w:val="center"/>
              <w:textAlignment w:val="center"/>
              <w:rPr>
                <w:rFonts w:hint="eastAsia" w:ascii="宋体" w:hAnsi="宋体" w:cs="宋体"/>
                <w:kern w:val="0"/>
                <w:sz w:val="24"/>
                <w:highlight w:val="none"/>
                <w:lang w:bidi="ar"/>
              </w:rPr>
            </w:pPr>
          </w:p>
        </w:tc>
        <w:tc>
          <w:tcPr>
            <w:tcW w:w="993" w:type="dxa"/>
            <w:shd w:val="clear" w:color="auto" w:fill="auto"/>
            <w:vAlign w:val="center"/>
          </w:tcPr>
          <w:p>
            <w:pPr>
              <w:widowControl/>
              <w:spacing w:line="240" w:lineRule="auto"/>
              <w:jc w:val="center"/>
              <w:textAlignment w:val="center"/>
              <w:rPr>
                <w:rFonts w:hint="default" w:ascii="宋体" w:hAnsi="宋体" w:eastAsia="宋体" w:cs="宋体"/>
                <w:kern w:val="0"/>
                <w:sz w:val="24"/>
                <w:highlight w:val="none"/>
                <w:lang w:val="en-US" w:bidi="ar"/>
              </w:rPr>
            </w:pPr>
            <w:r>
              <w:rPr>
                <w:rFonts w:hint="eastAsia" w:ascii="宋体" w:hAnsi="宋体" w:eastAsia="宋体" w:cs="宋体"/>
                <w:kern w:val="0"/>
                <w:sz w:val="24"/>
                <w:highlight w:val="none"/>
                <w:lang w:bidi="ar"/>
              </w:rPr>
              <w:t>≤</w:t>
            </w:r>
            <w:r>
              <w:rPr>
                <w:rFonts w:hint="eastAsia" w:ascii="宋体" w:hAnsi="宋体" w:cs="宋体"/>
                <w:kern w:val="0"/>
                <w:sz w:val="24"/>
                <w:highlight w:val="none"/>
                <w:lang w:val="en-US" w:eastAsia="zh-CN" w:bidi="ar"/>
              </w:rPr>
              <w:t>1.2</w:t>
            </w:r>
          </w:p>
        </w:tc>
        <w:tc>
          <w:tcPr>
            <w:tcW w:w="3118" w:type="dxa"/>
            <w:shd w:val="clear" w:color="auto" w:fill="auto"/>
            <w:vAlign w:val="center"/>
          </w:tcPr>
          <w:p>
            <w:pPr>
              <w:jc w:val="center"/>
              <w:rPr>
                <w:rFonts w:ascii="等线" w:hAnsi="等线" w:eastAsia="等线" w:cs="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shd w:val="clear" w:color="auto" w:fill="auto"/>
            <w:vAlign w:val="center"/>
          </w:tcPr>
          <w:p>
            <w:pPr>
              <w:widowControl/>
              <w:spacing w:line="240" w:lineRule="auto"/>
              <w:jc w:val="center"/>
              <w:textAlignment w:val="center"/>
              <w:rPr>
                <w:rFonts w:hint="eastAsia" w:eastAsia="宋体"/>
                <w:kern w:val="0"/>
                <w:sz w:val="24"/>
                <w:highlight w:val="none"/>
                <w:lang w:eastAsia="zh-CN" w:bidi="ar"/>
              </w:rPr>
            </w:pPr>
            <w:r>
              <w:rPr>
                <w:rFonts w:hint="eastAsia"/>
                <w:kern w:val="0"/>
                <w:sz w:val="24"/>
                <w:highlight w:val="none"/>
                <w:lang w:val="en-US" w:eastAsia="zh-CN" w:bidi="ar"/>
              </w:rPr>
              <w:t>4</w:t>
            </w:r>
          </w:p>
        </w:tc>
        <w:tc>
          <w:tcPr>
            <w:tcW w:w="3120" w:type="dxa"/>
            <w:gridSpan w:val="2"/>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建筑密度</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shd w:val="clear" w:color="auto" w:fill="auto"/>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w:t>
            </w:r>
            <w:r>
              <w:rPr>
                <w:rFonts w:hint="eastAsia" w:ascii="宋体" w:hAnsi="宋体" w:cs="宋体"/>
                <w:kern w:val="0"/>
                <w:sz w:val="24"/>
                <w:highlight w:val="none"/>
                <w:lang w:val="en-US" w:eastAsia="zh-CN" w:bidi="ar"/>
              </w:rPr>
              <w:t>4</w:t>
            </w:r>
            <w:r>
              <w:rPr>
                <w:rFonts w:hint="eastAsia" w:ascii="宋体" w:hAnsi="宋体" w:eastAsia="宋体" w:cs="宋体"/>
                <w:kern w:val="0"/>
                <w:sz w:val="24"/>
                <w:highlight w:val="none"/>
                <w:lang w:bidi="ar"/>
              </w:rPr>
              <w:t>0.0</w:t>
            </w:r>
          </w:p>
        </w:tc>
        <w:tc>
          <w:tcPr>
            <w:tcW w:w="3118" w:type="dxa"/>
            <w:shd w:val="clear" w:color="auto" w:fill="auto"/>
            <w:vAlign w:val="center"/>
          </w:tcPr>
          <w:p>
            <w:pPr>
              <w:jc w:val="center"/>
              <w:rPr>
                <w:rFonts w:ascii="等线" w:hAnsi="等线" w:eastAsia="等线" w:cs="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shd w:val="clear" w:color="auto" w:fill="auto"/>
            <w:vAlign w:val="center"/>
          </w:tcPr>
          <w:p>
            <w:pPr>
              <w:widowControl/>
              <w:spacing w:line="240" w:lineRule="auto"/>
              <w:jc w:val="center"/>
              <w:textAlignment w:val="center"/>
              <w:rPr>
                <w:rFonts w:hint="eastAsia" w:eastAsia="宋体"/>
                <w:kern w:val="0"/>
                <w:sz w:val="24"/>
                <w:highlight w:val="none"/>
                <w:lang w:eastAsia="zh-CN" w:bidi="ar"/>
              </w:rPr>
            </w:pPr>
            <w:r>
              <w:rPr>
                <w:rFonts w:hint="eastAsia"/>
                <w:kern w:val="0"/>
                <w:sz w:val="24"/>
                <w:highlight w:val="none"/>
                <w:lang w:val="en-US" w:eastAsia="zh-CN" w:bidi="ar"/>
              </w:rPr>
              <w:t>5</w:t>
            </w:r>
          </w:p>
        </w:tc>
        <w:tc>
          <w:tcPr>
            <w:tcW w:w="3120" w:type="dxa"/>
            <w:gridSpan w:val="2"/>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绿化率</w:t>
            </w:r>
          </w:p>
        </w:tc>
        <w:tc>
          <w:tcPr>
            <w:tcW w:w="992" w:type="dxa"/>
            <w:shd w:val="clear" w:color="auto" w:fill="auto"/>
            <w:vAlign w:val="center"/>
          </w:tcPr>
          <w:p>
            <w:pPr>
              <w:widowControl/>
              <w:spacing w:line="24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w:t>
            </w:r>
          </w:p>
        </w:tc>
        <w:tc>
          <w:tcPr>
            <w:tcW w:w="993" w:type="dxa"/>
            <w:shd w:val="clear" w:color="auto" w:fill="auto"/>
            <w:vAlign w:val="center"/>
          </w:tcPr>
          <w:p>
            <w:pPr>
              <w:widowControl/>
              <w:spacing w:line="240" w:lineRule="auto"/>
              <w:jc w:val="center"/>
              <w:textAlignment w:val="cente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≥30.0</w:t>
            </w:r>
          </w:p>
        </w:tc>
        <w:tc>
          <w:tcPr>
            <w:tcW w:w="3118" w:type="dxa"/>
            <w:shd w:val="clear" w:color="auto" w:fill="auto"/>
            <w:vAlign w:val="center"/>
          </w:tcPr>
          <w:p>
            <w:pPr>
              <w:jc w:val="center"/>
              <w:rPr>
                <w:rFonts w:ascii="等线" w:hAnsi="等线" w:eastAsia="等线" w:cs="等线"/>
                <w:sz w:val="24"/>
                <w:highlight w:val="none"/>
              </w:rPr>
            </w:pPr>
          </w:p>
        </w:tc>
      </w:tr>
    </w:tbl>
    <w:p>
      <w:pPr>
        <w:spacing w:beforeLines="0" w:afterLines="0"/>
        <w:ind w:left="0" w:leftChars="0" w:firstLineChars="0"/>
        <w:jc w:val="left"/>
        <w:outlineLvl w:val="2"/>
        <w:rPr>
          <w:rFonts w:ascii="宋体" w:hAnsi="宋体" w:eastAsia="宋体" w:cs="Times New Roman"/>
          <w:kern w:val="2"/>
          <w:sz w:val="28"/>
          <w:szCs w:val="24"/>
          <w:highlight w:val="none"/>
          <w:lang w:val="en-US" w:eastAsia="zh-CN" w:bidi="ar-SA"/>
          <w14:ligatures w14:val="standardContextual"/>
        </w:rPr>
      </w:pPr>
      <w:bookmarkStart w:id="228" w:name="_Toc462262056"/>
      <w:bookmarkEnd w:id="228"/>
      <w:bookmarkStart w:id="229" w:name="_Toc462262541"/>
      <w:bookmarkEnd w:id="229"/>
      <w:bookmarkStart w:id="230" w:name="_Toc462262428"/>
      <w:bookmarkEnd w:id="230"/>
      <w:bookmarkStart w:id="231" w:name="_Toc462262542"/>
      <w:bookmarkEnd w:id="231"/>
      <w:bookmarkStart w:id="232" w:name="_Toc462262549"/>
      <w:bookmarkEnd w:id="232"/>
      <w:bookmarkStart w:id="233" w:name="_Toc462262435"/>
      <w:bookmarkEnd w:id="233"/>
      <w:bookmarkStart w:id="234" w:name="_Toc462262484"/>
      <w:bookmarkEnd w:id="234"/>
      <w:bookmarkStart w:id="235" w:name="_Toc462262701"/>
      <w:bookmarkEnd w:id="235"/>
      <w:bookmarkStart w:id="236" w:name="_Toc2708"/>
      <w:bookmarkStart w:id="237" w:name="_Toc462255876"/>
      <w:bookmarkStart w:id="238" w:name="_Toc462255960"/>
      <w:r>
        <w:rPr>
          <w:rFonts w:hint="eastAsia"/>
          <w:b/>
          <w:bCs/>
          <w:highlight w:val="none"/>
        </w:rPr>
        <w:t>【以上建设规模仅作为参考，实际以满足学校功能使用设计方案为准】</w:t>
      </w:r>
      <w:bookmarkEnd w:id="236"/>
    </w:p>
    <w:p>
      <w:pPr>
        <w:pStyle w:val="51"/>
        <w:numPr>
          <w:ilvl w:val="0"/>
          <w:numId w:val="0"/>
        </w:numPr>
        <w:spacing w:beforeLines="0" w:afterLines="0"/>
        <w:ind w:left="0" w:leftChars="0" w:firstLine="560" w:firstLineChars="0"/>
        <w:outlineLvl w:val="2"/>
        <w:rPr>
          <w:rFonts w:ascii="宋体" w:hAnsi="宋体"/>
          <w:sz w:val="28"/>
          <w:szCs w:val="28"/>
          <w:highlight w:val="none"/>
        </w:rPr>
      </w:pPr>
      <w:bookmarkStart w:id="239" w:name="_Toc13598"/>
      <w:r>
        <w:rPr>
          <w:rFonts w:ascii="宋体" w:hAnsi="宋体" w:eastAsia="宋体" w:cs="Times New Roman"/>
          <w:kern w:val="2"/>
          <w:sz w:val="28"/>
          <w:szCs w:val="24"/>
          <w:highlight w:val="none"/>
          <w:lang w:val="en-US" w:eastAsia="zh-CN" w:bidi="ar-SA"/>
          <w14:ligatures w14:val="standardContextual"/>
        </w:rPr>
        <w:t>(二)</w:t>
      </w:r>
      <w:r>
        <w:rPr>
          <w:rFonts w:hint="eastAsia" w:ascii="宋体" w:hAnsi="宋体"/>
          <w:sz w:val="28"/>
          <w:szCs w:val="28"/>
          <w:highlight w:val="none"/>
        </w:rPr>
        <w:t>道路</w:t>
      </w:r>
      <w:bookmarkEnd w:id="237"/>
      <w:bookmarkEnd w:id="238"/>
      <w:bookmarkEnd w:id="239"/>
    </w:p>
    <w:p>
      <w:pPr>
        <w:pStyle w:val="51"/>
        <w:spacing w:beforeLines="0" w:afterLines="0"/>
        <w:rPr>
          <w:rFonts w:ascii="宋体" w:hAnsi="宋体"/>
          <w:szCs w:val="21"/>
          <w:highlight w:val="none"/>
        </w:rPr>
      </w:pPr>
      <w:r>
        <w:rPr>
          <w:rFonts w:hint="eastAsia" w:ascii="宋体" w:hAnsi="宋体"/>
          <w:szCs w:val="21"/>
          <w:highlight w:val="none"/>
        </w:rPr>
        <w:t>项目规划建设道路包括路口、校门、广场、机动车道路、人行道、无障碍道路、消防道路、园林景观道路等。</w:t>
      </w:r>
    </w:p>
    <w:p>
      <w:pPr>
        <w:pStyle w:val="51"/>
        <w:numPr>
          <w:ilvl w:val="0"/>
          <w:numId w:val="0"/>
        </w:numPr>
        <w:spacing w:beforeLines="0" w:afterLines="0"/>
        <w:ind w:left="0" w:leftChars="0" w:firstLine="560" w:firstLineChars="0"/>
        <w:outlineLvl w:val="2"/>
        <w:rPr>
          <w:rFonts w:ascii="宋体" w:hAnsi="宋体"/>
          <w:sz w:val="28"/>
          <w:szCs w:val="28"/>
          <w:highlight w:val="none"/>
        </w:rPr>
      </w:pPr>
      <w:bookmarkStart w:id="240" w:name="_Toc462255877"/>
      <w:bookmarkStart w:id="241" w:name="_Toc462255961"/>
      <w:bookmarkStart w:id="242" w:name="_Toc26816"/>
      <w:r>
        <w:rPr>
          <w:rFonts w:ascii="宋体" w:hAnsi="宋体" w:eastAsia="宋体" w:cs="Times New Roman"/>
          <w:kern w:val="2"/>
          <w:sz w:val="28"/>
          <w:szCs w:val="24"/>
          <w:highlight w:val="none"/>
          <w:lang w:val="en-US" w:eastAsia="zh-CN" w:bidi="ar-SA"/>
          <w14:ligatures w14:val="standardContextual"/>
        </w:rPr>
        <w:t>(三)</w:t>
      </w:r>
      <w:r>
        <w:rPr>
          <w:rFonts w:hint="eastAsia" w:ascii="宋体" w:hAnsi="宋体"/>
          <w:sz w:val="28"/>
          <w:szCs w:val="28"/>
          <w:highlight w:val="none"/>
        </w:rPr>
        <w:t>配套设施建设项目</w:t>
      </w:r>
      <w:bookmarkEnd w:id="240"/>
      <w:bookmarkEnd w:id="241"/>
      <w:bookmarkEnd w:id="242"/>
    </w:p>
    <w:p>
      <w:pPr>
        <w:pStyle w:val="76"/>
        <w:rPr>
          <w:highlight w:val="none"/>
        </w:rPr>
      </w:pPr>
      <w:bookmarkStart w:id="243" w:name="_Toc462256896"/>
      <w:bookmarkStart w:id="244" w:name="_Toc462255962"/>
      <w:bookmarkStart w:id="245" w:name="_Toc462255502"/>
      <w:bookmarkStart w:id="246" w:name="_Toc462255878"/>
      <w:bookmarkStart w:id="247" w:name="_Toc5282"/>
      <w:bookmarkStart w:id="248" w:name="_Toc19787"/>
      <w:bookmarkStart w:id="249" w:name="_Toc462262711"/>
      <w:r>
        <w:rPr>
          <w:rFonts w:hint="eastAsia"/>
          <w:highlight w:val="none"/>
        </w:rPr>
        <w:t>1.配套建设室外运动场地、广场、绿地、围墙、大门等室外工</w:t>
      </w:r>
      <w:bookmarkEnd w:id="243"/>
      <w:bookmarkEnd w:id="244"/>
      <w:bookmarkEnd w:id="245"/>
      <w:bookmarkEnd w:id="246"/>
      <w:r>
        <w:rPr>
          <w:rFonts w:hint="eastAsia"/>
          <w:highlight w:val="none"/>
        </w:rPr>
        <w:t>程。</w:t>
      </w:r>
      <w:bookmarkEnd w:id="247"/>
      <w:bookmarkEnd w:id="248"/>
      <w:bookmarkEnd w:id="249"/>
    </w:p>
    <w:p>
      <w:pPr>
        <w:pStyle w:val="76"/>
        <w:rPr>
          <w:highlight w:val="none"/>
        </w:rPr>
      </w:pPr>
      <w:bookmarkStart w:id="250" w:name="_Toc462256897"/>
      <w:bookmarkEnd w:id="250"/>
      <w:bookmarkStart w:id="251" w:name="_Toc462262712"/>
      <w:bookmarkEnd w:id="251"/>
      <w:bookmarkStart w:id="252" w:name="_Toc462255963"/>
      <w:bookmarkEnd w:id="252"/>
      <w:bookmarkStart w:id="253" w:name="_Toc462256899"/>
      <w:bookmarkEnd w:id="253"/>
      <w:bookmarkStart w:id="254" w:name="_Toc462255880"/>
      <w:bookmarkEnd w:id="254"/>
      <w:bookmarkStart w:id="255" w:name="_Toc462262713"/>
      <w:bookmarkEnd w:id="255"/>
      <w:bookmarkStart w:id="256" w:name="_Toc462255505"/>
      <w:bookmarkEnd w:id="256"/>
      <w:bookmarkStart w:id="257" w:name="_Toc462262714"/>
      <w:bookmarkEnd w:id="257"/>
      <w:bookmarkStart w:id="258" w:name="_Toc462256900"/>
      <w:bookmarkEnd w:id="258"/>
      <w:bookmarkStart w:id="259" w:name="_Toc462255884"/>
      <w:bookmarkEnd w:id="259"/>
      <w:bookmarkStart w:id="260" w:name="_Toc462262716"/>
      <w:bookmarkEnd w:id="260"/>
      <w:bookmarkStart w:id="261" w:name="_Toc462256902"/>
      <w:bookmarkEnd w:id="261"/>
      <w:bookmarkStart w:id="262" w:name="_Toc462255504"/>
      <w:bookmarkEnd w:id="262"/>
      <w:bookmarkStart w:id="263" w:name="_Toc462255968"/>
      <w:bookmarkEnd w:id="263"/>
      <w:bookmarkStart w:id="264" w:name="_Toc462255879"/>
      <w:bookmarkEnd w:id="264"/>
      <w:bookmarkStart w:id="265" w:name="_Toc462256901"/>
      <w:bookmarkEnd w:id="265"/>
      <w:bookmarkStart w:id="266" w:name="_Toc462255508"/>
      <w:bookmarkEnd w:id="266"/>
      <w:bookmarkStart w:id="267" w:name="_Toc462255964"/>
      <w:bookmarkEnd w:id="267"/>
      <w:bookmarkStart w:id="268" w:name="_Toc462255506"/>
      <w:bookmarkEnd w:id="268"/>
      <w:bookmarkStart w:id="269" w:name="_Toc462255881"/>
      <w:bookmarkEnd w:id="269"/>
      <w:bookmarkStart w:id="270" w:name="_Toc462255503"/>
      <w:bookmarkEnd w:id="270"/>
      <w:bookmarkStart w:id="271" w:name="_Toc462255883"/>
      <w:bookmarkEnd w:id="271"/>
      <w:bookmarkStart w:id="272" w:name="_Toc462255507"/>
      <w:bookmarkEnd w:id="272"/>
      <w:bookmarkStart w:id="273" w:name="_Toc462262717"/>
      <w:bookmarkEnd w:id="273"/>
      <w:bookmarkStart w:id="274" w:name="_Toc462255967"/>
      <w:bookmarkEnd w:id="274"/>
      <w:bookmarkStart w:id="275" w:name="_Toc462255965"/>
      <w:bookmarkEnd w:id="275"/>
      <w:bookmarkStart w:id="276" w:name="_Toc462255882"/>
      <w:bookmarkEnd w:id="276"/>
      <w:bookmarkStart w:id="277" w:name="_Toc462262715"/>
      <w:bookmarkEnd w:id="277"/>
      <w:bookmarkStart w:id="278" w:name="_Toc462255966"/>
      <w:bookmarkEnd w:id="278"/>
      <w:bookmarkStart w:id="279" w:name="_Toc462256898"/>
      <w:bookmarkEnd w:id="279"/>
      <w:bookmarkStart w:id="280" w:name="_Toc462255509"/>
      <w:bookmarkStart w:id="281" w:name="_Toc462262718"/>
      <w:bookmarkStart w:id="282" w:name="_Toc462256903"/>
      <w:bookmarkStart w:id="283" w:name="_Toc462255885"/>
      <w:bookmarkStart w:id="284" w:name="_Toc462255969"/>
      <w:bookmarkStart w:id="285" w:name="_Toc18062"/>
      <w:bookmarkStart w:id="286" w:name="_Toc17921"/>
      <w:r>
        <w:rPr>
          <w:rFonts w:hint="eastAsia"/>
          <w:highlight w:val="none"/>
        </w:rPr>
        <w:t>2.给排水管网污水处理及管网、供电网络、</w:t>
      </w:r>
      <w:bookmarkEnd w:id="280"/>
      <w:bookmarkEnd w:id="281"/>
      <w:bookmarkEnd w:id="282"/>
      <w:bookmarkEnd w:id="283"/>
      <w:bookmarkEnd w:id="284"/>
      <w:r>
        <w:rPr>
          <w:rFonts w:hint="eastAsia"/>
          <w:highlight w:val="none"/>
        </w:rPr>
        <w:t>消防、</w:t>
      </w:r>
      <w:bookmarkStart w:id="287" w:name="_Toc462255510"/>
      <w:bookmarkStart w:id="288" w:name="_Toc462255886"/>
      <w:bookmarkStart w:id="289" w:name="_Toc462256904"/>
      <w:bookmarkStart w:id="290" w:name="_Toc462262719"/>
      <w:bookmarkStart w:id="291" w:name="_Toc462255970"/>
      <w:r>
        <w:rPr>
          <w:rFonts w:hint="eastAsia"/>
          <w:highlight w:val="none"/>
        </w:rPr>
        <w:t>综合布线系统、天然气设施等。</w:t>
      </w:r>
      <w:bookmarkEnd w:id="285"/>
      <w:bookmarkEnd w:id="286"/>
      <w:bookmarkEnd w:id="287"/>
      <w:bookmarkEnd w:id="288"/>
      <w:bookmarkEnd w:id="289"/>
      <w:bookmarkEnd w:id="290"/>
      <w:bookmarkEnd w:id="291"/>
      <w:bookmarkStart w:id="292" w:name="_Toc462262720"/>
      <w:bookmarkEnd w:id="292"/>
      <w:bookmarkStart w:id="293" w:name="_Toc462255887"/>
      <w:bookmarkEnd w:id="293"/>
      <w:bookmarkStart w:id="294" w:name="_Toc462256905"/>
      <w:bookmarkEnd w:id="294"/>
      <w:bookmarkStart w:id="295" w:name="_Toc462255971"/>
      <w:bookmarkEnd w:id="295"/>
      <w:bookmarkStart w:id="296" w:name="_Toc462255511"/>
      <w:bookmarkEnd w:id="296"/>
    </w:p>
    <w:p>
      <w:pPr>
        <w:pStyle w:val="76"/>
        <w:rPr>
          <w:highlight w:val="none"/>
        </w:rPr>
      </w:pPr>
      <w:bookmarkStart w:id="297" w:name="_Toc462255888"/>
      <w:bookmarkStart w:id="298" w:name="_Toc462262721"/>
      <w:bookmarkStart w:id="299" w:name="_Toc462255972"/>
      <w:bookmarkStart w:id="300" w:name="_Toc462255512"/>
      <w:bookmarkStart w:id="301" w:name="_Toc462256906"/>
      <w:bookmarkStart w:id="302" w:name="_Toc28532"/>
      <w:bookmarkStart w:id="303" w:name="_Toc4147"/>
      <w:r>
        <w:rPr>
          <w:rFonts w:hint="eastAsia"/>
          <w:highlight w:val="none"/>
        </w:rPr>
        <w:t>3.</w:t>
      </w:r>
      <w:r>
        <w:rPr>
          <w:highlight w:val="none"/>
        </w:rPr>
        <w:t>生活垃圾收集点</w:t>
      </w:r>
      <w:bookmarkEnd w:id="297"/>
      <w:bookmarkEnd w:id="298"/>
      <w:bookmarkEnd w:id="299"/>
      <w:bookmarkEnd w:id="300"/>
      <w:bookmarkEnd w:id="301"/>
      <w:r>
        <w:rPr>
          <w:rFonts w:hint="eastAsia"/>
          <w:highlight w:val="none"/>
        </w:rPr>
        <w:t>。</w:t>
      </w:r>
      <w:bookmarkEnd w:id="302"/>
      <w:bookmarkEnd w:id="303"/>
    </w:p>
    <w:p>
      <w:pPr>
        <w:pStyle w:val="4"/>
        <w:numPr>
          <w:ilvl w:val="0"/>
          <w:numId w:val="0"/>
        </w:numPr>
        <w:spacing w:before="120" w:after="120" w:line="360" w:lineRule="auto"/>
        <w:ind w:left="0" w:leftChars="0" w:firstLine="0" w:firstLineChars="0"/>
        <w:rPr>
          <w:rFonts w:hint="eastAsia" w:ascii="宋体" w:hAnsi="宋体" w:eastAsia="宋体"/>
          <w:highlight w:val="none"/>
        </w:rPr>
      </w:pPr>
      <w:bookmarkStart w:id="304" w:name="_Toc462262722"/>
      <w:bookmarkEnd w:id="304"/>
      <w:bookmarkStart w:id="305" w:name="_Toc462256907"/>
      <w:bookmarkEnd w:id="305"/>
      <w:bookmarkStart w:id="306" w:name="_Toc32715"/>
      <w:r>
        <w:rPr>
          <w:rFonts w:hint="eastAsia" w:ascii="宋体" w:hAnsi="宋体" w:eastAsia="宋体"/>
          <w:highlight w:val="none"/>
          <w:lang w:val="en-US" w:eastAsia="zh-CN"/>
        </w:rPr>
        <w:t>三、</w:t>
      </w:r>
      <w:r>
        <w:rPr>
          <w:rFonts w:hint="eastAsia" w:ascii="宋体" w:hAnsi="宋体" w:eastAsia="宋体"/>
          <w:highlight w:val="none"/>
        </w:rPr>
        <w:t>建设工程建筑设计具体要求</w:t>
      </w:r>
      <w:bookmarkEnd w:id="306"/>
    </w:p>
    <w:p>
      <w:pPr>
        <w:pStyle w:val="12"/>
        <w:numPr>
          <w:ilvl w:val="0"/>
          <w:numId w:val="0"/>
        </w:numPr>
        <w:spacing w:line="360" w:lineRule="auto"/>
        <w:ind w:left="0" w:leftChars="0" w:firstLine="560" w:firstLineChars="0"/>
        <w:outlineLvl w:val="2"/>
        <w:rPr>
          <w:rFonts w:hAnsi="宋体" w:cs="仿宋_GB2312"/>
          <w:sz w:val="28"/>
          <w:szCs w:val="28"/>
          <w:highlight w:val="none"/>
        </w:rPr>
      </w:pPr>
      <w:bookmarkStart w:id="307" w:name="_Toc462262724"/>
      <w:bookmarkEnd w:id="307"/>
      <w:bookmarkStart w:id="308" w:name="_Toc462256909"/>
      <w:bookmarkEnd w:id="308"/>
      <w:bookmarkStart w:id="309" w:name="_Toc451"/>
      <w:r>
        <w:rPr>
          <w:rFonts w:ascii="宋体" w:hAnsi="宋体" w:eastAsia="宋体" w:cs="仿宋_GB2312"/>
          <w:kern w:val="2"/>
          <w:sz w:val="28"/>
          <w:szCs w:val="28"/>
          <w:highlight w:val="none"/>
          <w:lang w:val="en-US" w:eastAsia="zh-CN" w:bidi="ar-SA"/>
          <w14:ligatures w14:val="standardContextual"/>
        </w:rPr>
        <w:t>(一)</w:t>
      </w:r>
      <w:r>
        <w:rPr>
          <w:rFonts w:hint="eastAsia" w:hAnsi="宋体" w:cs="仿宋_GB2312"/>
          <w:sz w:val="28"/>
          <w:szCs w:val="28"/>
          <w:highlight w:val="none"/>
        </w:rPr>
        <w:t>环保要求</w:t>
      </w:r>
      <w:bookmarkEnd w:id="309"/>
    </w:p>
    <w:p>
      <w:pPr>
        <w:snapToGrid w:val="0"/>
        <w:ind w:firstLine="480" w:firstLineChars="200"/>
        <w:rPr>
          <w:rFonts w:ascii="宋体" w:hAnsi="宋体" w:cs="仿宋_GB2312"/>
          <w:sz w:val="24"/>
          <w:szCs w:val="21"/>
          <w:highlight w:val="none"/>
        </w:rPr>
      </w:pPr>
      <w:r>
        <w:rPr>
          <w:rFonts w:hint="eastAsia" w:ascii="宋体" w:hAnsi="宋体" w:cs="仿宋_GB2312"/>
          <w:sz w:val="24"/>
          <w:highlight w:val="none"/>
        </w:rPr>
        <w:t>把环境保护作为建</w:t>
      </w:r>
      <w:r>
        <w:rPr>
          <w:rStyle w:val="77"/>
          <w:rFonts w:hint="eastAsia"/>
          <w:highlight w:val="none"/>
        </w:rPr>
        <w:t>设规划的目标要求之一，以建“绿色校园”为理念，广泛采用环保技术与材料。在设置</w:t>
      </w:r>
      <w:r>
        <w:rPr>
          <w:rFonts w:hint="eastAsia" w:ascii="宋体" w:hAnsi="宋体" w:cs="仿宋_GB2312"/>
          <w:sz w:val="24"/>
          <w:szCs w:val="21"/>
          <w:highlight w:val="none"/>
        </w:rPr>
        <w:t>必要的道路、广场外，尽可能多布置绿地、栽种树木。校园的污水、污物方案遵照环评报告书执行，做到处理设施与主体工程同时设计、同时施工、同时使用。</w:t>
      </w:r>
    </w:p>
    <w:p>
      <w:pPr>
        <w:pStyle w:val="12"/>
        <w:numPr>
          <w:ilvl w:val="0"/>
          <w:numId w:val="0"/>
        </w:numPr>
        <w:spacing w:line="360" w:lineRule="auto"/>
        <w:ind w:left="0" w:leftChars="0" w:firstLine="560" w:firstLineChars="0"/>
        <w:outlineLvl w:val="2"/>
        <w:rPr>
          <w:rFonts w:hAnsi="宋体" w:cs="仿宋_GB2312"/>
          <w:sz w:val="28"/>
          <w:szCs w:val="28"/>
          <w:highlight w:val="none"/>
        </w:rPr>
      </w:pPr>
      <w:bookmarkStart w:id="310" w:name="_Toc20418"/>
      <w:r>
        <w:rPr>
          <w:rFonts w:ascii="宋体" w:hAnsi="宋体" w:eastAsia="宋体" w:cs="仿宋_GB2312"/>
          <w:kern w:val="2"/>
          <w:sz w:val="28"/>
          <w:szCs w:val="28"/>
          <w:highlight w:val="none"/>
          <w:lang w:val="en-US" w:eastAsia="zh-CN" w:bidi="ar-SA"/>
          <w14:ligatures w14:val="standardContextual"/>
        </w:rPr>
        <w:t>(二)</w:t>
      </w:r>
      <w:r>
        <w:rPr>
          <w:rFonts w:hint="eastAsia" w:hAnsi="宋体" w:cs="仿宋_GB2312"/>
          <w:sz w:val="28"/>
          <w:szCs w:val="28"/>
          <w:highlight w:val="none"/>
        </w:rPr>
        <w:t>节能</w:t>
      </w:r>
      <w:bookmarkEnd w:id="310"/>
    </w:p>
    <w:p>
      <w:pPr>
        <w:pStyle w:val="12"/>
        <w:spacing w:line="360" w:lineRule="auto"/>
        <w:ind w:firstLine="484" w:firstLineChars="202"/>
        <w:rPr>
          <w:rFonts w:hAnsi="宋体" w:cs="仿宋_GB2312"/>
          <w:sz w:val="24"/>
          <w:szCs w:val="21"/>
          <w:highlight w:val="none"/>
        </w:rPr>
      </w:pPr>
      <w:r>
        <w:rPr>
          <w:rFonts w:hint="eastAsia" w:hAnsi="宋体" w:cs="仿宋_GB2312"/>
          <w:sz w:val="24"/>
          <w:szCs w:val="21"/>
          <w:highlight w:val="none"/>
        </w:rPr>
        <w:t>我国人均能源资源比较贫乏，发展节能型建筑，做好建筑的节能节材工作是建设工作要考虑的主要问题之一，例如，适当控制建筑体形系数；采用保温性能良好的新型墙体材料；采用墙体保温、屋面保温、中空双层玻璃窗、保温门和节能空调等；充分做好自然采光、自然通风；充分利用清洁能源等。</w:t>
      </w:r>
    </w:p>
    <w:p>
      <w:pPr>
        <w:pStyle w:val="12"/>
        <w:numPr>
          <w:ilvl w:val="0"/>
          <w:numId w:val="0"/>
        </w:numPr>
        <w:spacing w:line="360" w:lineRule="auto"/>
        <w:ind w:left="0" w:leftChars="0" w:firstLine="560" w:firstLineChars="0"/>
        <w:outlineLvl w:val="2"/>
        <w:rPr>
          <w:rFonts w:hAnsi="宋体" w:cs="仿宋_GB2312"/>
          <w:sz w:val="28"/>
          <w:szCs w:val="28"/>
          <w:highlight w:val="none"/>
        </w:rPr>
      </w:pPr>
      <w:bookmarkStart w:id="311" w:name="_Toc11905"/>
      <w:r>
        <w:rPr>
          <w:rFonts w:ascii="宋体" w:hAnsi="宋体" w:eastAsia="宋体" w:cs="仿宋_GB2312"/>
          <w:kern w:val="2"/>
          <w:sz w:val="28"/>
          <w:szCs w:val="28"/>
          <w:highlight w:val="none"/>
          <w:lang w:val="en-US" w:eastAsia="zh-CN" w:bidi="ar-SA"/>
          <w14:ligatures w14:val="standardContextual"/>
        </w:rPr>
        <w:t>(三)</w:t>
      </w:r>
      <w:r>
        <w:rPr>
          <w:rFonts w:hint="eastAsia" w:hAnsi="宋体" w:cs="仿宋_GB2312"/>
          <w:sz w:val="28"/>
          <w:szCs w:val="28"/>
          <w:highlight w:val="none"/>
        </w:rPr>
        <w:t>绿色建筑</w:t>
      </w:r>
      <w:bookmarkEnd w:id="311"/>
    </w:p>
    <w:p>
      <w:pPr>
        <w:pStyle w:val="12"/>
        <w:spacing w:line="360" w:lineRule="auto"/>
        <w:ind w:firstLine="484" w:firstLineChars="202"/>
        <w:rPr>
          <w:rFonts w:hAnsi="宋体" w:cs="仿宋_GB2312"/>
          <w:sz w:val="24"/>
          <w:szCs w:val="21"/>
          <w:highlight w:val="none"/>
        </w:rPr>
      </w:pPr>
      <w:r>
        <w:rPr>
          <w:rFonts w:hint="eastAsia" w:hAnsi="宋体" w:cs="仿宋_GB2312"/>
          <w:sz w:val="24"/>
          <w:szCs w:val="21"/>
          <w:highlight w:val="none"/>
        </w:rPr>
        <w:t>根据绿色建筑相关规定，开展项目绿色建筑设计（二星）工作，并负责广州绿色建筑二星施工图审查和备案。</w:t>
      </w:r>
    </w:p>
    <w:p>
      <w:pPr>
        <w:pStyle w:val="12"/>
        <w:numPr>
          <w:ilvl w:val="0"/>
          <w:numId w:val="0"/>
        </w:numPr>
        <w:spacing w:line="360" w:lineRule="auto"/>
        <w:ind w:left="0" w:leftChars="0" w:firstLine="560" w:firstLineChars="0"/>
        <w:outlineLvl w:val="2"/>
        <w:rPr>
          <w:rFonts w:hAnsi="宋体" w:cs="仿宋_GB2312"/>
          <w:sz w:val="28"/>
          <w:szCs w:val="28"/>
          <w:highlight w:val="none"/>
        </w:rPr>
      </w:pPr>
      <w:bookmarkStart w:id="312" w:name="_Toc462256914"/>
      <w:bookmarkEnd w:id="312"/>
      <w:bookmarkStart w:id="313" w:name="_Toc462262728"/>
      <w:bookmarkEnd w:id="313"/>
      <w:bookmarkStart w:id="314" w:name="_Toc10941"/>
      <w:r>
        <w:rPr>
          <w:rFonts w:ascii="宋体" w:hAnsi="宋体" w:eastAsia="宋体" w:cs="仿宋_GB2312"/>
          <w:kern w:val="2"/>
          <w:sz w:val="28"/>
          <w:szCs w:val="28"/>
          <w:highlight w:val="none"/>
          <w:lang w:val="en-US" w:eastAsia="zh-CN" w:bidi="ar-SA"/>
          <w14:ligatures w14:val="standardContextual"/>
        </w:rPr>
        <w:t>(四)</w:t>
      </w:r>
      <w:r>
        <w:rPr>
          <w:rFonts w:hint="eastAsia" w:hAnsi="宋体" w:cs="仿宋_GB2312"/>
          <w:sz w:val="28"/>
          <w:szCs w:val="28"/>
          <w:highlight w:val="none"/>
        </w:rPr>
        <w:t>结构及基础形式</w:t>
      </w:r>
      <w:bookmarkEnd w:id="314"/>
    </w:p>
    <w:p>
      <w:pPr>
        <w:ind w:firstLine="480" w:firstLineChars="200"/>
        <w:rPr>
          <w:rFonts w:hint="eastAsia" w:ascii="宋体" w:hAnsi="宋体"/>
          <w:sz w:val="24"/>
          <w:szCs w:val="21"/>
          <w:highlight w:val="none"/>
        </w:rPr>
      </w:pPr>
      <w:r>
        <w:rPr>
          <w:rFonts w:hint="eastAsia" w:ascii="宋体" w:hAnsi="宋体"/>
          <w:sz w:val="24"/>
          <w:szCs w:val="21"/>
          <w:highlight w:val="none"/>
        </w:rPr>
        <w:t>各类建筑拟采用钢筋混凝土框架结构。结构设计应根据场地地质情况和上部结构荷载等条件确定合适的基础形式，大跨度空间采用桁架及网架结构或预应力混凝土结构。</w:t>
      </w:r>
    </w:p>
    <w:p>
      <w:pPr>
        <w:pStyle w:val="12"/>
        <w:numPr>
          <w:ilvl w:val="0"/>
          <w:numId w:val="0"/>
        </w:numPr>
        <w:spacing w:line="360" w:lineRule="auto"/>
        <w:ind w:left="0" w:leftChars="0" w:firstLine="560" w:firstLineChars="0"/>
        <w:outlineLvl w:val="2"/>
        <w:rPr>
          <w:rFonts w:hAnsi="宋体" w:cs="仿宋_GB2312"/>
          <w:sz w:val="28"/>
          <w:szCs w:val="28"/>
          <w:highlight w:val="none"/>
        </w:rPr>
      </w:pPr>
      <w:bookmarkStart w:id="315" w:name="_Toc21645"/>
      <w:r>
        <w:rPr>
          <w:rFonts w:ascii="宋体" w:hAnsi="宋体" w:eastAsia="宋体" w:cs="仿宋_GB2312"/>
          <w:kern w:val="2"/>
          <w:sz w:val="28"/>
          <w:szCs w:val="28"/>
          <w:highlight w:val="none"/>
          <w:lang w:val="en-US" w:eastAsia="zh-CN" w:bidi="ar-SA"/>
          <w14:ligatures w14:val="standardContextual"/>
        </w:rPr>
        <w:t>(五)</w:t>
      </w:r>
      <w:r>
        <w:rPr>
          <w:rFonts w:hint="eastAsia" w:hAnsi="宋体" w:cs="仿宋_GB2312"/>
          <w:sz w:val="28"/>
          <w:szCs w:val="28"/>
          <w:highlight w:val="none"/>
        </w:rPr>
        <w:t>给排水及消防系统</w:t>
      </w:r>
      <w:bookmarkEnd w:id="315"/>
    </w:p>
    <w:p>
      <w:pPr>
        <w:ind w:firstLine="480" w:firstLineChars="200"/>
        <w:rPr>
          <w:rFonts w:hint="eastAsia" w:ascii="宋体" w:hAnsi="宋体" w:eastAsia="宋体" w:cs="Times New Roman"/>
          <w:sz w:val="24"/>
          <w:szCs w:val="21"/>
          <w:highlight w:val="none"/>
        </w:rPr>
      </w:pPr>
      <w:r>
        <w:rPr>
          <w:rFonts w:hint="eastAsia" w:ascii="宋体" w:hAnsi="宋体" w:eastAsia="宋体" w:cs="Times New Roman"/>
          <w:sz w:val="24"/>
          <w:szCs w:val="21"/>
          <w:highlight w:val="none"/>
        </w:rPr>
        <w:t>本项目给排水及消防设计范围包括：室外给水，室外排水，室内给水，室内排水，雨水排水，室外消火栓系统，室内消火栓系统，自动喷水灭火系统，建筑灭火器配置。</w:t>
      </w:r>
    </w:p>
    <w:p>
      <w:pPr>
        <w:ind w:firstLine="480" w:firstLineChars="200"/>
        <w:rPr>
          <w:rFonts w:hint="eastAsia" w:ascii="宋体" w:hAnsi="宋体" w:eastAsia="宋体" w:cs="Times New Roman"/>
          <w:sz w:val="24"/>
          <w:szCs w:val="21"/>
          <w:highlight w:val="none"/>
        </w:rPr>
      </w:pPr>
      <w:r>
        <w:rPr>
          <w:rFonts w:hint="eastAsia" w:ascii="宋体" w:hAnsi="宋体" w:eastAsia="宋体" w:cs="Times New Roman"/>
          <w:sz w:val="24"/>
          <w:szCs w:val="21"/>
          <w:highlight w:val="none"/>
        </w:rPr>
        <w:t>给排水相关要求：</w:t>
      </w:r>
    </w:p>
    <w:p>
      <w:pPr>
        <w:ind w:firstLine="480" w:firstLineChars="200"/>
        <w:rPr>
          <w:rFonts w:hint="eastAsia" w:ascii="宋体" w:hAnsi="宋体" w:eastAsia="宋体" w:cs="Times New Roman"/>
          <w:sz w:val="24"/>
          <w:szCs w:val="21"/>
          <w:highlight w:val="none"/>
        </w:rPr>
      </w:pPr>
      <w:r>
        <w:rPr>
          <w:rFonts w:hint="default" w:ascii="宋体" w:hAnsi="宋体" w:eastAsia="宋体" w:cs="Times New Roman"/>
          <w:sz w:val="24"/>
          <w:szCs w:val="21"/>
          <w:highlight w:val="none"/>
          <w:lang w:val="en-US" w:eastAsia="zh-CN"/>
        </w:rPr>
        <w:t>1)</w:t>
      </w:r>
      <w:r>
        <w:rPr>
          <w:rFonts w:hint="eastAsia" w:ascii="宋体" w:hAnsi="宋体" w:eastAsia="宋体" w:cs="Times New Roman"/>
          <w:sz w:val="24"/>
          <w:szCs w:val="21"/>
          <w:highlight w:val="none"/>
        </w:rPr>
        <w:t>给水排水设计应包括外部水源引入、室内外给排水及消防给水系统，以满足生活、空调、冲洗道路和绿化、水景、及消防用水的要求。</w:t>
      </w:r>
    </w:p>
    <w:p>
      <w:pPr>
        <w:ind w:firstLine="480" w:firstLineChars="200"/>
        <w:rPr>
          <w:rFonts w:hint="eastAsia" w:ascii="宋体" w:hAnsi="宋体" w:eastAsia="宋体" w:cs="Times New Roman"/>
          <w:sz w:val="24"/>
          <w:szCs w:val="21"/>
          <w:highlight w:val="none"/>
        </w:rPr>
      </w:pPr>
      <w:r>
        <w:rPr>
          <w:rFonts w:hint="default" w:ascii="宋体" w:hAnsi="宋体" w:eastAsia="宋体" w:cs="Times New Roman"/>
          <w:sz w:val="24"/>
          <w:szCs w:val="21"/>
          <w:highlight w:val="none"/>
          <w:lang w:val="en-US" w:eastAsia="zh-CN"/>
        </w:rPr>
        <w:t>2)</w:t>
      </w:r>
      <w:r>
        <w:rPr>
          <w:rFonts w:hint="eastAsia" w:ascii="宋体" w:hAnsi="宋体" w:eastAsia="宋体" w:cs="Times New Roman"/>
          <w:sz w:val="24"/>
          <w:szCs w:val="21"/>
          <w:highlight w:val="none"/>
        </w:rPr>
        <w:t>给排水设计应遵循现行的国家规范、规程与广州市地方标准，并符合供水管理部门要求。</w:t>
      </w:r>
    </w:p>
    <w:p>
      <w:pPr>
        <w:ind w:firstLine="480" w:firstLineChars="200"/>
        <w:rPr>
          <w:rFonts w:hint="eastAsia" w:ascii="宋体" w:hAnsi="宋体" w:eastAsia="宋体" w:cs="Times New Roman"/>
          <w:sz w:val="24"/>
          <w:szCs w:val="21"/>
          <w:highlight w:val="none"/>
        </w:rPr>
      </w:pPr>
      <w:r>
        <w:rPr>
          <w:rFonts w:hint="default" w:ascii="宋体" w:hAnsi="宋体" w:eastAsia="宋体" w:cs="Times New Roman"/>
          <w:sz w:val="24"/>
          <w:szCs w:val="21"/>
          <w:highlight w:val="none"/>
          <w:lang w:val="en-US" w:eastAsia="zh-CN"/>
        </w:rPr>
        <w:t>3)</w:t>
      </w:r>
      <w:r>
        <w:rPr>
          <w:rFonts w:hint="eastAsia" w:ascii="宋体" w:hAnsi="宋体" w:eastAsia="宋体" w:cs="Times New Roman"/>
          <w:sz w:val="24"/>
          <w:szCs w:val="21"/>
          <w:highlight w:val="none"/>
        </w:rPr>
        <w:t>依照市政和环保部门的统一规划，室内排水采用雨、废、污分流制，生活污水经化粪池后排入市政污水系统，排放应符合市政排污要求；生活废水直接排入市政污水系统；雨水排入市政雨水系统。</w:t>
      </w:r>
    </w:p>
    <w:p>
      <w:pPr>
        <w:ind w:firstLine="480" w:firstLineChars="200"/>
        <w:rPr>
          <w:rFonts w:hint="eastAsia" w:ascii="宋体" w:hAnsi="宋体" w:eastAsia="宋体" w:cs="Times New Roman"/>
          <w:sz w:val="24"/>
          <w:szCs w:val="21"/>
          <w:highlight w:val="none"/>
        </w:rPr>
      </w:pPr>
      <w:r>
        <w:rPr>
          <w:rFonts w:hint="default" w:ascii="宋体" w:hAnsi="宋体" w:eastAsia="宋体" w:cs="Times New Roman"/>
          <w:sz w:val="24"/>
          <w:szCs w:val="21"/>
          <w:highlight w:val="none"/>
          <w:lang w:val="en-US" w:eastAsia="zh-CN"/>
        </w:rPr>
        <w:t>4)</w:t>
      </w:r>
      <w:r>
        <w:rPr>
          <w:rFonts w:hint="eastAsia" w:ascii="宋体" w:hAnsi="宋体" w:eastAsia="宋体" w:cs="Times New Roman"/>
          <w:sz w:val="24"/>
          <w:szCs w:val="21"/>
          <w:highlight w:val="none"/>
        </w:rPr>
        <w:t>食堂油污废水需经隔油处理后排至市政污水系统。</w:t>
      </w:r>
    </w:p>
    <w:p>
      <w:pPr>
        <w:ind w:firstLine="480" w:firstLineChars="200"/>
        <w:rPr>
          <w:rFonts w:hint="eastAsia" w:ascii="宋体" w:hAnsi="宋体" w:eastAsia="宋体" w:cs="Times New Roman"/>
          <w:sz w:val="24"/>
          <w:szCs w:val="21"/>
          <w:highlight w:val="none"/>
        </w:rPr>
      </w:pPr>
      <w:r>
        <w:rPr>
          <w:rFonts w:hint="default" w:ascii="宋体" w:hAnsi="宋体" w:eastAsia="宋体" w:cs="Times New Roman"/>
          <w:sz w:val="24"/>
          <w:szCs w:val="21"/>
          <w:highlight w:val="none"/>
          <w:lang w:val="en-US" w:eastAsia="zh-CN"/>
        </w:rPr>
        <w:t>5)</w:t>
      </w:r>
      <w:r>
        <w:rPr>
          <w:rFonts w:hint="eastAsia" w:ascii="宋体" w:hAnsi="宋体" w:eastAsia="宋体" w:cs="Times New Roman"/>
          <w:sz w:val="24"/>
          <w:szCs w:val="21"/>
          <w:highlight w:val="none"/>
        </w:rPr>
        <w:t>建筑设备选型应考虑技术先进、维护方便、经济合理的原则；体现低碳、绿色、环保、节能的理念。</w:t>
      </w:r>
    </w:p>
    <w:p>
      <w:pPr>
        <w:ind w:firstLine="480" w:firstLineChars="200"/>
        <w:rPr>
          <w:rFonts w:hint="eastAsia" w:ascii="宋体" w:hAnsi="宋体" w:eastAsia="宋体" w:cs="Times New Roman"/>
          <w:sz w:val="24"/>
          <w:szCs w:val="21"/>
          <w:highlight w:val="none"/>
        </w:rPr>
      </w:pPr>
      <w:r>
        <w:rPr>
          <w:rFonts w:hint="default" w:ascii="宋体" w:hAnsi="宋体" w:eastAsia="宋体" w:cs="Times New Roman"/>
          <w:sz w:val="24"/>
          <w:szCs w:val="21"/>
          <w:highlight w:val="none"/>
          <w:lang w:val="en-US" w:eastAsia="zh-CN"/>
        </w:rPr>
        <w:t>6)</w:t>
      </w:r>
      <w:r>
        <w:rPr>
          <w:rFonts w:hint="eastAsia" w:ascii="宋体" w:hAnsi="宋体" w:eastAsia="宋体" w:cs="Times New Roman"/>
          <w:sz w:val="24"/>
          <w:szCs w:val="21"/>
          <w:highlight w:val="none"/>
        </w:rPr>
        <w:t>每层楼安装直饮水饮水机。</w:t>
      </w:r>
    </w:p>
    <w:p>
      <w:pPr>
        <w:pStyle w:val="12"/>
        <w:numPr>
          <w:ilvl w:val="0"/>
          <w:numId w:val="0"/>
        </w:numPr>
        <w:spacing w:line="360" w:lineRule="auto"/>
        <w:ind w:left="0" w:leftChars="0" w:firstLine="560" w:firstLineChars="0"/>
        <w:outlineLvl w:val="2"/>
        <w:rPr>
          <w:rFonts w:hAnsi="宋体" w:cs="仿宋_GB2312"/>
          <w:sz w:val="28"/>
          <w:szCs w:val="28"/>
          <w:highlight w:val="none"/>
        </w:rPr>
      </w:pPr>
      <w:bookmarkStart w:id="316" w:name="_Toc962"/>
      <w:r>
        <w:rPr>
          <w:rFonts w:ascii="宋体" w:hAnsi="宋体" w:eastAsia="宋体" w:cs="仿宋_GB2312"/>
          <w:kern w:val="2"/>
          <w:sz w:val="28"/>
          <w:szCs w:val="28"/>
          <w:highlight w:val="none"/>
          <w:lang w:val="en-US" w:eastAsia="zh-CN" w:bidi="ar-SA"/>
          <w14:ligatures w14:val="standardContextual"/>
        </w:rPr>
        <w:t>(六)</w:t>
      </w:r>
      <w:r>
        <w:rPr>
          <w:rFonts w:hint="eastAsia" w:hAnsi="宋体" w:cs="仿宋_GB2312"/>
          <w:sz w:val="28"/>
          <w:szCs w:val="28"/>
          <w:highlight w:val="none"/>
        </w:rPr>
        <w:t>电气工程</w:t>
      </w:r>
      <w:bookmarkEnd w:id="316"/>
    </w:p>
    <w:p>
      <w:pPr>
        <w:pStyle w:val="50"/>
        <w:ind w:firstLine="424" w:firstLineChars="177"/>
        <w:rPr>
          <w:rFonts w:hint="eastAsia" w:ascii="宋体" w:hAnsi="宋体" w:eastAsia="宋体" w:cs="Times New Roman"/>
          <w:sz w:val="24"/>
          <w:szCs w:val="21"/>
          <w:highlight w:val="none"/>
        </w:rPr>
      </w:pPr>
      <w:r>
        <w:rPr>
          <w:rFonts w:hint="eastAsia" w:ascii="宋体" w:hAnsi="宋体" w:eastAsia="宋体"/>
          <w:sz w:val="24"/>
          <w:szCs w:val="21"/>
          <w:highlight w:val="none"/>
        </w:rPr>
        <w:t>包括但不限于：变配电系统；动力配电系统；照明配电系统；防雷及接地系统；</w:t>
      </w:r>
      <w:r>
        <w:rPr>
          <w:rFonts w:hint="eastAsia" w:ascii="宋体" w:hAnsi="宋体" w:eastAsia="宋体" w:cs="Times New Roman"/>
          <w:sz w:val="24"/>
          <w:szCs w:val="21"/>
          <w:highlight w:val="none"/>
        </w:rPr>
        <w:t>火灾报警及消防控制系统。</w:t>
      </w:r>
    </w:p>
    <w:p>
      <w:pPr>
        <w:pStyle w:val="50"/>
        <w:ind w:firstLine="424" w:firstLineChars="177"/>
        <w:rPr>
          <w:rFonts w:hint="eastAsia" w:ascii="宋体" w:hAnsi="宋体" w:eastAsia="宋体" w:cs="Times New Roman"/>
          <w:sz w:val="24"/>
          <w:szCs w:val="21"/>
          <w:highlight w:val="none"/>
        </w:rPr>
      </w:pPr>
      <w:r>
        <w:rPr>
          <w:rFonts w:hint="eastAsia" w:ascii="宋体" w:hAnsi="宋体" w:eastAsia="宋体" w:cs="Times New Roman"/>
          <w:sz w:val="24"/>
          <w:szCs w:val="21"/>
          <w:highlight w:val="none"/>
        </w:rPr>
        <w:t>电气相关要求：</w:t>
      </w:r>
    </w:p>
    <w:p>
      <w:pPr>
        <w:pStyle w:val="50"/>
        <w:ind w:firstLine="424" w:firstLineChars="177"/>
        <w:rPr>
          <w:rFonts w:hint="eastAsia" w:ascii="宋体" w:hAnsi="宋体" w:eastAsia="宋体" w:cs="Times New Roman"/>
          <w:sz w:val="24"/>
          <w:szCs w:val="21"/>
          <w:highlight w:val="none"/>
        </w:rPr>
      </w:pPr>
      <w:r>
        <w:rPr>
          <w:rFonts w:hint="default" w:ascii="宋体" w:hAnsi="宋体" w:eastAsia="宋体" w:cs="Times New Roman"/>
          <w:sz w:val="24"/>
          <w:szCs w:val="21"/>
          <w:highlight w:val="none"/>
          <w:lang w:val="en-US" w:eastAsia="zh-CN"/>
        </w:rPr>
        <w:t>1)</w:t>
      </w:r>
      <w:r>
        <w:rPr>
          <w:rFonts w:hint="eastAsia" w:ascii="宋体" w:hAnsi="宋体" w:eastAsia="宋体" w:cs="Times New Roman"/>
          <w:sz w:val="24"/>
          <w:szCs w:val="21"/>
          <w:highlight w:val="none"/>
        </w:rPr>
        <w:t>电气设计应包括本项目外部电源接入、内部供配电系统及所有末端配电设计。</w:t>
      </w:r>
    </w:p>
    <w:p>
      <w:pPr>
        <w:pStyle w:val="50"/>
        <w:ind w:firstLine="424" w:firstLineChars="177"/>
        <w:rPr>
          <w:rFonts w:hint="eastAsia" w:ascii="宋体" w:hAnsi="宋体" w:eastAsia="宋体" w:cs="Times New Roman"/>
          <w:sz w:val="24"/>
          <w:szCs w:val="21"/>
          <w:highlight w:val="none"/>
        </w:rPr>
      </w:pPr>
      <w:r>
        <w:rPr>
          <w:rFonts w:hint="default" w:ascii="宋体" w:hAnsi="宋体" w:eastAsia="宋体" w:cs="Times New Roman"/>
          <w:sz w:val="24"/>
          <w:szCs w:val="21"/>
          <w:highlight w:val="none"/>
          <w:lang w:val="en-US" w:eastAsia="zh-CN"/>
        </w:rPr>
        <w:t>2)</w:t>
      </w:r>
      <w:r>
        <w:rPr>
          <w:rFonts w:hint="eastAsia" w:ascii="宋体" w:hAnsi="宋体" w:eastAsia="宋体" w:cs="Times New Roman"/>
          <w:sz w:val="24"/>
          <w:szCs w:val="21"/>
          <w:highlight w:val="none"/>
        </w:rPr>
        <w:t>电气设计应遵循现行的国家规范、规程、广州市地方标准，并符合供电管理部门要求；供电方案施工图应通过供电局审查确认。</w:t>
      </w:r>
    </w:p>
    <w:p>
      <w:pPr>
        <w:pStyle w:val="50"/>
        <w:ind w:firstLine="424" w:firstLineChars="177"/>
        <w:rPr>
          <w:rFonts w:hint="eastAsia" w:ascii="宋体" w:hAnsi="宋体" w:eastAsia="宋体" w:cs="Times New Roman"/>
          <w:sz w:val="24"/>
          <w:szCs w:val="21"/>
          <w:highlight w:val="none"/>
        </w:rPr>
      </w:pPr>
      <w:r>
        <w:rPr>
          <w:rFonts w:hint="default" w:ascii="宋体" w:hAnsi="宋体" w:eastAsia="宋体" w:cs="Times New Roman"/>
          <w:sz w:val="24"/>
          <w:szCs w:val="21"/>
          <w:highlight w:val="none"/>
          <w:lang w:val="en-US" w:eastAsia="zh-CN"/>
        </w:rPr>
        <w:t>3)</w:t>
      </w:r>
      <w:r>
        <w:rPr>
          <w:rFonts w:hint="eastAsia" w:ascii="宋体" w:hAnsi="宋体" w:eastAsia="宋体" w:cs="Times New Roman"/>
          <w:sz w:val="24"/>
          <w:szCs w:val="21"/>
          <w:highlight w:val="none"/>
        </w:rPr>
        <w:t>电气设计应做到安全可靠、技术先进。电气材料及设备的选择应采用安全可靠、高效节能、环保、使用寿命长的产品。</w:t>
      </w:r>
    </w:p>
    <w:p>
      <w:pPr>
        <w:pStyle w:val="12"/>
        <w:numPr>
          <w:ilvl w:val="0"/>
          <w:numId w:val="0"/>
        </w:numPr>
        <w:spacing w:line="360" w:lineRule="auto"/>
        <w:ind w:left="0" w:leftChars="0" w:firstLine="560" w:firstLineChars="0"/>
        <w:outlineLvl w:val="2"/>
        <w:rPr>
          <w:rFonts w:hAnsi="宋体" w:cs="仿宋_GB2312"/>
          <w:sz w:val="28"/>
          <w:szCs w:val="28"/>
          <w:highlight w:val="none"/>
        </w:rPr>
      </w:pPr>
      <w:bookmarkStart w:id="317" w:name="_Toc361061922"/>
      <w:bookmarkStart w:id="318" w:name="_Toc455437268"/>
      <w:bookmarkStart w:id="319" w:name="_Toc6056"/>
      <w:r>
        <w:rPr>
          <w:rFonts w:ascii="宋体" w:hAnsi="宋体" w:eastAsia="宋体" w:cs="仿宋_GB2312"/>
          <w:kern w:val="2"/>
          <w:sz w:val="28"/>
          <w:szCs w:val="28"/>
          <w:highlight w:val="none"/>
          <w:lang w:val="en-US" w:eastAsia="zh-CN" w:bidi="ar-SA"/>
          <w14:ligatures w14:val="standardContextual"/>
        </w:rPr>
        <w:t>(七)</w:t>
      </w:r>
      <w:r>
        <w:rPr>
          <w:rFonts w:hint="eastAsia" w:hAnsi="宋体" w:cs="仿宋_GB2312"/>
          <w:sz w:val="28"/>
          <w:szCs w:val="28"/>
          <w:highlight w:val="none"/>
        </w:rPr>
        <w:t>通风空调系统</w:t>
      </w:r>
      <w:bookmarkEnd w:id="317"/>
      <w:bookmarkEnd w:id="318"/>
      <w:bookmarkEnd w:id="319"/>
    </w:p>
    <w:p>
      <w:pPr>
        <w:pStyle w:val="50"/>
        <w:ind w:firstLine="424" w:firstLineChars="177"/>
        <w:rPr>
          <w:rFonts w:hint="eastAsia" w:ascii="宋体" w:hAnsi="宋体" w:eastAsia="宋体" w:cs="Times New Roman"/>
          <w:sz w:val="24"/>
          <w:szCs w:val="21"/>
          <w:highlight w:val="none"/>
        </w:rPr>
      </w:pPr>
      <w:r>
        <w:rPr>
          <w:rFonts w:hint="eastAsia" w:ascii="宋体" w:hAnsi="宋体" w:eastAsia="宋体" w:cs="Times New Roman"/>
          <w:sz w:val="24"/>
          <w:szCs w:val="21"/>
          <w:highlight w:val="none"/>
        </w:rPr>
        <w:t>包括但不限于：设备用房、公共卫生间等房间的平时通风系统。多功能厅、中庭、走道的消防排烟系统。防烟楼梯间及消防（合用）前室的正压送风系统。</w:t>
      </w:r>
    </w:p>
    <w:p>
      <w:pPr>
        <w:pStyle w:val="50"/>
        <w:ind w:firstLine="424" w:firstLineChars="177"/>
        <w:rPr>
          <w:rFonts w:hint="eastAsia" w:ascii="宋体" w:hAnsi="宋体" w:eastAsia="宋体" w:cs="Times New Roman"/>
          <w:sz w:val="24"/>
          <w:szCs w:val="21"/>
          <w:highlight w:val="none"/>
        </w:rPr>
      </w:pPr>
      <w:r>
        <w:rPr>
          <w:rFonts w:hint="eastAsia" w:ascii="宋体" w:hAnsi="宋体" w:eastAsia="宋体" w:cs="Times New Roman"/>
          <w:sz w:val="24"/>
          <w:szCs w:val="21"/>
          <w:highlight w:val="none"/>
        </w:rPr>
        <w:t>采暖通风与空气调节设计应符合现行国家、省市现行规范的规定。校区各建筑楼栋室内空气设计应符合《公共建筑室内空气质量控制标准》JGJ/T461-2019的规定。普通教室、专用教室、教师办公室、行政办公楼、学生宿舍等采用分体式空调或多联机空调，体育馆、食堂、会堂等采用中央空调系统。所有的空调、制冷、通风设备均采用节能产品并应符合国家《公共建筑节能设计标准》GB50189-2015的规定。所有空调制冷设备应采用符合国家规定标准的环保制冷剂。设备选型应考虑技术先进、维护方便、经济合理的原则；体现科技、环保、可持续发展的理念。空调冷凝水系统应采用有组织排放设计。</w:t>
      </w:r>
    </w:p>
    <w:p>
      <w:pPr>
        <w:pStyle w:val="12"/>
        <w:numPr>
          <w:ilvl w:val="0"/>
          <w:numId w:val="0"/>
        </w:numPr>
        <w:spacing w:line="360" w:lineRule="auto"/>
        <w:ind w:left="0" w:leftChars="0" w:firstLine="560" w:firstLineChars="0"/>
        <w:outlineLvl w:val="2"/>
        <w:rPr>
          <w:rFonts w:hAnsi="宋体" w:cs="仿宋_GB2312"/>
          <w:sz w:val="28"/>
          <w:szCs w:val="28"/>
          <w:highlight w:val="none"/>
        </w:rPr>
      </w:pPr>
      <w:bookmarkStart w:id="320" w:name="_Toc361061923"/>
      <w:bookmarkStart w:id="321" w:name="_Toc36"/>
      <w:bookmarkStart w:id="322" w:name="_Toc455437269"/>
      <w:bookmarkStart w:id="323" w:name="_Toc16658"/>
      <w:bookmarkStart w:id="324" w:name="_Toc462255889"/>
      <w:r>
        <w:rPr>
          <w:rFonts w:ascii="宋体" w:hAnsi="宋体" w:eastAsia="宋体" w:cs="仿宋_GB2312"/>
          <w:kern w:val="2"/>
          <w:sz w:val="28"/>
          <w:szCs w:val="28"/>
          <w:highlight w:val="none"/>
          <w:lang w:val="en-US" w:eastAsia="zh-CN" w:bidi="ar-SA"/>
          <w14:ligatures w14:val="standardContextual"/>
        </w:rPr>
        <w:t>(八)</w:t>
      </w:r>
      <w:r>
        <w:rPr>
          <w:rFonts w:hint="eastAsia" w:hAnsi="宋体" w:cs="仿宋_GB2312"/>
          <w:sz w:val="28"/>
          <w:szCs w:val="28"/>
          <w:highlight w:val="none"/>
        </w:rPr>
        <w:t>弱电方案</w:t>
      </w:r>
      <w:bookmarkEnd w:id="320"/>
      <w:bookmarkEnd w:id="321"/>
      <w:bookmarkEnd w:id="322"/>
      <w:bookmarkEnd w:id="323"/>
    </w:p>
    <w:p>
      <w:pPr>
        <w:ind w:firstLine="476" w:firstLineChars="200"/>
        <w:rPr>
          <w:rFonts w:ascii="宋体" w:hAnsi="宋体" w:cs="宋体"/>
          <w:spacing w:val="-1"/>
          <w:sz w:val="24"/>
          <w:highlight w:val="none"/>
        </w:rPr>
      </w:pPr>
      <w:r>
        <w:rPr>
          <w:rFonts w:hint="eastAsia" w:ascii="宋体" w:hAnsi="宋体" w:cs="宋体"/>
          <w:spacing w:val="-1"/>
          <w:sz w:val="24"/>
          <w:highlight w:val="none"/>
        </w:rPr>
        <w:t>各子系统的设计应保证为当时先进、成熟的技术，并应充分的考虑其兼容性、可维护性、可扩展性和先进性，应以建设绿色建筑为目标，做到功能实用、技术适时、安全高效、运营规范和经济合理。</w:t>
      </w:r>
    </w:p>
    <w:p>
      <w:pPr>
        <w:ind w:firstLine="476" w:firstLineChars="200"/>
        <w:rPr>
          <w:rFonts w:ascii="宋体" w:hAnsi="宋体" w:cs="宋体"/>
          <w:spacing w:val="-1"/>
          <w:sz w:val="24"/>
          <w:highlight w:val="none"/>
        </w:rPr>
      </w:pPr>
      <w:r>
        <w:rPr>
          <w:rFonts w:hint="eastAsia" w:ascii="宋体" w:hAnsi="宋体" w:cs="宋体"/>
          <w:spacing w:val="-1"/>
          <w:sz w:val="24"/>
          <w:highlight w:val="none"/>
        </w:rPr>
        <w:t>设计内容：智能卡应用系统、信息安全管理系统，信息接入系统，移动通信室内信号覆盖系统，信息网络系统，有线电视系统，公共广播系统，信息导引及发布系统，建筑设备监控系统，建筑能效监管系统，安全技术防范系统，停车库管理系统等；应选用安全、可靠、先进的智能化设备材料。</w:t>
      </w:r>
    </w:p>
    <w:p>
      <w:pPr>
        <w:pStyle w:val="50"/>
        <w:numPr>
          <w:ilvl w:val="0"/>
          <w:numId w:val="0"/>
        </w:numPr>
        <w:ind w:left="0" w:leftChars="0" w:firstLine="566" w:firstLineChars="236"/>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1.</w:t>
      </w:r>
      <w:r>
        <w:rPr>
          <w:rFonts w:ascii="宋体" w:hAnsi="宋体" w:eastAsia="宋体"/>
          <w:sz w:val="24"/>
          <w:szCs w:val="24"/>
          <w:highlight w:val="none"/>
        </w:rPr>
        <w:t>综合布线</w:t>
      </w:r>
    </w:p>
    <w:p>
      <w:pPr>
        <w:ind w:firstLine="480" w:firstLineChars="200"/>
        <w:rPr>
          <w:rFonts w:ascii="宋体" w:hAnsi="宋体"/>
          <w:sz w:val="24"/>
          <w:highlight w:val="none"/>
        </w:rPr>
      </w:pPr>
      <w:r>
        <w:rPr>
          <w:rFonts w:hint="eastAsia" w:ascii="宋体" w:hAnsi="宋体"/>
          <w:sz w:val="24"/>
          <w:highlight w:val="none"/>
        </w:rPr>
        <w:t>综合布线是学校内的传输网络，它既使语音和数据通信设备、交换设备和其它信息管理系统彼此相连，又使这些设备和外部通信网络相连。</w:t>
      </w:r>
    </w:p>
    <w:p>
      <w:pPr>
        <w:pStyle w:val="50"/>
        <w:numPr>
          <w:ilvl w:val="0"/>
          <w:numId w:val="0"/>
        </w:numPr>
        <w:ind w:left="0" w:leftChars="0" w:firstLine="484" w:firstLineChars="202"/>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2.</w:t>
      </w:r>
      <w:r>
        <w:rPr>
          <w:rFonts w:hint="eastAsia" w:ascii="宋体" w:hAnsi="宋体" w:eastAsia="宋体"/>
          <w:sz w:val="24"/>
          <w:szCs w:val="24"/>
          <w:highlight w:val="none"/>
        </w:rPr>
        <w:t>计算机网络系统</w:t>
      </w:r>
    </w:p>
    <w:p>
      <w:pPr>
        <w:ind w:firstLine="480" w:firstLineChars="200"/>
        <w:rPr>
          <w:rFonts w:ascii="宋体" w:hAnsi="宋体"/>
          <w:sz w:val="24"/>
          <w:highlight w:val="none"/>
        </w:rPr>
      </w:pPr>
      <w:r>
        <w:rPr>
          <w:rFonts w:hint="eastAsia" w:ascii="宋体" w:hAnsi="宋体"/>
          <w:sz w:val="24"/>
          <w:highlight w:val="none"/>
        </w:rPr>
        <w:t>计算网络系统是整个校园智能化系统集成的基础，内部一切数字化、信息化的应用服务功能都要依靠计算机网络这个平台实现，将各个系统的各种</w:t>
      </w:r>
      <w:r>
        <w:rPr>
          <w:rFonts w:ascii="宋体" w:hAnsi="宋体"/>
          <w:sz w:val="24"/>
          <w:highlight w:val="none"/>
        </w:rPr>
        <w:t>PC机、工作站、终端设备和局域网连接起来，并与外部广域网相连，形成结构合理、内外沟通的计算机网络系统。利用计算机网络系统，实现不同班级、科室的资源共享，以及宽带接入互联网等所有信息化时代所需要的功能，并可以在现有计算机网络系统的基础上为学校提供一系列的增值服务等。</w:t>
      </w:r>
    </w:p>
    <w:p>
      <w:pPr>
        <w:pStyle w:val="50"/>
        <w:numPr>
          <w:ilvl w:val="0"/>
          <w:numId w:val="0"/>
        </w:numPr>
        <w:ind w:left="0" w:leftChars="0" w:firstLine="480" w:firstLineChars="0"/>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3.</w:t>
      </w:r>
      <w:r>
        <w:rPr>
          <w:rFonts w:ascii="宋体" w:hAnsi="宋体" w:eastAsia="宋体"/>
          <w:sz w:val="24"/>
          <w:szCs w:val="24"/>
          <w:highlight w:val="none"/>
        </w:rPr>
        <w:t>视频监控系统</w:t>
      </w:r>
    </w:p>
    <w:p>
      <w:pPr>
        <w:ind w:firstLine="480" w:firstLineChars="200"/>
        <w:rPr>
          <w:rFonts w:ascii="宋体" w:hAnsi="宋体"/>
          <w:sz w:val="24"/>
          <w:highlight w:val="none"/>
        </w:rPr>
      </w:pPr>
      <w:r>
        <w:rPr>
          <w:rFonts w:hint="eastAsia" w:ascii="宋体" w:hAnsi="宋体"/>
          <w:sz w:val="24"/>
          <w:highlight w:val="none"/>
        </w:rPr>
        <w:t>视频监控系统根据学校安全技术防范管理的需要，对必须进行监控的场所、部位、通道等进行实时、有效的视频探测、视频监视、视频传输、显示和记录。</w:t>
      </w:r>
    </w:p>
    <w:p>
      <w:pPr>
        <w:ind w:firstLine="480" w:firstLineChars="200"/>
        <w:rPr>
          <w:rFonts w:ascii="宋体" w:hAnsi="宋体"/>
          <w:sz w:val="24"/>
          <w:highlight w:val="none"/>
        </w:rPr>
      </w:pPr>
      <w:r>
        <w:rPr>
          <w:rFonts w:hint="eastAsia" w:ascii="宋体" w:hAnsi="宋体"/>
          <w:sz w:val="24"/>
          <w:highlight w:val="none"/>
        </w:rPr>
        <w:t>本系统在建筑单体主要通道、主要出入口等场所设置摄像机。所有获得的监控区情况以图象方式实时传送到学校监控机房。</w:t>
      </w:r>
    </w:p>
    <w:p>
      <w:pPr>
        <w:pStyle w:val="50"/>
        <w:numPr>
          <w:ilvl w:val="0"/>
          <w:numId w:val="0"/>
        </w:numPr>
        <w:ind w:left="0" w:leftChars="0" w:firstLine="480" w:firstLineChars="0"/>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4.</w:t>
      </w:r>
      <w:r>
        <w:rPr>
          <w:rFonts w:ascii="宋体" w:hAnsi="宋体" w:eastAsia="宋体"/>
          <w:sz w:val="24"/>
          <w:szCs w:val="24"/>
          <w:highlight w:val="none"/>
        </w:rPr>
        <w:t>校园广播系统</w:t>
      </w:r>
    </w:p>
    <w:p>
      <w:pPr>
        <w:ind w:firstLine="480" w:firstLineChars="200"/>
        <w:rPr>
          <w:rFonts w:ascii="宋体" w:hAnsi="宋体"/>
          <w:sz w:val="24"/>
          <w:highlight w:val="none"/>
        </w:rPr>
      </w:pPr>
      <w:r>
        <w:rPr>
          <w:rFonts w:hint="eastAsia" w:ascii="宋体" w:hAnsi="宋体"/>
          <w:sz w:val="24"/>
          <w:highlight w:val="none"/>
        </w:rPr>
        <w:t>为了完善现代化的教学管理，并为校园增添几分温馨和舒适，同时也为学校信息的发布提供便捷的途径，根据学校的实际需求，设计本系统功能包括：校园背景音乐系统、校园铃声系统、学生广播台（转播新闻、自办广播节目）、发布通知、寻呼以及其他语音信息系统。</w:t>
      </w:r>
    </w:p>
    <w:p>
      <w:pPr>
        <w:pStyle w:val="50"/>
        <w:numPr>
          <w:ilvl w:val="0"/>
          <w:numId w:val="0"/>
        </w:numPr>
        <w:ind w:left="0" w:leftChars="0" w:firstLine="480" w:firstLineChars="0"/>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5.</w:t>
      </w:r>
      <w:r>
        <w:rPr>
          <w:rFonts w:ascii="宋体" w:hAnsi="宋体" w:eastAsia="宋体"/>
          <w:sz w:val="24"/>
          <w:szCs w:val="24"/>
          <w:highlight w:val="none"/>
        </w:rPr>
        <w:t>多媒体教学系统</w:t>
      </w:r>
    </w:p>
    <w:p>
      <w:pPr>
        <w:ind w:firstLine="480" w:firstLineChars="200"/>
        <w:rPr>
          <w:rFonts w:ascii="宋体" w:hAnsi="宋体"/>
          <w:sz w:val="24"/>
          <w:highlight w:val="none"/>
        </w:rPr>
      </w:pPr>
      <w:r>
        <w:rPr>
          <w:rFonts w:hint="eastAsia" w:ascii="宋体" w:hAnsi="宋体"/>
          <w:sz w:val="24"/>
          <w:highlight w:val="none"/>
        </w:rPr>
        <w:t>信息技术在学校教学和管理的应用已成为当今教育领域发展的必由之路，各种各样先进的教学媒体和技术手段已广泛融入到学校的日常教学活动中。随着教育信息化建设的进一步深入，多媒体教学系统已走到了数字化时代。数字化多媒体教学系统主要应用于各类教室，使每个教室都能满足多媒体教学的功能，包括各种教学媒体和手段的运用，各种教学课件、图文信息、音视频资料及网络教学资源检索和使用，为教师在课堂教学课堂中提供最大的方便性和灵活性，充分满足教学需求，优化教学过程，提高教学效率，激发学生学习的积极性。在每个多媒体教室中配备了微机、多媒体投影机、电动幕、带移频功能的功放、音箱等多种电化教学设备。</w:t>
      </w:r>
    </w:p>
    <w:p>
      <w:pPr>
        <w:pStyle w:val="50"/>
        <w:numPr>
          <w:ilvl w:val="0"/>
          <w:numId w:val="0"/>
        </w:numPr>
        <w:ind w:left="0" w:leftChars="0" w:firstLine="480" w:firstLineChars="0"/>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6.</w:t>
      </w:r>
      <w:r>
        <w:rPr>
          <w:rFonts w:ascii="宋体" w:hAnsi="宋体" w:eastAsia="宋体"/>
          <w:sz w:val="24"/>
          <w:szCs w:val="24"/>
          <w:highlight w:val="none"/>
        </w:rPr>
        <w:t>消防报警联动系统</w:t>
      </w:r>
    </w:p>
    <w:p>
      <w:pPr>
        <w:ind w:firstLine="480" w:firstLineChars="200"/>
        <w:rPr>
          <w:rFonts w:ascii="宋体" w:hAnsi="宋体"/>
          <w:sz w:val="24"/>
          <w:highlight w:val="none"/>
        </w:rPr>
      </w:pPr>
      <w:r>
        <w:rPr>
          <w:rFonts w:hint="eastAsia" w:ascii="宋体" w:hAnsi="宋体"/>
          <w:sz w:val="24"/>
          <w:highlight w:val="none"/>
        </w:rPr>
        <w:t>消火栓泵、喷淋泵、保压泵的启、停均有信号在消防控制中心显示；各室内消火栓箱的破玻信号在消防控制中心显示并报警，可确认哪一幢、哪一层、哪一区发出火灾信号，同时联锁启动消火栓泵；压力开关、水流指示器动作信号在消防控制中心显示及报警，可确认哪一层、哪一区的喷头己开放（火灾发生），同时联锁启动喷淋泵；信号闸阀信号在消防控制中心显示，若信号闸阀被关闭，控制中心会发出声、光报警。</w:t>
      </w:r>
    </w:p>
    <w:p>
      <w:pPr>
        <w:ind w:firstLine="480" w:firstLineChars="200"/>
        <w:rPr>
          <w:rFonts w:ascii="宋体" w:hAnsi="宋体"/>
          <w:sz w:val="24"/>
          <w:highlight w:val="none"/>
        </w:rPr>
      </w:pPr>
      <w:r>
        <w:rPr>
          <w:rFonts w:hint="eastAsia" w:ascii="宋体" w:hAnsi="宋体"/>
          <w:sz w:val="24"/>
          <w:highlight w:val="none"/>
        </w:rPr>
        <w:t>按照国家有关规范和使用环境条件，在教学楼、图书馆、行政楼、办公楼等处设置火灾自动报警系统及联动控制系统，校区内设消防控制中心进行集中监控，并与校园广播实现联动。</w:t>
      </w:r>
    </w:p>
    <w:p>
      <w:pPr>
        <w:ind w:firstLine="480" w:firstLineChars="200"/>
        <w:rPr>
          <w:rFonts w:ascii="宋体" w:hAnsi="宋体"/>
          <w:sz w:val="24"/>
          <w:highlight w:val="none"/>
        </w:rPr>
      </w:pPr>
      <w:r>
        <w:rPr>
          <w:rFonts w:hint="eastAsia" w:ascii="宋体" w:hAnsi="宋体"/>
          <w:sz w:val="24"/>
          <w:highlight w:val="none"/>
        </w:rPr>
        <w:t>具体包括火灾自动报警系统、消防联动控制系统、火灾应急广播系统、消防专用电话系统、电梯运行监视控制系统、应急照明控制及消防系统接地等。</w:t>
      </w:r>
    </w:p>
    <w:p>
      <w:pPr>
        <w:pStyle w:val="50"/>
        <w:numPr>
          <w:ilvl w:val="0"/>
          <w:numId w:val="0"/>
        </w:numPr>
        <w:ind w:left="0" w:leftChars="0" w:firstLine="480" w:firstLineChars="0"/>
        <w:outlineLvl w:val="3"/>
        <w:rPr>
          <w:rFonts w:ascii="宋体" w:hAnsi="宋体" w:eastAsia="宋体"/>
          <w:sz w:val="24"/>
          <w:highlight w:val="none"/>
        </w:rPr>
      </w:pPr>
      <w:r>
        <w:rPr>
          <w:rFonts w:ascii="宋体" w:hAnsi="宋体" w:eastAsia="宋体" w:cs="Times New Roman"/>
          <w:kern w:val="2"/>
          <w:sz w:val="24"/>
          <w:szCs w:val="22"/>
          <w:highlight w:val="none"/>
          <w:lang w:val="en-US" w:eastAsia="zh-CN" w:bidi="ar-SA"/>
          <w14:ligatures w14:val="standardContextual"/>
        </w:rPr>
        <w:t>7.</w:t>
      </w:r>
      <w:r>
        <w:rPr>
          <w:rFonts w:hint="eastAsia" w:ascii="宋体" w:hAnsi="宋体" w:eastAsia="宋体"/>
          <w:sz w:val="24"/>
          <w:szCs w:val="24"/>
          <w:highlight w:val="none"/>
        </w:rPr>
        <w:t>有线电视系统</w:t>
      </w:r>
    </w:p>
    <w:p>
      <w:pPr>
        <w:ind w:firstLine="480" w:firstLineChars="200"/>
        <w:rPr>
          <w:rFonts w:ascii="宋体" w:hAnsi="宋体"/>
          <w:sz w:val="24"/>
          <w:highlight w:val="none"/>
        </w:rPr>
      </w:pPr>
      <w:r>
        <w:rPr>
          <w:rFonts w:hint="eastAsia" w:ascii="宋体" w:hAnsi="宋体"/>
          <w:sz w:val="24"/>
          <w:highlight w:val="none"/>
        </w:rPr>
        <w:t>本工程有线电视由室外城市（地区）有线电视网引来。进线采用干线电缆SYWV-75-12-SC50-FC。有线电视机房设置在网络信息中心，前端设备设置在机房内。前端箱内包括放大器、均衡器、分配器等设备。各楼层分配网络采用分配分支的分配型式，干线电缆选SYV-75-9，支线电缆选用SYV-75-5，穿PVC管暗敷。</w:t>
      </w:r>
    </w:p>
    <w:p>
      <w:pPr>
        <w:pStyle w:val="50"/>
        <w:numPr>
          <w:ilvl w:val="0"/>
          <w:numId w:val="0"/>
        </w:numPr>
        <w:ind w:left="0" w:leftChars="0" w:firstLine="364" w:firstLineChars="152"/>
        <w:rPr>
          <w:rFonts w:ascii="宋体" w:hAnsi="宋体" w:eastAsia="宋体"/>
          <w:sz w:val="24"/>
          <w:highlight w:val="none"/>
        </w:rPr>
      </w:pPr>
      <w:r>
        <w:rPr>
          <w:rFonts w:ascii="宋体" w:hAnsi="宋体" w:eastAsia="宋体" w:cs="Times New Roman"/>
          <w:kern w:val="2"/>
          <w:sz w:val="24"/>
          <w:szCs w:val="22"/>
          <w:highlight w:val="none"/>
          <w:lang w:val="en-US" w:eastAsia="zh-CN" w:bidi="ar-SA"/>
          <w14:ligatures w14:val="standardContextual"/>
        </w:rPr>
        <w:t>8.</w:t>
      </w:r>
      <w:r>
        <w:rPr>
          <w:rFonts w:hint="eastAsia" w:ascii="宋体" w:hAnsi="宋体" w:eastAsia="宋体"/>
          <w:sz w:val="24"/>
          <w:szCs w:val="24"/>
          <w:highlight w:val="none"/>
        </w:rPr>
        <w:t>安全防范系统（SAS）</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安全防范系统是建筑智能化系统的重要内容，按照国家规范与标准，采用分层分区的严密防范体系，建立周界区、监视区、防护区、禁区等四道屏障。安全防范系统由以下2个子系统组成：</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rPr>
        <w:t>闭路电视监控子系统</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闭路电视监控系统建设要符合社会治安视频监控建设指引要求，采用数字模拟混合方案进行建设，提供向主管部门进行视频监控总集成的接口，视频监控系统传输数据和控制信令符合广东省城市社会治安视频监控数据存储和传输要求。</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闭路电视监控系统根据学校安全技术防范管理的需要，对必须进行监控的场所、部位、通道等进行实时、有效的视频探测、视频监视、视频传输、显示和记录。</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闭路电视监控系统由前端摄像部分、传输部分和显示监控设备及中心控制室组成。前端部分指的是各类型的摄像机；传输部分指的是传输线缆以及相关的附件和管路；显示监控设备主要是视频信号的输出部分，由不同尺寸的监视器及显示器构成；中心控制设备包括录像设备、联动设备等，起到对整个系统进行记录和控制操作的中心设备。</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本系统在建筑单体主要通道、主要出入口等场所设置摄像机。所有获得的监控区情况以图象方式实时传送到学校监控机房。</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防盗报警子系统</w:t>
      </w:r>
    </w:p>
    <w:p>
      <w:pPr>
        <w:ind w:firstLine="480" w:firstLineChars="200"/>
        <w:rPr>
          <w:rFonts w:ascii="宋体" w:hAnsi="宋体"/>
          <w:sz w:val="24"/>
          <w:highlight w:val="none"/>
        </w:rPr>
      </w:pPr>
      <w:r>
        <w:rPr>
          <w:rFonts w:hint="eastAsia" w:ascii="宋体" w:hAnsi="宋体" w:eastAsia="宋体" w:cs="Times New Roman"/>
          <w:sz w:val="24"/>
          <w:highlight w:val="none"/>
        </w:rPr>
        <w:t>防盗报警系统包括周界的入侵防范和大楼的内部防范。防盗报警系统采用总线网络型系统结构，设计入侵报警系统时可以考虑多种防护如重要物品的移动探测和玻璃破碎探测</w:t>
      </w:r>
      <w:r>
        <w:rPr>
          <w:rFonts w:hint="eastAsia" w:ascii="宋体" w:hAnsi="宋体"/>
          <w:sz w:val="24"/>
          <w:highlight w:val="none"/>
        </w:rPr>
        <w:t>器等。</w:t>
      </w:r>
    </w:p>
    <w:p>
      <w:pPr>
        <w:pStyle w:val="50"/>
        <w:numPr>
          <w:ilvl w:val="0"/>
          <w:numId w:val="0"/>
        </w:numPr>
        <w:ind w:left="0" w:leftChars="0" w:firstLine="364" w:firstLineChars="152"/>
        <w:outlineLvl w:val="3"/>
        <w:rPr>
          <w:rFonts w:ascii="宋体" w:hAnsi="宋体" w:eastAsia="宋体"/>
          <w:sz w:val="24"/>
          <w:highlight w:val="none"/>
        </w:rPr>
      </w:pPr>
      <w:r>
        <w:rPr>
          <w:rFonts w:ascii="宋体" w:hAnsi="宋体" w:eastAsia="宋体" w:cs="Times New Roman"/>
          <w:kern w:val="2"/>
          <w:sz w:val="24"/>
          <w:szCs w:val="22"/>
          <w:highlight w:val="none"/>
          <w:lang w:val="en-US" w:eastAsia="zh-CN" w:bidi="ar-SA"/>
          <w14:ligatures w14:val="standardContextual"/>
        </w:rPr>
        <w:t>9.</w:t>
      </w:r>
      <w:r>
        <w:rPr>
          <w:rFonts w:hint="eastAsia" w:ascii="宋体" w:hAnsi="宋体" w:eastAsia="宋体"/>
          <w:sz w:val="24"/>
          <w:szCs w:val="24"/>
          <w:highlight w:val="none"/>
        </w:rPr>
        <w:t>校园一卡通系统</w:t>
      </w:r>
    </w:p>
    <w:p>
      <w:pPr>
        <w:ind w:firstLine="480" w:firstLineChars="200"/>
        <w:rPr>
          <w:rFonts w:ascii="宋体" w:hAnsi="宋体"/>
          <w:sz w:val="24"/>
          <w:highlight w:val="none"/>
        </w:rPr>
      </w:pPr>
      <w:r>
        <w:rPr>
          <w:rFonts w:hint="eastAsia" w:ascii="宋体" w:hAnsi="宋体"/>
          <w:sz w:val="24"/>
          <w:highlight w:val="none"/>
        </w:rPr>
        <w:t>拟建中学计划与校园入驻银行联合建设校园一卡通系统。一卡通为学生集各种校园流通于一卡，可以用于食堂、学校商店、上机、图书馆、医务室等，并且提供充值、查询、挂失、转账等服务。</w:t>
      </w:r>
    </w:p>
    <w:p>
      <w:pPr>
        <w:pStyle w:val="50"/>
        <w:numPr>
          <w:ilvl w:val="0"/>
          <w:numId w:val="0"/>
        </w:numPr>
        <w:ind w:left="0" w:leftChars="0" w:firstLine="364" w:firstLineChars="152"/>
        <w:outlineLvl w:val="3"/>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10.</w:t>
      </w:r>
      <w:r>
        <w:rPr>
          <w:rFonts w:hint="eastAsia" w:ascii="宋体" w:hAnsi="宋体" w:eastAsia="宋体"/>
          <w:sz w:val="24"/>
          <w:szCs w:val="24"/>
          <w:highlight w:val="none"/>
        </w:rPr>
        <w:t>电子会议系统</w:t>
      </w:r>
    </w:p>
    <w:p>
      <w:pPr>
        <w:ind w:firstLine="480" w:firstLineChars="200"/>
        <w:rPr>
          <w:rFonts w:hint="eastAsia" w:ascii="宋体" w:hAnsi="宋体" w:eastAsia="宋体" w:cs="Times New Roman"/>
          <w:sz w:val="24"/>
          <w:highlight w:val="none"/>
        </w:rPr>
      </w:pPr>
      <w:r>
        <w:rPr>
          <w:rFonts w:hint="eastAsia" w:ascii="宋体" w:hAnsi="宋体"/>
          <w:sz w:val="24"/>
          <w:highlight w:val="none"/>
        </w:rPr>
        <w:t>电子会议系统是集计算机网络、通信、电子智能控制、大屏幕投影、会议监控、电视电话会议及高质量音视频等高科技于一体的技术，能够实现会议、讲座、各种培训、电视会议、电话会议、计算机网络通讯、茶话会、会议资料储存等需求，能够实现闻其声，见其人的现实效果。项目会议室拟设置电</w:t>
      </w:r>
      <w:r>
        <w:rPr>
          <w:rFonts w:hint="eastAsia" w:ascii="宋体" w:hAnsi="宋体" w:eastAsia="宋体" w:cs="Times New Roman"/>
          <w:sz w:val="24"/>
          <w:highlight w:val="none"/>
        </w:rPr>
        <w:t>子会议系统，应具备以下功能：</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rPr>
        <w:t>多媒体功能</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一室多能，即能用于正常的大中型会议的需要，又能进行小型学术会议及多媒体示范教学。实现多媒体技术在会议中的应用，在音频方面要求有会议扩音、录音、多路音频切换分配、会议电话传输播放、计算机音频播放功能；视频应具备的屏幕投影、显示、监视、会议进程摄录像、多路模拟视频和计算机视频信号分配切换、有线电视解码、实物投影等功能。</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远程会议功能</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利用计算机网络实现远程电视电话会议、远程多方会议等系统必须具备音频、视频的网络接口或提供接入设备。</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中央智能控制功能</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大屏幕投影显示系统的控制与调节；音响系统控制；音视频切换控制；监控系统控制调节。</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电子会议系统包括大屏幕投影显示系统、音响系统、中央控制系统、监控系统、电视电话会议系统等。</w:t>
      </w:r>
    </w:p>
    <w:p>
      <w:pPr>
        <w:pStyle w:val="50"/>
        <w:numPr>
          <w:ilvl w:val="0"/>
          <w:numId w:val="0"/>
        </w:numPr>
        <w:ind w:left="0" w:leftChars="0" w:firstLine="364" w:firstLineChars="152"/>
        <w:outlineLvl w:val="3"/>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11.</w:t>
      </w:r>
      <w:r>
        <w:rPr>
          <w:rFonts w:hint="eastAsia" w:ascii="宋体" w:hAnsi="宋体" w:eastAsia="宋体"/>
          <w:sz w:val="24"/>
          <w:szCs w:val="24"/>
          <w:highlight w:val="none"/>
        </w:rPr>
        <w:t>校园信息发布系统</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校园信息发布系统为校区提供了一个崭新的宣传教育和资讯传播的方案，针对校区大楼的多个播放终端同时进行信息发布，如会议通知、讲座介绍、同学先进事迹，放假通知等等，具体包括如下信息：</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rPr>
        <w:t>地震、火灾等突发事件的自救培训。</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实时发布教师教学计划，方便老师集中授课，提高教学效率。</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音视频的动感效果宣传，美化学校环境，提升学校整体实力。</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提醒学生对近期流行性疾病的预防以及卫生知识宣传。</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学校精神文明建设宣传，好人好事表扬。</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重要会议通知，集体活动公告。</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学校自然风光介绍，人物风采，重大活动的精彩回放等。</w:t>
      </w:r>
    </w:p>
    <w:p>
      <w:pPr>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校园信息发布系统由服务器、播放终端及播放显示器组成，通过以太网传输信号，由智能化管理机房统一控制，可以同时对教学楼、实验楼、宿舍楼、操场等进行信息发布。项目拟在校园主要建筑单体的出入口、学校出入口等位置设置LED显示大屏、LCD显示屏等设备，实现校园通知公告等信息的统一发布、显示。</w:t>
      </w:r>
    </w:p>
    <w:p>
      <w:pPr>
        <w:pStyle w:val="50"/>
        <w:numPr>
          <w:ilvl w:val="0"/>
          <w:numId w:val="0"/>
        </w:numPr>
        <w:ind w:left="0" w:leftChars="0" w:firstLine="364" w:firstLineChars="152"/>
        <w:outlineLvl w:val="3"/>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12.</w:t>
      </w:r>
      <w:r>
        <w:rPr>
          <w:rFonts w:hint="eastAsia" w:ascii="宋体" w:hAnsi="宋体" w:eastAsia="宋体"/>
          <w:sz w:val="24"/>
          <w:szCs w:val="24"/>
          <w:highlight w:val="none"/>
        </w:rPr>
        <w:t>垂直交通系统</w:t>
      </w:r>
    </w:p>
    <w:p>
      <w:pPr>
        <w:ind w:firstLine="480" w:firstLineChars="200"/>
        <w:rPr>
          <w:rFonts w:ascii="宋体" w:hAnsi="宋体"/>
          <w:sz w:val="24"/>
          <w:highlight w:val="none"/>
        </w:rPr>
      </w:pPr>
      <w:r>
        <w:rPr>
          <w:rFonts w:hint="eastAsia" w:ascii="宋体" w:hAnsi="宋体"/>
          <w:sz w:val="24"/>
          <w:highlight w:val="none"/>
        </w:rPr>
        <w:t>拟建建筑物低层、多层建筑，各建建筑物步行楼梯设置均应满足消防疏散要求。</w:t>
      </w:r>
    </w:p>
    <w:p>
      <w:pPr>
        <w:pStyle w:val="12"/>
        <w:ind w:firstLine="560" w:firstLineChars="0"/>
        <w:outlineLvl w:val="2"/>
        <w:rPr>
          <w:rFonts w:hint="eastAsia" w:ascii="宋体" w:hAnsi="宋体" w:eastAsia="宋体" w:cs="仿宋_GB2312"/>
          <w:kern w:val="2"/>
          <w:sz w:val="28"/>
          <w:szCs w:val="28"/>
          <w:highlight w:val="none"/>
          <w:lang w:val="en-US" w:eastAsia="zh-CN" w:bidi="ar-SA"/>
          <w14:ligatures w14:val="standardContextual"/>
        </w:rPr>
      </w:pPr>
      <w:bookmarkStart w:id="325" w:name="_Toc30834"/>
      <w:r>
        <w:rPr>
          <w:rFonts w:hint="eastAsia" w:ascii="宋体" w:hAnsi="宋体" w:eastAsia="宋体" w:cs="仿宋_GB2312"/>
          <w:kern w:val="2"/>
          <w:sz w:val="28"/>
          <w:szCs w:val="28"/>
          <w:highlight w:val="none"/>
          <w:lang w:val="en-US" w:eastAsia="zh-CN" w:bidi="ar-SA"/>
          <w14:ligatures w14:val="standardContextual"/>
        </w:rPr>
        <w:t>（九）移动通信基础设施</w:t>
      </w:r>
      <w:bookmarkEnd w:id="325"/>
    </w:p>
    <w:p>
      <w:pPr>
        <w:ind w:firstLine="480" w:firstLineChars="200"/>
        <w:rPr>
          <w:rFonts w:hint="eastAsia" w:ascii="宋体" w:hAnsi="宋体" w:eastAsia="宋体" w:cs="Times New Roman"/>
          <w:kern w:val="2"/>
          <w:sz w:val="24"/>
          <w:szCs w:val="24"/>
          <w:highlight w:val="none"/>
          <w:lang w:val="en-US" w:eastAsia="zh-CN" w:bidi="ar-SA"/>
          <w14:ligatures w14:val="standardContextual"/>
        </w:rPr>
      </w:pPr>
      <w:r>
        <w:rPr>
          <w:rFonts w:hint="eastAsia" w:ascii="宋体" w:hAnsi="宋体" w:eastAsia="宋体" w:cs="Times New Roman"/>
          <w:kern w:val="2"/>
          <w:sz w:val="24"/>
          <w:szCs w:val="24"/>
          <w:highlight w:val="none"/>
          <w:lang w:val="en-US" w:eastAsia="zh-CN" w:bidi="ar-SA"/>
          <w14:ligatures w14:val="standardContextual"/>
        </w:rPr>
        <w:t>根据《广东省通信设施建设与保护规定》和《广州市公众移动通信5G基站站址布局专项规划(2019-2023年)》，地块内应当预留移动通信设施的建设空间、建设位置、用电容量及其配套资源。移动通信设施(宏基站、微基站及室内覆盖系统)所需的机房、供电线路、通信管线、室外支撑物等配套设施应按《广东省建筑物移动通信基础设施技术规范》(DBJ/T 15-190-2020)及工信部门的相关要求配</w:t>
      </w:r>
      <w:r>
        <w:rPr>
          <w:rFonts w:hint="eastAsia" w:ascii="宋体" w:hAnsi="宋体" w:cs="Times New Roman"/>
          <w:kern w:val="2"/>
          <w:sz w:val="24"/>
          <w:szCs w:val="24"/>
          <w:highlight w:val="none"/>
          <w:lang w:val="en-US" w:eastAsia="zh-CN" w:bidi="ar-SA"/>
          <w14:ligatures w14:val="standardContextual"/>
        </w:rPr>
        <w:t>置</w:t>
      </w:r>
      <w:r>
        <w:rPr>
          <w:rFonts w:hint="eastAsia" w:ascii="宋体" w:hAnsi="宋体" w:eastAsia="宋体" w:cs="Times New Roman"/>
          <w:kern w:val="2"/>
          <w:sz w:val="24"/>
          <w:szCs w:val="24"/>
          <w:highlight w:val="none"/>
          <w:lang w:val="en-US" w:eastAsia="zh-CN" w:bidi="ar-SA"/>
          <w14:ligatures w14:val="standardContextual"/>
        </w:rPr>
        <w:t>。</w:t>
      </w:r>
    </w:p>
    <w:p>
      <w:pPr>
        <w:widowControl/>
        <w:jc w:val="left"/>
        <w:rPr>
          <w:rFonts w:ascii="宋体" w:hAnsi="宋体"/>
          <w:b/>
          <w:bCs/>
          <w:kern w:val="44"/>
          <w:sz w:val="36"/>
          <w:szCs w:val="36"/>
          <w:highlight w:val="none"/>
        </w:rPr>
      </w:pPr>
      <w:r>
        <w:rPr>
          <w:rFonts w:ascii="宋体" w:hAnsi="宋体"/>
          <w:sz w:val="36"/>
          <w:szCs w:val="36"/>
          <w:highlight w:val="none"/>
        </w:rPr>
        <w:br w:type="page"/>
      </w:r>
    </w:p>
    <w:p>
      <w:pPr>
        <w:pStyle w:val="3"/>
        <w:jc w:val="center"/>
        <w:rPr>
          <w:rFonts w:ascii="宋体" w:hAnsi="宋体"/>
          <w:sz w:val="36"/>
          <w:szCs w:val="36"/>
          <w:highlight w:val="none"/>
        </w:rPr>
      </w:pPr>
      <w:bookmarkStart w:id="326" w:name="_Toc20141"/>
      <w:r>
        <w:rPr>
          <w:rFonts w:hint="eastAsia" w:ascii="宋体" w:hAnsi="宋体"/>
          <w:sz w:val="36"/>
          <w:szCs w:val="36"/>
          <w:highlight w:val="none"/>
        </w:rPr>
        <w:t>第六章</w:t>
      </w:r>
      <w:r>
        <w:rPr>
          <w:rFonts w:ascii="宋体" w:hAnsi="宋体"/>
          <w:sz w:val="36"/>
          <w:szCs w:val="36"/>
          <w:highlight w:val="none"/>
        </w:rPr>
        <w:t xml:space="preserve"> </w:t>
      </w:r>
      <w:r>
        <w:rPr>
          <w:rFonts w:hint="eastAsia" w:ascii="宋体" w:hAnsi="宋体"/>
          <w:sz w:val="36"/>
          <w:szCs w:val="36"/>
          <w:highlight w:val="none"/>
        </w:rPr>
        <w:t>工程图纸设计深度</w:t>
      </w:r>
      <w:bookmarkEnd w:id="324"/>
      <w:bookmarkEnd w:id="326"/>
    </w:p>
    <w:p>
      <w:pPr>
        <w:pStyle w:val="4"/>
        <w:spacing w:before="156" w:after="156"/>
        <w:rPr>
          <w:rFonts w:ascii="宋体" w:hAnsi="宋体"/>
          <w:highlight w:val="none"/>
        </w:rPr>
      </w:pPr>
      <w:bookmarkStart w:id="327" w:name="_Toc20824"/>
      <w:r>
        <w:rPr>
          <w:rFonts w:hint="eastAsia" w:ascii="宋体" w:hAnsi="宋体"/>
          <w:highlight w:val="none"/>
        </w:rPr>
        <w:t>一、</w:t>
      </w:r>
      <w:bookmarkStart w:id="328" w:name="_Toc462255890"/>
      <w:bookmarkStart w:id="329" w:name="_Toc462255974"/>
      <w:r>
        <w:rPr>
          <w:rFonts w:hint="eastAsia" w:ascii="宋体" w:hAnsi="宋体"/>
          <w:highlight w:val="none"/>
        </w:rPr>
        <w:t>一般要求</w:t>
      </w:r>
      <w:bookmarkEnd w:id="327"/>
      <w:bookmarkEnd w:id="328"/>
      <w:bookmarkEnd w:id="329"/>
      <w:bookmarkStart w:id="330" w:name="_Toc462255891"/>
      <w:bookmarkEnd w:id="330"/>
    </w:p>
    <w:p>
      <w:pPr>
        <w:pStyle w:val="50"/>
        <w:numPr>
          <w:ilvl w:val="0"/>
          <w:numId w:val="0"/>
        </w:numPr>
        <w:ind w:left="0" w:leftChars="0" w:firstLine="560" w:firstLineChars="0"/>
        <w:contextualSpacing/>
        <w:outlineLvl w:val="2"/>
        <w:rPr>
          <w:rFonts w:hint="eastAsia" w:ascii="宋体" w:hAnsi="宋体" w:eastAsia="宋体" w:cs="Times New Roman"/>
          <w:szCs w:val="21"/>
          <w:highlight w:val="none"/>
        </w:rPr>
      </w:pPr>
      <w:bookmarkStart w:id="331" w:name="_Toc462255976"/>
      <w:bookmarkStart w:id="332" w:name="_Toc462255892"/>
      <w:bookmarkStart w:id="333" w:name="_Toc2545"/>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建筑方案设计的设计文件包括：</w:t>
      </w:r>
      <w:bookmarkEnd w:id="331"/>
      <w:bookmarkEnd w:id="332"/>
      <w:bookmarkEnd w:id="333"/>
    </w:p>
    <w:p>
      <w:pPr>
        <w:pStyle w:val="50"/>
        <w:numPr>
          <w:ilvl w:val="0"/>
          <w:numId w:val="10"/>
        </w:numPr>
        <w:ind w:left="0" w:firstLine="480" w:firstLineChars="0"/>
        <w:contextualSpacing/>
        <w:rPr>
          <w:rFonts w:ascii="宋体" w:hAnsi="宋体" w:eastAsia="宋体"/>
          <w:sz w:val="24"/>
          <w:szCs w:val="21"/>
          <w:highlight w:val="none"/>
        </w:rPr>
      </w:pPr>
      <w:r>
        <w:rPr>
          <w:rFonts w:ascii="宋体" w:hAnsi="宋体" w:eastAsia="宋体"/>
          <w:sz w:val="24"/>
          <w:szCs w:val="21"/>
          <w:highlight w:val="none"/>
        </w:rPr>
        <w:t xml:space="preserve">各专业设计说明书 </w:t>
      </w:r>
      <w:r>
        <w:rPr>
          <w:rFonts w:hint="eastAsia" w:ascii="宋体" w:hAnsi="宋体" w:eastAsia="宋体"/>
          <w:sz w:val="24"/>
          <w:szCs w:val="21"/>
          <w:highlight w:val="none"/>
        </w:rPr>
        <w:t>；</w:t>
      </w:r>
    </w:p>
    <w:p>
      <w:pPr>
        <w:pStyle w:val="50"/>
        <w:numPr>
          <w:ilvl w:val="0"/>
          <w:numId w:val="10"/>
        </w:numPr>
        <w:ind w:left="0" w:firstLine="480" w:firstLineChars="0"/>
        <w:contextualSpacing/>
        <w:rPr>
          <w:rFonts w:ascii="宋体" w:hAnsi="宋体" w:eastAsia="宋体"/>
          <w:sz w:val="24"/>
          <w:szCs w:val="21"/>
          <w:highlight w:val="none"/>
        </w:rPr>
      </w:pPr>
      <w:r>
        <w:rPr>
          <w:rFonts w:ascii="宋体" w:hAnsi="宋体" w:eastAsia="宋体"/>
          <w:sz w:val="24"/>
          <w:szCs w:val="21"/>
          <w:highlight w:val="none"/>
        </w:rPr>
        <w:t>总平面图及各建筑</w:t>
      </w:r>
      <w:r>
        <w:rPr>
          <w:rFonts w:hint="eastAsia" w:ascii="宋体" w:hAnsi="宋体" w:eastAsia="宋体"/>
          <w:sz w:val="24"/>
          <w:szCs w:val="21"/>
          <w:highlight w:val="none"/>
        </w:rPr>
        <w:t>平面里面剖面</w:t>
      </w:r>
      <w:r>
        <w:rPr>
          <w:rFonts w:ascii="宋体" w:hAnsi="宋体" w:eastAsia="宋体"/>
          <w:sz w:val="24"/>
          <w:szCs w:val="21"/>
          <w:highlight w:val="none"/>
        </w:rPr>
        <w:t>设计图；</w:t>
      </w:r>
    </w:p>
    <w:p>
      <w:pPr>
        <w:pStyle w:val="50"/>
        <w:numPr>
          <w:ilvl w:val="0"/>
          <w:numId w:val="10"/>
        </w:numPr>
        <w:ind w:left="0" w:firstLine="480" w:firstLineChars="0"/>
        <w:contextualSpacing/>
        <w:rPr>
          <w:rFonts w:ascii="宋体" w:hAnsi="宋体" w:eastAsia="宋体"/>
          <w:sz w:val="24"/>
          <w:szCs w:val="21"/>
          <w:highlight w:val="none"/>
        </w:rPr>
      </w:pPr>
      <w:r>
        <w:rPr>
          <w:rFonts w:ascii="宋体" w:hAnsi="宋体" w:eastAsia="宋体"/>
          <w:sz w:val="24"/>
          <w:szCs w:val="21"/>
          <w:highlight w:val="none"/>
        </w:rPr>
        <w:t>设计分析图；根据项目特点和招标人的要求，提供功能分析图、交通分析图、景观分析图、日照分析图、内部流线分析图</w:t>
      </w:r>
      <w:r>
        <w:rPr>
          <w:rFonts w:hint="eastAsia" w:ascii="宋体" w:hAnsi="宋体" w:eastAsia="宋体"/>
          <w:sz w:val="24"/>
          <w:szCs w:val="21"/>
          <w:highlight w:val="none"/>
        </w:rPr>
        <w:t>。</w:t>
      </w:r>
    </w:p>
    <w:p>
      <w:pPr>
        <w:pStyle w:val="50"/>
        <w:numPr>
          <w:ilvl w:val="0"/>
          <w:numId w:val="10"/>
        </w:numPr>
        <w:ind w:left="0" w:firstLine="480" w:firstLineChars="0"/>
        <w:contextualSpacing/>
        <w:rPr>
          <w:rFonts w:ascii="宋体" w:hAnsi="宋体" w:eastAsia="宋体"/>
          <w:sz w:val="24"/>
          <w:szCs w:val="21"/>
          <w:highlight w:val="none"/>
        </w:rPr>
      </w:pPr>
      <w:r>
        <w:rPr>
          <w:rFonts w:ascii="宋体" w:hAnsi="宋体" w:eastAsia="宋体"/>
          <w:sz w:val="24"/>
          <w:szCs w:val="21"/>
          <w:highlight w:val="none"/>
        </w:rPr>
        <w:t>工程造价估算；</w:t>
      </w:r>
    </w:p>
    <w:p>
      <w:pPr>
        <w:pStyle w:val="50"/>
        <w:numPr>
          <w:ilvl w:val="0"/>
          <w:numId w:val="10"/>
        </w:numPr>
        <w:ind w:left="0" w:firstLine="480" w:firstLineChars="0"/>
        <w:contextualSpacing/>
        <w:rPr>
          <w:rFonts w:ascii="宋体" w:hAnsi="宋体" w:eastAsia="宋体"/>
          <w:sz w:val="24"/>
          <w:szCs w:val="21"/>
          <w:highlight w:val="none"/>
        </w:rPr>
      </w:pPr>
      <w:r>
        <w:rPr>
          <w:rFonts w:ascii="宋体" w:hAnsi="宋体" w:eastAsia="宋体"/>
          <w:sz w:val="24"/>
          <w:szCs w:val="21"/>
          <w:highlight w:val="none"/>
        </w:rPr>
        <w:t>建筑效果图；</w:t>
      </w:r>
    </w:p>
    <w:p>
      <w:pPr>
        <w:pStyle w:val="50"/>
        <w:numPr>
          <w:ilvl w:val="0"/>
          <w:numId w:val="0"/>
        </w:numPr>
        <w:ind w:left="0" w:leftChars="0" w:firstLine="560" w:firstLineChars="0"/>
        <w:contextualSpacing/>
        <w:outlineLvl w:val="2"/>
        <w:rPr>
          <w:rFonts w:hint="eastAsia" w:ascii="宋体" w:hAnsi="宋体" w:eastAsia="宋体" w:cs="Times New Roman"/>
          <w:szCs w:val="21"/>
          <w:highlight w:val="none"/>
        </w:rPr>
      </w:pPr>
      <w:bookmarkStart w:id="334" w:name="_Toc462262737"/>
      <w:bookmarkEnd w:id="334"/>
      <w:bookmarkStart w:id="335" w:name="_Toc462256923"/>
      <w:bookmarkEnd w:id="335"/>
      <w:bookmarkStart w:id="336" w:name="_Toc27720"/>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文件编排顺序</w:t>
      </w:r>
      <w:bookmarkEnd w:id="336"/>
    </w:p>
    <w:p>
      <w:pPr>
        <w:numPr>
          <w:ilvl w:val="0"/>
          <w:numId w:val="11"/>
        </w:numPr>
        <w:ind w:left="0" w:firstLine="426"/>
        <w:contextualSpacing/>
        <w:rPr>
          <w:rFonts w:ascii="宋体" w:hAnsi="宋体"/>
          <w:sz w:val="24"/>
          <w:szCs w:val="21"/>
          <w:highlight w:val="none"/>
        </w:rPr>
      </w:pPr>
      <w:r>
        <w:rPr>
          <w:rFonts w:hint="eastAsia" w:ascii="宋体" w:hAnsi="宋体"/>
          <w:sz w:val="24"/>
          <w:szCs w:val="21"/>
          <w:highlight w:val="none"/>
        </w:rPr>
        <w:t>封面，标明项目名称、项目单位、编制日期等；</w:t>
      </w:r>
    </w:p>
    <w:p>
      <w:pPr>
        <w:numPr>
          <w:ilvl w:val="0"/>
          <w:numId w:val="11"/>
        </w:numPr>
        <w:contextualSpacing/>
        <w:rPr>
          <w:rFonts w:ascii="宋体" w:hAnsi="宋体"/>
          <w:sz w:val="24"/>
          <w:szCs w:val="21"/>
          <w:highlight w:val="none"/>
        </w:rPr>
      </w:pPr>
      <w:r>
        <w:rPr>
          <w:rFonts w:hint="eastAsia" w:ascii="宋体" w:hAnsi="宋体"/>
          <w:sz w:val="24"/>
          <w:szCs w:val="21"/>
          <w:highlight w:val="none"/>
        </w:rPr>
        <w:t>设计文件目录；</w:t>
      </w:r>
    </w:p>
    <w:p>
      <w:pPr>
        <w:numPr>
          <w:ilvl w:val="0"/>
          <w:numId w:val="11"/>
        </w:numPr>
        <w:contextualSpacing/>
        <w:rPr>
          <w:rFonts w:ascii="宋体" w:hAnsi="宋体"/>
          <w:sz w:val="24"/>
          <w:szCs w:val="21"/>
          <w:highlight w:val="none"/>
        </w:rPr>
      </w:pPr>
      <w:r>
        <w:rPr>
          <w:rFonts w:hint="eastAsia" w:ascii="宋体" w:hAnsi="宋体"/>
          <w:sz w:val="24"/>
          <w:szCs w:val="21"/>
          <w:highlight w:val="none"/>
        </w:rPr>
        <w:t>效果图；</w:t>
      </w:r>
    </w:p>
    <w:p>
      <w:pPr>
        <w:numPr>
          <w:ilvl w:val="0"/>
          <w:numId w:val="11"/>
        </w:numPr>
        <w:contextualSpacing/>
        <w:rPr>
          <w:rFonts w:ascii="宋体" w:hAnsi="宋体"/>
          <w:sz w:val="24"/>
          <w:szCs w:val="21"/>
          <w:highlight w:val="none"/>
        </w:rPr>
      </w:pPr>
      <w:r>
        <w:rPr>
          <w:rFonts w:hint="eastAsia" w:ascii="宋体" w:hAnsi="宋体"/>
          <w:sz w:val="24"/>
          <w:szCs w:val="21"/>
          <w:highlight w:val="none"/>
        </w:rPr>
        <w:t>设计说明；</w:t>
      </w:r>
    </w:p>
    <w:p>
      <w:pPr>
        <w:numPr>
          <w:ilvl w:val="0"/>
          <w:numId w:val="11"/>
        </w:numPr>
        <w:contextualSpacing/>
        <w:rPr>
          <w:rFonts w:ascii="宋体" w:hAnsi="宋体"/>
          <w:sz w:val="24"/>
          <w:szCs w:val="21"/>
          <w:highlight w:val="none"/>
        </w:rPr>
      </w:pPr>
      <w:r>
        <w:rPr>
          <w:rFonts w:hint="eastAsia" w:ascii="宋体" w:hAnsi="宋体"/>
          <w:sz w:val="24"/>
          <w:szCs w:val="21"/>
          <w:highlight w:val="none"/>
        </w:rPr>
        <w:t>设计图纸；</w:t>
      </w:r>
    </w:p>
    <w:p>
      <w:pPr>
        <w:numPr>
          <w:ilvl w:val="0"/>
          <w:numId w:val="11"/>
        </w:numPr>
        <w:contextualSpacing/>
        <w:rPr>
          <w:rFonts w:ascii="宋体" w:hAnsi="宋体"/>
          <w:sz w:val="24"/>
          <w:szCs w:val="21"/>
          <w:highlight w:val="none"/>
        </w:rPr>
      </w:pPr>
      <w:r>
        <w:rPr>
          <w:rFonts w:hint="eastAsia" w:ascii="宋体" w:hAnsi="宋体"/>
          <w:sz w:val="24"/>
          <w:szCs w:val="21"/>
          <w:highlight w:val="none"/>
        </w:rPr>
        <w:t>技术分析图；</w:t>
      </w:r>
    </w:p>
    <w:p>
      <w:pPr>
        <w:numPr>
          <w:ilvl w:val="0"/>
          <w:numId w:val="11"/>
        </w:numPr>
        <w:contextualSpacing/>
        <w:rPr>
          <w:rFonts w:ascii="宋体" w:hAnsi="宋体"/>
          <w:sz w:val="24"/>
          <w:szCs w:val="21"/>
          <w:highlight w:val="none"/>
        </w:rPr>
      </w:pPr>
      <w:r>
        <w:rPr>
          <w:rFonts w:hint="eastAsia" w:ascii="宋体" w:hAnsi="宋体"/>
          <w:sz w:val="24"/>
          <w:szCs w:val="21"/>
          <w:highlight w:val="none"/>
        </w:rPr>
        <w:t>工程造价估算。</w:t>
      </w:r>
    </w:p>
    <w:p>
      <w:pPr>
        <w:pStyle w:val="4"/>
        <w:spacing w:before="156" w:after="156"/>
        <w:rPr>
          <w:rFonts w:ascii="宋体" w:hAnsi="宋体"/>
          <w:b w:val="0"/>
          <w:highlight w:val="none"/>
        </w:rPr>
      </w:pPr>
      <w:bookmarkStart w:id="337" w:name="_Toc30482"/>
      <w:r>
        <w:rPr>
          <w:rFonts w:hint="eastAsia" w:ascii="宋体" w:hAnsi="宋体"/>
          <w:highlight w:val="none"/>
        </w:rPr>
        <w:t>二、</w:t>
      </w:r>
      <w:bookmarkStart w:id="338" w:name="_Toc462255893"/>
      <w:r>
        <w:rPr>
          <w:rFonts w:ascii="宋体" w:hAnsi="宋体"/>
          <w:highlight w:val="none"/>
        </w:rPr>
        <w:t>设计说明</w:t>
      </w:r>
      <w:bookmarkEnd w:id="337"/>
      <w:bookmarkEnd w:id="338"/>
    </w:p>
    <w:p>
      <w:pPr>
        <w:pStyle w:val="50"/>
        <w:numPr>
          <w:ilvl w:val="0"/>
          <w:numId w:val="0"/>
        </w:numPr>
        <w:ind w:left="0" w:leftChars="0" w:firstLine="560" w:firstLineChars="0"/>
        <w:contextualSpacing/>
        <w:outlineLvl w:val="2"/>
        <w:rPr>
          <w:rFonts w:hint="eastAsia" w:ascii="宋体" w:hAnsi="宋体" w:eastAsia="宋体" w:cs="Times New Roman"/>
          <w:szCs w:val="21"/>
          <w:highlight w:val="none"/>
        </w:rPr>
      </w:pPr>
      <w:bookmarkStart w:id="339" w:name="_Toc32435"/>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设计依据和设计要求</w:t>
      </w:r>
      <w:bookmarkEnd w:id="339"/>
    </w:p>
    <w:p>
      <w:pPr>
        <w:pStyle w:val="50"/>
        <w:numPr>
          <w:ilvl w:val="0"/>
          <w:numId w:val="12"/>
        </w:numPr>
        <w:ind w:left="0" w:firstLine="480" w:firstLineChars="0"/>
        <w:contextualSpacing/>
        <w:rPr>
          <w:rFonts w:ascii="宋体" w:hAnsi="宋体" w:eastAsia="宋体"/>
          <w:sz w:val="24"/>
          <w:szCs w:val="24"/>
          <w:highlight w:val="none"/>
        </w:rPr>
      </w:pPr>
      <w:r>
        <w:rPr>
          <w:rFonts w:hint="eastAsia" w:ascii="宋体" w:hAnsi="宋体" w:eastAsia="宋体"/>
          <w:sz w:val="24"/>
          <w:szCs w:val="24"/>
          <w:highlight w:val="none"/>
        </w:rPr>
        <w:t>列出主要依据性文件，招标人提供的设计依据文件的名称文号，如</w:t>
      </w:r>
      <w:r>
        <w:rPr>
          <w:rFonts w:hint="eastAsia" w:ascii="宋体" w:hAnsi="宋体" w:eastAsia="宋体"/>
          <w:sz w:val="24"/>
          <w:szCs w:val="21"/>
          <w:highlight w:val="none"/>
        </w:rPr>
        <w:t>：</w:t>
      </w:r>
      <w:r>
        <w:rPr>
          <w:rFonts w:hint="eastAsia" w:ascii="宋体" w:hAnsi="宋体" w:eastAsia="宋体"/>
          <w:sz w:val="24"/>
          <w:szCs w:val="24"/>
          <w:highlight w:val="none"/>
        </w:rPr>
        <w:t>政府有关部门或上级主管部门的立项批文、城市控制性详细规划可行性研究报告、规划审批意见书、城市建设有关的控制线要求、设计任务书、地形图及区域位置图、环境评估报告、地质勘察和地质灾害评估报告等；</w:t>
      </w:r>
    </w:p>
    <w:p>
      <w:pPr>
        <w:pStyle w:val="50"/>
        <w:numPr>
          <w:ilvl w:val="0"/>
          <w:numId w:val="12"/>
        </w:numPr>
        <w:ind w:left="0" w:firstLine="480" w:firstLineChars="0"/>
        <w:rPr>
          <w:rFonts w:ascii="宋体" w:hAnsi="宋体" w:eastAsia="宋体"/>
          <w:sz w:val="24"/>
          <w:szCs w:val="24"/>
          <w:highlight w:val="none"/>
        </w:rPr>
      </w:pPr>
      <w:r>
        <w:rPr>
          <w:rFonts w:hint="eastAsia" w:ascii="宋体" w:hAnsi="宋体" w:eastAsia="宋体"/>
          <w:sz w:val="24"/>
          <w:szCs w:val="24"/>
          <w:highlight w:val="none"/>
        </w:rPr>
        <w:t>设计所采用的主要法规和标准。若采用国外法规标准应注明；</w:t>
      </w:r>
    </w:p>
    <w:p>
      <w:pPr>
        <w:pStyle w:val="50"/>
        <w:numPr>
          <w:ilvl w:val="0"/>
          <w:numId w:val="12"/>
        </w:numPr>
        <w:ind w:left="0" w:firstLine="480" w:firstLineChars="0"/>
        <w:rPr>
          <w:rFonts w:ascii="宋体" w:hAnsi="宋体" w:eastAsia="宋体"/>
          <w:sz w:val="24"/>
          <w:szCs w:val="24"/>
          <w:highlight w:val="none"/>
        </w:rPr>
      </w:pPr>
      <w:r>
        <w:rPr>
          <w:rFonts w:hint="eastAsia" w:ascii="宋体" w:hAnsi="宋体" w:eastAsia="宋体"/>
          <w:sz w:val="24"/>
          <w:szCs w:val="24"/>
          <w:highlight w:val="none"/>
        </w:rPr>
        <w:t>气象、地形地貌、水文地质、抗震设防标准、设计基础资料等；</w:t>
      </w:r>
    </w:p>
    <w:p>
      <w:pPr>
        <w:pStyle w:val="50"/>
        <w:numPr>
          <w:ilvl w:val="0"/>
          <w:numId w:val="12"/>
        </w:numPr>
        <w:ind w:left="0" w:firstLine="480" w:firstLineChars="0"/>
        <w:rPr>
          <w:rFonts w:ascii="宋体" w:hAnsi="宋体" w:eastAsia="宋体"/>
          <w:sz w:val="24"/>
          <w:szCs w:val="24"/>
          <w:highlight w:val="none"/>
        </w:rPr>
      </w:pPr>
      <w:r>
        <w:rPr>
          <w:rFonts w:hint="eastAsia" w:ascii="宋体" w:hAnsi="宋体" w:eastAsia="宋体"/>
          <w:sz w:val="24"/>
          <w:szCs w:val="24"/>
          <w:highlight w:val="none"/>
        </w:rPr>
        <w:t>简述招标人和政府有关部门对本项目的设计要求：如：总平面布置，建筑高度控制，造型及材料要求，需保护的设施、土地、植被、树木等；</w:t>
      </w:r>
    </w:p>
    <w:p>
      <w:pPr>
        <w:pStyle w:val="50"/>
        <w:numPr>
          <w:ilvl w:val="0"/>
          <w:numId w:val="12"/>
        </w:numPr>
        <w:ind w:left="0" w:firstLine="480" w:firstLineChars="0"/>
        <w:rPr>
          <w:rFonts w:ascii="宋体" w:hAnsi="宋体" w:eastAsia="宋体"/>
          <w:sz w:val="24"/>
          <w:szCs w:val="24"/>
          <w:highlight w:val="none"/>
        </w:rPr>
      </w:pPr>
      <w:r>
        <w:rPr>
          <w:rFonts w:hint="eastAsia" w:ascii="宋体" w:hAnsi="宋体" w:eastAsia="宋体"/>
          <w:sz w:val="24"/>
          <w:szCs w:val="24"/>
          <w:highlight w:val="none"/>
        </w:rPr>
        <w:t>设计内容和范围；</w:t>
      </w:r>
    </w:p>
    <w:p>
      <w:pPr>
        <w:pStyle w:val="50"/>
        <w:numPr>
          <w:ilvl w:val="0"/>
          <w:numId w:val="12"/>
        </w:numPr>
        <w:ind w:left="0" w:firstLine="480" w:firstLineChars="0"/>
        <w:rPr>
          <w:rFonts w:ascii="宋体" w:hAnsi="宋体" w:eastAsia="宋体"/>
          <w:sz w:val="24"/>
          <w:szCs w:val="24"/>
          <w:highlight w:val="none"/>
        </w:rPr>
      </w:pPr>
      <w:r>
        <w:rPr>
          <w:rFonts w:hint="eastAsia" w:ascii="宋体" w:hAnsi="宋体" w:eastAsia="宋体"/>
          <w:sz w:val="24"/>
          <w:szCs w:val="24"/>
          <w:highlight w:val="none"/>
        </w:rPr>
        <w:t>总建筑面积、总投资。</w:t>
      </w:r>
    </w:p>
    <w:p>
      <w:pPr>
        <w:pStyle w:val="50"/>
        <w:numPr>
          <w:ilvl w:val="0"/>
          <w:numId w:val="0"/>
        </w:numPr>
        <w:ind w:left="0" w:leftChars="0" w:firstLine="560" w:firstLineChars="0"/>
        <w:contextualSpacing/>
        <w:outlineLvl w:val="2"/>
        <w:rPr>
          <w:rFonts w:hint="eastAsia" w:ascii="宋体" w:hAnsi="宋体" w:eastAsia="宋体" w:cs="Times New Roman"/>
          <w:szCs w:val="21"/>
          <w:highlight w:val="none"/>
        </w:rPr>
      </w:pPr>
      <w:bookmarkStart w:id="340" w:name="_Toc30597"/>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建筑设计说明</w:t>
      </w:r>
      <w:bookmarkEnd w:id="340"/>
    </w:p>
    <w:p>
      <w:pPr>
        <w:pStyle w:val="50"/>
        <w:numPr>
          <w:ilvl w:val="0"/>
          <w:numId w:val="13"/>
        </w:numPr>
        <w:ind w:left="0" w:firstLine="480" w:firstLineChars="0"/>
        <w:rPr>
          <w:rFonts w:ascii="宋体" w:hAnsi="宋体" w:eastAsia="宋体"/>
          <w:sz w:val="24"/>
          <w:szCs w:val="21"/>
          <w:highlight w:val="none"/>
        </w:rPr>
      </w:pPr>
      <w:r>
        <w:rPr>
          <w:rFonts w:hint="eastAsia" w:ascii="宋体" w:hAnsi="宋体" w:eastAsia="宋体"/>
          <w:sz w:val="24"/>
          <w:szCs w:val="21"/>
          <w:highlight w:val="none"/>
        </w:rPr>
        <w:t>建筑构思说明；</w:t>
      </w:r>
    </w:p>
    <w:p>
      <w:pPr>
        <w:pStyle w:val="50"/>
        <w:numPr>
          <w:ilvl w:val="0"/>
          <w:numId w:val="13"/>
        </w:numPr>
        <w:ind w:left="0" w:firstLine="480" w:firstLineChars="0"/>
        <w:rPr>
          <w:rFonts w:ascii="宋体" w:hAnsi="宋体" w:eastAsia="宋体"/>
          <w:sz w:val="24"/>
          <w:szCs w:val="21"/>
          <w:highlight w:val="none"/>
        </w:rPr>
      </w:pPr>
      <w:r>
        <w:rPr>
          <w:rFonts w:hint="eastAsia" w:ascii="宋体" w:hAnsi="宋体" w:eastAsia="宋体"/>
          <w:sz w:val="24"/>
          <w:szCs w:val="21"/>
          <w:highlight w:val="none"/>
        </w:rPr>
        <w:t>建筑总平面设计说明；</w:t>
      </w:r>
    </w:p>
    <w:p>
      <w:pPr>
        <w:pStyle w:val="50"/>
        <w:numPr>
          <w:ilvl w:val="0"/>
          <w:numId w:val="13"/>
        </w:numPr>
        <w:ind w:left="0" w:firstLine="480" w:firstLineChars="0"/>
        <w:rPr>
          <w:rFonts w:ascii="宋体" w:hAnsi="宋体" w:eastAsia="宋体"/>
          <w:sz w:val="24"/>
          <w:szCs w:val="21"/>
          <w:highlight w:val="none"/>
        </w:rPr>
      </w:pPr>
      <w:r>
        <w:rPr>
          <w:rFonts w:hint="eastAsia" w:ascii="宋体" w:hAnsi="宋体" w:eastAsia="宋体"/>
          <w:sz w:val="24"/>
          <w:szCs w:val="21"/>
          <w:highlight w:val="none"/>
        </w:rPr>
        <w:t>建筑方案设计说明</w:t>
      </w:r>
    </w:p>
    <w:p>
      <w:pPr>
        <w:numPr>
          <w:ilvl w:val="0"/>
          <w:numId w:val="14"/>
        </w:numPr>
        <w:rPr>
          <w:rFonts w:ascii="宋体" w:hAnsi="宋体"/>
          <w:sz w:val="24"/>
          <w:szCs w:val="21"/>
          <w:highlight w:val="none"/>
        </w:rPr>
      </w:pPr>
      <w:r>
        <w:rPr>
          <w:rFonts w:hint="eastAsia" w:ascii="宋体" w:hAnsi="宋体"/>
          <w:sz w:val="24"/>
          <w:szCs w:val="21"/>
          <w:highlight w:val="none"/>
        </w:rPr>
        <w:t>建筑平面布局交通组织和功能分析；</w:t>
      </w:r>
      <w:r>
        <w:rPr>
          <w:rFonts w:ascii="宋体" w:hAnsi="宋体"/>
          <w:sz w:val="24"/>
          <w:szCs w:val="21"/>
          <w:highlight w:val="none"/>
        </w:rPr>
        <w:t xml:space="preserve"> </w:t>
      </w:r>
    </w:p>
    <w:p>
      <w:pPr>
        <w:numPr>
          <w:ilvl w:val="0"/>
          <w:numId w:val="14"/>
        </w:numPr>
        <w:rPr>
          <w:rFonts w:ascii="宋体" w:hAnsi="宋体"/>
          <w:sz w:val="24"/>
          <w:szCs w:val="21"/>
          <w:highlight w:val="none"/>
        </w:rPr>
      </w:pPr>
      <w:r>
        <w:rPr>
          <w:rFonts w:hint="eastAsia" w:ascii="宋体" w:hAnsi="宋体"/>
          <w:sz w:val="24"/>
          <w:szCs w:val="21"/>
          <w:highlight w:val="none"/>
        </w:rPr>
        <w:t>建筑的空间构成及立面设计；</w:t>
      </w:r>
    </w:p>
    <w:p>
      <w:pPr>
        <w:numPr>
          <w:ilvl w:val="0"/>
          <w:numId w:val="14"/>
        </w:numPr>
        <w:rPr>
          <w:rFonts w:ascii="宋体" w:hAnsi="宋体"/>
          <w:sz w:val="24"/>
          <w:szCs w:val="21"/>
          <w:highlight w:val="none"/>
        </w:rPr>
      </w:pPr>
      <w:r>
        <w:rPr>
          <w:rFonts w:hint="eastAsia" w:ascii="宋体" w:hAnsi="宋体"/>
          <w:sz w:val="24"/>
          <w:szCs w:val="21"/>
          <w:highlight w:val="none"/>
        </w:rPr>
        <w:t>竖向设计说明；</w:t>
      </w:r>
    </w:p>
    <w:p>
      <w:pPr>
        <w:pStyle w:val="50"/>
        <w:numPr>
          <w:ilvl w:val="0"/>
          <w:numId w:val="13"/>
        </w:numPr>
        <w:ind w:left="0" w:firstLine="480" w:firstLineChars="0"/>
        <w:rPr>
          <w:rFonts w:ascii="宋体" w:hAnsi="宋体" w:eastAsia="宋体"/>
          <w:sz w:val="24"/>
          <w:szCs w:val="21"/>
          <w:highlight w:val="none"/>
        </w:rPr>
      </w:pPr>
      <w:r>
        <w:rPr>
          <w:rFonts w:hint="eastAsia" w:ascii="宋体" w:hAnsi="宋体" w:eastAsia="宋体"/>
          <w:sz w:val="24"/>
          <w:szCs w:val="21"/>
          <w:highlight w:val="none"/>
        </w:rPr>
        <w:t xml:space="preserve">主要技术指标和建筑物功能规划  </w:t>
      </w:r>
    </w:p>
    <w:p>
      <w:pPr>
        <w:pStyle w:val="4"/>
        <w:spacing w:before="156" w:after="156"/>
        <w:rPr>
          <w:rFonts w:ascii="宋体" w:hAnsi="宋体"/>
          <w:highlight w:val="none"/>
        </w:rPr>
      </w:pPr>
      <w:bookmarkStart w:id="341" w:name="_Toc1758"/>
      <w:r>
        <w:rPr>
          <w:rFonts w:hint="eastAsia" w:ascii="宋体" w:hAnsi="宋体" w:cs="Times New Roman"/>
          <w:highlight w:val="none"/>
        </w:rPr>
        <w:t>三、</w:t>
      </w:r>
      <w:bookmarkStart w:id="342" w:name="_Toc462255894"/>
      <w:r>
        <w:rPr>
          <w:rFonts w:ascii="宋体" w:hAnsi="宋体" w:cs="Times New Roman"/>
          <w:highlight w:val="none"/>
        </w:rPr>
        <w:t>图纸文件</w:t>
      </w:r>
      <w:bookmarkEnd w:id="341"/>
      <w:bookmarkEnd w:id="342"/>
    </w:p>
    <w:p>
      <w:pPr>
        <w:pStyle w:val="50"/>
        <w:numPr>
          <w:ilvl w:val="0"/>
          <w:numId w:val="0"/>
        </w:numPr>
        <w:tabs>
          <w:tab w:val="left" w:pos="0"/>
        </w:tabs>
        <w:ind w:left="0" w:leftChars="0" w:firstLine="284" w:firstLineChars="0"/>
        <w:outlineLvl w:val="2"/>
        <w:rPr>
          <w:rFonts w:ascii="宋体" w:hAnsi="宋体" w:eastAsia="宋体"/>
          <w:bCs/>
          <w:szCs w:val="21"/>
          <w:highlight w:val="none"/>
        </w:rPr>
      </w:pPr>
      <w:bookmarkStart w:id="343" w:name="_Toc12437"/>
      <w:r>
        <w:rPr>
          <w:rFonts w:ascii="宋体" w:hAnsi="宋体" w:eastAsia="宋体" w:cs="Times New Roman"/>
          <w:b w:val="0"/>
          <w:bCs/>
          <w:kern w:val="2"/>
          <w:sz w:val="28"/>
          <w:szCs w:val="21"/>
          <w:highlight w:val="none"/>
          <w:lang w:val="en-US" w:eastAsia="zh-CN" w:bidi="ar-SA"/>
          <w14:ligatures w14:val="standardContextual"/>
        </w:rPr>
        <w:t>(一)</w:t>
      </w:r>
      <w:r>
        <w:rPr>
          <w:rFonts w:hint="eastAsia" w:ascii="宋体" w:hAnsi="宋体" w:eastAsia="宋体"/>
          <w:bCs/>
          <w:szCs w:val="21"/>
          <w:highlight w:val="none"/>
        </w:rPr>
        <w:t>方案设计阶段的成果内容应包括但不限于以下内容：</w:t>
      </w:r>
      <w:bookmarkEnd w:id="343"/>
    </w:p>
    <w:tbl>
      <w:tblPr>
        <w:tblStyle w:val="24"/>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1"/>
        <w:gridCol w:w="1134"/>
        <w:gridCol w:w="1569"/>
        <w:gridCol w:w="2273"/>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5" w:hRule="atLeast"/>
          <w:jc w:val="center"/>
        </w:trPr>
        <w:tc>
          <w:tcPr>
            <w:tcW w:w="831"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分类</w:t>
            </w:r>
          </w:p>
        </w:tc>
        <w:tc>
          <w:tcPr>
            <w:tcW w:w="1134"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569"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图纸名称</w:t>
            </w:r>
          </w:p>
        </w:tc>
        <w:tc>
          <w:tcPr>
            <w:tcW w:w="2273"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比例/尺寸</w:t>
            </w:r>
          </w:p>
        </w:tc>
        <w:tc>
          <w:tcPr>
            <w:tcW w:w="2253"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31" w:type="dxa"/>
            <w:vMerge w:val="restar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总体分析</w:t>
            </w: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功能分区图</w:t>
            </w:r>
          </w:p>
        </w:tc>
        <w:tc>
          <w:tcPr>
            <w:tcW w:w="2273" w:type="dxa"/>
            <w:vMerge w:val="restart"/>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比例视具体情况而定</w:t>
            </w: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交通分析图</w:t>
            </w:r>
          </w:p>
        </w:tc>
        <w:tc>
          <w:tcPr>
            <w:tcW w:w="2273" w:type="dxa"/>
            <w:vMerge w:val="continue"/>
            <w:vAlign w:val="center"/>
          </w:tcPr>
          <w:p>
            <w:pP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包括停车路线分析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景观分析图</w:t>
            </w:r>
          </w:p>
        </w:tc>
        <w:tc>
          <w:tcPr>
            <w:tcW w:w="2273" w:type="dxa"/>
            <w:vMerge w:val="continue"/>
            <w:vAlign w:val="center"/>
          </w:tcPr>
          <w:p>
            <w:pP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视线分析图</w:t>
            </w:r>
          </w:p>
        </w:tc>
        <w:tc>
          <w:tcPr>
            <w:tcW w:w="2273" w:type="dxa"/>
            <w:vMerge w:val="continue"/>
            <w:vAlign w:val="center"/>
          </w:tcPr>
          <w:p>
            <w:pP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日照分析图</w:t>
            </w:r>
          </w:p>
        </w:tc>
        <w:tc>
          <w:tcPr>
            <w:tcW w:w="2273" w:type="dxa"/>
            <w:vMerge w:val="continue"/>
            <w:vAlign w:val="center"/>
          </w:tcPr>
          <w:p>
            <w:pP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831" w:type="dxa"/>
            <w:vMerge w:val="restar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建筑单体</w:t>
            </w: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总平面图</w:t>
            </w:r>
          </w:p>
        </w:tc>
        <w:tc>
          <w:tcPr>
            <w:tcW w:w="2273" w:type="dxa"/>
            <w:vMerge w:val="continue"/>
            <w:vAlign w:val="center"/>
          </w:tcPr>
          <w:p>
            <w:pP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1"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各层平面图</w:t>
            </w:r>
          </w:p>
        </w:tc>
        <w:tc>
          <w:tcPr>
            <w:tcW w:w="2273" w:type="dxa"/>
            <w:vMerge w:val="continue"/>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主要立面图</w:t>
            </w:r>
          </w:p>
        </w:tc>
        <w:tc>
          <w:tcPr>
            <w:tcW w:w="2273" w:type="dxa"/>
            <w:vMerge w:val="continue"/>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主要剖面图</w:t>
            </w:r>
          </w:p>
        </w:tc>
        <w:tc>
          <w:tcPr>
            <w:tcW w:w="2273" w:type="dxa"/>
            <w:vMerge w:val="continue"/>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重要房间平面布置放大图</w:t>
            </w:r>
          </w:p>
        </w:tc>
        <w:tc>
          <w:tcPr>
            <w:tcW w:w="2273" w:type="dxa"/>
            <w:vMerge w:val="continue"/>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需进行家具布置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restar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设计说明</w:t>
            </w: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总平面设计说明</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569" w:type="dxa"/>
            <w:vAlign w:val="center"/>
          </w:tcPr>
          <w:p>
            <w:pPr>
              <w:rPr>
                <w:rFonts w:hint="eastAsia" w:ascii="宋体" w:hAnsi="宋体" w:eastAsia="宋体" w:cs="宋体"/>
                <w:b/>
                <w:sz w:val="24"/>
                <w:szCs w:val="24"/>
                <w:highlight w:val="none"/>
              </w:rPr>
            </w:pPr>
            <w:r>
              <w:rPr>
                <w:rFonts w:hint="eastAsia" w:ascii="宋体" w:hAnsi="宋体" w:eastAsia="宋体" w:cs="宋体"/>
                <w:bCs/>
                <w:sz w:val="24"/>
                <w:szCs w:val="24"/>
                <w:highlight w:val="none"/>
              </w:rPr>
              <w:t>建筑设计说明</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569" w:type="dxa"/>
            <w:vAlign w:val="center"/>
          </w:tcPr>
          <w:p>
            <w:pPr>
              <w:rPr>
                <w:rFonts w:hint="eastAsia" w:ascii="宋体" w:hAnsi="宋体" w:eastAsia="宋体" w:cs="宋体"/>
                <w:bCs w:val="0"/>
                <w:sz w:val="24"/>
                <w:szCs w:val="24"/>
                <w:highlight w:val="none"/>
              </w:rPr>
            </w:pPr>
            <w:r>
              <w:rPr>
                <w:rFonts w:hint="eastAsia" w:ascii="宋体" w:hAnsi="宋体" w:cs="宋体"/>
                <w:sz w:val="24"/>
                <w:szCs w:val="24"/>
                <w:highlight w:val="none"/>
              </w:rPr>
              <w:t>结构设计说明</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569" w:type="dxa"/>
            <w:vAlign w:val="center"/>
          </w:tcPr>
          <w:p>
            <w:pPr>
              <w:rPr>
                <w:rFonts w:hint="eastAsia" w:ascii="宋体" w:hAnsi="宋体" w:eastAsia="宋体" w:cs="宋体"/>
                <w:bCs w:val="0"/>
                <w:sz w:val="24"/>
                <w:szCs w:val="24"/>
                <w:highlight w:val="none"/>
              </w:rPr>
            </w:pPr>
            <w:r>
              <w:rPr>
                <w:rFonts w:hint="eastAsia" w:ascii="宋体" w:hAnsi="宋体" w:cs="宋体"/>
                <w:sz w:val="24"/>
                <w:szCs w:val="24"/>
                <w:highlight w:val="none"/>
              </w:rPr>
              <w:t>建筑电气设计说明</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569" w:type="dxa"/>
            <w:vAlign w:val="center"/>
          </w:tcPr>
          <w:p>
            <w:pPr>
              <w:rPr>
                <w:rFonts w:hint="eastAsia" w:ascii="宋体" w:hAnsi="宋体" w:eastAsia="宋体" w:cs="宋体"/>
                <w:bCs w:val="0"/>
                <w:sz w:val="24"/>
                <w:szCs w:val="24"/>
                <w:highlight w:val="none"/>
              </w:rPr>
            </w:pPr>
            <w:r>
              <w:rPr>
                <w:rFonts w:hint="eastAsia" w:ascii="宋体" w:hAnsi="宋体" w:cs="宋体"/>
                <w:sz w:val="24"/>
                <w:szCs w:val="24"/>
                <w:highlight w:val="none"/>
              </w:rPr>
              <w:t>给水排水设计说明</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569" w:type="dxa"/>
            <w:vAlign w:val="center"/>
          </w:tcPr>
          <w:p>
            <w:pPr>
              <w:rPr>
                <w:rFonts w:hint="eastAsia" w:ascii="宋体" w:hAnsi="宋体" w:eastAsia="宋体" w:cs="宋体"/>
                <w:bCs w:val="0"/>
                <w:sz w:val="24"/>
                <w:szCs w:val="24"/>
                <w:highlight w:val="none"/>
              </w:rPr>
            </w:pPr>
            <w:r>
              <w:rPr>
                <w:rFonts w:hint="eastAsia" w:ascii="宋体" w:hAnsi="宋体" w:cs="宋体"/>
                <w:sz w:val="24"/>
                <w:szCs w:val="24"/>
                <w:highlight w:val="none"/>
              </w:rPr>
              <w:t>采暖通风与空气调节设计说明</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经济技术指标</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569" w:type="dxa"/>
            <w:vAlign w:val="center"/>
          </w:tcPr>
          <w:p>
            <w:pPr>
              <w:rPr>
                <w:rFonts w:hint="eastAsia" w:ascii="宋体" w:hAnsi="宋体" w:eastAsia="宋体" w:cs="宋体"/>
                <w:sz w:val="24"/>
                <w:szCs w:val="24"/>
                <w:highlight w:val="none"/>
              </w:rPr>
            </w:pPr>
            <w:r>
              <w:rPr>
                <w:rFonts w:hint="eastAsia" w:ascii="宋体" w:hAnsi="宋体" w:cs="宋体"/>
                <w:sz w:val="24"/>
                <w:szCs w:val="24"/>
                <w:highlight w:val="none"/>
              </w:rPr>
              <w:t>各专业单体建筑经济技术指标表</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569" w:type="dxa"/>
            <w:vAlign w:val="center"/>
          </w:tcPr>
          <w:p>
            <w:pPr>
              <w:rPr>
                <w:rFonts w:hint="eastAsia" w:ascii="宋体" w:hAnsi="宋体" w:eastAsia="宋体" w:cs="宋体"/>
                <w:sz w:val="24"/>
                <w:szCs w:val="24"/>
                <w:highlight w:val="none"/>
              </w:rPr>
            </w:pPr>
            <w:r>
              <w:rPr>
                <w:rFonts w:hint="eastAsia" w:ascii="宋体" w:hAnsi="宋体" w:cs="宋体"/>
                <w:sz w:val="24"/>
                <w:szCs w:val="24"/>
                <w:highlight w:val="none"/>
              </w:rPr>
              <w:t>专项工程经济技术指标表</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投资估算</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569" w:type="dxa"/>
            <w:vAlign w:val="center"/>
          </w:tcPr>
          <w:p>
            <w:pPr>
              <w:rPr>
                <w:rFonts w:hint="eastAsia" w:ascii="宋体" w:hAnsi="宋体" w:eastAsia="宋体" w:cs="宋体"/>
                <w:sz w:val="24"/>
                <w:szCs w:val="24"/>
                <w:highlight w:val="none"/>
              </w:rPr>
            </w:pPr>
            <w:r>
              <w:rPr>
                <w:rFonts w:hint="eastAsia" w:ascii="宋体" w:hAnsi="宋体" w:cs="宋体"/>
                <w:sz w:val="24"/>
                <w:szCs w:val="24"/>
                <w:highlight w:val="none"/>
              </w:rPr>
              <w:t>环保和节能设计概述</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5" w:hRule="atLeast"/>
          <w:jc w:val="center"/>
        </w:trPr>
        <w:tc>
          <w:tcPr>
            <w:tcW w:w="831" w:type="dxa"/>
            <w:vMerge w:val="restar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效果图</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包括鸟瞰图、主要建筑低点透视及其他不同角度透视，不少于6张。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5"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A1展板</w:t>
            </w:r>
          </w:p>
        </w:tc>
        <w:tc>
          <w:tcPr>
            <w:tcW w:w="2273"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一套</w:t>
            </w: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5" w:hRule="atLeast"/>
          <w:jc w:val="center"/>
        </w:trPr>
        <w:tc>
          <w:tcPr>
            <w:tcW w:w="831" w:type="dxa"/>
            <w:vMerge w:val="continue"/>
            <w:vAlign w:val="center"/>
          </w:tcPr>
          <w:p>
            <w:pPr>
              <w:jc w:val="cente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电脑模型或手绘渲染草图（若干）</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对建筑外立面和建筑体量进行表达的过程文件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方案设计文本4套</w:t>
            </w:r>
          </w:p>
        </w:tc>
        <w:tc>
          <w:tcPr>
            <w:tcW w:w="2273"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A3</w:t>
            </w:r>
          </w:p>
        </w:tc>
        <w:tc>
          <w:tcPr>
            <w:tcW w:w="2253"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6" w:hRule="atLeast"/>
          <w:jc w:val="center"/>
        </w:trPr>
        <w:tc>
          <w:tcPr>
            <w:tcW w:w="831" w:type="dxa"/>
            <w:vMerge w:val="continue"/>
            <w:vAlign w:val="center"/>
          </w:tcPr>
          <w:p>
            <w:pPr>
              <w:rPr>
                <w:rFonts w:hint="eastAsia" w:ascii="宋体" w:hAnsi="宋体" w:eastAsia="宋体" w:cs="宋体"/>
                <w:sz w:val="24"/>
                <w:szCs w:val="24"/>
                <w:highlight w:val="none"/>
              </w:rPr>
            </w:pPr>
          </w:p>
        </w:tc>
        <w:tc>
          <w:tcPr>
            <w:tcW w:w="1134"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569" w:type="dxa"/>
            <w:vAlign w:val="center"/>
          </w:tcPr>
          <w:p>
            <w:pPr>
              <w:rPr>
                <w:rFonts w:hint="eastAsia" w:ascii="宋体" w:hAnsi="宋体" w:eastAsia="宋体" w:cs="宋体"/>
                <w:sz w:val="24"/>
                <w:szCs w:val="24"/>
                <w:highlight w:val="none"/>
              </w:rPr>
            </w:pPr>
            <w:r>
              <w:rPr>
                <w:rFonts w:hint="eastAsia" w:ascii="宋体" w:hAnsi="宋体" w:eastAsia="宋体" w:cs="宋体"/>
                <w:bCs/>
                <w:sz w:val="24"/>
                <w:szCs w:val="24"/>
                <w:highlight w:val="none"/>
              </w:rPr>
              <w:t>所有成果的电子文件光盘2套</w:t>
            </w:r>
          </w:p>
        </w:tc>
        <w:tc>
          <w:tcPr>
            <w:tcW w:w="2273" w:type="dxa"/>
            <w:vAlign w:val="center"/>
          </w:tcPr>
          <w:p>
            <w:pPr>
              <w:jc w:val="center"/>
              <w:rPr>
                <w:rFonts w:hint="eastAsia" w:ascii="宋体" w:hAnsi="宋体" w:eastAsia="宋体" w:cs="宋体"/>
                <w:sz w:val="24"/>
                <w:szCs w:val="24"/>
                <w:highlight w:val="none"/>
              </w:rPr>
            </w:pPr>
          </w:p>
        </w:tc>
        <w:tc>
          <w:tcPr>
            <w:tcW w:w="225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包括AutoCAD文件、图像文件、文本文件等</w:t>
            </w:r>
          </w:p>
        </w:tc>
      </w:tr>
    </w:tbl>
    <w:p>
      <w:pPr>
        <w:tabs>
          <w:tab w:val="left" w:pos="720"/>
        </w:tabs>
        <w:spacing w:before="156" w:beforeLines="50" w:after="156" w:afterLines="50"/>
        <w:ind w:firstLine="480"/>
        <w:rPr>
          <w:rFonts w:ascii="宋体" w:hAnsi="宋体"/>
          <w:bCs/>
          <w:sz w:val="24"/>
          <w:szCs w:val="21"/>
          <w:highlight w:val="none"/>
        </w:rPr>
      </w:pPr>
      <w:r>
        <w:rPr>
          <w:rFonts w:ascii="宋体" w:hAnsi="宋体"/>
          <w:bCs/>
          <w:sz w:val="24"/>
          <w:szCs w:val="21"/>
          <w:highlight w:val="none"/>
        </w:rPr>
        <w:t xml:space="preserve">  </w:t>
      </w:r>
      <w:r>
        <w:rPr>
          <w:rFonts w:hint="eastAsia" w:ascii="宋体" w:hAnsi="宋体"/>
          <w:bCs/>
          <w:sz w:val="24"/>
          <w:szCs w:val="21"/>
          <w:highlight w:val="none"/>
        </w:rPr>
        <w:t>图纸内容深度须满足《建筑工程设计文件编制深度规定》（</w:t>
      </w:r>
      <w:r>
        <w:rPr>
          <w:rFonts w:ascii="宋体" w:hAnsi="宋体"/>
          <w:bCs/>
          <w:sz w:val="24"/>
          <w:szCs w:val="21"/>
          <w:highlight w:val="none"/>
        </w:rPr>
        <w:t>20</w:t>
      </w:r>
      <w:r>
        <w:rPr>
          <w:rFonts w:hint="eastAsia" w:ascii="宋体" w:hAnsi="宋体"/>
          <w:bCs/>
          <w:sz w:val="24"/>
          <w:szCs w:val="21"/>
          <w:highlight w:val="none"/>
        </w:rPr>
        <w:t>16版）关于</w:t>
      </w:r>
      <w:r>
        <w:rPr>
          <w:rFonts w:hint="eastAsia" w:ascii="宋体" w:hAnsi="宋体"/>
          <w:sz w:val="24"/>
          <w:szCs w:val="21"/>
          <w:highlight w:val="none"/>
        </w:rPr>
        <w:t>方案设计深度要求。</w:t>
      </w:r>
    </w:p>
    <w:p>
      <w:pPr>
        <w:pStyle w:val="50"/>
        <w:numPr>
          <w:ilvl w:val="0"/>
          <w:numId w:val="0"/>
        </w:numPr>
        <w:tabs>
          <w:tab w:val="left" w:pos="0"/>
        </w:tabs>
        <w:ind w:left="0" w:leftChars="0" w:firstLine="0" w:firstLineChars="0"/>
        <w:outlineLvl w:val="2"/>
        <w:rPr>
          <w:rFonts w:ascii="宋体" w:hAnsi="宋体" w:eastAsia="宋体"/>
          <w:bCs/>
          <w:szCs w:val="21"/>
          <w:highlight w:val="none"/>
        </w:rPr>
      </w:pPr>
      <w:bookmarkStart w:id="344" w:name="_Toc7325"/>
      <w:r>
        <w:rPr>
          <w:rFonts w:ascii="宋体" w:hAnsi="宋体" w:eastAsia="宋体" w:cs="Times New Roman"/>
          <w:b w:val="0"/>
          <w:bCs/>
          <w:kern w:val="2"/>
          <w:sz w:val="28"/>
          <w:szCs w:val="21"/>
          <w:highlight w:val="none"/>
          <w:lang w:val="en-US" w:eastAsia="zh-CN" w:bidi="ar-SA"/>
          <w14:ligatures w14:val="standardContextual"/>
        </w:rPr>
        <w:t>(二)</w:t>
      </w:r>
      <w:r>
        <w:rPr>
          <w:rFonts w:hint="eastAsia" w:ascii="宋体" w:hAnsi="宋体" w:eastAsia="宋体"/>
          <w:bCs/>
          <w:szCs w:val="21"/>
          <w:highlight w:val="none"/>
        </w:rPr>
        <w:t>方案深化设计阶段</w:t>
      </w:r>
      <w:bookmarkEnd w:id="344"/>
    </w:p>
    <w:p>
      <w:pPr>
        <w:pStyle w:val="50"/>
        <w:numPr>
          <w:ilvl w:val="0"/>
          <w:numId w:val="0"/>
        </w:numPr>
        <w:tabs>
          <w:tab w:val="left" w:pos="720"/>
        </w:tabs>
        <w:ind w:left="0" w:leftChars="0" w:firstLine="480" w:firstLineChars="0"/>
        <w:rPr>
          <w:rFonts w:ascii="宋体" w:hAnsi="宋体" w:eastAsia="宋体"/>
          <w:bCs/>
          <w:sz w:val="24"/>
          <w:szCs w:val="21"/>
          <w:highlight w:val="none"/>
        </w:rPr>
      </w:pPr>
      <w:r>
        <w:rPr>
          <w:rFonts w:ascii="宋体" w:hAnsi="宋体" w:eastAsia="宋体" w:cs="Times New Roman"/>
          <w:bCs/>
          <w:kern w:val="2"/>
          <w:sz w:val="24"/>
          <w:szCs w:val="21"/>
          <w:highlight w:val="none"/>
          <w:lang w:val="en-US" w:eastAsia="zh-CN" w:bidi="ar-SA"/>
          <w14:ligatures w14:val="standardContextual"/>
        </w:rPr>
        <w:t>1.</w:t>
      </w:r>
      <w:r>
        <w:rPr>
          <w:rFonts w:hint="eastAsia" w:ascii="宋体" w:hAnsi="宋体" w:eastAsia="宋体"/>
          <w:bCs/>
          <w:sz w:val="24"/>
          <w:szCs w:val="21"/>
          <w:highlight w:val="none"/>
        </w:rPr>
        <w:t>方案深化设计阶段（即初步设计阶段）的成果内容应包括但不限于以下内容：</w:t>
      </w:r>
    </w:p>
    <w:tbl>
      <w:tblPr>
        <w:tblStyle w:val="24"/>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68"/>
        <w:gridCol w:w="851"/>
        <w:gridCol w:w="1276"/>
        <w:gridCol w:w="850"/>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5" w:hRule="atLeast"/>
          <w:jc w:val="center"/>
        </w:trPr>
        <w:tc>
          <w:tcPr>
            <w:tcW w:w="1068"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分类</w:t>
            </w:r>
          </w:p>
        </w:tc>
        <w:tc>
          <w:tcPr>
            <w:tcW w:w="851"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276"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图纸名称</w:t>
            </w:r>
          </w:p>
        </w:tc>
        <w:tc>
          <w:tcPr>
            <w:tcW w:w="850"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比例/尺寸</w:t>
            </w:r>
          </w:p>
        </w:tc>
        <w:tc>
          <w:tcPr>
            <w:tcW w:w="3898"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068" w:type="dxa"/>
            <w:vMerge w:val="restar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设计说明</w:t>
            </w: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设计总说明</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含工程设计依据、工程建设规模和设计范围、总指标、设计特点、提请在设计审批时需要解决或确定的主要问题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总平面设计说明</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建筑设计说明</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含防火设计说明、建筑节能说明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结构设计说明</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建筑电气设计说明</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给水排水设计说明</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采暖通风与空气调节设计说明</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设计概算文件</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含编制说明、建设项目总概算表、其他费用表、单项工程综合概算表、单位工程概算书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5" w:hRule="atLeast"/>
          <w:jc w:val="center"/>
        </w:trPr>
        <w:tc>
          <w:tcPr>
            <w:tcW w:w="1068" w:type="dxa"/>
            <w:vMerge w:val="restar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各专业图纸</w:t>
            </w: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总平面图</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含区域位置图、总平面图、绿化规划图、竖向布置图、道路交通系统规划图、管线综合平衡图）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5" w:hRule="atLeast"/>
          <w:jc w:val="center"/>
        </w:trPr>
        <w:tc>
          <w:tcPr>
            <w:tcW w:w="1068" w:type="dxa"/>
            <w:vMerge w:val="continue"/>
            <w:vAlign w:val="center"/>
          </w:tcPr>
          <w:p>
            <w:pPr>
              <w:jc w:val="cente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建筑专业图纸</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含各层平面图、立面图、剖面图、防火分区图。其中，立面图不少于3个，剖面图不少于2个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结构专业图纸</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含基础平面图及主要基础构件的截面尺寸、主要楼层结构平面布置图、结构主要或关键性节点、支座示意图、结构计算书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电气专业图纸</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含电气总平面图、变配电系统图、配电照明系统图、火灾自动报警系统图、通信网络系统图、防雷接地系统图、主要电气设备表、计算书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给排水专业图</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含建筑室外给水排水总平面图、建筑给水排水局部总平面图、建筑室内给水排水平面图和系统原理图、主要设备器材表、计算书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6"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采暖通风与空气调节专业图</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含主要平面布置图、系统流程图、通风空调防排烟平面图、冷热源机房平面图、计算书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6" w:hRule="atLeast"/>
          <w:jc w:val="center"/>
        </w:trPr>
        <w:tc>
          <w:tcPr>
            <w:tcW w:w="1068" w:type="dxa"/>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配套专业</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项目用地范围内基础配套设施工程设计、室内外管线综合平衡设计、室内外体育设施、室外市政、园林工程设计、室内外标识系统设计的方案设计、初步设计，初步设计概算等；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3" w:hRule="atLeast"/>
          <w:jc w:val="center"/>
        </w:trPr>
        <w:tc>
          <w:tcPr>
            <w:tcW w:w="1068" w:type="dxa"/>
            <w:vMerge w:val="restart"/>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鸟瞰图</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不少于2张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4" w:hRule="atLeast"/>
          <w:jc w:val="center"/>
        </w:trPr>
        <w:tc>
          <w:tcPr>
            <w:tcW w:w="1068" w:type="dxa"/>
            <w:vMerge w:val="continue"/>
            <w:vAlign w:val="center"/>
          </w:tcPr>
          <w:p>
            <w:pPr>
              <w:rPr>
                <w:rFonts w:hint="eastAsia" w:ascii="宋体" w:hAnsi="宋体" w:eastAsia="宋体" w:cs="宋体"/>
                <w:sz w:val="24"/>
                <w:szCs w:val="24"/>
                <w:highlight w:val="none"/>
              </w:rPr>
            </w:pPr>
          </w:p>
        </w:tc>
        <w:tc>
          <w:tcPr>
            <w:tcW w:w="851"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局部空间透视图</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不少于6张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4" w:hRule="atLeast"/>
          <w:jc w:val="center"/>
        </w:trPr>
        <w:tc>
          <w:tcPr>
            <w:tcW w:w="1068" w:type="dxa"/>
            <w:vAlign w:val="center"/>
          </w:tcPr>
          <w:p>
            <w:pPr>
              <w:rPr>
                <w:rFonts w:hint="eastAsia" w:ascii="宋体" w:hAnsi="宋体" w:eastAsia="宋体" w:cs="宋体"/>
                <w:sz w:val="24"/>
                <w:szCs w:val="24"/>
                <w:highlight w:val="none"/>
              </w:rPr>
            </w:pPr>
          </w:p>
        </w:tc>
        <w:tc>
          <w:tcPr>
            <w:tcW w:w="851" w:type="dxa"/>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276" w:type="dxa"/>
            <w:vAlign w:val="center"/>
          </w:tcPr>
          <w:p>
            <w:pPr>
              <w:rPr>
                <w:rFonts w:hint="eastAsia" w:ascii="宋体" w:hAnsi="宋体" w:eastAsia="宋体" w:cs="宋体"/>
                <w:sz w:val="24"/>
                <w:szCs w:val="24"/>
                <w:highlight w:val="none"/>
              </w:rPr>
            </w:pPr>
            <w:r>
              <w:rPr>
                <w:rFonts w:hint="eastAsia" w:ascii="宋体" w:hAnsi="宋体" w:eastAsia="宋体"/>
                <w:sz w:val="22"/>
                <w:highlight w:val="none"/>
                <w:lang w:val="en-US" w:eastAsia="zh-CN"/>
              </w:rPr>
              <w:t>基座不小于3米x3米沙盘</w:t>
            </w:r>
          </w:p>
        </w:tc>
        <w:tc>
          <w:tcPr>
            <w:tcW w:w="850" w:type="dxa"/>
            <w:vAlign w:val="center"/>
          </w:tcPr>
          <w:p>
            <w:pPr>
              <w:jc w:val="center"/>
              <w:rPr>
                <w:rFonts w:hint="eastAsia" w:ascii="宋体" w:hAnsi="宋体" w:eastAsia="宋体" w:cs="宋体"/>
                <w:sz w:val="24"/>
                <w:szCs w:val="24"/>
                <w:highlight w:val="none"/>
              </w:rPr>
            </w:pPr>
          </w:p>
        </w:tc>
        <w:tc>
          <w:tcPr>
            <w:tcW w:w="3898" w:type="dxa"/>
            <w:vAlign w:val="center"/>
          </w:tcPr>
          <w:p>
            <w:pPr>
              <w:rPr>
                <w:rFonts w:hint="eastAsia" w:ascii="宋体" w:hAnsi="宋体" w:eastAsia="宋体" w:cs="宋体"/>
                <w:sz w:val="24"/>
                <w:szCs w:val="24"/>
                <w:highlight w:val="none"/>
              </w:rPr>
            </w:pPr>
            <w:r>
              <w:rPr>
                <w:rFonts w:hint="eastAsia" w:ascii="宋体" w:hAnsi="宋体" w:eastAsia="宋体"/>
                <w:sz w:val="22"/>
                <w:highlight w:val="none"/>
                <w:lang w:val="en-US" w:eastAsia="zh-CN"/>
              </w:rPr>
              <w:t>不少于1个</w:t>
            </w:r>
          </w:p>
        </w:tc>
      </w:tr>
    </w:tbl>
    <w:p>
      <w:pPr>
        <w:pStyle w:val="50"/>
        <w:numPr>
          <w:ilvl w:val="0"/>
          <w:numId w:val="0"/>
        </w:numPr>
        <w:tabs>
          <w:tab w:val="left" w:pos="0"/>
        </w:tabs>
        <w:spacing w:before="156" w:beforeLines="50" w:after="156" w:afterLines="50"/>
        <w:ind w:left="0" w:leftChars="0" w:firstLine="484" w:firstLineChars="202"/>
        <w:rPr>
          <w:rFonts w:ascii="宋体" w:hAnsi="宋体" w:eastAsia="宋体"/>
          <w:sz w:val="24"/>
          <w:szCs w:val="24"/>
          <w:highlight w:val="none"/>
        </w:rPr>
      </w:pPr>
      <w:r>
        <w:rPr>
          <w:rFonts w:ascii="宋体" w:hAnsi="宋体" w:eastAsia="宋体" w:cs="Times New Roman"/>
          <w:kern w:val="2"/>
          <w:sz w:val="24"/>
          <w:szCs w:val="24"/>
          <w:highlight w:val="none"/>
          <w:lang w:val="en-US" w:eastAsia="zh-CN" w:bidi="ar-SA"/>
          <w14:ligatures w14:val="standardContextual"/>
        </w:rPr>
        <w:t>2.</w:t>
      </w:r>
      <w:r>
        <w:rPr>
          <w:rFonts w:hint="eastAsia" w:ascii="宋体" w:hAnsi="宋体" w:eastAsia="宋体"/>
          <w:bCs/>
          <w:sz w:val="24"/>
          <w:szCs w:val="24"/>
          <w:highlight w:val="none"/>
        </w:rPr>
        <w:t>图纸内容深度须满足《建筑工程设计文件编制深度规定》（</w:t>
      </w:r>
      <w:r>
        <w:rPr>
          <w:rFonts w:ascii="宋体" w:hAnsi="宋体" w:eastAsia="宋体"/>
          <w:bCs/>
          <w:sz w:val="24"/>
          <w:szCs w:val="24"/>
          <w:highlight w:val="none"/>
        </w:rPr>
        <w:t>20</w:t>
      </w:r>
      <w:r>
        <w:rPr>
          <w:rFonts w:hint="eastAsia" w:ascii="宋体" w:hAnsi="宋体" w:eastAsia="宋体"/>
          <w:bCs/>
          <w:sz w:val="24"/>
          <w:szCs w:val="24"/>
          <w:highlight w:val="none"/>
        </w:rPr>
        <w:t>16版）关于</w:t>
      </w:r>
      <w:r>
        <w:rPr>
          <w:rFonts w:hint="eastAsia" w:ascii="宋体" w:hAnsi="宋体" w:eastAsia="宋体"/>
          <w:sz w:val="24"/>
          <w:szCs w:val="24"/>
          <w:highlight w:val="none"/>
        </w:rPr>
        <w:t>初步设计深度要求。</w:t>
      </w:r>
    </w:p>
    <w:p>
      <w:pPr>
        <w:pStyle w:val="50"/>
        <w:numPr>
          <w:ilvl w:val="0"/>
          <w:numId w:val="0"/>
        </w:numPr>
        <w:tabs>
          <w:tab w:val="left" w:pos="720"/>
        </w:tabs>
        <w:spacing w:before="156" w:beforeLines="50" w:after="156" w:afterLines="50"/>
        <w:ind w:left="0" w:leftChars="0" w:firstLine="484" w:firstLineChars="202"/>
        <w:rPr>
          <w:rFonts w:ascii="宋体" w:hAnsi="宋体" w:eastAsia="宋体"/>
          <w:bCs/>
          <w:sz w:val="24"/>
          <w:szCs w:val="24"/>
          <w:highlight w:val="none"/>
        </w:rPr>
      </w:pPr>
      <w:r>
        <w:rPr>
          <w:rFonts w:ascii="宋体" w:hAnsi="宋体" w:eastAsia="宋体" w:cs="Times New Roman"/>
          <w:bCs/>
          <w:kern w:val="2"/>
          <w:sz w:val="24"/>
          <w:szCs w:val="24"/>
          <w:highlight w:val="none"/>
          <w:lang w:val="en-US" w:eastAsia="zh-CN" w:bidi="ar-SA"/>
          <w14:ligatures w14:val="standardContextual"/>
        </w:rPr>
        <w:t>3.</w:t>
      </w:r>
      <w:r>
        <w:rPr>
          <w:rFonts w:hint="eastAsia" w:ascii="宋体" w:hAnsi="宋体" w:eastAsia="宋体"/>
          <w:bCs/>
          <w:sz w:val="24"/>
          <w:szCs w:val="24"/>
          <w:highlight w:val="none"/>
        </w:rPr>
        <w:t>方案深化设计阶段提供白图</w:t>
      </w:r>
      <w:r>
        <w:rPr>
          <w:rFonts w:ascii="宋体" w:hAnsi="宋体" w:eastAsia="宋体"/>
          <w:bCs/>
          <w:sz w:val="24"/>
          <w:szCs w:val="24"/>
          <w:highlight w:val="none"/>
        </w:rPr>
        <w:t>8</w:t>
      </w:r>
      <w:r>
        <w:rPr>
          <w:rFonts w:hint="eastAsia" w:ascii="宋体" w:hAnsi="宋体" w:eastAsia="宋体"/>
          <w:bCs/>
          <w:sz w:val="24"/>
          <w:szCs w:val="24"/>
          <w:highlight w:val="none"/>
        </w:rPr>
        <w:t>份</w:t>
      </w:r>
      <w:r>
        <w:rPr>
          <w:rFonts w:ascii="宋体" w:hAnsi="宋体" w:eastAsia="宋体"/>
          <w:bCs/>
          <w:sz w:val="24"/>
          <w:szCs w:val="24"/>
          <w:highlight w:val="none"/>
        </w:rPr>
        <w:t>(</w:t>
      </w:r>
      <w:r>
        <w:rPr>
          <w:rFonts w:hint="eastAsia" w:ascii="宋体" w:hAnsi="宋体" w:eastAsia="宋体"/>
          <w:bCs/>
          <w:sz w:val="24"/>
          <w:szCs w:val="24"/>
          <w:highlight w:val="none"/>
        </w:rPr>
        <w:t>设计审查</w:t>
      </w:r>
      <w:r>
        <w:rPr>
          <w:rFonts w:ascii="宋体" w:hAnsi="宋体" w:eastAsia="宋体"/>
          <w:bCs/>
          <w:sz w:val="24"/>
          <w:szCs w:val="24"/>
          <w:highlight w:val="none"/>
        </w:rPr>
        <w:t>2</w:t>
      </w:r>
      <w:r>
        <w:rPr>
          <w:rFonts w:hint="eastAsia" w:ascii="宋体" w:hAnsi="宋体" w:eastAsia="宋体"/>
          <w:bCs/>
          <w:sz w:val="24"/>
          <w:szCs w:val="24"/>
          <w:highlight w:val="none"/>
        </w:rPr>
        <w:t>份、存档</w:t>
      </w:r>
      <w:r>
        <w:rPr>
          <w:rFonts w:ascii="宋体" w:hAnsi="宋体" w:eastAsia="宋体"/>
          <w:bCs/>
          <w:sz w:val="24"/>
          <w:szCs w:val="24"/>
          <w:highlight w:val="none"/>
        </w:rPr>
        <w:t>2</w:t>
      </w:r>
      <w:r>
        <w:rPr>
          <w:rFonts w:hint="eastAsia" w:ascii="宋体" w:hAnsi="宋体" w:eastAsia="宋体"/>
          <w:bCs/>
          <w:sz w:val="24"/>
          <w:szCs w:val="24"/>
          <w:highlight w:val="none"/>
        </w:rPr>
        <w:t>份、施工招标准备</w:t>
      </w:r>
      <w:r>
        <w:rPr>
          <w:rFonts w:ascii="宋体" w:hAnsi="宋体" w:eastAsia="宋体"/>
          <w:bCs/>
          <w:sz w:val="24"/>
          <w:szCs w:val="24"/>
          <w:highlight w:val="none"/>
        </w:rPr>
        <w:t>4</w:t>
      </w:r>
      <w:r>
        <w:rPr>
          <w:rFonts w:hint="eastAsia" w:ascii="宋体" w:hAnsi="宋体" w:eastAsia="宋体"/>
          <w:bCs/>
          <w:sz w:val="24"/>
          <w:szCs w:val="24"/>
          <w:highlight w:val="none"/>
        </w:rPr>
        <w:t>份</w:t>
      </w:r>
      <w:r>
        <w:rPr>
          <w:rFonts w:ascii="宋体" w:hAnsi="宋体" w:eastAsia="宋体"/>
          <w:bCs/>
          <w:sz w:val="24"/>
          <w:szCs w:val="24"/>
          <w:highlight w:val="none"/>
        </w:rPr>
        <w:t>)</w:t>
      </w:r>
      <w:r>
        <w:rPr>
          <w:rFonts w:hint="eastAsia" w:ascii="宋体" w:hAnsi="宋体" w:eastAsia="宋体"/>
          <w:bCs/>
          <w:sz w:val="24"/>
          <w:szCs w:val="24"/>
          <w:highlight w:val="none"/>
        </w:rPr>
        <w:t>，蓝图</w:t>
      </w:r>
      <w:r>
        <w:rPr>
          <w:rFonts w:ascii="宋体" w:hAnsi="宋体" w:eastAsia="宋体"/>
          <w:bCs/>
          <w:sz w:val="24"/>
          <w:szCs w:val="24"/>
          <w:highlight w:val="none"/>
        </w:rPr>
        <w:t>4</w:t>
      </w:r>
      <w:r>
        <w:rPr>
          <w:rFonts w:hint="eastAsia" w:ascii="宋体" w:hAnsi="宋体" w:eastAsia="宋体"/>
          <w:bCs/>
          <w:sz w:val="24"/>
          <w:szCs w:val="24"/>
          <w:highlight w:val="none"/>
        </w:rPr>
        <w:t>份（用于报建），电脑光盘</w:t>
      </w:r>
      <w:r>
        <w:rPr>
          <w:rFonts w:ascii="宋体" w:hAnsi="宋体" w:eastAsia="宋体"/>
          <w:bCs/>
          <w:sz w:val="24"/>
          <w:szCs w:val="24"/>
          <w:highlight w:val="none"/>
        </w:rPr>
        <w:t>2</w:t>
      </w:r>
      <w:r>
        <w:rPr>
          <w:rFonts w:hint="eastAsia" w:ascii="宋体" w:hAnsi="宋体" w:eastAsia="宋体"/>
          <w:bCs/>
          <w:sz w:val="24"/>
          <w:szCs w:val="24"/>
          <w:highlight w:val="none"/>
        </w:rPr>
        <w:t>套（应含各专业设计文件）。</w:t>
      </w:r>
    </w:p>
    <w:p>
      <w:pPr>
        <w:pStyle w:val="50"/>
        <w:numPr>
          <w:ilvl w:val="0"/>
          <w:numId w:val="0"/>
        </w:numPr>
        <w:tabs>
          <w:tab w:val="left" w:pos="0"/>
        </w:tabs>
        <w:ind w:left="0" w:leftChars="0" w:firstLine="282" w:firstLineChars="101"/>
        <w:outlineLvl w:val="2"/>
        <w:rPr>
          <w:rFonts w:ascii="宋体" w:hAnsi="宋体" w:eastAsia="宋体"/>
          <w:bCs/>
          <w:szCs w:val="21"/>
          <w:highlight w:val="none"/>
        </w:rPr>
      </w:pPr>
      <w:bookmarkStart w:id="345" w:name="_Toc2993"/>
      <w:r>
        <w:rPr>
          <w:rFonts w:ascii="宋体" w:hAnsi="宋体" w:eastAsia="宋体" w:cs="Times New Roman"/>
          <w:bCs/>
          <w:kern w:val="2"/>
          <w:sz w:val="28"/>
          <w:szCs w:val="21"/>
          <w:highlight w:val="none"/>
          <w:lang w:val="en-US" w:eastAsia="zh-CN" w:bidi="ar-SA"/>
          <w14:ligatures w14:val="standardContextual"/>
        </w:rPr>
        <w:t>(三)</w:t>
      </w:r>
      <w:r>
        <w:rPr>
          <w:rFonts w:hint="eastAsia" w:ascii="宋体" w:hAnsi="宋体" w:eastAsia="宋体"/>
          <w:bCs/>
          <w:szCs w:val="21"/>
          <w:highlight w:val="none"/>
        </w:rPr>
        <w:t>施工图设计阶段</w:t>
      </w:r>
      <w:bookmarkEnd w:id="345"/>
    </w:p>
    <w:p>
      <w:pPr>
        <w:tabs>
          <w:tab w:val="left" w:pos="0"/>
        </w:tabs>
        <w:ind w:firstLine="480"/>
        <w:rPr>
          <w:rFonts w:ascii="宋体" w:hAnsi="宋体"/>
          <w:bCs/>
          <w:sz w:val="20"/>
          <w:szCs w:val="28"/>
          <w:highlight w:val="none"/>
        </w:rPr>
      </w:pPr>
      <w:r>
        <w:rPr>
          <w:rFonts w:hint="eastAsia" w:ascii="宋体" w:hAnsi="宋体"/>
          <w:bCs/>
          <w:sz w:val="24"/>
          <w:szCs w:val="28"/>
          <w:highlight w:val="none"/>
        </w:rPr>
        <w:t>施工图设计阶段的成果内容应包括但不限于以下内容：</w:t>
      </w:r>
    </w:p>
    <w:tbl>
      <w:tblPr>
        <w:tblStyle w:val="24"/>
        <w:tblW w:w="7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4"/>
        <w:gridCol w:w="709"/>
        <w:gridCol w:w="2268"/>
        <w:gridCol w:w="772"/>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5" w:hRule="atLeast"/>
          <w:jc w:val="center"/>
        </w:trPr>
        <w:tc>
          <w:tcPr>
            <w:tcW w:w="724"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分类</w:t>
            </w:r>
          </w:p>
        </w:tc>
        <w:tc>
          <w:tcPr>
            <w:tcW w:w="709"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68"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图纸名称</w:t>
            </w:r>
          </w:p>
        </w:tc>
        <w:tc>
          <w:tcPr>
            <w:tcW w:w="772"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比例/尺寸</w:t>
            </w:r>
          </w:p>
        </w:tc>
        <w:tc>
          <w:tcPr>
            <w:tcW w:w="3480" w:type="dxa"/>
            <w:shd w:val="clear" w:color="auto" w:fill="E0E0E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724" w:type="dxa"/>
            <w:vMerge w:val="restart"/>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设计说明</w:t>
            </w: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总平面设计说明</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建筑设计说明</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结构设计说明</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建筑电气设计说明</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给水排水设计说明</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采暖通风与空气调节设计说明</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含设计说明和施工说明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5" w:hRule="atLeast"/>
          <w:jc w:val="center"/>
        </w:trPr>
        <w:tc>
          <w:tcPr>
            <w:tcW w:w="724" w:type="dxa"/>
            <w:vMerge w:val="restar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各专业图纸</w:t>
            </w: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268" w:type="dxa"/>
            <w:vAlign w:val="center"/>
          </w:tcPr>
          <w:p>
            <w:pP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总平面图</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w:t>
            </w:r>
            <w:r>
              <w:rPr>
                <w:rFonts w:hint="eastAsia" w:ascii="宋体" w:hAnsi="宋体" w:eastAsia="宋体" w:cs="宋体"/>
                <w:kern w:val="0"/>
                <w:sz w:val="24"/>
                <w:szCs w:val="24"/>
                <w:highlight w:val="none"/>
              </w:rPr>
              <w:t>现状地形图、</w:t>
            </w:r>
            <w:r>
              <w:rPr>
                <w:rFonts w:hint="eastAsia" w:ascii="宋体" w:hAnsi="宋体" w:eastAsia="宋体" w:cs="宋体"/>
                <w:sz w:val="24"/>
                <w:szCs w:val="24"/>
                <w:highlight w:val="none"/>
              </w:rPr>
              <w:t>总平面规划图、竖向布置图、场地土石方计算图、管道综合图、</w:t>
            </w:r>
            <w:r>
              <w:rPr>
                <w:rFonts w:hint="eastAsia" w:ascii="宋体" w:hAnsi="宋体" w:eastAsia="宋体" w:cs="宋体"/>
                <w:kern w:val="0"/>
                <w:sz w:val="24"/>
                <w:szCs w:val="24"/>
                <w:highlight w:val="none"/>
              </w:rPr>
              <w:t>交通规划图及道路施工图、停车场施工图、场地边坡、挡土墙施工图</w:t>
            </w:r>
            <w:r>
              <w:rPr>
                <w:rFonts w:hint="eastAsia" w:ascii="宋体" w:hAnsi="宋体" w:eastAsia="宋体" w:cs="宋体"/>
                <w:sz w:val="24"/>
                <w:szCs w:val="24"/>
                <w:highlight w:val="none"/>
              </w:rPr>
              <w:t>、详图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5" w:hRule="atLeast"/>
          <w:jc w:val="center"/>
        </w:trPr>
        <w:tc>
          <w:tcPr>
            <w:tcW w:w="724" w:type="dxa"/>
            <w:vMerge w:val="continue"/>
            <w:vAlign w:val="center"/>
          </w:tcPr>
          <w:p>
            <w:pPr>
              <w:jc w:val="cente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268" w:type="dxa"/>
            <w:vAlign w:val="center"/>
          </w:tcPr>
          <w:p>
            <w:pP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建筑专业图纸</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含各层平面图、立面图、剖面图、详图、建筑节能计算书、防火分区图、</w:t>
            </w:r>
            <w:r>
              <w:rPr>
                <w:rFonts w:hint="eastAsia" w:ascii="宋体" w:hAnsi="宋体" w:eastAsia="宋体" w:cs="宋体"/>
                <w:kern w:val="0"/>
                <w:sz w:val="24"/>
                <w:szCs w:val="24"/>
                <w:highlight w:val="none"/>
              </w:rPr>
              <w:t>节点大样图、门窗大样图、门窗表。其中</w:t>
            </w:r>
            <w:r>
              <w:rPr>
                <w:rFonts w:hint="eastAsia" w:ascii="宋体" w:hAnsi="宋体" w:eastAsia="宋体" w:cs="宋体"/>
                <w:sz w:val="24"/>
                <w:szCs w:val="24"/>
                <w:highlight w:val="none"/>
              </w:rPr>
              <w:t>立面图不少于4个，剖面图不少于2个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268" w:type="dxa"/>
            <w:vAlign w:val="center"/>
          </w:tcPr>
          <w:p>
            <w:pP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结构专业图纸</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含基础平面图及基础详图、各层及屋面结构平面图、</w:t>
            </w:r>
            <w:r>
              <w:rPr>
                <w:rFonts w:hint="eastAsia" w:ascii="宋体" w:hAnsi="宋体" w:eastAsia="宋体" w:cs="宋体"/>
                <w:kern w:val="0"/>
                <w:sz w:val="24"/>
                <w:szCs w:val="24"/>
                <w:highlight w:val="none"/>
              </w:rPr>
              <w:t>各层楼面及屋面板配筋图、</w:t>
            </w:r>
            <w:r>
              <w:rPr>
                <w:rFonts w:hint="eastAsia" w:ascii="宋体" w:hAnsi="宋体" w:eastAsia="宋体" w:cs="宋体"/>
                <w:sz w:val="24"/>
                <w:szCs w:val="24"/>
                <w:highlight w:val="none"/>
              </w:rPr>
              <w:t>钢筋混凝土构件详图、混凝土结构节点构造详图、其他图纸、钢结构设计施工图、建筑幕墙的结构设计文件、计算书。视实际情况，提供钢结构设计施工图及建筑幕墙的结构设计文件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电气专业图纸</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电气总平面图、变配电系统图、变配电站内电气设备平断面布置图、配电照明系统图及照明灯具设计图、电缆桥架布置图、火灾自动报警系统设计图、建筑设备监控系统及系统集成设计图、防雷接地设计图、主要电气设备表、通讯系统配线图、通讯系统平面布置图、端子箱接线图、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给排水专业图</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含建筑室外给水排水总平面图、给排水局部总平面图、各层平面布置图、系统原理图及轴侧图、建筑室内给水排水平面图、主要设备器材表、计算书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6"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采暖通风与空气调节专业图</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含主要平面布置图、主剖面布置图、通风空调制冷机房平面图和剖面图大样图、系统流程图、立管或竖风道图、通风、空调剖面图和详图、计算书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6"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通信系统图</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含设计说明、主要设备材料表、主要设备布置图、系统单线图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6"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配套专业</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项目用地范围内基础配套设施工程设计、室内外管线综合平衡设计、室内外体育设施、室外市政、园林工程设计的施工图设计（含设计变更）等；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6"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绿色建筑资料</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绿色建筑设计说明专篇、绿色建筑各项模拟分析报告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6"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海绵城市图纸</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平面布置图、大样图、流程图、设计专篇、目标表、自评表等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6" w:hRule="atLeast"/>
          <w:jc w:val="center"/>
        </w:trPr>
        <w:tc>
          <w:tcPr>
            <w:tcW w:w="724" w:type="dxa"/>
            <w:vMerge w:val="continue"/>
            <w:vAlign w:val="center"/>
          </w:tcPr>
          <w:p>
            <w:pPr>
              <w:rPr>
                <w:rFonts w:hint="eastAsia" w:ascii="宋体" w:hAnsi="宋体" w:eastAsia="宋体" w:cs="宋体"/>
                <w:sz w:val="24"/>
                <w:szCs w:val="24"/>
                <w:highlight w:val="none"/>
              </w:rPr>
            </w:pPr>
          </w:p>
        </w:tc>
        <w:tc>
          <w:tcPr>
            <w:tcW w:w="709"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2268"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装配式建筑图纸</w:t>
            </w:r>
          </w:p>
        </w:tc>
        <w:tc>
          <w:tcPr>
            <w:tcW w:w="772" w:type="dxa"/>
            <w:vAlign w:val="center"/>
          </w:tcPr>
          <w:p>
            <w:pPr>
              <w:jc w:val="center"/>
              <w:rPr>
                <w:rFonts w:hint="eastAsia" w:ascii="宋体" w:hAnsi="宋体" w:eastAsia="宋体" w:cs="宋体"/>
                <w:sz w:val="24"/>
                <w:szCs w:val="24"/>
                <w:highlight w:val="none"/>
              </w:rPr>
            </w:pPr>
          </w:p>
        </w:tc>
        <w:tc>
          <w:tcPr>
            <w:tcW w:w="348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预装配式建筑施工图纸（不含构件深化）、装配式建筑设计专篇、装配式建筑项目装配率计算书、配合总包编制装配式建筑实施专篇</w:t>
            </w:r>
          </w:p>
        </w:tc>
      </w:tr>
    </w:tbl>
    <w:p>
      <w:pPr>
        <w:pStyle w:val="5"/>
        <w:numPr>
          <w:ilvl w:val="0"/>
          <w:numId w:val="0"/>
        </w:numPr>
        <w:spacing w:before="156" w:after="156"/>
        <w:rPr>
          <w:highlight w:val="none"/>
        </w:rPr>
      </w:pPr>
      <w:r>
        <w:rPr>
          <w:highlight w:val="none"/>
        </w:rPr>
        <w:t xml:space="preserve"> </w:t>
      </w:r>
      <w:bookmarkStart w:id="346" w:name="_Toc6368"/>
      <w:r>
        <w:rPr>
          <w:rFonts w:hint="eastAsia"/>
          <w:highlight w:val="none"/>
        </w:rPr>
        <w:t>（四）</w:t>
      </w:r>
      <w:bookmarkStart w:id="347" w:name="_Toc462255896"/>
      <w:bookmarkStart w:id="348" w:name="_Toc462255980"/>
      <w:r>
        <w:rPr>
          <w:highlight w:val="none"/>
        </w:rPr>
        <w:t>工程造价估算</w:t>
      </w:r>
      <w:bookmarkEnd w:id="346"/>
      <w:bookmarkEnd w:id="347"/>
      <w:bookmarkEnd w:id="348"/>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造价估算原则和依据</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作为对建筑方案进行技术经济评估的依据之一，建筑方案工程造价估算准确度应在建筑方案阶段允许范围之内。当其准确度影响到对该方案的可行性判定时，应对该建筑方案进行专项技术经济评估；</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建筑方案工程造价估算编制依据包括项目所在地造价管理部门发布的有关造价文件和项目有关的各类资料，如项目批文、建筑方案设计图纸、市场价格信息和类似工程技术经济指标等。</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建筑方案工程造价估算工作内容</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编制估算并以单位指标形式表达；</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配合方案比选；</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配合方案优化；</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估算调整。</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建筑方案工程造价估算文件编制说明及估算表</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估算编制说明资料</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a)</w:t>
      </w:r>
      <w:r>
        <w:rPr>
          <w:rFonts w:hint="eastAsia" w:ascii="宋体" w:hAnsi="宋体" w:eastAsia="宋体" w:cs="Times New Roman"/>
          <w:sz w:val="24"/>
          <w:szCs w:val="24"/>
          <w:highlight w:val="none"/>
        </w:rPr>
        <w:t>编制依据；</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b)</w:t>
      </w:r>
      <w:r>
        <w:rPr>
          <w:rFonts w:hint="eastAsia" w:ascii="宋体" w:hAnsi="宋体" w:eastAsia="宋体" w:cs="Times New Roman"/>
          <w:sz w:val="24"/>
          <w:szCs w:val="24"/>
          <w:highlight w:val="none"/>
        </w:rPr>
        <w:t>编制方法；</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c)</w:t>
      </w:r>
      <w:r>
        <w:rPr>
          <w:rFonts w:hint="eastAsia" w:ascii="宋体" w:hAnsi="宋体" w:eastAsia="宋体" w:cs="Times New Roman"/>
          <w:sz w:val="24"/>
          <w:szCs w:val="24"/>
          <w:highlight w:val="none"/>
        </w:rPr>
        <w:t>编制范围（包括和不包括的工程项目与费用）；</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d)</w:t>
      </w:r>
      <w:r>
        <w:rPr>
          <w:rFonts w:hint="eastAsia" w:ascii="宋体" w:hAnsi="宋体" w:eastAsia="宋体" w:cs="Times New Roman"/>
          <w:sz w:val="24"/>
          <w:szCs w:val="24"/>
          <w:highlight w:val="none"/>
        </w:rPr>
        <w:t>主要技术经济指标；</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e)</w:t>
      </w:r>
      <w:r>
        <w:rPr>
          <w:rFonts w:hint="eastAsia" w:ascii="宋体" w:hAnsi="宋体" w:eastAsia="宋体" w:cs="Times New Roman"/>
          <w:sz w:val="24"/>
          <w:szCs w:val="24"/>
          <w:highlight w:val="none"/>
        </w:rPr>
        <w:t>限额设计说明（如有）及其他必要说明的问题。</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估算表</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a)</w:t>
      </w:r>
      <w:r>
        <w:rPr>
          <w:rFonts w:hint="eastAsia" w:ascii="宋体" w:hAnsi="宋体" w:eastAsia="宋体" w:cs="Times New Roman"/>
          <w:sz w:val="24"/>
          <w:szCs w:val="24"/>
          <w:highlight w:val="none"/>
        </w:rPr>
        <w:t>应以单个单项工程为编制单元，由土建、给排水、电气、暖通、空调、动力、智能化等单位工程的估算和土石方、道路、室外管线、绿化等室外工程的估算两大部分内容组成；</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b)</w:t>
      </w:r>
      <w:r>
        <w:rPr>
          <w:rFonts w:hint="eastAsia" w:ascii="宋体" w:hAnsi="宋体" w:eastAsia="宋体" w:cs="Times New Roman"/>
          <w:sz w:val="24"/>
          <w:szCs w:val="24"/>
          <w:highlight w:val="none"/>
        </w:rPr>
        <w:t>可将工程建设其他费用和按适当费率取定的预备费列入估算表，汇总成建设项目的总投资；</w:t>
      </w:r>
    </w:p>
    <w:p>
      <w:pPr>
        <w:pStyle w:val="50"/>
        <w:numPr>
          <w:ilvl w:val="0"/>
          <w:numId w:val="0"/>
        </w:numPr>
        <w:ind w:left="0" w:leftChars="0" w:firstLine="364" w:firstLineChars="15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c)</w:t>
      </w:r>
      <w:r>
        <w:rPr>
          <w:rFonts w:hint="eastAsia" w:ascii="宋体" w:hAnsi="宋体" w:eastAsia="宋体" w:cs="Times New Roman"/>
          <w:sz w:val="24"/>
          <w:szCs w:val="24"/>
          <w:highlight w:val="none"/>
        </w:rPr>
        <w:t>当采用新的工艺、技术、材料或特殊结构时，应该对该项技术进行专项估算，评估后纳入估算之中。</w:t>
      </w:r>
    </w:p>
    <w:p>
      <w:pPr>
        <w:pStyle w:val="5"/>
        <w:numPr>
          <w:ilvl w:val="0"/>
          <w:numId w:val="0"/>
        </w:numPr>
        <w:spacing w:before="156" w:after="156"/>
        <w:rPr>
          <w:highlight w:val="none"/>
        </w:rPr>
      </w:pPr>
      <w:bookmarkStart w:id="349" w:name="_Toc462255897"/>
      <w:bookmarkStart w:id="350" w:name="_Toc462255981"/>
      <w:bookmarkStart w:id="351" w:name="_Toc17985"/>
      <w:r>
        <w:rPr>
          <w:rFonts w:hint="eastAsia"/>
          <w:highlight w:val="none"/>
        </w:rPr>
        <w:t>（五）设计依据与规划建筑设计投标方案成果文件要求</w:t>
      </w:r>
      <w:bookmarkEnd w:id="349"/>
      <w:bookmarkEnd w:id="350"/>
      <w:bookmarkEnd w:id="351"/>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规划建筑设计投标方案设计依据及设计深度；</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1.1设计依据 </w:t>
      </w:r>
    </w:p>
    <w:p>
      <w:pPr>
        <w:pStyle w:val="50"/>
        <w:numPr>
          <w:ilvl w:val="0"/>
          <w:numId w:val="0"/>
        </w:numPr>
        <w:ind w:left="0" w:leftChars="0" w:firstLine="426" w:firstLineChars="0"/>
        <w:rPr>
          <w:rFonts w:hint="eastAsia" w:ascii="宋体" w:hAnsi="宋体" w:eastAsia="宋体"/>
          <w:sz w:val="24"/>
          <w:szCs w:val="24"/>
          <w:highlight w:val="none"/>
        </w:rPr>
      </w:pPr>
      <w:r>
        <w:rPr>
          <w:rFonts w:hint="eastAsia" w:ascii="宋体" w:hAnsi="宋体" w:eastAsia="宋体"/>
          <w:sz w:val="24"/>
          <w:szCs w:val="24"/>
          <w:highlight w:val="none"/>
        </w:rPr>
        <w:t>1.1.1项目用地红线图（用地坐标图）；</w:t>
      </w:r>
    </w:p>
    <w:p>
      <w:pPr>
        <w:pStyle w:val="50"/>
        <w:numPr>
          <w:ilvl w:val="0"/>
          <w:numId w:val="0"/>
        </w:numPr>
        <w:ind w:left="0" w:leftChars="0" w:firstLine="426" w:firstLineChars="0"/>
        <w:rPr>
          <w:rFonts w:hint="eastAsia" w:ascii="宋体" w:hAnsi="宋体" w:eastAsia="宋体"/>
          <w:sz w:val="24"/>
          <w:szCs w:val="24"/>
          <w:highlight w:val="none"/>
        </w:rPr>
      </w:pPr>
      <w:r>
        <w:rPr>
          <w:rFonts w:hint="eastAsia" w:ascii="宋体" w:hAnsi="宋体" w:eastAsia="宋体"/>
          <w:sz w:val="24"/>
          <w:szCs w:val="24"/>
          <w:highlight w:val="none"/>
        </w:rPr>
        <w:t>1.1.2项目周边道路资料（包括道路定位、断面、公交车站设置、管线等资料）；</w:t>
      </w:r>
    </w:p>
    <w:p>
      <w:pPr>
        <w:pStyle w:val="50"/>
        <w:numPr>
          <w:ilvl w:val="0"/>
          <w:numId w:val="0"/>
        </w:numPr>
        <w:ind w:left="0" w:leftChars="0" w:firstLine="426" w:firstLineChars="0"/>
        <w:rPr>
          <w:rFonts w:hint="eastAsia" w:ascii="宋体" w:hAnsi="宋体" w:eastAsia="宋体"/>
          <w:sz w:val="24"/>
          <w:szCs w:val="24"/>
          <w:highlight w:val="none"/>
        </w:rPr>
      </w:pPr>
      <w:r>
        <w:rPr>
          <w:rFonts w:hint="eastAsia" w:ascii="宋体" w:hAnsi="宋体" w:eastAsia="宋体"/>
          <w:sz w:val="24"/>
          <w:szCs w:val="24"/>
          <w:highlight w:val="none"/>
        </w:rPr>
        <w:t>1.1.3本地块市发改委《可行性研究报告的批复》；</w:t>
      </w:r>
    </w:p>
    <w:p>
      <w:pPr>
        <w:pStyle w:val="50"/>
        <w:numPr>
          <w:ilvl w:val="0"/>
          <w:numId w:val="0"/>
        </w:numPr>
        <w:ind w:left="0" w:leftChars="0" w:firstLine="426" w:firstLineChars="0"/>
        <w:rPr>
          <w:rFonts w:hint="eastAsia" w:ascii="宋体" w:hAnsi="宋体" w:eastAsia="宋体"/>
          <w:sz w:val="24"/>
          <w:szCs w:val="24"/>
          <w:highlight w:val="none"/>
        </w:rPr>
      </w:pPr>
      <w:r>
        <w:rPr>
          <w:rFonts w:hint="eastAsia" w:ascii="宋体" w:hAnsi="宋体" w:eastAsia="宋体"/>
          <w:sz w:val="24"/>
          <w:szCs w:val="24"/>
          <w:highlight w:val="none"/>
        </w:rPr>
        <w:t>1.1.4项目地形图（电子文件）；</w:t>
      </w:r>
    </w:p>
    <w:p>
      <w:pPr>
        <w:pStyle w:val="50"/>
        <w:numPr>
          <w:ilvl w:val="0"/>
          <w:numId w:val="0"/>
        </w:numPr>
        <w:ind w:left="0" w:leftChars="0" w:firstLine="426" w:firstLineChars="0"/>
        <w:rPr>
          <w:rFonts w:hint="eastAsia" w:ascii="宋体" w:hAnsi="宋体" w:eastAsia="宋体"/>
          <w:sz w:val="24"/>
          <w:szCs w:val="24"/>
          <w:highlight w:val="none"/>
        </w:rPr>
      </w:pPr>
      <w:r>
        <w:rPr>
          <w:rFonts w:hint="eastAsia" w:ascii="宋体" w:hAnsi="宋体" w:eastAsia="宋体"/>
          <w:sz w:val="24"/>
          <w:szCs w:val="24"/>
          <w:highlight w:val="none"/>
        </w:rPr>
        <w:t>1.1.5增城区国土资源和规划局用地规划条件：</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sz w:val="24"/>
          <w:szCs w:val="24"/>
          <w:highlight w:val="none"/>
        </w:rPr>
        <w:t>1.1.6规划设计要点：</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1.1.</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本设计招标文件；</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1.1.</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国家及地方有关建筑规划设计规范、规程和规定。</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1.2设计深度</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1.2.1 建筑工程设计投标文件宜达到建设部《建筑工程设计文件编制深度规定》（2016年版）相应设计阶段的要求。</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1.2.2方案设计要求有校园俯瞰图，总平面图，各主要单体效果图，建筑平面图，立面图、剖面图，方案设计说明（构思，立意与周边关系的处理等），相关分析图，结构选型，室外环境节点设计。</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设计独特具有独创性的节点位置，应该提供示意图。</w:t>
      </w:r>
    </w:p>
    <w:p>
      <w:pPr>
        <w:pStyle w:val="50"/>
        <w:numPr>
          <w:ilvl w:val="0"/>
          <w:numId w:val="0"/>
        </w:numPr>
        <w:ind w:left="0" w:leftChars="0" w:firstLine="426" w:firstLineChars="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成果要求</w:t>
      </w:r>
      <w:r>
        <w:rPr>
          <w:rFonts w:hint="eastAsia" w:ascii="宋体" w:hAnsi="宋体" w:eastAsia="宋体" w:cs="Times New Roman"/>
          <w:sz w:val="24"/>
          <w:szCs w:val="24"/>
          <w:highlight w:val="none"/>
          <w:lang w:eastAsia="zh-CN"/>
        </w:rPr>
        <w:t>（由中标人提供）</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2.1文本文件</w:t>
      </w:r>
      <w:r>
        <w:rPr>
          <w:rFonts w:hint="eastAsia" w:ascii="宋体" w:hAnsi="宋体" w:eastAsia="宋体" w:cs="Times New Roman"/>
          <w:color w:val="auto"/>
          <w:sz w:val="24"/>
          <w:szCs w:val="24"/>
          <w:highlight w:val="none"/>
        </w:rPr>
        <w:t>（纸质文件）</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2.1.1文本文件以A3规格编排装订成册。</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2.1.2文本文件一式3份，其中正本1份，封面标注“正本”字样，副封面标注“副本”字样。正本与副本不符的内容，以正本为准。如果文本文件未标 注 “正本”，则由评标委员会认定一本为“正本”。</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2.1.3设计投标文本文件内容：</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(a) 封面；</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(b) 目录；</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(c) 设计说明书；</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(d) 设计图纸；</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(e) 投标人提出的建议、工程创新和替代方案（如果有）；</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(f) 投标人认为有必要提供的其他资料。</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2.1.4文本文件与计算机文件一起用不透明包装物包装密封。 </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2.2计算机文件</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2.2.1计算机文件包括以下内容，大小不宜超过200MB：</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(a)一张用于识别投标方案的JPG格式的图型文件；</w:t>
      </w:r>
    </w:p>
    <w:p>
      <w:pPr>
        <w:pStyle w:val="50"/>
        <w:numPr>
          <w:ilvl w:val="0"/>
          <w:numId w:val="0"/>
        </w:numPr>
        <w:ind w:left="0" w:leftChars="0" w:firstLine="426"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(b) 一套PDF格式或PPT格式制作的电子版文本文件；</w:t>
      </w:r>
    </w:p>
    <w:p>
      <w:pPr>
        <w:pStyle w:val="50"/>
        <w:numPr>
          <w:ilvl w:val="0"/>
          <w:numId w:val="0"/>
        </w:numPr>
        <w:spacing w:before="0" w:after="0"/>
        <w:ind w:firstLine="426" w:firstLineChars="0"/>
        <w:rPr>
          <w:rFonts w:hint="eastAsia" w:ascii="宋体" w:hAnsi="宋体" w:eastAsia="宋体"/>
          <w:sz w:val="24"/>
          <w:szCs w:val="24"/>
          <w:highlight w:val="none"/>
        </w:rPr>
      </w:pPr>
      <w:r>
        <w:rPr>
          <w:rFonts w:hint="eastAsia" w:ascii="宋体" w:hAnsi="宋体" w:eastAsia="宋体" w:cs="Times New Roman"/>
          <w:sz w:val="24"/>
          <w:szCs w:val="24"/>
          <w:highlight w:val="none"/>
        </w:rPr>
        <w:t>(c) 一套AutoCAD格式的设计图形文件（如果有）。</w:t>
      </w:r>
    </w:p>
    <w:p>
      <w:pPr>
        <w:pStyle w:val="5"/>
        <w:numPr>
          <w:ilvl w:val="0"/>
          <w:numId w:val="0"/>
        </w:numPr>
        <w:spacing w:before="156" w:after="156"/>
        <w:rPr>
          <w:sz w:val="24"/>
          <w:highlight w:val="none"/>
        </w:rPr>
      </w:pPr>
      <w:bookmarkStart w:id="352" w:name="_Toc21186"/>
      <w:r>
        <w:rPr>
          <w:rFonts w:hint="eastAsia"/>
          <w:sz w:val="24"/>
          <w:highlight w:val="none"/>
        </w:rPr>
        <w:t>（六）BIM要求</w:t>
      </w:r>
      <w:bookmarkEnd w:id="352"/>
    </w:p>
    <w:p>
      <w:pPr>
        <w:pStyle w:val="23"/>
        <w:rPr>
          <w:rFonts w:ascii="宋体" w:hAnsi="宋体"/>
          <w:sz w:val="24"/>
          <w:highlight w:val="none"/>
        </w:rPr>
      </w:pPr>
      <w:r>
        <w:rPr>
          <w:rFonts w:hint="eastAsia" w:ascii="宋体" w:hAnsi="宋体"/>
          <w:sz w:val="24"/>
          <w:highlight w:val="none"/>
        </w:rPr>
        <w:t>符合《建筑信息模型施工应用标准》GB/T51235、《建筑信息模型分类和编码标准》GB/T51269、《建筑信息模型应用统一标准》GB/T51212。</w:t>
      </w:r>
    </w:p>
    <w:p>
      <w:pPr>
        <w:rPr>
          <w:rFonts w:ascii="宋体" w:hAnsi="宋体"/>
          <w:b/>
          <w:sz w:val="24"/>
          <w:highlight w:val="none"/>
        </w:rPr>
      </w:pPr>
    </w:p>
    <w:p>
      <w:pPr>
        <w:pStyle w:val="50"/>
        <w:numPr>
          <w:ilvl w:val="0"/>
          <w:numId w:val="0"/>
        </w:numPr>
        <w:ind w:firstLine="426"/>
        <w:rPr>
          <w:rFonts w:hint="eastAsia" w:ascii="宋体" w:hAnsi="宋体" w:eastAsia="宋体"/>
          <w:b w:val="0"/>
          <w:sz w:val="24"/>
          <w:szCs w:val="24"/>
          <w:highlight w:val="none"/>
        </w:rPr>
      </w:pPr>
      <w:r>
        <w:rPr>
          <w:rFonts w:hint="eastAsia" w:ascii="宋体" w:hAnsi="宋体" w:eastAsia="宋体"/>
          <w:b w:val="0"/>
          <w:sz w:val="24"/>
          <w:szCs w:val="24"/>
          <w:highlight w:val="none"/>
        </w:rPr>
        <w:br w:type="page"/>
      </w:r>
    </w:p>
    <w:p>
      <w:pPr>
        <w:rPr>
          <w:rFonts w:ascii="宋体" w:hAnsi="宋体"/>
          <w:b/>
          <w:sz w:val="24"/>
          <w:highlight w:val="none"/>
        </w:rPr>
      </w:pPr>
      <w:r>
        <w:rPr>
          <w:rFonts w:hint="eastAsia" w:ascii="宋体" w:hAnsi="宋体"/>
          <w:b/>
          <w:sz w:val="24"/>
          <w:highlight w:val="none"/>
        </w:rPr>
        <w:t>附件1：相关技术标准与规范</w:t>
      </w:r>
    </w:p>
    <w:p>
      <w:pPr>
        <w:ind w:firstLine="480" w:firstLineChars="200"/>
        <w:rPr>
          <w:rFonts w:ascii="宋体" w:cs="宋体"/>
          <w:sz w:val="24"/>
          <w:highlight w:val="none"/>
        </w:rPr>
      </w:pPr>
    </w:p>
    <w:p>
      <w:pPr>
        <w:ind w:firstLine="480" w:firstLineChars="200"/>
        <w:rPr>
          <w:highlight w:val="none"/>
        </w:rPr>
      </w:pPr>
      <w:r>
        <w:rPr>
          <w:rFonts w:hint="eastAsia" w:ascii="宋体" w:cs="宋体"/>
          <w:sz w:val="24"/>
          <w:highlight w:val="none"/>
        </w:rPr>
        <w:t>包括但不限于下列技术标准与规范：</w:t>
      </w:r>
      <w:r>
        <w:rPr>
          <w:rFonts w:ascii="宋体" w:hAnsi="宋体"/>
          <w:sz w:val="24"/>
          <w:highlight w:val="none"/>
        </w:rPr>
        <w:t xml:space="preserve"> </w:t>
      </w:r>
    </w:p>
    <w:p>
      <w:pPr>
        <w:pStyle w:val="50"/>
        <w:numPr>
          <w:ilvl w:val="0"/>
          <w:numId w:val="15"/>
        </w:numPr>
        <w:ind w:firstLineChars="0"/>
        <w:contextualSpacing/>
        <w:rPr>
          <w:rFonts w:ascii="宋体" w:hAnsi="宋体" w:eastAsia="宋体"/>
          <w:sz w:val="24"/>
          <w:highlight w:val="none"/>
        </w:rPr>
      </w:pPr>
      <w:r>
        <w:rPr>
          <w:rFonts w:hint="eastAsia" w:ascii="宋体" w:hAnsi="宋体" w:eastAsia="宋体"/>
          <w:sz w:val="24"/>
          <w:highlight w:val="none"/>
        </w:rPr>
        <w:t>《民用建筑设计通则》（</w:t>
      </w:r>
      <w:r>
        <w:rPr>
          <w:rFonts w:ascii="宋体" w:hAnsi="宋体" w:eastAsia="宋体"/>
          <w:sz w:val="24"/>
          <w:highlight w:val="none"/>
        </w:rPr>
        <w:t>GB50352-20</w:t>
      </w:r>
      <w:r>
        <w:rPr>
          <w:rFonts w:hint="eastAsia" w:ascii="宋体" w:hAnsi="宋体" w:eastAsia="宋体"/>
          <w:sz w:val="24"/>
          <w:highlight w:val="none"/>
        </w:rPr>
        <w:t>19）</w:t>
      </w:r>
    </w:p>
    <w:p>
      <w:pPr>
        <w:pStyle w:val="50"/>
        <w:numPr>
          <w:ilvl w:val="0"/>
          <w:numId w:val="15"/>
        </w:numPr>
        <w:ind w:firstLineChars="0"/>
        <w:contextualSpacing/>
        <w:rPr>
          <w:rFonts w:ascii="宋体" w:hAnsi="宋体" w:eastAsia="宋体"/>
          <w:sz w:val="24"/>
          <w:highlight w:val="none"/>
        </w:rPr>
      </w:pPr>
      <w:r>
        <w:rPr>
          <w:rFonts w:hint="eastAsia" w:ascii="宋体" w:hAnsi="宋体" w:eastAsia="宋体"/>
          <w:sz w:val="24"/>
          <w:highlight w:val="none"/>
        </w:rPr>
        <w:t>《民用建筑通用规范》（GB55031-2022）</w:t>
      </w:r>
    </w:p>
    <w:p>
      <w:pPr>
        <w:pStyle w:val="50"/>
        <w:numPr>
          <w:ilvl w:val="0"/>
          <w:numId w:val="15"/>
        </w:numPr>
        <w:ind w:firstLineChars="0"/>
        <w:contextualSpacing/>
        <w:rPr>
          <w:rFonts w:ascii="宋体" w:hAnsi="宋体" w:eastAsia="宋体"/>
          <w:strike/>
          <w:sz w:val="24"/>
          <w:szCs w:val="24"/>
          <w:highlight w:val="none"/>
        </w:rPr>
      </w:pPr>
      <w:r>
        <w:rPr>
          <w:rFonts w:hint="eastAsia" w:ascii="宋体" w:hAnsi="宋体" w:eastAsia="宋体"/>
          <w:sz w:val="24"/>
          <w:szCs w:val="24"/>
          <w:highlight w:val="none"/>
        </w:rPr>
        <w:t>《建筑设计防火规范》（</w:t>
      </w:r>
      <w:r>
        <w:rPr>
          <w:rFonts w:ascii="宋体" w:hAnsi="宋体" w:eastAsia="宋体" w:cs="宋体"/>
          <w:sz w:val="24"/>
          <w:szCs w:val="24"/>
          <w:highlight w:val="none"/>
          <w:shd w:val="clear" w:color="auto" w:fill="FFFFFF"/>
        </w:rPr>
        <w:t>GB50016-2014</w:t>
      </w:r>
      <w:r>
        <w:rPr>
          <w:rFonts w:hint="eastAsia" w:ascii="宋体" w:hAnsi="宋体" w:eastAsia="宋体"/>
          <w:sz w:val="24"/>
          <w:szCs w:val="24"/>
          <w:highlight w:val="none"/>
        </w:rPr>
        <w:t>）（2018版）</w:t>
      </w:r>
    </w:p>
    <w:p>
      <w:pPr>
        <w:pStyle w:val="50"/>
        <w:numPr>
          <w:ilvl w:val="0"/>
          <w:numId w:val="15"/>
        </w:numPr>
        <w:ind w:firstLineChars="0"/>
        <w:contextualSpacing/>
        <w:rPr>
          <w:rFonts w:ascii="宋体" w:hAnsi="宋体" w:eastAsia="宋体"/>
          <w:strike/>
          <w:sz w:val="24"/>
          <w:szCs w:val="24"/>
          <w:highlight w:val="none"/>
        </w:rPr>
      </w:pPr>
      <w:r>
        <w:rPr>
          <w:rFonts w:hint="eastAsia" w:ascii="宋体" w:hAnsi="宋体" w:eastAsia="宋体"/>
          <w:sz w:val="24"/>
          <w:szCs w:val="24"/>
          <w:highlight w:val="none"/>
        </w:rPr>
        <w:t>《建筑防火通用规范》（GB55037-2022）</w:t>
      </w:r>
    </w:p>
    <w:p>
      <w:pPr>
        <w:pStyle w:val="50"/>
        <w:numPr>
          <w:ilvl w:val="0"/>
          <w:numId w:val="15"/>
        </w:numPr>
        <w:ind w:firstLineChars="0"/>
        <w:contextualSpacing/>
        <w:rPr>
          <w:rFonts w:ascii="宋体" w:hAnsi="宋体" w:eastAsia="宋体"/>
          <w:sz w:val="24"/>
          <w:szCs w:val="24"/>
          <w:highlight w:val="none"/>
        </w:rPr>
      </w:pPr>
      <w:r>
        <w:rPr>
          <w:rFonts w:hint="eastAsia" w:ascii="宋体" w:hAnsi="宋体" w:eastAsia="宋体"/>
          <w:sz w:val="24"/>
          <w:szCs w:val="24"/>
          <w:highlight w:val="none"/>
        </w:rPr>
        <w:t>《消防设施通用规范》 (GB55036-2022)</w:t>
      </w:r>
    </w:p>
    <w:p>
      <w:pPr>
        <w:pStyle w:val="50"/>
        <w:numPr>
          <w:ilvl w:val="0"/>
          <w:numId w:val="15"/>
        </w:numPr>
        <w:ind w:firstLineChars="0"/>
        <w:contextualSpacing/>
        <w:rPr>
          <w:rFonts w:ascii="宋体" w:hAnsi="宋体" w:eastAsia="宋体"/>
          <w:sz w:val="24"/>
          <w:szCs w:val="24"/>
          <w:highlight w:val="none"/>
        </w:rPr>
      </w:pPr>
      <w:r>
        <w:rPr>
          <w:rFonts w:hint="eastAsia" w:ascii="宋体" w:hAnsi="宋体" w:eastAsia="宋体"/>
          <w:sz w:val="24"/>
          <w:szCs w:val="24"/>
          <w:highlight w:val="none"/>
        </w:rPr>
        <w:t>《岩土工程勘察规范》（</w:t>
      </w:r>
      <w:r>
        <w:rPr>
          <w:rFonts w:ascii="宋体" w:hAnsi="宋体" w:eastAsia="宋体"/>
          <w:sz w:val="24"/>
          <w:szCs w:val="24"/>
          <w:highlight w:val="none"/>
        </w:rPr>
        <w:t>GB50021-2009）</w:t>
      </w:r>
    </w:p>
    <w:p>
      <w:pPr>
        <w:pStyle w:val="50"/>
        <w:numPr>
          <w:ilvl w:val="0"/>
          <w:numId w:val="15"/>
        </w:numPr>
        <w:ind w:firstLineChars="0"/>
        <w:contextualSpacing/>
        <w:rPr>
          <w:rFonts w:ascii="宋体" w:hAnsi="宋体" w:eastAsia="宋体"/>
          <w:sz w:val="24"/>
          <w:szCs w:val="24"/>
          <w:highlight w:val="none"/>
        </w:rPr>
      </w:pPr>
      <w:r>
        <w:rPr>
          <w:rFonts w:hint="eastAsia" w:ascii="宋体" w:hAnsi="宋体" w:eastAsia="宋体"/>
          <w:sz w:val="24"/>
          <w:szCs w:val="24"/>
          <w:highlight w:val="none"/>
        </w:rPr>
        <w:t>《智能建筑设计标准》（</w:t>
      </w:r>
      <w:r>
        <w:rPr>
          <w:rFonts w:ascii="宋体" w:hAnsi="宋体" w:eastAsia="宋体"/>
          <w:sz w:val="24"/>
          <w:szCs w:val="24"/>
          <w:highlight w:val="none"/>
        </w:rPr>
        <w:t>GB50314-2015）</w:t>
      </w:r>
    </w:p>
    <w:p>
      <w:pPr>
        <w:pStyle w:val="50"/>
        <w:numPr>
          <w:ilvl w:val="0"/>
          <w:numId w:val="15"/>
        </w:numPr>
        <w:ind w:firstLineChars="0"/>
        <w:contextualSpacing/>
        <w:rPr>
          <w:rFonts w:ascii="宋体" w:hAnsi="宋体" w:eastAsia="宋体"/>
          <w:sz w:val="24"/>
          <w:szCs w:val="24"/>
          <w:highlight w:val="none"/>
        </w:rPr>
      </w:pPr>
      <w:r>
        <w:rPr>
          <w:rFonts w:hint="eastAsia" w:ascii="宋体" w:hAnsi="宋体" w:eastAsia="宋体"/>
          <w:sz w:val="24"/>
          <w:szCs w:val="24"/>
          <w:highlight w:val="none"/>
        </w:rPr>
        <w:t>《城市道路和建筑物无障碍设计规范》（</w:t>
      </w:r>
      <w:r>
        <w:rPr>
          <w:rFonts w:ascii="宋体" w:hAnsi="宋体" w:eastAsia="宋体"/>
          <w:sz w:val="24"/>
          <w:szCs w:val="24"/>
          <w:highlight w:val="none"/>
        </w:rPr>
        <w:t>JGJ 50-2012）</w:t>
      </w:r>
    </w:p>
    <w:p>
      <w:pPr>
        <w:pStyle w:val="50"/>
        <w:numPr>
          <w:ilvl w:val="0"/>
          <w:numId w:val="15"/>
        </w:numPr>
        <w:ind w:firstLineChars="0"/>
        <w:contextualSpacing/>
        <w:rPr>
          <w:rFonts w:ascii="宋体" w:hAnsi="宋体" w:eastAsia="宋体"/>
          <w:sz w:val="24"/>
          <w:szCs w:val="24"/>
          <w:highlight w:val="none"/>
        </w:rPr>
      </w:pPr>
      <w:r>
        <w:rPr>
          <w:rFonts w:hint="eastAsia" w:ascii="宋体" w:hAnsi="宋体" w:eastAsia="宋体"/>
          <w:sz w:val="24"/>
          <w:szCs w:val="24"/>
          <w:highlight w:val="none"/>
        </w:rPr>
        <w:t>《建筑与市政工程无障碍通用规范》</w:t>
      </w:r>
      <w:r>
        <w:rPr>
          <w:rFonts w:hint="eastAsia" w:ascii="宋体" w:hAnsi="宋体" w:eastAsia="宋体" w:cs="宋体"/>
          <w:kern w:val="28"/>
          <w:sz w:val="24"/>
          <w:szCs w:val="24"/>
          <w:highlight w:val="none"/>
        </w:rPr>
        <w:t>（GB 55019-2021）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《中小学校设计规范》（</w:t>
      </w:r>
      <w:r>
        <w:rPr>
          <w:rFonts w:ascii="宋体" w:hAnsi="宋体" w:eastAsia="宋体" w:cs="宋体"/>
          <w:kern w:val="28"/>
          <w:sz w:val="24"/>
          <w:szCs w:val="24"/>
          <w:highlight w:val="none"/>
        </w:rPr>
        <w:t>GB</w:t>
      </w:r>
      <w:r>
        <w:rPr>
          <w:rFonts w:hint="eastAsia" w:ascii="宋体" w:hAnsi="宋体" w:eastAsia="宋体" w:cs="宋体"/>
          <w:kern w:val="28"/>
          <w:sz w:val="24"/>
          <w:szCs w:val="24"/>
          <w:highlight w:val="none"/>
        </w:rPr>
        <w:t xml:space="preserve"> </w:t>
      </w:r>
      <w:r>
        <w:rPr>
          <w:rFonts w:ascii="宋体" w:hAnsi="宋体" w:eastAsia="宋体" w:cs="宋体"/>
          <w:kern w:val="28"/>
          <w:sz w:val="24"/>
          <w:szCs w:val="24"/>
          <w:highlight w:val="none"/>
        </w:rPr>
        <w:t>50099-2011）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sz w:val="24"/>
          <w:szCs w:val="24"/>
          <w:highlight w:val="none"/>
        </w:rPr>
        <w:t>《建筑工程设计文件编制深度规定》（2016版）</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《图书馆建筑设计规范》 (JGJ38)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《饮食建筑设计规范》（JGJ 64）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《宿舍建筑设计规范》（JGJ 36）</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《宿舍、旅馆建筑项目规范》（GB 55025-2022）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《办公建筑设计规范》（JGJ 67）</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《汽车库建筑设计规范》 (JGJ100)</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《汽车库、修车库、停车场设计防火规范》GB 50067</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《公共建筑节能设计标准》(GB50189-2015)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《公共建筑节能设计标准》广东省实施细则 (DBJ15-51)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《绿色建筑评价标准》（GB/T 50378）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《广州市绿色建筑设计指南》</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《人民防空地下室设计规范》（GB 50038）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《地下工程防水技术规范》（GB 50108）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《建筑结构可靠度设计统一标准》（GB50068）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《工程结构可靠性设计统一标准》（GB50153）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 建筑工程抗震设防分类标准》（GB 50223）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《建筑抗震设计规范》（GB 50011）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《建筑结构荷载规范》（GB 50009-）</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《建筑地基基础设计规范》（GB 50007）</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《建筑地基基础设计规范》（DBJ 15-31）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《建筑地基处理技术规范》（JGJ 79）</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《建筑地基处理技术规范》（DBJ 15-38）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《建筑桩基技术规范》（JGJ 94）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《锤击式预应力混凝土管桩基础技术规程》（DBJ/T15-22）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《预应力混凝土管桩机械啮合接头技术规程》（DBJ 15-63）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《建筑基桩检测技术规范》（JGJ 106）</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《高层建筑箱形与筏形基础技术规范》（JGJ 6）</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《建筑边坡工程技术规范》（GB 50330）</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《建筑基坑支护技术规程》（JGJ 120）</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《岩土锚杆（索）技术规程》（CECS 22）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《混凝土结构设计规范》（GB 50010）</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《混凝土结构耐久性设计规范》（GB/T50476）</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 xml:space="preserve">《大体积混凝土施工规范》（GB 50496）  </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《高层建筑混凝土结构技术规程》（JGJ3）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广东省实施《高规》（DBJ/T 15-93）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《混凝土异形柱结构技术规程》（JGJ149）</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《无粘结预应力混凝土结构技术规程》（JGJ92-2004 J409）</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《冷轧带肋钢筋混凝土结构技术规程》（JGJ 95）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《钢管混凝土结构设计与施工规程》（CECS 28）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《钢骨混凝土结构设计规程》（YB 9082）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《钢-混凝土组合楼盖结构设计与施工规程》（YB 9238）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《型钢混凝土组合结构技术规程》（JGJ 138）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《现浇混凝土空心楼盖结构技术规程》（CECS175）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《给水排水工程构筑物结构设计规范》（GB50069）</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《工业建筑防腐蚀设计规范》（GB50046）</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《混凝土外加剂应用技术规范》（GB50119）</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《混凝土结构后锚固技术规程》（JGJ145）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《混凝土结构加固设计规范》（GB50367）</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《建筑抗震加固技术规程》（JGJ116）</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《水泥复合砂浆钢筋网加固混凝土结构技术规程》（CECS 242）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《钢结构设计规范》（GB 50017）</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《钢筋焊接及验收规程》（JGJ 18）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《建筑钢结构焊接技术规程》（JGJ 81）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《钢筋机械连接通用技术规程》（JGJ 107）</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《冷弯薄壁型钢结构技术规范》（GB50018）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《门式刚架轻型房屋钢结构技术规程》（CECS102）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《砌体结构设计规范（GB50003）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《非承重蒸压灰砂砖墙体工程技术规程》（DBJ/T 15-32）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《非承重蒸压泡沫混凝土砖墙体工程技术规程》（DBJ/T 15-43）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《建筑变形测量规范》（JGJ8）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《岩土工程勘察规范》（GB50021）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《消防给水及消火栓系统技术规范》（ GB50974）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《自动喷水灭火系统设计规范》（GB50084）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《自动喷水灭火系统施工及验收规范》（GB 50261）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《建筑灭火器配置设计规范》（GB50140）</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《气体灭火系统设计规范》（GB50370）</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《室外给水设计规范》（GB50013）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《室外排水设计规范》（GB50014）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《城镇给水排水技术规范》（GB50078）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《建筑给水排水设计规范》（GB50015）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《民用建筑节水设计标准》（ GB50555）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《建筑与小区雨水利用工程技术规范》（GB50400）</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《建筑排水塑料管道工程技术规程》（CJJ/T 29）</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《建筑给水塑料管道工程技术规程》（CJJ／T 98）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《建筑机电工程抗震设计规范》 （GB50981）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海绵城市建设技术指南——低影响开发雨水系统构建（试行）</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《火灾自动报警系统设计规范》 (GB50116)</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《供配电系统设计规范》 (GB50052)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《20kV及以下变电所设计规范》 (GB50053)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《低压配电设计规范》 (GB50054-2011)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《通用用电设备配电设计规范》 (GB50055)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《电力工程电缆设计规范》 (GB50217)</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《建筑照明设计标准》 (GB50034)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《消防应急照明和疏散指示系统》 (GB17945)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《建筑物防雷设计规范》 (GB50057)</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《建筑物电子信息系统防雷技术规范》 (GB50343)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《建筑机电工程抗震设计规范》 (GB50981)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《智能建筑设计标准》 （GB50314）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 xml:space="preserve">《民用建筑电气设计规范》 (JGJ16)  </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 xml:space="preserve">《教育建筑电气设计规范》 (JGJ 310) </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《民用建筑供暖通风与空气调节设计规范》（GB50736）</w:t>
      </w:r>
      <w:r>
        <w:rPr>
          <w:rFonts w:hint="eastAsia" w:ascii="宋体" w:hAnsi="宋体" w:eastAsia="宋体" w:cs="宋体"/>
          <w:kern w:val="28"/>
          <w:sz w:val="24"/>
          <w:szCs w:val="24"/>
          <w:highlight w:val="none"/>
        </w:rPr>
        <w:tab/>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《建筑与建筑群综合布线系统工程设计规范》（GB50311）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《建筑与建筑群综合布线系统工程验收规范》（GB50312）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《建筑物电子信息系统防雷技术规范》（GB50343）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《城市住宅区和办公楼电话通讯设施施工设计规范》（YD 5048）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《安全防范工程程序与要求》（GA/T75）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《工业电视系统工程设计规范》(GB50115)</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《民用闭路电视系统工程技术规范》(GB50198)</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《安全防范工程的设计、安装与开通程序》</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《中华人民共和国安全行业标准及有关行业标准》</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《智能建筑工程质量验收规范》(GB50339)</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《有线电视系统工程技术规范》(GB50200)</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《电子计算机机房设计规范》(GB50174)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《计算机场地技术要求》(GB/T9361)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《计算机软件开发规范》(GB8566)</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《计算机软件开发质量及配套管理计划规范》(GB_T_12504)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《信息技术互连国际标准》</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《电子计算机机房施工及验收规范》；(SJ/T30003)</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《物业管理IS09002》</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《无线电干扰极限》</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《绝缘材料的分类》</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《接地规范》</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《房屋装置的接线法规》</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《线缆防火等级国际标准》</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《以太网标准》</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《关于ClassE6类布线的最新要求》</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《欧洲电磁兼容性标准》</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《无线电干扰特性极限值和测量方法》</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广东省住宅工程质量通病防治技术措施二十条</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全国民用建筑工程设计技术措施</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建筑工程设计文件编制深度。</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《装配式混凝土结构技术规程》JGJ1</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《预制预应力混凝土装配整体式框架结构技术规程》JGJ224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《钢筋焊接网混凝土结构技术规程》JGJ114</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《混凝土结构后锚固技术规程》JGJ145</w:t>
      </w:r>
    </w:p>
    <w:p>
      <w:pPr>
        <w:pStyle w:val="50"/>
        <w:numPr>
          <w:ilvl w:val="0"/>
          <w:numId w:val="15"/>
        </w:numPr>
        <w:ind w:firstLineChars="0"/>
        <w:contextualSpacing/>
        <w:rPr>
          <w:rFonts w:ascii="宋体" w:hAnsi="宋体" w:eastAsia="宋体" w:cs="宋体"/>
          <w:sz w:val="24"/>
          <w:szCs w:val="24"/>
          <w:highlight w:val="none"/>
        </w:rPr>
      </w:pPr>
      <w:r>
        <w:rPr>
          <w:rFonts w:hint="eastAsia" w:ascii="宋体" w:hAnsi="宋体" w:eastAsia="宋体" w:cs="宋体"/>
          <w:kern w:val="28"/>
          <w:sz w:val="24"/>
          <w:szCs w:val="24"/>
          <w:highlight w:val="none"/>
        </w:rPr>
        <w:t>《钢丝网架混凝土复合墙板技术规程》JGJ/T273</w:t>
      </w:r>
    </w:p>
    <w:p>
      <w:pPr>
        <w:pStyle w:val="50"/>
        <w:numPr>
          <w:ilvl w:val="0"/>
          <w:numId w:val="15"/>
        </w:numPr>
        <w:ind w:firstLineChars="0"/>
        <w:contextualSpacing/>
        <w:rPr>
          <w:rFonts w:ascii="宋体" w:hAnsi="宋体" w:eastAsia="宋体" w:cs="宋体"/>
          <w:sz w:val="24"/>
          <w:szCs w:val="24"/>
          <w:highlight w:val="none"/>
        </w:rPr>
      </w:pPr>
      <w:r>
        <w:rPr>
          <w:rFonts w:hint="eastAsia" w:ascii="宋体" w:hAnsi="宋体" w:eastAsia="宋体" w:cs="宋体"/>
          <w:sz w:val="24"/>
          <w:szCs w:val="24"/>
          <w:highlight w:val="none"/>
        </w:rPr>
        <w:t>《装配式建筑评价标准》（DBJ/T 15-163-2019）</w:t>
      </w:r>
    </w:p>
    <w:p>
      <w:pPr>
        <w:pStyle w:val="50"/>
        <w:numPr>
          <w:ilvl w:val="0"/>
          <w:numId w:val="15"/>
        </w:numPr>
        <w:ind w:firstLineChars="0"/>
        <w:contextualSpacing/>
        <w:rPr>
          <w:rFonts w:ascii="宋体" w:hAnsi="宋体" w:eastAsia="宋体" w:cs="宋体"/>
          <w:kern w:val="28"/>
          <w:sz w:val="24"/>
          <w:szCs w:val="24"/>
          <w:highlight w:val="none"/>
        </w:rPr>
      </w:pPr>
      <w:r>
        <w:rPr>
          <w:rFonts w:hint="eastAsia" w:ascii="宋体" w:hAnsi="宋体" w:eastAsia="宋体" w:cs="宋体"/>
          <w:kern w:val="28"/>
          <w:sz w:val="24"/>
          <w:szCs w:val="24"/>
          <w:highlight w:val="none"/>
        </w:rPr>
        <w:t>《装配式混凝土建筑深化设计技术规程》（DBJ/T 15-155-2019）</w:t>
      </w:r>
    </w:p>
    <w:p>
      <w:pPr>
        <w:pStyle w:val="59"/>
        <w:ind w:firstLine="0" w:firstLineChars="0"/>
        <w:contextualSpacing/>
        <w:rPr>
          <w:rFonts w:ascii="宋体" w:hAnsi="宋体" w:eastAsia="宋体" w:cs="宋体"/>
          <w:kern w:val="28"/>
          <w:sz w:val="24"/>
          <w:szCs w:val="24"/>
          <w:highlight w:val="none"/>
        </w:rPr>
      </w:pPr>
      <w:r>
        <w:rPr>
          <w:rFonts w:hint="eastAsia" w:ascii="宋体" w:hAnsi="宋体" w:eastAsia="宋体" w:cs="宋体"/>
          <w:sz w:val="24"/>
          <w:szCs w:val="24"/>
          <w:highlight w:val="none"/>
        </w:rPr>
        <w:t>注明：项目设计按</w:t>
      </w:r>
      <w:r>
        <w:rPr>
          <w:rFonts w:hint="eastAsia" w:ascii="宋体" w:hAnsi="宋体" w:eastAsia="宋体" w:cs="宋体"/>
          <w:b/>
          <w:bCs/>
          <w:sz w:val="24"/>
          <w:szCs w:val="24"/>
          <w:highlight w:val="none"/>
        </w:rPr>
        <w:t>最新版本</w:t>
      </w:r>
      <w:r>
        <w:rPr>
          <w:rFonts w:hint="eastAsia" w:ascii="宋体" w:hAnsi="宋体" w:eastAsia="宋体" w:cs="宋体"/>
          <w:sz w:val="24"/>
          <w:szCs w:val="24"/>
          <w:highlight w:val="none"/>
        </w:rPr>
        <w:t>的标准、规范、规程进行设计。</w:t>
      </w:r>
    </w:p>
    <w:p>
      <w:pPr>
        <w:pStyle w:val="23"/>
        <w:rPr>
          <w:rFonts w:ascii="宋体" w:hAnsi="宋体"/>
          <w:sz w:val="24"/>
          <w:highlight w:val="none"/>
        </w:rPr>
      </w:pPr>
    </w:p>
    <w:p>
      <w:pPr>
        <w:rPr>
          <w:highlight w:val="none"/>
        </w:rPr>
      </w:pPr>
    </w:p>
    <w:sectPr>
      <w:headerReference r:id="rId7" w:type="default"/>
      <w:footerReference r:id="rId8" w:type="default"/>
      <w:type w:val="continuous"/>
      <w:pgSz w:w="11906" w:h="16838"/>
      <w:pgMar w:top="1440" w:right="1983" w:bottom="1440" w:left="184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Noto Sans CJK JP Regular">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PAGE   \* MERGEFORMAT </w:instrText>
    </w:r>
    <w:r>
      <w:fldChar w:fldCharType="separate"/>
    </w:r>
    <w:r>
      <w:rPr>
        <w:lang w:val="zh-CN"/>
      </w:rPr>
      <w:t>44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E375B"/>
    <w:multiLevelType w:val="multilevel"/>
    <w:tmpl w:val="031E375B"/>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099251C3"/>
    <w:multiLevelType w:val="multilevel"/>
    <w:tmpl w:val="099251C3"/>
    <w:lvl w:ilvl="0" w:tentative="0">
      <w:start w:val="1"/>
      <w:numFmt w:val="decimal"/>
      <w:lvlText w:val="%1)"/>
      <w:lvlJc w:val="left"/>
      <w:pPr>
        <w:ind w:left="1129" w:hanging="4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0E9C27B5"/>
    <w:multiLevelType w:val="multilevel"/>
    <w:tmpl w:val="0E9C27B5"/>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2F2014EE"/>
    <w:multiLevelType w:val="multilevel"/>
    <w:tmpl w:val="2F2014EE"/>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33964B68"/>
    <w:multiLevelType w:val="multilevel"/>
    <w:tmpl w:val="33964B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2F2D26"/>
    <w:multiLevelType w:val="multilevel"/>
    <w:tmpl w:val="382F2D26"/>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B80E89"/>
    <w:multiLevelType w:val="multilevel"/>
    <w:tmpl w:val="3CB80E89"/>
    <w:lvl w:ilvl="0" w:tentative="0">
      <w:start w:val="1"/>
      <w:numFmt w:val="chineseCountingThousand"/>
      <w:pStyle w:val="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2072C3"/>
    <w:multiLevelType w:val="multilevel"/>
    <w:tmpl w:val="3F2072C3"/>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
    <w:nsid w:val="472A626E"/>
    <w:multiLevelType w:val="multilevel"/>
    <w:tmpl w:val="472A62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2333F43"/>
    <w:multiLevelType w:val="multilevel"/>
    <w:tmpl w:val="52333F43"/>
    <w:lvl w:ilvl="0" w:tentative="0">
      <w:start w:val="2"/>
      <w:numFmt w:val="decimal"/>
      <w:lvlText w:val="%1."/>
      <w:lvlJc w:val="left"/>
      <w:pPr>
        <w:ind w:left="902" w:hanging="420"/>
      </w:pPr>
      <w:rPr>
        <w:rFonts w:hint="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EA7EF3"/>
    <w:multiLevelType w:val="multilevel"/>
    <w:tmpl w:val="57EA7EF3"/>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E841CA"/>
    <w:multiLevelType w:val="multilevel"/>
    <w:tmpl w:val="61E841CA"/>
    <w:lvl w:ilvl="0" w:tentative="0">
      <w:start w:val="1"/>
      <w:numFmt w:val="decimal"/>
      <w:lvlText w:val="%1."/>
      <w:lvlJc w:val="left"/>
      <w:pPr>
        <w:ind w:left="420" w:hanging="420"/>
      </w:pPr>
      <w:rPr>
        <w:rFonts w:hint="eastAsia"/>
      </w:rPr>
    </w:lvl>
    <w:lvl w:ilvl="1" w:tentative="0">
      <w:start w:val="1"/>
      <w:numFmt w:val="chineseCountingThousand"/>
      <w:lvlText w:val="(%2)"/>
      <w:lvlJc w:val="left"/>
      <w:pPr>
        <w:ind w:left="860" w:hanging="440"/>
      </w:pPr>
    </w:lvl>
    <w:lvl w:ilvl="2" w:tentative="0">
      <w:start w:val="7"/>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3C65CC"/>
    <w:multiLevelType w:val="multilevel"/>
    <w:tmpl w:val="623C65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7031C76"/>
    <w:multiLevelType w:val="multilevel"/>
    <w:tmpl w:val="67031C76"/>
    <w:lvl w:ilvl="0" w:tentative="0">
      <w:start w:val="1"/>
      <w:numFmt w:val="decimal"/>
      <w:lvlText w:val="%1."/>
      <w:lvlJc w:val="left"/>
      <w:pPr>
        <w:ind w:left="840" w:hanging="420"/>
      </w:pPr>
      <w:rPr>
        <w:rFonts w:hint="eastAsia"/>
        <w:strike w:val="0"/>
        <w:spacing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6A033B3"/>
    <w:multiLevelType w:val="multilevel"/>
    <w:tmpl w:val="76A033B3"/>
    <w:lvl w:ilvl="0" w:tentative="0">
      <w:start w:val="1"/>
      <w:numFmt w:val="chineseCountingThousand"/>
      <w:pStyle w:val="5"/>
      <w:lvlText w:val="(%1)"/>
      <w:lvlJc w:val="left"/>
      <w:pPr>
        <w:ind w:left="0" w:firstLine="420"/>
      </w:pPr>
      <w:rPr>
        <w:rFonts w:ascii="Times New Roman" w:hAnsi="Times New Roman" w:cs="Times New Roman"/>
        <w:b w:val="0"/>
        <w:bCs w:val="0"/>
        <w:i w:val="0"/>
        <w:iCs w:val="0"/>
        <w:caps w:val="0"/>
        <w:smallCaps w:val="0"/>
        <w:strike w:val="0"/>
        <w:dstrike w:val="0"/>
        <w:color w:val="000000"/>
        <w:spacing w:val="0"/>
        <w:position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4"/>
  </w:num>
  <w:num w:numId="2">
    <w:abstractNumId w:val="6"/>
  </w:num>
  <w:num w:numId="3">
    <w:abstractNumId w:val="9"/>
  </w:num>
  <w:num w:numId="4">
    <w:abstractNumId w:val="3"/>
  </w:num>
  <w:num w:numId="5">
    <w:abstractNumId w:val="5"/>
  </w:num>
  <w:num w:numId="6">
    <w:abstractNumId w:val="10"/>
  </w:num>
  <w:num w:numId="7">
    <w:abstractNumId w:val="0"/>
  </w:num>
  <w:num w:numId="8">
    <w:abstractNumId w:val="11"/>
  </w:num>
  <w:num w:numId="9">
    <w:abstractNumId w:val="7"/>
  </w:num>
  <w:num w:numId="10">
    <w:abstractNumId w:val="8"/>
  </w:num>
  <w:num w:numId="11">
    <w:abstractNumId w:val="2"/>
  </w:num>
  <w:num w:numId="12">
    <w:abstractNumId w:val="12"/>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ZDg4NzIzNTAyMjFkOGEyMjA2YTMwMDE0OGVmZjAifQ=="/>
  </w:docVars>
  <w:rsids>
    <w:rsidRoot w:val="005F5BF8"/>
    <w:rsid w:val="002431B2"/>
    <w:rsid w:val="005F5BF8"/>
    <w:rsid w:val="00717206"/>
    <w:rsid w:val="008E5492"/>
    <w:rsid w:val="009A38C3"/>
    <w:rsid w:val="074D345A"/>
    <w:rsid w:val="0BFC57F9"/>
    <w:rsid w:val="13CC3B21"/>
    <w:rsid w:val="193A68BF"/>
    <w:rsid w:val="20E510F6"/>
    <w:rsid w:val="2E5564EA"/>
    <w:rsid w:val="3A810912"/>
    <w:rsid w:val="71F01999"/>
    <w:rsid w:val="7308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qFormat="1" w:uiPriority="99" w:semiHidden="0"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14:ligatures w14:val="standardContextual"/>
    </w:rPr>
  </w:style>
  <w:style w:type="paragraph" w:styleId="3">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autoRedefine/>
    <w:unhideWhenUsed/>
    <w:qFormat/>
    <w:uiPriority w:val="9"/>
    <w:pPr>
      <w:keepNext/>
      <w:keepLines/>
      <w:spacing w:before="260" w:after="260" w:line="416" w:lineRule="auto"/>
      <w:outlineLvl w:val="1"/>
    </w:pPr>
    <w:rPr>
      <w:rFonts w:ascii="Cambria" w:hAnsi="Cambria" w:cs="黑体"/>
      <w:b/>
      <w:bCs/>
      <w:sz w:val="32"/>
      <w:szCs w:val="32"/>
    </w:rPr>
  </w:style>
  <w:style w:type="paragraph" w:styleId="5">
    <w:name w:val="heading 3"/>
    <w:basedOn w:val="1"/>
    <w:next w:val="1"/>
    <w:link w:val="38"/>
    <w:autoRedefine/>
    <w:qFormat/>
    <w:uiPriority w:val="0"/>
    <w:pPr>
      <w:keepNext/>
      <w:keepLines/>
      <w:numPr>
        <w:ilvl w:val="0"/>
        <w:numId w:val="1"/>
      </w:numPr>
      <w:spacing w:beforeLines="50" w:afterLines="50"/>
      <w:contextualSpacing/>
      <w:jc w:val="left"/>
      <w:textAlignment w:val="top"/>
      <w:outlineLvl w:val="2"/>
    </w:pPr>
    <w:rPr>
      <w:rFonts w:ascii="宋体" w:hAnsi="宋体"/>
      <w:bCs/>
      <w:sz w:val="28"/>
      <w:szCs w:val="21"/>
    </w:rPr>
  </w:style>
  <w:style w:type="paragraph" w:styleId="6">
    <w:name w:val="heading 5"/>
    <w:basedOn w:val="1"/>
    <w:next w:val="1"/>
    <w:link w:val="39"/>
    <w:autoRedefine/>
    <w:qFormat/>
    <w:uiPriority w:val="0"/>
    <w:pPr>
      <w:keepNext/>
      <w:keepLines/>
      <w:spacing w:before="280" w:after="290" w:line="376" w:lineRule="auto"/>
      <w:outlineLvl w:val="4"/>
    </w:pPr>
    <w:rPr>
      <w:b/>
      <w:bCs/>
      <w:sz w:val="28"/>
      <w:szCs w:val="28"/>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1"/>
    <w:autoRedefine/>
    <w:qFormat/>
    <w:uiPriority w:val="0"/>
    <w:pPr>
      <w:spacing w:line="240" w:lineRule="auto"/>
      <w:jc w:val="center"/>
    </w:pPr>
    <w:rPr>
      <w:b/>
    </w:rPr>
  </w:style>
  <w:style w:type="paragraph" w:styleId="7">
    <w:name w:val="caption"/>
    <w:basedOn w:val="1"/>
    <w:next w:val="1"/>
    <w:autoRedefine/>
    <w:unhideWhenUsed/>
    <w:qFormat/>
    <w:uiPriority w:val="0"/>
    <w:rPr>
      <w:rFonts w:ascii="Cambria" w:hAnsi="Cambria" w:eastAsia="黑体" w:cs="黑体"/>
      <w:sz w:val="20"/>
      <w:szCs w:val="20"/>
    </w:rPr>
  </w:style>
  <w:style w:type="paragraph" w:styleId="8">
    <w:name w:val="annotation text"/>
    <w:basedOn w:val="1"/>
    <w:link w:val="40"/>
    <w:autoRedefine/>
    <w:unhideWhenUsed/>
    <w:qFormat/>
    <w:uiPriority w:val="0"/>
    <w:pPr>
      <w:jc w:val="left"/>
    </w:pPr>
  </w:style>
  <w:style w:type="paragraph" w:styleId="9">
    <w:name w:val="Body Text"/>
    <w:basedOn w:val="1"/>
    <w:link w:val="41"/>
    <w:autoRedefine/>
    <w:qFormat/>
    <w:uiPriority w:val="99"/>
    <w:rPr>
      <w:sz w:val="18"/>
      <w:szCs w:val="18"/>
    </w:rPr>
  </w:style>
  <w:style w:type="paragraph" w:styleId="10">
    <w:name w:val="Body Text Indent"/>
    <w:basedOn w:val="1"/>
    <w:link w:val="48"/>
    <w:autoRedefine/>
    <w:semiHidden/>
    <w:unhideWhenUsed/>
    <w:qFormat/>
    <w:uiPriority w:val="99"/>
    <w:pPr>
      <w:spacing w:after="120"/>
      <w:ind w:left="420" w:leftChars="200"/>
    </w:pPr>
  </w:style>
  <w:style w:type="paragraph" w:styleId="11">
    <w:name w:val="toc 3"/>
    <w:basedOn w:val="1"/>
    <w:next w:val="1"/>
    <w:autoRedefine/>
    <w:qFormat/>
    <w:uiPriority w:val="39"/>
    <w:pPr>
      <w:ind w:left="840" w:leftChars="400"/>
    </w:pPr>
  </w:style>
  <w:style w:type="paragraph" w:styleId="12">
    <w:name w:val="Plain Text"/>
    <w:basedOn w:val="1"/>
    <w:link w:val="42"/>
    <w:autoRedefine/>
    <w:qFormat/>
    <w:uiPriority w:val="0"/>
    <w:pPr>
      <w:adjustRightInd w:val="0"/>
      <w:spacing w:line="360" w:lineRule="atLeast"/>
      <w:textAlignment w:val="baseline"/>
    </w:pPr>
    <w:rPr>
      <w:rFonts w:ascii="宋体" w:hAnsi="Courier New" w:cs="黑体"/>
      <w:szCs w:val="22"/>
    </w:rPr>
  </w:style>
  <w:style w:type="paragraph" w:styleId="13">
    <w:name w:val="Date"/>
    <w:basedOn w:val="1"/>
    <w:next w:val="1"/>
    <w:link w:val="43"/>
    <w:autoRedefine/>
    <w:unhideWhenUsed/>
    <w:qFormat/>
    <w:uiPriority w:val="99"/>
    <w:pPr>
      <w:ind w:left="100" w:leftChars="2500"/>
    </w:pPr>
  </w:style>
  <w:style w:type="paragraph" w:styleId="14">
    <w:name w:val="Balloon Text"/>
    <w:basedOn w:val="1"/>
    <w:link w:val="44"/>
    <w:autoRedefine/>
    <w:unhideWhenUsed/>
    <w:qFormat/>
    <w:uiPriority w:val="99"/>
    <w:rPr>
      <w:sz w:val="18"/>
      <w:szCs w:val="18"/>
    </w:rPr>
  </w:style>
  <w:style w:type="paragraph" w:styleId="15">
    <w:name w:val="footer"/>
    <w:basedOn w:val="1"/>
    <w:link w:val="35"/>
    <w:autoRedefine/>
    <w:unhideWhenUsed/>
    <w:qFormat/>
    <w:uiPriority w:val="99"/>
    <w:pPr>
      <w:tabs>
        <w:tab w:val="center" w:pos="4153"/>
        <w:tab w:val="right" w:pos="8306"/>
      </w:tabs>
      <w:snapToGrid w:val="0"/>
      <w:jc w:val="left"/>
    </w:pPr>
    <w:rPr>
      <w:sz w:val="18"/>
      <w:szCs w:val="18"/>
    </w:rPr>
  </w:style>
  <w:style w:type="paragraph" w:styleId="16">
    <w:name w:val="header"/>
    <w:basedOn w:val="1"/>
    <w:link w:val="34"/>
    <w:autoRedefine/>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link w:val="45"/>
    <w:autoRedefine/>
    <w:unhideWhenUsed/>
    <w:qFormat/>
    <w:uiPriority w:val="99"/>
    <w:pPr>
      <w:snapToGrid w:val="0"/>
      <w:jc w:val="left"/>
    </w:pPr>
    <w:rPr>
      <w:sz w:val="18"/>
      <w:szCs w:val="18"/>
    </w:rPr>
  </w:style>
  <w:style w:type="paragraph" w:styleId="19">
    <w:name w:val="toc 2"/>
    <w:basedOn w:val="1"/>
    <w:next w:val="1"/>
    <w:autoRedefine/>
    <w:qFormat/>
    <w:uiPriority w:val="39"/>
    <w:pPr>
      <w:ind w:left="420" w:leftChars="200"/>
    </w:p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46"/>
    <w:autoRedefine/>
    <w:qFormat/>
    <w:uiPriority w:val="0"/>
    <w:pPr>
      <w:spacing w:line="240" w:lineRule="auto"/>
    </w:pPr>
    <w:rPr>
      <w:rFonts w:ascii="仿宋_GB2312" w:hAnsi="Calibri" w:eastAsia="仿宋_GB2312"/>
      <w:kern w:val="0"/>
      <w:sz w:val="28"/>
      <w:szCs w:val="28"/>
    </w:rPr>
  </w:style>
  <w:style w:type="paragraph" w:styleId="22">
    <w:name w:val="annotation subject"/>
    <w:basedOn w:val="8"/>
    <w:next w:val="8"/>
    <w:link w:val="47"/>
    <w:autoRedefine/>
    <w:unhideWhenUsed/>
    <w:qFormat/>
    <w:uiPriority w:val="99"/>
    <w:rPr>
      <w:b/>
      <w:bCs/>
    </w:rPr>
  </w:style>
  <w:style w:type="paragraph" w:styleId="23">
    <w:name w:val="Body Text First Indent 2"/>
    <w:basedOn w:val="1"/>
    <w:link w:val="49"/>
    <w:autoRedefine/>
    <w:qFormat/>
    <w:uiPriority w:val="0"/>
    <w:pPr>
      <w:spacing w:after="120"/>
      <w:ind w:left="420" w:leftChars="200" w:firstLine="420"/>
    </w:pPr>
  </w:style>
  <w:style w:type="character" w:styleId="26">
    <w:name w:val="Strong"/>
    <w:basedOn w:val="25"/>
    <w:autoRedefine/>
    <w:qFormat/>
    <w:uiPriority w:val="22"/>
    <w:rPr>
      <w:b/>
    </w:rPr>
  </w:style>
  <w:style w:type="character" w:styleId="27">
    <w:name w:val="page number"/>
    <w:basedOn w:val="25"/>
    <w:autoRedefine/>
    <w:unhideWhenUsed/>
    <w:qFormat/>
    <w:uiPriority w:val="99"/>
  </w:style>
  <w:style w:type="character" w:styleId="28">
    <w:name w:val="FollowedHyperlink"/>
    <w:basedOn w:val="25"/>
    <w:autoRedefine/>
    <w:unhideWhenUsed/>
    <w:qFormat/>
    <w:uiPriority w:val="99"/>
    <w:rPr>
      <w:color w:val="800080"/>
      <w:u w:val="single"/>
    </w:rPr>
  </w:style>
  <w:style w:type="character" w:styleId="29">
    <w:name w:val="Emphasis"/>
    <w:basedOn w:val="25"/>
    <w:autoRedefine/>
    <w:qFormat/>
    <w:uiPriority w:val="0"/>
    <w:rPr>
      <w:i/>
      <w:iCs/>
    </w:rPr>
  </w:style>
  <w:style w:type="character" w:styleId="30">
    <w:name w:val="line number"/>
    <w:basedOn w:val="25"/>
    <w:autoRedefine/>
    <w:unhideWhenUsed/>
    <w:qFormat/>
    <w:uiPriority w:val="99"/>
  </w:style>
  <w:style w:type="character" w:styleId="31">
    <w:name w:val="Hyperlink"/>
    <w:basedOn w:val="25"/>
    <w:autoRedefine/>
    <w:qFormat/>
    <w:uiPriority w:val="99"/>
    <w:rPr>
      <w:color w:val="0000FF"/>
      <w:u w:val="single"/>
    </w:rPr>
  </w:style>
  <w:style w:type="character" w:styleId="32">
    <w:name w:val="annotation reference"/>
    <w:basedOn w:val="25"/>
    <w:autoRedefine/>
    <w:unhideWhenUsed/>
    <w:qFormat/>
    <w:uiPriority w:val="0"/>
    <w:rPr>
      <w:sz w:val="21"/>
      <w:szCs w:val="21"/>
    </w:rPr>
  </w:style>
  <w:style w:type="character" w:styleId="33">
    <w:name w:val="footnote reference"/>
    <w:basedOn w:val="25"/>
    <w:autoRedefine/>
    <w:unhideWhenUsed/>
    <w:qFormat/>
    <w:uiPriority w:val="99"/>
    <w:rPr>
      <w:vertAlign w:val="superscript"/>
    </w:rPr>
  </w:style>
  <w:style w:type="character" w:customStyle="1" w:styleId="34">
    <w:name w:val="页眉 字符"/>
    <w:basedOn w:val="25"/>
    <w:link w:val="16"/>
    <w:autoRedefine/>
    <w:qFormat/>
    <w:uiPriority w:val="99"/>
    <w:rPr>
      <w:sz w:val="18"/>
      <w:szCs w:val="18"/>
    </w:rPr>
  </w:style>
  <w:style w:type="character" w:customStyle="1" w:styleId="35">
    <w:name w:val="页脚 字符"/>
    <w:basedOn w:val="25"/>
    <w:link w:val="15"/>
    <w:autoRedefine/>
    <w:qFormat/>
    <w:uiPriority w:val="99"/>
    <w:rPr>
      <w:sz w:val="18"/>
      <w:szCs w:val="18"/>
    </w:rPr>
  </w:style>
  <w:style w:type="character" w:customStyle="1" w:styleId="36">
    <w:name w:val="标题 1 字符"/>
    <w:basedOn w:val="25"/>
    <w:link w:val="3"/>
    <w:autoRedefine/>
    <w:qFormat/>
    <w:uiPriority w:val="0"/>
    <w:rPr>
      <w:rFonts w:ascii="Times New Roman" w:hAnsi="Times New Roman" w:eastAsia="宋体" w:cs="Times New Roman"/>
      <w:b/>
      <w:bCs/>
      <w:kern w:val="44"/>
      <w:sz w:val="44"/>
      <w:szCs w:val="44"/>
    </w:rPr>
  </w:style>
  <w:style w:type="character" w:customStyle="1" w:styleId="37">
    <w:name w:val="标题 2 字符"/>
    <w:basedOn w:val="25"/>
    <w:link w:val="4"/>
    <w:autoRedefine/>
    <w:qFormat/>
    <w:uiPriority w:val="9"/>
    <w:rPr>
      <w:rFonts w:ascii="Cambria" w:hAnsi="Cambria" w:eastAsia="宋体" w:cs="黑体"/>
      <w:b/>
      <w:bCs/>
      <w:sz w:val="32"/>
      <w:szCs w:val="32"/>
    </w:rPr>
  </w:style>
  <w:style w:type="character" w:customStyle="1" w:styleId="38">
    <w:name w:val="标题 3 字符"/>
    <w:basedOn w:val="25"/>
    <w:link w:val="5"/>
    <w:autoRedefine/>
    <w:qFormat/>
    <w:uiPriority w:val="0"/>
    <w:rPr>
      <w:rFonts w:ascii="宋体" w:hAnsi="宋体" w:eastAsia="宋体" w:cs="Times New Roman"/>
      <w:bCs/>
      <w:sz w:val="28"/>
      <w:szCs w:val="21"/>
    </w:rPr>
  </w:style>
  <w:style w:type="character" w:customStyle="1" w:styleId="39">
    <w:name w:val="标题 5 字符"/>
    <w:basedOn w:val="25"/>
    <w:link w:val="6"/>
    <w:autoRedefine/>
    <w:qFormat/>
    <w:uiPriority w:val="0"/>
    <w:rPr>
      <w:rFonts w:ascii="Times New Roman" w:hAnsi="Times New Roman" w:eastAsia="宋体" w:cs="Times New Roman"/>
      <w:b/>
      <w:bCs/>
      <w:sz w:val="28"/>
      <w:szCs w:val="28"/>
    </w:rPr>
  </w:style>
  <w:style w:type="character" w:customStyle="1" w:styleId="40">
    <w:name w:val="批注文字 字符"/>
    <w:basedOn w:val="25"/>
    <w:link w:val="8"/>
    <w:autoRedefine/>
    <w:qFormat/>
    <w:uiPriority w:val="0"/>
    <w:rPr>
      <w:rFonts w:ascii="Times New Roman" w:hAnsi="Times New Roman" w:eastAsia="宋体" w:cs="Times New Roman"/>
      <w:szCs w:val="24"/>
    </w:rPr>
  </w:style>
  <w:style w:type="character" w:customStyle="1" w:styleId="41">
    <w:name w:val="正文文本 字符"/>
    <w:basedOn w:val="25"/>
    <w:link w:val="9"/>
    <w:autoRedefine/>
    <w:qFormat/>
    <w:uiPriority w:val="99"/>
    <w:rPr>
      <w:rFonts w:ascii="Times New Roman" w:hAnsi="Times New Roman" w:eastAsia="宋体" w:cs="Times New Roman"/>
      <w:sz w:val="18"/>
      <w:szCs w:val="18"/>
    </w:rPr>
  </w:style>
  <w:style w:type="character" w:customStyle="1" w:styleId="42">
    <w:name w:val="纯文本 字符"/>
    <w:basedOn w:val="25"/>
    <w:link w:val="12"/>
    <w:autoRedefine/>
    <w:qFormat/>
    <w:uiPriority w:val="0"/>
    <w:rPr>
      <w:rFonts w:ascii="宋体" w:hAnsi="Courier New" w:eastAsia="宋体" w:cs="黑体"/>
    </w:rPr>
  </w:style>
  <w:style w:type="character" w:customStyle="1" w:styleId="43">
    <w:name w:val="日期 字符"/>
    <w:basedOn w:val="25"/>
    <w:link w:val="13"/>
    <w:autoRedefine/>
    <w:qFormat/>
    <w:uiPriority w:val="99"/>
    <w:rPr>
      <w:rFonts w:ascii="Times New Roman" w:hAnsi="Times New Roman" w:eastAsia="宋体" w:cs="Times New Roman"/>
      <w:szCs w:val="24"/>
    </w:rPr>
  </w:style>
  <w:style w:type="character" w:customStyle="1" w:styleId="44">
    <w:name w:val="批注框文本 字符"/>
    <w:basedOn w:val="25"/>
    <w:link w:val="14"/>
    <w:autoRedefine/>
    <w:qFormat/>
    <w:uiPriority w:val="99"/>
    <w:rPr>
      <w:rFonts w:ascii="Times New Roman" w:hAnsi="Times New Roman" w:eastAsia="宋体" w:cs="Times New Roman"/>
      <w:sz w:val="18"/>
      <w:szCs w:val="18"/>
    </w:rPr>
  </w:style>
  <w:style w:type="character" w:customStyle="1" w:styleId="45">
    <w:name w:val="脚注文本 字符"/>
    <w:basedOn w:val="25"/>
    <w:link w:val="18"/>
    <w:autoRedefine/>
    <w:qFormat/>
    <w:uiPriority w:val="99"/>
    <w:rPr>
      <w:rFonts w:ascii="Times New Roman" w:hAnsi="Times New Roman" w:eastAsia="宋体" w:cs="Times New Roman"/>
      <w:sz w:val="18"/>
      <w:szCs w:val="18"/>
    </w:rPr>
  </w:style>
  <w:style w:type="character" w:customStyle="1" w:styleId="46">
    <w:name w:val="标题 字符"/>
    <w:basedOn w:val="25"/>
    <w:link w:val="21"/>
    <w:autoRedefine/>
    <w:qFormat/>
    <w:uiPriority w:val="0"/>
    <w:rPr>
      <w:rFonts w:ascii="仿宋_GB2312" w:hAnsi="Calibri" w:eastAsia="仿宋_GB2312" w:cs="Times New Roman"/>
      <w:kern w:val="0"/>
      <w:sz w:val="28"/>
      <w:szCs w:val="28"/>
    </w:rPr>
  </w:style>
  <w:style w:type="character" w:customStyle="1" w:styleId="47">
    <w:name w:val="批注主题 字符"/>
    <w:basedOn w:val="40"/>
    <w:link w:val="22"/>
    <w:autoRedefine/>
    <w:qFormat/>
    <w:uiPriority w:val="99"/>
    <w:rPr>
      <w:rFonts w:ascii="Times New Roman" w:hAnsi="Times New Roman" w:eastAsia="宋体" w:cs="Times New Roman"/>
      <w:b/>
      <w:bCs/>
      <w:szCs w:val="24"/>
    </w:rPr>
  </w:style>
  <w:style w:type="character" w:customStyle="1" w:styleId="48">
    <w:name w:val="正文文本缩进 字符"/>
    <w:basedOn w:val="25"/>
    <w:link w:val="10"/>
    <w:autoRedefine/>
    <w:semiHidden/>
    <w:qFormat/>
    <w:uiPriority w:val="99"/>
    <w:rPr>
      <w:rFonts w:ascii="Times New Roman" w:hAnsi="Times New Roman" w:eastAsia="宋体" w:cs="Times New Roman"/>
      <w:szCs w:val="24"/>
      <w14:ligatures w14:val="none"/>
    </w:rPr>
  </w:style>
  <w:style w:type="character" w:customStyle="1" w:styleId="49">
    <w:name w:val="正文文本首行缩进 2 字符"/>
    <w:basedOn w:val="48"/>
    <w:link w:val="23"/>
    <w:autoRedefine/>
    <w:qFormat/>
    <w:uiPriority w:val="0"/>
    <w:rPr>
      <w:rFonts w:ascii="Times New Roman" w:hAnsi="Times New Roman" w:eastAsia="宋体" w:cs="Times New Roman"/>
      <w:szCs w:val="24"/>
      <w14:ligatures w14:val="none"/>
    </w:rPr>
  </w:style>
  <w:style w:type="paragraph" w:customStyle="1" w:styleId="50">
    <w:name w:val="列表段落1"/>
    <w:basedOn w:val="1"/>
    <w:autoRedefine/>
    <w:qFormat/>
    <w:uiPriority w:val="99"/>
    <w:pPr>
      <w:ind w:firstLine="420" w:firstLineChars="200"/>
    </w:pPr>
    <w:rPr>
      <w:rFonts w:ascii="仿宋_GB2312" w:hAnsi="Calibri" w:eastAsia="仿宋_GB2312"/>
      <w:sz w:val="28"/>
      <w:szCs w:val="22"/>
    </w:rPr>
  </w:style>
  <w:style w:type="paragraph" w:customStyle="1" w:styleId="51">
    <w:name w:val="正文内容"/>
    <w:basedOn w:val="1"/>
    <w:autoRedefine/>
    <w:qFormat/>
    <w:uiPriority w:val="0"/>
    <w:pPr>
      <w:spacing w:beforeLines="50" w:afterLines="50"/>
      <w:ind w:firstLine="480" w:firstLineChars="200"/>
    </w:pPr>
    <w:rPr>
      <w:sz w:val="24"/>
      <w:szCs w:val="20"/>
    </w:rPr>
  </w:style>
  <w:style w:type="paragraph" w:customStyle="1" w:styleId="52">
    <w:name w:val="表2008"/>
    <w:basedOn w:val="1"/>
    <w:autoRedefine/>
    <w:qFormat/>
    <w:uiPriority w:val="0"/>
    <w:pPr>
      <w:adjustRightInd w:val="0"/>
      <w:snapToGrid w:val="0"/>
      <w:spacing w:line="280" w:lineRule="exact"/>
      <w:jc w:val="center"/>
    </w:pPr>
    <w:rPr>
      <w:rFonts w:ascii="宋体" w:hAnsi="宋体"/>
      <w:b/>
      <w:bCs/>
      <w:szCs w:val="21"/>
    </w:rPr>
  </w:style>
  <w:style w:type="paragraph" w:customStyle="1" w:styleId="53">
    <w:name w:val="TOC 标题1"/>
    <w:basedOn w:val="3"/>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4">
    <w:name w:val="Default"/>
    <w:autoRedefine/>
    <w:qFormat/>
    <w:uiPriority w:val="0"/>
    <w:pPr>
      <w:widowControl w:val="0"/>
      <w:autoSpaceDE w:val="0"/>
      <w:autoSpaceDN w:val="0"/>
      <w:adjustRightInd w:val="0"/>
      <w:spacing w:line="360" w:lineRule="auto"/>
    </w:pPr>
    <w:rPr>
      <w:rFonts w:ascii="宋体" w:hAnsi="Calibri" w:eastAsia="宋体" w:cs="宋体"/>
      <w:color w:val="000000"/>
      <w:kern w:val="0"/>
      <w:sz w:val="24"/>
      <w:szCs w:val="24"/>
      <w:lang w:val="en-US" w:eastAsia="zh-CN" w:bidi="ar-SA"/>
      <w14:ligatures w14:val="standardContextual"/>
    </w:rPr>
  </w:style>
  <w:style w:type="paragraph" w:customStyle="1" w:styleId="55">
    <w:name w:val="修订1"/>
    <w:autoRedefine/>
    <w:hidden/>
    <w:semiHidden/>
    <w:qFormat/>
    <w:uiPriority w:val="99"/>
    <w:rPr>
      <w:rFonts w:ascii="Times New Roman" w:hAnsi="Times New Roman" w:eastAsia="宋体" w:cs="Times New Roman"/>
      <w:kern w:val="2"/>
      <w:sz w:val="21"/>
      <w:szCs w:val="24"/>
      <w:lang w:val="en-US" w:eastAsia="zh-CN" w:bidi="ar-SA"/>
      <w14:ligatures w14:val="standardContextual"/>
    </w:rPr>
  </w:style>
  <w:style w:type="paragraph" w:customStyle="1" w:styleId="56">
    <w:name w:val="无间隔1"/>
    <w:autoRedefine/>
    <w:qFormat/>
    <w:uiPriority w:val="99"/>
    <w:pPr>
      <w:widowControl w:val="0"/>
      <w:autoSpaceDE w:val="0"/>
      <w:autoSpaceDN w:val="0"/>
    </w:pPr>
    <w:rPr>
      <w:rFonts w:ascii="Noto Sans CJK JP Regular" w:hAnsi="Noto Sans CJK JP Regular" w:eastAsia="宋体" w:cs="Noto Sans CJK JP Regular"/>
      <w:kern w:val="0"/>
      <w:sz w:val="22"/>
      <w:szCs w:val="22"/>
      <w:lang w:val="en-US" w:eastAsia="en-US" w:bidi="ar-SA"/>
      <w14:ligatures w14:val="standardContextual"/>
    </w:rPr>
  </w:style>
  <w:style w:type="paragraph" w:customStyle="1" w:styleId="57">
    <w:name w:val="正文1"/>
    <w:basedOn w:val="1"/>
    <w:autoRedefine/>
    <w:qFormat/>
    <w:uiPriority w:val="0"/>
    <w:rPr>
      <w:sz w:val="28"/>
      <w:szCs w:val="28"/>
    </w:rPr>
  </w:style>
  <w:style w:type="paragraph" w:customStyle="1" w:styleId="58">
    <w:name w:val="正文2"/>
    <w:basedOn w:val="1"/>
    <w:autoRedefine/>
    <w:qFormat/>
    <w:uiPriority w:val="0"/>
    <w:pPr>
      <w:ind w:firstLine="200" w:firstLineChars="200"/>
    </w:pPr>
    <w:rPr>
      <w:sz w:val="20"/>
      <w:szCs w:val="20"/>
    </w:rPr>
  </w:style>
  <w:style w:type="paragraph" w:customStyle="1" w:styleId="59">
    <w:name w:val="列出段落1"/>
    <w:basedOn w:val="1"/>
    <w:autoRedefine/>
    <w:qFormat/>
    <w:uiPriority w:val="34"/>
    <w:pPr>
      <w:ind w:firstLine="420" w:firstLineChars="200"/>
    </w:pPr>
    <w:rPr>
      <w:rFonts w:ascii="仿宋_GB2312" w:hAnsi="Calibri" w:eastAsia="仿宋_GB2312"/>
      <w:sz w:val="28"/>
      <w:szCs w:val="22"/>
    </w:rPr>
  </w:style>
  <w:style w:type="paragraph" w:customStyle="1" w:styleId="60">
    <w:name w:val="列出段落3"/>
    <w:basedOn w:val="1"/>
    <w:autoRedefine/>
    <w:qFormat/>
    <w:uiPriority w:val="34"/>
    <w:pPr>
      <w:spacing w:line="240" w:lineRule="auto"/>
      <w:ind w:firstLine="420" w:firstLineChars="200"/>
    </w:pPr>
    <w:rPr>
      <w:sz w:val="28"/>
      <w:szCs w:val="20"/>
    </w:rPr>
  </w:style>
  <w:style w:type="paragraph" w:customStyle="1" w:styleId="61">
    <w:name w:val="列出段落2"/>
    <w:basedOn w:val="1"/>
    <w:link w:val="66"/>
    <w:autoRedefine/>
    <w:unhideWhenUsed/>
    <w:qFormat/>
    <w:uiPriority w:val="1"/>
    <w:pPr>
      <w:spacing w:line="240" w:lineRule="auto"/>
      <w:ind w:firstLine="420" w:firstLineChars="200"/>
    </w:pPr>
  </w:style>
  <w:style w:type="character" w:customStyle="1" w:styleId="62">
    <w:name w:val="纯文本 Char1"/>
    <w:basedOn w:val="25"/>
    <w:autoRedefine/>
    <w:qFormat/>
    <w:uiPriority w:val="0"/>
    <w:rPr>
      <w:rFonts w:ascii="宋体" w:hAnsi="Courier New"/>
    </w:rPr>
  </w:style>
  <w:style w:type="character" w:customStyle="1" w:styleId="63">
    <w:name w:val="font41"/>
    <w:basedOn w:val="25"/>
    <w:autoRedefine/>
    <w:qFormat/>
    <w:uiPriority w:val="0"/>
    <w:rPr>
      <w:rFonts w:hint="eastAsia" w:ascii="宋体" w:hAnsi="宋体" w:eastAsia="宋体" w:cs="宋体"/>
      <w:color w:val="000000"/>
      <w:sz w:val="22"/>
      <w:szCs w:val="22"/>
      <w:u w:val="none"/>
    </w:rPr>
  </w:style>
  <w:style w:type="character" w:customStyle="1" w:styleId="64">
    <w:name w:val="font11"/>
    <w:basedOn w:val="25"/>
    <w:autoRedefine/>
    <w:qFormat/>
    <w:uiPriority w:val="0"/>
    <w:rPr>
      <w:rFonts w:hint="eastAsia" w:ascii="宋体" w:hAnsi="宋体" w:eastAsia="宋体" w:cs="宋体"/>
      <w:color w:val="000000"/>
      <w:sz w:val="22"/>
      <w:szCs w:val="22"/>
      <w:u w:val="none"/>
      <w:vertAlign w:val="superscript"/>
    </w:rPr>
  </w:style>
  <w:style w:type="character" w:customStyle="1" w:styleId="65">
    <w:name w:val="font51"/>
    <w:basedOn w:val="25"/>
    <w:autoRedefine/>
    <w:qFormat/>
    <w:uiPriority w:val="0"/>
    <w:rPr>
      <w:rFonts w:hint="default" w:ascii="Tahoma" w:hAnsi="Tahoma" w:eastAsia="Tahoma" w:cs="Tahoma"/>
      <w:color w:val="000000"/>
      <w:sz w:val="22"/>
      <w:szCs w:val="22"/>
      <w:u w:val="none"/>
    </w:rPr>
  </w:style>
  <w:style w:type="character" w:customStyle="1" w:styleId="66">
    <w:name w:val="列出段落 Char"/>
    <w:basedOn w:val="25"/>
    <w:link w:val="61"/>
    <w:autoRedefine/>
    <w:qFormat/>
    <w:uiPriority w:val="1"/>
    <w:rPr>
      <w:rFonts w:ascii="Times New Roman" w:hAnsi="Times New Roman" w:eastAsia="宋体" w:cs="Times New Roman"/>
      <w:szCs w:val="24"/>
    </w:rPr>
  </w:style>
  <w:style w:type="character" w:customStyle="1" w:styleId="67">
    <w:name w:val="font61"/>
    <w:basedOn w:val="25"/>
    <w:autoRedefine/>
    <w:qFormat/>
    <w:uiPriority w:val="0"/>
    <w:rPr>
      <w:rFonts w:hint="default" w:ascii="Times New Roman" w:hAnsi="Times New Roman" w:cs="Times New Roman"/>
      <w:color w:val="000000"/>
      <w:sz w:val="21"/>
      <w:szCs w:val="21"/>
      <w:u w:val="none"/>
    </w:rPr>
  </w:style>
  <w:style w:type="character" w:customStyle="1" w:styleId="68">
    <w:name w:val="font81"/>
    <w:basedOn w:val="25"/>
    <w:autoRedefine/>
    <w:qFormat/>
    <w:uiPriority w:val="0"/>
    <w:rPr>
      <w:rFonts w:hint="default" w:ascii="仿宋_GB2312" w:eastAsia="仿宋_GB2312" w:cs="仿宋_GB2312"/>
      <w:color w:val="000000"/>
      <w:sz w:val="21"/>
      <w:szCs w:val="21"/>
      <w:u w:val="none"/>
    </w:rPr>
  </w:style>
  <w:style w:type="character" w:customStyle="1" w:styleId="69">
    <w:name w:val="font91"/>
    <w:basedOn w:val="25"/>
    <w:autoRedefine/>
    <w:qFormat/>
    <w:uiPriority w:val="0"/>
    <w:rPr>
      <w:rFonts w:hint="default" w:ascii="Times New Roman" w:hAnsi="Times New Roman" w:cs="Times New Roman"/>
      <w:color w:val="000000"/>
      <w:sz w:val="21"/>
      <w:szCs w:val="21"/>
      <w:u w:val="none"/>
    </w:rPr>
  </w:style>
  <w:style w:type="character" w:customStyle="1" w:styleId="70">
    <w:name w:val="font01"/>
    <w:basedOn w:val="25"/>
    <w:autoRedefine/>
    <w:qFormat/>
    <w:uiPriority w:val="0"/>
    <w:rPr>
      <w:rFonts w:hint="default" w:ascii="Times New Roman" w:hAnsi="Times New Roman" w:cs="Times New Roman"/>
      <w:color w:val="FF0000"/>
      <w:sz w:val="21"/>
      <w:szCs w:val="21"/>
      <w:u w:val="none"/>
    </w:rPr>
  </w:style>
  <w:style w:type="character" w:customStyle="1" w:styleId="71">
    <w:name w:val="font21"/>
    <w:basedOn w:val="25"/>
    <w:autoRedefine/>
    <w:qFormat/>
    <w:uiPriority w:val="0"/>
    <w:rPr>
      <w:rFonts w:hint="eastAsia" w:ascii="宋体" w:hAnsi="宋体" w:eastAsia="宋体" w:cs="宋体"/>
      <w:color w:val="000000"/>
      <w:sz w:val="24"/>
      <w:szCs w:val="24"/>
      <w:u w:val="none"/>
    </w:rPr>
  </w:style>
  <w:style w:type="paragraph" w:styleId="72">
    <w:name w:val="List Paragraph"/>
    <w:basedOn w:val="1"/>
    <w:autoRedefine/>
    <w:qFormat/>
    <w:uiPriority w:val="99"/>
    <w:pPr>
      <w:ind w:firstLine="420" w:firstLineChars="200"/>
    </w:pPr>
  </w:style>
  <w:style w:type="paragraph" w:customStyle="1" w:styleId="73">
    <w:name w:val="pf0"/>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character" w:customStyle="1" w:styleId="74">
    <w:name w:val="cf01"/>
    <w:basedOn w:val="25"/>
    <w:autoRedefine/>
    <w:qFormat/>
    <w:uiPriority w:val="0"/>
    <w:rPr>
      <w:rFonts w:hint="eastAsia" w:ascii="Microsoft YaHei UI" w:hAnsi="Microsoft YaHei UI" w:eastAsia="Microsoft YaHei UI"/>
      <w:sz w:val="18"/>
      <w:szCs w:val="18"/>
    </w:rPr>
  </w:style>
  <w:style w:type="paragraph" w:customStyle="1" w:styleId="75">
    <w:name w:val="Revision"/>
    <w:autoRedefine/>
    <w:hidden/>
    <w:unhideWhenUsed/>
    <w:qFormat/>
    <w:uiPriority w:val="99"/>
    <w:rPr>
      <w:rFonts w:ascii="Times New Roman" w:hAnsi="Times New Roman" w:eastAsia="宋体" w:cs="Times New Roman"/>
      <w:kern w:val="2"/>
      <w:sz w:val="21"/>
      <w:szCs w:val="24"/>
      <w:lang w:val="en-US" w:eastAsia="zh-CN" w:bidi="ar-SA"/>
      <w14:ligatures w14:val="standardContextual"/>
    </w:rPr>
  </w:style>
  <w:style w:type="paragraph" w:customStyle="1" w:styleId="76">
    <w:name w:val="啊啊啊啊"/>
    <w:basedOn w:val="1"/>
    <w:link w:val="77"/>
    <w:autoRedefine/>
    <w:qFormat/>
    <w:uiPriority w:val="0"/>
    <w:pPr>
      <w:ind w:firstLine="480" w:firstLineChars="200"/>
      <w:contextualSpacing/>
    </w:pPr>
    <w:rPr>
      <w:rFonts w:ascii="宋体" w:hAnsi="宋体" w:cs="宋体"/>
      <w:kern w:val="28"/>
      <w:sz w:val="24"/>
      <w:szCs w:val="21"/>
    </w:rPr>
  </w:style>
  <w:style w:type="character" w:customStyle="1" w:styleId="77">
    <w:name w:val="啊啊啊啊 字符"/>
    <w:basedOn w:val="25"/>
    <w:link w:val="76"/>
    <w:autoRedefine/>
    <w:qFormat/>
    <w:uiPriority w:val="0"/>
    <w:rPr>
      <w:rFonts w:ascii="宋体" w:hAnsi="宋体" w:eastAsia="宋体" w:cs="宋体"/>
      <w:kern w:val="28"/>
      <w:sz w:val="24"/>
      <w:szCs w:val="21"/>
    </w:rPr>
  </w:style>
  <w:style w:type="paragraph" w:customStyle="1" w:styleId="78">
    <w:name w:val="非常热打个比方吧"/>
    <w:basedOn w:val="5"/>
    <w:link w:val="79"/>
    <w:autoRedefine/>
    <w:qFormat/>
    <w:uiPriority w:val="0"/>
    <w:pPr>
      <w:numPr>
        <w:numId w:val="2"/>
      </w:numPr>
      <w:spacing w:before="156" w:after="156"/>
      <w:ind w:left="0" w:firstLine="284"/>
    </w:pPr>
  </w:style>
  <w:style w:type="character" w:customStyle="1" w:styleId="79">
    <w:name w:val="非常热打个比方吧 字符"/>
    <w:basedOn w:val="38"/>
    <w:link w:val="78"/>
    <w:autoRedefine/>
    <w:qFormat/>
    <w:uiPriority w:val="0"/>
    <w:rPr>
      <w:rFonts w:ascii="宋体" w:hAnsi="宋体" w:eastAsia="宋体" w:cs="Times New Roman"/>
      <w:sz w:val="28"/>
      <w:szCs w:val="21"/>
    </w:rPr>
  </w:style>
  <w:style w:type="paragraph" w:customStyle="1" w:styleId="80">
    <w:name w:val="顶顶顶顶顶"/>
    <w:basedOn w:val="78"/>
    <w:link w:val="81"/>
    <w:autoRedefine/>
    <w:qFormat/>
    <w:uiPriority w:val="0"/>
  </w:style>
  <w:style w:type="character" w:customStyle="1" w:styleId="81">
    <w:name w:val="顶顶顶顶顶 字符"/>
    <w:basedOn w:val="79"/>
    <w:link w:val="80"/>
    <w:autoRedefine/>
    <w:qFormat/>
    <w:uiPriority w:val="0"/>
    <w:rPr>
      <w:rFonts w:ascii="宋体" w:hAnsi="宋体" w:eastAsia="宋体" w:cs="Times New Roman"/>
      <w:sz w:val="28"/>
      <w:szCs w:val="21"/>
    </w:rPr>
  </w:style>
  <w:style w:type="table" w:customStyle="1" w:styleId="82">
    <w:name w:val="Grid Table Light"/>
    <w:basedOn w:val="24"/>
    <w:autoRedefine/>
    <w:qFormat/>
    <w:uiPriority w:val="40"/>
    <w:rPr>
      <w:rFonts w:ascii="Times New Roman" w:hAnsi="Times New Roman" w:eastAsia="宋体" w:cs="Times New Roman"/>
      <w:kern w:val="0"/>
      <w:sz w:val="20"/>
      <w:szCs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Body Text 21"/>
    <w:basedOn w:val="1"/>
    <w:autoRedefine/>
    <w:qFormat/>
    <w:uiPriority w:val="0"/>
    <w:pPr>
      <w:autoSpaceDE w:val="0"/>
      <w:autoSpaceDN w:val="0"/>
      <w:adjustRightInd w:val="0"/>
      <w:spacing w:line="480" w:lineRule="exact"/>
      <w:ind w:firstLine="540"/>
      <w:textAlignment w:val="baseline"/>
    </w:pPr>
    <w:rPr>
      <w:rFonts w:ascii="宋体" w:hAnsi="Tms Rmn" w:eastAsia="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4969</Words>
  <Characters>28324</Characters>
  <Lines>236</Lines>
  <Paragraphs>66</Paragraphs>
  <TotalTime>0</TotalTime>
  <ScaleCrop>false</ScaleCrop>
  <LinksUpToDate>false</LinksUpToDate>
  <CharactersWithSpaces>33227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2024-03-28T06:51:00Z</dcterms:created>
  <dc:creator>Administrator</dc:creator>
  <cp:lastModifiedBy>迪迪</cp:lastModifiedBy>
  <dcterms:modified xsi:type="dcterms:W3CDTF">2024-04-16T04:59:09Z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AFA631F356F0484AB2B0FB70DAC768D5_13</vt:lpwstr>
  </property>
</Properties>
</file>