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97" w:firstLineChars="249"/>
        <w:rPr>
          <w:rFonts w:hint="eastAsia" w:ascii="宋体" w:hAnsi="宋体" w:eastAsia="宋体" w:cs="宋体"/>
          <w:color w:val="auto"/>
          <w:kern w:val="1"/>
          <w:sz w:val="28"/>
          <w:szCs w:val="28"/>
          <w:highlight w:val="none"/>
        </w:rPr>
      </w:pPr>
    </w:p>
    <w:p>
      <w:pPr>
        <w:spacing w:line="560" w:lineRule="exact"/>
        <w:ind w:firstLine="697" w:firstLineChars="249"/>
        <w:rPr>
          <w:rFonts w:hint="eastAsia" w:ascii="宋体" w:hAnsi="宋体" w:eastAsia="宋体" w:cs="宋体"/>
          <w:color w:val="auto"/>
          <w:kern w:val="1"/>
          <w:sz w:val="28"/>
          <w:szCs w:val="28"/>
          <w:highlight w:val="none"/>
        </w:rPr>
      </w:pPr>
    </w:p>
    <w:p>
      <w:pPr>
        <w:spacing w:line="560" w:lineRule="exact"/>
        <w:ind w:firstLine="697" w:firstLineChars="249"/>
        <w:rPr>
          <w:rFonts w:hint="eastAsia" w:ascii="宋体" w:hAnsi="宋体" w:eastAsia="宋体" w:cs="宋体"/>
          <w:color w:val="auto"/>
          <w:kern w:val="1"/>
          <w:sz w:val="28"/>
          <w:szCs w:val="28"/>
          <w:highlight w:val="none"/>
        </w:rPr>
      </w:pPr>
    </w:p>
    <w:p>
      <w:pPr>
        <w:spacing w:line="560" w:lineRule="exact"/>
        <w:ind w:firstLine="697" w:firstLineChars="249"/>
        <w:rPr>
          <w:rFonts w:hint="eastAsia" w:ascii="宋体" w:hAnsi="宋体" w:eastAsia="宋体" w:cs="宋体"/>
          <w:color w:val="auto"/>
          <w:kern w:val="1"/>
          <w:sz w:val="28"/>
          <w:szCs w:val="28"/>
          <w:highlight w:val="none"/>
        </w:rPr>
      </w:pPr>
    </w:p>
    <w:p>
      <w:pPr>
        <w:spacing w:line="560" w:lineRule="exact"/>
        <w:ind w:firstLine="697" w:firstLineChars="249"/>
        <w:rPr>
          <w:rFonts w:hint="eastAsia" w:ascii="宋体" w:hAnsi="宋体" w:eastAsia="宋体" w:cs="宋体"/>
          <w:color w:val="auto"/>
          <w:kern w:val="1"/>
          <w:sz w:val="28"/>
          <w:szCs w:val="28"/>
          <w:highlight w:val="none"/>
          <w:lang w:eastAsia="zh-CN"/>
        </w:rPr>
      </w:pPr>
      <w:r>
        <w:rPr>
          <w:rFonts w:hint="eastAsia" w:ascii="宋体" w:hAnsi="宋体" w:eastAsia="宋体" w:cs="宋体"/>
          <w:color w:val="auto"/>
          <w:kern w:val="1"/>
          <w:sz w:val="28"/>
          <w:szCs w:val="28"/>
          <w:highlight w:val="none"/>
        </w:rPr>
        <w:t>合同编号：</w:t>
      </w:r>
    </w:p>
    <w:p>
      <w:pPr>
        <w:spacing w:line="560" w:lineRule="exact"/>
        <w:rPr>
          <w:rFonts w:hint="eastAsia" w:ascii="宋体" w:hAnsi="宋体" w:eastAsia="宋体" w:cs="宋体"/>
          <w:b/>
          <w:color w:val="auto"/>
          <w:kern w:val="1"/>
          <w:sz w:val="28"/>
          <w:szCs w:val="28"/>
          <w:highlight w:val="none"/>
        </w:rPr>
      </w:pPr>
    </w:p>
    <w:p>
      <w:pPr>
        <w:spacing w:line="560" w:lineRule="exact"/>
        <w:rPr>
          <w:rFonts w:hint="eastAsia" w:ascii="宋体" w:hAnsi="宋体" w:eastAsia="宋体" w:cs="宋体"/>
          <w:b/>
          <w:color w:val="auto"/>
          <w:kern w:val="1"/>
          <w:sz w:val="28"/>
          <w:szCs w:val="28"/>
          <w:highlight w:val="none"/>
        </w:rPr>
      </w:pPr>
    </w:p>
    <w:p>
      <w:pPr>
        <w:spacing w:line="560" w:lineRule="exact"/>
        <w:rPr>
          <w:rFonts w:hint="eastAsia" w:ascii="宋体" w:hAnsi="宋体" w:eastAsia="宋体" w:cs="宋体"/>
          <w:b/>
          <w:color w:val="auto"/>
          <w:kern w:val="1"/>
          <w:sz w:val="28"/>
          <w:szCs w:val="28"/>
          <w:highlight w:val="none"/>
        </w:rPr>
      </w:pPr>
    </w:p>
    <w:p>
      <w:pPr>
        <w:spacing w:line="560" w:lineRule="exact"/>
        <w:rPr>
          <w:rFonts w:hint="eastAsia" w:ascii="宋体" w:hAnsi="宋体" w:eastAsia="宋体" w:cs="宋体"/>
          <w:b/>
          <w:color w:val="auto"/>
          <w:kern w:val="1"/>
          <w:sz w:val="28"/>
          <w:szCs w:val="28"/>
          <w:highlight w:val="none"/>
        </w:rPr>
      </w:pPr>
    </w:p>
    <w:p>
      <w:pPr>
        <w:spacing w:line="560" w:lineRule="exact"/>
        <w:rPr>
          <w:rFonts w:hint="eastAsia" w:ascii="宋体" w:hAnsi="宋体" w:eastAsia="宋体" w:cs="宋体"/>
          <w:b/>
          <w:color w:val="auto"/>
          <w:kern w:val="1"/>
          <w:sz w:val="28"/>
          <w:szCs w:val="28"/>
          <w:highlight w:val="none"/>
        </w:rPr>
      </w:pPr>
    </w:p>
    <w:p>
      <w:pPr>
        <w:spacing w:line="560" w:lineRule="exact"/>
        <w:rPr>
          <w:rFonts w:hint="eastAsia" w:ascii="宋体" w:hAnsi="宋体" w:eastAsia="宋体" w:cs="宋体"/>
          <w:b/>
          <w:color w:val="auto"/>
          <w:kern w:val="1"/>
          <w:sz w:val="28"/>
          <w:szCs w:val="28"/>
          <w:highlight w:val="none"/>
        </w:rPr>
      </w:pPr>
    </w:p>
    <w:p>
      <w:pPr>
        <w:spacing w:line="560" w:lineRule="exact"/>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广州空港经济区中央商务区会展中心</w:t>
      </w:r>
    </w:p>
    <w:p>
      <w:pPr>
        <w:spacing w:line="560" w:lineRule="exact"/>
        <w:jc w:val="center"/>
        <w:rPr>
          <w:rFonts w:hint="eastAsia" w:ascii="宋体" w:hAnsi="宋体" w:eastAsia="宋体" w:cs="宋体"/>
          <w:b/>
          <w:bCs/>
          <w:color w:val="auto"/>
          <w:sz w:val="52"/>
          <w:szCs w:val="52"/>
          <w:highlight w:val="none"/>
          <w:lang w:eastAsia="zh-CN"/>
        </w:rPr>
      </w:pPr>
    </w:p>
    <w:p>
      <w:pPr>
        <w:spacing w:line="560" w:lineRule="exact"/>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eastAsia="zh-CN"/>
        </w:rPr>
        <w:t>二期项目（标段二）</w:t>
      </w:r>
      <w:r>
        <w:rPr>
          <w:rFonts w:hint="eastAsia" w:ascii="宋体" w:hAnsi="宋体" w:eastAsia="宋体" w:cs="宋体"/>
          <w:b/>
          <w:bCs/>
          <w:color w:val="auto"/>
          <w:sz w:val="52"/>
          <w:szCs w:val="52"/>
          <w:highlight w:val="none"/>
        </w:rPr>
        <w:t>幕墙</w:t>
      </w:r>
      <w:r>
        <w:rPr>
          <w:rFonts w:hint="eastAsia" w:ascii="宋体" w:hAnsi="宋体" w:eastAsia="宋体" w:cs="宋体"/>
          <w:b/>
          <w:bCs/>
          <w:color w:val="auto"/>
          <w:sz w:val="52"/>
          <w:szCs w:val="52"/>
          <w:highlight w:val="none"/>
          <w:lang w:val="en-US" w:eastAsia="zh-CN"/>
        </w:rPr>
        <w:t>及金属屋面</w:t>
      </w:r>
    </w:p>
    <w:p>
      <w:pPr>
        <w:spacing w:line="560" w:lineRule="exact"/>
        <w:jc w:val="center"/>
        <w:rPr>
          <w:rFonts w:hint="eastAsia" w:ascii="宋体" w:hAnsi="宋体" w:eastAsia="宋体" w:cs="宋体"/>
          <w:b/>
          <w:bCs/>
          <w:color w:val="auto"/>
          <w:sz w:val="52"/>
          <w:szCs w:val="52"/>
          <w:highlight w:val="none"/>
          <w:lang w:val="en-US" w:eastAsia="zh-CN"/>
        </w:rPr>
      </w:pPr>
    </w:p>
    <w:p>
      <w:pPr>
        <w:spacing w:line="560" w:lineRule="exact"/>
        <w:jc w:val="center"/>
        <w:rPr>
          <w:rFonts w:hint="eastAsia" w:ascii="宋体" w:hAnsi="宋体" w:eastAsia="宋体" w:cs="宋体"/>
          <w:color w:val="auto"/>
          <w:kern w:val="1"/>
          <w:sz w:val="28"/>
          <w:szCs w:val="28"/>
          <w:highlight w:val="none"/>
        </w:rPr>
      </w:pPr>
      <w:r>
        <w:rPr>
          <w:rFonts w:hint="eastAsia" w:ascii="宋体" w:hAnsi="宋体" w:eastAsia="宋体" w:cs="宋体"/>
          <w:b/>
          <w:bCs/>
          <w:color w:val="auto"/>
          <w:sz w:val="52"/>
          <w:szCs w:val="52"/>
          <w:highlight w:val="none"/>
        </w:rPr>
        <w:t>施工专业承包合同</w:t>
      </w:r>
    </w:p>
    <w:p>
      <w:pPr>
        <w:spacing w:line="560" w:lineRule="exact"/>
        <w:rPr>
          <w:rFonts w:hint="eastAsia" w:ascii="宋体" w:hAnsi="宋体" w:eastAsia="宋体" w:cs="宋体"/>
          <w:color w:val="auto"/>
          <w:kern w:val="1"/>
          <w:sz w:val="28"/>
          <w:szCs w:val="28"/>
          <w:highlight w:val="none"/>
        </w:rPr>
      </w:pPr>
    </w:p>
    <w:p>
      <w:pPr>
        <w:spacing w:line="560" w:lineRule="exact"/>
        <w:rPr>
          <w:rFonts w:hint="eastAsia" w:ascii="宋体" w:hAnsi="宋体" w:eastAsia="宋体" w:cs="宋体"/>
          <w:color w:val="auto"/>
          <w:kern w:val="1"/>
          <w:sz w:val="28"/>
          <w:szCs w:val="28"/>
          <w:highlight w:val="none"/>
        </w:rPr>
      </w:pPr>
    </w:p>
    <w:p>
      <w:pPr>
        <w:spacing w:line="560" w:lineRule="exact"/>
        <w:rPr>
          <w:rFonts w:hint="eastAsia" w:ascii="宋体" w:hAnsi="宋体" w:eastAsia="宋体" w:cs="宋体"/>
          <w:color w:val="auto"/>
          <w:kern w:val="1"/>
          <w:sz w:val="28"/>
          <w:szCs w:val="28"/>
          <w:highlight w:val="none"/>
        </w:rPr>
      </w:pPr>
    </w:p>
    <w:p>
      <w:pPr>
        <w:spacing w:line="560" w:lineRule="exact"/>
        <w:rPr>
          <w:rFonts w:hint="eastAsia" w:ascii="宋体" w:hAnsi="宋体" w:eastAsia="宋体" w:cs="宋体"/>
          <w:color w:val="auto"/>
          <w:kern w:val="1"/>
          <w:sz w:val="28"/>
          <w:szCs w:val="28"/>
          <w:highlight w:val="none"/>
        </w:rPr>
      </w:pPr>
    </w:p>
    <w:p>
      <w:pPr>
        <w:spacing w:line="560" w:lineRule="exact"/>
        <w:ind w:firstLine="1400" w:firstLineChars="500"/>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发包人（甲方）：广州新中轴建设有限公司</w:t>
      </w:r>
    </w:p>
    <w:p>
      <w:pPr>
        <w:spacing w:line="560" w:lineRule="exact"/>
        <w:ind w:firstLine="1400" w:firstLineChars="500"/>
        <w:rPr>
          <w:rFonts w:hint="eastAsia" w:ascii="宋体" w:hAnsi="宋体" w:eastAsia="宋体" w:cs="宋体"/>
          <w:color w:val="auto"/>
          <w:kern w:val="1"/>
          <w:sz w:val="28"/>
          <w:szCs w:val="28"/>
          <w:highlight w:val="none"/>
          <w:lang w:eastAsia="zh-CN"/>
        </w:rPr>
      </w:pPr>
      <w:r>
        <w:rPr>
          <w:rFonts w:hint="eastAsia" w:ascii="宋体" w:hAnsi="宋体" w:eastAsia="宋体" w:cs="宋体"/>
          <w:color w:val="auto"/>
          <w:kern w:val="1"/>
          <w:sz w:val="28"/>
          <w:szCs w:val="28"/>
          <w:highlight w:val="none"/>
        </w:rPr>
        <w:t>承包人（乙方）：</w:t>
      </w:r>
    </w:p>
    <w:p>
      <w:pPr>
        <w:spacing w:line="560" w:lineRule="exact"/>
        <w:ind w:firstLine="1400" w:firstLineChars="500"/>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订立日期：</w:t>
      </w:r>
      <w:r>
        <w:rPr>
          <w:rFonts w:hint="eastAsia" w:ascii="宋体" w:hAnsi="宋体" w:eastAsia="宋体" w:cs="宋体"/>
          <w:color w:val="auto"/>
          <w:kern w:val="1"/>
          <w:sz w:val="28"/>
          <w:szCs w:val="28"/>
          <w:highlight w:val="none"/>
          <w:lang w:val="en-US" w:eastAsia="zh-CN"/>
        </w:rPr>
        <w:t xml:space="preserve">    </w:t>
      </w:r>
      <w:r>
        <w:rPr>
          <w:rFonts w:hint="eastAsia" w:ascii="宋体" w:hAnsi="宋体" w:eastAsia="宋体" w:cs="宋体"/>
          <w:color w:val="auto"/>
          <w:kern w:val="1"/>
          <w:sz w:val="28"/>
          <w:szCs w:val="28"/>
          <w:highlight w:val="none"/>
        </w:rPr>
        <w:t>年</w:t>
      </w:r>
      <w:r>
        <w:rPr>
          <w:rFonts w:hint="eastAsia" w:ascii="宋体" w:hAnsi="宋体" w:eastAsia="宋体" w:cs="宋体"/>
          <w:color w:val="auto"/>
          <w:kern w:val="1"/>
          <w:sz w:val="28"/>
          <w:szCs w:val="28"/>
          <w:highlight w:val="none"/>
          <w:lang w:val="en-US" w:eastAsia="zh-CN"/>
        </w:rPr>
        <w:t xml:space="preserve"> </w:t>
      </w:r>
      <w:r>
        <w:rPr>
          <w:rFonts w:hint="eastAsia" w:ascii="宋体" w:hAnsi="宋体" w:eastAsia="宋体" w:cs="宋体"/>
          <w:color w:val="auto"/>
          <w:kern w:val="1"/>
          <w:sz w:val="28"/>
          <w:szCs w:val="28"/>
          <w:highlight w:val="none"/>
        </w:rPr>
        <w:t>月  日</w:t>
      </w:r>
    </w:p>
    <w:p>
      <w:pPr>
        <w:spacing w:line="560" w:lineRule="exact"/>
        <w:ind w:firstLine="1400" w:firstLineChars="500"/>
        <w:rPr>
          <w:rFonts w:hint="eastAsia" w:ascii="宋体" w:hAnsi="宋体" w:eastAsia="宋体" w:cs="宋体"/>
          <w:b/>
          <w:color w:val="auto"/>
          <w:kern w:val="1"/>
          <w:sz w:val="28"/>
          <w:szCs w:val="28"/>
          <w:highlight w:val="none"/>
        </w:rPr>
      </w:pPr>
      <w:r>
        <w:rPr>
          <w:rFonts w:hint="eastAsia" w:ascii="宋体" w:hAnsi="宋体" w:eastAsia="宋体" w:cs="宋体"/>
          <w:color w:val="auto"/>
          <w:kern w:val="1"/>
          <w:sz w:val="28"/>
          <w:szCs w:val="28"/>
          <w:highlight w:val="none"/>
        </w:rPr>
        <w:t>签约地点：广州市</w:t>
      </w:r>
    </w:p>
    <w:p>
      <w:pPr>
        <w:spacing w:line="560" w:lineRule="exact"/>
        <w:rPr>
          <w:rFonts w:hint="eastAsia" w:ascii="宋体" w:hAnsi="宋体" w:eastAsia="宋体" w:cs="宋体"/>
          <w:b/>
          <w:color w:val="auto"/>
          <w:kern w:val="1"/>
          <w:sz w:val="28"/>
          <w:szCs w:val="28"/>
          <w:highlight w:val="none"/>
        </w:rPr>
      </w:pPr>
    </w:p>
    <w:p>
      <w:pPr>
        <w:spacing w:line="560" w:lineRule="exact"/>
        <w:rPr>
          <w:rFonts w:hint="eastAsia" w:ascii="宋体" w:hAnsi="宋体" w:eastAsia="宋体" w:cs="宋体"/>
          <w:b/>
          <w:color w:val="auto"/>
          <w:kern w:val="1"/>
          <w:sz w:val="28"/>
          <w:szCs w:val="28"/>
          <w:highlight w:val="none"/>
        </w:rPr>
      </w:pPr>
    </w:p>
    <w:p>
      <w:pPr>
        <w:spacing w:line="560" w:lineRule="exact"/>
        <w:rPr>
          <w:rFonts w:hint="eastAsia" w:ascii="宋体" w:hAnsi="宋体" w:eastAsia="宋体" w:cs="宋体"/>
          <w:b/>
          <w:color w:val="auto"/>
          <w:kern w:val="1"/>
          <w:sz w:val="28"/>
          <w:szCs w:val="28"/>
          <w:highlight w:val="none"/>
        </w:rPr>
        <w:sectPr>
          <w:headerReference r:id="rId3" w:type="default"/>
          <w:footerReference r:id="rId4" w:type="default"/>
          <w:pgSz w:w="11906" w:h="16838"/>
          <w:pgMar w:top="1361" w:right="1588" w:bottom="1361" w:left="1588" w:header="851" w:footer="851" w:gutter="0"/>
          <w:cols w:space="720" w:num="1"/>
          <w:titlePg/>
          <w:docGrid w:linePitch="286" w:charSpace="0"/>
        </w:sectPr>
      </w:pPr>
    </w:p>
    <w:sdt>
      <w:sdtPr>
        <w:rPr>
          <w:rFonts w:hint="eastAsia" w:ascii="宋体" w:hAnsi="宋体" w:eastAsia="宋体" w:cs="宋体"/>
          <w:color w:val="auto"/>
          <w:sz w:val="28"/>
          <w:szCs w:val="28"/>
          <w:highlight w:val="none"/>
          <w:lang w:val="zh-CN"/>
        </w:rPr>
        <w:id w:val="888695534"/>
        <w:docPartObj>
          <w:docPartGallery w:val="Table of Contents"/>
          <w:docPartUnique/>
        </w:docPartObj>
      </w:sdtPr>
      <w:sdtEndPr>
        <w:rPr>
          <w:rFonts w:hint="eastAsia" w:ascii="宋体" w:hAnsi="宋体" w:eastAsia="宋体" w:cs="宋体"/>
          <w:color w:val="auto"/>
          <w:sz w:val="28"/>
          <w:szCs w:val="28"/>
          <w:highlight w:val="none"/>
          <w:lang w:val="zh-CN"/>
        </w:rPr>
      </w:sdtEndPr>
      <w:sdtContent>
        <w:p>
          <w:pPr>
            <w:pStyle w:val="159"/>
            <w:spacing w:line="560" w:lineRule="exact"/>
            <w:ind w:firstLine="565" w:firstLineChars="20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目录</w:t>
          </w:r>
        </w:p>
        <w:p>
          <w:pPr>
            <w:pStyle w:val="27"/>
            <w:tabs>
              <w:tab w:val="right" w:leader="dot" w:pos="8720"/>
            </w:tabs>
            <w:rPr>
              <w:rFonts w:hint="eastAsia" w:ascii="宋体" w:hAnsi="宋体" w:eastAsia="宋体" w:cs="宋体"/>
              <w:b w:val="0"/>
              <w:caps w:val="0"/>
              <w:color w:val="auto"/>
              <w:kern w:val="2"/>
              <w:sz w:val="21"/>
              <w:szCs w:val="22"/>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TOC \o "1-3" \h \z \u </w:instrText>
          </w:r>
          <w:r>
            <w:rPr>
              <w:rFonts w:hint="eastAsia" w:ascii="宋体" w:hAnsi="宋体" w:cs="宋体"/>
              <w:color w:val="auto"/>
              <w:sz w:val="28"/>
              <w:szCs w:val="28"/>
              <w:highlight w:val="none"/>
            </w:rPr>
            <w:fldChar w:fldCharType="separate"/>
          </w:r>
          <w:r>
            <w:rPr>
              <w:rFonts w:hint="eastAsia" w:ascii="宋体" w:hAnsi="宋体" w:cs="宋体"/>
              <w:highlight w:val="none"/>
            </w:rPr>
            <w:fldChar w:fldCharType="begin"/>
          </w:r>
          <w:r>
            <w:rPr>
              <w:rFonts w:hint="eastAsia" w:ascii="宋体" w:hAnsi="宋体" w:cs="宋体"/>
              <w:highlight w:val="none"/>
            </w:rPr>
            <w:instrText xml:space="preserve"> HYPERLINK \l "_Toc134126012" </w:instrText>
          </w:r>
          <w:r>
            <w:rPr>
              <w:rFonts w:hint="eastAsia" w:ascii="宋体" w:hAnsi="宋体" w:cs="宋体"/>
              <w:highlight w:val="none"/>
            </w:rPr>
            <w:fldChar w:fldCharType="separate"/>
          </w:r>
          <w:r>
            <w:rPr>
              <w:rStyle w:val="49"/>
              <w:rFonts w:hint="eastAsia" w:ascii="宋体" w:hAnsi="宋体" w:eastAsia="宋体" w:cs="宋体"/>
              <w:color w:val="auto"/>
              <w:highlight w:val="none"/>
            </w:rPr>
            <w:t>第一部分  合同协议书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_Toc134126012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720"/>
            </w:tabs>
            <w:rPr>
              <w:rFonts w:hint="eastAsia" w:ascii="宋体" w:hAnsi="宋体" w:eastAsia="宋体" w:cs="宋体"/>
              <w:b w:val="0"/>
              <w:caps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"_Toc134126013" </w:instrText>
          </w:r>
          <w:r>
            <w:rPr>
              <w:rFonts w:hint="eastAsia" w:ascii="宋体" w:hAnsi="宋体" w:cs="宋体"/>
              <w:highlight w:val="none"/>
            </w:rPr>
            <w:fldChar w:fldCharType="separate"/>
          </w:r>
          <w:r>
            <w:rPr>
              <w:rStyle w:val="49"/>
              <w:rFonts w:hint="eastAsia" w:ascii="宋体" w:hAnsi="宋体" w:eastAsia="宋体" w:cs="宋体"/>
              <w:color w:val="auto"/>
              <w:highlight w:val="none"/>
            </w:rPr>
            <w:t>第二部分  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_Toc134126013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"_Toc134126014" </w:instrText>
          </w:r>
          <w:r>
            <w:rPr>
              <w:rFonts w:hint="eastAsia" w:ascii="宋体" w:hAnsi="宋体" w:cs="宋体"/>
              <w:highlight w:val="none"/>
            </w:rPr>
            <w:fldChar w:fldCharType="separate"/>
          </w:r>
          <w:r>
            <w:rPr>
              <w:rStyle w:val="49"/>
              <w:rFonts w:hint="eastAsia" w:ascii="宋体" w:hAnsi="宋体" w:eastAsia="宋体" w:cs="宋体"/>
              <w:color w:val="auto"/>
              <w:highlight w:val="none"/>
            </w:rPr>
            <w:t>一、词语定义及合同文件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_Toc134126014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"_Toc134126015"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1．词语定义</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_Toc134126015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"_Toc134126016"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2．合同文件及解释顺序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_Toc134126016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"_Toc134126017"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3．语言文字和适用法律、标准及规范</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_Toc134126017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"_Toc134126018"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4．图纸</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_Toc134126018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"_Toc134126019" </w:instrText>
          </w:r>
          <w:r>
            <w:rPr>
              <w:rFonts w:hint="eastAsia" w:ascii="宋体" w:hAnsi="宋体" w:cs="宋体"/>
              <w:highlight w:val="none"/>
            </w:rPr>
            <w:fldChar w:fldCharType="separate"/>
          </w:r>
          <w:r>
            <w:rPr>
              <w:rStyle w:val="49"/>
              <w:rFonts w:hint="eastAsia" w:ascii="宋体" w:hAnsi="宋体" w:eastAsia="宋体" w:cs="宋体"/>
              <w:color w:val="auto"/>
              <w:highlight w:val="none"/>
            </w:rPr>
            <w:t>二、双方一般权利和义务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_Toc134126019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"_Toc134126020" </w:instrText>
          </w:r>
          <w:r>
            <w:rPr>
              <w:rFonts w:hint="eastAsia" w:ascii="宋体" w:hAnsi="宋体" w:cs="宋体"/>
              <w:highlight w:val="none"/>
            </w:rPr>
            <w:fldChar w:fldCharType="separate"/>
          </w:r>
          <w:r>
            <w:rPr>
              <w:rStyle w:val="49"/>
              <w:rFonts w:hint="eastAsia" w:ascii="宋体" w:hAnsi="宋体" w:eastAsia="宋体" w:cs="宋体"/>
              <w:color w:val="auto"/>
              <w:highlight w:val="none"/>
            </w:rPr>
            <w:t>5．工程师</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_Toc134126020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"_Toc134126021" </w:instrText>
          </w:r>
          <w:r>
            <w:rPr>
              <w:rFonts w:hint="eastAsia" w:ascii="宋体" w:hAnsi="宋体" w:cs="宋体"/>
              <w:highlight w:val="none"/>
            </w:rPr>
            <w:fldChar w:fldCharType="separate"/>
          </w:r>
          <w:r>
            <w:rPr>
              <w:rStyle w:val="49"/>
              <w:rFonts w:hint="eastAsia" w:ascii="宋体" w:hAnsi="宋体" w:eastAsia="宋体" w:cs="宋体"/>
              <w:color w:val="auto"/>
              <w:highlight w:val="none"/>
            </w:rPr>
            <w:t>6．工程师的委派和指令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_Toc134126021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"_Toc134126022" </w:instrText>
          </w:r>
          <w:r>
            <w:rPr>
              <w:rFonts w:hint="eastAsia" w:ascii="宋体" w:hAnsi="宋体" w:cs="宋体"/>
              <w:highlight w:val="none"/>
            </w:rPr>
            <w:fldChar w:fldCharType="separate"/>
          </w:r>
          <w:r>
            <w:rPr>
              <w:rStyle w:val="49"/>
              <w:rFonts w:hint="eastAsia" w:ascii="宋体" w:hAnsi="宋体" w:eastAsia="宋体" w:cs="宋体"/>
              <w:color w:val="auto"/>
              <w:highlight w:val="none"/>
            </w:rPr>
            <w:t>7．项目经理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_Toc134126022 \h </w:instrText>
          </w:r>
          <w:r>
            <w:rPr>
              <w:rFonts w:hint="eastAsia" w:ascii="宋体" w:hAnsi="宋体" w:cs="宋体"/>
              <w:color w:val="auto"/>
              <w:highlight w:val="none"/>
            </w:rPr>
            <w:fldChar w:fldCharType="separate"/>
          </w:r>
          <w:r>
            <w:rPr>
              <w:rFonts w:hint="eastAsia" w:ascii="宋体" w:hAnsi="宋体" w:cs="宋体"/>
              <w:color w:val="auto"/>
              <w:highlight w:val="none"/>
            </w:rPr>
            <w:t>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"_Toc134126023" </w:instrText>
          </w:r>
          <w:r>
            <w:rPr>
              <w:rFonts w:hint="eastAsia" w:ascii="宋体" w:hAnsi="宋体" w:cs="宋体"/>
              <w:highlight w:val="none"/>
            </w:rPr>
            <w:fldChar w:fldCharType="separate"/>
          </w:r>
          <w:r>
            <w:rPr>
              <w:rStyle w:val="49"/>
              <w:rFonts w:hint="eastAsia" w:ascii="宋体" w:hAnsi="宋体" w:eastAsia="宋体" w:cs="宋体"/>
              <w:color w:val="auto"/>
              <w:highlight w:val="none"/>
            </w:rPr>
            <w:t>8．发包人工作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_Toc134126023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"_Toc134126024" </w:instrText>
          </w:r>
          <w:r>
            <w:rPr>
              <w:rFonts w:hint="eastAsia" w:ascii="宋体" w:hAnsi="宋体" w:cs="宋体"/>
              <w:highlight w:val="none"/>
            </w:rPr>
            <w:fldChar w:fldCharType="separate"/>
          </w:r>
          <w:r>
            <w:rPr>
              <w:rStyle w:val="49"/>
              <w:rFonts w:hint="eastAsia" w:ascii="宋体" w:hAnsi="宋体" w:eastAsia="宋体" w:cs="宋体"/>
              <w:color w:val="auto"/>
              <w:highlight w:val="none"/>
            </w:rPr>
            <w:t>9．承包人工作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_Toc134126024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"_Toc134126025" </w:instrText>
          </w:r>
          <w:r>
            <w:rPr>
              <w:rFonts w:hint="eastAsia" w:ascii="宋体" w:hAnsi="宋体" w:cs="宋体"/>
              <w:highlight w:val="none"/>
            </w:rPr>
            <w:fldChar w:fldCharType="separate"/>
          </w:r>
          <w:r>
            <w:rPr>
              <w:rStyle w:val="49"/>
              <w:rFonts w:hint="eastAsia" w:ascii="宋体" w:hAnsi="宋体" w:eastAsia="宋体" w:cs="宋体"/>
              <w:color w:val="auto"/>
              <w:highlight w:val="none"/>
            </w:rPr>
            <w:t>三、施工组织设计和工期</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_Toc134126025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"_Toc134126026"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10．进度计划</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_Toc134126026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"_Toc134126027"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11．开工及延期开工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_Toc134126027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"_Toc134126028"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12．暂停施工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_Toc134126028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"_Toc134126029"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13．工期延误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_Toc134126029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"_Toc134126030"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14．工程竣工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_Toc134126030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"_Toc134126031" </w:instrText>
          </w:r>
          <w:r>
            <w:rPr>
              <w:rFonts w:hint="eastAsia" w:ascii="宋体" w:hAnsi="宋体" w:cs="宋体"/>
              <w:highlight w:val="none"/>
            </w:rPr>
            <w:fldChar w:fldCharType="separate"/>
          </w:r>
          <w:r>
            <w:rPr>
              <w:rStyle w:val="49"/>
              <w:rFonts w:hint="eastAsia" w:ascii="宋体" w:hAnsi="宋体" w:eastAsia="宋体" w:cs="宋体"/>
              <w:color w:val="auto"/>
              <w:highlight w:val="none"/>
            </w:rPr>
            <w:t>四、质量与检验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_Toc134126031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"_Toc134126032"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15．工程质量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_Toc134126032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"_Toc134126033"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16．检查和返工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_Toc134126033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"_Toc134126034"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17．隐蔽工程和中间验收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_Toc134126034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"_Toc134126035"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18．重新检验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_Toc134126035 \h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"_Toc134126036"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19．工程试车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_Toc134126036 \h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"_Toc134126037" </w:instrText>
          </w:r>
          <w:r>
            <w:rPr>
              <w:rFonts w:hint="eastAsia" w:ascii="宋体" w:hAnsi="宋体" w:cs="宋体"/>
              <w:highlight w:val="none"/>
            </w:rPr>
            <w:fldChar w:fldCharType="separate"/>
          </w:r>
          <w:r>
            <w:rPr>
              <w:rStyle w:val="49"/>
              <w:rFonts w:hint="eastAsia" w:ascii="宋体" w:hAnsi="宋体" w:eastAsia="宋体" w:cs="宋体"/>
              <w:color w:val="auto"/>
              <w:highlight w:val="none"/>
            </w:rPr>
            <w:t>五、安全施工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_Toc134126037 \h </w:instrText>
          </w:r>
          <w:r>
            <w:rPr>
              <w:rFonts w:hint="eastAsia" w:ascii="宋体" w:hAnsi="宋体" w:cs="宋体"/>
              <w:color w:val="auto"/>
              <w:highlight w:val="none"/>
            </w:rPr>
            <w:fldChar w:fldCharType="separate"/>
          </w:r>
          <w:r>
            <w:rPr>
              <w:rFonts w:hint="eastAsia" w:ascii="宋体" w:hAnsi="宋体" w:cs="宋体"/>
              <w:color w:val="auto"/>
              <w:highlight w:val="none"/>
            </w:rPr>
            <w:t>30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"_Toc134126038"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20．安全施工与检查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_Toc134126038 \h </w:instrText>
          </w:r>
          <w:r>
            <w:rPr>
              <w:rFonts w:hint="eastAsia" w:ascii="宋体" w:hAnsi="宋体" w:cs="宋体"/>
              <w:color w:val="auto"/>
              <w:highlight w:val="none"/>
            </w:rPr>
            <w:fldChar w:fldCharType="separate"/>
          </w:r>
          <w:r>
            <w:rPr>
              <w:rFonts w:hint="eastAsia" w:ascii="宋体" w:hAnsi="宋体" w:cs="宋体"/>
              <w:color w:val="auto"/>
              <w:highlight w:val="none"/>
            </w:rPr>
            <w:t>30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"_Toc134126039"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21．安全防护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_Toc134126039 \h </w:instrText>
          </w:r>
          <w:r>
            <w:rPr>
              <w:rFonts w:hint="eastAsia" w:ascii="宋体" w:hAnsi="宋体" w:cs="宋体"/>
              <w:color w:val="auto"/>
              <w:highlight w:val="none"/>
            </w:rPr>
            <w:fldChar w:fldCharType="separate"/>
          </w:r>
          <w:r>
            <w:rPr>
              <w:rFonts w:hint="eastAsia" w:ascii="宋体" w:hAnsi="宋体" w:cs="宋体"/>
              <w:color w:val="auto"/>
              <w:highlight w:val="none"/>
            </w:rPr>
            <w:t>31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"_Toc134126040"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22．事故处理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_Toc134126040 \h </w:instrText>
          </w:r>
          <w:r>
            <w:rPr>
              <w:rFonts w:hint="eastAsia" w:ascii="宋体" w:hAnsi="宋体" w:cs="宋体"/>
              <w:color w:val="auto"/>
              <w:highlight w:val="none"/>
            </w:rPr>
            <w:fldChar w:fldCharType="separate"/>
          </w:r>
          <w:r>
            <w:rPr>
              <w:rFonts w:hint="eastAsia" w:ascii="宋体" w:hAnsi="宋体" w:cs="宋体"/>
              <w:color w:val="auto"/>
              <w:highlight w:val="none"/>
            </w:rPr>
            <w:t>31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"_Toc134126041" </w:instrText>
          </w:r>
          <w:r>
            <w:rPr>
              <w:rFonts w:hint="eastAsia" w:ascii="宋体" w:hAnsi="宋体" w:cs="宋体"/>
              <w:highlight w:val="none"/>
            </w:rPr>
            <w:fldChar w:fldCharType="separate"/>
          </w:r>
          <w:r>
            <w:rPr>
              <w:rStyle w:val="49"/>
              <w:rFonts w:hint="eastAsia" w:ascii="宋体" w:hAnsi="宋体" w:eastAsia="宋体" w:cs="宋体"/>
              <w:color w:val="auto"/>
              <w:highlight w:val="none"/>
            </w:rPr>
            <w:t>六、合同价款与支付</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_Toc134126041 \h </w:instrText>
          </w:r>
          <w:r>
            <w:rPr>
              <w:rFonts w:hint="eastAsia" w:ascii="宋体" w:hAnsi="宋体" w:cs="宋体"/>
              <w:color w:val="auto"/>
              <w:highlight w:val="none"/>
            </w:rPr>
            <w:fldChar w:fldCharType="separate"/>
          </w:r>
          <w:r>
            <w:rPr>
              <w:rFonts w:hint="eastAsia" w:ascii="宋体" w:hAnsi="宋体" w:cs="宋体"/>
              <w:color w:val="auto"/>
              <w:highlight w:val="none"/>
            </w:rPr>
            <w:t>31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"_Toc134126042"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23．合同价款与调整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_Toc134126042 \h </w:instrText>
          </w:r>
          <w:r>
            <w:rPr>
              <w:rFonts w:hint="eastAsia" w:ascii="宋体" w:hAnsi="宋体" w:cs="宋体"/>
              <w:color w:val="auto"/>
              <w:highlight w:val="none"/>
            </w:rPr>
            <w:fldChar w:fldCharType="separate"/>
          </w:r>
          <w:r>
            <w:rPr>
              <w:rFonts w:hint="eastAsia" w:ascii="宋体" w:hAnsi="宋体" w:cs="宋体"/>
              <w:color w:val="auto"/>
              <w:highlight w:val="none"/>
            </w:rPr>
            <w:t>31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"_Toc134126043"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24．工程预付款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_Toc134126043 \h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"_Toc134126044"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25．工程量的确认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_Toc134126044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"_Toc134126045"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26．工程款（进度款）支付</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_Toc134126045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"_Toc134126046" </w:instrText>
          </w:r>
          <w:r>
            <w:rPr>
              <w:rFonts w:hint="eastAsia" w:ascii="宋体" w:hAnsi="宋体" w:cs="宋体"/>
              <w:highlight w:val="none"/>
            </w:rPr>
            <w:fldChar w:fldCharType="separate"/>
          </w:r>
          <w:r>
            <w:rPr>
              <w:rStyle w:val="49"/>
              <w:rFonts w:hint="eastAsia" w:ascii="宋体" w:hAnsi="宋体" w:eastAsia="宋体" w:cs="宋体"/>
              <w:color w:val="auto"/>
              <w:highlight w:val="none"/>
            </w:rPr>
            <w:t>七、材料设备供应</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_Toc134126046 \h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"_Toc134126047"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27．发包人供应材料设备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_Toc134126047 \h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"_Toc134126048"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28．承包人采购材料设备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_Toc134126048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"_Toc134126049" </w:instrText>
          </w:r>
          <w:r>
            <w:rPr>
              <w:rFonts w:hint="eastAsia" w:ascii="宋体" w:hAnsi="宋体" w:cs="宋体"/>
              <w:highlight w:val="none"/>
            </w:rPr>
            <w:fldChar w:fldCharType="separate"/>
          </w:r>
          <w:r>
            <w:rPr>
              <w:rStyle w:val="49"/>
              <w:rFonts w:hint="eastAsia" w:ascii="宋体" w:hAnsi="宋体" w:eastAsia="宋体" w:cs="宋体"/>
              <w:color w:val="auto"/>
              <w:highlight w:val="none"/>
            </w:rPr>
            <w:t>八、工程变更：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_Toc134126049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"_Toc134126050"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29．工程设计变更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_Toc134126050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"_Toc134126051"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30．其他变更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_Toc134126051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"_Toc134126052"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31．确定变更价款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_Toc134126052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"_Toc134126053" </w:instrText>
          </w:r>
          <w:r>
            <w:rPr>
              <w:rFonts w:hint="eastAsia" w:ascii="宋体" w:hAnsi="宋体" w:cs="宋体"/>
              <w:highlight w:val="none"/>
            </w:rPr>
            <w:fldChar w:fldCharType="separate"/>
          </w:r>
          <w:r>
            <w:rPr>
              <w:rStyle w:val="49"/>
              <w:rFonts w:hint="eastAsia" w:ascii="宋体" w:hAnsi="宋体" w:eastAsia="宋体" w:cs="宋体"/>
              <w:color w:val="auto"/>
              <w:highlight w:val="none"/>
            </w:rPr>
            <w:t>九、竣工验收与结算</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_Toc134126053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"_Toc134126054"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32．竣工验收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_Toc134126054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"_Toc134126055"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33．竣工结算</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_Toc134126055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"_Toc134126056"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34．质量保修</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_Toc134126056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"_Toc134126057" </w:instrText>
          </w:r>
          <w:r>
            <w:rPr>
              <w:rFonts w:hint="eastAsia" w:ascii="宋体" w:hAnsi="宋体" w:cs="宋体"/>
              <w:highlight w:val="none"/>
            </w:rPr>
            <w:fldChar w:fldCharType="separate"/>
          </w:r>
          <w:r>
            <w:rPr>
              <w:rStyle w:val="49"/>
              <w:rFonts w:hint="eastAsia" w:ascii="宋体" w:hAnsi="宋体" w:eastAsia="宋体" w:cs="宋体"/>
              <w:color w:val="auto"/>
              <w:highlight w:val="none"/>
            </w:rPr>
            <w:t>十、违约、索赔和争议</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_Toc134126057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"_Toc134126058"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35．违约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_Toc134126058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"_Toc134126059"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36．索赔</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_Toc134126059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"_Toc134126060"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37．争议</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_Toc134126060 \h </w:instrText>
          </w:r>
          <w:r>
            <w:rPr>
              <w:rFonts w:hint="eastAsia" w:ascii="宋体" w:hAnsi="宋体" w:cs="宋体"/>
              <w:color w:val="auto"/>
              <w:highlight w:val="none"/>
            </w:rPr>
            <w:fldChar w:fldCharType="separate"/>
          </w:r>
          <w:r>
            <w:rPr>
              <w:rFonts w:hint="eastAsia" w:ascii="宋体" w:hAnsi="宋体" w:cs="宋体"/>
              <w:color w:val="auto"/>
              <w:highlight w:val="none"/>
            </w:rPr>
            <w:t>40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"_Toc134126061" </w:instrText>
          </w:r>
          <w:r>
            <w:rPr>
              <w:rFonts w:hint="eastAsia" w:ascii="宋体" w:hAnsi="宋体" w:cs="宋体"/>
              <w:highlight w:val="none"/>
            </w:rPr>
            <w:fldChar w:fldCharType="separate"/>
          </w:r>
          <w:r>
            <w:rPr>
              <w:rStyle w:val="49"/>
              <w:rFonts w:hint="eastAsia" w:ascii="宋体" w:hAnsi="宋体" w:eastAsia="宋体" w:cs="宋体"/>
              <w:color w:val="auto"/>
              <w:highlight w:val="none"/>
            </w:rPr>
            <w:t>十一、其他</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_Toc134126061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"_Toc134126062"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38．工程分包</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_Toc134126062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"_Toc134126063"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39．不可抗力</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_Toc134126063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"_Toc134126064"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40．保险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_Toc134126064 \h </w:instrText>
          </w:r>
          <w:r>
            <w:rPr>
              <w:rFonts w:hint="eastAsia" w:ascii="宋体" w:hAnsi="宋体" w:cs="宋体"/>
              <w:color w:val="auto"/>
              <w:highlight w:val="none"/>
            </w:rPr>
            <w:fldChar w:fldCharType="separate"/>
          </w:r>
          <w:r>
            <w:rPr>
              <w:rFonts w:hint="eastAsia" w:ascii="宋体" w:hAnsi="宋体" w:cs="宋体"/>
              <w:color w:val="auto"/>
              <w:highlight w:val="none"/>
            </w:rPr>
            <w:t>42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"_Toc134126065"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41．担保</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_Toc134126065 \h </w:instrText>
          </w:r>
          <w:r>
            <w:rPr>
              <w:rFonts w:hint="eastAsia" w:ascii="宋体" w:hAnsi="宋体" w:cs="宋体"/>
              <w:color w:val="auto"/>
              <w:highlight w:val="none"/>
            </w:rPr>
            <w:fldChar w:fldCharType="separate"/>
          </w:r>
          <w:r>
            <w:rPr>
              <w:rFonts w:hint="eastAsia" w:ascii="宋体" w:hAnsi="宋体" w:cs="宋体"/>
              <w:color w:val="auto"/>
              <w:highlight w:val="none"/>
            </w:rPr>
            <w:t>43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"_Toc134126066"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42．专利技术及特殊工艺</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_Toc134126066 \h </w:instrText>
          </w:r>
          <w:r>
            <w:rPr>
              <w:rFonts w:hint="eastAsia" w:ascii="宋体" w:hAnsi="宋体" w:cs="宋体"/>
              <w:color w:val="auto"/>
              <w:highlight w:val="none"/>
            </w:rPr>
            <w:fldChar w:fldCharType="separate"/>
          </w:r>
          <w:r>
            <w:rPr>
              <w:rFonts w:hint="eastAsia" w:ascii="宋体" w:hAnsi="宋体" w:cs="宋体"/>
              <w:color w:val="auto"/>
              <w:highlight w:val="none"/>
            </w:rPr>
            <w:t>43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"_Toc134126067"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43．文物和地下障碍物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_Toc134126067 \h </w:instrText>
          </w:r>
          <w:r>
            <w:rPr>
              <w:rFonts w:hint="eastAsia" w:ascii="宋体" w:hAnsi="宋体" w:cs="宋体"/>
              <w:color w:val="auto"/>
              <w:highlight w:val="none"/>
            </w:rPr>
            <w:fldChar w:fldCharType="separate"/>
          </w:r>
          <w:r>
            <w:rPr>
              <w:rFonts w:hint="eastAsia" w:ascii="宋体" w:hAnsi="宋体" w:cs="宋体"/>
              <w:color w:val="auto"/>
              <w:highlight w:val="none"/>
            </w:rPr>
            <w:t>43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"_Toc134126068"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44．合同解除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_Toc134126068 \h </w:instrText>
          </w:r>
          <w:r>
            <w:rPr>
              <w:rFonts w:hint="eastAsia" w:ascii="宋体" w:hAnsi="宋体" w:cs="宋体"/>
              <w:color w:val="auto"/>
              <w:highlight w:val="none"/>
            </w:rPr>
            <w:fldChar w:fldCharType="separate"/>
          </w:r>
          <w:r>
            <w:rPr>
              <w:rFonts w:hint="eastAsia" w:ascii="宋体" w:hAnsi="宋体" w:cs="宋体"/>
              <w:color w:val="auto"/>
              <w:highlight w:val="none"/>
            </w:rPr>
            <w:t>44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"_Toc134126069"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45．合同生效与终止</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_Toc134126069 \h </w:instrText>
          </w:r>
          <w:r>
            <w:rPr>
              <w:rFonts w:hint="eastAsia" w:ascii="宋体" w:hAnsi="宋体" w:cs="宋体"/>
              <w:color w:val="auto"/>
              <w:highlight w:val="none"/>
            </w:rPr>
            <w:fldChar w:fldCharType="separate"/>
          </w:r>
          <w:r>
            <w:rPr>
              <w:rFonts w:hint="eastAsia" w:ascii="宋体" w:hAnsi="宋体" w:cs="宋体"/>
              <w:color w:val="auto"/>
              <w:highlight w:val="none"/>
            </w:rPr>
            <w:t>45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"_Toc134126070"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46．合同份数</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_Toc134126070 \h </w:instrText>
          </w:r>
          <w:r>
            <w:rPr>
              <w:rFonts w:hint="eastAsia" w:ascii="宋体" w:hAnsi="宋体" w:cs="宋体"/>
              <w:color w:val="auto"/>
              <w:highlight w:val="none"/>
            </w:rPr>
            <w:fldChar w:fldCharType="separate"/>
          </w:r>
          <w:r>
            <w:rPr>
              <w:rFonts w:hint="eastAsia" w:ascii="宋体" w:hAnsi="宋体" w:cs="宋体"/>
              <w:color w:val="auto"/>
              <w:highlight w:val="none"/>
            </w:rPr>
            <w:t>45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"_Toc134126071"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47．补充条款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_Toc134126071 \h </w:instrText>
          </w:r>
          <w:r>
            <w:rPr>
              <w:rFonts w:hint="eastAsia" w:ascii="宋体" w:hAnsi="宋体" w:cs="宋体"/>
              <w:color w:val="auto"/>
              <w:highlight w:val="none"/>
            </w:rPr>
            <w:fldChar w:fldCharType="separate"/>
          </w:r>
          <w:r>
            <w:rPr>
              <w:rFonts w:hint="eastAsia" w:ascii="宋体" w:hAnsi="宋体" w:cs="宋体"/>
              <w:color w:val="auto"/>
              <w:highlight w:val="none"/>
            </w:rPr>
            <w:t>45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720"/>
            </w:tabs>
            <w:rPr>
              <w:rFonts w:hint="eastAsia" w:ascii="宋体" w:hAnsi="宋体" w:eastAsia="宋体" w:cs="宋体"/>
              <w:b w:val="0"/>
              <w:caps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"_Toc134126072" </w:instrText>
          </w:r>
          <w:r>
            <w:rPr>
              <w:rFonts w:hint="eastAsia" w:ascii="宋体" w:hAnsi="宋体" w:cs="宋体"/>
              <w:highlight w:val="none"/>
            </w:rPr>
            <w:fldChar w:fldCharType="separate"/>
          </w:r>
          <w:r>
            <w:rPr>
              <w:rStyle w:val="49"/>
              <w:rFonts w:hint="eastAsia" w:ascii="宋体" w:hAnsi="宋体" w:eastAsia="宋体" w:cs="宋体"/>
              <w:color w:val="auto"/>
              <w:highlight w:val="none"/>
            </w:rPr>
            <w:t>第三部分  专用条款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_Toc134126072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"_Toc134126073" </w:instrText>
          </w:r>
          <w:r>
            <w:rPr>
              <w:rFonts w:hint="eastAsia" w:ascii="宋体" w:hAnsi="宋体" w:cs="宋体"/>
              <w:highlight w:val="none"/>
            </w:rPr>
            <w:fldChar w:fldCharType="separate"/>
          </w:r>
          <w:r>
            <w:rPr>
              <w:rStyle w:val="49"/>
              <w:rFonts w:hint="eastAsia" w:ascii="宋体" w:hAnsi="宋体" w:eastAsia="宋体" w:cs="宋体"/>
              <w:color w:val="auto"/>
              <w:highlight w:val="none"/>
            </w:rPr>
            <w:t>一、词语定义及合同文件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_Toc134126073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"_Toc134126074"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1．词语定义</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_Toc134126074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"_Toc134126075"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2、合同文件及解释顺序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_Toc134126075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"_Toc134126076"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3、语言文字和适用法律、标准及规范</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_Toc134126076 \h </w:instrText>
          </w:r>
          <w:r>
            <w:rPr>
              <w:rFonts w:hint="eastAsia" w:ascii="宋体" w:hAnsi="宋体" w:cs="宋体"/>
              <w:color w:val="auto"/>
              <w:highlight w:val="none"/>
            </w:rPr>
            <w:fldChar w:fldCharType="separate"/>
          </w:r>
          <w:r>
            <w:rPr>
              <w:rFonts w:hint="eastAsia" w:ascii="宋体" w:hAnsi="宋体" w:cs="宋体"/>
              <w:color w:val="auto"/>
              <w:highlight w:val="none"/>
            </w:rPr>
            <w:t>47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"_Toc134126077"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4、图纸</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_Toc134126077 \h </w:instrText>
          </w:r>
          <w:r>
            <w:rPr>
              <w:rFonts w:hint="eastAsia" w:ascii="宋体" w:hAnsi="宋体" w:cs="宋体"/>
              <w:color w:val="auto"/>
              <w:highlight w:val="none"/>
            </w:rPr>
            <w:fldChar w:fldCharType="separate"/>
          </w:r>
          <w:r>
            <w:rPr>
              <w:rFonts w:hint="eastAsia" w:ascii="宋体" w:hAnsi="宋体" w:cs="宋体"/>
              <w:color w:val="auto"/>
              <w:highlight w:val="none"/>
            </w:rPr>
            <w:t>47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"_Toc134126078" </w:instrText>
          </w:r>
          <w:r>
            <w:rPr>
              <w:rFonts w:hint="eastAsia" w:ascii="宋体" w:hAnsi="宋体" w:cs="宋体"/>
              <w:highlight w:val="none"/>
            </w:rPr>
            <w:fldChar w:fldCharType="separate"/>
          </w:r>
          <w:r>
            <w:rPr>
              <w:rStyle w:val="49"/>
              <w:rFonts w:hint="eastAsia" w:ascii="宋体" w:hAnsi="宋体" w:eastAsia="宋体" w:cs="宋体"/>
              <w:color w:val="auto"/>
              <w:highlight w:val="none"/>
            </w:rPr>
            <w:t>二、双方一般权利和义务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_Toc134126078 \h </w:instrText>
          </w:r>
          <w:r>
            <w:rPr>
              <w:rFonts w:hint="eastAsia" w:ascii="宋体" w:hAnsi="宋体" w:cs="宋体"/>
              <w:color w:val="auto"/>
              <w:highlight w:val="none"/>
            </w:rPr>
            <w:fldChar w:fldCharType="separate"/>
          </w:r>
          <w:r>
            <w:rPr>
              <w:rFonts w:hint="eastAsia" w:ascii="宋体" w:hAnsi="宋体" w:cs="宋体"/>
              <w:color w:val="auto"/>
              <w:highlight w:val="none"/>
            </w:rPr>
            <w:t>48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"_Toc134126079" </w:instrText>
          </w:r>
          <w:r>
            <w:rPr>
              <w:rFonts w:hint="eastAsia" w:ascii="宋体" w:hAnsi="宋体" w:cs="宋体"/>
              <w:highlight w:val="none"/>
            </w:rPr>
            <w:fldChar w:fldCharType="separate"/>
          </w:r>
          <w:r>
            <w:rPr>
              <w:rStyle w:val="49"/>
              <w:rFonts w:hint="eastAsia" w:ascii="宋体" w:hAnsi="宋体" w:eastAsia="宋体" w:cs="宋体"/>
              <w:color w:val="auto"/>
              <w:highlight w:val="none"/>
            </w:rPr>
            <w:t>5、工程师</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_Toc134126079 \h </w:instrText>
          </w:r>
          <w:r>
            <w:rPr>
              <w:rFonts w:hint="eastAsia" w:ascii="宋体" w:hAnsi="宋体" w:cs="宋体"/>
              <w:color w:val="auto"/>
              <w:highlight w:val="none"/>
            </w:rPr>
            <w:fldChar w:fldCharType="separate"/>
          </w:r>
          <w:r>
            <w:rPr>
              <w:rFonts w:hint="eastAsia" w:ascii="宋体" w:hAnsi="宋体" w:cs="宋体"/>
              <w:color w:val="auto"/>
              <w:highlight w:val="none"/>
            </w:rPr>
            <w:t>48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"_Toc134126080" </w:instrText>
          </w:r>
          <w:r>
            <w:rPr>
              <w:rFonts w:hint="eastAsia" w:ascii="宋体" w:hAnsi="宋体" w:cs="宋体"/>
              <w:highlight w:val="none"/>
            </w:rPr>
            <w:fldChar w:fldCharType="separate"/>
          </w:r>
          <w:r>
            <w:rPr>
              <w:rStyle w:val="49"/>
              <w:rFonts w:hint="eastAsia" w:ascii="宋体" w:hAnsi="宋体" w:eastAsia="宋体" w:cs="宋体"/>
              <w:color w:val="auto"/>
              <w:highlight w:val="none"/>
            </w:rPr>
            <w:t>6、工程师的委派和指令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_Toc134126080 \h </w:instrText>
          </w:r>
          <w:r>
            <w:rPr>
              <w:rFonts w:hint="eastAsia" w:ascii="宋体" w:hAnsi="宋体" w:cs="宋体"/>
              <w:color w:val="auto"/>
              <w:highlight w:val="none"/>
            </w:rPr>
            <w:fldChar w:fldCharType="separate"/>
          </w:r>
          <w:r>
            <w:rPr>
              <w:rFonts w:hint="eastAsia" w:ascii="宋体" w:hAnsi="宋体" w:cs="宋体"/>
              <w:color w:val="auto"/>
              <w:highlight w:val="none"/>
            </w:rPr>
            <w:t>49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"_Toc134126081" </w:instrText>
          </w:r>
          <w:r>
            <w:rPr>
              <w:rFonts w:hint="eastAsia" w:ascii="宋体" w:hAnsi="宋体" w:cs="宋体"/>
              <w:highlight w:val="none"/>
            </w:rPr>
            <w:fldChar w:fldCharType="separate"/>
          </w:r>
          <w:r>
            <w:rPr>
              <w:rStyle w:val="49"/>
              <w:rFonts w:hint="eastAsia" w:ascii="宋体" w:hAnsi="宋体" w:eastAsia="宋体" w:cs="宋体"/>
              <w:color w:val="auto"/>
              <w:highlight w:val="none"/>
            </w:rPr>
            <w:t>7、项目经理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_Toc134126081 \h </w:instrText>
          </w:r>
          <w:r>
            <w:rPr>
              <w:rFonts w:hint="eastAsia" w:ascii="宋体" w:hAnsi="宋体" w:cs="宋体"/>
              <w:color w:val="auto"/>
              <w:highlight w:val="none"/>
            </w:rPr>
            <w:fldChar w:fldCharType="separate"/>
          </w:r>
          <w:r>
            <w:rPr>
              <w:rFonts w:hint="eastAsia" w:ascii="宋体" w:hAnsi="宋体" w:cs="宋体"/>
              <w:color w:val="auto"/>
              <w:highlight w:val="none"/>
            </w:rPr>
            <w:t>50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"_Toc134126082" </w:instrText>
          </w:r>
          <w:r>
            <w:rPr>
              <w:rFonts w:hint="eastAsia" w:ascii="宋体" w:hAnsi="宋体" w:cs="宋体"/>
              <w:highlight w:val="none"/>
            </w:rPr>
            <w:fldChar w:fldCharType="separate"/>
          </w:r>
          <w:r>
            <w:rPr>
              <w:rStyle w:val="49"/>
              <w:rFonts w:hint="eastAsia" w:ascii="宋体" w:hAnsi="宋体" w:eastAsia="宋体" w:cs="宋体"/>
              <w:color w:val="auto"/>
              <w:highlight w:val="none"/>
            </w:rPr>
            <w:t>8、发包人工作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_Toc134126082 \h </w:instrText>
          </w:r>
          <w:r>
            <w:rPr>
              <w:rFonts w:hint="eastAsia" w:ascii="宋体" w:hAnsi="宋体" w:cs="宋体"/>
              <w:color w:val="auto"/>
              <w:highlight w:val="none"/>
            </w:rPr>
            <w:fldChar w:fldCharType="separate"/>
          </w:r>
          <w:r>
            <w:rPr>
              <w:rFonts w:hint="eastAsia" w:ascii="宋体" w:hAnsi="宋体" w:cs="宋体"/>
              <w:color w:val="auto"/>
              <w:highlight w:val="none"/>
            </w:rPr>
            <w:t>52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"_Toc134126083" </w:instrText>
          </w:r>
          <w:r>
            <w:rPr>
              <w:rFonts w:hint="eastAsia" w:ascii="宋体" w:hAnsi="宋体" w:cs="宋体"/>
              <w:highlight w:val="none"/>
            </w:rPr>
            <w:fldChar w:fldCharType="separate"/>
          </w:r>
          <w:r>
            <w:rPr>
              <w:rStyle w:val="49"/>
              <w:rFonts w:hint="eastAsia" w:ascii="宋体" w:hAnsi="宋体" w:eastAsia="宋体" w:cs="宋体"/>
              <w:color w:val="auto"/>
              <w:highlight w:val="none"/>
            </w:rPr>
            <w:t>9、承包人工作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_Toc134126083 \h </w:instrText>
          </w:r>
          <w:r>
            <w:rPr>
              <w:rFonts w:hint="eastAsia" w:ascii="宋体" w:hAnsi="宋体" w:cs="宋体"/>
              <w:color w:val="auto"/>
              <w:highlight w:val="none"/>
            </w:rPr>
            <w:fldChar w:fldCharType="separate"/>
          </w:r>
          <w:r>
            <w:rPr>
              <w:rFonts w:hint="eastAsia" w:ascii="宋体" w:hAnsi="宋体" w:cs="宋体"/>
              <w:color w:val="auto"/>
              <w:highlight w:val="none"/>
            </w:rPr>
            <w:t>54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"_Toc134126084" </w:instrText>
          </w:r>
          <w:r>
            <w:rPr>
              <w:rFonts w:hint="eastAsia" w:ascii="宋体" w:hAnsi="宋体" w:cs="宋体"/>
              <w:highlight w:val="none"/>
            </w:rPr>
            <w:fldChar w:fldCharType="separate"/>
          </w:r>
          <w:r>
            <w:rPr>
              <w:rStyle w:val="49"/>
              <w:rFonts w:hint="eastAsia" w:ascii="宋体" w:hAnsi="宋体" w:eastAsia="宋体" w:cs="宋体"/>
              <w:color w:val="auto"/>
              <w:highlight w:val="none"/>
            </w:rPr>
            <w:t>三、施工组织设计和工期</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_Toc134126084 \h </w:instrText>
          </w:r>
          <w:r>
            <w:rPr>
              <w:rFonts w:hint="eastAsia" w:ascii="宋体" w:hAnsi="宋体" w:cs="宋体"/>
              <w:color w:val="auto"/>
              <w:highlight w:val="none"/>
            </w:rPr>
            <w:fldChar w:fldCharType="separate"/>
          </w:r>
          <w:r>
            <w:rPr>
              <w:rFonts w:hint="eastAsia" w:ascii="宋体" w:hAnsi="宋体" w:cs="宋体"/>
              <w:color w:val="auto"/>
              <w:highlight w:val="none"/>
            </w:rPr>
            <w:t>64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"_Toc134126085"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10、进度计划</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_Toc134126085 \h </w:instrText>
          </w:r>
          <w:r>
            <w:rPr>
              <w:rFonts w:hint="eastAsia" w:ascii="宋体" w:hAnsi="宋体" w:cs="宋体"/>
              <w:color w:val="auto"/>
              <w:highlight w:val="none"/>
            </w:rPr>
            <w:fldChar w:fldCharType="separate"/>
          </w:r>
          <w:r>
            <w:rPr>
              <w:rFonts w:hint="eastAsia" w:ascii="宋体" w:hAnsi="宋体" w:cs="宋体"/>
              <w:color w:val="auto"/>
              <w:highlight w:val="none"/>
            </w:rPr>
            <w:t>64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"_Toc134126086"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11、开工及延期开工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_Toc134126086 \h </w:instrText>
          </w:r>
          <w:r>
            <w:rPr>
              <w:rFonts w:hint="eastAsia" w:ascii="宋体" w:hAnsi="宋体" w:cs="宋体"/>
              <w:color w:val="auto"/>
              <w:highlight w:val="none"/>
            </w:rPr>
            <w:fldChar w:fldCharType="separate"/>
          </w:r>
          <w:r>
            <w:rPr>
              <w:rFonts w:hint="eastAsia" w:ascii="宋体" w:hAnsi="宋体" w:cs="宋体"/>
              <w:color w:val="auto"/>
              <w:highlight w:val="none"/>
            </w:rPr>
            <w:t>65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"_Toc134126087"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12、暂停施工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_Toc134126087 \h </w:instrText>
          </w:r>
          <w:r>
            <w:rPr>
              <w:rFonts w:hint="eastAsia" w:ascii="宋体" w:hAnsi="宋体" w:cs="宋体"/>
              <w:color w:val="auto"/>
              <w:highlight w:val="none"/>
            </w:rPr>
            <w:fldChar w:fldCharType="separate"/>
          </w:r>
          <w:r>
            <w:rPr>
              <w:rFonts w:hint="eastAsia" w:ascii="宋体" w:hAnsi="宋体" w:cs="宋体"/>
              <w:color w:val="auto"/>
              <w:highlight w:val="none"/>
            </w:rPr>
            <w:t>65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"_Toc134126088"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13、工期延误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_Toc134126088 \h </w:instrText>
          </w:r>
          <w:r>
            <w:rPr>
              <w:rFonts w:hint="eastAsia" w:ascii="宋体" w:hAnsi="宋体" w:cs="宋体"/>
              <w:color w:val="auto"/>
              <w:highlight w:val="none"/>
            </w:rPr>
            <w:fldChar w:fldCharType="separate"/>
          </w:r>
          <w:r>
            <w:rPr>
              <w:rFonts w:hint="eastAsia" w:ascii="宋体" w:hAnsi="宋体" w:cs="宋体"/>
              <w:color w:val="auto"/>
              <w:highlight w:val="none"/>
            </w:rPr>
            <w:t>67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"_Toc134126089" </w:instrText>
          </w:r>
          <w:r>
            <w:rPr>
              <w:rFonts w:hint="eastAsia" w:ascii="宋体" w:hAnsi="宋体" w:cs="宋体"/>
              <w:highlight w:val="none"/>
            </w:rPr>
            <w:fldChar w:fldCharType="separate"/>
          </w:r>
          <w:r>
            <w:rPr>
              <w:rStyle w:val="49"/>
              <w:rFonts w:hint="eastAsia" w:ascii="宋体" w:hAnsi="宋体" w:eastAsia="宋体" w:cs="宋体"/>
              <w:color w:val="auto"/>
              <w:highlight w:val="none"/>
            </w:rPr>
            <w:t>四、质量与验收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_Toc134126089 \h </w:instrText>
          </w:r>
          <w:r>
            <w:rPr>
              <w:rFonts w:hint="eastAsia" w:ascii="宋体" w:hAnsi="宋体" w:cs="宋体"/>
              <w:color w:val="auto"/>
              <w:highlight w:val="none"/>
            </w:rPr>
            <w:fldChar w:fldCharType="separate"/>
          </w:r>
          <w:r>
            <w:rPr>
              <w:rFonts w:hint="eastAsia" w:ascii="宋体" w:hAnsi="宋体" w:cs="宋体"/>
              <w:color w:val="auto"/>
              <w:highlight w:val="none"/>
            </w:rPr>
            <w:t>69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"_Toc134126090"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15、工程质量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_Toc134126090 \h </w:instrText>
          </w:r>
          <w:r>
            <w:rPr>
              <w:rFonts w:hint="eastAsia" w:ascii="宋体" w:hAnsi="宋体" w:cs="宋体"/>
              <w:color w:val="auto"/>
              <w:highlight w:val="none"/>
            </w:rPr>
            <w:fldChar w:fldCharType="separate"/>
          </w:r>
          <w:r>
            <w:rPr>
              <w:rFonts w:hint="eastAsia" w:ascii="宋体" w:hAnsi="宋体" w:cs="宋体"/>
              <w:color w:val="auto"/>
              <w:highlight w:val="none"/>
            </w:rPr>
            <w:t>69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"_Toc134126091"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16、检查和返工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_Toc134126091 \h </w:instrText>
          </w:r>
          <w:r>
            <w:rPr>
              <w:rFonts w:hint="eastAsia" w:ascii="宋体" w:hAnsi="宋体" w:cs="宋体"/>
              <w:color w:val="auto"/>
              <w:highlight w:val="none"/>
            </w:rPr>
            <w:fldChar w:fldCharType="separate"/>
          </w:r>
          <w:r>
            <w:rPr>
              <w:rFonts w:hint="eastAsia" w:ascii="宋体" w:hAnsi="宋体" w:cs="宋体"/>
              <w:color w:val="auto"/>
              <w:highlight w:val="none"/>
            </w:rPr>
            <w:t>71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"_Toc134126092"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17、隐蔽工程、中间验收和竣工验收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_Toc134126092 \h </w:instrText>
          </w:r>
          <w:r>
            <w:rPr>
              <w:rFonts w:hint="eastAsia" w:ascii="宋体" w:hAnsi="宋体" w:cs="宋体"/>
              <w:color w:val="auto"/>
              <w:highlight w:val="none"/>
            </w:rPr>
            <w:fldChar w:fldCharType="separate"/>
          </w:r>
          <w:r>
            <w:rPr>
              <w:rFonts w:hint="eastAsia" w:ascii="宋体" w:hAnsi="宋体" w:cs="宋体"/>
              <w:color w:val="auto"/>
              <w:highlight w:val="none"/>
            </w:rPr>
            <w:t>74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"_Toc134126093"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18、重新检验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_Toc134126093 \h </w:instrText>
          </w:r>
          <w:r>
            <w:rPr>
              <w:rFonts w:hint="eastAsia" w:ascii="宋体" w:hAnsi="宋体" w:cs="宋体"/>
              <w:color w:val="auto"/>
              <w:highlight w:val="none"/>
            </w:rPr>
            <w:fldChar w:fldCharType="separate"/>
          </w:r>
          <w:r>
            <w:rPr>
              <w:rFonts w:hint="eastAsia" w:ascii="宋体" w:hAnsi="宋体" w:cs="宋体"/>
              <w:color w:val="auto"/>
              <w:highlight w:val="none"/>
            </w:rPr>
            <w:t>75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"_Toc134126094" </w:instrText>
          </w:r>
          <w:r>
            <w:rPr>
              <w:rFonts w:hint="eastAsia" w:ascii="宋体" w:hAnsi="宋体" w:cs="宋体"/>
              <w:highlight w:val="none"/>
            </w:rPr>
            <w:fldChar w:fldCharType="separate"/>
          </w:r>
          <w:r>
            <w:rPr>
              <w:rStyle w:val="49"/>
              <w:rFonts w:hint="eastAsia" w:ascii="宋体" w:hAnsi="宋体" w:eastAsia="宋体" w:cs="宋体"/>
              <w:color w:val="auto"/>
              <w:highlight w:val="none"/>
            </w:rPr>
            <w:t>19、工程试车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_Toc134126094 \h </w:instrText>
          </w:r>
          <w:r>
            <w:rPr>
              <w:rFonts w:hint="eastAsia" w:ascii="宋体" w:hAnsi="宋体" w:cs="宋体"/>
              <w:color w:val="auto"/>
              <w:highlight w:val="none"/>
            </w:rPr>
            <w:fldChar w:fldCharType="separate"/>
          </w:r>
          <w:r>
            <w:rPr>
              <w:rFonts w:hint="eastAsia" w:ascii="宋体" w:hAnsi="宋体" w:cs="宋体"/>
              <w:color w:val="auto"/>
              <w:highlight w:val="none"/>
            </w:rPr>
            <w:t>75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"_Toc134126095" </w:instrText>
          </w:r>
          <w:r>
            <w:rPr>
              <w:rFonts w:hint="eastAsia" w:ascii="宋体" w:hAnsi="宋体" w:cs="宋体"/>
              <w:highlight w:val="none"/>
            </w:rPr>
            <w:fldChar w:fldCharType="separate"/>
          </w:r>
          <w:r>
            <w:rPr>
              <w:rStyle w:val="49"/>
              <w:rFonts w:hint="eastAsia" w:ascii="宋体" w:hAnsi="宋体" w:eastAsia="宋体" w:cs="宋体"/>
              <w:color w:val="auto"/>
              <w:highlight w:val="none"/>
            </w:rPr>
            <w:t>五、安全施工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_Toc134126095 \h </w:instrText>
          </w:r>
          <w:r>
            <w:rPr>
              <w:rFonts w:hint="eastAsia" w:ascii="宋体" w:hAnsi="宋体" w:cs="宋体"/>
              <w:color w:val="auto"/>
              <w:highlight w:val="none"/>
            </w:rPr>
            <w:fldChar w:fldCharType="separate"/>
          </w:r>
          <w:r>
            <w:rPr>
              <w:rFonts w:hint="eastAsia" w:ascii="宋体" w:hAnsi="宋体" w:cs="宋体"/>
              <w:color w:val="auto"/>
              <w:highlight w:val="none"/>
            </w:rPr>
            <w:t>76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"_Toc134126096"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20、安全施工与检查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_Toc134126096 \h </w:instrText>
          </w:r>
          <w:r>
            <w:rPr>
              <w:rFonts w:hint="eastAsia" w:ascii="宋体" w:hAnsi="宋体" w:cs="宋体"/>
              <w:color w:val="auto"/>
              <w:highlight w:val="none"/>
            </w:rPr>
            <w:fldChar w:fldCharType="separate"/>
          </w:r>
          <w:r>
            <w:rPr>
              <w:rFonts w:hint="eastAsia" w:ascii="宋体" w:hAnsi="宋体" w:cs="宋体"/>
              <w:color w:val="auto"/>
              <w:highlight w:val="none"/>
            </w:rPr>
            <w:t>76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"_Toc134126097"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21、安全防护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_Toc134126097 \h </w:instrText>
          </w:r>
          <w:r>
            <w:rPr>
              <w:rFonts w:hint="eastAsia" w:ascii="宋体" w:hAnsi="宋体" w:cs="宋体"/>
              <w:color w:val="auto"/>
              <w:highlight w:val="none"/>
            </w:rPr>
            <w:fldChar w:fldCharType="separate"/>
          </w:r>
          <w:r>
            <w:rPr>
              <w:rFonts w:hint="eastAsia" w:ascii="宋体" w:hAnsi="宋体" w:cs="宋体"/>
              <w:color w:val="auto"/>
              <w:highlight w:val="none"/>
            </w:rPr>
            <w:t>77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"_Toc134126098"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22、事故处理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_Toc134126098 \h </w:instrText>
          </w:r>
          <w:r>
            <w:rPr>
              <w:rFonts w:hint="eastAsia" w:ascii="宋体" w:hAnsi="宋体" w:cs="宋体"/>
              <w:color w:val="auto"/>
              <w:highlight w:val="none"/>
            </w:rPr>
            <w:fldChar w:fldCharType="separate"/>
          </w:r>
          <w:r>
            <w:rPr>
              <w:rFonts w:hint="eastAsia" w:ascii="宋体" w:hAnsi="宋体" w:cs="宋体"/>
              <w:color w:val="auto"/>
              <w:highlight w:val="none"/>
            </w:rPr>
            <w:t>79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"_Toc134126099" </w:instrText>
          </w:r>
          <w:r>
            <w:rPr>
              <w:rFonts w:hint="eastAsia" w:ascii="宋体" w:hAnsi="宋体" w:cs="宋体"/>
              <w:highlight w:val="none"/>
            </w:rPr>
            <w:fldChar w:fldCharType="separate"/>
          </w:r>
          <w:r>
            <w:rPr>
              <w:rStyle w:val="49"/>
              <w:rFonts w:hint="eastAsia" w:ascii="宋体" w:hAnsi="宋体" w:eastAsia="宋体" w:cs="宋体"/>
              <w:color w:val="auto"/>
              <w:highlight w:val="none"/>
            </w:rPr>
            <w:t>六、合同价款与支付</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_Toc134126099 \h </w:instrText>
          </w:r>
          <w:r>
            <w:rPr>
              <w:rFonts w:hint="eastAsia" w:ascii="宋体" w:hAnsi="宋体" w:cs="宋体"/>
              <w:color w:val="auto"/>
              <w:highlight w:val="none"/>
            </w:rPr>
            <w:fldChar w:fldCharType="separate"/>
          </w:r>
          <w:r>
            <w:rPr>
              <w:rFonts w:hint="eastAsia" w:ascii="宋体" w:hAnsi="宋体" w:cs="宋体"/>
              <w:color w:val="auto"/>
              <w:highlight w:val="none"/>
            </w:rPr>
            <w:t>79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"_Toc134126100"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23、合同价款及调整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_Toc134126100 \h </w:instrText>
          </w:r>
          <w:r>
            <w:rPr>
              <w:rFonts w:hint="eastAsia" w:ascii="宋体" w:hAnsi="宋体" w:cs="宋体"/>
              <w:color w:val="auto"/>
              <w:highlight w:val="none"/>
            </w:rPr>
            <w:fldChar w:fldCharType="separate"/>
          </w:r>
          <w:r>
            <w:rPr>
              <w:rFonts w:hint="eastAsia" w:ascii="宋体" w:hAnsi="宋体" w:cs="宋体"/>
              <w:color w:val="auto"/>
              <w:highlight w:val="none"/>
            </w:rPr>
            <w:t>79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"_Toc134126101"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24、工程预付款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_Toc134126101 \h </w:instrText>
          </w:r>
          <w:r>
            <w:rPr>
              <w:rFonts w:hint="eastAsia" w:ascii="宋体" w:hAnsi="宋体" w:cs="宋体"/>
              <w:color w:val="auto"/>
              <w:highlight w:val="none"/>
            </w:rPr>
            <w:fldChar w:fldCharType="separate"/>
          </w:r>
          <w:r>
            <w:rPr>
              <w:rFonts w:hint="eastAsia" w:ascii="宋体" w:hAnsi="宋体" w:cs="宋体"/>
              <w:color w:val="auto"/>
              <w:highlight w:val="none"/>
            </w:rPr>
            <w:t>80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"_Toc134126102"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25、工程量确认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_Toc134126102 \h </w:instrText>
          </w:r>
          <w:r>
            <w:rPr>
              <w:rFonts w:hint="eastAsia" w:ascii="宋体" w:hAnsi="宋体" w:cs="宋体"/>
              <w:color w:val="auto"/>
              <w:highlight w:val="none"/>
            </w:rPr>
            <w:fldChar w:fldCharType="separate"/>
          </w:r>
          <w:r>
            <w:rPr>
              <w:rFonts w:hint="eastAsia" w:ascii="宋体" w:hAnsi="宋体" w:cs="宋体"/>
              <w:color w:val="auto"/>
              <w:highlight w:val="none"/>
            </w:rPr>
            <w:t>81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"_Toc134126103"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26、工程进度款支付</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_Toc134126103 \h </w:instrText>
          </w:r>
          <w:r>
            <w:rPr>
              <w:rFonts w:hint="eastAsia" w:ascii="宋体" w:hAnsi="宋体" w:cs="宋体"/>
              <w:color w:val="auto"/>
              <w:highlight w:val="none"/>
            </w:rPr>
            <w:fldChar w:fldCharType="separate"/>
          </w:r>
          <w:r>
            <w:rPr>
              <w:rFonts w:hint="eastAsia" w:ascii="宋体" w:hAnsi="宋体" w:cs="宋体"/>
              <w:color w:val="auto"/>
              <w:highlight w:val="none"/>
            </w:rPr>
            <w:t>82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"_Toc134126104" </w:instrText>
          </w:r>
          <w:r>
            <w:rPr>
              <w:rFonts w:hint="eastAsia" w:ascii="宋体" w:hAnsi="宋体" w:cs="宋体"/>
              <w:highlight w:val="none"/>
            </w:rPr>
            <w:fldChar w:fldCharType="separate"/>
          </w:r>
          <w:r>
            <w:rPr>
              <w:rStyle w:val="49"/>
              <w:rFonts w:hint="eastAsia" w:ascii="宋体" w:hAnsi="宋体" w:eastAsia="宋体" w:cs="宋体"/>
              <w:color w:val="auto"/>
              <w:highlight w:val="none"/>
            </w:rPr>
            <w:t>七、材料设备供应</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_Toc134126104 \h </w:instrText>
          </w:r>
          <w:r>
            <w:rPr>
              <w:rFonts w:hint="eastAsia" w:ascii="宋体" w:hAnsi="宋体" w:cs="宋体"/>
              <w:color w:val="auto"/>
              <w:highlight w:val="none"/>
            </w:rPr>
            <w:fldChar w:fldCharType="separate"/>
          </w:r>
          <w:r>
            <w:rPr>
              <w:rFonts w:hint="eastAsia" w:ascii="宋体" w:hAnsi="宋体" w:cs="宋体"/>
              <w:color w:val="auto"/>
              <w:highlight w:val="none"/>
            </w:rPr>
            <w:t>87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"_Toc134126105"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27、发包人供应材料设备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_Toc134126105 \h </w:instrText>
          </w:r>
          <w:r>
            <w:rPr>
              <w:rFonts w:hint="eastAsia" w:ascii="宋体" w:hAnsi="宋体" w:cs="宋体"/>
              <w:color w:val="auto"/>
              <w:highlight w:val="none"/>
            </w:rPr>
            <w:fldChar w:fldCharType="separate"/>
          </w:r>
          <w:r>
            <w:rPr>
              <w:rFonts w:hint="eastAsia" w:ascii="宋体" w:hAnsi="宋体" w:cs="宋体"/>
              <w:color w:val="auto"/>
              <w:highlight w:val="none"/>
            </w:rPr>
            <w:t>87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"_Toc134126106"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28、承包人采购材料设备的约定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_Toc134126106 \h </w:instrText>
          </w:r>
          <w:r>
            <w:rPr>
              <w:rFonts w:hint="eastAsia" w:ascii="宋体" w:hAnsi="宋体" w:cs="宋体"/>
              <w:color w:val="auto"/>
              <w:highlight w:val="none"/>
            </w:rPr>
            <w:fldChar w:fldCharType="separate"/>
          </w:r>
          <w:r>
            <w:rPr>
              <w:rFonts w:hint="eastAsia" w:ascii="宋体" w:hAnsi="宋体" w:cs="宋体"/>
              <w:color w:val="auto"/>
              <w:highlight w:val="none"/>
            </w:rPr>
            <w:t>87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"_Toc134126107" </w:instrText>
          </w:r>
          <w:r>
            <w:rPr>
              <w:rFonts w:hint="eastAsia" w:ascii="宋体" w:hAnsi="宋体" w:cs="宋体"/>
              <w:highlight w:val="none"/>
            </w:rPr>
            <w:fldChar w:fldCharType="separate"/>
          </w:r>
          <w:r>
            <w:rPr>
              <w:rStyle w:val="49"/>
              <w:rFonts w:hint="eastAsia" w:ascii="宋体" w:hAnsi="宋体" w:eastAsia="宋体" w:cs="宋体"/>
              <w:color w:val="auto"/>
              <w:highlight w:val="none"/>
            </w:rPr>
            <w:t>八、工程变更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_Toc134126107 \h </w:instrText>
          </w:r>
          <w:r>
            <w:rPr>
              <w:rFonts w:hint="eastAsia" w:ascii="宋体" w:hAnsi="宋体" w:cs="宋体"/>
              <w:color w:val="auto"/>
              <w:highlight w:val="none"/>
            </w:rPr>
            <w:fldChar w:fldCharType="separate"/>
          </w:r>
          <w:r>
            <w:rPr>
              <w:rFonts w:hint="eastAsia" w:ascii="宋体" w:hAnsi="宋体" w:cs="宋体"/>
              <w:color w:val="auto"/>
              <w:highlight w:val="none"/>
            </w:rPr>
            <w:t>89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"_Toc134126108" </w:instrText>
          </w:r>
          <w:r>
            <w:rPr>
              <w:rFonts w:hint="eastAsia" w:ascii="宋体" w:hAnsi="宋体" w:cs="宋体"/>
              <w:highlight w:val="none"/>
            </w:rPr>
            <w:fldChar w:fldCharType="separate"/>
          </w:r>
          <w:r>
            <w:rPr>
              <w:rStyle w:val="49"/>
              <w:rFonts w:hint="eastAsia" w:ascii="宋体" w:hAnsi="宋体" w:eastAsia="宋体" w:cs="宋体"/>
              <w:color w:val="auto"/>
              <w:highlight w:val="none"/>
            </w:rPr>
            <w:t>29．工程设计变更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_Toc134126108 \h </w:instrText>
          </w:r>
          <w:r>
            <w:rPr>
              <w:rFonts w:hint="eastAsia" w:ascii="宋体" w:hAnsi="宋体" w:cs="宋体"/>
              <w:color w:val="auto"/>
              <w:highlight w:val="none"/>
            </w:rPr>
            <w:fldChar w:fldCharType="separate"/>
          </w:r>
          <w:r>
            <w:rPr>
              <w:rFonts w:hint="eastAsia" w:ascii="宋体" w:hAnsi="宋体" w:cs="宋体"/>
              <w:color w:val="auto"/>
              <w:highlight w:val="none"/>
            </w:rPr>
            <w:t>89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"_Toc134126109"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31．确定变更价款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_Toc134126109 \h </w:instrText>
          </w:r>
          <w:r>
            <w:rPr>
              <w:rFonts w:hint="eastAsia" w:ascii="宋体" w:hAnsi="宋体" w:cs="宋体"/>
              <w:color w:val="auto"/>
              <w:highlight w:val="none"/>
            </w:rPr>
            <w:fldChar w:fldCharType="separate"/>
          </w:r>
          <w:r>
            <w:rPr>
              <w:rFonts w:hint="eastAsia" w:ascii="宋体" w:hAnsi="宋体" w:cs="宋体"/>
              <w:color w:val="auto"/>
              <w:highlight w:val="none"/>
            </w:rPr>
            <w:t>90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"_Toc134126110" </w:instrText>
          </w:r>
          <w:r>
            <w:rPr>
              <w:rFonts w:hint="eastAsia" w:ascii="宋体" w:hAnsi="宋体" w:cs="宋体"/>
              <w:highlight w:val="none"/>
            </w:rPr>
            <w:fldChar w:fldCharType="separate"/>
          </w:r>
          <w:r>
            <w:rPr>
              <w:rStyle w:val="49"/>
              <w:rFonts w:hint="eastAsia" w:ascii="宋体" w:hAnsi="宋体" w:eastAsia="宋体" w:cs="宋体"/>
              <w:color w:val="auto"/>
              <w:highlight w:val="none"/>
            </w:rPr>
            <w:t>九、竣工验收与结算</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_Toc134126110 \h </w:instrText>
          </w:r>
          <w:r>
            <w:rPr>
              <w:rFonts w:hint="eastAsia" w:ascii="宋体" w:hAnsi="宋体" w:cs="宋体"/>
              <w:color w:val="auto"/>
              <w:highlight w:val="none"/>
            </w:rPr>
            <w:fldChar w:fldCharType="separate"/>
          </w:r>
          <w:r>
            <w:rPr>
              <w:rFonts w:hint="eastAsia" w:ascii="宋体" w:hAnsi="宋体" w:cs="宋体"/>
              <w:color w:val="auto"/>
              <w:highlight w:val="none"/>
            </w:rPr>
            <w:t>91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"_Toc134126111" </w:instrText>
          </w:r>
          <w:r>
            <w:rPr>
              <w:rFonts w:hint="eastAsia" w:ascii="宋体" w:hAnsi="宋体" w:cs="宋体"/>
              <w:highlight w:val="none"/>
            </w:rPr>
            <w:fldChar w:fldCharType="separate"/>
          </w:r>
          <w:r>
            <w:rPr>
              <w:rStyle w:val="49"/>
              <w:rFonts w:hint="eastAsia" w:ascii="宋体" w:hAnsi="宋体" w:eastAsia="宋体" w:cs="宋体"/>
              <w:color w:val="auto"/>
              <w:highlight w:val="none"/>
            </w:rPr>
            <w:t>十、违约、索赔和争议</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_Toc134126111 \h </w:instrText>
          </w:r>
          <w:r>
            <w:rPr>
              <w:rFonts w:hint="eastAsia" w:ascii="宋体" w:hAnsi="宋体" w:cs="宋体"/>
              <w:color w:val="auto"/>
              <w:highlight w:val="none"/>
            </w:rPr>
            <w:fldChar w:fldCharType="separate"/>
          </w:r>
          <w:r>
            <w:rPr>
              <w:rFonts w:hint="eastAsia" w:ascii="宋体" w:hAnsi="宋体" w:cs="宋体"/>
              <w:color w:val="auto"/>
              <w:highlight w:val="none"/>
            </w:rPr>
            <w:t>91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"_Toc134126112"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35、违约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_Toc134126112 \h </w:instrText>
          </w:r>
          <w:r>
            <w:rPr>
              <w:rFonts w:hint="eastAsia" w:ascii="宋体" w:hAnsi="宋体" w:cs="宋体"/>
              <w:color w:val="auto"/>
              <w:highlight w:val="none"/>
            </w:rPr>
            <w:fldChar w:fldCharType="separate"/>
          </w:r>
          <w:r>
            <w:rPr>
              <w:rFonts w:hint="eastAsia" w:ascii="宋体" w:hAnsi="宋体" w:cs="宋体"/>
              <w:color w:val="auto"/>
              <w:highlight w:val="none"/>
            </w:rPr>
            <w:t>91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"_Toc134126113"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37、争议</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_Toc134126113 \h </w:instrText>
          </w:r>
          <w:r>
            <w:rPr>
              <w:rFonts w:hint="eastAsia" w:ascii="宋体" w:hAnsi="宋体" w:cs="宋体"/>
              <w:color w:val="auto"/>
              <w:highlight w:val="none"/>
            </w:rPr>
            <w:fldChar w:fldCharType="separate"/>
          </w:r>
          <w:r>
            <w:rPr>
              <w:rFonts w:hint="eastAsia" w:ascii="宋体" w:hAnsi="宋体" w:cs="宋体"/>
              <w:color w:val="auto"/>
              <w:highlight w:val="none"/>
            </w:rPr>
            <w:t>96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"_Toc134126114" </w:instrText>
          </w:r>
          <w:r>
            <w:rPr>
              <w:rFonts w:hint="eastAsia" w:ascii="宋体" w:hAnsi="宋体" w:cs="宋体"/>
              <w:highlight w:val="none"/>
            </w:rPr>
            <w:fldChar w:fldCharType="separate"/>
          </w:r>
          <w:r>
            <w:rPr>
              <w:rStyle w:val="49"/>
              <w:rFonts w:hint="eastAsia" w:ascii="宋体" w:hAnsi="宋体" w:eastAsia="宋体" w:cs="宋体"/>
              <w:color w:val="auto"/>
              <w:highlight w:val="none"/>
            </w:rPr>
            <w:t>十一、其他</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_Toc134126114 \h </w:instrText>
          </w:r>
          <w:r>
            <w:rPr>
              <w:rFonts w:hint="eastAsia" w:ascii="宋体" w:hAnsi="宋体" w:cs="宋体"/>
              <w:color w:val="auto"/>
              <w:highlight w:val="none"/>
            </w:rPr>
            <w:fldChar w:fldCharType="separate"/>
          </w:r>
          <w:r>
            <w:rPr>
              <w:rFonts w:hint="eastAsia" w:ascii="宋体" w:hAnsi="宋体" w:cs="宋体"/>
              <w:color w:val="auto"/>
              <w:highlight w:val="none"/>
            </w:rPr>
            <w:t>97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"_Toc134126115"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38、工程分包</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_Toc134126115 \h </w:instrText>
          </w:r>
          <w:r>
            <w:rPr>
              <w:rFonts w:hint="eastAsia" w:ascii="宋体" w:hAnsi="宋体" w:cs="宋体"/>
              <w:color w:val="auto"/>
              <w:highlight w:val="none"/>
            </w:rPr>
            <w:fldChar w:fldCharType="separate"/>
          </w:r>
          <w:r>
            <w:rPr>
              <w:rFonts w:hint="eastAsia" w:ascii="宋体" w:hAnsi="宋体" w:cs="宋体"/>
              <w:color w:val="auto"/>
              <w:highlight w:val="none"/>
            </w:rPr>
            <w:t>97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"_Toc134126116" </w:instrText>
          </w:r>
          <w:r>
            <w:rPr>
              <w:rFonts w:hint="eastAsia" w:ascii="宋体" w:hAnsi="宋体" w:cs="宋体"/>
              <w:highlight w:val="none"/>
            </w:rPr>
            <w:fldChar w:fldCharType="separate"/>
          </w:r>
          <w:r>
            <w:rPr>
              <w:rStyle w:val="49"/>
              <w:rFonts w:hint="eastAsia" w:ascii="宋体" w:hAnsi="宋体" w:eastAsia="宋体" w:cs="宋体"/>
              <w:color w:val="auto"/>
              <w:highlight w:val="none"/>
            </w:rPr>
            <w:t>39、不可抗力</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_Toc134126116 \h </w:instrText>
          </w:r>
          <w:r>
            <w:rPr>
              <w:rFonts w:hint="eastAsia" w:ascii="宋体" w:hAnsi="宋体" w:cs="宋体"/>
              <w:color w:val="auto"/>
              <w:highlight w:val="none"/>
            </w:rPr>
            <w:fldChar w:fldCharType="separate"/>
          </w:r>
          <w:r>
            <w:rPr>
              <w:rFonts w:hint="eastAsia" w:ascii="宋体" w:hAnsi="宋体" w:cs="宋体"/>
              <w:color w:val="auto"/>
              <w:highlight w:val="none"/>
            </w:rPr>
            <w:t>97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"_Toc134126117"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40、保险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_Toc134126117 \h </w:instrText>
          </w:r>
          <w:r>
            <w:rPr>
              <w:rFonts w:hint="eastAsia" w:ascii="宋体" w:hAnsi="宋体" w:cs="宋体"/>
              <w:color w:val="auto"/>
              <w:highlight w:val="none"/>
            </w:rPr>
            <w:fldChar w:fldCharType="separate"/>
          </w:r>
          <w:r>
            <w:rPr>
              <w:rFonts w:hint="eastAsia" w:ascii="宋体" w:hAnsi="宋体" w:cs="宋体"/>
              <w:color w:val="auto"/>
              <w:highlight w:val="none"/>
            </w:rPr>
            <w:t>98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"_Toc134126118"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41、担保</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_Toc134126118 \h </w:instrText>
          </w:r>
          <w:r>
            <w:rPr>
              <w:rFonts w:hint="eastAsia" w:ascii="宋体" w:hAnsi="宋体" w:cs="宋体"/>
              <w:color w:val="auto"/>
              <w:highlight w:val="none"/>
            </w:rPr>
            <w:fldChar w:fldCharType="separate"/>
          </w:r>
          <w:r>
            <w:rPr>
              <w:rFonts w:hint="eastAsia" w:ascii="宋体" w:hAnsi="宋体" w:cs="宋体"/>
              <w:color w:val="auto"/>
              <w:highlight w:val="none"/>
            </w:rPr>
            <w:t>99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"_Toc134126119"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43、文物和地下障碍物</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_Toc134126119 \h </w:instrText>
          </w:r>
          <w:r>
            <w:rPr>
              <w:rFonts w:hint="eastAsia" w:ascii="宋体" w:hAnsi="宋体" w:cs="宋体"/>
              <w:color w:val="auto"/>
              <w:highlight w:val="none"/>
            </w:rPr>
            <w:fldChar w:fldCharType="separate"/>
          </w:r>
          <w:r>
            <w:rPr>
              <w:rFonts w:hint="eastAsia" w:ascii="宋体" w:hAnsi="宋体" w:cs="宋体"/>
              <w:color w:val="auto"/>
              <w:highlight w:val="none"/>
            </w:rPr>
            <w:t>100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"_Toc134126120"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44．合同解除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_Toc134126120 \h </w:instrText>
          </w:r>
          <w:r>
            <w:rPr>
              <w:rFonts w:hint="eastAsia" w:ascii="宋体" w:hAnsi="宋体" w:cs="宋体"/>
              <w:color w:val="auto"/>
              <w:highlight w:val="none"/>
            </w:rPr>
            <w:fldChar w:fldCharType="separate"/>
          </w:r>
          <w:r>
            <w:rPr>
              <w:rFonts w:hint="eastAsia" w:ascii="宋体" w:hAnsi="宋体" w:cs="宋体"/>
              <w:color w:val="auto"/>
              <w:highlight w:val="none"/>
            </w:rPr>
            <w:t>100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720"/>
            </w:tabs>
            <w:rPr>
              <w:rFonts w:hint="eastAsia" w:ascii="宋体" w:hAnsi="宋体" w:eastAsia="宋体" w:cs="宋体"/>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"_Toc134126121" </w:instrText>
          </w:r>
          <w:r>
            <w:rPr>
              <w:rFonts w:hint="eastAsia" w:ascii="宋体" w:hAnsi="宋体" w:cs="宋体"/>
              <w:highlight w:val="none"/>
            </w:rPr>
            <w:fldChar w:fldCharType="separate"/>
          </w:r>
          <w:r>
            <w:rPr>
              <w:rStyle w:val="49"/>
              <w:rFonts w:hint="eastAsia" w:ascii="宋体" w:hAnsi="宋体" w:eastAsia="宋体" w:cs="宋体"/>
              <w:color w:val="auto"/>
              <w:highlight w:val="none"/>
            </w:rPr>
            <w:t>47、补充条款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_Toc134126121 \h </w:instrText>
          </w:r>
          <w:r>
            <w:rPr>
              <w:rFonts w:hint="eastAsia" w:ascii="宋体" w:hAnsi="宋体" w:cs="宋体"/>
              <w:color w:val="auto"/>
              <w:highlight w:val="none"/>
            </w:rPr>
            <w:fldChar w:fldCharType="separate"/>
          </w:r>
          <w:r>
            <w:rPr>
              <w:rFonts w:hint="eastAsia" w:ascii="宋体" w:hAnsi="宋体" w:cs="宋体"/>
              <w:color w:val="auto"/>
              <w:highlight w:val="none"/>
            </w:rPr>
            <w:t>101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720"/>
            </w:tabs>
            <w:rPr>
              <w:rFonts w:hint="eastAsia" w:ascii="宋体" w:hAnsi="宋体" w:eastAsia="宋体" w:cs="宋体"/>
              <w:b w:val="0"/>
              <w:caps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"_Toc134126122" </w:instrText>
          </w:r>
          <w:r>
            <w:rPr>
              <w:rFonts w:hint="eastAsia" w:ascii="宋体" w:hAnsi="宋体" w:cs="宋体"/>
              <w:highlight w:val="none"/>
            </w:rPr>
            <w:fldChar w:fldCharType="separate"/>
          </w:r>
          <w:r>
            <w:rPr>
              <w:rStyle w:val="49"/>
              <w:rFonts w:hint="eastAsia" w:ascii="宋体" w:hAnsi="宋体" w:eastAsia="宋体" w:cs="宋体"/>
              <w:color w:val="auto"/>
              <w:highlight w:val="none"/>
            </w:rPr>
            <w:t>第四部分  合同附件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_Toc134126122 \h </w:instrText>
          </w:r>
          <w:r>
            <w:rPr>
              <w:rFonts w:hint="eastAsia" w:ascii="宋体" w:hAnsi="宋体" w:cs="宋体"/>
              <w:color w:val="auto"/>
              <w:highlight w:val="none"/>
            </w:rPr>
            <w:fldChar w:fldCharType="separate"/>
          </w:r>
          <w:r>
            <w:rPr>
              <w:rFonts w:hint="eastAsia" w:ascii="宋体" w:hAnsi="宋体" w:cs="宋体"/>
              <w:color w:val="auto"/>
              <w:highlight w:val="none"/>
            </w:rPr>
            <w:t>103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"_Toc134126123"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附件1：工程质量保修书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_Toc134126123 \h </w:instrText>
          </w:r>
          <w:r>
            <w:rPr>
              <w:rFonts w:hint="eastAsia" w:ascii="宋体" w:hAnsi="宋体" w:cs="宋体"/>
              <w:color w:val="auto"/>
              <w:highlight w:val="none"/>
            </w:rPr>
            <w:fldChar w:fldCharType="separate"/>
          </w:r>
          <w:r>
            <w:rPr>
              <w:rFonts w:hint="eastAsia" w:ascii="宋体" w:hAnsi="宋体" w:cs="宋体"/>
              <w:color w:val="auto"/>
              <w:highlight w:val="none"/>
            </w:rPr>
            <w:t>103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"_Toc134126124"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附件2：履约保函（格式）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_Toc134126124 \h </w:instrText>
          </w:r>
          <w:r>
            <w:rPr>
              <w:rFonts w:hint="eastAsia" w:ascii="宋体" w:hAnsi="宋体" w:cs="宋体"/>
              <w:color w:val="auto"/>
              <w:highlight w:val="none"/>
            </w:rPr>
            <w:fldChar w:fldCharType="separate"/>
          </w:r>
          <w:r>
            <w:rPr>
              <w:rFonts w:hint="eastAsia" w:ascii="宋体" w:hAnsi="宋体" w:cs="宋体"/>
              <w:color w:val="auto"/>
              <w:highlight w:val="none"/>
            </w:rPr>
            <w:t>107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"_Toc134126125"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附件3：承包人提供主要材料和工程设备一览表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_Toc134126125 \h </w:instrText>
          </w:r>
          <w:r>
            <w:rPr>
              <w:rFonts w:hint="eastAsia" w:ascii="宋体" w:hAnsi="宋体" w:cs="宋体"/>
              <w:color w:val="auto"/>
              <w:highlight w:val="none"/>
            </w:rPr>
            <w:fldChar w:fldCharType="separate"/>
          </w:r>
          <w:r>
            <w:rPr>
              <w:rFonts w:hint="eastAsia" w:ascii="宋体" w:hAnsi="宋体" w:cs="宋体"/>
              <w:color w:val="auto"/>
              <w:highlight w:val="none"/>
            </w:rPr>
            <w:t>108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"_Toc134126126"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附件4：项目管理机构人员配备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_Toc134126126 \h </w:instrText>
          </w:r>
          <w:r>
            <w:rPr>
              <w:rFonts w:hint="eastAsia" w:ascii="宋体" w:hAnsi="宋体" w:cs="宋体"/>
              <w:color w:val="auto"/>
              <w:highlight w:val="none"/>
            </w:rPr>
            <w:fldChar w:fldCharType="separate"/>
          </w:r>
          <w:r>
            <w:rPr>
              <w:rFonts w:hint="eastAsia" w:ascii="宋体" w:hAnsi="宋体" w:cs="宋体"/>
              <w:color w:val="auto"/>
              <w:highlight w:val="none"/>
            </w:rPr>
            <w:t>109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"_Toc134126127"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附件5：安全生产协议</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_Toc134126127 \h </w:instrText>
          </w:r>
          <w:r>
            <w:rPr>
              <w:rFonts w:hint="eastAsia" w:ascii="宋体" w:hAnsi="宋体" w:cs="宋体"/>
              <w:color w:val="auto"/>
              <w:highlight w:val="none"/>
            </w:rPr>
            <w:fldChar w:fldCharType="separate"/>
          </w:r>
          <w:r>
            <w:rPr>
              <w:rFonts w:hint="eastAsia" w:ascii="宋体" w:hAnsi="宋体" w:cs="宋体"/>
              <w:color w:val="auto"/>
              <w:highlight w:val="none"/>
            </w:rPr>
            <w:t>110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"_Toc134126128"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附件6：廉政协议</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_Toc134126128 \h </w:instrText>
          </w:r>
          <w:r>
            <w:rPr>
              <w:rFonts w:hint="eastAsia" w:ascii="宋体" w:hAnsi="宋体" w:cs="宋体"/>
              <w:color w:val="auto"/>
              <w:highlight w:val="none"/>
            </w:rPr>
            <w:fldChar w:fldCharType="separate"/>
          </w:r>
          <w:r>
            <w:rPr>
              <w:rFonts w:hint="eastAsia" w:ascii="宋体" w:hAnsi="宋体" w:cs="宋体"/>
              <w:color w:val="auto"/>
              <w:highlight w:val="none"/>
            </w:rPr>
            <w:t>113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"_Toc134126129"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附件7：保密协议</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_Toc134126129 \h </w:instrText>
          </w:r>
          <w:r>
            <w:rPr>
              <w:rFonts w:hint="eastAsia" w:ascii="宋体" w:hAnsi="宋体" w:cs="宋体"/>
              <w:color w:val="auto"/>
              <w:highlight w:val="none"/>
            </w:rPr>
            <w:fldChar w:fldCharType="separate"/>
          </w:r>
          <w:r>
            <w:rPr>
              <w:rFonts w:hint="eastAsia" w:ascii="宋体" w:hAnsi="宋体" w:cs="宋体"/>
              <w:color w:val="auto"/>
              <w:highlight w:val="none"/>
            </w:rPr>
            <w:t>116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"_Toc134126130"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附件8：中标通知书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_Toc134126130 \h </w:instrText>
          </w:r>
          <w:r>
            <w:rPr>
              <w:rFonts w:hint="eastAsia" w:ascii="宋体" w:hAnsi="宋体" w:cs="宋体"/>
              <w:color w:val="auto"/>
              <w:highlight w:val="none"/>
            </w:rPr>
            <w:fldChar w:fldCharType="separate"/>
          </w:r>
          <w:r>
            <w:rPr>
              <w:rFonts w:hint="eastAsia" w:ascii="宋体" w:hAnsi="宋体" w:cs="宋体"/>
              <w:color w:val="auto"/>
              <w:highlight w:val="none"/>
            </w:rPr>
            <w:t>118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"_Toc134126131"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附件9：招标文件的修改、答疑、澄清文件（如有）</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_Toc134126131 \h </w:instrText>
          </w:r>
          <w:r>
            <w:rPr>
              <w:rFonts w:hint="eastAsia" w:ascii="宋体" w:hAnsi="宋体" w:cs="宋体"/>
              <w:color w:val="auto"/>
              <w:highlight w:val="none"/>
            </w:rPr>
            <w:fldChar w:fldCharType="separate"/>
          </w:r>
          <w:r>
            <w:rPr>
              <w:rFonts w:hint="eastAsia" w:ascii="宋体" w:hAnsi="宋体" w:cs="宋体"/>
              <w:color w:val="auto"/>
              <w:highlight w:val="none"/>
            </w:rPr>
            <w:t>119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"_Toc134126132"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附件10：投标报价清单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_Toc134126132 \h </w:instrText>
          </w:r>
          <w:r>
            <w:rPr>
              <w:rFonts w:hint="eastAsia" w:ascii="宋体" w:hAnsi="宋体" w:cs="宋体"/>
              <w:color w:val="auto"/>
              <w:highlight w:val="none"/>
            </w:rPr>
            <w:fldChar w:fldCharType="separate"/>
          </w:r>
          <w:r>
            <w:rPr>
              <w:rFonts w:hint="eastAsia" w:ascii="宋体" w:hAnsi="宋体" w:cs="宋体"/>
              <w:color w:val="auto"/>
              <w:highlight w:val="none"/>
            </w:rPr>
            <w:t>120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"_Toc134126133"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附件11：工程量清单计价说明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_Toc134126133 \h </w:instrText>
          </w:r>
          <w:r>
            <w:rPr>
              <w:rFonts w:hint="eastAsia" w:ascii="宋体" w:hAnsi="宋体" w:cs="宋体"/>
              <w:color w:val="auto"/>
              <w:highlight w:val="none"/>
            </w:rPr>
            <w:fldChar w:fldCharType="separate"/>
          </w:r>
          <w:r>
            <w:rPr>
              <w:rFonts w:hint="eastAsia" w:ascii="宋体" w:hAnsi="宋体" w:cs="宋体"/>
              <w:color w:val="auto"/>
              <w:highlight w:val="none"/>
            </w:rPr>
            <w:t>121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"_Toc134126134"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附件12：技术条件（工程建设标准）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_Toc134126134 \h </w:instrText>
          </w:r>
          <w:r>
            <w:rPr>
              <w:rFonts w:hint="eastAsia" w:ascii="宋体" w:hAnsi="宋体" w:cs="宋体"/>
              <w:color w:val="auto"/>
              <w:highlight w:val="none"/>
            </w:rPr>
            <w:fldChar w:fldCharType="separate"/>
          </w:r>
          <w:r>
            <w:rPr>
              <w:rFonts w:hint="eastAsia" w:ascii="宋体" w:hAnsi="宋体" w:cs="宋体"/>
              <w:color w:val="auto"/>
              <w:highlight w:val="none"/>
            </w:rPr>
            <w:t>122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"_Toc134126135"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附件13：营业执照及资质证书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_Toc134126135 \h </w:instrText>
          </w:r>
          <w:r>
            <w:rPr>
              <w:rFonts w:hint="eastAsia" w:ascii="宋体" w:hAnsi="宋体" w:cs="宋体"/>
              <w:color w:val="auto"/>
              <w:highlight w:val="none"/>
            </w:rPr>
            <w:fldChar w:fldCharType="separate"/>
          </w:r>
          <w:r>
            <w:rPr>
              <w:rFonts w:hint="eastAsia" w:ascii="宋体" w:hAnsi="宋体" w:cs="宋体"/>
              <w:color w:val="auto"/>
              <w:highlight w:val="none"/>
            </w:rPr>
            <w:t>123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"_Toc134126136"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附件14：统筹管理协议</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_Toc134126136 \h </w:instrText>
          </w:r>
          <w:r>
            <w:rPr>
              <w:rFonts w:hint="eastAsia" w:ascii="宋体" w:hAnsi="宋体" w:cs="宋体"/>
              <w:color w:val="auto"/>
              <w:highlight w:val="none"/>
            </w:rPr>
            <w:fldChar w:fldCharType="separate"/>
          </w:r>
          <w:r>
            <w:rPr>
              <w:rFonts w:hint="eastAsia" w:ascii="宋体" w:hAnsi="宋体" w:cs="宋体"/>
              <w:color w:val="auto"/>
              <w:highlight w:val="none"/>
            </w:rPr>
            <w:t>124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"_Toc134126137"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附件15：本合同专业承包范围与施工总承包范围划分表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_Toc134126137 \h </w:instrText>
          </w:r>
          <w:r>
            <w:rPr>
              <w:rFonts w:hint="eastAsia" w:ascii="宋体" w:hAnsi="宋体" w:cs="宋体"/>
              <w:color w:val="auto"/>
              <w:highlight w:val="none"/>
            </w:rPr>
            <w:fldChar w:fldCharType="separate"/>
          </w:r>
          <w:r>
            <w:rPr>
              <w:rFonts w:hint="eastAsia" w:ascii="宋体" w:hAnsi="宋体" w:cs="宋体"/>
              <w:color w:val="auto"/>
              <w:highlight w:val="none"/>
            </w:rPr>
            <w:t>129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"_Toc134126138"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附件16：主要材料设备参考品牌清单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_Toc134126138 \h </w:instrText>
          </w:r>
          <w:r>
            <w:rPr>
              <w:rFonts w:hint="eastAsia" w:ascii="宋体" w:hAnsi="宋体" w:cs="宋体"/>
              <w:color w:val="auto"/>
              <w:highlight w:val="none"/>
            </w:rPr>
            <w:fldChar w:fldCharType="separate"/>
          </w:r>
          <w:r>
            <w:rPr>
              <w:rFonts w:hint="eastAsia" w:ascii="宋体" w:hAnsi="宋体" w:cs="宋体"/>
              <w:color w:val="auto"/>
              <w:highlight w:val="none"/>
            </w:rPr>
            <w:t>130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4"/>
            <w:tabs>
              <w:tab w:val="right" w:leader="dot" w:pos="8720"/>
            </w:tabs>
            <w:rPr>
              <w:rFonts w:hint="eastAsia" w:ascii="宋体" w:hAnsi="宋体" w:eastAsia="宋体" w:cs="宋体"/>
              <w:b w:val="0"/>
              <w:color w:val="auto"/>
              <w:kern w:val="2"/>
              <w:sz w:val="21"/>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"_Toc134126139" </w:instrText>
          </w:r>
          <w:r>
            <w:rPr>
              <w:rFonts w:hint="eastAsia" w:ascii="宋体" w:hAnsi="宋体" w:cs="宋体"/>
              <w:highlight w:val="none"/>
            </w:rPr>
            <w:fldChar w:fldCharType="separate"/>
          </w:r>
          <w:r>
            <w:rPr>
              <w:rStyle w:val="49"/>
              <w:rFonts w:hint="eastAsia" w:ascii="宋体" w:hAnsi="宋体" w:eastAsia="宋体" w:cs="宋体"/>
              <w:color w:val="auto"/>
              <w:highlight w:val="none"/>
            </w:rPr>
            <w:t>附件17：危险性较大的分部分项工程清单及超过一定规模的危险性较大的分部分项工程清单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_Toc134126139 \h </w:instrText>
          </w:r>
          <w:r>
            <w:rPr>
              <w:rFonts w:hint="eastAsia" w:ascii="宋体" w:hAnsi="宋体" w:cs="宋体"/>
              <w:color w:val="auto"/>
              <w:highlight w:val="none"/>
            </w:rPr>
            <w:fldChar w:fldCharType="separate"/>
          </w:r>
          <w:r>
            <w:rPr>
              <w:rFonts w:hint="eastAsia" w:ascii="宋体" w:hAnsi="宋体" w:cs="宋体"/>
              <w:color w:val="auto"/>
              <w:highlight w:val="none"/>
            </w:rPr>
            <w:t>131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spacing w:line="560" w:lineRule="exact"/>
            <w:ind w:firstLine="568" w:firstLineChars="202"/>
            <w:rPr>
              <w:rFonts w:hint="eastAsia" w:ascii="宋体" w:hAnsi="宋体" w:cs="宋体"/>
              <w:color w:val="auto"/>
              <w:sz w:val="28"/>
              <w:szCs w:val="28"/>
              <w:highlight w:val="none"/>
            </w:rPr>
          </w:pPr>
          <w:r>
            <w:rPr>
              <w:rFonts w:hint="eastAsia" w:ascii="宋体" w:hAnsi="宋体" w:cs="宋体"/>
              <w:b/>
              <w:bCs/>
              <w:color w:val="auto"/>
              <w:sz w:val="28"/>
              <w:szCs w:val="28"/>
              <w:highlight w:val="none"/>
              <w:lang w:val="zh-CN"/>
            </w:rPr>
            <w:fldChar w:fldCharType="end"/>
          </w:r>
        </w:p>
      </w:sdtContent>
    </w:sdt>
    <w:p>
      <w:pPr>
        <w:spacing w:line="560" w:lineRule="exact"/>
        <w:ind w:firstLine="568" w:firstLineChars="202"/>
        <w:rPr>
          <w:rFonts w:hint="eastAsia" w:ascii="宋体" w:hAnsi="宋体" w:eastAsia="宋体" w:cs="宋体"/>
          <w:b/>
          <w:color w:val="auto"/>
          <w:kern w:val="1"/>
          <w:sz w:val="28"/>
          <w:szCs w:val="28"/>
          <w:highlight w:val="none"/>
        </w:rPr>
      </w:pPr>
    </w:p>
    <w:p>
      <w:pPr>
        <w:spacing w:line="560" w:lineRule="exact"/>
        <w:ind w:firstLine="568" w:firstLineChars="202"/>
        <w:rPr>
          <w:rFonts w:hint="eastAsia" w:ascii="宋体" w:hAnsi="宋体" w:eastAsia="宋体" w:cs="宋体"/>
          <w:b/>
          <w:color w:val="auto"/>
          <w:kern w:val="1"/>
          <w:sz w:val="28"/>
          <w:szCs w:val="28"/>
          <w:highlight w:val="none"/>
        </w:rPr>
        <w:sectPr>
          <w:pgSz w:w="11906" w:h="16838"/>
          <w:pgMar w:top="1361" w:right="1588" w:bottom="1361" w:left="1588" w:header="851" w:footer="851" w:gutter="0"/>
          <w:cols w:space="720" w:num="1"/>
          <w:titlePg/>
          <w:docGrid w:linePitch="286" w:charSpace="0"/>
        </w:sectPr>
      </w:pPr>
    </w:p>
    <w:p>
      <w:pPr>
        <w:pStyle w:val="2"/>
        <w:numPr>
          <w:ilvl w:val="0"/>
          <w:numId w:val="0"/>
        </w:numPr>
        <w:spacing w:line="560" w:lineRule="exact"/>
        <w:ind w:left="-2" w:leftChars="-1" w:firstLine="1"/>
        <w:jc w:val="center"/>
        <w:rPr>
          <w:rFonts w:hint="eastAsia" w:ascii="宋体" w:hAnsi="宋体" w:eastAsia="宋体" w:cs="宋体"/>
          <w:b w:val="0"/>
          <w:color w:val="auto"/>
          <w:sz w:val="28"/>
          <w:szCs w:val="28"/>
          <w:highlight w:val="none"/>
        </w:rPr>
      </w:pPr>
      <w:bookmarkStart w:id="0" w:name="_Toc128128797"/>
      <w:bookmarkStart w:id="1" w:name="_Toc134126012"/>
      <w:r>
        <w:rPr>
          <w:rFonts w:hint="eastAsia" w:ascii="宋体" w:hAnsi="宋体" w:eastAsia="宋体" w:cs="宋体"/>
          <w:color w:val="auto"/>
          <w:sz w:val="28"/>
          <w:szCs w:val="28"/>
          <w:highlight w:val="none"/>
        </w:rPr>
        <w:t>第一部分  合同协议书</w:t>
      </w:r>
      <w:bookmarkEnd w:id="0"/>
      <w:bookmarkEnd w:id="1"/>
    </w:p>
    <w:p>
      <w:pPr>
        <w:spacing w:line="560" w:lineRule="exact"/>
        <w:ind w:firstLine="568" w:firstLineChars="202"/>
        <w:rPr>
          <w:rFonts w:hint="eastAsia" w:ascii="宋体" w:hAnsi="宋体" w:eastAsia="宋体" w:cs="宋体"/>
          <w:b/>
          <w:color w:val="auto"/>
          <w:kern w:val="1"/>
          <w:sz w:val="28"/>
          <w:szCs w:val="28"/>
          <w:highlight w:val="none"/>
        </w:rPr>
      </w:pPr>
    </w:p>
    <w:p>
      <w:pPr>
        <w:spacing w:line="560" w:lineRule="exact"/>
        <w:rPr>
          <w:rFonts w:hint="eastAsia" w:ascii="宋体" w:hAnsi="宋体" w:eastAsia="宋体" w:cs="宋体"/>
          <w:color w:val="auto"/>
          <w:kern w:val="1"/>
          <w:sz w:val="28"/>
          <w:szCs w:val="28"/>
          <w:highlight w:val="none"/>
          <w:u w:val="single"/>
        </w:rPr>
      </w:pPr>
      <w:r>
        <w:rPr>
          <w:rFonts w:hint="eastAsia" w:ascii="宋体" w:hAnsi="宋体" w:eastAsia="宋体" w:cs="宋体"/>
          <w:color w:val="auto"/>
          <w:kern w:val="1"/>
          <w:sz w:val="28"/>
          <w:szCs w:val="28"/>
          <w:highlight w:val="none"/>
        </w:rPr>
        <w:t>发包人（甲方）：广州新中轴建设有限公司</w:t>
      </w:r>
    </w:p>
    <w:p>
      <w:pPr>
        <w:spacing w:line="560" w:lineRule="exact"/>
        <w:rPr>
          <w:rFonts w:hint="eastAsia" w:ascii="宋体" w:hAnsi="宋体" w:eastAsia="宋体" w:cs="宋体"/>
          <w:color w:val="auto"/>
          <w:kern w:val="1"/>
          <w:sz w:val="28"/>
          <w:szCs w:val="28"/>
          <w:highlight w:val="none"/>
          <w:lang w:eastAsia="zh-CN"/>
        </w:rPr>
      </w:pPr>
      <w:r>
        <w:rPr>
          <w:rFonts w:hint="eastAsia" w:ascii="宋体" w:hAnsi="宋体" w:eastAsia="宋体" w:cs="宋体"/>
          <w:color w:val="auto"/>
          <w:kern w:val="1"/>
          <w:sz w:val="28"/>
          <w:szCs w:val="28"/>
          <w:highlight w:val="none"/>
        </w:rPr>
        <w:t>承包人（乙方）：</w:t>
      </w:r>
    </w:p>
    <w:p>
      <w:pPr>
        <w:spacing w:line="560" w:lineRule="exact"/>
        <w:rPr>
          <w:rFonts w:hint="eastAsia" w:ascii="宋体" w:hAnsi="宋体" w:eastAsia="宋体" w:cs="宋体"/>
          <w:color w:val="auto"/>
          <w:kern w:val="1"/>
          <w:sz w:val="28"/>
          <w:szCs w:val="28"/>
          <w:highlight w:val="none"/>
          <w:u w:val="single"/>
        </w:rPr>
      </w:pP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依照《中华人民共和国民法典》、《中华人民共和国建筑法》及其他有关法律、行政法规，遵循平等、自愿、公平和诚实信用的原则，双方就本建设工程施工事项协商一致，订立本合同。</w:t>
      </w:r>
    </w:p>
    <w:p>
      <w:pPr>
        <w:spacing w:line="560" w:lineRule="exact"/>
        <w:ind w:firstLine="568" w:firstLineChars="202"/>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一、工程概况</w:t>
      </w:r>
    </w:p>
    <w:p>
      <w:pPr>
        <w:spacing w:line="560" w:lineRule="exact"/>
        <w:ind w:firstLine="565" w:firstLineChars="202"/>
        <w:rPr>
          <w:rFonts w:hint="eastAsia" w:ascii="宋体" w:hAnsi="宋体" w:eastAsia="宋体" w:cs="宋体"/>
          <w:color w:val="auto"/>
          <w:kern w:val="1"/>
          <w:sz w:val="28"/>
          <w:szCs w:val="28"/>
          <w:highlight w:val="none"/>
          <w:lang w:eastAsia="zh-CN"/>
        </w:rPr>
      </w:pPr>
      <w:r>
        <w:rPr>
          <w:rFonts w:hint="eastAsia" w:ascii="宋体" w:hAnsi="宋体" w:eastAsia="宋体" w:cs="宋体"/>
          <w:color w:val="auto"/>
          <w:kern w:val="1"/>
          <w:sz w:val="28"/>
          <w:szCs w:val="28"/>
          <w:highlight w:val="none"/>
        </w:rPr>
        <w:t>本项目位于广州空港经济区机场高速两侧、方华公路以西，建设范围为3-10号馆，其中3-9号馆为标准展厅、10号馆含主登录厅及多功能厅，地下按规定配建地下停车位和设备用房。本项目总建筑面积约25.35万平方米，地上建筑面积约18.55万平方米，地下建筑面积约6.80万平方米。其中标准展厅的单体建筑面积约1.5-1.8万平方米，10号馆约2.97万平方米，二期东西通廊约3.10万平方米，建筑高度约15.8-34米，单跨最大跨度67.5m</w:t>
      </w:r>
      <w:r>
        <w:rPr>
          <w:rFonts w:hint="eastAsia" w:ascii="宋体" w:hAnsi="宋体" w:eastAsia="宋体" w:cs="宋体"/>
          <w:color w:val="auto"/>
          <w:kern w:val="1"/>
          <w:sz w:val="28"/>
          <w:szCs w:val="28"/>
          <w:highlight w:val="none"/>
          <w:lang w:eastAsia="zh-CN"/>
        </w:rPr>
        <w:t>。</w:t>
      </w:r>
    </w:p>
    <w:p>
      <w:pPr>
        <w:spacing w:line="560" w:lineRule="exact"/>
        <w:ind w:firstLine="568" w:firstLineChars="202"/>
        <w:rPr>
          <w:rFonts w:hint="eastAsia" w:ascii="宋体" w:hAnsi="宋体" w:eastAsia="宋体" w:cs="宋体"/>
          <w:b/>
          <w:color w:val="auto"/>
          <w:spacing w:val="-8"/>
          <w:kern w:val="28"/>
          <w:sz w:val="28"/>
          <w:szCs w:val="28"/>
          <w:highlight w:val="none"/>
        </w:rPr>
      </w:pPr>
      <w:bookmarkStart w:id="2" w:name="_Hlk129785221"/>
      <w:r>
        <w:rPr>
          <w:rFonts w:hint="eastAsia" w:ascii="宋体" w:hAnsi="宋体" w:eastAsia="宋体" w:cs="宋体"/>
          <w:b/>
          <w:color w:val="auto"/>
          <w:kern w:val="1"/>
          <w:sz w:val="28"/>
          <w:szCs w:val="28"/>
          <w:highlight w:val="none"/>
        </w:rPr>
        <w:t>二、工程承包范围、内容及方式</w:t>
      </w:r>
    </w:p>
    <w:p>
      <w:pPr>
        <w:spacing w:line="560" w:lineRule="exact"/>
        <w:ind w:firstLine="565" w:firstLineChars="202"/>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（一）承包范围、内容</w:t>
      </w:r>
    </w:p>
    <w:p>
      <w:pPr>
        <w:spacing w:line="560" w:lineRule="exact"/>
        <w:ind w:firstLine="565" w:firstLineChars="202"/>
        <w:rPr>
          <w:rFonts w:hint="eastAsia" w:ascii="宋体" w:hAnsi="宋体" w:eastAsia="宋体" w:cs="宋体"/>
          <w:bCs/>
          <w:color w:val="auto"/>
          <w:kern w:val="1"/>
          <w:sz w:val="28"/>
          <w:szCs w:val="28"/>
          <w:highlight w:val="none"/>
        </w:rPr>
      </w:pPr>
      <w:r>
        <w:rPr>
          <w:rFonts w:hint="eastAsia" w:ascii="宋体" w:hAnsi="宋体" w:eastAsia="宋体" w:cs="宋体"/>
          <w:bCs/>
          <w:color w:val="auto"/>
          <w:sz w:val="28"/>
          <w:szCs w:val="28"/>
          <w:highlight w:val="none"/>
        </w:rPr>
        <w:t>依据招标文件、施工图纸（包括技术要求）、招标范围界面（图纸、工程量清单及现场现状条件）及相关资料和说明，对</w:t>
      </w:r>
      <w:r>
        <w:rPr>
          <w:rFonts w:hint="eastAsia" w:ascii="宋体" w:hAnsi="宋体" w:eastAsia="宋体" w:cs="宋体"/>
          <w:bCs/>
          <w:color w:val="auto"/>
          <w:sz w:val="28"/>
          <w:szCs w:val="28"/>
          <w:highlight w:val="none"/>
          <w:u w:val="single"/>
          <w:lang w:eastAsia="zh-CN"/>
        </w:rPr>
        <w:t>广州空港经济区中央商务区会展中心二期项目（标段二）</w:t>
      </w:r>
      <w:r>
        <w:rPr>
          <w:rFonts w:hint="eastAsia" w:ascii="宋体" w:hAnsi="宋体" w:eastAsia="宋体" w:cs="宋体"/>
          <w:bCs/>
          <w:color w:val="auto"/>
          <w:sz w:val="28"/>
          <w:szCs w:val="28"/>
          <w:highlight w:val="none"/>
          <w:u w:val="single"/>
        </w:rPr>
        <w:t>幕墙</w:t>
      </w:r>
      <w:r>
        <w:rPr>
          <w:rFonts w:hint="eastAsia" w:ascii="宋体" w:hAnsi="宋体" w:eastAsia="宋体" w:cs="宋体"/>
          <w:bCs/>
          <w:color w:val="auto"/>
          <w:sz w:val="28"/>
          <w:szCs w:val="28"/>
          <w:highlight w:val="none"/>
          <w:u w:val="single"/>
          <w:lang w:val="en-US" w:eastAsia="zh-CN"/>
        </w:rPr>
        <w:t>及金属屋面</w:t>
      </w:r>
      <w:r>
        <w:rPr>
          <w:rFonts w:hint="eastAsia" w:ascii="宋体" w:hAnsi="宋体" w:eastAsia="宋体" w:cs="宋体"/>
          <w:bCs/>
          <w:color w:val="auto"/>
          <w:sz w:val="28"/>
          <w:szCs w:val="28"/>
          <w:highlight w:val="none"/>
          <w:u w:val="single"/>
        </w:rPr>
        <w:t>工程等</w:t>
      </w:r>
      <w:r>
        <w:rPr>
          <w:rFonts w:hint="eastAsia" w:ascii="宋体" w:hAnsi="宋体" w:eastAsia="宋体" w:cs="宋体"/>
          <w:bCs/>
          <w:color w:val="auto"/>
          <w:sz w:val="28"/>
          <w:szCs w:val="28"/>
          <w:highlight w:val="none"/>
        </w:rPr>
        <w:t>进行施工，并</w:t>
      </w:r>
      <w:r>
        <w:rPr>
          <w:rFonts w:hint="eastAsia" w:ascii="宋体" w:hAnsi="宋体" w:eastAsia="宋体" w:cs="宋体"/>
          <w:bCs/>
          <w:color w:val="auto"/>
          <w:kern w:val="1"/>
          <w:sz w:val="28"/>
          <w:szCs w:val="28"/>
          <w:highlight w:val="none"/>
        </w:rPr>
        <w:t>完成与施工总承包单位的交接配合相关工作，保证项目达到设计要求及最终验收、正常运行要求。包括但不限于（发包人根据工程实施情况，有权对承包人的承包范围及内容进行适当调整）：</w:t>
      </w:r>
    </w:p>
    <w:p>
      <w:pPr>
        <w:spacing w:line="560" w:lineRule="exact"/>
        <w:ind w:firstLine="565" w:firstLineChars="202"/>
        <w:rPr>
          <w:rFonts w:hint="eastAsia" w:ascii="宋体" w:hAnsi="宋体" w:eastAsia="宋体" w:cs="宋体"/>
          <w:color w:val="auto"/>
          <w:kern w:val="1"/>
          <w:sz w:val="28"/>
          <w:szCs w:val="28"/>
          <w:highlight w:val="none"/>
          <w:lang w:eastAsia="zh-CN"/>
        </w:rPr>
      </w:pPr>
      <w:r>
        <w:rPr>
          <w:rFonts w:hint="eastAsia" w:ascii="宋体" w:hAnsi="宋体" w:eastAsia="宋体" w:cs="宋体"/>
          <w:color w:val="auto"/>
          <w:kern w:val="1"/>
          <w:sz w:val="28"/>
          <w:szCs w:val="28"/>
          <w:highlight w:val="none"/>
        </w:rPr>
        <w:t>1.包括但不限于项目建设范围内的幕墙移交前的开荒清洁保洁</w:t>
      </w:r>
      <w:r>
        <w:rPr>
          <w:rFonts w:hint="eastAsia" w:ascii="宋体" w:hAnsi="宋体" w:eastAsia="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幕墙</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位于玻璃</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铝板系统上的地弹门、平开门、开启窗、固定窗、消防救援窗、排烟窗（含整个排烟窗系统及消防联动）及百叶</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室内顶部的排烟窗（含整个排烟窗系统及消防联动）</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大象门等门窗</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lang w:eastAsia="zh-CN"/>
        </w:rPr>
        <w:t>人行通廊采光顶和栏杆（不含连廊采光顶主体钢结构）</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lang w:eastAsia="zh-CN"/>
        </w:rPr>
        <w:t>外立面工程（包含外墙铝板、玻璃幕墙、百叶（含构造龙骨、面板、转接件、预埋件及配套辅材）、广告位、立面与屋檐交接处收口不锈钢网、立面与屋面交接初保温墙（水泥纤维板&amp;保温岩棉）、铝板雨棚（首层顶）、钢骨架埋件安装、幕墙层间防火封堵、幕墙防雷焊接、幕墙泛光灯槽（固定龙骨、挡光板）</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lang w:eastAsia="zh-CN"/>
        </w:rPr>
        <w:t>屋面工程（包含屋面系统（3、4、5、6、7、8、9、10号馆次檩条，</w:t>
      </w:r>
      <w:r>
        <w:rPr>
          <w:rFonts w:hint="eastAsia" w:ascii="宋体" w:hAnsi="宋体" w:eastAsia="宋体" w:cs="宋体"/>
          <w:color w:val="auto"/>
          <w:kern w:val="1"/>
          <w:sz w:val="28"/>
          <w:szCs w:val="28"/>
          <w:highlight w:val="none"/>
          <w:lang w:val="en-US" w:eastAsia="zh-CN"/>
        </w:rPr>
        <w:t>主登录厅</w:t>
      </w:r>
      <w:r>
        <w:rPr>
          <w:rFonts w:hint="eastAsia" w:ascii="宋体" w:hAnsi="宋体" w:eastAsia="宋体" w:cs="宋体"/>
          <w:color w:val="auto"/>
          <w:kern w:val="1"/>
          <w:sz w:val="28"/>
          <w:szCs w:val="28"/>
          <w:highlight w:val="none"/>
          <w:lang w:eastAsia="zh-CN"/>
        </w:rPr>
        <w:t>主、次檩条，以及金属屋面结构层）、檐口以及吊顶铝板系统（包含主钢构以外的主次龙骨及龙骨表面处理，以及金属板面层）、不锈钢水沟系统（包含支撑龙骨、龙骨表面处理、焊缝防腐处理、水沟连接处防水处理及不锈钢水沟）、屋面格栅系统（包含支撑龙骨、转接件及辅材、格栅铝型材等）、屋面防雷系统，不含外墙干挂石材工程（构造龙骨、面板、转接件、预埋件及配套辅材）、外墙保温、涂料、幕墙泛光（灯具、布线、控制系统、防水密封等）、屋面主钢构、屋面光伏系统</w:t>
      </w:r>
      <w:r>
        <w:rPr>
          <w:rFonts w:hint="eastAsia" w:ascii="宋体" w:hAnsi="宋体" w:cs="宋体"/>
          <w:color w:val="auto"/>
          <w:kern w:val="1"/>
          <w:sz w:val="28"/>
          <w:szCs w:val="28"/>
          <w:highlight w:val="none"/>
          <w:lang w:eastAsia="zh-CN"/>
        </w:rPr>
        <w:t>、</w:t>
      </w:r>
      <w:r>
        <w:rPr>
          <w:rFonts w:hint="eastAsia" w:ascii="宋体" w:hAnsi="宋体" w:cs="宋体"/>
          <w:color w:val="auto"/>
          <w:kern w:val="1"/>
          <w:sz w:val="28"/>
          <w:szCs w:val="28"/>
          <w:highlight w:val="none"/>
          <w:lang w:val="en-US" w:eastAsia="zh-CN"/>
        </w:rPr>
        <w:t>屋面泛光系统</w:t>
      </w:r>
      <w:r>
        <w:rPr>
          <w:rFonts w:hint="eastAsia" w:ascii="宋体" w:hAnsi="宋体" w:eastAsia="宋体" w:cs="宋体"/>
          <w:color w:val="auto"/>
          <w:kern w:val="1"/>
          <w:sz w:val="28"/>
          <w:szCs w:val="28"/>
          <w:highlight w:val="none"/>
        </w:rPr>
        <w:t>等</w:t>
      </w:r>
      <w:r>
        <w:rPr>
          <w:rFonts w:hint="eastAsia" w:ascii="宋体" w:hAnsi="宋体" w:eastAsia="宋体" w:cs="宋体"/>
          <w:color w:val="auto"/>
          <w:kern w:val="1"/>
          <w:sz w:val="28"/>
          <w:szCs w:val="28"/>
          <w:highlight w:val="none"/>
          <w:lang w:eastAsia="zh-CN"/>
        </w:rPr>
        <w:t>施工</w:t>
      </w:r>
      <w:r>
        <w:rPr>
          <w:rFonts w:hint="eastAsia" w:ascii="宋体" w:hAnsi="宋体" w:eastAsia="宋体" w:cs="宋体"/>
          <w:color w:val="auto"/>
          <w:kern w:val="1"/>
          <w:sz w:val="28"/>
          <w:szCs w:val="28"/>
          <w:highlight w:val="none"/>
        </w:rPr>
        <w:t>。具体以招标文件、施工图纸、工程量清单及有关资料说明为准。发包人在实施过程中根据本工程实际情况有权增减部分内容，承包人不能拒绝执行</w:t>
      </w:r>
      <w:r>
        <w:rPr>
          <w:rFonts w:hint="eastAsia" w:ascii="宋体" w:hAnsi="宋体" w:eastAsia="宋体" w:cs="宋体"/>
          <w:color w:val="auto"/>
          <w:kern w:val="1"/>
          <w:sz w:val="28"/>
          <w:szCs w:val="28"/>
          <w:highlight w:val="none"/>
          <w:lang w:eastAsia="zh-CN"/>
        </w:rPr>
        <w:t>，所涉及费用由发承包双方协商处理。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2.报建及验收等工作（费用已含在本合同总价中，本合同不再另行计量与支付）：</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（1）承包人负责与施工相关的证照办理，发包人提供资料配合；如未完成办理导致承包人及发包人蒙受经济及名誉损失，均由承包人承担。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（2）承包人负责配合办理项目联合验收。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3.竣工资料与竣工图</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承包人合同范围内竣工图由承包人自行编制或自行委托本项目设计单位编制，费用已含在本合同总价中，本合同不再另行计量与支付。</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4.承包</w:t>
      </w:r>
      <w:r>
        <w:rPr>
          <w:rFonts w:hint="eastAsia" w:ascii="宋体" w:hAnsi="宋体" w:eastAsia="宋体" w:cs="宋体"/>
          <w:color w:val="auto"/>
          <w:kern w:val="1"/>
          <w:sz w:val="28"/>
          <w:szCs w:val="28"/>
          <w:highlight w:val="none"/>
          <w:lang w:eastAsia="zh-CN"/>
        </w:rPr>
        <w:t>人</w:t>
      </w:r>
      <w:r>
        <w:rPr>
          <w:rFonts w:hint="eastAsia" w:ascii="宋体" w:hAnsi="宋体" w:eastAsia="宋体" w:cs="宋体"/>
          <w:color w:val="auto"/>
          <w:kern w:val="1"/>
          <w:sz w:val="28"/>
          <w:szCs w:val="28"/>
          <w:highlight w:val="none"/>
        </w:rPr>
        <w:t>配合工作</w:t>
      </w:r>
    </w:p>
    <w:p>
      <w:pPr>
        <w:spacing w:line="560" w:lineRule="exact"/>
        <w:ind w:firstLine="565" w:firstLineChars="202"/>
        <w:rPr>
          <w:rFonts w:hint="eastAsia" w:ascii="宋体" w:hAnsi="宋体" w:eastAsia="宋体" w:cs="宋体"/>
          <w:color w:val="auto"/>
          <w:kern w:val="1"/>
          <w:sz w:val="28"/>
          <w:szCs w:val="28"/>
          <w:highlight w:val="none"/>
          <w:lang w:eastAsia="zh-CN"/>
        </w:rPr>
      </w:pPr>
      <w:r>
        <w:rPr>
          <w:rFonts w:hint="eastAsia" w:ascii="宋体" w:hAnsi="宋体" w:eastAsia="宋体" w:cs="宋体"/>
          <w:color w:val="auto"/>
          <w:kern w:val="1"/>
          <w:sz w:val="28"/>
          <w:szCs w:val="28"/>
          <w:highlight w:val="none"/>
          <w:lang w:eastAsia="zh-CN"/>
        </w:rPr>
        <w:t>（</w:t>
      </w:r>
      <w:r>
        <w:rPr>
          <w:rFonts w:hint="eastAsia" w:ascii="宋体" w:hAnsi="宋体" w:eastAsia="宋体" w:cs="宋体"/>
          <w:color w:val="auto"/>
          <w:kern w:val="1"/>
          <w:sz w:val="28"/>
          <w:szCs w:val="28"/>
          <w:highlight w:val="none"/>
          <w:lang w:val="en-US" w:eastAsia="zh-CN"/>
        </w:rPr>
        <w:t>1</w:t>
      </w:r>
      <w:r>
        <w:rPr>
          <w:rFonts w:hint="eastAsia" w:ascii="宋体" w:hAnsi="宋体" w:eastAsia="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承包人需配合进行各类奖项申报，配合编写、整理、归总各类报奖文件及相关资料，为各类奖项申报提供技术支持。相关费用承包人已在本合同总价中综合考虑，本合同不再另行计量与支付。</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lang w:eastAsia="zh-CN"/>
        </w:rPr>
        <w:t>（</w:t>
      </w:r>
      <w:r>
        <w:rPr>
          <w:rFonts w:hint="eastAsia" w:ascii="宋体" w:hAnsi="宋体" w:eastAsia="宋体" w:cs="宋体"/>
          <w:color w:val="auto"/>
          <w:kern w:val="1"/>
          <w:sz w:val="28"/>
          <w:szCs w:val="28"/>
          <w:highlight w:val="none"/>
          <w:lang w:val="en-US" w:eastAsia="zh-CN"/>
        </w:rPr>
        <w:t>2）</w:t>
      </w:r>
      <w:r>
        <w:rPr>
          <w:rFonts w:hint="eastAsia" w:ascii="宋体" w:hAnsi="宋体" w:eastAsia="宋体" w:cs="宋体"/>
          <w:color w:val="auto"/>
          <w:kern w:val="1"/>
          <w:sz w:val="28"/>
          <w:szCs w:val="28"/>
          <w:highlight w:val="none"/>
        </w:rPr>
        <w:t>承包人应与本项目施工总承包单位及其他参建单位进行紧密的配合与协调，接受施工总承包单位的总体把控、协调等工作，确保现场施工工作顺利实施。</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rPr>
        <w:t>施工总承包单位按照施工总承包合同约定对本项目范围内所有专业工程实施管理协调配合工作，负责施工总承包管理及现场总控制、总协调、总监督、总配合、总进度控制及竣工验收总调试的总体协调配合工作。</w:t>
      </w:r>
      <w:r>
        <w:rPr>
          <w:rFonts w:hint="eastAsia" w:ascii="宋体" w:hAnsi="宋体" w:eastAsia="宋体" w:cs="宋体"/>
          <w:color w:val="auto"/>
          <w:kern w:val="1"/>
          <w:sz w:val="28"/>
          <w:szCs w:val="28"/>
          <w:highlight w:val="none"/>
        </w:rPr>
        <w:t>承包人与本项目施工总承包单位按照合同附件《统筹管理协议》签订协议，由承包人向本项目施工总承包单位支付本</w:t>
      </w:r>
      <w:r>
        <w:rPr>
          <w:rFonts w:hint="eastAsia" w:ascii="宋体" w:hAnsi="宋体" w:cs="宋体"/>
          <w:color w:val="auto"/>
          <w:kern w:val="1"/>
          <w:sz w:val="28"/>
          <w:szCs w:val="28"/>
          <w:highlight w:val="none"/>
          <w:lang w:val="en-US" w:eastAsia="zh-CN"/>
        </w:rPr>
        <w:t>项目专业工程合同价格</w:t>
      </w:r>
      <w:r>
        <w:rPr>
          <w:rFonts w:hint="eastAsia" w:ascii="宋体" w:hAnsi="宋体" w:eastAsia="宋体" w:cs="宋体"/>
          <w:color w:val="auto"/>
          <w:kern w:val="1"/>
          <w:sz w:val="28"/>
          <w:szCs w:val="28"/>
          <w:highlight w:val="none"/>
        </w:rPr>
        <w:t>（即中标总价扣除含税总承包服务费）的</w:t>
      </w:r>
      <w:r>
        <w:rPr>
          <w:rFonts w:hint="eastAsia" w:ascii="宋体" w:hAnsi="宋体" w:eastAsia="宋体" w:cs="宋体"/>
          <w:color w:val="auto"/>
          <w:kern w:val="1"/>
          <w:sz w:val="28"/>
          <w:szCs w:val="28"/>
          <w:highlight w:val="none"/>
          <w:u w:val="single"/>
          <w:lang w:eastAsia="zh-CN"/>
        </w:rPr>
        <w:t>1</w:t>
      </w:r>
      <w:r>
        <w:rPr>
          <w:rFonts w:hint="eastAsia" w:ascii="宋体" w:hAnsi="宋体" w:eastAsia="宋体" w:cs="宋体"/>
          <w:color w:val="auto"/>
          <w:kern w:val="1"/>
          <w:sz w:val="28"/>
          <w:szCs w:val="28"/>
          <w:highlight w:val="none"/>
          <w:u w:val="single"/>
          <w:lang w:val="en-US" w:eastAsia="zh-CN"/>
        </w:rPr>
        <w:t>.50</w:t>
      </w:r>
      <w:r>
        <w:rPr>
          <w:rFonts w:hint="eastAsia" w:ascii="宋体" w:hAnsi="宋体" w:eastAsia="宋体" w:cs="宋体"/>
          <w:color w:val="auto"/>
          <w:kern w:val="1"/>
          <w:sz w:val="28"/>
          <w:szCs w:val="28"/>
          <w:highlight w:val="none"/>
        </w:rPr>
        <w:t>%作为</w:t>
      </w:r>
      <w:r>
        <w:rPr>
          <w:rFonts w:hint="eastAsia" w:ascii="宋体" w:hAnsi="宋体" w:eastAsia="宋体" w:cs="宋体"/>
          <w:color w:val="auto"/>
          <w:kern w:val="1"/>
          <w:sz w:val="28"/>
          <w:szCs w:val="28"/>
          <w:highlight w:val="none"/>
          <w:lang w:eastAsia="zh-CN"/>
        </w:rPr>
        <w:t>含税</w:t>
      </w:r>
      <w:r>
        <w:rPr>
          <w:rFonts w:hint="eastAsia" w:ascii="宋体" w:hAnsi="宋体" w:eastAsia="宋体" w:cs="宋体"/>
          <w:color w:val="auto"/>
          <w:kern w:val="1"/>
          <w:sz w:val="28"/>
          <w:szCs w:val="28"/>
          <w:highlight w:val="none"/>
        </w:rPr>
        <w:t>总承包服务费。</w:t>
      </w:r>
    </w:p>
    <w:p>
      <w:pPr>
        <w:spacing w:line="560" w:lineRule="exact"/>
        <w:ind w:firstLine="565" w:firstLineChars="202"/>
        <w:outlineLvl w:val="1"/>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（二）界面划分（发包人根据工程实施情况，有权对承包人的承包范围及内容进行适当调整）</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lang w:eastAsia="zh-CN"/>
        </w:rPr>
        <w:t>其他</w:t>
      </w:r>
      <w:r>
        <w:rPr>
          <w:rFonts w:hint="eastAsia" w:ascii="宋体" w:hAnsi="宋体" w:eastAsia="宋体" w:cs="宋体"/>
          <w:color w:val="auto"/>
          <w:kern w:val="1"/>
          <w:sz w:val="28"/>
          <w:szCs w:val="28"/>
          <w:highlight w:val="none"/>
        </w:rPr>
        <w:t>承包单位承包范围与本合同承包范围划分表详见附件。</w:t>
      </w:r>
    </w:p>
    <w:p>
      <w:pPr>
        <w:spacing w:line="560" w:lineRule="exact"/>
        <w:ind w:firstLine="565" w:firstLineChars="202"/>
        <w:outlineLvl w:val="1"/>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（三）承包方式</w:t>
      </w:r>
    </w:p>
    <w:p>
      <w:pPr>
        <w:spacing w:line="560" w:lineRule="exact"/>
        <w:ind w:firstLine="565" w:firstLineChars="202"/>
        <w:rPr>
          <w:rFonts w:hint="eastAsia" w:ascii="宋体" w:hAnsi="宋体" w:eastAsia="宋体" w:cs="宋体"/>
          <w:color w:val="auto"/>
          <w:kern w:val="1"/>
          <w:sz w:val="28"/>
          <w:szCs w:val="28"/>
          <w:highlight w:val="none"/>
          <w:lang w:eastAsia="zh-CN"/>
        </w:rPr>
      </w:pPr>
      <w:r>
        <w:rPr>
          <w:rFonts w:hint="eastAsia" w:ascii="宋体" w:hAnsi="宋体" w:eastAsia="宋体" w:cs="宋体"/>
          <w:color w:val="auto"/>
          <w:kern w:val="1"/>
          <w:sz w:val="28"/>
          <w:szCs w:val="28"/>
          <w:highlight w:val="none"/>
        </w:rPr>
        <w:t>由承包人包深化设计、包施工、包材料、</w:t>
      </w:r>
      <w:r>
        <w:rPr>
          <w:rFonts w:hint="eastAsia" w:ascii="宋体" w:hAnsi="宋体" w:eastAsia="宋体" w:cs="宋体"/>
          <w:color w:val="auto"/>
          <w:kern w:val="1"/>
          <w:sz w:val="28"/>
          <w:szCs w:val="28"/>
          <w:highlight w:val="none"/>
          <w:lang w:eastAsia="zh-CN"/>
        </w:rPr>
        <w:t>包机械、</w:t>
      </w:r>
      <w:r>
        <w:rPr>
          <w:rFonts w:hint="eastAsia" w:ascii="宋体" w:hAnsi="宋体" w:eastAsia="宋体" w:cs="宋体"/>
          <w:color w:val="auto"/>
          <w:kern w:val="1"/>
          <w:sz w:val="28"/>
          <w:szCs w:val="28"/>
          <w:highlight w:val="none"/>
        </w:rPr>
        <w:t>包工期、包质量、包安全、包文明施工、包措施费、包检验检测、包调试、包报批、包验收、包培训、包移交、包质保、包成品及半成品保护、包总承包服务费</w:t>
      </w:r>
      <w:r>
        <w:rPr>
          <w:rFonts w:hint="eastAsia" w:ascii="宋体" w:hAnsi="宋体" w:eastAsia="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包为完成本工程所需要的一切费用</w:t>
      </w:r>
      <w:r>
        <w:rPr>
          <w:rFonts w:hint="eastAsia" w:ascii="宋体" w:hAnsi="宋体" w:eastAsia="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按招标文件和本合同规定的范围以</w:t>
      </w:r>
      <w:r>
        <w:rPr>
          <w:rFonts w:hint="eastAsia" w:ascii="宋体" w:hAnsi="宋体" w:eastAsia="宋体" w:cs="宋体"/>
          <w:color w:val="auto"/>
          <w:kern w:val="1"/>
          <w:sz w:val="28"/>
          <w:szCs w:val="28"/>
          <w:highlight w:val="none"/>
          <w:lang w:eastAsia="zh-CN"/>
        </w:rPr>
        <w:t>综合单价</w:t>
      </w:r>
      <w:r>
        <w:rPr>
          <w:rFonts w:hint="eastAsia" w:ascii="宋体" w:hAnsi="宋体" w:eastAsia="宋体" w:cs="宋体"/>
          <w:color w:val="auto"/>
          <w:kern w:val="1"/>
          <w:sz w:val="28"/>
          <w:szCs w:val="28"/>
          <w:highlight w:val="none"/>
        </w:rPr>
        <w:t>包干</w:t>
      </w:r>
      <w:r>
        <w:rPr>
          <w:rFonts w:hint="eastAsia" w:ascii="宋体" w:hAnsi="宋体" w:eastAsia="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部分项目综合合价包干。绿色施工安全防护措施费按照《广州市建筑工程安全生产措施管理费管理办法》及《广东省住房和城乡建设厅关于建筑工程绿色施工的管理办法（暂行）》（粤建质〔2016〕242号）的规定执行）（如有新版本颁布，则按最新版本执行）。</w:t>
      </w:r>
    </w:p>
    <w:bookmarkEnd w:id="2"/>
    <w:p>
      <w:pPr>
        <w:spacing w:line="560" w:lineRule="exact"/>
        <w:ind w:firstLine="565" w:firstLineChars="202"/>
        <w:rPr>
          <w:rFonts w:hint="eastAsia" w:ascii="宋体" w:hAnsi="宋体" w:eastAsia="宋体" w:cs="宋体"/>
          <w:b w:val="0"/>
          <w:color w:val="auto"/>
          <w:kern w:val="1"/>
          <w:sz w:val="28"/>
          <w:szCs w:val="28"/>
          <w:highlight w:val="none"/>
        </w:rPr>
      </w:pPr>
      <w:bookmarkStart w:id="3" w:name="_Hlk129785421"/>
      <w:bookmarkStart w:id="4" w:name="_Hlk129787517"/>
      <w:r>
        <w:rPr>
          <w:rFonts w:hint="eastAsia" w:ascii="宋体" w:hAnsi="宋体" w:eastAsia="宋体" w:cs="宋体"/>
          <w:b w:val="0"/>
          <w:color w:val="auto"/>
          <w:kern w:val="1"/>
          <w:sz w:val="28"/>
          <w:szCs w:val="28"/>
          <w:highlight w:val="none"/>
        </w:rPr>
        <w:t>三、合同工期</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1.本合同总工期为</w:t>
      </w:r>
      <w:r>
        <w:rPr>
          <w:rFonts w:hint="eastAsia" w:ascii="宋体" w:hAnsi="宋体" w:cs="宋体"/>
          <w:color w:val="auto"/>
          <w:sz w:val="28"/>
          <w:szCs w:val="28"/>
          <w:highlight w:val="none"/>
          <w:u w:val="single"/>
          <w:lang w:val="en-US" w:eastAsia="zh-CN"/>
        </w:rPr>
        <w:t>500</w:t>
      </w:r>
      <w:r>
        <w:rPr>
          <w:rFonts w:hint="eastAsia" w:ascii="宋体" w:hAnsi="宋体" w:eastAsia="宋体" w:cs="宋体"/>
          <w:color w:val="auto"/>
          <w:sz w:val="28"/>
          <w:szCs w:val="28"/>
          <w:highlight w:val="none"/>
        </w:rPr>
        <w:t>个日历天；具体开工日期以发包人或总监理工程师发出的开工令为准；合同总工期结束时间以获得建设行政主管部门出具的《广州市房屋建筑工程竣工验收备案》所载明的验收日期和完成本合同所有工程施工、收尾整改、场地清理、开荒清洁保洁等工作、达到交付标准的日期中时间靠后的日期为准。以上工期已充分考虑各种形式的雨雪、冰雹、大风、停水、停电、节假日、重大活动、中、高考期间等的施工管制、交通管制、扰民、道路施工影响等不利因素，并已考虑承包人与施工总承包单位、其他承包单位之间的配合时间（已包括材料订货时间、施工工序之间的交叉配合及场地移交时间等原因），承包人不得以上述因素申请工期的延长。承包人已到工地考察并充分了解工地位置、情况、道路、储存空间、装卸限制、爬架或吊篮施工设置及任何其他足以影响投标报价的情况，任何因忽视或误解工地情况而导致的索赔或工期延长申请将不被批准。</w:t>
      </w:r>
    </w:p>
    <w:p>
      <w:pPr>
        <w:spacing w:after="240" w:afterLines="100"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2.本合同关键节点工期如下：</w:t>
      </w: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93"/>
        <w:gridCol w:w="2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幕墙关键节点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关键节点名称</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深化图纸、施工小样（仅玻璃、铝材、铝板、拉杆）经各相关单位审核确认</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2024年</w:t>
            </w:r>
            <w:r>
              <w:rPr>
                <w:rFonts w:hint="eastAsia" w:ascii="宋体" w:hAnsi="宋体" w:cs="宋体"/>
                <w:i w:val="0"/>
                <w:iCs w:val="0"/>
                <w:color w:val="000000"/>
                <w:kern w:val="0"/>
                <w:sz w:val="28"/>
                <w:szCs w:val="28"/>
                <w:highlight w:val="none"/>
                <w:u w:val="none"/>
                <w:lang w:val="en-US" w:eastAsia="zh-CN" w:bidi="ar"/>
              </w:rPr>
              <w:t>8</w:t>
            </w:r>
            <w:r>
              <w:rPr>
                <w:rFonts w:hint="eastAsia" w:ascii="宋体" w:hAnsi="宋体" w:eastAsia="宋体" w:cs="宋体"/>
                <w:i w:val="0"/>
                <w:iCs w:val="0"/>
                <w:color w:val="000000"/>
                <w:kern w:val="0"/>
                <w:sz w:val="28"/>
                <w:szCs w:val="28"/>
                <w:highlight w:val="none"/>
                <w:u w:val="none"/>
                <w:lang w:val="en-US" w:eastAsia="zh-CN" w:bidi="ar"/>
              </w:rPr>
              <w:t>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完成5</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6号馆部分幕墙铝板、幕墙铝型材（包括但不限于：立柱、横梁、转接件）及拉杆进场，且不低于5</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6号馆总用量的30%</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2024年</w:t>
            </w:r>
            <w:r>
              <w:rPr>
                <w:rFonts w:hint="eastAsia" w:ascii="宋体" w:hAnsi="宋体" w:cs="宋体"/>
                <w:i w:val="0"/>
                <w:iCs w:val="0"/>
                <w:color w:val="000000"/>
                <w:kern w:val="0"/>
                <w:sz w:val="28"/>
                <w:szCs w:val="28"/>
                <w:highlight w:val="none"/>
                <w:u w:val="none"/>
                <w:lang w:val="en-US" w:eastAsia="zh-CN" w:bidi="ar"/>
              </w:rPr>
              <w:t>10</w:t>
            </w:r>
            <w:r>
              <w:rPr>
                <w:rFonts w:hint="eastAsia" w:ascii="宋体" w:hAnsi="宋体" w:eastAsia="宋体" w:cs="宋体"/>
                <w:i w:val="0"/>
                <w:iCs w:val="0"/>
                <w:color w:val="000000"/>
                <w:kern w:val="0"/>
                <w:sz w:val="28"/>
                <w:szCs w:val="28"/>
                <w:highlight w:val="none"/>
                <w:u w:val="none"/>
                <w:lang w:val="en-US" w:eastAsia="zh-CN" w:bidi="ar"/>
              </w:rPr>
              <w:t>月</w:t>
            </w:r>
            <w:r>
              <w:rPr>
                <w:rFonts w:hint="eastAsia" w:ascii="宋体" w:hAnsi="宋体" w:cs="宋体"/>
                <w:i w:val="0"/>
                <w:iCs w:val="0"/>
                <w:color w:val="000000"/>
                <w:kern w:val="0"/>
                <w:sz w:val="28"/>
                <w:szCs w:val="28"/>
                <w:highlight w:val="none"/>
                <w:u w:val="none"/>
                <w:lang w:val="en-US" w:eastAsia="zh-CN" w:bidi="ar"/>
              </w:rPr>
              <w:t>20</w:t>
            </w:r>
            <w:r>
              <w:rPr>
                <w:rFonts w:hint="eastAsia" w:ascii="宋体" w:hAnsi="宋体" w:eastAsia="宋体" w:cs="宋体"/>
                <w:i w:val="0"/>
                <w:iCs w:val="0"/>
                <w:color w:val="000000"/>
                <w:kern w:val="0"/>
                <w:sz w:val="28"/>
                <w:szCs w:val="28"/>
                <w:highlight w:val="none"/>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完成3</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4</w:t>
            </w:r>
            <w:r>
              <w:rPr>
                <w:rFonts w:hint="eastAsia" w:ascii="宋体" w:hAnsi="宋体" w:cs="宋体"/>
                <w:i w:val="0"/>
                <w:iCs w:val="0"/>
                <w:color w:val="000000"/>
                <w:kern w:val="0"/>
                <w:sz w:val="28"/>
                <w:szCs w:val="28"/>
                <w:highlight w:val="none"/>
                <w:u w:val="none"/>
                <w:lang w:val="en-US" w:eastAsia="zh-CN" w:bidi="ar"/>
              </w:rPr>
              <w:t>、7、</w:t>
            </w:r>
            <w:r>
              <w:rPr>
                <w:rFonts w:hint="eastAsia" w:ascii="宋体" w:hAnsi="宋体" w:eastAsia="宋体" w:cs="宋体"/>
                <w:i w:val="0"/>
                <w:iCs w:val="0"/>
                <w:color w:val="000000"/>
                <w:kern w:val="0"/>
                <w:sz w:val="28"/>
                <w:szCs w:val="28"/>
                <w:highlight w:val="none"/>
                <w:u w:val="none"/>
                <w:lang w:val="en-US" w:eastAsia="zh-CN" w:bidi="ar"/>
              </w:rPr>
              <w:t>8</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10号馆、中央通廊部分幕墙铝板、幕墙铝型材（包括但不限于：立柱、横梁、转接件）及拉杆进场，且不低于3</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4</w:t>
            </w:r>
            <w:r>
              <w:rPr>
                <w:rFonts w:hint="eastAsia" w:ascii="宋体" w:hAnsi="宋体" w:cs="宋体"/>
                <w:i w:val="0"/>
                <w:iCs w:val="0"/>
                <w:color w:val="000000"/>
                <w:kern w:val="0"/>
                <w:sz w:val="28"/>
                <w:szCs w:val="28"/>
                <w:highlight w:val="none"/>
                <w:u w:val="none"/>
                <w:lang w:val="en-US" w:eastAsia="zh-CN" w:bidi="ar"/>
              </w:rPr>
              <w:t>、7、</w:t>
            </w:r>
            <w:r>
              <w:rPr>
                <w:rFonts w:hint="eastAsia" w:ascii="宋体" w:hAnsi="宋体" w:eastAsia="宋体" w:cs="宋体"/>
                <w:i w:val="0"/>
                <w:iCs w:val="0"/>
                <w:color w:val="000000"/>
                <w:kern w:val="0"/>
                <w:sz w:val="28"/>
                <w:szCs w:val="28"/>
                <w:highlight w:val="none"/>
                <w:u w:val="none"/>
                <w:lang w:val="en-US" w:eastAsia="zh-CN" w:bidi="ar"/>
              </w:rPr>
              <w:t>8</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10号馆、中央通廊总用量的30%</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2024年12月</w:t>
            </w:r>
            <w:r>
              <w:rPr>
                <w:rFonts w:hint="eastAsia" w:ascii="宋体" w:hAnsi="宋体" w:cs="宋体"/>
                <w:i w:val="0"/>
                <w:iCs w:val="0"/>
                <w:color w:val="000000"/>
                <w:kern w:val="0"/>
                <w:sz w:val="28"/>
                <w:szCs w:val="28"/>
                <w:highlight w:val="none"/>
                <w:u w:val="none"/>
                <w:lang w:val="en-US" w:eastAsia="zh-CN" w:bidi="ar"/>
              </w:rPr>
              <w:t>30</w:t>
            </w:r>
            <w:r>
              <w:rPr>
                <w:rFonts w:hint="eastAsia" w:ascii="宋体" w:hAnsi="宋体" w:eastAsia="宋体" w:cs="宋体"/>
                <w:i w:val="0"/>
                <w:iCs w:val="0"/>
                <w:color w:val="000000"/>
                <w:kern w:val="0"/>
                <w:sz w:val="28"/>
                <w:szCs w:val="28"/>
                <w:highlight w:val="none"/>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完成9号馆、主登录厅部分幕墙玻璃进场，且不低于9号馆、主登录厅总用量的30%</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2025年</w:t>
            </w:r>
            <w:r>
              <w:rPr>
                <w:rFonts w:hint="eastAsia" w:ascii="宋体" w:hAnsi="宋体" w:cs="宋体"/>
                <w:i w:val="0"/>
                <w:iCs w:val="0"/>
                <w:color w:val="000000"/>
                <w:kern w:val="0"/>
                <w:sz w:val="28"/>
                <w:szCs w:val="28"/>
                <w:highlight w:val="none"/>
                <w:u w:val="none"/>
                <w:lang w:val="en-US" w:eastAsia="zh-CN" w:bidi="ar"/>
              </w:rPr>
              <w:t>4</w:t>
            </w:r>
            <w:r>
              <w:rPr>
                <w:rFonts w:hint="eastAsia" w:ascii="宋体" w:hAnsi="宋体" w:eastAsia="宋体" w:cs="宋体"/>
                <w:i w:val="0"/>
                <w:iCs w:val="0"/>
                <w:color w:val="000000"/>
                <w:kern w:val="0"/>
                <w:sz w:val="28"/>
                <w:szCs w:val="28"/>
                <w:highlight w:val="none"/>
                <w:u w:val="none"/>
                <w:lang w:val="en-US" w:eastAsia="zh-CN" w:bidi="ar"/>
              </w:rPr>
              <w:t>月</w:t>
            </w:r>
            <w:r>
              <w:rPr>
                <w:rFonts w:hint="eastAsia" w:ascii="宋体" w:hAnsi="宋体" w:cs="宋体"/>
                <w:i w:val="0"/>
                <w:iCs w:val="0"/>
                <w:color w:val="000000"/>
                <w:kern w:val="0"/>
                <w:sz w:val="28"/>
                <w:szCs w:val="28"/>
                <w:highlight w:val="none"/>
                <w:u w:val="none"/>
                <w:lang w:val="en-US" w:eastAsia="zh-CN" w:bidi="ar"/>
              </w:rPr>
              <w:t>20</w:t>
            </w:r>
            <w:r>
              <w:rPr>
                <w:rFonts w:hint="eastAsia" w:ascii="宋体" w:hAnsi="宋体" w:eastAsia="宋体" w:cs="宋体"/>
                <w:i w:val="0"/>
                <w:iCs w:val="0"/>
                <w:color w:val="000000"/>
                <w:kern w:val="0"/>
                <w:sz w:val="28"/>
                <w:szCs w:val="28"/>
                <w:highlight w:val="none"/>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完工</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2025年</w:t>
            </w:r>
            <w:r>
              <w:rPr>
                <w:rFonts w:hint="eastAsia" w:ascii="宋体" w:hAnsi="宋体" w:cs="宋体"/>
                <w:i w:val="0"/>
                <w:iCs w:val="0"/>
                <w:color w:val="000000"/>
                <w:kern w:val="0"/>
                <w:sz w:val="28"/>
                <w:szCs w:val="28"/>
                <w:highlight w:val="none"/>
                <w:u w:val="none"/>
                <w:lang w:val="en-US" w:eastAsia="zh-CN" w:bidi="ar"/>
              </w:rPr>
              <w:t>8</w:t>
            </w:r>
            <w:r>
              <w:rPr>
                <w:rFonts w:hint="eastAsia" w:ascii="宋体" w:hAnsi="宋体" w:eastAsia="宋体" w:cs="宋体"/>
                <w:i w:val="0"/>
                <w:iCs w:val="0"/>
                <w:color w:val="000000"/>
                <w:kern w:val="0"/>
                <w:sz w:val="28"/>
                <w:szCs w:val="28"/>
                <w:highlight w:val="none"/>
                <w:u w:val="none"/>
                <w:lang w:val="en-US" w:eastAsia="zh-CN" w:bidi="ar"/>
              </w:rPr>
              <w:t>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如因甲方或总包原因导致工期延误，相应工期顺延</w:t>
            </w:r>
          </w:p>
        </w:tc>
      </w:tr>
    </w:tbl>
    <w:p>
      <w:pPr>
        <w:spacing w:after="240" w:afterLines="100" w:line="560" w:lineRule="exact"/>
        <w:ind w:firstLine="565" w:firstLineChars="202"/>
        <w:rPr>
          <w:rFonts w:hint="eastAsia" w:ascii="宋体" w:hAnsi="宋体" w:eastAsia="宋体" w:cs="宋体"/>
          <w:color w:val="auto"/>
          <w:sz w:val="28"/>
          <w:szCs w:val="28"/>
          <w:highlight w:val="none"/>
          <w:lang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93"/>
        <w:gridCol w:w="2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金属屋面关键节点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关键节点名称</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深化图纸、施工小样（仅铝材、铝板、屋面底板）经各相关单位审核确认</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2024年</w:t>
            </w:r>
            <w:r>
              <w:rPr>
                <w:rFonts w:hint="eastAsia" w:ascii="宋体" w:hAnsi="宋体" w:cs="宋体"/>
                <w:i w:val="0"/>
                <w:iCs w:val="0"/>
                <w:color w:val="000000"/>
                <w:kern w:val="0"/>
                <w:sz w:val="28"/>
                <w:szCs w:val="28"/>
                <w:highlight w:val="none"/>
                <w:u w:val="none"/>
                <w:lang w:val="en-US" w:eastAsia="zh-CN" w:bidi="ar"/>
              </w:rPr>
              <w:t>7</w:t>
            </w:r>
            <w:r>
              <w:rPr>
                <w:rFonts w:hint="eastAsia" w:ascii="宋体" w:hAnsi="宋体" w:eastAsia="宋体" w:cs="宋体"/>
                <w:i w:val="0"/>
                <w:iCs w:val="0"/>
                <w:color w:val="000000"/>
                <w:kern w:val="0"/>
                <w:sz w:val="28"/>
                <w:szCs w:val="28"/>
                <w:highlight w:val="none"/>
                <w:u w:val="none"/>
                <w:lang w:val="en-US" w:eastAsia="zh-CN" w:bidi="ar"/>
              </w:rPr>
              <w:t>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完成5</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6号馆TPO施工且屋面断水</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2024年10月15日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完成3</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4</w:t>
            </w:r>
            <w:r>
              <w:rPr>
                <w:rFonts w:hint="eastAsia" w:ascii="宋体" w:hAnsi="宋体" w:cs="宋体"/>
                <w:i w:val="0"/>
                <w:iCs w:val="0"/>
                <w:color w:val="000000"/>
                <w:kern w:val="0"/>
                <w:sz w:val="28"/>
                <w:szCs w:val="28"/>
                <w:highlight w:val="none"/>
                <w:u w:val="none"/>
                <w:lang w:val="en-US" w:eastAsia="zh-CN" w:bidi="ar"/>
              </w:rPr>
              <w:t>、7、</w:t>
            </w:r>
            <w:r>
              <w:rPr>
                <w:rFonts w:hint="eastAsia" w:ascii="宋体" w:hAnsi="宋体" w:eastAsia="宋体" w:cs="宋体"/>
                <w:i w:val="0"/>
                <w:iCs w:val="0"/>
                <w:color w:val="000000"/>
                <w:kern w:val="0"/>
                <w:sz w:val="28"/>
                <w:szCs w:val="28"/>
                <w:highlight w:val="none"/>
                <w:u w:val="none"/>
                <w:lang w:val="en-US" w:eastAsia="zh-CN" w:bidi="ar"/>
              </w:rPr>
              <w:t>8</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10号馆、中央通廊TPO施工且屋面断水</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2025年</w:t>
            </w:r>
            <w:r>
              <w:rPr>
                <w:rFonts w:hint="eastAsia" w:ascii="宋体" w:hAnsi="宋体" w:cs="宋体"/>
                <w:i w:val="0"/>
                <w:iCs w:val="0"/>
                <w:color w:val="000000"/>
                <w:kern w:val="0"/>
                <w:sz w:val="28"/>
                <w:szCs w:val="28"/>
                <w:highlight w:val="none"/>
                <w:u w:val="none"/>
                <w:lang w:val="en-US" w:eastAsia="zh-CN" w:bidi="ar"/>
              </w:rPr>
              <w:t>4</w:t>
            </w:r>
            <w:r>
              <w:rPr>
                <w:rFonts w:hint="eastAsia" w:ascii="宋体" w:hAnsi="宋体" w:eastAsia="宋体" w:cs="宋体"/>
                <w:i w:val="0"/>
                <w:iCs w:val="0"/>
                <w:color w:val="000000"/>
                <w:kern w:val="0"/>
                <w:sz w:val="28"/>
                <w:szCs w:val="28"/>
                <w:highlight w:val="none"/>
                <w:u w:val="none"/>
                <w:lang w:val="en-US" w:eastAsia="zh-CN" w:bidi="ar"/>
              </w:rPr>
              <w:t>月</w:t>
            </w:r>
            <w:r>
              <w:rPr>
                <w:rFonts w:hint="eastAsia" w:ascii="宋体" w:hAnsi="宋体" w:cs="宋体"/>
                <w:i w:val="0"/>
                <w:iCs w:val="0"/>
                <w:color w:val="000000"/>
                <w:kern w:val="0"/>
                <w:sz w:val="28"/>
                <w:szCs w:val="28"/>
                <w:highlight w:val="none"/>
                <w:u w:val="none"/>
                <w:lang w:val="en-US" w:eastAsia="zh-CN" w:bidi="ar"/>
              </w:rPr>
              <w:t>2</w:t>
            </w:r>
            <w:r>
              <w:rPr>
                <w:rFonts w:hint="eastAsia" w:ascii="宋体" w:hAnsi="宋体" w:eastAsia="宋体" w:cs="宋体"/>
                <w:i w:val="0"/>
                <w:iCs w:val="0"/>
                <w:color w:val="000000"/>
                <w:kern w:val="0"/>
                <w:sz w:val="28"/>
                <w:szCs w:val="28"/>
                <w:highlight w:val="none"/>
                <w:u w:val="none"/>
                <w:lang w:val="en-US" w:eastAsia="zh-CN" w:bidi="ar"/>
              </w:rPr>
              <w:t>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完成9号馆及主登录厅TPO施工且屋面断水</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2025年7月</w:t>
            </w:r>
            <w:r>
              <w:rPr>
                <w:rFonts w:hint="eastAsia" w:ascii="宋体" w:hAnsi="宋体" w:cs="宋体"/>
                <w:i w:val="0"/>
                <w:iCs w:val="0"/>
                <w:color w:val="000000"/>
                <w:kern w:val="0"/>
                <w:sz w:val="28"/>
                <w:szCs w:val="28"/>
                <w:highlight w:val="none"/>
                <w:u w:val="none"/>
                <w:lang w:val="en-US" w:eastAsia="zh-CN" w:bidi="ar"/>
              </w:rPr>
              <w:t>2</w:t>
            </w:r>
            <w:r>
              <w:rPr>
                <w:rFonts w:hint="eastAsia" w:ascii="宋体" w:hAnsi="宋体" w:eastAsia="宋体" w:cs="宋体"/>
                <w:i w:val="0"/>
                <w:iCs w:val="0"/>
                <w:color w:val="000000"/>
                <w:kern w:val="0"/>
                <w:sz w:val="28"/>
                <w:szCs w:val="28"/>
                <w:highlight w:val="none"/>
                <w:u w:val="none"/>
                <w:lang w:val="en-US" w:eastAsia="zh-CN" w:bidi="ar"/>
              </w:rPr>
              <w:t>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完工</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2025年</w:t>
            </w:r>
            <w:r>
              <w:rPr>
                <w:rFonts w:hint="eastAsia" w:ascii="宋体" w:hAnsi="宋体" w:cs="宋体"/>
                <w:i w:val="0"/>
                <w:iCs w:val="0"/>
                <w:color w:val="000000"/>
                <w:kern w:val="0"/>
                <w:sz w:val="28"/>
                <w:szCs w:val="28"/>
                <w:highlight w:val="none"/>
                <w:u w:val="none"/>
                <w:lang w:val="en-US" w:eastAsia="zh-CN" w:bidi="ar"/>
              </w:rPr>
              <w:t>10</w:t>
            </w:r>
            <w:r>
              <w:rPr>
                <w:rFonts w:hint="eastAsia" w:ascii="宋体" w:hAnsi="宋体" w:eastAsia="宋体" w:cs="宋体"/>
                <w:i w:val="0"/>
                <w:iCs w:val="0"/>
                <w:color w:val="000000"/>
                <w:kern w:val="0"/>
                <w:sz w:val="28"/>
                <w:szCs w:val="28"/>
                <w:highlight w:val="none"/>
                <w:u w:val="none"/>
                <w:lang w:val="en-US" w:eastAsia="zh-CN" w:bidi="ar"/>
              </w:rPr>
              <w:t>月</w:t>
            </w:r>
            <w:r>
              <w:rPr>
                <w:rFonts w:hint="eastAsia" w:ascii="宋体" w:hAnsi="宋体" w:cs="宋体"/>
                <w:i w:val="0"/>
                <w:iCs w:val="0"/>
                <w:color w:val="000000"/>
                <w:kern w:val="0"/>
                <w:sz w:val="28"/>
                <w:szCs w:val="28"/>
                <w:highlight w:val="none"/>
                <w:u w:val="none"/>
                <w:lang w:val="en-US" w:eastAsia="zh-CN" w:bidi="ar"/>
              </w:rPr>
              <w:t>15</w:t>
            </w:r>
            <w:r>
              <w:rPr>
                <w:rFonts w:hint="eastAsia" w:ascii="宋体" w:hAnsi="宋体" w:eastAsia="宋体" w:cs="宋体"/>
                <w:i w:val="0"/>
                <w:iCs w:val="0"/>
                <w:color w:val="000000"/>
                <w:kern w:val="0"/>
                <w:sz w:val="28"/>
                <w:szCs w:val="28"/>
                <w:highlight w:val="none"/>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lang w:bidi="ar"/>
              </w:rPr>
            </w:pPr>
            <w:r>
              <w:rPr>
                <w:rFonts w:hint="eastAsia" w:ascii="宋体" w:hAnsi="宋体" w:eastAsia="宋体" w:cs="宋体"/>
                <w:i w:val="0"/>
                <w:iCs w:val="0"/>
                <w:color w:val="000000"/>
                <w:kern w:val="0"/>
                <w:sz w:val="28"/>
                <w:szCs w:val="28"/>
                <w:highlight w:val="none"/>
                <w:u w:val="none"/>
                <w:lang w:val="en-US" w:eastAsia="zh-CN" w:bidi="ar"/>
              </w:rPr>
              <w:t>如因甲方或总包原因导致工期延误，相应工期顺延</w:t>
            </w:r>
          </w:p>
        </w:tc>
      </w:tr>
      <w:bookmarkEnd w:id="3"/>
    </w:tbl>
    <w:p>
      <w:pPr>
        <w:spacing w:before="120" w:beforeLines="50"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发包人根据工程实施情况，有权对本合同工程工期（包括关键节点工期和竣工日期）进行适当调整，承包人必须采取一切有效措施保证竣工日期，不得延误，并不得要求另行增加费用；如不能按经发包人批准或下达的计划完成任务，承包人须承担逾期违约责任。</w:t>
      </w:r>
    </w:p>
    <w:bookmarkEnd w:id="4"/>
    <w:p>
      <w:pPr>
        <w:spacing w:line="560" w:lineRule="exact"/>
        <w:ind w:firstLine="568" w:firstLineChars="202"/>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四、工程质量标准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满足设计文件要求、符合招标文件所要求的设计规范、标准和国家、地方行业有关标准及投标文件承诺。符合《建筑工程施工质量验收统一标准》（GB50300-2013）、《工程施工质量验收规范》、《建设工程质量管理条例》及国家现行各专业工程施工质量验收规范等，并达到合格（或以上）标准。如有新规范标准，按新的执行。前述质量标准存在不同的，应当以更严格的为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质量目标：按现行工程质量验收标准达到质量一次竣工验收合格，并符合《工程施工质量验收规范》合格标准，且必须取得不少于一项省级奖项，省级奖项包括广东省建设工程优质结构奖、广东省建设工程优质奖和广东省建设工程金匠奖。争取获得国家优质工程金质奖或鲁班奖等奖项。</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3.其他要求详见附件《技术条件（工程建设标准）》。</w:t>
      </w:r>
    </w:p>
    <w:p>
      <w:pPr>
        <w:spacing w:line="560" w:lineRule="exact"/>
        <w:ind w:firstLine="565" w:firstLineChars="202"/>
        <w:rPr>
          <w:rFonts w:hint="eastAsia" w:ascii="宋体" w:hAnsi="宋体" w:eastAsia="宋体" w:cs="宋体"/>
          <w:color w:val="auto"/>
          <w:kern w:val="1"/>
          <w:sz w:val="28"/>
          <w:szCs w:val="28"/>
          <w:highlight w:val="none"/>
          <w:u w:val="single"/>
        </w:rPr>
      </w:pPr>
      <w:r>
        <w:rPr>
          <w:rFonts w:hint="eastAsia" w:ascii="宋体" w:hAnsi="宋体" w:eastAsia="宋体" w:cs="宋体"/>
          <w:color w:val="auto"/>
          <w:kern w:val="1"/>
          <w:sz w:val="28"/>
          <w:szCs w:val="28"/>
          <w:highlight w:val="none"/>
        </w:rPr>
        <w:t>4.相关费用承包人已在本合同总价中综合考虑，本合同不再另行计量与支付。</w:t>
      </w:r>
    </w:p>
    <w:p>
      <w:pPr>
        <w:spacing w:line="560" w:lineRule="exact"/>
        <w:ind w:firstLine="568" w:firstLineChars="202"/>
        <w:rPr>
          <w:rFonts w:hint="eastAsia" w:ascii="宋体" w:hAnsi="宋体" w:eastAsia="宋体" w:cs="宋体"/>
          <w:snapToGrid w:val="0"/>
          <w:color w:val="auto"/>
          <w:spacing w:val="4"/>
          <w:sz w:val="28"/>
          <w:szCs w:val="28"/>
          <w:highlight w:val="none"/>
        </w:rPr>
      </w:pPr>
      <w:r>
        <w:rPr>
          <w:rFonts w:hint="eastAsia" w:ascii="宋体" w:hAnsi="宋体" w:eastAsia="宋体" w:cs="宋体"/>
          <w:b/>
          <w:color w:val="auto"/>
          <w:kern w:val="1"/>
          <w:sz w:val="28"/>
          <w:szCs w:val="28"/>
          <w:highlight w:val="none"/>
        </w:rPr>
        <w:t>五、安</w:t>
      </w:r>
      <w:r>
        <w:rPr>
          <w:rFonts w:hint="eastAsia" w:ascii="宋体" w:hAnsi="宋体" w:eastAsia="宋体" w:cs="宋体"/>
          <w:b/>
          <w:bCs/>
          <w:snapToGrid w:val="0"/>
          <w:color w:val="auto"/>
          <w:spacing w:val="4"/>
          <w:sz w:val="28"/>
          <w:szCs w:val="28"/>
          <w:highlight w:val="none"/>
        </w:rPr>
        <w:t>全、文明施工目标</w:t>
      </w:r>
    </w:p>
    <w:p>
      <w:pPr>
        <w:shd w:val="clear"/>
        <w:spacing w:line="560" w:lineRule="exact"/>
        <w:ind w:firstLine="565" w:firstLineChars="202"/>
        <w:rPr>
          <w:rFonts w:hint="eastAsia" w:ascii="宋体" w:hAnsi="宋体" w:eastAsia="宋体" w:cs="宋体"/>
          <w:color w:val="auto"/>
          <w:kern w:val="1"/>
          <w:sz w:val="28"/>
          <w:szCs w:val="28"/>
          <w:highlight w:val="none"/>
          <w:u w:val="single"/>
        </w:rPr>
      </w:pPr>
      <w:r>
        <w:rPr>
          <w:rFonts w:hint="eastAsia" w:ascii="宋体" w:hAnsi="宋体" w:eastAsia="宋体" w:cs="宋体"/>
          <w:color w:val="auto"/>
          <w:kern w:val="1"/>
          <w:sz w:val="28"/>
          <w:szCs w:val="28"/>
          <w:highlight w:val="none"/>
        </w:rPr>
        <w:t>1.职业健康安全管理目标：杜绝发生一般事故等级及以上的伤亡事故且工伤责任事故死亡人数为零</w:t>
      </w:r>
      <w:r>
        <w:rPr>
          <w:rFonts w:hint="eastAsia" w:ascii="宋体" w:hAnsi="宋体" w:eastAsia="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且必须取得广东省房屋市政工程安全生产文明施工示范工地。由此产生的所有费用承包人已在本合同总价中综合考虑，本合同不再另行计量与支付。</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环境管理目标：严格执行《广州市建设工程现场文明施工管理办法》（穗建质[2008]937号）、《广州市建设工程文明施工管理规定》（广州市人民政府令第62号）、《广州市城乡建设委员会关于印发广州市加强建筑工地环保管理工作方案的通知》（穗建质[2014]754号）、《广州市住房和城乡建设委员会关于进一步完善广州市建设工程施工围蔽管理要求的通知》（穗建质〔2015〕1347号）、《广州市住房和城乡建设局等9部门关于印发广州市建设工程绿色施工围蔽指导图集（V2.0版）的通知》（穗建质〔2020〕1号）、《广州市提升建设工程安全文明施工管理水平的工作指引》（穗建质[2017]815号）、《广州市住房和城乡建设局等8部门关于印发广州市建设工程扬尘防治“6个100%”管理标准图集（V2.0版）的通知》等相关现行文件要求。</w:t>
      </w:r>
    </w:p>
    <w:p>
      <w:pPr>
        <w:spacing w:line="560" w:lineRule="exact"/>
        <w:ind w:firstLine="568" w:firstLineChars="202"/>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六、绿色建筑目标</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本项目按照绿色施工最新标准执行，</w:t>
      </w:r>
      <w:bookmarkStart w:id="5" w:name="_Hlk80634507"/>
      <w:r>
        <w:rPr>
          <w:rFonts w:hint="eastAsia" w:ascii="宋体" w:hAnsi="宋体" w:eastAsia="宋体" w:cs="宋体"/>
          <w:color w:val="auto"/>
          <w:kern w:val="1"/>
          <w:sz w:val="28"/>
          <w:szCs w:val="28"/>
          <w:highlight w:val="none"/>
        </w:rPr>
        <w:t>不低于绿建二星标准建设，</w:t>
      </w:r>
      <w:bookmarkEnd w:id="5"/>
      <w:r>
        <w:rPr>
          <w:rFonts w:hint="eastAsia" w:ascii="宋体" w:hAnsi="宋体" w:eastAsia="宋体" w:cs="宋体"/>
          <w:color w:val="auto"/>
          <w:kern w:val="1"/>
          <w:sz w:val="28"/>
          <w:szCs w:val="28"/>
          <w:highlight w:val="none"/>
        </w:rPr>
        <w:t>工程质量等级达优良标准。</w:t>
      </w:r>
    </w:p>
    <w:p>
      <w:pPr>
        <w:spacing w:line="560" w:lineRule="exact"/>
        <w:ind w:firstLine="565" w:firstLineChars="202"/>
        <w:rPr>
          <w:rFonts w:hint="eastAsia" w:ascii="宋体" w:hAnsi="宋体" w:eastAsia="宋体" w:cs="宋体"/>
          <w:color w:val="auto"/>
          <w:kern w:val="1"/>
          <w:sz w:val="28"/>
          <w:szCs w:val="28"/>
          <w:highlight w:val="none"/>
          <w:u w:val="single"/>
        </w:rPr>
      </w:pPr>
      <w:r>
        <w:rPr>
          <w:rFonts w:hint="eastAsia" w:ascii="宋体" w:hAnsi="宋体" w:eastAsia="宋体" w:cs="宋体"/>
          <w:color w:val="auto"/>
          <w:kern w:val="1"/>
          <w:sz w:val="28"/>
          <w:szCs w:val="28"/>
          <w:highlight w:val="none"/>
        </w:rPr>
        <w:t>绿色施工目标：必须达到“绿色施工”合格标准。</w:t>
      </w:r>
    </w:p>
    <w:p>
      <w:pPr>
        <w:spacing w:line="560" w:lineRule="exact"/>
        <w:ind w:firstLine="568" w:firstLineChars="202"/>
        <w:rPr>
          <w:rFonts w:hint="eastAsia" w:ascii="宋体" w:hAnsi="宋体" w:eastAsia="宋体" w:cs="宋体"/>
          <w:b/>
          <w:color w:val="auto"/>
          <w:kern w:val="1"/>
          <w:sz w:val="28"/>
          <w:szCs w:val="28"/>
          <w:highlight w:val="none"/>
        </w:rPr>
      </w:pPr>
      <w:bookmarkStart w:id="6" w:name="_Hlk129785666"/>
      <w:r>
        <w:rPr>
          <w:rFonts w:hint="eastAsia" w:ascii="宋体" w:hAnsi="宋体" w:eastAsia="宋体" w:cs="宋体"/>
          <w:b/>
          <w:color w:val="auto"/>
          <w:kern w:val="1"/>
          <w:sz w:val="28"/>
          <w:szCs w:val="28"/>
          <w:highlight w:val="none"/>
        </w:rPr>
        <w:t>七、合同价款</w:t>
      </w:r>
    </w:p>
    <w:p>
      <w:pPr>
        <w:spacing w:line="560" w:lineRule="exact"/>
        <w:ind w:firstLine="565" w:firstLineChars="202"/>
        <w:rPr>
          <w:rFonts w:hint="eastAsia" w:ascii="宋体" w:hAnsi="宋体" w:eastAsia="宋体" w:cs="宋体"/>
          <w:color w:val="auto"/>
          <w:kern w:val="2"/>
          <w:sz w:val="28"/>
          <w:szCs w:val="28"/>
          <w:highlight w:val="none"/>
        </w:rPr>
      </w:pPr>
      <w:bookmarkStart w:id="7" w:name="_Hlk126074153"/>
      <w:r>
        <w:rPr>
          <w:rFonts w:hint="eastAsia" w:ascii="宋体" w:hAnsi="宋体" w:eastAsia="宋体" w:cs="宋体"/>
          <w:color w:val="auto"/>
          <w:kern w:val="1"/>
          <w:sz w:val="28"/>
          <w:szCs w:val="28"/>
          <w:highlight w:val="none"/>
        </w:rPr>
        <w:t>1.本合同含税</w:t>
      </w:r>
      <w:r>
        <w:rPr>
          <w:rFonts w:hint="eastAsia" w:ascii="宋体" w:hAnsi="宋体" w:eastAsia="宋体" w:cs="宋体"/>
          <w:color w:val="auto"/>
          <w:kern w:val="1"/>
          <w:sz w:val="28"/>
          <w:szCs w:val="28"/>
          <w:highlight w:val="none"/>
          <w:lang w:eastAsia="zh-CN"/>
        </w:rPr>
        <w:t>暂定</w:t>
      </w:r>
      <w:r>
        <w:rPr>
          <w:rFonts w:hint="eastAsia" w:ascii="宋体" w:hAnsi="宋体" w:eastAsia="宋体" w:cs="宋体"/>
          <w:color w:val="auto"/>
          <w:kern w:val="1"/>
          <w:sz w:val="28"/>
          <w:szCs w:val="28"/>
          <w:highlight w:val="none"/>
        </w:rPr>
        <w:t>总价（即中标总价</w:t>
      </w:r>
      <w:bookmarkStart w:id="8" w:name="_Hlk133588204"/>
      <w:r>
        <w:rPr>
          <w:rFonts w:hint="eastAsia" w:ascii="宋体" w:hAnsi="宋体" w:eastAsia="宋体" w:cs="宋体"/>
          <w:color w:val="auto"/>
          <w:kern w:val="1"/>
          <w:sz w:val="28"/>
          <w:szCs w:val="28"/>
          <w:highlight w:val="none"/>
        </w:rPr>
        <w:t>扣除总承包服务费</w:t>
      </w:r>
      <w:bookmarkEnd w:id="8"/>
      <w:r>
        <w:rPr>
          <w:rFonts w:hint="eastAsia" w:ascii="宋体" w:hAnsi="宋体" w:eastAsia="宋体" w:cs="宋体"/>
          <w:color w:val="auto"/>
          <w:kern w:val="1"/>
          <w:sz w:val="28"/>
          <w:szCs w:val="28"/>
          <w:highlight w:val="none"/>
        </w:rPr>
        <w:t>）</w:t>
      </w:r>
      <w:r>
        <w:rPr>
          <w:rFonts w:hint="eastAsia" w:ascii="宋体" w:hAnsi="宋体" w:eastAsia="宋体" w:cs="宋体"/>
          <w:color w:val="auto"/>
          <w:sz w:val="28"/>
          <w:szCs w:val="28"/>
          <w:highlight w:val="none"/>
        </w:rPr>
        <w:t>为人民币</w:t>
      </w:r>
      <w:r>
        <w:rPr>
          <w:rFonts w:hint="eastAsia" w:ascii="宋体" w:hAnsi="宋体" w:eastAsia="宋体" w:cs="宋体"/>
          <w:color w:val="auto"/>
          <w:kern w:val="1"/>
          <w:sz w:val="28"/>
          <w:szCs w:val="28"/>
          <w:highlight w:val="none"/>
        </w:rPr>
        <w:t>（大写）</w:t>
      </w:r>
      <w:r>
        <w:rPr>
          <w:rFonts w:hint="eastAsia" w:ascii="宋体" w:hAnsi="宋体" w:eastAsia="宋体" w:cs="宋体"/>
          <w:color w:val="auto"/>
          <w:kern w:val="1"/>
          <w:sz w:val="28"/>
          <w:szCs w:val="28"/>
          <w:highlight w:val="none"/>
          <w:u w:val="single"/>
          <w:lang w:val="en-US" w:eastAsia="zh-CN"/>
        </w:rPr>
        <w:t xml:space="preserve">      </w:t>
      </w:r>
      <w:r>
        <w:rPr>
          <w:rFonts w:hint="eastAsia" w:ascii="宋体" w:hAnsi="宋体" w:eastAsia="宋体" w:cs="宋体"/>
          <w:color w:val="auto"/>
          <w:kern w:val="1"/>
          <w:sz w:val="28"/>
          <w:szCs w:val="28"/>
          <w:highlight w:val="none"/>
        </w:rPr>
        <w:t>，（小写）：</w:t>
      </w:r>
      <w:r>
        <w:rPr>
          <w:rFonts w:hint="eastAsia" w:ascii="宋体" w:hAnsi="宋体" w:eastAsia="宋体" w:cs="宋体"/>
          <w:color w:val="auto"/>
          <w:kern w:val="1"/>
          <w:sz w:val="28"/>
          <w:szCs w:val="28"/>
          <w:highlight w:val="none"/>
          <w:u w:val="single"/>
          <w:lang w:val="en-US" w:eastAsia="zh-CN"/>
        </w:rPr>
        <w:t xml:space="preserve">    </w:t>
      </w:r>
      <w:r>
        <w:rPr>
          <w:rFonts w:hint="eastAsia" w:ascii="宋体" w:hAnsi="宋体" w:eastAsia="宋体" w:cs="宋体"/>
          <w:color w:val="auto"/>
          <w:kern w:val="1"/>
          <w:sz w:val="28"/>
          <w:szCs w:val="28"/>
          <w:highlight w:val="none"/>
          <w:u w:val="single"/>
        </w:rPr>
        <w:t>元</w:t>
      </w:r>
      <w:r>
        <w:rPr>
          <w:rFonts w:hint="eastAsia" w:ascii="宋体" w:hAnsi="宋体" w:cs="宋体"/>
          <w:color w:val="auto"/>
          <w:kern w:val="1"/>
          <w:sz w:val="28"/>
          <w:szCs w:val="28"/>
          <w:highlight w:val="none"/>
          <w:lang w:eastAsia="zh-CN"/>
        </w:rPr>
        <w:t>，</w:t>
      </w:r>
      <w:r>
        <w:rPr>
          <w:rFonts w:hint="eastAsia" w:ascii="宋体" w:hAnsi="宋体" w:eastAsia="宋体" w:cs="宋体"/>
          <w:color w:val="auto"/>
          <w:sz w:val="28"/>
          <w:szCs w:val="28"/>
          <w:highlight w:val="none"/>
          <w:u w:val="none"/>
          <w:lang w:val="en-US" w:eastAsia="zh-CN" w:bidi="ar"/>
        </w:rPr>
        <w:t>其中金属屋面工程（含防雷工程、人行通廊）</w:t>
      </w:r>
      <w:r>
        <w:rPr>
          <w:rFonts w:hint="eastAsia" w:ascii="宋体" w:hAnsi="宋体" w:eastAsia="宋体" w:cs="宋体"/>
          <w:color w:val="auto"/>
          <w:sz w:val="28"/>
          <w:szCs w:val="28"/>
          <w:highlight w:val="none"/>
          <w:u w:val="single"/>
          <w:lang w:val="en-US" w:eastAsia="zh-CN" w:bidi="ar"/>
        </w:rPr>
        <w:t xml:space="preserve">  </w:t>
      </w:r>
      <w:r>
        <w:rPr>
          <w:rFonts w:hint="eastAsia" w:ascii="宋体" w:hAnsi="宋体" w:cs="宋体"/>
          <w:color w:val="auto"/>
          <w:sz w:val="28"/>
          <w:szCs w:val="28"/>
          <w:highlight w:val="none"/>
          <w:u w:val="single"/>
          <w:lang w:val="en-US" w:eastAsia="zh-CN" w:bidi="ar"/>
        </w:rPr>
        <w:t xml:space="preserve">     </w:t>
      </w:r>
      <w:r>
        <w:rPr>
          <w:rFonts w:hint="eastAsia" w:ascii="宋体" w:hAnsi="宋体" w:eastAsia="宋体" w:cs="宋体"/>
          <w:color w:val="auto"/>
          <w:sz w:val="28"/>
          <w:szCs w:val="28"/>
          <w:highlight w:val="none"/>
          <w:u w:val="single"/>
          <w:lang w:val="en-US" w:eastAsia="zh-CN" w:bidi="ar"/>
        </w:rPr>
        <w:t xml:space="preserve"> 元</w:t>
      </w:r>
      <w:r>
        <w:rPr>
          <w:rFonts w:hint="eastAsia" w:ascii="宋体" w:hAnsi="宋体" w:eastAsia="宋体" w:cs="宋体"/>
          <w:color w:val="auto"/>
          <w:sz w:val="28"/>
          <w:szCs w:val="28"/>
          <w:highlight w:val="none"/>
          <w:u w:val="none"/>
          <w:lang w:val="en-US" w:eastAsia="zh-CN" w:bidi="ar"/>
        </w:rPr>
        <w:t>，幕墙工程</w:t>
      </w:r>
      <w:r>
        <w:rPr>
          <w:rFonts w:hint="eastAsia" w:ascii="宋体" w:hAnsi="宋体" w:eastAsia="宋体" w:cs="宋体"/>
          <w:color w:val="auto"/>
          <w:sz w:val="28"/>
          <w:szCs w:val="28"/>
          <w:highlight w:val="none"/>
          <w:u w:val="single"/>
          <w:lang w:val="en-US" w:eastAsia="zh-CN" w:bidi="ar"/>
        </w:rPr>
        <w:t xml:space="preserve">         元</w:t>
      </w:r>
      <w:r>
        <w:rPr>
          <w:rFonts w:hint="eastAsia" w:ascii="仿宋" w:hAnsi="仿宋" w:eastAsia="仿宋" w:cs="仿宋"/>
          <w:color w:val="333333"/>
          <w:sz w:val="28"/>
          <w:szCs w:val="28"/>
          <w:highlight w:val="none"/>
          <w:u w:val="none"/>
          <w:lang w:val="en-US" w:eastAsia="zh-CN" w:bidi="ar"/>
        </w:rPr>
        <w:t>；</w:t>
      </w:r>
      <w:r>
        <w:rPr>
          <w:rFonts w:hint="eastAsia" w:ascii="宋体" w:hAnsi="宋体" w:eastAsia="宋体" w:cs="宋体"/>
          <w:color w:val="auto"/>
          <w:sz w:val="28"/>
          <w:szCs w:val="28"/>
          <w:highlight w:val="none"/>
        </w:rPr>
        <w:t>不含税总价为人民币</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kern w:val="1"/>
          <w:sz w:val="28"/>
          <w:szCs w:val="28"/>
          <w:highlight w:val="none"/>
          <w:u w:val="single"/>
        </w:rPr>
        <w:t>元</w:t>
      </w:r>
      <w:r>
        <w:rPr>
          <w:rFonts w:hint="eastAsia" w:ascii="宋体" w:hAnsi="宋体" w:eastAsia="宋体" w:cs="宋体"/>
          <w:color w:val="auto"/>
          <w:sz w:val="28"/>
          <w:szCs w:val="28"/>
          <w:highlight w:val="none"/>
        </w:rPr>
        <w:t>，税款为人民币</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kern w:val="1"/>
          <w:sz w:val="28"/>
          <w:szCs w:val="28"/>
          <w:highlight w:val="none"/>
          <w:u w:val="single"/>
        </w:rPr>
        <w:t>元</w:t>
      </w:r>
      <w:r>
        <w:rPr>
          <w:rFonts w:hint="eastAsia" w:ascii="宋体" w:hAnsi="宋体" w:eastAsia="宋体" w:cs="宋体"/>
          <w:color w:val="auto"/>
          <w:sz w:val="28"/>
          <w:szCs w:val="28"/>
          <w:highlight w:val="none"/>
        </w:rPr>
        <w:t>，税率为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kern w:val="1"/>
          <w:sz w:val="28"/>
          <w:szCs w:val="28"/>
          <w:highlight w:val="none"/>
        </w:rPr>
        <w:t>本合同含税总承包服务费</w:t>
      </w:r>
      <w:r>
        <w:rPr>
          <w:rFonts w:hint="eastAsia" w:ascii="宋体" w:hAnsi="宋体" w:eastAsia="宋体" w:cs="宋体"/>
          <w:color w:val="auto"/>
          <w:sz w:val="28"/>
          <w:szCs w:val="28"/>
          <w:highlight w:val="none"/>
        </w:rPr>
        <w:t>为人民币</w:t>
      </w:r>
      <w:r>
        <w:rPr>
          <w:rFonts w:hint="eastAsia" w:ascii="宋体" w:hAnsi="宋体" w:eastAsia="宋体" w:cs="宋体"/>
          <w:color w:val="auto"/>
          <w:kern w:val="1"/>
          <w:sz w:val="28"/>
          <w:szCs w:val="28"/>
          <w:highlight w:val="none"/>
        </w:rPr>
        <w:t>（大写）</w:t>
      </w:r>
      <w:r>
        <w:rPr>
          <w:rFonts w:hint="eastAsia" w:ascii="宋体" w:hAnsi="宋体" w:eastAsia="宋体" w:cs="宋体"/>
          <w:color w:val="auto"/>
          <w:kern w:val="1"/>
          <w:sz w:val="28"/>
          <w:szCs w:val="28"/>
          <w:highlight w:val="none"/>
          <w:u w:val="single"/>
          <w:lang w:val="en-US" w:eastAsia="zh-CN"/>
        </w:rPr>
        <w:t xml:space="preserve">    </w:t>
      </w:r>
      <w:r>
        <w:rPr>
          <w:rFonts w:hint="eastAsia" w:ascii="宋体" w:hAnsi="宋体" w:eastAsia="宋体" w:cs="宋体"/>
          <w:color w:val="auto"/>
          <w:kern w:val="1"/>
          <w:sz w:val="28"/>
          <w:szCs w:val="28"/>
          <w:highlight w:val="none"/>
        </w:rPr>
        <w:t>，（小写）：</w:t>
      </w:r>
      <w:r>
        <w:rPr>
          <w:rFonts w:hint="eastAsia" w:ascii="宋体" w:hAnsi="宋体" w:eastAsia="宋体" w:cs="宋体"/>
          <w:color w:val="auto"/>
          <w:kern w:val="1"/>
          <w:sz w:val="28"/>
          <w:szCs w:val="28"/>
          <w:highlight w:val="none"/>
          <w:u w:val="single"/>
          <w:lang w:val="en-US" w:eastAsia="zh-CN"/>
        </w:rPr>
        <w:t xml:space="preserve">   </w:t>
      </w:r>
      <w:r>
        <w:rPr>
          <w:rFonts w:hint="eastAsia" w:ascii="宋体" w:hAnsi="宋体" w:eastAsia="宋体" w:cs="宋体"/>
          <w:color w:val="auto"/>
          <w:kern w:val="1"/>
          <w:sz w:val="28"/>
          <w:szCs w:val="28"/>
          <w:highlight w:val="none"/>
          <w:u w:val="single"/>
        </w:rPr>
        <w:t>元</w:t>
      </w:r>
      <w:r>
        <w:rPr>
          <w:rFonts w:hint="eastAsia" w:ascii="宋体" w:hAnsi="宋体" w:eastAsia="宋体" w:cs="宋体"/>
          <w:color w:val="auto"/>
          <w:kern w:val="1"/>
          <w:sz w:val="28"/>
          <w:szCs w:val="28"/>
          <w:highlight w:val="none"/>
        </w:rPr>
        <w:t>；</w:t>
      </w:r>
      <w:r>
        <w:rPr>
          <w:rFonts w:hint="eastAsia" w:ascii="宋体" w:hAnsi="宋体" w:eastAsia="宋体" w:cs="宋体"/>
          <w:color w:val="auto"/>
          <w:sz w:val="28"/>
          <w:szCs w:val="28"/>
          <w:highlight w:val="none"/>
        </w:rPr>
        <w:t>不含税</w:t>
      </w:r>
      <w:r>
        <w:rPr>
          <w:rFonts w:hint="eastAsia" w:ascii="宋体" w:hAnsi="宋体" w:eastAsia="宋体" w:cs="宋体"/>
          <w:color w:val="auto"/>
          <w:kern w:val="1"/>
          <w:sz w:val="28"/>
          <w:szCs w:val="28"/>
          <w:highlight w:val="none"/>
        </w:rPr>
        <w:t>总承包服务费</w:t>
      </w:r>
      <w:r>
        <w:rPr>
          <w:rFonts w:hint="eastAsia" w:ascii="宋体" w:hAnsi="宋体" w:eastAsia="宋体" w:cs="宋体"/>
          <w:color w:val="auto"/>
          <w:sz w:val="28"/>
          <w:szCs w:val="28"/>
          <w:highlight w:val="none"/>
        </w:rPr>
        <w:t>为人民币</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kern w:val="1"/>
          <w:sz w:val="28"/>
          <w:szCs w:val="28"/>
          <w:highlight w:val="none"/>
          <w:u w:val="single"/>
        </w:rPr>
        <w:t>元</w:t>
      </w:r>
      <w:r>
        <w:rPr>
          <w:rFonts w:hint="eastAsia" w:ascii="宋体" w:hAnsi="宋体" w:eastAsia="宋体" w:cs="宋体"/>
          <w:color w:val="auto"/>
          <w:sz w:val="28"/>
          <w:szCs w:val="28"/>
          <w:highlight w:val="none"/>
        </w:rPr>
        <w:t>，税款为人民币</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kern w:val="1"/>
          <w:sz w:val="28"/>
          <w:szCs w:val="28"/>
          <w:highlight w:val="none"/>
          <w:u w:val="single"/>
        </w:rPr>
        <w:t>元</w:t>
      </w:r>
      <w:r>
        <w:rPr>
          <w:rFonts w:hint="eastAsia" w:ascii="宋体" w:hAnsi="宋体" w:eastAsia="宋体" w:cs="宋体"/>
          <w:color w:val="auto"/>
          <w:sz w:val="28"/>
          <w:szCs w:val="28"/>
          <w:highlight w:val="none"/>
        </w:rPr>
        <w:t>，税率为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获得国家级工程质量奖项 (仅指国家优质工程金质奖或鲁班奖)奖励金额含税为人民币</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元，不含税价为人民币</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元，税款为人民币</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p>
    <w:bookmarkEnd w:id="6"/>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上述税款按《住房和城乡建设部办公厅关于重新调整建设工程计价依据增值税率的通知（建办标函[2019]183号）》，《广东省住房和城乡建设厅关于调整广东省建设工程计价依据增值税税率的通知》（粤建标函[2019]819号）增值税税率9%计取规定，采用一般计税方法计算，如遇国家税务政策法规变化，合同不含税价款部分保持不变，税款部分按相关规定进行调整。除本合同另有约定外，本合同不再另行计量与支付。承包人需缴纳的一切税费，均由承包人承担。本合同所涉及的项目出资单位应支付的其他款项也全部为含税价。</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3.本合同以人民币为报价和结算货币。</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本合同价款由项目业主单位支付，后续由甲方、乙方、项目业主单位三方签订补充合同后，由乙方向甲方提交完整的合同请款资料（包括但不限于相关支付依据及相应增值税发票；发票抬头为项目业主单位），甲方于15个工作日内完成审核并向项目业主单位申报支付，项目业主单位对请款资料进行审定后直接支付给乙方。</w:t>
      </w:r>
    </w:p>
    <w:bookmarkEnd w:id="7"/>
    <w:p>
      <w:pPr>
        <w:spacing w:line="560" w:lineRule="exact"/>
        <w:ind w:firstLine="568" w:firstLineChars="202"/>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八、组成合同的文件</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组成合同的文件及其优先解释顺序按本合同第三部分《专用条款》第一条第2点规定执行。</w:t>
      </w:r>
    </w:p>
    <w:p>
      <w:pPr>
        <w:spacing w:line="560" w:lineRule="exact"/>
        <w:ind w:firstLine="568" w:firstLineChars="202"/>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九、本协议书有关词语含义与本合同第二部分《通用条款》中分别赋予它们的定义相同。</w:t>
      </w:r>
    </w:p>
    <w:p>
      <w:pPr>
        <w:spacing w:line="560" w:lineRule="exact"/>
        <w:ind w:firstLine="568" w:firstLineChars="202"/>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十、承包人向发包人承诺按照合同约定进行施工、竣工并在质量保修期内承担工程质量保修责任。</w:t>
      </w:r>
    </w:p>
    <w:p>
      <w:pPr>
        <w:spacing w:line="560" w:lineRule="exact"/>
        <w:ind w:firstLine="568" w:firstLineChars="202"/>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十一、发包人向承包人承诺按照合同约定的期限和方式申报合同价款及其他应当支付的款项。</w:t>
      </w:r>
    </w:p>
    <w:p>
      <w:pPr>
        <w:spacing w:line="560" w:lineRule="exact"/>
        <w:ind w:firstLine="568" w:firstLineChars="202"/>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十二、合同生效</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合同订立时间：</w:t>
      </w:r>
      <w:r>
        <w:rPr>
          <w:rFonts w:hint="eastAsia" w:ascii="宋体" w:hAnsi="宋体" w:eastAsia="宋体" w:cs="宋体"/>
          <w:color w:val="auto"/>
          <w:kern w:val="1"/>
          <w:sz w:val="28"/>
          <w:szCs w:val="28"/>
          <w:highlight w:val="none"/>
          <w:u w:val="single"/>
          <w:lang w:val="en-US" w:eastAsia="zh-CN"/>
        </w:rPr>
        <w:t xml:space="preserve">   </w:t>
      </w:r>
      <w:r>
        <w:rPr>
          <w:rFonts w:hint="eastAsia" w:ascii="宋体" w:hAnsi="宋体" w:eastAsia="宋体" w:cs="宋体"/>
          <w:color w:val="auto"/>
          <w:kern w:val="1"/>
          <w:sz w:val="28"/>
          <w:szCs w:val="28"/>
          <w:highlight w:val="none"/>
        </w:rPr>
        <w:t>年</w:t>
      </w:r>
      <w:r>
        <w:rPr>
          <w:rFonts w:hint="eastAsia" w:ascii="宋体" w:hAnsi="宋体" w:eastAsia="宋体" w:cs="宋体"/>
          <w:color w:val="auto"/>
          <w:kern w:val="1"/>
          <w:sz w:val="28"/>
          <w:szCs w:val="28"/>
          <w:highlight w:val="none"/>
          <w:u w:val="single"/>
          <w:lang w:val="en-US" w:eastAsia="zh-CN"/>
        </w:rPr>
        <w:t xml:space="preserve"> </w:t>
      </w:r>
      <w:r>
        <w:rPr>
          <w:rFonts w:hint="eastAsia" w:ascii="宋体" w:hAnsi="宋体" w:eastAsia="宋体" w:cs="宋体"/>
          <w:color w:val="auto"/>
          <w:kern w:val="1"/>
          <w:sz w:val="28"/>
          <w:szCs w:val="28"/>
          <w:highlight w:val="none"/>
        </w:rPr>
        <w:t>月</w:t>
      </w:r>
      <w:r>
        <w:rPr>
          <w:rFonts w:hint="eastAsia" w:ascii="宋体" w:hAnsi="宋体" w:eastAsia="宋体" w:cs="宋体"/>
          <w:color w:val="auto"/>
          <w:kern w:val="1"/>
          <w:sz w:val="28"/>
          <w:szCs w:val="28"/>
          <w:highlight w:val="none"/>
          <w:u w:val="single"/>
        </w:rPr>
        <w:t xml:space="preserve">   </w:t>
      </w:r>
      <w:r>
        <w:rPr>
          <w:rFonts w:hint="eastAsia" w:ascii="宋体" w:hAnsi="宋体" w:eastAsia="宋体" w:cs="宋体"/>
          <w:color w:val="auto"/>
          <w:kern w:val="1"/>
          <w:sz w:val="28"/>
          <w:szCs w:val="28"/>
          <w:highlight w:val="none"/>
        </w:rPr>
        <w:t>日</w:t>
      </w:r>
    </w:p>
    <w:p>
      <w:pPr>
        <w:spacing w:line="560" w:lineRule="exact"/>
        <w:ind w:firstLine="565" w:firstLineChars="202"/>
        <w:rPr>
          <w:rFonts w:hint="eastAsia" w:ascii="宋体" w:hAnsi="宋体" w:eastAsia="宋体" w:cs="宋体"/>
          <w:color w:val="auto"/>
          <w:kern w:val="1"/>
          <w:sz w:val="28"/>
          <w:szCs w:val="28"/>
          <w:highlight w:val="none"/>
          <w:u w:val="single"/>
        </w:rPr>
      </w:pPr>
      <w:r>
        <w:rPr>
          <w:rFonts w:hint="eastAsia" w:ascii="宋体" w:hAnsi="宋体" w:eastAsia="宋体" w:cs="宋体"/>
          <w:color w:val="auto"/>
          <w:kern w:val="1"/>
          <w:sz w:val="28"/>
          <w:szCs w:val="28"/>
          <w:highlight w:val="none"/>
        </w:rPr>
        <w:t>合同订立地点：</w:t>
      </w:r>
      <w:r>
        <w:rPr>
          <w:rFonts w:hint="eastAsia" w:ascii="宋体" w:hAnsi="宋体" w:eastAsia="宋体" w:cs="宋体"/>
          <w:color w:val="auto"/>
          <w:kern w:val="1"/>
          <w:sz w:val="28"/>
          <w:szCs w:val="28"/>
          <w:highlight w:val="none"/>
          <w:u w:val="single"/>
        </w:rPr>
        <w:t>广东省广州市</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本合同一式</w:t>
      </w:r>
      <w:r>
        <w:rPr>
          <w:rFonts w:hint="eastAsia" w:ascii="宋体" w:hAnsi="宋体" w:eastAsia="宋体" w:cs="宋体"/>
          <w:color w:val="auto"/>
          <w:kern w:val="1"/>
          <w:sz w:val="28"/>
          <w:szCs w:val="28"/>
          <w:highlight w:val="none"/>
          <w:u w:val="single"/>
        </w:rPr>
        <w:t>13</w:t>
      </w:r>
      <w:r>
        <w:rPr>
          <w:rFonts w:hint="eastAsia" w:ascii="宋体" w:hAnsi="宋体" w:eastAsia="宋体" w:cs="宋体"/>
          <w:color w:val="auto"/>
          <w:kern w:val="1"/>
          <w:sz w:val="28"/>
          <w:szCs w:val="28"/>
          <w:highlight w:val="none"/>
        </w:rPr>
        <w:t>份，发包人执</w:t>
      </w:r>
      <w:r>
        <w:rPr>
          <w:rFonts w:hint="eastAsia" w:ascii="宋体" w:hAnsi="宋体" w:eastAsia="宋体" w:cs="宋体"/>
          <w:color w:val="auto"/>
          <w:kern w:val="1"/>
          <w:sz w:val="28"/>
          <w:szCs w:val="28"/>
          <w:highlight w:val="none"/>
          <w:u w:val="single"/>
        </w:rPr>
        <w:t>10</w:t>
      </w:r>
      <w:r>
        <w:rPr>
          <w:rFonts w:hint="eastAsia" w:ascii="宋体" w:hAnsi="宋体" w:eastAsia="宋体" w:cs="宋体"/>
          <w:color w:val="auto"/>
          <w:kern w:val="1"/>
          <w:sz w:val="28"/>
          <w:szCs w:val="28"/>
          <w:highlight w:val="none"/>
        </w:rPr>
        <w:t>份，承包人执</w:t>
      </w:r>
      <w:r>
        <w:rPr>
          <w:rFonts w:hint="eastAsia" w:ascii="宋体" w:hAnsi="宋体" w:eastAsia="宋体" w:cs="宋体"/>
          <w:color w:val="auto"/>
          <w:kern w:val="1"/>
          <w:sz w:val="28"/>
          <w:szCs w:val="28"/>
          <w:highlight w:val="none"/>
          <w:u w:val="single"/>
        </w:rPr>
        <w:t>3</w:t>
      </w:r>
      <w:r>
        <w:rPr>
          <w:rFonts w:hint="eastAsia" w:ascii="宋体" w:hAnsi="宋体" w:eastAsia="宋体" w:cs="宋体"/>
          <w:color w:val="auto"/>
          <w:kern w:val="1"/>
          <w:sz w:val="28"/>
          <w:szCs w:val="28"/>
          <w:highlight w:val="none"/>
        </w:rPr>
        <w:t>份，经双方法定代表人或授权代理人签字并加盖公章（或合同专用章）后生效。</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（以下无合同协议书正文）</w:t>
      </w:r>
    </w:p>
    <w:p>
      <w:pPr>
        <w:spacing w:line="560" w:lineRule="exact"/>
        <w:ind w:firstLine="568" w:firstLineChars="202"/>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br w:type="page"/>
      </w:r>
    </w:p>
    <w:p>
      <w:pPr>
        <w:spacing w:line="480" w:lineRule="exact"/>
        <w:outlineLvl w:val="1"/>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签署页</w:t>
      </w:r>
    </w:p>
    <w:tbl>
      <w:tblPr>
        <w:tblStyle w:val="42"/>
        <w:tblW w:w="8714" w:type="dxa"/>
        <w:jc w:val="center"/>
        <w:tblLayout w:type="fixed"/>
        <w:tblCellMar>
          <w:top w:w="0" w:type="dxa"/>
          <w:left w:w="108" w:type="dxa"/>
          <w:bottom w:w="0" w:type="dxa"/>
          <w:right w:w="108" w:type="dxa"/>
        </w:tblCellMar>
      </w:tblPr>
      <w:tblGrid>
        <w:gridCol w:w="8170"/>
        <w:gridCol w:w="544"/>
      </w:tblGrid>
      <w:tr>
        <w:tblPrEx>
          <w:tblCellMar>
            <w:top w:w="0" w:type="dxa"/>
            <w:left w:w="108" w:type="dxa"/>
            <w:bottom w:w="0" w:type="dxa"/>
            <w:right w:w="108" w:type="dxa"/>
          </w:tblCellMar>
        </w:tblPrEx>
        <w:trPr>
          <w:trHeight w:val="499" w:hRule="atLeast"/>
          <w:jc w:val="center"/>
        </w:trPr>
        <w:tc>
          <w:tcPr>
            <w:tcW w:w="8714" w:type="dxa"/>
            <w:gridSpan w:val="2"/>
            <w:tcBorders>
              <w:top w:val="single" w:color="auto" w:sz="4" w:space="0"/>
              <w:left w:val="single" w:color="auto" w:sz="4" w:space="0"/>
              <w:right w:val="single" w:color="auto" w:sz="4" w:space="0"/>
            </w:tcBorders>
            <w:vAlign w:val="center"/>
          </w:tcPr>
          <w:p>
            <w:pPr>
              <w:spacing w:line="48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发包人（甲方）：广州新中轴建设有限公司</w:t>
            </w:r>
          </w:p>
        </w:tc>
      </w:tr>
      <w:tr>
        <w:tblPrEx>
          <w:tblCellMar>
            <w:top w:w="0" w:type="dxa"/>
            <w:left w:w="108" w:type="dxa"/>
            <w:bottom w:w="0" w:type="dxa"/>
            <w:right w:w="108" w:type="dxa"/>
          </w:tblCellMar>
        </w:tblPrEx>
        <w:trPr>
          <w:trHeight w:val="994" w:hRule="atLeast"/>
          <w:jc w:val="center"/>
        </w:trPr>
        <w:tc>
          <w:tcPr>
            <w:tcW w:w="8170" w:type="dxa"/>
            <w:tcBorders>
              <w:top w:val="nil"/>
              <w:left w:val="single" w:color="auto" w:sz="4" w:space="0"/>
              <w:bottom w:val="nil"/>
              <w:right w:val="nil"/>
            </w:tcBorders>
            <w:vAlign w:val="center"/>
          </w:tcPr>
          <w:p>
            <w:pPr>
              <w:spacing w:line="480" w:lineRule="exact"/>
              <w:rPr>
                <w:rFonts w:hint="eastAsia" w:ascii="宋体" w:hAnsi="宋体" w:eastAsia="宋体" w:cs="宋体"/>
                <w:color w:val="auto"/>
                <w:sz w:val="28"/>
                <w:szCs w:val="28"/>
                <w:highlight w:val="none"/>
              </w:rPr>
            </w:pPr>
          </w:p>
        </w:tc>
        <w:tc>
          <w:tcPr>
            <w:tcW w:w="544" w:type="dxa"/>
            <w:tcBorders>
              <w:top w:val="nil"/>
              <w:left w:val="nil"/>
              <w:bottom w:val="nil"/>
              <w:right w:val="single" w:color="auto" w:sz="4" w:space="0"/>
            </w:tcBorders>
            <w:vAlign w:val="center"/>
          </w:tcPr>
          <w:p>
            <w:pPr>
              <w:spacing w:line="48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1002" w:hRule="atLeast"/>
          <w:jc w:val="center"/>
        </w:trPr>
        <w:tc>
          <w:tcPr>
            <w:tcW w:w="8170" w:type="dxa"/>
            <w:tcBorders>
              <w:top w:val="nil"/>
              <w:left w:val="single" w:color="auto" w:sz="4" w:space="0"/>
              <w:bottom w:val="nil"/>
              <w:right w:val="nil"/>
            </w:tcBorders>
            <w:vAlign w:val="center"/>
          </w:tcPr>
          <w:p>
            <w:pPr>
              <w:spacing w:line="480" w:lineRule="exact"/>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法定代表人或授权代理人：</w:t>
            </w:r>
          </w:p>
        </w:tc>
        <w:tc>
          <w:tcPr>
            <w:tcW w:w="544" w:type="dxa"/>
            <w:tcBorders>
              <w:top w:val="nil"/>
              <w:left w:val="nil"/>
              <w:bottom w:val="nil"/>
              <w:right w:val="single" w:color="auto" w:sz="4" w:space="0"/>
            </w:tcBorders>
            <w:vAlign w:val="center"/>
          </w:tcPr>
          <w:p>
            <w:pPr>
              <w:spacing w:line="48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499" w:hRule="atLeast"/>
          <w:jc w:val="center"/>
        </w:trPr>
        <w:tc>
          <w:tcPr>
            <w:tcW w:w="8170" w:type="dxa"/>
            <w:tcBorders>
              <w:top w:val="nil"/>
              <w:left w:val="single" w:color="auto" w:sz="4" w:space="0"/>
              <w:bottom w:val="nil"/>
              <w:right w:val="nil"/>
            </w:tcBorders>
            <w:vAlign w:val="center"/>
          </w:tcPr>
          <w:p>
            <w:pPr>
              <w:spacing w:line="480" w:lineRule="exact"/>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pacing w:val="-20"/>
                <w:sz w:val="28"/>
                <w:szCs w:val="28"/>
                <w:highlight w:val="none"/>
              </w:rPr>
              <w:t>广州市越秀区流花路117号流花展馆15号馆6楼</w:t>
            </w:r>
          </w:p>
        </w:tc>
        <w:tc>
          <w:tcPr>
            <w:tcW w:w="544" w:type="dxa"/>
            <w:tcBorders>
              <w:top w:val="nil"/>
              <w:left w:val="nil"/>
              <w:bottom w:val="nil"/>
              <w:right w:val="single" w:color="auto" w:sz="4" w:space="0"/>
            </w:tcBorders>
            <w:vAlign w:val="center"/>
          </w:tcPr>
          <w:p>
            <w:pPr>
              <w:spacing w:line="48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499" w:hRule="atLeast"/>
          <w:jc w:val="center"/>
        </w:trPr>
        <w:tc>
          <w:tcPr>
            <w:tcW w:w="8170" w:type="dxa"/>
            <w:tcBorders>
              <w:top w:val="nil"/>
              <w:left w:val="single" w:color="auto" w:sz="4" w:space="0"/>
              <w:right w:val="nil"/>
            </w:tcBorders>
            <w:vAlign w:val="center"/>
          </w:tcPr>
          <w:p>
            <w:pPr>
              <w:spacing w:line="480" w:lineRule="exact"/>
              <w:rPr>
                <w:rFonts w:hint="eastAsia" w:ascii="宋体" w:hAnsi="宋体" w:eastAsia="宋体" w:cs="宋体"/>
                <w:color w:val="auto"/>
                <w:sz w:val="28"/>
                <w:szCs w:val="28"/>
                <w:highlight w:val="none"/>
              </w:rPr>
            </w:pPr>
          </w:p>
        </w:tc>
        <w:tc>
          <w:tcPr>
            <w:tcW w:w="544" w:type="dxa"/>
            <w:tcBorders>
              <w:top w:val="nil"/>
              <w:left w:val="nil"/>
              <w:right w:val="single" w:color="auto" w:sz="4" w:space="0"/>
            </w:tcBorders>
            <w:vAlign w:val="center"/>
          </w:tcPr>
          <w:p>
            <w:pPr>
              <w:spacing w:line="48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499" w:hRule="atLeast"/>
          <w:jc w:val="center"/>
        </w:trPr>
        <w:tc>
          <w:tcPr>
            <w:tcW w:w="8170" w:type="dxa"/>
            <w:tcBorders>
              <w:top w:val="nil"/>
              <w:left w:val="single" w:color="auto" w:sz="4" w:space="0"/>
              <w:bottom w:val="single" w:color="auto" w:sz="4" w:space="0"/>
              <w:right w:val="nil"/>
            </w:tcBorders>
            <w:vAlign w:val="center"/>
          </w:tcPr>
          <w:p>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电话：020-28079086</w:t>
            </w:r>
          </w:p>
        </w:tc>
        <w:tc>
          <w:tcPr>
            <w:tcW w:w="544" w:type="dxa"/>
            <w:tcBorders>
              <w:top w:val="nil"/>
              <w:left w:val="nil"/>
              <w:bottom w:val="single" w:color="auto" w:sz="4" w:space="0"/>
              <w:right w:val="single" w:color="auto" w:sz="4" w:space="0"/>
            </w:tcBorders>
            <w:vAlign w:val="center"/>
          </w:tcPr>
          <w:p>
            <w:pPr>
              <w:spacing w:line="48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499" w:hRule="atLeast"/>
          <w:jc w:val="center"/>
        </w:trPr>
        <w:tc>
          <w:tcPr>
            <w:tcW w:w="8170" w:type="dxa"/>
            <w:tcBorders>
              <w:top w:val="single" w:color="auto" w:sz="4" w:space="0"/>
              <w:left w:val="nil"/>
              <w:bottom w:val="single" w:color="auto" w:sz="4" w:space="0"/>
              <w:right w:val="nil"/>
            </w:tcBorders>
            <w:vAlign w:val="center"/>
          </w:tcPr>
          <w:p>
            <w:pPr>
              <w:spacing w:line="480" w:lineRule="exact"/>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p>
        </w:tc>
        <w:tc>
          <w:tcPr>
            <w:tcW w:w="544" w:type="dxa"/>
            <w:tcBorders>
              <w:top w:val="single" w:color="auto" w:sz="4" w:space="0"/>
              <w:left w:val="nil"/>
              <w:bottom w:val="single" w:color="auto" w:sz="4" w:space="0"/>
              <w:right w:val="nil"/>
            </w:tcBorders>
            <w:vAlign w:val="center"/>
          </w:tcPr>
          <w:p>
            <w:pPr>
              <w:spacing w:line="48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499" w:hRule="atLeast"/>
          <w:jc w:val="center"/>
        </w:trPr>
        <w:tc>
          <w:tcPr>
            <w:tcW w:w="8714" w:type="dxa"/>
            <w:gridSpan w:val="2"/>
            <w:tcBorders>
              <w:top w:val="single" w:color="auto" w:sz="4" w:space="0"/>
              <w:left w:val="single" w:color="auto" w:sz="4" w:space="0"/>
              <w:right w:val="single" w:color="auto" w:sz="4" w:space="0"/>
            </w:tcBorders>
            <w:vAlign w:val="center"/>
          </w:tcPr>
          <w:p>
            <w:pPr>
              <w:spacing w:line="480" w:lineRule="exac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承包人（乙方）：</w:t>
            </w:r>
          </w:p>
        </w:tc>
      </w:tr>
      <w:tr>
        <w:tblPrEx>
          <w:tblCellMar>
            <w:top w:w="0" w:type="dxa"/>
            <w:left w:w="108" w:type="dxa"/>
            <w:bottom w:w="0" w:type="dxa"/>
            <w:right w:w="108" w:type="dxa"/>
          </w:tblCellMar>
        </w:tblPrEx>
        <w:trPr>
          <w:trHeight w:val="859" w:hRule="atLeast"/>
          <w:jc w:val="center"/>
        </w:trPr>
        <w:tc>
          <w:tcPr>
            <w:tcW w:w="8170" w:type="dxa"/>
            <w:tcBorders>
              <w:top w:val="nil"/>
              <w:left w:val="single" w:color="auto" w:sz="4" w:space="0"/>
              <w:bottom w:val="nil"/>
              <w:right w:val="nil"/>
            </w:tcBorders>
            <w:vAlign w:val="center"/>
          </w:tcPr>
          <w:p>
            <w:pPr>
              <w:spacing w:line="480" w:lineRule="exact"/>
              <w:rPr>
                <w:rFonts w:hint="eastAsia" w:ascii="宋体" w:hAnsi="宋体" w:eastAsia="宋体" w:cs="宋体"/>
                <w:color w:val="auto"/>
                <w:sz w:val="28"/>
                <w:szCs w:val="28"/>
                <w:highlight w:val="none"/>
              </w:rPr>
            </w:pPr>
          </w:p>
        </w:tc>
        <w:tc>
          <w:tcPr>
            <w:tcW w:w="544" w:type="dxa"/>
            <w:tcBorders>
              <w:top w:val="nil"/>
              <w:left w:val="nil"/>
              <w:bottom w:val="nil"/>
              <w:right w:val="single" w:color="auto" w:sz="4" w:space="0"/>
            </w:tcBorders>
            <w:vAlign w:val="center"/>
          </w:tcPr>
          <w:p>
            <w:pPr>
              <w:spacing w:line="48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1002" w:hRule="atLeast"/>
          <w:jc w:val="center"/>
        </w:trPr>
        <w:tc>
          <w:tcPr>
            <w:tcW w:w="8170" w:type="dxa"/>
            <w:tcBorders>
              <w:top w:val="nil"/>
              <w:left w:val="single" w:color="auto" w:sz="4" w:space="0"/>
              <w:bottom w:val="nil"/>
              <w:right w:val="nil"/>
            </w:tcBorders>
            <w:vAlign w:val="center"/>
          </w:tcPr>
          <w:p>
            <w:pPr>
              <w:spacing w:line="480" w:lineRule="exact"/>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法定代表人或授权代理人：</w:t>
            </w:r>
          </w:p>
        </w:tc>
        <w:tc>
          <w:tcPr>
            <w:tcW w:w="544" w:type="dxa"/>
            <w:tcBorders>
              <w:top w:val="nil"/>
              <w:left w:val="nil"/>
              <w:bottom w:val="nil"/>
              <w:right w:val="single" w:color="auto" w:sz="4" w:space="0"/>
            </w:tcBorders>
            <w:vAlign w:val="center"/>
          </w:tcPr>
          <w:p>
            <w:pPr>
              <w:spacing w:line="48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499" w:hRule="atLeast"/>
          <w:jc w:val="center"/>
        </w:trPr>
        <w:tc>
          <w:tcPr>
            <w:tcW w:w="8170" w:type="dxa"/>
            <w:tcBorders>
              <w:top w:val="nil"/>
              <w:left w:val="single" w:color="auto" w:sz="4" w:space="0"/>
              <w:bottom w:val="nil"/>
              <w:right w:val="nil"/>
            </w:tcBorders>
            <w:vAlign w:val="center"/>
          </w:tcPr>
          <w:p>
            <w:pPr>
              <w:spacing w:line="480" w:lineRule="exact"/>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地    址：</w:t>
            </w:r>
            <w:r>
              <w:rPr>
                <w:rFonts w:hint="eastAsia" w:ascii="宋体" w:hAnsi="宋体" w:eastAsia="宋体" w:cs="宋体"/>
                <w:color w:val="auto"/>
                <w:w w:val="80"/>
                <w:sz w:val="28"/>
                <w:szCs w:val="28"/>
                <w:highlight w:val="none"/>
              </w:rPr>
              <w:t xml:space="preserve"> </w:t>
            </w:r>
            <w:r>
              <w:rPr>
                <w:rFonts w:hint="eastAsia" w:ascii="宋体" w:hAnsi="宋体" w:eastAsia="宋体" w:cs="宋体"/>
                <w:color w:val="auto"/>
                <w:w w:val="80"/>
                <w:sz w:val="28"/>
                <w:szCs w:val="28"/>
                <w:highlight w:val="none"/>
                <w:lang w:val="en-US" w:eastAsia="zh-CN"/>
              </w:rPr>
              <w:t xml:space="preserve">   </w:t>
            </w:r>
          </w:p>
        </w:tc>
        <w:tc>
          <w:tcPr>
            <w:tcW w:w="544" w:type="dxa"/>
            <w:tcBorders>
              <w:top w:val="nil"/>
              <w:left w:val="nil"/>
              <w:bottom w:val="nil"/>
              <w:right w:val="single" w:color="auto" w:sz="4" w:space="0"/>
            </w:tcBorders>
            <w:vAlign w:val="center"/>
          </w:tcPr>
          <w:p>
            <w:pPr>
              <w:spacing w:line="48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499" w:hRule="atLeast"/>
          <w:jc w:val="center"/>
        </w:trPr>
        <w:tc>
          <w:tcPr>
            <w:tcW w:w="8170" w:type="dxa"/>
            <w:tcBorders>
              <w:top w:val="nil"/>
              <w:left w:val="single" w:color="auto" w:sz="4" w:space="0"/>
              <w:bottom w:val="nil"/>
              <w:right w:val="nil"/>
            </w:tcBorders>
            <w:vAlign w:val="center"/>
          </w:tcPr>
          <w:p>
            <w:pPr>
              <w:spacing w:line="48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邮政编码： </w:t>
            </w:r>
            <w:r>
              <w:rPr>
                <w:rFonts w:hint="eastAsia" w:ascii="宋体" w:hAnsi="宋体" w:eastAsia="宋体" w:cs="宋体"/>
                <w:color w:val="auto"/>
                <w:sz w:val="28"/>
                <w:szCs w:val="28"/>
                <w:highlight w:val="none"/>
                <w:lang w:val="en-US" w:eastAsia="zh-CN"/>
              </w:rPr>
              <w:t xml:space="preserve">   </w:t>
            </w:r>
          </w:p>
        </w:tc>
        <w:tc>
          <w:tcPr>
            <w:tcW w:w="544" w:type="dxa"/>
            <w:tcBorders>
              <w:top w:val="nil"/>
              <w:left w:val="nil"/>
              <w:bottom w:val="nil"/>
              <w:right w:val="single" w:color="auto" w:sz="4" w:space="0"/>
            </w:tcBorders>
            <w:vAlign w:val="center"/>
          </w:tcPr>
          <w:p>
            <w:pPr>
              <w:spacing w:line="48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499" w:hRule="atLeast"/>
          <w:jc w:val="center"/>
        </w:trPr>
        <w:tc>
          <w:tcPr>
            <w:tcW w:w="8170" w:type="dxa"/>
            <w:tcBorders>
              <w:top w:val="nil"/>
              <w:left w:val="single" w:color="auto" w:sz="4" w:space="0"/>
              <w:bottom w:val="nil"/>
              <w:right w:val="nil"/>
            </w:tcBorders>
            <w:vAlign w:val="center"/>
          </w:tcPr>
          <w:p>
            <w:pPr>
              <w:spacing w:line="48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电    话： </w:t>
            </w:r>
            <w:r>
              <w:rPr>
                <w:rFonts w:hint="eastAsia" w:ascii="宋体" w:hAnsi="宋体" w:eastAsia="宋体" w:cs="宋体"/>
                <w:color w:val="auto"/>
                <w:sz w:val="28"/>
                <w:szCs w:val="28"/>
                <w:highlight w:val="none"/>
                <w:lang w:val="en-US" w:eastAsia="zh-CN"/>
              </w:rPr>
              <w:t xml:space="preserve">   </w:t>
            </w:r>
          </w:p>
        </w:tc>
        <w:tc>
          <w:tcPr>
            <w:tcW w:w="544" w:type="dxa"/>
            <w:tcBorders>
              <w:top w:val="nil"/>
              <w:left w:val="nil"/>
              <w:bottom w:val="nil"/>
              <w:right w:val="single" w:color="auto" w:sz="4" w:space="0"/>
            </w:tcBorders>
            <w:vAlign w:val="center"/>
          </w:tcPr>
          <w:p>
            <w:pPr>
              <w:spacing w:line="48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499" w:hRule="atLeast"/>
          <w:jc w:val="center"/>
        </w:trPr>
        <w:tc>
          <w:tcPr>
            <w:tcW w:w="8170" w:type="dxa"/>
            <w:tcBorders>
              <w:top w:val="nil"/>
              <w:left w:val="single" w:color="auto" w:sz="4" w:space="0"/>
              <w:bottom w:val="nil"/>
              <w:right w:val="nil"/>
            </w:tcBorders>
            <w:vAlign w:val="center"/>
          </w:tcPr>
          <w:p>
            <w:pPr>
              <w:spacing w:line="48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开户银行： </w:t>
            </w:r>
            <w:r>
              <w:rPr>
                <w:rFonts w:hint="eastAsia" w:ascii="宋体" w:hAnsi="宋体" w:eastAsia="宋体" w:cs="宋体"/>
                <w:color w:val="auto"/>
                <w:sz w:val="28"/>
                <w:szCs w:val="28"/>
                <w:highlight w:val="none"/>
                <w:lang w:val="en-US" w:eastAsia="zh-CN"/>
              </w:rPr>
              <w:t xml:space="preserve"> </w:t>
            </w:r>
          </w:p>
        </w:tc>
        <w:tc>
          <w:tcPr>
            <w:tcW w:w="544" w:type="dxa"/>
            <w:tcBorders>
              <w:top w:val="nil"/>
              <w:left w:val="nil"/>
              <w:bottom w:val="nil"/>
              <w:right w:val="single" w:color="auto" w:sz="4" w:space="0"/>
            </w:tcBorders>
            <w:vAlign w:val="center"/>
          </w:tcPr>
          <w:p>
            <w:pPr>
              <w:spacing w:line="48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499" w:hRule="atLeast"/>
          <w:jc w:val="center"/>
        </w:trPr>
        <w:tc>
          <w:tcPr>
            <w:tcW w:w="8170" w:type="dxa"/>
            <w:tcBorders>
              <w:top w:val="nil"/>
              <w:left w:val="single" w:color="auto" w:sz="4" w:space="0"/>
              <w:bottom w:val="single" w:color="auto" w:sz="4" w:space="0"/>
              <w:right w:val="nil"/>
            </w:tcBorders>
            <w:vAlign w:val="center"/>
          </w:tcPr>
          <w:p>
            <w:pPr>
              <w:spacing w:line="48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银行帐号： </w:t>
            </w:r>
            <w:r>
              <w:rPr>
                <w:rFonts w:hint="eastAsia" w:ascii="宋体" w:hAnsi="宋体" w:eastAsia="宋体" w:cs="宋体"/>
                <w:color w:val="auto"/>
                <w:sz w:val="28"/>
                <w:szCs w:val="28"/>
                <w:highlight w:val="none"/>
                <w:lang w:val="en-US" w:eastAsia="zh-CN"/>
              </w:rPr>
              <w:t xml:space="preserve"> </w:t>
            </w:r>
          </w:p>
        </w:tc>
        <w:tc>
          <w:tcPr>
            <w:tcW w:w="544" w:type="dxa"/>
            <w:tcBorders>
              <w:top w:val="nil"/>
              <w:left w:val="nil"/>
              <w:bottom w:val="single" w:color="auto" w:sz="4" w:space="0"/>
              <w:right w:val="single" w:color="auto" w:sz="4" w:space="0"/>
            </w:tcBorders>
            <w:vAlign w:val="center"/>
          </w:tcPr>
          <w:p>
            <w:pPr>
              <w:spacing w:line="480" w:lineRule="exact"/>
              <w:rPr>
                <w:rFonts w:hint="eastAsia" w:ascii="宋体" w:hAnsi="宋体" w:eastAsia="宋体" w:cs="宋体"/>
                <w:color w:val="auto"/>
                <w:sz w:val="28"/>
                <w:szCs w:val="28"/>
                <w:highlight w:val="none"/>
              </w:rPr>
            </w:pPr>
          </w:p>
        </w:tc>
      </w:tr>
    </w:tbl>
    <w:p>
      <w:pPr>
        <w:spacing w:line="480" w:lineRule="exact"/>
        <w:rPr>
          <w:rFonts w:hint="eastAsia" w:ascii="宋体" w:hAnsi="宋体" w:eastAsia="宋体" w:cs="宋体"/>
          <w:b/>
          <w:color w:val="auto"/>
          <w:kern w:val="1"/>
          <w:sz w:val="28"/>
          <w:szCs w:val="28"/>
          <w:highlight w:val="none"/>
        </w:rPr>
      </w:pPr>
    </w:p>
    <w:p>
      <w:pPr>
        <w:spacing w:line="560" w:lineRule="exact"/>
        <w:ind w:firstLine="568" w:firstLineChars="202"/>
        <w:rPr>
          <w:rFonts w:hint="eastAsia" w:ascii="宋体" w:hAnsi="宋体" w:eastAsia="宋体" w:cs="宋体"/>
          <w:b/>
          <w:color w:val="auto"/>
          <w:kern w:val="1"/>
          <w:sz w:val="28"/>
          <w:szCs w:val="28"/>
          <w:highlight w:val="none"/>
        </w:rPr>
      </w:pPr>
    </w:p>
    <w:p>
      <w:pPr>
        <w:spacing w:line="560" w:lineRule="exact"/>
        <w:ind w:firstLine="568" w:firstLineChars="202"/>
        <w:rPr>
          <w:rFonts w:hint="eastAsia" w:ascii="宋体" w:hAnsi="宋体" w:eastAsia="宋体" w:cs="宋体"/>
          <w:b/>
          <w:color w:val="auto"/>
          <w:kern w:val="1"/>
          <w:sz w:val="28"/>
          <w:szCs w:val="28"/>
          <w:highlight w:val="none"/>
        </w:rPr>
        <w:sectPr>
          <w:pgSz w:w="11906" w:h="16838"/>
          <w:pgMar w:top="1361" w:right="1588" w:bottom="1361" w:left="1588" w:header="851" w:footer="851" w:gutter="0"/>
          <w:cols w:space="720" w:num="1"/>
        </w:sectPr>
      </w:pPr>
    </w:p>
    <w:p>
      <w:pPr>
        <w:pStyle w:val="2"/>
        <w:numPr>
          <w:ilvl w:val="0"/>
          <w:numId w:val="0"/>
        </w:numPr>
        <w:spacing w:line="560" w:lineRule="exact"/>
        <w:ind w:left="-2" w:leftChars="-1" w:firstLine="1"/>
        <w:jc w:val="center"/>
        <w:rPr>
          <w:rFonts w:hint="eastAsia" w:ascii="宋体" w:hAnsi="宋体" w:eastAsia="宋体" w:cs="宋体"/>
          <w:b w:val="0"/>
          <w:color w:val="auto"/>
          <w:sz w:val="28"/>
          <w:szCs w:val="28"/>
          <w:highlight w:val="none"/>
        </w:rPr>
      </w:pPr>
      <w:bookmarkStart w:id="9" w:name="_Toc128128798"/>
      <w:bookmarkStart w:id="10" w:name="_Toc134126013"/>
      <w:r>
        <w:rPr>
          <w:rFonts w:hint="eastAsia" w:ascii="宋体" w:hAnsi="宋体" w:eastAsia="宋体" w:cs="宋体"/>
          <w:color w:val="auto"/>
          <w:sz w:val="28"/>
          <w:szCs w:val="28"/>
          <w:highlight w:val="none"/>
        </w:rPr>
        <w:t>第二部分  通用条款</w:t>
      </w:r>
      <w:bookmarkEnd w:id="9"/>
      <w:bookmarkEnd w:id="10"/>
    </w:p>
    <w:p>
      <w:pPr>
        <w:spacing w:line="560" w:lineRule="exact"/>
        <w:ind w:firstLine="565" w:firstLineChars="202"/>
        <w:rPr>
          <w:rFonts w:hint="eastAsia" w:ascii="宋体" w:hAnsi="宋体" w:eastAsia="宋体" w:cs="宋体"/>
          <w:color w:val="auto"/>
          <w:kern w:val="1"/>
          <w:sz w:val="28"/>
          <w:szCs w:val="28"/>
          <w:highlight w:val="none"/>
        </w:rPr>
      </w:pP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11" w:name="_Toc134126014"/>
      <w:bookmarkStart w:id="12" w:name="_Toc128128799"/>
      <w:r>
        <w:rPr>
          <w:rFonts w:hint="eastAsia" w:ascii="宋体" w:hAnsi="宋体" w:eastAsia="宋体" w:cs="宋体"/>
          <w:b/>
          <w:color w:val="auto"/>
          <w:kern w:val="1"/>
          <w:szCs w:val="28"/>
          <w:highlight w:val="none"/>
        </w:rPr>
        <w:t>一、词语定义及合同文件</w:t>
      </w:r>
      <w:bookmarkEnd w:id="11"/>
      <w:bookmarkEnd w:id="12"/>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3" w:name="_Toc134126015"/>
      <w:bookmarkStart w:id="14" w:name="_Toc128128800"/>
      <w:r>
        <w:rPr>
          <w:rFonts w:hint="eastAsia" w:ascii="宋体" w:hAnsi="宋体" w:eastAsia="宋体" w:cs="宋体"/>
          <w:color w:val="auto"/>
          <w:kern w:val="1"/>
          <w:sz w:val="28"/>
          <w:szCs w:val="28"/>
          <w:highlight w:val="none"/>
        </w:rPr>
        <w:t>1．词语定义</w:t>
      </w:r>
      <w:bookmarkEnd w:id="13"/>
      <w:bookmarkEnd w:id="14"/>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下列词语除专用条款另有约定外，应具有本条所赋予的定义：</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1.1通用条款：是根据法律、行政法规规定及建设工程施工的需要订立，通用于建设工程施工的条款。</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1.2专用条款：是发包人与承包人根据法律、行政法规规定，结合具体工程实际，经协商达成一致意见的条款，是对通用条款的具体化、补充或修改。</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1.3发包人：指在协议书中约定，具有工程发包主体资格和支付工程价款能力的当事人以及取得该当事人资格的合法继承人。</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1.4承包人：指在协议书中约定，被发包人接受的具有工程施工承包主体资格的当事人以及取得该当事人资格的合法继承人。</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1.5项目经理：指承包人在专用条款中指定的负责施工管理和合同履行的代表。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1.6设计单位：指发包人委托的负责本工程设计并取得相应工程设计资质等级证书的单位。</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1.7监理单位/监理人：指发包人委托的负责本工程监理并取得相应工程监理资质等级证书的单位。</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1.8工程师：指本工程监理单位委派的总监理工程师或发包人指定的履行本合同的代表，其具体身份和职权由发包人承包人在专用条款中约定。</w:t>
      </w:r>
      <w:bookmarkStart w:id="287" w:name="_GoBack"/>
      <w:bookmarkEnd w:id="287"/>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1.9工程造价管理部门：指国务院有关部门、县级以上人民政府建设行政主管部门或其委托的工程造价管理机构。</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1.10工程：指发包人承包人在协议书中约定的承包范围内的工程。</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1.11合同价款：指发包人承包人在协议书中约定，发包人用以支付承包人按照合同约定完成承包范围内全部工程并承担质量保修责任的款项。</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1.12追加合同价款：指在合同履行中发生需要增加合同价款的情况，经发包人确认后按计算合同价款的方法增加的合同价款。</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1.13费用：指不包含在合同价款之内的应当由发包人或承包人承担的经济支出。</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1.14工期：指发包人承包人在协议书中约定，按总日历天数（包括法定节假日）计算的承包天数。</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1.15开工日期：指发包人承包人在协议书中约定，承包人开始施工的绝对或相对的日期。</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1.16竣工日期：指发包人承包人在协议书中约定，承包人完成承包范围内工程的绝对或相对的日期。</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1.17图纸：指由发包人提供或由承包人提供并经发包人批准，满足承包人施工需要的所有图纸（包括配套说明和有关资料）。</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1.18施工场地：指由发包人提供的用于工程施工的场所以及发包人在图纸中具体指定的供施工使用的任何其他场所。</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1.19书面形式：指合同书、信件和数据电文（包括电报、电传、传真、电子数据交换和电子邮件）等可以有形地表现所载内容的形式。</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1.20违约责任：指合同一方不履行合同义务或履行合同义务不符合约定所应承担的责任。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1.21索赔：指在合同履行过程中，对于并非自己的过错，而是应由对方承担责任的情况造成的实际损失，向对方提出经济补偿和（或）工期顺延的要求。</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1.22不可抗力：指不能预见、不能避免并不能克服的客观情况。</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5" w:name="_Toc128128801"/>
      <w:bookmarkStart w:id="16" w:name="_Toc134126016"/>
      <w:r>
        <w:rPr>
          <w:rFonts w:hint="eastAsia" w:ascii="宋体" w:hAnsi="宋体" w:eastAsia="宋体" w:cs="宋体"/>
          <w:color w:val="auto"/>
          <w:kern w:val="1"/>
          <w:sz w:val="28"/>
          <w:szCs w:val="28"/>
          <w:highlight w:val="none"/>
        </w:rPr>
        <w:t>2．合同文件及解释顺序</w:t>
      </w:r>
      <w:bookmarkEnd w:id="15"/>
      <w:bookmarkEnd w:id="16"/>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2.1合同文件应能相互解释，互为说明。除专用条款另有约定外，组成本合同的文件及优先解释顺序如下：</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（1）本合同协议书</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（2）中标通知书</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（3）本合同专用条款</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（4）本合同通用条款</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（5）招标文件（包括补充、修改、澄清文件、答疑纪要、工程量清单及总说明等）</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（6）投标文件及其附件（含投标文件澄清等）</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（7）标准、规范及有关技术文件</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（8）双方确认的施工图纸</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（9）已标价的工程量清单</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（10）合同附件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合同履行中，发包人承包人有关工程的洽商、变更等书面协议或文件视为本合同的组成部分。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7" w:name="_Toc134126017"/>
      <w:bookmarkStart w:id="18" w:name="_Toc128128802"/>
      <w:r>
        <w:rPr>
          <w:rFonts w:hint="eastAsia" w:ascii="宋体" w:hAnsi="宋体" w:eastAsia="宋体" w:cs="宋体"/>
          <w:color w:val="auto"/>
          <w:kern w:val="1"/>
          <w:sz w:val="28"/>
          <w:szCs w:val="28"/>
          <w:highlight w:val="none"/>
        </w:rPr>
        <w:t>3．语言文字和适用法律、标准及规范</w:t>
      </w:r>
      <w:bookmarkEnd w:id="17"/>
      <w:bookmarkEnd w:id="18"/>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3.1语言文字</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本合同文件使用汉语语言文字书写、解释和说明。如专用条款约定使用两种以上（含两种）语言文字时，汉语应为解释和说明本合同的标准语言文字。</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在少数民族地区，双方可以约定使用少数民族语言文字书写和解释、说明本合同。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3.2适用法律和法规</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本合同文件适用国家的法律和行政法规。需要明示的法律、行政法规，由双方在专用条款中约定。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3.3适用标准、规范</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本条所发生的购买、翻译标准、规范或制定施工工艺的费用，由发包人承担。</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9" w:name="_Toc128128803"/>
      <w:bookmarkStart w:id="20" w:name="_Toc134126018"/>
      <w:r>
        <w:rPr>
          <w:rFonts w:hint="eastAsia" w:ascii="宋体" w:hAnsi="宋体" w:eastAsia="宋体" w:cs="宋体"/>
          <w:color w:val="auto"/>
          <w:kern w:val="1"/>
          <w:sz w:val="28"/>
          <w:szCs w:val="28"/>
          <w:highlight w:val="none"/>
        </w:rPr>
        <w:t>4．图纸</w:t>
      </w:r>
      <w:bookmarkEnd w:id="19"/>
      <w:bookmarkEnd w:id="20"/>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4.2承包人未经发包人同意，不得将本工程图纸转给第三人。工程质量保修期满后，除承包人存档需要的图纸外，应将全部图纸退还给发包人。</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4.3承包人应在施工现场保留一套完整图纸，供工程师及有关人员进行工程检查时使用。</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21" w:name="_Toc134126019"/>
      <w:bookmarkStart w:id="22" w:name="_Toc128128804"/>
      <w:r>
        <w:rPr>
          <w:rFonts w:hint="eastAsia" w:ascii="宋体" w:hAnsi="宋体" w:eastAsia="宋体" w:cs="宋体"/>
          <w:b/>
          <w:color w:val="auto"/>
          <w:kern w:val="1"/>
          <w:szCs w:val="28"/>
          <w:highlight w:val="none"/>
        </w:rPr>
        <w:t>二、双方一般权利和义务</w:t>
      </w:r>
      <w:bookmarkEnd w:id="21"/>
      <w:bookmarkEnd w:id="22"/>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23" w:name="_Toc128128805"/>
      <w:bookmarkStart w:id="24" w:name="_Toc134126020"/>
      <w:r>
        <w:rPr>
          <w:rFonts w:hint="eastAsia" w:ascii="宋体" w:hAnsi="宋体" w:eastAsia="宋体" w:cs="宋体"/>
          <w:color w:val="auto"/>
          <w:kern w:val="1"/>
          <w:sz w:val="28"/>
          <w:szCs w:val="28"/>
          <w:highlight w:val="none"/>
        </w:rPr>
        <w:t>5．工程师</w:t>
      </w:r>
      <w:bookmarkEnd w:id="23"/>
      <w:bookmarkEnd w:id="24"/>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5.1实行工程监理的，发包人应在实施监理前将委托的监理单位名称、监理内容及监理权限以书面形式通知承包人。</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5.4合同履行中，发生影响发包人承包人双方权利或义务的事件时，负责监理的工程师应依据合同在其职权范围内客观公正地进行处理，一方对工程师的处理有异议时，按本通用条款37条关于争议的约定处理。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5.5除合同内有明确约定或经发包人同意外，负责监理的工程师无权解除本合同约定的承包人的任何权利与义务。</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5.6不实行工程监理的，本合同中工程师专指发包人派驻施工场地履行合同的代表，其具体职权由发包人在专用条款内写明。</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25" w:name="_Toc128128806"/>
      <w:bookmarkStart w:id="26" w:name="_Toc134126021"/>
      <w:r>
        <w:rPr>
          <w:rFonts w:hint="eastAsia" w:ascii="宋体" w:hAnsi="宋体" w:eastAsia="宋体" w:cs="宋体"/>
          <w:color w:val="auto"/>
          <w:kern w:val="1"/>
          <w:sz w:val="28"/>
          <w:szCs w:val="28"/>
          <w:highlight w:val="none"/>
        </w:rPr>
        <w:t>6．工程师的委派和指令</w:t>
      </w:r>
      <w:bookmarkEnd w:id="25"/>
      <w:bookmarkEnd w:id="26"/>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6.1工程师可委派工程师代表，行使合同约定的自己的职权，并可在认为必要时撤回委派。委派和撤回均应提前7天以书面形式通知承包人，负责监理的工程师还应将委派和撤回通知发包人。</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除工程师或工程师代表外，发包人派驻工地的其他人员均无权向承包人发出任何指令。</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本款规定同样适用于由工程师代表发出的指令、通知。</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6.4 如需更换工程师。发包人应至少提前7天以书面形式通知承包人，后任继续行使合同文件约定的前任的职权，履行前任的义务。</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27" w:name="_Toc134126022"/>
      <w:bookmarkStart w:id="28" w:name="_Toc128128807"/>
      <w:r>
        <w:rPr>
          <w:rFonts w:hint="eastAsia" w:ascii="宋体" w:hAnsi="宋体" w:eastAsia="宋体" w:cs="宋体"/>
          <w:color w:val="auto"/>
          <w:kern w:val="1"/>
          <w:sz w:val="28"/>
          <w:szCs w:val="28"/>
          <w:highlight w:val="none"/>
        </w:rPr>
        <w:t>7．项目经理</w:t>
      </w:r>
      <w:bookmarkEnd w:id="27"/>
      <w:bookmarkEnd w:id="28"/>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7.1项目经理的姓名、职务在专用条款内写明。如无特殊情况，项目经理不得更换，否则承包人须按专用条款约定承担违约责任。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7.2承包人依据合同发出的通知，以书面形式由项目经理签字后送交工程师，工程师在回执上签署姓名和收到时间后生效。</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7.4承包人如因特殊情况确需更换项目经理，应至少提前7天以书面形式通知发包人，并征得发包人书面同意。后任继续行使合同文件约定的前任的职权，履行前任的义务。</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7.5若发包人认为项目经理不称职，承包人须无条件更换。</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29" w:name="_Toc134126023"/>
      <w:bookmarkStart w:id="30" w:name="_Toc128128808"/>
      <w:r>
        <w:rPr>
          <w:rFonts w:hint="eastAsia" w:ascii="宋体" w:hAnsi="宋体" w:eastAsia="宋体" w:cs="宋体"/>
          <w:color w:val="auto"/>
          <w:kern w:val="1"/>
          <w:sz w:val="28"/>
          <w:szCs w:val="28"/>
          <w:highlight w:val="none"/>
        </w:rPr>
        <w:t>8．发包人工作</w:t>
      </w:r>
      <w:bookmarkEnd w:id="29"/>
      <w:bookmarkEnd w:id="30"/>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8.1发包人按专用条款约定的内容和时间完成以下工作：</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⑴办理土地征用、拆迁补偿、平整施工场地等工作，使施工场地具备施工条件，在开工后继续负责解决以上事项遗留问题；</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⑵将施工所需水、电、电讯线路从施工场地外部接至专用条款约定地点，保证施工期间的需要；</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⑶开通施工场地与城乡公共道路的通道，以及专用条款约定的施工场地内的主要道路，满足施工运输的需要，保证施工期间的畅通；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⑷向承包人提供施工场地的工程地质和地下管线资料，对资料的真实准确性负责；</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⑸提供办理施工许可证及其他施工所需证件、批件，并由施工单位搜集、填写、整理办证等所有资料，并向相关部门办理及取回证件；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⑹确定水准点与坐标控制点，以书面形式交给承包人，进行现场交验；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⑺组织承包人和设计单位进行图纸会审和设计交底；</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⑻协调处理施工场地周围地下管线和邻近建筑物、构筑物（包括文物保护建筑）、古树名木的保护工作，承担有关费用；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⑼发包人应做的其他工作，双方在专用条款内约定。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8.2发包人可以将8.1款部分工作委托承包人办理，双方在专用条款内约定。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8.3发包人未能履行8.1款各项义务，导致工期延误或给承包人造成损失的，发包人赔偿承包人有关损失，顺延延误的工期。</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31" w:name="_Toc128128809"/>
      <w:bookmarkStart w:id="32" w:name="_Toc134126024"/>
      <w:r>
        <w:rPr>
          <w:rFonts w:hint="eastAsia" w:ascii="宋体" w:hAnsi="宋体" w:eastAsia="宋体" w:cs="宋体"/>
          <w:color w:val="auto"/>
          <w:kern w:val="1"/>
          <w:sz w:val="28"/>
          <w:szCs w:val="28"/>
          <w:highlight w:val="none"/>
        </w:rPr>
        <w:t>9．承包人工作</w:t>
      </w:r>
      <w:bookmarkEnd w:id="31"/>
      <w:bookmarkEnd w:id="32"/>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9.1承包人按专用条款约定的内容和时间完成以下工作：</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⑴根据发包人委托，在其设计资质等级和业务允许的范围内，完成施工图设计或与工程配套的设计，经工程师确认后使用，发包人承担由此发生的费用；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⑵向工程师提供年、季、月度工程进度计划及相应进度统计报表；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⑶根据工程需要，提供和维修非夜间施工使用的照明、围栏设施，并负责安全保卫；</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⑷按专用条款约定的数量和要求，向发包人提供施工场地办公和生活的房屋及设施，发包人承担由此发生的费用；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⑸遵守政府有关主管部门对施工场地交通、施工噪音以及环境保护和安全生产等的管理规定，按规定办理有关手续，并以书面形式通知发包人，发包人承担由此发生的费用，因承包人责任造成的罚款除外；</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⑹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⑺按专用条款约定做好施工场地地下管线和邻近建筑物、构筑物（包括文物保护建筑）、古树名木的保护工作；</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⑻保证施工场地清洁符合环境卫生管理的有关规定，交工前清理现场达到专用条款约定的要求，承担因自身原因违反有关规定造成的损失和罚款；</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⑼承包人应做的其他工作，双方在专用条款内约定。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9.2承包人未能履行9.1款各项义务，造成发包人损失的，承包人赔偿发包人有关损失。</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33" w:name="_Toc134126025"/>
      <w:bookmarkStart w:id="34" w:name="_Toc128128810"/>
      <w:r>
        <w:rPr>
          <w:rFonts w:hint="eastAsia" w:ascii="宋体" w:hAnsi="宋体" w:eastAsia="宋体" w:cs="宋体"/>
          <w:b/>
          <w:color w:val="auto"/>
          <w:kern w:val="1"/>
          <w:szCs w:val="28"/>
          <w:highlight w:val="none"/>
        </w:rPr>
        <w:t>三、施工组织设计和工期</w:t>
      </w:r>
      <w:bookmarkEnd w:id="33"/>
      <w:bookmarkEnd w:id="34"/>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35" w:name="_Toc128128811"/>
      <w:bookmarkStart w:id="36" w:name="_Toc134126026"/>
      <w:r>
        <w:rPr>
          <w:rFonts w:hint="eastAsia" w:ascii="宋体" w:hAnsi="宋体" w:eastAsia="宋体" w:cs="宋体"/>
          <w:color w:val="auto"/>
          <w:kern w:val="1"/>
          <w:sz w:val="28"/>
          <w:szCs w:val="28"/>
          <w:highlight w:val="none"/>
        </w:rPr>
        <w:t>10．进度计划</w:t>
      </w:r>
      <w:bookmarkEnd w:id="35"/>
      <w:bookmarkEnd w:id="36"/>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10.1承包人应按专用条款约定的日期，将施工组织设计和工程进度计划提交工程师，工程师按专用条款约定的时间予以确认或提出修改意见。</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10.2群体工程中单位工程分期进行施工的，承包人应按照发包人提供图纸及有关资料的时间，按单位工程编制进度计划，其具体内容双方在专用条款中约定。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37" w:name="_Toc134126027"/>
      <w:bookmarkStart w:id="38" w:name="_Toc128128812"/>
      <w:r>
        <w:rPr>
          <w:rFonts w:hint="eastAsia" w:ascii="宋体" w:hAnsi="宋体" w:eastAsia="宋体" w:cs="宋体"/>
          <w:color w:val="auto"/>
          <w:kern w:val="1"/>
          <w:sz w:val="28"/>
          <w:szCs w:val="28"/>
          <w:highlight w:val="none"/>
        </w:rPr>
        <w:t>11．开工及延期开工</w:t>
      </w:r>
      <w:bookmarkEnd w:id="37"/>
      <w:bookmarkEnd w:id="38"/>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不同意延期要求或承包人未在规定时间内提出延期开工要求，工期不予顺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11.2因发包人原因不能按照协议书约定的开工日期开工，工程师应以书面形式通知承包人，推迟开工日期，并相应顺延工期。</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39" w:name="_Toc134126028"/>
      <w:bookmarkStart w:id="40" w:name="_Toc128128813"/>
      <w:r>
        <w:rPr>
          <w:rFonts w:hint="eastAsia" w:ascii="宋体" w:hAnsi="宋体" w:eastAsia="宋体" w:cs="宋体"/>
          <w:color w:val="auto"/>
          <w:kern w:val="1"/>
          <w:sz w:val="28"/>
          <w:szCs w:val="28"/>
          <w:highlight w:val="none"/>
        </w:rPr>
        <w:t>12．暂停施工</w:t>
      </w:r>
      <w:bookmarkEnd w:id="39"/>
      <w:bookmarkEnd w:id="40"/>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41" w:name="_Toc128128814"/>
      <w:bookmarkStart w:id="42" w:name="_Toc134126029"/>
      <w:r>
        <w:rPr>
          <w:rFonts w:hint="eastAsia" w:ascii="宋体" w:hAnsi="宋体" w:eastAsia="宋体" w:cs="宋体"/>
          <w:color w:val="auto"/>
          <w:kern w:val="1"/>
          <w:sz w:val="28"/>
          <w:szCs w:val="28"/>
          <w:highlight w:val="none"/>
        </w:rPr>
        <w:t>13．工期延误</w:t>
      </w:r>
      <w:bookmarkEnd w:id="41"/>
      <w:bookmarkEnd w:id="42"/>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13.1因以下原因造成工期延误，经工程师确认，工期相应顺延：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⑴发包人未能按专用条款的约定提供图纸及开工条件；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⑵发包人未能按约定日期支付工程预付款、进度款，致使施工不能正常进行；</w:t>
      </w:r>
    </w:p>
    <w:p>
      <w:pPr>
        <w:spacing w:line="560" w:lineRule="exact"/>
        <w:ind w:firstLine="549" w:firstLineChars="202"/>
        <w:rPr>
          <w:rFonts w:hint="eastAsia" w:ascii="宋体" w:hAnsi="宋体" w:eastAsia="宋体" w:cs="宋体"/>
          <w:color w:val="auto"/>
          <w:spacing w:val="-4"/>
          <w:kern w:val="1"/>
          <w:sz w:val="28"/>
          <w:szCs w:val="28"/>
          <w:highlight w:val="none"/>
        </w:rPr>
      </w:pPr>
      <w:r>
        <w:rPr>
          <w:rFonts w:hint="eastAsia" w:ascii="宋体" w:hAnsi="宋体" w:eastAsia="宋体" w:cs="宋体"/>
          <w:color w:val="auto"/>
          <w:spacing w:val="-4"/>
          <w:kern w:val="1"/>
          <w:sz w:val="28"/>
          <w:szCs w:val="28"/>
          <w:highlight w:val="none"/>
        </w:rPr>
        <w:t>⑶工程师未按合同约定提供所需指令、批准等，致使施工不能正常进行；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⑷发包人书面要求的设计变更和工程量增加；</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⑸一周内非承包人原因停水、停电、停气造成停工累计超过8小时；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⑹不可抗力；</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⑺专用条款中约定或发包人书面同意顺延的其他情况。</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13.2承包人在13.1款情况发生后14天内，就延误的工期以书面形式向发包人提出报告，承包人逾期不提出工期延误书面报告，视为同意工期不顺延。发包人在收到报告后14天内予以确认。</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43" w:name="_Toc128128815"/>
      <w:bookmarkStart w:id="44" w:name="_Toc134126030"/>
      <w:r>
        <w:rPr>
          <w:rFonts w:hint="eastAsia" w:ascii="宋体" w:hAnsi="宋体" w:eastAsia="宋体" w:cs="宋体"/>
          <w:color w:val="auto"/>
          <w:kern w:val="1"/>
          <w:sz w:val="28"/>
          <w:szCs w:val="28"/>
          <w:highlight w:val="none"/>
        </w:rPr>
        <w:t>14．工程竣工</w:t>
      </w:r>
      <w:bookmarkEnd w:id="43"/>
      <w:bookmarkEnd w:id="44"/>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14.1承包人必须按照协议书约定的竣工日期或工程师同意顺延的工期竣工。</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14.2因承包人原因不能按照协议书约定的竣工日期或工程师同意顺延的工期竣工的，承包人承担违约责任。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45" w:name="_Toc128128816"/>
      <w:bookmarkStart w:id="46" w:name="_Toc134126031"/>
      <w:r>
        <w:rPr>
          <w:rFonts w:hint="eastAsia" w:ascii="宋体" w:hAnsi="宋体" w:eastAsia="宋体" w:cs="宋体"/>
          <w:b/>
          <w:color w:val="auto"/>
          <w:kern w:val="1"/>
          <w:szCs w:val="28"/>
          <w:highlight w:val="none"/>
        </w:rPr>
        <w:t>四、质量与检验</w:t>
      </w:r>
      <w:bookmarkEnd w:id="45"/>
      <w:bookmarkEnd w:id="46"/>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47" w:name="_Toc134126032"/>
      <w:bookmarkStart w:id="48" w:name="_Toc128128817"/>
      <w:r>
        <w:rPr>
          <w:rFonts w:hint="eastAsia" w:ascii="宋体" w:hAnsi="宋体" w:eastAsia="宋体" w:cs="宋体"/>
          <w:color w:val="auto"/>
          <w:kern w:val="1"/>
          <w:sz w:val="28"/>
          <w:szCs w:val="28"/>
          <w:highlight w:val="none"/>
        </w:rPr>
        <w:t>15．工程质量</w:t>
      </w:r>
      <w:bookmarkEnd w:id="47"/>
      <w:bookmarkEnd w:id="48"/>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15.1工程质量应当达到协议书约定的质量标准，工程质量应当达到协议书约定的质量标准，质量标准的评定以国家或行业的质量检验评定标准为依据。因承包人原因工程质量达不到约定的质量标准，承包人承担违约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15.2双方对工程质量有争议，由双方同意的工程质量检测机构鉴定，所需费用及因此造成的损失，由责任方承担。双方均有责任，由双方根据其责任分别承担。</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49" w:name="_Toc134126033"/>
      <w:bookmarkStart w:id="50" w:name="_Toc128128818"/>
      <w:r>
        <w:rPr>
          <w:rFonts w:hint="eastAsia" w:ascii="宋体" w:hAnsi="宋体" w:eastAsia="宋体" w:cs="宋体"/>
          <w:color w:val="auto"/>
          <w:kern w:val="1"/>
          <w:sz w:val="28"/>
          <w:szCs w:val="28"/>
          <w:highlight w:val="none"/>
        </w:rPr>
        <w:t>16．检查和返工</w:t>
      </w:r>
      <w:bookmarkEnd w:id="49"/>
      <w:bookmarkEnd w:id="50"/>
    </w:p>
    <w:p>
      <w:pPr>
        <w:spacing w:line="560" w:lineRule="exact"/>
        <w:ind w:firstLine="561" w:firstLineChars="202"/>
        <w:rPr>
          <w:rFonts w:hint="eastAsia" w:ascii="宋体" w:hAnsi="宋体" w:eastAsia="宋体" w:cs="宋体"/>
          <w:color w:val="auto"/>
          <w:spacing w:val="-1"/>
          <w:kern w:val="1"/>
          <w:sz w:val="28"/>
          <w:szCs w:val="28"/>
          <w:highlight w:val="none"/>
        </w:rPr>
      </w:pPr>
      <w:r>
        <w:rPr>
          <w:rFonts w:hint="eastAsia" w:ascii="宋体" w:hAnsi="宋体" w:eastAsia="宋体" w:cs="宋体"/>
          <w:color w:val="auto"/>
          <w:spacing w:val="-1"/>
          <w:kern w:val="1"/>
          <w:sz w:val="28"/>
          <w:szCs w:val="28"/>
          <w:highlight w:val="none"/>
        </w:rPr>
        <w:t>16.1承包人应认真按照标准、规范和设计图纸要求以及工程师依据合同发出的指令施工，随时接受工程师的检查检验，为检查检验提供便利条件。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16.3工程师的检查检验不应影响施工正常进行。如影响施工正常进行，检查检验不合格时，影响正常施工的费用由承包人承担。除此之外影响正常施工的追加合同价款由发包人承担，相应顺延工期。</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16.4因工程师指令失误或其他非承包人原因发生的追加合同价款，由发包人承担。</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51" w:name="_Toc128128819"/>
      <w:bookmarkStart w:id="52" w:name="_Toc134126034"/>
      <w:r>
        <w:rPr>
          <w:rFonts w:hint="eastAsia" w:ascii="宋体" w:hAnsi="宋体" w:eastAsia="宋体" w:cs="宋体"/>
          <w:color w:val="auto"/>
          <w:kern w:val="1"/>
          <w:sz w:val="28"/>
          <w:szCs w:val="28"/>
          <w:highlight w:val="none"/>
        </w:rPr>
        <w:t>17．隐蔽工程和中间验收</w:t>
      </w:r>
      <w:bookmarkEnd w:id="51"/>
      <w:bookmarkEnd w:id="52"/>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17.2工程师不能按时进行验收，应在验收前24小时以书面形式向承包人提出延期要求，延期不能超过48小时。工程师未能按以上时间提出延期要求，不进行验收，承包人可自行组织验收，工程师应承认验收记录。</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17.3经工程师验收，工程质量符合标准、规范和设计图纸等要求，验收24小时后，工程师不在验收记录上签字，视为工程师已经认可验收记录，承包人可进行隐蔽或继续施工。</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53" w:name="_Toc128128820"/>
      <w:bookmarkStart w:id="54" w:name="_Toc134126035"/>
      <w:r>
        <w:rPr>
          <w:rFonts w:hint="eastAsia" w:ascii="宋体" w:hAnsi="宋体" w:eastAsia="宋体" w:cs="宋体"/>
          <w:color w:val="auto"/>
          <w:kern w:val="1"/>
          <w:sz w:val="28"/>
          <w:szCs w:val="28"/>
          <w:highlight w:val="none"/>
        </w:rPr>
        <w:t>18．重新检验</w:t>
      </w:r>
      <w:bookmarkEnd w:id="53"/>
      <w:bookmarkEnd w:id="54"/>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55" w:name="_Toc128128821"/>
      <w:bookmarkStart w:id="56" w:name="_Toc134126036"/>
      <w:r>
        <w:rPr>
          <w:rFonts w:hint="eastAsia" w:ascii="宋体" w:hAnsi="宋体" w:eastAsia="宋体" w:cs="宋体"/>
          <w:color w:val="auto"/>
          <w:kern w:val="1"/>
          <w:sz w:val="28"/>
          <w:szCs w:val="28"/>
          <w:highlight w:val="none"/>
        </w:rPr>
        <w:t>19．工程试车</w:t>
      </w:r>
      <w:bookmarkEnd w:id="55"/>
      <w:bookmarkEnd w:id="56"/>
    </w:p>
    <w:p>
      <w:pPr>
        <w:spacing w:line="560" w:lineRule="exact"/>
        <w:ind w:firstLine="549" w:firstLineChars="202"/>
        <w:rPr>
          <w:rFonts w:hint="eastAsia" w:ascii="宋体" w:hAnsi="宋体" w:eastAsia="宋体" w:cs="宋体"/>
          <w:color w:val="auto"/>
          <w:spacing w:val="-4"/>
          <w:kern w:val="1"/>
          <w:sz w:val="28"/>
          <w:szCs w:val="28"/>
          <w:highlight w:val="none"/>
        </w:rPr>
      </w:pPr>
      <w:r>
        <w:rPr>
          <w:rFonts w:hint="eastAsia" w:ascii="宋体" w:hAnsi="宋体" w:eastAsia="宋体" w:cs="宋体"/>
          <w:color w:val="auto"/>
          <w:spacing w:val="-4"/>
          <w:kern w:val="1"/>
          <w:sz w:val="28"/>
          <w:szCs w:val="28"/>
          <w:highlight w:val="none"/>
        </w:rPr>
        <w:t>19.1双方约定需要试车的，试车内容应与承包人承包的安装范围相一致。</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19.3工程师不能按时参加试车，须在开始试车前24小时以书面形式向承包人提出延期要求，延期不能超过48小时。工程师未能按以上时间提出延期要求，不参加试车，应承认试车记录。</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19.5双方责任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⑴由于设计原因试车达不到验收要求，承包人须按发包人要求重新设计，并按修改后的设计重新安装。承包人承担修改设计、拆除及重新安装的全部费用和追加合同价款，工期不顺延。</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⑵由于设备制造原因试车达不到验收要求，由该设备采购一方负责重新购置与修理，承包人负责拆除和重新安装。设备由承包人采购的，由承包人承担修理或重新购置、拆除及重新安装的费用，工期不予顺延；设备由发包人采购的，发包人承担上述各项追加合同价款，工期相应顺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⑶由于承包人施工原因试车达不到验收要求，承包人按工程师要求重新安装和试车，并承担重新安装和试车的费用，工期不予顺延。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⑷试车费用的承担执行专用条款的规定。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⑸工程师在试车合格后不在试车记录上签字，试车结束24小时后，视为工程师已经认可试车记录，承包人可继续施工或办理竣工手续。</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19.6投料试车应在工程竣工验收后由发包人负责，如发包人要求在工程竣工验收前进行或需要承包人配合时，应征得承包人同意，另行签订补充协议。</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57" w:name="_Toc134126037"/>
      <w:bookmarkStart w:id="58" w:name="_Toc128128822"/>
      <w:r>
        <w:rPr>
          <w:rFonts w:hint="eastAsia" w:ascii="宋体" w:hAnsi="宋体" w:eastAsia="宋体" w:cs="宋体"/>
          <w:b/>
          <w:color w:val="auto"/>
          <w:kern w:val="1"/>
          <w:szCs w:val="28"/>
          <w:highlight w:val="none"/>
        </w:rPr>
        <w:t>五、安全施工</w:t>
      </w:r>
      <w:bookmarkEnd w:id="57"/>
      <w:bookmarkEnd w:id="58"/>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59" w:name="_Toc128128823"/>
      <w:bookmarkStart w:id="60" w:name="_Toc134126038"/>
      <w:r>
        <w:rPr>
          <w:rFonts w:hint="eastAsia" w:ascii="宋体" w:hAnsi="宋体" w:eastAsia="宋体" w:cs="宋体"/>
          <w:color w:val="auto"/>
          <w:kern w:val="1"/>
          <w:sz w:val="28"/>
          <w:szCs w:val="28"/>
          <w:highlight w:val="none"/>
        </w:rPr>
        <w:t>20．安全施工与检查</w:t>
      </w:r>
      <w:bookmarkEnd w:id="59"/>
      <w:bookmarkEnd w:id="60"/>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20.1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20.2发包人应对其在施工场地的工作人员进行安全教育，并对他们的安全负责。发包人不得要求承包人违反安全管理的规定进行施工。因发包人原因导致的安全事故，由发包人承担相应责任及发生的费用。</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61" w:name="_Toc134126039"/>
      <w:bookmarkStart w:id="62" w:name="_Toc128128824"/>
      <w:r>
        <w:rPr>
          <w:rFonts w:hint="eastAsia" w:ascii="宋体" w:hAnsi="宋体" w:eastAsia="宋体" w:cs="宋体"/>
          <w:color w:val="auto"/>
          <w:kern w:val="1"/>
          <w:sz w:val="28"/>
          <w:szCs w:val="28"/>
          <w:highlight w:val="none"/>
        </w:rPr>
        <w:t>21．安全防护</w:t>
      </w:r>
      <w:bookmarkEnd w:id="61"/>
      <w:bookmarkEnd w:id="62"/>
    </w:p>
    <w:p>
      <w:pPr>
        <w:spacing w:line="560" w:lineRule="exact"/>
        <w:ind w:firstLine="561" w:firstLineChars="202"/>
        <w:rPr>
          <w:rFonts w:hint="eastAsia" w:ascii="宋体" w:hAnsi="宋体" w:eastAsia="宋体" w:cs="宋体"/>
          <w:color w:val="auto"/>
          <w:spacing w:val="-1"/>
          <w:kern w:val="1"/>
          <w:sz w:val="28"/>
          <w:szCs w:val="28"/>
          <w:highlight w:val="none"/>
        </w:rPr>
      </w:pPr>
      <w:r>
        <w:rPr>
          <w:rFonts w:hint="eastAsia" w:ascii="宋体" w:hAnsi="宋体" w:eastAsia="宋体" w:cs="宋体"/>
          <w:color w:val="auto"/>
          <w:spacing w:val="-1"/>
          <w:kern w:val="1"/>
          <w:sz w:val="28"/>
          <w:szCs w:val="28"/>
          <w:highlight w:val="none"/>
        </w:rPr>
        <w:t>21.1承包人在动力设备、输电线路、地下管道、密封防震车间、易燃易爆地段以及临街交通要道附近施工时，施工开始前应向工程师提出安全防护措施，经工程师认可后实施，防护措施费用的承担执行专用条款的规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21.2实施爆破作业，在放射、毒害性环境中施工（含储存、运输、使用）及使用毒害性、腐蚀性物品施工时，承包人应在施工前14天以书面形式通知工程师，并提出相应的安全防护措施，经工程师认可后实施，安全防护措施费用的承担执行专用条款的规定。</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63" w:name="_Toc134126040"/>
      <w:bookmarkStart w:id="64" w:name="_Toc128128825"/>
      <w:r>
        <w:rPr>
          <w:rFonts w:hint="eastAsia" w:ascii="宋体" w:hAnsi="宋体" w:eastAsia="宋体" w:cs="宋体"/>
          <w:color w:val="auto"/>
          <w:kern w:val="1"/>
          <w:sz w:val="28"/>
          <w:szCs w:val="28"/>
          <w:highlight w:val="none"/>
        </w:rPr>
        <w:t>22．事故处理</w:t>
      </w:r>
      <w:bookmarkEnd w:id="63"/>
      <w:bookmarkEnd w:id="64"/>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22.1发生重大伤亡及其他安全事故，承包人应按有关规定立即上报有关部门并通知工程师，同时按政府有关部门要求处理，由事故责任方承担发生的费用。</w:t>
      </w:r>
    </w:p>
    <w:p>
      <w:pPr>
        <w:spacing w:line="560" w:lineRule="exact"/>
        <w:ind w:firstLine="549" w:firstLineChars="202"/>
        <w:rPr>
          <w:rFonts w:hint="eastAsia" w:ascii="宋体" w:hAnsi="宋体" w:eastAsia="宋体" w:cs="宋体"/>
          <w:color w:val="auto"/>
          <w:spacing w:val="-4"/>
          <w:kern w:val="1"/>
          <w:sz w:val="28"/>
          <w:szCs w:val="28"/>
          <w:highlight w:val="none"/>
        </w:rPr>
      </w:pPr>
      <w:r>
        <w:rPr>
          <w:rFonts w:hint="eastAsia" w:ascii="宋体" w:hAnsi="宋体" w:eastAsia="宋体" w:cs="宋体"/>
          <w:color w:val="auto"/>
          <w:spacing w:val="-4"/>
          <w:kern w:val="1"/>
          <w:sz w:val="28"/>
          <w:szCs w:val="28"/>
          <w:highlight w:val="none"/>
        </w:rPr>
        <w:t>22.2发包人承包人对事故责任有争议时，应按政府有关部门的认定处理。</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65" w:name="_Toc128128826"/>
      <w:bookmarkStart w:id="66" w:name="_Toc134126041"/>
      <w:r>
        <w:rPr>
          <w:rFonts w:hint="eastAsia" w:ascii="宋体" w:hAnsi="宋体" w:eastAsia="宋体" w:cs="宋体"/>
          <w:b/>
          <w:color w:val="auto"/>
          <w:kern w:val="1"/>
          <w:szCs w:val="28"/>
          <w:highlight w:val="none"/>
        </w:rPr>
        <w:t>六、合同价款与支付</w:t>
      </w:r>
      <w:bookmarkEnd w:id="65"/>
      <w:bookmarkEnd w:id="66"/>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67" w:name="_Toc134126042"/>
      <w:bookmarkStart w:id="68" w:name="_Toc128128827"/>
      <w:r>
        <w:rPr>
          <w:rFonts w:hint="eastAsia" w:ascii="宋体" w:hAnsi="宋体" w:eastAsia="宋体" w:cs="宋体"/>
          <w:color w:val="auto"/>
          <w:kern w:val="1"/>
          <w:sz w:val="28"/>
          <w:szCs w:val="28"/>
          <w:highlight w:val="none"/>
        </w:rPr>
        <w:t>23．合同价款与调整</w:t>
      </w:r>
      <w:bookmarkEnd w:id="67"/>
      <w:bookmarkEnd w:id="68"/>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23.1招标工程的合同价款由发包人承包人依据中标通知书中的中标价格在协议书内约定，并按专用条款规定执行。非招标工程的合同价款由发包人承包人依据工程预算书在协议书内约定。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23.2合同价款在协议书内约定后，任何一方不得擅自改变。下列三种合同价款的方式，双方可在专用条款内约定采用其中一种：</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⑴固定价格合同。双方在专用条款内约定合同价款包含的风险范围和风险费用的计算方法，在约定的风险范围内合同价款不再调整。风险范围以外的合同价款调整方法，应当在专用条款内约定。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⑵可调价格合同。合同价款可根据双方的约定而调整，双方在专用条款内约定合同价款调整方法。</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⑶成本加酬金合同。合同价款包括成本和酬金两部分，双方在专用条款内约定成本构成和酬金的计算方法。</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23.3可调价格合同中合同价款的调整因素包括：</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⑴法律、行政法规和国家有关政策变化影响合同价款；</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⑵工程造价管理部门公布的价格调整；</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⑶一周内非承包人原因停水、停电、停气造成停工累计超过8小时；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⑷双方约定的其他因素。</w:t>
      </w:r>
    </w:p>
    <w:p>
      <w:pPr>
        <w:spacing w:line="560" w:lineRule="exact"/>
        <w:ind w:firstLine="561" w:firstLineChars="202"/>
        <w:rPr>
          <w:rFonts w:hint="eastAsia" w:ascii="宋体" w:hAnsi="宋体" w:eastAsia="宋体" w:cs="宋体"/>
          <w:color w:val="auto"/>
          <w:spacing w:val="-1"/>
          <w:kern w:val="1"/>
          <w:sz w:val="28"/>
          <w:szCs w:val="28"/>
          <w:highlight w:val="none"/>
        </w:rPr>
      </w:pPr>
      <w:r>
        <w:rPr>
          <w:rFonts w:hint="eastAsia" w:ascii="宋体" w:hAnsi="宋体" w:eastAsia="宋体" w:cs="宋体"/>
          <w:color w:val="auto"/>
          <w:spacing w:val="-1"/>
          <w:kern w:val="1"/>
          <w:sz w:val="28"/>
          <w:szCs w:val="28"/>
          <w:highlight w:val="none"/>
        </w:rPr>
        <w:t>23.4承包人应当在23.3款情况发生后14天内，将调整原因、金额以书面形式通知监理工程师及发包人。经监理工程师及发包人书面确认的调整金额作为追加合同价款，与工程款同期支付。</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69" w:name="_Toc128128828"/>
      <w:bookmarkStart w:id="70" w:name="_Toc134126043"/>
      <w:r>
        <w:rPr>
          <w:rFonts w:hint="eastAsia" w:ascii="宋体" w:hAnsi="宋体" w:eastAsia="宋体" w:cs="宋体"/>
          <w:color w:val="auto"/>
          <w:kern w:val="1"/>
          <w:sz w:val="28"/>
          <w:szCs w:val="28"/>
          <w:highlight w:val="none"/>
        </w:rPr>
        <w:t>24．工程预付款</w:t>
      </w:r>
      <w:bookmarkEnd w:id="69"/>
      <w:bookmarkEnd w:id="70"/>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71" w:name="_Toc128128829"/>
      <w:bookmarkStart w:id="72" w:name="_Toc134126044"/>
      <w:r>
        <w:rPr>
          <w:rFonts w:hint="eastAsia" w:ascii="宋体" w:hAnsi="宋体" w:eastAsia="宋体" w:cs="宋体"/>
          <w:color w:val="auto"/>
          <w:kern w:val="1"/>
          <w:sz w:val="28"/>
          <w:szCs w:val="28"/>
          <w:highlight w:val="none"/>
        </w:rPr>
        <w:t>25．工程量的确认</w:t>
      </w:r>
      <w:bookmarkEnd w:id="71"/>
      <w:bookmarkEnd w:id="72"/>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25.2工程师收到承包人报告后7天内未进行计量，从第8天起，承包人报告中开列的工程量即视为被确认，作为工程价款支付的依据。工程师不按约定时间通知承包人，致使承包人未能参加计量，计量结果无效。</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25.3对承包人超出设计图纸范围和因承包人原因造成返工的工程量，工程师不予计量。</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73" w:name="_Toc128128830"/>
      <w:bookmarkStart w:id="74" w:name="_Toc134126045"/>
      <w:r>
        <w:rPr>
          <w:rFonts w:hint="eastAsia" w:ascii="宋体" w:hAnsi="宋体" w:eastAsia="宋体" w:cs="宋体"/>
          <w:color w:val="auto"/>
          <w:kern w:val="1"/>
          <w:sz w:val="28"/>
          <w:szCs w:val="28"/>
          <w:highlight w:val="none"/>
        </w:rPr>
        <w:t>26．工程款（进度款）支付</w:t>
      </w:r>
      <w:bookmarkEnd w:id="73"/>
      <w:bookmarkEnd w:id="74"/>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26.1在确认计量结果后14天内，发包人应向承包人支付工程款（进度款）。按约定时间发包人应扣回的预付款，与工程款（进度款）同期结算。</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26.2本通用条款第23条确定调整的合同价款，第31条工程变更调整的合同价款及其他条款中约定的追加合同价款，经监理工程师及发包人书面审核确认后，与工程款（进度款）同期调整支付。</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spacing w:line="560" w:lineRule="exact"/>
        <w:ind w:firstLine="549" w:firstLineChars="202"/>
        <w:rPr>
          <w:rFonts w:hint="eastAsia" w:ascii="宋体" w:hAnsi="宋体" w:eastAsia="宋体" w:cs="宋体"/>
          <w:color w:val="auto"/>
          <w:spacing w:val="-4"/>
          <w:kern w:val="1"/>
          <w:sz w:val="28"/>
          <w:szCs w:val="28"/>
          <w:highlight w:val="none"/>
        </w:rPr>
      </w:pPr>
      <w:r>
        <w:rPr>
          <w:rFonts w:hint="eastAsia" w:ascii="宋体" w:hAnsi="宋体" w:eastAsia="宋体" w:cs="宋体"/>
          <w:color w:val="auto"/>
          <w:spacing w:val="-4"/>
          <w:kern w:val="1"/>
          <w:sz w:val="28"/>
          <w:szCs w:val="28"/>
          <w:highlight w:val="none"/>
        </w:rPr>
        <w:t>26.4发包人不按合同约定支付工程款（进度款），双方又未达成延期付款协议，导致施工无法进行，承包人可停止施工，由发包人承担违约责任。</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75" w:name="_Toc134126046"/>
      <w:bookmarkStart w:id="76" w:name="_Toc128128831"/>
      <w:r>
        <w:rPr>
          <w:rFonts w:hint="eastAsia" w:ascii="宋体" w:hAnsi="宋体" w:eastAsia="宋体" w:cs="宋体"/>
          <w:b/>
          <w:color w:val="auto"/>
          <w:kern w:val="1"/>
          <w:szCs w:val="28"/>
          <w:highlight w:val="none"/>
        </w:rPr>
        <w:t>七、材料设备供应</w:t>
      </w:r>
      <w:bookmarkEnd w:id="75"/>
      <w:bookmarkEnd w:id="76"/>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77" w:name="_Toc134126047"/>
      <w:bookmarkStart w:id="78" w:name="_Toc128128832"/>
      <w:r>
        <w:rPr>
          <w:rFonts w:hint="eastAsia" w:ascii="宋体" w:hAnsi="宋体" w:eastAsia="宋体" w:cs="宋体"/>
          <w:color w:val="auto"/>
          <w:kern w:val="1"/>
          <w:sz w:val="28"/>
          <w:szCs w:val="28"/>
          <w:highlight w:val="none"/>
        </w:rPr>
        <w:t>27．发包人供应材料设备</w:t>
      </w:r>
      <w:bookmarkEnd w:id="77"/>
      <w:bookmarkEnd w:id="78"/>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27.1实行发包人供应材料设备的，双方应当约定发包人供应材料设备的一览表，作为本合同附件。一览表包括发包人供应材料设备的品种、规格、型号、数量、单价、质量等级、提供时间和地点。</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27.2发包人按一览表约定的内容提供材料设备，并向承包人提供产品合格证明，对其质量负责。发包人在所供材料设备到货前24小时，以书面形式通知承包人，由承包人派人与发包人共同清点。</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27.3发包人供应的材料设备，承包人派人参加清点后由承包人妥善保管，发包人支付相应保管费用。因承包人原因发生丢失损坏，由承包人负责赔偿。</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发包人未通知承包人清点，承包人不负责材料设备的保管，丢失损坏由发包人负责。</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27.4发包人供应的材料设备与一览表不符时，发包人承担有关责任。发包人应承担责任的具体内容，双方根据下列情况在专用条款内约定：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⑴材料设备单价与一览表不符，由发包人承担所有价差；</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⑵材料设备的品种、规格、型号、质量等级与一览表不符，承包人可拒绝接收保管，由发包人运出施工场地并重新采购；</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⑶发包人供应的材料规格、型号与一览表不符，经发包人同意，承包人可代为调剂串换，由发包人承担相应费用。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⑷到货地点与一览表不符，由发包人负责运至一览表指定地点；</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⑸供应数量少于一览表约定的数量时，由发包人补齐，多于一览表约定数量时，发包人负责将多出部分运出施工场地；</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⑹到货时间早于一览表约定时间，由发包人承担因此发生的保管费用；到货时间迟于一览表约定的供应时间，发包人赔偿由此造成的承包人损失，造成工期延误的，相应顺延工期。</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27.5发包人供应的材料设备使用前，由承包人负责检验或试验，不合格的不得使用，检验或试验费用由发包人承担。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27.6发包人供应材料设备的结算方法，双方在专用条款内约定。</w:t>
      </w:r>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79" w:name="_Toc134126048"/>
      <w:bookmarkStart w:id="80" w:name="_Toc128128833"/>
      <w:r>
        <w:rPr>
          <w:rFonts w:hint="eastAsia" w:ascii="宋体" w:hAnsi="宋体" w:eastAsia="宋体" w:cs="宋体"/>
          <w:color w:val="auto"/>
          <w:kern w:val="1"/>
          <w:sz w:val="28"/>
          <w:szCs w:val="28"/>
          <w:highlight w:val="none"/>
        </w:rPr>
        <w:t>28．承包人采购材料设备</w:t>
      </w:r>
      <w:bookmarkEnd w:id="79"/>
      <w:bookmarkEnd w:id="80"/>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见专用条款的约定。</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81" w:name="_Toc134126049"/>
      <w:bookmarkStart w:id="82" w:name="_Toc128128834"/>
      <w:r>
        <w:rPr>
          <w:rFonts w:hint="eastAsia" w:ascii="宋体" w:hAnsi="宋体" w:eastAsia="宋体" w:cs="宋体"/>
          <w:b/>
          <w:color w:val="auto"/>
          <w:kern w:val="1"/>
          <w:szCs w:val="28"/>
          <w:highlight w:val="none"/>
        </w:rPr>
        <w:t>八、工程变更：</w:t>
      </w:r>
      <w:bookmarkEnd w:id="81"/>
      <w:bookmarkEnd w:id="82"/>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83" w:name="_Toc128128835"/>
      <w:bookmarkStart w:id="84" w:name="_Toc134126050"/>
      <w:r>
        <w:rPr>
          <w:rFonts w:hint="eastAsia" w:ascii="宋体" w:hAnsi="宋体" w:eastAsia="宋体" w:cs="宋体"/>
          <w:color w:val="auto"/>
          <w:kern w:val="1"/>
          <w:sz w:val="28"/>
          <w:szCs w:val="28"/>
          <w:highlight w:val="none"/>
        </w:rPr>
        <w:t>29．工程设计变更</w:t>
      </w:r>
      <w:bookmarkEnd w:id="83"/>
      <w:bookmarkEnd w:id="84"/>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见专用条款的约定。</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85" w:name="_Toc134126051"/>
      <w:bookmarkStart w:id="86" w:name="_Toc128128836"/>
      <w:r>
        <w:rPr>
          <w:rFonts w:hint="eastAsia" w:ascii="宋体" w:hAnsi="宋体" w:eastAsia="宋体" w:cs="宋体"/>
          <w:color w:val="auto"/>
          <w:kern w:val="1"/>
          <w:sz w:val="28"/>
          <w:szCs w:val="28"/>
          <w:highlight w:val="none"/>
        </w:rPr>
        <w:t>30．其他变更</w:t>
      </w:r>
      <w:bookmarkEnd w:id="85"/>
      <w:bookmarkEnd w:id="86"/>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合同履行中发包人要求变更工程质量标准及发生其他实质性变更，由双方协商解决。</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87" w:name="_Toc134126052"/>
      <w:bookmarkStart w:id="88" w:name="_Toc128128837"/>
      <w:r>
        <w:rPr>
          <w:rFonts w:hint="eastAsia" w:ascii="宋体" w:hAnsi="宋体" w:eastAsia="宋体" w:cs="宋体"/>
          <w:color w:val="auto"/>
          <w:kern w:val="1"/>
          <w:sz w:val="28"/>
          <w:szCs w:val="28"/>
          <w:highlight w:val="none"/>
        </w:rPr>
        <w:t>31．确定变更价款</w:t>
      </w:r>
      <w:bookmarkEnd w:id="87"/>
      <w:bookmarkEnd w:id="88"/>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31.1承包人在工程变更确定后14天内，提出变更工程价款的报告，经监理工程师及发包人书面审核确认后调整合同价款。合同价款调整办法按专用条款规定执行。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31.2承包人在双方确定变更后14天内不向发包人提出变更工程价款书面报告时，视为该项变更不涉及合同价款的变更。</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31.3发包人应在收到变更工程价款报告之日起14天内予以确认。</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31.4发包人、承包人对新增、变更价款有争议的，按本合同专用条款约定处理。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31.5发包人书面审核确认增加的工程变更价款作为追加合同价款，与工程款同期支付。</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31.6非因发包人及设计单位书面要求而作出的设计变更，承包人无权要求追加合同价款。</w:t>
      </w:r>
    </w:p>
    <w:p>
      <w:pPr>
        <w:spacing w:line="560" w:lineRule="exact"/>
        <w:ind w:firstLine="565" w:firstLineChars="202"/>
        <w:rPr>
          <w:rFonts w:hint="eastAsia" w:ascii="宋体" w:hAnsi="宋体" w:eastAsia="宋体" w:cs="宋体"/>
          <w:b/>
          <w:color w:val="auto"/>
          <w:kern w:val="1"/>
          <w:sz w:val="28"/>
          <w:szCs w:val="28"/>
          <w:highlight w:val="none"/>
        </w:rPr>
      </w:pPr>
      <w:r>
        <w:rPr>
          <w:rFonts w:hint="eastAsia" w:ascii="宋体" w:hAnsi="宋体" w:eastAsia="宋体" w:cs="宋体"/>
          <w:color w:val="auto"/>
          <w:kern w:val="1"/>
          <w:sz w:val="28"/>
          <w:szCs w:val="28"/>
          <w:highlight w:val="none"/>
        </w:rPr>
        <w:t>31.7工程洽商及会议纪要不作为变更计量依据。</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89" w:name="_Toc128128838"/>
      <w:bookmarkStart w:id="90" w:name="_Toc134126053"/>
      <w:r>
        <w:rPr>
          <w:rFonts w:hint="eastAsia" w:ascii="宋体" w:hAnsi="宋体" w:eastAsia="宋体" w:cs="宋体"/>
          <w:b/>
          <w:color w:val="auto"/>
          <w:kern w:val="1"/>
          <w:szCs w:val="28"/>
          <w:highlight w:val="none"/>
        </w:rPr>
        <w:t>九、竣工验收与结算</w:t>
      </w:r>
      <w:bookmarkEnd w:id="89"/>
      <w:bookmarkEnd w:id="90"/>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91" w:name="_Toc134126054"/>
      <w:bookmarkStart w:id="92" w:name="_Toc128128839"/>
      <w:r>
        <w:rPr>
          <w:rFonts w:hint="eastAsia" w:ascii="宋体" w:hAnsi="宋体" w:eastAsia="宋体" w:cs="宋体"/>
          <w:color w:val="auto"/>
          <w:kern w:val="1"/>
          <w:sz w:val="28"/>
          <w:szCs w:val="28"/>
          <w:highlight w:val="none"/>
        </w:rPr>
        <w:t>32．竣工验收</w:t>
      </w:r>
      <w:bookmarkEnd w:id="91"/>
      <w:bookmarkEnd w:id="92"/>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32.1工程具备竣工验收条件，承包人按国家工程竣工验收有关规定，在15个工作日内向发包人提供完整竣工图、竣工资料及竣工验收报告。</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32.2发包人收到竣工验收报告后28天内组织有关单位验收，并在验收后14天内给予认可或提出修改意见。承包人按要求修改，并承担由自身原因造成修改的费用。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32.3发包人收到承包人送交的竣工验收报告后28天内不组织验收，应在此期间内向承包人说明未组织验收的原因并承诺在合理时间内及时组织验收。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32.4工程竣工验收通过，发包人书面认可竣工验收报告的日期为实际竣工日期。工程按发包人要求修改后通过竣工验收的，实际竣工日期为承包人修改后经发包人验收并书面认可的日期。</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32.5发包人收到承包人竣工验收报告后28天内不组织验收，从第29天起承担工程保管及一切意外责任。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32.6中间交工工程的范围和竣工时间，双方在专用条款内约定，其验收程序按本通用条款32.1款至32.4款办理。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32.7因特殊原因，发包人要求部分单位工程或工程部位甩项竣工的，双方另行签订甩项竣工协议，明确双方责任和工程价款的支付方法。</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32.8工程未经竣工验收或竣工验收未通过的，发包人不得使用。发包人强行使用时，由此发生的质量问题及其他问题，由发包人承担责任。</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93" w:name="_Toc128128840"/>
      <w:bookmarkStart w:id="94" w:name="_Toc134126055"/>
      <w:r>
        <w:rPr>
          <w:rFonts w:hint="eastAsia" w:ascii="宋体" w:hAnsi="宋体" w:eastAsia="宋体" w:cs="宋体"/>
          <w:color w:val="auto"/>
          <w:kern w:val="1"/>
          <w:sz w:val="28"/>
          <w:szCs w:val="28"/>
          <w:highlight w:val="none"/>
        </w:rPr>
        <w:t>33．竣工结算</w:t>
      </w:r>
      <w:bookmarkEnd w:id="93"/>
      <w:bookmarkEnd w:id="94"/>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33.1承包人应在工程通过竣工验收后60天内，将经监理工程师审核的完整的竣工图、竣工资料、竣工验收报告、工程结算报告和工程结算资料一式八份交发包人，不按时、按要求报送，按延误工期赔偿办法处理。双方按照协议书约定的合同价款及专用条款约定的合同价款调整范围，进行工程竣工结算。</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33.2发包人收到承包人按以上要求递交的所有资料后60天内对工程结算进行核实，给予确认或者提出修改意见。承包人在收到发包人对于竣工结算价款的书面核实意见后14天内将竣工工程交付发包人。发包人按专用条款相关规定拨付工程款。</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33.3发包人在核实工程结算价款后28天内无正当理由不支付工程竣工结算价款，从第29天起按承包人同期向银行贷款利率支付拖欠工程价款的利息，并承担违约责任。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33.4工程竣工验收报告经发包人认可后40天内，承包人未能按要求向发包人递交完整的竣工图、竣工资料、竣工验收报告、工程结算报告和工程结算资料，造成工程竣工结算不能正常进行或工程竣工结算价款不能及时支付，发包人要求交付工程的，承包人应当交付；发包人不要求交付工程的，承包人承担保管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33.5发包人承包人对工程竣工结算价款发生争议时，按本通用条款37条关于争议的约定处理。</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95" w:name="_Toc128128841"/>
      <w:bookmarkStart w:id="96" w:name="_Toc134126056"/>
      <w:r>
        <w:rPr>
          <w:rFonts w:hint="eastAsia" w:ascii="宋体" w:hAnsi="宋体" w:eastAsia="宋体" w:cs="宋体"/>
          <w:color w:val="auto"/>
          <w:kern w:val="1"/>
          <w:sz w:val="28"/>
          <w:szCs w:val="28"/>
          <w:highlight w:val="none"/>
        </w:rPr>
        <w:t>34．质量保修</w:t>
      </w:r>
      <w:bookmarkEnd w:id="95"/>
      <w:bookmarkEnd w:id="96"/>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34.1承包人应按法律、行政法规或国家关于工程质量保修的有关规定，对交付发包人使用的工程在质量保修期内承包质量保修责任。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34.2质量保修工作的实施。承包人应在工程竣工验收之前，与发包人签订质量保修书，作为本合同附件（附件1）。</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34.3质量保修书的主要内容包括：</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⑴质量保修项目内容及范围；</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⑵质量保修期；</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⑶质量保修责任；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⑷质量保修金的支付方法。</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97" w:name="_Toc128128842"/>
      <w:bookmarkStart w:id="98" w:name="_Toc134126057"/>
      <w:r>
        <w:rPr>
          <w:rFonts w:hint="eastAsia" w:ascii="宋体" w:hAnsi="宋体" w:eastAsia="宋体" w:cs="宋体"/>
          <w:b/>
          <w:color w:val="auto"/>
          <w:kern w:val="1"/>
          <w:szCs w:val="28"/>
          <w:highlight w:val="none"/>
        </w:rPr>
        <w:t>十、违约、索赔和争议</w:t>
      </w:r>
      <w:bookmarkEnd w:id="97"/>
      <w:bookmarkEnd w:id="98"/>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99" w:name="_Toc134126058"/>
      <w:bookmarkStart w:id="100" w:name="_Toc128128843"/>
      <w:r>
        <w:rPr>
          <w:rFonts w:hint="eastAsia" w:ascii="宋体" w:hAnsi="宋体" w:eastAsia="宋体" w:cs="宋体"/>
          <w:color w:val="auto"/>
          <w:kern w:val="1"/>
          <w:sz w:val="28"/>
          <w:szCs w:val="28"/>
          <w:highlight w:val="none"/>
        </w:rPr>
        <w:t>35．违约</w:t>
      </w:r>
      <w:bookmarkEnd w:id="99"/>
      <w:bookmarkEnd w:id="100"/>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35.1发包人违约。当发生下列情况时：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⑴本通用条款第24条提到的发包人不按时支付工程预付款；</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⑵本通用条款第26.4款提到的发包人不按合同约定支付工程款，导致施工无法进行；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⑶本通用条款第33.3款提到的发包人无正当理由不支付工程竣工结算价款；</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⑷发包人不履行合同义务或不按合同约定履行义务的其他情况。</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发包人承担违约责任，赔偿因其违约给承包人造成的经济损失，顺延延误的工期。双方在专用条款内约定发包人赔偿承包人损失的计算方法或者发包人应当支付违约金的数额或计算方法。</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35.2承包人违约。当发生下列情况时：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⑴本通用条款第14.2款提到的因承包人原因不能按照协议书约定的竣工日期或工程师同意顺延的工期竣工；</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⑵本通用条款第15.1款提到的因承包人原因工程质量达不到协议书约定的质量标准；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⑶承包人不履行合同义务或不按合同约定履行义务的其他情况。</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承包人承担违约责任，赔偿因其违约给发包人造成的损失。双方在专用条款内约定承包人赔偿发包人损失的计算方法或者承包人应当支付违约金的数额或计算方法。</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35.3一方违约后，另一方要求违约方继续履行合同时，违约方承担上述违约责任后仍应继续履行合同。</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01" w:name="_Toc128128844"/>
      <w:bookmarkStart w:id="102" w:name="_Toc134126059"/>
      <w:r>
        <w:rPr>
          <w:rFonts w:hint="eastAsia" w:ascii="宋体" w:hAnsi="宋体" w:eastAsia="宋体" w:cs="宋体"/>
          <w:color w:val="auto"/>
          <w:kern w:val="1"/>
          <w:sz w:val="28"/>
          <w:szCs w:val="28"/>
          <w:highlight w:val="none"/>
        </w:rPr>
        <w:t>36．索赔</w:t>
      </w:r>
      <w:bookmarkEnd w:id="101"/>
      <w:bookmarkEnd w:id="102"/>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36.1当一方向另一方提出索赔时，要有正当索赔理由，且有索赔事件发生时的有效证据。</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⑴索赔事件发生后28天内，向工程师发生索赔意向通知；</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⑵发生索赔意向通知后28天内，向工程师提出延长工期和（或）补偿经济损失的索赔报告及有关资料；</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⑶工程师在收到承包人送交的索赔报告和有关资料后，于28天内给予答复，或要求承包进一步补充索赔理由和证据；</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⑷当该索赔事件持续进行时，承包人庆当阶段性向工程师发出索赔意向，在索赔事件终了后28天内，向工程师送交索赔的有关资料和最终索赔报告。索赔答复程序与（3）规定相同。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36.3承包人未能按合同约定履行自己的各项义务或发生错误，给发包人造成经济损失，发包人可按36.2款确定的时限向承包人提出索赔。</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03" w:name="_Toc134126060"/>
      <w:bookmarkStart w:id="104" w:name="_Toc128128845"/>
      <w:r>
        <w:rPr>
          <w:rFonts w:hint="eastAsia" w:ascii="宋体" w:hAnsi="宋体" w:eastAsia="宋体" w:cs="宋体"/>
          <w:color w:val="auto"/>
          <w:kern w:val="1"/>
          <w:sz w:val="28"/>
          <w:szCs w:val="28"/>
          <w:highlight w:val="none"/>
        </w:rPr>
        <w:t>37．争议</w:t>
      </w:r>
      <w:bookmarkEnd w:id="103"/>
      <w:bookmarkEnd w:id="104"/>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37.1合同争议的解决方式</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本合同在履行过程中发生的争议，由当事人双方协商解决。协商不成时，按下列第</w:t>
      </w:r>
      <w:r>
        <w:rPr>
          <w:rFonts w:hint="eastAsia" w:ascii="宋体" w:hAnsi="宋体" w:eastAsia="宋体" w:cs="宋体"/>
          <w:color w:val="auto"/>
          <w:kern w:val="1"/>
          <w:sz w:val="28"/>
          <w:szCs w:val="28"/>
          <w:highlight w:val="none"/>
          <w:u w:val="single"/>
        </w:rPr>
        <w:t xml:space="preserve">    </w:t>
      </w:r>
      <w:r>
        <w:rPr>
          <w:rFonts w:hint="eastAsia" w:ascii="宋体" w:hAnsi="宋体" w:eastAsia="宋体" w:cs="宋体"/>
          <w:color w:val="auto"/>
          <w:kern w:val="1"/>
          <w:sz w:val="28"/>
          <w:szCs w:val="28"/>
          <w:highlight w:val="none"/>
        </w:rPr>
        <w:t>种方式解决。</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⑴提交</w:t>
      </w:r>
      <w:r>
        <w:rPr>
          <w:rFonts w:hint="eastAsia" w:ascii="宋体" w:hAnsi="宋体" w:eastAsia="宋体" w:cs="宋体"/>
          <w:color w:val="auto"/>
          <w:kern w:val="1"/>
          <w:sz w:val="28"/>
          <w:szCs w:val="28"/>
          <w:highlight w:val="none"/>
          <w:u w:val="single"/>
        </w:rPr>
        <w:t xml:space="preserve">    </w:t>
      </w:r>
      <w:r>
        <w:rPr>
          <w:rFonts w:hint="eastAsia" w:ascii="宋体" w:hAnsi="宋体" w:eastAsia="宋体" w:cs="宋体"/>
          <w:color w:val="auto"/>
          <w:kern w:val="1"/>
          <w:sz w:val="28"/>
          <w:szCs w:val="28"/>
          <w:highlight w:val="none"/>
        </w:rPr>
        <w:t>仲裁委员会仲裁；</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⑵依法向人民法院起诉。</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37.2发生争议后，除非出现下列情况的，双方都应继续履行合同，保持施工连续，保护好已完工程：</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⑴单方违约导致合同确已无法履行，双方协议停止施工；</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⑵调解要求停止施工，且为双方接受；</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⑶仲裁机构要求停止施工；</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⑷法院要求停止施工。</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105" w:name="_Toc134126061"/>
      <w:bookmarkStart w:id="106" w:name="_Toc128128846"/>
      <w:r>
        <w:rPr>
          <w:rFonts w:hint="eastAsia" w:ascii="宋体" w:hAnsi="宋体" w:eastAsia="宋体" w:cs="宋体"/>
          <w:b/>
          <w:color w:val="auto"/>
          <w:kern w:val="1"/>
          <w:szCs w:val="28"/>
          <w:highlight w:val="none"/>
        </w:rPr>
        <w:t>十一、其他</w:t>
      </w:r>
      <w:bookmarkEnd w:id="105"/>
      <w:bookmarkEnd w:id="106"/>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07" w:name="_Toc128128847"/>
      <w:bookmarkStart w:id="108" w:name="_Toc134126062"/>
      <w:r>
        <w:rPr>
          <w:rFonts w:hint="eastAsia" w:ascii="宋体" w:hAnsi="宋体" w:eastAsia="宋体" w:cs="宋体"/>
          <w:color w:val="auto"/>
          <w:kern w:val="1"/>
          <w:sz w:val="28"/>
          <w:szCs w:val="28"/>
          <w:highlight w:val="none"/>
        </w:rPr>
        <w:t>38．工程分包</w:t>
      </w:r>
      <w:bookmarkEnd w:id="107"/>
      <w:bookmarkEnd w:id="108"/>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38.1承包人按专用条款的约定分包所承包的部分工程，并与分包单位签订分包合同。非经发包人书面同意，承包人不得将承包工程的任意部分分包。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38.2承包人不得将其承包的全部工程转包给他人，也不得将其承包的全部工程肢解以后以分包的名义分别转包给他人。</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38.3工程分包不能解除承包人任何责任与义务。承包人应在分包场地派驻相应管理人员，保证本合同的履行。分包单位的任何违约行为或疏忽导致工程损害或给发包人造成其他损失，承包人承担连带责任。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38.4分包工程价款由承包人与分包单位结算。发包人未经承包人同意不得以任何形式向分包单位支付各种工程款项。</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09" w:name="_Toc128128848"/>
      <w:bookmarkStart w:id="110" w:name="_Toc134126063"/>
      <w:r>
        <w:rPr>
          <w:rFonts w:hint="eastAsia" w:ascii="宋体" w:hAnsi="宋体" w:eastAsia="宋体" w:cs="宋体"/>
          <w:color w:val="auto"/>
          <w:kern w:val="1"/>
          <w:sz w:val="28"/>
          <w:szCs w:val="28"/>
          <w:highlight w:val="none"/>
        </w:rPr>
        <w:t>39．不可抗力</w:t>
      </w:r>
      <w:bookmarkEnd w:id="109"/>
      <w:bookmarkEnd w:id="110"/>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39.1不可抗力包括因战争、动乱、空中飞行物体坠落或其他非发包人承包人责任造成的爆炸、火灾，以及专用条款约定的风、雨、雪、洪、震等自然灾害。</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的损失情况，及预计清理和修复的费用。不可抗力事件持续发生，承包人应每隔7天向工程师报告一次受害情况。不可抗力事件结束后14天内，承包人向工程师提交清理和修复费用的正式报告及有关资料。</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39.3因不可抗力事件导致的费用及延误的工期由双方按以下方法分别承担：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⑴工程本身的损害、因工程损害导致第三人人员伤亡和财产损失以及运至施工场地用于施工的材料和待安装的设备的损害，由发包人承担；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⑵发包人承包人人员伤亡由其所在单位负责，并承担相应费用；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⑶承包人机械设备损坏及停工损失，由承包人承担；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⑷停工期间，承包人应工程师要求留在施工场地的必要的管理人员及保卫人员的费用由发包人承担；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⑸工程所需清理、修复费用，由发包人承担；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⑹延误的工期相应顺延。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39.4因合同一方迟延履行合同后发生不可抗力的，不能免除迟延履行方的相应责任。</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11" w:name="_Toc128128849"/>
      <w:bookmarkStart w:id="112" w:name="_Toc134126064"/>
      <w:r>
        <w:rPr>
          <w:rFonts w:hint="eastAsia" w:ascii="宋体" w:hAnsi="宋体" w:eastAsia="宋体" w:cs="宋体"/>
          <w:color w:val="auto"/>
          <w:kern w:val="1"/>
          <w:sz w:val="28"/>
          <w:szCs w:val="28"/>
          <w:highlight w:val="none"/>
        </w:rPr>
        <w:t>40．保险</w:t>
      </w:r>
      <w:bookmarkEnd w:id="111"/>
      <w:bookmarkEnd w:id="112"/>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40.1工程开工前，发包人为建设工程和施工场地内的自有人员及三人人员生命财产办理保险，支付保险费用。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40.2运至施工场地内用于工程的材料和待安装设备，由发包人办理保险，并支付保险费用。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40.3发包人可以将有关保险事项委托承包人办理，费用由发包人承担。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40.4承包人必须为从事危险作业的职工办理意外伤害保险，并为施工场地内自有人员生命财产和施工机械设备办理保险，支付保险费用。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40.5保险事故发生后，发包人承包人有责任尽力采取必要的措施，防止或者减少损失。</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40.6具体投保内容和相关责任，发包人承包人在专用条款中约定。</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13" w:name="_Toc134126065"/>
      <w:bookmarkStart w:id="114" w:name="_Toc128128850"/>
      <w:r>
        <w:rPr>
          <w:rFonts w:hint="eastAsia" w:ascii="宋体" w:hAnsi="宋体" w:eastAsia="宋体" w:cs="宋体"/>
          <w:color w:val="auto"/>
          <w:kern w:val="1"/>
          <w:sz w:val="28"/>
          <w:szCs w:val="28"/>
          <w:highlight w:val="none"/>
        </w:rPr>
        <w:t>41．担保</w:t>
      </w:r>
      <w:bookmarkEnd w:id="113"/>
      <w:bookmarkEnd w:id="114"/>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41.1发包人承包人为了全面履行合同，应互相提供以下担保：</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⑴发包人向承包人提供履约担保，按合同约定支付工程价款及履行合同约定的其他义务；</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⑵承包人向发包人提供履约担保，按合同约定履行自己的各项义务。</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41.2一方违约后，另一方可要求提供担保的第三人承担相应责任。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41.3提供担保的内容、方式和相关责任，发包人承包人除在专用条款中约定外，被担保方与担保方还应签订担保合同，作为本合同附件。</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15" w:name="_Toc134126066"/>
      <w:bookmarkStart w:id="116" w:name="_Toc128128851"/>
      <w:r>
        <w:rPr>
          <w:rFonts w:hint="eastAsia" w:ascii="宋体" w:hAnsi="宋体" w:eastAsia="宋体" w:cs="宋体"/>
          <w:color w:val="auto"/>
          <w:kern w:val="1"/>
          <w:sz w:val="28"/>
          <w:szCs w:val="28"/>
          <w:highlight w:val="none"/>
        </w:rPr>
        <w:t>42．专利技术及特殊工艺</w:t>
      </w:r>
      <w:bookmarkEnd w:id="115"/>
      <w:bookmarkEnd w:id="116"/>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42.1发包人要求使用专利技术或特殊工艺，应负责办理相应的申报手续，承担申报、试验、使用等费用；承包人提出使用专利技术或特殊工艺，应取得工程师认可，承包人负责办理申报手续并承担有关费用。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42.2擅自使用专利技术侵犯他人专利权的，责任者依法承担相应责任。</w:t>
      </w:r>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117" w:name="_Toc134126067"/>
      <w:r>
        <w:rPr>
          <w:rFonts w:hint="eastAsia" w:ascii="宋体" w:hAnsi="宋体" w:eastAsia="宋体" w:cs="宋体"/>
          <w:color w:val="auto"/>
          <w:kern w:val="1"/>
          <w:sz w:val="28"/>
          <w:szCs w:val="28"/>
          <w:highlight w:val="none"/>
        </w:rPr>
        <w:t>43．文物和地下障碍物</w:t>
      </w:r>
      <w:bookmarkEnd w:id="117"/>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如发现后隐瞒不报，致使文物遭受破坏，责任者依法承担相应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43.2施工中发现影响施工的地下障碍物时，承包人应于8小时内以书面形式通知工程师，同时提出处置方案，工程师收到处置方案后24小时内予以认可或提出修正方案。发包人承担由此发生的费用，顺延延误的工期。</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所发现的地下障碍物有归属单位时，发包人应报请有关部门协同处置。</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18" w:name="_Toc128128852"/>
      <w:bookmarkStart w:id="119" w:name="_Toc134126068"/>
      <w:r>
        <w:rPr>
          <w:rFonts w:hint="eastAsia" w:ascii="宋体" w:hAnsi="宋体" w:eastAsia="宋体" w:cs="宋体"/>
          <w:color w:val="auto"/>
          <w:kern w:val="1"/>
          <w:sz w:val="28"/>
          <w:szCs w:val="28"/>
          <w:highlight w:val="none"/>
        </w:rPr>
        <w:t>44．合同解除</w:t>
      </w:r>
      <w:bookmarkEnd w:id="118"/>
      <w:bookmarkEnd w:id="119"/>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44.1发包人承包人协商一致，可以解除合同。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44.2发生本通用条款第26.4款情况，停止施工超过56天，发包人仍不支付工程款（进度款），承包人有权解除合同。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44.3发生本通用条款第38.2款禁止的情况，承包人将其承包的全部工程转包给他人或者肢解以后以分包的名义分别转包给他人，发包人有权解除合同。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44.4有下列情形之一的，发包人承包人可以解除合同：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⑴因不可抗力致使合同无法履行；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⑵因一方违约致使合同无法履行。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44.5一方依据44.2、44.3、44.4款约定要求解除合同的，应以书面形式向对方发出解除合同的通知，并在发出通知前7天告知对方，通知到达对方时合同解除。对解除合同有争议的，按本通用条款第37条关于争议的约定处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44.7合同解除后，不影响双方在合同中约定的结算和清理条款的效力。</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20" w:name="_Toc134126069"/>
      <w:bookmarkStart w:id="121" w:name="_Toc128128853"/>
      <w:r>
        <w:rPr>
          <w:rFonts w:hint="eastAsia" w:ascii="宋体" w:hAnsi="宋体" w:eastAsia="宋体" w:cs="宋体"/>
          <w:color w:val="auto"/>
          <w:kern w:val="1"/>
          <w:sz w:val="28"/>
          <w:szCs w:val="28"/>
          <w:highlight w:val="none"/>
        </w:rPr>
        <w:t>45．合同生效与终止</w:t>
      </w:r>
      <w:bookmarkEnd w:id="120"/>
      <w:bookmarkEnd w:id="121"/>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45.1双方在协议书中约定合同生效方式。</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45.2除本通用条款第34条外，发包人承包人履行合同全部义务，承包人向发包人交付竣工工程且竣工结算价款支付完毕后，本合同即告终止。</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45.3合同的权利义务终止后，发包人承包人应当遵循诚实信用原则，履行通知、协助、保密等义务。</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22" w:name="_Toc128128854"/>
      <w:bookmarkStart w:id="123" w:name="_Toc134126070"/>
      <w:r>
        <w:rPr>
          <w:rFonts w:hint="eastAsia" w:ascii="宋体" w:hAnsi="宋体" w:eastAsia="宋体" w:cs="宋体"/>
          <w:color w:val="auto"/>
          <w:kern w:val="1"/>
          <w:sz w:val="28"/>
          <w:szCs w:val="28"/>
          <w:highlight w:val="none"/>
        </w:rPr>
        <w:t>46．合同份数</w:t>
      </w:r>
      <w:bookmarkEnd w:id="122"/>
      <w:bookmarkEnd w:id="123"/>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46.1本合同一式13份，发包人执10份，承包人执3份，具有同等法律效力。</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24" w:name="_Toc134126071"/>
      <w:bookmarkStart w:id="125" w:name="_Toc128128855"/>
      <w:r>
        <w:rPr>
          <w:rFonts w:hint="eastAsia" w:ascii="宋体" w:hAnsi="宋体" w:eastAsia="宋体" w:cs="宋体"/>
          <w:color w:val="auto"/>
          <w:kern w:val="1"/>
          <w:sz w:val="28"/>
          <w:szCs w:val="28"/>
          <w:highlight w:val="none"/>
        </w:rPr>
        <w:t>47．补充条款</w:t>
      </w:r>
      <w:bookmarkEnd w:id="124"/>
      <w:bookmarkEnd w:id="125"/>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双方根据有关法律、行政法规规定，结合工程实际，发包人承包人经协商一致后，可对本通用条款内容具体化、补充或修改，在专用条款内约定。</w:t>
      </w:r>
    </w:p>
    <w:p>
      <w:pPr>
        <w:spacing w:line="560" w:lineRule="exact"/>
        <w:ind w:firstLine="565" w:firstLineChars="202"/>
        <w:rPr>
          <w:rFonts w:hint="eastAsia" w:ascii="宋体" w:hAnsi="宋体" w:eastAsia="宋体" w:cs="宋体"/>
          <w:color w:val="auto"/>
          <w:kern w:val="1"/>
          <w:sz w:val="28"/>
          <w:szCs w:val="28"/>
          <w:highlight w:val="none"/>
        </w:rPr>
      </w:pPr>
    </w:p>
    <w:p>
      <w:pPr>
        <w:spacing w:line="560" w:lineRule="exact"/>
        <w:ind w:firstLine="565" w:firstLineChars="202"/>
        <w:rPr>
          <w:rFonts w:hint="eastAsia" w:ascii="宋体" w:hAnsi="宋体" w:eastAsia="宋体" w:cs="宋体"/>
          <w:color w:val="auto"/>
          <w:kern w:val="1"/>
          <w:sz w:val="28"/>
          <w:szCs w:val="28"/>
          <w:highlight w:val="none"/>
        </w:rPr>
        <w:sectPr>
          <w:pgSz w:w="11906" w:h="16838"/>
          <w:pgMar w:top="1361" w:right="1588" w:bottom="1361" w:left="1588" w:header="851" w:footer="851" w:gutter="0"/>
          <w:cols w:space="720" w:num="1"/>
        </w:sectPr>
      </w:pPr>
    </w:p>
    <w:p>
      <w:pPr>
        <w:pStyle w:val="2"/>
        <w:numPr>
          <w:ilvl w:val="0"/>
          <w:numId w:val="0"/>
        </w:numPr>
        <w:spacing w:line="560" w:lineRule="exact"/>
        <w:ind w:left="-2" w:leftChars="-1" w:firstLine="1"/>
        <w:jc w:val="center"/>
        <w:rPr>
          <w:rFonts w:hint="eastAsia" w:ascii="宋体" w:hAnsi="宋体" w:eastAsia="宋体" w:cs="宋体"/>
          <w:b w:val="0"/>
          <w:color w:val="auto"/>
          <w:sz w:val="28"/>
          <w:szCs w:val="28"/>
          <w:highlight w:val="none"/>
        </w:rPr>
      </w:pPr>
      <w:bookmarkStart w:id="126" w:name="_Toc128128856"/>
      <w:bookmarkStart w:id="127" w:name="_Toc134126072"/>
      <w:r>
        <w:rPr>
          <w:rFonts w:hint="eastAsia" w:ascii="宋体" w:hAnsi="宋体" w:eastAsia="宋体" w:cs="宋体"/>
          <w:color w:val="auto"/>
          <w:sz w:val="28"/>
          <w:szCs w:val="28"/>
          <w:highlight w:val="none"/>
        </w:rPr>
        <w:t xml:space="preserve">第三部分  </w:t>
      </w:r>
      <w:r>
        <w:rPr>
          <w:rFonts w:hint="eastAsia" w:ascii="宋体" w:hAnsi="宋体" w:eastAsia="宋体" w:cs="宋体"/>
          <w:color w:val="auto"/>
          <w:kern w:val="1"/>
          <w:sz w:val="28"/>
          <w:szCs w:val="28"/>
          <w:highlight w:val="none"/>
        </w:rPr>
        <w:t>专用</w:t>
      </w:r>
      <w:r>
        <w:rPr>
          <w:rFonts w:hint="eastAsia" w:ascii="宋体" w:hAnsi="宋体" w:eastAsia="宋体" w:cs="宋体"/>
          <w:color w:val="auto"/>
          <w:sz w:val="28"/>
          <w:szCs w:val="28"/>
          <w:highlight w:val="none"/>
        </w:rPr>
        <w:t>条款</w:t>
      </w:r>
      <w:bookmarkEnd w:id="126"/>
      <w:bookmarkEnd w:id="127"/>
    </w:p>
    <w:p>
      <w:pPr>
        <w:spacing w:line="560" w:lineRule="exact"/>
        <w:ind w:firstLine="568" w:firstLineChars="202"/>
        <w:rPr>
          <w:rFonts w:hint="eastAsia" w:ascii="宋体" w:hAnsi="宋体" w:eastAsia="宋体" w:cs="宋体"/>
          <w:b/>
          <w:color w:val="auto"/>
          <w:sz w:val="28"/>
          <w:szCs w:val="28"/>
          <w:highlight w:val="none"/>
        </w:rPr>
      </w:pP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128" w:name="_Toc134126073"/>
      <w:bookmarkStart w:id="129" w:name="_Toc128128857"/>
      <w:r>
        <w:rPr>
          <w:rFonts w:hint="eastAsia" w:ascii="宋体" w:hAnsi="宋体" w:eastAsia="宋体" w:cs="宋体"/>
          <w:b/>
          <w:color w:val="auto"/>
          <w:kern w:val="1"/>
          <w:szCs w:val="28"/>
          <w:highlight w:val="none"/>
        </w:rPr>
        <w:t>一、词语定义及合同文件</w:t>
      </w:r>
      <w:bookmarkEnd w:id="128"/>
      <w:bookmarkEnd w:id="129"/>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130" w:name="_Toc134126074"/>
      <w:bookmarkStart w:id="131" w:name="_Toc128128858"/>
      <w:r>
        <w:rPr>
          <w:rFonts w:hint="eastAsia" w:ascii="宋体" w:hAnsi="宋体" w:eastAsia="宋体" w:cs="宋体"/>
          <w:color w:val="auto"/>
          <w:kern w:val="1"/>
          <w:sz w:val="28"/>
          <w:szCs w:val="28"/>
          <w:highlight w:val="none"/>
        </w:rPr>
        <w:t>1．词语定义</w:t>
      </w:r>
      <w:bookmarkEnd w:id="130"/>
      <w:bookmarkEnd w:id="131"/>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未使用部分仍归发包人所有。</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32" w:name="_Toc134126075"/>
      <w:bookmarkStart w:id="133" w:name="_Toc128128859"/>
      <w:r>
        <w:rPr>
          <w:rFonts w:hint="eastAsia" w:ascii="宋体" w:hAnsi="宋体" w:eastAsia="宋体" w:cs="宋体"/>
          <w:color w:val="auto"/>
          <w:kern w:val="1"/>
          <w:sz w:val="28"/>
          <w:szCs w:val="28"/>
          <w:highlight w:val="none"/>
        </w:rPr>
        <w:t>2、合同文件及解释顺序</w:t>
      </w:r>
      <w:bookmarkEnd w:id="132"/>
      <w:bookmarkEnd w:id="133"/>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下列组成本合同的文件是一个合同整体，彼此应当能相互解释，互为说明。当出现相互矛盾时，组成本合同文件的优先解释顺序如下：</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kern w:val="1"/>
          <w:sz w:val="28"/>
          <w:szCs w:val="28"/>
          <w:highlight w:val="none"/>
        </w:rPr>
        <w:t>（1）本合同履行期间发包人与承包人双方签订的补充合同（协议）或修正文件；</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（2）本合同协议书</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（3）中标通知书</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（4）本合同专用条款</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（5）本合同通用条款</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（6）招标文件（包括补充、修改、澄清文件、答疑纪要、工程量清单及总说明等）</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（7）投标文件及其附件（含投标文件澄清等）</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（8）标准、规范及有关技术文件</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（9）双方确认的施工图纸</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（10）组成合同的其他文件</w:t>
      </w:r>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134" w:name="_Toc128128860"/>
      <w:bookmarkStart w:id="135" w:name="_Toc134126076"/>
      <w:r>
        <w:rPr>
          <w:rFonts w:hint="eastAsia" w:ascii="宋体" w:hAnsi="宋体" w:eastAsia="宋体" w:cs="宋体"/>
          <w:color w:val="auto"/>
          <w:kern w:val="1"/>
          <w:sz w:val="28"/>
          <w:szCs w:val="28"/>
          <w:highlight w:val="none"/>
        </w:rPr>
        <w:t>3、语言文字和适用法律、标准及规范</w:t>
      </w:r>
      <w:bookmarkEnd w:id="134"/>
      <w:bookmarkEnd w:id="135"/>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3.1本合同只使用汉语语言文字。</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3.2适用法律和法规</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需要明示的法律、行政法规：</w:t>
      </w:r>
      <w:r>
        <w:rPr>
          <w:rFonts w:hint="eastAsia" w:ascii="宋体" w:hAnsi="宋体" w:eastAsia="宋体" w:cs="宋体"/>
          <w:color w:val="auto"/>
          <w:sz w:val="28"/>
          <w:szCs w:val="28"/>
          <w:highlight w:val="none"/>
          <w:u w:val="single"/>
        </w:rPr>
        <w:t>《中华人民共和国民法典》、《中华人民共和国建筑法》、《中华人民共和国招投标法》、《建筑工程质量管理条例》、《广东省建设工程造价管理规定》、《建设工程施工发包与承包价格暂行规定》及现行有关法律法规。</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3.3适用标准、规范：</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适用标准、规范的名称：</w:t>
      </w:r>
      <w:r>
        <w:rPr>
          <w:rFonts w:hint="eastAsia" w:ascii="宋体" w:hAnsi="宋体" w:eastAsia="宋体" w:cs="宋体"/>
          <w:color w:val="auto"/>
          <w:sz w:val="28"/>
          <w:szCs w:val="28"/>
          <w:highlight w:val="none"/>
          <w:u w:val="single"/>
        </w:rPr>
        <w:t>现行最新发布适用于建筑工程的国家规范、行业标准。</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发包人提供标准、规范的时间：</w:t>
      </w:r>
      <w:r>
        <w:rPr>
          <w:rFonts w:hint="eastAsia" w:ascii="宋体" w:hAnsi="宋体" w:eastAsia="宋体" w:cs="宋体"/>
          <w:color w:val="auto"/>
          <w:sz w:val="28"/>
          <w:szCs w:val="28"/>
          <w:highlight w:val="none"/>
          <w:u w:val="single"/>
        </w:rPr>
        <w:t>由承包人自备。</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国内没有相应标准、规范时的约定：</w:t>
      </w:r>
      <w:r>
        <w:rPr>
          <w:rFonts w:hint="eastAsia" w:ascii="宋体" w:hAnsi="宋体" w:eastAsia="宋体" w:cs="宋体"/>
          <w:color w:val="auto"/>
          <w:sz w:val="28"/>
          <w:szCs w:val="28"/>
          <w:highlight w:val="none"/>
          <w:u w:val="single"/>
        </w:rPr>
        <w:t>发包人提供需求，承包人提供具体技术方案及施工工艺，经发包人及监理书面确认后执行。</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3.4承包人必须接受政府有关部门对本工程的监督，并无条件配合政府指定的审计机构的审计。</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36" w:name="_Toc134126077"/>
      <w:bookmarkStart w:id="137" w:name="_Toc128128861"/>
      <w:r>
        <w:rPr>
          <w:rFonts w:hint="eastAsia" w:ascii="宋体" w:hAnsi="宋体" w:eastAsia="宋体" w:cs="宋体"/>
          <w:color w:val="auto"/>
          <w:kern w:val="1"/>
          <w:sz w:val="28"/>
          <w:szCs w:val="28"/>
          <w:highlight w:val="none"/>
        </w:rPr>
        <w:t>4、图纸</w:t>
      </w:r>
      <w:bookmarkEnd w:id="136"/>
      <w:bookmarkEnd w:id="137"/>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4.1发包人向承包人提供图纸日期和套数：</w:t>
      </w:r>
      <w:r>
        <w:rPr>
          <w:rFonts w:hint="eastAsia" w:ascii="宋体" w:hAnsi="宋体" w:eastAsia="宋体" w:cs="宋体"/>
          <w:color w:val="auto"/>
          <w:sz w:val="28"/>
          <w:szCs w:val="28"/>
          <w:highlight w:val="none"/>
          <w:u w:val="single"/>
        </w:rPr>
        <w:t>发包人在开工前提供</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套经双方确定的施工图纸。承包人确需增加图纸套数的，发包人应予以同意，所需费用由承包人自行承担。</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发包人对图纸的保密要求：</w:t>
      </w:r>
      <w:r>
        <w:rPr>
          <w:rFonts w:hint="eastAsia" w:ascii="宋体" w:hAnsi="宋体" w:eastAsia="宋体" w:cs="宋体"/>
          <w:color w:val="auto"/>
          <w:sz w:val="28"/>
          <w:szCs w:val="28"/>
          <w:highlight w:val="none"/>
          <w:u w:val="single"/>
        </w:rPr>
        <w:t>由发包人提供的图纸、文件等，未经发包人许可，承包人不得用于或转借、出让、泄露给第三方。保密措施费用由承包人自行承担。</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4.4本合同委托范围涉及专业工程图纸的深化设计要求：按发包人发布的</w:t>
      </w:r>
      <w:bookmarkStart w:id="138" w:name="_Hlk132967125"/>
      <w:r>
        <w:rPr>
          <w:rFonts w:hint="eastAsia" w:ascii="宋体" w:hAnsi="宋体" w:eastAsia="宋体" w:cs="宋体"/>
          <w:color w:val="auto"/>
          <w:sz w:val="28"/>
          <w:szCs w:val="28"/>
          <w:highlight w:val="none"/>
        </w:rPr>
        <w:t>施工</w:t>
      </w:r>
      <w:bookmarkEnd w:id="138"/>
      <w:r>
        <w:rPr>
          <w:rFonts w:hint="eastAsia" w:ascii="宋体" w:hAnsi="宋体" w:eastAsia="宋体" w:cs="宋体"/>
          <w:color w:val="auto"/>
          <w:sz w:val="28"/>
          <w:szCs w:val="28"/>
          <w:highlight w:val="none"/>
        </w:rPr>
        <w:t>图纸、技术需求书及招标文件要求对本项目进行深化设计（具体以发包人要求为准），</w:t>
      </w:r>
      <w:bookmarkStart w:id="139" w:name="_Hlk132979699"/>
      <w:r>
        <w:rPr>
          <w:rFonts w:hint="eastAsia" w:ascii="宋体" w:hAnsi="宋体" w:eastAsia="宋体" w:cs="宋体"/>
          <w:color w:val="auto"/>
          <w:sz w:val="28"/>
          <w:szCs w:val="28"/>
          <w:highlight w:val="none"/>
        </w:rPr>
        <w:t>深化设计图纸必须经相关设计单位及发包人审核确认才能实施，</w:t>
      </w:r>
      <w:bookmarkEnd w:id="139"/>
      <w:r>
        <w:rPr>
          <w:rFonts w:hint="eastAsia" w:ascii="宋体" w:hAnsi="宋体" w:eastAsia="宋体" w:cs="宋体"/>
          <w:color w:val="auto"/>
          <w:sz w:val="28"/>
          <w:szCs w:val="28"/>
          <w:highlight w:val="none"/>
        </w:rPr>
        <w:t>相关费用承包人已在本合同总价中综合考虑，本合同不再另行计量与支付。</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140" w:name="_Toc134126078"/>
      <w:bookmarkStart w:id="141" w:name="_Toc128128862"/>
      <w:r>
        <w:rPr>
          <w:rFonts w:hint="eastAsia" w:ascii="宋体" w:hAnsi="宋体" w:eastAsia="宋体" w:cs="宋体"/>
          <w:b/>
          <w:color w:val="auto"/>
          <w:kern w:val="1"/>
          <w:szCs w:val="28"/>
          <w:highlight w:val="none"/>
        </w:rPr>
        <w:t>二、双方一般权利和义务</w:t>
      </w:r>
      <w:bookmarkEnd w:id="140"/>
      <w:bookmarkEnd w:id="141"/>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42" w:name="_Toc134126079"/>
      <w:bookmarkStart w:id="143" w:name="_Toc128128863"/>
      <w:r>
        <w:rPr>
          <w:rFonts w:hint="eastAsia" w:ascii="宋体" w:hAnsi="宋体" w:eastAsia="宋体" w:cs="宋体"/>
          <w:color w:val="auto"/>
          <w:kern w:val="1"/>
          <w:sz w:val="28"/>
          <w:szCs w:val="28"/>
          <w:highlight w:val="none"/>
        </w:rPr>
        <w:t>5、工程师</w:t>
      </w:r>
      <w:bookmarkEnd w:id="142"/>
      <w:bookmarkEnd w:id="143"/>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5.2监理单位及监理单位委派的工程师</w:t>
      </w:r>
    </w:p>
    <w:p>
      <w:pPr>
        <w:spacing w:line="560" w:lineRule="exact"/>
        <w:ind w:firstLine="565" w:firstLineChars="202"/>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监理单位：</w:t>
      </w:r>
      <w:r>
        <w:rPr>
          <w:rFonts w:hint="eastAsia" w:ascii="宋体" w:hAnsi="宋体" w:eastAsia="宋体" w:cs="宋体"/>
          <w:color w:val="auto"/>
          <w:sz w:val="28"/>
          <w:szCs w:val="28"/>
          <w:highlight w:val="none"/>
          <w:u w:val="single"/>
          <w:lang w:val="en-US" w:eastAsia="zh-CN"/>
        </w:rPr>
        <w:t xml:space="preserve">   </w:t>
      </w:r>
    </w:p>
    <w:p>
      <w:pPr>
        <w:spacing w:line="560" w:lineRule="exact"/>
        <w:ind w:firstLine="565" w:firstLineChars="20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rPr>
        <w:t>职务：</w:t>
      </w:r>
      <w:bookmarkStart w:id="144" w:name="_Hlk134694068"/>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w:t>
      </w:r>
      <w:bookmarkEnd w:id="144"/>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lang w:val="en-US" w:eastAsia="zh-CN"/>
        </w:rPr>
        <w:t xml:space="preserve">   </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发包人委托的职权：</w:t>
      </w:r>
      <w:r>
        <w:rPr>
          <w:rFonts w:hint="eastAsia" w:ascii="宋体" w:hAnsi="宋体" w:eastAsia="宋体" w:cs="宋体"/>
          <w:color w:val="auto"/>
          <w:sz w:val="28"/>
          <w:szCs w:val="28"/>
          <w:highlight w:val="none"/>
          <w:u w:val="single"/>
        </w:rPr>
        <w:t>依据监理合同对工程建设施工的投资、进度、质量、安全进行监理及竣工预验收；对工程使用的材料、设备和施工质量进行检验。</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需要取得发包人批准才能行使的职权：</w:t>
      </w:r>
      <w:r>
        <w:rPr>
          <w:rFonts w:hint="eastAsia" w:ascii="宋体" w:hAnsi="宋体" w:eastAsia="宋体" w:cs="宋体"/>
          <w:color w:val="auto"/>
          <w:sz w:val="28"/>
          <w:szCs w:val="28"/>
          <w:highlight w:val="none"/>
          <w:u w:val="single"/>
        </w:rPr>
        <w:t>下列情况须经监理单位审核盖章，并必须取得发包人的书面批准：</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（1）同意本工程任何部分的分包合同；</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（2）工程款、材料款以及其他费用的支付；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（3）施工进度更改或对工程延期的决定；</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（4）发布工程变更、设计变更指令及签发现场签证；</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（5）确定新增工程或设计变更工程的工程量及价格；</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（6）承包人提出合理化建议，采用新工艺、新材料、新技术，批准重大设计变更，这些变更将改变原设计的基本功能或工期或投资等。</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7）工程总体进度计划的决定；                                                  </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（8）涉及费用的施工组织或方案的决定；                                          </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（9）在工程承包合同中约定或另行书面授予的权利。</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监理工程师在职权方面未尽事宜或有关调整，由发包人发出书面通知确认。</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5.3发包人派驻的工程师</w:t>
      </w:r>
    </w:p>
    <w:p>
      <w:pPr>
        <w:spacing w:line="560" w:lineRule="exact"/>
        <w:ind w:firstLine="565" w:firstLineChars="202"/>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lang w:val="en-US" w:eastAsia="zh-CN"/>
        </w:rPr>
        <w:t xml:space="preserve">   </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发包人代表职权：</w:t>
      </w:r>
      <w:r>
        <w:rPr>
          <w:rFonts w:hint="eastAsia" w:ascii="宋体" w:hAnsi="宋体" w:eastAsia="宋体" w:cs="宋体"/>
          <w:color w:val="auto"/>
          <w:sz w:val="28"/>
          <w:szCs w:val="28"/>
          <w:highlight w:val="none"/>
          <w:u w:val="single"/>
        </w:rPr>
        <w:t>作为现场管理代表，负责工程质量、进度、技术、投资控制及工程施工期间的其他日常管理工作事宜；检查和监督承包人、监理单位执行合同，会同相关部门协调组织技术交底、施工组织设计审查备案、组织计量工作及办理合同支付、参与设计变更会审、组织竣工验收等。与本工程相关的文件、资料均必须经发包人盖章后方可生效。</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5.7发包人、监理单位、承包人的工作往来程序：除发包人另有明确之外，原则上发包人、承包人双方的所有工作往来均须先经过监理单位，由监理单位签署意见、盖章后再报发包人或者送承包人。</w:t>
      </w:r>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145" w:name="_Toc134126080"/>
      <w:bookmarkStart w:id="146" w:name="_Toc128128864"/>
      <w:r>
        <w:rPr>
          <w:rFonts w:hint="eastAsia" w:ascii="宋体" w:hAnsi="宋体" w:eastAsia="宋体" w:cs="宋体"/>
          <w:color w:val="auto"/>
          <w:kern w:val="1"/>
          <w:sz w:val="28"/>
          <w:szCs w:val="28"/>
          <w:highlight w:val="none"/>
        </w:rPr>
        <w:t>6、工程师的委派和指令</w:t>
      </w:r>
      <w:bookmarkEnd w:id="145"/>
      <w:bookmarkEnd w:id="146"/>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6.1工程师代表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总监理工程师依照《通用条款》第6.1款的约定可委派或者撤回委派总监理工程师代表，但受委派的总监理工程师代表必须是本工程监理机构的监理人员，并具有相应的监理资质。总监理工程师代表的该种委派和撤回必须事先得到发包人的书面同意，否则该人员无权行使监理职权。</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6.2监理工程师的指令</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因总监理工程师或者总监理工程师代表的指令错误而延误工期的，工期顺延情形只适用于一般节点工期。</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6.3由于总监理工程师未能按合同约定履行义务造成工期延误的，工期顺延情形只适用于一般节点工期。</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承包人与发包人一致同意增加6.5、6.6：</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6.5除特别指明外，总监理工程师对承包人的任何工作、工程或其采用的材料和设备未提出否定意见的，不应视为已获批准，也不影响总监理工程师在以后拒绝该项工作、工程、材料设备的权利。</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6.6总监理工程师的指令应该有总监理工程师的签字，并加盖监理单位本项目驻场地机构印章。</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47" w:name="_Toc134126081"/>
      <w:bookmarkStart w:id="148" w:name="_Toc128128865"/>
      <w:r>
        <w:rPr>
          <w:rFonts w:hint="eastAsia" w:ascii="宋体" w:hAnsi="宋体" w:eastAsia="宋体" w:cs="宋体"/>
          <w:color w:val="auto"/>
          <w:kern w:val="1"/>
          <w:sz w:val="28"/>
          <w:szCs w:val="28"/>
          <w:highlight w:val="none"/>
        </w:rPr>
        <w:t>7、项目经理</w:t>
      </w:r>
      <w:bookmarkEnd w:id="147"/>
      <w:bookmarkEnd w:id="148"/>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7.1项目经理及承包人现场管理机构</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7.1.1承包人必须按照投标文件的承诺建立以项目经理为首的现场管理机构，并执行《建设工程项目管理规范》（GBT 50326-2017）。</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7.1.2承包人必须按照投标文件的人员配备承诺及招标文件的人员配备需求组建项目经理部。其中，主要管理人员须完全按照投标承诺不作更改，在开工前全部到位，并接受总监理工程师和发包人代表的查验；未全部到位的，承包人须按照本合同约定承担违约责任。其它管理人员须在中标后5个工作日内按招标文件人员配备基本要求表之要求提交名单及相应资料报发包人确认，经发包人确认后在开工前全部到位，并接受总监理工程师和发包人代表的查验；未全部到位的，承包人须按照本合同约定承担违约责任。开工具体时间以监理工程师发布的书面通知为准。</w:t>
      </w:r>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7.1.3项目经理及现场管理机构主要部门负责人必须全职在现场办公</w:t>
      </w:r>
      <w:r>
        <w:rPr>
          <w:rFonts w:hint="eastAsia" w:ascii="宋体" w:hAnsi="宋体" w:eastAsia="宋体" w:cs="宋体"/>
          <w:iCs/>
          <w:color w:val="auto"/>
          <w:sz w:val="28"/>
          <w:szCs w:val="28"/>
          <w:highlight w:val="none"/>
        </w:rPr>
        <w:t>（即指</w:t>
      </w:r>
      <w:r>
        <w:rPr>
          <w:rFonts w:hint="eastAsia" w:ascii="宋体" w:hAnsi="宋体" w:eastAsia="宋体" w:cs="宋体"/>
          <w:color w:val="auto"/>
          <w:sz w:val="28"/>
          <w:szCs w:val="28"/>
          <w:highlight w:val="none"/>
        </w:rPr>
        <w:t>在工程实施过程中，项目经理及承包人现场管理机构主要部门负责人必须在施工场地全职上班），不得兼职或者擅自离岗。</w:t>
      </w:r>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7.1.3.1因特殊情况需短暂离岗的，承包人须事先报监理单位审批，且妥善安排工地现场的工作交接，并按以下规定执行：</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（1）离场1天内，承包人须将工作交接情况知会现场监理工程师；</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（2）离场2-3天，承包人须将工作交接情况知会现场监理工程师，并经总监理工程师书面批准；</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（3）离场3天以上，承包人须将工作交接情况知会总监理工程师，并经发包人书面批准；</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（4）一个月内累计离场时间不得超过5个日历天。</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7.1.3.2如承包人委派的项目经理及主要部门负责人有兼职情况，经监理单位证实，承包人须立即撤换该人员，且承包人必须保证后任人员的资质、资历、学历、职称、业绩、从事同类工程施工经验、实际工作能力等于或优于前任人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7.2通用条款第7.3款所提及的工期顺延情形只适用于一般节点工期。</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承包人投入的项目经理及现场管理机构主要部门负责人等工程管理人员和其他工程技术人员必须与投标文件保持一致，未经发包人同意不得更换。承包人擅自更换项目经理及现场管理机构主要部门负责人的，承包人必须按照本合同约定承担违约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特殊情况确需更换的，承包人应至少提前7个日历天以书面形式向监理单位提出意向（附前任和后任人员的详细履历资料），经总监理工程师签署意见后向发包人提出书面申请，并征得发包人书面同意。承包人必须保证后任人员的资质、资历、学历、职称、业绩、从事同类工程施工经验、实际工作能力等于或优于前任人员。前任人员更换后，后任继续行使合同文件约定的前任的职权，履行前任的义务。</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项目经理或现场管理机构主要部门负责人的实际工作能力和工作表现达不到招标文件要求或投标文件承诺、或工作态度存在严重不足，不适应现场工作需要，发包人有权向承包人提出撤换。承包人须于7个日历天内提出整改意见；如发包人不予接受，或认为整改效果不明显的，则承包人必须在7个日历天内无条件按发包人要求撤换，所调换来的人员的资质、资历、学历、职称、业绩、从事同类工程施工经验、实际工作能力必须等于或优于原投标书中所承诺人员，且该更换须经监理工程师和发包人书面同意。前任人员更换后，后任继续行使合同文件约定的前任的职权，履行前任的义务。</w:t>
      </w:r>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149" w:name="_Toc134126082"/>
      <w:bookmarkStart w:id="150" w:name="_Toc128128866"/>
      <w:r>
        <w:rPr>
          <w:rFonts w:hint="eastAsia" w:ascii="宋体" w:hAnsi="宋体" w:eastAsia="宋体" w:cs="宋体"/>
          <w:color w:val="auto"/>
          <w:kern w:val="1"/>
          <w:sz w:val="28"/>
          <w:szCs w:val="28"/>
          <w:highlight w:val="none"/>
        </w:rPr>
        <w:t>8、发包人工作</w:t>
      </w:r>
      <w:bookmarkEnd w:id="149"/>
      <w:bookmarkEnd w:id="150"/>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8.1 发包人应按约定的时间和要求完成以下工作：</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发包人提供施工场地的日期与开工日期相同。发包人只能提供建设用地红线范围内的场地给承包人使用，承包人应在建设用地红线范围内的场地进行布置、安排和组织施工。承包人如需占用红线范围以外的场地，须自行办理有关手续及支付相关费用。</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（2）临水临电</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现场已完成临水临电报装。由承包人自行向施工总承包单位缴纳水电费用；如承包人逾期缴纳水电费造成停水停电的，则由此导致的相关工期延误及经济损失均由承包人自行承担，且承包人应按累计欠缴水电费总额向发包人支付违约金。临水临电的容量不足部分由承包人自行解决，相关费用已综合考虑在本合同总价中，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B、施工总承包单位为本合同承包人提供在场地中施工的水、电接驳点，施工总承包单位按政府收费标准并加上合理损耗后向本合同承包人收取水电费。</w:t>
      </w:r>
    </w:p>
    <w:p>
      <w:pPr>
        <w:spacing w:line="560" w:lineRule="exact"/>
        <w:ind w:firstLine="565" w:firstLineChars="202"/>
        <w:rPr>
          <w:rFonts w:hint="eastAsia" w:ascii="宋体" w:hAnsi="宋体" w:eastAsia="宋体" w:cs="宋体"/>
          <w:color w:val="auto"/>
          <w:kern w:val="1"/>
          <w:sz w:val="28"/>
          <w:szCs w:val="28"/>
          <w:highlight w:val="none"/>
          <w:u w:val="single"/>
        </w:rPr>
      </w:pPr>
      <w:r>
        <w:rPr>
          <w:rFonts w:hint="eastAsia" w:ascii="宋体" w:hAnsi="宋体" w:eastAsia="宋体" w:cs="宋体"/>
          <w:color w:val="auto"/>
          <w:sz w:val="28"/>
          <w:szCs w:val="28"/>
          <w:highlight w:val="none"/>
        </w:rPr>
        <w:t>C、</w:t>
      </w:r>
      <w:r>
        <w:rPr>
          <w:rFonts w:hint="eastAsia" w:ascii="宋体" w:hAnsi="宋体" w:eastAsia="宋体" w:cs="宋体"/>
          <w:color w:val="auto"/>
          <w:spacing w:val="-2"/>
          <w:kern w:val="28"/>
          <w:sz w:val="28"/>
          <w:szCs w:val="28"/>
          <w:highlight w:val="none"/>
        </w:rPr>
        <w:t>施工水电管线由承包人根据施工需要自行解决，费用含在本合同总价内，本合同不再另行计量与支付。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）工程地质和地下管线资料的提供时间：发包人不提供地质和地下管线资料，由承包人自行负责查勘，相关费用已包含在本合同总价中，本合同不再另行计量与支付。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）由发包人办理的施工所需证件、批件的名称和完成时间：发包人负责办理建设用地规划许可证、建设用地批准书、建设工程规划许可证。</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）水准点与坐标控制点交验要求：由承包人根据现场实际情况进行复核校验。</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）图纸会审和设计交底时间：承包人接到施工图纸后</w:t>
      </w:r>
      <w:r>
        <w:rPr>
          <w:rFonts w:hint="eastAsia" w:ascii="宋体" w:hAnsi="宋体" w:eastAsia="宋体" w:cs="宋体"/>
          <w:color w:val="auto"/>
          <w:sz w:val="28"/>
          <w:szCs w:val="28"/>
          <w:highlight w:val="none"/>
          <w:u w:val="thick"/>
        </w:rPr>
        <w:t>5个工作日</w:t>
      </w:r>
      <w:r>
        <w:rPr>
          <w:rFonts w:hint="eastAsia" w:ascii="宋体" w:hAnsi="宋体" w:eastAsia="宋体" w:cs="宋体"/>
          <w:color w:val="auto"/>
          <w:sz w:val="28"/>
          <w:szCs w:val="28"/>
          <w:highlight w:val="none"/>
        </w:rPr>
        <w:t>内进行（以监理书面通知为准）。</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协助承包人做好施工现场周围地铁、地下管线和邻近建筑物、构筑物（含文物保护建筑）、古树名木的保护工作：除文物保护外，上述所有保护工作及相关措施费用已包含在本合同总价中，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8.2发包人要求承包人办理的工作，包括但不限于：</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（1）办理施工和验收必要的许可及证明。</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（2）按工程所在地建设管理相关部门规定缴纳相关基金及押金等，因承包人违反相关规定导致的扣（罚）款项均由承包人承担。</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8.3发包人未能履行专用条款第8.1款各项义务，给承包人造成损失的，发包人赔偿承包人有关损失，工期顺延。</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8.4根据招标文件及承包人的承诺，发包人保留下列的权利：</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8.4.1对本工程使用之主要材料品质及工程质量确认审查的权利。</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8.4.2有权根据工程实际需要增加或减少部分工程，并保留对承包的施工项目中的专业工程进行依法招标的权利，保留对工程量报价清单中暂定材料价格的主要材料进行依法招标的权利，承包人不得拒绝或要求调整任何单价及收费。</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8.4.3若承包人未按监理单位指令施工或施工进度、质量等未达到发包人要求的，发包人有权要求承包人限期完成或另行委托第三方专业单位施工，相应费用从本合同总价扣除，同时承包人按该部分费用总额的10%承担违约责任。</w:t>
      </w:r>
    </w:p>
    <w:p>
      <w:pPr>
        <w:spacing w:line="560" w:lineRule="exact"/>
        <w:ind w:firstLine="565" w:firstLineChars="20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8.4.4保留对主要材料设备的分类及采购方式进行调整的权利，若进行调整时，发承人双方另行签订补充合同约定。</w:t>
      </w:r>
    </w:p>
    <w:p>
      <w:pPr>
        <w:pStyle w:val="4"/>
        <w:numPr>
          <w:ilvl w:val="0"/>
          <w:numId w:val="0"/>
        </w:numPr>
        <w:spacing w:line="560" w:lineRule="exact"/>
        <w:ind w:left="885" w:firstLine="806" w:firstLineChars="202"/>
        <w:rPr>
          <w:rFonts w:hint="eastAsia" w:ascii="宋体" w:hAnsi="宋体" w:eastAsia="宋体" w:cs="宋体"/>
          <w:b w:val="0"/>
          <w:color w:val="auto"/>
          <w:sz w:val="28"/>
          <w:szCs w:val="28"/>
          <w:highlight w:val="none"/>
        </w:rPr>
      </w:pPr>
      <w:bookmarkStart w:id="151" w:name="_Toc134126083"/>
      <w:bookmarkStart w:id="152" w:name="_Toc128128867"/>
      <w:r>
        <w:rPr>
          <w:rFonts w:hint="eastAsia" w:ascii="宋体" w:hAnsi="宋体" w:eastAsia="宋体" w:cs="宋体"/>
          <w:color w:val="auto"/>
          <w:kern w:val="1"/>
          <w:sz w:val="28"/>
          <w:szCs w:val="28"/>
          <w:highlight w:val="none"/>
        </w:rPr>
        <w:t>9、承包人工作</w:t>
      </w:r>
      <w:bookmarkEnd w:id="151"/>
      <w:bookmarkEnd w:id="152"/>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9.1承包人应按约定时间和要求，完成以下工作：</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应提供计划、报表的名称及完成时间：每月20号前向监理工程师报送“工程进度月报表”和“计划支付申请书”，监理工程师确认的时间为每月25日前。工程进度月报表应当内容全面详实，针对工程进度完成情况及下月进度计划进行分析，并标注相应的工程量及材料消耗量，机械设备及劳动力投入。</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承担施工安全保卫工作责任和要求：承包人应负责现场全部作业的安全，在合同工程施工、完工及修补缺陷的整个工程中，承包人应当全面负责现场上所有人员的安全，保护其管辖范围的现场和尚未完工的和建设单位尚未占用的工程处于有条不紊良好的状态。</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需要的时间和地点，根据监理工程师或当地政府要求，应自费提供和维持所有的照明灯光、护板、围墙、栅栏、警告信号标志和值班人员，对工程进行保护和为公众提供安全和方便。遵守和执行防火、安全文明施工和深夜施工规范和市住建局的有关规定要求。</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应保证施工期间行人、车辆的通行。施工临时占用人行道等设施，由承包人办理有关手续，发包人协助，所需费用由承包人负责。同时承包人有责任协助公安、交通等部门维护所在现场地段的交通与人流，既保证施工安全，也保护车辆和行人的畅通和安全。</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承包人已在本合同总价中考虑有关费用（本合同不再另行计量与支付），并保证发包人免于受到或承担应由承包人负责的上述事项所引起的或与之有关的索赔、诉讼、以及其它开支。</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（4）承包人应提供满足项目建设需求的现场办公场所，并配备办公场所内必需的办公设施，须满足办公需要，相关费用已由承包人综合考虑在本合同总价内，本合同不再另行计量与支付。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（5）需承包人办理的有关施工场地交通、环卫和施工噪音管理等手续：</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承包人应当承担其出入现场所需要的专用或临时道路通行权，养路费等一切费用和税费，办理相关手续。承包人还应自费提供其所需要的工地以外的供工程使用的任何附加设施。</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应采取各种合理的措施，防止承包人或其分包商的运输损坏连接现场的或通往现场的道路。除合同中另有规定外，根据设备、材料或临时设施运输的需要，承包人应负责并自费加固任何与施工现场连接或通往现场的任何道路。退场前，对由于承包人自身原因引起的道路等设施的损坏自费恢复原状。</w:t>
      </w:r>
    </w:p>
    <w:p>
      <w:pPr>
        <w:spacing w:line="560" w:lineRule="exact"/>
        <w:ind w:firstLine="561" w:firstLineChars="202"/>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在合同工程施工期间，根据政府有关环境保护的规定，承包人应采取所有合理的措施来保护现场内外的环境，并避免由于其操作方法所造成的污染、噪声或其它问题而对附近的人员或公私财产造成的干扰、损失或损害。</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承包人已在本合同总价中考虑有关费用（本合同不再另行计量与支付），并保证发包人免于受到或承担应由承包人负责的上述事项所引起的或与之有关的索赔、诉讼、以及其它开支。</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已完工程成品保护的特殊要求及费用承担：按</w:t>
      </w:r>
      <w:r>
        <w:rPr>
          <w:rFonts w:hint="eastAsia" w:ascii="宋体" w:hAnsi="宋体" w:eastAsia="宋体" w:cs="宋体"/>
          <w:color w:val="auto"/>
          <w:sz w:val="28"/>
          <w:szCs w:val="28"/>
          <w:highlight w:val="none"/>
          <w:u w:val="single"/>
        </w:rPr>
        <w:t>招标工程量清单计价说明及招标文件的修改、答疑、澄清文件（如有）执行。</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承包人应对本项目原已建工程及本合同已完工程成品采取适当的保护措施，除工程量清单开项列支或本合同另有约定外，费用已包含在合同总价内，本合同不再另行计量与支付。如有损坏应按原状修复并经监理人及发包人审核同意，相关费用由承包人承担。</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施工场地周围地下管线和邻近建筑物、构筑物（含文物保护建筑）、古树名木的保护要求及费用承担：施工期间发现文物，应按国家文物和省、市有关文物管理规定保护现场，并通知有关部门。施工期间执行市住建局建设工程文明施工管理的有关规定，否则，因此造成的损失或被有关部门处罚，均由承包人负责。除文物保护外，其它保护工作费用已包含在本合同总价中，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凡标明有地下管线的地方，承包人应挖探坑查明管线的具体位置并作出保护措施后方可施工；如因承包人施工损坏的，则由承包人无偿负责维修及赔偿。为保护好地下管线，承包人须在钻桩开钻及排水沟、基坑开挖前进行勘探性探测，确认没有遇到地下任何管线后，方可进行开钻及开挖等工作，否则由此引起的一切损失由承包人负责。</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（8）施工场地文明施工的要求：</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本合同工程现场文明施工必须严格按以下文件执行，并挂牌施工接受监督：</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安全防护和文明施工的实施须满足《建设工程安全生产管理条例》、《建筑施工安全检查标准》（JGJ59-201</w:t>
      </w:r>
      <w:r>
        <w:rPr>
          <w:rFonts w:hint="eastAsia" w:ascii="宋体" w:hAnsi="宋体" w:eastAsia="宋体" w:cs="宋体"/>
          <w:color w:val="auto"/>
          <w:sz w:val="28"/>
          <w:szCs w:val="28"/>
          <w:highlight w:val="none"/>
          <w:u w:val="single"/>
          <w:lang w:val="en-US" w:eastAsia="zh-CN"/>
        </w:rPr>
        <w:t>6</w:t>
      </w:r>
      <w:r>
        <w:rPr>
          <w:rFonts w:hint="eastAsia" w:ascii="宋体" w:hAnsi="宋体" w:eastAsia="宋体" w:cs="宋体"/>
          <w:color w:val="auto"/>
          <w:sz w:val="28"/>
          <w:szCs w:val="28"/>
          <w:highlight w:val="none"/>
          <w:u w:val="single"/>
        </w:rPr>
        <w:t>）、《施工现场环境与卫生标准》（JGJ146-2014）、广东省建设厅转发建设部关于印发《建筑工程安全文明施工措施费用及使用管理规定》的通知（粤建管字〔2005〕116号）、</w:t>
      </w:r>
      <w:r>
        <w:rPr>
          <w:rFonts w:hint="eastAsia" w:ascii="宋体" w:hAnsi="宋体" w:eastAsia="宋体" w:cs="宋体"/>
          <w:color w:val="auto"/>
          <w:kern w:val="1"/>
          <w:sz w:val="28"/>
          <w:szCs w:val="28"/>
          <w:highlight w:val="none"/>
        </w:rPr>
        <w:t>《广东省住房和城乡建设厅关于建筑工程绿色施工的管理办法（暂行）》（粤建质〔2016〕242号）、</w:t>
      </w:r>
      <w:r>
        <w:rPr>
          <w:rFonts w:hint="eastAsia" w:ascii="宋体" w:hAnsi="宋体" w:eastAsia="宋体" w:cs="宋体"/>
          <w:color w:val="auto"/>
          <w:sz w:val="28"/>
          <w:szCs w:val="28"/>
          <w:highlight w:val="none"/>
          <w:u w:val="single"/>
        </w:rPr>
        <w:t>广东省建设厅转发建设部关于印发《建筑施工人员个人劳动保护用品使用管理暂行规定》的通知（粤建安字〔2007〕108号）、广州市建设委员会关于印发《广州市建筑工程安全生产措施费管理办法》的通知（穗建筑[2003]106号）、《广州市建设工程现场文明施工管理办法》（穗建质〔2008〕937号）、《关于进一步规范建设工程施工现场围蔽的通知》（穗建质〔2008〕1008号）、《关于落实施工企业施工现场安全文明施工管理责任的通知》（穗建筑〔2009〕1343号）、《广州市城乡建设委员会关于印发广州市加强建筑工地环保管理工作方案的通知》（穗建质〔2014〕754号）、广州市住房和城乡建设委员会关于印发广州市建设工程绿色施工围蔽指导图集（V2.0试行版）的通知、广州市住房和城乡建设委员会关于实施《广州市建设工程绿色施工围蔽指导图集》的补充通知（穗建质〔2018〕2281号）、《关于加强建设工程占用道路督查工作方案》、《建设工地余泥渣土运输与排放源头管理工作实施意见》、关于印发《市城投集团井盖设施管理工作方案 》的通知、甲方关于安全文明施工标准及质量风险等标准的相关规定。上述标准如有更新，以最新要求为准。</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应保持现场整洁，保证卫生要求，合理地安排临时设施，存放和处置好设备及材料，及时清运垃圾和余泥，处理好污水排放。工程完工后，承包人应立即从施工现场搬走或清除承包人的设备、材料、垃圾以及各种临时设施，并保持施工现场和工程清洁整齐，但承包人应保留为在缺陷责任期内履行其义务而需要的材料、设备和临时设施。</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应做好安全文明施工的各种措施并承担相应的责任，落实相关工作的责任人，并在开工前提交给发包人备案。承包人不按文明施工要求和规定进行施工，在发包人发出通知7日后，承包人应按要求整改，如承包人不整改或整改后仍达不到要求的，由监理方发停工令，停工期间每天罚款一万元，直到达到整改要求。停工后仍不整改的将终止合同。承包人须按专用条款承担相应违约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（9）双方约定承包人应做的其他工作：</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承包人须负责填写、搜集、整理、汇总办理施工和验收必要的许可及证明。其中，施工许可证、工程质量安全监督报监手续按政府相关规定各自承担相应费用，余泥排放证及其他费用均由承包人综合考虑在本合同总价内，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B、在施工中若发现设计错误或严重不合理时，承包人须立即书面通知发包人及监理公司。</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C、承包人须自费负责处理施工期间与工程有关的居民纠纷。</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D、承包人须自费负责对施工过程中自身产品、半成品、成品进行保护，发生损坏由承包人自费负责修复。</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E、承包人须对总承包单位的预留预埋（如有时）进行位置、尺寸的复核，并且双方及时做好书面交接手续，并呈报给发包人及监理工程师，如后期管线不通，需整改或增加明配管所发生的费用由承包人承担，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F、</w:t>
      </w:r>
      <w:r>
        <w:rPr>
          <w:rFonts w:hint="eastAsia" w:ascii="宋体" w:hAnsi="宋体" w:eastAsia="宋体" w:cs="宋体"/>
          <w:color w:val="auto"/>
          <w:sz w:val="28"/>
          <w:szCs w:val="28"/>
          <w:highlight w:val="none"/>
        </w:rPr>
        <w:t>工程建设过程中，承包人应按照发包人建设工程声像档案管理的相关要求，定期采用全景拍摄本合同承包范围内工程建设的照片、视频等声像档案。上述工作产生的相关费用已包含在合同总价中，本合同不再另行计量与支付。声像档案具体要求如下：</w:t>
      </w: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tbl>
      <w:tblPr>
        <w:tblStyle w:val="42"/>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456"/>
        <w:gridCol w:w="1896"/>
        <w:gridCol w:w="189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0" w:type="dxa"/>
            <w:vAlign w:val="center"/>
          </w:tcPr>
          <w:p>
            <w:pPr>
              <w:spacing w:line="360" w:lineRule="exact"/>
              <w:rPr>
                <w:rFonts w:hint="eastAsia" w:ascii="宋体" w:hAnsi="宋体" w:eastAsia="宋体" w:cs="宋体"/>
                <w:color w:val="auto"/>
                <w:sz w:val="28"/>
                <w:szCs w:val="28"/>
                <w:highlight w:val="none"/>
              </w:rPr>
            </w:pPr>
          </w:p>
        </w:tc>
        <w:tc>
          <w:tcPr>
            <w:tcW w:w="2248" w:type="dxa"/>
            <w:vAlign w:val="center"/>
          </w:tcPr>
          <w:p>
            <w:pPr>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照片</w:t>
            </w:r>
          </w:p>
        </w:tc>
        <w:tc>
          <w:tcPr>
            <w:tcW w:w="1802" w:type="dxa"/>
            <w:vAlign w:val="center"/>
          </w:tcPr>
          <w:p>
            <w:pPr>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视频</w:t>
            </w:r>
          </w:p>
        </w:tc>
        <w:tc>
          <w:tcPr>
            <w:tcW w:w="1802" w:type="dxa"/>
            <w:vAlign w:val="center"/>
          </w:tcPr>
          <w:p>
            <w:pPr>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专题片</w:t>
            </w:r>
          </w:p>
        </w:tc>
        <w:tc>
          <w:tcPr>
            <w:tcW w:w="1803" w:type="dxa"/>
            <w:vAlign w:val="center"/>
          </w:tcPr>
          <w:p>
            <w:pPr>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档案成果册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jc w:val="center"/>
        </w:trPr>
        <w:tc>
          <w:tcPr>
            <w:tcW w:w="680" w:type="dxa"/>
            <w:vAlign w:val="center"/>
          </w:tcPr>
          <w:p>
            <w:pPr>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数量</w:t>
            </w:r>
          </w:p>
        </w:tc>
        <w:tc>
          <w:tcPr>
            <w:tcW w:w="2248"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每月不少于30张</w:t>
            </w:r>
          </w:p>
        </w:tc>
        <w:tc>
          <w:tcPr>
            <w:tcW w:w="1802"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每月不少于2条，每条不少于15分钟，并附有解说词稿。</w:t>
            </w:r>
          </w:p>
        </w:tc>
        <w:tc>
          <w:tcPr>
            <w:tcW w:w="1802"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项目竣工后，编辑制作专题片，专题片结构完整，片长不少于20分钟，并附有解说词稿。</w:t>
            </w:r>
          </w:p>
        </w:tc>
        <w:tc>
          <w:tcPr>
            <w:tcW w:w="1803"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项目竣工后，提交30本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jc w:val="center"/>
        </w:trPr>
        <w:tc>
          <w:tcPr>
            <w:tcW w:w="680" w:type="dxa"/>
            <w:vAlign w:val="center"/>
          </w:tcPr>
          <w:p>
            <w:pPr>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技术参数</w:t>
            </w:r>
          </w:p>
        </w:tc>
        <w:tc>
          <w:tcPr>
            <w:tcW w:w="2248"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数码照片应冲洗为4R（152mm×102mm）彩色照片，分辨率不低于2560×1920</w:t>
            </w:r>
          </w:p>
        </w:tc>
        <w:tc>
          <w:tcPr>
            <w:tcW w:w="1802"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彩色，记录同期声音，输出码流不应低于10M</w:t>
            </w:r>
          </w:p>
        </w:tc>
        <w:tc>
          <w:tcPr>
            <w:tcW w:w="1802"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彩色，记录同期声音，输出码流不应低于10M</w:t>
            </w:r>
          </w:p>
        </w:tc>
        <w:tc>
          <w:tcPr>
            <w:tcW w:w="1803"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从归档的照片中，挑选不少于150张高质量照片，对图片进行精修、设计、排版，制作不少于大8开铜版精装彩色画册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80" w:type="dxa"/>
            <w:vAlign w:val="center"/>
          </w:tcPr>
          <w:p>
            <w:pPr>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电子文件</w:t>
            </w:r>
          </w:p>
          <w:p>
            <w:pPr>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p>
        </w:tc>
        <w:tc>
          <w:tcPr>
            <w:tcW w:w="2248"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同时归档电子文件，通用格式为JPEG、TIFF、RAW格式。其中JPEG格式的文件不低于2M，TIFF或RAW格式的文件大小不低于10M</w:t>
            </w:r>
          </w:p>
        </w:tc>
        <w:tc>
          <w:tcPr>
            <w:tcW w:w="1802"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同时归档电子文件，通用格式为MPEG2、AVI、AVS等格式</w:t>
            </w:r>
          </w:p>
        </w:tc>
        <w:tc>
          <w:tcPr>
            <w:tcW w:w="1802"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同时归档电子文件，通用格式为MPEG2、AVI、AVS等格式</w:t>
            </w:r>
          </w:p>
        </w:tc>
        <w:tc>
          <w:tcPr>
            <w:tcW w:w="1803"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同时归档电子文件，通用格式为PDF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680" w:type="dxa"/>
            <w:vAlign w:val="center"/>
          </w:tcPr>
          <w:p>
            <w:pPr>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存储光盘</w:t>
            </w:r>
          </w:p>
        </w:tc>
        <w:tc>
          <w:tcPr>
            <w:tcW w:w="2248"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只读CD-R/DVD-R，无毒、有效</w:t>
            </w:r>
          </w:p>
        </w:tc>
        <w:tc>
          <w:tcPr>
            <w:tcW w:w="1802"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只读CD-R/DVD-R，无毒、有效</w:t>
            </w:r>
          </w:p>
        </w:tc>
        <w:tc>
          <w:tcPr>
            <w:tcW w:w="1802"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只读CD-R/DVD-R，无毒、有效</w:t>
            </w:r>
          </w:p>
        </w:tc>
        <w:tc>
          <w:tcPr>
            <w:tcW w:w="1803" w:type="dxa"/>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只读CD-R/DVD-R，无毒、有效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680" w:type="dxa"/>
            <w:vAlign w:val="center"/>
          </w:tcPr>
          <w:p>
            <w:pPr>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其他要求</w:t>
            </w:r>
          </w:p>
        </w:tc>
        <w:tc>
          <w:tcPr>
            <w:tcW w:w="7655" w:type="dxa"/>
            <w:gridSpan w:val="4"/>
            <w:vAlign w:val="center"/>
          </w:tcPr>
          <w:p>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声像档案应保留原始信息，不能进行添加、合成、挖补等技术修改</w:t>
            </w:r>
          </w:p>
        </w:tc>
      </w:tr>
    </w:tbl>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9.3承包人须严格遵守国家、省、市有关防火、爆破和施工安全以及文明施工、夜间施工、环卫和城管等规定，建立规章制度和防护措施，并承担由于自身措施不力造成事故责任和发生的费用。</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9.4承包人须对施工图、技术资料作认真的复核和检查，有预见性地发现和指正设计缺陷和错误，并提出能实质性地节约资金和缩短工期的建议和措施。</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9.5承包人须自行负责自身或其分包人所雇用的工人出现的伤亡事故或损失（由于发包人或监理单位的行为失误所造成的除外）。对于这类伤亡或损失，发包人不负任何责任，不负担涉及这类伤亡或损失的索赔、诉讼、损害赔偿及其它费用。对分包单位出现的工人意外事故或伤害，由于分包单位原因造成的，承包人须承担连带责任，发包人不负任何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9.6干扰与协调</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9.6.1承包人应当清楚地预计到施工期间对外界可能产生的必需的不可能避免的干扰，并为此保证主动努力减少这些干扰对外界的影响，且须积极主动与外界进行协调。</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9.6.2除必须发包人出面的情况外，承包人须全面负责协调施工期间外界的各种干扰。</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9.6.3发包人将在承包人的配合下，充分运用自己对各方面的影响力，尽可能的将外界对工程的干扰减少到最小程度，但此种协调并不解除承包人的责任与义务。</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9.6.4承包人须自费做好工程竣工验收前场内各单位的协调配合工作，由于承包人协调配合不力或未能预见可能出现的问题，而导致工程返工或阻碍其他单位正常施工的，承包人须按专用条款承担相应违约责任。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9.7承包人须自费负责施工场地的清理、平整，对施工场地内的所有地上及地下障碍物进行清理及外运，相关费用已由承包人综合考虑在本合同总价中，本合同不再另行计量与支付。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9.8承包人承诺无条件遵守发包人所制订的各项管理制度及规定，否则，发包人有权按照专用条款第35.2条追究承包人违约责任。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9.9承包人应当按照国家及广东省、广州市的有关规定和本合同的有关约定加强其参与本合同工程建设人员（包括农民工、工人）的管理。</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（1）按时足额支付工人工资</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1）承包人应当根据劳动合同约定的工人工资标准等内容，按照依法签订的集体合同或劳动合同约定的日期按月支付工资，并不得低于当地最低工资标准。</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2）承包人应每月编制工人工资支付表，如实记录支付时间、支付对象、支付金额等工资支付情况，并于每月底在其现场管理机构办公场所显眼位置公示，接受监督。</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3）承包人应对其劳务分包单位工资支付进行监督，督促其依法支付工人工资。</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承包人不按合同及有关规定按时、足额支付分包单位合同价款及民工工人工资，或因此而被投诉或上访属实的，发包人将严格按照合同约定追究其违约责任；如因此致使民工工人集体上访、集聚围阻而造成社会不良影响的，按专用条款35.2条处罚。发包人将立即终止与承包人的合同，并上报省、市主管部门建议取消其参加广东地区省、市重大项目的投标资格，并由发包人予以公告。如属恶意煽动并造成社会不良影响的，发包人将提请司法部门追究其法律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由于承包人或其管理的分包单位、劳务合作单位拖欠民工工人工资，致使发包人或项目业主被投诉或起诉并被政府行政部门判令先行垫付民工工人工资的，发包人除追究承包人和其它相关责任单位的违约责任外，还将在工程结算时双倍扣回发包人或项目业主先行垫付的民工工人工资金额作为补偿。</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承包人必须以高度负责的态度，对存在的可能引发劳资纠纷的各种因素进行排查，及时化解、处理可能发生劳资纠纷的不稳定因素；尤其是对恶意煽动工人集体上访、集聚围阻的行为，要善于及时发现并敢于揭露、制止，为本项目工程建设召开创造安全、文明、和谐的环境。</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（2）成立处理劳资纠纷的协调机构</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必须成立处理劳资纠纷的协调机构，承包人主管领导和项目经理要亲自负责，配备专职人员，及时化解劳资矛盾及纠纷，并及时揭露、制止恶意煽动工人集体上访、集聚围阻的行为，保证在整个工程期间不发生工人集体上访、集聚围阻等事件。</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（3）承包人应在本工程开工前按国务院《保障农民工工资支付条例》（国令第724号）、《广州市住房和城乡建设局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37号）、《广州市根治拖欠农民工工资工作领导小组办公室关于广州市建设领域工程项目全面实施农民工工资总包代发制度的通知》的规定及行业主管部门相关最新规定，采用项目专业承包单位委托施工总承包单位代发农民工工资制度（即承包人委托施工总承包单位负责农民工工资专用账户的开户并完成承包人工人工资的代发工作），对本项目的建筑工人实行实名制管理，确保将本项目工资按时足额发放至工人的工资卡，并应建立用工及工资管理台账，真实、准确记录工人名册、劳动合同、劳务合同、工程进度、工时、劳务承包款和工人工资支付情况等信息，并保存两年以上备查。发包人有权查阅台账，若发现有拖欠工人工资未发放的情况，可要求承包人另行提供工人工资支付担保。</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9.10承包人应按时参加发包人召开的会议，严格执行会议纪要的决定，服从调度，服从协调。</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9.11承包人应遵守有关工程的施工、材料、设备存放等一切规章制度，施工场地范围内的安全、防火、保卫、文明施工及环境卫生工作由承包人负责。</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9.12发包人提供的参考资料并不意味减免承包人对场地踏勘的责任。承包人同意及接受项目现场的一切现状，自行摸查并充分预计其风险并承担由此风险引起的所有费用，相关费用已由承包人综合考虑在本合同总价内，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9.13承包人需无条件配合本项目交楼工作，否则视为承包人未按合同约定履行其责任义务，发包人有权按本合同专用条款第35.2条追究承包人违约责任。该配合费用已包含在本合同总价中，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9.14在开始交楼的两个月内承包人项目负责人必须在场协调交楼维护工作，并在发包人集中交楼期组建“快修队”以配合发包人交楼工作。“快修队”需配备足够的各工种维修人员及备品备件，须在发包人发出指令后30分钟内到场并按发包人要求及时进行整改。</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153" w:name="_Toc134126084"/>
      <w:bookmarkStart w:id="154" w:name="_Toc128128868"/>
      <w:r>
        <w:rPr>
          <w:rFonts w:hint="eastAsia" w:ascii="宋体" w:hAnsi="宋体" w:eastAsia="宋体" w:cs="宋体"/>
          <w:b/>
          <w:color w:val="auto"/>
          <w:kern w:val="1"/>
          <w:szCs w:val="28"/>
          <w:highlight w:val="none"/>
        </w:rPr>
        <w:t>三、施工组织设计和工期</w:t>
      </w:r>
      <w:bookmarkEnd w:id="153"/>
      <w:bookmarkEnd w:id="154"/>
    </w:p>
    <w:p>
      <w:pPr>
        <w:pStyle w:val="4"/>
        <w:numPr>
          <w:ilvl w:val="0"/>
          <w:numId w:val="0"/>
        </w:numPr>
        <w:spacing w:line="560" w:lineRule="exact"/>
        <w:ind w:left="885" w:firstLine="806" w:firstLineChars="202"/>
        <w:rPr>
          <w:rFonts w:hint="eastAsia" w:ascii="宋体" w:hAnsi="宋体" w:eastAsia="宋体" w:cs="宋体"/>
          <w:b w:val="0"/>
          <w:color w:val="auto"/>
          <w:sz w:val="28"/>
          <w:szCs w:val="28"/>
          <w:highlight w:val="none"/>
        </w:rPr>
      </w:pPr>
      <w:bookmarkStart w:id="155" w:name="_Toc128128869"/>
      <w:bookmarkStart w:id="156" w:name="_Toc134126085"/>
      <w:r>
        <w:rPr>
          <w:rFonts w:hint="eastAsia" w:ascii="宋体" w:hAnsi="宋体" w:eastAsia="宋体" w:cs="宋体"/>
          <w:color w:val="auto"/>
          <w:kern w:val="1"/>
          <w:sz w:val="28"/>
          <w:szCs w:val="28"/>
          <w:highlight w:val="none"/>
        </w:rPr>
        <w:t>10、进度计划</w:t>
      </w:r>
      <w:bookmarkEnd w:id="155"/>
      <w:bookmarkEnd w:id="156"/>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10.1计划的提交和确认</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10.1.1承包人须于本合同签订后4个日历天内按发包人规定格式和详细程度，向发包人和监理单位提交</w:t>
      </w:r>
      <w:r>
        <w:rPr>
          <w:rFonts w:hint="eastAsia" w:ascii="宋体" w:hAnsi="宋体" w:eastAsia="宋体" w:cs="宋体"/>
          <w:b/>
          <w:bCs/>
          <w:color w:val="auto"/>
          <w:sz w:val="28"/>
          <w:szCs w:val="28"/>
          <w:highlight w:val="none"/>
        </w:rPr>
        <w:t>工程总进度计划（网络计划）</w:t>
      </w:r>
      <w:r>
        <w:rPr>
          <w:rFonts w:hint="eastAsia" w:ascii="宋体" w:hAnsi="宋体" w:eastAsia="宋体" w:cs="宋体"/>
          <w:color w:val="auto"/>
          <w:sz w:val="28"/>
          <w:szCs w:val="28"/>
          <w:highlight w:val="none"/>
        </w:rPr>
        <w:t>；于本合同签订后10个日历天内提交</w:t>
      </w:r>
      <w:r>
        <w:rPr>
          <w:rFonts w:hint="eastAsia" w:ascii="宋体" w:hAnsi="宋体" w:eastAsia="宋体" w:cs="宋体"/>
          <w:b/>
          <w:bCs/>
          <w:color w:val="auto"/>
          <w:sz w:val="28"/>
          <w:szCs w:val="28"/>
          <w:highlight w:val="none"/>
        </w:rPr>
        <w:t>施工组织设计（施工方案）</w:t>
      </w:r>
      <w:r>
        <w:rPr>
          <w:rFonts w:hint="eastAsia" w:ascii="宋体" w:hAnsi="宋体" w:eastAsia="宋体" w:cs="宋体"/>
          <w:color w:val="auto"/>
          <w:sz w:val="28"/>
          <w:szCs w:val="28"/>
          <w:highlight w:val="none"/>
        </w:rPr>
        <w:t>，承包人提交的施工组织设计须满足招标文件要求。在各进度计划实施时，承包人应提前14天向发包人和监理单位提交一份</w:t>
      </w:r>
      <w:r>
        <w:rPr>
          <w:rFonts w:hint="eastAsia" w:ascii="宋体" w:hAnsi="宋体" w:eastAsia="宋体" w:cs="宋体"/>
          <w:b/>
          <w:bCs/>
          <w:color w:val="auto"/>
          <w:sz w:val="28"/>
          <w:szCs w:val="28"/>
          <w:highlight w:val="none"/>
        </w:rPr>
        <w:t>年、季、月度工程进度计划</w:t>
      </w:r>
      <w:r>
        <w:rPr>
          <w:rFonts w:hint="eastAsia" w:ascii="宋体" w:hAnsi="宋体" w:eastAsia="宋体" w:cs="宋体"/>
          <w:color w:val="auto"/>
          <w:sz w:val="28"/>
          <w:szCs w:val="28"/>
          <w:highlight w:val="none"/>
        </w:rPr>
        <w:t>，以便于总工期的控制。</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工程进度计划应当内容全面详实，针对工程的全部或分项施工作业和特点提出施工方法、安排、顺序和时间表，并在各节点位置标注有相应的工程量及材料消耗量、劳动力投入。</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10.1.2总监理工程师在接到承包人提交的施工组织设计和工程总进度计划后7个工作日内予以确认或提出修改意见。</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10.2计划的执行</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10.2.1承包人应加强计划管理，严格按照总监理工程师确认的工程进度计划组织施工，并接受总监理工程师对工程进度的检查、监督。</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10.2.2为便于总监理工程师掌握和控制工期，承包人应按照专用条款第9.1条的要求向总监理工程师上报相应计划及报表，总监理工程师在接到报告后5天内应予以确认或提出书面意见，发包人在5个工作日内完成审批；工程实际进度与经确认的总进度计划或上月进度计划不符时，承包人须按工程师的要求及时提出改进措施，经工程师确认后执行。因承包人的原因导致实际进度与经确认的进度计划不符，承包人除须承担工期延误违约责任外，同时无权就改进措施提出追加合同价款。</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lang w:val="en-US" w:eastAsia="zh-CN"/>
        </w:rPr>
        <w:t>10.2.3</w:t>
      </w:r>
      <w:r>
        <w:rPr>
          <w:rFonts w:hint="eastAsia" w:ascii="宋体" w:hAnsi="宋体" w:eastAsia="宋体" w:cs="宋体"/>
          <w:color w:val="auto"/>
          <w:kern w:val="1"/>
          <w:sz w:val="28"/>
          <w:szCs w:val="28"/>
          <w:highlight w:val="none"/>
        </w:rPr>
        <w:t>总监理工程师认为本工程或其中任何部分工程进度滞后而不能按预定工期完工，应将此情况通知承包人。承包人应据此修改工程进度计划，采取总监理工程师同意的必要措施加快工程进度，属承包人原因造成的，则承包人无权要求发包人支付任何附加费用。如承包人未能在总监理工程师发布指令后10天内采取有效措施，工程进度仍然无明显改进，发包人有权部分或全部解除合同，将未完工程另行发包给其他有能力的施工单位；承包人必须无条件服从，由此所造成的损失全部由承包人承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lang w:val="en-US" w:eastAsia="zh-CN"/>
        </w:rPr>
        <w:t>10.2.4</w:t>
      </w:r>
      <w:r>
        <w:rPr>
          <w:rFonts w:hint="eastAsia" w:ascii="宋体" w:hAnsi="宋体" w:eastAsia="宋体" w:cs="宋体"/>
          <w:color w:val="auto"/>
          <w:kern w:val="1"/>
          <w:sz w:val="28"/>
          <w:szCs w:val="28"/>
          <w:highlight w:val="none"/>
        </w:rPr>
        <w:t>发包人可以根据情况变化，要求承包人提前完成施工计划。承包人不得拒绝，也不能要求发包人支付任何附加费用。</w:t>
      </w:r>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157" w:name="_Toc134126086"/>
      <w:bookmarkStart w:id="158" w:name="_Toc128128870"/>
      <w:r>
        <w:rPr>
          <w:rFonts w:hint="eastAsia" w:ascii="宋体" w:hAnsi="宋体" w:eastAsia="宋体" w:cs="宋体"/>
          <w:color w:val="auto"/>
          <w:kern w:val="1"/>
          <w:sz w:val="28"/>
          <w:szCs w:val="28"/>
          <w:highlight w:val="none"/>
        </w:rPr>
        <w:t>11、开工及延期开工</w:t>
      </w:r>
      <w:bookmarkEnd w:id="157"/>
      <w:bookmarkEnd w:id="158"/>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11.1开工</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承包人必须按发包人要求提前进入施工场地，做好施工准备工作，并按照监理工程师书面通知的进场日期开工。否则承包人须按专用条款第35条规定承担违约责任。</w:t>
      </w:r>
    </w:p>
    <w:p>
      <w:pPr>
        <w:pStyle w:val="4"/>
        <w:numPr>
          <w:ilvl w:val="0"/>
          <w:numId w:val="0"/>
        </w:numPr>
        <w:spacing w:line="560" w:lineRule="exact"/>
        <w:ind w:left="885" w:firstLine="806" w:firstLineChars="202"/>
        <w:rPr>
          <w:rFonts w:hint="eastAsia" w:ascii="宋体" w:hAnsi="宋体" w:eastAsia="宋体" w:cs="宋体"/>
          <w:b w:val="0"/>
          <w:color w:val="auto"/>
          <w:sz w:val="28"/>
          <w:szCs w:val="28"/>
          <w:highlight w:val="none"/>
        </w:rPr>
      </w:pPr>
      <w:bookmarkStart w:id="159" w:name="_Toc128128871"/>
      <w:bookmarkStart w:id="160" w:name="_Toc134126087"/>
      <w:r>
        <w:rPr>
          <w:rFonts w:hint="eastAsia" w:ascii="宋体" w:hAnsi="宋体" w:eastAsia="宋体" w:cs="宋体"/>
          <w:color w:val="auto"/>
          <w:kern w:val="1"/>
          <w:sz w:val="28"/>
          <w:szCs w:val="28"/>
          <w:highlight w:val="none"/>
        </w:rPr>
        <w:t>12、暂停施工</w:t>
      </w:r>
      <w:bookmarkEnd w:id="159"/>
      <w:bookmarkEnd w:id="160"/>
    </w:p>
    <w:p>
      <w:pPr>
        <w:spacing w:line="560" w:lineRule="exact"/>
        <w:ind w:firstLine="541" w:firstLineChars="202"/>
        <w:rPr>
          <w:rFonts w:hint="eastAsia" w:ascii="宋体" w:hAnsi="宋体" w:eastAsia="宋体" w:cs="宋体"/>
          <w:b/>
          <w:color w:val="auto"/>
          <w:sz w:val="28"/>
          <w:szCs w:val="28"/>
          <w:highlight w:val="none"/>
        </w:rPr>
      </w:pPr>
      <w:r>
        <w:rPr>
          <w:rFonts w:hint="eastAsia" w:ascii="宋体" w:hAnsi="宋体" w:eastAsia="宋体" w:cs="宋体"/>
          <w:color w:val="auto"/>
          <w:spacing w:val="-6"/>
          <w:sz w:val="28"/>
          <w:szCs w:val="28"/>
          <w:highlight w:val="none"/>
        </w:rPr>
        <w:t>12.1因下列原因，总监理工程师报经发包人书面同意后，可通知承包人暂停施工：</w:t>
      </w:r>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（1）政府对本工程建设项目做出停建、缓建的决定；</w:t>
      </w:r>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（2）重大设计变更导致本工程在规划、使用、功能方面有重大调整；</w:t>
      </w:r>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（3）不可抗力；</w:t>
      </w:r>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（4）质量事故；</w:t>
      </w:r>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（5）安全生产事故；</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（6）承包人材料设备供应发生重大变故；</w:t>
      </w:r>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（7）发包人书面要求。</w:t>
      </w:r>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除上述情形外，承包人不得以任何理由（包括以与发包人有争议或争议未解决为由）单方面停工或消极怠工，否则须按专用条款第35条约定承担工期延误违约责任。</w:t>
      </w:r>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12.2因不可抗力引起的工期延误或工程停工，费用承担应按以下原则：</w:t>
      </w:r>
    </w:p>
    <w:p>
      <w:pPr>
        <w:spacing w:line="560" w:lineRule="exact"/>
        <w:ind w:firstLine="541" w:firstLineChars="202"/>
        <w:rPr>
          <w:rFonts w:hint="eastAsia" w:ascii="宋体" w:hAnsi="宋体" w:eastAsia="宋体" w:cs="宋体"/>
          <w:b/>
          <w:color w:val="auto"/>
          <w:sz w:val="28"/>
          <w:szCs w:val="28"/>
          <w:highlight w:val="none"/>
        </w:rPr>
      </w:pPr>
      <w:r>
        <w:rPr>
          <w:rFonts w:hint="eastAsia" w:ascii="宋体" w:hAnsi="宋体" w:eastAsia="宋体" w:cs="宋体"/>
          <w:color w:val="auto"/>
          <w:spacing w:val="-6"/>
          <w:sz w:val="28"/>
          <w:szCs w:val="28"/>
          <w:highlight w:val="none"/>
        </w:rPr>
        <w:t>（1）工程本身的损坏及因工程损坏导致第三方人员伤亡和财产损失，由发包人承担</w:t>
      </w:r>
      <w:r>
        <w:rPr>
          <w:rFonts w:hint="eastAsia" w:ascii="宋体" w:hAnsi="宋体" w:eastAsia="宋体" w:cs="宋体"/>
          <w:color w:val="auto"/>
          <w:sz w:val="28"/>
          <w:szCs w:val="28"/>
          <w:highlight w:val="none"/>
        </w:rPr>
        <w:t>；</w:t>
      </w:r>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（2）发包人、承包人人员伤亡由其所在单位负责，并承担相应费用；</w:t>
      </w:r>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（3）承包人机械设备损坏及停工损失，由承包人承担；</w:t>
      </w:r>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（4）停工超过30天的，停工期间承包人按监理工程师的要求留在施工场地的必要管理人员及保卫人员的费用由发包人承担；</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（5）工程所需清理、修复费用由承包人承担。</w:t>
      </w:r>
    </w:p>
    <w:p>
      <w:pPr>
        <w:spacing w:line="560" w:lineRule="exact"/>
        <w:ind w:firstLine="565" w:firstLineChars="20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12.3为了保证工程质量安全，凡出现下列情况之一（不仅限于此）的，总监理工程师有权下达停工令，责令承包人停工整改，由此造成的损失由承包人自行负责，造成工期延误的由承包人按合同专用条款第35款的有关约定承担违约责任：</w:t>
      </w:r>
    </w:p>
    <w:p>
      <w:pPr>
        <w:spacing w:line="560" w:lineRule="exact"/>
        <w:ind w:firstLine="565" w:firstLineChars="20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（1）拒绝监理等相应管理单位的管理；</w:t>
      </w:r>
    </w:p>
    <w:p>
      <w:pPr>
        <w:spacing w:line="560" w:lineRule="exact"/>
        <w:ind w:firstLine="565" w:firstLineChars="20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（2）施工组织设计（方案）未获总监理工程师批准而进行施工；</w:t>
      </w:r>
    </w:p>
    <w:p>
      <w:pPr>
        <w:spacing w:line="560" w:lineRule="exact"/>
        <w:ind w:firstLine="565" w:firstLineChars="20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（3）未经监理单位检验而进行下一道工序作业；</w:t>
      </w:r>
    </w:p>
    <w:p>
      <w:pPr>
        <w:spacing w:line="560" w:lineRule="exact"/>
        <w:ind w:firstLine="565" w:firstLineChars="20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（4）擅自采用未经监理单位及发包人认可或批准的材料，或者使用的原材料、构配件不合格或未经检查确认，或者擅自采用未经认可的代用材料；</w:t>
      </w:r>
    </w:p>
    <w:p>
      <w:pPr>
        <w:spacing w:line="560" w:lineRule="exact"/>
        <w:ind w:firstLine="565" w:firstLineChars="20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（5）擅自变更设计图纸的要求；</w:t>
      </w:r>
    </w:p>
    <w:p>
      <w:pPr>
        <w:spacing w:line="560" w:lineRule="exact"/>
        <w:ind w:firstLine="565" w:firstLineChars="20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（6）转包工程；</w:t>
      </w:r>
    </w:p>
    <w:p>
      <w:pPr>
        <w:spacing w:line="560" w:lineRule="exact"/>
        <w:ind w:firstLine="565" w:firstLineChars="20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（7）擅自让未经发包人批准的分包单位进场作业；</w:t>
      </w:r>
    </w:p>
    <w:p>
      <w:pPr>
        <w:spacing w:line="560" w:lineRule="exact"/>
        <w:ind w:firstLine="565" w:firstLineChars="20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（8）存在安全隐患，未按监理单位要求及时进行整改；</w:t>
      </w:r>
    </w:p>
    <w:p>
      <w:pPr>
        <w:spacing w:line="560" w:lineRule="exact"/>
        <w:ind w:firstLine="565" w:firstLineChars="20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（9）未按双方约定的要求上报所需的资料。</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61" w:name="_Toc134126088"/>
      <w:bookmarkStart w:id="162" w:name="_Toc128128872"/>
      <w:r>
        <w:rPr>
          <w:rFonts w:hint="eastAsia" w:ascii="宋体" w:hAnsi="宋体" w:eastAsia="宋体" w:cs="宋体"/>
          <w:color w:val="auto"/>
          <w:kern w:val="1"/>
          <w:sz w:val="28"/>
          <w:szCs w:val="28"/>
          <w:highlight w:val="none"/>
        </w:rPr>
        <w:t>13、工期延误</w:t>
      </w:r>
      <w:bookmarkEnd w:id="161"/>
      <w:bookmarkEnd w:id="162"/>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13.1工期控制与调整</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（1）本工程工期分为关键节点工期和一般节点工期两类，承包人必须在施工组织设计文件中分专业详细区分和列明本工程</w:t>
      </w:r>
      <w:r>
        <w:rPr>
          <w:rFonts w:hint="eastAsia" w:ascii="宋体" w:hAnsi="宋体" w:eastAsia="宋体" w:cs="宋体"/>
          <w:bCs/>
          <w:color w:val="auto"/>
          <w:sz w:val="28"/>
          <w:szCs w:val="28"/>
          <w:highlight w:val="none"/>
        </w:rPr>
        <w:t>总体及各单体工程</w:t>
      </w:r>
      <w:r>
        <w:rPr>
          <w:rFonts w:hint="eastAsia" w:ascii="宋体" w:hAnsi="宋体" w:eastAsia="宋体" w:cs="宋体"/>
          <w:color w:val="auto"/>
          <w:sz w:val="28"/>
          <w:szCs w:val="28"/>
          <w:highlight w:val="none"/>
        </w:rPr>
        <w:t>的关键节点工期和一般节点工期，并报总监理工程师和发包人批准后实施。</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承包人应确保合同工期的实现，并投入足够的人力、物力及设备，由此引发的措施及投入费用包含在合同总价内，发包人不另行支付。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工期调整的原则：对于承包人原因造成的工期延误，工期一概不得顺延；对于非承包人原因造成的工期延误，一般节点工期可以相应顺延，但该项顺延以不对关键节点工期和总工期构成不利影响为限。关键节点工期一般不予调整，承包人应当采取合理有效的赶工措施予以消化，而且这些合理有效的赶工措施费已包括在本合同总价中，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承包人必须按照调整后的总工期控制计划和关键节点工期计划执行。</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13.2工期延误的原因及其处理</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color w:val="auto"/>
          <w:sz w:val="28"/>
          <w:szCs w:val="28"/>
          <w:highlight w:val="none"/>
        </w:rPr>
        <w:t>非承包人原因造成的工期延误，是指有确凿证据证实因下列原因而直接造成承包人的原定工期计划延误：</w:t>
      </w:r>
    </w:p>
    <w:p>
      <w:pPr>
        <w:spacing w:line="560" w:lineRule="exact"/>
        <w:ind w:firstLine="549" w:firstLineChars="202"/>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A.政府对本工程建设项目作出停建、缓建的决定（非承包人原因）；</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B.不可抗力持续影响；</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C.重大设计变更导致本工程在规划、使用、功能方面有重大调整；</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D.发包人延期交付施工场地；</w:t>
      </w:r>
    </w:p>
    <w:p>
      <w:pPr>
        <w:spacing w:line="560" w:lineRule="exact"/>
        <w:ind w:firstLine="549" w:firstLineChars="202"/>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E.施工图纸供应时间影响工期进度，并经总监理工程师书面确认的；</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F.发包人指令（非承包人原因）引起的停工；</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除上述原因之外，其他所有工期延误均为承包人原因造成的延误。</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（2）</w:t>
      </w:r>
      <w:r>
        <w:rPr>
          <w:rFonts w:hint="eastAsia" w:ascii="宋体" w:hAnsi="宋体" w:eastAsia="宋体" w:cs="宋体"/>
          <w:color w:val="auto"/>
          <w:sz w:val="28"/>
          <w:szCs w:val="28"/>
          <w:highlight w:val="none"/>
        </w:rPr>
        <w:t>因承包人原因造成的工期延误，工期一概不得顺延。承包人还应当按照合同专用条款有关约定承担违约责任。</w:t>
      </w:r>
    </w:p>
    <w:p>
      <w:pPr>
        <w:spacing w:line="560" w:lineRule="exact"/>
        <w:ind w:firstLine="549" w:firstLineChars="202"/>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（3）因承包人对现场组织管理不力或未能提供协调、配合服务，以致专业工程的进度影响工期，承包人不得以此为由提出延长工期的要求。</w:t>
      </w:r>
    </w:p>
    <w:p>
      <w:pPr>
        <w:spacing w:line="560" w:lineRule="exact"/>
        <w:ind w:firstLine="557" w:firstLineChars="202"/>
        <w:rPr>
          <w:rFonts w:hint="eastAsia" w:ascii="宋体" w:hAnsi="宋体" w:eastAsia="宋体" w:cs="宋体"/>
          <w:color w:val="auto"/>
          <w:spacing w:val="-2"/>
          <w:sz w:val="28"/>
          <w:szCs w:val="28"/>
          <w:highlight w:val="none"/>
        </w:rPr>
      </w:pPr>
      <w:r>
        <w:rPr>
          <w:rFonts w:hint="eastAsia" w:ascii="宋体" w:hAnsi="宋体" w:eastAsia="宋体" w:cs="宋体"/>
          <w:bCs/>
          <w:color w:val="auto"/>
          <w:spacing w:val="-2"/>
          <w:sz w:val="28"/>
          <w:szCs w:val="28"/>
          <w:highlight w:val="none"/>
        </w:rPr>
        <w:t>13.3</w:t>
      </w:r>
      <w:r>
        <w:rPr>
          <w:rFonts w:hint="eastAsia" w:ascii="宋体" w:hAnsi="宋体" w:eastAsia="宋体" w:cs="宋体"/>
          <w:color w:val="auto"/>
          <w:spacing w:val="-2"/>
          <w:sz w:val="28"/>
          <w:szCs w:val="28"/>
          <w:highlight w:val="none"/>
        </w:rPr>
        <w:t>非因承包人原因造成关键节点工期延误，一次性延误</w:t>
      </w:r>
      <w:r>
        <w:rPr>
          <w:rFonts w:hint="eastAsia" w:ascii="宋体" w:hAnsi="宋体" w:eastAsia="宋体" w:cs="宋体"/>
          <w:iCs/>
          <w:color w:val="auto"/>
          <w:spacing w:val="-2"/>
          <w:sz w:val="28"/>
          <w:szCs w:val="28"/>
          <w:highlight w:val="none"/>
        </w:rPr>
        <w:t>不满10</w:t>
      </w:r>
      <w:r>
        <w:rPr>
          <w:rFonts w:hint="eastAsia" w:ascii="宋体" w:hAnsi="宋体" w:eastAsia="宋体" w:cs="宋体"/>
          <w:color w:val="auto"/>
          <w:spacing w:val="-2"/>
          <w:sz w:val="28"/>
          <w:szCs w:val="28"/>
          <w:highlight w:val="none"/>
        </w:rPr>
        <w:t>天的，工期不予顺延，由承包人采取措施自行消化；一次性延</w:t>
      </w:r>
      <w:r>
        <w:rPr>
          <w:rFonts w:hint="eastAsia" w:ascii="宋体" w:hAnsi="宋体" w:eastAsia="宋体" w:cs="宋体"/>
          <w:iCs/>
          <w:color w:val="auto"/>
          <w:spacing w:val="-2"/>
          <w:sz w:val="28"/>
          <w:szCs w:val="28"/>
          <w:highlight w:val="none"/>
        </w:rPr>
        <w:t>误达到10天不满20天的</w:t>
      </w:r>
      <w:r>
        <w:rPr>
          <w:rFonts w:hint="eastAsia" w:ascii="宋体" w:hAnsi="宋体" w:eastAsia="宋体" w:cs="宋体"/>
          <w:color w:val="auto"/>
          <w:spacing w:val="-2"/>
          <w:sz w:val="28"/>
          <w:szCs w:val="28"/>
          <w:highlight w:val="none"/>
        </w:rPr>
        <w:t>，一般节点工期可顺延5天，承包人应采取措施在下一个节点工期内消化，但承包人必须在关键节点工期内采取措施消化被延误工期；一次</w:t>
      </w:r>
      <w:r>
        <w:rPr>
          <w:rFonts w:hint="eastAsia" w:ascii="宋体" w:hAnsi="宋体" w:eastAsia="宋体" w:cs="宋体"/>
          <w:iCs/>
          <w:color w:val="auto"/>
          <w:spacing w:val="-2"/>
          <w:sz w:val="28"/>
          <w:szCs w:val="28"/>
          <w:highlight w:val="none"/>
        </w:rPr>
        <w:t>性延误达到20天不满30天的</w:t>
      </w:r>
      <w:r>
        <w:rPr>
          <w:rFonts w:hint="eastAsia" w:ascii="宋体" w:hAnsi="宋体" w:eastAsia="宋体" w:cs="宋体"/>
          <w:color w:val="auto"/>
          <w:spacing w:val="-2"/>
          <w:sz w:val="28"/>
          <w:szCs w:val="28"/>
          <w:highlight w:val="none"/>
        </w:rPr>
        <w:t>，关键节点工期可顺延</w:t>
      </w:r>
      <w:r>
        <w:rPr>
          <w:rFonts w:hint="eastAsia" w:ascii="宋体" w:hAnsi="宋体" w:eastAsia="宋体" w:cs="宋体"/>
          <w:iCs/>
          <w:color w:val="auto"/>
          <w:spacing w:val="-2"/>
          <w:sz w:val="28"/>
          <w:szCs w:val="28"/>
          <w:highlight w:val="none"/>
        </w:rPr>
        <w:t>10</w:t>
      </w:r>
      <w:r>
        <w:rPr>
          <w:rFonts w:hint="eastAsia" w:ascii="宋体" w:hAnsi="宋体" w:eastAsia="宋体" w:cs="宋体"/>
          <w:color w:val="auto"/>
          <w:spacing w:val="-2"/>
          <w:sz w:val="28"/>
          <w:szCs w:val="28"/>
          <w:highlight w:val="none"/>
        </w:rPr>
        <w:t>天，但承包人必须在总工期内采取措施消化被延误工期；一次性延误达到30天以上的，工期可以顺延15天（经发包人批准或不可抗力的情况除外）。发包人不补偿承包人由此产生的窝工、二次进场等相关损失；如发包人仍要求承包人按原计划工期完成，承包人须无条件配合，并不得要求另行增加费用。</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13.4对于非因承包人原因发生的工期延误，承包人应当在工期延误发生后7天内就延误的内容和因此发生的经济支出向发包人提出书面报告；逾期不报告的，发包人不予确认。</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13.5本合同工期已充分考虑本合同委托范围内所有专业工程的衔接（含依法分包或发包招标等所需时限）以及所有主要材料设备的采购、供货、运输等所需时限，承包人必须采取一切措施确保工程按期完工，所有相应费用已包含在本合同总价中，本合同不再另行计量与支付。</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163" w:name="_Toc128128873"/>
      <w:bookmarkStart w:id="164" w:name="_Toc134126089"/>
      <w:r>
        <w:rPr>
          <w:rFonts w:hint="eastAsia" w:ascii="宋体" w:hAnsi="宋体" w:eastAsia="宋体" w:cs="宋体"/>
          <w:b/>
          <w:color w:val="auto"/>
          <w:kern w:val="1"/>
          <w:szCs w:val="28"/>
          <w:highlight w:val="none"/>
        </w:rPr>
        <w:t>四、质量与验收</w:t>
      </w:r>
      <w:bookmarkEnd w:id="163"/>
      <w:bookmarkEnd w:id="164"/>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165" w:name="_Toc134126090"/>
      <w:bookmarkStart w:id="166" w:name="_Toc128128874"/>
      <w:r>
        <w:rPr>
          <w:rFonts w:hint="eastAsia" w:ascii="宋体" w:hAnsi="宋体" w:eastAsia="宋体" w:cs="宋体"/>
          <w:color w:val="auto"/>
          <w:kern w:val="1"/>
          <w:sz w:val="28"/>
          <w:szCs w:val="28"/>
          <w:highlight w:val="none"/>
        </w:rPr>
        <w:t>15、工程质量</w:t>
      </w:r>
      <w:bookmarkEnd w:id="165"/>
      <w:bookmarkEnd w:id="166"/>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15.1工程质量标准</w:t>
      </w:r>
    </w:p>
    <w:p>
      <w:pPr>
        <w:spacing w:line="560" w:lineRule="exact"/>
        <w:ind w:firstLine="565" w:firstLineChars="202"/>
        <w:rPr>
          <w:rFonts w:hint="eastAsia" w:ascii="宋体" w:hAnsi="宋体" w:eastAsia="宋体" w:cs="宋体"/>
          <w:color w:val="auto"/>
          <w:kern w:val="1"/>
          <w:sz w:val="28"/>
          <w:szCs w:val="28"/>
          <w:highlight w:val="none"/>
          <w:u w:val="single"/>
        </w:rPr>
      </w:pPr>
      <w:r>
        <w:rPr>
          <w:rFonts w:hint="eastAsia" w:ascii="宋体" w:hAnsi="宋体" w:eastAsia="宋体" w:cs="宋体"/>
          <w:color w:val="auto"/>
          <w:kern w:val="1"/>
          <w:sz w:val="28"/>
          <w:szCs w:val="28"/>
          <w:highlight w:val="none"/>
        </w:rPr>
        <w:t>15.1.1按本合同第一部分合同协议书约定。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15.1.2因承包人原因造成工程质量未达到前款规定标准，承包人应承担违约责任，并赔偿发包人的所有损失（包括但不限于律师费、诉讼费、执行费、保全费、鉴定费、公证费等费用损失及其他有关经济损失）。</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15.2工程质量争议与鉴定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双方对工程质量有争议，同意依据《建筑工程施工质量验收统一标准》（GB50300-2013）（如有新版本颁布，则按最新版本执行），以有关质量安全监督部门或双方同意的工程质量检测机构鉴定为准。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15.3工程质量保证体系</w:t>
      </w:r>
    </w:p>
    <w:p>
      <w:pPr>
        <w:spacing w:line="560" w:lineRule="exact"/>
        <w:ind w:firstLine="541" w:firstLineChars="202"/>
        <w:rPr>
          <w:rFonts w:hint="eastAsia" w:ascii="宋体" w:hAnsi="宋体" w:eastAsia="宋体" w:cs="宋体"/>
          <w:color w:val="auto"/>
          <w:spacing w:val="-6"/>
          <w:kern w:val="1"/>
          <w:sz w:val="28"/>
          <w:szCs w:val="28"/>
          <w:highlight w:val="none"/>
        </w:rPr>
      </w:pPr>
      <w:r>
        <w:rPr>
          <w:rFonts w:hint="eastAsia" w:ascii="宋体" w:hAnsi="宋体" w:eastAsia="宋体" w:cs="宋体"/>
          <w:color w:val="auto"/>
          <w:spacing w:val="-6"/>
          <w:kern w:val="1"/>
          <w:sz w:val="28"/>
          <w:szCs w:val="28"/>
          <w:highlight w:val="none"/>
        </w:rPr>
        <w:t>承包人应当完善质量管理制度，建立质量控制流程，进行全面质量管理，以《质量管理体系标准要求》（GB/T19000-20</w:t>
      </w:r>
      <w:r>
        <w:rPr>
          <w:rFonts w:hint="eastAsia" w:ascii="宋体" w:hAnsi="宋体" w:eastAsia="宋体" w:cs="宋体"/>
          <w:color w:val="auto"/>
          <w:spacing w:val="-6"/>
          <w:kern w:val="1"/>
          <w:sz w:val="28"/>
          <w:szCs w:val="28"/>
          <w:highlight w:val="none"/>
          <w:lang w:val="en-US" w:eastAsia="zh-CN"/>
        </w:rPr>
        <w:t>16</w:t>
      </w:r>
      <w:r>
        <w:rPr>
          <w:rFonts w:hint="eastAsia" w:ascii="宋体" w:hAnsi="宋体" w:eastAsia="宋体" w:cs="宋体"/>
          <w:color w:val="auto"/>
          <w:spacing w:val="-6"/>
          <w:kern w:val="1"/>
          <w:sz w:val="28"/>
          <w:szCs w:val="28"/>
          <w:highlight w:val="none"/>
        </w:rPr>
        <w:t>）为标准，建立并保持一个健全的工程质量保证体系，承包人应做到（包括但不限于）：</w:t>
      </w:r>
    </w:p>
    <w:p>
      <w:pPr>
        <w:spacing w:line="560" w:lineRule="exact"/>
        <w:ind w:firstLine="541" w:firstLineChars="202"/>
        <w:rPr>
          <w:rFonts w:hint="eastAsia" w:ascii="宋体" w:hAnsi="宋体" w:eastAsia="宋体" w:cs="宋体"/>
          <w:color w:val="auto"/>
          <w:spacing w:val="-6"/>
          <w:kern w:val="1"/>
          <w:sz w:val="28"/>
          <w:szCs w:val="28"/>
          <w:highlight w:val="none"/>
        </w:rPr>
      </w:pPr>
      <w:r>
        <w:rPr>
          <w:rFonts w:hint="eastAsia" w:ascii="宋体" w:hAnsi="宋体" w:eastAsia="宋体" w:cs="宋体"/>
          <w:color w:val="auto"/>
          <w:spacing w:val="-6"/>
          <w:kern w:val="1"/>
          <w:sz w:val="28"/>
          <w:szCs w:val="28"/>
          <w:highlight w:val="none"/>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同时，承包人应积极配合工程质量第三方检测工作，并积极采用新材料、新工艺、新技术。</w:t>
      </w:r>
    </w:p>
    <w:p>
      <w:pPr>
        <w:spacing w:line="560" w:lineRule="exact"/>
        <w:ind w:firstLine="541" w:firstLineChars="202"/>
        <w:rPr>
          <w:rFonts w:hint="eastAsia" w:ascii="宋体" w:hAnsi="宋体" w:eastAsia="宋体" w:cs="宋体"/>
          <w:color w:val="auto"/>
          <w:spacing w:val="-6"/>
          <w:kern w:val="1"/>
          <w:sz w:val="28"/>
          <w:szCs w:val="28"/>
          <w:highlight w:val="none"/>
        </w:rPr>
      </w:pPr>
      <w:r>
        <w:rPr>
          <w:rFonts w:hint="eastAsia" w:ascii="宋体" w:hAnsi="宋体" w:eastAsia="宋体" w:cs="宋体"/>
          <w:color w:val="auto"/>
          <w:spacing w:val="-6"/>
          <w:kern w:val="1"/>
          <w:sz w:val="28"/>
          <w:szCs w:val="28"/>
          <w:highlight w:val="none"/>
        </w:rPr>
        <w:t>（2）承包人提交总监理工程师批准的施工组织设计或者施工方案必须附有完备的工程质量保证措施，包括：工程质量预控措施，工序质量控制点，工程的标准工艺流程图和技术、组织措施，工程各分部、分项的关键工序、特殊工序控制</w:t>
      </w:r>
      <w:r>
        <w:rPr>
          <w:rFonts w:hint="eastAsia" w:ascii="宋体" w:hAnsi="宋体" w:eastAsia="宋体" w:cs="宋体"/>
          <w:color w:val="auto"/>
          <w:spacing w:val="-6"/>
          <w:kern w:val="1"/>
          <w:sz w:val="28"/>
          <w:szCs w:val="28"/>
          <w:highlight w:val="none"/>
          <w:lang w:eastAsia="zh-CN"/>
        </w:rPr>
        <w:t>、样板间制度</w:t>
      </w:r>
      <w:r>
        <w:rPr>
          <w:rFonts w:hint="eastAsia" w:ascii="宋体" w:hAnsi="宋体" w:eastAsia="宋体" w:cs="宋体"/>
          <w:color w:val="auto"/>
          <w:spacing w:val="-6"/>
          <w:kern w:val="1"/>
          <w:sz w:val="28"/>
          <w:szCs w:val="28"/>
          <w:highlight w:val="none"/>
        </w:rPr>
        <w:t>等，以及重点分部（项）工程的施工方法，材料、制品试件取样及送检试验的方法或检测方案，成品保护的措施和方法，质量报表和质量事故的报告制度，等等。</w:t>
      </w:r>
    </w:p>
    <w:p>
      <w:pPr>
        <w:spacing w:line="560" w:lineRule="exact"/>
        <w:ind w:firstLine="541" w:firstLineChars="202"/>
        <w:rPr>
          <w:rFonts w:hint="eastAsia" w:ascii="宋体" w:hAnsi="宋体" w:eastAsia="宋体" w:cs="宋体"/>
          <w:color w:val="auto"/>
          <w:spacing w:val="-6"/>
          <w:kern w:val="1"/>
          <w:sz w:val="28"/>
          <w:szCs w:val="28"/>
          <w:highlight w:val="none"/>
        </w:rPr>
      </w:pPr>
      <w:r>
        <w:rPr>
          <w:rFonts w:hint="eastAsia" w:ascii="宋体" w:hAnsi="宋体" w:eastAsia="宋体" w:cs="宋体"/>
          <w:color w:val="auto"/>
          <w:spacing w:val="-6"/>
          <w:kern w:val="1"/>
          <w:sz w:val="28"/>
          <w:szCs w:val="28"/>
          <w:highlight w:val="none"/>
        </w:rPr>
        <w:t>（3）单项工程开工前，承包人必须按要求对职工分级进行技术交底，组织学习有关规程、标准、规范和工艺要求（规程包括但不限于施工企业标准和作业指导书），在施工中必须按规程及工艺进行操作。</w:t>
      </w:r>
    </w:p>
    <w:p>
      <w:pPr>
        <w:spacing w:line="560" w:lineRule="exact"/>
        <w:ind w:firstLine="541" w:firstLineChars="202"/>
        <w:rPr>
          <w:rFonts w:hint="eastAsia" w:ascii="宋体" w:hAnsi="宋体" w:eastAsia="宋体" w:cs="宋体"/>
          <w:color w:val="auto"/>
          <w:spacing w:val="-6"/>
          <w:kern w:val="1"/>
          <w:sz w:val="28"/>
          <w:szCs w:val="28"/>
          <w:highlight w:val="none"/>
        </w:rPr>
      </w:pPr>
      <w:r>
        <w:rPr>
          <w:rFonts w:hint="eastAsia" w:ascii="宋体" w:hAnsi="宋体" w:eastAsia="宋体" w:cs="宋体"/>
          <w:color w:val="auto"/>
          <w:spacing w:val="-6"/>
          <w:kern w:val="1"/>
          <w:sz w:val="28"/>
          <w:szCs w:val="28"/>
          <w:highlight w:val="none"/>
        </w:rPr>
        <w:t>（4）单项工程和重要部位必须遵循先试验后铺开施工的程序，开工前承包人应熟悉施工图纸会审和设计变更内容并完成施工组织设计和必要的施工准备，送总监理工程师审查批准后方可进行试验性施工，先进行安装样板或样板间，由总监理工程师、发包人检验，符合要求后才能铺开施工或者批量生产。</w:t>
      </w:r>
    </w:p>
    <w:p>
      <w:pPr>
        <w:spacing w:line="560" w:lineRule="exact"/>
        <w:ind w:firstLine="541" w:firstLineChars="202"/>
        <w:rPr>
          <w:rFonts w:hint="eastAsia" w:ascii="宋体" w:hAnsi="宋体" w:eastAsia="宋体" w:cs="宋体"/>
          <w:color w:val="auto"/>
          <w:spacing w:val="-6"/>
          <w:kern w:val="1"/>
          <w:sz w:val="28"/>
          <w:szCs w:val="28"/>
          <w:highlight w:val="none"/>
        </w:rPr>
      </w:pPr>
      <w:r>
        <w:rPr>
          <w:rFonts w:hint="eastAsia" w:ascii="宋体" w:hAnsi="宋体" w:eastAsia="宋体" w:cs="宋体"/>
          <w:color w:val="auto"/>
          <w:spacing w:val="-6"/>
          <w:kern w:val="1"/>
          <w:sz w:val="28"/>
          <w:szCs w:val="28"/>
          <w:highlight w:val="none"/>
        </w:rPr>
        <w:t>如安装样板或样板房安装因工艺或任何原因未能获得发包人接受，承包人须进行拆除、整改、重新安装等工作，直至获发包人接受，而有关的返工费用应由承包人负责，亦不得作为拖期的理由。</w:t>
      </w:r>
    </w:p>
    <w:p>
      <w:pPr>
        <w:spacing w:line="560" w:lineRule="exact"/>
        <w:ind w:firstLine="541" w:firstLineChars="202"/>
        <w:rPr>
          <w:rFonts w:hint="eastAsia" w:ascii="宋体" w:hAnsi="宋体" w:eastAsia="宋体" w:cs="宋体"/>
          <w:color w:val="auto"/>
          <w:spacing w:val="-6"/>
          <w:kern w:val="1"/>
          <w:sz w:val="28"/>
          <w:szCs w:val="28"/>
          <w:highlight w:val="none"/>
        </w:rPr>
      </w:pPr>
      <w:r>
        <w:rPr>
          <w:rFonts w:hint="eastAsia" w:ascii="宋体" w:hAnsi="宋体" w:eastAsia="宋体" w:cs="宋体"/>
          <w:color w:val="auto"/>
          <w:spacing w:val="-6"/>
          <w:kern w:val="1"/>
          <w:sz w:val="28"/>
          <w:szCs w:val="28"/>
          <w:highlight w:val="none"/>
        </w:rPr>
        <w:t>15.4第三方质量巡检</w:t>
      </w:r>
    </w:p>
    <w:p>
      <w:pPr>
        <w:spacing w:line="560" w:lineRule="exact"/>
        <w:ind w:firstLine="541" w:firstLineChars="202"/>
        <w:rPr>
          <w:rFonts w:hint="eastAsia" w:ascii="宋体" w:hAnsi="宋体" w:eastAsia="宋体" w:cs="宋体"/>
          <w:color w:val="auto"/>
          <w:spacing w:val="-6"/>
          <w:kern w:val="1"/>
          <w:sz w:val="28"/>
          <w:szCs w:val="28"/>
          <w:highlight w:val="none"/>
        </w:rPr>
      </w:pPr>
      <w:r>
        <w:rPr>
          <w:rFonts w:hint="eastAsia" w:ascii="宋体" w:hAnsi="宋体" w:eastAsia="宋体" w:cs="宋体"/>
          <w:color w:val="auto"/>
          <w:spacing w:val="-6"/>
          <w:kern w:val="1"/>
          <w:sz w:val="28"/>
          <w:szCs w:val="28"/>
          <w:highlight w:val="none"/>
        </w:rPr>
        <w:t>施工过程中发包人或项目业主有权委托第三方机构对工程进行质量巡检，质量评估指标包括实测实量、安全文明、质量风险等，由第三方机构出具书面质量评估报告，对各项指标进行评分及综合评分（合格率）。承包人应认可上述评分结论，承诺每次评估时综合评分及各单项评分均不低于发包人所要求的最低得分标准，并应按照评估报告的整改建议及发包人的整改要求及时整改。如承包人在质量评估时综合评分或某单项得分未达到上述标准的，或承包人未按评估报告的整改建议及发包人的整改要求及时整改的，应按本合同约定承担违约责任。</w:t>
      </w:r>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167" w:name="_Toc134126091"/>
      <w:bookmarkStart w:id="168" w:name="_Toc128128875"/>
      <w:r>
        <w:rPr>
          <w:rFonts w:hint="eastAsia" w:ascii="宋体" w:hAnsi="宋体" w:eastAsia="宋体" w:cs="宋体"/>
          <w:color w:val="auto"/>
          <w:kern w:val="1"/>
          <w:sz w:val="28"/>
          <w:szCs w:val="28"/>
          <w:highlight w:val="none"/>
        </w:rPr>
        <w:t>16、检查和返工</w:t>
      </w:r>
      <w:bookmarkEnd w:id="167"/>
      <w:bookmarkEnd w:id="168"/>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16.1承包人须保证本合同范围内的所有工程在合同规定的总工期内完成、全部达到设计的功能和标准、所有工程均顺利通过验收。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由于承包人原因造成工程质量达不到约定标准的部分，工程师要求拆除和重新施工直到符合约定标准，由承包人承担拆除和重新施工的费用，且工期不予顺延。若因此带给其他项目（专业）的施工单位连带损失，一切赔偿由本项目承包人承担；造成发包人</w:t>
      </w:r>
      <w:r>
        <w:rPr>
          <w:rFonts w:hint="eastAsia" w:ascii="宋体" w:hAnsi="宋体" w:eastAsia="宋体" w:cs="宋体"/>
          <w:color w:val="auto"/>
          <w:sz w:val="28"/>
          <w:szCs w:val="28"/>
          <w:highlight w:val="none"/>
        </w:rPr>
        <w:t>或项目业主</w:t>
      </w:r>
      <w:r>
        <w:rPr>
          <w:rFonts w:hint="eastAsia" w:ascii="宋体" w:hAnsi="宋体" w:eastAsia="宋体" w:cs="宋体"/>
          <w:color w:val="auto"/>
          <w:kern w:val="1"/>
          <w:sz w:val="28"/>
          <w:szCs w:val="28"/>
          <w:highlight w:val="none"/>
        </w:rPr>
        <w:t>被他人索赔时，发包人保留向承包人索赔的权利，发包人</w:t>
      </w:r>
      <w:r>
        <w:rPr>
          <w:rFonts w:hint="eastAsia" w:ascii="宋体" w:hAnsi="宋体" w:eastAsia="宋体" w:cs="宋体"/>
          <w:color w:val="auto"/>
          <w:sz w:val="28"/>
          <w:szCs w:val="28"/>
          <w:highlight w:val="none"/>
        </w:rPr>
        <w:t>或项目业主</w:t>
      </w:r>
      <w:r>
        <w:rPr>
          <w:rFonts w:hint="eastAsia" w:ascii="宋体" w:hAnsi="宋体" w:eastAsia="宋体" w:cs="宋体"/>
          <w:color w:val="auto"/>
          <w:kern w:val="1"/>
          <w:sz w:val="28"/>
          <w:szCs w:val="28"/>
          <w:highlight w:val="none"/>
        </w:rPr>
        <w:t>垫付了赔偿款后，除有权要求承包人返还外，还有权向承包人追讨相应的损失（包括但不限于律师费、诉讼费、执行费、保全费、鉴定费、公证费等费用损失及其他有关经济损失）。</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无论工程材料是由承包人自行供应或是由发包人指定的供应商供应，均不解除承包人所负的工程全面质量的责任，承包人应对各种材料、器材、设备按规范进行检查，拒绝不符合要求的材料、器材、设备用于工程。无论何种原因，出现不合格材料时、设备用于工程情况，均由承包人承担应有的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16.5对承包人采购的工程材料、设备及采用的工艺的查验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16.5.1工程所用材料、工程技术与质量按国家有关规范与规定，均须在用于工程之前经过检验或试验（承包人需无条件配合发包人委托的第三方检测单位的检测工作），不合格的材料不得使用。承包人须建立检验、试验制度，随时按总监理工程师的要求，在材料、设备的制造、加工或制配地点，或施工场地进行检验或试验，并须无偿提供一切正常需要的手段及措施。</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16.5.2总监理工程师有权在施工场地、库房以及为工程生产、加工、制配材料、设备的地点（无论这些地点是否属于承包人管辖）检查和检验按合同提供的材料、设备。承包人应为总监理工程师的检查和检验提供一切便利。总监理工程师或发包人的检查结果证明该材料、设备不符合合同要求的，必须拒绝这些材料、设备的使用，并立即通知承包人并说明不合格的理由。承包人在接到通知后须立即无条件将该批材料、设备清运出场并按照总监理工程师或发包人的要求重新采购，工期不予顺延。</w:t>
      </w:r>
      <w:r>
        <w:rPr>
          <w:rFonts w:hint="eastAsia" w:ascii="宋体" w:hAnsi="宋体" w:eastAsia="宋体" w:cs="宋体"/>
          <w:color w:val="auto"/>
          <w:kern w:val="1"/>
          <w:sz w:val="28"/>
          <w:szCs w:val="28"/>
          <w:highlight w:val="none"/>
          <w:lang w:eastAsia="zh-CN"/>
        </w:rPr>
        <w:t>承</w:t>
      </w:r>
      <w:r>
        <w:rPr>
          <w:rFonts w:hint="eastAsia" w:ascii="宋体" w:hAnsi="宋体" w:eastAsia="宋体" w:cs="宋体"/>
          <w:color w:val="auto"/>
          <w:kern w:val="1"/>
          <w:sz w:val="28"/>
          <w:szCs w:val="28"/>
          <w:highlight w:val="none"/>
        </w:rPr>
        <w:t>包人拒不执行上述指令的，则发包人有权雇佣他人代为实施，由此产生的相关费用由承包人承担。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发包人和总监理工程师认为有必要的，有权对已检查、检验过的材料、设备的使用进行抽查、检验，承包人应遵照执行，相关费用由承包人承担。</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16.5.3在施工过程中，总监理工程师有权随时对工程材料、设备的使用进行抽查，包括成品、半成品、器具、设备、附件、小五金等。抽查范围、比例、数量、批次及检查深度可比国家现行施工质量验收规范和相关规定有所提高。</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工程材料、设备的质量依据下列顺序之标准认定（排序在前者优先）：</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（1）本工程设计图纸规定的设计标准和发包人制定的材料标准及技术要求[不符合下列第（4）项标准要求的除外]；</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（2）招投标时确定的规格、技术指标、质量标准、品牌等[不符合下列第（4）项标准要求的除外]；</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（3）经设计单位、监理单位、承包人、发包人共同认定的产品封样、样板（包括样板房等）[不符合下列第4）项标准要求的除外]；</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（4）国家或行业强制执行的技术标准、技术规范。</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工程材料、设备的抽查、检验结果与前款约定不符的，总监理工程师必须扩大对该批材料的抽查范围、增加数量抽检，检测试验单位进行检测试验应执行《建筑节能工程施工质量验收规范》（GB50411-2007）、《广东省建筑节能工程施工质量验收规范》（DBJ15-65-2009）等现行文件要求。承包人必须在监理单位或发包人书面通知的限期内将不符合要求的材料、设备全部无条件拆除、更换，并运出施工现场，由此所造成的工期延误、费用增加等一切损失均由承包人承担；同时，承包人还应当按照合同专用条款的约定承担违约责任。</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16.5.4总监理工程师对材料、设备或工程进行检查、检验的费用由承包人负担。总监理工程师或发包人进行重复检查、检验的，检查、检验的结果证明材料、设备或工程不符合合同、技术规范要求的，费用由承包人承担；符合合同、招标文件、技术规范要求的，费用由发包人承担。</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16.6承包人应当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由此所产生的工期延误和费用增加等全部损失由承包人承担，并由承包人按照合同专用条款的约定承担违约责任。</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16.7总监理工程师发现工程存在重大质量问题时，必须立即下达停工整改令。承包人必须在5天内提出书面整改措施，经总监理工程师和发包人批准后实施整改，由此所产生的工期延误和费用增加等全部损失，由承包人承担。承包人拒绝整改的，发包人有权暂停拨付工程款，并将未完工程另行发包。</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16.8承包人承诺：无论总监理工程师对工程是否进行并通过了各项检验，均不解除承包人对其承包的工程的质量所负的任何责任，除非质量问题是由于非承包人责任原因引起，而此类质量问题承包人须及时通知总监理工程师。在采用承包人设计的施工图施工和由承包人自行采购的材料、设备时，设计和制造所引起的质量责任由承包人承担。</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16.9承包人承诺：无论工程材料是采用甲供、甲招乙供、甲管乙供，还是乙供，均由承包人承担工程全面质量的责任。承包人应对各种材料按规范进行检查验收，拒绝不符合要求的材料用于工程。无论何种原因，出现不合格材料用于工程的情况，均由承包人承担相应的责任。</w:t>
      </w:r>
    </w:p>
    <w:p>
      <w:pPr>
        <w:spacing w:line="560" w:lineRule="exact"/>
        <w:ind w:firstLine="565" w:firstLineChars="202"/>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16.10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由承包人按照合同专用条款约定承担违约责任。若发现原始记录数据不存在、不真实、不完整，经监理单位确认，发包人有权拒绝相应部分工程的工程量计量与支付，并视情节轻重，由承包人按照合同专用条款约定承担违约责任。</w:t>
      </w:r>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169" w:name="_Toc134126092"/>
      <w:bookmarkStart w:id="170" w:name="_Toc128128876"/>
      <w:r>
        <w:rPr>
          <w:rFonts w:hint="eastAsia" w:ascii="宋体" w:hAnsi="宋体" w:eastAsia="宋体" w:cs="宋体"/>
          <w:color w:val="auto"/>
          <w:kern w:val="1"/>
          <w:sz w:val="28"/>
          <w:szCs w:val="28"/>
          <w:highlight w:val="none"/>
        </w:rPr>
        <w:t>17、隐蔽工程、中间验收和竣工验收</w:t>
      </w:r>
      <w:bookmarkEnd w:id="169"/>
      <w:bookmarkEnd w:id="170"/>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17.1隐蔽工程在隐蔽前，必须经承包人质检人员进行三级验收，并书面通知发包人、监理单位会同验收，经各方签字确认后方能隐蔽和进行下一工序的作业。发包人及监理单位在接到书面通知后24小时内派出人员进行验收，否则承包人可自行验收并填写隐蔽工程验收记录，进行隐蔽作业，发包人应予承认。凡不按上述程序办理，无承包人质检人员验收签证确认的资料或无书面通知发包人或监理单位会同验收的，发包人及监理单位可拒绝验收签证；凡无书面通知发包人验收签证的工程，或发包人及监理单位合法拒绝签证的工程，若承包人擅自隐蔽的，则发包人视该部分工程为不合格，有权不予拨付该部分工程的进度款，监理单位也不得颁发下续工序的施工令，由此发生的一切责任及损失全部由承包人承担。</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17.4</w:t>
      </w:r>
      <w:r>
        <w:rPr>
          <w:rFonts w:hint="eastAsia" w:ascii="宋体" w:hAnsi="宋体" w:cs="宋体"/>
          <w:color w:val="auto"/>
          <w:sz w:val="28"/>
          <w:szCs w:val="28"/>
          <w:highlight w:val="none"/>
        </w:rPr>
        <w:t xml:space="preserve"> </w:t>
      </w:r>
      <w:r>
        <w:rPr>
          <w:rFonts w:hint="eastAsia" w:ascii="宋体" w:hAnsi="宋体" w:eastAsia="宋体" w:cs="宋体"/>
          <w:color w:val="auto"/>
          <w:sz w:val="28"/>
          <w:szCs w:val="28"/>
          <w:highlight w:val="none"/>
        </w:rPr>
        <w:t>竣工验收</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承包人应向发包人提供完整的竣工资料及竣工验收报告。</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竣工验收依据：工程所在地城市建设档案管理相关规定及建设工程相关的法律、法规；发包人确认的施工图纸、图纸说明、设计变更资料、图纸会审记录和技术交底纪要等（具体以发包人相关管理办法规定为准）；由发包人确认的材料、构件样板，施工样板。</w:t>
      </w:r>
      <w:bookmarkStart w:id="171" w:name="_Hlk129786789"/>
    </w:p>
    <w:bookmarkEnd w:id="171"/>
    <w:p>
      <w:pPr>
        <w:pStyle w:val="4"/>
        <w:numPr>
          <w:ilvl w:val="0"/>
          <w:numId w:val="0"/>
        </w:numPr>
        <w:spacing w:line="560" w:lineRule="exact"/>
        <w:ind w:left="885" w:firstLine="806" w:firstLineChars="202"/>
        <w:rPr>
          <w:rFonts w:hint="eastAsia" w:ascii="宋体" w:hAnsi="宋体" w:eastAsia="宋体" w:cs="宋体"/>
          <w:color w:val="auto"/>
          <w:sz w:val="28"/>
          <w:szCs w:val="28"/>
          <w:highlight w:val="none"/>
        </w:rPr>
      </w:pPr>
      <w:bookmarkStart w:id="172" w:name="_Toc134126093"/>
      <w:bookmarkStart w:id="173" w:name="_Toc128128877"/>
      <w:r>
        <w:rPr>
          <w:rFonts w:hint="eastAsia" w:ascii="宋体" w:hAnsi="宋体" w:eastAsia="宋体" w:cs="宋体"/>
          <w:color w:val="auto"/>
          <w:kern w:val="1"/>
          <w:sz w:val="28"/>
          <w:szCs w:val="28"/>
          <w:highlight w:val="none"/>
        </w:rPr>
        <w:t>18、重新检验</w:t>
      </w:r>
      <w:bookmarkEnd w:id="172"/>
      <w:bookmarkEnd w:id="173"/>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无论工程师是否进行验收，当其要求对已隐蔽的工程重新检验时，承包人须按要求进行剥离或开孔，并在检验后按要求重新覆盖或修复。检验合格，发包人承担由此发生的全部追加合同价款，赔偿承包人损失，但工期不予顺延。检验不合格，承包人承担发生的全部费用，工期不予顺延。</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74" w:name="_Toc134126094"/>
      <w:bookmarkStart w:id="175" w:name="_Toc128128878"/>
      <w:r>
        <w:rPr>
          <w:rFonts w:hint="eastAsia" w:ascii="宋体" w:hAnsi="宋体" w:eastAsia="宋体" w:cs="宋体"/>
          <w:color w:val="auto"/>
          <w:kern w:val="1"/>
          <w:sz w:val="28"/>
          <w:szCs w:val="28"/>
          <w:highlight w:val="none"/>
        </w:rPr>
        <w:t>19、工程试车</w:t>
      </w:r>
      <w:bookmarkEnd w:id="174"/>
      <w:bookmarkEnd w:id="175"/>
    </w:p>
    <w:p>
      <w:pPr>
        <w:spacing w:line="560" w:lineRule="exact"/>
        <w:ind w:firstLine="549" w:firstLineChars="202"/>
        <w:rPr>
          <w:rFonts w:hint="eastAsia" w:ascii="宋体" w:hAnsi="宋体" w:eastAsia="宋体" w:cs="宋体"/>
          <w:color w:val="auto"/>
          <w:sz w:val="28"/>
          <w:szCs w:val="28"/>
          <w:highlight w:val="none"/>
        </w:rPr>
      </w:pPr>
      <w:bookmarkStart w:id="176" w:name="_Hlk132979207"/>
      <w:r>
        <w:rPr>
          <w:rFonts w:hint="eastAsia" w:ascii="宋体" w:hAnsi="宋体" w:eastAsia="宋体" w:cs="宋体"/>
          <w:color w:val="auto"/>
          <w:spacing w:val="-4"/>
          <w:kern w:val="1"/>
          <w:sz w:val="28"/>
          <w:szCs w:val="28"/>
          <w:highlight w:val="none"/>
        </w:rPr>
        <w:t>19.1本合同承包内容不需要试车。</w:t>
      </w:r>
      <w:bookmarkEnd w:id="176"/>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177" w:name="_Toc128128879"/>
      <w:bookmarkStart w:id="178" w:name="_Toc134126095"/>
      <w:r>
        <w:rPr>
          <w:rFonts w:hint="eastAsia" w:ascii="宋体" w:hAnsi="宋体" w:eastAsia="宋体" w:cs="宋体"/>
          <w:b/>
          <w:color w:val="auto"/>
          <w:kern w:val="1"/>
          <w:szCs w:val="28"/>
          <w:highlight w:val="none"/>
        </w:rPr>
        <w:t>五、安全施工</w:t>
      </w:r>
      <w:bookmarkEnd w:id="177"/>
      <w:bookmarkEnd w:id="178"/>
    </w:p>
    <w:p>
      <w:pPr>
        <w:spacing w:line="560" w:lineRule="exact"/>
        <w:ind w:firstLine="565" w:firstLineChars="202"/>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rPr>
        <w:t>承包人须按国家有关要求和规定[包括但不限于</w:t>
      </w:r>
      <w:r>
        <w:rPr>
          <w:rFonts w:hint="eastAsia" w:ascii="宋体" w:hAnsi="宋体" w:eastAsia="宋体" w:cs="宋体"/>
          <w:color w:val="auto"/>
          <w:sz w:val="28"/>
          <w:szCs w:val="28"/>
          <w:highlight w:val="none"/>
        </w:rPr>
        <w:t>《建筑施工安全检查标准》（JGJ59-2011）、</w:t>
      </w:r>
      <w:r>
        <w:rPr>
          <w:rFonts w:hint="eastAsia" w:ascii="宋体" w:hAnsi="宋体" w:eastAsia="宋体" w:cs="宋体"/>
          <w:color w:val="auto"/>
          <w:kern w:val="1"/>
          <w:sz w:val="28"/>
          <w:szCs w:val="28"/>
          <w:highlight w:val="none"/>
        </w:rPr>
        <w:t>《广州市建筑工程安全生产措施管理费管理办法》、《广东省住房和城乡建设厅关于建筑工程绿色施工的管理办法（暂行）》（粤建质〔2016〕242号）</w:t>
      </w:r>
      <w:r>
        <w:rPr>
          <w:rFonts w:hint="eastAsia" w:ascii="宋体" w:hAnsi="宋体" w:eastAsia="宋体" w:cs="宋体"/>
          <w:color w:val="auto"/>
          <w:sz w:val="28"/>
          <w:szCs w:val="28"/>
          <w:highlight w:val="none"/>
        </w:rPr>
        <w:t>等；</w:t>
      </w:r>
      <w:r>
        <w:rPr>
          <w:rFonts w:hint="eastAsia" w:ascii="宋体" w:hAnsi="宋体" w:eastAsia="宋体" w:cs="宋体"/>
          <w:color w:val="auto"/>
          <w:kern w:val="1"/>
          <w:sz w:val="28"/>
          <w:szCs w:val="28"/>
          <w:highlight w:val="none"/>
        </w:rPr>
        <w:t>如有新版本或新规定颁布，则按最新版本、最新规定执行</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rPr>
        <w:t>采取相应</w:t>
      </w:r>
      <w:r>
        <w:rPr>
          <w:rFonts w:hint="eastAsia" w:ascii="宋体" w:hAnsi="宋体" w:eastAsia="宋体" w:cs="宋体"/>
          <w:color w:val="auto"/>
          <w:sz w:val="28"/>
          <w:szCs w:val="28"/>
          <w:highlight w:val="none"/>
        </w:rPr>
        <w:t>措施安全施工，并承担有关安全施工的全部责任及费用。</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79" w:name="_Toc134126096"/>
      <w:bookmarkStart w:id="180" w:name="_Toc128128880"/>
      <w:r>
        <w:rPr>
          <w:rFonts w:hint="eastAsia" w:ascii="宋体" w:hAnsi="宋体" w:eastAsia="宋体" w:cs="宋体"/>
          <w:color w:val="auto"/>
          <w:kern w:val="1"/>
          <w:sz w:val="28"/>
          <w:szCs w:val="28"/>
          <w:highlight w:val="none"/>
        </w:rPr>
        <w:t>20、安全施工与检查</w:t>
      </w:r>
      <w:bookmarkEnd w:id="179"/>
      <w:bookmarkEnd w:id="180"/>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20.1安全施工措施</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20.1.1承包人须建立健全建筑施工安全生产组织机构和安全保证体系，落实安全生产责任制，按照工程建设安全生产的有关管理规定，采取相应措施，负责现场全部作业的安全，并对此承担全部责任。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20.1.2承包人必须将投标时承诺的安全生产施工措施落实到位，否则须按专用条款第35条约定承担违约责任。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20.2文明施工与环境保护</w:t>
      </w:r>
    </w:p>
    <w:p>
      <w:pPr>
        <w:spacing w:line="560" w:lineRule="exact"/>
        <w:ind w:firstLine="561" w:firstLineChars="202"/>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20.2.1承包人必须按照</w:t>
      </w:r>
      <w:r>
        <w:rPr>
          <w:rFonts w:hint="eastAsia" w:ascii="宋体" w:hAnsi="宋体" w:eastAsia="宋体" w:cs="宋体"/>
          <w:color w:val="auto"/>
          <w:kern w:val="1"/>
          <w:sz w:val="28"/>
          <w:szCs w:val="28"/>
          <w:highlight w:val="none"/>
        </w:rPr>
        <w:t>《广州市建筑工程安全生产措施管理费管理办法》及《广东省住房和城乡建设厅关于建筑工程绿色施工的管理办法（暂行）》（粤建质〔2016〕242号）</w:t>
      </w:r>
      <w:r>
        <w:rPr>
          <w:rFonts w:hint="eastAsia" w:ascii="宋体" w:hAnsi="宋体" w:eastAsia="宋体" w:cs="宋体"/>
          <w:bCs/>
          <w:color w:val="auto"/>
          <w:spacing w:val="-1"/>
          <w:sz w:val="28"/>
          <w:szCs w:val="28"/>
          <w:highlight w:val="none"/>
        </w:rPr>
        <w:t>等文件（</w:t>
      </w:r>
      <w:r>
        <w:rPr>
          <w:rFonts w:hint="eastAsia" w:ascii="宋体" w:hAnsi="宋体" w:eastAsia="宋体" w:cs="宋体"/>
          <w:color w:val="auto"/>
          <w:kern w:val="1"/>
          <w:sz w:val="28"/>
          <w:szCs w:val="28"/>
          <w:highlight w:val="none"/>
        </w:rPr>
        <w:t>如有新版本或新规定颁布，则按最新版本、最新规定执行</w:t>
      </w:r>
      <w:r>
        <w:rPr>
          <w:rFonts w:hint="eastAsia" w:ascii="宋体" w:hAnsi="宋体" w:eastAsia="宋体" w:cs="宋体"/>
          <w:bCs/>
          <w:color w:val="auto"/>
          <w:spacing w:val="-1"/>
          <w:sz w:val="28"/>
          <w:szCs w:val="28"/>
          <w:highlight w:val="none"/>
        </w:rPr>
        <w:t>），</w:t>
      </w:r>
      <w:r>
        <w:rPr>
          <w:rFonts w:hint="eastAsia" w:ascii="宋体" w:hAnsi="宋体" w:eastAsia="宋体" w:cs="宋体"/>
          <w:color w:val="auto"/>
          <w:spacing w:val="-1"/>
          <w:sz w:val="28"/>
          <w:szCs w:val="28"/>
          <w:highlight w:val="none"/>
        </w:rPr>
        <w:t>在施工组织设计中专章编制文明施工措施，将投标时承诺的文明施工措施落实到位。</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20.3施工场地的占用与管理</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20.3.1承包人必须按照有关规定、规范对有关施工现场进行管理。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不得干扰周围居民的正常生活。相关费用已包含在本合同总价中，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20.3</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承包人必须在工程竣工初验后30天内或发包人规定的时间内（发包人将提前通知承包人），无条件清退所有施工场地。拒不清退的，发包人除向承包人收取租金（租金为每天人民币1元/m2）外，还有权暂停计价支付、工程结算、工程验收等工作，并由承包人承担由此而产生的一切后果（包括发包人因此而被第三方索赔所产生的损失）。</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对于临时房屋及设施，发包人认为有必要保留的，承包人在清退场地时应无条件保持完好并移交给发包人使用，并不得提出任何费用要求及其他要求。</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lang w:val="en-US" w:eastAsia="zh-CN"/>
        </w:rPr>
        <w:t>3.3</w:t>
      </w:r>
      <w:r>
        <w:rPr>
          <w:rFonts w:hint="eastAsia" w:ascii="宋体" w:hAnsi="宋体" w:eastAsia="宋体" w:cs="宋体"/>
          <w:color w:val="auto"/>
          <w:sz w:val="28"/>
          <w:szCs w:val="28"/>
          <w:highlight w:val="none"/>
        </w:rPr>
        <w:t>承包人必须服从政府主管部门的执法检查和处罚，并按照检查结果进行整改。</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81" w:name="_Toc134126097"/>
      <w:bookmarkStart w:id="182" w:name="_Toc128128881"/>
      <w:r>
        <w:rPr>
          <w:rFonts w:hint="eastAsia" w:ascii="宋体" w:hAnsi="宋体" w:eastAsia="宋体" w:cs="宋体"/>
          <w:color w:val="auto"/>
          <w:kern w:val="1"/>
          <w:sz w:val="28"/>
          <w:szCs w:val="28"/>
          <w:highlight w:val="none"/>
        </w:rPr>
        <w:t>21、安全防护</w:t>
      </w:r>
      <w:bookmarkEnd w:id="181"/>
      <w:bookmarkEnd w:id="182"/>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21.1安全防护措施费用</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本工程的所有安全防护措施费用已包含在本合同总价中，本合同不再另行计量与支付。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21.2安全防护措施</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21.2.1承包人须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21.2.2承包人应对其在施工场地的工作人员进行安全教育，并对他们的安全负责。发包人不得要求承包人违反安全管理的规定进行施工。因发包人原因导致的安全事故，由发包人承担相应责任及发生的费用。</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.3本工程的安全防护及文明施工措施费包括但不限于合同通用条款第2</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.1款、第2</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.2款所列明的费用，所有安全防护及文明施工措施费已包含在合同价款之中。</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4项目的实施要求须满足《建筑施工安全检查标准》（JGJ59-2011）、《广州市建设工程文明施工管理规定》（广州市人民政府令第62号）、《广州市城乡建设委员会关于印发广州市加强建筑工地环保管理工作方案的通知》（穗建质[2014]754号）、《广州市住房和城乡建设局等9部门关于印发广州市建设工程绿色施工围蔽指导图集（V2.0版）的通知》（穗建质〔2020〕1号）等相关现行文件要求及发包人制定的相关工程管理办法的要求，并应当做到： </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（1）加强对职业健康安全应急预案、安全技术方案的审查管理工作。</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（2）保护所有在现场人员的安全，保护其管辖范围内的现场以及尚未完工的和发包人尚未占用的工程处于良好的安全状态。</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（3）在需要的时间和地点，根据总监理工程师、发包人或者当地政府的要求，提供和维持所有的照明灯光、护板、围墙、栅栏、警告信号标志和值班人员，对工程进行保护和为公众提供安全和方便。</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新型冠状病毒肺炎）时，承包人必须遵守并执行省市卫生部门为处理和控制上述传染病而制定的规章、命令和要求，迅速向发包人和工程所在地疾病控制中心报告。</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承包人必须按照《危险性较大的分部分项工程安全管理规定》（住房城乡建设部令第37号）、《广东省住房和城乡建设厅关于房屋市政工程危险性较大的分部分项工程安全管理的实施细则》等最新法律法规要求，严格实施合同内所涉及的危险性较大或超一定规模危险性较大分部分项工程。承包人必须按专项施工方案组织施工，不得擅自修改专项施工方案。</w:t>
      </w:r>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183" w:name="_Toc134126098"/>
      <w:bookmarkStart w:id="184" w:name="_Toc128128882"/>
      <w:r>
        <w:rPr>
          <w:rFonts w:hint="eastAsia" w:ascii="宋体" w:hAnsi="宋体" w:eastAsia="宋体" w:cs="宋体"/>
          <w:color w:val="auto"/>
          <w:kern w:val="1"/>
          <w:sz w:val="28"/>
          <w:szCs w:val="28"/>
          <w:highlight w:val="none"/>
        </w:rPr>
        <w:t>22、事故处理</w:t>
      </w:r>
      <w:bookmarkEnd w:id="183"/>
      <w:bookmarkEnd w:id="184"/>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22.1因承包人责任过失造成工程质量安全事故的，承包人除须按照国家规定承担相应处罚外，还须赔偿由此造成的发包人损失</w:t>
      </w:r>
      <w:r>
        <w:rPr>
          <w:rFonts w:hint="eastAsia" w:ascii="宋体" w:hAnsi="宋体" w:eastAsia="宋体" w:cs="宋体"/>
          <w:color w:val="auto"/>
          <w:kern w:val="1"/>
          <w:sz w:val="28"/>
          <w:szCs w:val="28"/>
          <w:highlight w:val="none"/>
        </w:rPr>
        <w:t>（包括但不限于律师费、诉讼费、执行费、保全费、鉴定费、公证费等费用损失及其他有关经济损失）</w:t>
      </w:r>
      <w:r>
        <w:rPr>
          <w:rFonts w:hint="eastAsia" w:ascii="宋体" w:hAnsi="宋体" w:eastAsia="宋体" w:cs="宋体"/>
          <w:color w:val="auto"/>
          <w:sz w:val="28"/>
          <w:szCs w:val="28"/>
          <w:highlight w:val="none"/>
        </w:rPr>
        <w:t>。</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185" w:name="_Toc128128883"/>
      <w:bookmarkStart w:id="186" w:name="_Toc134126099"/>
      <w:r>
        <w:rPr>
          <w:rFonts w:hint="eastAsia" w:ascii="宋体" w:hAnsi="宋体" w:eastAsia="宋体" w:cs="宋体"/>
          <w:b/>
          <w:color w:val="auto"/>
          <w:kern w:val="1"/>
          <w:szCs w:val="28"/>
          <w:highlight w:val="none"/>
        </w:rPr>
        <w:t>六、合同价款与支付</w:t>
      </w:r>
      <w:bookmarkEnd w:id="185"/>
      <w:bookmarkEnd w:id="186"/>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87" w:name="_Toc128128884"/>
      <w:bookmarkStart w:id="188" w:name="_Toc134126100"/>
      <w:bookmarkStart w:id="189" w:name="_Hlk129787097"/>
      <w:r>
        <w:rPr>
          <w:rFonts w:hint="eastAsia" w:ascii="宋体" w:hAnsi="宋体" w:eastAsia="宋体" w:cs="宋体"/>
          <w:color w:val="auto"/>
          <w:kern w:val="1"/>
          <w:sz w:val="28"/>
          <w:szCs w:val="28"/>
          <w:highlight w:val="none"/>
        </w:rPr>
        <w:t>23、合同价款及调整</w:t>
      </w:r>
      <w:bookmarkEnd w:id="187"/>
      <w:bookmarkEnd w:id="188"/>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23.1合同价款：以本合同第一部分合同协议书第七条为准。</w:t>
      </w:r>
    </w:p>
    <w:p>
      <w:pPr>
        <w:spacing w:line="560" w:lineRule="exact"/>
        <w:ind w:firstLine="565" w:firstLineChars="202"/>
        <w:rPr>
          <w:rFonts w:hint="eastAsia" w:ascii="宋体" w:hAnsi="宋体" w:eastAsia="宋体" w:cs="宋体"/>
          <w:color w:val="auto"/>
          <w:sz w:val="28"/>
          <w:szCs w:val="28"/>
          <w:highlight w:val="none"/>
        </w:rPr>
      </w:pPr>
      <w:bookmarkStart w:id="190" w:name="_Hlk129787010"/>
      <w:r>
        <w:rPr>
          <w:rFonts w:hint="eastAsia" w:ascii="宋体" w:hAnsi="宋体" w:eastAsia="宋体" w:cs="宋体"/>
          <w:color w:val="auto"/>
          <w:sz w:val="28"/>
          <w:szCs w:val="28"/>
          <w:highlight w:val="none"/>
        </w:rPr>
        <w:t>23.2合同价款的风险包干范围及结算方式按招标工程量清单计价说明及招标文件的修改、答疑、澄清文件（如有）执行：</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kern w:val="1"/>
          <w:sz w:val="28"/>
          <w:szCs w:val="28"/>
          <w:highlight w:val="none"/>
        </w:rPr>
        <w:t>23.2.</w:t>
      </w:r>
      <w:r>
        <w:rPr>
          <w:rFonts w:hint="eastAsia" w:ascii="宋体" w:hAnsi="宋体" w:eastAsia="宋体" w:cs="宋体"/>
          <w:color w:val="auto"/>
          <w:sz w:val="28"/>
          <w:szCs w:val="28"/>
          <w:highlight w:val="none"/>
        </w:rPr>
        <w:t>1本合同采用</w:t>
      </w:r>
      <w:r>
        <w:rPr>
          <w:rFonts w:hint="eastAsia" w:ascii="宋体" w:hAnsi="宋体" w:cs="宋体"/>
          <w:color w:val="auto"/>
          <w:sz w:val="28"/>
          <w:szCs w:val="28"/>
          <w:highlight w:val="none"/>
          <w:lang w:val="en-US" w:eastAsia="zh-CN"/>
        </w:rPr>
        <w:t>部分</w:t>
      </w:r>
      <w:r>
        <w:rPr>
          <w:rFonts w:hint="eastAsia" w:ascii="宋体" w:hAnsi="宋体" w:eastAsia="宋体" w:cs="宋体"/>
          <w:color w:val="auto"/>
          <w:sz w:val="28"/>
          <w:szCs w:val="28"/>
          <w:highlight w:val="none"/>
          <w:lang w:eastAsia="zh-CN"/>
        </w:rPr>
        <w:t>综合单价包干</w:t>
      </w:r>
      <w:r>
        <w:rPr>
          <w:rFonts w:hint="eastAsia" w:ascii="宋体" w:hAnsi="宋体" w:eastAsia="宋体" w:cs="宋体"/>
          <w:color w:val="auto"/>
          <w:sz w:val="28"/>
          <w:szCs w:val="28"/>
          <w:highlight w:val="none"/>
        </w:rPr>
        <w:t>形式，</w:t>
      </w:r>
      <w:r>
        <w:rPr>
          <w:rFonts w:hint="eastAsia" w:ascii="宋体" w:hAnsi="宋体" w:eastAsia="宋体" w:cs="宋体"/>
          <w:color w:val="auto"/>
          <w:sz w:val="28"/>
          <w:szCs w:val="28"/>
          <w:highlight w:val="none"/>
          <w:u w:val="single"/>
        </w:rPr>
        <w:t>具体以招标工程量清单计价说明及招标文件的修改、答疑、澄清文件（如有）为准</w:t>
      </w:r>
      <w:r>
        <w:rPr>
          <w:rFonts w:hint="eastAsia" w:ascii="宋体" w:hAnsi="宋体" w:eastAsia="宋体" w:cs="宋体"/>
          <w:color w:val="auto"/>
          <w:sz w:val="28"/>
          <w:szCs w:val="28"/>
          <w:highlight w:val="none"/>
        </w:rPr>
        <w:t>。</w:t>
      </w:r>
    </w:p>
    <w:p>
      <w:pPr>
        <w:spacing w:line="560" w:lineRule="exact"/>
        <w:ind w:firstLine="565" w:firstLineChars="202"/>
        <w:rPr>
          <w:rFonts w:hint="eastAsia" w:ascii="宋体" w:hAnsi="宋体" w:eastAsia="宋体" w:cs="宋体"/>
          <w:color w:val="auto"/>
          <w:spacing w:val="-4"/>
          <w:sz w:val="28"/>
          <w:szCs w:val="28"/>
          <w:highlight w:val="none"/>
        </w:rPr>
      </w:pPr>
      <w:r>
        <w:rPr>
          <w:rFonts w:hint="eastAsia" w:ascii="宋体" w:hAnsi="宋体" w:eastAsia="宋体" w:cs="宋体"/>
          <w:color w:val="auto"/>
          <w:sz w:val="28"/>
          <w:szCs w:val="28"/>
          <w:highlight w:val="none"/>
        </w:rPr>
        <w:t>23.2.2</w:t>
      </w:r>
      <w:r>
        <w:rPr>
          <w:rFonts w:hint="eastAsia" w:ascii="宋体" w:hAnsi="宋体" w:eastAsia="宋体" w:cs="宋体"/>
          <w:color w:val="auto"/>
          <w:spacing w:val="-4"/>
          <w:sz w:val="28"/>
          <w:szCs w:val="28"/>
          <w:highlight w:val="none"/>
        </w:rPr>
        <w:t>若实际实施时，发包人因项目需要确定部分工程内容不再实施的，则发包人有权对该部分工程费用进行扣减，承包人承诺不就此提出异议和任何赔偿</w:t>
      </w:r>
      <w:bookmarkStart w:id="191" w:name="_Hlk132967612"/>
      <w:r>
        <w:rPr>
          <w:rFonts w:hint="eastAsia" w:ascii="宋体" w:hAnsi="宋体" w:eastAsia="宋体" w:cs="宋体"/>
          <w:color w:val="auto"/>
          <w:spacing w:val="-4"/>
          <w:sz w:val="28"/>
          <w:szCs w:val="28"/>
          <w:highlight w:val="none"/>
        </w:rPr>
        <w:t>、补偿</w:t>
      </w:r>
      <w:bookmarkEnd w:id="191"/>
      <w:r>
        <w:rPr>
          <w:rFonts w:hint="eastAsia" w:ascii="宋体" w:hAnsi="宋体" w:eastAsia="宋体" w:cs="宋体"/>
          <w:color w:val="auto"/>
          <w:spacing w:val="-4"/>
          <w:sz w:val="28"/>
          <w:szCs w:val="28"/>
          <w:highlight w:val="none"/>
        </w:rPr>
        <w:t>要求；承包人须无条件按照发包人明确的施工界面进行施工，由此引致的损失及费用均已包含在本合同总价内，本合同不再另行计量与支付。</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sz w:val="28"/>
          <w:szCs w:val="28"/>
          <w:highlight w:val="none"/>
        </w:rPr>
        <w:t>23.3合同价款的调整与确定原则：在实施过程中任何原因引起的合同价款调整，均必须经过监理工程师和发包人的书面审核确认并完善相关审批手续后，方可作为支付进度款及结算的依据。</w:t>
      </w:r>
      <w:r>
        <w:rPr>
          <w:rFonts w:hint="eastAsia" w:ascii="宋体" w:hAnsi="宋体" w:eastAsia="宋体" w:cs="宋体"/>
          <w:color w:val="auto"/>
          <w:sz w:val="28"/>
          <w:szCs w:val="28"/>
          <w:highlight w:val="none"/>
          <w:u w:val="single"/>
        </w:rPr>
        <w:t>具体按招标工程量清单计价说明及招标文件的修改、答疑、澄清文件（如有）执行。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23.3.1变更及新增项目计价办法：</w:t>
      </w:r>
      <w:r>
        <w:rPr>
          <w:rFonts w:hint="eastAsia" w:ascii="宋体" w:hAnsi="宋体" w:eastAsia="宋体" w:cs="宋体"/>
          <w:color w:val="auto"/>
          <w:sz w:val="28"/>
          <w:szCs w:val="28"/>
          <w:highlight w:val="none"/>
        </w:rPr>
        <w:t>以</w:t>
      </w:r>
      <w:r>
        <w:rPr>
          <w:rFonts w:hint="eastAsia" w:ascii="宋体" w:hAnsi="宋体" w:eastAsia="宋体" w:cs="宋体"/>
          <w:color w:val="auto"/>
          <w:sz w:val="28"/>
          <w:szCs w:val="28"/>
          <w:highlight w:val="none"/>
          <w:u w:val="single"/>
        </w:rPr>
        <w:t>招标工程量清单计价说明及招标文件的修改、答疑、澄清文件（如有）为准。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23.3.2材料设备变更调整办法：</w:t>
      </w:r>
      <w:r>
        <w:rPr>
          <w:rFonts w:hint="eastAsia" w:ascii="宋体" w:hAnsi="宋体" w:eastAsia="宋体" w:cs="宋体"/>
          <w:color w:val="auto"/>
          <w:sz w:val="28"/>
          <w:szCs w:val="28"/>
          <w:highlight w:val="none"/>
        </w:rPr>
        <w:t>以</w:t>
      </w:r>
      <w:r>
        <w:rPr>
          <w:rFonts w:hint="eastAsia" w:ascii="宋体" w:hAnsi="宋体" w:eastAsia="宋体" w:cs="宋体"/>
          <w:color w:val="auto"/>
          <w:sz w:val="28"/>
          <w:szCs w:val="28"/>
          <w:highlight w:val="none"/>
          <w:u w:val="single"/>
        </w:rPr>
        <w:t>招标工程量清单计价说明及招标文件的修改、答疑、澄清文件（如有）为准。</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kern w:val="1"/>
          <w:sz w:val="28"/>
          <w:szCs w:val="28"/>
          <w:highlight w:val="none"/>
        </w:rPr>
        <w:t>23.3.3人工、主要材料调差原则及办法：</w:t>
      </w:r>
      <w:r>
        <w:rPr>
          <w:rFonts w:hint="eastAsia" w:ascii="宋体" w:hAnsi="宋体" w:eastAsia="宋体" w:cs="宋体"/>
          <w:color w:val="auto"/>
          <w:sz w:val="28"/>
          <w:szCs w:val="28"/>
          <w:highlight w:val="none"/>
        </w:rPr>
        <w:t>以</w:t>
      </w:r>
      <w:r>
        <w:rPr>
          <w:rFonts w:hint="eastAsia" w:ascii="宋体" w:hAnsi="宋体" w:eastAsia="宋体" w:cs="宋体"/>
          <w:color w:val="auto"/>
          <w:sz w:val="28"/>
          <w:szCs w:val="28"/>
          <w:highlight w:val="none"/>
          <w:u w:val="single"/>
        </w:rPr>
        <w:t>招标工程量清单计价说明及招标文件的修改、答疑、澄清文件（如有）为准。</w:t>
      </w:r>
    </w:p>
    <w:p>
      <w:pPr>
        <w:shd w:val="clear"/>
        <w:spacing w:line="560" w:lineRule="exact"/>
        <w:ind w:firstLine="565" w:firstLineChars="202"/>
        <w:rPr>
          <w:rFonts w:hint="eastAsia" w:ascii="宋体" w:hAnsi="宋体" w:eastAsia="宋体" w:cs="宋体"/>
          <w:color w:val="auto"/>
          <w:spacing w:val="0"/>
          <w:kern w:val="1"/>
          <w:sz w:val="28"/>
          <w:szCs w:val="28"/>
          <w:highlight w:val="none"/>
        </w:rPr>
      </w:pPr>
      <w:r>
        <w:rPr>
          <w:rFonts w:hint="eastAsia" w:ascii="宋体" w:hAnsi="宋体" w:eastAsia="宋体" w:cs="宋体"/>
          <w:color w:val="auto"/>
          <w:kern w:val="1"/>
          <w:sz w:val="28"/>
          <w:szCs w:val="28"/>
          <w:highlight w:val="none"/>
          <w:lang w:val="en-US" w:eastAsia="zh-CN"/>
        </w:rPr>
        <w:t>23.2.4</w:t>
      </w:r>
      <w:r>
        <w:rPr>
          <w:rFonts w:hint="eastAsia" w:ascii="宋体" w:hAnsi="宋体" w:eastAsia="宋体" w:cs="宋体"/>
          <w:color w:val="auto"/>
          <w:spacing w:val="0"/>
          <w:kern w:val="1"/>
          <w:sz w:val="28"/>
          <w:szCs w:val="28"/>
          <w:highlight w:val="none"/>
        </w:rPr>
        <w:t>国家级优质工程奖（国家优质工程金奖</w:t>
      </w:r>
      <w:r>
        <w:rPr>
          <w:rFonts w:hint="eastAsia" w:ascii="宋体" w:hAnsi="宋体" w:eastAsia="宋体" w:cs="宋体"/>
          <w:color w:val="auto"/>
          <w:kern w:val="1"/>
          <w:sz w:val="28"/>
          <w:szCs w:val="28"/>
          <w:highlight w:val="none"/>
          <w:lang w:val="en-US" w:eastAsia="zh-CN"/>
        </w:rPr>
        <w:t>或</w:t>
      </w:r>
      <w:r>
        <w:rPr>
          <w:rFonts w:hint="eastAsia" w:ascii="宋体" w:hAnsi="宋体" w:eastAsia="宋体" w:cs="宋体"/>
          <w:color w:val="auto"/>
          <w:spacing w:val="0"/>
          <w:kern w:val="1"/>
          <w:sz w:val="28"/>
          <w:szCs w:val="28"/>
          <w:highlight w:val="none"/>
        </w:rPr>
        <w:t>鲁班奖）</w:t>
      </w:r>
      <w:r>
        <w:rPr>
          <w:rFonts w:hint="eastAsia" w:ascii="宋体" w:hAnsi="宋体" w:eastAsia="宋体" w:cs="宋体"/>
          <w:color w:val="auto"/>
          <w:spacing w:val="0"/>
          <w:kern w:val="1"/>
          <w:sz w:val="28"/>
          <w:szCs w:val="28"/>
          <w:highlight w:val="none"/>
          <w:lang w:val="en-US" w:eastAsia="zh-CN"/>
        </w:rPr>
        <w:t>为总价包干</w:t>
      </w:r>
      <w:r>
        <w:rPr>
          <w:rFonts w:hint="eastAsia" w:ascii="宋体" w:hAnsi="宋体" w:eastAsia="宋体" w:cs="宋体"/>
          <w:color w:val="auto"/>
          <w:spacing w:val="0"/>
          <w:kern w:val="1"/>
          <w:sz w:val="28"/>
          <w:szCs w:val="28"/>
          <w:highlight w:val="none"/>
        </w:rPr>
        <w:t>，结算时</w:t>
      </w:r>
      <w:r>
        <w:rPr>
          <w:rFonts w:hint="eastAsia" w:ascii="宋体" w:hAnsi="宋体" w:eastAsia="宋体" w:cs="宋体"/>
          <w:color w:val="auto"/>
          <w:spacing w:val="0"/>
          <w:kern w:val="1"/>
          <w:sz w:val="28"/>
          <w:szCs w:val="28"/>
          <w:highlight w:val="none"/>
          <w:lang w:val="en-US" w:eastAsia="zh-CN"/>
        </w:rPr>
        <w:t>承包人</w:t>
      </w:r>
      <w:r>
        <w:rPr>
          <w:rFonts w:hint="eastAsia" w:ascii="宋体" w:hAnsi="宋体" w:eastAsia="宋体" w:cs="宋体"/>
          <w:color w:val="auto"/>
          <w:spacing w:val="0"/>
          <w:kern w:val="1"/>
          <w:sz w:val="28"/>
          <w:szCs w:val="28"/>
          <w:highlight w:val="none"/>
        </w:rPr>
        <w:t>取得</w:t>
      </w:r>
      <w:r>
        <w:rPr>
          <w:rFonts w:hint="eastAsia" w:ascii="宋体" w:hAnsi="宋体" w:eastAsia="宋体" w:cs="宋体"/>
          <w:color w:val="auto"/>
          <w:spacing w:val="0"/>
          <w:kern w:val="1"/>
          <w:sz w:val="28"/>
          <w:szCs w:val="28"/>
          <w:highlight w:val="none"/>
          <w:lang w:val="en-US" w:eastAsia="zh-CN"/>
        </w:rPr>
        <w:t>该奖项</w:t>
      </w:r>
      <w:r>
        <w:rPr>
          <w:rFonts w:hint="eastAsia" w:ascii="宋体" w:hAnsi="宋体" w:eastAsia="宋体" w:cs="宋体"/>
          <w:color w:val="auto"/>
          <w:spacing w:val="0"/>
          <w:kern w:val="1"/>
          <w:sz w:val="28"/>
          <w:szCs w:val="28"/>
          <w:highlight w:val="none"/>
        </w:rPr>
        <w:t>则按合同金额支付，未取得不支付。</w:t>
      </w:r>
    </w:p>
    <w:p>
      <w:pPr>
        <w:shd w:val="clear"/>
        <w:spacing w:line="560" w:lineRule="exact"/>
        <w:ind w:firstLine="565" w:firstLineChars="202"/>
        <w:rPr>
          <w:rFonts w:hint="eastAsia" w:ascii="宋体" w:hAnsi="宋体" w:cs="宋体"/>
          <w:color w:val="auto"/>
          <w:kern w:val="1"/>
          <w:sz w:val="28"/>
          <w:szCs w:val="28"/>
          <w:highlight w:val="none"/>
        </w:rPr>
      </w:pPr>
      <w:r>
        <w:rPr>
          <w:rFonts w:hint="eastAsia" w:ascii="宋体" w:hAnsi="宋体" w:eastAsia="宋体" w:cs="宋体"/>
          <w:color w:val="auto"/>
          <w:kern w:val="1"/>
          <w:sz w:val="28"/>
          <w:szCs w:val="28"/>
          <w:highlight w:val="none"/>
        </w:rPr>
        <w:t>23.2.</w:t>
      </w:r>
      <w:r>
        <w:rPr>
          <w:rFonts w:hint="eastAsia" w:ascii="宋体" w:hAnsi="宋体" w:eastAsia="宋体" w:cs="宋体"/>
          <w:color w:val="auto"/>
          <w:kern w:val="1"/>
          <w:sz w:val="28"/>
          <w:szCs w:val="28"/>
          <w:highlight w:val="none"/>
          <w:lang w:val="en-US" w:eastAsia="zh-CN"/>
        </w:rPr>
        <w:t>5</w:t>
      </w:r>
      <w:r>
        <w:rPr>
          <w:rFonts w:hint="eastAsia" w:ascii="宋体" w:hAnsi="宋体" w:eastAsia="宋体" w:cs="宋体"/>
          <w:color w:val="auto"/>
          <w:kern w:val="1"/>
          <w:sz w:val="28"/>
          <w:szCs w:val="28"/>
          <w:highlight w:val="none"/>
        </w:rPr>
        <w:t>措施项目</w:t>
      </w:r>
      <w:r>
        <w:rPr>
          <w:rFonts w:hint="eastAsia" w:ascii="宋体" w:hAnsi="宋体" w:eastAsia="宋体" w:cs="宋体"/>
          <w:color w:val="auto"/>
          <w:kern w:val="1"/>
          <w:sz w:val="28"/>
          <w:szCs w:val="28"/>
          <w:highlight w:val="none"/>
          <w:lang w:val="en-US" w:eastAsia="zh-CN"/>
        </w:rPr>
        <w:t>费总价</w:t>
      </w:r>
      <w:r>
        <w:rPr>
          <w:rFonts w:hint="eastAsia" w:ascii="宋体" w:hAnsi="宋体" w:eastAsia="宋体" w:cs="宋体"/>
          <w:color w:val="auto"/>
          <w:kern w:val="1"/>
          <w:sz w:val="28"/>
          <w:szCs w:val="28"/>
          <w:highlight w:val="none"/>
        </w:rPr>
        <w:t>包干，结算时不予调整，</w:t>
      </w:r>
      <w:r>
        <w:rPr>
          <w:rFonts w:hint="eastAsia" w:ascii="宋体" w:hAnsi="宋体" w:eastAsia="宋体" w:cs="宋体"/>
          <w:color w:val="auto"/>
          <w:kern w:val="1"/>
          <w:sz w:val="28"/>
          <w:szCs w:val="28"/>
          <w:highlight w:val="none"/>
          <w:u w:val="none"/>
        </w:rPr>
        <w:t>具体以招标工程量清单计价说明及招标</w:t>
      </w:r>
      <w:r>
        <w:rPr>
          <w:rFonts w:hint="eastAsia" w:ascii="宋体" w:hAnsi="宋体" w:eastAsia="宋体" w:cs="宋体"/>
          <w:color w:val="auto"/>
          <w:kern w:val="1"/>
          <w:sz w:val="28"/>
          <w:szCs w:val="28"/>
          <w:highlight w:val="none"/>
        </w:rPr>
        <w:t>文件的修改、答疑、</w:t>
      </w:r>
      <w:r>
        <w:rPr>
          <w:rFonts w:hint="eastAsia" w:ascii="宋体" w:hAnsi="宋体" w:eastAsia="宋体" w:cs="宋体"/>
          <w:color w:val="auto"/>
          <w:kern w:val="1"/>
          <w:sz w:val="28"/>
          <w:szCs w:val="28"/>
          <w:highlight w:val="none"/>
          <w:u w:val="none"/>
        </w:rPr>
        <w:t>澄清文件（如有）为准。</w:t>
      </w:r>
    </w:p>
    <w:p>
      <w:pPr>
        <w:pStyle w:val="15"/>
        <w:rPr>
          <w:rFonts w:hint="default" w:eastAsia="宋体"/>
          <w:highlight w:val="none"/>
          <w:lang w:val="en-US" w:eastAsia="zh-CN"/>
        </w:rPr>
      </w:pPr>
    </w:p>
    <w:bookmarkEnd w:id="189"/>
    <w:bookmarkEnd w:id="190"/>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92" w:name="_Toc134126101"/>
      <w:bookmarkStart w:id="193" w:name="_Toc128128885"/>
      <w:r>
        <w:rPr>
          <w:rFonts w:hint="eastAsia" w:ascii="宋体" w:hAnsi="宋体" w:eastAsia="宋体" w:cs="宋体"/>
          <w:color w:val="auto"/>
          <w:kern w:val="1"/>
          <w:sz w:val="28"/>
          <w:szCs w:val="28"/>
          <w:highlight w:val="none"/>
        </w:rPr>
        <w:t>24、工程预付款</w:t>
      </w:r>
      <w:bookmarkEnd w:id="192"/>
      <w:bookmarkEnd w:id="193"/>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24.1在本合同签订且承包人向项目业主单位提供</w:t>
      </w:r>
      <w:bookmarkStart w:id="194" w:name="_Hlk134124280"/>
      <w:r>
        <w:rPr>
          <w:rFonts w:hint="eastAsia" w:ascii="宋体" w:hAnsi="宋体" w:eastAsia="宋体" w:cs="宋体"/>
          <w:color w:val="auto"/>
          <w:sz w:val="28"/>
          <w:szCs w:val="28"/>
          <w:highlight w:val="none"/>
        </w:rPr>
        <w:t>中标</w:t>
      </w:r>
      <w:bookmarkEnd w:id="194"/>
      <w:r>
        <w:rPr>
          <w:rFonts w:hint="eastAsia" w:ascii="宋体" w:hAnsi="宋体" w:eastAsia="宋体" w:cs="宋体"/>
          <w:color w:val="auto"/>
          <w:sz w:val="28"/>
          <w:szCs w:val="28"/>
          <w:highlight w:val="none"/>
        </w:rPr>
        <w:t>总价（扣除暂列金额、含税总承包服务费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含税</w:t>
      </w:r>
      <w:r>
        <w:rPr>
          <w:rFonts w:hint="eastAsia" w:ascii="宋体" w:hAnsi="宋体" w:eastAsia="宋体" w:cs="宋体"/>
          <w:strike w:val="0"/>
          <w:dstrike w:val="0"/>
          <w:color w:val="auto"/>
          <w:kern w:val="1"/>
          <w:sz w:val="28"/>
          <w:szCs w:val="28"/>
          <w:highlight w:val="none"/>
          <w:lang w:val="en-US" w:eastAsia="zh-CN"/>
        </w:rPr>
        <w:t>国家级工程质量奖励金</w:t>
      </w:r>
      <w:r>
        <w:rPr>
          <w:rFonts w:hint="eastAsia" w:ascii="宋体" w:hAnsi="宋体" w:eastAsia="宋体" w:cs="宋体"/>
          <w:color w:val="auto"/>
          <w:kern w:val="1"/>
          <w:sz w:val="28"/>
          <w:szCs w:val="28"/>
          <w:highlight w:val="none"/>
          <w:lang w:eastAsia="zh-CN"/>
        </w:rPr>
        <w:t>、</w:t>
      </w:r>
      <w:r>
        <w:rPr>
          <w:rFonts w:hint="eastAsia" w:ascii="宋体" w:hAnsi="宋体" w:eastAsia="宋体" w:cs="宋体"/>
          <w:color w:val="auto"/>
          <w:sz w:val="28"/>
          <w:szCs w:val="28"/>
          <w:highlight w:val="none"/>
          <w:lang w:val="en-US" w:eastAsia="zh-CN"/>
        </w:rPr>
        <w:t>含税</w:t>
      </w:r>
      <w:r>
        <w:rPr>
          <w:rFonts w:hint="eastAsia" w:ascii="宋体" w:hAnsi="宋体" w:eastAsia="宋体" w:cs="宋体"/>
          <w:color w:val="auto"/>
          <w:kern w:val="1"/>
          <w:sz w:val="28"/>
          <w:szCs w:val="28"/>
          <w:highlight w:val="none"/>
        </w:rPr>
        <w:t>绿色施工安全防护措施费）的</w:t>
      </w:r>
      <w:r>
        <w:rPr>
          <w:rFonts w:hint="eastAsia" w:ascii="宋体" w:hAnsi="宋体" w:eastAsia="宋体" w:cs="宋体"/>
          <w:color w:val="auto"/>
          <w:sz w:val="28"/>
          <w:szCs w:val="28"/>
          <w:highlight w:val="none"/>
        </w:rPr>
        <w:t>10%的履约担保、</w:t>
      </w:r>
      <w:bookmarkStart w:id="195" w:name="_Hlk132981871"/>
      <w:r>
        <w:rPr>
          <w:rFonts w:hint="eastAsia" w:ascii="宋体" w:hAnsi="宋体" w:eastAsia="宋体" w:cs="宋体"/>
          <w:color w:val="auto"/>
          <w:sz w:val="28"/>
          <w:szCs w:val="28"/>
          <w:highlight w:val="none"/>
        </w:rPr>
        <w:t>发包人或监理单位向承包人发出开工令</w:t>
      </w:r>
      <w:bookmarkEnd w:id="195"/>
      <w:r>
        <w:rPr>
          <w:rFonts w:hint="eastAsia" w:ascii="宋体" w:hAnsi="宋体" w:eastAsia="宋体" w:cs="宋体"/>
          <w:color w:val="auto"/>
          <w:sz w:val="28"/>
          <w:szCs w:val="28"/>
          <w:highlight w:val="none"/>
        </w:rPr>
        <w:t>后，承包人据此提出付款申请、并经监理及发包人审核确认后，支付中标总价（扣除暂列金额、含税总承包服务费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kern w:val="1"/>
          <w:sz w:val="28"/>
          <w:szCs w:val="28"/>
          <w:highlight w:val="none"/>
        </w:rPr>
        <w:t>绿色施工安全防护措施费）的10%作为预</w:t>
      </w:r>
      <w:r>
        <w:rPr>
          <w:rFonts w:hint="eastAsia" w:ascii="宋体" w:hAnsi="宋体" w:eastAsia="宋体" w:cs="宋体"/>
          <w:color w:val="auto"/>
          <w:sz w:val="28"/>
          <w:szCs w:val="28"/>
          <w:highlight w:val="none"/>
        </w:rPr>
        <w:t>付款</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其中原则上将不低于合同总价的1%作为人工费用预付款一次性拨付到工资专用账户。</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24.2预付款的扣回时间及比例：</w:t>
      </w:r>
    </w:p>
    <w:tbl>
      <w:tblPr>
        <w:tblStyle w:val="42"/>
        <w:tblW w:w="8306" w:type="dxa"/>
        <w:jc w:val="center"/>
        <w:tblLayout w:type="fixed"/>
        <w:tblCellMar>
          <w:top w:w="0" w:type="dxa"/>
          <w:left w:w="108" w:type="dxa"/>
          <w:bottom w:w="0" w:type="dxa"/>
          <w:right w:w="108" w:type="dxa"/>
        </w:tblCellMar>
      </w:tblPr>
      <w:tblGrid>
        <w:gridCol w:w="5446"/>
        <w:gridCol w:w="1442"/>
        <w:gridCol w:w="1418"/>
      </w:tblGrid>
      <w:tr>
        <w:tblPrEx>
          <w:tblCellMar>
            <w:top w:w="0" w:type="dxa"/>
            <w:left w:w="108" w:type="dxa"/>
            <w:bottom w:w="0" w:type="dxa"/>
            <w:right w:w="108" w:type="dxa"/>
          </w:tblCellMar>
        </w:tblPrEx>
        <w:trPr>
          <w:trHeight w:val="1291" w:hRule="atLeast"/>
          <w:jc w:val="center"/>
        </w:trPr>
        <w:tc>
          <w:tcPr>
            <w:tcW w:w="544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已完工程量与合同价之比（扣除暂列金额、含税总承包服务费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含税</w:t>
            </w:r>
            <w:r>
              <w:rPr>
                <w:rFonts w:hint="eastAsia" w:ascii="宋体" w:hAnsi="宋体" w:eastAsia="宋体" w:cs="宋体"/>
                <w:strike w:val="0"/>
                <w:dstrike w:val="0"/>
                <w:color w:val="auto"/>
                <w:kern w:val="1"/>
                <w:sz w:val="28"/>
                <w:szCs w:val="28"/>
                <w:highlight w:val="none"/>
                <w:lang w:val="en-US" w:eastAsia="zh-CN"/>
              </w:rPr>
              <w:t>国家级工程质量奖励金</w:t>
            </w:r>
            <w:r>
              <w:rPr>
                <w:rFonts w:hint="eastAsia" w:ascii="宋体" w:hAnsi="宋体" w:eastAsia="宋体" w:cs="宋体"/>
                <w:color w:val="auto"/>
                <w:kern w:val="1"/>
                <w:sz w:val="28"/>
                <w:szCs w:val="28"/>
                <w:highlight w:val="none"/>
                <w:lang w:eastAsia="zh-CN"/>
              </w:rPr>
              <w:t>、</w:t>
            </w:r>
            <w:r>
              <w:rPr>
                <w:rFonts w:hint="eastAsia" w:ascii="宋体" w:hAnsi="宋体" w:eastAsia="宋体" w:cs="宋体"/>
                <w:color w:val="auto"/>
                <w:sz w:val="28"/>
                <w:szCs w:val="28"/>
                <w:highlight w:val="none"/>
                <w:lang w:val="en-US" w:eastAsia="zh-CN"/>
              </w:rPr>
              <w:t>含税</w:t>
            </w:r>
            <w:r>
              <w:rPr>
                <w:rFonts w:hint="eastAsia" w:ascii="宋体" w:hAnsi="宋体" w:eastAsia="宋体" w:cs="宋体"/>
                <w:color w:val="auto"/>
                <w:kern w:val="1"/>
                <w:sz w:val="28"/>
                <w:szCs w:val="28"/>
                <w:highlight w:val="none"/>
              </w:rPr>
              <w:t>绿色施工安全防护措施费</w:t>
            </w:r>
            <w:r>
              <w:rPr>
                <w:rFonts w:hint="eastAsia" w:ascii="宋体" w:hAnsi="宋体" w:eastAsia="宋体" w:cs="宋体"/>
                <w:color w:val="auto"/>
                <w:sz w:val="28"/>
                <w:szCs w:val="28"/>
                <w:highlight w:val="none"/>
              </w:rPr>
              <w:t>）</w:t>
            </w:r>
          </w:p>
        </w:tc>
        <w:tc>
          <w:tcPr>
            <w:tcW w:w="14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预付款扣回比例</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累计扣回比例</w:t>
            </w:r>
          </w:p>
        </w:tc>
      </w:tr>
      <w:tr>
        <w:tblPrEx>
          <w:tblCellMar>
            <w:top w:w="0" w:type="dxa"/>
            <w:left w:w="108" w:type="dxa"/>
            <w:bottom w:w="0" w:type="dxa"/>
            <w:right w:w="108" w:type="dxa"/>
          </w:tblCellMar>
        </w:tblPrEx>
        <w:trPr>
          <w:trHeight w:val="390" w:hRule="atLeast"/>
          <w:jc w:val="center"/>
        </w:trPr>
        <w:tc>
          <w:tcPr>
            <w:tcW w:w="544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20%≤A＜30%</w:t>
            </w:r>
          </w:p>
        </w:tc>
        <w:tc>
          <w:tcPr>
            <w:tcW w:w="14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r>
      <w:tr>
        <w:tblPrEx>
          <w:tblCellMar>
            <w:top w:w="0" w:type="dxa"/>
            <w:left w:w="108" w:type="dxa"/>
            <w:bottom w:w="0" w:type="dxa"/>
            <w:right w:w="108" w:type="dxa"/>
          </w:tblCellMar>
        </w:tblPrEx>
        <w:trPr>
          <w:trHeight w:val="345" w:hRule="atLeast"/>
          <w:jc w:val="center"/>
        </w:trPr>
        <w:tc>
          <w:tcPr>
            <w:tcW w:w="544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30%≤A＜40%</w:t>
            </w:r>
          </w:p>
        </w:tc>
        <w:tc>
          <w:tcPr>
            <w:tcW w:w="14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w:t>
            </w:r>
          </w:p>
        </w:tc>
      </w:tr>
      <w:tr>
        <w:tblPrEx>
          <w:tblCellMar>
            <w:top w:w="0" w:type="dxa"/>
            <w:left w:w="108" w:type="dxa"/>
            <w:bottom w:w="0" w:type="dxa"/>
            <w:right w:w="108" w:type="dxa"/>
          </w:tblCellMar>
        </w:tblPrEx>
        <w:trPr>
          <w:trHeight w:val="435" w:hRule="atLeast"/>
          <w:jc w:val="center"/>
        </w:trPr>
        <w:tc>
          <w:tcPr>
            <w:tcW w:w="544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40%≤A＜50%</w:t>
            </w:r>
          </w:p>
        </w:tc>
        <w:tc>
          <w:tcPr>
            <w:tcW w:w="14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60%</w:t>
            </w:r>
          </w:p>
        </w:tc>
      </w:tr>
      <w:tr>
        <w:tblPrEx>
          <w:tblCellMar>
            <w:top w:w="0" w:type="dxa"/>
            <w:left w:w="108" w:type="dxa"/>
            <w:bottom w:w="0" w:type="dxa"/>
            <w:right w:w="108" w:type="dxa"/>
          </w:tblCellMar>
        </w:tblPrEx>
        <w:trPr>
          <w:trHeight w:val="375" w:hRule="atLeast"/>
          <w:jc w:val="center"/>
        </w:trPr>
        <w:tc>
          <w:tcPr>
            <w:tcW w:w="544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50%≤A＜60%</w:t>
            </w:r>
          </w:p>
        </w:tc>
        <w:tc>
          <w:tcPr>
            <w:tcW w:w="14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40%</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w:t>
            </w:r>
          </w:p>
        </w:tc>
      </w:tr>
    </w:tbl>
    <w:p>
      <w:pPr>
        <w:spacing w:line="560" w:lineRule="exact"/>
        <w:rPr>
          <w:rFonts w:hint="eastAsia" w:ascii="宋体" w:hAnsi="宋体" w:eastAsia="宋体" w:cs="宋体"/>
          <w:color w:val="auto"/>
          <w:spacing w:val="-4"/>
          <w:kern w:val="1"/>
          <w:sz w:val="28"/>
          <w:szCs w:val="28"/>
          <w:highlight w:val="none"/>
        </w:rPr>
      </w:pPr>
      <w:r>
        <w:rPr>
          <w:rFonts w:hint="eastAsia" w:ascii="宋体" w:hAnsi="宋体" w:eastAsia="宋体" w:cs="宋体"/>
          <w:color w:val="auto"/>
          <w:spacing w:val="-4"/>
          <w:kern w:val="1"/>
          <w:sz w:val="28"/>
          <w:szCs w:val="28"/>
          <w:highlight w:val="none"/>
        </w:rPr>
        <w:t>注：A＝已完成工程量÷合同价款（</w:t>
      </w:r>
      <w:r>
        <w:rPr>
          <w:rFonts w:hint="eastAsia" w:ascii="宋体" w:hAnsi="宋体" w:eastAsia="宋体" w:cs="宋体"/>
          <w:color w:val="auto"/>
          <w:sz w:val="28"/>
          <w:szCs w:val="28"/>
          <w:highlight w:val="none"/>
        </w:rPr>
        <w:t>扣除暂列金额、含税总承包服务费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含税</w:t>
      </w:r>
      <w:r>
        <w:rPr>
          <w:rFonts w:hint="eastAsia" w:ascii="宋体" w:hAnsi="宋体" w:eastAsia="宋体" w:cs="宋体"/>
          <w:strike w:val="0"/>
          <w:dstrike w:val="0"/>
          <w:color w:val="auto"/>
          <w:kern w:val="1"/>
          <w:sz w:val="28"/>
          <w:szCs w:val="28"/>
          <w:highlight w:val="none"/>
          <w:lang w:val="en-US" w:eastAsia="zh-CN"/>
        </w:rPr>
        <w:t>国家级工程质量奖励金</w:t>
      </w:r>
      <w:r>
        <w:rPr>
          <w:rFonts w:hint="eastAsia" w:ascii="宋体" w:hAnsi="宋体" w:eastAsia="宋体" w:cs="宋体"/>
          <w:color w:val="auto"/>
          <w:kern w:val="1"/>
          <w:sz w:val="28"/>
          <w:szCs w:val="28"/>
          <w:highlight w:val="none"/>
          <w:lang w:eastAsia="zh-CN"/>
        </w:rPr>
        <w:t>、</w:t>
      </w:r>
      <w:r>
        <w:rPr>
          <w:rFonts w:hint="eastAsia" w:ascii="宋体" w:hAnsi="宋体" w:eastAsia="宋体" w:cs="宋体"/>
          <w:color w:val="auto"/>
          <w:sz w:val="28"/>
          <w:szCs w:val="28"/>
          <w:highlight w:val="none"/>
          <w:lang w:val="en-US" w:eastAsia="zh-CN"/>
        </w:rPr>
        <w:t>含税</w:t>
      </w:r>
      <w:r>
        <w:rPr>
          <w:rFonts w:hint="eastAsia" w:ascii="宋体" w:hAnsi="宋体" w:eastAsia="宋体" w:cs="宋体"/>
          <w:color w:val="auto"/>
          <w:kern w:val="1"/>
          <w:sz w:val="28"/>
          <w:szCs w:val="28"/>
          <w:highlight w:val="none"/>
        </w:rPr>
        <w:t>绿色施工安全防护措施费</w:t>
      </w:r>
      <w:r>
        <w:rPr>
          <w:rFonts w:hint="eastAsia" w:ascii="宋体" w:hAnsi="宋体" w:eastAsia="宋体" w:cs="宋体"/>
          <w:color w:val="auto"/>
          <w:spacing w:val="-4"/>
          <w:kern w:val="1"/>
          <w:sz w:val="28"/>
          <w:szCs w:val="28"/>
          <w:highlight w:val="none"/>
        </w:rPr>
        <w:t>）</w:t>
      </w:r>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196" w:name="_Toc128128886"/>
      <w:bookmarkStart w:id="197" w:name="_Toc134126102"/>
      <w:r>
        <w:rPr>
          <w:rFonts w:hint="eastAsia" w:ascii="宋体" w:hAnsi="宋体" w:eastAsia="宋体" w:cs="宋体"/>
          <w:color w:val="auto"/>
          <w:kern w:val="1"/>
          <w:sz w:val="28"/>
          <w:szCs w:val="28"/>
          <w:highlight w:val="none"/>
        </w:rPr>
        <w:t>25、工程量确认</w:t>
      </w:r>
      <w:bookmarkEnd w:id="196"/>
      <w:bookmarkEnd w:id="197"/>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25.1承包人向监理工程师提交已完工程量报告的时间：进度工程量确认按期申报（自开工之日起每个月为一期），承包人须于下期首5个工作日内将上期完成的工程量报告及相应计量依据文件（上报资料要求按发包人另行发布的相关要求或规定执行，并满足以下约定）上报监理；监理原则上在收到承包人提交的工程量报告及齐备的计量依据文件后5个工作日内审核确定并提交发包人；发包人原则上在收到监理工程师审定的工程量报告及齐备的计量依据文件后15个工作日内审核确定。</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25.2如承包人违反第28.8条约定，或承包人进度计量申请时未递交计量依据文件，或提交的计量依据文件不齐备、不符合要求，则视为不符合或未达到支付条件，发包人有权延迟或者不予进度计量，由此造成的损失和责任全部由承包人自行承担，且承包人还须按本合同专用条款第35.2条承担违约责任。</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198" w:name="_Toc128128887"/>
      <w:bookmarkStart w:id="199" w:name="_Toc134126103"/>
      <w:r>
        <w:rPr>
          <w:rFonts w:hint="eastAsia" w:ascii="宋体" w:hAnsi="宋体" w:eastAsia="宋体" w:cs="宋体"/>
          <w:color w:val="auto"/>
          <w:kern w:val="1"/>
          <w:sz w:val="28"/>
          <w:szCs w:val="28"/>
          <w:highlight w:val="none"/>
        </w:rPr>
        <w:t>26、工程进度款支付</w:t>
      </w:r>
      <w:bookmarkEnd w:id="198"/>
      <w:bookmarkEnd w:id="199"/>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26.1双方约定的工程款支付方式和时间：</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kern w:val="1"/>
          <w:sz w:val="28"/>
          <w:szCs w:val="28"/>
          <w:highlight w:val="none"/>
        </w:rPr>
        <w:t>26.1.1自开工之日起，发包人每个月按工程实际进度拨付一次工程进度款。在承包人按专用条款第25.1条要求上报工程量报告及相关计量依据文件、经监理及发包人审核确认后15个工作日内，发包人付至该期实际完成工程量的</w:t>
      </w:r>
      <w:r>
        <w:rPr>
          <w:rFonts w:hint="eastAsia" w:ascii="宋体" w:hAnsi="宋体" w:eastAsia="宋体" w:cs="宋体"/>
          <w:b/>
          <w:bCs/>
          <w:color w:val="auto"/>
          <w:kern w:val="1"/>
          <w:sz w:val="28"/>
          <w:szCs w:val="28"/>
          <w:highlight w:val="none"/>
        </w:rPr>
        <w:t>80%</w:t>
      </w:r>
      <w:r>
        <w:rPr>
          <w:rFonts w:hint="eastAsia" w:ascii="宋体" w:hAnsi="宋体" w:eastAsia="宋体" w:cs="宋体"/>
          <w:color w:val="auto"/>
          <w:kern w:val="1"/>
          <w:sz w:val="28"/>
          <w:szCs w:val="28"/>
          <w:highlight w:val="none"/>
        </w:rPr>
        <w:t>。工程变更调整的合同价款</w:t>
      </w:r>
      <w:r>
        <w:rPr>
          <w:rFonts w:hint="eastAsia" w:ascii="宋体" w:hAnsi="宋体" w:eastAsia="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其他条款中约定</w:t>
      </w:r>
      <w:r>
        <w:rPr>
          <w:rFonts w:hint="eastAsia" w:ascii="宋体" w:hAnsi="宋体" w:eastAsia="宋体" w:cs="宋体"/>
          <w:color w:val="auto"/>
          <w:kern w:val="1"/>
          <w:sz w:val="28"/>
          <w:szCs w:val="28"/>
          <w:highlight w:val="none"/>
          <w:lang w:eastAsia="zh-CN"/>
        </w:rPr>
        <w:t>调整的</w:t>
      </w:r>
      <w:r>
        <w:rPr>
          <w:rFonts w:hint="eastAsia" w:ascii="宋体" w:hAnsi="宋体" w:eastAsia="宋体" w:cs="宋体"/>
          <w:color w:val="auto"/>
          <w:kern w:val="1"/>
          <w:sz w:val="28"/>
          <w:szCs w:val="28"/>
          <w:highlight w:val="none"/>
        </w:rPr>
        <w:t>合同价款，经监理工程师及发包人书面审核确认后，与工程款（进度款）同期</w:t>
      </w:r>
      <w:r>
        <w:rPr>
          <w:rFonts w:hint="eastAsia" w:ascii="宋体" w:hAnsi="宋体" w:eastAsia="宋体" w:cs="宋体"/>
          <w:color w:val="auto"/>
          <w:kern w:val="1"/>
          <w:sz w:val="28"/>
          <w:szCs w:val="28"/>
          <w:highlight w:val="none"/>
          <w:lang w:eastAsia="zh-CN"/>
        </w:rPr>
        <w:t>同比例</w:t>
      </w:r>
      <w:r>
        <w:rPr>
          <w:rFonts w:hint="eastAsia" w:ascii="宋体" w:hAnsi="宋体" w:eastAsia="宋体" w:cs="宋体"/>
          <w:color w:val="auto"/>
          <w:kern w:val="1"/>
          <w:sz w:val="28"/>
          <w:szCs w:val="28"/>
          <w:highlight w:val="none"/>
        </w:rPr>
        <w:t>支付。因承包人计量依据资料不齐备原因造成的计量支付延迟，相应损失及责任由承包人自担，且承包人不得以此为由公开或变相拖延工程进度，否则，承包人</w:t>
      </w:r>
      <w:r>
        <w:rPr>
          <w:rFonts w:hint="eastAsia" w:ascii="宋体" w:hAnsi="宋体" w:eastAsia="宋体" w:cs="宋体"/>
          <w:bCs/>
          <w:color w:val="auto"/>
          <w:kern w:val="1"/>
          <w:sz w:val="28"/>
          <w:szCs w:val="28"/>
          <w:highlight w:val="none"/>
        </w:rPr>
        <w:t>须</w:t>
      </w:r>
      <w:r>
        <w:rPr>
          <w:rFonts w:hint="eastAsia" w:ascii="宋体" w:hAnsi="宋体" w:eastAsia="宋体" w:cs="宋体"/>
          <w:color w:val="auto"/>
          <w:kern w:val="1"/>
          <w:sz w:val="28"/>
          <w:szCs w:val="28"/>
          <w:highlight w:val="none"/>
        </w:rPr>
        <w:t>按专用条款第35条承担</w:t>
      </w:r>
      <w:r>
        <w:rPr>
          <w:rFonts w:hint="eastAsia" w:ascii="宋体" w:hAnsi="宋体" w:eastAsia="宋体" w:cs="宋体"/>
          <w:bCs/>
          <w:color w:val="auto"/>
          <w:kern w:val="1"/>
          <w:sz w:val="28"/>
          <w:szCs w:val="28"/>
          <w:highlight w:val="none"/>
        </w:rPr>
        <w:t>违约责任</w:t>
      </w:r>
      <w:r>
        <w:rPr>
          <w:rFonts w:hint="eastAsia" w:ascii="宋体" w:hAnsi="宋体" w:eastAsia="宋体" w:cs="宋体"/>
          <w:color w:val="auto"/>
          <w:kern w:val="1"/>
          <w:sz w:val="28"/>
          <w:szCs w:val="28"/>
          <w:highlight w:val="none"/>
        </w:rPr>
        <w:t>。</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如承包人未按期完成关键节点工作的，承包人在申请当期进度款支付时，按该期实际已完成工程量的</w:t>
      </w:r>
      <w:r>
        <w:rPr>
          <w:rFonts w:hint="eastAsia" w:ascii="宋体" w:hAnsi="宋体" w:eastAsia="宋体" w:cs="宋体"/>
          <w:b/>
          <w:bCs/>
          <w:color w:val="auto"/>
          <w:kern w:val="1"/>
          <w:sz w:val="28"/>
          <w:szCs w:val="28"/>
          <w:highlight w:val="none"/>
        </w:rPr>
        <w:t>70%</w:t>
      </w:r>
      <w:r>
        <w:rPr>
          <w:rFonts w:hint="eastAsia" w:ascii="宋体" w:hAnsi="宋体" w:eastAsia="宋体" w:cs="宋体"/>
          <w:color w:val="auto"/>
          <w:kern w:val="1"/>
          <w:sz w:val="28"/>
          <w:szCs w:val="28"/>
          <w:highlight w:val="none"/>
        </w:rPr>
        <w:t>进行支付。如后续关键节点按期完成，则可按后续按期完成的相应关键节点前（含该节点）经发包人审核确认的累计实际已完成工程量的</w:t>
      </w:r>
      <w:r>
        <w:rPr>
          <w:rFonts w:hint="eastAsia" w:ascii="宋体" w:hAnsi="宋体" w:eastAsia="宋体" w:cs="宋体"/>
          <w:b/>
          <w:bCs/>
          <w:color w:val="auto"/>
          <w:kern w:val="1"/>
          <w:sz w:val="28"/>
          <w:szCs w:val="28"/>
          <w:highlight w:val="none"/>
        </w:rPr>
        <w:t>80%</w:t>
      </w:r>
      <w:r>
        <w:rPr>
          <w:rFonts w:hint="eastAsia" w:ascii="宋体" w:hAnsi="宋体" w:eastAsia="宋体" w:cs="宋体"/>
          <w:color w:val="auto"/>
          <w:kern w:val="1"/>
          <w:sz w:val="28"/>
          <w:szCs w:val="28"/>
          <w:highlight w:val="none"/>
        </w:rPr>
        <w:t>进行支付。</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如承包人提前30日历天以上完成关键节点工作的，承包人在申请当期进度款支付时，可按该关键节点前（含该节点）经发包人审核确认的累计实际已完成工程量的</w:t>
      </w:r>
      <w:r>
        <w:rPr>
          <w:rFonts w:hint="eastAsia" w:ascii="宋体" w:hAnsi="宋体" w:eastAsia="宋体" w:cs="宋体"/>
          <w:b/>
          <w:bCs/>
          <w:color w:val="auto"/>
          <w:kern w:val="1"/>
          <w:sz w:val="28"/>
          <w:szCs w:val="28"/>
          <w:highlight w:val="none"/>
        </w:rPr>
        <w:t>85%</w:t>
      </w:r>
      <w:r>
        <w:rPr>
          <w:rFonts w:hint="eastAsia" w:ascii="宋体" w:hAnsi="宋体" w:eastAsia="宋体" w:cs="宋体"/>
          <w:color w:val="auto"/>
          <w:kern w:val="1"/>
          <w:sz w:val="28"/>
          <w:szCs w:val="28"/>
          <w:highlight w:val="none"/>
        </w:rPr>
        <w:t>进行支付。</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26.1.2绿色施工安全防护措施费含税金额（</w:t>
      </w:r>
      <w:r>
        <w:rPr>
          <w:rFonts w:hint="eastAsia" w:ascii="宋体" w:hAnsi="宋体" w:eastAsia="宋体" w:cs="宋体"/>
          <w:color w:val="auto"/>
          <w:sz w:val="28"/>
          <w:szCs w:val="28"/>
          <w:highlight w:val="none"/>
        </w:rPr>
        <w:t>人民币</w:t>
      </w:r>
      <w:r>
        <w:rPr>
          <w:rFonts w:hint="eastAsia" w:ascii="宋体" w:hAnsi="宋体" w:eastAsia="宋体" w:cs="宋体"/>
          <w:color w:val="auto"/>
          <w:kern w:val="1"/>
          <w:sz w:val="28"/>
          <w:szCs w:val="28"/>
          <w:highlight w:val="none"/>
          <w:u w:val="single"/>
          <w:lang w:val="en-US" w:eastAsia="zh-CN"/>
        </w:rPr>
        <w:t xml:space="preserve">     </w:t>
      </w:r>
      <w:r>
        <w:rPr>
          <w:rFonts w:hint="eastAsia" w:ascii="宋体" w:hAnsi="宋体" w:eastAsia="宋体" w:cs="宋体"/>
          <w:color w:val="auto"/>
          <w:kern w:val="1"/>
          <w:sz w:val="28"/>
          <w:szCs w:val="28"/>
          <w:highlight w:val="none"/>
        </w:rPr>
        <w:t>元）单独支付。绿色施工安全防护措施费《广州市建筑工程安全生产措施管理费管理办法》及《广东省住房和城乡建设厅关于建筑工程绿色施工的管理办法（暂行）》（粤建质〔2016〕242号）的规定专款专用。</w:t>
      </w:r>
      <w:r>
        <w:rPr>
          <w:rFonts w:hint="eastAsia" w:ascii="宋体" w:hAnsi="宋体" w:eastAsia="宋体" w:cs="宋体"/>
          <w:bCs/>
          <w:color w:val="auto"/>
          <w:kern w:val="1"/>
          <w:sz w:val="28"/>
          <w:szCs w:val="28"/>
          <w:highlight w:val="none"/>
        </w:rPr>
        <w:t>具体支付方法如下：</w:t>
      </w:r>
    </w:p>
    <w:tbl>
      <w:tblPr>
        <w:tblStyle w:val="42"/>
        <w:tblW w:w="8429" w:type="dxa"/>
        <w:jc w:val="center"/>
        <w:tblLayout w:type="fixed"/>
        <w:tblCellMar>
          <w:top w:w="0" w:type="dxa"/>
          <w:left w:w="108" w:type="dxa"/>
          <w:bottom w:w="0" w:type="dxa"/>
          <w:right w:w="108" w:type="dxa"/>
        </w:tblCellMar>
      </w:tblPr>
      <w:tblGrid>
        <w:gridCol w:w="4820"/>
        <w:gridCol w:w="1559"/>
        <w:gridCol w:w="2050"/>
      </w:tblGrid>
      <w:tr>
        <w:tblPrEx>
          <w:tblCellMar>
            <w:top w:w="0" w:type="dxa"/>
            <w:left w:w="108" w:type="dxa"/>
            <w:bottom w:w="0" w:type="dxa"/>
            <w:right w:w="108" w:type="dxa"/>
          </w:tblCellMar>
        </w:tblPrEx>
        <w:trPr>
          <w:jc w:val="center"/>
        </w:trPr>
        <w:tc>
          <w:tcPr>
            <w:tcW w:w="482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支付条件</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支付比例</w:t>
            </w: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累计支付比例</w:t>
            </w:r>
          </w:p>
        </w:tc>
      </w:tr>
      <w:tr>
        <w:tblPrEx>
          <w:tblCellMar>
            <w:top w:w="0" w:type="dxa"/>
            <w:left w:w="108" w:type="dxa"/>
            <w:bottom w:w="0" w:type="dxa"/>
            <w:right w:w="108" w:type="dxa"/>
          </w:tblCellMar>
        </w:tblPrEx>
        <w:trPr>
          <w:jc w:val="center"/>
        </w:trPr>
        <w:tc>
          <w:tcPr>
            <w:tcW w:w="4820"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经审查符合开工条件后</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40％</w:t>
            </w: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40％</w:t>
            </w:r>
          </w:p>
        </w:tc>
      </w:tr>
      <w:tr>
        <w:tblPrEx>
          <w:tblCellMar>
            <w:top w:w="0" w:type="dxa"/>
            <w:left w:w="108" w:type="dxa"/>
            <w:bottom w:w="0" w:type="dxa"/>
            <w:right w:w="108" w:type="dxa"/>
          </w:tblCellMar>
        </w:tblPrEx>
        <w:trPr>
          <w:jc w:val="center"/>
        </w:trPr>
        <w:tc>
          <w:tcPr>
            <w:tcW w:w="4820"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实际累计完成工程量至合同工程量的40%且中间安全评价合格后</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w:t>
            </w: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70％</w:t>
            </w:r>
          </w:p>
        </w:tc>
      </w:tr>
      <w:tr>
        <w:tblPrEx>
          <w:tblCellMar>
            <w:top w:w="0" w:type="dxa"/>
            <w:left w:w="108" w:type="dxa"/>
            <w:bottom w:w="0" w:type="dxa"/>
            <w:right w:w="108" w:type="dxa"/>
          </w:tblCellMar>
        </w:tblPrEx>
        <w:trPr>
          <w:jc w:val="center"/>
        </w:trPr>
        <w:tc>
          <w:tcPr>
            <w:tcW w:w="4820"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实际累计完成工程量至合同工程量的70%且中间安全评价合格后</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w:t>
            </w: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90％</w:t>
            </w:r>
          </w:p>
        </w:tc>
      </w:tr>
      <w:tr>
        <w:tblPrEx>
          <w:tblCellMar>
            <w:top w:w="0" w:type="dxa"/>
            <w:left w:w="108" w:type="dxa"/>
            <w:bottom w:w="0" w:type="dxa"/>
            <w:right w:w="108" w:type="dxa"/>
          </w:tblCellMar>
        </w:tblPrEx>
        <w:trPr>
          <w:jc w:val="center"/>
        </w:trPr>
        <w:tc>
          <w:tcPr>
            <w:tcW w:w="4820"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竣工安全评价合格后</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w:t>
            </w:r>
          </w:p>
        </w:tc>
      </w:tr>
    </w:tbl>
    <w:p>
      <w:pPr>
        <w:spacing w:line="56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以上支付条件须由监理、发包人等相关单位书面确认。</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26.1.3措施项目进度款（绿色施工安全防护措施费除外），按经监理及发包人审核确定的当期实际完成分部分项工程费占工程量清单中分部分项工程费总额累计比例，按80%支付；如承包人按合同关键节点工期约定按时、逾期或提前完成关键节点工作的，则措施项目进度款可按第26.1.1条原则执行。</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kern w:val="1"/>
          <w:sz w:val="28"/>
          <w:szCs w:val="28"/>
          <w:highlight w:val="none"/>
        </w:rPr>
        <w:t>26.1.4总承包服务费：</w:t>
      </w:r>
      <w:bookmarkStart w:id="200" w:name="_Hlk134123855"/>
      <w:r>
        <w:rPr>
          <w:rFonts w:hint="eastAsia" w:ascii="宋体" w:hAnsi="宋体" w:eastAsia="宋体" w:cs="宋体"/>
          <w:color w:val="auto"/>
          <w:sz w:val="28"/>
          <w:szCs w:val="28"/>
          <w:highlight w:val="none"/>
        </w:rPr>
        <w:t>该项费用在承包人提交其与施工总承包单位签订的统筹管理协议及相应支付证明文件后，</w:t>
      </w:r>
      <w:r>
        <w:rPr>
          <w:rFonts w:hint="eastAsia" w:ascii="宋体" w:hAnsi="宋体" w:eastAsia="宋体" w:cs="宋体"/>
          <w:color w:val="auto"/>
          <w:kern w:val="1"/>
          <w:sz w:val="28"/>
          <w:szCs w:val="28"/>
          <w:highlight w:val="none"/>
        </w:rPr>
        <w:t>按经监理及发包人审核确定的实际完成分部分项工程费占工程量清单中分部分项工程费总额比例，与进度款同期支付</w:t>
      </w:r>
      <w:r>
        <w:rPr>
          <w:rFonts w:hint="eastAsia" w:ascii="宋体" w:hAnsi="宋体" w:eastAsia="宋体" w:cs="宋体"/>
          <w:color w:val="auto"/>
          <w:sz w:val="28"/>
          <w:szCs w:val="28"/>
          <w:highlight w:val="none"/>
        </w:rPr>
        <w:t>。如承包人向施工总承包单位最终缴纳的总承包服务费超出本合同约定金额的，则超出部分由承包人自行承担。若承包人在投标报价时未对该费用进行报价，则视为该费用综合考虑在投标总价内，承包人自行与施工总承包单位协商并向其缴纳该费用，</w:t>
      </w:r>
      <w:r>
        <w:rPr>
          <w:rFonts w:hint="eastAsia" w:ascii="宋体" w:hAnsi="宋体" w:eastAsia="宋体" w:cs="宋体"/>
          <w:color w:val="auto"/>
          <w:kern w:val="1"/>
          <w:sz w:val="28"/>
          <w:szCs w:val="28"/>
          <w:highlight w:val="none"/>
        </w:rPr>
        <w:t>本合同不再另行计量与支付</w:t>
      </w:r>
      <w:r>
        <w:rPr>
          <w:rFonts w:hint="eastAsia" w:ascii="宋体" w:hAnsi="宋体" w:eastAsia="宋体" w:cs="宋体"/>
          <w:color w:val="auto"/>
          <w:sz w:val="28"/>
          <w:szCs w:val="28"/>
          <w:highlight w:val="none"/>
        </w:rPr>
        <w:t>。</w:t>
      </w:r>
      <w:bookmarkEnd w:id="200"/>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sz w:val="28"/>
          <w:szCs w:val="28"/>
          <w:highlight w:val="none"/>
        </w:rPr>
        <w:t>26.1.6本项目工程整体竣工验收合格（</w:t>
      </w:r>
      <w:r>
        <w:rPr>
          <w:rFonts w:hint="eastAsia" w:ascii="宋体" w:hAnsi="宋体" w:eastAsia="宋体" w:cs="宋体"/>
          <w:color w:val="auto"/>
          <w:kern w:val="1"/>
          <w:sz w:val="28"/>
          <w:szCs w:val="28"/>
          <w:highlight w:val="none"/>
        </w:rPr>
        <w:t>以通过各相关单位验收</w:t>
      </w:r>
      <w:r>
        <w:rPr>
          <w:rFonts w:hint="eastAsia" w:ascii="宋体" w:hAnsi="宋体" w:eastAsia="宋体" w:cs="宋体"/>
          <w:color w:val="auto"/>
          <w:sz w:val="28"/>
          <w:szCs w:val="28"/>
          <w:highlight w:val="none"/>
        </w:rPr>
        <w:t>并取得《广州市房屋建筑工程竣工验收备案》为准）后30个日历天内，发包人累计支付至</w:t>
      </w:r>
      <w:r>
        <w:rPr>
          <w:rFonts w:hint="eastAsia" w:ascii="宋体" w:hAnsi="宋体" w:eastAsia="宋体" w:cs="宋体"/>
          <w:color w:val="auto"/>
          <w:kern w:val="1"/>
          <w:sz w:val="28"/>
          <w:szCs w:val="28"/>
          <w:highlight w:val="none"/>
        </w:rPr>
        <w:t>经发包人审核确认的实际已完成工程量的</w:t>
      </w:r>
      <w:r>
        <w:rPr>
          <w:rFonts w:hint="eastAsia" w:ascii="宋体" w:hAnsi="宋体" w:eastAsia="宋体" w:cs="宋体"/>
          <w:b/>
          <w:color w:val="auto"/>
          <w:kern w:val="1"/>
          <w:sz w:val="28"/>
          <w:szCs w:val="28"/>
          <w:highlight w:val="none"/>
          <w:u w:val="single"/>
        </w:rPr>
        <w:t>85</w:t>
      </w:r>
      <w:r>
        <w:rPr>
          <w:rFonts w:hint="eastAsia" w:ascii="宋体" w:hAnsi="宋体" w:eastAsia="宋体" w:cs="宋体"/>
          <w:b/>
          <w:color w:val="auto"/>
          <w:kern w:val="1"/>
          <w:sz w:val="28"/>
          <w:szCs w:val="28"/>
          <w:highlight w:val="none"/>
        </w:rPr>
        <w:t>%</w:t>
      </w:r>
      <w:r>
        <w:rPr>
          <w:rFonts w:hint="eastAsia" w:ascii="宋体" w:hAnsi="宋体" w:eastAsia="宋体" w:cs="宋体"/>
          <w:color w:val="auto"/>
          <w:kern w:val="1"/>
          <w:sz w:val="28"/>
          <w:szCs w:val="28"/>
          <w:highlight w:val="none"/>
        </w:rPr>
        <w:t>。</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kern w:val="1"/>
          <w:sz w:val="28"/>
          <w:szCs w:val="28"/>
          <w:highlight w:val="none"/>
        </w:rPr>
        <w:t>自合同签订之日起，如发包人支付工程进度款累计金额达到经发包人审核确认的实际已完成工程量的85%时，发包人将停止支付进度款。直至本项目整体竣工验收合格</w:t>
      </w:r>
      <w:r>
        <w:rPr>
          <w:rFonts w:hint="eastAsia" w:ascii="宋体" w:hAnsi="宋体" w:eastAsia="宋体" w:cs="宋体"/>
          <w:color w:val="auto"/>
          <w:sz w:val="28"/>
          <w:szCs w:val="28"/>
          <w:highlight w:val="none"/>
        </w:rPr>
        <w:t>（以取得《广州市房屋建筑工程竣工验收备案》为准）</w:t>
      </w:r>
      <w:r>
        <w:rPr>
          <w:rFonts w:hint="eastAsia" w:ascii="宋体" w:hAnsi="宋体" w:eastAsia="宋体" w:cs="宋体"/>
          <w:color w:val="auto"/>
          <w:kern w:val="28"/>
          <w:sz w:val="28"/>
          <w:szCs w:val="28"/>
          <w:highlight w:val="none"/>
        </w:rPr>
        <w:t>且本项目整体工程施工达到交付标准（即工程施工全部达到交付标准），并完成相应工程结算手续后再行办理后续相关款项支付。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26.1.7</w:t>
      </w:r>
      <w:r>
        <w:rPr>
          <w:rFonts w:hint="eastAsia" w:ascii="宋体" w:hAnsi="宋体" w:eastAsia="宋体" w:cs="宋体"/>
          <w:color w:val="auto"/>
          <w:kern w:val="28"/>
          <w:sz w:val="28"/>
          <w:szCs w:val="28"/>
          <w:highlight w:val="none"/>
        </w:rPr>
        <w:t>本项目</w:t>
      </w:r>
      <w:r>
        <w:rPr>
          <w:rFonts w:hint="eastAsia" w:ascii="宋体" w:hAnsi="宋体" w:eastAsia="宋体" w:cs="宋体"/>
          <w:color w:val="auto"/>
          <w:sz w:val="28"/>
          <w:szCs w:val="28"/>
          <w:highlight w:val="none"/>
        </w:rPr>
        <w:t>工程整体竣工验收合格（</w:t>
      </w:r>
      <w:r>
        <w:rPr>
          <w:rFonts w:hint="eastAsia" w:ascii="宋体" w:hAnsi="宋体" w:eastAsia="宋体" w:cs="宋体"/>
          <w:color w:val="auto"/>
          <w:kern w:val="1"/>
          <w:sz w:val="28"/>
          <w:szCs w:val="28"/>
          <w:highlight w:val="none"/>
        </w:rPr>
        <w:t>以通过各相关单位验收</w:t>
      </w:r>
      <w:r>
        <w:rPr>
          <w:rFonts w:hint="eastAsia" w:ascii="宋体" w:hAnsi="宋体" w:eastAsia="宋体" w:cs="宋体"/>
          <w:color w:val="auto"/>
          <w:sz w:val="28"/>
          <w:szCs w:val="28"/>
          <w:highlight w:val="none"/>
        </w:rPr>
        <w:t>并取得《广州市房屋建筑工程竣工验收备案》为准）并</w:t>
      </w:r>
      <w:r>
        <w:rPr>
          <w:rFonts w:hint="eastAsia" w:ascii="宋体" w:hAnsi="宋体" w:eastAsia="宋体" w:cs="宋体"/>
          <w:color w:val="auto"/>
          <w:kern w:val="28"/>
          <w:sz w:val="28"/>
          <w:szCs w:val="28"/>
          <w:highlight w:val="none"/>
        </w:rPr>
        <w:t>达到交付标准且交付给发包人</w:t>
      </w:r>
      <w:r>
        <w:rPr>
          <w:rFonts w:hint="eastAsia" w:ascii="宋体" w:hAnsi="宋体" w:eastAsia="宋体" w:cs="宋体"/>
          <w:color w:val="auto"/>
          <w:sz w:val="28"/>
          <w:szCs w:val="28"/>
          <w:highlight w:val="none"/>
        </w:rPr>
        <w:t>后30个日历天内，承包人应将满足发包人要求的完整结算资料报监理单位审核；经监理单位审核后，承包人整理齐全结算资料连同经监理审核的工程结算报告和结算审核资料各一式三份同时上报发包人审核。工程结算经发包人审定确认后15个工作日内，且承包人提供至结算终审价100%的发票后支付至结算终审价</w:t>
      </w:r>
      <w:r>
        <w:rPr>
          <w:rFonts w:hint="eastAsia" w:ascii="宋体" w:hAnsi="宋体" w:eastAsia="宋体" w:cs="宋体"/>
          <w:b/>
          <w:bCs/>
          <w:color w:val="auto"/>
          <w:sz w:val="28"/>
          <w:szCs w:val="28"/>
          <w:highlight w:val="none"/>
        </w:rPr>
        <w:t>97%</w:t>
      </w:r>
      <w:r>
        <w:rPr>
          <w:rFonts w:hint="eastAsia" w:ascii="宋体" w:hAnsi="宋体" w:eastAsia="宋体" w:cs="宋体"/>
          <w:color w:val="auto"/>
          <w:sz w:val="28"/>
          <w:szCs w:val="28"/>
          <w:highlight w:val="none"/>
        </w:rPr>
        <w:t>[备注：结算终审价应为扣减应由承包人支付的各类款项和违约金后的最终结算金额]，多退少补。若由于承包人未及时提请结算审核或结算依据资料不齐备造成结算时间延迟，相应损失及责任由承包人自担。</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26.1.8结算终审价的3％是本项目的工程质量保修金，不支付利息。缺陷责任期满并取得发包人及监理单位确认后支付工程质量保修金的70%，按《建设工程质量管理条例》规定防水工程保修期满并取得发包人及监理单位确认后支付工程质量保修金尾款。</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26.1.9本合同设置</w:t>
      </w:r>
      <w:bookmarkStart w:id="201" w:name="_Hlk78982853"/>
      <w:r>
        <w:rPr>
          <w:rFonts w:hint="eastAsia" w:ascii="宋体" w:hAnsi="宋体" w:eastAsia="宋体" w:cs="宋体"/>
          <w:color w:val="auto"/>
          <w:sz w:val="28"/>
          <w:szCs w:val="28"/>
          <w:highlight w:val="none"/>
        </w:rPr>
        <w:t>履约奖励金</w:t>
      </w:r>
      <w:bookmarkEnd w:id="201"/>
      <w:r>
        <w:rPr>
          <w:rFonts w:hint="eastAsia" w:ascii="宋体" w:hAnsi="宋体" w:eastAsia="宋体" w:cs="宋体"/>
          <w:color w:val="auto"/>
          <w:sz w:val="28"/>
          <w:szCs w:val="28"/>
          <w:highlight w:val="none"/>
        </w:rPr>
        <w:t>（按中标价的</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%）为人民币</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rPr>
        <w:t>元，具体奖励及支付原则如下：</w:t>
      </w:r>
    </w:p>
    <w:p>
      <w:pPr>
        <w:shd w:val="clear"/>
        <w:spacing w:line="560" w:lineRule="exact"/>
        <w:ind w:firstLine="565" w:firstLineChars="202"/>
        <w:rPr>
          <w:rFonts w:hint="eastAsia" w:ascii="宋体" w:hAnsi="宋体" w:eastAsia="宋体" w:cs="宋体"/>
          <w:b w:val="0"/>
          <w:color w:val="auto"/>
          <w:sz w:val="28"/>
          <w:szCs w:val="28"/>
          <w:highlight w:val="none"/>
        </w:rPr>
      </w:pPr>
      <w:bookmarkStart w:id="202" w:name="_Hlk129788050"/>
      <w:r>
        <w:rPr>
          <w:rFonts w:hint="eastAsia" w:ascii="宋体" w:hAnsi="宋体" w:eastAsia="宋体" w:cs="宋体"/>
          <w:b w:val="0"/>
          <w:color w:val="auto"/>
          <w:sz w:val="28"/>
          <w:szCs w:val="28"/>
          <w:highlight w:val="none"/>
        </w:rPr>
        <w:t>（1）工程进度控制奖励金（金额为中标价的</w:t>
      </w:r>
      <w:r>
        <w:rPr>
          <w:rFonts w:hint="eastAsia" w:ascii="宋体" w:hAnsi="宋体" w:eastAsia="宋体" w:cs="宋体"/>
          <w:b w:val="0"/>
          <w:color w:val="auto"/>
          <w:sz w:val="28"/>
          <w:szCs w:val="28"/>
          <w:highlight w:val="none"/>
          <w:lang w:val="en-US" w:eastAsia="zh-CN"/>
        </w:rPr>
        <w:t>1</w:t>
      </w:r>
      <w:r>
        <w:rPr>
          <w:rFonts w:hint="eastAsia" w:ascii="宋体" w:hAnsi="宋体" w:eastAsia="宋体" w:cs="宋体"/>
          <w:b w:val="0"/>
          <w:color w:val="auto"/>
          <w:sz w:val="28"/>
          <w:szCs w:val="28"/>
          <w:highlight w:val="none"/>
        </w:rPr>
        <w:t>%，即人民币</w:t>
      </w:r>
      <w:r>
        <w:rPr>
          <w:rFonts w:hint="eastAsia" w:ascii="宋体" w:hAnsi="宋体" w:eastAsia="宋体" w:cs="宋体"/>
          <w:b w:val="0"/>
          <w:color w:val="auto"/>
          <w:sz w:val="28"/>
          <w:szCs w:val="28"/>
          <w:highlight w:val="none"/>
          <w:u w:val="none"/>
          <w:lang w:val="en-US" w:eastAsia="zh-CN"/>
        </w:rPr>
        <w:t>***</w:t>
      </w:r>
      <w:r>
        <w:rPr>
          <w:rFonts w:hint="eastAsia" w:ascii="宋体" w:hAnsi="宋体" w:eastAsia="宋体" w:cs="宋体"/>
          <w:b w:val="0"/>
          <w:color w:val="auto"/>
          <w:sz w:val="28"/>
          <w:szCs w:val="28"/>
          <w:highlight w:val="none"/>
        </w:rPr>
        <w:t>元）：</w:t>
      </w:r>
    </w:p>
    <w:p>
      <w:pPr>
        <w:shd w:val="clea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如承包人按合同约定按时或提前完成关键节点的，给予承包人工程进度控制奖励，具体按下表执行：</w:t>
      </w: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8"/>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幕墙工期奖励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2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工期奖励支付条件</w:t>
            </w:r>
          </w:p>
        </w:tc>
        <w:tc>
          <w:tcPr>
            <w:tcW w:w="8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奖励比例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3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2024年</w:t>
            </w:r>
            <w:r>
              <w:rPr>
                <w:rFonts w:hint="eastAsia" w:ascii="宋体" w:hAnsi="宋体" w:cs="宋体"/>
                <w:i w:val="0"/>
                <w:iCs w:val="0"/>
                <w:color w:val="000000"/>
                <w:kern w:val="0"/>
                <w:sz w:val="28"/>
                <w:szCs w:val="28"/>
                <w:highlight w:val="none"/>
                <w:u w:val="none"/>
                <w:lang w:val="en-US" w:eastAsia="zh-CN" w:bidi="ar"/>
              </w:rPr>
              <w:t>7</w:t>
            </w:r>
            <w:r>
              <w:rPr>
                <w:rFonts w:hint="eastAsia" w:ascii="宋体" w:hAnsi="宋体" w:eastAsia="宋体" w:cs="宋体"/>
                <w:i w:val="0"/>
                <w:iCs w:val="0"/>
                <w:color w:val="000000"/>
                <w:kern w:val="0"/>
                <w:sz w:val="28"/>
                <w:szCs w:val="28"/>
                <w:highlight w:val="none"/>
                <w:u w:val="none"/>
                <w:lang w:val="en-US" w:eastAsia="zh-CN" w:bidi="ar"/>
              </w:rPr>
              <w:t>月30日前完成深化图纸、施工小样（仅玻璃、铝材、铝板、屋面底板）经各相关单位审核确认</w:t>
            </w:r>
          </w:p>
        </w:tc>
        <w:tc>
          <w:tcPr>
            <w:tcW w:w="15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w:t>
            </w:r>
            <w:r>
              <w:rPr>
                <w:rFonts w:hint="eastAsia" w:ascii="宋体" w:hAnsi="宋体" w:cs="宋体"/>
                <w:i w:val="0"/>
                <w:iCs w:val="0"/>
                <w:color w:val="000000"/>
                <w:kern w:val="0"/>
                <w:sz w:val="28"/>
                <w:szCs w:val="28"/>
                <w:highlight w:val="none"/>
                <w:u w:val="none"/>
                <w:lang w:val="en-US" w:eastAsia="zh-CN" w:bidi="ar"/>
              </w:rPr>
              <w:t>0</w:t>
            </w:r>
            <w:r>
              <w:rPr>
                <w:rFonts w:hint="eastAsia" w:ascii="宋体" w:hAnsi="宋体" w:eastAsia="宋体" w:cs="宋体"/>
                <w:i w:val="0"/>
                <w:iCs w:val="0"/>
                <w:color w:val="000000"/>
                <w:kern w:val="0"/>
                <w:sz w:val="28"/>
                <w:szCs w:val="2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2024年</w:t>
            </w:r>
            <w:r>
              <w:rPr>
                <w:rFonts w:hint="eastAsia" w:ascii="宋体" w:hAnsi="宋体" w:cs="宋体"/>
                <w:i w:val="0"/>
                <w:iCs w:val="0"/>
                <w:color w:val="000000"/>
                <w:kern w:val="0"/>
                <w:sz w:val="28"/>
                <w:szCs w:val="28"/>
                <w:highlight w:val="none"/>
                <w:u w:val="none"/>
                <w:lang w:val="en-US" w:eastAsia="zh-CN" w:bidi="ar"/>
              </w:rPr>
              <w:t>10</w:t>
            </w:r>
            <w:r>
              <w:rPr>
                <w:rFonts w:hint="eastAsia" w:ascii="宋体" w:hAnsi="宋体" w:eastAsia="宋体" w:cs="宋体"/>
                <w:i w:val="0"/>
                <w:iCs w:val="0"/>
                <w:color w:val="000000"/>
                <w:kern w:val="0"/>
                <w:sz w:val="28"/>
                <w:szCs w:val="28"/>
                <w:highlight w:val="none"/>
                <w:u w:val="none"/>
                <w:lang w:val="en-US" w:eastAsia="zh-CN" w:bidi="ar"/>
              </w:rPr>
              <w:t>月</w:t>
            </w:r>
            <w:r>
              <w:rPr>
                <w:rFonts w:hint="eastAsia" w:ascii="宋体" w:hAnsi="宋体" w:cs="宋体"/>
                <w:i w:val="0"/>
                <w:iCs w:val="0"/>
                <w:color w:val="000000"/>
                <w:kern w:val="0"/>
                <w:sz w:val="28"/>
                <w:szCs w:val="28"/>
                <w:highlight w:val="none"/>
                <w:u w:val="none"/>
                <w:lang w:val="en-US" w:eastAsia="zh-CN" w:bidi="ar"/>
              </w:rPr>
              <w:t>5</w:t>
            </w:r>
            <w:r>
              <w:rPr>
                <w:rFonts w:hint="eastAsia" w:ascii="宋体" w:hAnsi="宋体" w:eastAsia="宋体" w:cs="宋体"/>
                <w:i w:val="0"/>
                <w:iCs w:val="0"/>
                <w:color w:val="000000"/>
                <w:kern w:val="0"/>
                <w:sz w:val="28"/>
                <w:szCs w:val="28"/>
                <w:highlight w:val="none"/>
                <w:u w:val="none"/>
                <w:lang w:val="en-US" w:eastAsia="zh-CN" w:bidi="ar"/>
              </w:rPr>
              <w:t>日前完成不低于5</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6号馆部分幕墙铝板、幕墙铝型材（包括但不限于：立柱、横梁、转接件）及拉杆的30%总用量进场</w:t>
            </w:r>
          </w:p>
        </w:tc>
        <w:tc>
          <w:tcPr>
            <w:tcW w:w="15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w:t>
            </w:r>
            <w:r>
              <w:rPr>
                <w:rFonts w:hint="eastAsia" w:ascii="宋体" w:hAnsi="宋体" w:cs="宋体"/>
                <w:i w:val="0"/>
                <w:iCs w:val="0"/>
                <w:color w:val="000000"/>
                <w:kern w:val="0"/>
                <w:sz w:val="28"/>
                <w:szCs w:val="28"/>
                <w:highlight w:val="none"/>
                <w:u w:val="none"/>
                <w:lang w:val="en-US" w:eastAsia="zh-CN" w:bidi="ar"/>
              </w:rPr>
              <w:t>0</w:t>
            </w:r>
            <w:r>
              <w:rPr>
                <w:rFonts w:hint="eastAsia" w:ascii="宋体" w:hAnsi="宋体" w:eastAsia="宋体" w:cs="宋体"/>
                <w:i w:val="0"/>
                <w:iCs w:val="0"/>
                <w:color w:val="000000"/>
                <w:kern w:val="0"/>
                <w:sz w:val="28"/>
                <w:szCs w:val="2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3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cs="宋体"/>
                <w:i w:val="0"/>
                <w:iCs w:val="0"/>
                <w:color w:val="000000"/>
                <w:kern w:val="0"/>
                <w:sz w:val="28"/>
                <w:szCs w:val="28"/>
                <w:highlight w:val="none"/>
                <w:u w:val="none"/>
                <w:lang w:val="en-US" w:eastAsia="zh-CN" w:bidi="ar"/>
              </w:rPr>
              <w:t>2024年12月15日</w:t>
            </w:r>
            <w:r>
              <w:rPr>
                <w:rFonts w:hint="eastAsia" w:ascii="宋体" w:hAnsi="宋体" w:eastAsia="宋体" w:cs="宋体"/>
                <w:i w:val="0"/>
                <w:iCs w:val="0"/>
                <w:color w:val="000000"/>
                <w:kern w:val="0"/>
                <w:sz w:val="28"/>
                <w:szCs w:val="28"/>
                <w:highlight w:val="none"/>
                <w:u w:val="none"/>
                <w:lang w:val="en-US" w:eastAsia="zh-CN" w:bidi="ar"/>
              </w:rPr>
              <w:t>完成3</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4</w:t>
            </w:r>
            <w:r>
              <w:rPr>
                <w:rFonts w:hint="eastAsia" w:ascii="宋体" w:hAnsi="宋体" w:cs="宋体"/>
                <w:i w:val="0"/>
                <w:iCs w:val="0"/>
                <w:color w:val="000000"/>
                <w:kern w:val="0"/>
                <w:sz w:val="28"/>
                <w:szCs w:val="28"/>
                <w:highlight w:val="none"/>
                <w:u w:val="none"/>
                <w:lang w:val="en-US" w:eastAsia="zh-CN" w:bidi="ar"/>
              </w:rPr>
              <w:t>、7、</w:t>
            </w:r>
            <w:r>
              <w:rPr>
                <w:rFonts w:hint="eastAsia" w:ascii="宋体" w:hAnsi="宋体" w:eastAsia="宋体" w:cs="宋体"/>
                <w:i w:val="0"/>
                <w:iCs w:val="0"/>
                <w:color w:val="000000"/>
                <w:kern w:val="0"/>
                <w:sz w:val="28"/>
                <w:szCs w:val="28"/>
                <w:highlight w:val="none"/>
                <w:u w:val="none"/>
                <w:lang w:val="en-US" w:eastAsia="zh-CN" w:bidi="ar"/>
              </w:rPr>
              <w:t>8</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10号馆、中央通廊部分幕墙铝板、幕墙铝型材（包括但不限于：立柱、横梁、转接件）及拉杆进场，且不低于3</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4</w:t>
            </w:r>
            <w:r>
              <w:rPr>
                <w:rFonts w:hint="eastAsia" w:ascii="宋体" w:hAnsi="宋体" w:cs="宋体"/>
                <w:i w:val="0"/>
                <w:iCs w:val="0"/>
                <w:color w:val="000000"/>
                <w:kern w:val="0"/>
                <w:sz w:val="28"/>
                <w:szCs w:val="28"/>
                <w:highlight w:val="none"/>
                <w:u w:val="none"/>
                <w:lang w:val="en-US" w:eastAsia="zh-CN" w:bidi="ar"/>
              </w:rPr>
              <w:t>、7、</w:t>
            </w:r>
            <w:r>
              <w:rPr>
                <w:rFonts w:hint="eastAsia" w:ascii="宋体" w:hAnsi="宋体" w:eastAsia="宋体" w:cs="宋体"/>
                <w:i w:val="0"/>
                <w:iCs w:val="0"/>
                <w:color w:val="000000"/>
                <w:kern w:val="0"/>
                <w:sz w:val="28"/>
                <w:szCs w:val="28"/>
                <w:highlight w:val="none"/>
                <w:u w:val="none"/>
                <w:lang w:val="en-US" w:eastAsia="zh-CN" w:bidi="ar"/>
              </w:rPr>
              <w:t>8</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10号馆、中央通廊总用量的30%</w:t>
            </w:r>
          </w:p>
        </w:tc>
        <w:tc>
          <w:tcPr>
            <w:tcW w:w="15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cs="宋体"/>
                <w:i w:val="0"/>
                <w:iCs w:val="0"/>
                <w:color w:val="000000"/>
                <w:kern w:val="0"/>
                <w:sz w:val="28"/>
                <w:szCs w:val="2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3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2025年</w:t>
            </w:r>
            <w:r>
              <w:rPr>
                <w:rFonts w:hint="eastAsia" w:ascii="宋体" w:hAnsi="宋体" w:cs="宋体"/>
                <w:i w:val="0"/>
                <w:iCs w:val="0"/>
                <w:color w:val="000000"/>
                <w:kern w:val="0"/>
                <w:sz w:val="28"/>
                <w:szCs w:val="28"/>
                <w:highlight w:val="none"/>
                <w:u w:val="none"/>
                <w:lang w:val="en-US" w:eastAsia="zh-CN" w:bidi="ar"/>
              </w:rPr>
              <w:t>4</w:t>
            </w:r>
            <w:r>
              <w:rPr>
                <w:rFonts w:hint="eastAsia" w:ascii="宋体" w:hAnsi="宋体" w:eastAsia="宋体" w:cs="宋体"/>
                <w:i w:val="0"/>
                <w:iCs w:val="0"/>
                <w:color w:val="000000"/>
                <w:kern w:val="0"/>
                <w:sz w:val="28"/>
                <w:szCs w:val="28"/>
                <w:highlight w:val="none"/>
                <w:u w:val="none"/>
                <w:lang w:val="en-US" w:eastAsia="zh-CN" w:bidi="ar"/>
              </w:rPr>
              <w:t>月</w:t>
            </w:r>
            <w:r>
              <w:rPr>
                <w:rFonts w:hint="eastAsia" w:ascii="宋体" w:hAnsi="宋体" w:cs="宋体"/>
                <w:i w:val="0"/>
                <w:iCs w:val="0"/>
                <w:color w:val="000000"/>
                <w:kern w:val="0"/>
                <w:sz w:val="28"/>
                <w:szCs w:val="28"/>
                <w:highlight w:val="none"/>
                <w:u w:val="none"/>
                <w:lang w:val="en-US" w:eastAsia="zh-CN" w:bidi="ar"/>
              </w:rPr>
              <w:t>5</w:t>
            </w:r>
            <w:r>
              <w:rPr>
                <w:rFonts w:hint="eastAsia" w:ascii="宋体" w:hAnsi="宋体" w:eastAsia="宋体" w:cs="宋体"/>
                <w:i w:val="0"/>
                <w:iCs w:val="0"/>
                <w:color w:val="000000"/>
                <w:kern w:val="0"/>
                <w:sz w:val="28"/>
                <w:szCs w:val="28"/>
                <w:highlight w:val="none"/>
                <w:u w:val="none"/>
                <w:lang w:val="en-US" w:eastAsia="zh-CN" w:bidi="ar"/>
              </w:rPr>
              <w:t>日前完成不低于9号馆、主登录厅部分30%用量玻璃进场</w:t>
            </w:r>
          </w:p>
        </w:tc>
        <w:tc>
          <w:tcPr>
            <w:tcW w:w="15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3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2025年</w:t>
            </w:r>
            <w:r>
              <w:rPr>
                <w:rFonts w:hint="eastAsia" w:ascii="宋体" w:hAnsi="宋体" w:cs="宋体"/>
                <w:i w:val="0"/>
                <w:iCs w:val="0"/>
                <w:color w:val="000000"/>
                <w:kern w:val="0"/>
                <w:sz w:val="28"/>
                <w:szCs w:val="28"/>
                <w:highlight w:val="none"/>
                <w:u w:val="none"/>
                <w:lang w:val="en-US" w:eastAsia="zh-CN" w:bidi="ar"/>
              </w:rPr>
              <w:t>8</w:t>
            </w:r>
            <w:r>
              <w:rPr>
                <w:rFonts w:hint="eastAsia" w:ascii="宋体" w:hAnsi="宋体" w:eastAsia="宋体" w:cs="宋体"/>
                <w:i w:val="0"/>
                <w:iCs w:val="0"/>
                <w:color w:val="000000"/>
                <w:kern w:val="0"/>
                <w:sz w:val="28"/>
                <w:szCs w:val="28"/>
                <w:highlight w:val="none"/>
                <w:u w:val="none"/>
                <w:lang w:val="en-US" w:eastAsia="zh-CN" w:bidi="ar"/>
              </w:rPr>
              <w:t>月1</w:t>
            </w:r>
            <w:r>
              <w:rPr>
                <w:rFonts w:hint="eastAsia" w:ascii="宋体" w:hAnsi="宋体" w:cs="宋体"/>
                <w:i w:val="0"/>
                <w:iCs w:val="0"/>
                <w:color w:val="000000"/>
                <w:kern w:val="0"/>
                <w:sz w:val="28"/>
                <w:szCs w:val="28"/>
                <w:highlight w:val="none"/>
                <w:u w:val="none"/>
                <w:lang w:val="en-US" w:eastAsia="zh-CN" w:bidi="ar"/>
              </w:rPr>
              <w:t>5</w:t>
            </w:r>
            <w:r>
              <w:rPr>
                <w:rFonts w:hint="eastAsia" w:ascii="宋体" w:hAnsi="宋体" w:eastAsia="宋体" w:cs="宋体"/>
                <w:i w:val="0"/>
                <w:iCs w:val="0"/>
                <w:color w:val="000000"/>
                <w:kern w:val="0"/>
                <w:sz w:val="28"/>
                <w:szCs w:val="28"/>
                <w:highlight w:val="none"/>
                <w:u w:val="none"/>
                <w:lang w:val="en-US" w:eastAsia="zh-CN" w:bidi="ar"/>
              </w:rPr>
              <w:t>日前完工</w:t>
            </w:r>
          </w:p>
        </w:tc>
        <w:tc>
          <w:tcPr>
            <w:tcW w:w="15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如因甲方或总包原因导致工期延误，相应工期顺延</w:t>
            </w:r>
          </w:p>
        </w:tc>
      </w:tr>
    </w:tbl>
    <w:p>
      <w:pPr>
        <w:shd w:val="clear"/>
        <w:spacing w:line="560" w:lineRule="exact"/>
        <w:ind w:firstLine="565" w:firstLineChars="202"/>
        <w:rPr>
          <w:rFonts w:hint="eastAsia" w:ascii="宋体" w:hAnsi="宋体" w:eastAsia="宋体" w:cs="宋体"/>
          <w:color w:val="auto"/>
          <w:sz w:val="28"/>
          <w:szCs w:val="28"/>
          <w:highlight w:val="none"/>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8"/>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金属屋面工期奖励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29"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工期奖励支付条件</w:t>
            </w:r>
          </w:p>
        </w:tc>
        <w:tc>
          <w:tcPr>
            <w:tcW w:w="870"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奖励比例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2024年</w:t>
            </w:r>
            <w:r>
              <w:rPr>
                <w:rFonts w:hint="eastAsia" w:ascii="宋体" w:hAnsi="宋体" w:cs="宋体"/>
                <w:i w:val="0"/>
                <w:iCs w:val="0"/>
                <w:color w:val="000000"/>
                <w:kern w:val="0"/>
                <w:sz w:val="28"/>
                <w:szCs w:val="28"/>
                <w:highlight w:val="none"/>
                <w:u w:val="none"/>
                <w:lang w:val="en-US" w:eastAsia="zh-CN" w:bidi="ar"/>
              </w:rPr>
              <w:t>7</w:t>
            </w:r>
            <w:r>
              <w:rPr>
                <w:rFonts w:hint="eastAsia" w:ascii="宋体" w:hAnsi="宋体" w:eastAsia="宋体" w:cs="宋体"/>
                <w:i w:val="0"/>
                <w:iCs w:val="0"/>
                <w:color w:val="000000"/>
                <w:kern w:val="0"/>
                <w:sz w:val="28"/>
                <w:szCs w:val="28"/>
                <w:highlight w:val="none"/>
                <w:u w:val="none"/>
                <w:lang w:val="en-US" w:eastAsia="zh-CN" w:bidi="ar"/>
              </w:rPr>
              <w:t>月15日前完成深化图纸、施工小样（仅玻璃、铝材、铝板、屋面底板）经各相关单位审核确认</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w:t>
            </w:r>
            <w:r>
              <w:rPr>
                <w:rFonts w:hint="eastAsia" w:ascii="宋体" w:hAnsi="宋体" w:cs="宋体"/>
                <w:i w:val="0"/>
                <w:iCs w:val="0"/>
                <w:color w:val="000000"/>
                <w:kern w:val="0"/>
                <w:sz w:val="28"/>
                <w:szCs w:val="28"/>
                <w:highlight w:val="none"/>
                <w:u w:val="none"/>
                <w:lang w:val="en-US" w:eastAsia="zh-CN" w:bidi="ar"/>
              </w:rPr>
              <w:t>0</w:t>
            </w:r>
            <w:r>
              <w:rPr>
                <w:rFonts w:hint="eastAsia" w:ascii="宋体" w:hAnsi="宋体" w:eastAsia="宋体" w:cs="宋体"/>
                <w:i w:val="0"/>
                <w:iCs w:val="0"/>
                <w:color w:val="000000"/>
                <w:kern w:val="0"/>
                <w:sz w:val="28"/>
                <w:szCs w:val="2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2024年9月30日前完成5</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6号馆TPO屋面断水</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w:t>
            </w:r>
            <w:r>
              <w:rPr>
                <w:rFonts w:hint="eastAsia" w:ascii="宋体" w:hAnsi="宋体" w:cs="宋体"/>
                <w:i w:val="0"/>
                <w:iCs w:val="0"/>
                <w:color w:val="000000"/>
                <w:kern w:val="0"/>
                <w:sz w:val="28"/>
                <w:szCs w:val="28"/>
                <w:highlight w:val="none"/>
                <w:u w:val="none"/>
                <w:lang w:val="en-US" w:eastAsia="zh-CN" w:bidi="ar"/>
              </w:rPr>
              <w:t>0</w:t>
            </w:r>
            <w:r>
              <w:rPr>
                <w:rFonts w:hint="eastAsia" w:ascii="宋体" w:hAnsi="宋体" w:eastAsia="宋体" w:cs="宋体"/>
                <w:i w:val="0"/>
                <w:iCs w:val="0"/>
                <w:color w:val="000000"/>
                <w:kern w:val="0"/>
                <w:sz w:val="28"/>
                <w:szCs w:val="2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cs="宋体"/>
                <w:i w:val="0"/>
                <w:iCs w:val="0"/>
                <w:color w:val="000000"/>
                <w:kern w:val="0"/>
                <w:sz w:val="28"/>
                <w:szCs w:val="28"/>
                <w:highlight w:val="none"/>
                <w:u w:val="none"/>
                <w:lang w:val="en-US" w:eastAsia="zh-CN" w:bidi="ar"/>
              </w:rPr>
              <w:t>2024年4月5日</w:t>
            </w:r>
            <w:r>
              <w:rPr>
                <w:rFonts w:hint="eastAsia" w:ascii="宋体" w:hAnsi="宋体" w:eastAsia="宋体" w:cs="宋体"/>
                <w:i w:val="0"/>
                <w:iCs w:val="0"/>
                <w:color w:val="000000"/>
                <w:kern w:val="0"/>
                <w:sz w:val="28"/>
                <w:szCs w:val="28"/>
                <w:highlight w:val="none"/>
                <w:u w:val="none"/>
                <w:lang w:val="en-US" w:eastAsia="zh-CN" w:bidi="ar"/>
              </w:rPr>
              <w:t>完成3</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4</w:t>
            </w:r>
            <w:r>
              <w:rPr>
                <w:rFonts w:hint="eastAsia" w:ascii="宋体" w:hAnsi="宋体" w:cs="宋体"/>
                <w:i w:val="0"/>
                <w:iCs w:val="0"/>
                <w:color w:val="000000"/>
                <w:kern w:val="0"/>
                <w:sz w:val="28"/>
                <w:szCs w:val="28"/>
                <w:highlight w:val="none"/>
                <w:u w:val="none"/>
                <w:lang w:val="en-US" w:eastAsia="zh-CN" w:bidi="ar"/>
              </w:rPr>
              <w:t>、7、</w:t>
            </w:r>
            <w:r>
              <w:rPr>
                <w:rFonts w:hint="eastAsia" w:ascii="宋体" w:hAnsi="宋体" w:eastAsia="宋体" w:cs="宋体"/>
                <w:i w:val="0"/>
                <w:iCs w:val="0"/>
                <w:color w:val="000000"/>
                <w:kern w:val="0"/>
                <w:sz w:val="28"/>
                <w:szCs w:val="28"/>
                <w:highlight w:val="none"/>
                <w:u w:val="none"/>
                <w:lang w:val="en-US" w:eastAsia="zh-CN" w:bidi="ar"/>
              </w:rPr>
              <w:t>8</w:t>
            </w:r>
            <w:r>
              <w:rPr>
                <w:rFonts w:hint="eastAsia" w:ascii="宋体" w:hAnsi="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10号馆、中央通廊TPO施工且屋面断水</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cs="宋体"/>
                <w:i w:val="0"/>
                <w:iCs w:val="0"/>
                <w:color w:val="000000"/>
                <w:kern w:val="0"/>
                <w:sz w:val="28"/>
                <w:szCs w:val="2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2025年</w:t>
            </w:r>
            <w:r>
              <w:rPr>
                <w:rFonts w:hint="eastAsia" w:ascii="宋体" w:hAnsi="宋体" w:cs="宋体"/>
                <w:i w:val="0"/>
                <w:iCs w:val="0"/>
                <w:color w:val="000000"/>
                <w:kern w:val="0"/>
                <w:sz w:val="28"/>
                <w:szCs w:val="28"/>
                <w:highlight w:val="none"/>
                <w:u w:val="none"/>
                <w:lang w:val="en-US" w:eastAsia="zh-CN" w:bidi="ar"/>
              </w:rPr>
              <w:t>7</w:t>
            </w:r>
            <w:r>
              <w:rPr>
                <w:rFonts w:hint="eastAsia" w:ascii="宋体" w:hAnsi="宋体" w:eastAsia="宋体" w:cs="宋体"/>
                <w:i w:val="0"/>
                <w:iCs w:val="0"/>
                <w:color w:val="000000"/>
                <w:kern w:val="0"/>
                <w:sz w:val="28"/>
                <w:szCs w:val="28"/>
                <w:highlight w:val="none"/>
                <w:u w:val="none"/>
                <w:lang w:val="en-US" w:eastAsia="zh-CN" w:bidi="ar"/>
              </w:rPr>
              <w:t>月</w:t>
            </w:r>
            <w:r>
              <w:rPr>
                <w:rFonts w:hint="eastAsia" w:ascii="宋体" w:hAnsi="宋体" w:cs="宋体"/>
                <w:i w:val="0"/>
                <w:iCs w:val="0"/>
                <w:color w:val="000000"/>
                <w:kern w:val="0"/>
                <w:sz w:val="28"/>
                <w:szCs w:val="28"/>
                <w:highlight w:val="none"/>
                <w:u w:val="none"/>
                <w:lang w:val="en-US" w:eastAsia="zh-CN" w:bidi="ar"/>
              </w:rPr>
              <w:t>5</w:t>
            </w:r>
            <w:r>
              <w:rPr>
                <w:rFonts w:hint="eastAsia" w:ascii="宋体" w:hAnsi="宋体" w:eastAsia="宋体" w:cs="宋体"/>
                <w:i w:val="0"/>
                <w:iCs w:val="0"/>
                <w:color w:val="000000"/>
                <w:kern w:val="0"/>
                <w:sz w:val="28"/>
                <w:szCs w:val="28"/>
                <w:highlight w:val="none"/>
                <w:u w:val="none"/>
                <w:lang w:val="en-US" w:eastAsia="zh-CN" w:bidi="ar"/>
              </w:rPr>
              <w:t>日前完成不低于9号馆及主登录厅檐口铝板的30%用量进场</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2025年</w:t>
            </w:r>
            <w:r>
              <w:rPr>
                <w:rFonts w:hint="eastAsia" w:ascii="宋体" w:hAnsi="宋体" w:cs="宋体"/>
                <w:i w:val="0"/>
                <w:iCs w:val="0"/>
                <w:color w:val="000000"/>
                <w:kern w:val="0"/>
                <w:sz w:val="28"/>
                <w:szCs w:val="28"/>
                <w:highlight w:val="none"/>
                <w:u w:val="none"/>
                <w:lang w:val="en-US" w:eastAsia="zh-CN" w:bidi="ar"/>
              </w:rPr>
              <w:t>9</w:t>
            </w:r>
            <w:r>
              <w:rPr>
                <w:rFonts w:hint="eastAsia" w:ascii="宋体" w:hAnsi="宋体" w:eastAsia="宋体" w:cs="宋体"/>
                <w:i w:val="0"/>
                <w:iCs w:val="0"/>
                <w:color w:val="000000"/>
                <w:kern w:val="0"/>
                <w:sz w:val="28"/>
                <w:szCs w:val="28"/>
                <w:highlight w:val="none"/>
                <w:u w:val="none"/>
                <w:lang w:val="en-US" w:eastAsia="zh-CN" w:bidi="ar"/>
              </w:rPr>
              <w:t>月</w:t>
            </w:r>
            <w:r>
              <w:rPr>
                <w:rFonts w:hint="eastAsia" w:ascii="宋体" w:hAnsi="宋体" w:cs="宋体"/>
                <w:i w:val="0"/>
                <w:iCs w:val="0"/>
                <w:color w:val="000000"/>
                <w:kern w:val="0"/>
                <w:sz w:val="28"/>
                <w:szCs w:val="28"/>
                <w:highlight w:val="none"/>
                <w:u w:val="none"/>
                <w:lang w:val="en-US" w:eastAsia="zh-CN" w:bidi="ar"/>
              </w:rPr>
              <w:t>30</w:t>
            </w:r>
            <w:r>
              <w:rPr>
                <w:rFonts w:hint="eastAsia" w:ascii="宋体" w:hAnsi="宋体" w:eastAsia="宋体" w:cs="宋体"/>
                <w:i w:val="0"/>
                <w:iCs w:val="0"/>
                <w:color w:val="000000"/>
                <w:kern w:val="0"/>
                <w:sz w:val="28"/>
                <w:szCs w:val="28"/>
                <w:highlight w:val="none"/>
                <w:u w:val="none"/>
                <w:lang w:val="en-US" w:eastAsia="zh-CN" w:bidi="ar"/>
              </w:rPr>
              <w:t>日前完工</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如因甲方或总包原因导致工期延误，相应工期顺延</w:t>
            </w:r>
          </w:p>
        </w:tc>
      </w:tr>
    </w:tbl>
    <w:p>
      <w:pPr>
        <w:shd w:val="clear"/>
        <w:spacing w:line="560" w:lineRule="exact"/>
        <w:ind w:firstLine="565" w:firstLineChars="202"/>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（2）安全文明控制奖励金（金额为中标价的</w:t>
      </w:r>
      <w:r>
        <w:rPr>
          <w:rFonts w:hint="eastAsia" w:ascii="宋体" w:hAnsi="宋体" w:eastAsia="宋体" w:cs="宋体"/>
          <w:b w:val="0"/>
          <w:color w:val="auto"/>
          <w:sz w:val="28"/>
          <w:szCs w:val="28"/>
          <w:highlight w:val="none"/>
          <w:lang w:val="en-US" w:eastAsia="zh-CN"/>
        </w:rPr>
        <w:t>0.4</w:t>
      </w:r>
      <w:r>
        <w:rPr>
          <w:rFonts w:hint="eastAsia" w:ascii="宋体" w:hAnsi="宋体" w:eastAsia="宋体" w:cs="宋体"/>
          <w:b w:val="0"/>
          <w:color w:val="auto"/>
          <w:sz w:val="28"/>
          <w:szCs w:val="28"/>
          <w:highlight w:val="none"/>
        </w:rPr>
        <w:t>%，人民币</w:t>
      </w:r>
      <w:r>
        <w:rPr>
          <w:rFonts w:hint="eastAsia" w:ascii="宋体" w:hAnsi="宋体" w:eastAsia="宋体" w:cs="宋体"/>
          <w:b w:val="0"/>
          <w:color w:val="auto"/>
          <w:sz w:val="28"/>
          <w:szCs w:val="28"/>
          <w:highlight w:val="none"/>
          <w:u w:val="none"/>
          <w:lang w:val="en-US" w:eastAsia="zh-CN"/>
        </w:rPr>
        <w:t>***</w:t>
      </w:r>
      <w:r>
        <w:rPr>
          <w:rFonts w:hint="eastAsia" w:ascii="宋体" w:hAnsi="宋体" w:eastAsia="宋体" w:cs="宋体"/>
          <w:b w:val="0"/>
          <w:color w:val="auto"/>
          <w:sz w:val="28"/>
          <w:szCs w:val="28"/>
          <w:highlight w:val="none"/>
        </w:rPr>
        <w:t>元）：</w:t>
      </w:r>
    </w:p>
    <w:p>
      <w:pPr>
        <w:shd w:val="clear"/>
        <w:spacing w:line="560" w:lineRule="exact"/>
        <w:ind w:firstLine="565" w:firstLineChars="202"/>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rPr>
        <w:t>本项目按施工合同约定对工程施工现场的安全文明措施要求进行管理，每月度由安全质量监督机构、第三方安全评估机构或发包人代表进行安全生产检查，如当月未发生安全生产事故、行政主管部门处罚或维稳事件（包括但不限于民工示威、恶意讨薪、故意破坏财物，或出现材科供应商上门恶意追款等），则按安全文明控制奖励金的</w:t>
      </w:r>
      <w:r>
        <w:rPr>
          <w:rFonts w:hint="eastAsia" w:ascii="宋体" w:hAnsi="宋体" w:eastAsia="宋体" w:cs="宋体"/>
          <w:color w:val="auto"/>
          <w:sz w:val="28"/>
          <w:szCs w:val="28"/>
          <w:highlight w:val="none"/>
          <w:u w:val="none"/>
        </w:rPr>
        <w:t>【1/合同总工期月数（向上取整）*100】</w:t>
      </w:r>
      <w:r>
        <w:rPr>
          <w:rFonts w:hint="eastAsia" w:ascii="宋体" w:hAnsi="宋体" w:eastAsia="宋体" w:cs="宋体"/>
          <w:color w:val="auto"/>
          <w:sz w:val="28"/>
          <w:szCs w:val="28"/>
          <w:highlight w:val="none"/>
        </w:rPr>
        <w:t>%给予承包人奖励（暂按</w:t>
      </w:r>
      <w:r>
        <w:rPr>
          <w:rFonts w:hint="eastAsia" w:ascii="宋体" w:hAnsi="宋体" w:eastAsia="宋体" w:cs="宋体"/>
          <w:color w:val="auto"/>
          <w:sz w:val="28"/>
          <w:szCs w:val="28"/>
          <w:highlight w:val="none"/>
          <w:u w:val="none"/>
        </w:rPr>
        <w:t>【合同总工期月数（向上取整）】</w:t>
      </w:r>
      <w:r>
        <w:rPr>
          <w:rFonts w:hint="eastAsia" w:ascii="宋体" w:hAnsi="宋体" w:eastAsia="宋体" w:cs="宋体"/>
          <w:color w:val="auto"/>
          <w:sz w:val="28"/>
          <w:szCs w:val="28"/>
          <w:highlight w:val="none"/>
        </w:rPr>
        <w:t>个月计算），累计奖励金额不超过安全文明控制奖励金总额。如项目最后一期完工并通过竣工验收时，安全文明控制奖励金仍未支付完毕，则剩余金额纳入结算；如项目在最后一期工程竣工验收通过前出现安全生产事故（按国家规定界定）或非发包人原因导致本项目受行政主管部门严重处罚或出现维稳事件（包括但不限于民工示威、恶意讨薪、故意破坏财物，或出现材科供应商上门恶意追款等），则一次性扣回已支付的全部安全文明控制奖励金，剩余安全文明控制奖励金将不再支付</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并按照35.2约定承担违约责任</w:t>
      </w:r>
      <w:r>
        <w:rPr>
          <w:rFonts w:hint="eastAsia" w:ascii="宋体" w:hAnsi="宋体" w:eastAsia="宋体" w:cs="宋体"/>
          <w:color w:val="auto"/>
          <w:sz w:val="28"/>
          <w:szCs w:val="28"/>
          <w:highlight w:val="none"/>
        </w:rPr>
        <w:t>。</w:t>
      </w:r>
    </w:p>
    <w:p>
      <w:pPr>
        <w:shd w:val="clear"/>
        <w:spacing w:line="560" w:lineRule="exact"/>
        <w:ind w:firstLine="565" w:firstLineChars="202"/>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（3）工程质量控制奖励金（金额为中标价的</w:t>
      </w:r>
      <w:r>
        <w:rPr>
          <w:rFonts w:hint="eastAsia" w:ascii="宋体" w:hAnsi="宋体" w:eastAsia="宋体" w:cs="宋体"/>
          <w:b w:val="0"/>
          <w:color w:val="auto"/>
          <w:sz w:val="28"/>
          <w:szCs w:val="28"/>
          <w:highlight w:val="none"/>
          <w:lang w:val="en-US" w:eastAsia="zh-CN"/>
        </w:rPr>
        <w:t>0.6</w:t>
      </w:r>
      <w:r>
        <w:rPr>
          <w:rFonts w:hint="eastAsia" w:ascii="宋体" w:hAnsi="宋体" w:eastAsia="宋体" w:cs="宋体"/>
          <w:b w:val="0"/>
          <w:color w:val="auto"/>
          <w:sz w:val="28"/>
          <w:szCs w:val="28"/>
          <w:highlight w:val="none"/>
        </w:rPr>
        <w:t>%，人民币</w:t>
      </w:r>
      <w:r>
        <w:rPr>
          <w:rFonts w:hint="eastAsia" w:ascii="宋体" w:hAnsi="宋体" w:eastAsia="宋体" w:cs="宋体"/>
          <w:b w:val="0"/>
          <w:color w:val="auto"/>
          <w:sz w:val="28"/>
          <w:szCs w:val="28"/>
          <w:highlight w:val="none"/>
          <w:u w:val="none"/>
          <w:lang w:val="en-US" w:eastAsia="zh-CN"/>
        </w:rPr>
        <w:t xml:space="preserve">   </w:t>
      </w:r>
      <w:r>
        <w:rPr>
          <w:rFonts w:hint="eastAsia" w:ascii="宋体" w:hAnsi="宋体" w:eastAsia="宋体" w:cs="宋体"/>
          <w:b w:val="0"/>
          <w:color w:val="auto"/>
          <w:sz w:val="28"/>
          <w:szCs w:val="28"/>
          <w:highlight w:val="none"/>
        </w:rPr>
        <w:t>元）：</w:t>
      </w:r>
    </w:p>
    <w:p>
      <w:pPr>
        <w:shd w:val="clear"/>
        <w:spacing w:line="560" w:lineRule="exact"/>
        <w:ind w:firstLine="565" w:firstLineChars="202"/>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rPr>
        <w:t>本项目按施工合同约定的工程施工质量要求进行管理，每月度由质量监督机构、第三方评估机构或发包人进行质量检查，如当月全部施工单位未发生质量事故与行政主管部门处罚且巡检达标的，则按工程质量控制奖励金的</w:t>
      </w:r>
      <w:r>
        <w:rPr>
          <w:rFonts w:hint="eastAsia" w:ascii="宋体" w:hAnsi="宋体" w:eastAsia="宋体" w:cs="宋体"/>
          <w:color w:val="auto"/>
          <w:sz w:val="28"/>
          <w:szCs w:val="28"/>
          <w:highlight w:val="none"/>
          <w:u w:val="none"/>
        </w:rPr>
        <w:t>【1/合同总工期月数（向上取整）*40】</w:t>
      </w:r>
      <w:r>
        <w:rPr>
          <w:rFonts w:hint="eastAsia" w:ascii="宋体" w:hAnsi="宋体" w:eastAsia="宋体" w:cs="宋体"/>
          <w:color w:val="auto"/>
          <w:sz w:val="28"/>
          <w:szCs w:val="28"/>
          <w:highlight w:val="none"/>
        </w:rPr>
        <w:t>%给予承包人奖励（暂按</w:t>
      </w:r>
      <w:r>
        <w:rPr>
          <w:rFonts w:hint="eastAsia" w:ascii="宋体" w:hAnsi="宋体" w:eastAsia="宋体" w:cs="宋体"/>
          <w:color w:val="auto"/>
          <w:sz w:val="28"/>
          <w:szCs w:val="28"/>
          <w:highlight w:val="none"/>
          <w:u w:val="none"/>
        </w:rPr>
        <w:t>【合同总工期月数（向上取整）】</w:t>
      </w:r>
      <w:r>
        <w:rPr>
          <w:rFonts w:hint="eastAsia" w:ascii="宋体" w:hAnsi="宋体" w:eastAsia="宋体" w:cs="宋体"/>
          <w:color w:val="auto"/>
          <w:sz w:val="28"/>
          <w:szCs w:val="28"/>
          <w:highlight w:val="none"/>
        </w:rPr>
        <w:t>个月计算），累计奖励金额不超过工程质量控制奖励金的</w:t>
      </w:r>
      <w:r>
        <w:rPr>
          <w:rFonts w:hint="eastAsia" w:ascii="宋体" w:hAnsi="宋体" w:eastAsia="宋体" w:cs="宋体"/>
          <w:b w:val="0"/>
          <w:color w:val="auto"/>
          <w:sz w:val="28"/>
          <w:szCs w:val="28"/>
          <w:highlight w:val="none"/>
        </w:rPr>
        <w:t>40%</w:t>
      </w:r>
      <w:r>
        <w:rPr>
          <w:rFonts w:hint="eastAsia" w:ascii="宋体" w:hAnsi="宋体" w:eastAsia="宋体" w:cs="宋体"/>
          <w:color w:val="auto"/>
          <w:sz w:val="28"/>
          <w:szCs w:val="28"/>
          <w:highlight w:val="none"/>
        </w:rPr>
        <w:t>。如项目最后一期完工并通过竣工验收时工程质量控制奖励金仍未支付完毕，则剩余金额纳入结算；如项目任一期在竣工验收通过前出现重大质量事故（按国家规定界定）或非发包人原因导致本项目受行政主管部门严重处罚的，则一次性扣回已支付的全部工程质量控制奖励金，剩余工程质量控制奖励金将不再支付</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并按照35.2约定承担违约责任</w:t>
      </w:r>
      <w:r>
        <w:rPr>
          <w:rFonts w:hint="eastAsia" w:ascii="宋体" w:hAnsi="宋体" w:eastAsia="宋体" w:cs="宋体"/>
          <w:color w:val="auto"/>
          <w:sz w:val="28"/>
          <w:szCs w:val="28"/>
          <w:highlight w:val="none"/>
        </w:rPr>
        <w:t>。</w:t>
      </w:r>
    </w:p>
    <w:bookmarkEnd w:id="202"/>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26.1.1</w:t>
      </w:r>
      <w:r>
        <w:rPr>
          <w:rFonts w:hint="eastAsia" w:ascii="宋体" w:hAnsi="宋体" w:eastAsia="宋体" w:cs="宋体"/>
          <w:color w:val="auto"/>
          <w:kern w:val="1"/>
          <w:sz w:val="28"/>
          <w:szCs w:val="28"/>
          <w:highlight w:val="none"/>
          <w:lang w:val="en-US" w:eastAsia="zh-CN"/>
        </w:rPr>
        <w:t>0</w:t>
      </w:r>
      <w:r>
        <w:rPr>
          <w:rFonts w:hint="eastAsia" w:ascii="宋体" w:hAnsi="宋体" w:eastAsia="宋体" w:cs="宋体"/>
          <w:color w:val="auto"/>
          <w:kern w:val="1"/>
          <w:sz w:val="28"/>
          <w:szCs w:val="28"/>
          <w:highlight w:val="none"/>
        </w:rPr>
        <w:t>承包人每次在领取款项时，须按本合同第一部分合同协议书要求提供10天以内开具的合法有效的一般纳税人增值税专用发票。否则项目出资单位有权延缓付款，由此造成的一切延迟支付责任及损失由承包人自行承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承包人应就本合同约定之业务开具等额真实、合法有效的票据，如因承包人自身原因或所开票据（发票）本身之问题造成项目出资单位日后发生税收风险而产生的经济损失，均由承包人全部承担，发包人、项目出资单位并保留进一步提起法律诉讼的权利。</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26.4发包人无故不按合同约定申请支付工程款（进度款），双方又未达成延期付款协议，导致施工无法进行，发包人按专用条款第35.1.1款承担违约责任，但承包人不得停止施工。</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26.5合同款项办理时，根据《关于印发广州市建设领域工人工资支付分账管理实施细则的通知》（穗建规字〔2020〕37号）的规定，按照</w:t>
      </w:r>
      <w:r>
        <w:rPr>
          <w:rFonts w:hint="eastAsia" w:ascii="宋体" w:hAnsi="宋体" w:eastAsia="宋体" w:cs="宋体"/>
          <w:color w:val="auto"/>
          <w:kern w:val="1"/>
          <w:sz w:val="28"/>
          <w:szCs w:val="28"/>
          <w:highlight w:val="none"/>
          <w:u w:val="single"/>
          <w:lang w:val="en-US" w:eastAsia="zh-CN"/>
        </w:rPr>
        <w:t xml:space="preserve">   </w:t>
      </w:r>
      <w:r>
        <w:rPr>
          <w:rFonts w:hint="eastAsia" w:ascii="宋体" w:hAnsi="宋体" w:eastAsia="宋体" w:cs="宋体"/>
          <w:color w:val="auto"/>
          <w:kern w:val="1"/>
          <w:sz w:val="28"/>
          <w:szCs w:val="28"/>
          <w:highlight w:val="none"/>
        </w:rPr>
        <w:t>%的比例（依法必须进行招标的工程项目，工程进度款中的工人工资款比例参照施工招标的《中标通知书》中单列的人工费金额除以中标金额计算）划拨用于支付工人工资的工程款到根据专用条款9.9（3）约定设立的专用账户。承包人在申请每期工程进度款时，填报申请表中需加以说明，“申请进度款的总金额中，其中：工程项目支付金额（</w:t>
      </w:r>
      <w:r>
        <w:rPr>
          <w:rFonts w:hint="eastAsia" w:ascii="宋体" w:hAnsi="宋体" w:eastAsia="宋体" w:cs="宋体"/>
          <w:color w:val="auto"/>
          <w:kern w:val="1"/>
          <w:sz w:val="28"/>
          <w:szCs w:val="28"/>
          <w:highlight w:val="none"/>
          <w:u w:val="single"/>
        </w:rPr>
        <w:t>/</w:t>
      </w:r>
      <w:r>
        <w:rPr>
          <w:rFonts w:hint="eastAsia" w:ascii="宋体" w:hAnsi="宋体" w:eastAsia="宋体" w:cs="宋体"/>
          <w:color w:val="auto"/>
          <w:kern w:val="1"/>
          <w:sz w:val="28"/>
          <w:szCs w:val="28"/>
          <w:highlight w:val="none"/>
        </w:rPr>
        <w:t>%）为：</w:t>
      </w:r>
      <w:r>
        <w:rPr>
          <w:rFonts w:hint="eastAsia" w:ascii="宋体" w:hAnsi="宋体" w:eastAsia="宋体" w:cs="宋体"/>
          <w:color w:val="auto"/>
          <w:kern w:val="1"/>
          <w:sz w:val="28"/>
          <w:szCs w:val="28"/>
          <w:highlight w:val="none"/>
          <w:u w:val="single"/>
        </w:rPr>
        <w:t>/</w:t>
      </w:r>
      <w:r>
        <w:rPr>
          <w:rFonts w:hint="eastAsia" w:ascii="宋体" w:hAnsi="宋体" w:eastAsia="宋体" w:cs="宋体"/>
          <w:color w:val="auto"/>
          <w:kern w:val="1"/>
          <w:sz w:val="28"/>
          <w:szCs w:val="28"/>
          <w:highlight w:val="none"/>
        </w:rPr>
        <w:t>元，工人工资支付金额（</w:t>
      </w:r>
      <w:r>
        <w:rPr>
          <w:rFonts w:hint="eastAsia" w:ascii="宋体" w:hAnsi="宋体" w:eastAsia="宋体" w:cs="宋体"/>
          <w:color w:val="auto"/>
          <w:kern w:val="1"/>
          <w:sz w:val="28"/>
          <w:szCs w:val="28"/>
          <w:highlight w:val="none"/>
          <w:u w:val="single"/>
        </w:rPr>
        <w:t>/</w:t>
      </w:r>
      <w:r>
        <w:rPr>
          <w:rFonts w:hint="eastAsia" w:ascii="宋体" w:hAnsi="宋体" w:eastAsia="宋体" w:cs="宋体"/>
          <w:color w:val="auto"/>
          <w:kern w:val="1"/>
          <w:sz w:val="28"/>
          <w:szCs w:val="28"/>
          <w:highlight w:val="none"/>
        </w:rPr>
        <w:t>%）为：</w:t>
      </w:r>
      <w:r>
        <w:rPr>
          <w:rFonts w:hint="eastAsia" w:ascii="宋体" w:hAnsi="宋体" w:eastAsia="宋体" w:cs="宋体"/>
          <w:color w:val="auto"/>
          <w:kern w:val="1"/>
          <w:sz w:val="28"/>
          <w:szCs w:val="28"/>
          <w:highlight w:val="none"/>
          <w:u w:val="single"/>
        </w:rPr>
        <w:t>/</w:t>
      </w:r>
      <w:r>
        <w:rPr>
          <w:rFonts w:hint="eastAsia" w:ascii="宋体" w:hAnsi="宋体" w:eastAsia="宋体" w:cs="宋体"/>
          <w:color w:val="auto"/>
          <w:kern w:val="1"/>
          <w:sz w:val="28"/>
          <w:szCs w:val="28"/>
          <w:highlight w:val="none"/>
        </w:rPr>
        <w:t>元”，由发包人审核，分别出单分账汇入。</w:t>
      </w:r>
    </w:p>
    <w:p>
      <w:pPr>
        <w:pStyle w:val="15"/>
        <w:rPr>
          <w:rFonts w:hint="default" w:ascii="Times New Roman" w:hAnsi="Times New Roman" w:eastAsia="宋体" w:cs="Times New Roman"/>
          <w:color w:val="000000"/>
          <w:kern w:val="0"/>
          <w:sz w:val="21"/>
          <w:szCs w:val="24"/>
          <w:highlight w:val="none"/>
        </w:rPr>
      </w:pPr>
      <w:r>
        <w:rPr>
          <w:rFonts w:hint="eastAsia" w:ascii="宋体" w:hAnsi="宋体" w:cs="宋体"/>
          <w:color w:val="auto"/>
          <w:kern w:val="1"/>
          <w:sz w:val="28"/>
          <w:szCs w:val="28"/>
          <w:highlight w:val="none"/>
          <w:lang w:val="en-US" w:eastAsia="zh-CN"/>
        </w:rPr>
        <w:t xml:space="preserve">    26.6甲方按审核确认的合同价款通过支票、银行转账或无追索的商业保理等方式支付。</w:t>
      </w:r>
    </w:p>
    <w:p>
      <w:pPr>
        <w:pStyle w:val="3"/>
        <w:numPr>
          <w:ilvl w:val="0"/>
          <w:numId w:val="0"/>
        </w:numPr>
        <w:spacing w:line="400" w:lineRule="exact"/>
        <w:ind w:left="921" w:firstLine="568" w:firstLineChars="202"/>
        <w:rPr>
          <w:rFonts w:hint="eastAsia" w:ascii="宋体" w:hAnsi="宋体" w:eastAsia="宋体" w:cs="宋体"/>
          <w:b/>
          <w:color w:val="auto"/>
          <w:kern w:val="1"/>
          <w:szCs w:val="28"/>
          <w:highlight w:val="none"/>
        </w:rPr>
      </w:pPr>
      <w:bookmarkStart w:id="203" w:name="_Toc134126104"/>
      <w:bookmarkStart w:id="204" w:name="_Toc128128888"/>
      <w:r>
        <w:rPr>
          <w:rFonts w:hint="eastAsia" w:ascii="宋体" w:hAnsi="宋体" w:eastAsia="宋体" w:cs="宋体"/>
          <w:b/>
          <w:color w:val="auto"/>
          <w:kern w:val="1"/>
          <w:szCs w:val="28"/>
          <w:highlight w:val="none"/>
        </w:rPr>
        <w:t>七、材料设备供应</w:t>
      </w:r>
      <w:bookmarkEnd w:id="203"/>
      <w:bookmarkEnd w:id="204"/>
    </w:p>
    <w:p>
      <w:pPr>
        <w:pStyle w:val="4"/>
        <w:numPr>
          <w:ilvl w:val="0"/>
          <w:numId w:val="0"/>
        </w:numPr>
        <w:spacing w:line="400" w:lineRule="exact"/>
        <w:ind w:left="885" w:firstLine="806" w:firstLineChars="202"/>
        <w:rPr>
          <w:rFonts w:hint="eastAsia" w:ascii="宋体" w:hAnsi="宋体" w:eastAsia="宋体" w:cs="宋体"/>
          <w:color w:val="auto"/>
          <w:kern w:val="1"/>
          <w:sz w:val="28"/>
          <w:szCs w:val="28"/>
          <w:highlight w:val="none"/>
        </w:rPr>
      </w:pPr>
      <w:bookmarkStart w:id="205" w:name="_Toc134126105"/>
      <w:bookmarkStart w:id="206" w:name="_Toc128128889"/>
      <w:r>
        <w:rPr>
          <w:rFonts w:hint="eastAsia" w:ascii="宋体" w:hAnsi="宋体" w:eastAsia="宋体" w:cs="宋体"/>
          <w:color w:val="auto"/>
          <w:kern w:val="1"/>
          <w:sz w:val="28"/>
          <w:szCs w:val="28"/>
          <w:highlight w:val="none"/>
        </w:rPr>
        <w:t>27、发包人供应材料设备</w:t>
      </w:r>
      <w:bookmarkEnd w:id="205"/>
      <w:bookmarkEnd w:id="206"/>
    </w:p>
    <w:p>
      <w:pPr>
        <w:spacing w:line="40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本合同工程发包人不提供任何材料设备。</w:t>
      </w:r>
    </w:p>
    <w:p>
      <w:pPr>
        <w:pStyle w:val="4"/>
        <w:numPr>
          <w:ilvl w:val="0"/>
          <w:numId w:val="0"/>
        </w:numPr>
        <w:spacing w:line="400" w:lineRule="exact"/>
        <w:ind w:left="885" w:firstLine="806" w:firstLineChars="202"/>
        <w:rPr>
          <w:rFonts w:hint="eastAsia" w:ascii="宋体" w:hAnsi="宋体" w:eastAsia="宋体" w:cs="宋体"/>
          <w:b w:val="0"/>
          <w:color w:val="auto"/>
          <w:kern w:val="1"/>
          <w:sz w:val="28"/>
          <w:szCs w:val="28"/>
          <w:highlight w:val="none"/>
        </w:rPr>
      </w:pPr>
      <w:bookmarkStart w:id="207" w:name="_Toc134126106"/>
      <w:bookmarkStart w:id="208" w:name="_Toc128128890"/>
      <w:r>
        <w:rPr>
          <w:rFonts w:hint="eastAsia" w:ascii="宋体" w:hAnsi="宋体" w:eastAsia="宋体" w:cs="宋体"/>
          <w:color w:val="auto"/>
          <w:kern w:val="1"/>
          <w:sz w:val="28"/>
          <w:szCs w:val="28"/>
          <w:highlight w:val="none"/>
        </w:rPr>
        <w:t>28、承包人采购材料设备的约定</w:t>
      </w:r>
      <w:bookmarkEnd w:id="207"/>
      <w:bookmarkEnd w:id="208"/>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28.1承包人在采购每一种类的主要材料前，须将拟定采购供应的材料样板、生产或供应的厂家的企业概况（包括名称、注册资金、生产许可证、年产量和近三年服务于建筑工程业绩等）、产品质量合格证书以及反映厂家实力的证明材料等报给发包人及监理单位审核，待发包人书面批准后才能采购使用。否则，发包人认为其提供不合格材料，承包人须相应承担违约责任，并赔偿发包人的所有损失（包括但不限于律师费、诉讼费、执行费、保全费、鉴定费、公证费等费用损失及其他有关经济损失）。</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28.2承包人负责采购材料设备的，应按照招标文件的约定、设计要求和有关标准采购，要提供产品合格证明、对材料设备质量负责，并必须提供《承包人提供主要材料和工程设备一览表》，列明品牌厂家名称、厂址、产品详细规格型号及单价。承包人须在材料设备到货前24小时通知发包人、监理单位清点。</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28.3中标文件中的《承包人提供主要材料和工程设备一览表》中列明的材料设备，实际施工时，承包人投标所报主要材料设备的生产厂家、品牌及规格型号不允许变更（若承包人在投标时未按招标文件中的《主要材料设备参考品牌清单》（详见附件）中的品牌厂家填报的，则材料设备的采购及价格按招标工程量清单计价说明及招标文件的修改、答疑、澄清文件（如有）执行）。若确需变更，则其选型定价按专用条款第23.2条、第23.3条执行。未经发包人及监理单位书面确认，承包人擅自采购的材料设备，发包人可要求承包人无条件退货及重新采购，承包人应承担由此发生的全部费用并赔偿发包人损失（包括但不限于律师费、诉讼费、执行费、保全费、鉴定费、公证费等费用损失及其他有关经济损失），由此延误的工期不予顺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28.4承包人采购的材料设备与设计或标准要求不符时，承包人须按发包人要求立即运出施工现场，并重新采购符合要求的产品，承担由此发生的全部费用并赔偿发包人损失（包括但不限于律师费、诉讼费、执行费、保全费、鉴定费、公证费等费用损失及其他有关经济损失），且工期不予顺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中标文件中的《承包人提供主要材料和工程设备一览表》中未列明的材料设备，实际施工时，承包人所采用的材料设备须为国产中档以上档次品牌产品，其选型由承包人按照图纸及相关技术参数要求提供不少于三家同等档次品牌产品，报监理单位及发包人最终审批确定，具体以招标工程量清单计价说明及招标文件的修改、答疑、澄清文件（如有）约定为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28.5承包人采购的材料设备在使用前，承包人须按专用条款第16条无偿配合监理及发包人查验，不合格的不得使用。</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28.6工程师发现承包人采购并使用不符合设计或标准要求的材料设备时，承包人须立即按发包人要求负责修复、拆除及重新采购，承包人须承担由此发生的费用并赔偿发包人损失，且工期不予顺延。</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28.7政府质量安全监督部门和发包人、监理单位有权安排抽检，承包人应积极配合。政府质量安全监督部门出具的监督抽检报告书作为工程竣工验收所需要文件的组成部分。</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209" w:name="_Toc134126107"/>
      <w:bookmarkStart w:id="210" w:name="_Toc128128891"/>
      <w:r>
        <w:rPr>
          <w:rFonts w:hint="eastAsia" w:ascii="宋体" w:hAnsi="宋体" w:eastAsia="宋体" w:cs="宋体"/>
          <w:b/>
          <w:color w:val="auto"/>
          <w:kern w:val="1"/>
          <w:szCs w:val="28"/>
          <w:highlight w:val="none"/>
        </w:rPr>
        <w:t>八、工程变更</w:t>
      </w:r>
      <w:bookmarkEnd w:id="209"/>
      <w:bookmarkEnd w:id="210"/>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有工程变更均须按发包人制定的工程变更管理办法完成变更审批后方为有效变更，未按发包人制定的工程变更管理办法完成变更审核的，发包人有权不予确认、不予计量、不予支付，并保留要求承包人无条件返工的权利。</w:t>
      </w:r>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211" w:name="_Toc128128892"/>
      <w:bookmarkStart w:id="212" w:name="_Toc134126108"/>
      <w:r>
        <w:rPr>
          <w:rFonts w:hint="eastAsia" w:ascii="宋体" w:hAnsi="宋体" w:eastAsia="宋体" w:cs="宋体"/>
          <w:color w:val="auto"/>
          <w:kern w:val="1"/>
          <w:sz w:val="28"/>
          <w:szCs w:val="28"/>
          <w:highlight w:val="none"/>
        </w:rPr>
        <w:t>29．工程设计变更</w:t>
      </w:r>
      <w:bookmarkEnd w:id="211"/>
      <w:bookmarkEnd w:id="212"/>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29.1施工中承包人不得对设计进行变更。未经发包人及设计单位书面同意，承包人擅自变更时，发包人有权不予确认并要求承包人无条件返工。因承包人擅自变更设计发生的费用、合同价款的增减、返工的费用和由此导致发包人的损失，均由承包人承担，合同价款不予调整，延误的工期不予顺延。</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29.2施工中若发包人确需对原工程设计进行变更，原则上应提前3个日历天以书面形式向承包人发出变更通知，特殊情况除外。变更超过原设计标准或批准的建设规模时，发包人应报规划管理部门和其他有关部门重新审查批准，并由原设计单位提供变更的相应图纸和说明。承包人按照发包人发出的变更通知，进行下列需要的变更：</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⑴更改工程有关部分的标高、基线、位置和尺寸；</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⑵增减合同中约定的工程量；</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⑶改变有关工程的施工时间和顺序；</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⑷其他有关工程变更需要的附加工作。</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凡发包人及设计单位书面要求而作出的设计变更导致的合同价款增减，在报监理及发包人书面审核确认后，作为结算计量的依据，由此造成的工期延误的处理按专用条款第13条执行。</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29.3非因发包人及设计单位书面要求而作出的设计变更，合同价款不予调整。</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kern w:val="1"/>
          <w:sz w:val="28"/>
          <w:szCs w:val="28"/>
          <w:highlight w:val="none"/>
        </w:rPr>
        <w:t>29.4承包人在施工中提出的合理化建议涉及到对设计图纸或施工组织设计的更改及对材料、设备的换用，须经发包人书面同意，且其定价须执行专用条款第23.2条、第23.3条的约定。未经同意擅自更改或换用时，发包人有权要求承包人无条件返工或重新采购，承包人承担由此发生的全部费用，并赔偿发包人的损失，延误的工期不予顺延。</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发包人书面同意采用承包人合理化建议，所发生的费用和获得的收益，发包人承包人另行约定分担或分享。</w:t>
      </w:r>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213" w:name="_Toc128128893"/>
      <w:bookmarkStart w:id="214" w:name="_Toc134126109"/>
      <w:r>
        <w:rPr>
          <w:rFonts w:hint="eastAsia" w:ascii="宋体" w:hAnsi="宋体" w:eastAsia="宋体" w:cs="宋体"/>
          <w:color w:val="auto"/>
          <w:kern w:val="1"/>
          <w:sz w:val="28"/>
          <w:szCs w:val="28"/>
          <w:highlight w:val="none"/>
        </w:rPr>
        <w:t>31．确定变更价款</w:t>
      </w:r>
      <w:bookmarkEnd w:id="213"/>
      <w:bookmarkEnd w:id="214"/>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31.1当发包人提出变更通知，承包人认为产生了增加费用，承包人应在发包人提出通知要求（发出指令）后7天内向发包人提交增加费用报告，报告内应说明变更原因、增加费用金额、增加费用计算书，若承包人不在规定的时间内提供增加费用报告，该类变更所涉及的增加费用视同已包含在合同价款中，不另行增加。10000元人民币以内的单项单笔工程签证增加的费用由承包人自行承担，发包人不另行支付</w:t>
      </w:r>
    </w:p>
    <w:p>
      <w:pPr>
        <w:spacing w:line="560" w:lineRule="exact"/>
        <w:ind w:firstLine="560" w:firstLineChars="200"/>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31.2当发包人提出变更通知，导致了工程费用减少</w:t>
      </w:r>
      <w:r>
        <w:rPr>
          <w:rFonts w:hint="eastAsia" w:ascii="宋体" w:hAnsi="宋体" w:eastAsia="宋体" w:cs="宋体"/>
          <w:color w:val="auto"/>
          <w:kern w:val="1"/>
          <w:sz w:val="28"/>
          <w:szCs w:val="28"/>
          <w:highlight w:val="none"/>
          <w:lang w:eastAsia="zh-CN"/>
        </w:rPr>
        <w:t>的</w:t>
      </w:r>
      <w:r>
        <w:rPr>
          <w:rFonts w:hint="eastAsia" w:ascii="宋体" w:hAnsi="宋体" w:eastAsia="宋体" w:cs="宋体"/>
          <w:color w:val="auto"/>
          <w:kern w:val="1"/>
          <w:sz w:val="28"/>
          <w:szCs w:val="28"/>
          <w:highlight w:val="none"/>
        </w:rPr>
        <w:t>，承包人应在发包人提出通知要求(发出指令)后7天内向发包人提交费用扣减报告</w:t>
      </w:r>
      <w:r>
        <w:rPr>
          <w:rFonts w:hint="eastAsia" w:ascii="宋体" w:hAnsi="宋体" w:eastAsia="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报告内应说明减少费用金额、减少费用计算书。若承包人不在规定的时间内提供费用扣减报告，该类变更视为承包人同意发包人的费用扣减，按照发包人的费用计算书相应扣除合同价款。</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215" w:name="_Toc128128894"/>
      <w:bookmarkStart w:id="216" w:name="_Toc134126110"/>
      <w:r>
        <w:rPr>
          <w:rFonts w:hint="eastAsia" w:ascii="宋体" w:hAnsi="宋体" w:eastAsia="宋体" w:cs="宋体"/>
          <w:b/>
          <w:color w:val="auto"/>
          <w:kern w:val="1"/>
          <w:szCs w:val="28"/>
          <w:highlight w:val="none"/>
        </w:rPr>
        <w:t>九、竣工验收与结算</w:t>
      </w:r>
      <w:bookmarkEnd w:id="215"/>
      <w:bookmarkEnd w:id="216"/>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按通用条款并执行以下规定：本工程结算须按照广州市城市建设投资集团有限公司相关结算管理办法进行结算；按招标文件及本合同有关规定办理，承包人按发包人提供的《竣工结算编制办法》的具体要求编制结算书，并提交分段结算及竣工结算资料。本工程结算须报发包人最终审定后，再支付工程结算余款，多退少补，详见专用条款合同价款支付相关规定。</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217" w:name="_Toc128128895"/>
      <w:bookmarkStart w:id="218" w:name="_Toc134126111"/>
      <w:r>
        <w:rPr>
          <w:rFonts w:hint="eastAsia" w:ascii="宋体" w:hAnsi="宋体" w:eastAsia="宋体" w:cs="宋体"/>
          <w:b/>
          <w:color w:val="auto"/>
          <w:kern w:val="1"/>
          <w:szCs w:val="28"/>
          <w:highlight w:val="none"/>
        </w:rPr>
        <w:t>十、违约、索赔和争议</w:t>
      </w:r>
      <w:bookmarkEnd w:id="217"/>
      <w:bookmarkEnd w:id="218"/>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219" w:name="_Toc134126112"/>
      <w:bookmarkStart w:id="220" w:name="_Toc128128896"/>
      <w:r>
        <w:rPr>
          <w:rFonts w:hint="eastAsia" w:ascii="宋体" w:hAnsi="宋体" w:eastAsia="宋体" w:cs="宋体"/>
          <w:color w:val="auto"/>
          <w:kern w:val="1"/>
          <w:sz w:val="28"/>
          <w:szCs w:val="28"/>
          <w:highlight w:val="none"/>
        </w:rPr>
        <w:t>35、违约</w:t>
      </w:r>
      <w:bookmarkEnd w:id="219"/>
      <w:bookmarkEnd w:id="220"/>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35.1发包人的违约责任：</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35.1.1</w:t>
      </w:r>
      <w:r>
        <w:rPr>
          <w:rFonts w:hint="eastAsia" w:ascii="宋体" w:hAnsi="宋体" w:eastAsia="宋体" w:cs="宋体"/>
          <w:color w:val="auto"/>
          <w:sz w:val="28"/>
          <w:szCs w:val="28"/>
          <w:highlight w:val="none"/>
          <w:u w:val="single"/>
        </w:rPr>
        <w:t>发包人无故逾期申报付款的，从逾期次日起，每日应就应付而未付款项按中国人民银行同期同类贷款利息计算违约金，但工期不得顺延。</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35.2承包人的违约责任：</w:t>
      </w:r>
    </w:p>
    <w:p>
      <w:pPr>
        <w:spacing w:line="560" w:lineRule="exact"/>
        <w:ind w:firstLine="565" w:firstLineChars="202"/>
        <w:rPr>
          <w:rFonts w:hint="eastAsia" w:ascii="宋体" w:hAnsi="宋体" w:eastAsia="宋体" w:cs="宋体"/>
          <w:color w:val="auto"/>
          <w:sz w:val="28"/>
          <w:szCs w:val="28"/>
          <w:highlight w:val="none"/>
          <w:shd w:val="clear" w:color="auto" w:fill="FFFF00"/>
        </w:rPr>
      </w:pPr>
      <w:r>
        <w:rPr>
          <w:rFonts w:hint="eastAsia" w:ascii="宋体" w:hAnsi="宋体" w:eastAsia="宋体" w:cs="宋体"/>
          <w:color w:val="auto"/>
          <w:sz w:val="28"/>
          <w:szCs w:val="28"/>
          <w:highlight w:val="none"/>
        </w:rPr>
        <w:t>35.2.1</w:t>
      </w:r>
      <w:r>
        <w:rPr>
          <w:rFonts w:hint="eastAsia" w:ascii="宋体" w:hAnsi="宋体" w:eastAsia="宋体" w:cs="宋体"/>
          <w:bCs/>
          <w:color w:val="auto"/>
          <w:sz w:val="28"/>
          <w:szCs w:val="28"/>
          <w:highlight w:val="none"/>
        </w:rPr>
        <w:t>若承包人违反本合同约定，延期开工或单方面暂停施工或消极怠工或未按经发包人书面确认的进度计划完成</w:t>
      </w:r>
      <w:r>
        <w:rPr>
          <w:rFonts w:hint="eastAsia" w:ascii="宋体" w:hAnsi="宋体" w:eastAsia="宋体" w:cs="宋体"/>
          <w:color w:val="auto"/>
          <w:sz w:val="28"/>
          <w:szCs w:val="28"/>
          <w:highlight w:val="none"/>
        </w:rPr>
        <w:t>各节点工程施工或延期竣工，则从逾期次日起，每个日历天承包人须向发包人支付人民币5万元的违约金；逾期超过30个日历天，发包人有权单方面解除合同并执行合同专用条款第44.6条约定，承包人除上述已计付的违约金外还须向发包人支付合同总价2%的违约金。</w:t>
      </w:r>
    </w:p>
    <w:p>
      <w:pPr>
        <w:spacing w:line="560" w:lineRule="exact"/>
        <w:ind w:firstLine="565" w:firstLineChars="202"/>
        <w:rPr>
          <w:rFonts w:hint="eastAsia" w:ascii="宋体" w:hAnsi="宋体" w:eastAsia="宋体" w:cs="宋体"/>
          <w:color w:val="auto"/>
          <w:spacing w:val="-2"/>
          <w:kern w:val="28"/>
          <w:sz w:val="28"/>
          <w:szCs w:val="28"/>
          <w:highlight w:val="none"/>
        </w:rPr>
      </w:pPr>
      <w:r>
        <w:rPr>
          <w:rFonts w:hint="eastAsia" w:ascii="宋体" w:hAnsi="宋体" w:eastAsia="宋体" w:cs="宋体"/>
          <w:iCs/>
          <w:color w:val="auto"/>
          <w:sz w:val="28"/>
          <w:szCs w:val="28"/>
          <w:highlight w:val="none"/>
        </w:rPr>
        <w:t>35.2.2</w:t>
      </w:r>
      <w:r>
        <w:rPr>
          <w:rFonts w:hint="eastAsia" w:ascii="宋体" w:hAnsi="宋体" w:eastAsia="宋体" w:cs="宋体"/>
          <w:color w:val="auto"/>
          <w:spacing w:val="-2"/>
          <w:kern w:val="28"/>
          <w:sz w:val="28"/>
          <w:szCs w:val="28"/>
          <w:highlight w:val="none"/>
        </w:rPr>
        <w:t>工程竣工验收不符合国家现行强制性标准及规范要求或未能实现一次竣工验收合格的或未达到合同约定国家绿建二星标准建设的，</w:t>
      </w:r>
      <w:r>
        <w:rPr>
          <w:rFonts w:hint="eastAsia" w:ascii="宋体" w:hAnsi="宋体" w:eastAsia="宋体" w:cs="宋体"/>
          <w:bCs/>
          <w:color w:val="auto"/>
          <w:spacing w:val="-2"/>
          <w:kern w:val="28"/>
          <w:sz w:val="28"/>
          <w:szCs w:val="28"/>
          <w:highlight w:val="none"/>
        </w:rPr>
        <w:t>则承包人除须</w:t>
      </w:r>
      <w:r>
        <w:rPr>
          <w:rFonts w:hint="eastAsia" w:ascii="宋体" w:hAnsi="宋体" w:eastAsia="宋体" w:cs="宋体"/>
          <w:color w:val="auto"/>
          <w:spacing w:val="-2"/>
          <w:kern w:val="28"/>
          <w:sz w:val="28"/>
          <w:szCs w:val="28"/>
          <w:highlight w:val="none"/>
        </w:rPr>
        <w:t>向发包人支付合同总价2%的违约金外，还须无偿采取补救措施及时完成相应整改且工期不予顺延；逾期未完成整改并通过质监部门验收的，从逾期次日起，每个日历天承包人须向发包人支付人民币5万元的违约金；超过发包人要求时间30个日历天承包人仍未按要求完成整改并通过质监部门验收的，发包人有权单方面解除合同并执行合同专用条款第44.6条约定，承包人除支付上述已计付的违约金外，还须向发包人支付合同总价5%的违约金。</w:t>
      </w:r>
    </w:p>
    <w:p>
      <w:pPr>
        <w:spacing w:line="560" w:lineRule="exact"/>
        <w:ind w:firstLine="557" w:firstLineChars="202"/>
        <w:rPr>
          <w:rFonts w:hint="eastAsia" w:ascii="宋体" w:hAnsi="宋体" w:eastAsia="宋体" w:cs="宋体"/>
          <w:iCs/>
          <w:color w:val="auto"/>
          <w:spacing w:val="-2"/>
          <w:kern w:val="28"/>
          <w:sz w:val="28"/>
          <w:szCs w:val="28"/>
          <w:highlight w:val="none"/>
        </w:rPr>
      </w:pPr>
      <w:r>
        <w:rPr>
          <w:rFonts w:hint="eastAsia" w:ascii="宋体" w:hAnsi="宋体" w:eastAsia="宋体" w:cs="宋体"/>
          <w:color w:val="auto"/>
          <w:spacing w:val="-2"/>
          <w:kern w:val="28"/>
          <w:sz w:val="28"/>
          <w:szCs w:val="28"/>
          <w:highlight w:val="none"/>
        </w:rPr>
        <w:t>承包人未通过发包人委托的第三方质量巡检的（指违反本合同专用条款15.4款约定），则将每次单项指标未达标或综合指标未达标（分别计算），或未按质量评估报告及发包人要求进行整改，均视为一次违约，每次违约承包人应向发包人计付违约金人民币5万元，本类违约累计超过10次的，发包人有权单方面解除合同并执行合同专用条款第44.6条约定，承包人除支付上述已计付的违约金外，还须向发包人支付合同总价5%的违约金。</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35.2.3承包人须保证自有或租赁的主要特种施工机械能完全满足本工程施工的要求，并须按监理工程师书面通知的时间进场、在工地完成组装并通过试运行，否则，从逾期次日起，每个日历天承包人须向发包人支付人民币5万元的违约金；超过监理工程师书面通知的时间10个日历天，承包人仍未按要求进场或在工地完成组装并通过试运行，发包人视承包人无能力履行合同，发包人有权单方面解除合同并执行合同专用条款第44.6条约定，承包人除上述已计付的违约金外，还须向发包人支付合同总价0.5%的违约金。</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35.2.4若承包人违反专用条款第7.1.2条规定，项目经理及相关人员未及时、全部到位的，视为承包人延期开工，从监理工程师书面通知的进场之日起至人员正式全部到位之日止，承包人除须向发包人支付每人每天人民币1万元的违约金外，承包人还须自行承担由此产生的工期延误责任及相关损失；从监理工程师书面通知的进场之日起计超过7个日历天，相关人员仍未到位的，发包人有权单方面解除合同并执行合同专用条款第44.6条约定，承包人除上述已计付的违约金外，承包人须向发包人支付合同总价0.5%的违约金。</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35.2.5若承包人违反专用条款第7.1.3条、第7.4条和第7.5条规定，总监理工程师可发出停工令，待人员按要求到位后才批准施工，且工期不予顺延。自停工令下达之日起至相关人员正式到位之日止，承包人除须向发包人支付每人每天人民币1万元的违约金外，承包人还须自行承担由此产生的工期延误责任及相关损失；从停工令下达之日起计超过7个日历天，相关人员仍未到位的，发包人有权单方面解除合同并执行合同专用条款第44.6条约定，承包人除支付上述已计付的违约金外，还须向发包人支付合同总价0.5%的违约金。</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35.2.6实际施工过程中，若承包人不按招标文件及其答疑（如有）要求、投标文件的承诺等落实各项施工措施或进行相关施工投入或未按本合同规定履行其责任及义务，则发包人有权发出书面整改意见；承包人有异议的须于3个日历天提出书面意见及依据，经监理及发包人审查后认为依据不成立的，则发包人有权发出书面整改通知且工期不予顺延，每发出一次，承包人除须向发包人支付人民币5万元的违约金外，还须无条件按照整改通知要求时限整改完毕，并承担由此造成的工期延误责任及所有相关费用；超过整改通知要求时限未完成整改的或整改后仍达不到要求的，从逾期次日起，每个日历天承包人除须向发包人支付人民币5万元的违约金外，还须承担由此造成的工期延误责任、所有相关费用及发包人损失；若承包人超过整改通知要求时限7个日历天仍未完成整改或整改后仍达不到要求的，监理工程师有权签发停工令，停工期间每天承包人须向发包人支付人民币10万元的违约金，且工期不予顺延。停工后承包人仍拒不整改的，发包人有权单方面解除合同并执行合同专用条款第44.6条约定。承包人除支付上述已计付的违约金外，还须向发包人支付合同总价0.5%的违约金。</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35.2.7若承包人未按合同专用条款规定及时按发包人要求办理并提交履约担保（包括担保延期手续），发包人有权不予支付工程进度款，直至承包人按要求提交为止；且从逾期次日起，每个日历天承包人须支付人民币1万元的违约金，该违约金发包人直接从即期进度款中扣除；逾期超过20个日历天，发包人有权从即期进度款中直接扣除与履约担保等额的相应金额作为违约金。同时，承包人不得以此为由拖延工程进度，否则，造成工期延误的，承包人除须工程延误违约责任外，还须赔偿发包人损失</w:t>
      </w:r>
      <w:r>
        <w:rPr>
          <w:rFonts w:hint="eastAsia" w:ascii="宋体" w:hAnsi="宋体" w:eastAsia="宋体" w:cs="宋体"/>
          <w:color w:val="auto"/>
          <w:kern w:val="1"/>
          <w:sz w:val="28"/>
          <w:szCs w:val="28"/>
          <w:highlight w:val="none"/>
        </w:rPr>
        <w:t>（包括但不限于律师费、诉讼费、执行费、保全费、鉴定费、公证费等费用损失及其他有关经济损失）</w:t>
      </w:r>
      <w:r>
        <w:rPr>
          <w:rFonts w:hint="eastAsia" w:ascii="宋体" w:hAnsi="宋体" w:eastAsia="宋体" w:cs="宋体"/>
          <w:color w:val="auto"/>
          <w:sz w:val="28"/>
          <w:szCs w:val="28"/>
          <w:highlight w:val="none"/>
        </w:rPr>
        <w:t>，相应费用发包人有权从即期进度款中直接扣除，进度款不足以抵扣的部分，发包人有权向承包人追偿，因追究承包人责任而产生的合理费用，包括但不限于调查费、公证费、律师费、差旅费、诉讼费等费用均由承包人承担。</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35.2.8农民工、工人工资支付方面的违约责任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承包人违反专用条款的约定，由于承包人内部原因被农民工、工人投诉或上访属实的，承包人必须在3天内发放拖欠的款项。若仍然不予整改并发放拖欠的款项，使农民工、工人有组织采取停工、或集聚人员在工地现场及政府办公区域等公共场所闹事，围阻发包人、项目业主办公地点甚至政府办公部门、或阻塞交通要道、或围堵或破坏、或使工地无法维持正常运作、或引起社会关注造成不良后果及影响、或拆除已移交发包人或项目业主的工程等过激行动的，承包人须向发包人支付合同总价5%的违约金，且由此造成损失、工期延误责任及所有相关费用全部由承包人承担，相应费用发包人有权从任何一期进度款或结算款或履约担保中直接扣除。在事发后12小时后承包人仍无力制止闹事和解决处理工人过激行为问题的，发包人有权代表承包人满足农民工、工人一切以平息事件的最低要求为度解决问题，包括并直接支付款项给农民工、工人要求的款项，由此产生的所有费用由承包人承担，发包人有权部分或全部解除合同，并追究由此给发包人带来的实际损失。</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其他非发包人原因造成的劳资和其他纠纷（包括但不限于拖欠工资、货款、内部人员打架斗殴等等）扰乱工地生产秩序、影响发包人正常办公、扰乱社会秩序等过激行为；承包人必须在事发后12小时内必须到场解决；解决不了的，发包人自行按上述方法解决，所发生的费用发包人有权从任何一期进度款或结算款或履约担保中直接扣除，并且追究由此给发包人带来的实际损失。</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于承包人或其管理的分包单位（包括施工专业分包、供货分包及劳务分包单位等）拖欠工人工资致使发包人或项目业主被投诉或起诉并被判令先行垫付工人工资的，承包人应向发包人支付发包人或项目业主先行垫付的工人工资金额的两倍作为补偿，如补偿不足以弥补发包人或项目业主损失的，发包人有权继续追究承包人的违约责任。上述违约金及相应费用</w:t>
      </w:r>
      <w:r>
        <w:rPr>
          <w:rFonts w:hint="eastAsia" w:ascii="宋体" w:hAnsi="宋体" w:eastAsia="宋体" w:cs="宋体"/>
          <w:color w:val="auto"/>
          <w:kern w:val="1"/>
          <w:sz w:val="28"/>
          <w:szCs w:val="28"/>
          <w:highlight w:val="none"/>
        </w:rPr>
        <w:t>（包括但不限于律师费、诉讼费、执行费、保全费、鉴定费、公证费等费用损失及其他有关经济损失）</w:t>
      </w:r>
      <w:r>
        <w:rPr>
          <w:rFonts w:hint="eastAsia" w:ascii="宋体" w:hAnsi="宋体" w:eastAsia="宋体" w:cs="宋体"/>
          <w:color w:val="auto"/>
          <w:sz w:val="28"/>
          <w:szCs w:val="28"/>
          <w:highlight w:val="none"/>
        </w:rPr>
        <w:t>发包人有权从任何一期进度款或结算款或履约担保中直接扣除。</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（3）因承包人违约导致暂停支付本合同工程款时，承包人不得以此为理由拖欠工人工资，在发包人和承包人就暂停支付工程款问题解决之前，承包人有义务先行支付其所属工人工资。</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承包人不按合同及有关规定按时、足额支付分包单位合同价款及工人工资致使工人集体上访、集聚围阻而造成社会不良影响的，发包人有权立即终止与承包人的合同及追究承包人责任，并上报省、市主管部门建议取消其参加广东地区省、市重大项目的投标资格，并由发包人予以公告，并由承包人承担由此产生的一切责任及损失。如属恶意煽动并造成社会不良影响的，发包人将提请司法部门追究其法律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35.2.9若承包人违反本合同约定，逾期提交各类报奖文件及相关资料，则从逾期次日起，每个日历天承包人须向发包人支付人民币1万元的违约金；逾期超过30个日历天，承包人除上述已计付的违约金外还须向发包人支付合同总价</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%的违约金。</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35.2.10</w:t>
      </w:r>
      <w:r>
        <w:rPr>
          <w:rFonts w:hint="eastAsia" w:ascii="宋体" w:hAnsi="宋体" w:eastAsia="宋体" w:cs="宋体"/>
          <w:color w:val="auto"/>
          <w:sz w:val="28"/>
          <w:szCs w:val="28"/>
          <w:highlight w:val="none"/>
        </w:rPr>
        <w:t>上述所有违约金发包人有权直接从履约担保（或保证金）或即期进度款中扣除。进度款或结算价款不足以抵扣的部分，</w:t>
      </w:r>
      <w:r>
        <w:rPr>
          <w:rFonts w:hint="eastAsia" w:ascii="宋体" w:hAnsi="宋体" w:eastAsia="宋体" w:cs="宋体"/>
          <w:color w:val="auto"/>
          <w:sz w:val="28"/>
          <w:szCs w:val="28"/>
          <w:highlight w:val="none"/>
          <w:lang w:eastAsia="zh-Hans"/>
        </w:rPr>
        <w:t>发包人</w:t>
      </w:r>
      <w:r>
        <w:rPr>
          <w:rFonts w:hint="eastAsia" w:ascii="宋体" w:hAnsi="宋体" w:eastAsia="宋体" w:cs="宋体"/>
          <w:color w:val="auto"/>
          <w:sz w:val="28"/>
          <w:szCs w:val="28"/>
          <w:highlight w:val="none"/>
        </w:rPr>
        <w:t>有权向</w:t>
      </w:r>
      <w:r>
        <w:rPr>
          <w:rFonts w:hint="eastAsia" w:ascii="宋体" w:hAnsi="宋体" w:eastAsia="宋体" w:cs="宋体"/>
          <w:color w:val="auto"/>
          <w:sz w:val="28"/>
          <w:szCs w:val="28"/>
          <w:highlight w:val="none"/>
          <w:lang w:eastAsia="zh-Hans"/>
        </w:rPr>
        <w:t>承包人</w:t>
      </w:r>
      <w:r>
        <w:rPr>
          <w:rFonts w:hint="eastAsia" w:ascii="宋体" w:hAnsi="宋体" w:eastAsia="宋体" w:cs="宋体"/>
          <w:color w:val="auto"/>
          <w:sz w:val="28"/>
          <w:szCs w:val="28"/>
          <w:highlight w:val="none"/>
        </w:rPr>
        <w:t>追偿，因追究</w:t>
      </w:r>
      <w:r>
        <w:rPr>
          <w:rFonts w:hint="eastAsia" w:ascii="宋体" w:hAnsi="宋体" w:eastAsia="宋体" w:cs="宋体"/>
          <w:color w:val="auto"/>
          <w:sz w:val="28"/>
          <w:szCs w:val="28"/>
          <w:highlight w:val="none"/>
          <w:lang w:eastAsia="zh-Hans"/>
        </w:rPr>
        <w:t>承包人</w:t>
      </w:r>
      <w:r>
        <w:rPr>
          <w:rFonts w:hint="eastAsia" w:ascii="宋体" w:hAnsi="宋体" w:eastAsia="宋体" w:cs="宋体"/>
          <w:color w:val="auto"/>
          <w:sz w:val="28"/>
          <w:szCs w:val="28"/>
          <w:highlight w:val="none"/>
        </w:rPr>
        <w:t>责任而产生的合理费用，包括但不限于调查费、公证费、律师费、差旅费、诉讼费等费用均由</w:t>
      </w:r>
      <w:r>
        <w:rPr>
          <w:rFonts w:hint="eastAsia" w:ascii="宋体" w:hAnsi="宋体" w:eastAsia="宋体" w:cs="宋体"/>
          <w:color w:val="auto"/>
          <w:sz w:val="28"/>
          <w:szCs w:val="28"/>
          <w:highlight w:val="none"/>
          <w:lang w:eastAsia="zh-Hans"/>
        </w:rPr>
        <w:t>承包人</w:t>
      </w:r>
      <w:r>
        <w:rPr>
          <w:rFonts w:hint="eastAsia" w:ascii="宋体" w:hAnsi="宋体" w:eastAsia="宋体" w:cs="宋体"/>
          <w:color w:val="auto"/>
          <w:sz w:val="28"/>
          <w:szCs w:val="28"/>
          <w:highlight w:val="none"/>
        </w:rPr>
        <w:t>承担。</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221" w:name="_Toc128128897"/>
      <w:bookmarkStart w:id="222" w:name="_Toc134126113"/>
      <w:r>
        <w:rPr>
          <w:rFonts w:hint="eastAsia" w:ascii="宋体" w:hAnsi="宋体" w:eastAsia="宋体" w:cs="宋体"/>
          <w:color w:val="auto"/>
          <w:kern w:val="1"/>
          <w:sz w:val="28"/>
          <w:szCs w:val="28"/>
          <w:highlight w:val="none"/>
        </w:rPr>
        <w:t>37、争议</w:t>
      </w:r>
      <w:bookmarkEnd w:id="221"/>
      <w:bookmarkEnd w:id="222"/>
    </w:p>
    <w:p>
      <w:pPr>
        <w:spacing w:line="560" w:lineRule="exact"/>
        <w:ind w:firstLine="549" w:firstLineChars="202"/>
        <w:rPr>
          <w:rFonts w:hint="eastAsia" w:ascii="宋体" w:hAnsi="宋体" w:eastAsia="宋体" w:cs="宋体"/>
          <w:color w:val="auto"/>
          <w:sz w:val="28"/>
          <w:szCs w:val="28"/>
          <w:highlight w:val="none"/>
        </w:rPr>
      </w:pPr>
      <w:r>
        <w:rPr>
          <w:rFonts w:hint="eastAsia" w:ascii="宋体" w:hAnsi="宋体" w:eastAsia="宋体" w:cs="宋体"/>
          <w:color w:val="auto"/>
          <w:spacing w:val="-4"/>
          <w:kern w:val="28"/>
          <w:sz w:val="28"/>
          <w:szCs w:val="28"/>
          <w:highlight w:val="none"/>
        </w:rPr>
        <w:t>37.1本合同在履行过程中发生争议，由双方协商解决；协商不成的，</w:t>
      </w:r>
      <w:r>
        <w:rPr>
          <w:rFonts w:hint="eastAsia" w:ascii="宋体" w:hAnsi="宋体" w:eastAsia="宋体" w:cs="宋体"/>
          <w:color w:val="auto"/>
          <w:sz w:val="28"/>
          <w:szCs w:val="28"/>
          <w:highlight w:val="none"/>
        </w:rPr>
        <w:t>依法向项目所在地人民法院提起诉讼。</w:t>
      </w:r>
    </w:p>
    <w:p>
      <w:pPr>
        <w:pStyle w:val="3"/>
        <w:numPr>
          <w:ilvl w:val="0"/>
          <w:numId w:val="0"/>
        </w:numPr>
        <w:spacing w:line="560" w:lineRule="exact"/>
        <w:ind w:left="921" w:firstLine="568" w:firstLineChars="202"/>
        <w:rPr>
          <w:rFonts w:hint="eastAsia" w:ascii="宋体" w:hAnsi="宋体" w:eastAsia="宋体" w:cs="宋体"/>
          <w:b/>
          <w:color w:val="auto"/>
          <w:kern w:val="1"/>
          <w:szCs w:val="28"/>
          <w:highlight w:val="none"/>
        </w:rPr>
      </w:pPr>
      <w:bookmarkStart w:id="223" w:name="_Toc128128898"/>
      <w:bookmarkStart w:id="224" w:name="_Toc134126114"/>
      <w:r>
        <w:rPr>
          <w:rFonts w:hint="eastAsia" w:ascii="宋体" w:hAnsi="宋体" w:eastAsia="宋体" w:cs="宋体"/>
          <w:b/>
          <w:color w:val="auto"/>
          <w:kern w:val="1"/>
          <w:szCs w:val="28"/>
          <w:highlight w:val="none"/>
        </w:rPr>
        <w:t>十一、其他</w:t>
      </w:r>
      <w:bookmarkEnd w:id="223"/>
      <w:bookmarkEnd w:id="224"/>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225" w:name="_Toc128128899"/>
      <w:bookmarkStart w:id="226" w:name="_Toc134126115"/>
      <w:r>
        <w:rPr>
          <w:rFonts w:hint="eastAsia" w:ascii="宋体" w:hAnsi="宋体" w:eastAsia="宋体" w:cs="宋体"/>
          <w:color w:val="auto"/>
          <w:kern w:val="1"/>
          <w:sz w:val="28"/>
          <w:szCs w:val="28"/>
          <w:highlight w:val="none"/>
        </w:rPr>
        <w:t>38、工程分包</w:t>
      </w:r>
      <w:bookmarkEnd w:id="225"/>
      <w:bookmarkEnd w:id="226"/>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38.1承包人可依法分包或发包招标，但须同时执行下列原则：</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分包出去的工程，必须分包给可靠的符合工程技术资质的施工单位。承包人需将拟分包单位的技术力量、装备以及社会信誉等情况报送给发包人。发包人不同意的分包单位，承包人不能选用。未报经发包人书面同意的分包单位，一律不能进场。若承包人擅自分包，发包人可直接从工程进度款中扣除该分包合同总价10%作为违约金，并有权与承包人解除合同。</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承包人取得批准分包并不解除合同约定的承包人任何责任和义务，其分包工程费用、分包管理费、利润以及税费，均由承包人在本合同总价中充分考虑，本合同不再另行计量与支付。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分包工程价款的支付按经发包人审核同意的分包合同的约定执行。</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227" w:name="_Toc128128900"/>
      <w:bookmarkStart w:id="228" w:name="_Toc134126116"/>
      <w:r>
        <w:rPr>
          <w:rFonts w:hint="eastAsia" w:ascii="宋体" w:hAnsi="宋体" w:eastAsia="宋体" w:cs="宋体"/>
          <w:color w:val="auto"/>
          <w:kern w:val="1"/>
          <w:sz w:val="28"/>
          <w:szCs w:val="28"/>
          <w:highlight w:val="none"/>
        </w:rPr>
        <w:t>39、不可抗力</w:t>
      </w:r>
      <w:bookmarkEnd w:id="227"/>
      <w:bookmarkEnd w:id="228"/>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39.1不可抗力，是指不能预见、不能避免并不能克服、足以对本工程施工造成重大实质性影响的自然灾害和战争、动乱（不包括承包人内部的任何纠纷和纷争）等社会事件。自然灾害的范围及其认定方式，按下述约定执行如下：</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异常天气：仅指50年一遇以上（含50年）的洪水、10级（含本数）以上台风，直接淹没或袭击工地为确保安全而停工。承包人应于台风、洪水天气结束之日起7日内，向本地气象部门索取广州地区台风、暴雨天气资料或报告（含气象实况对此分析的内容），连同施工日志、施工现场照片办理证据保全公证，方可认为是不可抗力。</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（2）里氏5级（含本数）以上地震。</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39.2因不可抗力事件导致的工期损失及费用承担按专用条款第12.2条执行。</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229" w:name="_Toc128128901"/>
      <w:bookmarkStart w:id="230" w:name="_Toc134126117"/>
      <w:r>
        <w:rPr>
          <w:rFonts w:hint="eastAsia" w:ascii="宋体" w:hAnsi="宋体" w:eastAsia="宋体" w:cs="宋体"/>
          <w:color w:val="auto"/>
          <w:kern w:val="1"/>
          <w:sz w:val="28"/>
          <w:szCs w:val="28"/>
          <w:highlight w:val="none"/>
        </w:rPr>
        <w:t>40、保险</w:t>
      </w:r>
      <w:bookmarkEnd w:id="229"/>
      <w:bookmarkEnd w:id="230"/>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40.1本工程双方约定投保内容如下：</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（1）发包人投保内容（保险费用已包含在本合同总价中，不再另行计量与支付）：</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发包人委托承包人办理的保险事项：</w:t>
      </w:r>
      <w:r>
        <w:rPr>
          <w:rFonts w:hint="eastAsia" w:ascii="宋体" w:hAnsi="宋体" w:eastAsia="宋体" w:cs="宋体"/>
          <w:color w:val="auto"/>
          <w:sz w:val="28"/>
          <w:szCs w:val="28"/>
          <w:highlight w:val="none"/>
          <w:u w:val="single"/>
        </w:rPr>
        <w:t>建筑安装工程一切险和第三方责任保险，由承包人负责以发包人名义进行购买并由承包人承担相应费用。如承包人在合同签订之日起30日内未按上述要求购买的，则发包人有权自行购买，相应费用从承包人最近一期工程进度款中扣除。</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（2）承包人投保内容（保险费用已包含在本合同总价中，不再另行计量与支付）：</w:t>
      </w:r>
      <w:r>
        <w:rPr>
          <w:rFonts w:hint="eastAsia" w:ascii="宋体" w:hAnsi="宋体" w:eastAsia="宋体" w:cs="宋体"/>
          <w:color w:val="auto"/>
          <w:sz w:val="28"/>
          <w:szCs w:val="28"/>
          <w:highlight w:val="none"/>
          <w:u w:val="single"/>
        </w:rPr>
        <w:t>承包人应按照按通用条款40.4办理保险，以及包括建筑安装工程一切险和第三方责任保险、承包人设备的保险、人身事故保险以及材料和设备运输时的所有保险。所有保险，应向在中国注册的保险公司投保。承包人应当购买的保险包括但不限于：</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1）建筑职工意外伤害险（足额购买）；</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2）工伤险；</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3）承包人雇主责任险；</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4）施工机械设备保险；</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5）建筑工程一切险、安装工程一切险及第三者责任险（承包人以发包人名义购买并由承包人承担相应费用。如承包人在签订合同之日起30日内未按上述要求购买的，则发包人有权自行购买，相应费用从承包人最近一期工程进度款中扣除）；</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6）为本合同工作的员工（含临时工）人身意外保险；</w:t>
      </w:r>
    </w:p>
    <w:p>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lang w:val="en-US" w:eastAsia="zh-CN"/>
        </w:rPr>
        <w:t>7</w:t>
      </w:r>
      <w:r>
        <w:rPr>
          <w:rFonts w:hint="eastAsia" w:ascii="宋体" w:hAnsi="宋体" w:eastAsia="宋体" w:cs="宋体"/>
          <w:color w:val="auto"/>
          <w:sz w:val="28"/>
          <w:szCs w:val="28"/>
          <w:highlight w:val="none"/>
          <w:u w:val="single"/>
        </w:rPr>
        <w:t>）为运至施工场地内用于永久工程的材料和待安装工程设备办理保险。</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由承包人负责办理的保险，如保险金不足以补偿损失的，应由承包人自行负责补偿。承包人不按上述约定购买保险所产生的后果，由承包人承担。</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231" w:name="_Toc134126118"/>
      <w:bookmarkStart w:id="232" w:name="_Toc128128902"/>
      <w:r>
        <w:rPr>
          <w:rFonts w:hint="eastAsia" w:ascii="宋体" w:hAnsi="宋体" w:eastAsia="宋体" w:cs="宋体"/>
          <w:color w:val="auto"/>
          <w:kern w:val="1"/>
          <w:sz w:val="28"/>
          <w:szCs w:val="28"/>
          <w:highlight w:val="none"/>
        </w:rPr>
        <w:t>41、担保</w:t>
      </w:r>
      <w:bookmarkEnd w:id="231"/>
      <w:bookmarkEnd w:id="232"/>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合同通用条款不适用，代之以：</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41.1在本合同签订后15天内，承包人向项目业主单位提交由在中华人民共和国注册且营业地点在</w:t>
      </w:r>
      <w:r>
        <w:rPr>
          <w:rFonts w:hint="eastAsia" w:ascii="宋体" w:hAnsi="宋体" w:eastAsia="宋体" w:cs="宋体"/>
          <w:color w:val="auto"/>
          <w:sz w:val="28"/>
          <w:szCs w:val="28"/>
          <w:highlight w:val="none"/>
          <w:lang w:eastAsia="zh-CN"/>
        </w:rPr>
        <w:t>中国境内</w:t>
      </w:r>
      <w:r>
        <w:rPr>
          <w:rFonts w:hint="eastAsia" w:ascii="宋体" w:hAnsi="宋体" w:eastAsia="宋体" w:cs="宋体"/>
          <w:color w:val="auto"/>
          <w:sz w:val="28"/>
          <w:szCs w:val="28"/>
          <w:highlight w:val="none"/>
        </w:rPr>
        <w:t>的银行开出的履约银行保函原件，或提交由在中华人民共和国注册且营业地点在</w:t>
      </w:r>
      <w:r>
        <w:rPr>
          <w:rFonts w:hint="eastAsia" w:ascii="宋体" w:hAnsi="宋体" w:eastAsia="宋体" w:cs="宋体"/>
          <w:color w:val="auto"/>
          <w:sz w:val="28"/>
          <w:szCs w:val="28"/>
          <w:highlight w:val="none"/>
          <w:lang w:eastAsia="zh-CN"/>
        </w:rPr>
        <w:t>中国境内</w:t>
      </w:r>
      <w:r>
        <w:rPr>
          <w:rFonts w:hint="eastAsia" w:ascii="宋体" w:hAnsi="宋体" w:eastAsia="宋体" w:cs="宋体"/>
          <w:color w:val="auto"/>
          <w:sz w:val="28"/>
          <w:szCs w:val="28"/>
          <w:highlight w:val="none"/>
        </w:rPr>
        <w:t>的担保公司开出的履约担保原件，或提交由在中华人民共和国注册且营业地点在</w:t>
      </w:r>
      <w:r>
        <w:rPr>
          <w:rFonts w:hint="eastAsia" w:ascii="宋体" w:hAnsi="宋体" w:eastAsia="宋体" w:cs="宋体"/>
          <w:color w:val="auto"/>
          <w:sz w:val="28"/>
          <w:szCs w:val="28"/>
          <w:highlight w:val="none"/>
          <w:lang w:eastAsia="zh-CN"/>
        </w:rPr>
        <w:t>中国境内</w:t>
      </w:r>
      <w:r>
        <w:rPr>
          <w:rFonts w:hint="eastAsia" w:ascii="宋体" w:hAnsi="宋体" w:eastAsia="宋体" w:cs="宋体"/>
          <w:color w:val="auto"/>
          <w:sz w:val="28"/>
          <w:szCs w:val="28"/>
          <w:highlight w:val="none"/>
        </w:rPr>
        <w:t>的保险公司开出的履约保证保险原件，具体以项目业主单位意见为准。招标文件有载明履约担保参考格式的，按招标文件要求办理。承包人如未能在上述约定的时间内提交履约担保的，视为自动放弃中标资格，其所提交的投标保证金不予退还。</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41.2承包人提交的履约担保是对本合同约定的承包人的全部义务（包括但不限于承包人违约后应支付的违约金和赔偿金）的担保，承包人的任何一次不履行或不完全履行合同义务的行为，发包人、项目业主单位均有权向担保人提出索赔。</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41.3承包人不履行或不完全履行合同义务的行为导致发包人、项目业主单位依据履约担保向担保人索赔履约担保金额的一部分或者全部的，承包人必须在发包人、项目业主单位规定的时间内补充提交履约担保，使得本合同履行期间有效的履约担保金额等于承包人第一次提交的履约担保金额。</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41.4如果承包人不按发包人、项目业主单位的要求及时补充提交履约担保，则发包人有权单方面部分解除或解除本合同。</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41.5履约担保的有效期，是从提供履约担保之日起至合同协议书约定的工程竣工日期止；合同协议书约定的工程竣工日期之后，承包人可以向项目业主单位申请退还履约担保。</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233" w:name="_Toc128128903"/>
      <w:bookmarkStart w:id="234" w:name="_Toc134126119"/>
      <w:r>
        <w:rPr>
          <w:rFonts w:hint="eastAsia" w:ascii="宋体" w:hAnsi="宋体" w:eastAsia="宋体" w:cs="宋体"/>
          <w:color w:val="auto"/>
          <w:kern w:val="1"/>
          <w:sz w:val="28"/>
          <w:szCs w:val="28"/>
          <w:highlight w:val="none"/>
        </w:rPr>
        <w:t>43、文物和地下障碍物</w:t>
      </w:r>
      <w:bookmarkEnd w:id="233"/>
      <w:bookmarkEnd w:id="234"/>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43.2施工中发现影响施工的地下障碍物时，承包人应于8小时内以书面形式通知工程师，同时提出处置方案，工程师收到处置方案后24小时内予以认可或提出修正方案，并承担由此发生的费用，顺延延误的工期。所发现的地下障碍物有归属单位时，发包人应报请有关部门协同处置。</w:t>
      </w:r>
    </w:p>
    <w:p>
      <w:pPr>
        <w:pStyle w:val="4"/>
        <w:numPr>
          <w:ilvl w:val="0"/>
          <w:numId w:val="0"/>
        </w:numPr>
        <w:spacing w:line="560" w:lineRule="exact"/>
        <w:ind w:left="885" w:firstLine="806" w:firstLineChars="202"/>
        <w:rPr>
          <w:rFonts w:hint="eastAsia" w:ascii="宋体" w:hAnsi="宋体" w:eastAsia="宋体" w:cs="宋体"/>
          <w:color w:val="auto"/>
          <w:kern w:val="1"/>
          <w:sz w:val="28"/>
          <w:szCs w:val="28"/>
          <w:highlight w:val="none"/>
        </w:rPr>
      </w:pPr>
      <w:bookmarkStart w:id="235" w:name="_Toc134126120"/>
      <w:bookmarkStart w:id="236" w:name="_Toc128128904"/>
      <w:r>
        <w:rPr>
          <w:rFonts w:hint="eastAsia" w:ascii="宋体" w:hAnsi="宋体" w:eastAsia="宋体" w:cs="宋体"/>
          <w:color w:val="auto"/>
          <w:kern w:val="1"/>
          <w:sz w:val="28"/>
          <w:szCs w:val="28"/>
          <w:highlight w:val="none"/>
        </w:rPr>
        <w:t>44．合同解除</w:t>
      </w:r>
      <w:bookmarkEnd w:id="235"/>
      <w:bookmarkEnd w:id="236"/>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44.6通用条款第44.6款仅适用于由于不可抗力或发包人违约或政府原因造成本工程建设项目停建、缓建（非承包人原因）或重大设计变更的情形。</w:t>
      </w:r>
    </w:p>
    <w:p>
      <w:pPr>
        <w:spacing w:line="560" w:lineRule="exact"/>
        <w:ind w:firstLine="565" w:firstLineChars="202"/>
        <w:rPr>
          <w:rFonts w:hint="eastAsia" w:ascii="宋体" w:hAnsi="宋体" w:eastAsia="宋体" w:cs="宋体"/>
          <w:b/>
          <w:color w:val="auto"/>
          <w:kern w:val="1"/>
          <w:sz w:val="28"/>
          <w:szCs w:val="28"/>
          <w:highlight w:val="none"/>
        </w:rPr>
      </w:pPr>
      <w:r>
        <w:rPr>
          <w:rFonts w:hint="eastAsia" w:ascii="宋体" w:hAnsi="宋体" w:eastAsia="宋体" w:cs="宋体"/>
          <w:color w:val="auto"/>
          <w:kern w:val="1"/>
          <w:sz w:val="28"/>
          <w:szCs w:val="28"/>
          <w:highlight w:val="none"/>
        </w:rPr>
        <w:t>在承包人违约的情形下，按以下方式处理：发包人有权单方面解除合同，且合同解除后，承包人须无条件按发包人的要求及时限，无偿妥善做好已完工程和已购材料、设备的保护和移交工作，退还已收取的全部预付款，并自费将自有机械设备和人员撤出施工场地。承包人自负全部人员的工资薪金等全部费用，并保证不得有任何人员及单位以欠薪欠费为由侵占场地，否则对造成承包人不能按期收场的全部责任及损失均由承包人承担。发包人应为承包人撤出提供必要条件，并按合同约定支付已完工程价款。已经订货的材料、设备由承包人负责退货或解除订货合同，不能退还的货款和因退货、解除订货合同发生的费用、因未及时退货造成的损失，均由承包人承担。除此之外，承包人还须赔偿因合同解除给发包人造成的损失。</w:t>
      </w:r>
    </w:p>
    <w:p>
      <w:pPr>
        <w:pStyle w:val="4"/>
        <w:numPr>
          <w:ilvl w:val="0"/>
          <w:numId w:val="0"/>
        </w:numPr>
        <w:spacing w:line="560" w:lineRule="exact"/>
        <w:ind w:left="885" w:firstLine="806" w:firstLineChars="202"/>
        <w:rPr>
          <w:rFonts w:hint="eastAsia" w:ascii="宋体" w:hAnsi="宋体" w:eastAsia="宋体" w:cs="宋体"/>
          <w:b w:val="0"/>
          <w:color w:val="auto"/>
          <w:kern w:val="1"/>
          <w:sz w:val="28"/>
          <w:szCs w:val="28"/>
          <w:highlight w:val="none"/>
        </w:rPr>
      </w:pPr>
      <w:bookmarkStart w:id="237" w:name="_Toc128128905"/>
      <w:bookmarkStart w:id="238" w:name="_Toc134126121"/>
      <w:r>
        <w:rPr>
          <w:rFonts w:hint="eastAsia" w:ascii="宋体" w:hAnsi="宋体" w:eastAsia="宋体" w:cs="宋体"/>
          <w:color w:val="auto"/>
          <w:kern w:val="1"/>
          <w:sz w:val="28"/>
          <w:szCs w:val="28"/>
          <w:highlight w:val="none"/>
        </w:rPr>
        <w:t>47、补充条款</w:t>
      </w:r>
      <w:bookmarkEnd w:id="237"/>
      <w:bookmarkEnd w:id="238"/>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47.1本着施工企业对所承包的工程质量负责到底的精神，承包人自工程竣工验收合格（以取得竣工验收报告为准）之日起对工程质量保修，保修期详见本合同附件1。</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工程竣工验收合格之前，工程的保管责任由承包人负责，工程质量按国务院279号《建筑工程质量管理条例》执行。</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47.2行贿和受贿：在合同执行过程中，承包人如果用行贿、送礼或其他不正当手段企图获得或已经获得额外费用，因承包人的上述行为造成的工程损害、发包人或项目业主的经济损失等，承包人应负一切责任，并予赔偿。情节严重者，发包人有权终止承包人对本合同工程的承包。</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47.3本合同缺陷责任期：2年。</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47.4承包人必须按照《危险性较大的分部分项工程安全管理规定》（住房城乡建设部令第37号）、《广东省住房和城乡建设厅关于房屋市政工程危险性较大的分部分项工程安全管理的实施细则》等最新法律法规要求，严格实施合同内所涉及的危险性较大或超一定规模危险性较大分部分项工程。承包人必须按专项施工方案组织施工，不得擅自修改专项施工方案。费用已包含在本合同总价中，不再另行计量与支付。</w:t>
      </w:r>
    </w:p>
    <w:p>
      <w:pPr>
        <w:spacing w:line="560" w:lineRule="exact"/>
        <w:ind w:firstLine="565" w:firstLineChars="202"/>
        <w:rPr>
          <w:rFonts w:hint="eastAsia" w:ascii="宋体" w:hAnsi="宋体" w:eastAsia="宋体" w:cs="宋体"/>
          <w:color w:val="auto"/>
          <w:sz w:val="28"/>
          <w:szCs w:val="28"/>
          <w:highlight w:val="none"/>
        </w:rPr>
      </w:pPr>
      <w:bookmarkStart w:id="239" w:name="_Hlk132966910"/>
      <w:r>
        <w:rPr>
          <w:rFonts w:hint="eastAsia" w:ascii="宋体" w:hAnsi="宋体" w:eastAsia="宋体" w:cs="宋体"/>
          <w:color w:val="auto"/>
          <w:sz w:val="28"/>
          <w:szCs w:val="28"/>
          <w:highlight w:val="none"/>
        </w:rPr>
        <w:t>47.5</w:t>
      </w:r>
      <w:bookmarkStart w:id="240" w:name="_Hlk132967977"/>
      <w:r>
        <w:rPr>
          <w:rFonts w:hint="eastAsia" w:ascii="宋体" w:hAnsi="宋体" w:eastAsia="宋体" w:cs="宋体"/>
          <w:color w:val="auto"/>
          <w:sz w:val="28"/>
          <w:szCs w:val="28"/>
          <w:highlight w:val="none"/>
        </w:rPr>
        <w:t>承包人需无条件按照发包人发出的设计变更、现场施工指令等进行施工；若承包人拒绝执行，发包人有权委托第三方进行施工；因此支付给第三方的费用以及导致的造价增加费用，发包人有权从本合同价款中扣除。</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47.6</w:t>
      </w:r>
      <w:bookmarkEnd w:id="240"/>
      <w:r>
        <w:rPr>
          <w:rFonts w:hint="eastAsia" w:ascii="宋体" w:hAnsi="宋体" w:eastAsia="宋体" w:cs="宋体"/>
          <w:color w:val="auto"/>
          <w:sz w:val="28"/>
          <w:szCs w:val="28"/>
          <w:highlight w:val="none"/>
        </w:rPr>
        <w:t>所有幕墙与结构及二次结构的层间、竖向缝隙由承包人按相关规范要求进行防火封堵。</w:t>
      </w:r>
    </w:p>
    <w:bookmarkEnd w:id="239"/>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sectPr>
          <w:pgSz w:w="11906" w:h="16838"/>
          <w:pgMar w:top="1361" w:right="1588" w:bottom="1361" w:left="1588" w:header="851" w:footer="851" w:gutter="0"/>
          <w:cols w:space="720" w:num="1"/>
        </w:sectPr>
      </w:pPr>
    </w:p>
    <w:p>
      <w:pPr>
        <w:pStyle w:val="2"/>
        <w:numPr>
          <w:ilvl w:val="0"/>
          <w:numId w:val="0"/>
        </w:numPr>
        <w:spacing w:line="560" w:lineRule="exact"/>
        <w:ind w:left="-2" w:leftChars="-1" w:firstLine="1"/>
        <w:jc w:val="center"/>
        <w:rPr>
          <w:rFonts w:hint="eastAsia" w:ascii="宋体" w:hAnsi="宋体" w:eastAsia="宋体" w:cs="宋体"/>
          <w:b w:val="0"/>
          <w:color w:val="auto"/>
          <w:sz w:val="28"/>
          <w:szCs w:val="28"/>
          <w:highlight w:val="none"/>
        </w:rPr>
      </w:pPr>
      <w:bookmarkStart w:id="241" w:name="_Toc134126122"/>
      <w:bookmarkStart w:id="242" w:name="_Toc128128906"/>
      <w:r>
        <w:rPr>
          <w:rFonts w:hint="eastAsia" w:ascii="宋体" w:hAnsi="宋体" w:eastAsia="宋体" w:cs="宋体"/>
          <w:color w:val="auto"/>
          <w:sz w:val="28"/>
          <w:szCs w:val="28"/>
          <w:highlight w:val="none"/>
        </w:rPr>
        <w:t>第四部分  合同附件</w:t>
      </w:r>
      <w:bookmarkEnd w:id="241"/>
      <w:bookmarkEnd w:id="242"/>
    </w:p>
    <w:p>
      <w:pPr>
        <w:spacing w:line="560" w:lineRule="exact"/>
        <w:ind w:firstLine="568" w:firstLineChars="202"/>
        <w:rPr>
          <w:rFonts w:hint="eastAsia" w:ascii="宋体" w:hAnsi="宋体" w:eastAsia="宋体" w:cs="宋体"/>
          <w:b/>
          <w:color w:val="auto"/>
          <w:sz w:val="28"/>
          <w:szCs w:val="28"/>
          <w:highlight w:val="none"/>
        </w:rPr>
      </w:pP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43" w:name="_Toc128128907"/>
      <w:bookmarkStart w:id="244" w:name="_Toc134126123"/>
      <w:r>
        <w:rPr>
          <w:rFonts w:hint="eastAsia" w:ascii="宋体" w:hAnsi="宋体" w:eastAsia="宋体" w:cs="宋体"/>
          <w:b/>
          <w:color w:val="auto"/>
          <w:kern w:val="1"/>
          <w:szCs w:val="28"/>
          <w:highlight w:val="none"/>
        </w:rPr>
        <w:t>附件1：</w:t>
      </w:r>
      <w:bookmarkEnd w:id="243"/>
      <w:r>
        <w:rPr>
          <w:rFonts w:hint="eastAsia" w:ascii="宋体" w:hAnsi="宋体" w:eastAsia="宋体" w:cs="宋体"/>
          <w:b/>
          <w:color w:val="auto"/>
          <w:kern w:val="1"/>
          <w:szCs w:val="28"/>
          <w:highlight w:val="none"/>
        </w:rPr>
        <w:t>工程质量保修书</w:t>
      </w:r>
      <w:bookmarkEnd w:id="244"/>
    </w:p>
    <w:p>
      <w:pPr>
        <w:spacing w:line="560" w:lineRule="exact"/>
        <w:ind w:firstLine="565" w:firstLineChars="202"/>
        <w:rPr>
          <w:rFonts w:hint="eastAsia" w:ascii="宋体" w:hAnsi="宋体" w:eastAsia="宋体" w:cs="宋体"/>
          <w:color w:val="auto"/>
          <w:kern w:val="1"/>
          <w:sz w:val="28"/>
          <w:szCs w:val="28"/>
          <w:highlight w:val="none"/>
        </w:rPr>
      </w:pPr>
    </w:p>
    <w:p>
      <w:pPr>
        <w:spacing w:line="560" w:lineRule="exact"/>
        <w:rPr>
          <w:rFonts w:hint="eastAsia" w:ascii="宋体" w:hAnsi="宋体" w:eastAsia="宋体" w:cs="宋体"/>
          <w:color w:val="auto"/>
          <w:kern w:val="1"/>
          <w:sz w:val="28"/>
          <w:szCs w:val="28"/>
          <w:highlight w:val="none"/>
          <w:u w:val="single"/>
        </w:rPr>
      </w:pPr>
      <w:r>
        <w:rPr>
          <w:rFonts w:hint="eastAsia" w:ascii="宋体" w:hAnsi="宋体" w:eastAsia="宋体" w:cs="宋体"/>
          <w:color w:val="auto"/>
          <w:kern w:val="1"/>
          <w:sz w:val="28"/>
          <w:szCs w:val="28"/>
          <w:highlight w:val="none"/>
        </w:rPr>
        <w:t>发包人（甲方）：广州新中轴建设有限公司</w:t>
      </w:r>
    </w:p>
    <w:p>
      <w:pPr>
        <w:spacing w:line="560" w:lineRule="exact"/>
        <w:rPr>
          <w:rFonts w:hint="eastAsia" w:ascii="宋体" w:hAnsi="宋体" w:eastAsia="宋体" w:cs="宋体"/>
          <w:color w:val="auto"/>
          <w:kern w:val="1"/>
          <w:sz w:val="28"/>
          <w:szCs w:val="28"/>
          <w:highlight w:val="none"/>
          <w:lang w:eastAsia="zh-CN"/>
        </w:rPr>
      </w:pPr>
      <w:r>
        <w:rPr>
          <w:rFonts w:hint="eastAsia" w:ascii="宋体" w:hAnsi="宋体" w:eastAsia="宋体" w:cs="宋体"/>
          <w:color w:val="auto"/>
          <w:kern w:val="1"/>
          <w:sz w:val="28"/>
          <w:szCs w:val="28"/>
          <w:highlight w:val="none"/>
        </w:rPr>
        <w:t>承包人（乙方）：</w:t>
      </w:r>
    </w:p>
    <w:p>
      <w:pPr>
        <w:spacing w:line="560" w:lineRule="exact"/>
        <w:ind w:firstLine="565" w:firstLineChars="202"/>
        <w:rPr>
          <w:rFonts w:hint="eastAsia" w:ascii="宋体" w:hAnsi="宋体" w:eastAsia="宋体" w:cs="宋体"/>
          <w:color w:val="auto"/>
          <w:kern w:val="1"/>
          <w:sz w:val="28"/>
          <w:szCs w:val="28"/>
          <w:highlight w:val="none"/>
        </w:rPr>
      </w:pP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为保证</w:t>
      </w:r>
      <w:r>
        <w:rPr>
          <w:rFonts w:hint="eastAsia" w:ascii="宋体" w:hAnsi="宋体" w:eastAsia="宋体" w:cs="宋体"/>
          <w:color w:val="auto"/>
          <w:kern w:val="1"/>
          <w:sz w:val="28"/>
          <w:szCs w:val="28"/>
          <w:highlight w:val="none"/>
          <w:u w:val="single"/>
          <w:lang w:eastAsia="zh-CN"/>
        </w:rPr>
        <w:t>广州空港经济区中央商务区会展中心二期项目（标段二）</w:t>
      </w:r>
      <w:r>
        <w:rPr>
          <w:rFonts w:hint="eastAsia" w:ascii="宋体" w:hAnsi="宋体" w:eastAsia="宋体" w:cs="宋体"/>
          <w:color w:val="auto"/>
          <w:kern w:val="1"/>
          <w:sz w:val="28"/>
          <w:szCs w:val="28"/>
          <w:highlight w:val="none"/>
          <w:u w:val="single"/>
        </w:rPr>
        <w:t>幕墙工程施工专业承包</w:t>
      </w:r>
      <w:r>
        <w:rPr>
          <w:rFonts w:hint="eastAsia" w:ascii="宋体" w:hAnsi="宋体" w:eastAsia="宋体" w:cs="宋体"/>
          <w:color w:val="auto"/>
          <w:kern w:val="1"/>
          <w:sz w:val="28"/>
          <w:szCs w:val="28"/>
          <w:highlight w:val="none"/>
        </w:rPr>
        <w:t>工程在合理使用期限内正常使用，发包人、承包人协商一致签订工程质量保修书。承包人在质量保修期内按照有关管理规定及双方约定承担工程质量保修责任。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一、工程质量保修范围和内容</w:t>
      </w:r>
    </w:p>
    <w:p>
      <w:pPr>
        <w:spacing w:line="560" w:lineRule="exact"/>
        <w:ind w:firstLine="565" w:firstLineChars="202"/>
        <w:rPr>
          <w:rFonts w:hint="eastAsia" w:ascii="宋体" w:hAnsi="宋体" w:eastAsia="宋体" w:cs="宋体"/>
          <w:color w:val="auto"/>
          <w:kern w:val="28"/>
          <w:sz w:val="28"/>
          <w:szCs w:val="28"/>
          <w:highlight w:val="none"/>
        </w:rPr>
      </w:pPr>
      <w:r>
        <w:rPr>
          <w:rFonts w:hint="eastAsia" w:ascii="宋体" w:hAnsi="宋体" w:eastAsia="宋体" w:cs="宋体"/>
          <w:color w:val="auto"/>
          <w:kern w:val="28"/>
          <w:sz w:val="28"/>
          <w:szCs w:val="28"/>
          <w:highlight w:val="none"/>
        </w:rPr>
        <w:t>承包人在质量保修期内，按照《建设工程质量管理条例》和双方约定，承包人承担本施工合同约定的所有承包范围内的工程质量保修责任。具体保修的内容按工程竣工图执行。</w:t>
      </w:r>
    </w:p>
    <w:p>
      <w:pPr>
        <w:spacing w:line="560" w:lineRule="exact"/>
        <w:ind w:firstLine="565" w:firstLineChars="202"/>
        <w:rPr>
          <w:rFonts w:hint="eastAsia" w:ascii="宋体" w:hAnsi="宋体" w:eastAsia="宋体" w:cs="宋体"/>
          <w:color w:val="auto"/>
          <w:kern w:val="28"/>
          <w:sz w:val="28"/>
          <w:szCs w:val="28"/>
          <w:highlight w:val="none"/>
        </w:rPr>
      </w:pPr>
      <w:r>
        <w:rPr>
          <w:rFonts w:hint="eastAsia" w:ascii="宋体" w:hAnsi="宋体" w:eastAsia="宋体" w:cs="宋体"/>
          <w:color w:val="auto"/>
          <w:kern w:val="28"/>
          <w:sz w:val="28"/>
          <w:szCs w:val="28"/>
          <w:highlight w:val="none"/>
        </w:rPr>
        <w:t>凡属于承包人原因造成的各部位的质量问题或缺陷，以及由于承包人维修造成业主的相关损失，均属保修责任范围。不属于承包人责任的，承包人应配合维修，费用由责任方承担。非承包人原因造成的原已建完部分的结构工程的质量保修工作由发包人、承包人双方协商解决。</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二、质量保修期</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质量保修期以工程最终验收备案通过并正式移交项目业主且双方在移交书上签字之日起开始计算保修期。各专业工程保修期限如下，且不低于政府相关保修法规的要求，以两者较长的保修期为准：</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（1）基础设施工程、房屋建筑工程的地基基础和主体结构工程，为国家规定的合理使用年限。</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（2）屋面防水工程、地下室防水工程、卫生间、厨房、阳台和外墙面（含墙体及门窗）的防渗漏（包括台风、暴雨等自然条件下的影响）、有防水要求的管道封堵防渗漏工程，为5年。</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（3）外墙保温、涂料、面砖等，为2年。</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（4）电气管线、给排水管道、智能化系统、设备安装和装修工程，为2年。</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（5）住宅小区内的给排水设施、道路等配套工程，为2年。</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（6）制供冷及供热系统为2个供冷期、采暖期，以实际供冷、供热年份开始计算。</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（7）门窗保修期为2年</w:t>
      </w:r>
      <w:bookmarkStart w:id="245" w:name="_Hlk132979467"/>
      <w:r>
        <w:rPr>
          <w:rFonts w:hint="eastAsia" w:ascii="宋体" w:hAnsi="宋体" w:eastAsia="宋体" w:cs="宋体"/>
          <w:color w:val="auto"/>
          <w:kern w:val="1"/>
          <w:sz w:val="28"/>
          <w:szCs w:val="28"/>
          <w:highlight w:val="none"/>
        </w:rPr>
        <w:t>（门窗防水工程为5年）</w:t>
      </w:r>
      <w:bookmarkEnd w:id="245"/>
      <w:r>
        <w:rPr>
          <w:rFonts w:hint="eastAsia" w:ascii="宋体" w:hAnsi="宋体" w:eastAsia="宋体" w:cs="宋体"/>
          <w:color w:val="auto"/>
          <w:kern w:val="1"/>
          <w:sz w:val="28"/>
          <w:szCs w:val="28"/>
          <w:highlight w:val="none"/>
        </w:rPr>
        <w:t>，幕墙保修3年</w:t>
      </w:r>
      <w:bookmarkStart w:id="246" w:name="_Hlk132979496"/>
      <w:r>
        <w:rPr>
          <w:rFonts w:hint="eastAsia" w:ascii="宋体" w:hAnsi="宋体" w:eastAsia="宋体" w:cs="宋体"/>
          <w:color w:val="auto"/>
          <w:kern w:val="1"/>
          <w:sz w:val="28"/>
          <w:szCs w:val="28"/>
          <w:highlight w:val="none"/>
        </w:rPr>
        <w:t>（幕墙防水工程为5年）</w:t>
      </w:r>
      <w:bookmarkEnd w:id="246"/>
      <w:r>
        <w:rPr>
          <w:rFonts w:hint="eastAsia" w:ascii="宋体" w:hAnsi="宋体" w:eastAsia="宋体" w:cs="宋体"/>
          <w:color w:val="auto"/>
          <w:kern w:val="1"/>
          <w:sz w:val="28"/>
          <w:szCs w:val="28"/>
          <w:highlight w:val="none"/>
        </w:rPr>
        <w:t>。</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（8）其他项目的免费保修期均为2年。</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三、质量保修责任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（1）保修期起始3个月内，承包人保证安排足够的维修人员和管理人员（以符合现场需要和发包人要求为准）常驻现场，负责维修工作，并在接到发包人通知后1小时内赶赴现场。</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（2）保修期起始3个月后，如承包人认为工程遗留质量问题不多，可向发包人提出书面申请并征得发包人同意后撤出驻现场维修队伍，但承包人须保证在接到发包人通知24小时内赶到现场进行维修。</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（3）发生紧急抢修事故的，承包人在接到事故通知后，应当立即到达事故现场抢修。非承包人施工质量引起的事故，抢修费用由发包人承担。</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（4）如承包人出现下述任何情况之一的，发包人可另行委托维修单位进行维修，保修费用从质量保修金内扣除。承包人承诺不对发包人核算的维修单价或维修工程量提出异议。</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a、承包人提供的联系方式，不能联系到保修负责人的；</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b、接到维修通知后承包人未在规定时间到场维修的；</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c、承包人拒不到现场处理的；</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d、施工工艺达不到规范要求的；</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e、承包人拒不执行发包人要求的维修方案的；</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f、同一位置经过一次维修仍未彻底解决问题的；</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g、因维修人员服务不当行为造成客户强烈投诉；</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h、严重违反发包人管理要求的；</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i、特殊紧急情况（因承包人施工质量问题导致爆水管、煤气泄漏等可能危及业主生活安全的）。</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（5）在本合同保修书约定的工程合理使用期限内，因承包人原因致使工程在合理使用期限内造成人身和财产损害的，承包人应承担损害赔偿责任。</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四、质量保修金的支付</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本工程约定的工程质量保修金为结算终审价的3％，不计利息。</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五、质量保修金的返还</w:t>
      </w:r>
    </w:p>
    <w:p>
      <w:pPr>
        <w:spacing w:line="560" w:lineRule="exact"/>
        <w:ind w:firstLine="549" w:firstLineChars="202"/>
        <w:rPr>
          <w:rFonts w:hint="eastAsia" w:ascii="宋体" w:hAnsi="宋体" w:eastAsia="宋体" w:cs="宋体"/>
          <w:color w:val="auto"/>
          <w:spacing w:val="-4"/>
          <w:kern w:val="1"/>
          <w:sz w:val="28"/>
          <w:szCs w:val="28"/>
          <w:highlight w:val="none"/>
        </w:rPr>
      </w:pPr>
      <w:r>
        <w:rPr>
          <w:rFonts w:hint="eastAsia" w:ascii="宋体" w:hAnsi="宋体" w:eastAsia="宋体" w:cs="宋体"/>
          <w:color w:val="auto"/>
          <w:spacing w:val="-4"/>
          <w:kern w:val="1"/>
          <w:sz w:val="28"/>
          <w:szCs w:val="28"/>
          <w:highlight w:val="none"/>
        </w:rPr>
        <w:t>缺陷责任期满并取得发包人及监理单位确认后支付工程质量保修金的70%，按《建设工程质量管理条例》规定防水工程保修期满并取得发包人及监理单位确认后支付工程质量保修金尾款。</w:t>
      </w:r>
    </w:p>
    <w:p>
      <w:pPr>
        <w:spacing w:line="560" w:lineRule="exact"/>
        <w:ind w:firstLine="565" w:firstLineChars="202"/>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六、其他</w:t>
      </w:r>
    </w:p>
    <w:p>
      <w:pPr>
        <w:spacing w:line="560" w:lineRule="exact"/>
        <w:ind w:firstLine="565" w:firstLineChars="202"/>
        <w:rPr>
          <w:rFonts w:hint="eastAsia" w:ascii="宋体" w:hAnsi="宋体" w:eastAsia="宋体" w:cs="宋体"/>
          <w:color w:val="auto"/>
          <w:kern w:val="1"/>
          <w:sz w:val="28"/>
          <w:szCs w:val="28"/>
          <w:highlight w:val="none"/>
          <w:u w:val="single"/>
        </w:rPr>
      </w:pPr>
      <w:r>
        <w:rPr>
          <w:rFonts w:hint="eastAsia" w:ascii="宋体" w:hAnsi="宋体" w:eastAsia="宋体" w:cs="宋体"/>
          <w:color w:val="auto"/>
          <w:kern w:val="1"/>
          <w:sz w:val="28"/>
          <w:szCs w:val="28"/>
          <w:highlight w:val="none"/>
        </w:rPr>
        <w:t>双方约定的其他质量保修事项：</w:t>
      </w:r>
      <w:r>
        <w:rPr>
          <w:rFonts w:hint="eastAsia" w:ascii="宋体" w:hAnsi="宋体" w:eastAsia="宋体" w:cs="宋体"/>
          <w:color w:val="auto"/>
          <w:kern w:val="1"/>
          <w:sz w:val="28"/>
          <w:szCs w:val="28"/>
          <w:highlight w:val="none"/>
          <w:u w:val="single"/>
        </w:rPr>
        <w:t>无。</w:t>
      </w:r>
    </w:p>
    <w:p>
      <w:pPr>
        <w:spacing w:line="560" w:lineRule="exact"/>
        <w:ind w:firstLine="549" w:firstLineChars="202"/>
        <w:rPr>
          <w:rFonts w:hint="eastAsia" w:ascii="宋体" w:hAnsi="宋体" w:eastAsia="宋体" w:cs="宋体"/>
          <w:color w:val="auto"/>
          <w:spacing w:val="-4"/>
          <w:kern w:val="1"/>
          <w:sz w:val="28"/>
          <w:szCs w:val="28"/>
          <w:highlight w:val="none"/>
        </w:rPr>
      </w:pPr>
      <w:r>
        <w:rPr>
          <w:rFonts w:hint="eastAsia" w:ascii="宋体" w:hAnsi="宋体" w:eastAsia="宋体" w:cs="宋体"/>
          <w:color w:val="auto"/>
          <w:spacing w:val="-4"/>
          <w:kern w:val="1"/>
          <w:sz w:val="28"/>
          <w:szCs w:val="28"/>
          <w:highlight w:val="none"/>
        </w:rPr>
        <w:t>本工程质量保修书作为合同附件，由发包人、承包人双方共同签署。</w:t>
      </w:r>
    </w:p>
    <w:p>
      <w:pPr>
        <w:spacing w:line="560" w:lineRule="exact"/>
        <w:rPr>
          <w:rFonts w:hint="eastAsia" w:ascii="宋体" w:hAnsi="宋体" w:eastAsia="宋体" w:cs="宋体"/>
          <w:color w:val="auto"/>
          <w:kern w:val="1"/>
          <w:sz w:val="28"/>
          <w:szCs w:val="28"/>
          <w:highlight w:val="none"/>
        </w:rPr>
      </w:pPr>
    </w:p>
    <w:p>
      <w:pPr>
        <w:spacing w:line="560" w:lineRule="exact"/>
        <w:rPr>
          <w:rFonts w:hint="eastAsia" w:ascii="宋体" w:hAnsi="宋体" w:eastAsia="宋体" w:cs="宋体"/>
          <w:color w:val="auto"/>
          <w:kern w:val="1"/>
          <w:sz w:val="28"/>
          <w:szCs w:val="28"/>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甲方：广州新中轴建设有限公司</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（盖章）</w:t>
            </w:r>
          </w:p>
          <w:p>
            <w:pPr>
              <w:spacing w:line="560" w:lineRule="exact"/>
              <w:rPr>
                <w:rFonts w:hint="eastAsia" w:ascii="宋体" w:hAnsi="宋体" w:eastAsia="宋体" w:cs="宋体"/>
                <w:color w:val="auto"/>
                <w:kern w:val="2"/>
                <w:sz w:val="28"/>
                <w:szCs w:val="28"/>
                <w:highlight w:val="none"/>
              </w:rPr>
            </w:pPr>
          </w:p>
          <w:p>
            <w:pPr>
              <w:spacing w:line="560" w:lineRule="exact"/>
              <w:rPr>
                <w:rFonts w:hint="eastAsia" w:ascii="宋体" w:hAnsi="宋体" w:eastAsia="宋体" w:cs="宋体"/>
                <w:color w:val="auto"/>
                <w:kern w:val="2"/>
                <w:sz w:val="28"/>
                <w:szCs w:val="28"/>
                <w:highlight w:val="none"/>
              </w:rPr>
            </w:pPr>
          </w:p>
        </w:tc>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乙方：（盖章）</w:t>
            </w:r>
          </w:p>
          <w:p>
            <w:pPr>
              <w:spacing w:line="560" w:lineRule="exact"/>
              <w:rPr>
                <w:rFonts w:hint="eastAsia" w:ascii="宋体" w:hAnsi="宋体" w:eastAsia="宋体" w:cs="宋体"/>
                <w:color w:val="auto"/>
                <w:kern w:val="2"/>
                <w:sz w:val="28"/>
                <w:szCs w:val="28"/>
                <w:highlight w:val="none"/>
              </w:rPr>
            </w:pPr>
          </w:p>
          <w:p>
            <w:pPr>
              <w:spacing w:line="560" w:lineRule="exact"/>
              <w:rPr>
                <w:rFonts w:hint="eastAsia" w:ascii="宋体" w:hAnsi="宋体" w:eastAsia="宋体" w:cs="宋体"/>
                <w:color w:val="auto"/>
                <w:kern w:val="2"/>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560" w:lineRule="exact"/>
              <w:rPr>
                <w:rFonts w:hint="eastAsia" w:ascii="宋体" w:hAnsi="宋体" w:eastAsia="宋体" w:cs="宋体"/>
                <w:color w:val="auto"/>
                <w:kern w:val="2"/>
                <w:sz w:val="28"/>
                <w:szCs w:val="28"/>
                <w:highlight w:val="none"/>
              </w:rPr>
            </w:pPr>
            <w:bookmarkStart w:id="247" w:name="_Hlk126158332"/>
            <w:r>
              <w:rPr>
                <w:rFonts w:hint="eastAsia" w:ascii="宋体" w:hAnsi="宋体" w:eastAsia="宋体" w:cs="宋体"/>
                <w:color w:val="auto"/>
                <w:kern w:val="2"/>
                <w:sz w:val="28"/>
                <w:szCs w:val="28"/>
                <w:highlight w:val="none"/>
              </w:rPr>
              <w:t>法定代表人</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或授权代理人：</w:t>
            </w:r>
            <w:bookmarkEnd w:id="247"/>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（签字）</w:t>
            </w:r>
          </w:p>
          <w:p>
            <w:pPr>
              <w:spacing w:line="560" w:lineRule="exact"/>
              <w:rPr>
                <w:rFonts w:hint="eastAsia" w:ascii="宋体" w:hAnsi="宋体" w:eastAsia="宋体" w:cs="宋体"/>
                <w:color w:val="auto"/>
                <w:kern w:val="2"/>
                <w:sz w:val="28"/>
                <w:szCs w:val="28"/>
                <w:highlight w:val="none"/>
              </w:rPr>
            </w:pPr>
          </w:p>
        </w:tc>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或授权代理人：</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（签字）</w:t>
            </w:r>
          </w:p>
          <w:p>
            <w:pPr>
              <w:spacing w:line="560" w:lineRule="exact"/>
              <w:rPr>
                <w:rFonts w:hint="eastAsia" w:ascii="宋体" w:hAnsi="宋体" w:eastAsia="宋体" w:cs="宋体"/>
                <w:color w:val="auto"/>
                <w:kern w:val="2"/>
                <w:sz w:val="28"/>
                <w:szCs w:val="28"/>
                <w:highlight w:val="none"/>
              </w:rPr>
            </w:pPr>
          </w:p>
        </w:tc>
      </w:tr>
    </w:tbl>
    <w:p>
      <w:pPr>
        <w:spacing w:line="560" w:lineRule="exact"/>
        <w:ind w:firstLine="568" w:firstLineChars="202"/>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48" w:name="_Toc128128909"/>
      <w:bookmarkStart w:id="249" w:name="_Toc134126124"/>
      <w:r>
        <w:rPr>
          <w:rFonts w:hint="eastAsia" w:ascii="宋体" w:hAnsi="宋体" w:eastAsia="宋体" w:cs="宋体"/>
          <w:b/>
          <w:color w:val="auto"/>
          <w:kern w:val="1"/>
          <w:szCs w:val="28"/>
          <w:highlight w:val="none"/>
        </w:rPr>
        <w:t>附件2：</w:t>
      </w:r>
      <w:bookmarkEnd w:id="248"/>
      <w:r>
        <w:rPr>
          <w:rFonts w:hint="eastAsia" w:ascii="宋体" w:hAnsi="宋体" w:eastAsia="宋体" w:cs="宋体"/>
          <w:b/>
          <w:color w:val="auto"/>
          <w:kern w:val="1"/>
          <w:szCs w:val="28"/>
          <w:highlight w:val="none"/>
        </w:rPr>
        <w:t>履约保函（格式）</w:t>
      </w:r>
      <w:bookmarkEnd w:id="249"/>
    </w:p>
    <w:p>
      <w:pPr>
        <w:spacing w:line="560" w:lineRule="exact"/>
        <w:ind w:firstLine="565" w:firstLineChars="202"/>
        <w:rPr>
          <w:rFonts w:hint="eastAsia" w:ascii="宋体" w:hAnsi="宋体" w:eastAsia="宋体" w:cs="宋体"/>
          <w:color w:val="auto"/>
          <w:kern w:val="1"/>
          <w:sz w:val="28"/>
          <w:szCs w:val="28"/>
          <w:highlight w:val="none"/>
        </w:rPr>
      </w:pPr>
    </w:p>
    <w:p>
      <w:pPr>
        <w:spacing w:line="560" w:lineRule="exact"/>
        <w:ind w:firstLine="565" w:firstLineChars="202"/>
        <w:rPr>
          <w:rFonts w:hint="eastAsia" w:ascii="宋体" w:hAnsi="宋体" w:eastAsia="宋体" w:cs="宋体"/>
          <w:color w:val="auto"/>
          <w:kern w:val="1"/>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50" w:name="_Toc128128911"/>
      <w:bookmarkStart w:id="251" w:name="_Toc134126125"/>
      <w:r>
        <w:rPr>
          <w:rFonts w:hint="eastAsia" w:ascii="宋体" w:hAnsi="宋体" w:eastAsia="宋体" w:cs="宋体"/>
          <w:b/>
          <w:color w:val="auto"/>
          <w:kern w:val="1"/>
          <w:szCs w:val="28"/>
          <w:highlight w:val="none"/>
        </w:rPr>
        <w:t>附件3：</w:t>
      </w:r>
      <w:bookmarkEnd w:id="250"/>
      <w:r>
        <w:rPr>
          <w:rFonts w:hint="eastAsia" w:ascii="宋体" w:hAnsi="宋体" w:eastAsia="宋体" w:cs="宋体"/>
          <w:b/>
          <w:color w:val="auto"/>
          <w:kern w:val="1"/>
          <w:szCs w:val="28"/>
          <w:highlight w:val="none"/>
        </w:rPr>
        <w:t>承包人提供主要材料和工程设备一览表</w:t>
      </w:r>
      <w:bookmarkEnd w:id="251"/>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8" w:firstLineChars="20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（另册）</w:t>
      </w: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52" w:name="_Toc128128913"/>
      <w:bookmarkStart w:id="253" w:name="_Toc134126126"/>
      <w:r>
        <w:rPr>
          <w:rFonts w:hint="eastAsia" w:ascii="宋体" w:hAnsi="宋体" w:eastAsia="宋体" w:cs="宋体"/>
          <w:b/>
          <w:color w:val="auto"/>
          <w:kern w:val="1"/>
          <w:szCs w:val="28"/>
          <w:highlight w:val="none"/>
        </w:rPr>
        <w:t>附件4：</w:t>
      </w:r>
      <w:bookmarkEnd w:id="252"/>
      <w:r>
        <w:rPr>
          <w:rFonts w:hint="eastAsia" w:ascii="宋体" w:hAnsi="宋体" w:eastAsia="宋体" w:cs="宋体"/>
          <w:b/>
          <w:color w:val="auto"/>
          <w:kern w:val="1"/>
          <w:szCs w:val="28"/>
          <w:highlight w:val="none"/>
        </w:rPr>
        <w:t>项目管理机构人员配备</w:t>
      </w:r>
      <w:bookmarkEnd w:id="253"/>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5" w:firstLineChars="202"/>
        <w:rPr>
          <w:rFonts w:hint="eastAsia" w:ascii="宋体" w:hAnsi="宋体" w:eastAsia="宋体" w:cs="宋体"/>
          <w:color w:val="auto"/>
          <w:kern w:val="1"/>
          <w:sz w:val="28"/>
          <w:szCs w:val="28"/>
          <w:highlight w:val="none"/>
        </w:rPr>
      </w:pPr>
      <w:bookmarkStart w:id="254" w:name="_Hlk132980068"/>
      <w:r>
        <w:rPr>
          <w:rFonts w:hint="eastAsia" w:ascii="宋体" w:hAnsi="宋体" w:eastAsia="宋体" w:cs="宋体"/>
          <w:color w:val="auto"/>
          <w:kern w:val="1"/>
          <w:sz w:val="28"/>
          <w:szCs w:val="28"/>
          <w:highlight w:val="none"/>
        </w:rPr>
        <w:t>承包人主要管理团队人员应通过发包人面试，不满足要求的，发包人有权利要求更换；同时承包人应指定一名公司高层管理人员作为本合同的总协调人。</w:t>
      </w:r>
      <w:bookmarkEnd w:id="254"/>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55" w:name="_Toc128128915"/>
      <w:bookmarkStart w:id="256" w:name="_Toc134126127"/>
      <w:r>
        <w:rPr>
          <w:rFonts w:hint="eastAsia" w:ascii="宋体" w:hAnsi="宋体" w:eastAsia="宋体" w:cs="宋体"/>
          <w:b/>
          <w:color w:val="auto"/>
          <w:kern w:val="1"/>
          <w:szCs w:val="28"/>
          <w:highlight w:val="none"/>
        </w:rPr>
        <w:t>附件5：</w:t>
      </w:r>
      <w:bookmarkEnd w:id="255"/>
      <w:r>
        <w:rPr>
          <w:rFonts w:hint="eastAsia" w:ascii="宋体" w:hAnsi="宋体" w:eastAsia="宋体" w:cs="宋体"/>
          <w:b/>
          <w:color w:val="auto"/>
          <w:kern w:val="1"/>
          <w:szCs w:val="28"/>
          <w:highlight w:val="none"/>
        </w:rPr>
        <w:t>安全生产协议</w:t>
      </w:r>
      <w:bookmarkEnd w:id="256"/>
    </w:p>
    <w:p>
      <w:pPr>
        <w:spacing w:line="560" w:lineRule="exact"/>
        <w:rPr>
          <w:rFonts w:hint="eastAsia" w:ascii="宋体" w:hAnsi="宋体" w:eastAsia="宋体" w:cs="宋体"/>
          <w:color w:val="auto"/>
          <w:kern w:val="1"/>
          <w:sz w:val="28"/>
          <w:szCs w:val="28"/>
          <w:highlight w:val="none"/>
          <w:u w:val="single"/>
        </w:rPr>
      </w:pPr>
      <w:r>
        <w:rPr>
          <w:rFonts w:hint="eastAsia" w:ascii="宋体" w:hAnsi="宋体" w:eastAsia="宋体" w:cs="宋体"/>
          <w:color w:val="auto"/>
          <w:kern w:val="1"/>
          <w:sz w:val="28"/>
          <w:szCs w:val="28"/>
          <w:highlight w:val="none"/>
        </w:rPr>
        <w:t>发包人（甲方）：广州新中轴建设有限公司</w:t>
      </w:r>
    </w:p>
    <w:p>
      <w:pPr>
        <w:spacing w:line="560" w:lineRule="exact"/>
        <w:rPr>
          <w:rFonts w:hint="eastAsia" w:ascii="宋体" w:hAnsi="宋体" w:eastAsia="宋体" w:cs="宋体"/>
          <w:color w:val="auto"/>
          <w:kern w:val="1"/>
          <w:sz w:val="28"/>
          <w:szCs w:val="28"/>
          <w:highlight w:val="none"/>
          <w:lang w:eastAsia="zh-CN"/>
        </w:rPr>
      </w:pPr>
      <w:r>
        <w:rPr>
          <w:rFonts w:hint="eastAsia" w:ascii="宋体" w:hAnsi="宋体" w:eastAsia="宋体" w:cs="宋体"/>
          <w:color w:val="auto"/>
          <w:kern w:val="1"/>
          <w:sz w:val="28"/>
          <w:szCs w:val="28"/>
          <w:highlight w:val="none"/>
        </w:rPr>
        <w:t>承包人（乙方）：</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为在</w:t>
      </w:r>
      <w:r>
        <w:rPr>
          <w:rFonts w:hint="eastAsia" w:ascii="宋体" w:hAnsi="宋体" w:eastAsia="宋体" w:cs="宋体"/>
          <w:color w:val="auto"/>
          <w:sz w:val="28"/>
          <w:szCs w:val="28"/>
          <w:highlight w:val="none"/>
          <w:u w:val="single"/>
          <w:lang w:eastAsia="zh-CN"/>
        </w:rPr>
        <w:t>广州空港经济区中央商务区会展中心二期项目（标段二）</w:t>
      </w:r>
      <w:r>
        <w:rPr>
          <w:rFonts w:hint="eastAsia" w:ascii="宋体" w:hAnsi="宋体" w:eastAsia="宋体" w:cs="宋体"/>
          <w:color w:val="auto"/>
          <w:sz w:val="28"/>
          <w:szCs w:val="28"/>
          <w:highlight w:val="none"/>
          <w:u w:val="single"/>
        </w:rPr>
        <w:t>幕墙工程施工专业承包合同</w:t>
      </w:r>
      <w:r>
        <w:rPr>
          <w:rFonts w:hint="eastAsia" w:ascii="宋体" w:hAnsi="宋体" w:eastAsia="宋体" w:cs="宋体"/>
          <w:color w:val="auto"/>
          <w:sz w:val="28"/>
          <w:szCs w:val="28"/>
          <w:highlight w:val="none"/>
        </w:rPr>
        <w:t>的实施过程中创造安全、高效的施工环境，切实搞好本项目的安全管理工作，发包人与承包人，特此签订安全生产协议：</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1、发包人职责</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严格遵守国家有关安全生产的法律法规，认真执行工程承包合同中的有关安全要求。</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按照“安全第一、预防为主”和坚持“管生产必须管安全”的原则进行安全生产管理，做到生产和安全工作同时计划、布置、检查、总结和评比。</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 重要的安全设施必须坚持与主体工程“三同时”的原则，即：同时设计、审批，同时施工，同时验收，投入使用。</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 定期召开安全生产调度会，及时传达中央及地方有关安全生产的精神。</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 组织对承包人施工现场安全生产检查，监督承包人及时处理发现的各种安全隐患。</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2、承包人职责</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严格遵守国家有关安全生产的法律法规，认真执行工程承包合同中的有关安全要求。</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 承包人在任何时候都应采取各种合理的预防措施，防止其员工发生任何违法、违禁、暴力或妨碍治安的行为。</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对于易燃易爆的材料除应专门妥善保管之外，还应配备足够的消防设施，所有施工人员都应熟悉消防设备的性能和使用方法；承包人不得将任何种类的爆炸物给予、易货或以其他方式转让给任何其他人，或允许、容忍上述同样行为。</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2.7 操作人员上岗，必须按规定穿戴防护用品。施工负责人和安全检查员应随时检查劳动防护用品的穿戴情况，不按规定穿戴防护用品的人员不得上岗。</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 所有施工机具设备和高空作业的设备均应定期检查，并有安全员的签字记录，保证其经常处于完好状态；不合格的机具、设备和劳动保护用品严禁使用。</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2.9施工中采用新技术、新工艺、新设备、新材料时，必须制定相应的安全技术措施，施工现场必须具有相关的安全标志牌。</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3、违约责任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如因发包人或承包人违约造成安全事故，将依法追究责任。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4、本协议由双方法定代表人或其授权代理人签署与加盖公章后生效，全部工程竣工验收后失效。</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5、本安全生产协议的有效期与施工合同的有效期相同。</w:t>
      </w:r>
    </w:p>
    <w:p>
      <w:pPr>
        <w:spacing w:line="560" w:lineRule="exact"/>
        <w:rPr>
          <w:rFonts w:hint="eastAsia" w:ascii="宋体" w:hAnsi="宋体" w:eastAsia="宋体" w:cs="宋体"/>
          <w:color w:val="auto"/>
          <w:kern w:val="1"/>
          <w:sz w:val="28"/>
          <w:szCs w:val="28"/>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甲方：广州新中轴建设有限公司</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（盖章）</w:t>
            </w:r>
          </w:p>
          <w:p>
            <w:pPr>
              <w:spacing w:line="560" w:lineRule="exact"/>
              <w:rPr>
                <w:rFonts w:hint="eastAsia" w:ascii="宋体" w:hAnsi="宋体" w:eastAsia="宋体" w:cs="宋体"/>
                <w:color w:val="auto"/>
                <w:kern w:val="2"/>
                <w:sz w:val="28"/>
                <w:szCs w:val="28"/>
                <w:highlight w:val="none"/>
              </w:rPr>
            </w:pPr>
          </w:p>
          <w:p>
            <w:pPr>
              <w:spacing w:line="560" w:lineRule="exact"/>
              <w:rPr>
                <w:rFonts w:hint="eastAsia" w:ascii="宋体" w:hAnsi="宋体" w:eastAsia="宋体" w:cs="宋体"/>
                <w:color w:val="auto"/>
                <w:kern w:val="2"/>
                <w:sz w:val="28"/>
                <w:szCs w:val="28"/>
                <w:highlight w:val="none"/>
              </w:rPr>
            </w:pPr>
          </w:p>
        </w:tc>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乙方：（盖章）</w:t>
            </w:r>
          </w:p>
          <w:p>
            <w:pPr>
              <w:spacing w:line="560" w:lineRule="exact"/>
              <w:rPr>
                <w:rFonts w:hint="eastAsia" w:ascii="宋体" w:hAnsi="宋体" w:eastAsia="宋体" w:cs="宋体"/>
                <w:color w:val="auto"/>
                <w:kern w:val="2"/>
                <w:sz w:val="28"/>
                <w:szCs w:val="28"/>
                <w:highlight w:val="none"/>
              </w:rPr>
            </w:pPr>
          </w:p>
          <w:p>
            <w:pPr>
              <w:spacing w:line="560" w:lineRule="exact"/>
              <w:rPr>
                <w:rFonts w:hint="eastAsia" w:ascii="宋体" w:hAnsi="宋体" w:eastAsia="宋体" w:cs="宋体"/>
                <w:color w:val="auto"/>
                <w:kern w:val="2"/>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或授权代理人：</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（签字）</w:t>
            </w:r>
          </w:p>
          <w:p>
            <w:pPr>
              <w:spacing w:line="560" w:lineRule="exact"/>
              <w:rPr>
                <w:rFonts w:hint="eastAsia" w:ascii="宋体" w:hAnsi="宋体" w:eastAsia="宋体" w:cs="宋体"/>
                <w:color w:val="auto"/>
                <w:kern w:val="2"/>
                <w:sz w:val="28"/>
                <w:szCs w:val="28"/>
                <w:highlight w:val="none"/>
              </w:rPr>
            </w:pPr>
          </w:p>
        </w:tc>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或授权代理人：</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（签字）</w:t>
            </w:r>
          </w:p>
          <w:p>
            <w:pPr>
              <w:spacing w:line="560" w:lineRule="exact"/>
              <w:rPr>
                <w:rFonts w:hint="eastAsia" w:ascii="宋体" w:hAnsi="宋体" w:eastAsia="宋体" w:cs="宋体"/>
                <w:color w:val="auto"/>
                <w:kern w:val="2"/>
                <w:sz w:val="28"/>
                <w:szCs w:val="28"/>
                <w:highlight w:val="none"/>
              </w:rPr>
            </w:pPr>
          </w:p>
        </w:tc>
      </w:tr>
    </w:tbl>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57" w:name="_Toc128128917"/>
      <w:bookmarkStart w:id="258" w:name="_Toc134126128"/>
      <w:r>
        <w:rPr>
          <w:rFonts w:hint="eastAsia" w:ascii="宋体" w:hAnsi="宋体" w:eastAsia="宋体" w:cs="宋体"/>
          <w:b/>
          <w:color w:val="auto"/>
          <w:kern w:val="1"/>
          <w:szCs w:val="28"/>
          <w:highlight w:val="none"/>
        </w:rPr>
        <w:t>附件6：</w:t>
      </w:r>
      <w:bookmarkEnd w:id="257"/>
      <w:r>
        <w:rPr>
          <w:rFonts w:hint="eastAsia" w:ascii="宋体" w:hAnsi="宋体" w:eastAsia="宋体" w:cs="宋体"/>
          <w:b/>
          <w:color w:val="auto"/>
          <w:kern w:val="1"/>
          <w:szCs w:val="28"/>
          <w:highlight w:val="none"/>
        </w:rPr>
        <w:t>廉政协议</w:t>
      </w:r>
      <w:bookmarkEnd w:id="258"/>
    </w:p>
    <w:p>
      <w:pPr>
        <w:spacing w:line="560" w:lineRule="exact"/>
        <w:ind w:firstLine="565" w:firstLineChars="202"/>
        <w:rPr>
          <w:rFonts w:hint="eastAsia" w:ascii="宋体" w:hAnsi="宋体" w:eastAsia="宋体" w:cs="宋体"/>
          <w:color w:val="auto"/>
          <w:sz w:val="28"/>
          <w:szCs w:val="28"/>
          <w:highlight w:val="none"/>
        </w:rPr>
      </w:pPr>
      <w:bookmarkStart w:id="259" w:name="_Hlk96615143"/>
    </w:p>
    <w:p>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甲方：广州新中轴建设有限公司</w:t>
      </w:r>
    </w:p>
    <w:p>
      <w:pPr>
        <w:spacing w:line="56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乙方：</w:t>
      </w: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根据国家、省、市有关廉政建设的规定，为做好</w:t>
      </w:r>
      <w:r>
        <w:rPr>
          <w:rFonts w:hint="eastAsia" w:ascii="宋体" w:hAnsi="宋体" w:eastAsia="宋体" w:cs="宋体"/>
          <w:color w:val="auto"/>
          <w:sz w:val="28"/>
          <w:szCs w:val="28"/>
          <w:highlight w:val="none"/>
          <w:u w:val="single"/>
          <w:lang w:eastAsia="zh-CN"/>
        </w:rPr>
        <w:t>广州空港经济区中央商务区会展中心二期项目（标段二）</w:t>
      </w:r>
      <w:r>
        <w:rPr>
          <w:rFonts w:hint="eastAsia" w:ascii="宋体" w:hAnsi="宋体" w:eastAsia="宋体" w:cs="宋体"/>
          <w:color w:val="auto"/>
          <w:sz w:val="28"/>
          <w:szCs w:val="28"/>
          <w:highlight w:val="none"/>
          <w:u w:val="single"/>
        </w:rPr>
        <w:t>幕墙工程施工专业承包合同</w:t>
      </w:r>
      <w:r>
        <w:rPr>
          <w:rFonts w:hint="eastAsia" w:ascii="宋体" w:hAnsi="宋体" w:eastAsia="宋体" w:cs="宋体"/>
          <w:color w:val="auto"/>
          <w:sz w:val="28"/>
          <w:szCs w:val="28"/>
          <w:highlight w:val="none"/>
        </w:rPr>
        <w:t>的廉政建设，保证工程质量与安全，提高建设资金的有效使用和投资效益，双方当事人就加强合同工程的廉政建设，订立本协议。</w:t>
      </w:r>
    </w:p>
    <w:p>
      <w:pPr>
        <w:spacing w:line="56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1双方权利和义务</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1.1严格遵守国家、省、市有关法律法规的规定。</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1.2严格执行合同工程一切合同文件，自觉按合同办事。</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1.3双方当事人的业务活动应坚持公平、公开、公正和诚信的原则（法律认定的商业秘密和合同文件另有规定除外），不得损害国家和集体利益，不得违反工程建设管理规章制度。</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1.4建立健全廉政制度，开展廉政教育，设立廉政告示牌，公布举报电话，监督并认真查处违法违纪行为。</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1.5发现对方在业务活动中有违反廉政建设规定的行为，应及时给予提醒和纠正。</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1.6发现对方严重违反合同的行为，有向其上级部门举报、建议给予处理并要求告知处理结果的权利。</w:t>
      </w:r>
    </w:p>
    <w:p>
      <w:pPr>
        <w:spacing w:line="56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2甲方义务</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2.1甲方及其工作人员不得索要或接受乙方的礼金、有价证券和贵重物品，不得在乙方报销任何应由甲方或工作人员个人支付的费用等。</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2.2甲方及其工作人员不得参加乙方安排的宴请（工作餐除外）和娱乐活动；不得接受乙方提供的通讯工具、交通工具和高档办公用品等。</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2.3甲方及其工作人员不得要求或者接受乙方为其住房装修、婚丧嫁娶活动、配偶子女的工作安排以及出国出境、旅游等提供方便等。</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2.4甲方及其工作人员不得以任何理由向乙方推荐分包人、推销材料和工程设备，不得要求乙方购买合同以外的材料和工程设备。</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2.5甲方及其工作人员要秉公办事，不准营私舞弊，不准利用职权私自为合同工程安排参建队伍，也不得从事与合同工程有关的各种有偿中介活动。</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2.6甲方及其工作人员（含其配偶、子女）不得从事与合同工程有关的材料和工程设备供应、工程分包、劳务等经济活动。</w:t>
      </w:r>
    </w:p>
    <w:p>
      <w:pPr>
        <w:spacing w:line="56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3乙方义务</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3.1乙方不得以任何理由向甲方及其工作人员行贿或馈赠礼金、有价证券、贵重礼品。</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3.2乙方不得以任何名义为甲方及其工作人员报销应由甲方或工作人员个人支付的任何费用。</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3.3乙方不得以任何理由安排甲方及其工作人员参加宴请（工作餐除外）及娱乐活动。</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3.4乙方不得为甲方和个人购置或提供通讯工具、交通工具和高档办公用品等。</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3.5乙方不得为甲方及其工作人员的住房装修、婚丧嫁娶活动、配偶子女工作安排以及出国出境、旅游等提供方便。</w:t>
      </w:r>
    </w:p>
    <w:p>
      <w:pPr>
        <w:spacing w:line="56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4违约责任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4.1甲方及其工作人员违反本协议第1条和第2条规定，应依据有关规定给予廉政建设规定的处分；涉嫌犯罪的，移交司法机关追究刑事责任；给乙方造成经济损失的，应予赔偿。</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乙方及其工作人员违反本协议第1条和第3条规定，应按照廉政建设的有关规定给予处分；情节严重的，给予乙方1～3年内不得进入工程建设市场的处罚；涉嫌犯罪的，移交司法机关追究刑事责任；给甲方造成损失的，应予赔偿。</w:t>
      </w:r>
    </w:p>
    <w:p>
      <w:pPr>
        <w:spacing w:line="56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5其他约定</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本协议由双方当事人或其上级部门负责监督执行与检查。</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举报电话：020-28079092</w:t>
      </w:r>
    </w:p>
    <w:p>
      <w:pPr>
        <w:spacing w:line="560" w:lineRule="exact"/>
        <w:ind w:firstLine="565" w:firstLineChars="202"/>
        <w:rPr>
          <w:rFonts w:hint="eastAsia" w:ascii="宋体" w:hAnsi="宋体" w:eastAsia="宋体" w:cs="宋体"/>
          <w:color w:val="auto"/>
          <w:sz w:val="28"/>
          <w:szCs w:val="28"/>
          <w:highlight w:val="none"/>
        </w:rPr>
      </w:pPr>
    </w:p>
    <w:p>
      <w:pPr>
        <w:spacing w:line="560" w:lineRule="exact"/>
        <w:rPr>
          <w:rFonts w:hint="eastAsia" w:ascii="宋体" w:hAnsi="宋体" w:eastAsia="宋体" w:cs="宋体"/>
          <w:color w:val="auto"/>
          <w:sz w:val="28"/>
          <w:szCs w:val="28"/>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甲方：广州新中轴建设有限公司</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（盖章）</w:t>
            </w:r>
          </w:p>
          <w:p>
            <w:pPr>
              <w:spacing w:line="560" w:lineRule="exact"/>
              <w:rPr>
                <w:rFonts w:hint="eastAsia" w:ascii="宋体" w:hAnsi="宋体" w:eastAsia="宋体" w:cs="宋体"/>
                <w:color w:val="auto"/>
                <w:kern w:val="2"/>
                <w:sz w:val="28"/>
                <w:szCs w:val="28"/>
                <w:highlight w:val="none"/>
              </w:rPr>
            </w:pPr>
          </w:p>
          <w:p>
            <w:pPr>
              <w:spacing w:line="560" w:lineRule="exact"/>
              <w:rPr>
                <w:rFonts w:hint="eastAsia" w:ascii="宋体" w:hAnsi="宋体" w:eastAsia="宋体" w:cs="宋体"/>
                <w:color w:val="auto"/>
                <w:kern w:val="2"/>
                <w:sz w:val="28"/>
                <w:szCs w:val="28"/>
                <w:highlight w:val="none"/>
              </w:rPr>
            </w:pPr>
          </w:p>
        </w:tc>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乙方：（盖章）</w:t>
            </w:r>
          </w:p>
          <w:p>
            <w:pPr>
              <w:spacing w:line="560" w:lineRule="exact"/>
              <w:rPr>
                <w:rFonts w:hint="eastAsia" w:ascii="宋体" w:hAnsi="宋体" w:eastAsia="宋体" w:cs="宋体"/>
                <w:color w:val="auto"/>
                <w:kern w:val="2"/>
                <w:sz w:val="28"/>
                <w:szCs w:val="28"/>
                <w:highlight w:val="none"/>
              </w:rPr>
            </w:pPr>
          </w:p>
          <w:p>
            <w:pPr>
              <w:spacing w:line="560" w:lineRule="exact"/>
              <w:rPr>
                <w:rFonts w:hint="eastAsia" w:ascii="宋体" w:hAnsi="宋体" w:eastAsia="宋体" w:cs="宋体"/>
                <w:color w:val="auto"/>
                <w:kern w:val="2"/>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负责人：</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（签字）</w:t>
            </w:r>
          </w:p>
          <w:p>
            <w:pPr>
              <w:spacing w:line="560" w:lineRule="exact"/>
              <w:rPr>
                <w:rFonts w:hint="eastAsia" w:ascii="宋体" w:hAnsi="宋体" w:eastAsia="宋体" w:cs="宋体"/>
                <w:color w:val="auto"/>
                <w:kern w:val="2"/>
                <w:sz w:val="28"/>
                <w:szCs w:val="28"/>
                <w:highlight w:val="none"/>
              </w:rPr>
            </w:pPr>
          </w:p>
        </w:tc>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负责人：</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（签字）</w:t>
            </w:r>
          </w:p>
          <w:p>
            <w:pPr>
              <w:spacing w:line="560" w:lineRule="exact"/>
              <w:rPr>
                <w:rFonts w:hint="eastAsia" w:ascii="宋体" w:hAnsi="宋体" w:eastAsia="宋体" w:cs="宋体"/>
                <w:color w:val="auto"/>
                <w:kern w:val="2"/>
                <w:sz w:val="28"/>
                <w:szCs w:val="28"/>
                <w:highlight w:val="none"/>
              </w:rPr>
            </w:pPr>
          </w:p>
        </w:tc>
      </w:tr>
      <w:bookmarkEnd w:id="259"/>
    </w:tbl>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60" w:name="_Toc128128919"/>
      <w:bookmarkStart w:id="261" w:name="_Toc134126129"/>
      <w:r>
        <w:rPr>
          <w:rFonts w:hint="eastAsia" w:ascii="宋体" w:hAnsi="宋体" w:eastAsia="宋体" w:cs="宋体"/>
          <w:b/>
          <w:color w:val="auto"/>
          <w:kern w:val="1"/>
          <w:szCs w:val="28"/>
          <w:highlight w:val="none"/>
        </w:rPr>
        <w:t>附件7：</w:t>
      </w:r>
      <w:bookmarkEnd w:id="260"/>
      <w:r>
        <w:rPr>
          <w:rFonts w:hint="eastAsia" w:ascii="宋体" w:hAnsi="宋体" w:eastAsia="宋体" w:cs="宋体"/>
          <w:b/>
          <w:color w:val="auto"/>
          <w:kern w:val="1"/>
          <w:szCs w:val="28"/>
          <w:highlight w:val="none"/>
        </w:rPr>
        <w:t>保密协议</w:t>
      </w:r>
      <w:bookmarkEnd w:id="261"/>
    </w:p>
    <w:p>
      <w:pPr>
        <w:spacing w:line="560" w:lineRule="exact"/>
        <w:ind w:firstLine="565" w:firstLineChars="202"/>
        <w:rPr>
          <w:rFonts w:hint="eastAsia" w:ascii="宋体" w:hAnsi="宋体" w:eastAsia="宋体" w:cs="宋体"/>
          <w:color w:val="auto"/>
          <w:sz w:val="28"/>
          <w:szCs w:val="28"/>
          <w:highlight w:val="none"/>
        </w:rPr>
      </w:pPr>
    </w:p>
    <w:p>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甲方：广州新中轴建设有限公司</w:t>
      </w:r>
    </w:p>
    <w:p>
      <w:pPr>
        <w:spacing w:line="56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乙方：</w:t>
      </w: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为做好</w:t>
      </w:r>
      <w:bookmarkStart w:id="262" w:name="_Hlk127519838"/>
      <w:r>
        <w:rPr>
          <w:rFonts w:hint="eastAsia" w:ascii="宋体" w:hAnsi="宋体" w:eastAsia="宋体" w:cs="宋体"/>
          <w:color w:val="auto"/>
          <w:sz w:val="28"/>
          <w:szCs w:val="28"/>
          <w:highlight w:val="none"/>
          <w:u w:val="single"/>
          <w:lang w:eastAsia="zh-CN"/>
        </w:rPr>
        <w:t>广州空港经济区中央商务区会展中心二期项目（标段二）</w:t>
      </w:r>
      <w:r>
        <w:rPr>
          <w:rFonts w:hint="eastAsia" w:ascii="宋体" w:hAnsi="宋体" w:eastAsia="宋体" w:cs="宋体"/>
          <w:color w:val="auto"/>
          <w:sz w:val="28"/>
          <w:szCs w:val="28"/>
          <w:highlight w:val="none"/>
          <w:u w:val="single"/>
        </w:rPr>
        <w:t>幕墙工程施工专业承包合同</w:t>
      </w:r>
      <w:bookmarkEnd w:id="262"/>
      <w:r>
        <w:rPr>
          <w:rFonts w:hint="eastAsia" w:ascii="宋体" w:hAnsi="宋体" w:eastAsia="宋体" w:cs="宋体"/>
          <w:color w:val="auto"/>
          <w:sz w:val="28"/>
          <w:szCs w:val="28"/>
          <w:highlight w:val="none"/>
        </w:rPr>
        <w:t>的保密工作，乙方同意遵守下列保密条款：</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一、保密信息的范围</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保密信息”在本保密协议中是指乙方在为甲方提供服务工作的过程中所获取的重要工作信息。该保密信息包括但不限于投资计划、项目规模、项目计划、项目相关数据和图纸、招标文件资料及信息、合同、价格、成本、研究报告、会议资料和文件。</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不论以何种形式或载于何种载体，无论在披露时是否以口头、图像或以书面方式表明其具有保密性，都视为甲方的保密信息。</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二、乙方的保密义务</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乙方对已知悉的甲方保密信息，在此同意：</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（一）未经甲方事前书面批准，不论服务期间或以后，乙方及其工作人员不得以任何方式向任何第三方泄漏甲方的保密信息。</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（二）一旦服务工作终止，乙方及其工作人员将退还保存的属于甲方的所有机密资料，如方案、制度、报告、合同等。</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（三）严守机密，并采取所有保密措施保护保密信息。</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三、保密期限</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保密期限包括但不限于：从获知甲方保密信息时起，至保密信息已由甲方通过合法途径让普通公众知悉时止。</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四、违约责任</w:t>
      </w:r>
    </w:p>
    <w:p>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乙方违反本保密协议约定，要承担违约责任，甲方有权通过任何合理方式追究乙方的责任并终止服务合同。造成损失的，甲方有权要求乙方进行赔偿或追究乙方的法律责任。</w:t>
      </w:r>
    </w:p>
    <w:p>
      <w:pPr>
        <w:spacing w:line="560" w:lineRule="exact"/>
        <w:ind w:firstLine="565" w:firstLineChars="202"/>
        <w:rPr>
          <w:rFonts w:hint="eastAsia" w:ascii="宋体" w:hAnsi="宋体" w:eastAsia="宋体" w:cs="宋体"/>
          <w:color w:val="auto"/>
          <w:sz w:val="28"/>
          <w:szCs w:val="28"/>
          <w:highlight w:val="none"/>
        </w:rPr>
      </w:pPr>
    </w:p>
    <w:p>
      <w:pPr>
        <w:spacing w:line="560" w:lineRule="exact"/>
        <w:rPr>
          <w:rFonts w:hint="eastAsia" w:ascii="宋体" w:hAnsi="宋体" w:eastAsia="宋体" w:cs="宋体"/>
          <w:color w:val="auto"/>
          <w:sz w:val="28"/>
          <w:szCs w:val="28"/>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甲方：广州新中轴建设有限公司</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（盖章）</w:t>
            </w:r>
          </w:p>
          <w:p>
            <w:pPr>
              <w:spacing w:line="560" w:lineRule="exact"/>
              <w:rPr>
                <w:rFonts w:hint="eastAsia" w:ascii="宋体" w:hAnsi="宋体" w:eastAsia="宋体" w:cs="宋体"/>
                <w:color w:val="auto"/>
                <w:kern w:val="2"/>
                <w:sz w:val="28"/>
                <w:szCs w:val="28"/>
                <w:highlight w:val="none"/>
              </w:rPr>
            </w:pPr>
          </w:p>
          <w:p>
            <w:pPr>
              <w:spacing w:line="560" w:lineRule="exact"/>
              <w:rPr>
                <w:rFonts w:hint="eastAsia" w:ascii="宋体" w:hAnsi="宋体" w:eastAsia="宋体" w:cs="宋体"/>
                <w:color w:val="auto"/>
                <w:kern w:val="2"/>
                <w:sz w:val="28"/>
                <w:szCs w:val="28"/>
                <w:highlight w:val="none"/>
              </w:rPr>
            </w:pPr>
          </w:p>
        </w:tc>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乙方：（盖章）</w:t>
            </w:r>
          </w:p>
          <w:p>
            <w:pPr>
              <w:spacing w:line="560" w:lineRule="exact"/>
              <w:rPr>
                <w:rFonts w:hint="eastAsia" w:ascii="宋体" w:hAnsi="宋体" w:eastAsia="宋体" w:cs="宋体"/>
                <w:color w:val="auto"/>
                <w:kern w:val="2"/>
                <w:sz w:val="28"/>
                <w:szCs w:val="28"/>
                <w:highlight w:val="none"/>
              </w:rPr>
            </w:pPr>
          </w:p>
          <w:p>
            <w:pPr>
              <w:spacing w:line="560" w:lineRule="exact"/>
              <w:rPr>
                <w:rFonts w:hint="eastAsia" w:ascii="宋体" w:hAnsi="宋体" w:eastAsia="宋体" w:cs="宋体"/>
                <w:color w:val="auto"/>
                <w:kern w:val="2"/>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负责人：</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（签字）</w:t>
            </w:r>
          </w:p>
          <w:p>
            <w:pPr>
              <w:spacing w:line="560" w:lineRule="exact"/>
              <w:rPr>
                <w:rFonts w:hint="eastAsia" w:ascii="宋体" w:hAnsi="宋体" w:eastAsia="宋体" w:cs="宋体"/>
                <w:color w:val="auto"/>
                <w:kern w:val="2"/>
                <w:sz w:val="28"/>
                <w:szCs w:val="28"/>
                <w:highlight w:val="none"/>
              </w:rPr>
            </w:pPr>
          </w:p>
          <w:p>
            <w:pPr>
              <w:spacing w:line="560" w:lineRule="exact"/>
              <w:rPr>
                <w:rFonts w:hint="eastAsia" w:ascii="宋体" w:hAnsi="宋体" w:eastAsia="宋体" w:cs="宋体"/>
                <w:color w:val="auto"/>
                <w:kern w:val="2"/>
                <w:sz w:val="28"/>
                <w:szCs w:val="28"/>
                <w:highlight w:val="none"/>
              </w:rPr>
            </w:pPr>
          </w:p>
        </w:tc>
        <w:tc>
          <w:tcPr>
            <w:tcW w:w="4148" w:type="dxa"/>
          </w:tcPr>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负责人：</w:t>
            </w:r>
          </w:p>
          <w:p>
            <w:pPr>
              <w:spacing w:line="560" w:lineRule="exac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（签字）</w:t>
            </w:r>
          </w:p>
          <w:p>
            <w:pPr>
              <w:spacing w:line="560" w:lineRule="exact"/>
              <w:rPr>
                <w:rFonts w:hint="eastAsia" w:ascii="宋体" w:hAnsi="宋体" w:eastAsia="宋体" w:cs="宋体"/>
                <w:color w:val="auto"/>
                <w:kern w:val="2"/>
                <w:sz w:val="28"/>
                <w:szCs w:val="28"/>
                <w:highlight w:val="none"/>
              </w:rPr>
            </w:pPr>
          </w:p>
          <w:p>
            <w:pPr>
              <w:spacing w:line="560" w:lineRule="exact"/>
              <w:rPr>
                <w:rFonts w:hint="eastAsia" w:ascii="宋体" w:hAnsi="宋体" w:eastAsia="宋体" w:cs="宋体"/>
                <w:color w:val="auto"/>
                <w:kern w:val="2"/>
                <w:sz w:val="28"/>
                <w:szCs w:val="28"/>
                <w:highlight w:val="none"/>
              </w:rPr>
            </w:pPr>
          </w:p>
        </w:tc>
      </w:tr>
    </w:tbl>
    <w:p>
      <w:pPr>
        <w:spacing w:line="560" w:lineRule="exact"/>
        <w:ind w:firstLine="565" w:firstLineChars="202"/>
        <w:rPr>
          <w:rFonts w:hint="eastAsia" w:ascii="宋体" w:hAnsi="宋体" w:cs="宋体"/>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63" w:name="_Toc128128921"/>
      <w:bookmarkStart w:id="264" w:name="_Toc134126130"/>
      <w:r>
        <w:rPr>
          <w:rFonts w:hint="eastAsia" w:ascii="宋体" w:hAnsi="宋体" w:eastAsia="宋体" w:cs="宋体"/>
          <w:b/>
          <w:color w:val="auto"/>
          <w:kern w:val="1"/>
          <w:szCs w:val="28"/>
          <w:highlight w:val="none"/>
        </w:rPr>
        <w:t>附件8：</w:t>
      </w:r>
      <w:bookmarkEnd w:id="263"/>
      <w:r>
        <w:rPr>
          <w:rFonts w:hint="eastAsia" w:ascii="宋体" w:hAnsi="宋体" w:eastAsia="宋体" w:cs="宋体"/>
          <w:b/>
          <w:color w:val="auto"/>
          <w:kern w:val="1"/>
          <w:szCs w:val="28"/>
          <w:highlight w:val="none"/>
        </w:rPr>
        <w:t>中标通知书</w:t>
      </w:r>
      <w:bookmarkEnd w:id="264"/>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65" w:name="_Toc128128923"/>
      <w:bookmarkStart w:id="266" w:name="_Toc134126131"/>
      <w:r>
        <w:rPr>
          <w:rFonts w:hint="eastAsia" w:ascii="宋体" w:hAnsi="宋体" w:eastAsia="宋体" w:cs="宋体"/>
          <w:b/>
          <w:color w:val="auto"/>
          <w:kern w:val="1"/>
          <w:szCs w:val="28"/>
          <w:highlight w:val="none"/>
        </w:rPr>
        <w:t>附件9：</w:t>
      </w:r>
      <w:bookmarkEnd w:id="265"/>
      <w:r>
        <w:rPr>
          <w:rFonts w:hint="eastAsia" w:ascii="宋体" w:hAnsi="宋体" w:eastAsia="宋体" w:cs="宋体"/>
          <w:b/>
          <w:color w:val="auto"/>
          <w:kern w:val="1"/>
          <w:szCs w:val="28"/>
          <w:highlight w:val="none"/>
        </w:rPr>
        <w:t>招标文件的修改、答疑、澄清文件（如有）</w:t>
      </w:r>
      <w:bookmarkEnd w:id="266"/>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67" w:name="_Toc128128925"/>
      <w:bookmarkStart w:id="268" w:name="_Toc134126132"/>
      <w:r>
        <w:rPr>
          <w:rFonts w:hint="eastAsia" w:ascii="宋体" w:hAnsi="宋体" w:eastAsia="宋体" w:cs="宋体"/>
          <w:b/>
          <w:color w:val="auto"/>
          <w:kern w:val="1"/>
          <w:szCs w:val="28"/>
          <w:highlight w:val="none"/>
        </w:rPr>
        <w:t>附件10：</w:t>
      </w:r>
      <w:bookmarkEnd w:id="267"/>
      <w:r>
        <w:rPr>
          <w:rFonts w:hint="eastAsia" w:ascii="宋体" w:hAnsi="宋体" w:eastAsia="宋体" w:cs="宋体"/>
          <w:b/>
          <w:color w:val="auto"/>
          <w:kern w:val="1"/>
          <w:szCs w:val="28"/>
          <w:highlight w:val="none"/>
        </w:rPr>
        <w:t>投标报价清单</w:t>
      </w:r>
      <w:bookmarkEnd w:id="268"/>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8" w:firstLineChars="202"/>
        <w:jc w:val="center"/>
        <w:rPr>
          <w:rFonts w:hint="eastAsia" w:ascii="宋体" w:hAnsi="宋体" w:eastAsia="宋体" w:cs="宋体"/>
          <w:b/>
          <w:color w:val="auto"/>
          <w:sz w:val="28"/>
          <w:szCs w:val="28"/>
          <w:highlight w:val="none"/>
        </w:rPr>
      </w:pPr>
      <w:bookmarkStart w:id="269" w:name="_Hlk134697620"/>
      <w:r>
        <w:rPr>
          <w:rFonts w:hint="eastAsia" w:ascii="宋体" w:hAnsi="宋体" w:eastAsia="宋体" w:cs="宋体"/>
          <w:b/>
          <w:color w:val="auto"/>
          <w:sz w:val="28"/>
          <w:szCs w:val="28"/>
          <w:highlight w:val="none"/>
        </w:rPr>
        <w:t>（另册）</w:t>
      </w:r>
    </w:p>
    <w:bookmarkEnd w:id="269"/>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70" w:name="_Toc128128927"/>
      <w:bookmarkStart w:id="271" w:name="_Toc134126133"/>
      <w:bookmarkStart w:id="272" w:name="_Hlk129850777"/>
      <w:r>
        <w:rPr>
          <w:rFonts w:hint="eastAsia" w:ascii="宋体" w:hAnsi="宋体" w:eastAsia="宋体" w:cs="宋体"/>
          <w:b/>
          <w:color w:val="auto"/>
          <w:kern w:val="1"/>
          <w:szCs w:val="28"/>
          <w:highlight w:val="none"/>
        </w:rPr>
        <w:t>附件11：</w:t>
      </w:r>
      <w:bookmarkEnd w:id="270"/>
      <w:r>
        <w:rPr>
          <w:rFonts w:hint="eastAsia" w:ascii="宋体" w:hAnsi="宋体" w:eastAsia="宋体" w:cs="宋体"/>
          <w:b/>
          <w:color w:val="auto"/>
          <w:kern w:val="1"/>
          <w:szCs w:val="28"/>
          <w:highlight w:val="none"/>
        </w:rPr>
        <w:t>工程量清单计价说明</w:t>
      </w:r>
      <w:bookmarkEnd w:id="271"/>
    </w:p>
    <w:bookmarkEnd w:id="272"/>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73" w:name="_Toc128128929"/>
      <w:bookmarkStart w:id="274" w:name="_Toc134126134"/>
      <w:bookmarkStart w:id="275" w:name="_Hlk129850787"/>
      <w:r>
        <w:rPr>
          <w:rFonts w:hint="eastAsia" w:ascii="宋体" w:hAnsi="宋体" w:eastAsia="宋体" w:cs="宋体"/>
          <w:b/>
          <w:color w:val="auto"/>
          <w:kern w:val="1"/>
          <w:szCs w:val="28"/>
          <w:highlight w:val="none"/>
        </w:rPr>
        <w:t>附件12：</w:t>
      </w:r>
      <w:bookmarkEnd w:id="273"/>
      <w:r>
        <w:rPr>
          <w:rFonts w:hint="eastAsia" w:ascii="宋体" w:hAnsi="宋体" w:eastAsia="宋体" w:cs="宋体"/>
          <w:b/>
          <w:color w:val="auto"/>
          <w:kern w:val="1"/>
          <w:szCs w:val="28"/>
          <w:highlight w:val="none"/>
        </w:rPr>
        <w:t>技术条件（工程建设标准）</w:t>
      </w:r>
      <w:bookmarkEnd w:id="274"/>
    </w:p>
    <w:bookmarkEnd w:id="275"/>
    <w:p>
      <w:pPr>
        <w:spacing w:line="560" w:lineRule="exact"/>
        <w:ind w:firstLine="565" w:firstLineChars="202"/>
        <w:rPr>
          <w:rFonts w:hint="eastAsia" w:ascii="宋体" w:hAnsi="宋体" w:eastAsia="宋体" w:cs="宋体"/>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76" w:name="_Toc128128931"/>
      <w:bookmarkStart w:id="277" w:name="_Toc134126135"/>
      <w:r>
        <w:rPr>
          <w:rFonts w:hint="eastAsia" w:ascii="宋体" w:hAnsi="宋体" w:eastAsia="宋体" w:cs="宋体"/>
          <w:b/>
          <w:color w:val="auto"/>
          <w:kern w:val="1"/>
          <w:szCs w:val="28"/>
          <w:highlight w:val="none"/>
        </w:rPr>
        <w:t>附件13：</w:t>
      </w:r>
      <w:bookmarkEnd w:id="276"/>
      <w:r>
        <w:rPr>
          <w:rFonts w:hint="eastAsia" w:ascii="宋体" w:hAnsi="宋体" w:eastAsia="宋体" w:cs="宋体"/>
          <w:b/>
          <w:color w:val="auto"/>
          <w:kern w:val="1"/>
          <w:szCs w:val="28"/>
          <w:highlight w:val="none"/>
        </w:rPr>
        <w:t>营业执照及资质证书</w:t>
      </w:r>
      <w:bookmarkEnd w:id="277"/>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78" w:name="_Toc128128933"/>
      <w:bookmarkStart w:id="279" w:name="_Toc134126136"/>
      <w:r>
        <w:rPr>
          <w:rFonts w:hint="eastAsia" w:ascii="宋体" w:hAnsi="宋体" w:eastAsia="宋体" w:cs="宋体"/>
          <w:b/>
          <w:color w:val="auto"/>
          <w:kern w:val="1"/>
          <w:szCs w:val="28"/>
          <w:highlight w:val="none"/>
        </w:rPr>
        <w:t>附件14</w:t>
      </w:r>
      <w:bookmarkEnd w:id="278"/>
      <w:r>
        <w:rPr>
          <w:rFonts w:hint="eastAsia" w:ascii="宋体" w:hAnsi="宋体" w:eastAsia="宋体" w:cs="宋体"/>
          <w:b/>
          <w:color w:val="auto"/>
          <w:kern w:val="1"/>
          <w:szCs w:val="28"/>
          <w:highlight w:val="none"/>
        </w:rPr>
        <w:t>：统筹管理协议</w:t>
      </w:r>
      <w:bookmarkEnd w:id="279"/>
    </w:p>
    <w:p>
      <w:pPr>
        <w:shd w:val="clear"/>
        <w:spacing w:before="240" w:beforeLines="100" w:line="560" w:lineRule="exact"/>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甲方：</w:t>
      </w:r>
    </w:p>
    <w:p>
      <w:pPr>
        <w:shd w:val="clear"/>
        <w:spacing w:after="240" w:afterLines="100" w:line="560" w:lineRule="exact"/>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乙方（本合同承包人）：</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按照《中华人民共和国建筑法》、《中华人民共和国招投标法》、广东省地方性法规及有关规定，结合本工程具体情况，双方就甲方与乙方之间的统筹管理事宜达成如下协议：</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第一条 工程概况</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工程名称：</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工程地点：</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工程内容：</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开工日期：    年  月  日</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竣工日期：    年  月  日</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lang w:val="en-US" w:eastAsia="zh-CN"/>
        </w:rPr>
        <w:t>施工总工期</w:t>
      </w:r>
      <w:r>
        <w:rPr>
          <w:rFonts w:hint="eastAsia" w:ascii="宋体" w:hAnsi="宋体" w:eastAsia="宋体" w:cs="宋体"/>
          <w:snapToGrid w:val="0"/>
          <w:color w:val="auto"/>
          <w:sz w:val="28"/>
          <w:szCs w:val="28"/>
          <w:highlight w:val="none"/>
        </w:rPr>
        <w:t>：</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质量目标：</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第二条 纳入项目总承包统筹管理的工程范围</w:t>
      </w:r>
    </w:p>
    <w:p>
      <w:pPr>
        <w:shd w:val="clea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snapToGrid w:val="0"/>
          <w:color w:val="auto"/>
          <w:sz w:val="28"/>
          <w:szCs w:val="28"/>
          <w:highlight w:val="none"/>
        </w:rPr>
        <w:t>包括但不限于以下内容：</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第三条 甲方工作</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1、负责协调乙方与其他专业承包单位的施工顺序及施工矛盾。</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2、提供本工程的进度计划及质量、安全、文明施工管理要求目标。</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3、甲方现场已有的配电箱和施工用水接驳点，根据工作需要提供给乙方使用；并按月收缴乙方所发生的水费、电费。</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4、允许乙方在紧急时期，使用消防用水。</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5、向乙方提供建设单位下发的经济技术及管理文件。</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6、向乙方提供法律法规约定需甲方配合专业承包单位完成的工作。</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7、其他：</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第四条 乙方工作</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1、乙方开工前需将已确认的施工图及图纸会审意见以及经监理公司、建设单位审批的工程施工组织设计提供给甲方备案。</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2、按照工程总施工组织计划的安排，组织足够的施工人员、施工设备、工程材料进场，按期、保质、保安全完成施工任务。</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3、按照甲方要求服从施工现场的统一管理。</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4、按照甲方要求报月施工计划及完整的竣工资料。</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5、按照甲方要求的目标落实安全、文明施工。</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6、甲方提供现场施工的临时用电、临时用水接驳点，乙方需自行安装计量所需的水表、电表，并按时向甲方缴纳水电费。</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7、甲方与发包人签订的《</w:t>
      </w:r>
      <w:r>
        <w:rPr>
          <w:rFonts w:hint="eastAsia" w:ascii="宋体" w:hAnsi="宋体" w:eastAsia="宋体" w:cs="宋体"/>
          <w:color w:val="auto"/>
          <w:sz w:val="28"/>
          <w:szCs w:val="28"/>
          <w:highlight w:val="none"/>
          <w:u w:val="single"/>
          <w:lang w:eastAsia="zh-CN"/>
        </w:rPr>
        <w:t>广州空港经济区中央商务区会展中心二期项目（标段二）</w:t>
      </w:r>
      <w:r>
        <w:rPr>
          <w:rFonts w:hint="eastAsia" w:ascii="宋体" w:hAnsi="宋体" w:eastAsia="宋体" w:cs="宋体"/>
          <w:color w:val="auto"/>
          <w:sz w:val="28"/>
          <w:szCs w:val="28"/>
          <w:highlight w:val="none"/>
          <w:u w:val="single"/>
        </w:rPr>
        <w:t>施工总承包合同</w:t>
      </w:r>
      <w:r>
        <w:rPr>
          <w:rFonts w:hint="eastAsia" w:ascii="宋体" w:hAnsi="宋体" w:eastAsia="宋体" w:cs="宋体"/>
          <w:color w:val="auto"/>
          <w:sz w:val="28"/>
          <w:szCs w:val="28"/>
          <w:highlight w:val="none"/>
        </w:rPr>
        <w:t>》约定的甲方</w:t>
      </w:r>
      <w:r>
        <w:rPr>
          <w:rFonts w:hint="eastAsia" w:ascii="宋体" w:hAnsi="宋体" w:eastAsia="宋体" w:cs="宋体"/>
          <w:color w:val="auto"/>
          <w:kern w:val="1"/>
          <w:sz w:val="28"/>
          <w:szCs w:val="28"/>
          <w:highlight w:val="none"/>
        </w:rPr>
        <w:t>总承包服务内容。</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8、其他：</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第五条 项目总承包服务费</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w:t>
      </w:r>
      <w:r>
        <w:rPr>
          <w:rFonts w:hint="eastAsia" w:ascii="宋体" w:hAnsi="宋体" w:eastAsia="宋体" w:cs="宋体"/>
          <w:color w:val="auto"/>
          <w:sz w:val="28"/>
          <w:szCs w:val="28"/>
          <w:highlight w:val="none"/>
        </w:rPr>
        <w:t>甲方向乙</w:t>
      </w:r>
      <w:r>
        <w:rPr>
          <w:rFonts w:hint="eastAsia" w:ascii="宋体" w:hAnsi="宋体" w:eastAsia="宋体" w:cs="宋体"/>
          <w:snapToGrid w:val="0"/>
          <w:color w:val="auto"/>
          <w:sz w:val="28"/>
          <w:szCs w:val="28"/>
          <w:highlight w:val="none"/>
        </w:rPr>
        <w:t>方收取的项目总承包服务费为乙方专业工程合同价格的</w:t>
      </w:r>
      <w:r>
        <w:rPr>
          <w:rFonts w:hint="eastAsia" w:ascii="宋体" w:hAnsi="宋体" w:eastAsia="宋体" w:cs="宋体"/>
          <w:snapToGrid w:val="0"/>
          <w:color w:val="auto"/>
          <w:sz w:val="28"/>
          <w:szCs w:val="28"/>
          <w:highlight w:val="none"/>
          <w:u w:val="single"/>
        </w:rPr>
        <w:t xml:space="preserve">    </w:t>
      </w:r>
      <w:r>
        <w:rPr>
          <w:rFonts w:hint="eastAsia" w:ascii="宋体" w:hAnsi="宋体" w:eastAsia="宋体" w:cs="宋体"/>
          <w:snapToGrid w:val="0"/>
          <w:color w:val="auto"/>
          <w:sz w:val="28"/>
          <w:szCs w:val="28"/>
          <w:highlight w:val="none"/>
        </w:rPr>
        <w:t>%，负责为乙方提供测量基准点、场地交接、施工临时便道、现有脚手架、统筹申报奖项及竣工文件汇总等工作。</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2、项目总承包服务费的支付：乙方在收到发包人支付相应的项目总承包服务费后，10个工作日内支付给甲方。</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第六条 项目管理要求</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1、乙方在施工现场要有健全的项目管理组织机构，并设有专门的技术管理、质量管理、安全管理机构和相应的专职管理人员，人员要持证上岗。</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2、本协议是规范甲乙双方施工管理的依据，甲乙双方必须自觉履行协议条款，乙方按照协议要求，接受甲方对口部门的管理。</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3、甲方须按工程施工总进度计划，按期向乙方提供施工场地，否则，甲方应承担工期延误责任并向乙方赔偿相关的经济损失。</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4、乙方必须以合同工期为目标，有序组织施工，乙方如未能在合同期限或被建设单位、监理认可的延长期内完成自身范围承包工程造成甲方总体工程延误的，乙方应承担工期延误责任并赔偿甲方相关的经济损失。</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5、乙方需要其它专业承包单位配合时，需提前2天报甲方协调，由甲方通知其他专业承包单位，不得出现彼此推诿、扯皮以及延误工期等现象，否则，甲方有权向建设单位提请对责任方依据工程合同的相关约定进行处罚。</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6、乙方需要甲方协调配合的工作，应提前以书面的形式通知甲方，凡因乙方的疏漏或未按相关配合程序施工而引起的损失，概由乙方承担。</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7、乙方应根据设计及施工要求，向甲方提供相关的详细资料，以便甲方能够提供相应的施工配合。如因乙方未按时提供资料或提供资料不满足要求等原因导致甲方无法提供施工配合，乙方自行承担相应责任；如果由于甲方原因未提供相应的施工配合而导致乙方损失的，由甲方承担相应责任。</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 xml:space="preserve">第七条 质量技术要求 </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1、甲方将严格按国家施工质量验收标准检查乙方承包的施工质量，甲方将定期或不定期检查乙方的质量记录资料，对记录不详、资料不全的乙方，甲方有权发出限期整改的通知，乙方须无条件落实。</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2、乙方在报请监理工程师进行工程验收时须通知甲方质量管理人员参加，验收合格后再进行下一道工序。</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3、乙方要严格按照设计图纸及相关规范施工，严禁使用任何不合格材料及产品。</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4、成品保护由乙方自行负责。</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第八条 安全、文明施工要求</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1、乙方对自身范围承包工程的安全施工负全部责任。乙方需严格遵守国家的有关法律、法规及甲方制定的现场安全管理制度要求，必须配置安全管理机构，配置专职安全员，并作好自检记录。</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乙方要按照施工安全规范及相关文件的规定，采取预防事故的措施，确保施工安全和第三方安全，凡属专业承包工程中发生的一切事故，均由乙方负责，并立即书面上报甲方备案。乙方有保护好施工现场安全设施的责任。</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3、乙方要服从甲方现场安全部门的统一管理，遵守甲方安全部门下发的各项安全制度，及时处理甲方发出的整改单，达不到要求而引起的损失，甲方有权向建设单位提请对乙方依据工程合同的相关约定进行处罚。</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4、乙方要积极参加甲方组织的各项安全生产活动，做好安全、文明施工，遵守甲方对文明施工的各项要求，现场做到工完场清，料具堆放整齐。</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第九条 其他</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1、如乙方在工程质量、安全、文明施工等方面违反甲方有关规定，甲方有权向建设单位提请对乙方依据工程合同的相关约定进行处罚。</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2、脚手架的配合：乙方可使用甲方已搭设的现有脚手架，如乙方专用需单独搭设的，费用由甲乙双方协商解决，但乙方应按总计划工期进行施工，甲方将按项目总承包进度计划要求拆除脚手架。</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3、甲乙双方均应按各自合同约定落实工程评优工作，由甲方主导的整体评优项目，乙方须无条件给予配合，及时提供相关资料，甲方对评优工作总负责，因乙方配合不力而导致不能评优或不能及时评优的，甲方有权向建设单位提请按合同约定对相应的乙方进行处罚。</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4、在项目总承包进场前已先行进场施工的专业承包单位（如基坑及支护工程），不纳入此类项目总承包统筹管理范畴，不交纳项目总承包服务费，但要听从项目总承包单位的统一管理，并无条件配合项目总承包单位对工程进度、验收、安全文明施工等全局性协调。如不服从管理，项目总承包单位有权向建设单位提请按合同约定对相应的专业承包单位进行处罚。</w:t>
      </w:r>
    </w:p>
    <w:p>
      <w:pPr>
        <w:shd w:val="clear"/>
        <w:spacing w:line="560" w:lineRule="exact"/>
        <w:ind w:firstLine="565" w:firstLineChars="202"/>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第十条 双方发生争议、报请建设单位协调解决，如协调不成可提交仲裁单位仲裁。</w:t>
      </w:r>
    </w:p>
    <w:p>
      <w:pPr>
        <w:shd w:val="clear"/>
        <w:spacing w:line="560" w:lineRule="exact"/>
        <w:rPr>
          <w:rFonts w:hint="eastAsia" w:ascii="宋体" w:hAnsi="宋体" w:eastAsia="宋体" w:cs="宋体"/>
          <w:b/>
          <w:snapToGrid w:val="0"/>
          <w:color w:val="auto"/>
          <w:sz w:val="28"/>
          <w:szCs w:val="28"/>
          <w:highlight w:val="none"/>
        </w:rPr>
      </w:pPr>
    </w:p>
    <w:tbl>
      <w:tblPr>
        <w:tblStyle w:val="42"/>
        <w:tblpPr w:leftFromText="180" w:rightFromText="180" w:vertAnchor="text" w:horzAnchor="margin" w:tblpY="-66"/>
        <w:tblW w:w="0" w:type="auto"/>
        <w:tblInd w:w="0" w:type="dxa"/>
        <w:tblLayout w:type="autofit"/>
        <w:tblCellMar>
          <w:top w:w="0" w:type="dxa"/>
          <w:left w:w="108" w:type="dxa"/>
          <w:bottom w:w="0" w:type="dxa"/>
          <w:right w:w="108" w:type="dxa"/>
        </w:tblCellMar>
      </w:tblPr>
      <w:tblGrid>
        <w:gridCol w:w="4104"/>
        <w:gridCol w:w="4424"/>
      </w:tblGrid>
      <w:tr>
        <w:tblPrEx>
          <w:tblCellMar>
            <w:top w:w="0" w:type="dxa"/>
            <w:left w:w="108" w:type="dxa"/>
            <w:bottom w:w="0" w:type="dxa"/>
            <w:right w:w="108" w:type="dxa"/>
          </w:tblCellMar>
        </w:tblPrEx>
        <w:tc>
          <w:tcPr>
            <w:tcW w:w="4104" w:type="dxa"/>
          </w:tcPr>
          <w:p>
            <w:pPr>
              <w:shd w:val="clea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w:t>
            </w:r>
          </w:p>
          <w:p>
            <w:pPr>
              <w:shd w:val="clear"/>
              <w:spacing w:line="560" w:lineRule="exact"/>
              <w:rPr>
                <w:rFonts w:hint="eastAsia" w:ascii="宋体" w:hAnsi="宋体" w:eastAsia="宋体" w:cs="宋体"/>
                <w:color w:val="auto"/>
                <w:sz w:val="28"/>
                <w:szCs w:val="28"/>
                <w:highlight w:val="none"/>
              </w:rPr>
            </w:pPr>
          </w:p>
        </w:tc>
        <w:tc>
          <w:tcPr>
            <w:tcW w:w="4424" w:type="dxa"/>
          </w:tcPr>
          <w:p>
            <w:pPr>
              <w:shd w:val="clea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w:t>
            </w:r>
          </w:p>
          <w:p>
            <w:pPr>
              <w:shd w:val="clear"/>
              <w:spacing w:line="56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c>
          <w:tcPr>
            <w:tcW w:w="4104" w:type="dxa"/>
          </w:tcPr>
          <w:p>
            <w:pPr>
              <w:shd w:val="clea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
          <w:p>
            <w:pPr>
              <w:shd w:val="clea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或委托代理人：</w:t>
            </w:r>
          </w:p>
          <w:p>
            <w:pPr>
              <w:shd w:val="clea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w:t>
            </w:r>
          </w:p>
        </w:tc>
        <w:tc>
          <w:tcPr>
            <w:tcW w:w="4424" w:type="dxa"/>
          </w:tcPr>
          <w:p>
            <w:pPr>
              <w:shd w:val="clea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
          <w:p>
            <w:pPr>
              <w:shd w:val="clea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或委托代理人：</w:t>
            </w:r>
          </w:p>
          <w:p>
            <w:pPr>
              <w:shd w:val="clea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w:t>
            </w:r>
          </w:p>
        </w:tc>
      </w:tr>
      <w:tr>
        <w:tblPrEx>
          <w:tblCellMar>
            <w:top w:w="0" w:type="dxa"/>
            <w:left w:w="108" w:type="dxa"/>
            <w:bottom w:w="0" w:type="dxa"/>
            <w:right w:w="108" w:type="dxa"/>
          </w:tblCellMar>
        </w:tblPrEx>
        <w:tc>
          <w:tcPr>
            <w:tcW w:w="4104" w:type="dxa"/>
          </w:tcPr>
          <w:p>
            <w:pPr>
              <w:shd w:val="clear"/>
              <w:spacing w:line="560" w:lineRule="exact"/>
              <w:rPr>
                <w:rFonts w:hint="eastAsia" w:ascii="宋体" w:hAnsi="宋体" w:eastAsia="宋体" w:cs="宋体"/>
                <w:color w:val="auto"/>
                <w:sz w:val="28"/>
                <w:szCs w:val="28"/>
                <w:highlight w:val="none"/>
              </w:rPr>
            </w:pPr>
          </w:p>
          <w:p>
            <w:pPr>
              <w:shd w:val="clear"/>
              <w:spacing w:line="560" w:lineRule="exact"/>
              <w:rPr>
                <w:rFonts w:hint="eastAsia" w:ascii="宋体" w:hAnsi="宋体" w:eastAsia="宋体" w:cs="宋体"/>
                <w:color w:val="auto"/>
                <w:sz w:val="28"/>
                <w:szCs w:val="28"/>
                <w:highlight w:val="none"/>
              </w:rPr>
            </w:pPr>
          </w:p>
        </w:tc>
        <w:tc>
          <w:tcPr>
            <w:tcW w:w="4424" w:type="dxa"/>
          </w:tcPr>
          <w:p>
            <w:pPr>
              <w:shd w:val="clear"/>
              <w:spacing w:line="560" w:lineRule="exact"/>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c>
          <w:tcPr>
            <w:tcW w:w="4104" w:type="dxa"/>
          </w:tcPr>
          <w:p>
            <w:pPr>
              <w:shd w:val="clea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签订日期：     年   月   日</w:t>
            </w:r>
          </w:p>
        </w:tc>
        <w:tc>
          <w:tcPr>
            <w:tcW w:w="4424" w:type="dxa"/>
          </w:tcPr>
          <w:p>
            <w:pPr>
              <w:shd w:val="clear"/>
              <w:spacing w:line="560" w:lineRule="exact"/>
              <w:rPr>
                <w:rFonts w:hint="eastAsia" w:ascii="宋体" w:hAnsi="宋体" w:eastAsia="宋体" w:cs="宋体"/>
                <w:color w:val="auto"/>
                <w:sz w:val="28"/>
                <w:szCs w:val="28"/>
                <w:highlight w:val="none"/>
              </w:rPr>
            </w:pPr>
          </w:p>
        </w:tc>
      </w:tr>
    </w:tbl>
    <w:p>
      <w:pPr>
        <w:shd w:val="clea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80" w:name="_Toc128128935"/>
      <w:bookmarkStart w:id="281" w:name="_Toc134126137"/>
      <w:bookmarkStart w:id="282" w:name="_Hlk129850800"/>
      <w:r>
        <w:rPr>
          <w:rFonts w:hint="eastAsia" w:ascii="宋体" w:hAnsi="宋体" w:eastAsia="宋体" w:cs="宋体"/>
          <w:b/>
          <w:color w:val="auto"/>
          <w:kern w:val="1"/>
          <w:szCs w:val="28"/>
          <w:highlight w:val="none"/>
        </w:rPr>
        <w:t>附件15：本合同专业承包范围与施工总承包范围划分表</w:t>
      </w:r>
      <w:bookmarkEnd w:id="280"/>
      <w:bookmarkEnd w:id="281"/>
    </w:p>
    <w:bookmarkEnd w:id="282"/>
    <w:p>
      <w:pPr>
        <w:spacing w:line="360" w:lineRule="exact"/>
        <w:rPr>
          <w:rFonts w:hint="eastAsia" w:ascii="宋体" w:hAnsi="宋体" w:eastAsia="宋体" w:cs="宋体"/>
          <w:color w:val="auto"/>
          <w:szCs w:val="21"/>
          <w:highlight w:val="none"/>
        </w:rPr>
      </w:pPr>
    </w:p>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921" w:firstLine="568" w:firstLineChars="202"/>
        <w:outlineLvl w:val="0"/>
        <w:rPr>
          <w:rFonts w:hint="eastAsia" w:ascii="宋体" w:hAnsi="宋体" w:eastAsia="宋体" w:cs="宋体"/>
          <w:b/>
          <w:color w:val="auto"/>
          <w:kern w:val="1"/>
          <w:szCs w:val="28"/>
          <w:highlight w:val="none"/>
        </w:rPr>
      </w:pPr>
      <w:bookmarkStart w:id="283" w:name="_Toc134126138"/>
      <w:bookmarkStart w:id="284" w:name="_Hlk129850819"/>
      <w:r>
        <w:rPr>
          <w:rFonts w:hint="eastAsia" w:ascii="宋体" w:hAnsi="宋体" w:eastAsia="宋体" w:cs="宋体"/>
          <w:b/>
          <w:color w:val="auto"/>
          <w:kern w:val="1"/>
          <w:szCs w:val="28"/>
          <w:highlight w:val="none"/>
        </w:rPr>
        <w:t>附件16：主要材料设备参考品牌清单</w:t>
      </w:r>
      <w:bookmarkEnd w:id="283"/>
    </w:p>
    <w:bookmarkEnd w:id="284"/>
    <w:p>
      <w:pPr>
        <w:spacing w:line="560" w:lineRule="exact"/>
        <w:ind w:firstLine="568" w:firstLineChars="202"/>
        <w:rPr>
          <w:rFonts w:hint="eastAsia" w:ascii="宋体" w:hAnsi="宋体" w:eastAsia="宋体" w:cs="宋体"/>
          <w:b/>
          <w:color w:val="auto"/>
          <w:sz w:val="28"/>
          <w:szCs w:val="28"/>
          <w:highlight w:val="none"/>
        </w:rPr>
      </w:pPr>
    </w:p>
    <w:p>
      <w:pPr>
        <w:spacing w:line="560" w:lineRule="exact"/>
        <w:ind w:firstLine="568" w:firstLineChars="20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
        <w:numPr>
          <w:ilvl w:val="0"/>
          <w:numId w:val="0"/>
        </w:numPr>
        <w:spacing w:line="560" w:lineRule="exact"/>
        <w:ind w:left="0" w:firstLine="0" w:firstLineChars="0"/>
        <w:outlineLvl w:val="0"/>
        <w:rPr>
          <w:rFonts w:hint="eastAsia" w:ascii="宋体" w:hAnsi="宋体" w:eastAsia="宋体" w:cs="宋体"/>
          <w:b/>
          <w:color w:val="auto"/>
          <w:kern w:val="1"/>
          <w:szCs w:val="28"/>
          <w:highlight w:val="none"/>
        </w:rPr>
      </w:pPr>
      <w:bookmarkStart w:id="285" w:name="_Toc134126139"/>
      <w:bookmarkStart w:id="286" w:name="_Hlk129850828"/>
      <w:r>
        <w:rPr>
          <w:rFonts w:hint="eastAsia" w:ascii="宋体" w:hAnsi="宋体" w:eastAsia="宋体" w:cs="宋体"/>
          <w:b/>
          <w:color w:val="auto"/>
          <w:kern w:val="1"/>
          <w:szCs w:val="28"/>
          <w:highlight w:val="none"/>
        </w:rPr>
        <w:t>附件17：危险性较大的分部分项工程清单及超过一定规模的危险性较大的分部分项工程清单</w:t>
      </w:r>
      <w:bookmarkEnd w:id="285"/>
    </w:p>
    <w:bookmarkEnd w:id="286"/>
    <w:p>
      <w:pPr>
        <w:spacing w:line="560" w:lineRule="exact"/>
        <w:ind w:firstLine="565" w:firstLineChars="202"/>
        <w:rPr>
          <w:rFonts w:hint="eastAsia" w:ascii="宋体" w:hAnsi="宋体" w:eastAsia="宋体" w:cs="宋体"/>
          <w:color w:val="auto"/>
          <w:sz w:val="28"/>
          <w:szCs w:val="28"/>
          <w:highlight w:val="none"/>
        </w:rPr>
      </w:pPr>
    </w:p>
    <w:sectPr>
      <w:pgSz w:w="11906" w:h="16838"/>
      <w:pgMar w:top="1361" w:right="1588" w:bottom="136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Arabic </w:instrText>
    </w:r>
    <w:r>
      <w:fldChar w:fldCharType="separate"/>
    </w:r>
    <w:r>
      <w:t>92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6D42C"/>
    <w:multiLevelType w:val="multilevel"/>
    <w:tmpl w:val="5846D42C"/>
    <w:lvl w:ilvl="0" w:tentative="0">
      <w:start w:val="1"/>
      <w:numFmt w:val="decimal"/>
      <w:pStyle w:val="2"/>
      <w:lvlText w:val="第%1章"/>
      <w:lvlJc w:val="left"/>
    </w:lvl>
    <w:lvl w:ilvl="1" w:tentative="0">
      <w:start w:val="1"/>
      <w:numFmt w:val="decimal"/>
      <w:pStyle w:val="3"/>
      <w:lvlText w:val="%1.%2."/>
      <w:lvlJc w:val="left"/>
    </w:lvl>
    <w:lvl w:ilvl="2" w:tentative="0">
      <w:start w:val="1"/>
      <w:numFmt w:val="decimal"/>
      <w:pStyle w:val="4"/>
      <w:lvlText w:val="%1.%2.%3."/>
      <w:lvlJc w:val="left"/>
    </w:lvl>
    <w:lvl w:ilvl="3" w:tentative="0">
      <w:start w:val="1"/>
      <w:numFmt w:val="decimal"/>
      <w:pStyle w:val="5"/>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4OTMyODcwNTJiNThlYzc1NTlkZjg1YWYzNWFiMGUifQ=="/>
  </w:docVars>
  <w:rsids>
    <w:rsidRoot w:val="00461A80"/>
    <w:rsid w:val="00000C6B"/>
    <w:rsid w:val="00001339"/>
    <w:rsid w:val="00001527"/>
    <w:rsid w:val="000017E0"/>
    <w:rsid w:val="00004990"/>
    <w:rsid w:val="000056BB"/>
    <w:rsid w:val="00006351"/>
    <w:rsid w:val="00010B0B"/>
    <w:rsid w:val="00011BC7"/>
    <w:rsid w:val="00012281"/>
    <w:rsid w:val="000123A3"/>
    <w:rsid w:val="00012624"/>
    <w:rsid w:val="0001369B"/>
    <w:rsid w:val="00015232"/>
    <w:rsid w:val="00015ECC"/>
    <w:rsid w:val="00017DB6"/>
    <w:rsid w:val="00024FB8"/>
    <w:rsid w:val="000256C9"/>
    <w:rsid w:val="000259CF"/>
    <w:rsid w:val="00025A20"/>
    <w:rsid w:val="00025C11"/>
    <w:rsid w:val="00026686"/>
    <w:rsid w:val="00026CD3"/>
    <w:rsid w:val="00026F2A"/>
    <w:rsid w:val="00027E3D"/>
    <w:rsid w:val="00031DD7"/>
    <w:rsid w:val="0003233B"/>
    <w:rsid w:val="000327DE"/>
    <w:rsid w:val="00032AD0"/>
    <w:rsid w:val="00033C9E"/>
    <w:rsid w:val="00033E46"/>
    <w:rsid w:val="000343C1"/>
    <w:rsid w:val="00036382"/>
    <w:rsid w:val="000368F4"/>
    <w:rsid w:val="00036DA8"/>
    <w:rsid w:val="00037056"/>
    <w:rsid w:val="000406BB"/>
    <w:rsid w:val="000409B9"/>
    <w:rsid w:val="00040E57"/>
    <w:rsid w:val="0004113F"/>
    <w:rsid w:val="00042C29"/>
    <w:rsid w:val="00042E59"/>
    <w:rsid w:val="00043E72"/>
    <w:rsid w:val="00044215"/>
    <w:rsid w:val="00044785"/>
    <w:rsid w:val="0004492E"/>
    <w:rsid w:val="000469A5"/>
    <w:rsid w:val="00047480"/>
    <w:rsid w:val="00050063"/>
    <w:rsid w:val="00050D74"/>
    <w:rsid w:val="000511CA"/>
    <w:rsid w:val="000512BA"/>
    <w:rsid w:val="00051C8E"/>
    <w:rsid w:val="00052259"/>
    <w:rsid w:val="0005262C"/>
    <w:rsid w:val="0005284C"/>
    <w:rsid w:val="00052F3A"/>
    <w:rsid w:val="00054081"/>
    <w:rsid w:val="000567FC"/>
    <w:rsid w:val="0006189C"/>
    <w:rsid w:val="000621FA"/>
    <w:rsid w:val="000623F9"/>
    <w:rsid w:val="00062674"/>
    <w:rsid w:val="00062AC8"/>
    <w:rsid w:val="00063F18"/>
    <w:rsid w:val="00064264"/>
    <w:rsid w:val="00065141"/>
    <w:rsid w:val="00067FC5"/>
    <w:rsid w:val="00071EFB"/>
    <w:rsid w:val="00073417"/>
    <w:rsid w:val="000742DB"/>
    <w:rsid w:val="00080E39"/>
    <w:rsid w:val="00081B42"/>
    <w:rsid w:val="0008242C"/>
    <w:rsid w:val="0008273F"/>
    <w:rsid w:val="00083B2B"/>
    <w:rsid w:val="00084114"/>
    <w:rsid w:val="000853A4"/>
    <w:rsid w:val="0008609C"/>
    <w:rsid w:val="00086CBF"/>
    <w:rsid w:val="00087038"/>
    <w:rsid w:val="000903F4"/>
    <w:rsid w:val="00090429"/>
    <w:rsid w:val="0009064D"/>
    <w:rsid w:val="00090AE3"/>
    <w:rsid w:val="0009281E"/>
    <w:rsid w:val="00092D36"/>
    <w:rsid w:val="000942BE"/>
    <w:rsid w:val="0009584D"/>
    <w:rsid w:val="0009600C"/>
    <w:rsid w:val="0009631F"/>
    <w:rsid w:val="000964EF"/>
    <w:rsid w:val="00097A48"/>
    <w:rsid w:val="00097D9F"/>
    <w:rsid w:val="000A16A7"/>
    <w:rsid w:val="000A2265"/>
    <w:rsid w:val="000A2ABE"/>
    <w:rsid w:val="000A5B9B"/>
    <w:rsid w:val="000A6B25"/>
    <w:rsid w:val="000B01BF"/>
    <w:rsid w:val="000B23BB"/>
    <w:rsid w:val="000B3677"/>
    <w:rsid w:val="000B4A1D"/>
    <w:rsid w:val="000B4BE6"/>
    <w:rsid w:val="000B5A70"/>
    <w:rsid w:val="000B64AC"/>
    <w:rsid w:val="000B6E8F"/>
    <w:rsid w:val="000C0634"/>
    <w:rsid w:val="000C0A8A"/>
    <w:rsid w:val="000C0BD2"/>
    <w:rsid w:val="000C2E72"/>
    <w:rsid w:val="000C3055"/>
    <w:rsid w:val="000C3683"/>
    <w:rsid w:val="000C37C6"/>
    <w:rsid w:val="000C46D8"/>
    <w:rsid w:val="000C5506"/>
    <w:rsid w:val="000C5D15"/>
    <w:rsid w:val="000C6385"/>
    <w:rsid w:val="000C6E89"/>
    <w:rsid w:val="000C6F1B"/>
    <w:rsid w:val="000C763C"/>
    <w:rsid w:val="000D0D73"/>
    <w:rsid w:val="000D100E"/>
    <w:rsid w:val="000D21E1"/>
    <w:rsid w:val="000D34A1"/>
    <w:rsid w:val="000D42D2"/>
    <w:rsid w:val="000D6DB9"/>
    <w:rsid w:val="000D7044"/>
    <w:rsid w:val="000D7175"/>
    <w:rsid w:val="000E020B"/>
    <w:rsid w:val="000E0349"/>
    <w:rsid w:val="000E141F"/>
    <w:rsid w:val="000E1FFF"/>
    <w:rsid w:val="000E24DA"/>
    <w:rsid w:val="000E2D62"/>
    <w:rsid w:val="000E413C"/>
    <w:rsid w:val="000E46D1"/>
    <w:rsid w:val="000E6B18"/>
    <w:rsid w:val="000E7052"/>
    <w:rsid w:val="000E7905"/>
    <w:rsid w:val="000E7AA0"/>
    <w:rsid w:val="000F20E3"/>
    <w:rsid w:val="000F2571"/>
    <w:rsid w:val="000F372A"/>
    <w:rsid w:val="000F3B2A"/>
    <w:rsid w:val="000F527F"/>
    <w:rsid w:val="000F631A"/>
    <w:rsid w:val="000F6935"/>
    <w:rsid w:val="000F6D35"/>
    <w:rsid w:val="000F6D84"/>
    <w:rsid w:val="001025AB"/>
    <w:rsid w:val="00102DC6"/>
    <w:rsid w:val="001042CB"/>
    <w:rsid w:val="001052DA"/>
    <w:rsid w:val="001067DF"/>
    <w:rsid w:val="00106CB1"/>
    <w:rsid w:val="00107FC3"/>
    <w:rsid w:val="00110C7A"/>
    <w:rsid w:val="00112097"/>
    <w:rsid w:val="0011329A"/>
    <w:rsid w:val="00116C36"/>
    <w:rsid w:val="00117CD2"/>
    <w:rsid w:val="00120411"/>
    <w:rsid w:val="00120DAC"/>
    <w:rsid w:val="00121372"/>
    <w:rsid w:val="0012209F"/>
    <w:rsid w:val="00123D80"/>
    <w:rsid w:val="00123DE0"/>
    <w:rsid w:val="00124D8B"/>
    <w:rsid w:val="001269C3"/>
    <w:rsid w:val="0013031C"/>
    <w:rsid w:val="00132922"/>
    <w:rsid w:val="001333B0"/>
    <w:rsid w:val="001349F3"/>
    <w:rsid w:val="00136595"/>
    <w:rsid w:val="001379AD"/>
    <w:rsid w:val="00140408"/>
    <w:rsid w:val="00141A57"/>
    <w:rsid w:val="00142ECC"/>
    <w:rsid w:val="001432F2"/>
    <w:rsid w:val="001435F4"/>
    <w:rsid w:val="00143855"/>
    <w:rsid w:val="001444D9"/>
    <w:rsid w:val="001458C7"/>
    <w:rsid w:val="00145ECF"/>
    <w:rsid w:val="001523FF"/>
    <w:rsid w:val="001556FD"/>
    <w:rsid w:val="00155875"/>
    <w:rsid w:val="001560F1"/>
    <w:rsid w:val="001567F5"/>
    <w:rsid w:val="00156F90"/>
    <w:rsid w:val="001572EC"/>
    <w:rsid w:val="001603C1"/>
    <w:rsid w:val="00161572"/>
    <w:rsid w:val="00161A70"/>
    <w:rsid w:val="00161BE1"/>
    <w:rsid w:val="00163EDD"/>
    <w:rsid w:val="001660E8"/>
    <w:rsid w:val="0016734A"/>
    <w:rsid w:val="0017088F"/>
    <w:rsid w:val="00170A03"/>
    <w:rsid w:val="0017244C"/>
    <w:rsid w:val="00173541"/>
    <w:rsid w:val="00174D6B"/>
    <w:rsid w:val="001766DB"/>
    <w:rsid w:val="00176C44"/>
    <w:rsid w:val="00177CC8"/>
    <w:rsid w:val="0018021B"/>
    <w:rsid w:val="00180D90"/>
    <w:rsid w:val="00181421"/>
    <w:rsid w:val="00183D5E"/>
    <w:rsid w:val="00184425"/>
    <w:rsid w:val="0018449D"/>
    <w:rsid w:val="001877C6"/>
    <w:rsid w:val="001907E3"/>
    <w:rsid w:val="0019175C"/>
    <w:rsid w:val="001923E6"/>
    <w:rsid w:val="0019359E"/>
    <w:rsid w:val="00193A5B"/>
    <w:rsid w:val="001942C3"/>
    <w:rsid w:val="001961A1"/>
    <w:rsid w:val="001A1DC4"/>
    <w:rsid w:val="001A26C2"/>
    <w:rsid w:val="001A281B"/>
    <w:rsid w:val="001A3766"/>
    <w:rsid w:val="001A3FCF"/>
    <w:rsid w:val="001A44FC"/>
    <w:rsid w:val="001A6D09"/>
    <w:rsid w:val="001A7D35"/>
    <w:rsid w:val="001A7FB2"/>
    <w:rsid w:val="001B1415"/>
    <w:rsid w:val="001B27F8"/>
    <w:rsid w:val="001B3AC4"/>
    <w:rsid w:val="001B3E64"/>
    <w:rsid w:val="001B4FF4"/>
    <w:rsid w:val="001B7AF6"/>
    <w:rsid w:val="001C29A9"/>
    <w:rsid w:val="001C2A27"/>
    <w:rsid w:val="001C3A6A"/>
    <w:rsid w:val="001C4930"/>
    <w:rsid w:val="001C4C41"/>
    <w:rsid w:val="001C5323"/>
    <w:rsid w:val="001C64FE"/>
    <w:rsid w:val="001C681E"/>
    <w:rsid w:val="001C6DC0"/>
    <w:rsid w:val="001C7536"/>
    <w:rsid w:val="001C7B26"/>
    <w:rsid w:val="001D32BD"/>
    <w:rsid w:val="001D3D0A"/>
    <w:rsid w:val="001D3E8F"/>
    <w:rsid w:val="001D42D4"/>
    <w:rsid w:val="001D5895"/>
    <w:rsid w:val="001D7DFF"/>
    <w:rsid w:val="001E1455"/>
    <w:rsid w:val="001E17A1"/>
    <w:rsid w:val="001E1ED7"/>
    <w:rsid w:val="001E2F70"/>
    <w:rsid w:val="001E4090"/>
    <w:rsid w:val="001F00F2"/>
    <w:rsid w:val="001F02A7"/>
    <w:rsid w:val="001F220A"/>
    <w:rsid w:val="001F3937"/>
    <w:rsid w:val="001F3C4F"/>
    <w:rsid w:val="001F3C64"/>
    <w:rsid w:val="001F51BE"/>
    <w:rsid w:val="001F53C8"/>
    <w:rsid w:val="001F5D93"/>
    <w:rsid w:val="001F77A9"/>
    <w:rsid w:val="00200476"/>
    <w:rsid w:val="00203369"/>
    <w:rsid w:val="00203B96"/>
    <w:rsid w:val="00206CE5"/>
    <w:rsid w:val="00206D58"/>
    <w:rsid w:val="002105C2"/>
    <w:rsid w:val="00210CF3"/>
    <w:rsid w:val="00211107"/>
    <w:rsid w:val="002119A8"/>
    <w:rsid w:val="00213D17"/>
    <w:rsid w:val="00214643"/>
    <w:rsid w:val="00214D12"/>
    <w:rsid w:val="00216242"/>
    <w:rsid w:val="002172D2"/>
    <w:rsid w:val="00217500"/>
    <w:rsid w:val="002212EB"/>
    <w:rsid w:val="00221A77"/>
    <w:rsid w:val="002226DD"/>
    <w:rsid w:val="00222B89"/>
    <w:rsid w:val="00223D67"/>
    <w:rsid w:val="00224F4E"/>
    <w:rsid w:val="002251A1"/>
    <w:rsid w:val="002259F0"/>
    <w:rsid w:val="00226DD6"/>
    <w:rsid w:val="002273EF"/>
    <w:rsid w:val="00227A48"/>
    <w:rsid w:val="0023332B"/>
    <w:rsid w:val="002337A3"/>
    <w:rsid w:val="002338D9"/>
    <w:rsid w:val="002341D5"/>
    <w:rsid w:val="00235C29"/>
    <w:rsid w:val="002409EB"/>
    <w:rsid w:val="00240A9F"/>
    <w:rsid w:val="002426AA"/>
    <w:rsid w:val="00243581"/>
    <w:rsid w:val="002436F8"/>
    <w:rsid w:val="00244DF6"/>
    <w:rsid w:val="00245197"/>
    <w:rsid w:val="00246732"/>
    <w:rsid w:val="002468FF"/>
    <w:rsid w:val="00246AD9"/>
    <w:rsid w:val="00246E14"/>
    <w:rsid w:val="00247878"/>
    <w:rsid w:val="00247882"/>
    <w:rsid w:val="002507F7"/>
    <w:rsid w:val="00250F74"/>
    <w:rsid w:val="00252EEC"/>
    <w:rsid w:val="00253A4F"/>
    <w:rsid w:val="00255A95"/>
    <w:rsid w:val="00256746"/>
    <w:rsid w:val="002571B7"/>
    <w:rsid w:val="00260437"/>
    <w:rsid w:val="002605F6"/>
    <w:rsid w:val="0026126D"/>
    <w:rsid w:val="002617E7"/>
    <w:rsid w:val="00263975"/>
    <w:rsid w:val="00263CB3"/>
    <w:rsid w:val="00265D97"/>
    <w:rsid w:val="00265FA4"/>
    <w:rsid w:val="002678CD"/>
    <w:rsid w:val="00271F61"/>
    <w:rsid w:val="00272626"/>
    <w:rsid w:val="00275833"/>
    <w:rsid w:val="00277E87"/>
    <w:rsid w:val="00280C0B"/>
    <w:rsid w:val="0028128B"/>
    <w:rsid w:val="00282529"/>
    <w:rsid w:val="00283535"/>
    <w:rsid w:val="0028391C"/>
    <w:rsid w:val="00284B7C"/>
    <w:rsid w:val="00284F47"/>
    <w:rsid w:val="002856BB"/>
    <w:rsid w:val="0028582B"/>
    <w:rsid w:val="002861BA"/>
    <w:rsid w:val="00286A0F"/>
    <w:rsid w:val="00290108"/>
    <w:rsid w:val="002902F0"/>
    <w:rsid w:val="00291DE7"/>
    <w:rsid w:val="002925A2"/>
    <w:rsid w:val="00292EC9"/>
    <w:rsid w:val="00293BBE"/>
    <w:rsid w:val="002941DA"/>
    <w:rsid w:val="002947D5"/>
    <w:rsid w:val="00294D2F"/>
    <w:rsid w:val="002958ED"/>
    <w:rsid w:val="00296217"/>
    <w:rsid w:val="00297458"/>
    <w:rsid w:val="00297D74"/>
    <w:rsid w:val="002A046D"/>
    <w:rsid w:val="002A2B5B"/>
    <w:rsid w:val="002A2F2B"/>
    <w:rsid w:val="002A3684"/>
    <w:rsid w:val="002A3913"/>
    <w:rsid w:val="002A39A6"/>
    <w:rsid w:val="002A4963"/>
    <w:rsid w:val="002A657D"/>
    <w:rsid w:val="002B1835"/>
    <w:rsid w:val="002B2CCE"/>
    <w:rsid w:val="002B3F88"/>
    <w:rsid w:val="002B4122"/>
    <w:rsid w:val="002B5EAD"/>
    <w:rsid w:val="002B6765"/>
    <w:rsid w:val="002B6B7C"/>
    <w:rsid w:val="002C1528"/>
    <w:rsid w:val="002C23E9"/>
    <w:rsid w:val="002C4CBC"/>
    <w:rsid w:val="002C56A1"/>
    <w:rsid w:val="002C5B44"/>
    <w:rsid w:val="002C6033"/>
    <w:rsid w:val="002C6510"/>
    <w:rsid w:val="002C7903"/>
    <w:rsid w:val="002D03BA"/>
    <w:rsid w:val="002D05BE"/>
    <w:rsid w:val="002D0F7D"/>
    <w:rsid w:val="002D23CA"/>
    <w:rsid w:val="002D453F"/>
    <w:rsid w:val="002D474A"/>
    <w:rsid w:val="002D4ACD"/>
    <w:rsid w:val="002D5438"/>
    <w:rsid w:val="002D5749"/>
    <w:rsid w:val="002D5927"/>
    <w:rsid w:val="002D6765"/>
    <w:rsid w:val="002D731D"/>
    <w:rsid w:val="002D7381"/>
    <w:rsid w:val="002E17A0"/>
    <w:rsid w:val="002E17FA"/>
    <w:rsid w:val="002E18F8"/>
    <w:rsid w:val="002E2778"/>
    <w:rsid w:val="002E2C07"/>
    <w:rsid w:val="002E2D27"/>
    <w:rsid w:val="002E4996"/>
    <w:rsid w:val="002E4A9C"/>
    <w:rsid w:val="002E511C"/>
    <w:rsid w:val="002E5547"/>
    <w:rsid w:val="002E5CDA"/>
    <w:rsid w:val="002E5D49"/>
    <w:rsid w:val="002E5D5B"/>
    <w:rsid w:val="002E5EAA"/>
    <w:rsid w:val="002E6DD0"/>
    <w:rsid w:val="002E75F5"/>
    <w:rsid w:val="002E7EDB"/>
    <w:rsid w:val="002F35C4"/>
    <w:rsid w:val="002F3968"/>
    <w:rsid w:val="002F44E3"/>
    <w:rsid w:val="002F71E6"/>
    <w:rsid w:val="002F7205"/>
    <w:rsid w:val="003003F3"/>
    <w:rsid w:val="00303037"/>
    <w:rsid w:val="00304A24"/>
    <w:rsid w:val="00304AC1"/>
    <w:rsid w:val="00304FAF"/>
    <w:rsid w:val="00305076"/>
    <w:rsid w:val="003051DB"/>
    <w:rsid w:val="003079DC"/>
    <w:rsid w:val="00307F5C"/>
    <w:rsid w:val="00310331"/>
    <w:rsid w:val="00312514"/>
    <w:rsid w:val="00312E74"/>
    <w:rsid w:val="00314208"/>
    <w:rsid w:val="003163D0"/>
    <w:rsid w:val="00317604"/>
    <w:rsid w:val="00320245"/>
    <w:rsid w:val="003215EC"/>
    <w:rsid w:val="00322066"/>
    <w:rsid w:val="00322E21"/>
    <w:rsid w:val="003238D3"/>
    <w:rsid w:val="00323CE5"/>
    <w:rsid w:val="00323EEF"/>
    <w:rsid w:val="003244E6"/>
    <w:rsid w:val="003250C2"/>
    <w:rsid w:val="00325707"/>
    <w:rsid w:val="00326175"/>
    <w:rsid w:val="0032617A"/>
    <w:rsid w:val="0032686B"/>
    <w:rsid w:val="00326FA8"/>
    <w:rsid w:val="003270BB"/>
    <w:rsid w:val="00330A33"/>
    <w:rsid w:val="00330CD7"/>
    <w:rsid w:val="003315B2"/>
    <w:rsid w:val="00332CF0"/>
    <w:rsid w:val="00333772"/>
    <w:rsid w:val="00333A2B"/>
    <w:rsid w:val="003365D7"/>
    <w:rsid w:val="00340A6B"/>
    <w:rsid w:val="00341074"/>
    <w:rsid w:val="00341AD1"/>
    <w:rsid w:val="00344EB2"/>
    <w:rsid w:val="00345056"/>
    <w:rsid w:val="00347E36"/>
    <w:rsid w:val="00352B53"/>
    <w:rsid w:val="00353D27"/>
    <w:rsid w:val="00354D29"/>
    <w:rsid w:val="00355418"/>
    <w:rsid w:val="0035642E"/>
    <w:rsid w:val="0035651A"/>
    <w:rsid w:val="003574F3"/>
    <w:rsid w:val="003614CD"/>
    <w:rsid w:val="00361BB5"/>
    <w:rsid w:val="0036256E"/>
    <w:rsid w:val="00363EB2"/>
    <w:rsid w:val="003641DB"/>
    <w:rsid w:val="00365633"/>
    <w:rsid w:val="00365DDF"/>
    <w:rsid w:val="00370134"/>
    <w:rsid w:val="00370729"/>
    <w:rsid w:val="00370940"/>
    <w:rsid w:val="00370C1D"/>
    <w:rsid w:val="00371663"/>
    <w:rsid w:val="00373452"/>
    <w:rsid w:val="00374315"/>
    <w:rsid w:val="0037501B"/>
    <w:rsid w:val="003751D0"/>
    <w:rsid w:val="00375329"/>
    <w:rsid w:val="003763C2"/>
    <w:rsid w:val="003763DD"/>
    <w:rsid w:val="00377A45"/>
    <w:rsid w:val="0038021C"/>
    <w:rsid w:val="003821A2"/>
    <w:rsid w:val="003826B0"/>
    <w:rsid w:val="003827B9"/>
    <w:rsid w:val="00382FE6"/>
    <w:rsid w:val="00384C67"/>
    <w:rsid w:val="00384FA6"/>
    <w:rsid w:val="00385328"/>
    <w:rsid w:val="00385D33"/>
    <w:rsid w:val="00385E69"/>
    <w:rsid w:val="00386836"/>
    <w:rsid w:val="003918B3"/>
    <w:rsid w:val="003918FA"/>
    <w:rsid w:val="003938F0"/>
    <w:rsid w:val="0039463B"/>
    <w:rsid w:val="00395638"/>
    <w:rsid w:val="00395931"/>
    <w:rsid w:val="00395CFE"/>
    <w:rsid w:val="00396431"/>
    <w:rsid w:val="00396D2D"/>
    <w:rsid w:val="003A04E5"/>
    <w:rsid w:val="003A2098"/>
    <w:rsid w:val="003A2EDA"/>
    <w:rsid w:val="003A4683"/>
    <w:rsid w:val="003A47FA"/>
    <w:rsid w:val="003A62E3"/>
    <w:rsid w:val="003A7E38"/>
    <w:rsid w:val="003B1599"/>
    <w:rsid w:val="003B3836"/>
    <w:rsid w:val="003B6643"/>
    <w:rsid w:val="003B6CB9"/>
    <w:rsid w:val="003C02EA"/>
    <w:rsid w:val="003C12FF"/>
    <w:rsid w:val="003C1AF7"/>
    <w:rsid w:val="003C26E0"/>
    <w:rsid w:val="003C3C34"/>
    <w:rsid w:val="003C3FAD"/>
    <w:rsid w:val="003C418E"/>
    <w:rsid w:val="003C4F6E"/>
    <w:rsid w:val="003C62AC"/>
    <w:rsid w:val="003C69DA"/>
    <w:rsid w:val="003C6E95"/>
    <w:rsid w:val="003D0A8A"/>
    <w:rsid w:val="003D2B15"/>
    <w:rsid w:val="003D305C"/>
    <w:rsid w:val="003D42C4"/>
    <w:rsid w:val="003D47BF"/>
    <w:rsid w:val="003D5322"/>
    <w:rsid w:val="003D5B90"/>
    <w:rsid w:val="003D6343"/>
    <w:rsid w:val="003D71D6"/>
    <w:rsid w:val="003D7A6E"/>
    <w:rsid w:val="003E029B"/>
    <w:rsid w:val="003E0CB7"/>
    <w:rsid w:val="003E3DE1"/>
    <w:rsid w:val="003E3FE0"/>
    <w:rsid w:val="003E5124"/>
    <w:rsid w:val="003E5148"/>
    <w:rsid w:val="003E5A79"/>
    <w:rsid w:val="003E6D88"/>
    <w:rsid w:val="003E7459"/>
    <w:rsid w:val="003F01DC"/>
    <w:rsid w:val="003F264A"/>
    <w:rsid w:val="003F4F63"/>
    <w:rsid w:val="003F788E"/>
    <w:rsid w:val="00400665"/>
    <w:rsid w:val="00400723"/>
    <w:rsid w:val="004008EF"/>
    <w:rsid w:val="00401D23"/>
    <w:rsid w:val="004021E7"/>
    <w:rsid w:val="00403F4E"/>
    <w:rsid w:val="004066FD"/>
    <w:rsid w:val="004112FF"/>
    <w:rsid w:val="004124BD"/>
    <w:rsid w:val="00412F2E"/>
    <w:rsid w:val="00413A13"/>
    <w:rsid w:val="00414897"/>
    <w:rsid w:val="00415887"/>
    <w:rsid w:val="004158D6"/>
    <w:rsid w:val="00417356"/>
    <w:rsid w:val="00417464"/>
    <w:rsid w:val="004175B7"/>
    <w:rsid w:val="00417666"/>
    <w:rsid w:val="00417B7D"/>
    <w:rsid w:val="00420C0F"/>
    <w:rsid w:val="00421D20"/>
    <w:rsid w:val="0042202D"/>
    <w:rsid w:val="0042228B"/>
    <w:rsid w:val="0042244D"/>
    <w:rsid w:val="00422AB5"/>
    <w:rsid w:val="0042722A"/>
    <w:rsid w:val="00427978"/>
    <w:rsid w:val="00427A28"/>
    <w:rsid w:val="00430534"/>
    <w:rsid w:val="00430C55"/>
    <w:rsid w:val="00431995"/>
    <w:rsid w:val="00432146"/>
    <w:rsid w:val="0043282A"/>
    <w:rsid w:val="00432943"/>
    <w:rsid w:val="00432CB3"/>
    <w:rsid w:val="0043616E"/>
    <w:rsid w:val="0043795D"/>
    <w:rsid w:val="00440AF3"/>
    <w:rsid w:val="00441644"/>
    <w:rsid w:val="004453C4"/>
    <w:rsid w:val="004458B2"/>
    <w:rsid w:val="004468E1"/>
    <w:rsid w:val="00446930"/>
    <w:rsid w:val="004470FA"/>
    <w:rsid w:val="00447A8A"/>
    <w:rsid w:val="00447D3B"/>
    <w:rsid w:val="00451E13"/>
    <w:rsid w:val="00453516"/>
    <w:rsid w:val="004544B7"/>
    <w:rsid w:val="00454510"/>
    <w:rsid w:val="00454B42"/>
    <w:rsid w:val="004606DB"/>
    <w:rsid w:val="00461A80"/>
    <w:rsid w:val="00463380"/>
    <w:rsid w:val="00463607"/>
    <w:rsid w:val="00463F88"/>
    <w:rsid w:val="00464CFA"/>
    <w:rsid w:val="004654B2"/>
    <w:rsid w:val="00470161"/>
    <w:rsid w:val="00470194"/>
    <w:rsid w:val="004701C5"/>
    <w:rsid w:val="0047043D"/>
    <w:rsid w:val="00471853"/>
    <w:rsid w:val="00471E4D"/>
    <w:rsid w:val="00473110"/>
    <w:rsid w:val="004760F5"/>
    <w:rsid w:val="004803DC"/>
    <w:rsid w:val="0048098F"/>
    <w:rsid w:val="004811DA"/>
    <w:rsid w:val="004827E2"/>
    <w:rsid w:val="00482E1B"/>
    <w:rsid w:val="00484233"/>
    <w:rsid w:val="0048628F"/>
    <w:rsid w:val="00490F9D"/>
    <w:rsid w:val="00491B15"/>
    <w:rsid w:val="00492BD5"/>
    <w:rsid w:val="004931FF"/>
    <w:rsid w:val="00493442"/>
    <w:rsid w:val="00494500"/>
    <w:rsid w:val="00495723"/>
    <w:rsid w:val="00497052"/>
    <w:rsid w:val="00497E42"/>
    <w:rsid w:val="004A06CD"/>
    <w:rsid w:val="004A0BFC"/>
    <w:rsid w:val="004A2353"/>
    <w:rsid w:val="004A4009"/>
    <w:rsid w:val="004A4886"/>
    <w:rsid w:val="004A5530"/>
    <w:rsid w:val="004A6D53"/>
    <w:rsid w:val="004A7170"/>
    <w:rsid w:val="004A736F"/>
    <w:rsid w:val="004B0505"/>
    <w:rsid w:val="004B0E3F"/>
    <w:rsid w:val="004B0FEB"/>
    <w:rsid w:val="004B178A"/>
    <w:rsid w:val="004B3134"/>
    <w:rsid w:val="004B3285"/>
    <w:rsid w:val="004B575D"/>
    <w:rsid w:val="004B7C7A"/>
    <w:rsid w:val="004C0201"/>
    <w:rsid w:val="004C042C"/>
    <w:rsid w:val="004C1015"/>
    <w:rsid w:val="004C1F03"/>
    <w:rsid w:val="004C26AA"/>
    <w:rsid w:val="004C30C5"/>
    <w:rsid w:val="004C3D70"/>
    <w:rsid w:val="004C3D82"/>
    <w:rsid w:val="004C4489"/>
    <w:rsid w:val="004C6C09"/>
    <w:rsid w:val="004D033C"/>
    <w:rsid w:val="004D082E"/>
    <w:rsid w:val="004D0EC4"/>
    <w:rsid w:val="004D535B"/>
    <w:rsid w:val="004D5519"/>
    <w:rsid w:val="004D6400"/>
    <w:rsid w:val="004D6843"/>
    <w:rsid w:val="004D6E0F"/>
    <w:rsid w:val="004D7D6E"/>
    <w:rsid w:val="004D7FE5"/>
    <w:rsid w:val="004E1430"/>
    <w:rsid w:val="004E253B"/>
    <w:rsid w:val="004E30ED"/>
    <w:rsid w:val="004E42E0"/>
    <w:rsid w:val="004E4B9B"/>
    <w:rsid w:val="004E56DC"/>
    <w:rsid w:val="004E5CED"/>
    <w:rsid w:val="004E6704"/>
    <w:rsid w:val="004E6B20"/>
    <w:rsid w:val="004F1D7F"/>
    <w:rsid w:val="004F262C"/>
    <w:rsid w:val="004F3836"/>
    <w:rsid w:val="004F3883"/>
    <w:rsid w:val="004F432A"/>
    <w:rsid w:val="004F4630"/>
    <w:rsid w:val="004F5D93"/>
    <w:rsid w:val="004F5EFA"/>
    <w:rsid w:val="004F60B6"/>
    <w:rsid w:val="004F78A8"/>
    <w:rsid w:val="0050275C"/>
    <w:rsid w:val="00505C10"/>
    <w:rsid w:val="00507668"/>
    <w:rsid w:val="00507D09"/>
    <w:rsid w:val="00510792"/>
    <w:rsid w:val="00511569"/>
    <w:rsid w:val="00511848"/>
    <w:rsid w:val="00511A81"/>
    <w:rsid w:val="00513405"/>
    <w:rsid w:val="00513594"/>
    <w:rsid w:val="00513622"/>
    <w:rsid w:val="005164D4"/>
    <w:rsid w:val="0051694E"/>
    <w:rsid w:val="00516FDA"/>
    <w:rsid w:val="0051716C"/>
    <w:rsid w:val="005209C7"/>
    <w:rsid w:val="00521A6C"/>
    <w:rsid w:val="00522EB4"/>
    <w:rsid w:val="00525A27"/>
    <w:rsid w:val="00527495"/>
    <w:rsid w:val="00530EC2"/>
    <w:rsid w:val="0053122D"/>
    <w:rsid w:val="00532040"/>
    <w:rsid w:val="00532C21"/>
    <w:rsid w:val="00533862"/>
    <w:rsid w:val="00533FE2"/>
    <w:rsid w:val="00534ED2"/>
    <w:rsid w:val="00535790"/>
    <w:rsid w:val="00535A9A"/>
    <w:rsid w:val="00536534"/>
    <w:rsid w:val="0054030D"/>
    <w:rsid w:val="00540702"/>
    <w:rsid w:val="00540B61"/>
    <w:rsid w:val="00541C45"/>
    <w:rsid w:val="0054213B"/>
    <w:rsid w:val="00544C15"/>
    <w:rsid w:val="00550469"/>
    <w:rsid w:val="00550CD7"/>
    <w:rsid w:val="0055565E"/>
    <w:rsid w:val="0055606C"/>
    <w:rsid w:val="00557128"/>
    <w:rsid w:val="00557EE4"/>
    <w:rsid w:val="00560459"/>
    <w:rsid w:val="00560EA6"/>
    <w:rsid w:val="005618D4"/>
    <w:rsid w:val="00561D07"/>
    <w:rsid w:val="0056214E"/>
    <w:rsid w:val="0056347B"/>
    <w:rsid w:val="00563A7D"/>
    <w:rsid w:val="00563BA8"/>
    <w:rsid w:val="00565333"/>
    <w:rsid w:val="00567F12"/>
    <w:rsid w:val="00567FFC"/>
    <w:rsid w:val="00571316"/>
    <w:rsid w:val="00571758"/>
    <w:rsid w:val="00574C5F"/>
    <w:rsid w:val="00574D31"/>
    <w:rsid w:val="00575615"/>
    <w:rsid w:val="00576114"/>
    <w:rsid w:val="005808FE"/>
    <w:rsid w:val="005834A2"/>
    <w:rsid w:val="005879D0"/>
    <w:rsid w:val="00592659"/>
    <w:rsid w:val="005939B1"/>
    <w:rsid w:val="005977F7"/>
    <w:rsid w:val="005A27EA"/>
    <w:rsid w:val="005A3BBF"/>
    <w:rsid w:val="005A50D7"/>
    <w:rsid w:val="005A7630"/>
    <w:rsid w:val="005B0300"/>
    <w:rsid w:val="005B0A2E"/>
    <w:rsid w:val="005B0BED"/>
    <w:rsid w:val="005B17DE"/>
    <w:rsid w:val="005B241B"/>
    <w:rsid w:val="005B2601"/>
    <w:rsid w:val="005B3D25"/>
    <w:rsid w:val="005B5C02"/>
    <w:rsid w:val="005C13D3"/>
    <w:rsid w:val="005C21F2"/>
    <w:rsid w:val="005C28E4"/>
    <w:rsid w:val="005C2C48"/>
    <w:rsid w:val="005C4AA8"/>
    <w:rsid w:val="005C6D17"/>
    <w:rsid w:val="005C7965"/>
    <w:rsid w:val="005D09B8"/>
    <w:rsid w:val="005D2384"/>
    <w:rsid w:val="005D4249"/>
    <w:rsid w:val="005D58A8"/>
    <w:rsid w:val="005D69CE"/>
    <w:rsid w:val="005D6A1A"/>
    <w:rsid w:val="005E0DF2"/>
    <w:rsid w:val="005E14FF"/>
    <w:rsid w:val="005E1AB3"/>
    <w:rsid w:val="005E2FA9"/>
    <w:rsid w:val="005E39D3"/>
    <w:rsid w:val="005E43BA"/>
    <w:rsid w:val="005E5597"/>
    <w:rsid w:val="005E6B8A"/>
    <w:rsid w:val="005E7AE2"/>
    <w:rsid w:val="005F0C51"/>
    <w:rsid w:val="005F0D17"/>
    <w:rsid w:val="005F3144"/>
    <w:rsid w:val="005F3C51"/>
    <w:rsid w:val="005F5E13"/>
    <w:rsid w:val="005F740B"/>
    <w:rsid w:val="005F789A"/>
    <w:rsid w:val="005F7F51"/>
    <w:rsid w:val="00601D99"/>
    <w:rsid w:val="00602D57"/>
    <w:rsid w:val="00604600"/>
    <w:rsid w:val="00604756"/>
    <w:rsid w:val="00604DA0"/>
    <w:rsid w:val="00605DAE"/>
    <w:rsid w:val="00606881"/>
    <w:rsid w:val="0060713A"/>
    <w:rsid w:val="0060729C"/>
    <w:rsid w:val="00607643"/>
    <w:rsid w:val="00607D2B"/>
    <w:rsid w:val="00607FEC"/>
    <w:rsid w:val="00612274"/>
    <w:rsid w:val="0061273A"/>
    <w:rsid w:val="00612ACF"/>
    <w:rsid w:val="006156F5"/>
    <w:rsid w:val="00617244"/>
    <w:rsid w:val="0062071F"/>
    <w:rsid w:val="00621851"/>
    <w:rsid w:val="0063032D"/>
    <w:rsid w:val="00630AB1"/>
    <w:rsid w:val="00633815"/>
    <w:rsid w:val="00634462"/>
    <w:rsid w:val="00634AC5"/>
    <w:rsid w:val="00634D3F"/>
    <w:rsid w:val="00634F22"/>
    <w:rsid w:val="006359B7"/>
    <w:rsid w:val="00635A71"/>
    <w:rsid w:val="006378D0"/>
    <w:rsid w:val="00640093"/>
    <w:rsid w:val="00641EE7"/>
    <w:rsid w:val="00643A1D"/>
    <w:rsid w:val="00643B7F"/>
    <w:rsid w:val="00647105"/>
    <w:rsid w:val="00651082"/>
    <w:rsid w:val="00651FD0"/>
    <w:rsid w:val="00652486"/>
    <w:rsid w:val="00652D93"/>
    <w:rsid w:val="00652FC8"/>
    <w:rsid w:val="006535BC"/>
    <w:rsid w:val="00654BE1"/>
    <w:rsid w:val="00655481"/>
    <w:rsid w:val="00656671"/>
    <w:rsid w:val="006569C1"/>
    <w:rsid w:val="00656A73"/>
    <w:rsid w:val="00657290"/>
    <w:rsid w:val="006572EF"/>
    <w:rsid w:val="00657962"/>
    <w:rsid w:val="0066027D"/>
    <w:rsid w:val="006602D4"/>
    <w:rsid w:val="00661982"/>
    <w:rsid w:val="00661AE4"/>
    <w:rsid w:val="00661C18"/>
    <w:rsid w:val="00661C5B"/>
    <w:rsid w:val="0066326C"/>
    <w:rsid w:val="0066391E"/>
    <w:rsid w:val="00663C41"/>
    <w:rsid w:val="00665298"/>
    <w:rsid w:val="006658D0"/>
    <w:rsid w:val="006658EF"/>
    <w:rsid w:val="006666E5"/>
    <w:rsid w:val="00666EC1"/>
    <w:rsid w:val="0066737F"/>
    <w:rsid w:val="00670316"/>
    <w:rsid w:val="00670570"/>
    <w:rsid w:val="00670BC6"/>
    <w:rsid w:val="006710D4"/>
    <w:rsid w:val="00671530"/>
    <w:rsid w:val="006719F7"/>
    <w:rsid w:val="00671CC9"/>
    <w:rsid w:val="00676638"/>
    <w:rsid w:val="0067739F"/>
    <w:rsid w:val="00677C2C"/>
    <w:rsid w:val="00677C5D"/>
    <w:rsid w:val="006820A9"/>
    <w:rsid w:val="0068322C"/>
    <w:rsid w:val="0068358A"/>
    <w:rsid w:val="00684222"/>
    <w:rsid w:val="00684291"/>
    <w:rsid w:val="00685462"/>
    <w:rsid w:val="006904B4"/>
    <w:rsid w:val="006908A6"/>
    <w:rsid w:val="006924CF"/>
    <w:rsid w:val="00694A69"/>
    <w:rsid w:val="00694E95"/>
    <w:rsid w:val="0069605E"/>
    <w:rsid w:val="00696178"/>
    <w:rsid w:val="00696C67"/>
    <w:rsid w:val="00696CBE"/>
    <w:rsid w:val="006A108F"/>
    <w:rsid w:val="006A2DBF"/>
    <w:rsid w:val="006A330D"/>
    <w:rsid w:val="006A4AAA"/>
    <w:rsid w:val="006A4BB1"/>
    <w:rsid w:val="006A659E"/>
    <w:rsid w:val="006A737C"/>
    <w:rsid w:val="006A7CFA"/>
    <w:rsid w:val="006B0B75"/>
    <w:rsid w:val="006B0B8A"/>
    <w:rsid w:val="006B2265"/>
    <w:rsid w:val="006B2B75"/>
    <w:rsid w:val="006B44EA"/>
    <w:rsid w:val="006B50BE"/>
    <w:rsid w:val="006B7237"/>
    <w:rsid w:val="006B7DC8"/>
    <w:rsid w:val="006C0BD5"/>
    <w:rsid w:val="006C2609"/>
    <w:rsid w:val="006C5187"/>
    <w:rsid w:val="006C7A91"/>
    <w:rsid w:val="006D0A3C"/>
    <w:rsid w:val="006D0A72"/>
    <w:rsid w:val="006D41AB"/>
    <w:rsid w:val="006D57E0"/>
    <w:rsid w:val="006D5DB3"/>
    <w:rsid w:val="006D6B6D"/>
    <w:rsid w:val="006E0EA3"/>
    <w:rsid w:val="006E141B"/>
    <w:rsid w:val="006E1F91"/>
    <w:rsid w:val="006E2BFA"/>
    <w:rsid w:val="006E35E5"/>
    <w:rsid w:val="006E4632"/>
    <w:rsid w:val="006E4B22"/>
    <w:rsid w:val="006E4CDB"/>
    <w:rsid w:val="006E531F"/>
    <w:rsid w:val="006E696F"/>
    <w:rsid w:val="006E77EE"/>
    <w:rsid w:val="006E7D0A"/>
    <w:rsid w:val="006F0655"/>
    <w:rsid w:val="006F0841"/>
    <w:rsid w:val="006F2BFC"/>
    <w:rsid w:val="006F3216"/>
    <w:rsid w:val="006F3393"/>
    <w:rsid w:val="006F5E53"/>
    <w:rsid w:val="006F62E8"/>
    <w:rsid w:val="006F7400"/>
    <w:rsid w:val="006F7590"/>
    <w:rsid w:val="006F7C83"/>
    <w:rsid w:val="00702379"/>
    <w:rsid w:val="00702EDB"/>
    <w:rsid w:val="00702F7C"/>
    <w:rsid w:val="0070527F"/>
    <w:rsid w:val="00710AF2"/>
    <w:rsid w:val="0071172D"/>
    <w:rsid w:val="007118FC"/>
    <w:rsid w:val="00711F88"/>
    <w:rsid w:val="0071232C"/>
    <w:rsid w:val="00712D3F"/>
    <w:rsid w:val="00714DB1"/>
    <w:rsid w:val="00715EA3"/>
    <w:rsid w:val="0071769B"/>
    <w:rsid w:val="00720399"/>
    <w:rsid w:val="00720517"/>
    <w:rsid w:val="0072116A"/>
    <w:rsid w:val="00721C43"/>
    <w:rsid w:val="00723884"/>
    <w:rsid w:val="00724478"/>
    <w:rsid w:val="0072553A"/>
    <w:rsid w:val="00726FD5"/>
    <w:rsid w:val="007302FE"/>
    <w:rsid w:val="007323A1"/>
    <w:rsid w:val="007325FF"/>
    <w:rsid w:val="00732B23"/>
    <w:rsid w:val="00733A5F"/>
    <w:rsid w:val="00733AFA"/>
    <w:rsid w:val="00734B94"/>
    <w:rsid w:val="0073593F"/>
    <w:rsid w:val="00736A39"/>
    <w:rsid w:val="00737128"/>
    <w:rsid w:val="00741C5D"/>
    <w:rsid w:val="0074223C"/>
    <w:rsid w:val="00742921"/>
    <w:rsid w:val="0074363F"/>
    <w:rsid w:val="007446EE"/>
    <w:rsid w:val="00744DC8"/>
    <w:rsid w:val="0074507C"/>
    <w:rsid w:val="007468EE"/>
    <w:rsid w:val="007501A3"/>
    <w:rsid w:val="0075118A"/>
    <w:rsid w:val="0075381B"/>
    <w:rsid w:val="00754669"/>
    <w:rsid w:val="00754D0C"/>
    <w:rsid w:val="0075508C"/>
    <w:rsid w:val="00755325"/>
    <w:rsid w:val="00757AB5"/>
    <w:rsid w:val="007600E0"/>
    <w:rsid w:val="00760D9E"/>
    <w:rsid w:val="00762012"/>
    <w:rsid w:val="00763856"/>
    <w:rsid w:val="00763FA8"/>
    <w:rsid w:val="00766703"/>
    <w:rsid w:val="00771543"/>
    <w:rsid w:val="00772F65"/>
    <w:rsid w:val="007735FF"/>
    <w:rsid w:val="00776373"/>
    <w:rsid w:val="00777EE3"/>
    <w:rsid w:val="00782512"/>
    <w:rsid w:val="00783619"/>
    <w:rsid w:val="007839DD"/>
    <w:rsid w:val="007844B4"/>
    <w:rsid w:val="00784B13"/>
    <w:rsid w:val="007931BE"/>
    <w:rsid w:val="007A09F0"/>
    <w:rsid w:val="007A165A"/>
    <w:rsid w:val="007A3239"/>
    <w:rsid w:val="007A4BA8"/>
    <w:rsid w:val="007A6AA2"/>
    <w:rsid w:val="007A76DC"/>
    <w:rsid w:val="007B0393"/>
    <w:rsid w:val="007B3A15"/>
    <w:rsid w:val="007B545C"/>
    <w:rsid w:val="007B63CE"/>
    <w:rsid w:val="007B6443"/>
    <w:rsid w:val="007B6FF9"/>
    <w:rsid w:val="007C0337"/>
    <w:rsid w:val="007C0860"/>
    <w:rsid w:val="007C1E17"/>
    <w:rsid w:val="007C20F3"/>
    <w:rsid w:val="007C2B4F"/>
    <w:rsid w:val="007C3185"/>
    <w:rsid w:val="007C39AB"/>
    <w:rsid w:val="007C3D6D"/>
    <w:rsid w:val="007C58DF"/>
    <w:rsid w:val="007C6556"/>
    <w:rsid w:val="007C6D42"/>
    <w:rsid w:val="007C73F4"/>
    <w:rsid w:val="007C7AF0"/>
    <w:rsid w:val="007D11ED"/>
    <w:rsid w:val="007D1AFF"/>
    <w:rsid w:val="007D3AF7"/>
    <w:rsid w:val="007D4A37"/>
    <w:rsid w:val="007D6DA4"/>
    <w:rsid w:val="007E0B77"/>
    <w:rsid w:val="007E2258"/>
    <w:rsid w:val="007E541E"/>
    <w:rsid w:val="007E5A06"/>
    <w:rsid w:val="007E62C9"/>
    <w:rsid w:val="007F10AF"/>
    <w:rsid w:val="007F1739"/>
    <w:rsid w:val="007F1E34"/>
    <w:rsid w:val="007F4811"/>
    <w:rsid w:val="007F49D8"/>
    <w:rsid w:val="007F587E"/>
    <w:rsid w:val="007F5BFA"/>
    <w:rsid w:val="007F7060"/>
    <w:rsid w:val="007F7A6C"/>
    <w:rsid w:val="007F7AE6"/>
    <w:rsid w:val="00800305"/>
    <w:rsid w:val="00800402"/>
    <w:rsid w:val="008033E5"/>
    <w:rsid w:val="00803B48"/>
    <w:rsid w:val="00804288"/>
    <w:rsid w:val="008045FA"/>
    <w:rsid w:val="00805750"/>
    <w:rsid w:val="008068ED"/>
    <w:rsid w:val="00806BE1"/>
    <w:rsid w:val="00806C82"/>
    <w:rsid w:val="00807413"/>
    <w:rsid w:val="00807535"/>
    <w:rsid w:val="00807594"/>
    <w:rsid w:val="00807A38"/>
    <w:rsid w:val="00807CD0"/>
    <w:rsid w:val="008105A9"/>
    <w:rsid w:val="00812161"/>
    <w:rsid w:val="008135E2"/>
    <w:rsid w:val="00813EEF"/>
    <w:rsid w:val="00813FA2"/>
    <w:rsid w:val="008151BA"/>
    <w:rsid w:val="0081700F"/>
    <w:rsid w:val="008177B9"/>
    <w:rsid w:val="00820AC4"/>
    <w:rsid w:val="00821A92"/>
    <w:rsid w:val="00823500"/>
    <w:rsid w:val="00824318"/>
    <w:rsid w:val="00825841"/>
    <w:rsid w:val="00825F1F"/>
    <w:rsid w:val="00826F12"/>
    <w:rsid w:val="0082737B"/>
    <w:rsid w:val="008315B1"/>
    <w:rsid w:val="00831B7D"/>
    <w:rsid w:val="00831D13"/>
    <w:rsid w:val="00834630"/>
    <w:rsid w:val="008350EE"/>
    <w:rsid w:val="00835769"/>
    <w:rsid w:val="00835AC3"/>
    <w:rsid w:val="00835FAA"/>
    <w:rsid w:val="008361AC"/>
    <w:rsid w:val="008363FB"/>
    <w:rsid w:val="008365FB"/>
    <w:rsid w:val="00836825"/>
    <w:rsid w:val="008370ED"/>
    <w:rsid w:val="00840CCB"/>
    <w:rsid w:val="008425D0"/>
    <w:rsid w:val="00842EDD"/>
    <w:rsid w:val="00845014"/>
    <w:rsid w:val="00845459"/>
    <w:rsid w:val="008479AC"/>
    <w:rsid w:val="0085194E"/>
    <w:rsid w:val="00851AD3"/>
    <w:rsid w:val="008521B2"/>
    <w:rsid w:val="00852F89"/>
    <w:rsid w:val="0085382A"/>
    <w:rsid w:val="00853863"/>
    <w:rsid w:val="00853886"/>
    <w:rsid w:val="00856786"/>
    <w:rsid w:val="008575C9"/>
    <w:rsid w:val="00861149"/>
    <w:rsid w:val="008611A9"/>
    <w:rsid w:val="00861756"/>
    <w:rsid w:val="00862329"/>
    <w:rsid w:val="00863951"/>
    <w:rsid w:val="008648C6"/>
    <w:rsid w:val="00864AA6"/>
    <w:rsid w:val="00865100"/>
    <w:rsid w:val="00866854"/>
    <w:rsid w:val="008703C7"/>
    <w:rsid w:val="008728F4"/>
    <w:rsid w:val="00872C7A"/>
    <w:rsid w:val="00873498"/>
    <w:rsid w:val="008750C0"/>
    <w:rsid w:val="00875D3E"/>
    <w:rsid w:val="0088206A"/>
    <w:rsid w:val="00882768"/>
    <w:rsid w:val="008834DC"/>
    <w:rsid w:val="008844F6"/>
    <w:rsid w:val="0088472E"/>
    <w:rsid w:val="00885D9F"/>
    <w:rsid w:val="008861F4"/>
    <w:rsid w:val="0088639B"/>
    <w:rsid w:val="008865BA"/>
    <w:rsid w:val="00886D9E"/>
    <w:rsid w:val="00895FB7"/>
    <w:rsid w:val="00897568"/>
    <w:rsid w:val="008A000E"/>
    <w:rsid w:val="008A175E"/>
    <w:rsid w:val="008A2AC7"/>
    <w:rsid w:val="008A37C6"/>
    <w:rsid w:val="008A524B"/>
    <w:rsid w:val="008A5AC3"/>
    <w:rsid w:val="008A7AA8"/>
    <w:rsid w:val="008A7F42"/>
    <w:rsid w:val="008B054C"/>
    <w:rsid w:val="008B086A"/>
    <w:rsid w:val="008B1BDF"/>
    <w:rsid w:val="008B2677"/>
    <w:rsid w:val="008B3441"/>
    <w:rsid w:val="008B4EE9"/>
    <w:rsid w:val="008B66E4"/>
    <w:rsid w:val="008B7393"/>
    <w:rsid w:val="008B7F94"/>
    <w:rsid w:val="008C0092"/>
    <w:rsid w:val="008C116A"/>
    <w:rsid w:val="008C1661"/>
    <w:rsid w:val="008C2D90"/>
    <w:rsid w:val="008C3017"/>
    <w:rsid w:val="008C31A8"/>
    <w:rsid w:val="008C356F"/>
    <w:rsid w:val="008C43C4"/>
    <w:rsid w:val="008C6198"/>
    <w:rsid w:val="008C621E"/>
    <w:rsid w:val="008D0751"/>
    <w:rsid w:val="008D14A7"/>
    <w:rsid w:val="008D16A3"/>
    <w:rsid w:val="008D317F"/>
    <w:rsid w:val="008D3CB8"/>
    <w:rsid w:val="008D48F1"/>
    <w:rsid w:val="008D4B51"/>
    <w:rsid w:val="008D5789"/>
    <w:rsid w:val="008D6C6C"/>
    <w:rsid w:val="008D750F"/>
    <w:rsid w:val="008E0370"/>
    <w:rsid w:val="008E27F0"/>
    <w:rsid w:val="008E3380"/>
    <w:rsid w:val="008E4802"/>
    <w:rsid w:val="008E4CFB"/>
    <w:rsid w:val="008E4D94"/>
    <w:rsid w:val="008E5D13"/>
    <w:rsid w:val="008E60AB"/>
    <w:rsid w:val="008E6184"/>
    <w:rsid w:val="008E6840"/>
    <w:rsid w:val="008F077C"/>
    <w:rsid w:val="008F3011"/>
    <w:rsid w:val="008F5A38"/>
    <w:rsid w:val="008F67F1"/>
    <w:rsid w:val="008F6BFF"/>
    <w:rsid w:val="008F7B6F"/>
    <w:rsid w:val="008F7DD4"/>
    <w:rsid w:val="008F7EB5"/>
    <w:rsid w:val="009001CE"/>
    <w:rsid w:val="0090036D"/>
    <w:rsid w:val="009003B7"/>
    <w:rsid w:val="00901FDC"/>
    <w:rsid w:val="0090239C"/>
    <w:rsid w:val="009029E0"/>
    <w:rsid w:val="00903E13"/>
    <w:rsid w:val="0090490D"/>
    <w:rsid w:val="00904ED1"/>
    <w:rsid w:val="0090550C"/>
    <w:rsid w:val="009063C1"/>
    <w:rsid w:val="009063E1"/>
    <w:rsid w:val="0090772E"/>
    <w:rsid w:val="00907E0B"/>
    <w:rsid w:val="009109EA"/>
    <w:rsid w:val="00911318"/>
    <w:rsid w:val="00911C77"/>
    <w:rsid w:val="00911E43"/>
    <w:rsid w:val="009132E2"/>
    <w:rsid w:val="0091380E"/>
    <w:rsid w:val="00914895"/>
    <w:rsid w:val="00915225"/>
    <w:rsid w:val="00915524"/>
    <w:rsid w:val="00916A93"/>
    <w:rsid w:val="00916E56"/>
    <w:rsid w:val="00917595"/>
    <w:rsid w:val="00921405"/>
    <w:rsid w:val="0092199B"/>
    <w:rsid w:val="009220EA"/>
    <w:rsid w:val="00922579"/>
    <w:rsid w:val="00922D76"/>
    <w:rsid w:val="0092327C"/>
    <w:rsid w:val="00923C54"/>
    <w:rsid w:val="0092496C"/>
    <w:rsid w:val="00927793"/>
    <w:rsid w:val="00927B14"/>
    <w:rsid w:val="00927EDB"/>
    <w:rsid w:val="009316FC"/>
    <w:rsid w:val="0093330F"/>
    <w:rsid w:val="009357C1"/>
    <w:rsid w:val="009378DB"/>
    <w:rsid w:val="00937D73"/>
    <w:rsid w:val="00937DFE"/>
    <w:rsid w:val="00941A65"/>
    <w:rsid w:val="00941E28"/>
    <w:rsid w:val="00943707"/>
    <w:rsid w:val="00943CDF"/>
    <w:rsid w:val="0094471C"/>
    <w:rsid w:val="00945008"/>
    <w:rsid w:val="009451CF"/>
    <w:rsid w:val="00945F9B"/>
    <w:rsid w:val="00950B1F"/>
    <w:rsid w:val="00952F68"/>
    <w:rsid w:val="0095376C"/>
    <w:rsid w:val="00953F63"/>
    <w:rsid w:val="00955505"/>
    <w:rsid w:val="00957A50"/>
    <w:rsid w:val="00961ADF"/>
    <w:rsid w:val="009626E1"/>
    <w:rsid w:val="00963352"/>
    <w:rsid w:val="00963912"/>
    <w:rsid w:val="00964024"/>
    <w:rsid w:val="009644F4"/>
    <w:rsid w:val="009648FE"/>
    <w:rsid w:val="009650F1"/>
    <w:rsid w:val="0096694E"/>
    <w:rsid w:val="009701DD"/>
    <w:rsid w:val="00973821"/>
    <w:rsid w:val="009740CF"/>
    <w:rsid w:val="009742B2"/>
    <w:rsid w:val="009746E2"/>
    <w:rsid w:val="00974E13"/>
    <w:rsid w:val="00974E1C"/>
    <w:rsid w:val="00975F03"/>
    <w:rsid w:val="00976FCB"/>
    <w:rsid w:val="00977643"/>
    <w:rsid w:val="00977678"/>
    <w:rsid w:val="00982348"/>
    <w:rsid w:val="00982A88"/>
    <w:rsid w:val="00983E44"/>
    <w:rsid w:val="00983FC3"/>
    <w:rsid w:val="00984392"/>
    <w:rsid w:val="00986344"/>
    <w:rsid w:val="0098696F"/>
    <w:rsid w:val="00986CB7"/>
    <w:rsid w:val="009906CA"/>
    <w:rsid w:val="0099102D"/>
    <w:rsid w:val="00992313"/>
    <w:rsid w:val="00992EA7"/>
    <w:rsid w:val="0099396B"/>
    <w:rsid w:val="00994311"/>
    <w:rsid w:val="00994B27"/>
    <w:rsid w:val="00994FA6"/>
    <w:rsid w:val="00995DCD"/>
    <w:rsid w:val="00996491"/>
    <w:rsid w:val="009967FC"/>
    <w:rsid w:val="009968B4"/>
    <w:rsid w:val="00996C02"/>
    <w:rsid w:val="00996E8F"/>
    <w:rsid w:val="009A1C7F"/>
    <w:rsid w:val="009A2BE3"/>
    <w:rsid w:val="009A2E14"/>
    <w:rsid w:val="009A334C"/>
    <w:rsid w:val="009A35ED"/>
    <w:rsid w:val="009A62C8"/>
    <w:rsid w:val="009A66A0"/>
    <w:rsid w:val="009B0924"/>
    <w:rsid w:val="009B1787"/>
    <w:rsid w:val="009B1F36"/>
    <w:rsid w:val="009B29AB"/>
    <w:rsid w:val="009B544C"/>
    <w:rsid w:val="009B6287"/>
    <w:rsid w:val="009B6ADF"/>
    <w:rsid w:val="009C03B1"/>
    <w:rsid w:val="009C0888"/>
    <w:rsid w:val="009C0D4F"/>
    <w:rsid w:val="009C20BE"/>
    <w:rsid w:val="009C2B43"/>
    <w:rsid w:val="009C2B94"/>
    <w:rsid w:val="009C361B"/>
    <w:rsid w:val="009C445F"/>
    <w:rsid w:val="009C4899"/>
    <w:rsid w:val="009C7637"/>
    <w:rsid w:val="009C7E2F"/>
    <w:rsid w:val="009D09AD"/>
    <w:rsid w:val="009D15FA"/>
    <w:rsid w:val="009D2145"/>
    <w:rsid w:val="009D402C"/>
    <w:rsid w:val="009D6152"/>
    <w:rsid w:val="009D65B0"/>
    <w:rsid w:val="009D77C4"/>
    <w:rsid w:val="009D7ED2"/>
    <w:rsid w:val="009E0032"/>
    <w:rsid w:val="009E308E"/>
    <w:rsid w:val="009E4A6C"/>
    <w:rsid w:val="009E5D0D"/>
    <w:rsid w:val="009E5DA5"/>
    <w:rsid w:val="009E764A"/>
    <w:rsid w:val="009E78DB"/>
    <w:rsid w:val="009E7EAB"/>
    <w:rsid w:val="009F0E0B"/>
    <w:rsid w:val="009F12EC"/>
    <w:rsid w:val="009F3086"/>
    <w:rsid w:val="009F499E"/>
    <w:rsid w:val="009F5C64"/>
    <w:rsid w:val="009F5C7D"/>
    <w:rsid w:val="009F6BEB"/>
    <w:rsid w:val="009F6F75"/>
    <w:rsid w:val="009F7382"/>
    <w:rsid w:val="009F7ACA"/>
    <w:rsid w:val="009F7D77"/>
    <w:rsid w:val="00A002BC"/>
    <w:rsid w:val="00A01069"/>
    <w:rsid w:val="00A01AC8"/>
    <w:rsid w:val="00A020D3"/>
    <w:rsid w:val="00A0302D"/>
    <w:rsid w:val="00A12352"/>
    <w:rsid w:val="00A13623"/>
    <w:rsid w:val="00A145F4"/>
    <w:rsid w:val="00A168C4"/>
    <w:rsid w:val="00A17A52"/>
    <w:rsid w:val="00A17C67"/>
    <w:rsid w:val="00A17E4E"/>
    <w:rsid w:val="00A205CF"/>
    <w:rsid w:val="00A208E0"/>
    <w:rsid w:val="00A20B83"/>
    <w:rsid w:val="00A20D65"/>
    <w:rsid w:val="00A22742"/>
    <w:rsid w:val="00A22ED5"/>
    <w:rsid w:val="00A23419"/>
    <w:rsid w:val="00A31FF8"/>
    <w:rsid w:val="00A33465"/>
    <w:rsid w:val="00A3404A"/>
    <w:rsid w:val="00A34716"/>
    <w:rsid w:val="00A367A1"/>
    <w:rsid w:val="00A36B62"/>
    <w:rsid w:val="00A379F5"/>
    <w:rsid w:val="00A40664"/>
    <w:rsid w:val="00A41052"/>
    <w:rsid w:val="00A43F34"/>
    <w:rsid w:val="00A43FC3"/>
    <w:rsid w:val="00A45FE5"/>
    <w:rsid w:val="00A46EEC"/>
    <w:rsid w:val="00A47149"/>
    <w:rsid w:val="00A47923"/>
    <w:rsid w:val="00A50394"/>
    <w:rsid w:val="00A50D11"/>
    <w:rsid w:val="00A524F6"/>
    <w:rsid w:val="00A53DBB"/>
    <w:rsid w:val="00A56B9C"/>
    <w:rsid w:val="00A607F0"/>
    <w:rsid w:val="00A60E3C"/>
    <w:rsid w:val="00A6189F"/>
    <w:rsid w:val="00A6270B"/>
    <w:rsid w:val="00A65EFC"/>
    <w:rsid w:val="00A67E47"/>
    <w:rsid w:val="00A70658"/>
    <w:rsid w:val="00A71A54"/>
    <w:rsid w:val="00A71BC3"/>
    <w:rsid w:val="00A731A9"/>
    <w:rsid w:val="00A7367A"/>
    <w:rsid w:val="00A743FA"/>
    <w:rsid w:val="00A7589A"/>
    <w:rsid w:val="00A76E48"/>
    <w:rsid w:val="00A77CC3"/>
    <w:rsid w:val="00A843B7"/>
    <w:rsid w:val="00A84F06"/>
    <w:rsid w:val="00A8694D"/>
    <w:rsid w:val="00A92309"/>
    <w:rsid w:val="00A94B0E"/>
    <w:rsid w:val="00A96B01"/>
    <w:rsid w:val="00A97627"/>
    <w:rsid w:val="00AA0BD2"/>
    <w:rsid w:val="00AA0D9A"/>
    <w:rsid w:val="00AA0DB2"/>
    <w:rsid w:val="00AA0F21"/>
    <w:rsid w:val="00AA351B"/>
    <w:rsid w:val="00AA417B"/>
    <w:rsid w:val="00AA4292"/>
    <w:rsid w:val="00AA4929"/>
    <w:rsid w:val="00AA4D47"/>
    <w:rsid w:val="00AA63C1"/>
    <w:rsid w:val="00AA798C"/>
    <w:rsid w:val="00AA79B2"/>
    <w:rsid w:val="00AB10A9"/>
    <w:rsid w:val="00AB1D70"/>
    <w:rsid w:val="00AB2F74"/>
    <w:rsid w:val="00AB47F0"/>
    <w:rsid w:val="00AB4883"/>
    <w:rsid w:val="00AB4F7D"/>
    <w:rsid w:val="00AC0125"/>
    <w:rsid w:val="00AC0314"/>
    <w:rsid w:val="00AC17EB"/>
    <w:rsid w:val="00AC1AC2"/>
    <w:rsid w:val="00AC1C86"/>
    <w:rsid w:val="00AC2081"/>
    <w:rsid w:val="00AC22A6"/>
    <w:rsid w:val="00AC2A92"/>
    <w:rsid w:val="00AC2E53"/>
    <w:rsid w:val="00AC5FC5"/>
    <w:rsid w:val="00AC6770"/>
    <w:rsid w:val="00AC76D6"/>
    <w:rsid w:val="00AD17E0"/>
    <w:rsid w:val="00AD316E"/>
    <w:rsid w:val="00AD404C"/>
    <w:rsid w:val="00AD4A8A"/>
    <w:rsid w:val="00AD549A"/>
    <w:rsid w:val="00AE0A34"/>
    <w:rsid w:val="00AE2E12"/>
    <w:rsid w:val="00AE3EE4"/>
    <w:rsid w:val="00AE592B"/>
    <w:rsid w:val="00AE5C14"/>
    <w:rsid w:val="00AE74A5"/>
    <w:rsid w:val="00AF05BB"/>
    <w:rsid w:val="00AF2B5B"/>
    <w:rsid w:val="00AF40BA"/>
    <w:rsid w:val="00AF4A84"/>
    <w:rsid w:val="00AF5BF1"/>
    <w:rsid w:val="00AF7EC2"/>
    <w:rsid w:val="00B01B34"/>
    <w:rsid w:val="00B0221C"/>
    <w:rsid w:val="00B02A3B"/>
    <w:rsid w:val="00B0387B"/>
    <w:rsid w:val="00B044E3"/>
    <w:rsid w:val="00B049F2"/>
    <w:rsid w:val="00B04B71"/>
    <w:rsid w:val="00B056B8"/>
    <w:rsid w:val="00B0601C"/>
    <w:rsid w:val="00B060FB"/>
    <w:rsid w:val="00B0768C"/>
    <w:rsid w:val="00B07FF8"/>
    <w:rsid w:val="00B10113"/>
    <w:rsid w:val="00B12573"/>
    <w:rsid w:val="00B132EB"/>
    <w:rsid w:val="00B1426F"/>
    <w:rsid w:val="00B14D48"/>
    <w:rsid w:val="00B15036"/>
    <w:rsid w:val="00B16455"/>
    <w:rsid w:val="00B17794"/>
    <w:rsid w:val="00B202C5"/>
    <w:rsid w:val="00B21866"/>
    <w:rsid w:val="00B2198B"/>
    <w:rsid w:val="00B21E45"/>
    <w:rsid w:val="00B23AFF"/>
    <w:rsid w:val="00B25DBF"/>
    <w:rsid w:val="00B26718"/>
    <w:rsid w:val="00B27BEC"/>
    <w:rsid w:val="00B27CEE"/>
    <w:rsid w:val="00B33FDC"/>
    <w:rsid w:val="00B349DE"/>
    <w:rsid w:val="00B353F6"/>
    <w:rsid w:val="00B35674"/>
    <w:rsid w:val="00B3629C"/>
    <w:rsid w:val="00B406DC"/>
    <w:rsid w:val="00B45277"/>
    <w:rsid w:val="00B4601D"/>
    <w:rsid w:val="00B46131"/>
    <w:rsid w:val="00B46A53"/>
    <w:rsid w:val="00B474EB"/>
    <w:rsid w:val="00B510E9"/>
    <w:rsid w:val="00B514F8"/>
    <w:rsid w:val="00B51CBE"/>
    <w:rsid w:val="00B54213"/>
    <w:rsid w:val="00B5424F"/>
    <w:rsid w:val="00B54996"/>
    <w:rsid w:val="00B55609"/>
    <w:rsid w:val="00B564B5"/>
    <w:rsid w:val="00B57F9F"/>
    <w:rsid w:val="00B61040"/>
    <w:rsid w:val="00B61AF2"/>
    <w:rsid w:val="00B63E49"/>
    <w:rsid w:val="00B64ABD"/>
    <w:rsid w:val="00B650EE"/>
    <w:rsid w:val="00B65B03"/>
    <w:rsid w:val="00B66E66"/>
    <w:rsid w:val="00B671EF"/>
    <w:rsid w:val="00B675E3"/>
    <w:rsid w:val="00B70ACD"/>
    <w:rsid w:val="00B7129B"/>
    <w:rsid w:val="00B718B3"/>
    <w:rsid w:val="00B72C7E"/>
    <w:rsid w:val="00B73CE5"/>
    <w:rsid w:val="00B742C1"/>
    <w:rsid w:val="00B74645"/>
    <w:rsid w:val="00B7502E"/>
    <w:rsid w:val="00B7770B"/>
    <w:rsid w:val="00B80EB1"/>
    <w:rsid w:val="00B80F25"/>
    <w:rsid w:val="00B8207E"/>
    <w:rsid w:val="00B82724"/>
    <w:rsid w:val="00B82D74"/>
    <w:rsid w:val="00B84B64"/>
    <w:rsid w:val="00B8501D"/>
    <w:rsid w:val="00B85D8E"/>
    <w:rsid w:val="00B87AFC"/>
    <w:rsid w:val="00B87B98"/>
    <w:rsid w:val="00B90677"/>
    <w:rsid w:val="00B915A5"/>
    <w:rsid w:val="00B93800"/>
    <w:rsid w:val="00B94880"/>
    <w:rsid w:val="00B95244"/>
    <w:rsid w:val="00B9537F"/>
    <w:rsid w:val="00B963EC"/>
    <w:rsid w:val="00B96D85"/>
    <w:rsid w:val="00B96DA4"/>
    <w:rsid w:val="00BA008C"/>
    <w:rsid w:val="00BA2158"/>
    <w:rsid w:val="00BA2644"/>
    <w:rsid w:val="00BA3EBD"/>
    <w:rsid w:val="00BA506E"/>
    <w:rsid w:val="00BA63A8"/>
    <w:rsid w:val="00BA6A69"/>
    <w:rsid w:val="00BA7C45"/>
    <w:rsid w:val="00BB030B"/>
    <w:rsid w:val="00BB07D2"/>
    <w:rsid w:val="00BB0DA0"/>
    <w:rsid w:val="00BB23DA"/>
    <w:rsid w:val="00BB3974"/>
    <w:rsid w:val="00BB4AB9"/>
    <w:rsid w:val="00BB7482"/>
    <w:rsid w:val="00BB77FC"/>
    <w:rsid w:val="00BB786E"/>
    <w:rsid w:val="00BC133F"/>
    <w:rsid w:val="00BC29F4"/>
    <w:rsid w:val="00BC3E63"/>
    <w:rsid w:val="00BC507F"/>
    <w:rsid w:val="00BC51EF"/>
    <w:rsid w:val="00BC7F34"/>
    <w:rsid w:val="00BD1850"/>
    <w:rsid w:val="00BD185B"/>
    <w:rsid w:val="00BD2DFA"/>
    <w:rsid w:val="00BD4821"/>
    <w:rsid w:val="00BD50BD"/>
    <w:rsid w:val="00BD51C5"/>
    <w:rsid w:val="00BD5638"/>
    <w:rsid w:val="00BD5A82"/>
    <w:rsid w:val="00BD6AF0"/>
    <w:rsid w:val="00BD6D89"/>
    <w:rsid w:val="00BE1410"/>
    <w:rsid w:val="00BE2A47"/>
    <w:rsid w:val="00BE5BBE"/>
    <w:rsid w:val="00BE6B3D"/>
    <w:rsid w:val="00BE6DED"/>
    <w:rsid w:val="00BE71FC"/>
    <w:rsid w:val="00BE72C2"/>
    <w:rsid w:val="00BE7E54"/>
    <w:rsid w:val="00BF02D2"/>
    <w:rsid w:val="00BF0E94"/>
    <w:rsid w:val="00BF1ACA"/>
    <w:rsid w:val="00BF2A21"/>
    <w:rsid w:val="00BF354C"/>
    <w:rsid w:val="00BF3B27"/>
    <w:rsid w:val="00BF4AD6"/>
    <w:rsid w:val="00BF4E76"/>
    <w:rsid w:val="00BF725A"/>
    <w:rsid w:val="00C01134"/>
    <w:rsid w:val="00C0275A"/>
    <w:rsid w:val="00C02DDC"/>
    <w:rsid w:val="00C0334A"/>
    <w:rsid w:val="00C03D67"/>
    <w:rsid w:val="00C04079"/>
    <w:rsid w:val="00C05FFE"/>
    <w:rsid w:val="00C06146"/>
    <w:rsid w:val="00C06CB1"/>
    <w:rsid w:val="00C07602"/>
    <w:rsid w:val="00C15C4D"/>
    <w:rsid w:val="00C16510"/>
    <w:rsid w:val="00C16DE4"/>
    <w:rsid w:val="00C17A14"/>
    <w:rsid w:val="00C202AE"/>
    <w:rsid w:val="00C206DD"/>
    <w:rsid w:val="00C213C3"/>
    <w:rsid w:val="00C22388"/>
    <w:rsid w:val="00C2279D"/>
    <w:rsid w:val="00C2472C"/>
    <w:rsid w:val="00C2586B"/>
    <w:rsid w:val="00C270ED"/>
    <w:rsid w:val="00C318F3"/>
    <w:rsid w:val="00C3288A"/>
    <w:rsid w:val="00C336A7"/>
    <w:rsid w:val="00C350B9"/>
    <w:rsid w:val="00C35D74"/>
    <w:rsid w:val="00C35DC3"/>
    <w:rsid w:val="00C36282"/>
    <w:rsid w:val="00C37840"/>
    <w:rsid w:val="00C421C7"/>
    <w:rsid w:val="00C423E9"/>
    <w:rsid w:val="00C42CC8"/>
    <w:rsid w:val="00C447D1"/>
    <w:rsid w:val="00C44C4B"/>
    <w:rsid w:val="00C4529C"/>
    <w:rsid w:val="00C471F4"/>
    <w:rsid w:val="00C4753C"/>
    <w:rsid w:val="00C47BC3"/>
    <w:rsid w:val="00C51998"/>
    <w:rsid w:val="00C523BF"/>
    <w:rsid w:val="00C523E9"/>
    <w:rsid w:val="00C528A8"/>
    <w:rsid w:val="00C52D7C"/>
    <w:rsid w:val="00C52F69"/>
    <w:rsid w:val="00C543F0"/>
    <w:rsid w:val="00C54C55"/>
    <w:rsid w:val="00C54D03"/>
    <w:rsid w:val="00C556C1"/>
    <w:rsid w:val="00C57AC2"/>
    <w:rsid w:val="00C57E2C"/>
    <w:rsid w:val="00C6092E"/>
    <w:rsid w:val="00C628C0"/>
    <w:rsid w:val="00C634DB"/>
    <w:rsid w:val="00C64967"/>
    <w:rsid w:val="00C6517F"/>
    <w:rsid w:val="00C651E1"/>
    <w:rsid w:val="00C66297"/>
    <w:rsid w:val="00C66C2C"/>
    <w:rsid w:val="00C66C43"/>
    <w:rsid w:val="00C70B4E"/>
    <w:rsid w:val="00C72887"/>
    <w:rsid w:val="00C72BE5"/>
    <w:rsid w:val="00C72DE5"/>
    <w:rsid w:val="00C741AD"/>
    <w:rsid w:val="00C741CA"/>
    <w:rsid w:val="00C801F4"/>
    <w:rsid w:val="00C803F6"/>
    <w:rsid w:val="00C86D4F"/>
    <w:rsid w:val="00C87A56"/>
    <w:rsid w:val="00C87AB9"/>
    <w:rsid w:val="00C87F67"/>
    <w:rsid w:val="00C909EE"/>
    <w:rsid w:val="00C926B2"/>
    <w:rsid w:val="00C92911"/>
    <w:rsid w:val="00C93078"/>
    <w:rsid w:val="00C94097"/>
    <w:rsid w:val="00C97014"/>
    <w:rsid w:val="00CA1B2E"/>
    <w:rsid w:val="00CA302E"/>
    <w:rsid w:val="00CA44DD"/>
    <w:rsid w:val="00CA751F"/>
    <w:rsid w:val="00CB0CF0"/>
    <w:rsid w:val="00CB1185"/>
    <w:rsid w:val="00CB2934"/>
    <w:rsid w:val="00CB2AD5"/>
    <w:rsid w:val="00CB3150"/>
    <w:rsid w:val="00CB35E1"/>
    <w:rsid w:val="00CB5AF6"/>
    <w:rsid w:val="00CB6ED0"/>
    <w:rsid w:val="00CB711D"/>
    <w:rsid w:val="00CB7668"/>
    <w:rsid w:val="00CC14EE"/>
    <w:rsid w:val="00CC1D50"/>
    <w:rsid w:val="00CC2CDD"/>
    <w:rsid w:val="00CC7319"/>
    <w:rsid w:val="00CC7CA9"/>
    <w:rsid w:val="00CD01F1"/>
    <w:rsid w:val="00CD0F16"/>
    <w:rsid w:val="00CD130B"/>
    <w:rsid w:val="00CD3778"/>
    <w:rsid w:val="00CD3C98"/>
    <w:rsid w:val="00CD43A1"/>
    <w:rsid w:val="00CD578E"/>
    <w:rsid w:val="00CD724F"/>
    <w:rsid w:val="00CD7638"/>
    <w:rsid w:val="00CD7AF4"/>
    <w:rsid w:val="00CD7EBC"/>
    <w:rsid w:val="00CE05AD"/>
    <w:rsid w:val="00CE1271"/>
    <w:rsid w:val="00CE29BC"/>
    <w:rsid w:val="00CE2ACE"/>
    <w:rsid w:val="00CE33DC"/>
    <w:rsid w:val="00CE3DFA"/>
    <w:rsid w:val="00CE40EB"/>
    <w:rsid w:val="00CE4A94"/>
    <w:rsid w:val="00CE67C1"/>
    <w:rsid w:val="00CE7152"/>
    <w:rsid w:val="00CE7BA9"/>
    <w:rsid w:val="00CF1289"/>
    <w:rsid w:val="00CF12D7"/>
    <w:rsid w:val="00CF3AC0"/>
    <w:rsid w:val="00CF6EEA"/>
    <w:rsid w:val="00CF7289"/>
    <w:rsid w:val="00CF73ED"/>
    <w:rsid w:val="00CF77FA"/>
    <w:rsid w:val="00CF7A5A"/>
    <w:rsid w:val="00CF7D28"/>
    <w:rsid w:val="00D0002E"/>
    <w:rsid w:val="00D01138"/>
    <w:rsid w:val="00D01470"/>
    <w:rsid w:val="00D03DD0"/>
    <w:rsid w:val="00D057B3"/>
    <w:rsid w:val="00D07D1B"/>
    <w:rsid w:val="00D11761"/>
    <w:rsid w:val="00D13CFF"/>
    <w:rsid w:val="00D146C4"/>
    <w:rsid w:val="00D156B7"/>
    <w:rsid w:val="00D1754D"/>
    <w:rsid w:val="00D17C14"/>
    <w:rsid w:val="00D20112"/>
    <w:rsid w:val="00D2137C"/>
    <w:rsid w:val="00D21B44"/>
    <w:rsid w:val="00D22E6C"/>
    <w:rsid w:val="00D22FD7"/>
    <w:rsid w:val="00D23188"/>
    <w:rsid w:val="00D23192"/>
    <w:rsid w:val="00D23439"/>
    <w:rsid w:val="00D23BE8"/>
    <w:rsid w:val="00D24F34"/>
    <w:rsid w:val="00D24F8E"/>
    <w:rsid w:val="00D258DE"/>
    <w:rsid w:val="00D25C1D"/>
    <w:rsid w:val="00D26097"/>
    <w:rsid w:val="00D276C3"/>
    <w:rsid w:val="00D307D2"/>
    <w:rsid w:val="00D33DE9"/>
    <w:rsid w:val="00D349D2"/>
    <w:rsid w:val="00D35584"/>
    <w:rsid w:val="00D36879"/>
    <w:rsid w:val="00D37284"/>
    <w:rsid w:val="00D372F7"/>
    <w:rsid w:val="00D37336"/>
    <w:rsid w:val="00D37B67"/>
    <w:rsid w:val="00D40F97"/>
    <w:rsid w:val="00D453DF"/>
    <w:rsid w:val="00D466DF"/>
    <w:rsid w:val="00D5147E"/>
    <w:rsid w:val="00D527E4"/>
    <w:rsid w:val="00D543A4"/>
    <w:rsid w:val="00D546C2"/>
    <w:rsid w:val="00D55F37"/>
    <w:rsid w:val="00D57265"/>
    <w:rsid w:val="00D5772D"/>
    <w:rsid w:val="00D61812"/>
    <w:rsid w:val="00D62861"/>
    <w:rsid w:val="00D633AA"/>
    <w:rsid w:val="00D63506"/>
    <w:rsid w:val="00D657DA"/>
    <w:rsid w:val="00D6659B"/>
    <w:rsid w:val="00D70E8C"/>
    <w:rsid w:val="00D7293D"/>
    <w:rsid w:val="00D730A5"/>
    <w:rsid w:val="00D73B89"/>
    <w:rsid w:val="00D74B38"/>
    <w:rsid w:val="00D74E55"/>
    <w:rsid w:val="00D7644A"/>
    <w:rsid w:val="00D77CA2"/>
    <w:rsid w:val="00D815E2"/>
    <w:rsid w:val="00D8194B"/>
    <w:rsid w:val="00D8268A"/>
    <w:rsid w:val="00D837C0"/>
    <w:rsid w:val="00D84BDB"/>
    <w:rsid w:val="00D876BA"/>
    <w:rsid w:val="00D87B8C"/>
    <w:rsid w:val="00D91056"/>
    <w:rsid w:val="00D9109D"/>
    <w:rsid w:val="00D9358E"/>
    <w:rsid w:val="00D93ECC"/>
    <w:rsid w:val="00D942AF"/>
    <w:rsid w:val="00D94399"/>
    <w:rsid w:val="00D94AA8"/>
    <w:rsid w:val="00D956CA"/>
    <w:rsid w:val="00D979D7"/>
    <w:rsid w:val="00DA2DE9"/>
    <w:rsid w:val="00DA2ECB"/>
    <w:rsid w:val="00DA36E1"/>
    <w:rsid w:val="00DA3AE3"/>
    <w:rsid w:val="00DA4F32"/>
    <w:rsid w:val="00DA64F7"/>
    <w:rsid w:val="00DB0696"/>
    <w:rsid w:val="00DB0F5A"/>
    <w:rsid w:val="00DB0FCD"/>
    <w:rsid w:val="00DB1894"/>
    <w:rsid w:val="00DB18E4"/>
    <w:rsid w:val="00DB2522"/>
    <w:rsid w:val="00DB26AF"/>
    <w:rsid w:val="00DB5CC1"/>
    <w:rsid w:val="00DC0EAF"/>
    <w:rsid w:val="00DC306F"/>
    <w:rsid w:val="00DC55FB"/>
    <w:rsid w:val="00DC5D6C"/>
    <w:rsid w:val="00DC6299"/>
    <w:rsid w:val="00DC6F2C"/>
    <w:rsid w:val="00DC7134"/>
    <w:rsid w:val="00DD088A"/>
    <w:rsid w:val="00DD0B73"/>
    <w:rsid w:val="00DD265E"/>
    <w:rsid w:val="00DD433A"/>
    <w:rsid w:val="00DD5C77"/>
    <w:rsid w:val="00DD6400"/>
    <w:rsid w:val="00DE0566"/>
    <w:rsid w:val="00DE0B98"/>
    <w:rsid w:val="00DE2310"/>
    <w:rsid w:val="00DE258A"/>
    <w:rsid w:val="00DE2C16"/>
    <w:rsid w:val="00DE3DEE"/>
    <w:rsid w:val="00DE5BD9"/>
    <w:rsid w:val="00DE5DF1"/>
    <w:rsid w:val="00DE5E2E"/>
    <w:rsid w:val="00DE6B93"/>
    <w:rsid w:val="00DF1990"/>
    <w:rsid w:val="00DF1C2E"/>
    <w:rsid w:val="00DF3502"/>
    <w:rsid w:val="00DF3E5C"/>
    <w:rsid w:val="00DF5320"/>
    <w:rsid w:val="00DF604C"/>
    <w:rsid w:val="00DF628C"/>
    <w:rsid w:val="00DF6850"/>
    <w:rsid w:val="00DF7B74"/>
    <w:rsid w:val="00E008EB"/>
    <w:rsid w:val="00E02254"/>
    <w:rsid w:val="00E02583"/>
    <w:rsid w:val="00E02C14"/>
    <w:rsid w:val="00E02F34"/>
    <w:rsid w:val="00E0433F"/>
    <w:rsid w:val="00E04C1B"/>
    <w:rsid w:val="00E051E9"/>
    <w:rsid w:val="00E05CC4"/>
    <w:rsid w:val="00E077B7"/>
    <w:rsid w:val="00E10DEA"/>
    <w:rsid w:val="00E11335"/>
    <w:rsid w:val="00E14E5E"/>
    <w:rsid w:val="00E1706C"/>
    <w:rsid w:val="00E20451"/>
    <w:rsid w:val="00E224A8"/>
    <w:rsid w:val="00E23C8B"/>
    <w:rsid w:val="00E2409E"/>
    <w:rsid w:val="00E24991"/>
    <w:rsid w:val="00E26D8D"/>
    <w:rsid w:val="00E27713"/>
    <w:rsid w:val="00E306EA"/>
    <w:rsid w:val="00E3197B"/>
    <w:rsid w:val="00E31993"/>
    <w:rsid w:val="00E31A9E"/>
    <w:rsid w:val="00E324C4"/>
    <w:rsid w:val="00E32B10"/>
    <w:rsid w:val="00E32E4C"/>
    <w:rsid w:val="00E33134"/>
    <w:rsid w:val="00E345ED"/>
    <w:rsid w:val="00E351FF"/>
    <w:rsid w:val="00E35F36"/>
    <w:rsid w:val="00E375C7"/>
    <w:rsid w:val="00E3797D"/>
    <w:rsid w:val="00E40276"/>
    <w:rsid w:val="00E4099D"/>
    <w:rsid w:val="00E4127E"/>
    <w:rsid w:val="00E42E30"/>
    <w:rsid w:val="00E43AA5"/>
    <w:rsid w:val="00E454E9"/>
    <w:rsid w:val="00E461EC"/>
    <w:rsid w:val="00E53FE3"/>
    <w:rsid w:val="00E540AA"/>
    <w:rsid w:val="00E553FF"/>
    <w:rsid w:val="00E5570E"/>
    <w:rsid w:val="00E55FD7"/>
    <w:rsid w:val="00E571FD"/>
    <w:rsid w:val="00E608CE"/>
    <w:rsid w:val="00E60D9D"/>
    <w:rsid w:val="00E60F07"/>
    <w:rsid w:val="00E60F1A"/>
    <w:rsid w:val="00E61F1A"/>
    <w:rsid w:val="00E61F3C"/>
    <w:rsid w:val="00E62D6B"/>
    <w:rsid w:val="00E631BD"/>
    <w:rsid w:val="00E63319"/>
    <w:rsid w:val="00E637C2"/>
    <w:rsid w:val="00E649E6"/>
    <w:rsid w:val="00E6569E"/>
    <w:rsid w:val="00E67438"/>
    <w:rsid w:val="00E6754A"/>
    <w:rsid w:val="00E72556"/>
    <w:rsid w:val="00E72F59"/>
    <w:rsid w:val="00E73263"/>
    <w:rsid w:val="00E73415"/>
    <w:rsid w:val="00E75E71"/>
    <w:rsid w:val="00E762E2"/>
    <w:rsid w:val="00E77657"/>
    <w:rsid w:val="00E809A7"/>
    <w:rsid w:val="00E809F8"/>
    <w:rsid w:val="00E80A67"/>
    <w:rsid w:val="00E816FC"/>
    <w:rsid w:val="00E819BC"/>
    <w:rsid w:val="00E829C0"/>
    <w:rsid w:val="00E82B54"/>
    <w:rsid w:val="00E8305E"/>
    <w:rsid w:val="00E854EE"/>
    <w:rsid w:val="00E86473"/>
    <w:rsid w:val="00E876B0"/>
    <w:rsid w:val="00E909CF"/>
    <w:rsid w:val="00E912F3"/>
    <w:rsid w:val="00E91823"/>
    <w:rsid w:val="00E94E66"/>
    <w:rsid w:val="00E9686C"/>
    <w:rsid w:val="00EA19FB"/>
    <w:rsid w:val="00EA201C"/>
    <w:rsid w:val="00EA2483"/>
    <w:rsid w:val="00EA4146"/>
    <w:rsid w:val="00EA4197"/>
    <w:rsid w:val="00EA4DFE"/>
    <w:rsid w:val="00EA53AB"/>
    <w:rsid w:val="00EA581C"/>
    <w:rsid w:val="00EA5BD9"/>
    <w:rsid w:val="00EA68FF"/>
    <w:rsid w:val="00EA785D"/>
    <w:rsid w:val="00EA7FEB"/>
    <w:rsid w:val="00EB1F64"/>
    <w:rsid w:val="00EB2180"/>
    <w:rsid w:val="00EB43FF"/>
    <w:rsid w:val="00EB461B"/>
    <w:rsid w:val="00EB4DD6"/>
    <w:rsid w:val="00EB567F"/>
    <w:rsid w:val="00EB5E2A"/>
    <w:rsid w:val="00EB5F69"/>
    <w:rsid w:val="00EB705D"/>
    <w:rsid w:val="00EB76CF"/>
    <w:rsid w:val="00EC0440"/>
    <w:rsid w:val="00EC2584"/>
    <w:rsid w:val="00EC6147"/>
    <w:rsid w:val="00EC75DE"/>
    <w:rsid w:val="00EC7AF2"/>
    <w:rsid w:val="00ED0B9F"/>
    <w:rsid w:val="00ED3907"/>
    <w:rsid w:val="00ED4245"/>
    <w:rsid w:val="00EE191A"/>
    <w:rsid w:val="00EE1E26"/>
    <w:rsid w:val="00EE3950"/>
    <w:rsid w:val="00EE3F9B"/>
    <w:rsid w:val="00EE581F"/>
    <w:rsid w:val="00EE5EC6"/>
    <w:rsid w:val="00EE710A"/>
    <w:rsid w:val="00EF01BD"/>
    <w:rsid w:val="00EF0550"/>
    <w:rsid w:val="00EF0DA2"/>
    <w:rsid w:val="00EF0E65"/>
    <w:rsid w:val="00EF1256"/>
    <w:rsid w:val="00EF26A6"/>
    <w:rsid w:val="00EF2B8E"/>
    <w:rsid w:val="00EF2C2A"/>
    <w:rsid w:val="00EF39B9"/>
    <w:rsid w:val="00EF5030"/>
    <w:rsid w:val="00EF5BA1"/>
    <w:rsid w:val="00EF5E8B"/>
    <w:rsid w:val="00EF6AEF"/>
    <w:rsid w:val="00EF6CD8"/>
    <w:rsid w:val="00EF7491"/>
    <w:rsid w:val="00EF7D0F"/>
    <w:rsid w:val="00F01B9A"/>
    <w:rsid w:val="00F03B75"/>
    <w:rsid w:val="00F0489E"/>
    <w:rsid w:val="00F04FF6"/>
    <w:rsid w:val="00F05E97"/>
    <w:rsid w:val="00F06A9F"/>
    <w:rsid w:val="00F06C70"/>
    <w:rsid w:val="00F06ECD"/>
    <w:rsid w:val="00F10524"/>
    <w:rsid w:val="00F10DBD"/>
    <w:rsid w:val="00F112B9"/>
    <w:rsid w:val="00F11C7C"/>
    <w:rsid w:val="00F125A1"/>
    <w:rsid w:val="00F17647"/>
    <w:rsid w:val="00F17A7E"/>
    <w:rsid w:val="00F20A0C"/>
    <w:rsid w:val="00F20AE2"/>
    <w:rsid w:val="00F20BDE"/>
    <w:rsid w:val="00F21C36"/>
    <w:rsid w:val="00F225A1"/>
    <w:rsid w:val="00F22AE3"/>
    <w:rsid w:val="00F2311A"/>
    <w:rsid w:val="00F24E83"/>
    <w:rsid w:val="00F30A0D"/>
    <w:rsid w:val="00F30BF2"/>
    <w:rsid w:val="00F31390"/>
    <w:rsid w:val="00F336E3"/>
    <w:rsid w:val="00F349EA"/>
    <w:rsid w:val="00F36055"/>
    <w:rsid w:val="00F374D1"/>
    <w:rsid w:val="00F40587"/>
    <w:rsid w:val="00F40B82"/>
    <w:rsid w:val="00F413B0"/>
    <w:rsid w:val="00F41C90"/>
    <w:rsid w:val="00F425ED"/>
    <w:rsid w:val="00F43980"/>
    <w:rsid w:val="00F4477E"/>
    <w:rsid w:val="00F4556E"/>
    <w:rsid w:val="00F46F81"/>
    <w:rsid w:val="00F473F7"/>
    <w:rsid w:val="00F47543"/>
    <w:rsid w:val="00F47FA2"/>
    <w:rsid w:val="00F5139C"/>
    <w:rsid w:val="00F51941"/>
    <w:rsid w:val="00F54FD1"/>
    <w:rsid w:val="00F559BD"/>
    <w:rsid w:val="00F562E9"/>
    <w:rsid w:val="00F578DB"/>
    <w:rsid w:val="00F6110E"/>
    <w:rsid w:val="00F628CA"/>
    <w:rsid w:val="00F63DE5"/>
    <w:rsid w:val="00F7002A"/>
    <w:rsid w:val="00F703A7"/>
    <w:rsid w:val="00F70B81"/>
    <w:rsid w:val="00F71EEF"/>
    <w:rsid w:val="00F72DC9"/>
    <w:rsid w:val="00F72F07"/>
    <w:rsid w:val="00F7617D"/>
    <w:rsid w:val="00F80828"/>
    <w:rsid w:val="00F81D80"/>
    <w:rsid w:val="00F82B90"/>
    <w:rsid w:val="00F82F95"/>
    <w:rsid w:val="00F84318"/>
    <w:rsid w:val="00F849DD"/>
    <w:rsid w:val="00F86D76"/>
    <w:rsid w:val="00F86D84"/>
    <w:rsid w:val="00F87F2A"/>
    <w:rsid w:val="00F90054"/>
    <w:rsid w:val="00F902EA"/>
    <w:rsid w:val="00F9079A"/>
    <w:rsid w:val="00F9122C"/>
    <w:rsid w:val="00F916A9"/>
    <w:rsid w:val="00F92075"/>
    <w:rsid w:val="00F923B9"/>
    <w:rsid w:val="00F92492"/>
    <w:rsid w:val="00F92EAD"/>
    <w:rsid w:val="00F94AAD"/>
    <w:rsid w:val="00F94B2F"/>
    <w:rsid w:val="00F964A2"/>
    <w:rsid w:val="00F96B4C"/>
    <w:rsid w:val="00F9702F"/>
    <w:rsid w:val="00FA22CE"/>
    <w:rsid w:val="00FA2A34"/>
    <w:rsid w:val="00FA2C41"/>
    <w:rsid w:val="00FA327B"/>
    <w:rsid w:val="00FA361A"/>
    <w:rsid w:val="00FA7671"/>
    <w:rsid w:val="00FA78A5"/>
    <w:rsid w:val="00FA7F69"/>
    <w:rsid w:val="00FB0E35"/>
    <w:rsid w:val="00FB4507"/>
    <w:rsid w:val="00FB537B"/>
    <w:rsid w:val="00FB653A"/>
    <w:rsid w:val="00FB6D1C"/>
    <w:rsid w:val="00FB6EA0"/>
    <w:rsid w:val="00FC096B"/>
    <w:rsid w:val="00FC11D2"/>
    <w:rsid w:val="00FC144B"/>
    <w:rsid w:val="00FC1B13"/>
    <w:rsid w:val="00FC480D"/>
    <w:rsid w:val="00FC4897"/>
    <w:rsid w:val="00FC4A4D"/>
    <w:rsid w:val="00FC59B4"/>
    <w:rsid w:val="00FC7F84"/>
    <w:rsid w:val="00FD0108"/>
    <w:rsid w:val="00FD0163"/>
    <w:rsid w:val="00FD0975"/>
    <w:rsid w:val="00FD0B40"/>
    <w:rsid w:val="00FD22CA"/>
    <w:rsid w:val="00FD307F"/>
    <w:rsid w:val="00FD36D9"/>
    <w:rsid w:val="00FD3A5F"/>
    <w:rsid w:val="00FD446F"/>
    <w:rsid w:val="00FD5450"/>
    <w:rsid w:val="00FD5D52"/>
    <w:rsid w:val="00FD5DA4"/>
    <w:rsid w:val="00FD6C3A"/>
    <w:rsid w:val="00FE04FB"/>
    <w:rsid w:val="00FE25A4"/>
    <w:rsid w:val="00FE338D"/>
    <w:rsid w:val="00FE39FC"/>
    <w:rsid w:val="00FE470D"/>
    <w:rsid w:val="00FE7368"/>
    <w:rsid w:val="00FF32B4"/>
    <w:rsid w:val="00FF33D9"/>
    <w:rsid w:val="00FF3B3E"/>
    <w:rsid w:val="00FF7701"/>
    <w:rsid w:val="00FF7B5C"/>
    <w:rsid w:val="00FF7C01"/>
    <w:rsid w:val="01C75007"/>
    <w:rsid w:val="0658751F"/>
    <w:rsid w:val="074C43D0"/>
    <w:rsid w:val="08D6430E"/>
    <w:rsid w:val="0DA550F6"/>
    <w:rsid w:val="0F8C0C86"/>
    <w:rsid w:val="10964950"/>
    <w:rsid w:val="128052E4"/>
    <w:rsid w:val="130F661F"/>
    <w:rsid w:val="1A521CAA"/>
    <w:rsid w:val="1B3360F3"/>
    <w:rsid w:val="1D86344E"/>
    <w:rsid w:val="1E5F2327"/>
    <w:rsid w:val="1FD15AD3"/>
    <w:rsid w:val="20490B2A"/>
    <w:rsid w:val="208F3845"/>
    <w:rsid w:val="20FD539D"/>
    <w:rsid w:val="21251920"/>
    <w:rsid w:val="21537E7A"/>
    <w:rsid w:val="22AB1570"/>
    <w:rsid w:val="270E2E3A"/>
    <w:rsid w:val="278F00B4"/>
    <w:rsid w:val="282703F6"/>
    <w:rsid w:val="28694889"/>
    <w:rsid w:val="2D652A65"/>
    <w:rsid w:val="2FD4332A"/>
    <w:rsid w:val="32331A68"/>
    <w:rsid w:val="36CC2FC8"/>
    <w:rsid w:val="3A1E15E9"/>
    <w:rsid w:val="40441C55"/>
    <w:rsid w:val="42D72E76"/>
    <w:rsid w:val="43B82422"/>
    <w:rsid w:val="43FD0518"/>
    <w:rsid w:val="44114BD2"/>
    <w:rsid w:val="44AF442E"/>
    <w:rsid w:val="45EC6DF7"/>
    <w:rsid w:val="468C4A80"/>
    <w:rsid w:val="470754C4"/>
    <w:rsid w:val="47815CEF"/>
    <w:rsid w:val="4CEF31A7"/>
    <w:rsid w:val="4DBD2C3E"/>
    <w:rsid w:val="4F3C0679"/>
    <w:rsid w:val="4FFC4655"/>
    <w:rsid w:val="50290937"/>
    <w:rsid w:val="53976D7F"/>
    <w:rsid w:val="55ED720C"/>
    <w:rsid w:val="5C151671"/>
    <w:rsid w:val="5CC07D43"/>
    <w:rsid w:val="5E846B63"/>
    <w:rsid w:val="5F740409"/>
    <w:rsid w:val="5F812DCB"/>
    <w:rsid w:val="637F7363"/>
    <w:rsid w:val="64A34131"/>
    <w:rsid w:val="65811C2A"/>
    <w:rsid w:val="65975A47"/>
    <w:rsid w:val="6698328A"/>
    <w:rsid w:val="66D02EB0"/>
    <w:rsid w:val="69B60E66"/>
    <w:rsid w:val="6AAF1EF1"/>
    <w:rsid w:val="6B1D73BD"/>
    <w:rsid w:val="6C866B6E"/>
    <w:rsid w:val="6E18674A"/>
    <w:rsid w:val="6E78778A"/>
    <w:rsid w:val="6EF60D15"/>
    <w:rsid w:val="705653EF"/>
    <w:rsid w:val="718E6AA8"/>
    <w:rsid w:val="71F77EA6"/>
    <w:rsid w:val="71FF0ED0"/>
    <w:rsid w:val="728C49AA"/>
    <w:rsid w:val="730A1CDF"/>
    <w:rsid w:val="733C199A"/>
    <w:rsid w:val="7373274B"/>
    <w:rsid w:val="7458112A"/>
    <w:rsid w:val="75585A14"/>
    <w:rsid w:val="76AF329B"/>
    <w:rsid w:val="77AF44DB"/>
    <w:rsid w:val="78DF65FC"/>
    <w:rsid w:val="79CA18A7"/>
    <w:rsid w:val="7AE623A1"/>
    <w:rsid w:val="7B740CDA"/>
    <w:rsid w:val="7E0B02B1"/>
    <w:rsid w:val="7F28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2">
    <w:name w:val="heading 1"/>
    <w:basedOn w:val="1"/>
    <w:next w:val="1"/>
    <w:link w:val="52"/>
    <w:qFormat/>
    <w:uiPriority w:val="0"/>
    <w:pPr>
      <w:keepNext/>
      <w:keepLines/>
      <w:numPr>
        <w:ilvl w:val="0"/>
        <w:numId w:val="1"/>
      </w:numPr>
      <w:tabs>
        <w:tab w:val="left" w:pos="1080"/>
      </w:tabs>
      <w:spacing w:before="340" w:after="330" w:line="576" w:lineRule="auto"/>
      <w:outlineLvl w:val="0"/>
    </w:pPr>
    <w:rPr>
      <w:rFonts w:ascii="Arial" w:hAnsi="Arial" w:cs="Arial"/>
      <w:b/>
      <w:sz w:val="30"/>
      <w:szCs w:val="44"/>
    </w:rPr>
  </w:style>
  <w:style w:type="paragraph" w:styleId="3">
    <w:name w:val="heading 2"/>
    <w:basedOn w:val="1"/>
    <w:next w:val="1"/>
    <w:link w:val="53"/>
    <w:qFormat/>
    <w:uiPriority w:val="0"/>
    <w:pPr>
      <w:keepNext/>
      <w:keepLines/>
      <w:numPr>
        <w:ilvl w:val="1"/>
        <w:numId w:val="1"/>
      </w:numPr>
      <w:tabs>
        <w:tab w:val="left" w:pos="921"/>
      </w:tabs>
      <w:spacing w:before="260" w:after="260" w:line="415" w:lineRule="auto"/>
      <w:outlineLvl w:val="1"/>
    </w:pPr>
    <w:rPr>
      <w:rFonts w:ascii="Arial" w:hAnsi="Arial" w:eastAsia="黑体" w:cs="Arial"/>
      <w:sz w:val="28"/>
      <w:szCs w:val="32"/>
    </w:rPr>
  </w:style>
  <w:style w:type="paragraph" w:styleId="4">
    <w:name w:val="heading 3"/>
    <w:basedOn w:val="1"/>
    <w:next w:val="1"/>
    <w:link w:val="54"/>
    <w:qFormat/>
    <w:uiPriority w:val="0"/>
    <w:pPr>
      <w:keepNext/>
      <w:keepLines/>
      <w:numPr>
        <w:ilvl w:val="2"/>
        <w:numId w:val="1"/>
      </w:numPr>
      <w:tabs>
        <w:tab w:val="left" w:pos="885"/>
      </w:tabs>
      <w:spacing w:before="260" w:after="260" w:line="415" w:lineRule="auto"/>
      <w:outlineLvl w:val="2"/>
    </w:pPr>
    <w:rPr>
      <w:b/>
      <w:spacing w:val="59"/>
      <w:szCs w:val="18"/>
    </w:rPr>
  </w:style>
  <w:style w:type="paragraph" w:styleId="5">
    <w:name w:val="heading 4"/>
    <w:basedOn w:val="1"/>
    <w:next w:val="1"/>
    <w:link w:val="55"/>
    <w:qFormat/>
    <w:uiPriority w:val="0"/>
    <w:pPr>
      <w:keepNext/>
      <w:keepLines/>
      <w:numPr>
        <w:ilvl w:val="3"/>
        <w:numId w:val="1"/>
      </w:numPr>
      <w:tabs>
        <w:tab w:val="left" w:pos="1080"/>
      </w:tabs>
      <w:spacing w:before="280" w:after="290" w:line="374" w:lineRule="auto"/>
      <w:ind w:left="851" w:hanging="851"/>
      <w:outlineLvl w:val="3"/>
    </w:pPr>
    <w:rPr>
      <w:rFonts w:ascii="Arial" w:hAnsi="Arial" w:eastAsia="黑体" w:cs="Arial"/>
      <w:b/>
      <w:sz w:val="28"/>
      <w:szCs w:val="28"/>
    </w:rPr>
  </w:style>
  <w:style w:type="paragraph" w:styleId="6">
    <w:name w:val="heading 5"/>
    <w:basedOn w:val="5"/>
    <w:next w:val="7"/>
    <w:link w:val="56"/>
    <w:qFormat/>
    <w:uiPriority w:val="0"/>
    <w:pPr>
      <w:numPr>
        <w:ilvl w:val="0"/>
        <w:numId w:val="0"/>
      </w:numPr>
      <w:spacing w:after="0" w:line="240" w:lineRule="exact"/>
      <w:ind w:left="3124" w:hanging="284"/>
      <w:jc w:val="center"/>
      <w:outlineLvl w:val="4"/>
    </w:pPr>
    <w:rPr>
      <w:rFonts w:eastAsia="仿宋"/>
      <w:b w:val="0"/>
      <w:sz w:val="30"/>
      <w:szCs w:val="30"/>
    </w:rPr>
  </w:style>
  <w:style w:type="paragraph" w:styleId="8">
    <w:name w:val="heading 6"/>
    <w:basedOn w:val="1"/>
    <w:next w:val="1"/>
    <w:link w:val="57"/>
    <w:qFormat/>
    <w:uiPriority w:val="0"/>
    <w:pPr>
      <w:keepNext/>
      <w:keepLines/>
      <w:spacing w:before="240" w:after="64" w:line="317" w:lineRule="auto"/>
      <w:outlineLvl w:val="5"/>
    </w:pPr>
    <w:rPr>
      <w:rFonts w:ascii="Arial" w:hAnsi="Arial" w:eastAsia="黑体" w:cs="Arial"/>
      <w:b/>
      <w:sz w:val="24"/>
    </w:rPr>
  </w:style>
  <w:style w:type="paragraph" w:styleId="9">
    <w:name w:val="heading 7"/>
    <w:basedOn w:val="1"/>
    <w:next w:val="7"/>
    <w:link w:val="58"/>
    <w:qFormat/>
    <w:uiPriority w:val="0"/>
    <w:pPr>
      <w:keepNext/>
      <w:keepLines/>
      <w:spacing w:before="240" w:after="64" w:line="312" w:lineRule="auto"/>
      <w:outlineLvl w:val="6"/>
    </w:pPr>
    <w:rPr>
      <w:rFonts w:eastAsia="楷体"/>
      <w:b/>
      <w:sz w:val="24"/>
      <w:szCs w:val="20"/>
    </w:rPr>
  </w:style>
  <w:style w:type="paragraph" w:styleId="10">
    <w:name w:val="heading 8"/>
    <w:basedOn w:val="1"/>
    <w:next w:val="7"/>
    <w:link w:val="59"/>
    <w:qFormat/>
    <w:uiPriority w:val="0"/>
    <w:pPr>
      <w:keepNext/>
      <w:keepLines/>
      <w:spacing w:before="240" w:after="64" w:line="312" w:lineRule="auto"/>
      <w:outlineLvl w:val="7"/>
    </w:pPr>
    <w:rPr>
      <w:rFonts w:ascii="Arial" w:hAnsi="Arial" w:eastAsia="黑体" w:cs="Arial"/>
      <w:sz w:val="24"/>
      <w:szCs w:val="20"/>
    </w:rPr>
  </w:style>
  <w:style w:type="paragraph" w:styleId="11">
    <w:name w:val="heading 9"/>
    <w:basedOn w:val="1"/>
    <w:next w:val="7"/>
    <w:link w:val="60"/>
    <w:qFormat/>
    <w:uiPriority w:val="0"/>
    <w:pPr>
      <w:keepNext/>
      <w:keepLines/>
      <w:spacing w:before="240" w:after="64" w:line="312" w:lineRule="auto"/>
      <w:outlineLvl w:val="8"/>
    </w:pPr>
    <w:rPr>
      <w:rFonts w:ascii="Arial" w:hAnsi="Arial" w:eastAsia="黑体" w:cs="Arial"/>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kern w:val="1"/>
    </w:rPr>
  </w:style>
  <w:style w:type="paragraph" w:styleId="12">
    <w:name w:val="toc 7"/>
    <w:basedOn w:val="1"/>
    <w:next w:val="1"/>
    <w:unhideWhenUsed/>
    <w:qFormat/>
    <w:uiPriority w:val="39"/>
    <w:pPr>
      <w:ind w:left="2520" w:leftChars="1200"/>
    </w:pPr>
    <w:rPr>
      <w:rFonts w:asciiTheme="minorHAnsi" w:hAnsiTheme="minorHAnsi" w:eastAsiaTheme="minorEastAsia" w:cstheme="minorBidi"/>
      <w:color w:val="auto"/>
      <w:kern w:val="2"/>
      <w:szCs w:val="22"/>
    </w:rPr>
  </w:style>
  <w:style w:type="paragraph" w:styleId="13">
    <w:name w:val="Document Map"/>
    <w:basedOn w:val="1"/>
    <w:link w:val="76"/>
    <w:qFormat/>
    <w:uiPriority w:val="0"/>
    <w:pPr>
      <w:shd w:val="clear" w:color="000000" w:fill="00007F"/>
    </w:pPr>
    <w:rPr>
      <w:kern w:val="1"/>
    </w:rPr>
  </w:style>
  <w:style w:type="paragraph" w:styleId="14">
    <w:name w:val="annotation text"/>
    <w:basedOn w:val="1"/>
    <w:link w:val="74"/>
    <w:unhideWhenUsed/>
    <w:qFormat/>
    <w:uiPriority w:val="99"/>
    <w:pPr>
      <w:jc w:val="left"/>
    </w:pPr>
  </w:style>
  <w:style w:type="paragraph" w:styleId="15">
    <w:name w:val="Body Text"/>
    <w:basedOn w:val="1"/>
    <w:link w:val="71"/>
    <w:unhideWhenUsed/>
    <w:qFormat/>
    <w:uiPriority w:val="0"/>
    <w:pPr>
      <w:spacing w:after="120"/>
    </w:pPr>
  </w:style>
  <w:style w:type="paragraph" w:styleId="16">
    <w:name w:val="Body Text Indent"/>
    <w:basedOn w:val="1"/>
    <w:link w:val="77"/>
    <w:qFormat/>
    <w:uiPriority w:val="0"/>
    <w:pPr>
      <w:spacing w:after="120"/>
      <w:ind w:left="420"/>
    </w:pPr>
    <w:rPr>
      <w:kern w:val="1"/>
      <w:lang w:val="zh-CN"/>
    </w:rPr>
  </w:style>
  <w:style w:type="paragraph" w:styleId="17">
    <w:name w:val="toc 5"/>
    <w:basedOn w:val="1"/>
    <w:next w:val="1"/>
    <w:unhideWhenUsed/>
    <w:qFormat/>
    <w:uiPriority w:val="39"/>
    <w:pPr>
      <w:ind w:left="1680" w:leftChars="800"/>
    </w:pPr>
    <w:rPr>
      <w:rFonts w:asciiTheme="minorHAnsi" w:hAnsiTheme="minorHAnsi" w:eastAsiaTheme="minorEastAsia" w:cstheme="minorBidi"/>
      <w:color w:val="auto"/>
      <w:kern w:val="2"/>
      <w:szCs w:val="22"/>
    </w:rPr>
  </w:style>
  <w:style w:type="paragraph" w:styleId="18">
    <w:name w:val="toc 3"/>
    <w:basedOn w:val="1"/>
    <w:next w:val="1"/>
    <w:qFormat/>
    <w:uiPriority w:val="39"/>
    <w:pPr>
      <w:ind w:left="210"/>
      <w:jc w:val="left"/>
    </w:pPr>
    <w:rPr>
      <w:kern w:val="1"/>
      <w:sz w:val="20"/>
      <w:szCs w:val="20"/>
    </w:rPr>
  </w:style>
  <w:style w:type="paragraph" w:styleId="19">
    <w:name w:val="Plain Text"/>
    <w:basedOn w:val="1"/>
    <w:link w:val="84"/>
    <w:qFormat/>
    <w:uiPriority w:val="0"/>
    <w:rPr>
      <w:rFonts w:ascii="宋体" w:hAnsi="宋体" w:cs="Courier New"/>
      <w:kern w:val="1"/>
      <w:szCs w:val="20"/>
    </w:rPr>
  </w:style>
  <w:style w:type="paragraph" w:styleId="20">
    <w:name w:val="toc 8"/>
    <w:basedOn w:val="1"/>
    <w:next w:val="1"/>
    <w:unhideWhenUsed/>
    <w:qFormat/>
    <w:uiPriority w:val="39"/>
    <w:pPr>
      <w:ind w:left="2940" w:leftChars="1400"/>
    </w:pPr>
    <w:rPr>
      <w:rFonts w:asciiTheme="minorHAnsi" w:hAnsiTheme="minorHAnsi" w:eastAsiaTheme="minorEastAsia" w:cstheme="minorBidi"/>
      <w:color w:val="auto"/>
      <w:kern w:val="2"/>
      <w:szCs w:val="22"/>
    </w:rPr>
  </w:style>
  <w:style w:type="paragraph" w:styleId="21">
    <w:name w:val="Date"/>
    <w:basedOn w:val="1"/>
    <w:next w:val="1"/>
    <w:link w:val="64"/>
    <w:qFormat/>
    <w:uiPriority w:val="0"/>
    <w:pPr>
      <w:ind w:left="100"/>
    </w:pPr>
    <w:rPr>
      <w:kern w:val="1"/>
    </w:rPr>
  </w:style>
  <w:style w:type="paragraph" w:styleId="22">
    <w:name w:val="Body Text Indent 2"/>
    <w:basedOn w:val="1"/>
    <w:link w:val="70"/>
    <w:qFormat/>
    <w:uiPriority w:val="0"/>
    <w:pPr>
      <w:spacing w:line="400" w:lineRule="exact"/>
      <w:ind w:left="425"/>
    </w:pPr>
    <w:rPr>
      <w:kern w:val="1"/>
      <w:sz w:val="24"/>
      <w:szCs w:val="20"/>
    </w:rPr>
  </w:style>
  <w:style w:type="paragraph" w:styleId="23">
    <w:name w:val="endnote text"/>
    <w:basedOn w:val="1"/>
    <w:link w:val="67"/>
    <w:qFormat/>
    <w:uiPriority w:val="0"/>
    <w:pPr>
      <w:jc w:val="left"/>
    </w:pPr>
    <w:rPr>
      <w:kern w:val="1"/>
      <w:szCs w:val="20"/>
    </w:rPr>
  </w:style>
  <w:style w:type="paragraph" w:styleId="24">
    <w:name w:val="Balloon Text"/>
    <w:basedOn w:val="1"/>
    <w:link w:val="61"/>
    <w:qFormat/>
    <w:uiPriority w:val="0"/>
    <w:rPr>
      <w:kern w:val="1"/>
      <w:sz w:val="18"/>
      <w:szCs w:val="18"/>
      <w:lang w:val="zh-CN"/>
    </w:rPr>
  </w:style>
  <w:style w:type="paragraph" w:styleId="25">
    <w:name w:val="footer"/>
    <w:basedOn w:val="1"/>
    <w:link w:val="68"/>
    <w:qFormat/>
    <w:uiPriority w:val="0"/>
    <w:pPr>
      <w:tabs>
        <w:tab w:val="center" w:pos="4153"/>
        <w:tab w:val="right" w:pos="8306"/>
      </w:tabs>
      <w:jc w:val="left"/>
    </w:pPr>
    <w:rPr>
      <w:kern w:val="1"/>
      <w:sz w:val="18"/>
      <w:szCs w:val="18"/>
    </w:rPr>
  </w:style>
  <w:style w:type="paragraph" w:styleId="26">
    <w:name w:val="header"/>
    <w:basedOn w:val="1"/>
    <w:link w:val="63"/>
    <w:qFormat/>
    <w:uiPriority w:val="0"/>
    <w:pPr>
      <w:pBdr>
        <w:bottom w:val="single" w:color="000000" w:sz="6" w:space="1"/>
      </w:pBdr>
      <w:tabs>
        <w:tab w:val="center" w:pos="4153"/>
        <w:tab w:val="right" w:pos="8306"/>
      </w:tabs>
      <w:jc w:val="center"/>
    </w:pPr>
    <w:rPr>
      <w:kern w:val="1"/>
      <w:sz w:val="18"/>
      <w:szCs w:val="18"/>
    </w:rPr>
  </w:style>
  <w:style w:type="paragraph" w:styleId="27">
    <w:name w:val="toc 1"/>
    <w:basedOn w:val="1"/>
    <w:next w:val="1"/>
    <w:qFormat/>
    <w:uiPriority w:val="39"/>
    <w:pPr>
      <w:spacing w:before="360"/>
      <w:jc w:val="left"/>
    </w:pPr>
    <w:rPr>
      <w:rFonts w:ascii="Arial" w:hAnsi="Arial" w:cs="Arial"/>
      <w:b/>
      <w:caps/>
      <w:kern w:val="1"/>
      <w:sz w:val="24"/>
    </w:rPr>
  </w:style>
  <w:style w:type="paragraph" w:styleId="28">
    <w:name w:val="toc 4"/>
    <w:basedOn w:val="1"/>
    <w:next w:val="1"/>
    <w:qFormat/>
    <w:uiPriority w:val="39"/>
    <w:pPr>
      <w:ind w:left="1260"/>
    </w:pPr>
    <w:rPr>
      <w:kern w:val="1"/>
    </w:rPr>
  </w:style>
  <w:style w:type="paragraph" w:styleId="29">
    <w:name w:val="index heading"/>
    <w:basedOn w:val="1"/>
    <w:next w:val="30"/>
    <w:qFormat/>
    <w:uiPriority w:val="0"/>
    <w:rPr>
      <w:kern w:val="1"/>
    </w:rPr>
  </w:style>
  <w:style w:type="paragraph" w:styleId="30">
    <w:name w:val="index 1"/>
    <w:basedOn w:val="1"/>
    <w:next w:val="1"/>
    <w:qFormat/>
    <w:uiPriority w:val="0"/>
    <w:rPr>
      <w:rFonts w:eastAsia="仿宋"/>
      <w:kern w:val="1"/>
      <w:sz w:val="28"/>
      <w:szCs w:val="20"/>
    </w:rPr>
  </w:style>
  <w:style w:type="paragraph" w:styleId="31">
    <w:name w:val="footnote text"/>
    <w:basedOn w:val="1"/>
    <w:link w:val="69"/>
    <w:qFormat/>
    <w:uiPriority w:val="0"/>
    <w:pPr>
      <w:jc w:val="left"/>
    </w:pPr>
    <w:rPr>
      <w:kern w:val="1"/>
      <w:sz w:val="18"/>
      <w:szCs w:val="20"/>
    </w:rPr>
  </w:style>
  <w:style w:type="paragraph" w:styleId="32">
    <w:name w:val="toc 6"/>
    <w:basedOn w:val="1"/>
    <w:next w:val="1"/>
    <w:unhideWhenUsed/>
    <w:qFormat/>
    <w:uiPriority w:val="39"/>
    <w:pPr>
      <w:ind w:left="2100" w:leftChars="1000"/>
    </w:pPr>
    <w:rPr>
      <w:rFonts w:asciiTheme="minorHAnsi" w:hAnsiTheme="minorHAnsi" w:eastAsiaTheme="minorEastAsia" w:cstheme="minorBidi"/>
      <w:color w:val="auto"/>
      <w:kern w:val="2"/>
      <w:szCs w:val="22"/>
    </w:rPr>
  </w:style>
  <w:style w:type="paragraph" w:styleId="33">
    <w:name w:val="Body Text Indent 3"/>
    <w:basedOn w:val="1"/>
    <w:link w:val="62"/>
    <w:qFormat/>
    <w:uiPriority w:val="0"/>
    <w:pPr>
      <w:tabs>
        <w:tab w:val="left" w:pos="0"/>
      </w:tabs>
      <w:spacing w:line="400" w:lineRule="exact"/>
      <w:ind w:left="563" w:hanging="84"/>
    </w:pPr>
    <w:rPr>
      <w:kern w:val="1"/>
      <w:sz w:val="24"/>
      <w:szCs w:val="20"/>
    </w:rPr>
  </w:style>
  <w:style w:type="paragraph" w:styleId="34">
    <w:name w:val="toc 2"/>
    <w:basedOn w:val="1"/>
    <w:next w:val="1"/>
    <w:qFormat/>
    <w:uiPriority w:val="39"/>
    <w:pPr>
      <w:spacing w:before="240"/>
      <w:jc w:val="left"/>
    </w:pPr>
    <w:rPr>
      <w:b/>
      <w:kern w:val="1"/>
      <w:sz w:val="20"/>
      <w:szCs w:val="20"/>
    </w:rPr>
  </w:style>
  <w:style w:type="paragraph" w:styleId="35">
    <w:name w:val="toc 9"/>
    <w:basedOn w:val="1"/>
    <w:next w:val="1"/>
    <w:unhideWhenUsed/>
    <w:qFormat/>
    <w:uiPriority w:val="39"/>
    <w:pPr>
      <w:ind w:left="3360" w:leftChars="1600"/>
    </w:pPr>
    <w:rPr>
      <w:rFonts w:asciiTheme="minorHAnsi" w:hAnsiTheme="minorHAnsi" w:eastAsiaTheme="minorEastAsia" w:cstheme="minorBidi"/>
      <w:color w:val="auto"/>
      <w:kern w:val="2"/>
      <w:szCs w:val="22"/>
    </w:rPr>
  </w:style>
  <w:style w:type="paragraph" w:styleId="36">
    <w:name w:val="Body Text 2"/>
    <w:basedOn w:val="1"/>
    <w:link w:val="66"/>
    <w:qFormat/>
    <w:uiPriority w:val="0"/>
    <w:rPr>
      <w:rFonts w:ascii="宋体" w:hAnsi="宋体" w:cs="宋体"/>
      <w:kern w:val="1"/>
      <w:u w:val="single"/>
    </w:rPr>
  </w:style>
  <w:style w:type="paragraph" w:styleId="37">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8729"/>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38">
    <w:name w:val="Normal (Web)"/>
    <w:basedOn w:val="1"/>
    <w:qFormat/>
    <w:uiPriority w:val="99"/>
    <w:pPr>
      <w:widowControl/>
      <w:spacing w:before="100" w:beforeAutospacing="1" w:after="100" w:afterAutospacing="1"/>
      <w:jc w:val="left"/>
    </w:pPr>
    <w:rPr>
      <w:rFonts w:ascii="宋体" w:hAnsi="宋体" w:cs="宋体"/>
      <w:sz w:val="24"/>
    </w:rPr>
  </w:style>
  <w:style w:type="paragraph" w:styleId="39">
    <w:name w:val="Title"/>
    <w:basedOn w:val="1"/>
    <w:link w:val="73"/>
    <w:qFormat/>
    <w:uiPriority w:val="0"/>
    <w:pPr>
      <w:spacing w:before="120" w:after="60"/>
      <w:jc w:val="center"/>
    </w:pPr>
    <w:rPr>
      <w:rFonts w:ascii="Arial" w:hAnsi="Arial" w:cs="Arial"/>
      <w:b/>
      <w:kern w:val="1"/>
      <w:sz w:val="44"/>
      <w:szCs w:val="20"/>
    </w:rPr>
  </w:style>
  <w:style w:type="paragraph" w:styleId="40">
    <w:name w:val="annotation subject"/>
    <w:basedOn w:val="14"/>
    <w:next w:val="14"/>
    <w:link w:val="75"/>
    <w:qFormat/>
    <w:uiPriority w:val="0"/>
    <w:rPr>
      <w:b/>
      <w:kern w:val="1"/>
    </w:rPr>
  </w:style>
  <w:style w:type="paragraph" w:styleId="41">
    <w:name w:val="Body Text First Indent"/>
    <w:basedOn w:val="15"/>
    <w:link w:val="72"/>
    <w:qFormat/>
    <w:uiPriority w:val="0"/>
    <w:pPr>
      <w:ind w:firstLine="420"/>
    </w:pPr>
    <w:rPr>
      <w:rFonts w:eastAsia="楷体"/>
      <w:kern w:val="1"/>
      <w:szCs w:val="20"/>
    </w:rPr>
  </w:style>
  <w:style w:type="table" w:styleId="43">
    <w:name w:val="Table Grid"/>
    <w:basedOn w:val="4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rPr>
  </w:style>
  <w:style w:type="character" w:styleId="46">
    <w:name w:val="endnote reference"/>
    <w:qFormat/>
    <w:uiPriority w:val="0"/>
    <w:rPr>
      <w:position w:val="-2"/>
      <w:vertAlign w:val="superscript"/>
    </w:rPr>
  </w:style>
  <w:style w:type="character" w:styleId="47">
    <w:name w:val="page number"/>
    <w:basedOn w:val="44"/>
    <w:qFormat/>
    <w:uiPriority w:val="0"/>
  </w:style>
  <w:style w:type="character" w:styleId="48">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9">
    <w:name w:val="Hyperlink"/>
    <w:qFormat/>
    <w:uiPriority w:val="99"/>
    <w:rPr>
      <w:color w:val="0000FF"/>
      <w:u w:val="single"/>
    </w:rPr>
  </w:style>
  <w:style w:type="character" w:styleId="50">
    <w:name w:val="annotation reference"/>
    <w:qFormat/>
    <w:uiPriority w:val="99"/>
    <w:rPr>
      <w:sz w:val="21"/>
      <w:szCs w:val="21"/>
    </w:rPr>
  </w:style>
  <w:style w:type="character" w:styleId="51">
    <w:name w:val="footnote reference"/>
    <w:qFormat/>
    <w:uiPriority w:val="0"/>
    <w:rPr>
      <w:position w:val="-2"/>
      <w:vertAlign w:val="superscript"/>
    </w:rPr>
  </w:style>
  <w:style w:type="character" w:customStyle="1" w:styleId="52">
    <w:name w:val="标题 1 字符"/>
    <w:basedOn w:val="44"/>
    <w:link w:val="2"/>
    <w:qFormat/>
    <w:uiPriority w:val="0"/>
    <w:rPr>
      <w:rFonts w:ascii="Arial" w:hAnsi="Arial" w:cs="Arial"/>
      <w:b/>
      <w:color w:val="000000"/>
      <w:sz w:val="30"/>
      <w:szCs w:val="44"/>
    </w:rPr>
  </w:style>
  <w:style w:type="character" w:customStyle="1" w:styleId="53">
    <w:name w:val="标题 2 字符"/>
    <w:basedOn w:val="44"/>
    <w:link w:val="3"/>
    <w:qFormat/>
    <w:uiPriority w:val="0"/>
    <w:rPr>
      <w:rFonts w:ascii="Arial" w:hAnsi="Arial" w:eastAsia="黑体" w:cs="Arial"/>
      <w:color w:val="000000"/>
      <w:sz w:val="28"/>
      <w:szCs w:val="32"/>
    </w:rPr>
  </w:style>
  <w:style w:type="character" w:customStyle="1" w:styleId="54">
    <w:name w:val="标题 3 字符"/>
    <w:basedOn w:val="44"/>
    <w:link w:val="4"/>
    <w:qFormat/>
    <w:uiPriority w:val="0"/>
    <w:rPr>
      <w:b/>
      <w:color w:val="000000"/>
      <w:spacing w:val="59"/>
      <w:sz w:val="21"/>
      <w:szCs w:val="18"/>
    </w:rPr>
  </w:style>
  <w:style w:type="character" w:customStyle="1" w:styleId="55">
    <w:name w:val="标题 4 字符"/>
    <w:basedOn w:val="44"/>
    <w:link w:val="5"/>
    <w:qFormat/>
    <w:uiPriority w:val="0"/>
    <w:rPr>
      <w:rFonts w:ascii="Arial" w:hAnsi="Arial" w:eastAsia="黑体" w:cs="Arial"/>
      <w:b/>
      <w:color w:val="000000"/>
      <w:sz w:val="28"/>
      <w:szCs w:val="28"/>
    </w:rPr>
  </w:style>
  <w:style w:type="character" w:customStyle="1" w:styleId="56">
    <w:name w:val="标题 5 字符"/>
    <w:basedOn w:val="44"/>
    <w:link w:val="6"/>
    <w:qFormat/>
    <w:uiPriority w:val="0"/>
    <w:rPr>
      <w:rFonts w:ascii="Arial" w:hAnsi="Arial" w:eastAsia="仿宋" w:cs="Arial"/>
      <w:color w:val="000000"/>
      <w:kern w:val="0"/>
      <w:sz w:val="30"/>
      <w:szCs w:val="30"/>
    </w:rPr>
  </w:style>
  <w:style w:type="character" w:customStyle="1" w:styleId="57">
    <w:name w:val="标题 6 字符"/>
    <w:basedOn w:val="44"/>
    <w:link w:val="8"/>
    <w:qFormat/>
    <w:uiPriority w:val="0"/>
    <w:rPr>
      <w:rFonts w:ascii="Arial" w:hAnsi="Arial" w:eastAsia="黑体" w:cs="Arial"/>
      <w:b/>
      <w:color w:val="000000"/>
      <w:kern w:val="0"/>
      <w:sz w:val="24"/>
      <w:szCs w:val="24"/>
    </w:rPr>
  </w:style>
  <w:style w:type="character" w:customStyle="1" w:styleId="58">
    <w:name w:val="标题 7 字符"/>
    <w:basedOn w:val="44"/>
    <w:link w:val="9"/>
    <w:qFormat/>
    <w:uiPriority w:val="0"/>
    <w:rPr>
      <w:rFonts w:ascii="Times New Roman" w:hAnsi="Times New Roman" w:eastAsia="楷体" w:cs="Times New Roman"/>
      <w:b/>
      <w:color w:val="000000"/>
      <w:kern w:val="0"/>
      <w:sz w:val="24"/>
      <w:szCs w:val="20"/>
    </w:rPr>
  </w:style>
  <w:style w:type="character" w:customStyle="1" w:styleId="59">
    <w:name w:val="标题 8 字符"/>
    <w:basedOn w:val="44"/>
    <w:link w:val="10"/>
    <w:qFormat/>
    <w:uiPriority w:val="0"/>
    <w:rPr>
      <w:rFonts w:ascii="Arial" w:hAnsi="Arial" w:eastAsia="黑体" w:cs="Arial"/>
      <w:color w:val="000000"/>
      <w:kern w:val="0"/>
      <w:sz w:val="24"/>
      <w:szCs w:val="20"/>
    </w:rPr>
  </w:style>
  <w:style w:type="character" w:customStyle="1" w:styleId="60">
    <w:name w:val="标题 9 字符"/>
    <w:basedOn w:val="44"/>
    <w:link w:val="11"/>
    <w:qFormat/>
    <w:uiPriority w:val="0"/>
    <w:rPr>
      <w:rFonts w:ascii="Arial" w:hAnsi="Arial" w:eastAsia="黑体" w:cs="Arial"/>
      <w:color w:val="000000"/>
      <w:kern w:val="0"/>
      <w:szCs w:val="20"/>
    </w:rPr>
  </w:style>
  <w:style w:type="character" w:customStyle="1" w:styleId="61">
    <w:name w:val="批注框文本 字符"/>
    <w:basedOn w:val="44"/>
    <w:link w:val="24"/>
    <w:qFormat/>
    <w:uiPriority w:val="0"/>
    <w:rPr>
      <w:rFonts w:ascii="Times New Roman" w:hAnsi="Times New Roman" w:eastAsia="宋体" w:cs="Times New Roman"/>
      <w:color w:val="000000"/>
      <w:kern w:val="1"/>
      <w:sz w:val="18"/>
      <w:szCs w:val="18"/>
      <w:lang w:val="zh-CN"/>
    </w:rPr>
  </w:style>
  <w:style w:type="character" w:customStyle="1" w:styleId="62">
    <w:name w:val="正文文本缩进 3 字符"/>
    <w:basedOn w:val="44"/>
    <w:link w:val="33"/>
    <w:qFormat/>
    <w:uiPriority w:val="0"/>
    <w:rPr>
      <w:rFonts w:ascii="Times New Roman" w:hAnsi="Times New Roman" w:eastAsia="宋体" w:cs="Times New Roman"/>
      <w:color w:val="000000"/>
      <w:kern w:val="1"/>
      <w:sz w:val="24"/>
      <w:szCs w:val="20"/>
    </w:rPr>
  </w:style>
  <w:style w:type="character" w:customStyle="1" w:styleId="63">
    <w:name w:val="页眉 字符"/>
    <w:basedOn w:val="44"/>
    <w:link w:val="26"/>
    <w:qFormat/>
    <w:uiPriority w:val="0"/>
    <w:rPr>
      <w:rFonts w:ascii="Times New Roman" w:hAnsi="Times New Roman" w:eastAsia="宋体" w:cs="Times New Roman"/>
      <w:color w:val="000000"/>
      <w:kern w:val="1"/>
      <w:sz w:val="18"/>
      <w:szCs w:val="18"/>
    </w:rPr>
  </w:style>
  <w:style w:type="character" w:customStyle="1" w:styleId="64">
    <w:name w:val="日期 字符"/>
    <w:basedOn w:val="44"/>
    <w:link w:val="21"/>
    <w:qFormat/>
    <w:uiPriority w:val="0"/>
    <w:rPr>
      <w:rFonts w:ascii="Times New Roman" w:hAnsi="Times New Roman" w:eastAsia="宋体" w:cs="Times New Roman"/>
      <w:color w:val="000000"/>
      <w:kern w:val="1"/>
      <w:szCs w:val="24"/>
    </w:rPr>
  </w:style>
  <w:style w:type="character" w:customStyle="1" w:styleId="65">
    <w:name w:val="HTML 预设格式 字符"/>
    <w:basedOn w:val="44"/>
    <w:link w:val="37"/>
    <w:qFormat/>
    <w:uiPriority w:val="0"/>
    <w:rPr>
      <w:rFonts w:ascii="Arial" w:hAnsi="Arial" w:eastAsia="宋体" w:cs="Arial"/>
      <w:color w:val="000000"/>
      <w:kern w:val="0"/>
      <w:szCs w:val="21"/>
    </w:rPr>
  </w:style>
  <w:style w:type="character" w:customStyle="1" w:styleId="66">
    <w:name w:val="正文文本 2 字符"/>
    <w:basedOn w:val="44"/>
    <w:link w:val="36"/>
    <w:qFormat/>
    <w:uiPriority w:val="0"/>
    <w:rPr>
      <w:rFonts w:ascii="宋体" w:hAnsi="宋体" w:eastAsia="宋体" w:cs="宋体"/>
      <w:color w:val="000000"/>
      <w:kern w:val="1"/>
      <w:szCs w:val="24"/>
      <w:u w:val="single"/>
    </w:rPr>
  </w:style>
  <w:style w:type="character" w:customStyle="1" w:styleId="67">
    <w:name w:val="尾注文本 字符"/>
    <w:basedOn w:val="44"/>
    <w:link w:val="23"/>
    <w:qFormat/>
    <w:uiPriority w:val="0"/>
    <w:rPr>
      <w:rFonts w:ascii="Times New Roman" w:hAnsi="Times New Roman" w:eastAsia="宋体" w:cs="Times New Roman"/>
      <w:color w:val="000000"/>
      <w:kern w:val="1"/>
      <w:szCs w:val="20"/>
    </w:rPr>
  </w:style>
  <w:style w:type="character" w:customStyle="1" w:styleId="68">
    <w:name w:val="页脚 字符"/>
    <w:basedOn w:val="44"/>
    <w:link w:val="25"/>
    <w:qFormat/>
    <w:uiPriority w:val="0"/>
    <w:rPr>
      <w:rFonts w:ascii="Times New Roman" w:hAnsi="Times New Roman" w:eastAsia="宋体" w:cs="Times New Roman"/>
      <w:color w:val="000000"/>
      <w:kern w:val="1"/>
      <w:sz w:val="18"/>
      <w:szCs w:val="18"/>
    </w:rPr>
  </w:style>
  <w:style w:type="character" w:customStyle="1" w:styleId="69">
    <w:name w:val="脚注文本 字符"/>
    <w:basedOn w:val="44"/>
    <w:link w:val="31"/>
    <w:qFormat/>
    <w:uiPriority w:val="0"/>
    <w:rPr>
      <w:rFonts w:ascii="Times New Roman" w:hAnsi="Times New Roman" w:eastAsia="宋体" w:cs="Times New Roman"/>
      <w:color w:val="000000"/>
      <w:kern w:val="1"/>
      <w:sz w:val="18"/>
      <w:szCs w:val="20"/>
    </w:rPr>
  </w:style>
  <w:style w:type="character" w:customStyle="1" w:styleId="70">
    <w:name w:val="正文文本缩进 2 字符"/>
    <w:basedOn w:val="44"/>
    <w:link w:val="22"/>
    <w:qFormat/>
    <w:uiPriority w:val="0"/>
    <w:rPr>
      <w:rFonts w:ascii="Times New Roman" w:hAnsi="Times New Roman" w:eastAsia="宋体" w:cs="Times New Roman"/>
      <w:color w:val="000000"/>
      <w:kern w:val="1"/>
      <w:sz w:val="24"/>
      <w:szCs w:val="20"/>
    </w:rPr>
  </w:style>
  <w:style w:type="character" w:customStyle="1" w:styleId="71">
    <w:name w:val="正文文本 字符"/>
    <w:basedOn w:val="44"/>
    <w:link w:val="15"/>
    <w:qFormat/>
    <w:uiPriority w:val="0"/>
    <w:rPr>
      <w:rFonts w:ascii="Times New Roman" w:hAnsi="Times New Roman" w:eastAsia="宋体" w:cs="Times New Roman"/>
      <w:color w:val="000000"/>
      <w:kern w:val="0"/>
      <w:szCs w:val="24"/>
    </w:rPr>
  </w:style>
  <w:style w:type="character" w:customStyle="1" w:styleId="72">
    <w:name w:val="正文文本首行缩进 字符"/>
    <w:basedOn w:val="71"/>
    <w:link w:val="41"/>
    <w:qFormat/>
    <w:uiPriority w:val="0"/>
    <w:rPr>
      <w:rFonts w:ascii="Times New Roman" w:hAnsi="Times New Roman" w:eastAsia="楷体" w:cs="Times New Roman"/>
      <w:color w:val="000000"/>
      <w:kern w:val="1"/>
      <w:szCs w:val="20"/>
    </w:rPr>
  </w:style>
  <w:style w:type="character" w:customStyle="1" w:styleId="73">
    <w:name w:val="标题 字符"/>
    <w:basedOn w:val="44"/>
    <w:link w:val="39"/>
    <w:qFormat/>
    <w:uiPriority w:val="0"/>
    <w:rPr>
      <w:rFonts w:ascii="Arial" w:hAnsi="Arial" w:eastAsia="宋体" w:cs="Arial"/>
      <w:b/>
      <w:color w:val="000000"/>
      <w:kern w:val="1"/>
      <w:sz w:val="44"/>
      <w:szCs w:val="20"/>
    </w:rPr>
  </w:style>
  <w:style w:type="character" w:customStyle="1" w:styleId="74">
    <w:name w:val="批注文字 字符"/>
    <w:basedOn w:val="44"/>
    <w:link w:val="14"/>
    <w:qFormat/>
    <w:uiPriority w:val="99"/>
    <w:rPr>
      <w:rFonts w:ascii="Times New Roman" w:hAnsi="Times New Roman" w:eastAsia="宋体" w:cs="Times New Roman"/>
      <w:color w:val="000000"/>
      <w:kern w:val="0"/>
      <w:szCs w:val="24"/>
    </w:rPr>
  </w:style>
  <w:style w:type="character" w:customStyle="1" w:styleId="75">
    <w:name w:val="批注主题 字符"/>
    <w:basedOn w:val="74"/>
    <w:link w:val="40"/>
    <w:qFormat/>
    <w:uiPriority w:val="0"/>
    <w:rPr>
      <w:rFonts w:ascii="Times New Roman" w:hAnsi="Times New Roman" w:eastAsia="宋体" w:cs="Times New Roman"/>
      <w:b/>
      <w:color w:val="000000"/>
      <w:kern w:val="1"/>
      <w:szCs w:val="24"/>
    </w:rPr>
  </w:style>
  <w:style w:type="character" w:customStyle="1" w:styleId="76">
    <w:name w:val="文档结构图 字符"/>
    <w:basedOn w:val="44"/>
    <w:link w:val="13"/>
    <w:qFormat/>
    <w:uiPriority w:val="0"/>
    <w:rPr>
      <w:rFonts w:ascii="Times New Roman" w:hAnsi="Times New Roman" w:eastAsia="宋体" w:cs="Times New Roman"/>
      <w:color w:val="000000"/>
      <w:kern w:val="1"/>
      <w:szCs w:val="24"/>
      <w:shd w:val="clear" w:color="000000" w:fill="00007F"/>
    </w:rPr>
  </w:style>
  <w:style w:type="character" w:customStyle="1" w:styleId="77">
    <w:name w:val="正文文本缩进 字符"/>
    <w:basedOn w:val="44"/>
    <w:link w:val="16"/>
    <w:qFormat/>
    <w:uiPriority w:val="0"/>
    <w:rPr>
      <w:rFonts w:ascii="Times New Roman" w:hAnsi="Times New Roman" w:eastAsia="宋体" w:cs="Times New Roman"/>
      <w:color w:val="000000"/>
      <w:kern w:val="1"/>
      <w:szCs w:val="24"/>
      <w:lang w:val="zh-CN"/>
    </w:rPr>
  </w:style>
  <w:style w:type="paragraph" w:customStyle="1" w:styleId="78">
    <w:name w:val="xl24"/>
    <w:basedOn w:val="1"/>
    <w:qFormat/>
    <w:uiPriority w:val="0"/>
    <w:pPr>
      <w:widowControl/>
      <w:spacing w:before="100" w:after="100"/>
      <w:jc w:val="center"/>
    </w:pPr>
    <w:rPr>
      <w:rFonts w:ascii="宋体" w:hAnsi="宋体" w:cs="宋体"/>
      <w:sz w:val="24"/>
      <w:szCs w:val="20"/>
    </w:rPr>
  </w:style>
  <w:style w:type="paragraph" w:customStyle="1" w:styleId="79">
    <w:name w:val="表头"/>
    <w:basedOn w:val="1"/>
    <w:qFormat/>
    <w:uiPriority w:val="0"/>
    <w:pPr>
      <w:spacing w:line="360" w:lineRule="auto"/>
      <w:jc w:val="center"/>
    </w:pPr>
    <w:rPr>
      <w:rFonts w:ascii="黑体" w:hAnsi="黑体" w:eastAsia="黑体"/>
      <w:sz w:val="24"/>
      <w:szCs w:val="20"/>
    </w:rPr>
  </w:style>
  <w:style w:type="paragraph" w:customStyle="1" w:styleId="80">
    <w:name w:val="CM5"/>
    <w:basedOn w:val="81"/>
    <w:next w:val="81"/>
    <w:qFormat/>
    <w:uiPriority w:val="0"/>
    <w:pPr>
      <w:spacing w:line="313" w:lineRule="atLeast"/>
    </w:pPr>
    <w:rPr>
      <w:rFonts w:cs="Times New Roman"/>
    </w:rPr>
  </w:style>
  <w:style w:type="paragraph" w:customStyle="1" w:styleId="81">
    <w:name w:val="Default"/>
    <w:qFormat/>
    <w:uiPriority w:val="0"/>
    <w:pPr>
      <w:widowControl w:val="0"/>
    </w:pPr>
    <w:rPr>
      <w:rFonts w:ascii="宋体" w:hAnsi="宋体" w:eastAsia="宋体" w:cs="宋体"/>
      <w:color w:val="000000"/>
      <w:sz w:val="24"/>
      <w:szCs w:val="24"/>
      <w:lang w:val="en-US" w:eastAsia="zh-CN" w:bidi="ar-SA"/>
    </w:rPr>
  </w:style>
  <w:style w:type="paragraph" w:customStyle="1" w:styleId="82">
    <w:name w:val="CM3"/>
    <w:basedOn w:val="81"/>
    <w:next w:val="81"/>
    <w:qFormat/>
    <w:uiPriority w:val="0"/>
    <w:pPr>
      <w:spacing w:line="433" w:lineRule="atLeast"/>
    </w:pPr>
    <w:rPr>
      <w:rFonts w:cs="Times New Roman"/>
    </w:rPr>
  </w:style>
  <w:style w:type="paragraph" w:customStyle="1" w:styleId="83">
    <w:name w:val="CM110"/>
    <w:basedOn w:val="81"/>
    <w:next w:val="81"/>
    <w:qFormat/>
    <w:uiPriority w:val="0"/>
    <w:rPr>
      <w:rFonts w:cs="Times New Roman"/>
    </w:rPr>
  </w:style>
  <w:style w:type="character" w:customStyle="1" w:styleId="84">
    <w:name w:val="纯文本 字符"/>
    <w:basedOn w:val="44"/>
    <w:link w:val="19"/>
    <w:qFormat/>
    <w:uiPriority w:val="0"/>
    <w:rPr>
      <w:rFonts w:ascii="宋体" w:hAnsi="宋体" w:eastAsia="宋体" w:cs="Courier New"/>
      <w:color w:val="000000"/>
      <w:kern w:val="1"/>
      <w:szCs w:val="20"/>
    </w:rPr>
  </w:style>
  <w:style w:type="paragraph" w:customStyle="1" w:styleId="85">
    <w:name w:val="Char"/>
    <w:basedOn w:val="1"/>
    <w:qFormat/>
    <w:uiPriority w:val="0"/>
    <w:rPr>
      <w:rFonts w:ascii="Tahoma" w:hAnsi="Tahoma" w:cs="仿宋"/>
      <w:kern w:val="1"/>
      <w:sz w:val="24"/>
      <w:szCs w:val="20"/>
    </w:rPr>
  </w:style>
  <w:style w:type="paragraph" w:customStyle="1" w:styleId="86">
    <w:name w:val="CM116"/>
    <w:basedOn w:val="81"/>
    <w:next w:val="81"/>
    <w:qFormat/>
    <w:uiPriority w:val="0"/>
    <w:rPr>
      <w:rFonts w:cs="Times New Roman"/>
    </w:rPr>
  </w:style>
  <w:style w:type="paragraph" w:customStyle="1" w:styleId="87">
    <w:name w:val="CM18"/>
    <w:basedOn w:val="81"/>
    <w:next w:val="81"/>
    <w:qFormat/>
    <w:uiPriority w:val="0"/>
    <w:pPr>
      <w:spacing w:line="400" w:lineRule="atLeast"/>
    </w:pPr>
    <w:rPr>
      <w:rFonts w:cs="Times New Roman"/>
    </w:rPr>
  </w:style>
  <w:style w:type="paragraph" w:customStyle="1" w:styleId="88">
    <w:name w:val="公文标题"/>
    <w:basedOn w:val="4"/>
    <w:qFormat/>
    <w:uiPriority w:val="0"/>
    <w:pPr>
      <w:numPr>
        <w:ilvl w:val="0"/>
        <w:numId w:val="0"/>
      </w:numPr>
      <w:spacing w:line="240" w:lineRule="auto"/>
      <w:ind w:left="1469" w:right="1542"/>
      <w:jc w:val="center"/>
    </w:pPr>
    <w:rPr>
      <w:spacing w:val="0"/>
      <w:kern w:val="1"/>
      <w:sz w:val="44"/>
      <w:szCs w:val="24"/>
    </w:rPr>
  </w:style>
  <w:style w:type="paragraph" w:customStyle="1" w:styleId="89">
    <w:name w:val="CM1"/>
    <w:basedOn w:val="81"/>
    <w:next w:val="81"/>
    <w:qFormat/>
    <w:uiPriority w:val="0"/>
    <w:rPr>
      <w:rFonts w:cs="Times New Roman"/>
    </w:rPr>
  </w:style>
  <w:style w:type="paragraph" w:customStyle="1" w:styleId="90">
    <w:name w:val="文一"/>
    <w:basedOn w:val="1"/>
    <w:link w:val="143"/>
    <w:qFormat/>
    <w:uiPriority w:val="0"/>
    <w:pPr>
      <w:spacing w:line="360" w:lineRule="auto"/>
      <w:ind w:firstLine="200"/>
    </w:pPr>
    <w:rPr>
      <w:spacing w:val="4"/>
      <w:sz w:val="24"/>
    </w:rPr>
  </w:style>
  <w:style w:type="paragraph" w:customStyle="1" w:styleId="91">
    <w:name w:val="默认段落字体 Para Char"/>
    <w:basedOn w:val="1"/>
    <w:qFormat/>
    <w:uiPriority w:val="0"/>
    <w:pPr>
      <w:spacing w:line="360" w:lineRule="auto"/>
      <w:jc w:val="left"/>
    </w:pPr>
    <w:rPr>
      <w:rFonts w:eastAsia="仿宋"/>
      <w:b/>
      <w:kern w:val="1"/>
      <w:sz w:val="32"/>
    </w:rPr>
  </w:style>
  <w:style w:type="paragraph" w:customStyle="1" w:styleId="92">
    <w:name w:val="CM2"/>
    <w:basedOn w:val="81"/>
    <w:next w:val="81"/>
    <w:qFormat/>
    <w:uiPriority w:val="0"/>
    <w:pPr>
      <w:spacing w:line="500" w:lineRule="atLeast"/>
    </w:pPr>
    <w:rPr>
      <w:rFonts w:cs="Times New Roman"/>
    </w:rPr>
  </w:style>
  <w:style w:type="paragraph" w:customStyle="1" w:styleId="93">
    <w:name w:val="列出段落1"/>
    <w:basedOn w:val="1"/>
    <w:qFormat/>
    <w:uiPriority w:val="0"/>
    <w:pPr>
      <w:ind w:firstLine="420"/>
    </w:pPr>
    <w:rPr>
      <w:kern w:val="1"/>
    </w:rPr>
  </w:style>
  <w:style w:type="paragraph" w:customStyle="1" w:styleId="94">
    <w:name w:val="Char Char Char Char Char Char Char"/>
    <w:basedOn w:val="1"/>
    <w:qFormat/>
    <w:uiPriority w:val="0"/>
    <w:pPr>
      <w:tabs>
        <w:tab w:val="left" w:pos="425"/>
      </w:tabs>
      <w:ind w:left="425" w:hanging="425"/>
    </w:pPr>
    <w:rPr>
      <w:rFonts w:eastAsia="仿宋"/>
      <w:kern w:val="1"/>
      <w:sz w:val="24"/>
    </w:rPr>
  </w:style>
  <w:style w:type="paragraph" w:customStyle="1" w:styleId="95">
    <w:name w:val="Char Char Char1 Char"/>
    <w:basedOn w:val="13"/>
    <w:qFormat/>
    <w:uiPriority w:val="0"/>
    <w:rPr>
      <w:rFonts w:ascii="Tahoma" w:hAnsi="Tahoma" w:cs="Tahoma"/>
      <w:sz w:val="24"/>
    </w:rPr>
  </w:style>
  <w:style w:type="paragraph" w:customStyle="1" w:styleId="96">
    <w:name w:val="样式2"/>
    <w:basedOn w:val="1"/>
    <w:qFormat/>
    <w:uiPriority w:val="0"/>
    <w:pPr>
      <w:spacing w:before="120" w:after="120" w:line="312" w:lineRule="atLeast"/>
      <w:jc w:val="center"/>
    </w:pPr>
    <w:rPr>
      <w:sz w:val="24"/>
      <w:szCs w:val="20"/>
    </w:rPr>
  </w:style>
  <w:style w:type="paragraph" w:customStyle="1" w:styleId="97">
    <w:name w:val="Char1"/>
    <w:basedOn w:val="1"/>
    <w:qFormat/>
    <w:uiPriority w:val="0"/>
    <w:pPr>
      <w:tabs>
        <w:tab w:val="left" w:pos="720"/>
      </w:tabs>
      <w:ind w:left="720" w:hanging="720"/>
    </w:pPr>
    <w:rPr>
      <w:kern w:val="1"/>
      <w:sz w:val="24"/>
    </w:rPr>
  </w:style>
  <w:style w:type="paragraph" w:customStyle="1" w:styleId="98">
    <w:name w:val="xl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sz w:val="20"/>
      <w:szCs w:val="20"/>
    </w:rPr>
  </w:style>
  <w:style w:type="paragraph" w:customStyle="1" w:styleId="99">
    <w:name w:val="Char Char Char Char Char Char Char Char1 Char"/>
    <w:basedOn w:val="1"/>
    <w:qFormat/>
    <w:uiPriority w:val="0"/>
    <w:rPr>
      <w:kern w:val="1"/>
      <w:szCs w:val="20"/>
    </w:rPr>
  </w:style>
  <w:style w:type="paragraph" w:customStyle="1" w:styleId="100">
    <w:name w:val="Blockquote"/>
    <w:basedOn w:val="1"/>
    <w:qFormat/>
    <w:uiPriority w:val="0"/>
    <w:pPr>
      <w:spacing w:before="100" w:after="100"/>
      <w:ind w:left="360" w:right="360"/>
      <w:jc w:val="left"/>
    </w:pPr>
    <w:rPr>
      <w:sz w:val="24"/>
      <w:szCs w:val="20"/>
    </w:rPr>
  </w:style>
  <w:style w:type="paragraph" w:customStyle="1" w:styleId="101">
    <w:name w:val="CM102"/>
    <w:basedOn w:val="81"/>
    <w:next w:val="81"/>
    <w:qFormat/>
    <w:uiPriority w:val="0"/>
    <w:rPr>
      <w:rFonts w:cs="Times New Roman"/>
    </w:rPr>
  </w:style>
  <w:style w:type="paragraph" w:customStyle="1" w:styleId="102">
    <w:name w:val="CM103"/>
    <w:basedOn w:val="81"/>
    <w:next w:val="81"/>
    <w:qFormat/>
    <w:uiPriority w:val="0"/>
    <w:rPr>
      <w:rFonts w:cs="Times New Roman"/>
    </w:rPr>
  </w:style>
  <w:style w:type="paragraph" w:customStyle="1" w:styleId="103">
    <w:name w:val="CM117"/>
    <w:basedOn w:val="81"/>
    <w:next w:val="81"/>
    <w:qFormat/>
    <w:uiPriority w:val="0"/>
    <w:rPr>
      <w:rFonts w:cs="Times New Roman"/>
    </w:rPr>
  </w:style>
  <w:style w:type="paragraph" w:customStyle="1" w:styleId="104">
    <w:name w:val="CM114"/>
    <w:basedOn w:val="81"/>
    <w:next w:val="81"/>
    <w:qFormat/>
    <w:uiPriority w:val="0"/>
    <w:rPr>
      <w:rFonts w:cs="Times New Roman"/>
    </w:rPr>
  </w:style>
  <w:style w:type="paragraph" w:customStyle="1" w:styleId="105">
    <w:name w:val="CM104"/>
    <w:basedOn w:val="81"/>
    <w:next w:val="81"/>
    <w:qFormat/>
    <w:uiPriority w:val="0"/>
    <w:rPr>
      <w:rFonts w:cs="Times New Roman"/>
    </w:rPr>
  </w:style>
  <w:style w:type="paragraph" w:customStyle="1" w:styleId="106">
    <w:name w:val="CM16"/>
    <w:basedOn w:val="81"/>
    <w:next w:val="81"/>
    <w:qFormat/>
    <w:uiPriority w:val="0"/>
    <w:pPr>
      <w:spacing w:line="440" w:lineRule="atLeast"/>
    </w:pPr>
    <w:rPr>
      <w:rFonts w:cs="Times New Roman"/>
    </w:rPr>
  </w:style>
  <w:style w:type="paragraph" w:customStyle="1" w:styleId="107">
    <w:name w:val="CM106"/>
    <w:basedOn w:val="81"/>
    <w:next w:val="81"/>
    <w:qFormat/>
    <w:uiPriority w:val="0"/>
    <w:rPr>
      <w:rFonts w:cs="Times New Roman"/>
    </w:rPr>
  </w:style>
  <w:style w:type="paragraph" w:styleId="108">
    <w:name w:val="List Paragraph"/>
    <w:basedOn w:val="1"/>
    <w:qFormat/>
    <w:uiPriority w:val="34"/>
    <w:pPr>
      <w:ind w:firstLine="420"/>
    </w:pPr>
    <w:rPr>
      <w:rFonts w:ascii="Calibri" w:hAnsi="Calibri" w:cs="Calibri"/>
      <w:kern w:val="1"/>
      <w:szCs w:val="22"/>
    </w:rPr>
  </w:style>
  <w:style w:type="paragraph" w:customStyle="1" w:styleId="109">
    <w:name w:val="CM21"/>
    <w:basedOn w:val="81"/>
    <w:next w:val="81"/>
    <w:qFormat/>
    <w:uiPriority w:val="0"/>
    <w:pPr>
      <w:spacing w:line="400" w:lineRule="atLeast"/>
    </w:pPr>
    <w:rPr>
      <w:rFonts w:cs="Times New Roman"/>
    </w:rPr>
  </w:style>
  <w:style w:type="paragraph" w:customStyle="1" w:styleId="110">
    <w:name w:val="Char Char Char Char"/>
    <w:basedOn w:val="1"/>
    <w:qFormat/>
    <w:uiPriority w:val="0"/>
    <w:rPr>
      <w:kern w:val="1"/>
      <w:sz w:val="30"/>
    </w:rPr>
  </w:style>
  <w:style w:type="paragraph" w:customStyle="1" w:styleId="111">
    <w:name w:val="1"/>
    <w:basedOn w:val="1"/>
    <w:qFormat/>
    <w:uiPriority w:val="0"/>
    <w:pPr>
      <w:tabs>
        <w:tab w:val="left" w:pos="425"/>
      </w:tabs>
      <w:ind w:left="425" w:hanging="425"/>
    </w:pPr>
    <w:rPr>
      <w:rFonts w:eastAsia="仿宋"/>
      <w:kern w:val="1"/>
      <w:sz w:val="24"/>
    </w:rPr>
  </w:style>
  <w:style w:type="paragraph" w:customStyle="1" w:styleId="112">
    <w:name w:val="默认段落字体 Para Char Char"/>
    <w:basedOn w:val="1"/>
    <w:qFormat/>
    <w:uiPriority w:val="0"/>
    <w:rPr>
      <w:kern w:val="1"/>
    </w:rPr>
  </w:style>
  <w:style w:type="paragraph" w:customStyle="1" w:styleId="113">
    <w:name w:val="CM111"/>
    <w:basedOn w:val="81"/>
    <w:next w:val="81"/>
    <w:qFormat/>
    <w:uiPriority w:val="0"/>
    <w:rPr>
      <w:rFonts w:cs="Times New Roman"/>
    </w:rPr>
  </w:style>
  <w:style w:type="paragraph" w:customStyle="1" w:styleId="114">
    <w:name w:val="CM24"/>
    <w:basedOn w:val="81"/>
    <w:next w:val="81"/>
    <w:qFormat/>
    <w:uiPriority w:val="0"/>
    <w:pPr>
      <w:spacing w:line="400" w:lineRule="atLeast"/>
    </w:pPr>
    <w:rPr>
      <w:rFonts w:cs="Times New Roman"/>
    </w:rPr>
  </w:style>
  <w:style w:type="paragraph" w:customStyle="1" w:styleId="115">
    <w:name w:val="CM107"/>
    <w:basedOn w:val="81"/>
    <w:next w:val="81"/>
    <w:qFormat/>
    <w:uiPriority w:val="0"/>
    <w:rPr>
      <w:rFonts w:cs="Times New Roman"/>
    </w:rPr>
  </w:style>
  <w:style w:type="paragraph" w:customStyle="1" w:styleId="116">
    <w:name w:val="CM105"/>
    <w:basedOn w:val="81"/>
    <w:next w:val="81"/>
    <w:qFormat/>
    <w:uiPriority w:val="0"/>
    <w:rPr>
      <w:rFonts w:cs="Times New Roman"/>
    </w:rPr>
  </w:style>
  <w:style w:type="paragraph" w:customStyle="1" w:styleId="117">
    <w:name w:val="正文A"/>
    <w:qFormat/>
    <w:uiPriority w:val="0"/>
    <w:pPr>
      <w:tabs>
        <w:tab w:val="left" w:pos="0"/>
      </w:tabs>
      <w:spacing w:line="360" w:lineRule="auto"/>
      <w:ind w:firstLine="200"/>
      <w:jc w:val="both"/>
    </w:pPr>
    <w:rPr>
      <w:rFonts w:ascii="Times New Roman" w:hAnsi="Times New Roman" w:eastAsia="宋体" w:cs="Times New Roman"/>
      <w:color w:val="000000"/>
      <w:sz w:val="24"/>
      <w:lang w:val="en-US" w:eastAsia="zh-CN" w:bidi="ar-SA"/>
    </w:rPr>
  </w:style>
  <w:style w:type="paragraph" w:customStyle="1" w:styleId="118">
    <w:name w:val="CM23"/>
    <w:basedOn w:val="81"/>
    <w:next w:val="81"/>
    <w:qFormat/>
    <w:uiPriority w:val="0"/>
    <w:pPr>
      <w:spacing w:line="400" w:lineRule="atLeast"/>
    </w:pPr>
    <w:rPr>
      <w:rFonts w:cs="Times New Roman"/>
    </w:rPr>
  </w:style>
  <w:style w:type="paragraph" w:customStyle="1" w:styleId="119">
    <w:name w:val="CM36"/>
    <w:basedOn w:val="81"/>
    <w:next w:val="81"/>
    <w:qFormat/>
    <w:uiPriority w:val="0"/>
    <w:pPr>
      <w:spacing w:line="400" w:lineRule="atLeast"/>
    </w:pPr>
    <w:rPr>
      <w:rFonts w:cs="Times New Roman"/>
    </w:rPr>
  </w:style>
  <w:style w:type="paragraph" w:customStyle="1" w:styleId="120">
    <w:name w:val="文二"/>
    <w:basedOn w:val="1"/>
    <w:qFormat/>
    <w:uiPriority w:val="0"/>
    <w:pPr>
      <w:jc w:val="left"/>
    </w:pPr>
    <w:rPr>
      <w:rFonts w:ascii="宋体" w:hAnsi="宋体" w:cs="宋体"/>
      <w:kern w:val="1"/>
      <w:szCs w:val="21"/>
    </w:rPr>
  </w:style>
  <w:style w:type="paragraph" w:customStyle="1" w:styleId="121">
    <w:name w:val="CM96"/>
    <w:basedOn w:val="81"/>
    <w:next w:val="81"/>
    <w:qFormat/>
    <w:uiPriority w:val="0"/>
    <w:pPr>
      <w:spacing w:line="626" w:lineRule="atLeast"/>
    </w:pPr>
    <w:rPr>
      <w:rFonts w:cs="Times New Roman"/>
    </w:rPr>
  </w:style>
  <w:style w:type="paragraph" w:customStyle="1" w:styleId="122">
    <w:name w:val="Char Char1"/>
    <w:basedOn w:val="1"/>
    <w:qFormat/>
    <w:uiPriority w:val="0"/>
    <w:pPr>
      <w:widowControl/>
      <w:spacing w:after="160" w:line="240" w:lineRule="exact"/>
      <w:jc w:val="left"/>
    </w:pPr>
    <w:rPr>
      <w:rFonts w:ascii="Verdana" w:hAnsi="Verdana" w:cs="Verdana"/>
      <w:b/>
      <w:sz w:val="20"/>
      <w:szCs w:val="20"/>
      <w:lang w:eastAsia="en-US"/>
    </w:rPr>
  </w:style>
  <w:style w:type="paragraph" w:customStyle="1" w:styleId="123">
    <w:name w:val="正文(仿)首缩"/>
    <w:basedOn w:val="1"/>
    <w:qFormat/>
    <w:uiPriority w:val="0"/>
    <w:pPr>
      <w:ind w:firstLine="554"/>
    </w:pPr>
    <w:rPr>
      <w:rFonts w:ascii="仿宋_GB2312" w:hAnsi="仿宋_GB2312" w:eastAsia="仿宋"/>
      <w:sz w:val="28"/>
      <w:szCs w:val="28"/>
      <w:lang w:val="zh-CN"/>
    </w:rPr>
  </w:style>
  <w:style w:type="paragraph" w:customStyle="1" w:styleId="124">
    <w:name w:val="公文正文"/>
    <w:qFormat/>
    <w:uiPriority w:val="0"/>
    <w:pPr>
      <w:widowControl w:val="0"/>
      <w:spacing w:line="360" w:lineRule="auto"/>
      <w:ind w:firstLine="629"/>
      <w:jc w:val="both"/>
    </w:pPr>
    <w:rPr>
      <w:rFonts w:ascii="仿宋_GB2312" w:hAnsi="仿宋_GB2312" w:eastAsia="仿宋" w:cs="Calisto MT"/>
      <w:color w:val="000000"/>
      <w:sz w:val="32"/>
      <w:lang w:val="en-US" w:eastAsia="zh-CN" w:bidi="ar-SA"/>
    </w:rPr>
  </w:style>
  <w:style w:type="paragraph" w:customStyle="1" w:styleId="125">
    <w:name w:val="公文抬头"/>
    <w:basedOn w:val="7"/>
    <w:qFormat/>
    <w:uiPriority w:val="0"/>
    <w:pPr>
      <w:ind w:firstLine="0"/>
    </w:pPr>
    <w:rPr>
      <w:rFonts w:ascii="仿宋_GB2312" w:hAnsi="仿宋_GB2312" w:eastAsia="仿宋"/>
      <w:sz w:val="30"/>
    </w:rPr>
  </w:style>
  <w:style w:type="paragraph" w:customStyle="1" w:styleId="126">
    <w:name w:val="发文落款"/>
    <w:basedOn w:val="124"/>
    <w:qFormat/>
    <w:uiPriority w:val="0"/>
    <w:pPr>
      <w:ind w:left="4094" w:right="607" w:firstLine="0"/>
      <w:jc w:val="center"/>
    </w:pPr>
  </w:style>
  <w:style w:type="paragraph" w:customStyle="1" w:styleId="127">
    <w:name w:val="TOC 标题1"/>
    <w:basedOn w:val="2"/>
    <w:next w:val="1"/>
    <w:qFormat/>
    <w:uiPriority w:val="0"/>
    <w:pPr>
      <w:widowControl/>
      <w:numPr>
        <w:numId w:val="0"/>
      </w:numPr>
      <w:spacing w:before="480" w:after="0" w:line="276" w:lineRule="auto"/>
      <w:jc w:val="left"/>
      <w:outlineLvl w:val="9"/>
    </w:pPr>
    <w:rPr>
      <w:rFonts w:ascii="Cambria" w:hAnsi="Cambria" w:cs="Cambria"/>
      <w:color w:val="365F91"/>
      <w:sz w:val="28"/>
      <w:szCs w:val="28"/>
    </w:rPr>
  </w:style>
  <w:style w:type="paragraph" w:customStyle="1" w:styleId="128">
    <w:name w:val="图"/>
    <w:basedOn w:val="1"/>
    <w:qFormat/>
    <w:uiPriority w:val="0"/>
    <w:pPr>
      <w:keepNext/>
      <w:spacing w:before="60" w:after="60" w:line="300" w:lineRule="auto"/>
      <w:jc w:val="center"/>
    </w:pPr>
    <w:rPr>
      <w:spacing w:val="20"/>
      <w:sz w:val="24"/>
      <w:szCs w:val="20"/>
    </w:rPr>
  </w:style>
  <w:style w:type="paragraph" w:customStyle="1" w:styleId="129">
    <w:name w:val="样式 样式 行距: 多倍行距 1.25 字行 + 首行缩进:  2 字符"/>
    <w:basedOn w:val="1"/>
    <w:qFormat/>
    <w:uiPriority w:val="0"/>
    <w:pPr>
      <w:spacing w:line="300" w:lineRule="auto"/>
      <w:ind w:firstLine="200"/>
    </w:pPr>
    <w:rPr>
      <w:rFonts w:eastAsia="华文细黑" w:cs="宋体"/>
      <w:kern w:val="1"/>
      <w:sz w:val="24"/>
      <w:szCs w:val="20"/>
    </w:rPr>
  </w:style>
  <w:style w:type="paragraph" w:customStyle="1" w:styleId="130">
    <w:name w:val="样式 标题 2 + Times New Roman 四号 非加粗 段前: 5 磅 段后: 0 磅 行距: 固定值 20..."/>
    <w:basedOn w:val="3"/>
    <w:qFormat/>
    <w:uiPriority w:val="0"/>
    <w:pPr>
      <w:numPr>
        <w:ilvl w:val="0"/>
        <w:numId w:val="0"/>
      </w:numPr>
      <w:spacing w:before="100" w:after="0" w:line="400" w:lineRule="exact"/>
    </w:pPr>
    <w:rPr>
      <w:rFonts w:ascii="Times New Roman" w:hAnsi="Times New Roman" w:cs="宋体"/>
      <w:kern w:val="1"/>
      <w:szCs w:val="20"/>
      <w:lang w:val="zh-CN"/>
    </w:rPr>
  </w:style>
  <w:style w:type="paragraph" w:customStyle="1" w:styleId="131">
    <w:name w:val="List Paragraph*"/>
    <w:basedOn w:val="1"/>
    <w:qFormat/>
    <w:uiPriority w:val="0"/>
    <w:pPr>
      <w:ind w:firstLine="420"/>
    </w:pPr>
    <w:rPr>
      <w:rFonts w:ascii="Calibri" w:hAnsi="Calibri" w:cs="Calibri"/>
      <w:kern w:val="1"/>
      <w:szCs w:val="22"/>
    </w:rPr>
  </w:style>
  <w:style w:type="paragraph" w:customStyle="1" w:styleId="132">
    <w:name w:val="Char2"/>
    <w:basedOn w:val="1"/>
    <w:qFormat/>
    <w:uiPriority w:val="0"/>
    <w:pPr>
      <w:tabs>
        <w:tab w:val="left" w:pos="1080"/>
      </w:tabs>
      <w:ind w:left="425" w:hanging="425"/>
    </w:pPr>
    <w:rPr>
      <w:kern w:val="1"/>
      <w:sz w:val="24"/>
    </w:rPr>
  </w:style>
  <w:style w:type="paragraph" w:customStyle="1" w:styleId="133">
    <w:name w:val="纯文本_0"/>
    <w:basedOn w:val="134"/>
    <w:qFormat/>
    <w:uiPriority w:val="0"/>
    <w:rPr>
      <w:rFonts w:ascii="宋体" w:hAnsi="宋体" w:cs="Courier New"/>
      <w:szCs w:val="20"/>
    </w:rPr>
  </w:style>
  <w:style w:type="paragraph" w:customStyle="1" w:styleId="134">
    <w:name w:val="正文_0"/>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135">
    <w:name w:val="_Style 126"/>
    <w:qFormat/>
    <w:uiPriority w:val="0"/>
    <w:pPr>
      <w:widowControl w:val="0"/>
      <w:jc w:val="both"/>
    </w:pPr>
    <w:rPr>
      <w:rFonts w:ascii="Times New Roman" w:hAnsi="Times New Roman" w:eastAsia="宋体" w:cs="Times New Roman"/>
      <w:color w:val="000000"/>
      <w:sz w:val="21"/>
      <w:szCs w:val="24"/>
      <w:lang w:val="en-US" w:eastAsia="zh-CN" w:bidi="ar-SA"/>
    </w:rPr>
  </w:style>
  <w:style w:type="character" w:customStyle="1" w:styleId="136">
    <w:name w:val="普通文字 Char1"/>
    <w:qFormat/>
    <w:uiPriority w:val="0"/>
    <w:rPr>
      <w:rFonts w:ascii="宋体" w:hAnsi="宋体" w:eastAsia="宋体" w:cs="Times New Roman"/>
      <w:szCs w:val="20"/>
    </w:rPr>
  </w:style>
  <w:style w:type="character" w:customStyle="1" w:styleId="137">
    <w:name w:val="Char Char8"/>
    <w:qFormat/>
    <w:uiPriority w:val="0"/>
    <w:rPr>
      <w:rFonts w:ascii="宋体" w:hAnsi="宋体" w:eastAsia="宋体"/>
      <w:kern w:val="1"/>
      <w:sz w:val="21"/>
      <w:lang w:val="en-US" w:eastAsia="zh-CN" w:bidi="ar-SA"/>
    </w:rPr>
  </w:style>
  <w:style w:type="character" w:customStyle="1" w:styleId="138">
    <w:name w:val="2 Char Char Char"/>
    <w:qFormat/>
    <w:uiPriority w:val="0"/>
    <w:rPr>
      <w:rFonts w:ascii="仿宋_GB2312" w:hAnsi="仿宋_GB2312" w:eastAsia="仿宋"/>
      <w:sz w:val="28"/>
      <w:szCs w:val="28"/>
      <w:lang w:bidi="ar-SA"/>
    </w:rPr>
  </w:style>
  <w:style w:type="character" w:customStyle="1" w:styleId="139">
    <w:name w:val="文一 Char"/>
    <w:qFormat/>
    <w:uiPriority w:val="0"/>
    <w:rPr>
      <w:rFonts w:eastAsia="宋体"/>
      <w:spacing w:val="4"/>
      <w:sz w:val="24"/>
      <w:szCs w:val="24"/>
      <w:lang w:val="en-US" w:eastAsia="zh-CN" w:bidi="ar-SA"/>
    </w:rPr>
  </w:style>
  <w:style w:type="character" w:customStyle="1" w:styleId="140">
    <w:name w:val="标题 1 Char1"/>
    <w:qFormat/>
    <w:uiPriority w:val="0"/>
    <w:rPr>
      <w:rFonts w:ascii="Arial" w:hAnsi="Arial" w:eastAsia="宋体"/>
      <w:b/>
      <w:kern w:val="0"/>
      <w:sz w:val="30"/>
      <w:szCs w:val="44"/>
      <w:lang w:val="en-US" w:eastAsia="zh-CN" w:bidi="ar-SA"/>
    </w:rPr>
  </w:style>
  <w:style w:type="character" w:customStyle="1" w:styleId="141">
    <w:name w:val="填空正文"/>
    <w:qFormat/>
    <w:uiPriority w:val="0"/>
    <w:rPr>
      <w:rFonts w:ascii="宋体" w:hAnsi="宋体" w:eastAsia="宋体"/>
      <w:sz w:val="24"/>
      <w:u w:val="single"/>
    </w:rPr>
  </w:style>
  <w:style w:type="paragraph" w:customStyle="1" w:styleId="142">
    <w:name w:val="章节一"/>
    <w:basedOn w:val="90"/>
    <w:next w:val="90"/>
    <w:qFormat/>
    <w:uiPriority w:val="0"/>
    <w:pPr>
      <w:topLinePunct/>
      <w:adjustRightInd w:val="0"/>
      <w:snapToGrid w:val="0"/>
      <w:spacing w:beforeLines="50" w:afterLines="50" w:line="240" w:lineRule="auto"/>
      <w:ind w:firstLine="0"/>
      <w:jc w:val="center"/>
      <w:outlineLvl w:val="0"/>
    </w:pPr>
    <w:rPr>
      <w:rFonts w:eastAsia="黑体"/>
      <w:b/>
      <w:snapToGrid w:val="0"/>
      <w:color w:val="auto"/>
      <w:sz w:val="36"/>
      <w:szCs w:val="36"/>
    </w:rPr>
  </w:style>
  <w:style w:type="character" w:customStyle="1" w:styleId="143">
    <w:name w:val="文一 Char Char"/>
    <w:link w:val="90"/>
    <w:qFormat/>
    <w:uiPriority w:val="0"/>
    <w:rPr>
      <w:rFonts w:ascii="Times New Roman" w:hAnsi="Times New Roman" w:eastAsia="宋体" w:cs="Times New Roman"/>
      <w:color w:val="000000"/>
      <w:spacing w:val="4"/>
      <w:sz w:val="24"/>
      <w:szCs w:val="24"/>
    </w:rPr>
  </w:style>
  <w:style w:type="paragraph" w:customStyle="1" w:styleId="144">
    <w:name w:val="章节三"/>
    <w:basedOn w:val="90"/>
    <w:next w:val="90"/>
    <w:qFormat/>
    <w:uiPriority w:val="0"/>
    <w:pPr>
      <w:topLinePunct/>
      <w:adjustRightInd w:val="0"/>
      <w:snapToGrid w:val="0"/>
      <w:spacing w:beforeLines="50" w:afterLines="50" w:line="240" w:lineRule="auto"/>
      <w:ind w:firstLine="0"/>
      <w:jc w:val="left"/>
      <w:outlineLvl w:val="2"/>
    </w:pPr>
    <w:rPr>
      <w:rFonts w:ascii="黑体" w:hAnsi="宋体" w:eastAsia="黑体" w:cs="黑体"/>
      <w:b/>
      <w:bCs/>
      <w:color w:val="auto"/>
    </w:rPr>
  </w:style>
  <w:style w:type="paragraph" w:customStyle="1" w:styleId="145">
    <w:name w:val="修订1"/>
    <w:hidden/>
    <w:semiHidden/>
    <w:qFormat/>
    <w:uiPriority w:val="99"/>
    <w:rPr>
      <w:rFonts w:ascii="Times New Roman" w:hAnsi="Times New Roman" w:eastAsia="宋体" w:cs="Times New Roman"/>
      <w:color w:val="000000"/>
      <w:sz w:val="21"/>
      <w:szCs w:val="24"/>
      <w:lang w:val="en-US" w:eastAsia="zh-CN" w:bidi="ar-SA"/>
    </w:rPr>
  </w:style>
  <w:style w:type="paragraph" w:customStyle="1" w:styleId="146">
    <w:name w:val="正题"/>
    <w:basedOn w:val="90"/>
    <w:next w:val="90"/>
    <w:qFormat/>
    <w:uiPriority w:val="0"/>
    <w:pPr>
      <w:topLinePunct/>
      <w:adjustRightInd w:val="0"/>
      <w:snapToGrid w:val="0"/>
      <w:ind w:firstLine="0"/>
      <w:jc w:val="center"/>
    </w:pPr>
    <w:rPr>
      <w:rFonts w:eastAsia="黑体"/>
      <w:b/>
      <w:snapToGrid w:val="0"/>
      <w:color w:val="auto"/>
      <w:sz w:val="36"/>
      <w:szCs w:val="36"/>
    </w:rPr>
  </w:style>
  <w:style w:type="paragraph" w:customStyle="1" w:styleId="147">
    <w:name w:val="正文1"/>
    <w:qFormat/>
    <w:uiPriority w:val="0"/>
    <w:pPr>
      <w:spacing w:line="360" w:lineRule="auto"/>
      <w:jc w:val="both"/>
    </w:pPr>
    <w:rPr>
      <w:rFonts w:ascii="Times New Roman" w:hAnsi="Times New Roman" w:eastAsia="宋体" w:cs="Times New Roman"/>
      <w:sz w:val="24"/>
      <w:szCs w:val="24"/>
      <w:lang w:val="en-US" w:eastAsia="zh-CN" w:bidi="ar-SA"/>
    </w:rPr>
  </w:style>
  <w:style w:type="paragraph" w:customStyle="1" w:styleId="148">
    <w:name w:val="修订2"/>
    <w:hidden/>
    <w:semiHidden/>
    <w:qFormat/>
    <w:uiPriority w:val="99"/>
    <w:rPr>
      <w:rFonts w:ascii="Times New Roman" w:hAnsi="Times New Roman" w:eastAsia="宋体" w:cs="Times New Roman"/>
      <w:color w:val="000000"/>
      <w:sz w:val="21"/>
      <w:szCs w:val="24"/>
      <w:lang w:val="en-US" w:eastAsia="zh-CN" w:bidi="ar-SA"/>
    </w:rPr>
  </w:style>
  <w:style w:type="paragraph" w:customStyle="1" w:styleId="149">
    <w:name w:val="样式 宋体 行距: 1.5 倍行距"/>
    <w:basedOn w:val="1"/>
    <w:qFormat/>
    <w:uiPriority w:val="0"/>
    <w:pPr>
      <w:jc w:val="center"/>
    </w:pPr>
    <w:rPr>
      <w:rFonts w:eastAsia="黑体"/>
      <w:b/>
      <w:color w:val="auto"/>
      <w:kern w:val="2"/>
    </w:rPr>
  </w:style>
  <w:style w:type="paragraph" w:customStyle="1" w:styleId="150">
    <w:name w:val="Revision"/>
    <w:hidden/>
    <w:semiHidden/>
    <w:qFormat/>
    <w:uiPriority w:val="99"/>
    <w:rPr>
      <w:rFonts w:ascii="Times New Roman" w:hAnsi="Times New Roman" w:eastAsia="宋体" w:cs="Times New Roman"/>
      <w:color w:val="000000"/>
      <w:sz w:val="21"/>
      <w:szCs w:val="24"/>
      <w:lang w:val="en-US" w:eastAsia="zh-CN" w:bidi="ar-SA"/>
    </w:rPr>
  </w:style>
  <w:style w:type="character" w:customStyle="1" w:styleId="151">
    <w:name w:val="font51"/>
    <w:basedOn w:val="44"/>
    <w:qFormat/>
    <w:uiPriority w:val="0"/>
    <w:rPr>
      <w:rFonts w:hint="eastAsia" w:ascii="宋体" w:hAnsi="宋体" w:eastAsia="宋体"/>
      <w:b/>
      <w:bCs/>
      <w:color w:val="000000"/>
      <w:sz w:val="22"/>
      <w:szCs w:val="22"/>
      <w:u w:val="none"/>
    </w:rPr>
  </w:style>
  <w:style w:type="character" w:customStyle="1" w:styleId="152">
    <w:name w:val="font91"/>
    <w:basedOn w:val="44"/>
    <w:qFormat/>
    <w:uiPriority w:val="0"/>
    <w:rPr>
      <w:rFonts w:hint="eastAsia" w:ascii="MingLiU" w:hAnsi="MingLiU" w:eastAsia="MingLiU"/>
      <w:b/>
      <w:bCs/>
      <w:color w:val="000000"/>
      <w:sz w:val="22"/>
      <w:szCs w:val="22"/>
      <w:u w:val="none"/>
    </w:rPr>
  </w:style>
  <w:style w:type="character" w:customStyle="1" w:styleId="153">
    <w:name w:val="font101"/>
    <w:basedOn w:val="44"/>
    <w:qFormat/>
    <w:uiPriority w:val="0"/>
    <w:rPr>
      <w:rFonts w:hint="eastAsia" w:ascii="Microsoft YaHei UI" w:hAnsi="Microsoft YaHei UI" w:eastAsia="Microsoft YaHei UI"/>
      <w:color w:val="000000"/>
      <w:sz w:val="20"/>
      <w:szCs w:val="20"/>
      <w:u w:val="none"/>
    </w:rPr>
  </w:style>
  <w:style w:type="character" w:customStyle="1" w:styleId="154">
    <w:name w:val="font31"/>
    <w:basedOn w:val="44"/>
    <w:qFormat/>
    <w:uiPriority w:val="0"/>
    <w:rPr>
      <w:rFonts w:hint="eastAsia" w:ascii="仿宋_GB2312" w:eastAsia="仿宋_GB2312"/>
      <w:color w:val="000000"/>
      <w:sz w:val="20"/>
      <w:szCs w:val="20"/>
      <w:u w:val="none"/>
    </w:rPr>
  </w:style>
  <w:style w:type="character" w:customStyle="1" w:styleId="155">
    <w:name w:val="font111"/>
    <w:basedOn w:val="44"/>
    <w:qFormat/>
    <w:uiPriority w:val="0"/>
    <w:rPr>
      <w:rFonts w:hint="eastAsia" w:ascii="Microsoft YaHei UI" w:hAnsi="Microsoft YaHei UI" w:eastAsia="Microsoft YaHei UI"/>
      <w:color w:val="000000"/>
      <w:sz w:val="24"/>
      <w:szCs w:val="24"/>
      <w:u w:val="none"/>
    </w:rPr>
  </w:style>
  <w:style w:type="character" w:customStyle="1" w:styleId="156">
    <w:name w:val="font41"/>
    <w:basedOn w:val="44"/>
    <w:qFormat/>
    <w:uiPriority w:val="0"/>
    <w:rPr>
      <w:rFonts w:hint="eastAsia" w:ascii="仿宋_GB2312" w:eastAsia="仿宋_GB2312"/>
      <w:color w:val="000000"/>
      <w:sz w:val="24"/>
      <w:szCs w:val="24"/>
      <w:u w:val="none"/>
    </w:rPr>
  </w:style>
  <w:style w:type="character" w:customStyle="1" w:styleId="157">
    <w:name w:val="font61"/>
    <w:basedOn w:val="44"/>
    <w:qFormat/>
    <w:uiPriority w:val="0"/>
    <w:rPr>
      <w:rFonts w:hint="eastAsia" w:ascii="华文楷体" w:hAnsi="华文楷体" w:eastAsia="华文楷体"/>
      <w:color w:val="000000"/>
      <w:sz w:val="20"/>
      <w:szCs w:val="20"/>
      <w:u w:val="none"/>
    </w:rPr>
  </w:style>
  <w:style w:type="character" w:customStyle="1" w:styleId="158">
    <w:name w:val="font11"/>
    <w:basedOn w:val="44"/>
    <w:qFormat/>
    <w:uiPriority w:val="0"/>
    <w:rPr>
      <w:rFonts w:hint="eastAsia" w:ascii="仿宋_GB2312" w:eastAsia="仿宋_GB2312"/>
      <w:color w:val="000000"/>
      <w:sz w:val="20"/>
      <w:szCs w:val="20"/>
      <w:u w:val="none"/>
    </w:rPr>
  </w:style>
  <w:style w:type="paragraph" w:customStyle="1" w:styleId="159">
    <w:name w:val="TOC Heading"/>
    <w:basedOn w:val="2"/>
    <w:next w:val="1"/>
    <w:unhideWhenUsed/>
    <w:qFormat/>
    <w:uiPriority w:val="39"/>
    <w:pPr>
      <w:widowControl/>
      <w:numPr>
        <w:numId w:val="0"/>
      </w:numPr>
      <w:tabs>
        <w:tab w:val="clear" w:pos="1080"/>
      </w:tabs>
      <w:spacing w:before="240" w:after="0" w:line="259" w:lineRule="auto"/>
      <w:jc w:val="left"/>
      <w:outlineLvl w:val="9"/>
    </w:pPr>
    <w:rPr>
      <w:rFonts w:asciiTheme="majorHAnsi" w:hAnsiTheme="majorHAnsi" w:eastAsiaTheme="majorEastAsia" w:cstheme="majorBidi"/>
      <w:b w:val="0"/>
      <w:color w:val="376092" w:themeColor="accent1" w:themeShade="BF"/>
      <w:sz w:val="32"/>
      <w:szCs w:val="32"/>
    </w:rPr>
  </w:style>
  <w:style w:type="character" w:customStyle="1" w:styleId="160">
    <w:name w:val="Unresolved Mention"/>
    <w:basedOn w:val="44"/>
    <w:semiHidden/>
    <w:unhideWhenUsed/>
    <w:qFormat/>
    <w:uiPriority w:val="99"/>
    <w:rPr>
      <w:color w:val="605E5C"/>
      <w:shd w:val="clear" w:color="auto" w:fill="E1DFDD"/>
    </w:rPr>
  </w:style>
  <w:style w:type="character" w:customStyle="1" w:styleId="161">
    <w:name w:val="font21"/>
    <w:basedOn w:val="44"/>
    <w:qFormat/>
    <w:uiPriority w:val="0"/>
    <w:rPr>
      <w:rFonts w:hint="eastAsia" w:ascii="宋体" w:hAnsi="宋体" w:eastAsia="宋体"/>
      <w:b/>
      <w:bCs/>
      <w:color w:val="000000"/>
      <w:sz w:val="18"/>
      <w:szCs w:val="18"/>
      <w:u w:val="none"/>
    </w:rPr>
  </w:style>
  <w:style w:type="character" w:customStyle="1" w:styleId="162">
    <w:name w:val="font01"/>
    <w:basedOn w:val="44"/>
    <w:qFormat/>
    <w:uiPriority w:val="0"/>
    <w:rPr>
      <w:rFonts w:hint="eastAsia" w:ascii="MingLiU" w:hAnsi="MingLiU" w:eastAsia="MingLiU"/>
      <w:b/>
      <w:bCs/>
      <w:color w:val="000000"/>
      <w:sz w:val="18"/>
      <w:szCs w:val="18"/>
      <w:u w:val="none"/>
    </w:rPr>
  </w:style>
  <w:style w:type="paragraph" w:customStyle="1" w:styleId="163">
    <w:name w:val="MSG_EN_FONT_STYLE_NAME_TEMPLATE_ROLE_NUMBER MSG_EN_FONT_STYLE_NAME_BY_ROLE_TEXT 41"/>
    <w:basedOn w:val="1"/>
    <w:qFormat/>
    <w:uiPriority w:val="0"/>
    <w:pPr>
      <w:shd w:val="clear" w:color="auto" w:fill="FFFFFF"/>
      <w:spacing w:after="440" w:line="260" w:lineRule="exact"/>
    </w:pPr>
    <w:rPr>
      <w:rFonts w:ascii="宋体" w:hAnsi="宋体" w:cs="宋体"/>
      <w:b/>
      <w:bCs/>
      <w:color w:val="auto"/>
      <w:kern w:val="2"/>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AC5C-C505-4F84-B02D-E3C58765E83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127</Pages>
  <Words>80830</Words>
  <Characters>83733</Characters>
  <Lines>626</Lines>
  <Paragraphs>176</Paragraphs>
  <TotalTime>7</TotalTime>
  <ScaleCrop>false</ScaleCrop>
  <LinksUpToDate>false</LinksUpToDate>
  <CharactersWithSpaces>84545</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2023-06-29T02:41:00Z</dcterms:created>
  <dc:creator>钟芳</dc:creator>
  <cp:lastModifiedBy>孟靖已</cp:lastModifiedBy>
  <cp:lastPrinted>2024-04-02T09:04:00Z</cp:lastPrinted>
  <dcterms:modified xsi:type="dcterms:W3CDTF">2024-04-16T11:04:55Z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09D2D580CDDF4476BB9621EF62019498</vt:lpwstr>
  </property>
</Properties>
</file>