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
          <w:color w:val="auto"/>
          <w:sz w:val="52"/>
          <w:szCs w:val="52"/>
          <w:highlight w:val="none"/>
        </w:rPr>
      </w:pPr>
    </w:p>
    <w:p>
      <w:pPr>
        <w:spacing w:line="360" w:lineRule="auto"/>
        <w:jc w:val="center"/>
        <w:rPr>
          <w:rFonts w:hint="default" w:ascii="Times New Roman" w:hAnsi="Times New Roman" w:eastAsia="宋体" w:cs="Times New Roman"/>
          <w:b/>
          <w:color w:val="auto"/>
          <w:sz w:val="52"/>
          <w:szCs w:val="52"/>
          <w:highlight w:val="none"/>
        </w:rPr>
      </w:pPr>
    </w:p>
    <w:p>
      <w:pPr>
        <w:spacing w:line="360" w:lineRule="auto"/>
        <w:jc w:val="center"/>
        <w:rPr>
          <w:rFonts w:hint="default" w:ascii="Times New Roman" w:hAnsi="Times New Roman" w:eastAsia="宋体" w:cs="Times New Roman"/>
          <w:b/>
          <w:color w:val="auto"/>
          <w:sz w:val="52"/>
          <w:szCs w:val="52"/>
          <w:highlight w:val="none"/>
        </w:rPr>
      </w:pPr>
      <w:r>
        <w:rPr>
          <w:rFonts w:hint="default" w:ascii="Times New Roman" w:hAnsi="Times New Roman" w:eastAsia="宋体" w:cs="Times New Roman"/>
          <w:b/>
          <w:color w:val="auto"/>
          <w:sz w:val="52"/>
          <w:szCs w:val="52"/>
          <w:highlight w:val="none"/>
          <w:lang w:eastAsia="zh-CN"/>
        </w:rPr>
        <w:t>广花公路以东、雅瑶中路以南CA1207006、CA1207019地块市政道路配套工程施工总承包</w:t>
      </w:r>
    </w:p>
    <w:p>
      <w:pPr>
        <w:jc w:val="center"/>
        <w:rPr>
          <w:rFonts w:hint="default" w:ascii="Times New Roman" w:hAnsi="Times New Roman" w:eastAsia="宋体" w:cs="Times New Roman"/>
          <w:b/>
          <w:color w:val="auto"/>
          <w:szCs w:val="20"/>
          <w:highlight w:val="none"/>
        </w:rPr>
      </w:pPr>
    </w:p>
    <w:p>
      <w:pPr>
        <w:jc w:val="center"/>
        <w:rPr>
          <w:rFonts w:hint="default" w:ascii="Times New Roman" w:hAnsi="Times New Roman" w:eastAsia="宋体" w:cs="Times New Roman"/>
          <w:b/>
          <w:color w:val="auto"/>
          <w:szCs w:val="20"/>
          <w:highlight w:val="none"/>
        </w:rPr>
      </w:pPr>
    </w:p>
    <w:p>
      <w:pPr>
        <w:pStyle w:val="29"/>
        <w:rPr>
          <w:rFonts w:hint="default" w:ascii="Times New Roman" w:hAnsi="Times New Roman" w:eastAsia="宋体" w:cs="Times New Roman"/>
          <w:color w:val="auto"/>
          <w:highlight w:val="none"/>
          <w:lang w:val="en-US"/>
        </w:rPr>
      </w:pPr>
    </w:p>
    <w:p>
      <w:pPr>
        <w:rPr>
          <w:rFonts w:hint="default" w:ascii="Times New Roman" w:hAnsi="Times New Roman" w:eastAsia="宋体" w:cs="Times New Roman"/>
          <w:color w:val="auto"/>
          <w:highlight w:val="none"/>
        </w:rPr>
      </w:pPr>
    </w:p>
    <w:p>
      <w:pPr>
        <w:jc w:val="center"/>
        <w:rPr>
          <w:rFonts w:hint="default" w:ascii="Times New Roman" w:hAnsi="Times New Roman" w:eastAsia="宋体" w:cs="Times New Roman"/>
          <w:b/>
          <w:color w:val="auto"/>
          <w:szCs w:val="20"/>
          <w:highlight w:val="none"/>
        </w:rPr>
      </w:pPr>
    </w:p>
    <w:p>
      <w:pPr>
        <w:jc w:val="center"/>
        <w:rPr>
          <w:rFonts w:hint="default" w:ascii="Times New Roman" w:hAnsi="Times New Roman" w:eastAsia="宋体" w:cs="Times New Roman"/>
          <w:b/>
          <w:color w:val="auto"/>
          <w:szCs w:val="20"/>
          <w:highlight w:val="none"/>
        </w:rPr>
      </w:pPr>
    </w:p>
    <w:p>
      <w:pPr>
        <w:jc w:val="center"/>
        <w:rPr>
          <w:rFonts w:hint="default" w:ascii="Times New Roman" w:hAnsi="Times New Roman" w:eastAsia="宋体" w:cs="Times New Roman"/>
          <w:b/>
          <w:color w:val="auto"/>
          <w:szCs w:val="20"/>
          <w:highlight w:val="none"/>
        </w:rPr>
      </w:pPr>
    </w:p>
    <w:p>
      <w:pPr>
        <w:jc w:val="center"/>
        <w:rPr>
          <w:rFonts w:hint="default" w:ascii="Times New Roman" w:hAnsi="Times New Roman" w:eastAsia="宋体" w:cs="Times New Roman"/>
          <w:b/>
          <w:color w:val="auto"/>
          <w:szCs w:val="20"/>
          <w:highlight w:val="none"/>
        </w:rPr>
      </w:pPr>
    </w:p>
    <w:p>
      <w:pPr>
        <w:jc w:val="center"/>
        <w:rPr>
          <w:rFonts w:hint="default" w:ascii="Times New Roman" w:hAnsi="Times New Roman" w:eastAsia="宋体" w:cs="Times New Roman"/>
          <w:b/>
          <w:color w:val="auto"/>
          <w:szCs w:val="20"/>
          <w:highlight w:val="none"/>
        </w:rPr>
      </w:pPr>
    </w:p>
    <w:p>
      <w:pPr>
        <w:spacing w:line="360" w:lineRule="auto"/>
        <w:jc w:val="center"/>
        <w:rPr>
          <w:rFonts w:hint="default" w:ascii="Times New Roman" w:hAnsi="Times New Roman" w:eastAsia="宋体" w:cs="Times New Roman"/>
          <w:b/>
          <w:bCs/>
          <w:color w:val="auto"/>
          <w:spacing w:val="26"/>
          <w:sz w:val="110"/>
          <w:szCs w:val="110"/>
          <w:highlight w:val="none"/>
        </w:rPr>
      </w:pPr>
      <w:r>
        <w:rPr>
          <w:rFonts w:hint="default" w:ascii="Times New Roman" w:hAnsi="Times New Roman" w:eastAsia="宋体" w:cs="Times New Roman"/>
          <w:b/>
          <w:bCs/>
          <w:color w:val="auto"/>
          <w:spacing w:val="26"/>
          <w:sz w:val="110"/>
          <w:szCs w:val="110"/>
          <w:highlight w:val="none"/>
        </w:rPr>
        <w:t>招标文件</w:t>
      </w:r>
    </w:p>
    <w:p>
      <w:pPr>
        <w:spacing w:line="360" w:lineRule="auto"/>
        <w:jc w:val="center"/>
        <w:rPr>
          <w:rFonts w:hint="default" w:ascii="Times New Roman" w:hAnsi="Times New Roman" w:eastAsia="宋体" w:cs="Times New Roman"/>
          <w:color w:val="auto"/>
          <w:sz w:val="32"/>
          <w:highlight w:val="none"/>
        </w:rPr>
      </w:pPr>
    </w:p>
    <w:p>
      <w:pPr>
        <w:jc w:val="center"/>
        <w:rPr>
          <w:rFonts w:hint="default" w:ascii="Times New Roman" w:hAnsi="Times New Roman" w:eastAsia="宋体" w:cs="Times New Roman"/>
          <w:b/>
          <w:color w:val="auto"/>
          <w:szCs w:val="20"/>
          <w:highlight w:val="none"/>
        </w:rPr>
      </w:pPr>
    </w:p>
    <w:p>
      <w:pPr>
        <w:jc w:val="center"/>
        <w:rPr>
          <w:rFonts w:hint="default" w:ascii="Times New Roman" w:hAnsi="Times New Roman" w:eastAsia="宋体" w:cs="Times New Roman"/>
          <w:b/>
          <w:color w:val="auto"/>
          <w:szCs w:val="20"/>
          <w:highlight w:val="none"/>
        </w:rPr>
      </w:pPr>
    </w:p>
    <w:p>
      <w:pPr>
        <w:spacing w:line="360" w:lineRule="auto"/>
        <w:rPr>
          <w:rFonts w:hint="default" w:ascii="Times New Roman" w:hAnsi="Times New Roman" w:eastAsia="宋体" w:cs="Times New Roman"/>
          <w:color w:val="auto"/>
          <w:sz w:val="52"/>
          <w:highlight w:val="none"/>
        </w:rPr>
      </w:pPr>
    </w:p>
    <w:p>
      <w:pPr>
        <w:pStyle w:val="29"/>
        <w:rPr>
          <w:rFonts w:hint="default" w:ascii="Times New Roman" w:hAnsi="Times New Roman" w:eastAsia="宋体" w:cs="Times New Roman"/>
          <w:color w:val="auto"/>
          <w:highlight w:val="none"/>
          <w:lang w:val="en-US"/>
        </w:rPr>
      </w:pPr>
    </w:p>
    <w:p>
      <w:pPr>
        <w:spacing w:line="360" w:lineRule="auto"/>
        <w:ind w:firstLine="993" w:firstLineChars="331"/>
        <w:rPr>
          <w:rFonts w:hint="default" w:ascii="Times New Roman" w:hAnsi="Times New Roman" w:eastAsia="宋体" w:cs="Times New Roman"/>
          <w:color w:val="auto"/>
          <w:sz w:val="30"/>
          <w:szCs w:val="30"/>
          <w:highlight w:val="none"/>
          <w:u w:val="single"/>
        </w:rPr>
      </w:pPr>
      <w:r>
        <w:rPr>
          <w:rFonts w:hint="default" w:ascii="Times New Roman" w:hAnsi="Times New Roman" w:eastAsia="宋体" w:cs="Times New Roman"/>
          <w:color w:val="auto"/>
          <w:sz w:val="30"/>
          <w:szCs w:val="30"/>
          <w:highlight w:val="none"/>
        </w:rPr>
        <w:t>招  标 单 位：</w:t>
      </w:r>
      <w:r>
        <w:rPr>
          <w:rFonts w:hint="default" w:ascii="Times New Roman" w:hAnsi="Times New Roman" w:eastAsia="宋体" w:cs="Times New Roman"/>
          <w:color w:val="auto"/>
          <w:sz w:val="30"/>
          <w:szCs w:val="30"/>
          <w:highlight w:val="none"/>
          <w:u w:val="single"/>
        </w:rPr>
        <w:t>广州市广花房地产开发有限公司</w:t>
      </w:r>
    </w:p>
    <w:p>
      <w:pPr>
        <w:spacing w:line="360" w:lineRule="auto"/>
        <w:ind w:firstLine="993" w:firstLineChars="331"/>
        <w:rPr>
          <w:rFonts w:hint="default" w:ascii="Times New Roman" w:hAnsi="Times New Roman" w:eastAsia="宋体" w:cs="Times New Roman"/>
          <w:color w:val="auto"/>
          <w:sz w:val="30"/>
          <w:szCs w:val="30"/>
          <w:highlight w:val="none"/>
          <w:u w:val="single"/>
          <w:lang w:eastAsia="zh-CN"/>
        </w:rPr>
      </w:pPr>
      <w:r>
        <w:rPr>
          <w:rFonts w:hint="default" w:ascii="Times New Roman" w:hAnsi="Times New Roman" w:eastAsia="宋体" w:cs="Times New Roman"/>
          <w:color w:val="auto"/>
          <w:sz w:val="30"/>
          <w:szCs w:val="30"/>
          <w:highlight w:val="none"/>
        </w:rPr>
        <w:t>招标代理单位：</w:t>
      </w:r>
      <w:r>
        <w:rPr>
          <w:rFonts w:hint="default" w:ascii="Times New Roman" w:hAnsi="Times New Roman" w:eastAsia="宋体" w:cs="Times New Roman"/>
          <w:color w:val="auto"/>
          <w:sz w:val="30"/>
          <w:szCs w:val="30"/>
          <w:highlight w:val="none"/>
          <w:u w:val="single"/>
          <w:lang w:eastAsia="zh-CN"/>
        </w:rPr>
        <w:t>广州市广州工程建设监理有限公司</w:t>
      </w:r>
    </w:p>
    <w:p>
      <w:pPr>
        <w:spacing w:line="360" w:lineRule="auto"/>
        <w:ind w:firstLine="992" w:firstLineChars="310"/>
        <w:rPr>
          <w:rFonts w:hint="default" w:ascii="Times New Roman" w:hAnsi="Times New Roman" w:eastAsia="宋体" w:cs="Times New Roman"/>
          <w:color w:val="auto"/>
          <w:sz w:val="32"/>
          <w:highlight w:val="none"/>
        </w:rPr>
      </w:pPr>
      <w:r>
        <w:rPr>
          <w:rFonts w:hint="default" w:ascii="Times New Roman" w:hAnsi="Times New Roman" w:eastAsia="宋体" w:cs="Times New Roman"/>
          <w:color w:val="auto"/>
          <w:sz w:val="32"/>
          <w:highlight w:val="none"/>
        </w:rPr>
        <w:t>日       期：</w:t>
      </w:r>
      <w:r>
        <w:rPr>
          <w:rFonts w:hint="default" w:ascii="Times New Roman" w:hAnsi="Times New Roman" w:eastAsia="宋体" w:cs="Times New Roman"/>
          <w:color w:val="auto"/>
          <w:sz w:val="32"/>
          <w:highlight w:val="none"/>
          <w:u w:val="single"/>
          <w:lang w:eastAsia="zh-CN"/>
        </w:rPr>
        <w:t>2024</w:t>
      </w:r>
      <w:r>
        <w:rPr>
          <w:rFonts w:hint="default" w:ascii="Times New Roman" w:hAnsi="Times New Roman" w:eastAsia="宋体" w:cs="Times New Roman"/>
          <w:color w:val="auto"/>
          <w:sz w:val="32"/>
          <w:highlight w:val="none"/>
        </w:rPr>
        <w:t>年</w:t>
      </w:r>
      <w:r>
        <w:rPr>
          <w:rFonts w:hint="eastAsia" w:cs="Times New Roman"/>
          <w:color w:val="auto"/>
          <w:sz w:val="32"/>
          <w:highlight w:val="none"/>
          <w:u w:val="single"/>
          <w:lang w:val="en-US" w:eastAsia="zh-CN"/>
        </w:rPr>
        <w:t>04</w:t>
      </w:r>
      <w:r>
        <w:rPr>
          <w:rFonts w:hint="default" w:ascii="Times New Roman" w:hAnsi="Times New Roman" w:eastAsia="宋体" w:cs="Times New Roman"/>
          <w:color w:val="auto"/>
          <w:sz w:val="32"/>
          <w:highlight w:val="none"/>
        </w:rPr>
        <w:t>月</w:t>
      </w:r>
    </w:p>
    <w:p>
      <w:pPr>
        <w:keepNext w:val="0"/>
        <w:keepLines w:val="0"/>
        <w:pageBreakBefore w:val="0"/>
        <w:widowControl w:val="0"/>
        <w:kinsoku/>
        <w:wordWrap/>
        <w:overflowPunct/>
        <w:topLinePunct w:val="0"/>
        <w:autoSpaceDE/>
        <w:autoSpaceDN/>
        <w:bidi w:val="0"/>
        <w:spacing w:before="157" w:beforeLines="50" w:after="157" w:afterLines="50"/>
        <w:jc w:val="center"/>
        <w:rPr>
          <w:rFonts w:hint="default" w:ascii="Times New Roman" w:hAnsi="Times New Roman" w:eastAsia="宋体" w:cs="Times New Roman"/>
          <w:b/>
          <w:bCs/>
          <w:color w:val="auto"/>
          <w:sz w:val="36"/>
          <w:szCs w:val="36"/>
          <w:highlight w:val="none"/>
        </w:rPr>
        <w:sectPr>
          <w:footerReference r:id="rId3" w:type="default"/>
          <w:endnotePr>
            <w:numFmt w:val="decimal"/>
          </w:endnotePr>
          <w:pgSz w:w="11906" w:h="16838"/>
          <w:pgMar w:top="1134" w:right="1418" w:bottom="1247" w:left="1418" w:header="851" w:footer="907" w:gutter="0"/>
          <w:pgNumType w:fmt="decimal" w:start="0"/>
          <w:cols w:space="720" w:num="1"/>
          <w:docGrid w:type="lines" w:linePitch="312" w:charSpace="0"/>
        </w:sectPr>
      </w:pPr>
    </w:p>
    <w:p>
      <w:pPr>
        <w:keepNext w:val="0"/>
        <w:keepLines w:val="0"/>
        <w:pageBreakBefore w:val="0"/>
        <w:widowControl w:val="0"/>
        <w:kinsoku/>
        <w:wordWrap/>
        <w:overflowPunct/>
        <w:topLinePunct w:val="0"/>
        <w:autoSpaceDE/>
        <w:autoSpaceDN/>
        <w:bidi w:val="0"/>
        <w:spacing w:before="157" w:beforeLines="50" w:after="157" w:afterLines="50"/>
        <w:jc w:val="center"/>
        <w:rPr>
          <w:rFonts w:hint="default" w:ascii="Times New Roman" w:hAnsi="Times New Roman" w:eastAsia="宋体" w:cs="Times New Roman"/>
          <w:b/>
          <w:bCs/>
          <w:color w:val="auto"/>
          <w:sz w:val="36"/>
          <w:szCs w:val="36"/>
          <w:highlight w:val="none"/>
        </w:rPr>
      </w:pPr>
      <w:r>
        <w:rPr>
          <w:rFonts w:hint="default" w:ascii="Times New Roman" w:hAnsi="Times New Roman" w:eastAsia="宋体" w:cs="Times New Roman"/>
          <w:b/>
          <w:bCs/>
          <w:color w:val="auto"/>
          <w:sz w:val="36"/>
          <w:szCs w:val="36"/>
          <w:highlight w:val="none"/>
        </w:rPr>
        <w:t>目  录</w:t>
      </w:r>
    </w:p>
    <w:p>
      <w:pPr>
        <w:pStyle w:val="11"/>
        <w:rPr>
          <w:rFonts w:hint="default" w:ascii="Times New Roman" w:hAnsi="Times New Roman" w:eastAsia="宋体" w:cs="Times New Roman"/>
          <w:color w:val="auto"/>
          <w:highlight w:val="none"/>
        </w:rPr>
      </w:pPr>
    </w:p>
    <w:p>
      <w:pPr>
        <w:pStyle w:val="37"/>
        <w:tabs>
          <w:tab w:val="right" w:leader="dot" w:pos="9070"/>
          <w:tab w:val="clear" w:pos="9060"/>
        </w:tabs>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TOC \o "1-3" \h \z \u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color w:val="auto"/>
          <w:szCs w:val="28"/>
          <w:highlight w:val="none"/>
        </w:rPr>
        <w:fldChar w:fldCharType="begin"/>
      </w:r>
      <w:r>
        <w:rPr>
          <w:rFonts w:hint="default" w:ascii="Times New Roman" w:hAnsi="Times New Roman" w:eastAsia="宋体" w:cs="Times New Roman"/>
          <w:b/>
          <w:bCs/>
          <w:color w:val="auto"/>
          <w:szCs w:val="28"/>
          <w:highlight w:val="none"/>
        </w:rPr>
        <w:instrText xml:space="preserve"> HYPERLINK \l _Toc25029 </w:instrText>
      </w:r>
      <w:r>
        <w:rPr>
          <w:rFonts w:hint="default" w:ascii="Times New Roman" w:hAnsi="Times New Roman" w:eastAsia="宋体" w:cs="Times New Roman"/>
          <w:b/>
          <w:bCs/>
          <w:color w:val="auto"/>
          <w:szCs w:val="28"/>
          <w:highlight w:val="none"/>
        </w:rPr>
        <w:fldChar w:fldCharType="separate"/>
      </w:r>
      <w:r>
        <w:rPr>
          <w:rFonts w:hint="default" w:ascii="Times New Roman" w:hAnsi="Times New Roman" w:eastAsia="宋体" w:cs="Times New Roman"/>
          <w:b/>
          <w:bCs/>
          <w:color w:val="auto"/>
          <w:kern w:val="44"/>
          <w:szCs w:val="28"/>
          <w:highlight w:val="none"/>
        </w:rPr>
        <w:t>第一章  投标须知</w:t>
      </w:r>
      <w:r>
        <w:rPr>
          <w:rFonts w:hint="default" w:ascii="Times New Roman" w:hAnsi="Times New Roman" w:eastAsia="宋体" w:cs="Times New Roman"/>
          <w:b/>
          <w:bCs/>
          <w:color w:val="auto"/>
          <w:highlight w:val="none"/>
        </w:rPr>
        <w:tab/>
      </w:r>
      <w:r>
        <w:rPr>
          <w:rFonts w:hint="default" w:ascii="Times New Roman" w:hAnsi="Times New Roman" w:eastAsia="宋体" w:cs="Times New Roman"/>
          <w:b/>
          <w:bCs/>
          <w:color w:val="auto"/>
          <w:highlight w:val="none"/>
        </w:rPr>
        <w:fldChar w:fldCharType="begin"/>
      </w:r>
      <w:r>
        <w:rPr>
          <w:rFonts w:hint="default" w:ascii="Times New Roman" w:hAnsi="Times New Roman" w:eastAsia="宋体" w:cs="Times New Roman"/>
          <w:b/>
          <w:bCs/>
          <w:color w:val="auto"/>
          <w:highlight w:val="none"/>
        </w:rPr>
        <w:instrText xml:space="preserve"> PAGEREF _Toc25029 \h </w:instrText>
      </w:r>
      <w:r>
        <w:rPr>
          <w:rFonts w:hint="default" w:ascii="Times New Roman" w:hAnsi="Times New Roman" w:eastAsia="宋体" w:cs="Times New Roman"/>
          <w:b/>
          <w:bCs/>
          <w:color w:val="auto"/>
          <w:highlight w:val="none"/>
        </w:rPr>
        <w:fldChar w:fldCharType="separate"/>
      </w:r>
      <w:r>
        <w:rPr>
          <w:rFonts w:hint="default" w:ascii="Times New Roman" w:hAnsi="Times New Roman" w:eastAsia="宋体" w:cs="Times New Roman"/>
          <w:b/>
          <w:bCs/>
          <w:color w:val="auto"/>
          <w:highlight w:val="none"/>
        </w:rPr>
        <w:t>2</w:t>
      </w:r>
      <w:r>
        <w:rPr>
          <w:rFonts w:hint="default" w:ascii="Times New Roman" w:hAnsi="Times New Roman" w:eastAsia="宋体" w:cs="Times New Roman"/>
          <w:b/>
          <w:bCs/>
          <w:color w:val="auto"/>
          <w:highlight w:val="none"/>
        </w:rPr>
        <w:fldChar w:fldCharType="end"/>
      </w:r>
      <w:r>
        <w:rPr>
          <w:rFonts w:hint="default" w:ascii="Times New Roman" w:hAnsi="Times New Roman" w:eastAsia="宋体" w:cs="Times New Roman"/>
          <w:b/>
          <w:bCs/>
          <w:color w:val="auto"/>
          <w:szCs w:val="28"/>
          <w:highlight w:val="none"/>
        </w:rPr>
        <w:fldChar w:fldCharType="end"/>
      </w:r>
    </w:p>
    <w:p>
      <w:pPr>
        <w:pStyle w:val="37"/>
        <w:tabs>
          <w:tab w:val="right" w:leader="dot" w:pos="9070"/>
          <w:tab w:val="clear" w:pos="9060"/>
        </w:tabs>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44"/>
          <w:szCs w:val="28"/>
          <w:highlight w:val="none"/>
        </w:rPr>
        <w:fldChar w:fldCharType="begin"/>
      </w:r>
      <w:r>
        <w:rPr>
          <w:rFonts w:hint="default" w:ascii="Times New Roman" w:hAnsi="Times New Roman" w:eastAsia="宋体" w:cs="Times New Roman"/>
          <w:b/>
          <w:bCs/>
          <w:color w:val="auto"/>
          <w:kern w:val="44"/>
          <w:szCs w:val="28"/>
          <w:highlight w:val="none"/>
        </w:rPr>
        <w:instrText xml:space="preserve"> HYPERLINK \l _Toc31488 </w:instrText>
      </w:r>
      <w:r>
        <w:rPr>
          <w:rFonts w:hint="default" w:ascii="Times New Roman" w:hAnsi="Times New Roman" w:eastAsia="宋体" w:cs="Times New Roman"/>
          <w:b/>
          <w:bCs/>
          <w:color w:val="auto"/>
          <w:kern w:val="44"/>
          <w:szCs w:val="28"/>
          <w:highlight w:val="none"/>
        </w:rPr>
        <w:fldChar w:fldCharType="separate"/>
      </w:r>
      <w:r>
        <w:rPr>
          <w:rFonts w:hint="default" w:ascii="Times New Roman" w:hAnsi="Times New Roman" w:eastAsia="宋体" w:cs="Times New Roman"/>
          <w:b/>
          <w:bCs/>
          <w:color w:val="auto"/>
          <w:kern w:val="44"/>
          <w:szCs w:val="28"/>
          <w:highlight w:val="none"/>
        </w:rPr>
        <w:t>第二章  开标、评标及定标办法</w:t>
      </w:r>
      <w:r>
        <w:rPr>
          <w:rFonts w:hint="default" w:ascii="Times New Roman" w:hAnsi="Times New Roman" w:eastAsia="宋体" w:cs="Times New Roman"/>
          <w:b/>
          <w:bCs/>
          <w:color w:val="auto"/>
          <w:highlight w:val="none"/>
        </w:rPr>
        <w:tab/>
      </w:r>
      <w:r>
        <w:rPr>
          <w:rFonts w:hint="default" w:ascii="Times New Roman" w:hAnsi="Times New Roman" w:eastAsia="宋体" w:cs="Times New Roman"/>
          <w:b/>
          <w:bCs/>
          <w:color w:val="auto"/>
          <w:highlight w:val="none"/>
        </w:rPr>
        <w:fldChar w:fldCharType="begin"/>
      </w:r>
      <w:r>
        <w:rPr>
          <w:rFonts w:hint="default" w:ascii="Times New Roman" w:hAnsi="Times New Roman" w:eastAsia="宋体" w:cs="Times New Roman"/>
          <w:b/>
          <w:bCs/>
          <w:color w:val="auto"/>
          <w:highlight w:val="none"/>
        </w:rPr>
        <w:instrText xml:space="preserve"> PAGEREF _Toc31488 \h </w:instrText>
      </w:r>
      <w:r>
        <w:rPr>
          <w:rFonts w:hint="default" w:ascii="Times New Roman" w:hAnsi="Times New Roman" w:eastAsia="宋体" w:cs="Times New Roman"/>
          <w:b/>
          <w:bCs/>
          <w:color w:val="auto"/>
          <w:highlight w:val="none"/>
        </w:rPr>
        <w:fldChar w:fldCharType="separate"/>
      </w:r>
      <w:r>
        <w:rPr>
          <w:rFonts w:hint="default" w:ascii="Times New Roman" w:hAnsi="Times New Roman" w:eastAsia="宋体" w:cs="Times New Roman"/>
          <w:b/>
          <w:bCs/>
          <w:color w:val="auto"/>
          <w:highlight w:val="none"/>
        </w:rPr>
        <w:t>32</w:t>
      </w:r>
      <w:r>
        <w:rPr>
          <w:rFonts w:hint="default" w:ascii="Times New Roman" w:hAnsi="Times New Roman" w:eastAsia="宋体" w:cs="Times New Roman"/>
          <w:b/>
          <w:bCs/>
          <w:color w:val="auto"/>
          <w:highlight w:val="none"/>
        </w:rPr>
        <w:fldChar w:fldCharType="end"/>
      </w:r>
      <w:r>
        <w:rPr>
          <w:rFonts w:hint="default" w:ascii="Times New Roman" w:hAnsi="Times New Roman" w:eastAsia="宋体" w:cs="Times New Roman"/>
          <w:b/>
          <w:bCs/>
          <w:color w:val="auto"/>
          <w:kern w:val="44"/>
          <w:szCs w:val="28"/>
          <w:highlight w:val="none"/>
        </w:rPr>
        <w:fldChar w:fldCharType="end"/>
      </w:r>
    </w:p>
    <w:p>
      <w:pPr>
        <w:pStyle w:val="37"/>
        <w:tabs>
          <w:tab w:val="right" w:leader="dot" w:pos="9070"/>
          <w:tab w:val="clear" w:pos="9060"/>
        </w:tabs>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44"/>
          <w:szCs w:val="28"/>
          <w:highlight w:val="none"/>
        </w:rPr>
        <w:fldChar w:fldCharType="begin"/>
      </w:r>
      <w:r>
        <w:rPr>
          <w:rFonts w:hint="default" w:ascii="Times New Roman" w:hAnsi="Times New Roman" w:eastAsia="宋体" w:cs="Times New Roman"/>
          <w:b/>
          <w:bCs/>
          <w:color w:val="auto"/>
          <w:kern w:val="44"/>
          <w:szCs w:val="28"/>
          <w:highlight w:val="none"/>
        </w:rPr>
        <w:instrText xml:space="preserve"> HYPERLINK \l _Toc4122 </w:instrText>
      </w:r>
      <w:r>
        <w:rPr>
          <w:rFonts w:hint="default" w:ascii="Times New Roman" w:hAnsi="Times New Roman" w:eastAsia="宋体" w:cs="Times New Roman"/>
          <w:b/>
          <w:bCs/>
          <w:color w:val="auto"/>
          <w:kern w:val="44"/>
          <w:szCs w:val="28"/>
          <w:highlight w:val="none"/>
        </w:rPr>
        <w:fldChar w:fldCharType="separate"/>
      </w:r>
      <w:r>
        <w:rPr>
          <w:rFonts w:hint="default" w:ascii="Times New Roman" w:hAnsi="Times New Roman" w:eastAsia="宋体" w:cs="Times New Roman"/>
          <w:b/>
          <w:bCs/>
          <w:color w:val="auto"/>
          <w:highlight w:val="none"/>
        </w:rPr>
        <w:t>第三章  合同条款</w:t>
      </w:r>
      <w:r>
        <w:rPr>
          <w:rFonts w:hint="default" w:ascii="Times New Roman" w:hAnsi="Times New Roman" w:eastAsia="宋体" w:cs="Times New Roman"/>
          <w:b/>
          <w:bCs/>
          <w:color w:val="auto"/>
          <w:highlight w:val="none"/>
        </w:rPr>
        <w:tab/>
      </w:r>
      <w:r>
        <w:rPr>
          <w:rFonts w:hint="default" w:ascii="Times New Roman" w:hAnsi="Times New Roman" w:eastAsia="宋体" w:cs="Times New Roman"/>
          <w:b/>
          <w:bCs/>
          <w:color w:val="auto"/>
          <w:highlight w:val="none"/>
        </w:rPr>
        <w:fldChar w:fldCharType="begin"/>
      </w:r>
      <w:r>
        <w:rPr>
          <w:rFonts w:hint="default" w:ascii="Times New Roman" w:hAnsi="Times New Roman" w:eastAsia="宋体" w:cs="Times New Roman"/>
          <w:b/>
          <w:bCs/>
          <w:color w:val="auto"/>
          <w:highlight w:val="none"/>
        </w:rPr>
        <w:instrText xml:space="preserve"> PAGEREF _Toc4122 \h </w:instrText>
      </w:r>
      <w:r>
        <w:rPr>
          <w:rFonts w:hint="default" w:ascii="Times New Roman" w:hAnsi="Times New Roman" w:eastAsia="宋体" w:cs="Times New Roman"/>
          <w:b/>
          <w:bCs/>
          <w:color w:val="auto"/>
          <w:highlight w:val="none"/>
        </w:rPr>
        <w:fldChar w:fldCharType="separate"/>
      </w:r>
      <w:r>
        <w:rPr>
          <w:rFonts w:hint="default" w:ascii="Times New Roman" w:hAnsi="Times New Roman" w:eastAsia="宋体" w:cs="Times New Roman"/>
          <w:b/>
          <w:bCs/>
          <w:color w:val="auto"/>
          <w:highlight w:val="none"/>
        </w:rPr>
        <w:t>62</w:t>
      </w:r>
      <w:r>
        <w:rPr>
          <w:rFonts w:hint="default" w:ascii="Times New Roman" w:hAnsi="Times New Roman" w:eastAsia="宋体" w:cs="Times New Roman"/>
          <w:b/>
          <w:bCs/>
          <w:color w:val="auto"/>
          <w:highlight w:val="none"/>
        </w:rPr>
        <w:fldChar w:fldCharType="end"/>
      </w:r>
      <w:r>
        <w:rPr>
          <w:rFonts w:hint="default" w:ascii="Times New Roman" w:hAnsi="Times New Roman" w:eastAsia="宋体" w:cs="Times New Roman"/>
          <w:b/>
          <w:bCs/>
          <w:color w:val="auto"/>
          <w:kern w:val="44"/>
          <w:szCs w:val="28"/>
          <w:highlight w:val="none"/>
        </w:rPr>
        <w:fldChar w:fldCharType="end"/>
      </w:r>
    </w:p>
    <w:p>
      <w:pPr>
        <w:pStyle w:val="37"/>
        <w:tabs>
          <w:tab w:val="right" w:leader="dot" w:pos="9070"/>
          <w:tab w:val="clear" w:pos="9060"/>
        </w:tabs>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44"/>
          <w:szCs w:val="28"/>
          <w:highlight w:val="none"/>
        </w:rPr>
        <w:fldChar w:fldCharType="begin"/>
      </w:r>
      <w:r>
        <w:rPr>
          <w:rFonts w:hint="default" w:ascii="Times New Roman" w:hAnsi="Times New Roman" w:eastAsia="宋体" w:cs="Times New Roman"/>
          <w:b/>
          <w:bCs/>
          <w:color w:val="auto"/>
          <w:kern w:val="44"/>
          <w:szCs w:val="28"/>
          <w:highlight w:val="none"/>
        </w:rPr>
        <w:instrText xml:space="preserve"> HYPERLINK \l _Toc11662 </w:instrText>
      </w:r>
      <w:r>
        <w:rPr>
          <w:rFonts w:hint="default" w:ascii="Times New Roman" w:hAnsi="Times New Roman" w:eastAsia="宋体" w:cs="Times New Roman"/>
          <w:b/>
          <w:bCs/>
          <w:color w:val="auto"/>
          <w:kern w:val="44"/>
          <w:szCs w:val="28"/>
          <w:highlight w:val="none"/>
        </w:rPr>
        <w:fldChar w:fldCharType="separate"/>
      </w:r>
      <w:r>
        <w:rPr>
          <w:rFonts w:hint="default" w:ascii="Times New Roman" w:hAnsi="Times New Roman" w:eastAsia="宋体" w:cs="Times New Roman"/>
          <w:b/>
          <w:bCs/>
          <w:color w:val="auto"/>
          <w:kern w:val="44"/>
          <w:szCs w:val="28"/>
          <w:highlight w:val="none"/>
        </w:rPr>
        <w:t>第四章  投标文件格式</w:t>
      </w:r>
      <w:r>
        <w:rPr>
          <w:rFonts w:hint="default" w:ascii="Times New Roman" w:hAnsi="Times New Roman" w:eastAsia="宋体" w:cs="Times New Roman"/>
          <w:b/>
          <w:bCs/>
          <w:color w:val="auto"/>
          <w:highlight w:val="none"/>
        </w:rPr>
        <w:tab/>
      </w:r>
      <w:r>
        <w:rPr>
          <w:rFonts w:hint="default" w:ascii="Times New Roman" w:hAnsi="Times New Roman" w:eastAsia="宋体" w:cs="Times New Roman"/>
          <w:b/>
          <w:bCs/>
          <w:color w:val="auto"/>
          <w:highlight w:val="none"/>
        </w:rPr>
        <w:fldChar w:fldCharType="begin"/>
      </w:r>
      <w:r>
        <w:rPr>
          <w:rFonts w:hint="default" w:ascii="Times New Roman" w:hAnsi="Times New Roman" w:eastAsia="宋体" w:cs="Times New Roman"/>
          <w:b/>
          <w:bCs/>
          <w:color w:val="auto"/>
          <w:highlight w:val="none"/>
        </w:rPr>
        <w:instrText xml:space="preserve"> PAGEREF _Toc11662 \h </w:instrText>
      </w:r>
      <w:r>
        <w:rPr>
          <w:rFonts w:hint="default" w:ascii="Times New Roman" w:hAnsi="Times New Roman" w:eastAsia="宋体" w:cs="Times New Roman"/>
          <w:b/>
          <w:bCs/>
          <w:color w:val="auto"/>
          <w:highlight w:val="none"/>
        </w:rPr>
        <w:fldChar w:fldCharType="separate"/>
      </w:r>
      <w:r>
        <w:rPr>
          <w:rFonts w:hint="default" w:ascii="Times New Roman" w:hAnsi="Times New Roman" w:eastAsia="宋体" w:cs="Times New Roman"/>
          <w:b/>
          <w:bCs/>
          <w:color w:val="auto"/>
          <w:highlight w:val="none"/>
        </w:rPr>
        <w:t>63</w:t>
      </w:r>
      <w:r>
        <w:rPr>
          <w:rFonts w:hint="default" w:ascii="Times New Roman" w:hAnsi="Times New Roman" w:eastAsia="宋体" w:cs="Times New Roman"/>
          <w:b/>
          <w:bCs/>
          <w:color w:val="auto"/>
          <w:highlight w:val="none"/>
        </w:rPr>
        <w:fldChar w:fldCharType="end"/>
      </w:r>
      <w:r>
        <w:rPr>
          <w:rFonts w:hint="default" w:ascii="Times New Roman" w:hAnsi="Times New Roman" w:eastAsia="宋体" w:cs="Times New Roman"/>
          <w:b/>
          <w:bCs/>
          <w:color w:val="auto"/>
          <w:kern w:val="44"/>
          <w:szCs w:val="28"/>
          <w:highlight w:val="none"/>
        </w:rPr>
        <w:fldChar w:fldCharType="end"/>
      </w:r>
    </w:p>
    <w:p>
      <w:pPr>
        <w:pStyle w:val="37"/>
        <w:tabs>
          <w:tab w:val="right" w:leader="dot" w:pos="9070"/>
          <w:tab w:val="clear" w:pos="9060"/>
        </w:tabs>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44"/>
          <w:szCs w:val="28"/>
          <w:highlight w:val="none"/>
        </w:rPr>
        <w:fldChar w:fldCharType="begin"/>
      </w:r>
      <w:r>
        <w:rPr>
          <w:rFonts w:hint="default" w:ascii="Times New Roman" w:hAnsi="Times New Roman" w:eastAsia="宋体" w:cs="Times New Roman"/>
          <w:b/>
          <w:bCs/>
          <w:color w:val="auto"/>
          <w:kern w:val="44"/>
          <w:szCs w:val="28"/>
          <w:highlight w:val="none"/>
        </w:rPr>
        <w:instrText xml:space="preserve"> HYPERLINK \l _Toc2534 </w:instrText>
      </w:r>
      <w:r>
        <w:rPr>
          <w:rFonts w:hint="default" w:ascii="Times New Roman" w:hAnsi="Times New Roman" w:eastAsia="宋体" w:cs="Times New Roman"/>
          <w:b/>
          <w:bCs/>
          <w:color w:val="auto"/>
          <w:kern w:val="44"/>
          <w:szCs w:val="28"/>
          <w:highlight w:val="none"/>
        </w:rPr>
        <w:fldChar w:fldCharType="separate"/>
      </w:r>
      <w:r>
        <w:rPr>
          <w:rFonts w:hint="default" w:ascii="Times New Roman" w:hAnsi="Times New Roman" w:eastAsia="宋体" w:cs="Times New Roman"/>
          <w:b/>
          <w:bCs/>
          <w:color w:val="auto"/>
          <w:kern w:val="44"/>
          <w:szCs w:val="28"/>
          <w:highlight w:val="none"/>
        </w:rPr>
        <w:t>第五章 技术条件（工程建设标准）</w:t>
      </w:r>
      <w:r>
        <w:rPr>
          <w:rFonts w:hint="default" w:ascii="Times New Roman" w:hAnsi="Times New Roman" w:eastAsia="宋体" w:cs="Times New Roman"/>
          <w:b/>
          <w:bCs/>
          <w:color w:val="auto"/>
          <w:highlight w:val="none"/>
        </w:rPr>
        <w:tab/>
      </w:r>
      <w:r>
        <w:rPr>
          <w:rFonts w:hint="default" w:ascii="Times New Roman" w:hAnsi="Times New Roman" w:eastAsia="宋体" w:cs="Times New Roman"/>
          <w:b/>
          <w:bCs/>
          <w:color w:val="auto"/>
          <w:highlight w:val="none"/>
        </w:rPr>
        <w:fldChar w:fldCharType="begin"/>
      </w:r>
      <w:r>
        <w:rPr>
          <w:rFonts w:hint="default" w:ascii="Times New Roman" w:hAnsi="Times New Roman" w:eastAsia="宋体" w:cs="Times New Roman"/>
          <w:b/>
          <w:bCs/>
          <w:color w:val="auto"/>
          <w:highlight w:val="none"/>
        </w:rPr>
        <w:instrText xml:space="preserve"> PAGEREF _Toc2534 \h </w:instrText>
      </w:r>
      <w:r>
        <w:rPr>
          <w:rFonts w:hint="default" w:ascii="Times New Roman" w:hAnsi="Times New Roman" w:eastAsia="宋体" w:cs="Times New Roman"/>
          <w:b/>
          <w:bCs/>
          <w:color w:val="auto"/>
          <w:highlight w:val="none"/>
        </w:rPr>
        <w:fldChar w:fldCharType="separate"/>
      </w:r>
      <w:r>
        <w:rPr>
          <w:rFonts w:hint="default" w:ascii="Times New Roman" w:hAnsi="Times New Roman" w:eastAsia="宋体" w:cs="Times New Roman"/>
          <w:b/>
          <w:bCs/>
          <w:color w:val="auto"/>
          <w:highlight w:val="none"/>
        </w:rPr>
        <w:t>82</w:t>
      </w:r>
      <w:r>
        <w:rPr>
          <w:rFonts w:hint="default" w:ascii="Times New Roman" w:hAnsi="Times New Roman" w:eastAsia="宋体" w:cs="Times New Roman"/>
          <w:b/>
          <w:bCs/>
          <w:color w:val="auto"/>
          <w:highlight w:val="none"/>
        </w:rPr>
        <w:fldChar w:fldCharType="end"/>
      </w:r>
      <w:r>
        <w:rPr>
          <w:rFonts w:hint="default" w:ascii="Times New Roman" w:hAnsi="Times New Roman" w:eastAsia="宋体" w:cs="Times New Roman"/>
          <w:b/>
          <w:bCs/>
          <w:color w:val="auto"/>
          <w:kern w:val="44"/>
          <w:szCs w:val="28"/>
          <w:highlight w:val="none"/>
        </w:rPr>
        <w:fldChar w:fldCharType="end"/>
      </w:r>
    </w:p>
    <w:p>
      <w:pPr>
        <w:pStyle w:val="37"/>
        <w:tabs>
          <w:tab w:val="right" w:leader="dot" w:pos="9070"/>
          <w:tab w:val="clear" w:pos="9060"/>
        </w:tabs>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44"/>
          <w:szCs w:val="28"/>
          <w:highlight w:val="none"/>
        </w:rPr>
        <w:fldChar w:fldCharType="begin"/>
      </w:r>
      <w:r>
        <w:rPr>
          <w:rFonts w:hint="default" w:ascii="Times New Roman" w:hAnsi="Times New Roman" w:eastAsia="宋体" w:cs="Times New Roman"/>
          <w:b/>
          <w:bCs/>
          <w:color w:val="auto"/>
          <w:kern w:val="44"/>
          <w:szCs w:val="28"/>
          <w:highlight w:val="none"/>
        </w:rPr>
        <w:instrText xml:space="preserve"> HYPERLINK \l _Toc20976 </w:instrText>
      </w:r>
      <w:r>
        <w:rPr>
          <w:rFonts w:hint="default" w:ascii="Times New Roman" w:hAnsi="Times New Roman" w:eastAsia="宋体" w:cs="Times New Roman"/>
          <w:b/>
          <w:bCs/>
          <w:color w:val="auto"/>
          <w:kern w:val="44"/>
          <w:szCs w:val="28"/>
          <w:highlight w:val="none"/>
        </w:rPr>
        <w:fldChar w:fldCharType="separate"/>
      </w:r>
      <w:r>
        <w:rPr>
          <w:rFonts w:hint="default" w:ascii="Times New Roman" w:hAnsi="Times New Roman" w:eastAsia="宋体" w:cs="Times New Roman"/>
          <w:b/>
          <w:bCs/>
          <w:color w:val="auto"/>
          <w:kern w:val="44"/>
          <w:szCs w:val="28"/>
          <w:highlight w:val="none"/>
        </w:rPr>
        <w:t>第六章  图纸及勘察资料</w:t>
      </w:r>
      <w:r>
        <w:rPr>
          <w:rFonts w:hint="default" w:ascii="Times New Roman" w:hAnsi="Times New Roman" w:eastAsia="宋体" w:cs="Times New Roman"/>
          <w:b/>
          <w:bCs/>
          <w:color w:val="auto"/>
          <w:highlight w:val="none"/>
        </w:rPr>
        <w:tab/>
      </w:r>
      <w:r>
        <w:rPr>
          <w:rFonts w:hint="default" w:ascii="Times New Roman" w:hAnsi="Times New Roman" w:eastAsia="宋体" w:cs="Times New Roman"/>
          <w:b/>
          <w:bCs/>
          <w:color w:val="auto"/>
          <w:highlight w:val="none"/>
        </w:rPr>
        <w:fldChar w:fldCharType="begin"/>
      </w:r>
      <w:r>
        <w:rPr>
          <w:rFonts w:hint="default" w:ascii="Times New Roman" w:hAnsi="Times New Roman" w:eastAsia="宋体" w:cs="Times New Roman"/>
          <w:b/>
          <w:bCs/>
          <w:color w:val="auto"/>
          <w:highlight w:val="none"/>
        </w:rPr>
        <w:instrText xml:space="preserve"> PAGEREF _Toc20976 \h </w:instrText>
      </w:r>
      <w:r>
        <w:rPr>
          <w:rFonts w:hint="default" w:ascii="Times New Roman" w:hAnsi="Times New Roman" w:eastAsia="宋体" w:cs="Times New Roman"/>
          <w:b/>
          <w:bCs/>
          <w:color w:val="auto"/>
          <w:highlight w:val="none"/>
        </w:rPr>
        <w:fldChar w:fldCharType="separate"/>
      </w:r>
      <w:r>
        <w:rPr>
          <w:rFonts w:hint="default" w:ascii="Times New Roman" w:hAnsi="Times New Roman" w:eastAsia="宋体" w:cs="Times New Roman"/>
          <w:b/>
          <w:bCs/>
          <w:color w:val="auto"/>
          <w:highlight w:val="none"/>
        </w:rPr>
        <w:t>86</w:t>
      </w:r>
      <w:r>
        <w:rPr>
          <w:rFonts w:hint="default" w:ascii="Times New Roman" w:hAnsi="Times New Roman" w:eastAsia="宋体" w:cs="Times New Roman"/>
          <w:b/>
          <w:bCs/>
          <w:color w:val="auto"/>
          <w:highlight w:val="none"/>
        </w:rPr>
        <w:fldChar w:fldCharType="end"/>
      </w:r>
      <w:r>
        <w:rPr>
          <w:rFonts w:hint="default" w:ascii="Times New Roman" w:hAnsi="Times New Roman" w:eastAsia="宋体" w:cs="Times New Roman"/>
          <w:b/>
          <w:bCs/>
          <w:color w:val="auto"/>
          <w:kern w:val="44"/>
          <w:szCs w:val="28"/>
          <w:highlight w:val="none"/>
        </w:rPr>
        <w:fldChar w:fldCharType="end"/>
      </w:r>
    </w:p>
    <w:p>
      <w:pPr>
        <w:pStyle w:val="37"/>
        <w:tabs>
          <w:tab w:val="right" w:leader="dot" w:pos="9070"/>
          <w:tab w:val="clear" w:pos="9060"/>
        </w:tabs>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44"/>
          <w:szCs w:val="28"/>
          <w:highlight w:val="none"/>
        </w:rPr>
        <w:fldChar w:fldCharType="begin"/>
      </w:r>
      <w:r>
        <w:rPr>
          <w:rFonts w:hint="default" w:ascii="Times New Roman" w:hAnsi="Times New Roman" w:eastAsia="宋体" w:cs="Times New Roman"/>
          <w:b/>
          <w:bCs/>
          <w:color w:val="auto"/>
          <w:kern w:val="44"/>
          <w:szCs w:val="28"/>
          <w:highlight w:val="none"/>
        </w:rPr>
        <w:instrText xml:space="preserve"> HYPERLINK \l _Toc17069 </w:instrText>
      </w:r>
      <w:r>
        <w:rPr>
          <w:rFonts w:hint="default" w:ascii="Times New Roman" w:hAnsi="Times New Roman" w:eastAsia="宋体" w:cs="Times New Roman"/>
          <w:b/>
          <w:bCs/>
          <w:color w:val="auto"/>
          <w:kern w:val="44"/>
          <w:szCs w:val="28"/>
          <w:highlight w:val="none"/>
        </w:rPr>
        <w:fldChar w:fldCharType="separate"/>
      </w:r>
      <w:r>
        <w:rPr>
          <w:rFonts w:hint="default" w:ascii="Times New Roman" w:hAnsi="Times New Roman" w:eastAsia="宋体" w:cs="Times New Roman"/>
          <w:b/>
          <w:bCs/>
          <w:color w:val="auto"/>
          <w:kern w:val="44"/>
          <w:szCs w:val="28"/>
          <w:highlight w:val="none"/>
        </w:rPr>
        <w:t>第七章  工程量清单</w:t>
      </w:r>
      <w:r>
        <w:rPr>
          <w:rFonts w:hint="default" w:ascii="Times New Roman" w:hAnsi="Times New Roman" w:eastAsia="宋体" w:cs="Times New Roman"/>
          <w:b/>
          <w:bCs/>
          <w:color w:val="auto"/>
          <w:highlight w:val="none"/>
        </w:rPr>
        <w:tab/>
      </w:r>
      <w:r>
        <w:rPr>
          <w:rFonts w:hint="default" w:ascii="Times New Roman" w:hAnsi="Times New Roman" w:eastAsia="宋体" w:cs="Times New Roman"/>
          <w:b/>
          <w:bCs/>
          <w:color w:val="auto"/>
          <w:highlight w:val="none"/>
        </w:rPr>
        <w:fldChar w:fldCharType="begin"/>
      </w:r>
      <w:r>
        <w:rPr>
          <w:rFonts w:hint="default" w:ascii="Times New Roman" w:hAnsi="Times New Roman" w:eastAsia="宋体" w:cs="Times New Roman"/>
          <w:b/>
          <w:bCs/>
          <w:color w:val="auto"/>
          <w:highlight w:val="none"/>
        </w:rPr>
        <w:instrText xml:space="preserve"> PAGEREF _Toc17069 \h </w:instrText>
      </w:r>
      <w:r>
        <w:rPr>
          <w:rFonts w:hint="default" w:ascii="Times New Roman" w:hAnsi="Times New Roman" w:eastAsia="宋体" w:cs="Times New Roman"/>
          <w:b/>
          <w:bCs/>
          <w:color w:val="auto"/>
          <w:highlight w:val="none"/>
        </w:rPr>
        <w:fldChar w:fldCharType="separate"/>
      </w:r>
      <w:r>
        <w:rPr>
          <w:rFonts w:hint="default" w:ascii="Times New Roman" w:hAnsi="Times New Roman" w:eastAsia="宋体" w:cs="Times New Roman"/>
          <w:b/>
          <w:bCs/>
          <w:color w:val="auto"/>
          <w:highlight w:val="none"/>
        </w:rPr>
        <w:t>87</w:t>
      </w:r>
      <w:r>
        <w:rPr>
          <w:rFonts w:hint="default" w:ascii="Times New Roman" w:hAnsi="Times New Roman" w:eastAsia="宋体" w:cs="Times New Roman"/>
          <w:b/>
          <w:bCs/>
          <w:color w:val="auto"/>
          <w:highlight w:val="none"/>
        </w:rPr>
        <w:fldChar w:fldCharType="end"/>
      </w:r>
      <w:r>
        <w:rPr>
          <w:rFonts w:hint="default" w:ascii="Times New Roman" w:hAnsi="Times New Roman" w:eastAsia="宋体" w:cs="Times New Roman"/>
          <w:b/>
          <w:bCs/>
          <w:color w:val="auto"/>
          <w:kern w:val="44"/>
          <w:szCs w:val="28"/>
          <w:highlight w:val="none"/>
        </w:rPr>
        <w:fldChar w:fldCharType="end"/>
      </w:r>
    </w:p>
    <w:p>
      <w:pPr>
        <w:pStyle w:val="37"/>
        <w:tabs>
          <w:tab w:val="right" w:leader="dot" w:pos="9070"/>
          <w:tab w:val="clear" w:pos="9060"/>
        </w:tabs>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44"/>
          <w:szCs w:val="28"/>
          <w:highlight w:val="none"/>
        </w:rPr>
        <w:fldChar w:fldCharType="begin"/>
      </w:r>
      <w:r>
        <w:rPr>
          <w:rFonts w:hint="default" w:ascii="Times New Roman" w:hAnsi="Times New Roman" w:eastAsia="宋体" w:cs="Times New Roman"/>
          <w:b/>
          <w:bCs/>
          <w:color w:val="auto"/>
          <w:kern w:val="44"/>
          <w:szCs w:val="28"/>
          <w:highlight w:val="none"/>
        </w:rPr>
        <w:instrText xml:space="preserve"> HYPERLINK \l _Toc24214 </w:instrText>
      </w:r>
      <w:r>
        <w:rPr>
          <w:rFonts w:hint="default" w:ascii="Times New Roman" w:hAnsi="Times New Roman" w:eastAsia="宋体" w:cs="Times New Roman"/>
          <w:b/>
          <w:bCs/>
          <w:color w:val="auto"/>
          <w:kern w:val="44"/>
          <w:szCs w:val="28"/>
          <w:highlight w:val="none"/>
        </w:rPr>
        <w:fldChar w:fldCharType="separate"/>
      </w:r>
      <w:r>
        <w:rPr>
          <w:rFonts w:hint="default" w:ascii="Times New Roman" w:hAnsi="Times New Roman" w:eastAsia="宋体" w:cs="Times New Roman"/>
          <w:b/>
          <w:bCs/>
          <w:color w:val="auto"/>
          <w:kern w:val="44"/>
          <w:szCs w:val="28"/>
          <w:highlight w:val="none"/>
        </w:rPr>
        <w:t>第八章  最高投标限价</w:t>
      </w:r>
      <w:r>
        <w:rPr>
          <w:rFonts w:hint="default" w:ascii="Times New Roman" w:hAnsi="Times New Roman" w:eastAsia="宋体" w:cs="Times New Roman"/>
          <w:b/>
          <w:bCs/>
          <w:color w:val="auto"/>
          <w:highlight w:val="none"/>
        </w:rPr>
        <w:tab/>
      </w:r>
      <w:r>
        <w:rPr>
          <w:rFonts w:hint="default" w:ascii="Times New Roman" w:hAnsi="Times New Roman" w:eastAsia="宋体" w:cs="Times New Roman"/>
          <w:b/>
          <w:bCs/>
          <w:color w:val="auto"/>
          <w:highlight w:val="none"/>
        </w:rPr>
        <w:fldChar w:fldCharType="begin"/>
      </w:r>
      <w:r>
        <w:rPr>
          <w:rFonts w:hint="default" w:ascii="Times New Roman" w:hAnsi="Times New Roman" w:eastAsia="宋体" w:cs="Times New Roman"/>
          <w:b/>
          <w:bCs/>
          <w:color w:val="auto"/>
          <w:highlight w:val="none"/>
        </w:rPr>
        <w:instrText xml:space="preserve"> PAGEREF _Toc24214 \h </w:instrText>
      </w:r>
      <w:r>
        <w:rPr>
          <w:rFonts w:hint="default" w:ascii="Times New Roman" w:hAnsi="Times New Roman" w:eastAsia="宋体" w:cs="Times New Roman"/>
          <w:b/>
          <w:bCs/>
          <w:color w:val="auto"/>
          <w:highlight w:val="none"/>
        </w:rPr>
        <w:fldChar w:fldCharType="separate"/>
      </w:r>
      <w:r>
        <w:rPr>
          <w:rFonts w:hint="default" w:ascii="Times New Roman" w:hAnsi="Times New Roman" w:eastAsia="宋体" w:cs="Times New Roman"/>
          <w:b/>
          <w:bCs/>
          <w:color w:val="auto"/>
          <w:highlight w:val="none"/>
        </w:rPr>
        <w:t>88</w:t>
      </w:r>
      <w:r>
        <w:rPr>
          <w:rFonts w:hint="default" w:ascii="Times New Roman" w:hAnsi="Times New Roman" w:eastAsia="宋体" w:cs="Times New Roman"/>
          <w:b/>
          <w:bCs/>
          <w:color w:val="auto"/>
          <w:highlight w:val="none"/>
        </w:rPr>
        <w:fldChar w:fldCharType="end"/>
      </w:r>
      <w:r>
        <w:rPr>
          <w:rFonts w:hint="default" w:ascii="Times New Roman" w:hAnsi="Times New Roman" w:eastAsia="宋体" w:cs="Times New Roman"/>
          <w:b/>
          <w:bCs/>
          <w:color w:val="auto"/>
          <w:kern w:val="44"/>
          <w:szCs w:val="28"/>
          <w:highlight w:val="none"/>
        </w:rPr>
        <w:fldChar w:fldCharType="end"/>
      </w:r>
    </w:p>
    <w:p>
      <w:pPr>
        <w:keepNext w:val="0"/>
        <w:keepLines w:val="0"/>
        <w:pageBreakBefore w:val="0"/>
        <w:widowControl w:val="0"/>
        <w:kinsoku/>
        <w:wordWrap/>
        <w:overflowPunct/>
        <w:topLinePunct w:val="0"/>
        <w:autoSpaceDE/>
        <w:autoSpaceDN/>
        <w:bidi w:val="0"/>
        <w:spacing w:before="157" w:beforeLines="50" w:after="157" w:afterLines="50" w:line="360" w:lineRule="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Cs/>
          <w:color w:val="auto"/>
          <w:kern w:val="44"/>
          <w:szCs w:val="28"/>
          <w:highlight w:val="none"/>
        </w:rPr>
        <w:fldChar w:fldCharType="end"/>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eastAsia="宋体" w:cs="Times New Roman"/>
          <w:b/>
          <w:color w:val="auto"/>
          <w:kern w:val="44"/>
          <w:sz w:val="28"/>
          <w:szCs w:val="28"/>
          <w:highlight w:val="none"/>
        </w:rPr>
      </w:pPr>
      <w:bookmarkStart w:id="115" w:name="_GoBack"/>
      <w:bookmarkEnd w:id="115"/>
      <w:r>
        <w:rPr>
          <w:rFonts w:hint="default" w:ascii="Times New Roman" w:hAnsi="Times New Roman" w:eastAsia="宋体" w:cs="Times New Roman"/>
          <w:color w:val="auto"/>
          <w:highlight w:val="none"/>
        </w:rPr>
        <w:br w:type="page"/>
      </w:r>
      <w:bookmarkStart w:id="0" w:name="_Toc25029"/>
      <w:r>
        <w:rPr>
          <w:rFonts w:hint="default" w:ascii="Times New Roman" w:hAnsi="Times New Roman" w:eastAsia="宋体" w:cs="Times New Roman"/>
          <w:b/>
          <w:color w:val="auto"/>
          <w:kern w:val="44"/>
          <w:sz w:val="28"/>
          <w:szCs w:val="28"/>
          <w:highlight w:val="none"/>
        </w:rPr>
        <w:t>第一章  投标须知</w:t>
      </w:r>
      <w:bookmarkEnd w:id="0"/>
    </w:p>
    <w:p>
      <w:pPr>
        <w:keepNext/>
        <w:keepLines/>
        <w:numPr>
          <w:ilvl w:val="1"/>
          <w:numId w:val="0"/>
        </w:numPr>
        <w:spacing w:before="120" w:after="120" w:line="415" w:lineRule="auto"/>
        <w:ind w:left="454" w:leftChars="216" w:firstLine="2886" w:firstLineChars="1198"/>
        <w:outlineLvl w:val="1"/>
        <w:rPr>
          <w:rFonts w:hint="default" w:ascii="Times New Roman" w:hAnsi="Times New Roman" w:eastAsia="宋体" w:cs="Times New Roman"/>
          <w:b/>
          <w:color w:val="auto"/>
          <w:kern w:val="0"/>
          <w:sz w:val="24"/>
          <w:szCs w:val="24"/>
          <w:highlight w:val="none"/>
        </w:rPr>
      </w:pPr>
      <w:bookmarkStart w:id="1" w:name="_Toc1945"/>
      <w:bookmarkStart w:id="2" w:name="_Toc62134840"/>
      <w:bookmarkStart w:id="3" w:name="_Toc3573"/>
      <w:r>
        <w:rPr>
          <w:rFonts w:hint="default" w:ascii="Times New Roman" w:hAnsi="Times New Roman" w:eastAsia="宋体" w:cs="Times New Roman"/>
          <w:b/>
          <w:color w:val="auto"/>
          <w:kern w:val="0"/>
          <w:sz w:val="24"/>
          <w:szCs w:val="24"/>
          <w:highlight w:val="none"/>
        </w:rPr>
        <w:t>一、投标须知前附表</w:t>
      </w:r>
      <w:bookmarkEnd w:id="1"/>
      <w:bookmarkEnd w:id="2"/>
      <w:bookmarkEnd w:id="3"/>
    </w:p>
    <w:p>
      <w:pPr>
        <w:spacing w:line="360" w:lineRule="auto"/>
        <w:rPr>
          <w:rFonts w:hint="default" w:ascii="Times New Roman" w:hAnsi="Times New Roman" w:eastAsia="宋体" w:cs="Times New Roman"/>
          <w:b/>
          <w:color w:val="auto"/>
          <w:sz w:val="22"/>
          <w:szCs w:val="24"/>
          <w:highlight w:val="none"/>
        </w:rPr>
      </w:pPr>
      <w:r>
        <w:rPr>
          <w:rFonts w:hint="default" w:ascii="Times New Roman" w:hAnsi="Times New Roman" w:eastAsia="宋体" w:cs="Times New Roman"/>
          <w:b/>
          <w:color w:val="auto"/>
          <w:sz w:val="22"/>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4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77"/>
        <w:gridCol w:w="1776"/>
        <w:gridCol w:w="5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96" w:type="dxa"/>
            <w:tcBorders>
              <w:top w:val="double" w:color="auto" w:sz="4" w:space="0"/>
              <w:left w:val="doub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w:t>
            </w:r>
          </w:p>
        </w:tc>
        <w:tc>
          <w:tcPr>
            <w:tcW w:w="977" w:type="dxa"/>
            <w:tcBorders>
              <w:top w:val="doub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条款号</w:t>
            </w:r>
          </w:p>
        </w:tc>
        <w:tc>
          <w:tcPr>
            <w:tcW w:w="1776" w:type="dxa"/>
            <w:tcBorders>
              <w:top w:val="double" w:color="auto" w:sz="4" w:space="0"/>
              <w:left w:val="single" w:color="auto" w:sz="4" w:space="0"/>
              <w:bottom w:val="single" w:color="auto" w:sz="4" w:space="0"/>
              <w:right w:val="single" w:color="auto" w:sz="4" w:space="0"/>
            </w:tcBorders>
            <w:noWrap w:val="0"/>
            <w:vAlign w:val="center"/>
          </w:tcPr>
          <w:p>
            <w:pPr>
              <w:ind w:firstLine="458"/>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内容</w:t>
            </w:r>
          </w:p>
        </w:tc>
        <w:tc>
          <w:tcPr>
            <w:tcW w:w="5837" w:type="dxa"/>
            <w:tcBorders>
              <w:top w:val="double" w:color="auto" w:sz="4" w:space="0"/>
              <w:left w:val="single" w:color="auto" w:sz="4" w:space="0"/>
              <w:bottom w:val="single" w:color="auto" w:sz="4" w:space="0"/>
              <w:right w:val="double" w:color="auto" w:sz="4" w:space="0"/>
            </w:tcBorders>
            <w:noWrap w:val="0"/>
            <w:vAlign w:val="center"/>
          </w:tcPr>
          <w:p>
            <w:pPr>
              <w:ind w:firstLine="458"/>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定义</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rPr>
              <w:t>招标人（即发包人）：</w:t>
            </w:r>
            <w:r>
              <w:rPr>
                <w:rFonts w:hint="default" w:ascii="Times New Roman" w:hAnsi="Times New Roman" w:eastAsia="宋体" w:cs="Times New Roman"/>
                <w:color w:val="auto"/>
                <w:szCs w:val="21"/>
                <w:highlight w:val="none"/>
                <w:u w:val="single"/>
              </w:rPr>
              <w:t xml:space="preserve">广州市广花房地产开发有限公司 </w:t>
            </w:r>
          </w:p>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项目建设管理单位：</w:t>
            </w:r>
            <w:r>
              <w:rPr>
                <w:rFonts w:hint="default" w:ascii="Times New Roman" w:hAnsi="Times New Roman" w:eastAsia="宋体" w:cs="Times New Roman"/>
                <w:color w:val="auto"/>
                <w:szCs w:val="21"/>
                <w:highlight w:val="none"/>
                <w:u w:val="single"/>
              </w:rPr>
              <w:t xml:space="preserve">  /  </w:t>
            </w:r>
          </w:p>
          <w:p>
            <w:pPr>
              <w:rPr>
                <w:rFonts w:hint="default" w:ascii="Times New Roman" w:hAnsi="Times New Roman" w:eastAsia="宋体" w:cs="Times New Roman"/>
                <w:color w:val="auto"/>
                <w:szCs w:val="21"/>
                <w:highlight w:val="none"/>
                <w:u w:val="single"/>
                <w:lang w:eastAsia="zh-CN"/>
              </w:rPr>
            </w:pPr>
            <w:r>
              <w:rPr>
                <w:rFonts w:hint="default" w:ascii="Times New Roman" w:hAnsi="Times New Roman" w:eastAsia="宋体" w:cs="Times New Roman"/>
                <w:color w:val="auto"/>
                <w:szCs w:val="21"/>
                <w:highlight w:val="none"/>
              </w:rPr>
              <w:t>招标代理：</w:t>
            </w:r>
            <w:r>
              <w:rPr>
                <w:rFonts w:hint="default" w:ascii="Times New Roman" w:hAnsi="Times New Roman" w:eastAsia="宋体" w:cs="Times New Roman"/>
                <w:color w:val="auto"/>
                <w:szCs w:val="21"/>
                <w:highlight w:val="none"/>
                <w:u w:val="single"/>
                <w:lang w:eastAsia="zh-CN"/>
              </w:rPr>
              <w:t>广州市广州工程建设监理有限公司</w:t>
            </w:r>
          </w:p>
          <w:p>
            <w:pPr>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rPr>
              <w:t>设计单位：</w:t>
            </w:r>
            <w:r>
              <w:rPr>
                <w:rFonts w:hint="default" w:ascii="Times New Roman" w:hAnsi="Times New Roman" w:eastAsia="宋体" w:cs="Times New Roman"/>
                <w:color w:val="auto"/>
                <w:szCs w:val="21"/>
                <w:highlight w:val="none"/>
                <w:u w:val="single"/>
              </w:rPr>
              <w:t>(主)广东省建工设计顾问有限公司;(成)广州市城建规划设计院有限公司</w:t>
            </w:r>
          </w:p>
          <w:p>
            <w:pPr>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监理单位：</w:t>
            </w:r>
            <w:r>
              <w:rPr>
                <w:rFonts w:hint="default" w:ascii="Times New Roman" w:hAnsi="Times New Roman" w:eastAsia="宋体" w:cs="Times New Roman"/>
                <w:color w:val="auto"/>
                <w:szCs w:val="21"/>
                <w:highlight w:val="none"/>
                <w:u w:val="single"/>
              </w:rPr>
              <w:t>广州市房实建设工程管理有限公司</w:t>
            </w:r>
          </w:p>
          <w:p>
            <w:pPr>
              <w:jc w:val="left"/>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rPr>
              <w:t>检测机构：</w:t>
            </w:r>
            <w:r>
              <w:rPr>
                <w:rFonts w:hint="default" w:ascii="Times New Roman" w:hAnsi="Times New Roman" w:eastAsia="宋体" w:cs="Times New Roman"/>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工程名称</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lang w:eastAsia="zh-CN"/>
              </w:rPr>
              <w:t>广花公路以东、雅瑶中路以南CA1207006、CA1207019地块市政道路配套工程施工总承包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建设地点</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详见本工程招标公告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建设规模</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详见本工程招标公告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承包方式</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u w:val="single"/>
                <w:lang w:eastAsia="zh-CN"/>
              </w:rPr>
              <w:t>由承包人包深化设计、包施工、包材料、包运输、</w:t>
            </w:r>
            <w:r>
              <w:rPr>
                <w:rFonts w:hint="default" w:ascii="Times New Roman" w:hAnsi="Times New Roman" w:eastAsia="宋体" w:cs="Times New Roman"/>
                <w:color w:val="auto"/>
                <w:szCs w:val="21"/>
                <w:highlight w:val="none"/>
                <w:u w:val="single"/>
                <w:lang w:val="en-US" w:eastAsia="zh-CN"/>
              </w:rPr>
              <w:t>包进出场费、</w:t>
            </w:r>
            <w:r>
              <w:rPr>
                <w:rFonts w:hint="default" w:ascii="Times New Roman" w:hAnsi="Times New Roman" w:eastAsia="宋体" w:cs="Times New Roman"/>
                <w:color w:val="auto"/>
                <w:szCs w:val="21"/>
                <w:highlight w:val="none"/>
                <w:u w:val="single"/>
                <w:lang w:eastAsia="zh-CN"/>
              </w:rPr>
              <w:t>包工期、包质量、包安全、包文明施工、包措施费、包检验检测、包调试、包报批、包验收、包接通管线、包培训、包移交、包质保、包结算、包税费等。按招标文件和本合同规定的范围以综合单价包干，部分项目综合合价包干。绿色施工安全防护措施费按照《广州市建筑工程安全生产措施管理费管理办法》及《广东省住房和城乡建设厅关于建筑工程绿色施工的管理办法（暂行）》（粤建质〔2016〕242号文）的规定执行）（如有新版本颁布，则按最新版本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质量标准</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rPr>
                <w:rFonts w:hint="default" w:ascii="Times New Roman" w:hAnsi="Times New Roman" w:eastAsia="宋体" w:cs="Times New Roman"/>
                <w:color w:val="auto"/>
                <w:szCs w:val="21"/>
                <w:highlight w:val="none"/>
                <w:u w:val="single"/>
              </w:rPr>
            </w:pPr>
            <w:r>
              <w:rPr>
                <w:rFonts w:hint="eastAsia" w:cs="Times New Roman"/>
                <w:b w:val="0"/>
                <w:bCs w:val="0"/>
                <w:color w:val="auto"/>
                <w:sz w:val="24"/>
                <w:szCs w:val="24"/>
                <w:highlight w:val="none"/>
                <w:u w:val="single"/>
                <w:lang w:val="en-US" w:eastAsia="zh-CN"/>
              </w:rPr>
              <w:t>工程一次竣工验收合格</w:t>
            </w:r>
            <w:r>
              <w:rPr>
                <w:rFonts w:hint="default" w:ascii="Times New Roman" w:hAnsi="Times New Roman" w:eastAsia="宋体" w:cs="Times New Roman"/>
                <w:bCs/>
                <w:snapToGrid w:val="0"/>
                <w:color w:val="auto"/>
                <w:kern w:val="0"/>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招标范围</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rPr>
                <w:rFonts w:hint="default" w:ascii="Times New Roman" w:hAnsi="Times New Roman" w:eastAsia="宋体" w:cs="Times New Roman"/>
                <w:bCs/>
                <w:snapToGrid w:val="0"/>
                <w:color w:val="auto"/>
                <w:kern w:val="0"/>
                <w:szCs w:val="21"/>
                <w:highlight w:val="none"/>
                <w:u w:val="single"/>
              </w:rPr>
            </w:pPr>
            <w:r>
              <w:rPr>
                <w:rFonts w:hint="default" w:ascii="Times New Roman" w:hAnsi="Times New Roman" w:eastAsia="宋体" w:cs="Times New Roman"/>
                <w:color w:val="auto"/>
                <w:szCs w:val="21"/>
                <w:highlight w:val="none"/>
                <w:u w:val="single"/>
              </w:rPr>
              <w:t>详见本工程招标公告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工期要求</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tabs>
                <w:tab w:val="left" w:pos="-1680"/>
              </w:tabs>
              <w:adjustRightInd w:val="0"/>
              <w:snapToGrid w:val="0"/>
              <w:spacing w:line="240" w:lineRule="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u w:val="single"/>
              </w:rPr>
              <w:t>施工工期：</w:t>
            </w:r>
            <w:r>
              <w:rPr>
                <w:rFonts w:hint="eastAsia" w:ascii="Times New Roman" w:hAnsi="Times New Roman" w:eastAsia="宋体" w:cs="Times New Roman"/>
                <w:color w:val="auto"/>
                <w:szCs w:val="21"/>
                <w:highlight w:val="none"/>
                <w:u w:val="single"/>
                <w:lang w:val="en-US" w:eastAsia="zh-CN"/>
              </w:rPr>
              <w:t>150</w:t>
            </w:r>
            <w:r>
              <w:rPr>
                <w:rFonts w:hint="default" w:ascii="Times New Roman" w:hAnsi="Times New Roman" w:eastAsia="宋体" w:cs="Times New Roman"/>
                <w:color w:val="auto"/>
                <w:szCs w:val="21"/>
                <w:highlight w:val="none"/>
                <w:u w:val="single"/>
              </w:rPr>
              <w:t>日历天。</w:t>
            </w:r>
            <w:r>
              <w:rPr>
                <w:rFonts w:hint="default" w:ascii="Times New Roman" w:hAnsi="Times New Roman" w:eastAsia="宋体" w:cs="Times New Roman"/>
                <w:color w:val="auto"/>
                <w:szCs w:val="21"/>
                <w:highlight w:val="none"/>
                <w:u w:val="single"/>
                <w:lang w:val="en-US" w:eastAsia="zh-CN"/>
              </w:rPr>
              <w:t>（本工程工期为绝对工期，包括法定节假日和交叉施工、配合施工的等待时间）。工期总日历天数与根据前述计划开竣工日期计算的工期天数不一致的，以工期总日历天数为准，工期总天数不变。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资金来源</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投标人资质等级及项目负责人等级要求</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详见本工程招标公告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ind w:firstLine="458"/>
              <w:rPr>
                <w:rFonts w:hint="default" w:ascii="Times New Roman" w:hAnsi="Times New Roman" w:eastAsia="宋体" w:cs="Times New Roman"/>
                <w:color w:val="auto"/>
                <w:szCs w:val="21"/>
                <w:highlight w:val="none"/>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资格审查方式</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详见本工程招标公告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13.1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报价以及单价和总价计算方式</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tabs>
                <w:tab w:val="left" w:pos="-1680"/>
              </w:tabs>
              <w:adjustRightInd w:val="0"/>
              <w:snapToGrid w:val="0"/>
              <w:spacing w:line="240" w:lineRule="auto"/>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本工程的投标报价采用工程量清单计价方式，投标人在招标文件、施工图纸及工程量清单等规定范围内自行报价。</w:t>
            </w:r>
          </w:p>
          <w:p>
            <w:pPr>
              <w:tabs>
                <w:tab w:val="left" w:pos="-1680"/>
              </w:tabs>
              <w:adjustRightInd w:val="0"/>
              <w:snapToGrid w:val="0"/>
              <w:spacing w:line="24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u w:val="single"/>
              </w:rPr>
              <w:t>注：投标人一旦中标，若所提供的投标报价综合单价存在不平衡报价的，招标人有权对投标人的不平衡报价进行调整，调整后的综合单价在工程结算时将不得变更。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15.1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投标有效期</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90</w:t>
            </w:r>
            <w:r>
              <w:rPr>
                <w:rFonts w:hint="default" w:ascii="Times New Roman" w:hAnsi="Times New Roman" w:eastAsia="宋体" w:cs="Times New Roman"/>
                <w:color w:val="auto"/>
                <w:szCs w:val="21"/>
                <w:highlight w:val="none"/>
              </w:rPr>
              <w:t>日历天。（从投标截止之日计起）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16.1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投标保证金</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ind w:firstLine="211" w:firstLineChars="100"/>
              <w:rPr>
                <w:rFonts w:hint="default" w:ascii="Times New Roman" w:hAnsi="Times New Roman" w:eastAsia="宋体" w:cs="Times New Roman"/>
                <w:color w:val="auto"/>
                <w:szCs w:val="21"/>
                <w:highlight w:val="none"/>
              </w:rPr>
            </w:pPr>
            <w:r>
              <w:rPr>
                <w:rFonts w:hint="eastAsia" w:ascii="Times New Roman" w:hAnsi="Times New Roman" w:eastAsia="宋体" w:cs="Times New Roman"/>
                <w:b/>
                <w:bCs/>
                <w:color w:val="auto"/>
                <w:szCs w:val="21"/>
                <w:highlight w:val="none"/>
                <w:u w:val="single"/>
                <w:lang w:val="en-US" w:eastAsia="zh-CN"/>
              </w:rPr>
              <w:t>3</w:t>
            </w:r>
            <w:r>
              <w:rPr>
                <w:rFonts w:hint="default" w:ascii="Times New Roman" w:hAnsi="Times New Roman" w:eastAsia="宋体" w:cs="Times New Roman"/>
                <w:b/>
                <w:bCs/>
                <w:color w:val="auto"/>
                <w:szCs w:val="21"/>
                <w:highlight w:val="none"/>
              </w:rPr>
              <w:t>万元人民币</w:t>
            </w:r>
            <w:r>
              <w:rPr>
                <w:rFonts w:hint="default" w:ascii="Times New Roman" w:hAnsi="Times New Roman" w:eastAsia="宋体" w:cs="Times New Roman"/>
                <w:color w:val="auto"/>
                <w:szCs w:val="21"/>
                <w:highlight w:val="none"/>
              </w:rPr>
              <w:t>，缴纳时间在本项目递交投标文件截止时间之前。</w:t>
            </w:r>
          </w:p>
          <w:p>
            <w:pPr>
              <w:pStyle w:val="29"/>
              <w:rPr>
                <w:rFonts w:hint="default" w:ascii="Times New Roman" w:hAnsi="Times New Roman" w:eastAsia="宋体" w:cs="Times New Roman"/>
                <w:color w:val="auto"/>
                <w:kern w:val="2"/>
                <w:sz w:val="21"/>
                <w:szCs w:val="21"/>
                <w:highlight w:val="none"/>
                <w:lang w:val="en-US"/>
              </w:rPr>
            </w:pPr>
            <w:r>
              <w:rPr>
                <w:rFonts w:hint="default" w:ascii="Times New Roman" w:hAnsi="Times New Roman" w:eastAsia="宋体" w:cs="Times New Roman"/>
                <w:color w:val="auto"/>
                <w:kern w:val="2"/>
                <w:sz w:val="21"/>
                <w:szCs w:val="21"/>
                <w:highlight w:val="none"/>
                <w:lang w:val="en-US"/>
              </w:rPr>
              <w:t>投标保证金可采用现金、支票、银行保函、保证保险、专业工程担保公司担保等方式缴纳投标保证金，须在递交投标文件截止时间前完成缴纳。</w:t>
            </w:r>
          </w:p>
          <w:p>
            <w:pPr>
              <w:pStyle w:val="2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如采用现金或支票形式提交的，投标保证金从投标人基本账户递交，由广州公共资源交易中心代收。具体操作要求详见广州公共资源交易中心有关指引，递交事宜请自行咨询广州公共资源交易中心(咨询电话：020-28866000)；请各投标人在投标文件递交截止时间前按上述金额递交至广州公共资源交易中心，到账情况以开标时广州公共资源交易中心数据库查询的信息为准。</w:t>
            </w: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（2）如采用投标保函、投标保证保险形式提交投标保证金的，投标保函或投标保证保险或</w:t>
            </w:r>
            <w:r>
              <w:rPr>
                <w:rFonts w:hint="default" w:ascii="Times New Roman" w:hAnsi="Times New Roman" w:eastAsia="宋体" w:cs="Times New Roman"/>
                <w:color w:val="auto"/>
                <w:highlight w:val="none"/>
              </w:rPr>
              <w:t>专业工程担保公司</w:t>
            </w:r>
            <w:r>
              <w:rPr>
                <w:rFonts w:hint="default" w:ascii="Times New Roman" w:hAnsi="Times New Roman" w:eastAsia="宋体" w:cs="Times New Roman"/>
                <w:color w:val="auto"/>
                <w:szCs w:val="21"/>
                <w:highlight w:val="none"/>
              </w:rPr>
              <w:t>须开具给招标人（保险受益人须为招标人）。开标前可不提交纸质原件，但投标人应在投标文件中提交投标保函或投标保险的扫描件并加盖投标人电子印章，完成评标后，由中标候选人在中标候选人公示前向招标代理单位提交纸质原件并在网上公示。如投标人选择在开标前提交纸质原件的，可在投标截止时间前单独密封递交至开标室。</w:t>
            </w:r>
            <w:r>
              <w:rPr>
                <w:rFonts w:hint="default" w:ascii="Times New Roman" w:hAnsi="Times New Roman" w:eastAsia="宋体" w:cs="Times New Roman"/>
                <w:color w:val="auto"/>
                <w:highlight w:val="none"/>
              </w:rPr>
              <w:t>若以交易系统支持的电子保函或电子投标保证保险递交的，到账情况以开标时广州公共资源交易中心数据库查询信息为准。</w:t>
            </w:r>
          </w:p>
          <w:p>
            <w:pPr>
              <w:rPr>
                <w:rFonts w:hint="default" w:ascii="Times New Roman" w:hAnsi="Times New Roman" w:eastAsia="宋体" w:cs="Times New Roman"/>
                <w:color w:val="auto"/>
                <w:kern w:val="2"/>
                <w:sz w:val="21"/>
                <w:szCs w:val="21"/>
                <w:highlight w:val="none"/>
                <w:lang w:val="en-US"/>
              </w:rPr>
            </w:pPr>
            <w:r>
              <w:rPr>
                <w:rFonts w:hint="default" w:ascii="Times New Roman" w:hAnsi="Times New Roman" w:eastAsia="宋体" w:cs="Times New Roman"/>
                <w:color w:val="auto"/>
                <w:szCs w:val="21"/>
                <w:highlight w:val="none"/>
              </w:rPr>
              <w:t>（3）采用电子形式的保函、担保或保证保险提交投标保证金的，具体操作要求详见广州公共资源交易中心有关指引，递交事宜请自行咨询广州公共资源交易中心。</w:t>
            </w:r>
          </w:p>
          <w:p>
            <w:pPr>
              <w:pStyle w:val="29"/>
              <w:rPr>
                <w:rFonts w:hint="default" w:ascii="Times New Roman" w:hAnsi="Times New Roman" w:eastAsia="宋体" w:cs="Times New Roman"/>
                <w:color w:val="auto"/>
                <w:kern w:val="2"/>
                <w:sz w:val="21"/>
                <w:szCs w:val="21"/>
                <w:highlight w:val="none"/>
                <w:lang w:val="en-US"/>
              </w:rPr>
            </w:pPr>
            <w:r>
              <w:rPr>
                <w:rFonts w:hint="default" w:ascii="Times New Roman" w:hAnsi="Times New Roman" w:eastAsia="宋体" w:cs="Times New Roman"/>
                <w:color w:val="auto"/>
                <w:kern w:val="2"/>
                <w:sz w:val="21"/>
                <w:szCs w:val="21"/>
                <w:highlight w:val="none"/>
                <w:lang w:val="en-US"/>
              </w:rPr>
              <w:t>（</w:t>
            </w:r>
            <w:r>
              <w:rPr>
                <w:rFonts w:hint="default" w:ascii="Times New Roman" w:hAnsi="Times New Roman" w:eastAsia="宋体" w:cs="Times New Roman"/>
                <w:color w:val="auto"/>
                <w:kern w:val="2"/>
                <w:sz w:val="21"/>
                <w:szCs w:val="21"/>
                <w:highlight w:val="none"/>
                <w:lang w:val="en-US" w:eastAsia="zh-CN"/>
              </w:rPr>
              <w:t>4</w:t>
            </w:r>
            <w:r>
              <w:rPr>
                <w:rFonts w:hint="default" w:ascii="Times New Roman" w:hAnsi="Times New Roman" w:eastAsia="宋体" w:cs="Times New Roman"/>
                <w:color w:val="auto"/>
                <w:kern w:val="2"/>
                <w:sz w:val="21"/>
                <w:szCs w:val="21"/>
                <w:highlight w:val="none"/>
                <w:lang w:val="en-US"/>
              </w:rPr>
              <w:t>）投标人如存在投标须知通用条款16.5所述情况之一的，将被拒绝在一年内参与招标人后续工程投标。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踏勘现场</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u w:val="single"/>
              </w:rPr>
              <w:t>自行踏勘，投标人不进行踏勘的，视为已熟知现场条件，自行承担相关风险。现场详细地点：详见招标公告。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8</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投标答疑</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1、疑问提交时间：</w:t>
            </w:r>
            <w:r>
              <w:rPr>
                <w:rFonts w:hint="default" w:ascii="Times New Roman" w:hAnsi="Times New Roman" w:eastAsia="宋体" w:cs="Times New Roman"/>
                <w:color w:val="auto"/>
                <w:szCs w:val="21"/>
                <w:highlight w:val="none"/>
                <w:u w:val="single"/>
              </w:rPr>
              <w:t>在递交投标文件截止日期前18日</w:t>
            </w:r>
            <w:r>
              <w:rPr>
                <w:rFonts w:hint="default" w:ascii="Times New Roman" w:hAnsi="Times New Roman" w:eastAsia="宋体" w:cs="Times New Roman"/>
                <w:color w:val="auto"/>
                <w:szCs w:val="21"/>
                <w:highlight w:val="none"/>
              </w:rPr>
              <w:t>；</w:t>
            </w:r>
          </w:p>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2、形式：投标人的疑问通过</w:t>
            </w:r>
            <w:r>
              <w:rPr>
                <w:rFonts w:hint="default" w:ascii="Times New Roman" w:hAnsi="Times New Roman" w:eastAsia="宋体" w:cs="Times New Roman"/>
                <w:color w:val="auto"/>
                <w:szCs w:val="21"/>
                <w:highlight w:val="none"/>
                <w:u w:val="single"/>
              </w:rPr>
              <w:t>广州公共资源交易中心</w:t>
            </w:r>
            <w:r>
              <w:rPr>
                <w:rFonts w:hint="default" w:ascii="Times New Roman" w:hAnsi="Times New Roman" w:eastAsia="宋体" w:cs="Times New Roman"/>
                <w:color w:val="auto"/>
                <w:szCs w:val="21"/>
                <w:highlight w:val="none"/>
              </w:rPr>
              <w:t>交易平台提交。</w:t>
            </w:r>
          </w:p>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3、招标人澄清、修补或答疑期限：在递交投标文件截止日期前</w:t>
            </w:r>
            <w:r>
              <w:rPr>
                <w:rFonts w:hint="default" w:ascii="Times New Roman" w:hAnsi="Times New Roman" w:eastAsia="宋体" w:cs="Times New Roman"/>
                <w:color w:val="auto"/>
                <w:szCs w:val="21"/>
                <w:highlight w:val="none"/>
                <w:u w:val="single"/>
              </w:rPr>
              <w:t>15</w:t>
            </w:r>
            <w:r>
              <w:rPr>
                <w:rFonts w:hint="default" w:ascii="Times New Roman" w:hAnsi="Times New Roman" w:eastAsia="宋体" w:cs="Times New Roman"/>
                <w:color w:val="auto"/>
                <w:szCs w:val="21"/>
                <w:highlight w:val="none"/>
              </w:rPr>
              <w:t>日；</w:t>
            </w:r>
          </w:p>
          <w:p>
            <w:pPr>
              <w:pStyle w:val="11"/>
              <w:ind w:firstLine="0"/>
              <w:rPr>
                <w:rFonts w:hint="default" w:ascii="Times New Roman" w:hAnsi="Times New Roman" w:eastAsia="宋体" w:cs="Times New Roman"/>
                <w:color w:val="auto"/>
                <w:highlight w:val="none"/>
                <w:lang w:val="en-US"/>
              </w:rPr>
            </w:pPr>
            <w:r>
              <w:rPr>
                <w:rFonts w:hint="default" w:ascii="Times New Roman" w:hAnsi="Times New Roman" w:eastAsia="宋体" w:cs="Times New Roman"/>
                <w:color w:val="auto"/>
                <w:szCs w:val="21"/>
                <w:highlight w:val="none"/>
              </w:rPr>
              <w:t>4、网上答疑的操作指南为：</w:t>
            </w:r>
            <w:r>
              <w:rPr>
                <w:rFonts w:hint="default" w:ascii="Times New Roman" w:hAnsi="Times New Roman" w:eastAsia="宋体" w:cs="Times New Roman"/>
                <w:color w:val="auto"/>
                <w:szCs w:val="21"/>
                <w:highlight w:val="none"/>
                <w:u w:val="single"/>
              </w:rPr>
              <w:t>投标人登录广州公共资源交易中心数字交易平台→进入“我是投标人”页面→进入“招标答疑提问”页面→通过项目编号或名称找到所需的项目→在上述答疑时间内点击“答疑提问”→无记名或匿名提出问题。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20.1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投标截止时间</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rPr>
                <w:rFonts w:hint="default" w:ascii="Times New Roman" w:hAnsi="Times New Roman" w:eastAsia="宋体" w:cs="Times New Roman"/>
                <w:strike/>
                <w:color w:val="auto"/>
                <w:szCs w:val="21"/>
                <w:highlight w:val="none"/>
              </w:rPr>
            </w:pPr>
            <w:r>
              <w:rPr>
                <w:rFonts w:hint="default" w:ascii="Times New Roman" w:hAnsi="Times New Roman" w:eastAsia="宋体" w:cs="Times New Roman"/>
                <w:color w:val="auto"/>
                <w:szCs w:val="21"/>
                <w:highlight w:val="none"/>
                <w:u w:val="single"/>
                <w:lang w:eastAsia="zh-CN"/>
              </w:rPr>
              <w:t>2024</w:t>
            </w:r>
            <w:r>
              <w:rPr>
                <w:rFonts w:hint="default" w:ascii="Times New Roman" w:hAnsi="Times New Roman" w:eastAsia="宋体" w:cs="Times New Roman"/>
                <w:color w:val="auto"/>
                <w:szCs w:val="21"/>
                <w:highlight w:val="none"/>
              </w:rPr>
              <w:t>年</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月</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日</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20.1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开标开始时间和地点</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（技术标和经济标同时开标）</w:t>
            </w:r>
          </w:p>
          <w:p>
            <w:pPr>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rPr>
              <w:t>1、开标开始时间：</w:t>
            </w:r>
            <w:r>
              <w:rPr>
                <w:rFonts w:hint="default" w:ascii="Times New Roman" w:hAnsi="Times New Roman" w:eastAsia="宋体" w:cs="Times New Roman"/>
                <w:color w:val="auto"/>
                <w:szCs w:val="21"/>
                <w:highlight w:val="none"/>
                <w:u w:val="single"/>
                <w:lang w:eastAsia="zh-CN"/>
              </w:rPr>
              <w:t>2024</w:t>
            </w:r>
            <w:r>
              <w:rPr>
                <w:rFonts w:hint="default" w:ascii="Times New Roman" w:hAnsi="Times New Roman" w:eastAsia="宋体" w:cs="Times New Roman"/>
                <w:color w:val="auto"/>
                <w:szCs w:val="21"/>
                <w:highlight w:val="none"/>
              </w:rPr>
              <w:t>年</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月</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日</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时</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分（与投标截止时间为同一时间），地点：</w:t>
            </w:r>
            <w:r>
              <w:rPr>
                <w:rFonts w:hint="default" w:ascii="Times New Roman" w:hAnsi="Times New Roman" w:eastAsia="宋体" w:cs="Times New Roman"/>
                <w:color w:val="auto"/>
                <w:szCs w:val="21"/>
                <w:highlight w:val="none"/>
                <w:u w:val="single"/>
              </w:rPr>
              <w:t>广州公共资源交易中心</w:t>
            </w:r>
            <w:r>
              <w:rPr>
                <w:rFonts w:hint="default" w:ascii="Times New Roman" w:hAnsi="Times New Roman" w:eastAsia="宋体" w:cs="Times New Roman"/>
                <w:color w:val="auto"/>
                <w:szCs w:val="21"/>
                <w:highlight w:val="none"/>
                <w:u w:val="single"/>
                <w:lang w:val="en-US" w:eastAsia="zh-CN"/>
              </w:rPr>
              <w:t>第</w:t>
            </w:r>
            <w:r>
              <w:rPr>
                <w:rFonts w:hint="default" w:ascii="Times New Roman" w:hAnsi="Times New Roman" w:eastAsia="宋体" w:cs="Times New Roman"/>
                <w:color w:val="auto"/>
                <w:szCs w:val="21"/>
                <w:highlight w:val="none"/>
                <w:u w:val="single"/>
              </w:rPr>
              <w:t xml:space="preserve">  开标室（广州市</w:t>
            </w:r>
            <w:r>
              <w:rPr>
                <w:rFonts w:hint="default" w:ascii="Times New Roman" w:hAnsi="Times New Roman" w:eastAsia="宋体" w:cs="Times New Roman"/>
                <w:color w:val="auto"/>
                <w:szCs w:val="21"/>
                <w:highlight w:val="none"/>
                <w:u w:val="single"/>
                <w:lang w:eastAsia="zh-CN"/>
              </w:rPr>
              <w:t>天河区天润路333号</w:t>
            </w:r>
            <w:r>
              <w:rPr>
                <w:rFonts w:hint="default" w:ascii="Times New Roman" w:hAnsi="Times New Roman" w:eastAsia="宋体" w:cs="Times New Roman"/>
                <w:color w:val="auto"/>
                <w:szCs w:val="21"/>
                <w:highlight w:val="none"/>
                <w:u w:val="single"/>
              </w:rPr>
              <w:t>）。投标人也可选择参加在线开标，具体按照交易平台相关指南进行操作。详见：广州公共资源交易中心网站最新指引。</w:t>
            </w:r>
          </w:p>
          <w:p>
            <w:pPr>
              <w:pStyle w:val="11"/>
              <w:ind w:firstLine="0"/>
              <w:rPr>
                <w:rFonts w:hint="default" w:ascii="Times New Roman" w:hAnsi="Times New Roman" w:eastAsia="宋体" w:cs="Times New Roman"/>
                <w:color w:val="auto"/>
                <w:highlight w:val="none"/>
                <w:lang w:val="en-US"/>
              </w:rPr>
            </w:pPr>
            <w:r>
              <w:rPr>
                <w:rFonts w:hint="default" w:ascii="Times New Roman" w:hAnsi="Times New Roman" w:eastAsia="宋体" w:cs="Times New Roman"/>
                <w:color w:val="auto"/>
                <w:highlight w:val="none"/>
                <w:lang w:val="en-US"/>
              </w:rPr>
              <w:t>注：投标文件解密问题。投标人只用执行一次解密，招标人执行解密次数根据招标文件开标次数确定。</w:t>
            </w: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2、递交投标文件备用光盘时间：</w:t>
            </w:r>
            <w:r>
              <w:rPr>
                <w:rFonts w:hint="default" w:ascii="Times New Roman" w:hAnsi="Times New Roman" w:eastAsia="宋体" w:cs="Times New Roman"/>
                <w:color w:val="auto"/>
                <w:szCs w:val="21"/>
                <w:highlight w:val="none"/>
                <w:u w:val="single"/>
                <w:lang w:eastAsia="zh-CN"/>
              </w:rPr>
              <w:t>2024</w:t>
            </w:r>
            <w:r>
              <w:rPr>
                <w:rFonts w:hint="default" w:ascii="Times New Roman" w:hAnsi="Times New Roman" w:eastAsia="宋体" w:cs="Times New Roman"/>
                <w:color w:val="auto"/>
                <w:szCs w:val="21"/>
                <w:highlight w:val="none"/>
              </w:rPr>
              <w:t>年</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月</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日</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时</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分至</w:t>
            </w:r>
            <w:r>
              <w:rPr>
                <w:rFonts w:hint="default" w:ascii="Times New Roman" w:hAnsi="Times New Roman" w:eastAsia="宋体" w:cs="Times New Roman"/>
                <w:color w:val="auto"/>
                <w:szCs w:val="21"/>
                <w:highlight w:val="none"/>
                <w:u w:val="single"/>
                <w:lang w:eastAsia="zh-CN"/>
              </w:rPr>
              <w:t>2024</w:t>
            </w:r>
            <w:r>
              <w:rPr>
                <w:rFonts w:hint="default" w:ascii="Times New Roman" w:hAnsi="Times New Roman" w:eastAsia="宋体" w:cs="Times New Roman"/>
                <w:color w:val="auto"/>
                <w:szCs w:val="21"/>
                <w:highlight w:val="none"/>
              </w:rPr>
              <w:t>年</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月</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rPr>
              <w:t>日</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时</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分；递交地点：</w:t>
            </w:r>
            <w:r>
              <w:rPr>
                <w:rFonts w:hint="default" w:ascii="Times New Roman" w:hAnsi="Times New Roman" w:eastAsia="宋体" w:cs="Times New Roman"/>
                <w:color w:val="auto"/>
                <w:szCs w:val="21"/>
                <w:highlight w:val="none"/>
                <w:u w:val="single"/>
              </w:rPr>
              <w:t>广州公共资源交易中心</w:t>
            </w:r>
            <w:r>
              <w:rPr>
                <w:rFonts w:hint="default" w:ascii="Times New Roman" w:hAnsi="Times New Roman" w:eastAsia="宋体" w:cs="Times New Roman"/>
                <w:color w:val="auto"/>
                <w:szCs w:val="21"/>
                <w:highlight w:val="none"/>
                <w:u w:val="single"/>
                <w:lang w:val="en-US" w:eastAsia="zh-CN"/>
              </w:rPr>
              <w:t>第</w:t>
            </w:r>
            <w:r>
              <w:rPr>
                <w:rFonts w:hint="default" w:ascii="Times New Roman" w:hAnsi="Times New Roman" w:eastAsia="宋体" w:cs="Times New Roman"/>
                <w:color w:val="auto"/>
                <w:szCs w:val="21"/>
                <w:highlight w:val="none"/>
                <w:u w:val="single"/>
              </w:rPr>
              <w:t xml:space="preserve">  开标室（广州市</w:t>
            </w:r>
            <w:r>
              <w:rPr>
                <w:rFonts w:hint="default" w:ascii="Times New Roman" w:hAnsi="Times New Roman" w:eastAsia="宋体" w:cs="Times New Roman"/>
                <w:color w:val="auto"/>
                <w:szCs w:val="21"/>
                <w:highlight w:val="none"/>
                <w:u w:val="single"/>
                <w:lang w:eastAsia="zh-CN"/>
              </w:rPr>
              <w:t>天河区天润路333号</w:t>
            </w:r>
            <w:r>
              <w:rPr>
                <w:rFonts w:hint="default" w:ascii="Times New Roman" w:hAnsi="Times New Roman" w:eastAsia="宋体" w:cs="Times New Roman"/>
                <w:color w:val="auto"/>
                <w:szCs w:val="21"/>
                <w:highlight w:val="none"/>
                <w:u w:val="single"/>
              </w:rPr>
              <w:t>）</w:t>
            </w:r>
            <w:r>
              <w:rPr>
                <w:rFonts w:hint="default" w:ascii="Times New Roman" w:hAnsi="Times New Roman" w:eastAsia="宋体" w:cs="Times New Roman"/>
                <w:color w:val="auto"/>
                <w:highlight w:val="none"/>
              </w:rPr>
              <w:t>。(建议安排在投标文件截止时间前15分钟至投标文件截止时间）</w:t>
            </w:r>
          </w:p>
          <w:p>
            <w:pP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color w:val="auto"/>
                <w:szCs w:val="21"/>
                <w:highlight w:val="none"/>
              </w:rPr>
              <w:t>上述时间及地点是否有改变，请密切留意补充公告和招标答疑纪要的相关信息。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696" w:type="dxa"/>
            <w:vMerge w:val="restart"/>
            <w:tcBorders>
              <w:top w:val="single" w:color="auto" w:sz="4" w:space="0"/>
              <w:left w:val="doub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vMerge w:val="restart"/>
            <w:tcBorders>
              <w:top w:val="single" w:color="auto" w:sz="4" w:space="0"/>
              <w:left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26</w:t>
            </w:r>
          </w:p>
        </w:tc>
        <w:tc>
          <w:tcPr>
            <w:tcW w:w="1776" w:type="dxa"/>
            <w:vMerge w:val="restart"/>
            <w:tcBorders>
              <w:top w:val="single" w:color="auto" w:sz="4" w:space="0"/>
              <w:left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u w:val="single"/>
              </w:rPr>
              <w:t>采用评定分离定标办法</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pStyle w:val="6"/>
              <w:ind w:firstLine="0"/>
              <w:rPr>
                <w:rFonts w:hint="default" w:ascii="Times New Roman" w:hAnsi="Times New Roman" w:eastAsia="宋体" w:cs="Times New Roman"/>
                <w:color w:val="auto"/>
                <w:kern w:val="2"/>
                <w:sz w:val="21"/>
                <w:szCs w:val="21"/>
                <w:highlight w:val="none"/>
                <w:u w:val="single"/>
                <w:lang w:val="en-US"/>
              </w:rPr>
            </w:pPr>
            <w:r>
              <w:rPr>
                <w:rFonts w:hint="default" w:ascii="Times New Roman" w:hAnsi="Times New Roman" w:eastAsia="宋体" w:cs="Times New Roman"/>
                <w:color w:val="auto"/>
                <w:kern w:val="2"/>
                <w:sz w:val="21"/>
                <w:szCs w:val="21"/>
                <w:highlight w:val="none"/>
                <w:u w:val="single"/>
                <w:lang w:val="en-US"/>
              </w:rPr>
              <w:t>评标办法：通过制评审法</w:t>
            </w:r>
          </w:p>
          <w:p>
            <w:pPr>
              <w:pStyle w:val="6"/>
              <w:rPr>
                <w:rFonts w:hint="default" w:ascii="Times New Roman" w:hAnsi="Times New Roman" w:eastAsia="宋体" w:cs="Times New Roman"/>
                <w:color w:val="auto"/>
                <w:highlight w:val="none"/>
                <w:lang w:val="en-US"/>
              </w:rPr>
            </w:pPr>
            <w:r>
              <w:rPr>
                <w:rFonts w:hint="default" w:ascii="Times New Roman" w:hAnsi="Times New Roman" w:eastAsia="宋体" w:cs="Times New Roman"/>
                <w:color w:val="auto"/>
                <w:kern w:val="2"/>
                <w:sz w:val="21"/>
                <w:szCs w:val="21"/>
                <w:highlight w:val="none"/>
                <w:u w:val="single"/>
                <w:lang w:val="en-US"/>
              </w:rPr>
              <w:t>评标委员会对投标文件进行资格审查，再对通过资格审查的投标文件</w:t>
            </w:r>
            <w:r>
              <w:rPr>
                <w:rFonts w:hint="default" w:ascii="Times New Roman" w:hAnsi="Times New Roman" w:eastAsia="宋体" w:cs="Times New Roman"/>
                <w:color w:val="auto"/>
                <w:kern w:val="2"/>
                <w:sz w:val="21"/>
                <w:szCs w:val="21"/>
                <w:highlight w:val="none"/>
                <w:u w:val="single"/>
                <w:lang w:val="en-US" w:eastAsia="zh-CN"/>
              </w:rPr>
              <w:t>技术标和经济标</w:t>
            </w:r>
            <w:r>
              <w:rPr>
                <w:rFonts w:hint="default" w:ascii="Times New Roman" w:hAnsi="Times New Roman" w:eastAsia="宋体" w:cs="Times New Roman"/>
                <w:color w:val="auto"/>
                <w:kern w:val="2"/>
                <w:sz w:val="21"/>
                <w:szCs w:val="21"/>
                <w:highlight w:val="none"/>
                <w:u w:val="single"/>
                <w:lang w:val="en-US"/>
              </w:rPr>
              <w:t>进行有效性审查，评出合格的投标人。若通过有效性审查的合格投标人大于等于3家的，则全部通过有效性审查的合格投标人进入定标阶段；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96" w:type="dxa"/>
            <w:vMerge w:val="continue"/>
            <w:tcBorders>
              <w:left w:val="double" w:color="auto" w:sz="4" w:space="0"/>
              <w:bottom w:val="single" w:color="auto" w:sz="4" w:space="0"/>
              <w:right w:val="single" w:color="auto" w:sz="4" w:space="0"/>
            </w:tcBorders>
            <w:noWrap w:val="0"/>
            <w:vAlign w:val="center"/>
          </w:tcPr>
          <w:p>
            <w:pPr>
              <w:pStyle w:val="6"/>
              <w:rPr>
                <w:rFonts w:hint="default" w:ascii="Times New Roman" w:hAnsi="Times New Roman" w:eastAsia="宋体" w:cs="Times New Roman"/>
                <w:color w:val="auto"/>
                <w:highlight w:val="none"/>
              </w:rPr>
            </w:pPr>
          </w:p>
        </w:tc>
        <w:tc>
          <w:tcPr>
            <w:tcW w:w="977" w:type="dxa"/>
            <w:vMerge w:val="continue"/>
            <w:tcBorders>
              <w:left w:val="single" w:color="auto" w:sz="4" w:space="0"/>
              <w:bottom w:val="single" w:color="auto" w:sz="4" w:space="0"/>
              <w:right w:val="single" w:color="auto" w:sz="4" w:space="0"/>
            </w:tcBorders>
            <w:noWrap w:val="0"/>
            <w:vAlign w:val="center"/>
          </w:tcPr>
          <w:p>
            <w:pPr>
              <w:pStyle w:val="6"/>
              <w:rPr>
                <w:rFonts w:hint="default" w:ascii="Times New Roman" w:hAnsi="Times New Roman" w:eastAsia="宋体" w:cs="Times New Roman"/>
                <w:color w:val="auto"/>
                <w:highlight w:val="none"/>
              </w:rPr>
            </w:pPr>
          </w:p>
        </w:tc>
        <w:tc>
          <w:tcPr>
            <w:tcW w:w="1776" w:type="dxa"/>
            <w:vMerge w:val="continue"/>
            <w:tcBorders>
              <w:left w:val="single" w:color="auto" w:sz="4" w:space="0"/>
              <w:bottom w:val="single" w:color="auto" w:sz="4" w:space="0"/>
              <w:right w:val="single" w:color="auto" w:sz="4" w:space="0"/>
            </w:tcBorders>
            <w:noWrap w:val="0"/>
            <w:vAlign w:val="center"/>
          </w:tcPr>
          <w:p>
            <w:pPr>
              <w:pStyle w:val="6"/>
              <w:rPr>
                <w:rFonts w:hint="default" w:ascii="Times New Roman" w:hAnsi="Times New Roman" w:eastAsia="宋体" w:cs="Times New Roman"/>
                <w:color w:val="auto"/>
                <w:highlight w:val="none"/>
              </w:rPr>
            </w:pPr>
          </w:p>
        </w:tc>
        <w:tc>
          <w:tcPr>
            <w:tcW w:w="5837" w:type="dxa"/>
            <w:tcBorders>
              <w:top w:val="single" w:color="auto" w:sz="4" w:space="0"/>
              <w:left w:val="single" w:color="auto" w:sz="4" w:space="0"/>
              <w:bottom w:val="single" w:color="auto" w:sz="4" w:space="0"/>
              <w:right w:val="double" w:color="auto" w:sz="4" w:space="0"/>
            </w:tcBorders>
            <w:noWrap w:val="0"/>
            <w:vAlign w:val="center"/>
          </w:tcPr>
          <w:p>
            <w:pPr>
              <w:pStyle w:val="6"/>
              <w:ind w:firstLine="0"/>
              <w:rPr>
                <w:rFonts w:hint="default" w:ascii="Times New Roman" w:hAnsi="Times New Roman" w:eastAsia="宋体" w:cs="Times New Roman"/>
                <w:color w:val="auto"/>
                <w:kern w:val="2"/>
                <w:sz w:val="21"/>
                <w:szCs w:val="21"/>
                <w:highlight w:val="none"/>
                <w:u w:val="single"/>
                <w:lang w:val="en-US"/>
              </w:rPr>
            </w:pPr>
            <w:r>
              <w:rPr>
                <w:rFonts w:hint="default" w:ascii="Times New Roman" w:hAnsi="Times New Roman" w:eastAsia="宋体" w:cs="Times New Roman"/>
                <w:color w:val="auto"/>
                <w:kern w:val="2"/>
                <w:sz w:val="21"/>
                <w:szCs w:val="21"/>
                <w:highlight w:val="none"/>
                <w:u w:val="single"/>
                <w:lang w:val="en-US"/>
              </w:rPr>
              <w:t>定标办法：采用直接票决定标法（记名投票+撰写评语）。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29.1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履约担保</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rPr>
                <w:rFonts w:hint="default" w:ascii="Times New Roman" w:hAnsi="Times New Roman" w:eastAsia="宋体" w:cs="Times New Roman"/>
                <w:b/>
                <w:bCs/>
                <w:color w:val="auto"/>
                <w:szCs w:val="21"/>
                <w:highlight w:val="none"/>
                <w:u w:val="single"/>
              </w:rPr>
            </w:pPr>
            <w:r>
              <w:rPr>
                <w:rFonts w:hint="default" w:ascii="Times New Roman" w:hAnsi="Times New Roman" w:eastAsia="宋体" w:cs="Times New Roman"/>
                <w:color w:val="auto"/>
                <w:szCs w:val="21"/>
                <w:highlight w:val="none"/>
                <w:u w:val="single"/>
              </w:rPr>
              <w:t>履约担保额度为合同总金额（须扣除绿色施工安全防护措施费）的</w:t>
            </w:r>
            <w:r>
              <w:rPr>
                <w:rFonts w:hint="eastAsia" w:cs="Times New Roman"/>
                <w:color w:val="auto"/>
                <w:szCs w:val="21"/>
                <w:highlight w:val="none"/>
                <w:u w:val="single"/>
                <w:lang w:val="en-US" w:eastAsia="zh-CN"/>
              </w:rPr>
              <w:t>5</w:t>
            </w:r>
            <w:r>
              <w:rPr>
                <w:rFonts w:hint="default" w:ascii="Times New Roman" w:hAnsi="Times New Roman" w:eastAsia="宋体" w:cs="Times New Roman"/>
                <w:color w:val="auto"/>
                <w:szCs w:val="21"/>
                <w:highlight w:val="none"/>
                <w:u w:val="single"/>
              </w:rPr>
              <w:t>%，担保方式见合同约定。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最高投标限价</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本项目最高投标限价为人民币</w:t>
            </w:r>
            <w:r>
              <w:rPr>
                <w:rFonts w:hint="eastAsia" w:ascii="宋体" w:hAnsi="宋体"/>
                <w:color w:val="auto"/>
                <w:szCs w:val="21"/>
                <w:highlight w:val="none"/>
                <w:u w:val="single"/>
                <w:lang w:val="en-US" w:eastAsia="zh-CN"/>
              </w:rPr>
              <w:t>21941976.74</w:t>
            </w:r>
            <w:r>
              <w:rPr>
                <w:rFonts w:hint="default" w:ascii="Times New Roman" w:hAnsi="Times New Roman" w:eastAsia="宋体" w:cs="Times New Roman"/>
                <w:color w:val="auto"/>
                <w:szCs w:val="21"/>
                <w:highlight w:val="none"/>
              </w:rPr>
              <w:t>元</w:t>
            </w:r>
            <w:r>
              <w:rPr>
                <w:rFonts w:hint="default" w:ascii="Times New Roman" w:hAnsi="Times New Roman" w:eastAsia="宋体" w:cs="Times New Roman"/>
                <w:color w:val="auto"/>
                <w:kern w:val="0"/>
                <w:szCs w:val="21"/>
                <w:highlight w:val="none"/>
              </w:rPr>
              <w:t>。</w:t>
            </w:r>
            <w:r>
              <w:rPr>
                <w:rFonts w:hint="default" w:ascii="Times New Roman" w:hAnsi="Times New Roman" w:eastAsia="宋体" w:cs="Times New Roman"/>
                <w:color w:val="auto"/>
                <w:szCs w:val="21"/>
                <w:highlight w:val="none"/>
              </w:rPr>
              <w:t>投标总</w:t>
            </w:r>
            <w:r>
              <w:rPr>
                <w:rFonts w:hint="default" w:ascii="Times New Roman" w:hAnsi="Times New Roman" w:eastAsia="宋体" w:cs="Times New Roman"/>
                <w:color w:val="auto"/>
                <w:szCs w:val="21"/>
                <w:highlight w:val="none"/>
                <w:lang w:val="en-US" w:eastAsia="zh-CN"/>
              </w:rPr>
              <w:t>报</w:t>
            </w:r>
            <w:r>
              <w:rPr>
                <w:rFonts w:hint="default" w:ascii="Times New Roman" w:hAnsi="Times New Roman" w:eastAsia="宋体" w:cs="Times New Roman"/>
                <w:color w:val="auto"/>
                <w:szCs w:val="21"/>
                <w:highlight w:val="none"/>
              </w:rPr>
              <w:t>价超过最高投标限价的投标文件将被拒绝</w:t>
            </w:r>
            <w:r>
              <w:rPr>
                <w:rFonts w:hint="default" w:ascii="Times New Roman" w:hAnsi="Times New Roman" w:eastAsia="宋体" w:cs="Times New Roman"/>
                <w:color w:val="auto"/>
                <w:highlight w:val="none"/>
              </w:rPr>
              <w:t>，当废标处理。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非竞争费用</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本项目绿色施工安全防护措施费为</w:t>
            </w:r>
            <w:r>
              <w:rPr>
                <w:rFonts w:hint="eastAsia" w:ascii="宋体" w:hAnsi="宋体" w:eastAsia="宋体" w:cs="宋体"/>
                <w:color w:val="auto"/>
                <w:szCs w:val="21"/>
                <w:highlight w:val="none"/>
                <w:u w:val="single"/>
              </w:rPr>
              <w:t xml:space="preserve"> 77</w:t>
            </w:r>
            <w:r>
              <w:rPr>
                <w:rFonts w:hint="eastAsia" w:ascii="宋体" w:hAnsi="宋体" w:cs="宋体"/>
                <w:color w:val="auto"/>
                <w:szCs w:val="21"/>
                <w:highlight w:val="none"/>
                <w:u w:val="single"/>
                <w:lang w:val="en-US" w:eastAsia="zh-CN"/>
              </w:rPr>
              <w:t>2420.99</w:t>
            </w:r>
            <w:r>
              <w:rPr>
                <w:rFonts w:hint="default" w:ascii="Times New Roman" w:hAnsi="Times New Roman" w:eastAsia="宋体" w:cs="Times New Roman"/>
                <w:color w:val="auto"/>
                <w:szCs w:val="21"/>
                <w:highlight w:val="none"/>
              </w:rPr>
              <w:t>元。</w:t>
            </w:r>
          </w:p>
          <w:p>
            <w:pPr>
              <w:jc w:val="left"/>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1"/>
                <w:highlight w:val="none"/>
              </w:rPr>
              <w:t>（未按招标文件规定的金额填写的，由评标委员会按照招标文件规定的金额进行修正</w:t>
            </w:r>
            <w:r>
              <w:rPr>
                <w:rFonts w:hint="default" w:ascii="Times New Roman" w:hAnsi="Times New Roman" w:eastAsia="宋体" w:cs="Times New Roman"/>
                <w:color w:val="auto"/>
                <w:szCs w:val="21"/>
                <w:highlight w:val="none"/>
                <w:u w:val="single"/>
              </w:rPr>
              <w:t>，投标人拒绝接受修正的，其投标无效。</w:t>
            </w:r>
            <w:r>
              <w:rPr>
                <w:rFonts w:hint="default" w:ascii="Times New Roman" w:hAnsi="Times New Roman"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保修期</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按照《建设工程质量管理条例》规定。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trike/>
                <w:color w:val="auto"/>
                <w:szCs w:val="21"/>
                <w:highlight w:val="none"/>
              </w:rPr>
            </w:pPr>
            <w:r>
              <w:rPr>
                <w:rFonts w:hint="default" w:ascii="Times New Roman" w:hAnsi="Times New Roman" w:eastAsia="宋体" w:cs="Times New Roman"/>
                <w:color w:val="auto"/>
                <w:szCs w:val="21"/>
                <w:highlight w:val="none"/>
              </w:rPr>
              <w:t>计算评标参考价的等分点值</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rPr>
                <w:rFonts w:hint="default" w:ascii="Times New Roman" w:hAnsi="Times New Roman" w:eastAsia="宋体" w:cs="Times New Roman"/>
                <w:strike/>
                <w:color w:val="auto"/>
                <w:szCs w:val="21"/>
                <w:highlight w:val="none"/>
              </w:rPr>
            </w:pPr>
            <w:r>
              <w:rPr>
                <w:rFonts w:hint="default" w:ascii="Times New Roman" w:hAnsi="Times New Roman" w:eastAsia="宋体" w:cs="Times New Roman"/>
                <w:color w:val="auto"/>
                <w:szCs w:val="21"/>
                <w:highlight w:val="none"/>
              </w:rPr>
              <w:t>本款不适用。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ind w:firstLine="458"/>
              <w:rPr>
                <w:rFonts w:hint="default" w:ascii="Times New Roman" w:hAnsi="Times New Roman" w:eastAsia="宋体" w:cs="Times New Roman"/>
                <w:color w:val="auto"/>
                <w:szCs w:val="21"/>
                <w:highlight w:val="none"/>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进入第二阶段评审的家数</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本款不适用。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工程成本警戒价</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工程成本警戒价为</w:t>
            </w:r>
            <w:r>
              <w:rPr>
                <w:rFonts w:hint="default" w:ascii="Times New Roman" w:hAnsi="Times New Roman" w:eastAsia="宋体" w:cs="Times New Roman"/>
                <w:color w:val="auto"/>
                <w:szCs w:val="21"/>
                <w:highlight w:val="none"/>
                <w:u w:val="single"/>
                <w:lang w:val="en-US" w:eastAsia="zh-CN"/>
              </w:rPr>
              <w:t>197</w:t>
            </w:r>
            <w:r>
              <w:rPr>
                <w:rFonts w:hint="eastAsia" w:cs="Times New Roman"/>
                <w:color w:val="auto"/>
                <w:szCs w:val="21"/>
                <w:highlight w:val="none"/>
                <w:u w:val="single"/>
                <w:lang w:val="en-US" w:eastAsia="zh-CN"/>
              </w:rPr>
              <w:t>47779.07</w:t>
            </w:r>
            <w:r>
              <w:rPr>
                <w:rFonts w:hint="default" w:ascii="Times New Roman" w:hAnsi="Times New Roman" w:eastAsia="宋体" w:cs="Times New Roman"/>
                <w:color w:val="auto"/>
                <w:szCs w:val="21"/>
                <w:highlight w:val="none"/>
                <w:u w:val="single"/>
              </w:rPr>
              <w:t>元（最高投标限价的9</w:t>
            </w:r>
            <w:r>
              <w:rPr>
                <w:rFonts w:hint="default" w:ascii="Times New Roman" w:hAnsi="Times New Roman" w:eastAsia="宋体" w:cs="Times New Roman"/>
                <w:color w:val="auto"/>
                <w:szCs w:val="21"/>
                <w:highlight w:val="none"/>
                <w:u w:val="single"/>
                <w:lang w:val="en-US" w:eastAsia="zh-CN"/>
              </w:rPr>
              <w:t>0</w:t>
            </w:r>
            <w:r>
              <w:rPr>
                <w:rFonts w:hint="default" w:ascii="Times New Roman" w:hAnsi="Times New Roman" w:eastAsia="宋体" w:cs="Times New Roman"/>
                <w:color w:val="auto"/>
                <w:szCs w:val="21"/>
                <w:highlight w:val="none"/>
                <w:u w:val="single"/>
              </w:rPr>
              <w:t>%）。</w:t>
            </w:r>
          </w:p>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rPr>
              <w:t>注：为充分体现招标人意愿及落实项目招标人负责制，警戒价由招标人决定。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第一阶段各分值的权重</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本款不适用。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u w:val="single"/>
              </w:rPr>
              <w:t>进入定标阶段入围候选人</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u w:val="single"/>
              </w:rPr>
              <w:t>通过技术标和经济标有效性审查的投标人均进入定标阶段。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696" w:type="dxa"/>
            <w:vMerge w:val="restart"/>
            <w:tcBorders>
              <w:top w:val="single" w:color="auto" w:sz="4" w:space="0"/>
              <w:left w:val="doub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评标委员会人数</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评标委员会由招标人依法组建。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696" w:type="dxa"/>
            <w:vMerge w:val="continue"/>
            <w:tcBorders>
              <w:left w:val="doub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定标委员会人数</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定标委员会由招标人依法依规组建。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企业综合诚信评价分数</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rPr>
              <w:t>本项目不使用企业综合诚信评价分数。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第二阶段投标人名次的排序方法（适用于办法一、办法二）</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autoSpaceDE w:val="0"/>
              <w:autoSpaceDN w:val="0"/>
              <w:adjustRightInd w:val="0"/>
              <w:spacing w:line="276" w:lineRule="auto"/>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本款不适用。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trike/>
                <w:color w:val="auto"/>
                <w:szCs w:val="21"/>
                <w:highlight w:val="none"/>
              </w:rPr>
            </w:pPr>
            <w:r>
              <w:rPr>
                <w:rFonts w:hint="default" w:ascii="Times New Roman" w:hAnsi="Times New Roman" w:eastAsia="宋体" w:cs="Times New Roman"/>
                <w:color w:val="auto"/>
                <w:szCs w:val="21"/>
                <w:highlight w:val="none"/>
              </w:rPr>
              <w:t>经济分相同情况下的排序方法（适用于办法三、办法四）</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spacing w:line="276" w:lineRule="auto"/>
              <w:rPr>
                <w:rFonts w:hint="default" w:ascii="Times New Roman" w:hAnsi="Times New Roman" w:eastAsia="宋体" w:cs="Times New Roman"/>
                <w:strike/>
                <w:color w:val="auto"/>
                <w:szCs w:val="21"/>
                <w:highlight w:val="none"/>
              </w:rPr>
            </w:pPr>
            <w:r>
              <w:rPr>
                <w:rFonts w:hint="default" w:ascii="Times New Roman" w:hAnsi="Times New Roman" w:eastAsia="宋体" w:cs="Times New Roman"/>
                <w:color w:val="auto"/>
                <w:highlight w:val="none"/>
              </w:rPr>
              <w:t>本款不适用。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第二阶段投标人名次的排序方法（适用于办法五、办法六）</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本款不适用。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13.4、13.5.2</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合同价款的调整办法</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spacing w:line="276" w:lineRule="auto"/>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按合同条款相关约定调整。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val="zh-CN"/>
              </w:rPr>
              <w:t>建设工程质量检测单位</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spacing w:line="276" w:lineRule="auto"/>
              <w:rPr>
                <w:rFonts w:hint="default" w:ascii="Times New Roman" w:hAnsi="Times New Roman" w:eastAsia="宋体" w:cs="Times New Roman"/>
                <w:color w:val="auto"/>
                <w:kern w:val="0"/>
                <w:szCs w:val="21"/>
                <w:highlight w:val="none"/>
                <w:lang w:val="zh-CN"/>
              </w:rPr>
            </w:pPr>
            <w:r>
              <w:rPr>
                <w:rFonts w:hint="default" w:ascii="Times New Roman" w:hAnsi="Times New Roman" w:eastAsia="宋体" w:cs="Times New Roman"/>
                <w:color w:val="auto"/>
                <w:kern w:val="0"/>
                <w:szCs w:val="21"/>
                <w:highlight w:val="none"/>
                <w:u w:val="singl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lang w:val="zh-CN"/>
              </w:rPr>
            </w:pPr>
            <w:r>
              <w:rPr>
                <w:rFonts w:hint="default" w:ascii="Times New Roman" w:hAnsi="Times New Roman" w:eastAsia="宋体" w:cs="Times New Roman"/>
                <w:color w:val="auto"/>
                <w:kern w:val="0"/>
                <w:szCs w:val="21"/>
                <w:highlight w:val="none"/>
                <w:lang w:val="zh-CN"/>
              </w:rPr>
              <w:t>分包</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spacing w:line="276" w:lineRule="auto"/>
              <w:rPr>
                <w:rFonts w:hint="default" w:ascii="Times New Roman" w:hAnsi="Times New Roman" w:eastAsia="宋体" w:cs="Times New Roman"/>
                <w:color w:val="auto"/>
                <w:kern w:val="0"/>
                <w:szCs w:val="21"/>
                <w:highlight w:val="none"/>
                <w:lang w:val="zh-CN"/>
              </w:rPr>
            </w:pPr>
            <w:r>
              <w:rPr>
                <w:rFonts w:hint="default" w:ascii="Times New Roman" w:hAnsi="Times New Roman" w:eastAsia="宋体" w:cs="Times New Roman"/>
                <w:color w:val="auto"/>
                <w:kern w:val="0"/>
                <w:szCs w:val="21"/>
                <w:highlight w:val="none"/>
                <w:lang w:val="zh-CN"/>
              </w:rPr>
              <w:sym w:font="Wingdings 2" w:char="00A3"/>
            </w:r>
            <w:r>
              <w:rPr>
                <w:rFonts w:hint="default" w:ascii="Times New Roman" w:hAnsi="Times New Roman" w:eastAsia="宋体" w:cs="Times New Roman"/>
                <w:color w:val="auto"/>
                <w:kern w:val="0"/>
                <w:szCs w:val="21"/>
                <w:highlight w:val="none"/>
                <w:lang w:val="zh-CN"/>
              </w:rPr>
              <w:t>不允许；</w:t>
            </w:r>
          </w:p>
          <w:p>
            <w:pPr>
              <w:rPr>
                <w:rFonts w:hint="default" w:ascii="Times New Roman" w:hAnsi="Times New Roman" w:eastAsia="宋体" w:cs="Times New Roman"/>
                <w:color w:val="auto"/>
                <w:kern w:val="0"/>
                <w:szCs w:val="21"/>
                <w:highlight w:val="none"/>
                <w:lang w:val="zh-CN"/>
              </w:rPr>
            </w:pPr>
            <w:r>
              <w:rPr>
                <w:rFonts w:hint="default" w:ascii="Times New Roman" w:hAnsi="Times New Roman" w:eastAsia="宋体" w:cs="Times New Roman"/>
                <w:color w:val="auto"/>
                <w:kern w:val="0"/>
                <w:szCs w:val="21"/>
                <w:highlight w:val="none"/>
                <w:lang w:val="zh-CN"/>
              </w:rPr>
              <w:sym w:font="Wingdings 2" w:char="0052"/>
            </w:r>
            <w:r>
              <w:rPr>
                <w:rFonts w:hint="default" w:ascii="Times New Roman" w:hAnsi="Times New Roman" w:eastAsia="宋体" w:cs="Times New Roman"/>
                <w:color w:val="auto"/>
                <w:kern w:val="0"/>
                <w:szCs w:val="21"/>
                <w:highlight w:val="none"/>
                <w:lang w:val="zh-CN"/>
              </w:rPr>
              <w:t>允许：分包内容要求：</w:t>
            </w:r>
            <w:r>
              <w:rPr>
                <w:rFonts w:hint="default" w:ascii="Times New Roman" w:hAnsi="Times New Roman" w:eastAsia="宋体" w:cs="Times New Roman"/>
                <w:color w:val="auto"/>
                <w:kern w:val="0"/>
                <w:szCs w:val="21"/>
                <w:highlight w:val="none"/>
                <w:u w:val="single"/>
                <w:lang w:val="en-US" w:eastAsia="zh-CN"/>
              </w:rPr>
              <w:t>中标人</w:t>
            </w:r>
            <w:r>
              <w:rPr>
                <w:rFonts w:hint="default" w:ascii="Times New Roman" w:hAnsi="Times New Roman" w:eastAsia="宋体" w:cs="Times New Roman"/>
                <w:color w:val="auto"/>
                <w:kern w:val="0"/>
                <w:szCs w:val="21"/>
                <w:highlight w:val="none"/>
                <w:u w:val="single"/>
              </w:rPr>
              <w:t>可依法分包</w:t>
            </w:r>
            <w:r>
              <w:rPr>
                <w:rFonts w:hint="default" w:ascii="Times New Roman" w:hAnsi="Times New Roman" w:eastAsia="宋体" w:cs="Times New Roman"/>
                <w:color w:val="auto"/>
                <w:kern w:val="0"/>
                <w:szCs w:val="21"/>
                <w:highlight w:val="none"/>
                <w:u w:val="single"/>
                <w:lang w:eastAsia="zh-CN"/>
              </w:rPr>
              <w:t>，</w:t>
            </w:r>
            <w:r>
              <w:rPr>
                <w:rFonts w:hint="default" w:ascii="Times New Roman" w:hAnsi="Times New Roman" w:eastAsia="宋体" w:cs="Times New Roman"/>
                <w:color w:val="auto"/>
                <w:kern w:val="0"/>
                <w:szCs w:val="21"/>
                <w:highlight w:val="none"/>
                <w:u w:val="single"/>
                <w:lang w:val="en-US" w:eastAsia="zh-CN"/>
              </w:rPr>
              <w:t>但需</w:t>
            </w:r>
            <w:r>
              <w:rPr>
                <w:rFonts w:hint="default" w:ascii="Times New Roman" w:hAnsi="Times New Roman" w:eastAsia="宋体" w:cs="Times New Roman"/>
                <w:color w:val="auto"/>
                <w:kern w:val="0"/>
                <w:szCs w:val="21"/>
                <w:highlight w:val="none"/>
                <w:u w:val="single"/>
              </w:rPr>
              <w:t>经发包人书面同意。</w:t>
            </w:r>
          </w:p>
          <w:p>
            <w:pPr>
              <w:ind w:firstLine="840" w:firstLineChars="40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val="zh-CN"/>
              </w:rPr>
              <w:t>分包金额要求：</w:t>
            </w:r>
            <w:r>
              <w:rPr>
                <w:rFonts w:hint="default" w:ascii="Times New Roman" w:hAnsi="Times New Roman" w:eastAsia="宋体" w:cs="Times New Roman"/>
                <w:color w:val="auto"/>
                <w:kern w:val="0"/>
                <w:szCs w:val="21"/>
                <w:highlight w:val="none"/>
                <w:u w:val="single"/>
              </w:rPr>
              <w:t>/</w:t>
            </w:r>
            <w:r>
              <w:rPr>
                <w:rFonts w:hint="default" w:ascii="Times New Roman" w:hAnsi="Times New Roman" w:eastAsia="宋体" w:cs="Times New Roman"/>
                <w:color w:val="auto"/>
                <w:kern w:val="0"/>
                <w:szCs w:val="21"/>
                <w:highlight w:val="none"/>
              </w:rPr>
              <w:t>。</w:t>
            </w:r>
          </w:p>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val="zh-CN"/>
              </w:rPr>
              <w:t xml:space="preserve">        对分包人的资质要求：</w:t>
            </w:r>
            <w:r>
              <w:rPr>
                <w:rFonts w:hint="default" w:ascii="Times New Roman" w:hAnsi="Times New Roman" w:eastAsia="宋体" w:cs="Times New Roman"/>
                <w:color w:val="auto"/>
                <w:kern w:val="0"/>
                <w:szCs w:val="21"/>
                <w:highlight w:val="none"/>
                <w:u w:val="single"/>
              </w:rPr>
              <w:t>符合国家相关规定</w:t>
            </w:r>
            <w:r>
              <w:rPr>
                <w:rFonts w:hint="default" w:ascii="Times New Roman" w:hAnsi="Times New Roman" w:eastAsia="宋体" w:cs="Times New Roman"/>
                <w:color w:val="auto"/>
                <w:kern w:val="0"/>
                <w:szCs w:val="21"/>
                <w:highlight w:val="none"/>
              </w:rPr>
              <w:t>。</w:t>
            </w:r>
          </w:p>
          <w:p>
            <w:pPr>
              <w:spacing w:line="276" w:lineRule="auto"/>
              <w:ind w:firstLine="840" w:firstLineChars="400"/>
              <w:rPr>
                <w:rFonts w:hint="default" w:ascii="Times New Roman" w:hAnsi="Times New Roman" w:eastAsia="宋体" w:cs="Times New Roman"/>
                <w:color w:val="auto"/>
                <w:kern w:val="0"/>
                <w:szCs w:val="21"/>
                <w:highlight w:val="none"/>
                <w:lang w:val="zh-CN"/>
              </w:rPr>
            </w:pPr>
            <w:r>
              <w:rPr>
                <w:rFonts w:hint="default" w:ascii="Times New Roman" w:hAnsi="Times New Roman" w:eastAsia="宋体" w:cs="Times New Roman"/>
                <w:color w:val="auto"/>
                <w:kern w:val="0"/>
                <w:szCs w:val="21"/>
                <w:highlight w:val="none"/>
                <w:lang w:val="zh-CN"/>
              </w:rPr>
              <w:t>对分包人的其他要求：</w:t>
            </w:r>
            <w:r>
              <w:rPr>
                <w:rFonts w:hint="default" w:ascii="Times New Roman" w:hAnsi="Times New Roman" w:eastAsia="宋体" w:cs="Times New Roman"/>
                <w:color w:val="auto"/>
                <w:kern w:val="0"/>
                <w:szCs w:val="21"/>
                <w:highlight w:val="none"/>
                <w:u w:val="single"/>
              </w:rPr>
              <w:t>/</w:t>
            </w:r>
            <w:r>
              <w:rPr>
                <w:rFonts w:hint="default" w:ascii="Times New Roman" w:hAnsi="Times New Roman" w:eastAsia="宋体" w:cs="Times New Roman"/>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numPr>
                <w:ilvl w:val="0"/>
                <w:numId w:val="1"/>
              </w:numPr>
              <w:rPr>
                <w:rFonts w:hint="default" w:ascii="Times New Roman" w:hAnsi="Times New Roman" w:eastAsia="宋体" w:cs="Times New Roman"/>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电子招标投标解密失败及突发情况的补救</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spacing w:line="276"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1、按照交易平台关于全流程电子化项目的相关指南进行操作。详见：</w:t>
            </w:r>
            <w:r>
              <w:rPr>
                <w:rFonts w:hint="default" w:ascii="Times New Roman" w:hAnsi="Times New Roman" w:eastAsia="宋体" w:cs="Times New Roman"/>
                <w:color w:val="auto"/>
                <w:szCs w:val="21"/>
                <w:highlight w:val="none"/>
                <w:u w:val="single"/>
              </w:rPr>
              <w:t>广州公共资源交易中心网站服务指南栏目</w:t>
            </w:r>
            <w:r>
              <w:rPr>
                <w:rFonts w:hint="default" w:ascii="Times New Roman" w:hAnsi="Times New Roman" w:eastAsia="宋体" w:cs="Times New Roman"/>
                <w:color w:val="auto"/>
                <w:szCs w:val="21"/>
                <w:highlight w:val="none"/>
              </w:rPr>
              <w:t>。</w:t>
            </w:r>
          </w:p>
          <w:p>
            <w:pPr>
              <w:spacing w:line="276"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2、提交投标文件光盘备用</w:t>
            </w:r>
          </w:p>
          <w:p>
            <w:pPr>
              <w:spacing w:line="276" w:lineRule="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color w:val="auto"/>
                <w:szCs w:val="21"/>
                <w:highlight w:val="none"/>
              </w:rPr>
              <w:t>投标人可制作非加密的</w:t>
            </w:r>
            <w:r>
              <w:rPr>
                <w:rFonts w:hint="default" w:ascii="Times New Roman" w:hAnsi="Times New Roman" w:eastAsia="宋体" w:cs="Times New Roman"/>
                <w:b/>
                <w:color w:val="auto"/>
                <w:szCs w:val="21"/>
                <w:highlight w:val="none"/>
                <w:u w:val="single"/>
              </w:rPr>
              <w:t>盖章签字后</w:t>
            </w:r>
            <w:r>
              <w:rPr>
                <w:rFonts w:hint="default" w:ascii="Times New Roman" w:hAnsi="Times New Roman" w:eastAsia="宋体" w:cs="Times New Roman"/>
                <w:color w:val="auto"/>
                <w:szCs w:val="21"/>
                <w:highlight w:val="none"/>
              </w:rPr>
              <w:t>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w:t>
            </w:r>
            <w:r>
              <w:rPr>
                <w:rFonts w:hint="default" w:ascii="Times New Roman" w:hAnsi="Times New Roman" w:eastAsia="宋体" w:cs="Times New Roman"/>
                <w:b/>
                <w:bCs/>
                <w:color w:val="auto"/>
                <w:szCs w:val="21"/>
                <w:highlight w:val="none"/>
              </w:rPr>
              <w:t>投标人也可不提交备用光盘。</w:t>
            </w:r>
          </w:p>
          <w:p>
            <w:pPr>
              <w:spacing w:line="276"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3、补救方案</w:t>
            </w:r>
          </w:p>
          <w:p>
            <w:pPr>
              <w:spacing w:line="276"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（1）投标文件解密失败的补救方案：</w:t>
            </w:r>
          </w:p>
          <w:p>
            <w:pPr>
              <w:spacing w:line="276"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spacing w:line="276"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（2）评标时突发情况的补救方案</w:t>
            </w:r>
          </w:p>
          <w:p>
            <w:pPr>
              <w:spacing w:line="276"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若遇不可抗力发生（指网络瘫痪、服务器损坏、交易系统故障短期无法恢复等因素），由评标委员会开启投标人递交的全部投标文件光盘，并按光盘内容进行评审。</w:t>
            </w:r>
          </w:p>
          <w:p>
            <w:pPr>
              <w:spacing w:line="276"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37.</w:t>
            </w: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增加</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工人工资分账管理</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本项目按照《广州市住房和城乡建设局、广州市人力资源和社会保障局、广州市交通运输局等关于印发广州市建设领域工人工资支付分账管理实施细则的通知》（穗建规字〔2020〕37号）实行工人工资分账管理。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38.</w:t>
            </w: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增加</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Cs/>
                <w:color w:val="auto"/>
                <w:highlight w:val="none"/>
                <w:u w:val="single"/>
              </w:rPr>
            </w:pPr>
            <w:r>
              <w:rPr>
                <w:rFonts w:hint="default" w:ascii="Times New Roman" w:hAnsi="Times New Roman" w:eastAsia="宋体" w:cs="Times New Roman"/>
                <w:bCs/>
                <w:color w:val="auto"/>
                <w:highlight w:val="none"/>
                <w:u w:val="single"/>
              </w:rPr>
              <w:t>其他费用</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1、中标人按《广州市发展改革委转发省发展改革委关于规范公共资源交易服务收费及有关问题的通知》（穗发改〔2017〕811号）文件的规定，向广州公共资源交易中心代缴交易服务费，其费用包含在中标人投标报价中，招标人不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top w:val="single" w:color="auto" w:sz="4" w:space="0"/>
              <w:left w:val="doub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39.</w:t>
            </w: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b/>
                <w:bCs/>
                <w:color w:val="auto"/>
                <w:szCs w:val="21"/>
                <w:highlight w:val="none"/>
              </w:rPr>
              <w:t>增加</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Cs/>
                <w:color w:val="auto"/>
                <w:highlight w:val="none"/>
                <w:u w:val="single"/>
              </w:rPr>
            </w:pPr>
            <w:r>
              <w:rPr>
                <w:rFonts w:hint="default" w:ascii="Times New Roman" w:hAnsi="Times New Roman" w:eastAsia="宋体" w:cs="Times New Roman"/>
                <w:bCs/>
                <w:color w:val="auto"/>
                <w:highlight w:val="none"/>
                <w:u w:val="single"/>
              </w:rPr>
              <w:t>补交纸质投标文件</w:t>
            </w:r>
          </w:p>
        </w:tc>
        <w:tc>
          <w:tcPr>
            <w:tcW w:w="5837" w:type="dxa"/>
            <w:tcBorders>
              <w:top w:val="single" w:color="auto" w:sz="4" w:space="0"/>
              <w:left w:val="single" w:color="auto" w:sz="4" w:space="0"/>
              <w:bottom w:val="single" w:color="auto" w:sz="4" w:space="0"/>
              <w:right w:val="double" w:color="auto" w:sz="4" w:space="0"/>
            </w:tcBorders>
            <w:noWrap w:val="0"/>
            <w:vAlign w:val="center"/>
          </w:tcPr>
          <w:p>
            <w:pPr>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中标单位领取中标通知书时，补送</w:t>
            </w:r>
            <w:r>
              <w:rPr>
                <w:rFonts w:hint="default" w:ascii="Times New Roman" w:hAnsi="Times New Roman" w:eastAsia="宋体" w:cs="Times New Roman"/>
                <w:b/>
                <w:color w:val="auto"/>
                <w:szCs w:val="21"/>
                <w:highlight w:val="none"/>
                <w:u w:val="single"/>
              </w:rPr>
              <w:t>一正二副</w:t>
            </w:r>
            <w:r>
              <w:rPr>
                <w:rFonts w:hint="default" w:ascii="Times New Roman" w:hAnsi="Times New Roman" w:eastAsia="宋体" w:cs="Times New Roman"/>
                <w:color w:val="auto"/>
                <w:szCs w:val="21"/>
                <w:highlight w:val="none"/>
                <w:u w:val="single"/>
              </w:rPr>
              <w:t>与交易平台网上递交的电子投标文件一致的</w:t>
            </w:r>
            <w:r>
              <w:rPr>
                <w:rFonts w:hint="default" w:ascii="Times New Roman" w:hAnsi="Times New Roman" w:eastAsia="宋体" w:cs="Times New Roman"/>
                <w:b/>
                <w:color w:val="auto"/>
                <w:szCs w:val="21"/>
                <w:highlight w:val="none"/>
                <w:u w:val="single"/>
              </w:rPr>
              <w:t>书面投标文件（加盖公章）</w:t>
            </w:r>
            <w:r>
              <w:rPr>
                <w:rFonts w:hint="default" w:ascii="Times New Roman" w:hAnsi="Times New Roman" w:eastAsia="宋体" w:cs="Times New Roman"/>
                <w:color w:val="auto"/>
                <w:szCs w:val="21"/>
                <w:highlight w:val="none"/>
                <w:u w:val="single"/>
              </w:rPr>
              <w:t>给招标人。</w:t>
            </w:r>
          </w:p>
        </w:tc>
      </w:tr>
    </w:tbl>
    <w:p>
      <w:pPr>
        <w:spacing w:line="480" w:lineRule="auto"/>
        <w:rPr>
          <w:rFonts w:hint="default" w:ascii="Times New Roman" w:hAnsi="Times New Roman" w:eastAsia="宋体" w:cs="Times New Roman"/>
          <w:strike/>
          <w:color w:val="auto"/>
          <w:sz w:val="24"/>
          <w:highlight w:val="none"/>
        </w:rPr>
      </w:pPr>
      <w:r>
        <w:rPr>
          <w:rFonts w:hint="default" w:ascii="Times New Roman" w:hAnsi="Times New Roman" w:eastAsia="宋体" w:cs="Times New Roman"/>
          <w:strike/>
          <w:color w:val="auto"/>
          <w:sz w:val="24"/>
          <w:highlight w:val="none"/>
        </w:rPr>
        <w:t>注：企业</w:t>
      </w:r>
      <w:r>
        <w:rPr>
          <w:rFonts w:hint="default" w:ascii="Times New Roman" w:hAnsi="Times New Roman" w:eastAsia="宋体" w:cs="Times New Roman"/>
          <w:strike/>
          <w:color w:val="auto"/>
          <w:kern w:val="0"/>
          <w:sz w:val="24"/>
          <w:highlight w:val="none"/>
        </w:rPr>
        <w:t>综合诚信评价得分即</w:t>
      </w:r>
      <w:r>
        <w:rPr>
          <w:rFonts w:hint="default" w:ascii="Times New Roman" w:hAnsi="Times New Roman" w:eastAsia="宋体" w:cs="Times New Roman"/>
          <w:strike/>
          <w:color w:val="auto"/>
          <w:sz w:val="24"/>
          <w:highlight w:val="none"/>
        </w:rPr>
        <w:t>企业</w:t>
      </w:r>
      <w:r>
        <w:rPr>
          <w:rFonts w:hint="default" w:ascii="Times New Roman" w:hAnsi="Times New Roman" w:eastAsia="宋体" w:cs="Times New Roman"/>
          <w:strike/>
          <w:color w:val="auto"/>
          <w:kern w:val="0"/>
          <w:sz w:val="24"/>
          <w:highlight w:val="none"/>
        </w:rPr>
        <w:t>综合诚信评价60日诚信分，以下同。</w:t>
      </w:r>
    </w:p>
    <w:p>
      <w:pPr>
        <w:keepNext/>
        <w:keepLines/>
        <w:numPr>
          <w:ilvl w:val="1"/>
          <w:numId w:val="0"/>
        </w:numPr>
        <w:spacing w:before="120" w:after="120" w:line="415" w:lineRule="auto"/>
        <w:jc w:val="center"/>
        <w:outlineLvl w:val="1"/>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br w:type="page"/>
      </w:r>
      <w:bookmarkStart w:id="4" w:name="_Toc16488"/>
      <w:bookmarkStart w:id="5" w:name="_Toc62134841"/>
      <w:bookmarkStart w:id="6" w:name="_Toc12169"/>
      <w:r>
        <w:rPr>
          <w:rFonts w:hint="default" w:ascii="Times New Roman" w:hAnsi="Times New Roman" w:eastAsia="宋体" w:cs="Times New Roman"/>
          <w:b/>
          <w:color w:val="auto"/>
          <w:kern w:val="0"/>
          <w:sz w:val="24"/>
          <w:szCs w:val="24"/>
          <w:highlight w:val="none"/>
        </w:rPr>
        <w:t>二、投标须知修改表</w:t>
      </w:r>
      <w:bookmarkEnd w:id="4"/>
      <w:bookmarkEnd w:id="5"/>
      <w:bookmarkEnd w:id="6"/>
    </w:p>
    <w:p>
      <w:pPr>
        <w:spacing w:after="120" w:line="360" w:lineRule="auto"/>
        <w:ind w:firstLine="420"/>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条款号：5.1 修改类型：修改</w:t>
      </w:r>
    </w:p>
    <w:p>
      <w:pPr>
        <w:spacing w:line="460" w:lineRule="exact"/>
        <w:ind w:firstLine="422" w:firstLineChars="200"/>
        <w:rPr>
          <w:rFonts w:hint="default" w:ascii="Times New Roman" w:hAnsi="Times New Roman" w:eastAsia="宋体" w:cs="Times New Roman"/>
          <w:bCs/>
          <w:color w:val="auto"/>
          <w:szCs w:val="21"/>
          <w:highlight w:val="none"/>
          <w:u w:val="singl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bCs/>
          <w:color w:val="auto"/>
          <w:szCs w:val="21"/>
          <w:highlight w:val="none"/>
        </w:rPr>
        <w:t>5.1 投标人应按本投标须知前附表第15项所述时间和要求对工程现场及周围环境进行踏勘，</w:t>
      </w:r>
      <w:r>
        <w:rPr>
          <w:rFonts w:hint="default" w:ascii="Times New Roman" w:hAnsi="Times New Roman" w:eastAsia="宋体" w:cs="Times New Roman"/>
          <w:color w:val="auto"/>
          <w:szCs w:val="21"/>
          <w:highlight w:val="none"/>
        </w:rPr>
        <w:t>投标人应充分重视和仔细地进行这种考察，</w:t>
      </w:r>
      <w:r>
        <w:rPr>
          <w:rFonts w:hint="default" w:ascii="Times New Roman" w:hAnsi="Times New Roman" w:eastAsia="宋体" w:cs="Times New Roman"/>
          <w:bCs/>
          <w:color w:val="auto"/>
          <w:szCs w:val="21"/>
          <w:highlight w:val="none"/>
        </w:rPr>
        <w:t>以便投标人获取</w:t>
      </w:r>
      <w:r>
        <w:rPr>
          <w:rFonts w:hint="default" w:ascii="Times New Roman" w:hAnsi="Times New Roman" w:eastAsia="宋体" w:cs="Times New Roman"/>
          <w:color w:val="auto"/>
          <w:szCs w:val="21"/>
          <w:highlight w:val="none"/>
        </w:rPr>
        <w:t>那些须投标人自己负责的</w:t>
      </w:r>
      <w:r>
        <w:rPr>
          <w:rFonts w:hint="default" w:ascii="Times New Roman" w:hAnsi="Times New Roman" w:eastAsia="宋体" w:cs="Times New Roman"/>
          <w:bCs/>
          <w:color w:val="auto"/>
          <w:szCs w:val="21"/>
          <w:highlight w:val="none"/>
        </w:rPr>
        <w:t>有关编制投标文件和签署合同所涉及现场所有的资料。</w:t>
      </w:r>
      <w:r>
        <w:rPr>
          <w:rFonts w:hint="default" w:ascii="Times New Roman" w:hAnsi="Times New Roman" w:eastAsia="宋体" w:cs="Times New Roman"/>
          <w:color w:val="auto"/>
          <w:szCs w:val="21"/>
          <w:highlight w:val="none"/>
        </w:rPr>
        <w:t>一旦中标，这种考察即被认为其结果已在中标文件中得到充分反映。考察现场的费用由投标人自己承担。</w:t>
      </w:r>
    </w:p>
    <w:p>
      <w:pPr>
        <w:pBdr>
          <w:bottom w:val="single" w:color="auto" w:sz="6" w:space="1"/>
        </w:pBdr>
        <w:spacing w:line="460" w:lineRule="exact"/>
        <w:ind w:firstLine="422"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default" w:ascii="Times New Roman" w:hAnsi="Times New Roman" w:eastAsia="宋体" w:cs="Times New Roman"/>
          <w:bCs/>
          <w:color w:val="auto"/>
          <w:szCs w:val="21"/>
          <w:highlight w:val="none"/>
          <w:u w:val="single"/>
        </w:rPr>
        <w:t>投标人不进行踏勘的，视为已熟知现场条件，自行承担相关风险。</w:t>
      </w:r>
      <w:r>
        <w:rPr>
          <w:rFonts w:hint="default" w:ascii="Times New Roman" w:hAnsi="Times New Roman" w:eastAsia="宋体" w:cs="Times New Roman"/>
          <w:color w:val="auto"/>
          <w:szCs w:val="21"/>
          <w:highlight w:val="none"/>
        </w:rPr>
        <w:t>一旦中标，这种考察即被认为其结果已在中标文件中得到充分反映。</w:t>
      </w:r>
      <w:r>
        <w:rPr>
          <w:rFonts w:hint="default" w:ascii="Times New Roman" w:hAnsi="Times New Roman" w:eastAsia="宋体" w:cs="Times New Roman"/>
          <w:color w:val="auto"/>
          <w:szCs w:val="21"/>
          <w:highlight w:val="none"/>
          <w:u w:val="single"/>
        </w:rPr>
        <w:t>招标人不受理因投标人缺乏对现场条件的了解或掌握而提出的任何索赔。</w:t>
      </w:r>
      <w:r>
        <w:rPr>
          <w:rFonts w:hint="default" w:ascii="Times New Roman" w:hAnsi="Times New Roman" w:eastAsia="宋体" w:cs="Times New Roman"/>
          <w:color w:val="auto"/>
          <w:szCs w:val="21"/>
          <w:highlight w:val="none"/>
        </w:rPr>
        <w:t>考察现场的费用由投标人自己承担。</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条款号：8.1             修改类型：修改</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8.1投标人若对招标文件（包括招标图纸）中有疑问，可以书面形式通过</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交易平台提交给招标人或招标代理人，提交形式见本须知前附表第16项。</w:t>
      </w:r>
    </w:p>
    <w:p>
      <w:pPr>
        <w:pBdr>
          <w:bottom w:val="single" w:color="auto" w:sz="6" w:space="1"/>
        </w:pBdr>
        <w:spacing w:line="460" w:lineRule="exact"/>
        <w:ind w:firstLine="527" w:firstLineChars="25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rPr>
        <w:t>8.1</w:t>
      </w:r>
      <w:r>
        <w:rPr>
          <w:rFonts w:hint="default" w:ascii="Times New Roman" w:hAnsi="Times New Roman" w:eastAsia="宋体" w:cs="Times New Roman"/>
          <w:color w:val="auto"/>
          <w:szCs w:val="21"/>
          <w:highlight w:val="none"/>
          <w:u w:val="single"/>
        </w:rPr>
        <w:t>招标答疑采用网上答疑方式进行。投标人若对招标文件（包括招标图纸、</w:t>
      </w:r>
      <w:r>
        <w:rPr>
          <w:rFonts w:hint="default" w:ascii="Times New Roman" w:hAnsi="Times New Roman" w:eastAsia="宋体" w:cs="Times New Roman"/>
          <w:color w:val="auto"/>
          <w:szCs w:val="21"/>
          <w:highlight w:val="none"/>
          <w:u w:val="single"/>
          <w:lang w:eastAsia="zh-CN"/>
        </w:rPr>
        <w:t>清单、</w:t>
      </w:r>
      <w:r>
        <w:rPr>
          <w:rFonts w:hint="default" w:ascii="Times New Roman" w:hAnsi="Times New Roman" w:eastAsia="宋体" w:cs="Times New Roman"/>
          <w:color w:val="auto"/>
          <w:szCs w:val="21"/>
          <w:highlight w:val="none"/>
          <w:u w:val="single"/>
        </w:rPr>
        <w:t>最高投标限价</w:t>
      </w:r>
      <w:r>
        <w:rPr>
          <w:rFonts w:hint="default" w:ascii="Times New Roman" w:hAnsi="Times New Roman" w:eastAsia="宋体" w:cs="Times New Roman"/>
          <w:color w:val="auto"/>
          <w:szCs w:val="21"/>
          <w:highlight w:val="none"/>
          <w:u w:val="single"/>
          <w:lang w:eastAsia="zh-CN"/>
        </w:rPr>
        <w:t>、合同条款</w:t>
      </w:r>
      <w:r>
        <w:rPr>
          <w:rFonts w:hint="default" w:ascii="Times New Roman" w:hAnsi="Times New Roman" w:eastAsia="宋体" w:cs="Times New Roman"/>
          <w:color w:val="auto"/>
          <w:szCs w:val="21"/>
          <w:highlight w:val="none"/>
          <w:u w:val="single"/>
        </w:rPr>
        <w:t>）有疑问的，可在规定的时间内通过广州公共资源交易中心网站进入提问区域将问题提交给招标人或招标代理人，提交问题时一律不得署名。</w:t>
      </w:r>
    </w:p>
    <w:p>
      <w:pPr>
        <w:pBdr>
          <w:bottom w:val="single" w:color="auto" w:sz="6" w:space="1"/>
        </w:pBdr>
        <w:spacing w:line="460" w:lineRule="exact"/>
        <w:ind w:firstLine="525" w:firstLineChars="25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u w:val="single"/>
        </w:rPr>
        <w:t>网上答疑的操作指南为：登陆广州公共资源交易中心网站→进入“建设工程”专区→进入“网上答疑”专区→通过项目编号或名称找到所需的项目→在上述的答疑时间内点击“提问”进入到提问区域→无记名或匿名提出问题以及查看所有的问题。</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条款号：8.2             修改类型：修改</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8.2招标答疑会会议纪要将在提交投标文件截止时间15日前在</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交易平台 “项目答疑纪要”专区公开发布。答疑纪要一经在</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交易平台发布，视作已发放给所有投标人。</w:t>
      </w:r>
    </w:p>
    <w:p>
      <w:pPr>
        <w:pBdr>
          <w:bottom w:val="single" w:color="auto" w:sz="6" w:space="1"/>
        </w:pBdr>
        <w:spacing w:line="460" w:lineRule="exact"/>
        <w:ind w:firstLine="527" w:firstLineChars="25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rPr>
        <w:t>8.2</w:t>
      </w:r>
      <w:r>
        <w:rPr>
          <w:rFonts w:hint="default" w:ascii="Times New Roman" w:hAnsi="Times New Roman" w:eastAsia="宋体" w:cs="Times New Roman"/>
          <w:color w:val="auto"/>
          <w:szCs w:val="21"/>
          <w:highlight w:val="none"/>
          <w:u w:val="single"/>
        </w:rPr>
        <w:t>投标人应在递交投标文件截止时间前【18】日停止提问，招标人应在递交投标文件截止时间15日前解答投标人对招标文件提出的疑问，形成答疑纪要，在广州公共资源交易中心</w:t>
      </w:r>
      <w:r>
        <w:rPr>
          <w:rFonts w:hint="default" w:ascii="Times New Roman" w:hAnsi="Times New Roman" w:eastAsia="宋体" w:cs="Times New Roman"/>
          <w:color w:val="auto"/>
          <w:szCs w:val="21"/>
          <w:highlight w:val="none"/>
        </w:rPr>
        <w:t>交易平台 “项目答疑纪要”专区公开发布。答疑纪要一经在</w:t>
      </w:r>
      <w:r>
        <w:rPr>
          <w:rFonts w:hint="default" w:ascii="Times New Roman" w:hAnsi="Times New Roman" w:eastAsia="宋体" w:cs="Times New Roman"/>
          <w:color w:val="auto"/>
          <w:szCs w:val="21"/>
          <w:highlight w:val="none"/>
          <w:u w:val="single"/>
        </w:rPr>
        <w:t>广州公共资源交易中心网站</w:t>
      </w:r>
      <w:r>
        <w:rPr>
          <w:rFonts w:hint="default" w:ascii="Times New Roman" w:hAnsi="Times New Roman" w:eastAsia="宋体" w:cs="Times New Roman"/>
          <w:color w:val="auto"/>
          <w:szCs w:val="21"/>
          <w:highlight w:val="none"/>
        </w:rPr>
        <w:t>交易平台发布，视作已发放给所有投标人。</w:t>
      </w:r>
    </w:p>
    <w:p>
      <w:pPr>
        <w:spacing w:line="460" w:lineRule="exact"/>
        <w:ind w:firstLine="422"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条款号：8.3             修改类型：修改</w:t>
      </w:r>
    </w:p>
    <w:p>
      <w:pPr>
        <w:pStyle w:val="11"/>
        <w:ind w:firstLine="48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原文：</w:t>
      </w:r>
      <w:r>
        <w:rPr>
          <w:rFonts w:hint="default" w:ascii="Times New Roman" w:hAnsi="Times New Roman" w:eastAsia="宋体" w:cs="Times New Roman"/>
          <w:color w:val="auto"/>
          <w:sz w:val="21"/>
          <w:szCs w:val="21"/>
          <w:highlight w:val="none"/>
        </w:rPr>
        <w:t>8.3答疑会会议纪要为招标文件的一部分。</w:t>
      </w:r>
    </w:p>
    <w:p>
      <w:pPr>
        <w:pBdr>
          <w:bottom w:val="single" w:color="auto" w:sz="6" w:space="1"/>
        </w:pBdr>
        <w:spacing w:line="460" w:lineRule="exact"/>
        <w:ind w:firstLine="422"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kern w:val="0"/>
          <w:szCs w:val="21"/>
          <w:highlight w:val="none"/>
        </w:rPr>
        <w:t>现文：</w:t>
      </w:r>
      <w:r>
        <w:rPr>
          <w:rFonts w:hint="default" w:ascii="Times New Roman" w:hAnsi="Times New Roman" w:eastAsia="宋体" w:cs="Times New Roman"/>
          <w:color w:val="auto"/>
          <w:kern w:val="0"/>
          <w:szCs w:val="21"/>
          <w:highlight w:val="none"/>
        </w:rPr>
        <w:t>8.3</w:t>
      </w:r>
      <w:r>
        <w:rPr>
          <w:rFonts w:hint="default" w:ascii="Times New Roman" w:hAnsi="Times New Roman" w:eastAsia="宋体" w:cs="Times New Roman"/>
          <w:color w:val="auto"/>
          <w:kern w:val="0"/>
          <w:szCs w:val="21"/>
          <w:highlight w:val="none"/>
          <w:u w:val="single"/>
        </w:rPr>
        <w:t>招标答疑纪要</w:t>
      </w:r>
      <w:r>
        <w:rPr>
          <w:rFonts w:hint="default" w:ascii="Times New Roman" w:hAnsi="Times New Roman" w:eastAsia="宋体" w:cs="Times New Roman"/>
          <w:color w:val="auto"/>
          <w:kern w:val="0"/>
          <w:szCs w:val="21"/>
          <w:highlight w:val="none"/>
        </w:rPr>
        <w:t>为招标文件的一部分。</w:t>
      </w:r>
    </w:p>
    <w:p>
      <w:pPr>
        <w:spacing w:line="460" w:lineRule="exact"/>
        <w:ind w:firstLine="422"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条款号：8.4             修改类型：修改</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8.4若招标答疑会会议纪要与招标文件有矛盾，以答疑会议纪要最后发出的书面形式的文件为准。</w:t>
      </w:r>
    </w:p>
    <w:p>
      <w:pPr>
        <w:pBdr>
          <w:bottom w:val="single" w:color="auto" w:sz="6" w:space="1"/>
        </w:pBdr>
        <w:spacing w:line="460" w:lineRule="exact"/>
        <w:ind w:firstLine="422"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rPr>
        <w:t>8.4若</w:t>
      </w:r>
      <w:r>
        <w:rPr>
          <w:rFonts w:hint="default" w:ascii="Times New Roman" w:hAnsi="Times New Roman" w:eastAsia="宋体" w:cs="Times New Roman"/>
          <w:color w:val="auto"/>
          <w:szCs w:val="21"/>
          <w:highlight w:val="none"/>
          <w:u w:val="single"/>
        </w:rPr>
        <w:t>招标答疑纪要</w:t>
      </w:r>
      <w:r>
        <w:rPr>
          <w:rFonts w:hint="default" w:ascii="Times New Roman" w:hAnsi="Times New Roman" w:eastAsia="宋体" w:cs="Times New Roman"/>
          <w:color w:val="auto"/>
          <w:szCs w:val="21"/>
          <w:highlight w:val="none"/>
        </w:rPr>
        <w:t>与招标文件有矛盾时，以</w:t>
      </w:r>
      <w:r>
        <w:rPr>
          <w:rFonts w:hint="default" w:ascii="Times New Roman" w:hAnsi="Times New Roman" w:eastAsia="宋体" w:cs="Times New Roman"/>
          <w:color w:val="auto"/>
          <w:szCs w:val="21"/>
          <w:highlight w:val="none"/>
          <w:u w:val="single"/>
        </w:rPr>
        <w:t>广州公共资源交易中心网站最后发布的答疑纪要为准。</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条款号：9.2-9.4             修改类型：修改</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原文：</w:t>
      </w:r>
    </w:p>
    <w:p>
      <w:pPr>
        <w:spacing w:line="460" w:lineRule="exact"/>
        <w:ind w:firstLine="470"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szCs w:val="21"/>
          <w:highlight w:val="none"/>
        </w:rPr>
        <w:t>9.2招标文件的澄清或修改将在</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交易平台“项目答疑纪要”专区公开发布。答疑纪要一经在</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交易平台发布，视作已发放给所有投标人，以</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交易平台上网发布时间作为送达时间。</w:t>
      </w:r>
    </w:p>
    <w:p>
      <w:pPr>
        <w:pBdr>
          <w:bottom w:val="single" w:color="auto" w:sz="6" w:space="1"/>
        </w:pBdr>
        <w:spacing w:line="360" w:lineRule="auto"/>
        <w:ind w:firstLine="525" w:firstLineChars="25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9.3招标文件的修改内容为招标文件的组成部分。</w:t>
      </w:r>
    </w:p>
    <w:p>
      <w:pPr>
        <w:pBdr>
          <w:bottom w:val="single" w:color="auto" w:sz="6" w:space="1"/>
        </w:pBdr>
        <w:spacing w:line="360" w:lineRule="auto"/>
        <w:ind w:firstLine="525" w:firstLineChars="25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9.4招标文件的澄清或修改均以书面形式明确的内容为准。当招标文件的澄清、修改、补充等在同一内容的表述不一致时，以最后发出的书面形式的文件为准。</w:t>
      </w:r>
    </w:p>
    <w:p>
      <w:pPr>
        <w:pBdr>
          <w:bottom w:val="single" w:color="auto" w:sz="6" w:space="1"/>
        </w:pBdr>
        <w:spacing w:line="360" w:lineRule="auto"/>
        <w:ind w:firstLine="527" w:firstLineChars="25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现文：</w:t>
      </w:r>
    </w:p>
    <w:p>
      <w:pPr>
        <w:pBdr>
          <w:bottom w:val="single" w:color="auto" w:sz="6" w:space="1"/>
        </w:pBdr>
        <w:spacing w:line="360" w:lineRule="auto"/>
        <w:ind w:firstLine="525" w:firstLineChars="25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9.2招标文件的澄清或修改将在</w:t>
      </w:r>
      <w:r>
        <w:rPr>
          <w:rFonts w:hint="default" w:ascii="Times New Roman" w:hAnsi="Times New Roman" w:eastAsia="宋体" w:cs="Times New Roman"/>
          <w:color w:val="auto"/>
          <w:szCs w:val="21"/>
          <w:highlight w:val="none"/>
          <w:u w:val="single"/>
        </w:rPr>
        <w:t>广州公共资源交易中心网站</w:t>
      </w:r>
      <w:r>
        <w:rPr>
          <w:rFonts w:hint="default" w:ascii="Times New Roman" w:hAnsi="Times New Roman" w:eastAsia="宋体" w:cs="Times New Roman"/>
          <w:color w:val="auto"/>
          <w:szCs w:val="21"/>
          <w:highlight w:val="none"/>
        </w:rPr>
        <w:t>“项目答疑纪要”专区公开发布。答疑纪要一经在</w:t>
      </w:r>
      <w:r>
        <w:rPr>
          <w:rFonts w:hint="default" w:ascii="Times New Roman" w:hAnsi="Times New Roman" w:eastAsia="宋体" w:cs="Times New Roman"/>
          <w:color w:val="auto"/>
          <w:szCs w:val="21"/>
          <w:highlight w:val="none"/>
          <w:u w:val="single"/>
        </w:rPr>
        <w:t>广州公共资源交易中心网站</w:t>
      </w:r>
      <w:r>
        <w:rPr>
          <w:rFonts w:hint="default" w:ascii="Times New Roman" w:hAnsi="Times New Roman" w:eastAsia="宋体" w:cs="Times New Roman"/>
          <w:color w:val="auto"/>
          <w:szCs w:val="21"/>
          <w:highlight w:val="none"/>
        </w:rPr>
        <w:t>发布，视作已发放给所有投标人，以</w:t>
      </w:r>
      <w:r>
        <w:rPr>
          <w:rFonts w:hint="default" w:ascii="Times New Roman" w:hAnsi="Times New Roman" w:eastAsia="宋体" w:cs="Times New Roman"/>
          <w:color w:val="auto"/>
          <w:szCs w:val="21"/>
          <w:highlight w:val="none"/>
          <w:u w:val="single"/>
        </w:rPr>
        <w:t>广州公共资源交易中心网站</w:t>
      </w:r>
      <w:r>
        <w:rPr>
          <w:rFonts w:hint="default" w:ascii="Times New Roman" w:hAnsi="Times New Roman" w:eastAsia="宋体" w:cs="Times New Roman"/>
          <w:color w:val="auto"/>
          <w:szCs w:val="21"/>
          <w:highlight w:val="none"/>
        </w:rPr>
        <w:t>发布时间作为送达时间。</w:t>
      </w:r>
    </w:p>
    <w:p>
      <w:pPr>
        <w:pBdr>
          <w:bottom w:val="single" w:color="auto" w:sz="6" w:space="1"/>
        </w:pBdr>
        <w:spacing w:line="460" w:lineRule="exact"/>
        <w:ind w:firstLine="525" w:firstLineChars="250"/>
        <w:rPr>
          <w:rFonts w:hint="default" w:ascii="Times New Roman" w:hAnsi="Times New Roman" w:eastAsia="宋体" w:cs="Times New Roman"/>
          <w:b/>
          <w:color w:val="auto"/>
          <w:szCs w:val="21"/>
          <w:highlight w:val="none"/>
        </w:rPr>
      </w:pPr>
      <w:r>
        <w:rPr>
          <w:rFonts w:hint="default" w:ascii="Times New Roman" w:hAnsi="Times New Roman" w:eastAsia="宋体" w:cs="Times New Roman"/>
          <w:bCs/>
          <w:color w:val="auto"/>
          <w:szCs w:val="21"/>
          <w:highlight w:val="none"/>
        </w:rPr>
        <w:t>9.3招标文件的修改内容为招标文件的组成部分，</w:t>
      </w:r>
      <w:r>
        <w:rPr>
          <w:rFonts w:hint="default" w:ascii="Times New Roman" w:hAnsi="Times New Roman" w:eastAsia="宋体" w:cs="Times New Roman"/>
          <w:bCs/>
          <w:color w:val="auto"/>
          <w:szCs w:val="21"/>
          <w:highlight w:val="none"/>
          <w:u w:val="single"/>
        </w:rPr>
        <w:t>具有约束作用</w:t>
      </w:r>
      <w:r>
        <w:rPr>
          <w:rFonts w:hint="default" w:ascii="Times New Roman" w:hAnsi="Times New Roman" w:eastAsia="宋体" w:cs="Times New Roman"/>
          <w:bCs/>
          <w:color w:val="auto"/>
          <w:szCs w:val="21"/>
          <w:highlight w:val="none"/>
        </w:rPr>
        <w:t>。</w:t>
      </w:r>
    </w:p>
    <w:p>
      <w:pPr>
        <w:pBdr>
          <w:bottom w:val="single" w:color="auto" w:sz="6" w:space="1"/>
        </w:pBdr>
        <w:spacing w:line="460" w:lineRule="exact"/>
        <w:ind w:firstLine="525" w:firstLineChars="250"/>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szCs w:val="21"/>
          <w:highlight w:val="none"/>
        </w:rPr>
        <w:t>9. 招标文件的澄清或修改</w:t>
      </w:r>
      <w:r>
        <w:rPr>
          <w:rFonts w:hint="default" w:ascii="Times New Roman" w:hAnsi="Times New Roman" w:eastAsia="宋体" w:cs="Times New Roman"/>
          <w:color w:val="auto"/>
          <w:szCs w:val="21"/>
          <w:highlight w:val="none"/>
          <w:u w:val="single"/>
        </w:rPr>
        <w:t>在广州公共资源交易中心网站“项目答疑纪要”专区公开发布</w:t>
      </w:r>
      <w:r>
        <w:rPr>
          <w:rFonts w:hint="default" w:ascii="Times New Roman" w:hAnsi="Times New Roman" w:eastAsia="宋体" w:cs="Times New Roman"/>
          <w:color w:val="auto"/>
          <w:szCs w:val="21"/>
          <w:highlight w:val="none"/>
        </w:rPr>
        <w:t>。当招标文件的澄清、修改、补充等在同一内容的表述不一致时，以</w:t>
      </w:r>
      <w:r>
        <w:rPr>
          <w:rFonts w:hint="default" w:ascii="Times New Roman" w:hAnsi="Times New Roman" w:eastAsia="宋体" w:cs="Times New Roman"/>
          <w:color w:val="auto"/>
          <w:szCs w:val="21"/>
          <w:highlight w:val="none"/>
          <w:u w:val="single"/>
        </w:rPr>
        <w:t>广州公共资源交易中心交易平台</w:t>
      </w:r>
      <w:r>
        <w:rPr>
          <w:rFonts w:hint="default" w:ascii="Times New Roman" w:hAnsi="Times New Roman" w:eastAsia="宋体" w:cs="Times New Roman"/>
          <w:color w:val="auto"/>
          <w:szCs w:val="21"/>
          <w:highlight w:val="none"/>
        </w:rPr>
        <w:t>最后发布的内容为准</w:t>
      </w:r>
      <w:r>
        <w:rPr>
          <w:rFonts w:hint="default" w:ascii="Times New Roman" w:hAnsi="Times New Roman" w:eastAsia="宋体" w:cs="Times New Roman"/>
          <w:bCs/>
          <w:color w:val="auto"/>
          <w:szCs w:val="21"/>
          <w:highlight w:val="none"/>
        </w:rPr>
        <w:t>。</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w:t>
      </w:r>
      <w:r>
        <w:rPr>
          <w:rFonts w:hint="default" w:ascii="Times New Roman" w:hAnsi="Times New Roman" w:eastAsia="宋体" w:cs="Times New Roman"/>
          <w:b/>
          <w:color w:val="auto"/>
          <w:szCs w:val="21"/>
          <w:highlight w:val="none"/>
          <w:lang w:val="en-US" w:eastAsia="zh-CN"/>
        </w:rPr>
        <w:t>11.1-</w:t>
      </w:r>
      <w:r>
        <w:rPr>
          <w:rFonts w:hint="default" w:ascii="Times New Roman" w:hAnsi="Times New Roman" w:eastAsia="宋体" w:cs="Times New Roman"/>
          <w:b/>
          <w:color w:val="auto"/>
          <w:szCs w:val="21"/>
          <w:highlight w:val="none"/>
        </w:rPr>
        <w:t>11.</w:t>
      </w:r>
      <w:r>
        <w:rPr>
          <w:rFonts w:hint="default" w:ascii="Times New Roman" w:hAnsi="Times New Roman" w:eastAsia="宋体" w:cs="Times New Roman"/>
          <w:b/>
          <w:color w:val="auto"/>
          <w:szCs w:val="21"/>
          <w:highlight w:val="none"/>
          <w:lang w:val="en-US" w:eastAsia="zh-CN"/>
        </w:rPr>
        <w:t>2</w:t>
      </w:r>
      <w:r>
        <w:rPr>
          <w:rFonts w:hint="default" w:ascii="Times New Roman" w:hAnsi="Times New Roman" w:eastAsia="宋体" w:cs="Times New Roman"/>
          <w:b/>
          <w:color w:val="auto"/>
          <w:szCs w:val="21"/>
          <w:highlight w:val="none"/>
        </w:rPr>
        <w:t xml:space="preserve">           修改类型：修改</w:t>
      </w:r>
    </w:p>
    <w:p>
      <w:pPr>
        <w:pStyle w:val="6"/>
        <w:spacing w:after="0" w:line="360" w:lineRule="auto"/>
        <w:ind w:firstLine="40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kern w:val="2"/>
          <w:sz w:val="21"/>
          <w:szCs w:val="21"/>
          <w:highlight w:val="none"/>
          <w:lang w:val="en-US" w:eastAsia="zh-CN" w:bidi="ar-SA"/>
        </w:rPr>
        <w:t>11.1 投标文件由技术部分（含资格审查文件）和经济部分二部分投标文件组成。</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11.2投标文件技术标部分主要包括下列内容:</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11.2.1 技术投标文件(按招标文件的要求填写)；</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11.2.2 资格审查文件：</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（1）投标人声明；</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（2）法定代表人证明书、法定代表人签字或盖章的本投标文件授权委托证明书；</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（3）企业营业执照（取自平台内上传件）；</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（4）企业资质证书（取自平台内上传件）；</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（5）建筑施工企业安全生产许可证（取自平台内上传件）；</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（6）项目负责人（按网上投标登记时选择拟投标的项目负责人）；</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（7）专职安全员（按网上投标登记时选择拟投标的专职安全员）</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（8）拟委托技术负责人的相关证书、资料（具体要求由招标人明确）</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（9）拟委派项目负责人的建造师注册证书（取自平台内上传件）； </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（10）项目负责人安全生产考核合格证明或在有效期内的安全考核合格证书（B类）或建筑施工企业项目负责人安全生产考核合格证书（取自平台内上传件）；</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（11）专职安全员须具有在有效期内的安全考核合格证书（C类）或建筑施工企业专职安全生产管理人员安全生产考核合格证书（取自平台内上传件）；</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（12）用于资格审查的业绩（设置业绩要求时选择此项，投标人须提供类似工程业绩的项目名称及项目编号，具体格式由招标人自定）；</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（13）资格审查前，投标人须在广州市住房和城乡建设局建立企业信用档案，拟担任本工程项目负责人、专职安全员须是本企业信用档案中的在册人员。</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（14）列明主办单位的联合体工作协议（采用联合体投标时需递交，投标人拟任本工程项目负责人应为联合体主办方信用档案中的在册人员，联合体工作协议应明确约定各方拟承担的工作和责任）； </w:t>
      </w:r>
    </w:p>
    <w:p>
      <w:pPr>
        <w:spacing w:line="460" w:lineRule="exact"/>
        <w:ind w:firstLine="470"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11.2.3项目管理机构配备。</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（1）投标人应列出该项目工程的施工组织机构构成和画出机构框架图及其负责人；</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（2）投标人应详细列出该施工组织机构中主要成员的名单、简历资料、职务职称和在本项目中拟担任的职务等资料，并附上有关证明材料扫描件；</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（3）其他辅助说明资料。</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11.2.4投标人在广州市可使用适合本工程的机械设备（附：机械设备为自有或租赁的说明；及承诺机械设备如属于租赁的，其租赁是不属于重复租赁）。</w:t>
      </w:r>
    </w:p>
    <w:p>
      <w:pPr>
        <w:tabs>
          <w:tab w:val="left" w:pos="1125"/>
        </w:tabs>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11.2.5施工组织设计或施工方案</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（投标人在编制施工组织设计或施工方案时应按照招标人提出的施工现场建筑垃圾源头减量的具体要求以及建筑垃圾综合利用产品的使用要求提供相应措施。）</w:t>
      </w:r>
    </w:p>
    <w:p>
      <w:pPr>
        <w:spacing w:line="460" w:lineRule="exact"/>
        <w:ind w:firstLine="470"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11.2.6按照招标文件要求填写的《参与编制技术标投标文件人员名单》。</w:t>
      </w:r>
    </w:p>
    <w:p>
      <w:pPr>
        <w:spacing w:line="460" w:lineRule="exact"/>
        <w:ind w:firstLine="422"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rPr>
        <w:t>11.1 投标文件由</w:t>
      </w:r>
      <w:r>
        <w:rPr>
          <w:rFonts w:hint="default" w:ascii="Times New Roman" w:hAnsi="Times New Roman" w:eastAsia="宋体" w:cs="Times New Roman"/>
          <w:color w:val="auto"/>
          <w:szCs w:val="21"/>
          <w:highlight w:val="none"/>
          <w:u w:val="single"/>
        </w:rPr>
        <w:t>技术部分（含资格审查文件）投标文件</w:t>
      </w:r>
      <w:r>
        <w:rPr>
          <w:rFonts w:hint="default" w:ascii="Times New Roman" w:hAnsi="Times New Roman" w:eastAsia="宋体" w:cs="Times New Roman"/>
          <w:color w:val="auto"/>
          <w:szCs w:val="21"/>
          <w:highlight w:val="none"/>
          <w:u w:val="single"/>
          <w:lang w:eastAsia="zh-CN"/>
        </w:rPr>
        <w:t>、</w:t>
      </w:r>
      <w:r>
        <w:rPr>
          <w:rFonts w:hint="default" w:ascii="Times New Roman" w:hAnsi="Times New Roman" w:eastAsia="宋体" w:cs="Times New Roman"/>
          <w:color w:val="auto"/>
          <w:szCs w:val="21"/>
          <w:highlight w:val="none"/>
          <w:u w:val="single"/>
        </w:rPr>
        <w:t>经济部分投标文件</w:t>
      </w:r>
      <w:r>
        <w:rPr>
          <w:rFonts w:hint="default" w:ascii="Times New Roman" w:hAnsi="Times New Roman" w:eastAsia="宋体" w:cs="Times New Roman"/>
          <w:color w:val="auto"/>
          <w:szCs w:val="21"/>
          <w:highlight w:val="none"/>
          <w:u w:val="single"/>
          <w:lang w:val="en-US" w:eastAsia="zh-CN"/>
        </w:rPr>
        <w:t>和定标文件</w:t>
      </w:r>
      <w:r>
        <w:rPr>
          <w:rFonts w:hint="default" w:ascii="Times New Roman" w:hAnsi="Times New Roman" w:eastAsia="宋体" w:cs="Times New Roman"/>
          <w:color w:val="auto"/>
          <w:szCs w:val="21"/>
          <w:highlight w:val="none"/>
          <w:u w:val="single"/>
        </w:rPr>
        <w:t>组成。</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11.2投标文件技术标部分</w:t>
      </w:r>
      <w:r>
        <w:rPr>
          <w:rFonts w:hint="default" w:ascii="Times New Roman" w:hAnsi="Times New Roman" w:eastAsia="宋体" w:cs="Times New Roman"/>
          <w:bCs/>
          <w:color w:val="auto"/>
          <w:szCs w:val="21"/>
          <w:highlight w:val="none"/>
          <w:u w:val="single"/>
        </w:rPr>
        <w:t>（含资格审查文件）</w:t>
      </w:r>
      <w:r>
        <w:rPr>
          <w:rFonts w:hint="default" w:ascii="Times New Roman" w:hAnsi="Times New Roman" w:eastAsia="宋体" w:cs="Times New Roman"/>
          <w:color w:val="auto"/>
          <w:szCs w:val="21"/>
          <w:highlight w:val="none"/>
        </w:rPr>
        <w:t>主要包括下列内容:</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11.2.1</w:t>
      </w:r>
      <w:r>
        <w:rPr>
          <w:rFonts w:hint="default" w:ascii="Times New Roman" w:hAnsi="Times New Roman" w:eastAsia="宋体" w:cs="Times New Roman"/>
          <w:color w:val="auto"/>
          <w:szCs w:val="21"/>
          <w:highlight w:val="none"/>
          <w:u w:val="single"/>
        </w:rPr>
        <w:t>技术标投标文件封面、</w:t>
      </w:r>
      <w:r>
        <w:rPr>
          <w:rFonts w:hint="default" w:ascii="Times New Roman" w:hAnsi="Times New Roman" w:eastAsia="宋体" w:cs="Times New Roman"/>
          <w:bCs/>
          <w:color w:val="auto"/>
          <w:szCs w:val="21"/>
          <w:highlight w:val="none"/>
          <w:u w:val="single"/>
        </w:rPr>
        <w:t>广州建设工程施工招标投标书</w:t>
      </w:r>
      <w:r>
        <w:rPr>
          <w:rFonts w:hint="default" w:ascii="Times New Roman" w:hAnsi="Times New Roman" w:eastAsia="宋体" w:cs="Times New Roman"/>
          <w:bCs/>
          <w:color w:val="auto"/>
          <w:szCs w:val="21"/>
          <w:highlight w:val="none"/>
        </w:rPr>
        <w:t>(按招标文件的要求填写)</w:t>
      </w:r>
      <w:r>
        <w:rPr>
          <w:rFonts w:hint="default" w:ascii="Times New Roman" w:hAnsi="Times New Roman" w:eastAsia="宋体" w:cs="Times New Roman"/>
          <w:color w:val="auto"/>
          <w:szCs w:val="21"/>
          <w:highlight w:val="none"/>
        </w:rPr>
        <w:t>；</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11.2.2资格审查文件：</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（1）投标人声明</w:t>
      </w:r>
      <w:r>
        <w:rPr>
          <w:rFonts w:hint="default" w:ascii="Times New Roman" w:hAnsi="Times New Roman" w:eastAsia="宋体" w:cs="Times New Roman"/>
          <w:color w:val="auto"/>
          <w:szCs w:val="21"/>
          <w:highlight w:val="none"/>
          <w:u w:val="single"/>
        </w:rPr>
        <w:t>（见招标公告附件一）</w:t>
      </w:r>
      <w:r>
        <w:rPr>
          <w:rFonts w:hint="default" w:ascii="Times New Roman" w:hAnsi="Times New Roman" w:eastAsia="宋体" w:cs="Times New Roman"/>
          <w:color w:val="auto"/>
          <w:szCs w:val="21"/>
          <w:highlight w:val="none"/>
        </w:rPr>
        <w:t>；</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u w:val="single"/>
        </w:rPr>
        <w:t>经投标人盖章的法定代表人证明书、投标人盖章及法定代表人签字或盖章的本投标文件授权委托证明书；</w:t>
      </w:r>
    </w:p>
    <w:p>
      <w:pPr>
        <w:spacing w:line="460" w:lineRule="exact"/>
        <w:ind w:firstLine="420" w:firstLineChars="2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（3）企业营业执照</w:t>
      </w:r>
      <w:r>
        <w:rPr>
          <w:rFonts w:hint="default" w:ascii="Times New Roman" w:hAnsi="Times New Roman" w:eastAsia="宋体" w:cs="Times New Roman"/>
          <w:color w:val="auto"/>
          <w:szCs w:val="21"/>
          <w:highlight w:val="none"/>
          <w:u w:val="single"/>
          <w:lang w:val="en-US" w:eastAsia="zh-CN"/>
        </w:rPr>
        <w:t>扫描件</w:t>
      </w:r>
      <w:r>
        <w:rPr>
          <w:rFonts w:hint="default" w:ascii="Times New Roman" w:hAnsi="Times New Roman" w:eastAsia="宋体" w:cs="Times New Roman"/>
          <w:color w:val="auto"/>
          <w:szCs w:val="21"/>
          <w:highlight w:val="none"/>
          <w:u w:val="single"/>
        </w:rPr>
        <w:t>；</w:t>
      </w:r>
    </w:p>
    <w:p>
      <w:pPr>
        <w:spacing w:line="460" w:lineRule="exact"/>
        <w:ind w:firstLine="420" w:firstLineChars="2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（4）企业资质证书</w:t>
      </w:r>
      <w:r>
        <w:rPr>
          <w:rFonts w:hint="default" w:ascii="Times New Roman" w:hAnsi="Times New Roman" w:eastAsia="宋体" w:cs="Times New Roman"/>
          <w:color w:val="auto"/>
          <w:szCs w:val="21"/>
          <w:highlight w:val="none"/>
          <w:u w:val="single"/>
          <w:lang w:val="en-US" w:eastAsia="zh-CN"/>
        </w:rPr>
        <w:t>扫描件</w:t>
      </w:r>
      <w:r>
        <w:rPr>
          <w:rFonts w:hint="default" w:ascii="Times New Roman" w:hAnsi="Times New Roman" w:eastAsia="宋体" w:cs="Times New Roman"/>
          <w:color w:val="auto"/>
          <w:szCs w:val="21"/>
          <w:highlight w:val="none"/>
          <w:u w:val="single"/>
        </w:rPr>
        <w:t>；</w:t>
      </w:r>
    </w:p>
    <w:p>
      <w:pPr>
        <w:spacing w:line="460" w:lineRule="exact"/>
        <w:ind w:firstLine="420" w:firstLineChars="2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（5）建筑施工企业安全生产许可证</w:t>
      </w:r>
      <w:r>
        <w:rPr>
          <w:rFonts w:hint="default" w:ascii="Times New Roman" w:hAnsi="Times New Roman" w:eastAsia="宋体" w:cs="Times New Roman"/>
          <w:color w:val="auto"/>
          <w:szCs w:val="21"/>
          <w:highlight w:val="none"/>
          <w:u w:val="single"/>
          <w:lang w:val="en-US" w:eastAsia="zh-CN"/>
        </w:rPr>
        <w:t>扫描件</w:t>
      </w:r>
      <w:r>
        <w:rPr>
          <w:rFonts w:hint="default" w:ascii="Times New Roman" w:hAnsi="Times New Roman" w:eastAsia="宋体" w:cs="Times New Roman"/>
          <w:color w:val="auto"/>
          <w:szCs w:val="21"/>
          <w:highlight w:val="none"/>
          <w:u w:val="single"/>
        </w:rPr>
        <w:t>；</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（6）项目负责人（按网上投标登记时选择拟投标的项目负责人）；</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（7）专职安全员（按网上投标登记时选择拟投标的专职安全员）；</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（8）</w:t>
      </w:r>
      <w:r>
        <w:rPr>
          <w:rFonts w:hint="default" w:ascii="Times New Roman" w:hAnsi="Times New Roman" w:eastAsia="宋体" w:cs="Times New Roman"/>
          <w:color w:val="auto"/>
          <w:szCs w:val="21"/>
          <w:highlight w:val="none"/>
          <w:u w:val="single"/>
        </w:rPr>
        <w:t>拟委派技术负责人的职称证书</w:t>
      </w:r>
      <w:r>
        <w:rPr>
          <w:rFonts w:hint="default" w:ascii="Times New Roman" w:hAnsi="Times New Roman" w:eastAsia="宋体" w:cs="Times New Roman"/>
          <w:bCs/>
          <w:color w:val="auto"/>
          <w:szCs w:val="21"/>
          <w:highlight w:val="none"/>
          <w:u w:val="single"/>
        </w:rPr>
        <w:t>（提交原件扫描件）（按招标公告要求）</w:t>
      </w:r>
      <w:r>
        <w:rPr>
          <w:rFonts w:hint="default" w:ascii="Times New Roman" w:hAnsi="Times New Roman" w:eastAsia="宋体" w:cs="Times New Roman"/>
          <w:color w:val="auto"/>
          <w:szCs w:val="21"/>
          <w:highlight w:val="none"/>
          <w:u w:val="single"/>
        </w:rPr>
        <w:t>；</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w:t>
      </w:r>
      <w:r>
        <w:rPr>
          <w:rFonts w:hint="default" w:ascii="Times New Roman" w:hAnsi="Times New Roman" w:eastAsia="宋体" w:cs="Times New Roman"/>
          <w:bCs/>
          <w:color w:val="auto"/>
          <w:szCs w:val="21"/>
          <w:highlight w:val="none"/>
        </w:rPr>
        <w:t>拟委派项目负责人的</w:t>
      </w:r>
      <w:r>
        <w:rPr>
          <w:rFonts w:hint="default" w:ascii="Times New Roman" w:hAnsi="Times New Roman" w:eastAsia="宋体" w:cs="Times New Roman"/>
          <w:bCs/>
          <w:color w:val="auto"/>
          <w:szCs w:val="21"/>
          <w:highlight w:val="none"/>
          <w:u w:val="single"/>
        </w:rPr>
        <w:t>建造师注册证书</w:t>
      </w:r>
      <w:r>
        <w:rPr>
          <w:rFonts w:hint="default" w:ascii="Times New Roman" w:hAnsi="Times New Roman" w:eastAsia="宋体" w:cs="Times New Roman"/>
          <w:color w:val="auto"/>
          <w:szCs w:val="21"/>
          <w:highlight w:val="none"/>
          <w:u w:val="single"/>
          <w:lang w:val="en-US" w:eastAsia="zh-CN"/>
        </w:rPr>
        <w:t>扫描件</w:t>
      </w:r>
      <w:r>
        <w:rPr>
          <w:rFonts w:hint="default" w:ascii="Times New Roman" w:hAnsi="Times New Roman" w:eastAsia="宋体" w:cs="Times New Roman"/>
          <w:color w:val="auto"/>
          <w:szCs w:val="21"/>
          <w:highlight w:val="none"/>
        </w:rPr>
        <w:t>；</w:t>
      </w:r>
    </w:p>
    <w:p>
      <w:pPr>
        <w:spacing w:line="460" w:lineRule="exact"/>
        <w:ind w:firstLine="420" w:firstLineChars="200"/>
        <w:rPr>
          <w:rFonts w:hint="default" w:ascii="Times New Roman" w:hAnsi="Times New Roman" w:eastAsia="宋体" w:cs="Times New Roman"/>
          <w:b w:val="0"/>
          <w:bCs w:val="0"/>
          <w:color w:val="auto"/>
          <w:szCs w:val="21"/>
          <w:highlight w:val="none"/>
        </w:rPr>
      </w:pPr>
      <w:r>
        <w:rPr>
          <w:rFonts w:hint="default" w:ascii="Times New Roman" w:hAnsi="Times New Roman" w:eastAsia="宋体" w:cs="Times New Roman"/>
          <w:color w:val="auto"/>
          <w:szCs w:val="21"/>
          <w:highlight w:val="none"/>
        </w:rPr>
        <w:t>（10）项目负责人安全</w:t>
      </w:r>
      <w:r>
        <w:rPr>
          <w:rFonts w:hint="default" w:ascii="Times New Roman" w:hAnsi="Times New Roman" w:eastAsia="宋体" w:cs="Times New Roman"/>
          <w:b w:val="0"/>
          <w:bCs w:val="0"/>
          <w:color w:val="auto"/>
          <w:szCs w:val="21"/>
          <w:highlight w:val="none"/>
        </w:rPr>
        <w:t>生产考核合格证明或在有效期内的安全考核合格证书（B类）或建筑施工企业项目负责人安全生产考核合格证书</w:t>
      </w:r>
      <w:r>
        <w:rPr>
          <w:rFonts w:hint="default" w:ascii="Times New Roman" w:hAnsi="Times New Roman" w:eastAsia="宋体" w:cs="Times New Roman"/>
          <w:b w:val="0"/>
          <w:bCs w:val="0"/>
          <w:color w:val="auto"/>
          <w:szCs w:val="21"/>
          <w:highlight w:val="none"/>
          <w:lang w:val="en-US" w:eastAsia="zh-CN"/>
        </w:rPr>
        <w:t>扫描件</w:t>
      </w:r>
      <w:r>
        <w:rPr>
          <w:rFonts w:hint="default" w:ascii="Times New Roman" w:hAnsi="Times New Roman" w:eastAsia="宋体" w:cs="Times New Roman"/>
          <w:b w:val="0"/>
          <w:bCs w:val="0"/>
          <w:color w:val="auto"/>
          <w:szCs w:val="21"/>
          <w:highlight w:val="none"/>
        </w:rPr>
        <w:t>；</w:t>
      </w:r>
    </w:p>
    <w:p>
      <w:pPr>
        <w:spacing w:line="460" w:lineRule="exact"/>
        <w:ind w:firstLine="420" w:firstLineChars="200"/>
        <w:rPr>
          <w:rFonts w:hint="default" w:ascii="Times New Roman" w:hAnsi="Times New Roman" w:eastAsia="宋体" w:cs="Times New Roman"/>
          <w:b w:val="0"/>
          <w:bCs w:val="0"/>
          <w:color w:val="auto"/>
          <w:szCs w:val="21"/>
          <w:highlight w:val="none"/>
        </w:rPr>
      </w:pPr>
      <w:r>
        <w:rPr>
          <w:rFonts w:hint="default" w:ascii="Times New Roman" w:hAnsi="Times New Roman" w:eastAsia="宋体" w:cs="Times New Roman"/>
          <w:b w:val="0"/>
          <w:bCs w:val="0"/>
          <w:color w:val="auto"/>
          <w:szCs w:val="21"/>
          <w:highlight w:val="none"/>
        </w:rPr>
        <w:t>（11）专职安全员须具有在有效期内的安全考核合格证书（C类）或建筑施工企业专职安全生产管理人员安全生产考核合格证书</w:t>
      </w:r>
      <w:r>
        <w:rPr>
          <w:rFonts w:hint="default" w:ascii="Times New Roman" w:hAnsi="Times New Roman" w:eastAsia="宋体" w:cs="Times New Roman"/>
          <w:b w:val="0"/>
          <w:bCs w:val="0"/>
          <w:color w:val="auto"/>
          <w:szCs w:val="21"/>
          <w:highlight w:val="none"/>
          <w:u w:val="single"/>
        </w:rPr>
        <w:t>（C3类）</w:t>
      </w:r>
      <w:r>
        <w:rPr>
          <w:rFonts w:hint="default" w:ascii="Times New Roman" w:hAnsi="Times New Roman" w:eastAsia="宋体" w:cs="Times New Roman"/>
          <w:b w:val="0"/>
          <w:bCs w:val="0"/>
          <w:color w:val="auto"/>
          <w:szCs w:val="21"/>
          <w:highlight w:val="none"/>
          <w:u w:val="single"/>
          <w:lang w:val="en-US" w:eastAsia="zh-CN"/>
        </w:rPr>
        <w:t>扫描件</w:t>
      </w:r>
      <w:r>
        <w:rPr>
          <w:rFonts w:hint="default" w:ascii="Times New Roman" w:hAnsi="Times New Roman" w:eastAsia="宋体" w:cs="Times New Roman"/>
          <w:b w:val="0"/>
          <w:bCs w:val="0"/>
          <w:color w:val="auto"/>
          <w:szCs w:val="21"/>
          <w:highlight w:val="none"/>
        </w:rPr>
        <w:t>，</w:t>
      </w:r>
      <w:r>
        <w:rPr>
          <w:rFonts w:hint="default" w:ascii="Times New Roman" w:hAnsi="Times New Roman" w:eastAsia="宋体" w:cs="Times New Roman"/>
          <w:b w:val="0"/>
          <w:bCs w:val="0"/>
          <w:color w:val="auto"/>
          <w:szCs w:val="21"/>
          <w:highlight w:val="none"/>
          <w:u w:val="single"/>
        </w:rPr>
        <w:t>项目负责人和专职安全员不为同一人</w:t>
      </w:r>
      <w:r>
        <w:rPr>
          <w:rFonts w:hint="default" w:ascii="Times New Roman" w:hAnsi="Times New Roman" w:eastAsia="宋体" w:cs="Times New Roman"/>
          <w:b w:val="0"/>
          <w:bCs w:val="0"/>
          <w:color w:val="auto"/>
          <w:szCs w:val="21"/>
          <w:highlight w:val="none"/>
        </w:rPr>
        <w:t>；</w:t>
      </w:r>
    </w:p>
    <w:p>
      <w:pPr>
        <w:spacing w:line="360" w:lineRule="auto"/>
        <w:ind w:firstLine="470" w:firstLineChars="224"/>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rPr>
        <w:t>（12）</w:t>
      </w:r>
      <w:r>
        <w:rPr>
          <w:rFonts w:hint="default" w:ascii="Times New Roman" w:hAnsi="Times New Roman" w:eastAsia="宋体" w:cs="Times New Roman"/>
          <w:color w:val="auto"/>
          <w:szCs w:val="21"/>
          <w:highlight w:val="none"/>
          <w:u w:val="single"/>
        </w:rPr>
        <w:t>资格审查前，投标人须在</w:t>
      </w:r>
      <w:r>
        <w:rPr>
          <w:rFonts w:hint="default" w:ascii="Times New Roman" w:hAnsi="Times New Roman" w:eastAsia="宋体" w:cs="Times New Roman"/>
          <w:color w:val="auto"/>
          <w:szCs w:val="21"/>
          <w:highlight w:val="none"/>
          <w:u w:val="single"/>
          <w:lang w:val="en-US" w:eastAsia="zh-CN"/>
        </w:rPr>
        <w:t>广州公共资源交易中心办理企业信息登记</w:t>
      </w:r>
      <w:r>
        <w:rPr>
          <w:rFonts w:hint="default" w:ascii="Times New Roman" w:hAnsi="Times New Roman" w:eastAsia="宋体" w:cs="Times New Roman"/>
          <w:color w:val="auto"/>
          <w:szCs w:val="21"/>
          <w:highlight w:val="none"/>
          <w:u w:val="single"/>
        </w:rPr>
        <w:t>及拟担任本工程项目负责人、专职安全员须是本企业</w:t>
      </w:r>
      <w:r>
        <w:rPr>
          <w:rFonts w:hint="default" w:ascii="Times New Roman" w:hAnsi="Times New Roman" w:eastAsia="宋体" w:cs="Times New Roman"/>
          <w:color w:val="auto"/>
          <w:szCs w:val="21"/>
          <w:highlight w:val="none"/>
          <w:u w:val="single"/>
          <w:lang w:val="en-US" w:eastAsia="zh-CN"/>
        </w:rPr>
        <w:t>信息登记</w:t>
      </w:r>
      <w:r>
        <w:rPr>
          <w:rFonts w:hint="default" w:ascii="Times New Roman" w:hAnsi="Times New Roman" w:eastAsia="宋体" w:cs="Times New Roman"/>
          <w:color w:val="auto"/>
          <w:szCs w:val="21"/>
          <w:highlight w:val="none"/>
          <w:u w:val="single"/>
        </w:rPr>
        <w:t>中的在册人员。企业</w:t>
      </w:r>
      <w:r>
        <w:rPr>
          <w:rFonts w:hint="default" w:ascii="Times New Roman" w:hAnsi="Times New Roman" w:eastAsia="宋体" w:cs="Times New Roman"/>
          <w:color w:val="auto"/>
          <w:szCs w:val="21"/>
          <w:highlight w:val="none"/>
          <w:u w:val="single"/>
          <w:lang w:val="en-US" w:eastAsia="zh-CN"/>
        </w:rPr>
        <w:t>信息</w:t>
      </w:r>
      <w:r>
        <w:rPr>
          <w:rFonts w:hint="default" w:ascii="Times New Roman" w:hAnsi="Times New Roman" w:eastAsia="宋体" w:cs="Times New Roman"/>
          <w:color w:val="auto"/>
          <w:szCs w:val="21"/>
          <w:highlight w:val="none"/>
          <w:u w:val="single"/>
        </w:rPr>
        <w:t>取自投标截止时间投标人在企业</w:t>
      </w:r>
      <w:r>
        <w:rPr>
          <w:rFonts w:hint="default" w:ascii="Times New Roman" w:hAnsi="Times New Roman" w:eastAsia="宋体" w:cs="Times New Roman"/>
          <w:color w:val="auto"/>
          <w:szCs w:val="21"/>
          <w:highlight w:val="none"/>
          <w:u w:val="single"/>
          <w:lang w:val="en-US" w:eastAsia="zh-CN"/>
        </w:rPr>
        <w:t>信息库内</w:t>
      </w:r>
      <w:r>
        <w:rPr>
          <w:rFonts w:hint="default" w:ascii="Times New Roman" w:hAnsi="Times New Roman" w:eastAsia="宋体" w:cs="Times New Roman"/>
          <w:color w:val="auto"/>
          <w:szCs w:val="21"/>
          <w:highlight w:val="none"/>
          <w:u w:val="single"/>
        </w:rPr>
        <w:t>的信息，投标人无需提交相关资料，若招标人延长递交投标文件截止时间的，企业</w:t>
      </w:r>
      <w:r>
        <w:rPr>
          <w:rFonts w:hint="default" w:ascii="Times New Roman" w:hAnsi="Times New Roman" w:eastAsia="宋体" w:cs="Times New Roman"/>
          <w:color w:val="auto"/>
          <w:szCs w:val="21"/>
          <w:highlight w:val="none"/>
          <w:u w:val="single"/>
          <w:lang w:val="en-US" w:eastAsia="zh-CN"/>
        </w:rPr>
        <w:t>信息</w:t>
      </w:r>
      <w:r>
        <w:rPr>
          <w:rFonts w:hint="default" w:ascii="Times New Roman" w:hAnsi="Times New Roman" w:eastAsia="宋体" w:cs="Times New Roman"/>
          <w:color w:val="auto"/>
          <w:szCs w:val="21"/>
          <w:highlight w:val="none"/>
          <w:u w:val="single"/>
        </w:rPr>
        <w:t>的评审时点也相应延长</w:t>
      </w:r>
      <w:r>
        <w:rPr>
          <w:rFonts w:hint="default" w:ascii="Times New Roman" w:hAnsi="Times New Roman" w:eastAsia="宋体" w:cs="Times New Roman"/>
          <w:color w:val="auto"/>
          <w:szCs w:val="21"/>
          <w:highlight w:val="none"/>
          <w:u w:val="single"/>
          <w:lang w:eastAsia="zh-CN"/>
        </w:rPr>
        <w:t>。</w:t>
      </w:r>
    </w:p>
    <w:p>
      <w:pPr>
        <w:pStyle w:val="11"/>
        <w:spacing w:line="46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1"/>
          <w:szCs w:val="21"/>
          <w:highlight w:val="none"/>
          <w:u w:val="single"/>
        </w:rPr>
        <w:t>（13）投标人认为应提供的其他满足资格审查合格条件的证明材料。</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11.2.3项目管理机构配备。</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（1）投标人应列出该项目工程的施工组织机构构成和画出机构框架图及其负责人；</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（2）投标人应详细列出该施工组织机构中主要成员的名单、简历资料、职务职称和在本项目中拟担任的职务等资料，并附上有关证明材料扫描件；</w:t>
      </w:r>
    </w:p>
    <w:p>
      <w:pPr>
        <w:spacing w:line="460" w:lineRule="exact"/>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（3）其他辅助说明资料。</w:t>
      </w:r>
      <w:r>
        <w:rPr>
          <w:rFonts w:hint="default" w:ascii="Times New Roman" w:hAnsi="Times New Roman" w:eastAsia="宋体" w:cs="Times New Roman"/>
          <w:color w:val="auto"/>
          <w:szCs w:val="21"/>
          <w:highlight w:val="none"/>
          <w:u w:val="single"/>
          <w:lang w:eastAsia="zh-CN"/>
        </w:rPr>
        <w:t>（</w:t>
      </w:r>
      <w:r>
        <w:rPr>
          <w:rFonts w:hint="default" w:ascii="Times New Roman" w:hAnsi="Times New Roman" w:eastAsia="宋体" w:cs="Times New Roman"/>
          <w:color w:val="auto"/>
          <w:szCs w:val="21"/>
          <w:highlight w:val="none"/>
          <w:u w:val="single"/>
          <w:lang w:val="en-US" w:eastAsia="zh-CN"/>
        </w:rPr>
        <w:t>若有</w:t>
      </w:r>
      <w:r>
        <w:rPr>
          <w:rFonts w:hint="default" w:ascii="Times New Roman" w:hAnsi="Times New Roman" w:eastAsia="宋体" w:cs="Times New Roman"/>
          <w:color w:val="auto"/>
          <w:szCs w:val="21"/>
          <w:highlight w:val="none"/>
          <w:u w:val="single"/>
          <w:lang w:eastAsia="zh-CN"/>
        </w:rPr>
        <w:t>）</w:t>
      </w:r>
    </w:p>
    <w:p>
      <w:pPr>
        <w:pBdr>
          <w:bottom w:val="single" w:color="auto" w:sz="6" w:space="1"/>
        </w:pBdr>
        <w:spacing w:line="520" w:lineRule="exact"/>
        <w:ind w:firstLine="420" w:firstLineChars="200"/>
        <w:rPr>
          <w:rFonts w:hint="default" w:ascii="Times New Roman" w:hAnsi="Times New Roman" w:eastAsia="宋体" w:cs="Times New Roman"/>
          <w:bCs/>
          <w:color w:val="auto"/>
          <w:szCs w:val="21"/>
          <w:highlight w:val="none"/>
          <w:u w:val="single"/>
        </w:rPr>
      </w:pPr>
      <w:r>
        <w:rPr>
          <w:rFonts w:hint="default" w:ascii="Times New Roman" w:hAnsi="Times New Roman" w:eastAsia="宋体" w:cs="Times New Roman"/>
          <w:bCs/>
          <w:color w:val="auto"/>
          <w:szCs w:val="21"/>
          <w:highlight w:val="none"/>
          <w:u w:val="single"/>
        </w:rPr>
        <w:t>11.2.4 广州建设工程施工招标投标书（见本招标文件第四章“技术标投标文件格式”）</w:t>
      </w:r>
    </w:p>
    <w:p>
      <w:pPr>
        <w:pBdr>
          <w:bottom w:val="single" w:color="auto" w:sz="6" w:space="1"/>
        </w:pBdr>
        <w:spacing w:line="520" w:lineRule="exact"/>
        <w:ind w:firstLine="420" w:firstLineChars="200"/>
        <w:rPr>
          <w:rFonts w:hint="default" w:ascii="Times New Roman" w:hAnsi="Times New Roman" w:eastAsia="宋体" w:cs="Times New Roman"/>
          <w:bCs/>
          <w:color w:val="auto"/>
          <w:szCs w:val="21"/>
          <w:highlight w:val="none"/>
          <w:u w:val="single"/>
        </w:rPr>
      </w:pPr>
      <w:r>
        <w:rPr>
          <w:rFonts w:hint="default" w:ascii="Times New Roman" w:hAnsi="Times New Roman" w:eastAsia="宋体" w:cs="Times New Roman"/>
          <w:bCs/>
          <w:color w:val="auto"/>
          <w:szCs w:val="21"/>
          <w:highlight w:val="none"/>
          <w:u w:val="single"/>
        </w:rPr>
        <w:t>11.2.5投标函（见本招标文件第四章“技术标投标文件格式”）</w:t>
      </w:r>
    </w:p>
    <w:p>
      <w:pPr>
        <w:pBdr>
          <w:bottom w:val="single" w:color="auto" w:sz="6" w:space="1"/>
        </w:pBdr>
        <w:spacing w:line="520" w:lineRule="exact"/>
        <w:ind w:firstLine="420" w:firstLineChars="200"/>
        <w:rPr>
          <w:rFonts w:hint="default" w:ascii="Times New Roman" w:hAnsi="Times New Roman" w:eastAsia="宋体" w:cs="Times New Roman"/>
          <w:bCs/>
          <w:color w:val="auto"/>
          <w:szCs w:val="21"/>
          <w:highlight w:val="none"/>
          <w:u w:val="single"/>
        </w:rPr>
      </w:pPr>
      <w:r>
        <w:rPr>
          <w:rFonts w:hint="default" w:ascii="Times New Roman" w:hAnsi="Times New Roman" w:eastAsia="宋体" w:cs="Times New Roman"/>
          <w:bCs/>
          <w:color w:val="auto"/>
          <w:szCs w:val="21"/>
          <w:highlight w:val="none"/>
          <w:u w:val="single"/>
        </w:rPr>
        <w:t>11.2.6投标人廉洁承诺书（见本招标文件第四章“技术标投标文件格式”）</w:t>
      </w:r>
    </w:p>
    <w:p>
      <w:pPr>
        <w:pBdr>
          <w:bottom w:val="single" w:color="auto" w:sz="6" w:space="1"/>
        </w:pBdr>
        <w:spacing w:line="520" w:lineRule="exact"/>
        <w:ind w:firstLine="420" w:firstLineChars="200"/>
        <w:rPr>
          <w:rFonts w:hint="default" w:ascii="Times New Roman" w:hAnsi="Times New Roman" w:eastAsia="宋体" w:cs="Times New Roman"/>
          <w:bCs/>
          <w:color w:val="auto"/>
          <w:szCs w:val="21"/>
          <w:highlight w:val="none"/>
          <w:u w:val="single"/>
        </w:rPr>
      </w:pPr>
      <w:r>
        <w:rPr>
          <w:rFonts w:hint="default" w:ascii="Times New Roman" w:hAnsi="Times New Roman" w:eastAsia="宋体" w:cs="Times New Roman"/>
          <w:bCs/>
          <w:color w:val="auto"/>
          <w:szCs w:val="21"/>
          <w:highlight w:val="none"/>
          <w:u w:val="single"/>
        </w:rPr>
        <w:t>11.2.7危险性较大的分部分项工程安全管理措施（见本招标文件第四章“技术标投标文件格式”）</w:t>
      </w:r>
    </w:p>
    <w:p>
      <w:pPr>
        <w:pBdr>
          <w:bottom w:val="single" w:color="auto" w:sz="6" w:space="1"/>
        </w:pBdr>
        <w:spacing w:line="520" w:lineRule="exact"/>
        <w:ind w:firstLine="420" w:firstLineChars="200"/>
        <w:rPr>
          <w:rFonts w:hint="default" w:ascii="Times New Roman" w:hAnsi="Times New Roman" w:eastAsia="宋体" w:cs="Times New Roman"/>
          <w:bCs/>
          <w:color w:val="auto"/>
          <w:szCs w:val="21"/>
          <w:highlight w:val="none"/>
          <w:u w:val="single"/>
        </w:rPr>
      </w:pPr>
      <w:r>
        <w:rPr>
          <w:rFonts w:hint="default" w:ascii="Times New Roman" w:hAnsi="Times New Roman" w:eastAsia="宋体" w:cs="Times New Roman"/>
          <w:bCs/>
          <w:color w:val="auto"/>
          <w:szCs w:val="21"/>
          <w:highlight w:val="none"/>
          <w:u w:val="single"/>
        </w:rPr>
        <w:t>11.2.8按照招标文件要求填写的《参与编制技术标投标文件人员名单》。（见本招标文件第四章“技术标投标文件格式”）</w:t>
      </w:r>
    </w:p>
    <w:p>
      <w:pPr>
        <w:pBdr>
          <w:bottom w:val="single" w:color="auto" w:sz="6" w:space="1"/>
        </w:pBdr>
        <w:spacing w:line="520" w:lineRule="exact"/>
        <w:ind w:firstLine="420" w:firstLineChars="200"/>
        <w:rPr>
          <w:rFonts w:hint="default" w:ascii="Times New Roman" w:hAnsi="Times New Roman" w:eastAsia="宋体" w:cs="Times New Roman"/>
          <w:bCs/>
          <w:color w:val="auto"/>
          <w:szCs w:val="21"/>
          <w:highlight w:val="none"/>
          <w:u w:val="single"/>
        </w:rPr>
      </w:pPr>
      <w:r>
        <w:rPr>
          <w:rFonts w:hint="default" w:ascii="Times New Roman" w:hAnsi="Times New Roman" w:eastAsia="宋体" w:cs="Times New Roman"/>
          <w:bCs/>
          <w:color w:val="auto"/>
          <w:szCs w:val="21"/>
          <w:highlight w:val="none"/>
          <w:u w:val="single"/>
        </w:rPr>
        <w:t>11.2.9投标保证金缴纳证明资料（递交至广州公共资源交易中心的，到账情况以开标时广州公共资源交易中心数据库查询的信息为准，可不需提供相关缴纳证明资料）。</w:t>
      </w:r>
    </w:p>
    <w:p>
      <w:pPr>
        <w:pBdr>
          <w:bottom w:val="single" w:color="auto" w:sz="6" w:space="1"/>
        </w:pBdr>
        <w:spacing w:line="520" w:lineRule="exact"/>
        <w:ind w:firstLine="420" w:firstLineChars="200"/>
        <w:rPr>
          <w:rFonts w:hint="default" w:ascii="Times New Roman" w:hAnsi="Times New Roman" w:eastAsia="宋体" w:cs="Times New Roman"/>
          <w:bCs/>
          <w:color w:val="auto"/>
          <w:szCs w:val="21"/>
          <w:highlight w:val="none"/>
          <w:u w:val="single"/>
        </w:rPr>
      </w:pPr>
      <w:r>
        <w:rPr>
          <w:rFonts w:hint="default" w:ascii="Times New Roman" w:hAnsi="Times New Roman" w:eastAsia="宋体" w:cs="Times New Roman"/>
          <w:bCs/>
          <w:color w:val="auto"/>
          <w:szCs w:val="21"/>
          <w:highlight w:val="none"/>
          <w:u w:val="single"/>
        </w:rPr>
        <w:t>11.2.10其他投标人认为应该提供的资料。</w:t>
      </w:r>
    </w:p>
    <w:p>
      <w:pPr>
        <w:pStyle w:val="2"/>
        <w:rPr>
          <w:rFonts w:hint="default" w:ascii="Times New Roman" w:hAnsi="Times New Roman" w:eastAsia="宋体" w:cs="Times New Roman"/>
          <w:color w:val="auto"/>
          <w:highlight w:val="none"/>
          <w:lang w:eastAsia="zh-CN"/>
        </w:rPr>
      </w:pP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条款号：11.3           修改类型：修改</w:t>
      </w:r>
    </w:p>
    <w:p>
      <w:pPr>
        <w:pBdr>
          <w:bottom w:val="single" w:color="auto" w:sz="6" w:space="19"/>
        </w:pBdr>
        <w:spacing w:line="460" w:lineRule="exact"/>
        <w:ind w:firstLine="472" w:firstLineChars="224"/>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bCs/>
          <w:color w:val="auto"/>
          <w:szCs w:val="21"/>
          <w:highlight w:val="none"/>
        </w:rPr>
        <w:t>11.3 经济部分投标文件主要包括下列内容：</w:t>
      </w:r>
    </w:p>
    <w:p>
      <w:pPr>
        <w:pBdr>
          <w:bottom w:val="single" w:color="auto" w:sz="6" w:space="19"/>
        </w:pBdr>
        <w:spacing w:line="460" w:lineRule="exact"/>
        <w:ind w:firstLine="470"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11.3.1 经济标投标文件(按招标文件的要求填写)。</w:t>
      </w:r>
    </w:p>
    <w:p>
      <w:pPr>
        <w:pBdr>
          <w:bottom w:val="single" w:color="auto" w:sz="6" w:space="19"/>
        </w:pBdr>
        <w:spacing w:line="460" w:lineRule="exact"/>
        <w:ind w:firstLine="470"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pPr>
        <w:pBdr>
          <w:bottom w:val="single" w:color="auto" w:sz="6" w:space="19"/>
        </w:pBdr>
        <w:spacing w:line="460" w:lineRule="exact"/>
        <w:ind w:firstLine="470"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（1）投标总价封面、扉页；</w:t>
      </w:r>
    </w:p>
    <w:p>
      <w:pPr>
        <w:pBdr>
          <w:bottom w:val="single" w:color="auto" w:sz="6" w:space="19"/>
        </w:pBdr>
        <w:spacing w:line="460" w:lineRule="exact"/>
        <w:ind w:firstLine="470"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（2）总说明</w:t>
      </w:r>
    </w:p>
    <w:p>
      <w:pPr>
        <w:pBdr>
          <w:bottom w:val="single" w:color="auto" w:sz="6" w:space="19"/>
        </w:pBdr>
        <w:spacing w:line="460" w:lineRule="exact"/>
        <w:ind w:firstLine="470"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（3）工程项目投标报价汇总表；</w:t>
      </w:r>
    </w:p>
    <w:p>
      <w:pPr>
        <w:pBdr>
          <w:bottom w:val="single" w:color="auto" w:sz="6" w:space="19"/>
        </w:pBdr>
        <w:spacing w:line="460" w:lineRule="exact"/>
        <w:ind w:firstLine="470"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（4）单项工程投标报价汇总表；</w:t>
      </w:r>
    </w:p>
    <w:p>
      <w:pPr>
        <w:pBdr>
          <w:bottom w:val="single" w:color="auto" w:sz="6" w:space="19"/>
        </w:pBdr>
        <w:spacing w:line="460" w:lineRule="exact"/>
        <w:ind w:firstLine="470"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（5）单位工程投标报价汇总表；</w:t>
      </w:r>
    </w:p>
    <w:p>
      <w:pPr>
        <w:pBdr>
          <w:bottom w:val="single" w:color="auto" w:sz="6" w:space="19"/>
        </w:pBdr>
        <w:spacing w:line="460" w:lineRule="exact"/>
        <w:ind w:firstLine="470"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（6）分部分项工程清单与计价表；</w:t>
      </w:r>
    </w:p>
    <w:p>
      <w:pPr>
        <w:pBdr>
          <w:bottom w:val="single" w:color="auto" w:sz="6" w:space="19"/>
        </w:pBdr>
        <w:spacing w:line="460" w:lineRule="exact"/>
        <w:ind w:firstLine="470"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（7）单价措施项目清单与计价表；</w:t>
      </w:r>
    </w:p>
    <w:p>
      <w:pPr>
        <w:pBdr>
          <w:bottom w:val="single" w:color="auto" w:sz="6" w:space="19"/>
        </w:pBdr>
        <w:spacing w:line="460" w:lineRule="exact"/>
        <w:ind w:firstLine="470"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（8）总价措施项目清单与计价表；</w:t>
      </w:r>
    </w:p>
    <w:p>
      <w:pPr>
        <w:pBdr>
          <w:bottom w:val="single" w:color="auto" w:sz="6" w:space="19"/>
        </w:pBdr>
        <w:spacing w:line="460" w:lineRule="exact"/>
        <w:ind w:firstLine="470"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（9）综合单价分析表；</w:t>
      </w:r>
    </w:p>
    <w:p>
      <w:pPr>
        <w:pBdr>
          <w:bottom w:val="single" w:color="auto" w:sz="6" w:space="19"/>
        </w:pBdr>
        <w:spacing w:line="460" w:lineRule="exact"/>
        <w:ind w:firstLine="470"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（10）其他项目清单与计价汇总表；</w:t>
      </w:r>
    </w:p>
    <w:p>
      <w:pPr>
        <w:pBdr>
          <w:bottom w:val="single" w:color="auto" w:sz="6" w:space="19"/>
        </w:pBdr>
        <w:spacing w:line="460" w:lineRule="exact"/>
        <w:ind w:firstLine="470"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（11）暂列金额明细表；</w:t>
      </w:r>
    </w:p>
    <w:p>
      <w:pPr>
        <w:pBdr>
          <w:bottom w:val="single" w:color="auto" w:sz="6" w:space="19"/>
        </w:pBdr>
        <w:spacing w:line="460" w:lineRule="exact"/>
        <w:ind w:firstLine="470"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（12）材料（工程设备）暂估价明细表；</w:t>
      </w:r>
    </w:p>
    <w:p>
      <w:pPr>
        <w:pBdr>
          <w:bottom w:val="single" w:color="auto" w:sz="6" w:space="19"/>
        </w:pBdr>
        <w:spacing w:line="460" w:lineRule="exact"/>
        <w:ind w:firstLine="470"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（13）专业工程暂估价明细表；</w:t>
      </w:r>
    </w:p>
    <w:p>
      <w:pPr>
        <w:pBdr>
          <w:bottom w:val="single" w:color="auto" w:sz="6" w:space="19"/>
        </w:pBdr>
        <w:spacing w:line="460" w:lineRule="exact"/>
        <w:ind w:firstLine="470"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（14）计日工表；</w:t>
      </w:r>
    </w:p>
    <w:p>
      <w:pPr>
        <w:pBdr>
          <w:bottom w:val="single" w:color="auto" w:sz="6" w:space="19"/>
        </w:pBdr>
        <w:spacing w:line="460" w:lineRule="exact"/>
        <w:ind w:firstLine="470"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（15）总承包服务计价表；</w:t>
      </w:r>
    </w:p>
    <w:p>
      <w:pPr>
        <w:pBdr>
          <w:bottom w:val="single" w:color="auto" w:sz="6" w:space="19"/>
        </w:pBdr>
        <w:spacing w:line="460" w:lineRule="exact"/>
        <w:ind w:firstLine="470"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（16）规费和税金项目计价表；</w:t>
      </w:r>
    </w:p>
    <w:p>
      <w:pPr>
        <w:pBdr>
          <w:bottom w:val="single" w:color="auto" w:sz="6" w:space="19"/>
        </w:pBdr>
        <w:spacing w:line="460" w:lineRule="exact"/>
        <w:ind w:firstLine="470"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（17）人工、主要材料和设备一览表</w:t>
      </w:r>
    </w:p>
    <w:p>
      <w:pPr>
        <w:pBdr>
          <w:bottom w:val="single" w:color="auto" w:sz="6" w:space="19"/>
        </w:pBdr>
        <w:spacing w:line="460" w:lineRule="exact"/>
        <w:ind w:firstLine="470"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11.3.3按照</w:t>
      </w:r>
      <w:r>
        <w:rPr>
          <w:rFonts w:hint="default" w:ascii="Times New Roman" w:hAnsi="Times New Roman" w:eastAsia="宋体" w:cs="Times New Roman"/>
          <w:bCs/>
          <w:color w:val="auto"/>
          <w:szCs w:val="21"/>
          <w:highlight w:val="none"/>
        </w:rPr>
        <w:t>招标文件要求</w:t>
      </w:r>
      <w:r>
        <w:rPr>
          <w:rFonts w:hint="default" w:ascii="Times New Roman" w:hAnsi="Times New Roman" w:eastAsia="宋体" w:cs="Times New Roman"/>
          <w:color w:val="auto"/>
          <w:szCs w:val="21"/>
          <w:highlight w:val="none"/>
        </w:rPr>
        <w:t>填写的《参与编制经济标投标文件人员名单》。</w:t>
      </w:r>
    </w:p>
    <w:p>
      <w:pPr>
        <w:pBdr>
          <w:bottom w:val="single" w:color="auto" w:sz="6" w:space="19"/>
        </w:pBdr>
        <w:spacing w:line="460" w:lineRule="exact"/>
        <w:ind w:firstLine="470"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pPr>
        <w:pBdr>
          <w:bottom w:val="single" w:color="auto" w:sz="6" w:space="19"/>
        </w:pBdr>
        <w:spacing w:line="460" w:lineRule="exact"/>
        <w:ind w:firstLine="472"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rPr>
        <w:t>11.3经济部分投标文件主要包括下列内容：</w:t>
      </w:r>
    </w:p>
    <w:p>
      <w:pPr>
        <w:pBdr>
          <w:bottom w:val="single" w:color="auto" w:sz="6" w:space="19"/>
        </w:pBdr>
        <w:spacing w:line="460" w:lineRule="exact"/>
        <w:ind w:firstLine="470" w:firstLineChars="224"/>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 xml:space="preserve">11.3.1 </w:t>
      </w:r>
      <w:bookmarkStart w:id="7" w:name="_Hlk60754295"/>
      <w:r>
        <w:rPr>
          <w:rFonts w:hint="default" w:ascii="Times New Roman" w:hAnsi="Times New Roman" w:eastAsia="宋体" w:cs="Times New Roman"/>
          <w:color w:val="auto"/>
          <w:szCs w:val="21"/>
          <w:highlight w:val="none"/>
          <w:u w:val="single"/>
        </w:rPr>
        <w:t>经济标投标文件封面</w:t>
      </w:r>
      <w:bookmarkEnd w:id="7"/>
      <w:r>
        <w:rPr>
          <w:rFonts w:hint="default" w:ascii="Times New Roman" w:hAnsi="Times New Roman" w:eastAsia="宋体" w:cs="Times New Roman"/>
          <w:color w:val="auto"/>
          <w:szCs w:val="21"/>
          <w:highlight w:val="none"/>
          <w:u w:val="single"/>
        </w:rPr>
        <w:t>(</w:t>
      </w:r>
      <w:r>
        <w:rPr>
          <w:rFonts w:hint="default" w:ascii="Times New Roman" w:hAnsi="Times New Roman" w:eastAsia="宋体" w:cs="Times New Roman"/>
          <w:color w:val="auto"/>
          <w:szCs w:val="21"/>
          <w:highlight w:val="none"/>
          <w:u w:val="single"/>
          <w:lang w:val="en-US" w:eastAsia="zh-CN"/>
        </w:rPr>
        <w:t>见本</w:t>
      </w:r>
      <w:r>
        <w:rPr>
          <w:rFonts w:hint="default" w:ascii="Times New Roman" w:hAnsi="Times New Roman" w:eastAsia="宋体" w:cs="Times New Roman"/>
          <w:color w:val="auto"/>
          <w:szCs w:val="21"/>
          <w:highlight w:val="none"/>
          <w:u w:val="single"/>
        </w:rPr>
        <w:t>招标文件第四章 “经济标投标文件格式”)</w:t>
      </w:r>
    </w:p>
    <w:p>
      <w:pPr>
        <w:pBdr>
          <w:bottom w:val="single" w:color="auto" w:sz="6" w:space="19"/>
        </w:pBdr>
        <w:spacing w:line="460" w:lineRule="exact"/>
        <w:ind w:firstLine="470" w:firstLineChars="224"/>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11.3.</w:t>
      </w:r>
      <w:r>
        <w:rPr>
          <w:rFonts w:hint="default" w:ascii="Times New Roman" w:hAnsi="Times New Roman" w:eastAsia="宋体" w:cs="Times New Roman"/>
          <w:color w:val="auto"/>
          <w:szCs w:val="21"/>
          <w:highlight w:val="none"/>
          <w:u w:val="single"/>
          <w:lang w:val="en-US" w:eastAsia="zh-CN"/>
        </w:rPr>
        <w:t>2</w:t>
      </w:r>
      <w:r>
        <w:rPr>
          <w:rFonts w:hint="default" w:ascii="Times New Roman" w:hAnsi="Times New Roman" w:eastAsia="宋体" w:cs="Times New Roman"/>
          <w:color w:val="auto"/>
          <w:szCs w:val="21"/>
          <w:highlight w:val="none"/>
          <w:u w:val="singl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投标报价的工程量清单的组成、格式等由广州公共资源交易中心的投标文件管理软件自动生成）</w:t>
      </w:r>
    </w:p>
    <w:p>
      <w:pPr>
        <w:pBdr>
          <w:bottom w:val="single" w:color="auto" w:sz="6" w:space="19"/>
        </w:pBdr>
        <w:spacing w:line="460" w:lineRule="exact"/>
        <w:ind w:firstLine="470" w:firstLineChars="224"/>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11.3.</w:t>
      </w:r>
      <w:r>
        <w:rPr>
          <w:rFonts w:hint="default" w:ascii="Times New Roman" w:hAnsi="Times New Roman" w:eastAsia="宋体" w:cs="Times New Roman"/>
          <w:color w:val="auto"/>
          <w:szCs w:val="21"/>
          <w:highlight w:val="none"/>
          <w:u w:val="single"/>
          <w:lang w:val="en-US" w:eastAsia="zh-CN"/>
        </w:rPr>
        <w:t>3</w:t>
      </w:r>
      <w:r>
        <w:rPr>
          <w:rFonts w:hint="default" w:ascii="Times New Roman" w:hAnsi="Times New Roman" w:eastAsia="宋体" w:cs="Times New Roman"/>
          <w:color w:val="auto"/>
          <w:szCs w:val="21"/>
          <w:highlight w:val="none"/>
          <w:u w:val="single"/>
        </w:rPr>
        <w:t>按照招标文件要求填写的《参与编制经济标投标文件人员名单》(</w:t>
      </w:r>
      <w:r>
        <w:rPr>
          <w:rFonts w:hint="default" w:ascii="Times New Roman" w:hAnsi="Times New Roman" w:eastAsia="宋体" w:cs="Times New Roman"/>
          <w:color w:val="auto"/>
          <w:szCs w:val="21"/>
          <w:highlight w:val="none"/>
          <w:u w:val="single"/>
          <w:lang w:val="en-US" w:eastAsia="zh-CN"/>
        </w:rPr>
        <w:t>见本</w:t>
      </w:r>
      <w:r>
        <w:rPr>
          <w:rFonts w:hint="default" w:ascii="Times New Roman" w:hAnsi="Times New Roman" w:eastAsia="宋体" w:cs="Times New Roman"/>
          <w:color w:val="auto"/>
          <w:szCs w:val="21"/>
          <w:highlight w:val="none"/>
          <w:u w:val="single"/>
        </w:rPr>
        <w:t>招标文件第四章 “经济标投标文件格式”)。</w:t>
      </w:r>
    </w:p>
    <w:p>
      <w:pPr>
        <w:pBdr>
          <w:bottom w:val="single" w:color="auto" w:sz="6" w:space="19"/>
        </w:pBdr>
        <w:spacing w:line="460" w:lineRule="exact"/>
        <w:ind w:firstLine="470" w:firstLineChars="224"/>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11.3.</w:t>
      </w:r>
      <w:r>
        <w:rPr>
          <w:rFonts w:hint="default" w:ascii="Times New Roman" w:hAnsi="Times New Roman" w:eastAsia="宋体" w:cs="Times New Roman"/>
          <w:color w:val="auto"/>
          <w:szCs w:val="21"/>
          <w:highlight w:val="none"/>
          <w:u w:val="single"/>
          <w:lang w:val="en-US" w:eastAsia="zh-CN"/>
        </w:rPr>
        <w:t>4</w:t>
      </w:r>
      <w:r>
        <w:rPr>
          <w:rFonts w:hint="default" w:ascii="Times New Roman" w:hAnsi="Times New Roman" w:eastAsia="宋体" w:cs="Times New Roman"/>
          <w:color w:val="auto"/>
          <w:szCs w:val="21"/>
          <w:highlight w:val="none"/>
          <w:u w:val="single"/>
        </w:rPr>
        <w:t>按照招标文件要求填写的《对投标文件编制的承诺》及《投标文件编制情况》(</w:t>
      </w:r>
      <w:r>
        <w:rPr>
          <w:rFonts w:hint="default" w:ascii="Times New Roman" w:hAnsi="Times New Roman" w:eastAsia="宋体" w:cs="Times New Roman"/>
          <w:color w:val="auto"/>
          <w:szCs w:val="21"/>
          <w:highlight w:val="none"/>
          <w:u w:val="single"/>
          <w:lang w:val="en-US" w:eastAsia="zh-CN"/>
        </w:rPr>
        <w:t>见本</w:t>
      </w:r>
      <w:r>
        <w:rPr>
          <w:rFonts w:hint="default" w:ascii="Times New Roman" w:hAnsi="Times New Roman" w:eastAsia="宋体" w:cs="Times New Roman"/>
          <w:color w:val="auto"/>
          <w:szCs w:val="21"/>
          <w:highlight w:val="none"/>
          <w:u w:val="single"/>
        </w:rPr>
        <w:t>招标文件第四章 “经济标投标文件格式”)。</w:t>
      </w:r>
    </w:p>
    <w:p>
      <w:pPr>
        <w:pBdr>
          <w:bottom w:val="single" w:color="auto" w:sz="6" w:space="19"/>
        </w:pBdr>
        <w:spacing w:line="460" w:lineRule="exact"/>
        <w:ind w:firstLine="470" w:firstLineChars="224"/>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11.3.</w:t>
      </w:r>
      <w:r>
        <w:rPr>
          <w:rFonts w:hint="default" w:ascii="Times New Roman" w:hAnsi="Times New Roman" w:eastAsia="宋体" w:cs="Times New Roman"/>
          <w:color w:val="auto"/>
          <w:szCs w:val="21"/>
          <w:highlight w:val="none"/>
          <w:u w:val="single"/>
          <w:lang w:val="en-US" w:eastAsia="zh-CN"/>
        </w:rPr>
        <w:t>5</w:t>
      </w:r>
      <w:r>
        <w:rPr>
          <w:rFonts w:hint="default" w:ascii="Times New Roman" w:hAnsi="Times New Roman" w:eastAsia="宋体" w:cs="Times New Roman"/>
          <w:color w:val="auto"/>
          <w:szCs w:val="21"/>
          <w:highlight w:val="none"/>
          <w:u w:val="single"/>
        </w:rPr>
        <w:t>若投标人的投标报价低于工程成本警戒价的，投标人还须提供详细的施工组织设计、单价、措施性费用、单价分析表、主要材料价格表、投标人成本分析供评标委员会评审。</w:t>
      </w:r>
    </w:p>
    <w:p>
      <w:pPr>
        <w:spacing w:line="460" w:lineRule="exact"/>
        <w:ind w:firstLine="472" w:firstLineChars="224"/>
        <w:rPr>
          <w:rFonts w:hint="default" w:ascii="Times New Roman" w:hAnsi="Times New Roman" w:eastAsia="宋体" w:cs="Times New Roman"/>
          <w:b/>
          <w:color w:val="auto"/>
          <w:szCs w:val="21"/>
          <w:highlight w:val="none"/>
          <w:lang w:eastAsia="zh-CN"/>
        </w:rPr>
      </w:pPr>
      <w:r>
        <w:rPr>
          <w:rFonts w:hint="default" w:ascii="Times New Roman" w:hAnsi="Times New Roman" w:eastAsia="宋体" w:cs="Times New Roman"/>
          <w:b/>
          <w:color w:val="auto"/>
          <w:szCs w:val="21"/>
          <w:highlight w:val="none"/>
        </w:rPr>
        <w:t>条款号： 1</w:t>
      </w:r>
      <w:r>
        <w:rPr>
          <w:rFonts w:hint="default" w:ascii="Times New Roman" w:hAnsi="Times New Roman" w:eastAsia="宋体" w:cs="Times New Roman"/>
          <w:b/>
          <w:color w:val="auto"/>
          <w:szCs w:val="21"/>
          <w:highlight w:val="none"/>
          <w:lang w:val="en-US" w:eastAsia="zh-CN"/>
        </w:rPr>
        <w:t>1.4</w:t>
      </w:r>
      <w:r>
        <w:rPr>
          <w:rFonts w:hint="default" w:ascii="Times New Roman" w:hAnsi="Times New Roman" w:eastAsia="宋体" w:cs="Times New Roman"/>
          <w:b/>
          <w:color w:val="auto"/>
          <w:szCs w:val="21"/>
          <w:highlight w:val="none"/>
        </w:rPr>
        <w:t xml:space="preserve">           修改类型：</w:t>
      </w:r>
      <w:r>
        <w:rPr>
          <w:rFonts w:hint="default" w:ascii="Times New Roman" w:hAnsi="Times New Roman" w:eastAsia="宋体" w:cs="Times New Roman"/>
          <w:b/>
          <w:color w:val="auto"/>
          <w:szCs w:val="21"/>
          <w:highlight w:val="none"/>
          <w:lang w:val="en-US" w:eastAsia="zh-CN"/>
        </w:rPr>
        <w:t>增加</w:t>
      </w:r>
    </w:p>
    <w:p>
      <w:pPr>
        <w:pBdr>
          <w:bottom w:val="single" w:color="auto" w:sz="6" w:space="19"/>
        </w:pBdr>
        <w:spacing w:line="460" w:lineRule="exact"/>
        <w:ind w:firstLine="470" w:firstLineChars="224"/>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11.4定标文件主要包括下列内容：</w:t>
      </w:r>
    </w:p>
    <w:p>
      <w:pPr>
        <w:pBdr>
          <w:bottom w:val="single" w:color="auto" w:sz="6" w:space="19"/>
        </w:pBdr>
        <w:spacing w:line="460" w:lineRule="exact"/>
        <w:ind w:firstLine="470" w:firstLineChars="224"/>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11.4.1投标人依据《定标因素表》提供的资料</w:t>
      </w:r>
      <w:r>
        <w:rPr>
          <w:rFonts w:hint="default" w:ascii="Times New Roman" w:hAnsi="Times New Roman" w:eastAsia="宋体" w:cs="Times New Roman"/>
          <w:color w:val="auto"/>
          <w:szCs w:val="21"/>
          <w:highlight w:val="none"/>
          <w:u w:val="single"/>
          <w:lang w:eastAsia="zh-CN"/>
        </w:rPr>
        <w:t>（</w:t>
      </w:r>
      <w:r>
        <w:rPr>
          <w:rFonts w:hint="default" w:ascii="Times New Roman" w:hAnsi="Times New Roman" w:eastAsia="宋体" w:cs="Times New Roman"/>
          <w:color w:val="auto"/>
          <w:szCs w:val="21"/>
          <w:highlight w:val="none"/>
          <w:u w:val="single"/>
          <w:lang w:val="en-US" w:eastAsia="zh-CN"/>
        </w:rPr>
        <w:t>格式自拟</w:t>
      </w:r>
      <w:r>
        <w:rPr>
          <w:rFonts w:hint="default" w:ascii="Times New Roman" w:hAnsi="Times New Roman" w:eastAsia="宋体" w:cs="Times New Roman"/>
          <w:color w:val="auto"/>
          <w:szCs w:val="21"/>
          <w:highlight w:val="none"/>
          <w:u w:val="single"/>
          <w:lang w:eastAsia="zh-CN"/>
        </w:rPr>
        <w:t>）</w:t>
      </w:r>
      <w:r>
        <w:rPr>
          <w:rFonts w:hint="default" w:ascii="Times New Roman" w:hAnsi="Times New Roman" w:eastAsia="宋体" w:cs="Times New Roman"/>
          <w:color w:val="auto"/>
          <w:szCs w:val="21"/>
          <w:highlight w:val="none"/>
          <w:u w:val="single"/>
        </w:rPr>
        <w:t>；</w:t>
      </w:r>
    </w:p>
    <w:p>
      <w:pPr>
        <w:pBdr>
          <w:bottom w:val="single" w:color="auto" w:sz="6" w:space="19"/>
        </w:pBdr>
        <w:spacing w:line="460" w:lineRule="exact"/>
        <w:ind w:firstLine="470" w:firstLineChars="224"/>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11.4.2投标人认为应该提供的资料。</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条款号：12.2              修改类型：修改</w:t>
      </w:r>
    </w:p>
    <w:p>
      <w:pPr>
        <w:spacing w:line="460" w:lineRule="exact"/>
        <w:ind w:firstLine="422" w:firstLineChars="20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b/>
          <w:color w:val="auto"/>
          <w:kern w:val="0"/>
          <w:szCs w:val="21"/>
          <w:highlight w:val="none"/>
        </w:rPr>
        <w:t>原文：</w:t>
      </w:r>
      <w:r>
        <w:rPr>
          <w:rFonts w:hint="default" w:ascii="Times New Roman" w:hAnsi="Times New Roman" w:eastAsia="宋体" w:cs="Times New Roman"/>
          <w:color w:val="auto"/>
          <w:kern w:val="0"/>
          <w:szCs w:val="21"/>
          <w:highlight w:val="none"/>
        </w:rPr>
        <w:t>12.2投标文件全部采用电子文档，投标文件所附证书证件均为原件扫描件，并采用单位数字证书，按招标文件要求在相应位置加盖电子印章。投标文件中需个人签字或盖章的，</w:t>
      </w:r>
      <w:r>
        <w:rPr>
          <w:rFonts w:hint="default" w:ascii="Times New Roman" w:hAnsi="Times New Roman" w:eastAsia="宋体" w:cs="Times New Roman"/>
          <w:color w:val="auto"/>
          <w:szCs w:val="21"/>
          <w:highlight w:val="none"/>
        </w:rPr>
        <w:t>应加盖个人电子印章或在线下完成后扫描上传</w:t>
      </w:r>
      <w:r>
        <w:rPr>
          <w:rFonts w:hint="default" w:ascii="Times New Roman" w:hAnsi="Times New Roman" w:eastAsia="宋体" w:cs="Times New Roman"/>
          <w:color w:val="auto"/>
          <w:kern w:val="0"/>
          <w:szCs w:val="21"/>
          <w:highlight w:val="none"/>
        </w:rPr>
        <w:t>。按照交易平台关于全流程电子化项目的相关指南进行操作。详见：</w:t>
      </w:r>
      <w:r>
        <w:rPr>
          <w:rFonts w:hint="default" w:ascii="Times New Roman" w:hAnsi="Times New Roman" w:eastAsia="宋体" w:cs="Times New Roman"/>
          <w:color w:val="auto"/>
          <w:kern w:val="0"/>
          <w:szCs w:val="21"/>
          <w:highlight w:val="none"/>
          <w:u w:val="single"/>
        </w:rPr>
        <w:t xml:space="preserve">            </w:t>
      </w:r>
      <w:r>
        <w:rPr>
          <w:rFonts w:hint="default" w:ascii="Times New Roman" w:hAnsi="Times New Roman" w:eastAsia="宋体" w:cs="Times New Roman"/>
          <w:color w:val="auto"/>
          <w:kern w:val="0"/>
          <w:szCs w:val="21"/>
          <w:highlight w:val="none"/>
        </w:rPr>
        <w:t xml:space="preserve"> 。</w:t>
      </w:r>
    </w:p>
    <w:p>
      <w:pPr>
        <w:pBdr>
          <w:bottom w:val="single" w:color="auto" w:sz="6" w:space="1"/>
        </w:pBdr>
        <w:spacing w:line="460" w:lineRule="exact"/>
        <w:ind w:firstLine="527" w:firstLineChars="25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default" w:ascii="Times New Roman" w:hAnsi="Times New Roman" w:eastAsia="宋体" w:cs="Times New Roman"/>
          <w:bCs/>
          <w:color w:val="auto"/>
          <w:szCs w:val="21"/>
          <w:highlight w:val="none"/>
          <w:u w:val="single"/>
        </w:rPr>
        <w:t>广州公共资源交易中心网站</w:t>
      </w:r>
      <w:r>
        <w:rPr>
          <w:rFonts w:hint="default" w:ascii="Times New Roman" w:hAnsi="Times New Roman" w:eastAsia="宋体" w:cs="Times New Roman"/>
          <w:color w:val="auto"/>
          <w:szCs w:val="21"/>
          <w:highlight w:val="none"/>
          <w:u w:val="single"/>
        </w:rPr>
        <w:t>。</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条款号：12.3             修改类型：修改</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12.3 投标文件应按照交易平台关于全流程电子化项目的相关指南进行编制，详见：</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w:t>
      </w:r>
    </w:p>
    <w:p>
      <w:pPr>
        <w:pBdr>
          <w:bottom w:val="single" w:color="auto" w:sz="6" w:space="1"/>
        </w:pBdr>
        <w:spacing w:line="460" w:lineRule="exact"/>
        <w:ind w:firstLine="527" w:firstLineChars="25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rPr>
        <w:t>12.3 投标文件应按照交易平台关于全流程电子化项目的相关指南进行编制，详见：</w:t>
      </w:r>
      <w:r>
        <w:rPr>
          <w:rFonts w:hint="default" w:ascii="Times New Roman" w:hAnsi="Times New Roman" w:eastAsia="宋体" w:cs="Times New Roman"/>
          <w:bCs/>
          <w:color w:val="auto"/>
          <w:szCs w:val="21"/>
          <w:highlight w:val="none"/>
          <w:u w:val="single"/>
        </w:rPr>
        <w:t>广州公共资源交易中心网站</w:t>
      </w:r>
      <w:r>
        <w:rPr>
          <w:rFonts w:hint="default" w:ascii="Times New Roman" w:hAnsi="Times New Roman" w:eastAsia="宋体" w:cs="Times New Roman"/>
          <w:color w:val="auto"/>
          <w:szCs w:val="21"/>
          <w:highlight w:val="none"/>
          <w:u w:val="single"/>
        </w:rPr>
        <w:t>。</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条款号：13.1             修改类型：修改</w:t>
      </w:r>
    </w:p>
    <w:p>
      <w:pPr>
        <w:pBdr>
          <w:bottom w:val="single" w:color="auto" w:sz="6" w:space="1"/>
        </w:pBdr>
        <w:spacing w:line="460" w:lineRule="exact"/>
        <w:ind w:firstLine="527" w:firstLineChars="25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13.1 本工程的投标报价采用投标须知前附表第12项所规定的方式。投标报价（含单价及总价）精确到“分”。</w:t>
      </w:r>
    </w:p>
    <w:p>
      <w:pPr>
        <w:pBdr>
          <w:bottom w:val="single" w:color="auto" w:sz="6" w:space="1"/>
        </w:pBdr>
        <w:spacing w:line="460" w:lineRule="exact"/>
        <w:ind w:firstLine="527" w:firstLineChars="25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rPr>
        <w:t>13.1 本工程的投标报价采用投标须知前附表第12项所规定的方式。</w:t>
      </w:r>
      <w:r>
        <w:rPr>
          <w:rFonts w:hint="default" w:ascii="Times New Roman" w:hAnsi="Times New Roman" w:eastAsia="宋体" w:cs="Times New Roman"/>
          <w:color w:val="auto"/>
          <w:szCs w:val="21"/>
          <w:highlight w:val="none"/>
          <w:u w:val="single"/>
        </w:rPr>
        <w:t>投标文件中的大写金额和小写金额不一致的，以大写金额为准。</w:t>
      </w:r>
      <w:r>
        <w:rPr>
          <w:rFonts w:hint="default" w:ascii="Times New Roman" w:hAnsi="Times New Roman" w:eastAsia="宋体" w:cs="Times New Roman"/>
          <w:color w:val="auto"/>
          <w:szCs w:val="21"/>
          <w:highlight w:val="none"/>
        </w:rPr>
        <w:t>投标报价（含单价及总价）精确到“分”。</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 13.4            修改类型：修改</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spacing w:line="460" w:lineRule="exact"/>
        <w:ind w:firstLine="527" w:firstLineChars="25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default" w:ascii="Times New Roman" w:hAnsi="Times New Roman" w:eastAsia="宋体" w:cs="Times New Roman"/>
          <w:color w:val="auto"/>
          <w:szCs w:val="21"/>
          <w:highlight w:val="none"/>
          <w:u w:val="single"/>
        </w:rPr>
        <w:t>按合同条款相关约定调整。若投标人的综合单价存在不平衡报价，招标人有权对投标人的不平衡报价进行调整，调整后的综合单价在工程结算时将不得变更。招标人应在合同中明确在市场价格发生异常变动情况及发生不平衡报价时合同价款的调整办法。</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条款号：13.5  13.5.1  13.5.2  13.5.3  13.5.4          修改类型：修改</w:t>
      </w:r>
    </w:p>
    <w:p>
      <w:pPr>
        <w:spacing w:line="460" w:lineRule="exact"/>
        <w:ind w:firstLine="420" w:firstLineChars="20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原文：13.5工程项目实施期间和结算时，招标文件工程量清单中漏列而由监理单位和招标人现场签证确认的工程项目、原设计没有而由招标人批准设计变更产生的工程项目，视为新增项目，按以下顺序确定价格：</w:t>
      </w:r>
    </w:p>
    <w:p>
      <w:pPr>
        <w:pBdr>
          <w:bottom w:val="single" w:color="auto" w:sz="6" w:space="1"/>
        </w:pBdr>
        <w:spacing w:line="460" w:lineRule="exact"/>
        <w:ind w:firstLine="420" w:firstLineChars="20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xml:space="preserve">13.5.1中标的投标文件工程量清单中已有相同项目的适用综合单价，则沿用；  </w:t>
      </w:r>
    </w:p>
    <w:p>
      <w:pPr>
        <w:pBdr>
          <w:bottom w:val="single" w:color="auto" w:sz="6" w:space="1"/>
        </w:pBdr>
        <w:spacing w:line="460" w:lineRule="exact"/>
        <w:ind w:firstLine="420" w:firstLineChars="20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Bdr>
          <w:bottom w:val="single" w:color="auto" w:sz="6" w:space="1"/>
        </w:pBdr>
        <w:spacing w:line="460" w:lineRule="exact"/>
        <w:ind w:firstLine="420" w:firstLineChars="20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pPr>
        <w:pBdr>
          <w:bottom w:val="single" w:color="auto" w:sz="6" w:space="1"/>
        </w:pBdr>
        <w:spacing w:line="460" w:lineRule="exact"/>
        <w:ind w:firstLine="420" w:firstLineChars="20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13.5.4 如相关定额没有相应子目的，其计价方式由招标人在本招标文件第三章中另行规定。未规定的，中标后双方协商约定。</w:t>
      </w:r>
    </w:p>
    <w:p>
      <w:pPr>
        <w:pBdr>
          <w:bottom w:val="single" w:color="auto" w:sz="6" w:space="1"/>
        </w:pBdr>
        <w:spacing w:line="460" w:lineRule="exact"/>
        <w:ind w:firstLine="422" w:firstLineChars="200"/>
        <w:rPr>
          <w:rFonts w:hint="default" w:ascii="Times New Roman" w:hAnsi="Times New Roman" w:eastAsia="宋体" w:cs="Times New Roman"/>
          <w:color w:val="auto"/>
          <w:kern w:val="0"/>
          <w:szCs w:val="21"/>
          <w:highlight w:val="none"/>
          <w:u w:val="single"/>
        </w:rPr>
      </w:pPr>
      <w:r>
        <w:rPr>
          <w:rFonts w:hint="default" w:ascii="Times New Roman" w:hAnsi="Times New Roman" w:eastAsia="宋体" w:cs="Times New Roman"/>
          <w:b/>
          <w:color w:val="auto"/>
          <w:kern w:val="0"/>
          <w:szCs w:val="21"/>
          <w:highlight w:val="none"/>
        </w:rPr>
        <w:t>现文：</w:t>
      </w:r>
      <w:r>
        <w:rPr>
          <w:rFonts w:hint="default" w:ascii="Times New Roman" w:hAnsi="Times New Roman" w:eastAsia="宋体" w:cs="Times New Roman"/>
          <w:color w:val="auto"/>
          <w:kern w:val="0"/>
          <w:szCs w:val="21"/>
          <w:highlight w:val="none"/>
        </w:rPr>
        <w:t>13.5</w:t>
      </w:r>
      <w:r>
        <w:rPr>
          <w:rFonts w:hint="default" w:ascii="Times New Roman" w:hAnsi="Times New Roman" w:eastAsia="宋体" w:cs="Times New Roman"/>
          <w:color w:val="auto"/>
          <w:kern w:val="0"/>
          <w:szCs w:val="21"/>
          <w:highlight w:val="none"/>
          <w:u w:val="single"/>
        </w:rPr>
        <w:t>按合同条款相关约定执行。</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条款号：16.1.1-16.1.3             修改类型：修改</w:t>
      </w:r>
    </w:p>
    <w:p>
      <w:pPr>
        <w:spacing w:line="460" w:lineRule="exact"/>
        <w:ind w:firstLine="472" w:firstLineChars="224"/>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bCs/>
          <w:color w:val="auto"/>
          <w:szCs w:val="21"/>
          <w:highlight w:val="none"/>
        </w:rPr>
        <w:t>16.1.1 采用现金或者支票形式提交的，投标保证金须从投标人的银行基本账户转出。</w:t>
      </w:r>
    </w:p>
    <w:p>
      <w:pPr>
        <w:spacing w:line="460" w:lineRule="exact"/>
        <w:ind w:firstLine="470" w:firstLineChars="224"/>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460" w:lineRule="exact"/>
        <w:ind w:firstLine="470"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Cs/>
          <w:color w:val="auto"/>
          <w:szCs w:val="21"/>
          <w:highlight w:val="none"/>
        </w:rPr>
        <w:t>16.1.3 采用电子形式的保函、担保或保证保险提交投标保证金的，应在招标文件中明确电子递交途径。</w:t>
      </w:r>
    </w:p>
    <w:p>
      <w:pPr>
        <w:pBdr>
          <w:bottom w:val="single" w:color="auto" w:sz="6" w:space="1"/>
        </w:pBdr>
        <w:spacing w:line="460" w:lineRule="exact"/>
        <w:ind w:firstLine="527" w:firstLineChars="25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rPr>
        <w:t>16.1.1采用</w:t>
      </w:r>
      <w:r>
        <w:rPr>
          <w:rFonts w:hint="default" w:ascii="Times New Roman" w:hAnsi="Times New Roman" w:eastAsia="宋体" w:cs="Times New Roman"/>
          <w:bCs/>
          <w:color w:val="auto"/>
          <w:szCs w:val="21"/>
          <w:highlight w:val="none"/>
        </w:rPr>
        <w:t>现金或者支票形式</w:t>
      </w:r>
      <w:r>
        <w:rPr>
          <w:rFonts w:hint="default" w:ascii="Times New Roman" w:hAnsi="Times New Roman" w:eastAsia="宋体" w:cs="Times New Roman"/>
          <w:color w:val="auto"/>
          <w:szCs w:val="21"/>
          <w:highlight w:val="none"/>
        </w:rPr>
        <w:t>提交的，投标保证金须从投标人的银行基本账户转出。</w:t>
      </w:r>
      <w:r>
        <w:rPr>
          <w:rFonts w:hint="default" w:ascii="Times New Roman" w:hAnsi="Times New Roman" w:eastAsia="宋体" w:cs="Times New Roman"/>
          <w:color w:val="auto"/>
          <w:szCs w:val="21"/>
          <w:highlight w:val="none"/>
          <w:u w:val="single"/>
        </w:rPr>
        <w:t>由广州公共资源交易中心代收，缴纳情况以交易平台数据库记录的信息为准。具体操作要求详见广州公共资源交易中心有关指引，递交事宜请自行咨询交易中心。</w:t>
      </w:r>
    </w:p>
    <w:p>
      <w:pPr>
        <w:pBdr>
          <w:bottom w:val="single" w:color="auto" w:sz="6" w:space="1"/>
        </w:pBdr>
        <w:spacing w:line="460" w:lineRule="exact"/>
        <w:ind w:firstLine="525" w:firstLineChars="25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16.1.2</w:t>
      </w:r>
      <w:r>
        <w:rPr>
          <w:rFonts w:hint="default" w:ascii="Times New Roman" w:hAnsi="Times New Roman" w:eastAsia="宋体" w:cs="Times New Roman"/>
          <w:color w:val="auto"/>
          <w:szCs w:val="21"/>
          <w:highlight w:val="none"/>
          <w:u w:val="single"/>
        </w:rPr>
        <w:t>依法必须招标的项目</w:t>
      </w:r>
      <w:r>
        <w:rPr>
          <w:rFonts w:hint="default" w:ascii="Times New Roman" w:hAnsi="Times New Roman" w:eastAsia="宋体" w:cs="Times New Roman"/>
          <w:color w:val="auto"/>
          <w:szCs w:val="21"/>
          <w:highlight w:val="none"/>
        </w:rPr>
        <w:t>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pBdr>
          <w:bottom w:val="single" w:color="auto" w:sz="6" w:space="1"/>
        </w:pBdr>
        <w:spacing w:line="460" w:lineRule="exact"/>
        <w:ind w:firstLine="525" w:firstLineChars="25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rPr>
        <w:t>16.1.3采用电子形式的保函、担保或保证保险提交投标保证金的，</w:t>
      </w:r>
      <w:r>
        <w:rPr>
          <w:rFonts w:hint="default" w:ascii="Times New Roman" w:hAnsi="Times New Roman" w:eastAsia="宋体" w:cs="Times New Roman"/>
          <w:color w:val="auto"/>
          <w:szCs w:val="21"/>
          <w:highlight w:val="none"/>
          <w:u w:val="single"/>
        </w:rPr>
        <w:t>具体操作请自行咨询广州公共资源交易中心有关指引，递交事宜请自行咨询交易中心。</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条款号：16.</w:t>
      </w:r>
      <w:r>
        <w:rPr>
          <w:rFonts w:hint="default" w:ascii="Times New Roman" w:hAnsi="Times New Roman" w:eastAsia="宋体" w:cs="Times New Roman"/>
          <w:b/>
          <w:color w:val="auto"/>
          <w:szCs w:val="21"/>
          <w:highlight w:val="none"/>
          <w:lang w:val="en-US" w:eastAsia="zh-CN"/>
        </w:rPr>
        <w:t>2</w:t>
      </w:r>
      <w:r>
        <w:rPr>
          <w:rFonts w:hint="default" w:ascii="Times New Roman" w:hAnsi="Times New Roman" w:eastAsia="宋体" w:cs="Times New Roman"/>
          <w:b/>
          <w:color w:val="auto"/>
          <w:szCs w:val="21"/>
          <w:highlight w:val="none"/>
        </w:rPr>
        <w:t xml:space="preserve">             修改类型：修改</w:t>
      </w:r>
    </w:p>
    <w:p>
      <w:pPr>
        <w:widowControl/>
        <w:spacing w:line="460" w:lineRule="exact"/>
        <w:ind w:firstLine="495" w:firstLineChars="235"/>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kern w:val="0"/>
          <w:szCs w:val="21"/>
          <w:highlight w:val="none"/>
        </w:rPr>
        <w:t>16.</w:t>
      </w:r>
      <w:r>
        <w:rPr>
          <w:rFonts w:hint="default" w:ascii="Times New Roman" w:hAnsi="Times New Roman" w:eastAsia="宋体" w:cs="Times New Roman"/>
          <w:color w:val="auto"/>
          <w:kern w:val="0"/>
          <w:szCs w:val="21"/>
          <w:highlight w:val="none"/>
          <w:lang w:val="en-US" w:eastAsia="zh-CN"/>
        </w:rPr>
        <w:t>2</w:t>
      </w:r>
      <w:r>
        <w:rPr>
          <w:rFonts w:hint="default" w:ascii="Times New Roman" w:hAnsi="Times New Roman" w:eastAsia="宋体" w:cs="Times New Roman"/>
          <w:color w:val="auto"/>
          <w:szCs w:val="21"/>
          <w:highlight w:val="none"/>
        </w:rPr>
        <w:t>开标时投标人没有按要求提供投标保证金的，其投标文件将被否决；未按招标文件要求提交符合免予提供投标保证金相关证明材料，且未提交投标保证金的投标人，视为未按要求提供投标保证金。</w:t>
      </w:r>
    </w:p>
    <w:p>
      <w:pPr>
        <w:pBdr>
          <w:bottom w:val="single" w:color="auto" w:sz="6" w:space="1"/>
        </w:pBdr>
        <w:spacing w:line="460" w:lineRule="exact"/>
        <w:ind w:firstLine="527" w:firstLineChars="25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kern w:val="0"/>
          <w:szCs w:val="21"/>
          <w:highlight w:val="none"/>
        </w:rPr>
        <w:t>16.</w:t>
      </w:r>
      <w:r>
        <w:rPr>
          <w:rFonts w:hint="default" w:ascii="Times New Roman" w:hAnsi="Times New Roman" w:eastAsia="宋体" w:cs="Times New Roman"/>
          <w:color w:val="auto"/>
          <w:kern w:val="0"/>
          <w:szCs w:val="21"/>
          <w:highlight w:val="none"/>
          <w:lang w:val="en-US" w:eastAsia="zh-CN"/>
        </w:rPr>
        <w:t>2</w:t>
      </w:r>
      <w:r>
        <w:rPr>
          <w:rFonts w:hint="default" w:ascii="Times New Roman" w:hAnsi="Times New Roman" w:eastAsia="宋体" w:cs="Times New Roman"/>
          <w:color w:val="auto"/>
          <w:szCs w:val="21"/>
          <w:highlight w:val="none"/>
          <w:u w:val="single"/>
        </w:rPr>
        <w:t>开标时投标人没有按要求提供投标保证金的，其投标文件将被否决。</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条款号：16.4             修改类型：修改</w:t>
      </w:r>
    </w:p>
    <w:p>
      <w:pPr>
        <w:widowControl/>
        <w:spacing w:line="460" w:lineRule="exact"/>
        <w:ind w:firstLine="495" w:firstLineChars="235"/>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kern w:val="0"/>
          <w:szCs w:val="21"/>
          <w:highlight w:val="none"/>
        </w:rPr>
        <w:t>16.4</w:t>
      </w:r>
      <w:r>
        <w:rPr>
          <w:rFonts w:hint="default" w:ascii="Times New Roman" w:hAnsi="Times New Roman" w:eastAsia="宋体" w:cs="Times New Roman"/>
          <w:color w:val="auto"/>
          <w:szCs w:val="21"/>
          <w:highlight w:val="none"/>
        </w:rPr>
        <w:t>如有下列情况之一的，招标人可以不予退还投标保证金（是否退还投标保证金由招标人在招标文件中规定）：</w:t>
      </w:r>
    </w:p>
    <w:p>
      <w:pPr>
        <w:pBdr>
          <w:bottom w:val="single" w:color="auto" w:sz="6" w:space="1"/>
        </w:pBdr>
        <w:spacing w:line="460" w:lineRule="exact"/>
        <w:ind w:firstLine="527" w:firstLineChars="25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kern w:val="0"/>
          <w:szCs w:val="21"/>
          <w:highlight w:val="none"/>
        </w:rPr>
        <w:t>16.4如有下列情况之一的，招标人不予退还投标保证金：</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条款号：16.5             修改类型：修改</w:t>
      </w:r>
    </w:p>
    <w:p>
      <w:pPr>
        <w:widowControl/>
        <w:spacing w:line="460" w:lineRule="exact"/>
        <w:ind w:firstLine="498" w:firstLineChars="236"/>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kern w:val="0"/>
          <w:szCs w:val="21"/>
          <w:highlight w:val="none"/>
        </w:rPr>
        <w:t>16.5投标人如存在下列情况之一的，将被拒绝在一定时期内参与招标人后续工程投标（拒绝时限需在招标文件中明确）：</w:t>
      </w:r>
    </w:p>
    <w:p>
      <w:pPr>
        <w:widowControl/>
        <w:spacing w:line="460" w:lineRule="exact"/>
        <w:ind w:firstLine="493" w:firstLineChars="235"/>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16.5.1投标人存在16.4条款所列情形且投标人提交的保函、担保或保证保险无法兑付的；</w:t>
      </w:r>
    </w:p>
    <w:p>
      <w:pPr>
        <w:widowControl/>
        <w:spacing w:line="460" w:lineRule="exact"/>
        <w:ind w:firstLine="493" w:firstLineChars="235"/>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16.5.2采用非电子形式提交投标保证金的投标人存在16.4条款所列情形，且未按招标人要求补交银行保函、专业工程担保公司担保或保证保险原件的；</w:t>
      </w:r>
    </w:p>
    <w:p>
      <w:pPr>
        <w:widowControl/>
        <w:spacing w:line="460" w:lineRule="exact"/>
        <w:ind w:firstLine="493" w:firstLineChars="235"/>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16.5.3按招标文件要求免于提供投标保证金的投标人存在16.4条款所列情形，且未按招标人要求补交投标保证金的；</w:t>
      </w:r>
    </w:p>
    <w:p>
      <w:pPr>
        <w:widowControl/>
        <w:spacing w:line="460" w:lineRule="exact"/>
        <w:ind w:firstLine="493" w:firstLineChars="235"/>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16.5.3按招标文件要求免于提供投标保证金的投标人存在16.4条款所列情形的。</w:t>
      </w:r>
    </w:p>
    <w:p>
      <w:pPr>
        <w:widowControl/>
        <w:spacing w:line="460" w:lineRule="exact"/>
        <w:ind w:firstLine="493" w:firstLineChars="235"/>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注：16.5.3款由招标人二选一，需在招标文件中明确。</w:t>
      </w:r>
    </w:p>
    <w:p>
      <w:pPr>
        <w:widowControl/>
        <w:spacing w:line="460" w:lineRule="exact"/>
        <w:ind w:firstLine="498" w:firstLineChars="236"/>
        <w:jc w:val="left"/>
        <w:rPr>
          <w:rFonts w:hint="default" w:ascii="Times New Roman" w:hAnsi="Times New Roman" w:eastAsia="宋体" w:cs="Times New Roman"/>
          <w:color w:val="auto"/>
          <w:kern w:val="0"/>
          <w:szCs w:val="21"/>
          <w:highlight w:val="none"/>
          <w:u w:val="singl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kern w:val="0"/>
          <w:szCs w:val="21"/>
          <w:highlight w:val="none"/>
        </w:rPr>
        <w:t>16.5投标人如存在下列情况之一的，将被拒绝在</w:t>
      </w:r>
      <w:r>
        <w:rPr>
          <w:rFonts w:hint="default" w:ascii="Times New Roman" w:hAnsi="Times New Roman" w:eastAsia="宋体" w:cs="Times New Roman"/>
          <w:color w:val="auto"/>
          <w:kern w:val="0"/>
          <w:szCs w:val="21"/>
          <w:highlight w:val="none"/>
          <w:u w:val="single"/>
        </w:rPr>
        <w:t>一年内</w:t>
      </w:r>
      <w:r>
        <w:rPr>
          <w:rFonts w:hint="default" w:ascii="Times New Roman" w:hAnsi="Times New Roman" w:eastAsia="宋体" w:cs="Times New Roman"/>
          <w:color w:val="auto"/>
          <w:kern w:val="0"/>
          <w:szCs w:val="21"/>
          <w:highlight w:val="none"/>
        </w:rPr>
        <w:t>参与招标人后续工程投标：</w:t>
      </w:r>
    </w:p>
    <w:p>
      <w:pPr>
        <w:pBdr>
          <w:bottom w:val="single" w:color="auto" w:sz="6" w:space="1"/>
        </w:pBdr>
        <w:spacing w:line="460" w:lineRule="exact"/>
        <w:ind w:firstLine="495" w:firstLineChars="236"/>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16.5.1投标人存在16.4条款所列情形且投标人提交的保函、担保或保证保险无法兑付的；</w:t>
      </w:r>
    </w:p>
    <w:p>
      <w:pPr>
        <w:pBdr>
          <w:bottom w:val="single" w:color="auto" w:sz="6" w:space="1"/>
        </w:pBdr>
        <w:spacing w:line="460" w:lineRule="exact"/>
        <w:ind w:firstLine="495" w:firstLineChars="236"/>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rPr>
        <w:t>16.5.2采用非电子形式提交投标保证金的投标人存在16.4条款所列情形，且未按招标人要求补交银行保函、专业工程担保公司担保或保证保险原件的。</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条款号：17.1             修改类型：修改</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 xml:space="preserve"> 。</w:t>
      </w:r>
    </w:p>
    <w:p>
      <w:pPr>
        <w:pBdr>
          <w:bottom w:val="single" w:color="auto" w:sz="6" w:space="1"/>
        </w:pBdr>
        <w:spacing w:line="460" w:lineRule="exact"/>
        <w:ind w:firstLine="527" w:firstLineChars="25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default" w:ascii="Times New Roman" w:hAnsi="Times New Roman" w:eastAsia="宋体" w:cs="Times New Roman"/>
          <w:bCs/>
          <w:color w:val="auto"/>
          <w:szCs w:val="21"/>
          <w:highlight w:val="none"/>
          <w:u w:val="single"/>
        </w:rPr>
        <w:t>广州公共资源交易中心网站</w:t>
      </w:r>
      <w:r>
        <w:rPr>
          <w:rFonts w:hint="default" w:ascii="Times New Roman" w:hAnsi="Times New Roman" w:eastAsia="宋体" w:cs="Times New Roman"/>
          <w:color w:val="auto"/>
          <w:szCs w:val="21"/>
          <w:highlight w:val="none"/>
        </w:rPr>
        <w:t>。</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条款号：18.1             修改类型：修改</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bCs/>
          <w:color w:val="auto"/>
          <w:szCs w:val="21"/>
          <w:highlight w:val="none"/>
        </w:rPr>
        <w:t>18.1递交的电子投标文件（不含备用光盘）必须进行加密。按照交易平台关于</w:t>
      </w:r>
      <w:r>
        <w:rPr>
          <w:rFonts w:hint="default" w:ascii="Times New Roman" w:hAnsi="Times New Roman" w:eastAsia="宋体" w:cs="Times New Roman"/>
          <w:color w:val="auto"/>
          <w:szCs w:val="21"/>
          <w:highlight w:val="none"/>
        </w:rPr>
        <w:t>全流程电子化项目的相关指南进行操作。详见：</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 xml:space="preserve"> 。</w:t>
      </w:r>
    </w:p>
    <w:p>
      <w:pPr>
        <w:pBdr>
          <w:bottom w:val="single" w:color="auto" w:sz="6" w:space="1"/>
        </w:pBdr>
        <w:spacing w:line="460" w:lineRule="exact"/>
        <w:ind w:firstLine="527" w:firstLineChars="25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bCs/>
          <w:color w:val="auto"/>
          <w:szCs w:val="21"/>
          <w:highlight w:val="none"/>
        </w:rPr>
        <w:t>18.1递交的电子投标文件（不含备用光盘）必须进行加密。按照交易平台关于</w:t>
      </w:r>
      <w:r>
        <w:rPr>
          <w:rFonts w:hint="default" w:ascii="Times New Roman" w:hAnsi="Times New Roman" w:eastAsia="宋体" w:cs="Times New Roman"/>
          <w:color w:val="auto"/>
          <w:szCs w:val="21"/>
          <w:highlight w:val="none"/>
        </w:rPr>
        <w:t>全流程电子化项目的相关指南进行操作。详见：</w:t>
      </w:r>
      <w:r>
        <w:rPr>
          <w:rFonts w:hint="default" w:ascii="Times New Roman" w:hAnsi="Times New Roman" w:eastAsia="宋体" w:cs="Times New Roman"/>
          <w:bCs/>
          <w:color w:val="auto"/>
          <w:szCs w:val="21"/>
          <w:highlight w:val="none"/>
          <w:u w:val="single"/>
        </w:rPr>
        <w:t>广州公共资源交易中心网站</w:t>
      </w:r>
      <w:r>
        <w:rPr>
          <w:rFonts w:hint="default" w:ascii="Times New Roman" w:hAnsi="Times New Roman" w:eastAsia="宋体" w:cs="Times New Roman"/>
          <w:color w:val="auto"/>
          <w:szCs w:val="21"/>
          <w:highlight w:val="none"/>
        </w:rPr>
        <w:t>。</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条款号：18.2             修改类型：修改</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bCs/>
          <w:color w:val="auto"/>
          <w:szCs w:val="21"/>
          <w:highlight w:val="none"/>
        </w:rPr>
        <w:t>18.2 未按要求加密的投标文件，</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交易平台</w:t>
      </w:r>
      <w:r>
        <w:rPr>
          <w:rFonts w:hint="default" w:ascii="Times New Roman" w:hAnsi="Times New Roman" w:eastAsia="宋体" w:cs="Times New Roman"/>
          <w:bCs/>
          <w:color w:val="auto"/>
          <w:szCs w:val="21"/>
          <w:highlight w:val="none"/>
        </w:rPr>
        <w:t>将予以拒收。</w:t>
      </w:r>
    </w:p>
    <w:p>
      <w:pPr>
        <w:pBdr>
          <w:bottom w:val="single" w:color="auto" w:sz="6" w:space="1"/>
        </w:pBdr>
        <w:spacing w:line="460" w:lineRule="exact"/>
        <w:ind w:firstLine="527" w:firstLineChars="25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bCs/>
          <w:color w:val="auto"/>
          <w:szCs w:val="21"/>
          <w:highlight w:val="none"/>
        </w:rPr>
        <w:t>18.2 未按要求加密的投标文件，</w:t>
      </w:r>
      <w:r>
        <w:rPr>
          <w:rFonts w:hint="default" w:ascii="Times New Roman" w:hAnsi="Times New Roman" w:eastAsia="宋体" w:cs="Times New Roman"/>
          <w:color w:val="auto"/>
          <w:szCs w:val="21"/>
          <w:highlight w:val="none"/>
          <w:u w:val="single"/>
        </w:rPr>
        <w:t>广州公共资源交易中心</w:t>
      </w:r>
      <w:r>
        <w:rPr>
          <w:rFonts w:hint="default" w:ascii="Times New Roman" w:hAnsi="Times New Roman" w:eastAsia="宋体" w:cs="Times New Roman"/>
          <w:color w:val="auto"/>
          <w:szCs w:val="21"/>
          <w:highlight w:val="none"/>
        </w:rPr>
        <w:t>交易平台</w:t>
      </w:r>
      <w:r>
        <w:rPr>
          <w:rFonts w:hint="default" w:ascii="Times New Roman" w:hAnsi="Times New Roman" w:eastAsia="宋体" w:cs="Times New Roman"/>
          <w:bCs/>
          <w:color w:val="auto"/>
          <w:szCs w:val="21"/>
          <w:highlight w:val="none"/>
        </w:rPr>
        <w:t>将予以拒收。</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条款号：19.1             修改类型：修改</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bCs/>
          <w:color w:val="auto"/>
          <w:szCs w:val="21"/>
          <w:highlight w:val="none"/>
        </w:rPr>
        <w:t>19.1投标人通过</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交易平台递交电子投标文件。</w:t>
      </w:r>
    </w:p>
    <w:p>
      <w:pPr>
        <w:pBdr>
          <w:bottom w:val="single" w:color="auto" w:sz="6" w:space="1"/>
        </w:pBdr>
        <w:spacing w:line="460" w:lineRule="exact"/>
        <w:ind w:firstLine="527" w:firstLineChars="25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bCs/>
          <w:color w:val="auto"/>
          <w:szCs w:val="21"/>
          <w:highlight w:val="none"/>
        </w:rPr>
        <w:t>19.1投标人通过</w:t>
      </w:r>
      <w:r>
        <w:rPr>
          <w:rFonts w:hint="default" w:ascii="Times New Roman" w:hAnsi="Times New Roman" w:eastAsia="宋体" w:cs="Times New Roman"/>
          <w:color w:val="auto"/>
          <w:szCs w:val="21"/>
          <w:highlight w:val="none"/>
          <w:u w:val="single"/>
        </w:rPr>
        <w:t>广州公共资源交易中心</w:t>
      </w:r>
      <w:r>
        <w:rPr>
          <w:rFonts w:hint="default" w:ascii="Times New Roman" w:hAnsi="Times New Roman" w:eastAsia="宋体" w:cs="Times New Roman"/>
          <w:color w:val="auto"/>
          <w:szCs w:val="21"/>
          <w:highlight w:val="none"/>
        </w:rPr>
        <w:t>交易平台递交电子投标文件。</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 19.2            修改类型：修改</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bCs/>
          <w:color w:val="auto"/>
          <w:szCs w:val="21"/>
          <w:highlight w:val="none"/>
        </w:rPr>
        <w:t>19.2投标人完成电子</w:t>
      </w:r>
      <w:r>
        <w:rPr>
          <w:rFonts w:hint="default" w:ascii="Times New Roman" w:hAnsi="Times New Roman" w:eastAsia="宋体" w:cs="Times New Roman"/>
          <w:color w:val="auto"/>
          <w:szCs w:val="21"/>
          <w:highlight w:val="none"/>
        </w:rPr>
        <w:t>投标文件</w:t>
      </w:r>
      <w:r>
        <w:rPr>
          <w:rFonts w:hint="default" w:ascii="Times New Roman" w:hAnsi="Times New Roman" w:eastAsia="宋体" w:cs="Times New Roman"/>
          <w:bCs/>
          <w:color w:val="auto"/>
          <w:szCs w:val="21"/>
          <w:highlight w:val="none"/>
        </w:rPr>
        <w:t>上传后，</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交易平台即时向投标人发出递交回执通知。递交时间以递交回执通知载明的传输完成时间为准。</w:t>
      </w:r>
    </w:p>
    <w:p>
      <w:pPr>
        <w:pBdr>
          <w:bottom w:val="single" w:color="auto" w:sz="6" w:space="1"/>
        </w:pBdr>
        <w:spacing w:line="460" w:lineRule="exact"/>
        <w:ind w:firstLine="527" w:firstLineChars="25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bCs/>
          <w:color w:val="auto"/>
          <w:szCs w:val="21"/>
          <w:highlight w:val="none"/>
        </w:rPr>
        <w:t>19.2投标人完成电子</w:t>
      </w:r>
      <w:r>
        <w:rPr>
          <w:rFonts w:hint="default" w:ascii="Times New Roman" w:hAnsi="Times New Roman" w:eastAsia="宋体" w:cs="Times New Roman"/>
          <w:color w:val="auto"/>
          <w:szCs w:val="21"/>
          <w:highlight w:val="none"/>
        </w:rPr>
        <w:t>投标文件</w:t>
      </w:r>
      <w:r>
        <w:rPr>
          <w:rFonts w:hint="default" w:ascii="Times New Roman" w:hAnsi="Times New Roman" w:eastAsia="宋体" w:cs="Times New Roman"/>
          <w:bCs/>
          <w:color w:val="auto"/>
          <w:szCs w:val="21"/>
          <w:highlight w:val="none"/>
        </w:rPr>
        <w:t>上传后，</w:t>
      </w:r>
      <w:r>
        <w:rPr>
          <w:rFonts w:hint="default" w:ascii="Times New Roman" w:hAnsi="Times New Roman" w:eastAsia="宋体" w:cs="Times New Roman"/>
          <w:color w:val="auto"/>
          <w:szCs w:val="21"/>
          <w:highlight w:val="none"/>
          <w:u w:val="single"/>
        </w:rPr>
        <w:t>广州公共资源交易中心</w:t>
      </w:r>
      <w:r>
        <w:rPr>
          <w:rFonts w:hint="default" w:ascii="Times New Roman" w:hAnsi="Times New Roman" w:eastAsia="宋体" w:cs="Times New Roman"/>
          <w:color w:val="auto"/>
          <w:szCs w:val="21"/>
          <w:highlight w:val="none"/>
        </w:rPr>
        <w:t>交易平台即时向投标人发出递交回执通知。递交时间以递交回执通知载明的传输完成时间为准。</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条款号：19.3             修改类型：修改</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bCs/>
          <w:color w:val="auto"/>
          <w:szCs w:val="21"/>
          <w:highlight w:val="none"/>
        </w:rPr>
        <w:t>19.3逾期送达的电子投标文件，</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交易平台将予以拒收。</w:t>
      </w:r>
    </w:p>
    <w:p>
      <w:pPr>
        <w:pBdr>
          <w:bottom w:val="single" w:color="auto" w:sz="6" w:space="1"/>
        </w:pBdr>
        <w:spacing w:line="460" w:lineRule="exact"/>
        <w:ind w:firstLine="422"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bCs/>
          <w:color w:val="auto"/>
          <w:szCs w:val="21"/>
          <w:highlight w:val="none"/>
        </w:rPr>
        <w:t>19.3逾期送达的电子投标文件，</w:t>
      </w:r>
      <w:r>
        <w:rPr>
          <w:rFonts w:hint="default" w:ascii="Times New Roman" w:hAnsi="Times New Roman" w:eastAsia="宋体" w:cs="Times New Roman"/>
          <w:color w:val="auto"/>
          <w:szCs w:val="21"/>
          <w:highlight w:val="none"/>
          <w:u w:val="single"/>
        </w:rPr>
        <w:t>广州公共资源交易中心</w:t>
      </w:r>
      <w:r>
        <w:rPr>
          <w:rFonts w:hint="default" w:ascii="Times New Roman" w:hAnsi="Times New Roman" w:eastAsia="宋体" w:cs="Times New Roman"/>
          <w:color w:val="auto"/>
          <w:szCs w:val="21"/>
          <w:highlight w:val="none"/>
        </w:rPr>
        <w:t>交易平台将予以拒收。</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条款号：19.5             修改类型：修改</w:t>
      </w:r>
    </w:p>
    <w:p>
      <w:pPr>
        <w:pBdr>
          <w:bottom w:val="single" w:color="auto" w:sz="6" w:space="1"/>
        </w:pBdr>
        <w:spacing w:line="460" w:lineRule="exact"/>
        <w:ind w:firstLine="422"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19.5如技术标和经济标先后分别开启，</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交易平台将按招标文件规定的时间分别开启技术标和经济标。</w:t>
      </w:r>
    </w:p>
    <w:p>
      <w:pPr>
        <w:pBdr>
          <w:bottom w:val="single" w:color="auto" w:sz="6" w:space="1"/>
        </w:pBdr>
        <w:spacing w:line="460" w:lineRule="exact"/>
        <w:ind w:firstLine="422"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bCs/>
          <w:color w:val="auto"/>
          <w:szCs w:val="21"/>
          <w:highlight w:val="none"/>
        </w:rPr>
        <w:t>19.5</w:t>
      </w:r>
      <w:r>
        <w:rPr>
          <w:rFonts w:hint="default" w:ascii="Times New Roman" w:hAnsi="Times New Roman" w:eastAsia="宋体" w:cs="Times New Roman"/>
          <w:color w:val="auto"/>
          <w:szCs w:val="21"/>
          <w:highlight w:val="none"/>
          <w:u w:val="single"/>
        </w:rPr>
        <w:t>技术标和经济标同时开启，广州公共资源交易中心交易平台将按招标文件规定的时间同时开启技术标</w:t>
      </w:r>
      <w:r>
        <w:rPr>
          <w:rFonts w:hint="default" w:ascii="Times New Roman" w:hAnsi="Times New Roman" w:eastAsia="宋体" w:cs="Times New Roman"/>
          <w:color w:val="auto"/>
          <w:szCs w:val="21"/>
          <w:highlight w:val="none"/>
          <w:u w:val="single"/>
          <w:lang w:val="en-US" w:eastAsia="zh-CN"/>
        </w:rPr>
        <w:t>投标文件</w:t>
      </w:r>
      <w:r>
        <w:rPr>
          <w:rFonts w:hint="default" w:ascii="Times New Roman" w:hAnsi="Times New Roman" w:eastAsia="宋体" w:cs="Times New Roman"/>
          <w:color w:val="auto"/>
          <w:szCs w:val="21"/>
          <w:highlight w:val="none"/>
          <w:u w:val="single"/>
        </w:rPr>
        <w:t>、经济标</w:t>
      </w:r>
      <w:r>
        <w:rPr>
          <w:rFonts w:hint="default" w:ascii="Times New Roman" w:hAnsi="Times New Roman" w:eastAsia="宋体" w:cs="Times New Roman"/>
          <w:color w:val="auto"/>
          <w:szCs w:val="21"/>
          <w:highlight w:val="none"/>
          <w:u w:val="single"/>
          <w:lang w:val="en-US" w:eastAsia="zh-CN"/>
        </w:rPr>
        <w:t>投标文件</w:t>
      </w:r>
      <w:r>
        <w:rPr>
          <w:rFonts w:hint="default" w:ascii="Times New Roman" w:hAnsi="Times New Roman" w:eastAsia="宋体" w:cs="Times New Roman"/>
          <w:color w:val="auto"/>
          <w:szCs w:val="21"/>
          <w:highlight w:val="none"/>
          <w:u w:val="single"/>
        </w:rPr>
        <w:t>和定标文件。</w:t>
      </w:r>
    </w:p>
    <w:p>
      <w:pPr>
        <w:pStyle w:val="87"/>
        <w:spacing w:line="40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条款号：20.3                         修改类型：修改</w:t>
      </w:r>
    </w:p>
    <w:p>
      <w:pPr>
        <w:pStyle w:val="87"/>
        <w:spacing w:line="40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到投标截止时间止，招标人收到的投标文件少于3家的，招标人将重新组织招标（当N个标段同时招标且不允许兼中时，若有效投标人不足N+2家，则重新组织招标）。</w:t>
      </w:r>
    </w:p>
    <w:p>
      <w:pPr>
        <w:pStyle w:val="87"/>
        <w:pBdr>
          <w:bottom w:val="single" w:color="auto" w:sz="6" w:space="1"/>
        </w:pBdr>
        <w:spacing w:line="400" w:lineRule="exact"/>
        <w:ind w:firstLine="527" w:firstLineChars="25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rPr>
        <w:t>到投标截止时间止，招标人收到的投标文件少于3家的，招标人将重新组织招标。</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 21.1            修改类型：修改</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21.1 本须知前附表第17项规定的投标截止时间</w:t>
      </w:r>
      <w:r>
        <w:rPr>
          <w:rFonts w:hint="default" w:ascii="Times New Roman" w:hAnsi="Times New Roman" w:eastAsia="宋体" w:cs="Times New Roman"/>
          <w:bCs/>
          <w:color w:val="auto"/>
          <w:szCs w:val="21"/>
          <w:highlight w:val="none"/>
        </w:rPr>
        <w:t>后送达的电子投标文件，</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交易平台将予以拒收。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pBdr>
          <w:bottom w:val="single" w:color="auto" w:sz="6" w:space="1"/>
        </w:pBdr>
        <w:spacing w:line="460" w:lineRule="exact"/>
        <w:ind w:firstLine="527" w:firstLineChars="25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rPr>
        <w:t>21.1 本须知前附表第17项规定的投标截止时间</w:t>
      </w:r>
      <w:r>
        <w:rPr>
          <w:rFonts w:hint="default" w:ascii="Times New Roman" w:hAnsi="Times New Roman" w:eastAsia="宋体" w:cs="Times New Roman"/>
          <w:bCs/>
          <w:color w:val="auto"/>
          <w:szCs w:val="21"/>
          <w:highlight w:val="none"/>
        </w:rPr>
        <w:t>后送达的电子投标文件，</w:t>
      </w:r>
      <w:r>
        <w:rPr>
          <w:rFonts w:hint="default" w:ascii="Times New Roman" w:hAnsi="Times New Roman" w:eastAsia="宋体" w:cs="Times New Roman"/>
          <w:color w:val="auto"/>
          <w:szCs w:val="21"/>
          <w:highlight w:val="none"/>
          <w:u w:val="single"/>
        </w:rPr>
        <w:t>广州公共资源交易中心</w:t>
      </w:r>
      <w:r>
        <w:rPr>
          <w:rFonts w:hint="default" w:ascii="Times New Roman" w:hAnsi="Times New Roman" w:eastAsia="宋体" w:cs="Times New Roman"/>
          <w:color w:val="auto"/>
          <w:szCs w:val="21"/>
          <w:highlight w:val="none"/>
        </w:rPr>
        <w:t>交易平台将予以拒收。</w:t>
      </w:r>
    </w:p>
    <w:p>
      <w:pPr>
        <w:spacing w:line="360" w:lineRule="auto"/>
        <w:ind w:firstLine="527" w:firstLineChars="25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条款号：24.1                               修改类型：修改</w:t>
      </w:r>
    </w:p>
    <w:p>
      <w:pPr>
        <w:pBdr>
          <w:bottom w:val="single" w:color="auto" w:sz="6" w:space="1"/>
        </w:pBdr>
        <w:spacing w:line="360" w:lineRule="auto"/>
        <w:ind w:firstLine="527" w:firstLineChars="25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24.1 开标后，直至中标公示为止，凡属于对投标文件的审查、澄清、评价和比较有关的资料以及中标候选人的推荐情况，与评标有关的其他任何情况均严格保密。</w:t>
      </w:r>
    </w:p>
    <w:p>
      <w:pPr>
        <w:pBdr>
          <w:bottom w:val="single" w:color="auto" w:sz="6" w:space="1"/>
        </w:pBdr>
        <w:spacing w:line="360" w:lineRule="auto"/>
        <w:ind w:firstLine="527" w:firstLineChars="25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rPr>
        <w:t>24.1开标后，直至合格的中标候选人公示为止，凡属于对投标文件的审查、澄清、评价和比较有关的资料以及合格的中标候选人的推荐</w:t>
      </w:r>
      <w:r>
        <w:rPr>
          <w:rFonts w:hint="default" w:ascii="Times New Roman" w:hAnsi="Times New Roman" w:eastAsia="宋体" w:cs="Times New Roman"/>
          <w:color w:val="auto"/>
          <w:szCs w:val="21"/>
          <w:highlight w:val="none"/>
          <w:u w:val="single"/>
        </w:rPr>
        <w:t>【不排序，按统一社会信用代码后4位（除校验码外）大小排位】</w:t>
      </w:r>
      <w:r>
        <w:rPr>
          <w:rFonts w:hint="default" w:ascii="Times New Roman" w:hAnsi="Times New Roman" w:eastAsia="宋体" w:cs="Times New Roman"/>
          <w:color w:val="auto"/>
          <w:szCs w:val="21"/>
          <w:highlight w:val="none"/>
        </w:rPr>
        <w:t>情况，与评标有关的其他任何情况均严格保密。</w:t>
      </w:r>
    </w:p>
    <w:p>
      <w:pPr>
        <w:spacing w:line="360" w:lineRule="auto"/>
        <w:ind w:firstLine="527" w:firstLineChars="25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条款号：24.2                               修改类型：修改</w:t>
      </w:r>
    </w:p>
    <w:p>
      <w:pPr>
        <w:spacing w:line="360" w:lineRule="auto"/>
        <w:ind w:firstLine="527" w:firstLineChars="25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24.2 在投标文件的评审和比较、中标候选人推荐以及授予合同的过程中，投标人向招标人和评标委员会施加不公正影响的任何行为，都将会导致其投标被拒绝。</w:t>
      </w:r>
    </w:p>
    <w:p>
      <w:pPr>
        <w:pBdr>
          <w:bottom w:val="single" w:color="auto" w:sz="4" w:space="0"/>
        </w:pBdr>
        <w:spacing w:line="360" w:lineRule="auto"/>
        <w:ind w:firstLine="527" w:firstLineChars="25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rPr>
        <w:t>24.2 在投标文件的评审和比较、合格的中标候选人推荐</w:t>
      </w:r>
      <w:r>
        <w:rPr>
          <w:rFonts w:hint="default" w:ascii="Times New Roman" w:hAnsi="Times New Roman" w:eastAsia="宋体" w:cs="Times New Roman"/>
          <w:color w:val="auto"/>
          <w:szCs w:val="21"/>
          <w:highlight w:val="none"/>
          <w:u w:val="single"/>
        </w:rPr>
        <w:t>【不排序，按统一社会信用代码后4位（除校验码外）大小排位】、定标以及授予合同的过程中，投标人向招标人、评标委员会和定标委员会</w:t>
      </w:r>
      <w:r>
        <w:rPr>
          <w:rFonts w:hint="default" w:ascii="Times New Roman" w:hAnsi="Times New Roman" w:eastAsia="宋体" w:cs="Times New Roman"/>
          <w:color w:val="auto"/>
          <w:szCs w:val="21"/>
          <w:highlight w:val="none"/>
        </w:rPr>
        <w:t>施加不公正影响的任何行为，都将会导致其投标被拒绝。</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 27.1            修改类型：修改</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27.1招标人将在</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pBdr>
          <w:bottom w:val="single" w:color="auto" w:sz="6" w:space="1"/>
        </w:pBdr>
        <w:spacing w:line="460" w:lineRule="exact"/>
        <w:ind w:firstLine="527" w:firstLineChars="25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rPr>
        <w:t>27.1招标人将在</w:t>
      </w:r>
      <w:r>
        <w:rPr>
          <w:rFonts w:hint="default" w:ascii="Times New Roman" w:hAnsi="Times New Roman" w:eastAsia="宋体" w:cs="Times New Roman"/>
          <w:color w:val="auto"/>
          <w:szCs w:val="21"/>
          <w:highlight w:val="none"/>
          <w:u w:val="single"/>
        </w:rPr>
        <w:t>广州公共资源交易中心</w:t>
      </w:r>
      <w:r>
        <w:rPr>
          <w:rFonts w:hint="default" w:ascii="Times New Roman" w:hAnsi="Times New Roman" w:eastAsia="宋体" w:cs="Times New Roman"/>
          <w:color w:val="auto"/>
          <w:szCs w:val="21"/>
          <w:highlight w:val="none"/>
        </w:rPr>
        <w:t>交易平台、广东省招标投标监管网</w:t>
      </w:r>
      <w:r>
        <w:rPr>
          <w:rFonts w:hint="default" w:ascii="Times New Roman" w:hAnsi="Times New Roman" w:eastAsia="宋体" w:cs="Times New Roman"/>
          <w:color w:val="auto"/>
          <w:szCs w:val="21"/>
          <w:highlight w:val="none"/>
          <w:u w:val="single"/>
          <w:lang w:eastAsia="zh-CN"/>
        </w:rPr>
        <w:t>、广州国企阳光采购信息发布平台</w:t>
      </w:r>
      <w:r>
        <w:rPr>
          <w:rFonts w:hint="default" w:ascii="Times New Roman" w:hAnsi="Times New Roman" w:eastAsia="宋体" w:cs="Times New Roman"/>
          <w:color w:val="auto"/>
          <w:szCs w:val="21"/>
          <w:highlight w:val="none"/>
        </w:rPr>
        <w:t>和中国招标投标公共服务平台公示中标候选人，公示期为三天。</w:t>
      </w:r>
      <w:r>
        <w:rPr>
          <w:rFonts w:hint="default" w:ascii="Times New Roman" w:hAnsi="Times New Roman" w:eastAsia="宋体" w:cs="Times New Roman"/>
          <w:color w:val="auto"/>
          <w:szCs w:val="21"/>
          <w:highlight w:val="none"/>
          <w:u w:val="single"/>
        </w:rPr>
        <w:t>合格的中标候选人公示结束后，10个工作日内在广州公共资源交易中心开展定标工作，在定标委员会完成定标工作后，招标人将在定标工作完成后的 3 日内在广州公共资源交易中心交易平台、广东省招标投标监管网和中国招标投标公共服务平台公示中标结果。定标后出现中标人不符合法定情形的，招标人可从其他合格的中标候选人中采用原定标办法，由原定标委员会确定中标人，也可以重新招标。</w:t>
      </w:r>
      <w:r>
        <w:rPr>
          <w:rFonts w:hint="default" w:ascii="Times New Roman" w:hAnsi="Times New Roman" w:eastAsia="宋体" w:cs="Times New Roman"/>
          <w:color w:val="auto"/>
          <w:szCs w:val="21"/>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 27.4            修改类型：修改</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27.4在产生中标候选人后，招标人将中标候选人的投标文件商务部分文件的所有内容（包括人员、业绩、奖项等资料）在</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交易平台和广东省招标投标监管网公开。</w:t>
      </w:r>
    </w:p>
    <w:p>
      <w:pPr>
        <w:pBdr>
          <w:bottom w:val="single" w:color="auto" w:sz="6" w:space="1"/>
        </w:pBdr>
        <w:spacing w:line="460" w:lineRule="exact"/>
        <w:ind w:firstLine="527" w:firstLineChars="25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rPr>
        <w:t>27.4在产生中标候选人后，招标人将中标候选人的招标人将中标候选人的投标文件商务部分文件的人员、业绩、奖项在</w:t>
      </w:r>
      <w:r>
        <w:rPr>
          <w:rFonts w:hint="default" w:ascii="Times New Roman" w:hAnsi="Times New Roman" w:eastAsia="宋体" w:cs="Times New Roman"/>
          <w:color w:val="auto"/>
          <w:szCs w:val="21"/>
          <w:highlight w:val="none"/>
          <w:u w:val="single"/>
        </w:rPr>
        <w:t>广州公共资源交易中心</w:t>
      </w:r>
      <w:r>
        <w:rPr>
          <w:rFonts w:hint="default" w:ascii="Times New Roman" w:hAnsi="Times New Roman" w:eastAsia="宋体" w:cs="Times New Roman"/>
          <w:color w:val="auto"/>
          <w:szCs w:val="21"/>
          <w:highlight w:val="none"/>
        </w:rPr>
        <w:t>交易平台和广东省招标投标监管网公开。</w:t>
      </w:r>
    </w:p>
    <w:p>
      <w:pPr>
        <w:spacing w:line="44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w:t>
      </w:r>
      <w:r>
        <w:rPr>
          <w:rFonts w:hint="default" w:ascii="Times New Roman" w:hAnsi="Times New Roman" w:eastAsia="宋体" w:cs="Times New Roman"/>
          <w:color w:val="auto"/>
          <w:szCs w:val="21"/>
          <w:highlight w:val="none"/>
        </w:rPr>
        <w:t>30.1</w:t>
      </w:r>
      <w:r>
        <w:rPr>
          <w:rFonts w:hint="default" w:ascii="Times New Roman" w:hAnsi="Times New Roman" w:eastAsia="宋体" w:cs="Times New Roman"/>
          <w:b/>
          <w:color w:val="auto"/>
          <w:szCs w:val="21"/>
          <w:highlight w:val="none"/>
        </w:rPr>
        <w:t xml:space="preserve">       修改类型：修改</w:t>
      </w:r>
    </w:p>
    <w:p>
      <w:pPr>
        <w:spacing w:line="44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在合同双方全权代表在合同协议书上签字，并分别加盖双方单位的公章后，合同正式生效</w:t>
      </w:r>
    </w:p>
    <w:p>
      <w:pPr>
        <w:pBdr>
          <w:bottom w:val="single" w:color="auto" w:sz="6" w:space="1"/>
        </w:pBdr>
        <w:spacing w:line="440" w:lineRule="exact"/>
        <w:ind w:firstLine="422"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u w:val="single"/>
        </w:rPr>
        <w:t>合同自发包人、承包人双方法定代表人或委托代理人签字并加盖公章之日起生效。</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条款号：31           修改类型：修改</w:t>
      </w:r>
    </w:p>
    <w:p>
      <w:pPr>
        <w:spacing w:line="460" w:lineRule="exact"/>
        <w:ind w:firstLine="422"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bCs/>
          <w:color w:val="auto"/>
          <w:szCs w:val="21"/>
          <w:highlight w:val="none"/>
        </w:rPr>
        <w:t>31．其它费用</w:t>
      </w:r>
    </w:p>
    <w:p>
      <w:pPr>
        <w:spacing w:line="460" w:lineRule="exact"/>
        <w:ind w:firstLine="422"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bCs/>
          <w:color w:val="auto"/>
          <w:szCs w:val="21"/>
          <w:highlight w:val="none"/>
        </w:rPr>
        <w:t>31．其它费用</w:t>
      </w:r>
    </w:p>
    <w:p>
      <w:pPr>
        <w:pBdr>
          <w:bottom w:val="single" w:color="auto" w:sz="6" w:space="1"/>
        </w:pBdr>
        <w:spacing w:line="460" w:lineRule="exact"/>
        <w:ind w:firstLine="420" w:firstLineChars="2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31.1中标人按《广州市发展改革委转发省发展改革委关于规范公共资源交易服务收费及有关问题的通知》（穗发改〔2017〕811号）文件的规定，向广州公共资源交易中心代缴交易服务费，其费用包含在中标人投标报价中，招标人不另行支付。</w:t>
      </w:r>
    </w:p>
    <w:p>
      <w:pPr>
        <w:spacing w:line="460" w:lineRule="exact"/>
        <w:ind w:firstLine="211" w:firstLineChars="1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注：以上修改，仅限于本范本中有可供选择条款的情形。</w:t>
      </w:r>
    </w:p>
    <w:p>
      <w:pPr>
        <w:spacing w:line="460" w:lineRule="exact"/>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szCs w:val="21"/>
          <w:highlight w:val="none"/>
        </w:rPr>
        <w:t>（以下无正文）</w:t>
      </w:r>
      <w:r>
        <w:rPr>
          <w:rFonts w:hint="default" w:ascii="Times New Roman" w:hAnsi="Times New Roman" w:eastAsia="宋体" w:cs="Times New Roman"/>
          <w:b/>
          <w:color w:val="auto"/>
          <w:kern w:val="0"/>
          <w:sz w:val="24"/>
          <w:szCs w:val="24"/>
          <w:highlight w:val="none"/>
        </w:rPr>
        <w:br w:type="page"/>
      </w:r>
    </w:p>
    <w:p>
      <w:pPr>
        <w:pStyle w:val="8"/>
        <w:rPr>
          <w:rFonts w:hint="default" w:ascii="Times New Roman" w:hAnsi="Times New Roman" w:eastAsia="宋体" w:cs="Times New Roman"/>
          <w:color w:val="auto"/>
          <w:highlight w:val="none"/>
        </w:rPr>
      </w:pPr>
      <w:bookmarkStart w:id="8" w:name="_Toc2272548"/>
      <w:bookmarkStart w:id="9" w:name="_Toc88152392"/>
      <w:bookmarkStart w:id="10" w:name="_Toc8516"/>
      <w:bookmarkStart w:id="11" w:name="_Toc1480"/>
      <w:r>
        <w:rPr>
          <w:rFonts w:hint="default" w:ascii="Times New Roman" w:hAnsi="Times New Roman" w:eastAsia="宋体" w:cs="Times New Roman"/>
          <w:color w:val="auto"/>
          <w:highlight w:val="none"/>
        </w:rPr>
        <w:t>三、投标须知通用条款</w:t>
      </w:r>
      <w:bookmarkEnd w:id="8"/>
      <w:bookmarkEnd w:id="9"/>
      <w:r>
        <w:rPr>
          <w:rFonts w:hint="default" w:ascii="Times New Roman" w:hAnsi="Times New Roman" w:eastAsia="宋体" w:cs="Times New Roman"/>
          <w:color w:val="auto"/>
          <w:highlight w:val="none"/>
        </w:rPr>
        <w:t>（见范本）</w:t>
      </w:r>
      <w:bookmarkEnd w:id="10"/>
      <w:bookmarkEnd w:id="11"/>
    </w:p>
    <w:p>
      <w:pPr>
        <w:pStyle w:val="9"/>
        <w:spacing w:before="156" w:beforeAutospacing="0" w:after="156" w:afterAutospacing="0"/>
        <w:rPr>
          <w:rFonts w:hint="default" w:ascii="Times New Roman" w:hAnsi="Times New Roman" w:eastAsia="宋体" w:cs="Times New Roman"/>
          <w:b/>
          <w:bCs/>
          <w:color w:val="auto"/>
          <w:highlight w:val="none"/>
        </w:rPr>
      </w:pPr>
      <w:bookmarkStart w:id="12" w:name="_Toc23091"/>
      <w:bookmarkStart w:id="13" w:name="_Toc32420"/>
      <w:r>
        <w:rPr>
          <w:rFonts w:hint="default" w:ascii="Times New Roman" w:hAnsi="Times New Roman" w:eastAsia="宋体" w:cs="Times New Roman"/>
          <w:b/>
          <w:bCs/>
          <w:color w:val="auto"/>
          <w:highlight w:val="none"/>
        </w:rPr>
        <w:t>（一）总则</w:t>
      </w:r>
      <w:bookmarkEnd w:id="12"/>
      <w:bookmarkEnd w:id="13"/>
    </w:p>
    <w:p>
      <w:pPr>
        <w:pStyle w:val="6"/>
        <w:spacing w:after="0"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1、定义</w:t>
      </w:r>
    </w:p>
    <w:p>
      <w:pPr>
        <w:pStyle w:val="6"/>
        <w:spacing w:after="0" w:line="360" w:lineRule="auto"/>
        <w:ind w:firstLine="480"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rPr>
        <w:t>本招标文件使用的下列词语具有如下规定的意义：</w:t>
      </w:r>
    </w:p>
    <w:p>
      <w:pPr>
        <w:pStyle w:val="6"/>
        <w:spacing w:after="0" w:line="360" w:lineRule="auto"/>
        <w:ind w:firstLine="480" w:firstLineChars="200"/>
        <w:rPr>
          <w:rFonts w:hint="default" w:ascii="Times New Roman" w:hAnsi="Times New Roman" w:eastAsia="宋体" w:cs="Times New Roman"/>
          <w:b/>
          <w:bCs/>
          <w:color w:val="auto"/>
          <w:sz w:val="24"/>
          <w:szCs w:val="24"/>
          <w:highlight w:val="none"/>
          <w:u w:val="single"/>
        </w:rPr>
      </w:pPr>
      <w:r>
        <w:rPr>
          <w:rFonts w:hint="default" w:ascii="Times New Roman" w:hAnsi="Times New Roman" w:eastAsia="宋体" w:cs="Times New Roman"/>
          <w:color w:val="auto"/>
          <w:sz w:val="24"/>
          <w:szCs w:val="24"/>
          <w:highlight w:val="none"/>
        </w:rPr>
        <w:t>（1）“招标人”（即发包人）、“项目建设管理单位”（或称“项目代建单位”）、“招标代理”、“设计单位”、“监理单位”均已在投标须知前附表中列明。</w:t>
      </w:r>
    </w:p>
    <w:p>
      <w:pPr>
        <w:pStyle w:val="6"/>
        <w:spacing w:after="0" w:line="360" w:lineRule="auto"/>
        <w:ind w:firstLine="480" w:firstLineChars="2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 xml:space="preserve">（2）“投标人”指向招标人提交投标文件的当事人。   </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（3）“承包人”指其投标被招标人接受并与其签订承包合同的当事人。</w:t>
      </w:r>
    </w:p>
    <w:p>
      <w:pPr>
        <w:pStyle w:val="6"/>
        <w:spacing w:after="0" w:line="360" w:lineRule="auto"/>
        <w:ind w:firstLine="480" w:firstLineChars="2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（4）“招标文件”指由招标代理发出的本文件（包括全部章节、附件）及招标答疑会会议纪要和招标文件的澄清与修改文件。</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（5）“投标文件”指投标人根据本项目招标文件向招标人提交的全部文件。</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（6）“书面形式”指打字或印刷的文件和数据电文（包括电报、电传、传真、电子数据交换和电子邮件）。</w:t>
      </w:r>
    </w:p>
    <w:p>
      <w:pPr>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2、招标说明</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2.1本招标工程项目按照《中华人民共和国招标投标法》等有关法律、行政法规、规章和规范性文件，通过招标方式选定承包人。</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2.2工程名称、建设地点、建设规模、承包方式、质量标准、招标范围、工期要求等均在投标须知前附表中列明。</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2.3设计说明：详见招标图纸。</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2.4工程施工特点：详见招标图纸。</w:t>
      </w:r>
    </w:p>
    <w:p>
      <w:pPr>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3．资金来源</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3.1本招标工程项目资金来源见投标须知前附表第9项</w:t>
      </w:r>
    </w:p>
    <w:p>
      <w:pPr>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4．合格投标人的条件</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4.1详见本项目招标公告</w:t>
      </w:r>
    </w:p>
    <w:p>
      <w:pPr>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5．踏勘现场</w:t>
      </w:r>
    </w:p>
    <w:p>
      <w:pPr>
        <w:spacing w:line="360" w:lineRule="auto"/>
        <w:ind w:firstLine="480" w:firstLineChars="2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5.1 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5.2 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5.3 经招标人允许，投标人可为踏勘目的进入招标人的项目现场。在考察过程中，投标人及其代表必须承担那些进入现场后，由于他们的行为所造成的人身伤害（不管是否致命）、财产损失或损坏，以及其他任何原因造成的损失、损坏或费用，投标人不得因此使招标人承担有关的责任和蒙受损失。</w:t>
      </w:r>
    </w:p>
    <w:p>
      <w:pPr>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6．投标费用</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6.1不论投标结果如何，投标人应承担自身因投标文件编制、递交及其他参加本招标活动所涉及的一切费用，招标人对上述费用不负任何责任。</w:t>
      </w:r>
    </w:p>
    <w:p>
      <w:pPr>
        <w:pStyle w:val="9"/>
        <w:spacing w:before="156" w:beforeAutospacing="0" w:after="156" w:afterAutospacing="0"/>
        <w:rPr>
          <w:rFonts w:hint="default" w:ascii="Times New Roman" w:hAnsi="Times New Roman" w:eastAsia="宋体" w:cs="Times New Roman"/>
          <w:b/>
          <w:bCs/>
          <w:color w:val="auto"/>
          <w:highlight w:val="none"/>
        </w:rPr>
      </w:pPr>
      <w:bookmarkStart w:id="14" w:name="_Toc21377"/>
      <w:bookmarkStart w:id="15" w:name="_Toc27901"/>
      <w:r>
        <w:rPr>
          <w:rFonts w:hint="default" w:ascii="Times New Roman" w:hAnsi="Times New Roman" w:eastAsia="宋体" w:cs="Times New Roman"/>
          <w:b/>
          <w:bCs/>
          <w:color w:val="auto"/>
          <w:highlight w:val="none"/>
        </w:rPr>
        <w:t>（二）招标文件</w:t>
      </w:r>
      <w:bookmarkEnd w:id="14"/>
      <w:bookmarkEnd w:id="15"/>
    </w:p>
    <w:p>
      <w:pPr>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7.招标文件的组成</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7.1本招标文件包括下列文件，以及所有按本须知第8条发出的招标答疑会会议纪要和按本须知第9条发出的澄清或修改：</w:t>
      </w:r>
    </w:p>
    <w:p>
      <w:pPr>
        <w:pStyle w:val="6"/>
        <w:spacing w:after="0" w:line="360" w:lineRule="auto"/>
        <w:ind w:left="-2"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第一章  投标须知</w:t>
      </w:r>
    </w:p>
    <w:p>
      <w:pPr>
        <w:pStyle w:val="6"/>
        <w:spacing w:after="0" w:line="360" w:lineRule="auto"/>
        <w:ind w:left="-2"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第二章  开标、评标及定标办法</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第三章  合同条款</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第四章  投标文件格式</w:t>
      </w:r>
    </w:p>
    <w:p>
      <w:pPr>
        <w:pStyle w:val="6"/>
        <w:spacing w:after="0" w:line="360" w:lineRule="auto"/>
        <w:ind w:left="-2"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第五章  技术条件（工程建设标准）</w:t>
      </w:r>
    </w:p>
    <w:p>
      <w:pPr>
        <w:pStyle w:val="6"/>
        <w:spacing w:after="0" w:line="360" w:lineRule="auto"/>
        <w:ind w:left="-2"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第六章  图纸及勘察资料（另册）</w:t>
      </w:r>
    </w:p>
    <w:p>
      <w:pPr>
        <w:pStyle w:val="6"/>
        <w:spacing w:after="0" w:line="360" w:lineRule="auto"/>
        <w:ind w:left="-2"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第七章  招标工程量清单（另册）</w:t>
      </w:r>
    </w:p>
    <w:p>
      <w:pPr>
        <w:pStyle w:val="6"/>
        <w:spacing w:after="0" w:line="360" w:lineRule="auto"/>
        <w:ind w:left="-2"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第八章  最高投标限价</w:t>
      </w:r>
    </w:p>
    <w:p>
      <w:pPr>
        <w:pStyle w:val="6"/>
        <w:spacing w:after="0" w:line="360" w:lineRule="auto"/>
        <w:ind w:left="-2"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注：招标人应在技术条件（工程建设标准）中明确施工现场建筑垃圾源头减量的具体要求和建筑垃圾综合利用产品的使用要求。</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7.3 投标人一旦中标，招标文件的内容对招标人和中标人双方均有约束力。</w:t>
      </w:r>
    </w:p>
    <w:p>
      <w:pPr>
        <w:pStyle w:val="6"/>
        <w:spacing w:after="0"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8．招标答疑</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8.1 投标人若对招标文件（包括招标图纸）中有疑问，可以书面形式通过</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交易平台提交给招标人或招标代理人，提交形式见本须知前附表第16项。</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8.2招标答疑会会议纪要将在提交投标文件截止时间15日前在</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交易平台 “项目答疑纪要”专区公开发布。答疑纪要一经在</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交易平台发布，视作已发放给所有投标人。</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8.3答疑会会议纪要为招标文件的一部分。</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8.4若招标答疑会会议纪要与招标文件有矛盾，以答疑会议纪要最后发出的书面形式的文件为准。</w:t>
      </w:r>
    </w:p>
    <w:p>
      <w:pPr>
        <w:pStyle w:val="6"/>
        <w:spacing w:after="0"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9.招标文件的澄清与修改</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9.1招标文件发出后,在提交投标文件截止时间15日前，招标人可对招标文件进行必要的澄清或修改。</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9.2招标文件的澄清或修改将在</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交易平台“项目答疑纪要”专区公开发布。答疑纪要一经在</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交易平台发布，视作已发放给所有投标人，以</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交易平台上网发布时间作为送达时间。</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9.3招标文件的修改内容为招标文件的组成部分。</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9.4招标文件的澄清或修改均以书面形式明确的内容为准。当招标文件的澄清、修改、补充等在同一内容的表述不一致时，以最后发出的书面形式的文件为准。</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9"/>
        <w:spacing w:before="156" w:beforeAutospacing="0" w:after="156" w:afterAutospacing="0"/>
        <w:rPr>
          <w:rFonts w:hint="default" w:ascii="Times New Roman" w:hAnsi="Times New Roman" w:eastAsia="宋体" w:cs="Times New Roman"/>
          <w:b/>
          <w:bCs/>
          <w:color w:val="auto"/>
          <w:highlight w:val="none"/>
        </w:rPr>
      </w:pPr>
      <w:bookmarkStart w:id="16" w:name="_Toc29684"/>
      <w:bookmarkStart w:id="17" w:name="_Toc5980"/>
      <w:r>
        <w:rPr>
          <w:rFonts w:hint="default" w:ascii="Times New Roman" w:hAnsi="Times New Roman" w:eastAsia="宋体" w:cs="Times New Roman"/>
          <w:b/>
          <w:bCs/>
          <w:color w:val="auto"/>
          <w:highlight w:val="none"/>
        </w:rPr>
        <w:t>（三）投标文件的编制</w:t>
      </w:r>
      <w:bookmarkEnd w:id="16"/>
      <w:bookmarkEnd w:id="17"/>
    </w:p>
    <w:p>
      <w:pPr>
        <w:pStyle w:val="6"/>
        <w:spacing w:after="0"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10．投标文件的语言及度量衡单位</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10.1 投标文件和与投标有关的所有文件均应使用中文。</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10.2 除工程规范另有规定外，投标文件使用的度量衡单位，均采用中华人民共和国法定计量单位。</w:t>
      </w:r>
    </w:p>
    <w:p>
      <w:pPr>
        <w:pStyle w:val="6"/>
        <w:spacing w:after="0"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11．投标文件的组成</w:t>
      </w:r>
    </w:p>
    <w:p>
      <w:pPr>
        <w:pStyle w:val="6"/>
        <w:spacing w:after="0" w:line="360" w:lineRule="auto"/>
        <w:ind w:firstLine="480"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rPr>
        <w:t>11.1 投标文件由技术部分（含资格审查文件）和经济部分二部分投标文件组成</w:t>
      </w:r>
      <w:r>
        <w:rPr>
          <w:rFonts w:hint="default" w:ascii="Times New Roman" w:hAnsi="Times New Roman" w:eastAsia="宋体" w:cs="Times New Roman"/>
          <w:b/>
          <w:bCs/>
          <w:color w:val="auto"/>
          <w:sz w:val="24"/>
          <w:szCs w:val="24"/>
          <w:highlight w:val="none"/>
        </w:rPr>
        <w:t>。</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11.2投标文件技术标部分主要包括下列内容:</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11.2.1 技术投标文件(按招标文件的要求填写)；</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11.2.2 资格审查文件：</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（1）投标人声明； </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（2）法定代表人证明书、法定代表人签字或盖章的本投标文件授权委托证明书；</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（3）企业营业执照（取自平台内上传件）；</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（4）企业资质证书（取自平台内上传件）；</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（5）建筑施工企业安全生产许可证（取自平台内上传件）；</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（6）项目负责人（按网上投标登记时选择拟投标的项目负责人）</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（7）专职安全员（按网上投标登记时选择拟投标的专职安全员）</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（8）拟委托技术负责人的相关证书、资料（具体要求由招标人明确）</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（9）拟委派项目负责人的建造师注册证书（取自平台内上传件）； </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（10）项目负责人安全生产考核合格证明或在有效期内的安全考核合格证书（B类）或建筑施工企业项目负责人安全生产考核合格证书（取自平台内上传件）；</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（11）专职安全员须具有在有效期内的安全考核合格证书（C类）或建筑施工企业专职安全生产管理人员安全生产考核合格证书（取自平台内上传件）；</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（12）用于资格审查的业绩（设置业绩要求时选择此项，投标人须提供类似工程业绩的项目名称及项目编号，具体格式由招标人自定）；</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（13）资格审查前，投标人须在广州市住房和城乡建设局建立企业信用档案，拟担任本工程项目负责人、专职安全员须是本企业信用档案中的在册人员。</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（14）列明主办单位的联合体工作协议（采用联合体投标时需递交，投标人拟任本工程项目负责人应为联合体主办方信用档案中的在册人员，联合体工作协议应明确约定各方拟承担的工作和责任）； </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11.2.3项目管理机构配备。</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（1）投标人应列出该项目工程的施工组织机构构成和画出机构框架图及其负责人；</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（2）投标人应详细列出该施工组织机构中主要成员的名单、简历资料、职务职称和在本项目中拟担任的职务等资料，并附上有关证明材料扫描件；</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（3）其他辅助说明资料。</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11.2.4投标人在广州市可使用适合本工程的机械设备（附：机械设备为自有或租赁的说明；及承诺机械设备如属于租赁的，其租赁是不属于重复租赁）。</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11.2.5施工组织设计或施工方案</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（投标人在编制施工组织设计或施工方案时应按照招标人提出的施工现场建筑垃圾源头减量的具体要求以及建筑垃圾综合利用产品的使用要求提供相应措施。）</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11.2.6按照招标文件要求填写的《参与编制技术标投标文件人员名单》。</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11.3 经济部分投标文件主要包括下列内容：</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11.3.1 经济投标文件(按招标文件的要求填写)。</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spacing w:line="360" w:lineRule="auto"/>
        <w:ind w:firstLine="566" w:firstLineChars="23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（1）投标总价封面、扉页；</w:t>
      </w:r>
    </w:p>
    <w:p>
      <w:pPr>
        <w:spacing w:line="360" w:lineRule="auto"/>
        <w:ind w:firstLine="566" w:firstLineChars="23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（2）总说明</w:t>
      </w:r>
    </w:p>
    <w:p>
      <w:pPr>
        <w:spacing w:line="360" w:lineRule="auto"/>
        <w:ind w:firstLine="566" w:firstLineChars="23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（3）工程项目投标报价汇总表；</w:t>
      </w:r>
    </w:p>
    <w:p>
      <w:pPr>
        <w:spacing w:line="360" w:lineRule="auto"/>
        <w:ind w:firstLine="566" w:firstLineChars="23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（4）单项工程投标报价汇总表；</w:t>
      </w:r>
    </w:p>
    <w:p>
      <w:pPr>
        <w:spacing w:line="360" w:lineRule="auto"/>
        <w:ind w:firstLine="566" w:firstLineChars="23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（5）单位工程投标报价汇总表；</w:t>
      </w:r>
    </w:p>
    <w:p>
      <w:pPr>
        <w:spacing w:line="360" w:lineRule="auto"/>
        <w:ind w:firstLine="566" w:firstLineChars="23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（6）分部分项工程清单与计价表；</w:t>
      </w:r>
    </w:p>
    <w:p>
      <w:pPr>
        <w:spacing w:line="360" w:lineRule="auto"/>
        <w:ind w:firstLine="566" w:firstLineChars="23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（7）单价措施项目清单与计价表；</w:t>
      </w:r>
    </w:p>
    <w:p>
      <w:pPr>
        <w:spacing w:line="360" w:lineRule="auto"/>
        <w:ind w:firstLine="566" w:firstLineChars="23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（8）总价措施项目清单与计价表；</w:t>
      </w:r>
    </w:p>
    <w:p>
      <w:pPr>
        <w:spacing w:line="360" w:lineRule="auto"/>
        <w:ind w:firstLine="566" w:firstLineChars="23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（9）综合单价分析表；</w:t>
      </w:r>
    </w:p>
    <w:p>
      <w:pPr>
        <w:spacing w:line="360" w:lineRule="auto"/>
        <w:ind w:firstLine="566" w:firstLineChars="23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（10）其他项目清单与计价汇总表；</w:t>
      </w:r>
    </w:p>
    <w:p>
      <w:pPr>
        <w:spacing w:line="360" w:lineRule="auto"/>
        <w:ind w:firstLine="566" w:firstLineChars="23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（11）暂列金额明细表；</w:t>
      </w:r>
    </w:p>
    <w:p>
      <w:pPr>
        <w:spacing w:line="360" w:lineRule="auto"/>
        <w:ind w:firstLine="566" w:firstLineChars="23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（12）材料（工程设备）暂估价明细表；</w:t>
      </w:r>
    </w:p>
    <w:p>
      <w:pPr>
        <w:spacing w:line="360" w:lineRule="auto"/>
        <w:ind w:firstLine="566" w:firstLineChars="23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（13）专业工程暂估价明细表；</w:t>
      </w:r>
    </w:p>
    <w:p>
      <w:pPr>
        <w:spacing w:line="360" w:lineRule="auto"/>
        <w:ind w:firstLine="566" w:firstLineChars="23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（14）计日工表；</w:t>
      </w:r>
    </w:p>
    <w:p>
      <w:pPr>
        <w:spacing w:line="360" w:lineRule="auto"/>
        <w:ind w:firstLine="566" w:firstLineChars="23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（15）总承包服务计价表；</w:t>
      </w:r>
    </w:p>
    <w:p>
      <w:pPr>
        <w:spacing w:line="360" w:lineRule="auto"/>
        <w:ind w:firstLine="566" w:firstLineChars="23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（16）规费和税金项目计价表；</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（17）人工、主要材料和设备一览表</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11.3.3按照招标文件要求填写的《参与编制经济标投标文件人员名单》。</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11.3.4若投标人的投标报价低于工程成本警戒价的，投标人还须提供详细的施工组织设计、单价、措施性费用、单价分析表、主要材料价格表、投标人成本分析供评标委员会评审。</w:t>
      </w:r>
    </w:p>
    <w:p>
      <w:pPr>
        <w:pStyle w:val="6"/>
        <w:spacing w:after="0"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12．投标文件格式</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12.1 投标文件包括本须知第11条中规定的内容，投标人提交的投标文件应当使用招标文件所提供的投标文件全部格式（表格可以按同样格式扩展）。</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 xml:space="preserve"> 。</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12.3 投标文件应按照交易平台关于全流程电子化项目的相关指南进行编制，详见：</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 xml:space="preserve">。               </w:t>
      </w:r>
    </w:p>
    <w:p>
      <w:pPr>
        <w:pStyle w:val="6"/>
        <w:spacing w:after="0" w:line="360" w:lineRule="auto"/>
        <w:ind w:firstLine="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如不按上述要求编制引起系统无法检索、读取相关信息的，其后果由投标人承担。</w:t>
      </w:r>
    </w:p>
    <w:p>
      <w:pPr>
        <w:pStyle w:val="6"/>
        <w:spacing w:after="0"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13．投标报价及造价承包和变更结算方式</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13.1 本工程的投标报价采用投标须知前附表第12项所规定的方式。投标报价（含单价及总价）精确到“分”。</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13.5.1中标的投标文件工程量清单中已有相同项目的适用综合单价，则沿用；</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13.5.4 如相关定额没有相应子目的，其计价方式由招标人在本招标文件第三章中另行规定。未规定的，中标后双方协商约定。</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13.6暂列金额、暂估价</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暂估价是指招标人在工程量清单中提供的用于支付必然发生但暂时不能确定价格的材料的单价以及专业工程的金额。</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13.7投标人可先到工地踏勘以充分了解工地位置、情况、道路、储存空间、装卸限制及任何其他足以影响承包价的情况，任何因忽视或误解工地情况而导致的索赔或工期延长申请将不被批准。</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6"/>
        <w:spacing w:after="0"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14．投标货币</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14.1 本工程投标报价采用的币种为人民币。</w:t>
      </w:r>
    </w:p>
    <w:p>
      <w:pPr>
        <w:pStyle w:val="6"/>
        <w:spacing w:after="0" w:line="360" w:lineRule="auto"/>
        <w:ind w:firstLine="482"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15．投标有效期</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15.1 投标有效期见投标须知前附表第13项所规定的期限，在此期限内，凡符合本招标文件要求的投标文件均保持有效。</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pStyle w:val="6"/>
        <w:spacing w:after="0"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16．投标保证金</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16.1投标人应按投标须知前附表第14项所述金额和时间递交投标保证金。招标人应当允许投标人自主选择现金、银行保函、保证保险、专业工程担保公司担保等方式缴纳投标保证金。</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16.1.1 采用现金或者支票形式提交的，投标保证金须从投标人的银行基本账户转出。</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16.1.3 采用电子形式的保函、担保或保证保险提交投标保证金的，应在招标文件中明确电子递交途径。</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16.3投标保证金应依据法律法规的相关规定退还。</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16.4如有下列情况之一的，招标人可以不予退还投标保证金（是否退还投标保证金由招标人在招标文件中规定）：</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16.4.1因投标人原因造成投标文件未解密的；</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16.4.2投标人在投标有效期内撤销投标文件；</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16.4.3中标人未能在规定期限内按要求提交履约担保；</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16.4.4中标人未能在规定期限内签署合同协议。</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16.5投标人如存在下列情况之一的，将被拒绝在一定时期内参与招标人后续工程投标（拒绝时限需在招标文件中明确）：</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16.5.1投标人存在16.4条款所列情形且投标人提交的保函、担保或保证保险无法兑付的；</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16.5.3按招标文件要求免于提供投标保证金的投标人存在16.4条款所列情形，且未按招标人要求补交投标保证金的；</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16.5.3按招标文件要求免于提供投标保证金的投标人存在16.4条款所列情形的。</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注：16.5.3款由招标人二选一，需在招标文件中明确。</w:t>
      </w:r>
    </w:p>
    <w:p>
      <w:pPr>
        <w:pStyle w:val="6"/>
        <w:spacing w:after="0"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17．投标文件的签署</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 xml:space="preserve"> 。</w:t>
      </w:r>
    </w:p>
    <w:p>
      <w:pPr>
        <w:pStyle w:val="9"/>
        <w:spacing w:before="156" w:beforeAutospacing="0" w:after="156" w:afterAutospacing="0"/>
        <w:rPr>
          <w:rFonts w:hint="default" w:ascii="Times New Roman" w:hAnsi="Times New Roman" w:eastAsia="宋体" w:cs="Times New Roman"/>
          <w:b/>
          <w:bCs/>
          <w:color w:val="auto"/>
          <w:highlight w:val="none"/>
        </w:rPr>
      </w:pPr>
      <w:bookmarkStart w:id="18" w:name="_Toc16936"/>
      <w:bookmarkStart w:id="19" w:name="_Toc30910"/>
      <w:r>
        <w:rPr>
          <w:rFonts w:hint="default" w:ascii="Times New Roman" w:hAnsi="Times New Roman" w:eastAsia="宋体" w:cs="Times New Roman"/>
          <w:b/>
          <w:bCs/>
          <w:color w:val="auto"/>
          <w:highlight w:val="none"/>
        </w:rPr>
        <w:t>（四）投标文件的提交</w:t>
      </w:r>
      <w:bookmarkEnd w:id="18"/>
      <w:bookmarkEnd w:id="19"/>
    </w:p>
    <w:p>
      <w:pPr>
        <w:pStyle w:val="6"/>
        <w:spacing w:after="0"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18．投标文件的密封和标记</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18.1递交的电子投标文件（不含备用光盘）必须进行加密。按照交易平台关于全流程电子化项目的相关指南进行操作。详见：</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 xml:space="preserve"> 。</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18.2 未按要求加密的投标文件，</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交易平台将予以拒收。</w:t>
      </w:r>
    </w:p>
    <w:p>
      <w:pPr>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19．投标文件的递交和接收</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19.1投标人通过</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交易平台递交电子投标文件。</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19.2投标人完成电子投标文件上传后，</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交易平台即时向投标人发出递交回执通知。递交时间以递交回执通知载明的传输完成时间为准。</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19.3逾期送达的电子投标文件，</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交易平台将予以拒收。</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19.4 投标截止前，招标人拒绝接收符合条件的投标文件，投标人可向招标投标监督机构投诉。</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19.5如技术标和经济标先后分别开启，</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交易平台将按招标文件规定的时间分别开启技术标和经济标。</w:t>
      </w:r>
    </w:p>
    <w:p>
      <w:pPr>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20．投标文件提交的截止时间</w:t>
      </w:r>
    </w:p>
    <w:p>
      <w:pPr>
        <w:spacing w:line="360" w:lineRule="auto"/>
        <w:ind w:firstLine="480"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rPr>
        <w:t>20.1投标人应在投标须知前附表第17项所述的时间前提交投标文件。</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20.2招标人可按本须知第9条规定以招标文件修改的方式，酌情延长提交投标文件的截止时间。在此情况下，投标人的所有权利和义务以及投标人受制约的截止时间，均以延长后新的投标截止时间为准。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20.3 到投标截止时间止，招标人收到的投标文件少于3家的，招标人将重新组织招标（当N个标段同时招标且不允许兼中时，若有效投标人不足N+2家，则重新组织招标）。</w:t>
      </w:r>
    </w:p>
    <w:p>
      <w:pPr>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21．迟交的投标文件</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21.1 本须知前附表第17项规定的投标截止时间后送达的电子投标文件，</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交易平台将予以拒收。</w:t>
      </w:r>
    </w:p>
    <w:p>
      <w:pPr>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22．投标文件的修改与撤回</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22.1在规定的投标截止时间前，投标人可以修改或撤回已递交的投标文件，但应以书面形式通知招标人。</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22.2投标人修改或撤回已递交的投标文件，需在交易平台发出修改或撤回通知，并按要求加盖电子印章。电子招标投标交易平台收到通知后，即时向投标人发出确认回执通知。</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22.3修改后再次递交的，按19点的规定执行。</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22.4 在投标截止时间之后，投标人不得补充、修改和更换投标文件。</w:t>
      </w:r>
    </w:p>
    <w:p>
      <w:pPr>
        <w:pStyle w:val="9"/>
        <w:spacing w:before="156" w:beforeAutospacing="0" w:after="156" w:afterAutospacing="0"/>
        <w:rPr>
          <w:rFonts w:hint="default" w:ascii="Times New Roman" w:hAnsi="Times New Roman" w:eastAsia="宋体" w:cs="Times New Roman"/>
          <w:b/>
          <w:bCs/>
          <w:color w:val="auto"/>
          <w:highlight w:val="none"/>
        </w:rPr>
      </w:pPr>
      <w:bookmarkStart w:id="20" w:name="_Toc11842"/>
      <w:bookmarkStart w:id="21" w:name="_Toc3480"/>
      <w:r>
        <w:rPr>
          <w:rFonts w:hint="default" w:ascii="Times New Roman" w:hAnsi="Times New Roman" w:eastAsia="宋体" w:cs="Times New Roman"/>
          <w:b/>
          <w:bCs/>
          <w:color w:val="auto"/>
          <w:highlight w:val="none"/>
        </w:rPr>
        <w:t>（五）开标、评标、定标及合同签定</w:t>
      </w:r>
      <w:bookmarkEnd w:id="20"/>
      <w:bookmarkEnd w:id="21"/>
    </w:p>
    <w:p>
      <w:pPr>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23、开标。</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详见第二章开标、评标及定标办法</w:t>
      </w:r>
    </w:p>
    <w:p>
      <w:pPr>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24．评标过程的保密</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24.1 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24.2 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25．投标文件的澄清，计算错误的修正</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详见招标文件第二章开标、评标及定标办法</w:t>
      </w:r>
    </w:p>
    <w:p>
      <w:pPr>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26．投标文件的评审、比较和否决</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详见招标文件第二章开标、评标及定标办法。</w:t>
      </w:r>
    </w:p>
    <w:p>
      <w:pPr>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27．中标通知书</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27.1招标人将在</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27.2招标人应当自确定中标人后，向招标投标监管机构提交招标投标情况的书面报告；经招投标监管机构备案后，方可发出中标通知书。</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27.3中标人必须在收到中标通知书后24小时之内以书面形式回复招标人，确认收到。</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27.4在产生中标候选人后，招标人将中标候选人的投标文件商务部分文件的所有内容（包括人员、业绩、奖项等资料）在</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交易平台和广东省招标投标监管网公开。</w:t>
      </w:r>
    </w:p>
    <w:p>
      <w:pPr>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28．合同协议书的签订</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28.1 招标人与中标人将于中标通知书发出之日起30日内，按照招标文件和中标人的投标文件商定和签订合同，招标人和中标人不得再行订立背离合同实质性内容的其他协议。</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28.3非经招标人同意，中标人在投标过程中使用的银行名称及帐号至完成竣工结算不得变更，否则招标人有权停止工程款项的拔付及至解除合同，由此造成的一切责任由中标人承担。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28.4招标人支付工程款时，中标人应按规定开具发票。</w:t>
      </w:r>
    </w:p>
    <w:p>
      <w:pPr>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29．履约担保</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29.1 在收到中标通知书后的</w:t>
      </w:r>
      <w:r>
        <w:rPr>
          <w:rFonts w:hint="default" w:ascii="Times New Roman" w:hAnsi="Times New Roman" w:eastAsia="宋体" w:cs="Times New Roman"/>
          <w:b/>
          <w:bCs/>
          <w:color w:val="auto"/>
          <w:sz w:val="24"/>
          <w:szCs w:val="24"/>
          <w:highlight w:val="none"/>
        </w:rPr>
        <w:t>15日</w:t>
      </w:r>
      <w:r>
        <w:rPr>
          <w:rFonts w:hint="default" w:ascii="Times New Roman" w:hAnsi="Times New Roman" w:eastAsia="宋体" w:cs="Times New Roman"/>
          <w:color w:val="auto"/>
          <w:sz w:val="24"/>
          <w:szCs w:val="24"/>
          <w:highlight w:val="none"/>
        </w:rPr>
        <w:t>内，中标人应按本须知前附表第20项的规定向招标人提交履约担保。</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30．合同生效</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30.1在合同双方全权代表在合同协议书上签字，并分别加盖双方单位的公章后，合同正式生效。</w:t>
      </w:r>
    </w:p>
    <w:p>
      <w:pPr>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31．其它费用</w:t>
      </w:r>
    </w:p>
    <w:p>
      <w:pPr>
        <w:pStyle w:val="6"/>
        <w:spacing w:after="0"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32．腐败与欺诈行为</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在招标和合同实施期间，招标人要求投标人和承包人遵守最高的道德标准。</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32．1对本条款的规定，特定义如下词汇：</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1）、“腐败行为”是指在招标或合同执行期间，通过提供、给予、接受或索要任何有价值的东西，从而影响招标人有关人员工作的行为；</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32．2如果投标人被认定在本招标的竞争中有腐败或欺诈行为，则会被取消投标资格。</w:t>
      </w:r>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pPr>
        <w:pStyle w:val="11"/>
        <w:rPr>
          <w:rFonts w:hint="default" w:ascii="Times New Roman" w:hAnsi="Times New Roman" w:eastAsia="宋体" w:cs="Times New Roman"/>
          <w:color w:val="auto"/>
          <w:highlight w:val="none"/>
        </w:rPr>
      </w:pPr>
    </w:p>
    <w:p>
      <w:pPr>
        <w:pStyle w:val="6"/>
        <w:spacing w:line="460" w:lineRule="exact"/>
        <w:ind w:firstLine="480" w:firstLineChars="200"/>
        <w:rPr>
          <w:rFonts w:hint="default" w:ascii="Times New Roman" w:hAnsi="Times New Roman" w:eastAsia="宋体" w:cs="Times New Roman"/>
          <w:color w:val="auto"/>
          <w:sz w:val="24"/>
          <w:highlight w:val="none"/>
        </w:rPr>
      </w:pPr>
    </w:p>
    <w:p>
      <w:pPr>
        <w:keepNext/>
        <w:keepLines/>
        <w:spacing w:before="120" w:after="120" w:line="360" w:lineRule="auto"/>
        <w:jc w:val="center"/>
        <w:outlineLvl w:val="0"/>
        <w:rPr>
          <w:rFonts w:hint="default" w:ascii="Times New Roman" w:hAnsi="Times New Roman" w:eastAsia="宋体" w:cs="Times New Roman"/>
          <w:b/>
          <w:color w:val="auto"/>
          <w:kern w:val="44"/>
          <w:sz w:val="28"/>
          <w:szCs w:val="28"/>
          <w:highlight w:val="none"/>
        </w:rPr>
      </w:pPr>
      <w:r>
        <w:rPr>
          <w:rFonts w:hint="default" w:ascii="Times New Roman" w:hAnsi="Times New Roman" w:eastAsia="宋体" w:cs="Times New Roman"/>
          <w:b/>
          <w:color w:val="auto"/>
          <w:kern w:val="44"/>
          <w:sz w:val="28"/>
          <w:szCs w:val="28"/>
          <w:highlight w:val="none"/>
        </w:rPr>
        <w:br w:type="page"/>
      </w:r>
      <w:bookmarkStart w:id="22" w:name="_Toc31488"/>
      <w:r>
        <w:rPr>
          <w:rFonts w:hint="default" w:ascii="Times New Roman" w:hAnsi="Times New Roman" w:eastAsia="宋体" w:cs="Times New Roman"/>
          <w:b/>
          <w:color w:val="auto"/>
          <w:kern w:val="44"/>
          <w:sz w:val="28"/>
          <w:szCs w:val="28"/>
          <w:highlight w:val="none"/>
        </w:rPr>
        <w:t>第二章  开标、评标及定标办法</w:t>
      </w:r>
      <w:bookmarkEnd w:id="22"/>
    </w:p>
    <w:p>
      <w:pPr>
        <w:keepNext/>
        <w:keepLines/>
        <w:numPr>
          <w:ilvl w:val="1"/>
          <w:numId w:val="0"/>
        </w:numPr>
        <w:spacing w:line="360" w:lineRule="auto"/>
        <w:ind w:left="454" w:firstLine="525"/>
        <w:jc w:val="center"/>
        <w:outlineLvl w:val="1"/>
        <w:rPr>
          <w:rFonts w:hint="default" w:ascii="Times New Roman" w:hAnsi="Times New Roman" w:eastAsia="宋体" w:cs="Times New Roman"/>
          <w:b/>
          <w:color w:val="auto"/>
          <w:kern w:val="0"/>
          <w:sz w:val="24"/>
          <w:szCs w:val="24"/>
          <w:highlight w:val="none"/>
        </w:rPr>
      </w:pPr>
      <w:bookmarkStart w:id="23" w:name="_Toc16407"/>
      <w:bookmarkStart w:id="24" w:name="_Toc62134844"/>
      <w:bookmarkStart w:id="25" w:name="_Toc27154"/>
      <w:r>
        <w:rPr>
          <w:rFonts w:hint="default" w:ascii="Times New Roman" w:hAnsi="Times New Roman" w:eastAsia="宋体" w:cs="Times New Roman"/>
          <w:b/>
          <w:color w:val="auto"/>
          <w:kern w:val="0"/>
          <w:sz w:val="28"/>
          <w:szCs w:val="28"/>
          <w:highlight w:val="none"/>
        </w:rPr>
        <w:t>一、</w:t>
      </w:r>
      <w:r>
        <w:rPr>
          <w:rFonts w:hint="default" w:ascii="Times New Roman" w:hAnsi="Times New Roman" w:eastAsia="宋体" w:cs="Times New Roman"/>
          <w:b/>
          <w:color w:val="auto"/>
          <w:kern w:val="0"/>
          <w:sz w:val="24"/>
          <w:szCs w:val="24"/>
          <w:highlight w:val="none"/>
        </w:rPr>
        <w:t>开标、评标及定标办法修改表</w:t>
      </w:r>
      <w:bookmarkEnd w:id="23"/>
      <w:bookmarkEnd w:id="24"/>
      <w:bookmarkEnd w:id="25"/>
    </w:p>
    <w:p>
      <w:pPr>
        <w:spacing w:line="360" w:lineRule="auto"/>
        <w:ind w:firstLine="420"/>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http://zfcj.gz.gov.cn/）下载GZZB2018-3范本查阅。</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条款号：（二）开标评标办法程序和细则       修改类型：删除</w:t>
      </w:r>
    </w:p>
    <w:p>
      <w:pPr>
        <w:pBdr>
          <w:bottom w:val="single" w:color="auto" w:sz="6" w:space="1"/>
        </w:pBd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可选办法一（适合综合评分法一，技术标与经济标先后分别开启）</w:t>
      </w:r>
    </w:p>
    <w:p>
      <w:pPr>
        <w:pBdr>
          <w:bottom w:val="single" w:color="auto" w:sz="6" w:space="1"/>
        </w:pBdr>
        <w:spacing w:line="460" w:lineRule="exact"/>
        <w:ind w:firstLine="472"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可选办法二（适合综合评分法一，技术标与经济标同时开启）</w:t>
      </w:r>
    </w:p>
    <w:p>
      <w:pPr>
        <w:pBdr>
          <w:bottom w:val="single" w:color="auto" w:sz="6" w:space="1"/>
        </w:pBd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可选办法三（适合综合评分法二，技术标与经济标先后分别开启）</w:t>
      </w:r>
    </w:p>
    <w:p>
      <w:pPr>
        <w:pBdr>
          <w:bottom w:val="single" w:color="auto" w:sz="6" w:space="1"/>
        </w:pBdr>
        <w:spacing w:line="460" w:lineRule="exact"/>
        <w:ind w:firstLine="472"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可选办法四（适合综合评分法二，技术标与经济标同时开启）</w:t>
      </w:r>
    </w:p>
    <w:p>
      <w:pPr>
        <w:pBdr>
          <w:bottom w:val="single" w:color="auto" w:sz="6" w:space="1"/>
        </w:pBdr>
        <w:spacing w:line="460" w:lineRule="exact"/>
        <w:ind w:firstLine="472"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可选办法五（适合综合评分法三，技术标与经济标先后分别开启）</w:t>
      </w:r>
    </w:p>
    <w:p>
      <w:pPr>
        <w:pBdr>
          <w:bottom w:val="single" w:color="auto" w:sz="6" w:space="1"/>
        </w:pBdr>
        <w:spacing w:line="460" w:lineRule="exact"/>
        <w:ind w:firstLine="472"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可选办法六（适合综合评分法三，技术标与经济标同时开启）</w:t>
      </w:r>
    </w:p>
    <w:p>
      <w:pPr>
        <w:pBdr>
          <w:bottom w:val="single" w:color="auto" w:sz="6" w:space="1"/>
        </w:pBdr>
        <w:spacing w:line="460" w:lineRule="exact"/>
        <w:ind w:firstLine="472"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可选办法八（适合经评审的最低投标价法，技术标与经济标同时开启）</w:t>
      </w:r>
    </w:p>
    <w:p>
      <w:pPr>
        <w:spacing w:line="44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条款号：35.10                修改类型：增加</w:t>
      </w:r>
    </w:p>
    <w:p>
      <w:pPr>
        <w:pBdr>
          <w:bottom w:val="single" w:color="auto" w:sz="6" w:space="1"/>
        </w:pBdr>
        <w:spacing w:line="360" w:lineRule="auto"/>
        <w:ind w:firstLine="517" w:firstLineChars="245"/>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color w:val="auto"/>
          <w:szCs w:val="21"/>
          <w:highlight w:val="none"/>
          <w:u w:val="single"/>
        </w:rPr>
        <w:t>35.10本项目采用评定分离定标办法，其中：评标采用通过制评审法，定标采用直接票决定标法（记名投票+撰写评语）。</w:t>
      </w:r>
    </w:p>
    <w:p>
      <w:pPr>
        <w:spacing w:line="360" w:lineRule="auto"/>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条款号：36.1             修改类型：修改</w:t>
      </w:r>
    </w:p>
    <w:p>
      <w:pPr>
        <w:spacing w:line="360" w:lineRule="auto"/>
        <w:ind w:firstLine="422"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360" w:lineRule="auto"/>
        <w:ind w:firstLine="527" w:firstLineChars="25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bCs/>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r>
        <w:rPr>
          <w:rFonts w:hint="default" w:ascii="Times New Roman" w:hAnsi="Times New Roman" w:eastAsia="宋体" w:cs="Times New Roman"/>
          <w:bCs/>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p>
    <w:p>
      <w:pPr>
        <w:spacing w:line="44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条款号：36.3             修改类型：删除</w:t>
      </w:r>
    </w:p>
    <w:p>
      <w:pPr>
        <w:pBdr>
          <w:bottom w:val="single" w:color="auto" w:sz="6" w:space="1"/>
        </w:pBd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 xml:space="preserve">36.3根据投标须知前附表第19项，如需抽取某一种评标办法供评标时使用的，应在开标前抽取。首先对招标文件中约定的若干种评标方法进行编号，再随机抽取某一编号，该编号所对应的评标办法供评标时使用。 </w:t>
      </w:r>
    </w:p>
    <w:p>
      <w:pPr>
        <w:spacing w:line="44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条款号：36.4             修改类型：修改</w:t>
      </w:r>
    </w:p>
    <w:p>
      <w:pPr>
        <w:spacing w:line="440" w:lineRule="exact"/>
        <w:ind w:firstLine="422"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bCs/>
          <w:color w:val="auto"/>
          <w:szCs w:val="21"/>
          <w:highlight w:val="none"/>
        </w:rPr>
        <w:t>36.4若递交投标文件的投标人不足3家，则重新组织招标。（当N个标段同时招标且不允许兼中时，若有效投标人不足N+2家，则重新组织招标）。</w:t>
      </w:r>
    </w:p>
    <w:p>
      <w:pPr>
        <w:pBdr>
          <w:bottom w:val="single" w:color="auto" w:sz="6" w:space="1"/>
        </w:pBdr>
        <w:spacing w:line="440" w:lineRule="exact"/>
        <w:ind w:firstLine="472" w:firstLineChars="224"/>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bCs/>
          <w:color w:val="auto"/>
          <w:szCs w:val="21"/>
          <w:highlight w:val="none"/>
          <w:u w:val="single"/>
        </w:rPr>
        <w:t>36.4若递交投标文件的投标人不足3家，则重新组织招标。</w:t>
      </w:r>
    </w:p>
    <w:p>
      <w:pPr>
        <w:spacing w:line="40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w:t>
      </w:r>
      <w:r>
        <w:rPr>
          <w:rFonts w:hint="default" w:ascii="Times New Roman" w:hAnsi="Times New Roman" w:eastAsia="宋体" w:cs="Times New Roman"/>
          <w:b/>
          <w:bCs/>
          <w:color w:val="auto"/>
          <w:szCs w:val="21"/>
          <w:highlight w:val="none"/>
        </w:rPr>
        <w:t>36.5.1</w:t>
      </w:r>
      <w:r>
        <w:rPr>
          <w:rFonts w:hint="default" w:ascii="Times New Roman" w:hAnsi="Times New Roman" w:eastAsia="宋体" w:cs="Times New Roman"/>
          <w:b/>
          <w:bCs/>
          <w:color w:val="auto"/>
          <w:szCs w:val="21"/>
          <w:highlight w:val="none"/>
          <w:lang w:val="en-US" w:eastAsia="zh-CN"/>
        </w:rPr>
        <w:t xml:space="preserve">           </w:t>
      </w:r>
      <w:r>
        <w:rPr>
          <w:rFonts w:hint="default" w:ascii="Times New Roman" w:hAnsi="Times New Roman" w:eastAsia="宋体" w:cs="Times New Roman"/>
          <w:b/>
          <w:color w:val="auto"/>
          <w:szCs w:val="21"/>
          <w:highlight w:val="none"/>
        </w:rPr>
        <w:t>修改类型：修改</w:t>
      </w:r>
    </w:p>
    <w:p>
      <w:pPr>
        <w:spacing w:line="400" w:lineRule="exact"/>
        <w:ind w:firstLine="422"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在投标截止时间后半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pBdr>
          <w:bottom w:val="single" w:color="auto" w:sz="6" w:space="1"/>
        </w:pBdr>
        <w:spacing w:line="40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rPr>
        <w:t>在投标截止时间后半小时内，投标人通过</w:t>
      </w:r>
      <w:r>
        <w:rPr>
          <w:rFonts w:hint="default" w:ascii="Times New Roman" w:hAnsi="Times New Roman" w:eastAsia="宋体" w:cs="Times New Roman"/>
          <w:color w:val="auto"/>
          <w:szCs w:val="21"/>
          <w:highlight w:val="none"/>
          <w:u w:val="single"/>
        </w:rPr>
        <w:t xml:space="preserve">广州公共资源交易中心 </w:t>
      </w:r>
      <w:r>
        <w:rPr>
          <w:rFonts w:hint="default" w:ascii="Times New Roman" w:hAnsi="Times New Roman" w:eastAsia="宋体" w:cs="Times New Roman"/>
          <w:color w:val="auto"/>
          <w:szCs w:val="21"/>
          <w:highlight w:val="none"/>
        </w:rPr>
        <w:t>交易平台对已递交的电子投标文件进行解密。投标人完成解密后，再由招标人</w:t>
      </w:r>
      <w:r>
        <w:rPr>
          <w:rFonts w:hint="default" w:ascii="Times New Roman" w:hAnsi="Times New Roman" w:eastAsia="宋体" w:cs="Times New Roman"/>
          <w:color w:val="auto"/>
          <w:szCs w:val="21"/>
          <w:highlight w:val="none"/>
          <w:u w:val="single"/>
        </w:rPr>
        <w:t>或招标代理机构</w:t>
      </w:r>
      <w:r>
        <w:rPr>
          <w:rFonts w:hint="default" w:ascii="Times New Roman" w:hAnsi="Times New Roman" w:eastAsia="宋体" w:cs="Times New Roman"/>
          <w:color w:val="auto"/>
          <w:szCs w:val="21"/>
          <w:highlight w:val="none"/>
        </w:rPr>
        <w:t>进行解密。解密完成后，公布招标项目名称、投标人名称、投标保证金的递交情况、投标报价、工期及其他内容；</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条款号：36.5.3            修改类型：修改</w:t>
      </w:r>
    </w:p>
    <w:p>
      <w:pPr>
        <w:spacing w:line="460" w:lineRule="exact"/>
        <w:ind w:firstLine="422"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投标人代表、招标人代表、监标人、记录人等有关人员在开标记录上签字确认；若有关人员不签字的，不影响开标程序；</w:t>
      </w:r>
    </w:p>
    <w:p>
      <w:pPr>
        <w:pBdr>
          <w:bottom w:val="single" w:color="auto" w:sz="6" w:space="1"/>
        </w:pBd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rPr>
        <w:t>投标人代表、招标人代表、监标人、记录人等有关人员在开标记录上签字确认；若有关人员不签字的，不影响开标程序；</w:t>
      </w:r>
      <w:r>
        <w:rPr>
          <w:rFonts w:hint="default" w:ascii="Times New Roman" w:hAnsi="Times New Roman" w:eastAsia="宋体" w:cs="Times New Roman"/>
          <w:color w:val="auto"/>
          <w:szCs w:val="21"/>
          <w:highlight w:val="none"/>
          <w:u w:val="single"/>
        </w:rPr>
        <w:t>若投标人不参加开标会的，或不签字确认的，视同该投标人认可开标结果。</w:t>
      </w:r>
    </w:p>
    <w:p>
      <w:pPr>
        <w:spacing w:line="360" w:lineRule="auto"/>
        <w:ind w:firstLine="517" w:firstLineChars="245"/>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条款号：37.2.2                    修改类型：修改</w:t>
      </w:r>
    </w:p>
    <w:p>
      <w:pPr>
        <w:spacing w:line="360" w:lineRule="auto"/>
        <w:ind w:firstLine="422"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37.2.2向招标人报告评审意见，推荐合格的中标候选人。</w:t>
      </w:r>
    </w:p>
    <w:p>
      <w:pPr>
        <w:spacing w:line="360" w:lineRule="auto"/>
        <w:ind w:firstLine="422"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rPr>
        <w:t>37.2.2</w:t>
      </w:r>
      <w:r>
        <w:rPr>
          <w:rFonts w:hint="default" w:ascii="Times New Roman" w:hAnsi="Times New Roman" w:eastAsia="宋体" w:cs="Times New Roman"/>
          <w:color w:val="auto"/>
          <w:szCs w:val="21"/>
          <w:highlight w:val="none"/>
          <w:u w:val="single"/>
        </w:rPr>
        <w:t>向招标人推荐进入定标阶段的入围合格的中标候选人【不排序，按统一社会信用代码后4位（除校验码外）大小排位】，并递交资格审查报告和评标报告</w:t>
      </w:r>
      <w:r>
        <w:rPr>
          <w:rFonts w:hint="default" w:ascii="Times New Roman" w:hAnsi="Times New Roman" w:eastAsia="宋体" w:cs="Times New Roman"/>
          <w:color w:val="auto"/>
          <w:szCs w:val="21"/>
          <w:highlight w:val="none"/>
        </w:rPr>
        <w:t>。</w:t>
      </w:r>
    </w:p>
    <w:p>
      <w:pPr>
        <w:pBdr>
          <w:top w:val="single" w:color="auto" w:sz="4" w:space="0"/>
        </w:pBdr>
        <w:spacing w:line="360" w:lineRule="auto"/>
        <w:ind w:firstLine="517" w:firstLineChars="245"/>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条款号：37.3                   修改类型：修改</w:t>
      </w:r>
    </w:p>
    <w:p>
      <w:pPr>
        <w:pBdr>
          <w:top w:val="single" w:color="auto" w:sz="4" w:space="0"/>
        </w:pBdr>
        <w:spacing w:line="360" w:lineRule="auto"/>
        <w:ind w:firstLine="517" w:firstLineChars="245"/>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原文：37.3 评标结束后，评标委员会递交评标报告并依法推荐中标候选人。</w:t>
      </w:r>
    </w:p>
    <w:p>
      <w:pPr>
        <w:pBdr>
          <w:top w:val="single" w:color="auto" w:sz="4" w:space="0"/>
        </w:pBdr>
        <w:spacing w:line="360" w:lineRule="auto"/>
        <w:ind w:firstLine="517" w:firstLineChars="245"/>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rPr>
        <w:t>37.3 评标结束后，评标委员会递交资格审查报告和评标报告并依法推荐</w:t>
      </w:r>
      <w:r>
        <w:rPr>
          <w:rFonts w:hint="default" w:ascii="Times New Roman" w:hAnsi="Times New Roman" w:eastAsia="宋体" w:cs="Times New Roman"/>
          <w:color w:val="auto"/>
          <w:szCs w:val="21"/>
          <w:highlight w:val="none"/>
          <w:u w:val="single"/>
        </w:rPr>
        <w:t>进入定标阶段的入围合格的中标</w:t>
      </w:r>
      <w:r>
        <w:rPr>
          <w:rFonts w:hint="default" w:ascii="Times New Roman" w:hAnsi="Times New Roman" w:eastAsia="宋体" w:cs="Times New Roman"/>
          <w:color w:val="auto"/>
          <w:szCs w:val="21"/>
          <w:highlight w:val="none"/>
        </w:rPr>
        <w:t>候选人</w:t>
      </w:r>
      <w:r>
        <w:rPr>
          <w:rFonts w:hint="default" w:ascii="Times New Roman" w:hAnsi="Times New Roman" w:eastAsia="宋体" w:cs="Times New Roman"/>
          <w:color w:val="auto"/>
          <w:szCs w:val="21"/>
          <w:highlight w:val="none"/>
          <w:u w:val="single"/>
        </w:rPr>
        <w:t>【不排序，按统一社会信用代码后4位（除校验码外）大小排位】</w:t>
      </w:r>
      <w:r>
        <w:rPr>
          <w:rFonts w:hint="default" w:ascii="Times New Roman" w:hAnsi="Times New Roman" w:eastAsia="宋体" w:cs="Times New Roman"/>
          <w:color w:val="auto"/>
          <w:szCs w:val="21"/>
          <w:highlight w:val="none"/>
        </w:rPr>
        <w:t>。</w:t>
      </w:r>
    </w:p>
    <w:p>
      <w:pPr>
        <w:pStyle w:val="11"/>
        <w:ind w:firstLine="0"/>
        <w:rPr>
          <w:rFonts w:hint="default" w:ascii="Times New Roman" w:hAnsi="Times New Roman" w:eastAsia="宋体" w:cs="Times New Roman"/>
          <w:color w:val="auto"/>
          <w:sz w:val="21"/>
          <w:szCs w:val="21"/>
          <w:highlight w:val="none"/>
        </w:rPr>
      </w:pPr>
    </w:p>
    <w:p>
      <w:pPr>
        <w:pBdr>
          <w:top w:val="single" w:color="auto" w:sz="4" w:space="0"/>
        </w:pBdr>
        <w:spacing w:line="360" w:lineRule="auto"/>
        <w:ind w:firstLine="517" w:firstLineChars="245"/>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条款号：38.1            修改类型：修改</w:t>
      </w:r>
    </w:p>
    <w:p>
      <w:pPr>
        <w:spacing w:line="460" w:lineRule="exact"/>
        <w:ind w:firstLine="472"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12" w:space="1"/>
        </w:pBdr>
        <w:spacing w:line="460" w:lineRule="exact"/>
        <w:ind w:firstLine="42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w:t>
      </w:r>
      <w:r>
        <w:rPr>
          <w:rFonts w:hint="default" w:ascii="Times New Roman" w:hAnsi="Times New Roman" w:eastAsia="宋体" w:cs="Times New Roman"/>
          <w:color w:val="auto"/>
          <w:szCs w:val="21"/>
          <w:highlight w:val="none"/>
          <w:u w:val="single"/>
        </w:rPr>
        <w:t>对投标文件含义不明确、对同类问题表述不一致、有明显文字和计算错误的内容以及细微偏差的</w:t>
      </w:r>
      <w:r>
        <w:rPr>
          <w:rFonts w:hint="default" w:ascii="Times New Roman" w:hAnsi="Times New Roman" w:eastAsia="宋体" w:cs="Times New Roman"/>
          <w:color w:val="auto"/>
          <w:szCs w:val="21"/>
          <w:highlight w:val="none"/>
        </w:rPr>
        <w:t>内容作出澄清。</w:t>
      </w:r>
    </w:p>
    <w:p>
      <w:pPr>
        <w:pBdr>
          <w:top w:val="single" w:color="auto" w:sz="4" w:space="0"/>
        </w:pBdr>
        <w:spacing w:line="360" w:lineRule="auto"/>
        <w:ind w:firstLine="517" w:firstLineChars="245"/>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条款号：39.定标                    修改类型：删除</w:t>
      </w:r>
    </w:p>
    <w:p>
      <w:pPr>
        <w:pBdr>
          <w:bottom w:val="single" w:color="auto" w:sz="12" w:space="1"/>
        </w:pBdr>
        <w:spacing w:line="460" w:lineRule="exact"/>
        <w:ind w:firstLine="42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color w:val="auto"/>
          <w:szCs w:val="21"/>
          <w:highlight w:val="none"/>
        </w:rPr>
        <w:t>定标</w:t>
      </w:r>
    </w:p>
    <w:p>
      <w:pPr>
        <w:pBdr>
          <w:bottom w:val="single" w:color="auto" w:sz="12" w:space="1"/>
        </w:pBdr>
        <w:spacing w:line="460" w:lineRule="exact"/>
        <w:ind w:firstLine="42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39.1 招标人根据评标委员会递交的评标报告，最终审定中标人。</w:t>
      </w:r>
    </w:p>
    <w:p>
      <w:pPr>
        <w:pBdr>
          <w:bottom w:val="single" w:color="auto" w:sz="12" w:space="1"/>
        </w:pBdr>
        <w:spacing w:line="460" w:lineRule="exact"/>
        <w:ind w:firstLine="42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39.2 依法必须进行公开招标的项目，招标人应当确定排名第一的中标候选人为中标人。</w:t>
      </w:r>
    </w:p>
    <w:p>
      <w:pPr>
        <w:pBdr>
          <w:bottom w:val="single" w:color="auto" w:sz="12" w:space="1"/>
        </w:pBdr>
        <w:spacing w:line="460" w:lineRule="exact"/>
        <w:ind w:firstLine="42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12" w:space="1"/>
        </w:pBdr>
        <w:spacing w:line="460" w:lineRule="exact"/>
        <w:ind w:firstLine="42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39.4排名第二的中标候选人出现前款所列的情形的，招标人可以确定排名第三的中标候选人为中标人。以此类推，如所有中标候选人均出现前款所列的情形，为招标失败，招标人依法重新招标。</w:t>
      </w:r>
    </w:p>
    <w:p>
      <w:pPr>
        <w:pBdr>
          <w:bottom w:val="single" w:color="auto" w:sz="12" w:space="1"/>
        </w:pBdr>
        <w:spacing w:line="460" w:lineRule="exact"/>
        <w:ind w:firstLine="42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Cs w:val="21"/>
          <w:highlight w:val="none"/>
        </w:rPr>
        <w:t>39.5 重新评标的，评标信息（含业绩、奖项等）仍以投标截止时投标人的信息为准。因特殊原因需要延长投标有效期，投标人拒绝延长投标有效期的，仍参与评标，但</w:t>
      </w:r>
      <w:r>
        <w:rPr>
          <w:rFonts w:hint="default" w:ascii="Times New Roman" w:hAnsi="Times New Roman" w:eastAsia="宋体" w:cs="Times New Roman"/>
          <w:color w:val="auto"/>
          <w:sz w:val="24"/>
          <w:szCs w:val="24"/>
          <w:highlight w:val="none"/>
        </w:rPr>
        <w:t>不被推荐为中标候选人。</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条款号：（二）开标评标办法程序和细则 注     修改类型：删除</w:t>
      </w:r>
    </w:p>
    <w:p>
      <w:pPr>
        <w:pBdr>
          <w:bottom w:val="single" w:color="auto" w:sz="6" w:space="1"/>
        </w:pBdr>
        <w:spacing w:line="460" w:lineRule="exact"/>
        <w:ind w:firstLine="422" w:firstLineChars="2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注：以下八种评标办法所述企业综合诚信评价分数即投标截止当日广州市住房和城乡建设局网站上公布的企业综合诚信评价60日诚信分。</w:t>
      </w:r>
    </w:p>
    <w:p>
      <w:pPr>
        <w:pBdr>
          <w:top w:val="single" w:color="auto" w:sz="4" w:space="0"/>
        </w:pBdr>
        <w:spacing w:line="360" w:lineRule="auto"/>
        <w:ind w:firstLine="517" w:firstLineChars="245"/>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Cs w:val="21"/>
          <w:highlight w:val="none"/>
        </w:rPr>
        <w:t>条款号：可选办法七.           修改类型：修改</w:t>
      </w:r>
    </w:p>
    <w:p>
      <w:pPr>
        <w:snapToGrid w:val="0"/>
        <w:spacing w:line="360" w:lineRule="auto"/>
        <w:ind w:firstLine="422"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color w:val="auto"/>
          <w:szCs w:val="21"/>
          <w:highlight w:val="none"/>
        </w:rPr>
        <w:t>可选办法七（适合综合评分法四，技术标与经济标同时开启）</w:t>
      </w:r>
    </w:p>
    <w:p>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40．开标和评标程序</w:t>
      </w:r>
    </w:p>
    <w:p>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40.1技术标（含资格审查文件）与经济标投标文件同时公开开标；</w:t>
      </w:r>
    </w:p>
    <w:p>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40.2由评标委员会对所有已公开开标的投标人进行资格审查；</w:t>
      </w:r>
    </w:p>
    <w:p>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40.3技术标投标文件有效性审查；</w:t>
      </w:r>
    </w:p>
    <w:p>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40.4技术标详细审查评分；</w:t>
      </w:r>
    </w:p>
    <w:p>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40.5经济标详细审查评分； </w:t>
      </w:r>
    </w:p>
    <w:p>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40.6评标委员会按照投标人总得分由高至低排序；</w:t>
      </w:r>
    </w:p>
    <w:p>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40.7经济标投标文件有效性审查；</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40.8评标委员会按排序向招标人推荐中标候选人名单，并递交资格审查报告及评标报告。</w:t>
      </w:r>
    </w:p>
    <w:p>
      <w:pPr>
        <w:snapToGrid w:val="0"/>
        <w:spacing w:line="360" w:lineRule="auto"/>
        <w:ind w:firstLine="422" w:firstLineChars="200"/>
        <w:rPr>
          <w:rFonts w:hint="default" w:ascii="Times New Roman" w:hAnsi="Times New Roman" w:eastAsia="宋体" w:cs="Times New Roman"/>
          <w:b/>
          <w:color w:val="auto"/>
          <w:szCs w:val="21"/>
          <w:highlight w:val="none"/>
          <w:u w:val="singl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u w:val="single"/>
        </w:rPr>
        <w:t>通过制评审法</w:t>
      </w:r>
    </w:p>
    <w:p>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u w:val="single"/>
        </w:rPr>
        <w:t>40.开标、评标及定标程序</w:t>
      </w:r>
    </w:p>
    <w:p>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40.1</w:t>
      </w:r>
      <w:r>
        <w:rPr>
          <w:rFonts w:hint="default" w:ascii="Times New Roman" w:hAnsi="Times New Roman" w:eastAsia="宋体" w:cs="Times New Roman"/>
          <w:color w:val="auto"/>
          <w:szCs w:val="21"/>
          <w:highlight w:val="none"/>
          <w:u w:val="single"/>
        </w:rPr>
        <w:t>技术标（含资格审查文件）</w:t>
      </w:r>
      <w:r>
        <w:rPr>
          <w:rFonts w:hint="default" w:ascii="Times New Roman" w:hAnsi="Times New Roman" w:eastAsia="宋体" w:cs="Times New Roman"/>
          <w:color w:val="auto"/>
          <w:szCs w:val="21"/>
          <w:highlight w:val="none"/>
          <w:u w:val="single"/>
          <w:lang w:val="en-US" w:eastAsia="zh-CN"/>
        </w:rPr>
        <w:t>投标文件</w:t>
      </w:r>
      <w:r>
        <w:rPr>
          <w:rFonts w:hint="default" w:ascii="Times New Roman" w:hAnsi="Times New Roman" w:eastAsia="宋体" w:cs="Times New Roman"/>
          <w:color w:val="auto"/>
          <w:szCs w:val="21"/>
          <w:highlight w:val="none"/>
          <w:u w:val="single"/>
          <w:lang w:eastAsia="zh-CN"/>
        </w:rPr>
        <w:t>、</w:t>
      </w:r>
      <w:r>
        <w:rPr>
          <w:rFonts w:hint="default" w:ascii="Times New Roman" w:hAnsi="Times New Roman" w:eastAsia="宋体" w:cs="Times New Roman"/>
          <w:color w:val="auto"/>
          <w:szCs w:val="21"/>
          <w:highlight w:val="none"/>
          <w:u w:val="single"/>
        </w:rPr>
        <w:t>经济标投标文件</w:t>
      </w:r>
      <w:r>
        <w:rPr>
          <w:rFonts w:hint="default" w:ascii="Times New Roman" w:hAnsi="Times New Roman" w:eastAsia="宋体" w:cs="Times New Roman"/>
          <w:color w:val="auto"/>
          <w:szCs w:val="21"/>
          <w:highlight w:val="none"/>
          <w:u w:val="single"/>
          <w:lang w:val="en-US" w:eastAsia="zh-CN"/>
        </w:rPr>
        <w:t>和定标文件</w:t>
      </w:r>
      <w:r>
        <w:rPr>
          <w:rFonts w:hint="default" w:ascii="Times New Roman" w:hAnsi="Times New Roman" w:eastAsia="宋体" w:cs="Times New Roman"/>
          <w:color w:val="auto"/>
          <w:szCs w:val="21"/>
          <w:highlight w:val="none"/>
          <w:u w:val="single"/>
        </w:rPr>
        <w:t>同时公开开标；</w:t>
      </w:r>
    </w:p>
    <w:p>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40.2由评标委员会对所有已公开开标的投标人进行资格审查；</w:t>
      </w:r>
    </w:p>
    <w:p>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40.3技术标投标文件有效性审查；</w:t>
      </w:r>
    </w:p>
    <w:p>
      <w:pPr>
        <w:snapToGrid w:val="0"/>
        <w:spacing w:line="360" w:lineRule="auto"/>
        <w:ind w:firstLine="420" w:firstLineChars="2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40.4</w:t>
      </w:r>
      <w:r>
        <w:rPr>
          <w:rFonts w:hint="default" w:ascii="Times New Roman" w:hAnsi="Times New Roman" w:eastAsia="宋体" w:cs="Times New Roman"/>
          <w:color w:val="auto"/>
          <w:szCs w:val="21"/>
          <w:highlight w:val="none"/>
          <w:u w:val="single"/>
          <w:lang w:val="en-US" w:eastAsia="zh-CN"/>
        </w:rPr>
        <w:t>施工</w:t>
      </w:r>
      <w:r>
        <w:rPr>
          <w:rFonts w:hint="default" w:ascii="Times New Roman" w:hAnsi="Times New Roman" w:eastAsia="宋体" w:cs="Times New Roman"/>
          <w:color w:val="auto"/>
          <w:szCs w:val="21"/>
          <w:highlight w:val="none"/>
          <w:u w:val="single"/>
        </w:rPr>
        <w:t>方案</w:t>
      </w:r>
      <w:r>
        <w:rPr>
          <w:rFonts w:hint="default" w:ascii="Times New Roman" w:hAnsi="Times New Roman" w:eastAsia="宋体" w:cs="Times New Roman"/>
          <w:color w:val="auto"/>
          <w:szCs w:val="21"/>
          <w:highlight w:val="none"/>
          <w:u w:val="single"/>
          <w:lang w:val="en-US" w:eastAsia="zh-CN"/>
        </w:rPr>
        <w:t>定性评审</w:t>
      </w:r>
      <w:r>
        <w:rPr>
          <w:rFonts w:hint="default" w:ascii="Times New Roman" w:hAnsi="Times New Roman" w:eastAsia="宋体" w:cs="Times New Roman"/>
          <w:color w:val="auto"/>
          <w:szCs w:val="21"/>
          <w:highlight w:val="none"/>
          <w:u w:val="single"/>
        </w:rPr>
        <w:t>；</w:t>
      </w:r>
    </w:p>
    <w:p>
      <w:pPr>
        <w:snapToGrid w:val="0"/>
        <w:spacing w:line="360" w:lineRule="auto"/>
        <w:ind w:firstLine="420" w:firstLineChars="2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lang w:val="en-US" w:eastAsia="zh-CN"/>
        </w:rPr>
        <w:t>40.5</w:t>
      </w:r>
      <w:r>
        <w:rPr>
          <w:rFonts w:hint="default" w:ascii="Times New Roman" w:hAnsi="Times New Roman" w:eastAsia="宋体" w:cs="Times New Roman"/>
          <w:color w:val="auto"/>
          <w:szCs w:val="21"/>
          <w:highlight w:val="none"/>
          <w:u w:val="single"/>
        </w:rPr>
        <w:t>经济标投标文件有效性审查；</w:t>
      </w:r>
    </w:p>
    <w:p>
      <w:pPr>
        <w:snapToGrid w:val="0"/>
        <w:spacing w:line="360" w:lineRule="auto"/>
        <w:ind w:firstLine="420" w:firstLineChars="2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40.</w:t>
      </w:r>
      <w:r>
        <w:rPr>
          <w:rFonts w:hint="default" w:ascii="Times New Roman" w:hAnsi="Times New Roman" w:eastAsia="宋体" w:cs="Times New Roman"/>
          <w:color w:val="auto"/>
          <w:szCs w:val="21"/>
          <w:highlight w:val="none"/>
          <w:u w:val="single"/>
          <w:lang w:val="en-US" w:eastAsia="zh-CN"/>
        </w:rPr>
        <w:t>6</w:t>
      </w:r>
      <w:r>
        <w:rPr>
          <w:rFonts w:hint="default" w:ascii="Times New Roman" w:hAnsi="Times New Roman" w:eastAsia="宋体" w:cs="Times New Roman"/>
          <w:color w:val="auto"/>
          <w:szCs w:val="21"/>
          <w:highlight w:val="none"/>
          <w:u w:val="single"/>
        </w:rPr>
        <w:t>评标委员会按通过技术标有效性审查</w:t>
      </w:r>
      <w:r>
        <w:rPr>
          <w:rFonts w:hint="default" w:ascii="Times New Roman" w:hAnsi="Times New Roman" w:eastAsia="宋体" w:cs="Times New Roman"/>
          <w:color w:val="auto"/>
          <w:szCs w:val="21"/>
          <w:highlight w:val="none"/>
          <w:u w:val="single"/>
          <w:lang w:eastAsia="zh-CN"/>
        </w:rPr>
        <w:t>、</w:t>
      </w:r>
      <w:r>
        <w:rPr>
          <w:rFonts w:hint="default" w:ascii="Times New Roman" w:hAnsi="Times New Roman" w:eastAsia="宋体" w:cs="Times New Roman"/>
          <w:color w:val="auto"/>
          <w:szCs w:val="21"/>
          <w:highlight w:val="none"/>
          <w:u w:val="single"/>
          <w:lang w:val="en-US" w:eastAsia="zh-CN"/>
        </w:rPr>
        <w:t>施工</w:t>
      </w:r>
      <w:r>
        <w:rPr>
          <w:rFonts w:hint="default" w:ascii="Times New Roman" w:hAnsi="Times New Roman" w:eastAsia="宋体" w:cs="Times New Roman"/>
          <w:color w:val="auto"/>
          <w:szCs w:val="21"/>
          <w:highlight w:val="none"/>
          <w:u w:val="single"/>
        </w:rPr>
        <w:t>方案</w:t>
      </w:r>
      <w:r>
        <w:rPr>
          <w:rFonts w:hint="default" w:ascii="Times New Roman" w:hAnsi="Times New Roman" w:eastAsia="宋体" w:cs="Times New Roman"/>
          <w:color w:val="auto"/>
          <w:szCs w:val="21"/>
          <w:highlight w:val="none"/>
          <w:u w:val="single"/>
          <w:lang w:val="en-US" w:eastAsia="zh-CN"/>
        </w:rPr>
        <w:t>定性评审</w:t>
      </w:r>
      <w:r>
        <w:rPr>
          <w:rFonts w:hint="default" w:ascii="Times New Roman" w:hAnsi="Times New Roman" w:eastAsia="宋体" w:cs="Times New Roman"/>
          <w:color w:val="auto"/>
          <w:szCs w:val="21"/>
          <w:highlight w:val="none"/>
          <w:u w:val="single"/>
        </w:rPr>
        <w:t>及经济标有效性审查的合格投标人向招标人推荐进入定标阶段入围候选人名单【不排序，按统一社会信用代码后4位（除校验码外）大小排位】，并递交资格审查报告及评标报告；</w:t>
      </w:r>
    </w:p>
    <w:p>
      <w:pPr>
        <w:pBdr>
          <w:bottom w:val="single" w:color="auto" w:sz="6" w:space="1"/>
        </w:pBdr>
        <w:spacing w:line="360" w:lineRule="auto"/>
        <w:ind w:firstLine="514" w:firstLineChars="245"/>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szCs w:val="21"/>
          <w:highlight w:val="none"/>
          <w:u w:val="single"/>
        </w:rPr>
        <w:t>40.</w:t>
      </w:r>
      <w:r>
        <w:rPr>
          <w:rFonts w:hint="default" w:ascii="Times New Roman" w:hAnsi="Times New Roman" w:eastAsia="宋体" w:cs="Times New Roman"/>
          <w:color w:val="auto"/>
          <w:szCs w:val="21"/>
          <w:highlight w:val="none"/>
          <w:u w:val="single"/>
          <w:lang w:val="en-US" w:eastAsia="zh-CN"/>
        </w:rPr>
        <w:t>7</w:t>
      </w:r>
      <w:r>
        <w:rPr>
          <w:rFonts w:hint="default" w:ascii="Times New Roman" w:hAnsi="Times New Roman" w:eastAsia="宋体" w:cs="Times New Roman"/>
          <w:color w:val="auto"/>
          <w:szCs w:val="21"/>
          <w:highlight w:val="none"/>
          <w:u w:val="single"/>
        </w:rPr>
        <w:t>定标委员会对评标委员会推荐的入围候选人采用直接票决定标法（记名投票+撰写评语），确定中标人。定标结束后，定标委员会向招标人递交定标报告。</w:t>
      </w:r>
    </w:p>
    <w:p>
      <w:pPr>
        <w:spacing w:line="460" w:lineRule="exact"/>
        <w:ind w:firstLine="422"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条款号：41.1                   修改类型：修改</w:t>
      </w:r>
    </w:p>
    <w:p>
      <w:pPr>
        <w:snapToGrid w:val="0"/>
        <w:spacing w:line="460" w:lineRule="exact"/>
        <w:ind w:firstLine="460" w:firstLineChars="218"/>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bCs/>
          <w:color w:val="auto"/>
          <w:szCs w:val="21"/>
          <w:highlight w:val="none"/>
        </w:rPr>
        <w:t>41.1开</w:t>
      </w:r>
      <w:r>
        <w:rPr>
          <w:rFonts w:hint="default" w:ascii="Times New Roman" w:hAnsi="Times New Roman" w:eastAsia="宋体" w:cs="Times New Roman"/>
          <w:color w:val="auto"/>
          <w:szCs w:val="21"/>
          <w:highlight w:val="none"/>
        </w:rPr>
        <w:t>标由招标人主持；</w:t>
      </w:r>
    </w:p>
    <w:p>
      <w:pPr>
        <w:pBdr>
          <w:bottom w:val="single" w:color="auto" w:sz="6" w:space="1"/>
        </w:pBd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bCs/>
          <w:color w:val="auto"/>
          <w:szCs w:val="21"/>
          <w:highlight w:val="none"/>
        </w:rPr>
        <w:t>41.1</w:t>
      </w:r>
      <w:r>
        <w:rPr>
          <w:rFonts w:hint="default" w:ascii="Times New Roman" w:hAnsi="Times New Roman" w:eastAsia="宋体" w:cs="Times New Roman"/>
          <w:color w:val="auto"/>
          <w:szCs w:val="21"/>
          <w:highlight w:val="none"/>
          <w:u w:val="single"/>
        </w:rPr>
        <w:t>开标由招标人或招标代理主持；</w:t>
      </w:r>
    </w:p>
    <w:p>
      <w:pPr>
        <w:spacing w:line="360" w:lineRule="auto"/>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w:t>
      </w:r>
      <w:r>
        <w:rPr>
          <w:rFonts w:hint="default" w:ascii="Times New Roman" w:hAnsi="Times New Roman" w:eastAsia="宋体" w:cs="Times New Roman"/>
          <w:b/>
          <w:bCs/>
          <w:color w:val="auto"/>
          <w:szCs w:val="21"/>
          <w:highlight w:val="none"/>
        </w:rPr>
        <w:t xml:space="preserve">41.2.1  </w:t>
      </w:r>
      <w:r>
        <w:rPr>
          <w:rFonts w:hint="default" w:ascii="Times New Roman" w:hAnsi="Times New Roman" w:eastAsia="宋体" w:cs="Times New Roman"/>
          <w:b/>
          <w:color w:val="auto"/>
          <w:szCs w:val="21"/>
          <w:highlight w:val="none"/>
        </w:rPr>
        <w:t xml:space="preserve">           修改类型：修改</w:t>
      </w:r>
    </w:p>
    <w:p>
      <w:pPr>
        <w:pBdr>
          <w:bottom w:val="single" w:color="auto" w:sz="6" w:space="1"/>
        </w:pBdr>
        <w:spacing w:line="360" w:lineRule="auto"/>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41.2.1投标截止期前，各投标人递交投标文件（包括技术标投标文件、经济标投标文件）至</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交易平台。有关投标文件提交的事项详见第一章投标须知。</w:t>
      </w:r>
    </w:p>
    <w:p>
      <w:pPr>
        <w:pBdr>
          <w:bottom w:val="single" w:color="auto" w:sz="6" w:space="1"/>
        </w:pBdr>
        <w:spacing w:line="360" w:lineRule="auto"/>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rPr>
        <w:t>41.2.1投标截止期前，各投标人递交投标文件（包括技术标投标文件、经济标投标文件）至</w:t>
      </w:r>
      <w:r>
        <w:rPr>
          <w:rFonts w:hint="default" w:ascii="Times New Roman" w:hAnsi="Times New Roman" w:eastAsia="宋体" w:cs="Times New Roman"/>
          <w:color w:val="auto"/>
          <w:szCs w:val="21"/>
          <w:highlight w:val="none"/>
          <w:u w:val="single"/>
        </w:rPr>
        <w:t>广州公共资源交易中心</w:t>
      </w:r>
      <w:r>
        <w:rPr>
          <w:rFonts w:hint="default" w:ascii="Times New Roman" w:hAnsi="Times New Roman" w:eastAsia="宋体" w:cs="Times New Roman"/>
          <w:color w:val="auto"/>
          <w:szCs w:val="21"/>
          <w:highlight w:val="none"/>
        </w:rPr>
        <w:t>交易平台。有关投标文件提交的事项详见第一章投标须知。</w:t>
      </w:r>
    </w:p>
    <w:p>
      <w:pPr>
        <w:spacing w:line="360" w:lineRule="auto"/>
        <w:ind w:firstLine="422"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条款号：41.2.2           修改类型：删除</w:t>
      </w:r>
    </w:p>
    <w:p>
      <w:pPr>
        <w:pBdr>
          <w:bottom w:val="single" w:color="auto" w:sz="6" w:space="1"/>
        </w:pBdr>
        <w:spacing w:line="360" w:lineRule="auto"/>
        <w:ind w:firstLine="420"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szCs w:val="21"/>
          <w:highlight w:val="none"/>
        </w:rPr>
        <w:t>41.2.2开标前，首先由招标人随机抽取确定该工程计算评标参考价的等分点值X。</w:t>
      </w:r>
    </w:p>
    <w:p>
      <w:pPr>
        <w:spacing w:line="480" w:lineRule="auto"/>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条款号：41.3              修改类型：修改</w:t>
      </w:r>
    </w:p>
    <w:p>
      <w:pPr>
        <w:spacing w:line="360" w:lineRule="auto"/>
        <w:ind w:firstLine="422"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41.3招标人对开标过程进行记录，并存档备查，投标人在技术标开标记录上签字。</w:t>
      </w:r>
    </w:p>
    <w:p>
      <w:pPr>
        <w:pBdr>
          <w:bottom w:val="single" w:color="auto" w:sz="6" w:space="1"/>
        </w:pBdr>
        <w:spacing w:line="480" w:lineRule="auto"/>
        <w:ind w:firstLine="282" w:firstLineChars="13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rPr>
        <w:t>41.3招标人</w:t>
      </w:r>
      <w:r>
        <w:rPr>
          <w:rFonts w:hint="default" w:ascii="Times New Roman" w:hAnsi="Times New Roman" w:eastAsia="宋体" w:cs="Times New Roman"/>
          <w:color w:val="auto"/>
          <w:szCs w:val="21"/>
          <w:highlight w:val="none"/>
          <w:u w:val="single"/>
        </w:rPr>
        <w:t>或招标代理机构</w:t>
      </w:r>
      <w:r>
        <w:rPr>
          <w:rFonts w:hint="default" w:ascii="Times New Roman" w:hAnsi="Times New Roman" w:eastAsia="宋体" w:cs="Times New Roman"/>
          <w:color w:val="auto"/>
          <w:szCs w:val="21"/>
          <w:highlight w:val="none"/>
        </w:rPr>
        <w:t>对开标过程进行记录，并存档备查，投标人在</w:t>
      </w:r>
      <w:r>
        <w:rPr>
          <w:rFonts w:hint="default" w:ascii="Times New Roman" w:hAnsi="Times New Roman" w:eastAsia="宋体" w:cs="Times New Roman"/>
          <w:color w:val="auto"/>
          <w:szCs w:val="21"/>
          <w:highlight w:val="none"/>
          <w:u w:val="single"/>
        </w:rPr>
        <w:t>开标记录上</w:t>
      </w:r>
      <w:r>
        <w:rPr>
          <w:rFonts w:hint="default" w:ascii="Times New Roman" w:hAnsi="Times New Roman" w:eastAsia="宋体" w:cs="Times New Roman"/>
          <w:color w:val="auto"/>
          <w:szCs w:val="21"/>
          <w:highlight w:val="none"/>
        </w:rPr>
        <w:t>签字。</w:t>
      </w:r>
    </w:p>
    <w:p>
      <w:pPr>
        <w:spacing w:line="480" w:lineRule="auto"/>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 xml:space="preserve">条款号： </w:t>
      </w:r>
      <w:r>
        <w:rPr>
          <w:rFonts w:hint="default" w:ascii="Times New Roman" w:hAnsi="Times New Roman" w:eastAsia="宋体" w:cs="Times New Roman"/>
          <w:color w:val="auto"/>
          <w:szCs w:val="21"/>
          <w:highlight w:val="none"/>
        </w:rPr>
        <w:t>42.2</w:t>
      </w:r>
      <w:r>
        <w:rPr>
          <w:rFonts w:hint="default" w:ascii="Times New Roman" w:hAnsi="Times New Roman" w:eastAsia="宋体" w:cs="Times New Roman"/>
          <w:b/>
          <w:color w:val="auto"/>
          <w:szCs w:val="21"/>
          <w:highlight w:val="none"/>
        </w:rPr>
        <w:t xml:space="preserve">            修改类型：修改</w:t>
      </w:r>
    </w:p>
    <w:p>
      <w:pPr>
        <w:spacing w:line="360" w:lineRule="auto"/>
        <w:ind w:firstLine="422"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42.2评标委员会的组成：方式</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方式一：评标委员会为综合评标委员会，负责评标工作。</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方式二：评标委员会由技术评审组和经济评审组组成。其中：资格审查、技术评审由技术评标组负责，经济评审由经济评审组负责。</w:t>
      </w:r>
    </w:p>
    <w:p>
      <w:pPr>
        <w:spacing w:line="360" w:lineRule="auto"/>
        <w:ind w:firstLine="422"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rPr>
        <w:t>42.2评标委员会的组成：方式</w:t>
      </w:r>
      <w:r>
        <w:rPr>
          <w:rFonts w:hint="default" w:ascii="Times New Roman" w:hAnsi="Times New Roman" w:eastAsia="宋体" w:cs="Times New Roman"/>
          <w:color w:val="auto"/>
          <w:szCs w:val="21"/>
          <w:highlight w:val="none"/>
          <w:u w:val="single"/>
        </w:rPr>
        <w:t xml:space="preserve"> 一 </w:t>
      </w:r>
      <w:r>
        <w:rPr>
          <w:rFonts w:hint="default" w:ascii="Times New Roman" w:hAnsi="Times New Roman" w:eastAsia="宋体" w:cs="Times New Roman"/>
          <w:color w:val="auto"/>
          <w:szCs w:val="21"/>
          <w:highlight w:val="none"/>
        </w:rPr>
        <w:t>。</w:t>
      </w:r>
    </w:p>
    <w:p>
      <w:pPr>
        <w:pBdr>
          <w:bottom w:val="single" w:color="auto" w:sz="6" w:space="1"/>
        </w:pBdr>
        <w:spacing w:line="480" w:lineRule="auto"/>
        <w:ind w:firstLine="470"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szCs w:val="21"/>
          <w:highlight w:val="none"/>
        </w:rPr>
        <w:t>方式一：评标委员会为综合评标委员会，负责</w:t>
      </w:r>
      <w:r>
        <w:rPr>
          <w:rFonts w:hint="default" w:ascii="Times New Roman" w:hAnsi="Times New Roman" w:eastAsia="宋体" w:cs="Times New Roman"/>
          <w:color w:val="auto"/>
          <w:highlight w:val="none"/>
          <w:u w:val="single"/>
        </w:rPr>
        <w:t>资格审查及</w:t>
      </w:r>
      <w:r>
        <w:rPr>
          <w:rFonts w:hint="default" w:ascii="Times New Roman" w:hAnsi="Times New Roman" w:eastAsia="宋体" w:cs="Times New Roman"/>
          <w:color w:val="auto"/>
          <w:szCs w:val="21"/>
          <w:highlight w:val="none"/>
        </w:rPr>
        <w:t>评标工作。</w:t>
      </w:r>
    </w:p>
    <w:p>
      <w:pPr>
        <w:spacing w:line="360" w:lineRule="auto"/>
        <w:ind w:firstLine="517" w:firstLineChars="245"/>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 42.3            修改类型：增加</w:t>
      </w:r>
    </w:p>
    <w:p>
      <w:pPr>
        <w:pBdr>
          <w:bottom w:val="single" w:color="auto" w:sz="6" w:space="1"/>
        </w:pBdr>
        <w:spacing w:line="360" w:lineRule="auto"/>
        <w:ind w:firstLine="517" w:firstLineChars="245"/>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u w:val="single"/>
        </w:rPr>
        <w:t>定标委员会的组成：由招标人依法组建，负责定标环节。</w:t>
      </w:r>
    </w:p>
    <w:p>
      <w:pPr>
        <w:spacing w:line="360" w:lineRule="auto"/>
        <w:ind w:firstLine="517" w:firstLineChars="245"/>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 43.3            修改类型：修改</w:t>
      </w:r>
    </w:p>
    <w:p>
      <w:pPr>
        <w:spacing w:line="360" w:lineRule="auto"/>
        <w:ind w:firstLine="517" w:firstLineChars="245"/>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资格审查不合格的投标文件不参加下一阶段的评标，不参与评标参考价的计算。</w:t>
      </w:r>
    </w:p>
    <w:p>
      <w:pPr>
        <w:pBdr>
          <w:bottom w:val="single" w:color="auto" w:sz="6" w:space="1"/>
        </w:pBdr>
        <w:spacing w:line="360" w:lineRule="auto"/>
        <w:ind w:firstLine="517" w:firstLineChars="245"/>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u w:val="single"/>
        </w:rPr>
        <w:t>资格审查不合格的投标文件不参与下一阶段的评审。</w:t>
      </w:r>
    </w:p>
    <w:p>
      <w:pPr>
        <w:spacing w:line="360" w:lineRule="auto"/>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条款号：43.6                          修改类型：修改</w:t>
      </w:r>
    </w:p>
    <w:p>
      <w:pPr>
        <w:pBdr>
          <w:bottom w:val="single" w:color="auto" w:sz="6" w:space="1"/>
        </w:pBdr>
        <w:spacing w:line="360" w:lineRule="auto"/>
        <w:ind w:firstLine="472" w:firstLineChars="224"/>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bCs/>
          <w:color w:val="auto"/>
          <w:szCs w:val="21"/>
          <w:highlight w:val="none"/>
        </w:rPr>
        <w:t>43.6资格审查合格的投标人少于3名的（当N个标段同时招标且不允许兼中时，资格审查合格的投标人少于N+2名），则本项目招标失败。</w:t>
      </w:r>
    </w:p>
    <w:p>
      <w:pPr>
        <w:pBdr>
          <w:bottom w:val="single" w:color="auto" w:sz="6" w:space="1"/>
        </w:pBdr>
        <w:spacing w:line="360" w:lineRule="auto"/>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bCs/>
          <w:color w:val="auto"/>
          <w:szCs w:val="21"/>
          <w:highlight w:val="none"/>
        </w:rPr>
        <w:t>43.6</w:t>
      </w:r>
      <w:r>
        <w:rPr>
          <w:rFonts w:hint="default" w:ascii="Times New Roman" w:hAnsi="Times New Roman" w:eastAsia="宋体" w:cs="Times New Roman"/>
          <w:color w:val="auto"/>
          <w:szCs w:val="21"/>
          <w:highlight w:val="none"/>
          <w:u w:val="single"/>
        </w:rPr>
        <w:t>资格审查合格的投标人少于3名的，则本项目招标失败</w:t>
      </w:r>
      <w:r>
        <w:rPr>
          <w:rFonts w:hint="default" w:ascii="Times New Roman" w:hAnsi="Times New Roman" w:eastAsia="宋体" w:cs="Times New Roman"/>
          <w:color w:val="auto"/>
          <w:szCs w:val="21"/>
          <w:highlight w:val="none"/>
        </w:rPr>
        <w:t>。</w:t>
      </w:r>
    </w:p>
    <w:p>
      <w:pPr>
        <w:spacing w:line="360" w:lineRule="auto"/>
        <w:ind w:firstLine="422"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条款号：44              修改类型：修改</w:t>
      </w:r>
    </w:p>
    <w:p>
      <w:pPr>
        <w:pBdr>
          <w:bottom w:val="single" w:color="auto" w:sz="6" w:space="1"/>
        </w:pBdr>
        <w:spacing w:line="360" w:lineRule="auto"/>
        <w:ind w:firstLine="422"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技术标评审</w:t>
      </w:r>
    </w:p>
    <w:p>
      <w:pPr>
        <w:pBdr>
          <w:bottom w:val="single" w:color="auto" w:sz="6" w:space="1"/>
        </w:pBd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Bdr>
          <w:bottom w:val="single" w:color="auto" w:sz="6" w:space="1"/>
        </w:pBdr>
        <w:spacing w:line="360" w:lineRule="auto"/>
        <w:ind w:firstLine="422"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b w:val="0"/>
          <w:bCs/>
          <w:color w:val="auto"/>
          <w:szCs w:val="21"/>
          <w:highlight w:val="none"/>
          <w:u w:val="single"/>
        </w:rPr>
        <w:t>技术标有效性审查</w:t>
      </w:r>
    </w:p>
    <w:p>
      <w:pPr>
        <w:pBdr>
          <w:bottom w:val="single" w:color="auto" w:sz="6" w:space="1"/>
        </w:pBdr>
        <w:spacing w:line="360" w:lineRule="auto"/>
        <w:ind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zCs w:val="21"/>
          <w:highlight w:val="none"/>
          <w:u w:val="single"/>
        </w:rPr>
        <w:t>44.1技术标的有效性审查：投标文件中没有任一种列于本办法附表二《技术标有效性审查表》中情形的，为有效投标文件。否则其投标文件将被否决。被否决的投标人不参与下一阶段评审。如评标委员会成员的评审意见不一致时，以评标委员会过半数成员的意见作为评标委员会对该情形的认定结论。若通过技术标有效性审查的投标人不足三家，则重新招标。评委发现投标文件中含义不明确、对同类问题表述不一致、有明显文字和计算错误的，应当要求投标人作必要的澄清、说明后再判定投标人是否通过有效性审查，不得直接否决投标。</w:t>
      </w:r>
    </w:p>
    <w:p>
      <w:pPr>
        <w:pBdr>
          <w:top w:val="single" w:color="auto" w:sz="4" w:space="0"/>
        </w:pBdr>
        <w:spacing w:line="360" w:lineRule="auto"/>
        <w:ind w:firstLine="517" w:firstLineChars="245"/>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color w:val="auto"/>
          <w:szCs w:val="21"/>
          <w:highlight w:val="none"/>
        </w:rPr>
        <w:t>条款号：44.2              修改类型：</w:t>
      </w:r>
      <w:r>
        <w:rPr>
          <w:rFonts w:hint="default" w:ascii="Times New Roman" w:hAnsi="Times New Roman" w:eastAsia="宋体" w:cs="Times New Roman"/>
          <w:b/>
          <w:color w:val="auto"/>
          <w:szCs w:val="21"/>
          <w:highlight w:val="none"/>
          <w:lang w:val="en-US" w:eastAsia="zh-CN"/>
        </w:rPr>
        <w:t>修改</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b w:val="0"/>
          <w:bCs/>
          <w:color w:val="auto"/>
          <w:szCs w:val="21"/>
          <w:highlight w:val="none"/>
          <w:lang w:val="en-US" w:eastAsia="zh-CN"/>
        </w:rPr>
        <w:t>44.2</w:t>
      </w:r>
      <w:r>
        <w:rPr>
          <w:rFonts w:hint="default" w:ascii="Times New Roman" w:hAnsi="Times New Roman" w:eastAsia="宋体" w:cs="Times New Roman"/>
          <w:color w:val="auto"/>
          <w:szCs w:val="21"/>
          <w:highlight w:val="none"/>
        </w:rPr>
        <w:t>技术标详细审查评分：评标委员会按照附表四《技术标详细审查评分表》的标准，对通过技术标有效性审查的投标文件技术标进行详细审查，评出技术分，得分四舍五入精确到小数点后两位。</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 w:val="21"/>
          <w:szCs w:val="21"/>
          <w:highlight w:val="none"/>
          <w:lang w:val="en-US" w:eastAsia="zh-CN"/>
        </w:rPr>
        <w:t>现文：</w:t>
      </w:r>
      <w:r>
        <w:rPr>
          <w:rFonts w:hint="default" w:ascii="Times New Roman" w:hAnsi="Times New Roman" w:eastAsia="宋体" w:cs="Times New Roman"/>
          <w:color w:val="auto"/>
          <w:szCs w:val="21"/>
          <w:highlight w:val="none"/>
        </w:rPr>
        <w:t>44.2</w:t>
      </w:r>
      <w:r>
        <w:rPr>
          <w:rFonts w:hint="default" w:ascii="Times New Roman" w:hAnsi="Times New Roman" w:eastAsia="宋体" w:cs="Times New Roman"/>
          <w:color w:val="auto"/>
          <w:szCs w:val="21"/>
          <w:highlight w:val="none"/>
          <w:u w:val="single"/>
          <w:lang w:val="en-US" w:eastAsia="zh-CN"/>
        </w:rPr>
        <w:t>施工</w:t>
      </w:r>
      <w:r>
        <w:rPr>
          <w:rFonts w:hint="default" w:ascii="Times New Roman" w:hAnsi="Times New Roman" w:eastAsia="宋体" w:cs="Times New Roman"/>
          <w:color w:val="auto"/>
          <w:szCs w:val="21"/>
          <w:highlight w:val="none"/>
          <w:u w:val="single"/>
        </w:rPr>
        <w:t>方案</w:t>
      </w:r>
      <w:r>
        <w:rPr>
          <w:rFonts w:hint="default" w:ascii="Times New Roman" w:hAnsi="Times New Roman" w:eastAsia="宋体" w:cs="Times New Roman"/>
          <w:color w:val="auto"/>
          <w:szCs w:val="21"/>
          <w:highlight w:val="none"/>
          <w:u w:val="single"/>
          <w:lang w:val="en-US" w:eastAsia="zh-CN"/>
        </w:rPr>
        <w:t>定性评审</w:t>
      </w:r>
      <w:r>
        <w:rPr>
          <w:rFonts w:hint="default" w:ascii="Times New Roman" w:hAnsi="Times New Roman" w:eastAsia="宋体" w:cs="Times New Roman"/>
          <w:color w:val="auto"/>
          <w:szCs w:val="21"/>
          <w:highlight w:val="none"/>
          <w:u w:val="single"/>
        </w:rPr>
        <w:t>：评标委员会按照附表五《</w:t>
      </w:r>
      <w:r>
        <w:rPr>
          <w:rFonts w:hint="default" w:ascii="Times New Roman" w:hAnsi="Times New Roman" w:eastAsia="宋体" w:cs="Times New Roman"/>
          <w:color w:val="auto"/>
          <w:szCs w:val="21"/>
          <w:highlight w:val="none"/>
          <w:u w:val="single"/>
          <w:lang w:val="en-US" w:eastAsia="zh-CN"/>
        </w:rPr>
        <w:t>施工</w:t>
      </w:r>
      <w:r>
        <w:rPr>
          <w:rFonts w:hint="default" w:ascii="Times New Roman" w:hAnsi="Times New Roman" w:eastAsia="宋体" w:cs="Times New Roman"/>
          <w:color w:val="auto"/>
          <w:szCs w:val="21"/>
          <w:highlight w:val="none"/>
          <w:u w:val="single"/>
        </w:rPr>
        <w:t>方案</w:t>
      </w:r>
      <w:r>
        <w:rPr>
          <w:rFonts w:hint="default" w:ascii="Times New Roman" w:hAnsi="Times New Roman" w:eastAsia="宋体" w:cs="Times New Roman"/>
          <w:color w:val="auto"/>
          <w:szCs w:val="21"/>
          <w:highlight w:val="none"/>
          <w:u w:val="single"/>
          <w:lang w:val="en-US" w:eastAsia="zh-CN"/>
        </w:rPr>
        <w:t>定性评审</w:t>
      </w:r>
      <w:r>
        <w:rPr>
          <w:rFonts w:hint="default" w:ascii="Times New Roman" w:hAnsi="Times New Roman" w:eastAsia="宋体" w:cs="Times New Roman"/>
          <w:color w:val="auto"/>
          <w:szCs w:val="21"/>
          <w:highlight w:val="none"/>
          <w:u w:val="single"/>
        </w:rPr>
        <w:t>表》的标准，对通过技术标有效性审查的投标文件</w:t>
      </w:r>
      <w:r>
        <w:rPr>
          <w:rFonts w:hint="default" w:ascii="Times New Roman" w:hAnsi="Times New Roman" w:eastAsia="宋体" w:cs="Times New Roman"/>
          <w:color w:val="auto"/>
          <w:szCs w:val="21"/>
          <w:highlight w:val="none"/>
          <w:u w:val="single"/>
          <w:lang w:val="en-US" w:eastAsia="zh-CN"/>
        </w:rPr>
        <w:t>施工方案</w:t>
      </w:r>
      <w:r>
        <w:rPr>
          <w:rFonts w:hint="default" w:ascii="Times New Roman" w:hAnsi="Times New Roman" w:eastAsia="宋体" w:cs="Times New Roman"/>
          <w:color w:val="auto"/>
          <w:szCs w:val="21"/>
          <w:highlight w:val="none"/>
          <w:u w:val="single"/>
        </w:rPr>
        <w:t>进行定性评审，</w:t>
      </w:r>
      <w:r>
        <w:rPr>
          <w:rFonts w:hint="default" w:ascii="Times New Roman" w:hAnsi="Times New Roman" w:eastAsia="宋体" w:cs="Times New Roman"/>
          <w:color w:val="auto"/>
          <w:highlight w:val="none"/>
          <w:u w:val="single"/>
        </w:rPr>
        <w:t>结论仅分为通过或不通过两个等级，不通过仅限于符合招标文件废标、无效标情形以及投标文件违反国家强制性条文标准的情形</w:t>
      </w:r>
      <w:r>
        <w:rPr>
          <w:rFonts w:hint="default" w:ascii="Times New Roman" w:hAnsi="Times New Roman" w:eastAsia="宋体" w:cs="Times New Roman"/>
          <w:color w:val="auto"/>
          <w:szCs w:val="21"/>
          <w:highlight w:val="none"/>
          <w:u w:val="single"/>
        </w:rPr>
        <w:t>。</w:t>
      </w:r>
    </w:p>
    <w:p>
      <w:pPr>
        <w:spacing w:line="460" w:lineRule="exact"/>
        <w:ind w:firstLine="422"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条款号：45               修改类型：</w:t>
      </w:r>
      <w:r>
        <w:rPr>
          <w:rFonts w:hint="default" w:ascii="Times New Roman" w:hAnsi="Times New Roman" w:eastAsia="宋体" w:cs="Times New Roman"/>
          <w:b/>
          <w:color w:val="auto"/>
          <w:sz w:val="24"/>
          <w:szCs w:val="24"/>
          <w:highlight w:val="none"/>
        </w:rPr>
        <w:t>删除</w:t>
      </w:r>
    </w:p>
    <w:p>
      <w:pPr>
        <w:pStyle w:val="6"/>
        <w:tabs>
          <w:tab w:val="left" w:pos="7380"/>
        </w:tabs>
        <w:snapToGrid w:val="0"/>
        <w:spacing w:line="460" w:lineRule="exact"/>
        <w:ind w:firstLine="422"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原文：</w:t>
      </w:r>
      <w:r>
        <w:rPr>
          <w:rFonts w:hint="default" w:ascii="Times New Roman" w:hAnsi="Times New Roman" w:eastAsia="宋体" w:cs="Times New Roman"/>
          <w:color w:val="auto"/>
          <w:sz w:val="21"/>
          <w:szCs w:val="21"/>
          <w:highlight w:val="none"/>
        </w:rPr>
        <w:t>45．经济标评审和得分汇总</w:t>
      </w:r>
    </w:p>
    <w:p>
      <w:pPr>
        <w:pStyle w:val="6"/>
        <w:snapToGrid w:val="0"/>
        <w:spacing w:after="0"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45.1若通过技术标有效性审查的投标人中所有投标报价均大于等于最高投标限价，则本项目招标失败，由招标人依法重新招标。</w:t>
      </w:r>
    </w:p>
    <w:p>
      <w:pPr>
        <w:pStyle w:val="6"/>
        <w:tabs>
          <w:tab w:val="left" w:pos="7380"/>
        </w:tabs>
        <w:snapToGrid w:val="0"/>
        <w:spacing w:line="460" w:lineRule="exact"/>
        <w:ind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45.2按方法</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计算评标参考价：</w:t>
      </w:r>
    </w:p>
    <w:p>
      <w:pPr>
        <w:widowControl/>
        <w:spacing w:line="460" w:lineRule="exact"/>
        <w:ind w:firstLine="422" w:firstLineChars="200"/>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方法一：加权平均法</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技术标或技术标加诚信得分（具体由招标人自定）前N名（N≥5，具体由招标人自定）的经济报价加权平均，计算评标参考价。公式如下：</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评标参考价=Σ（投标人的投标报价*报价权重）。</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其中：报价权重的计算方法为：将N名投标人按技术分由高至低进行排序，第一名投标人的权重为（</w:t>
      </w:r>
      <w:r>
        <w:rPr>
          <w:rFonts w:hint="default" w:ascii="Times New Roman" w:hAnsi="Times New Roman" w:eastAsia="宋体" w:cs="Times New Roman"/>
          <w:color w:val="auto"/>
          <w:szCs w:val="21"/>
          <w:highlight w:val="none"/>
        </w:rPr>
        <w:fldChar w:fldCharType="begin"/>
      </w:r>
      <w:r>
        <w:rPr>
          <w:rFonts w:hint="default" w:ascii="Times New Roman" w:hAnsi="Times New Roman" w:eastAsia="宋体" w:cs="Times New Roman"/>
          <w:color w:val="auto"/>
          <w:szCs w:val="21"/>
          <w:highlight w:val="none"/>
        </w:rPr>
        <w:instrText xml:space="preserve"> QUOTE </w:instrText>
      </w:r>
      <w:r>
        <w:rPr>
          <w:rFonts w:hint="default" w:ascii="Times New Roman" w:hAnsi="Times New Roman" w:eastAsia="宋体" w:cs="Times New Roman"/>
          <w:color w:val="auto"/>
          <w:szCs w:val="21"/>
          <w:highlight w:val="none"/>
        </w:rPr>
        <w:drawing>
          <wp:inline distT="0" distB="0" distL="114300" distR="114300">
            <wp:extent cx="381000" cy="446405"/>
            <wp:effectExtent l="0" t="0" r="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381000" cy="446405"/>
                    </a:xfrm>
                    <a:prstGeom prst="rect">
                      <a:avLst/>
                    </a:prstGeom>
                    <a:noFill/>
                    <a:ln>
                      <a:noFill/>
                    </a:ln>
                  </pic:spPr>
                </pic:pic>
              </a:graphicData>
            </a:graphic>
          </wp:inline>
        </w:drawing>
      </w:r>
      <w:r>
        <w:rPr>
          <w:rFonts w:hint="default" w:ascii="Times New Roman" w:hAnsi="Times New Roman" w:eastAsia="宋体" w:cs="Times New Roman"/>
          <w:color w:val="auto"/>
          <w:szCs w:val="21"/>
          <w:highlight w:val="none"/>
        </w:rPr>
        <w:fldChar w:fldCharType="end"/>
      </w:r>
      <w:r>
        <w:rPr>
          <w:rFonts w:hint="default" w:ascii="Times New Roman" w:hAnsi="Times New Roman" w:eastAsia="宋体" w:cs="Times New Roman"/>
          <w:color w:val="auto"/>
          <w:szCs w:val="21"/>
          <w:highlight w:val="none"/>
        </w:rPr>
        <w:drawing>
          <wp:inline distT="0" distB="0" distL="114300" distR="114300">
            <wp:extent cx="381000" cy="446405"/>
            <wp:effectExtent l="0" t="0" r="0"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381000" cy="446405"/>
                    </a:xfrm>
                    <a:prstGeom prst="rect">
                      <a:avLst/>
                    </a:prstGeom>
                    <a:noFill/>
                    <a:ln>
                      <a:noFill/>
                    </a:ln>
                  </pic:spPr>
                </pic:pic>
              </a:graphicData>
            </a:graphic>
          </wp:inline>
        </w:drawing>
      </w:r>
      <w:r>
        <w:rPr>
          <w:rFonts w:hint="default" w:ascii="Times New Roman" w:hAnsi="Times New Roman" w:eastAsia="宋体" w:cs="Times New Roman"/>
          <w:color w:val="auto"/>
          <w:szCs w:val="21"/>
          <w:highlight w:val="none"/>
        </w:rPr>
        <w:t>），第二名投标人的权重为（</w:t>
      </w:r>
      <w:r>
        <w:rPr>
          <w:rFonts w:hint="default" w:ascii="Times New Roman" w:hAnsi="Times New Roman" w:eastAsia="宋体" w:cs="Times New Roman"/>
          <w:color w:val="auto"/>
          <w:szCs w:val="21"/>
          <w:highlight w:val="none"/>
        </w:rPr>
        <w:fldChar w:fldCharType="begin"/>
      </w:r>
      <w:r>
        <w:rPr>
          <w:rFonts w:hint="default" w:ascii="Times New Roman" w:hAnsi="Times New Roman" w:eastAsia="宋体" w:cs="Times New Roman"/>
          <w:color w:val="auto"/>
          <w:szCs w:val="21"/>
          <w:highlight w:val="none"/>
        </w:rPr>
        <w:instrText xml:space="preserve"> QUOTE </w:instrText>
      </w:r>
      <w:r>
        <w:rPr>
          <w:rFonts w:hint="default" w:ascii="Times New Roman" w:hAnsi="Times New Roman" w:eastAsia="宋体" w:cs="Times New Roman"/>
          <w:color w:val="auto"/>
          <w:position w:val="-23"/>
          <w:szCs w:val="21"/>
          <w:highlight w:val="none"/>
        </w:rPr>
        <w:drawing>
          <wp:inline distT="0" distB="0" distL="114300" distR="114300">
            <wp:extent cx="321310" cy="402590"/>
            <wp:effectExtent l="0" t="0" r="2540"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21310" cy="402590"/>
                    </a:xfrm>
                    <a:prstGeom prst="rect">
                      <a:avLst/>
                    </a:prstGeom>
                    <a:noFill/>
                    <a:ln>
                      <a:noFill/>
                    </a:ln>
                  </pic:spPr>
                </pic:pic>
              </a:graphicData>
            </a:graphic>
          </wp:inline>
        </w:drawing>
      </w:r>
      <w:r>
        <w:rPr>
          <w:rFonts w:hint="default" w:ascii="Times New Roman" w:hAnsi="Times New Roman" w:eastAsia="宋体" w:cs="Times New Roman"/>
          <w:color w:val="auto"/>
          <w:szCs w:val="21"/>
          <w:highlight w:val="none"/>
        </w:rPr>
        <w:fldChar w:fldCharType="separate"/>
      </w:r>
      <w:r>
        <w:rPr>
          <w:rFonts w:hint="default" w:ascii="Times New Roman" w:hAnsi="Times New Roman" w:eastAsia="宋体" w:cs="Times New Roman"/>
          <w:color w:val="auto"/>
          <w:position w:val="-23"/>
          <w:szCs w:val="21"/>
          <w:highlight w:val="none"/>
        </w:rPr>
        <w:drawing>
          <wp:inline distT="0" distB="0" distL="114300" distR="114300">
            <wp:extent cx="321310" cy="402590"/>
            <wp:effectExtent l="0" t="0" r="254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21310" cy="402590"/>
                    </a:xfrm>
                    <a:prstGeom prst="rect">
                      <a:avLst/>
                    </a:prstGeom>
                    <a:noFill/>
                    <a:ln>
                      <a:noFill/>
                    </a:ln>
                  </pic:spPr>
                </pic:pic>
              </a:graphicData>
            </a:graphic>
          </wp:inline>
        </w:drawing>
      </w:r>
      <w:r>
        <w:rPr>
          <w:rFonts w:hint="default" w:ascii="Times New Roman" w:hAnsi="Times New Roman" w:eastAsia="宋体" w:cs="Times New Roman"/>
          <w:color w:val="auto"/>
          <w:szCs w:val="21"/>
          <w:highlight w:val="none"/>
        </w:rPr>
        <w:fldChar w:fldCharType="end"/>
      </w:r>
      <w:r>
        <w:rPr>
          <w:rFonts w:hint="default" w:ascii="Times New Roman" w:hAnsi="Times New Roman" w:eastAsia="宋体" w:cs="Times New Roman"/>
          <w:color w:val="auto"/>
          <w:szCs w:val="21"/>
          <w:highlight w:val="none"/>
        </w:rPr>
        <w:t>），以此类推，最后一名投标人的权重为（</w:t>
      </w:r>
      <w:r>
        <w:rPr>
          <w:rFonts w:hint="default" w:ascii="Times New Roman" w:hAnsi="Times New Roman" w:eastAsia="宋体" w:cs="Times New Roman"/>
          <w:color w:val="auto"/>
          <w:szCs w:val="21"/>
          <w:highlight w:val="none"/>
        </w:rPr>
        <w:fldChar w:fldCharType="begin"/>
      </w:r>
      <w:r>
        <w:rPr>
          <w:rFonts w:hint="default" w:ascii="Times New Roman" w:hAnsi="Times New Roman" w:eastAsia="宋体" w:cs="Times New Roman"/>
          <w:color w:val="auto"/>
          <w:szCs w:val="21"/>
          <w:highlight w:val="none"/>
        </w:rPr>
        <w:instrText xml:space="preserve"> QUOTE </w:instrText>
      </w:r>
      <w:r>
        <w:rPr>
          <w:rFonts w:hint="default" w:ascii="Times New Roman" w:hAnsi="Times New Roman" w:eastAsia="宋体" w:cs="Times New Roman"/>
          <w:color w:val="auto"/>
          <w:position w:val="-23"/>
          <w:szCs w:val="21"/>
          <w:highlight w:val="none"/>
        </w:rPr>
        <w:drawing>
          <wp:inline distT="0" distB="0" distL="114300" distR="114300">
            <wp:extent cx="321310" cy="402590"/>
            <wp:effectExtent l="0" t="0" r="2540" b="165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21310" cy="402590"/>
                    </a:xfrm>
                    <a:prstGeom prst="rect">
                      <a:avLst/>
                    </a:prstGeom>
                    <a:noFill/>
                    <a:ln>
                      <a:noFill/>
                    </a:ln>
                  </pic:spPr>
                </pic:pic>
              </a:graphicData>
            </a:graphic>
          </wp:inline>
        </w:drawing>
      </w:r>
      <w:r>
        <w:rPr>
          <w:rFonts w:hint="default" w:ascii="Times New Roman" w:hAnsi="Times New Roman" w:eastAsia="宋体" w:cs="Times New Roman"/>
          <w:color w:val="auto"/>
          <w:szCs w:val="21"/>
          <w:highlight w:val="none"/>
        </w:rPr>
        <w:fldChar w:fldCharType="separate"/>
      </w:r>
      <w:r>
        <w:rPr>
          <w:rFonts w:hint="default" w:ascii="Times New Roman" w:hAnsi="Times New Roman" w:eastAsia="宋体" w:cs="Times New Roman"/>
          <w:color w:val="auto"/>
          <w:position w:val="-23"/>
          <w:szCs w:val="21"/>
          <w:highlight w:val="none"/>
        </w:rPr>
        <w:drawing>
          <wp:inline distT="0" distB="0" distL="114300" distR="114300">
            <wp:extent cx="321310" cy="402590"/>
            <wp:effectExtent l="0" t="0" r="2540" b="165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21310" cy="402590"/>
                    </a:xfrm>
                    <a:prstGeom prst="rect">
                      <a:avLst/>
                    </a:prstGeom>
                    <a:noFill/>
                    <a:ln>
                      <a:noFill/>
                    </a:ln>
                  </pic:spPr>
                </pic:pic>
              </a:graphicData>
            </a:graphic>
          </wp:inline>
        </w:drawing>
      </w:r>
      <w:r>
        <w:rPr>
          <w:rFonts w:hint="default" w:ascii="Times New Roman" w:hAnsi="Times New Roman" w:eastAsia="宋体" w:cs="Times New Roman"/>
          <w:color w:val="auto"/>
          <w:szCs w:val="21"/>
          <w:highlight w:val="none"/>
        </w:rPr>
        <w:fldChar w:fldCharType="end"/>
      </w:r>
      <w:r>
        <w:rPr>
          <w:rFonts w:hint="default" w:ascii="Times New Roman" w:hAnsi="Times New Roman" w:eastAsia="宋体" w:cs="Times New Roman"/>
          <w:color w:val="auto"/>
          <w:szCs w:val="21"/>
          <w:highlight w:val="none"/>
        </w:rPr>
        <w:t>）</w:t>
      </w:r>
    </w:p>
    <w:p>
      <w:pPr>
        <w:widowControl/>
        <w:spacing w:line="460" w:lineRule="exact"/>
        <w:ind w:firstLine="422" w:firstLineChars="200"/>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方法二：区间抽取法</w:t>
      </w:r>
    </w:p>
    <w:p>
      <w:pPr>
        <w:widowControl/>
        <w:snapToGrid w:val="0"/>
        <w:spacing w:line="460" w:lineRule="exact"/>
        <w:ind w:firstLine="420" w:firstLineChars="20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460" w:lineRule="exact"/>
        <w:ind w:firstLine="420" w:firstLineChars="200"/>
        <w:rPr>
          <w:rFonts w:hint="default" w:ascii="Times New Roman" w:hAnsi="Times New Roman" w:eastAsia="宋体" w:cs="Times New Roman"/>
          <w:color w:val="auto"/>
          <w:kern w:val="0"/>
          <w:szCs w:val="21"/>
          <w:highlight w:val="none"/>
          <w:vertAlign w:val="subscript"/>
        </w:rPr>
      </w:pPr>
      <w:r>
        <w:rPr>
          <w:rFonts w:hint="default" w:ascii="Times New Roman" w:hAnsi="Times New Roman" w:eastAsia="宋体" w:cs="Times New Roman"/>
          <w:color w:val="auto"/>
          <w:kern w:val="0"/>
          <w:szCs w:val="21"/>
          <w:highlight w:val="none"/>
        </w:rPr>
        <w:t>评标参考价=（Q</w:t>
      </w:r>
      <w:r>
        <w:rPr>
          <w:rFonts w:hint="default" w:ascii="Times New Roman" w:hAnsi="Times New Roman" w:eastAsia="宋体" w:cs="Times New Roman"/>
          <w:color w:val="auto"/>
          <w:kern w:val="0"/>
          <w:szCs w:val="21"/>
          <w:highlight w:val="none"/>
          <w:vertAlign w:val="subscript"/>
        </w:rPr>
        <w:t>高</w:t>
      </w:r>
      <w:r>
        <w:rPr>
          <w:rFonts w:hint="default" w:ascii="Times New Roman" w:hAnsi="Times New Roman" w:eastAsia="宋体" w:cs="Times New Roman"/>
          <w:color w:val="auto"/>
          <w:kern w:val="0"/>
          <w:szCs w:val="21"/>
          <w:highlight w:val="none"/>
        </w:rPr>
        <w:t>-Q</w:t>
      </w:r>
      <w:r>
        <w:rPr>
          <w:rFonts w:hint="default" w:ascii="Times New Roman" w:hAnsi="Times New Roman" w:eastAsia="宋体" w:cs="Times New Roman"/>
          <w:color w:val="auto"/>
          <w:kern w:val="0"/>
          <w:szCs w:val="21"/>
          <w:highlight w:val="none"/>
          <w:vertAlign w:val="subscript"/>
        </w:rPr>
        <w:t>低</w:t>
      </w:r>
      <w:r>
        <w:rPr>
          <w:rFonts w:hint="default" w:ascii="Times New Roman" w:hAnsi="Times New Roman" w:eastAsia="宋体" w:cs="Times New Roman"/>
          <w:color w:val="auto"/>
          <w:kern w:val="0"/>
          <w:szCs w:val="21"/>
          <w:highlight w:val="none"/>
        </w:rPr>
        <w:t>）/100*Ｘ+Q</w:t>
      </w:r>
      <w:r>
        <w:rPr>
          <w:rFonts w:hint="default" w:ascii="Times New Roman" w:hAnsi="Times New Roman" w:eastAsia="宋体" w:cs="Times New Roman"/>
          <w:color w:val="auto"/>
          <w:kern w:val="0"/>
          <w:szCs w:val="21"/>
          <w:highlight w:val="none"/>
          <w:vertAlign w:val="subscript"/>
        </w:rPr>
        <w:t>低</w:t>
      </w:r>
    </w:p>
    <w:p>
      <w:pPr>
        <w:widowControl/>
        <w:snapToGrid w:val="0"/>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Q</w:t>
      </w:r>
      <w:r>
        <w:rPr>
          <w:rFonts w:hint="default" w:ascii="Times New Roman" w:hAnsi="Times New Roman" w:eastAsia="宋体" w:cs="Times New Roman"/>
          <w:color w:val="auto"/>
          <w:szCs w:val="21"/>
          <w:highlight w:val="none"/>
          <w:vertAlign w:val="subscript"/>
        </w:rPr>
        <w:t>低</w:t>
      </w:r>
      <w:r>
        <w:rPr>
          <w:rFonts w:hint="default" w:ascii="Times New Roman" w:hAnsi="Times New Roman" w:eastAsia="宋体" w:cs="Times New Roman"/>
          <w:color w:val="auto"/>
          <w:szCs w:val="21"/>
          <w:highlight w:val="none"/>
        </w:rPr>
        <w:t>：为达到或超过技术标及格分数线的投标人最低报价与工程成本警示价两者中的较高值；</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rPr>
        <w:t>Q</w:t>
      </w:r>
      <w:r>
        <w:rPr>
          <w:rFonts w:hint="default" w:ascii="Times New Roman" w:hAnsi="Times New Roman" w:eastAsia="宋体" w:cs="Times New Roman"/>
          <w:color w:val="auto"/>
          <w:kern w:val="0"/>
          <w:szCs w:val="21"/>
          <w:highlight w:val="none"/>
          <w:vertAlign w:val="subscript"/>
        </w:rPr>
        <w:t>高</w:t>
      </w:r>
      <w:r>
        <w:rPr>
          <w:rFonts w:hint="default" w:ascii="Times New Roman" w:hAnsi="Times New Roman" w:eastAsia="宋体" w:cs="Times New Roman"/>
          <w:color w:val="auto"/>
          <w:szCs w:val="21"/>
          <w:highlight w:val="none"/>
        </w:rPr>
        <w:t>：为最高投标限价</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X:为等分点值，在开标前从[0,100]整数中随机抽取</w:t>
      </w:r>
    </w:p>
    <w:p>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rPr>
        <w:t>45.3</w:t>
      </w:r>
      <w:r>
        <w:rPr>
          <w:rFonts w:hint="default" w:ascii="Times New Roman" w:hAnsi="Times New Roman" w:eastAsia="宋体" w:cs="Times New Roman"/>
          <w:color w:val="auto"/>
          <w:szCs w:val="21"/>
          <w:highlight w:val="none"/>
        </w:rPr>
        <w:t>当标价等于评标参考价时得100分，标价每高于评标参考价1%，扣1.5分，每低于评标参考价1%，扣1分，扣至0分为止，得出经济分，精确到小数点后两位。</w:t>
      </w:r>
    </w:p>
    <w:p>
      <w:pPr>
        <w:pStyle w:val="6"/>
        <w:tabs>
          <w:tab w:val="left" w:pos="7380"/>
        </w:tabs>
        <w:snapToGrid w:val="0"/>
        <w:spacing w:line="460" w:lineRule="exact"/>
        <w:ind w:firstLineChars="200"/>
        <w:rPr>
          <w:rFonts w:hint="default" w:ascii="Times New Roman" w:hAnsi="Times New Roman" w:eastAsia="宋体" w:cs="Times New Roman"/>
          <w:color w:val="auto"/>
          <w:sz w:val="21"/>
          <w:szCs w:val="21"/>
          <w:highlight w:val="none"/>
          <w:u w:val="double"/>
          <w:lang w:val="en-US"/>
        </w:rPr>
      </w:pPr>
      <w:r>
        <w:rPr>
          <w:rFonts w:hint="default" w:ascii="Times New Roman" w:hAnsi="Times New Roman" w:eastAsia="宋体" w:cs="Times New Roman"/>
          <w:color w:val="auto"/>
          <w:sz w:val="21"/>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w:t>
      </w:r>
      <w:r>
        <w:rPr>
          <w:rFonts w:hint="default" w:ascii="Times New Roman" w:hAnsi="Times New Roman" w:eastAsia="宋体" w:cs="Times New Roman"/>
          <w:color w:val="auto"/>
          <w:sz w:val="21"/>
          <w:szCs w:val="21"/>
          <w:highlight w:val="none"/>
          <w:u w:val="double"/>
        </w:rPr>
        <w:t>数。</w:t>
      </w:r>
      <w:r>
        <w:rPr>
          <w:rFonts w:hint="default" w:ascii="Times New Roman" w:hAnsi="Times New Roman" w:eastAsia="宋体" w:cs="Times New Roman"/>
          <w:color w:val="auto"/>
          <w:sz w:val="21"/>
          <w:szCs w:val="21"/>
          <w:highlight w:val="none"/>
          <w:u w:val="double"/>
          <w:lang w:val="en-US"/>
        </w:rPr>
        <w:t>__________________________________________________________________________________</w:t>
      </w:r>
    </w:p>
    <w:p>
      <w:pPr>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条款号： 46.1                修改类型：修改</w:t>
      </w:r>
    </w:p>
    <w:p>
      <w:pPr>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原文：</w:t>
      </w:r>
      <w:r>
        <w:rPr>
          <w:rFonts w:hint="default" w:ascii="Times New Roman" w:hAnsi="Times New Roman" w:eastAsia="宋体" w:cs="Times New Roman"/>
          <w:color w:val="auto"/>
          <w:sz w:val="21"/>
          <w:szCs w:val="21"/>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pPr>
        <w:pBdr>
          <w:bottom w:val="single" w:color="auto" w:sz="4" w:space="0"/>
        </w:pBdr>
        <w:spacing w:line="360" w:lineRule="auto"/>
        <w:ind w:firstLine="422"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现文：</w:t>
      </w:r>
      <w:r>
        <w:rPr>
          <w:rFonts w:hint="default" w:ascii="Times New Roman" w:hAnsi="Times New Roman" w:eastAsia="宋体" w:cs="Times New Roman"/>
          <w:color w:val="auto"/>
          <w:sz w:val="21"/>
          <w:szCs w:val="21"/>
          <w:highlight w:val="none"/>
          <w:u w:val="single"/>
        </w:rPr>
        <w:t>46.1经济标的有效性审查：对通过技术标有效性审查投标人的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pPr>
        <w:spacing w:line="360" w:lineRule="auto"/>
        <w:ind w:firstLine="590" w:firstLineChars="245"/>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条款号：47.、</w:t>
      </w:r>
      <w:r>
        <w:rPr>
          <w:rFonts w:hint="default" w:ascii="Times New Roman" w:hAnsi="Times New Roman" w:eastAsia="宋体" w:cs="Times New Roman"/>
          <w:b/>
          <w:color w:val="auto"/>
          <w:kern w:val="0"/>
          <w:sz w:val="24"/>
          <w:szCs w:val="24"/>
          <w:highlight w:val="none"/>
        </w:rPr>
        <w:t>48.</w:t>
      </w:r>
      <w:r>
        <w:rPr>
          <w:rFonts w:hint="default" w:ascii="Times New Roman" w:hAnsi="Times New Roman" w:eastAsia="宋体" w:cs="Times New Roman"/>
          <w:b/>
          <w:color w:val="auto"/>
          <w:sz w:val="24"/>
          <w:szCs w:val="24"/>
          <w:highlight w:val="none"/>
        </w:rPr>
        <w:t xml:space="preserve">                修改类型：修改</w:t>
      </w:r>
    </w:p>
    <w:p>
      <w:pPr>
        <w:spacing w:line="360" w:lineRule="auto"/>
        <w:ind w:firstLine="521" w:firstLineChars="247"/>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518" w:firstLineChars="247"/>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48.评标委员会应在通过投标文件经济标有效性审查的投标人中，按步骤45.4确定的投标人第二阶段排序，推荐前3名依次为第一中标候选人至第三中标候选人,并编制评标报告。</w:t>
      </w:r>
    </w:p>
    <w:p>
      <w:pPr>
        <w:spacing w:line="360" w:lineRule="auto"/>
        <w:ind w:firstLine="521" w:firstLineChars="247"/>
        <w:rPr>
          <w:rFonts w:hint="default" w:ascii="Times New Roman" w:hAnsi="Times New Roman" w:eastAsia="宋体" w:cs="Times New Roman"/>
          <w:b/>
          <w:color w:val="auto"/>
          <w:szCs w:val="21"/>
          <w:highlight w:val="none"/>
          <w:u w:val="singl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u w:val="single"/>
        </w:rPr>
        <w:t>47.评标委员会按只有通过有效性审查的投标人的投标文件方可进入下一阶段有效性审查的原则，根据有效性审查结果，取消被否决投标的投标人进入定标阶段的入围合格的中标候选人资格，其余通过全部有效性审查的投标人均可进入定标阶段。</w:t>
      </w:r>
    </w:p>
    <w:p>
      <w:pPr>
        <w:pBdr>
          <w:bottom w:val="single" w:color="auto" w:sz="6" w:space="1"/>
        </w:pBdr>
        <w:spacing w:line="360" w:lineRule="auto"/>
        <w:ind w:firstLine="514" w:firstLineChars="245"/>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Cs w:val="21"/>
          <w:highlight w:val="none"/>
          <w:u w:val="single"/>
        </w:rPr>
        <w:t>48.评标委员会应在通过投标文件经济标有效性审查的投标人中，确定入围合格的中标候选人【不排序，按统一社会信用代码后4位（除校验码外）大小排位】进入定标阶段,并编制评标报告</w:t>
      </w:r>
      <w:r>
        <w:rPr>
          <w:rFonts w:hint="default" w:ascii="Times New Roman" w:hAnsi="Times New Roman" w:eastAsia="宋体" w:cs="Times New Roman"/>
          <w:b/>
          <w:color w:val="auto"/>
          <w:szCs w:val="21"/>
          <w:highlight w:val="none"/>
        </w:rPr>
        <w:t>。</w:t>
      </w:r>
    </w:p>
    <w:p>
      <w:pPr>
        <w:spacing w:line="360" w:lineRule="auto"/>
        <w:ind w:firstLine="517" w:firstLineChars="245"/>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w:t>
      </w:r>
      <w:r>
        <w:rPr>
          <w:rFonts w:hint="default" w:ascii="Times New Roman" w:hAnsi="Times New Roman" w:eastAsia="宋体" w:cs="Times New Roman"/>
          <w:b/>
          <w:color w:val="auto"/>
          <w:kern w:val="0"/>
          <w:szCs w:val="21"/>
          <w:highlight w:val="none"/>
        </w:rPr>
        <w:t>50.</w:t>
      </w:r>
      <w:r>
        <w:rPr>
          <w:rFonts w:hint="default" w:ascii="Times New Roman" w:hAnsi="Times New Roman" w:eastAsia="宋体" w:cs="Times New Roman"/>
          <w:color w:val="auto"/>
          <w:kern w:val="0"/>
          <w:szCs w:val="21"/>
          <w:highlight w:val="none"/>
        </w:rPr>
        <w:t xml:space="preserve">                       </w:t>
      </w:r>
      <w:r>
        <w:rPr>
          <w:rFonts w:hint="default" w:ascii="Times New Roman" w:hAnsi="Times New Roman" w:eastAsia="宋体" w:cs="Times New Roman"/>
          <w:b/>
          <w:color w:val="auto"/>
          <w:szCs w:val="21"/>
          <w:highlight w:val="none"/>
        </w:rPr>
        <w:t>修改类型：增加</w:t>
      </w:r>
    </w:p>
    <w:p>
      <w:pPr>
        <w:spacing w:line="360" w:lineRule="auto"/>
        <w:ind w:firstLine="422" w:firstLineChars="2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u w:val="single"/>
        </w:rPr>
        <w:t>50.定标</w:t>
      </w:r>
    </w:p>
    <w:p>
      <w:pPr>
        <w:spacing w:line="360" w:lineRule="auto"/>
        <w:ind w:firstLine="420" w:firstLineChars="2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评标结束后，招标人按以下规定组建定标委员会，在评标委员会推荐的合格投标人中确定中标人：</w:t>
      </w:r>
    </w:p>
    <w:p>
      <w:pPr>
        <w:spacing w:line="360" w:lineRule="auto"/>
        <w:ind w:firstLine="420" w:firstLineChars="2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定标由招标人依法组建的定标委员会负责。</w:t>
      </w:r>
    </w:p>
    <w:p>
      <w:pPr>
        <w:spacing w:line="360" w:lineRule="auto"/>
        <w:ind w:firstLine="420" w:firstLineChars="200"/>
        <w:rPr>
          <w:rFonts w:hint="default" w:ascii="Times New Roman" w:hAnsi="Times New Roman" w:eastAsia="宋体" w:cs="Times New Roman"/>
          <w:bCs/>
          <w:color w:val="auto"/>
          <w:szCs w:val="21"/>
          <w:highlight w:val="none"/>
          <w:u w:val="single"/>
        </w:rPr>
      </w:pPr>
      <w:r>
        <w:rPr>
          <w:rFonts w:hint="default" w:ascii="Times New Roman" w:hAnsi="Times New Roman" w:eastAsia="宋体" w:cs="Times New Roman"/>
          <w:bCs/>
          <w:color w:val="auto"/>
          <w:szCs w:val="21"/>
          <w:highlight w:val="none"/>
          <w:u w:val="single"/>
        </w:rPr>
        <w:t>50.1 定标时间和地点</w:t>
      </w:r>
    </w:p>
    <w:p>
      <w:pPr>
        <w:spacing w:line="360" w:lineRule="auto"/>
        <w:ind w:firstLine="420" w:firstLineChars="2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招标人在合格的中标候选人公示完成后，10个工作日内在广州公共资源交易中心开展定标工作，招标人按规定程序在投标人须知的时间和地点完成定标工作。</w:t>
      </w:r>
    </w:p>
    <w:p>
      <w:pPr>
        <w:spacing w:line="360" w:lineRule="auto"/>
        <w:ind w:firstLine="420" w:firstLineChars="2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50.2 定标规则</w:t>
      </w:r>
    </w:p>
    <w:p>
      <w:pPr>
        <w:spacing w:line="360" w:lineRule="auto"/>
        <w:ind w:firstLine="420" w:firstLineChars="2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本项目采用直接票决定标法（记名投票+撰写评语）定标方法,定标方法如下：</w:t>
      </w:r>
    </w:p>
    <w:p>
      <w:pPr>
        <w:spacing w:line="360" w:lineRule="auto"/>
        <w:ind w:firstLine="420" w:firstLineChars="2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50.2.1 定标程序</w:t>
      </w:r>
    </w:p>
    <w:p>
      <w:pPr>
        <w:spacing w:line="360" w:lineRule="auto"/>
        <w:ind w:firstLine="420" w:firstLineChars="2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50.2.1.1定标工作开始后，发放选票，由定标委员会参考定标因素进行投票排名，定标委员会应推荐一人为定标委员会组长，主持当次定标会议。</w:t>
      </w:r>
    </w:p>
    <w:p>
      <w:pPr>
        <w:spacing w:line="360" w:lineRule="auto"/>
        <w:ind w:firstLine="420" w:firstLineChars="2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50.2.1.2定标辅助资料为评标阶段的评标报告、投标人提交的投标与定标文件。</w:t>
      </w:r>
    </w:p>
    <w:p>
      <w:pPr>
        <w:spacing w:line="360" w:lineRule="auto"/>
        <w:ind w:firstLine="420" w:firstLineChars="2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50.2.1.3定标委员会根据定标辅助资料，在同等条件下，定标因素的相对标准按以下几个方面进行（详见附表十</w:t>
      </w:r>
      <w:r>
        <w:rPr>
          <w:rFonts w:hint="default" w:ascii="Times New Roman" w:hAnsi="Times New Roman" w:eastAsia="宋体" w:cs="Times New Roman"/>
          <w:color w:val="auto"/>
          <w:szCs w:val="21"/>
          <w:highlight w:val="none"/>
          <w:u w:val="single"/>
          <w:lang w:val="en-US" w:eastAsia="zh-CN"/>
        </w:rPr>
        <w:t>二</w:t>
      </w:r>
      <w:r>
        <w:rPr>
          <w:rFonts w:hint="default" w:ascii="Times New Roman" w:hAnsi="Times New Roman" w:eastAsia="宋体" w:cs="Times New Roman"/>
          <w:color w:val="auto"/>
          <w:szCs w:val="21"/>
          <w:highlight w:val="none"/>
          <w:u w:val="single"/>
        </w:rPr>
        <w:t>《定标因素表》）：</w:t>
      </w:r>
    </w:p>
    <w:p>
      <w:pPr>
        <w:spacing w:line="360" w:lineRule="auto"/>
        <w:ind w:firstLine="420" w:firstLineChars="2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（1）价格因素；</w:t>
      </w:r>
    </w:p>
    <w:p>
      <w:pPr>
        <w:spacing w:line="360" w:lineRule="auto"/>
        <w:ind w:firstLine="420" w:firstLineChars="2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（2）方案因素；</w:t>
      </w:r>
    </w:p>
    <w:p>
      <w:pPr>
        <w:pStyle w:val="11"/>
        <w:rPr>
          <w:rFonts w:hint="default" w:ascii="Times New Roman" w:hAnsi="Times New Roman" w:eastAsia="宋体" w:cs="Times New Roman"/>
          <w:color w:val="auto"/>
          <w:sz w:val="21"/>
          <w:szCs w:val="21"/>
          <w:highlight w:val="none"/>
          <w:u w:val="single"/>
          <w:lang w:val="en-US"/>
        </w:rPr>
      </w:pPr>
      <w:r>
        <w:rPr>
          <w:rFonts w:hint="default" w:ascii="Times New Roman" w:hAnsi="Times New Roman" w:eastAsia="宋体" w:cs="Times New Roman"/>
          <w:color w:val="auto"/>
          <w:szCs w:val="21"/>
          <w:highlight w:val="none"/>
          <w:u w:val="single"/>
        </w:rPr>
        <w:t>（</w:t>
      </w:r>
      <w:r>
        <w:rPr>
          <w:rFonts w:hint="default" w:ascii="Times New Roman" w:hAnsi="Times New Roman" w:eastAsia="宋体" w:cs="Times New Roman"/>
          <w:color w:val="auto"/>
          <w:szCs w:val="21"/>
          <w:highlight w:val="none"/>
          <w:u w:val="single"/>
          <w:lang w:val="en-US" w:eastAsia="zh-CN"/>
        </w:rPr>
        <w:t>3</w:t>
      </w:r>
      <w:r>
        <w:rPr>
          <w:rFonts w:hint="default" w:ascii="Times New Roman" w:hAnsi="Times New Roman" w:eastAsia="宋体" w:cs="Times New Roman"/>
          <w:color w:val="auto"/>
          <w:szCs w:val="21"/>
          <w:highlight w:val="none"/>
          <w:u w:val="single"/>
        </w:rPr>
        <w:t>）</w:t>
      </w:r>
      <w:r>
        <w:rPr>
          <w:rFonts w:hint="default" w:ascii="Times New Roman" w:hAnsi="Times New Roman" w:eastAsia="宋体" w:cs="Times New Roman"/>
          <w:color w:val="auto"/>
          <w:szCs w:val="21"/>
          <w:highlight w:val="none"/>
          <w:u w:val="single"/>
          <w:lang w:val="en-US" w:eastAsia="zh-CN"/>
        </w:rPr>
        <w:t xml:space="preserve"> 团队</w:t>
      </w:r>
      <w:r>
        <w:rPr>
          <w:rFonts w:hint="default" w:ascii="Times New Roman" w:hAnsi="Times New Roman" w:eastAsia="宋体" w:cs="Times New Roman"/>
          <w:color w:val="auto"/>
          <w:szCs w:val="21"/>
          <w:highlight w:val="none"/>
          <w:u w:val="single"/>
        </w:rPr>
        <w:t>因素</w:t>
      </w:r>
      <w:r>
        <w:rPr>
          <w:rFonts w:hint="default" w:ascii="Times New Roman" w:hAnsi="Times New Roman" w:eastAsia="宋体" w:cs="Times New Roman"/>
          <w:color w:val="auto"/>
          <w:sz w:val="21"/>
          <w:szCs w:val="21"/>
          <w:highlight w:val="none"/>
          <w:u w:val="single"/>
          <w:lang w:val="en-US"/>
        </w:rPr>
        <w:t>。</w:t>
      </w:r>
    </w:p>
    <w:p>
      <w:pPr>
        <w:spacing w:line="360" w:lineRule="auto"/>
        <w:ind w:firstLine="420" w:firstLineChars="2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50.2.1.4投票规则：定标委员会根据定标因素对各投标人进行综合比较后，进行一轮一次性票决并排序，每位定标委员会成员每轮只有1票表决权（即只能对其中一家投标人投票），得票数最多的投标人将确定为中标人，若出现票数相同且无法决出中标人时，票数相同的再进行附加的一次性票决，直至决出中标人。</w:t>
      </w:r>
    </w:p>
    <w:p>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u w:val="single"/>
        </w:rPr>
        <w:t>50.2.1.5定标委员会对各投标单位的各定标因素进行撰写评语。</w:t>
      </w:r>
    </w:p>
    <w:p>
      <w:pPr>
        <w:spacing w:line="360" w:lineRule="auto"/>
        <w:ind w:firstLine="420" w:firstLineChars="2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50.2.1.6定标委员会中的各定标委员应独立投票，不得弃权。</w:t>
      </w:r>
    </w:p>
    <w:p>
      <w:pPr>
        <w:spacing w:line="360" w:lineRule="auto"/>
        <w:ind w:firstLine="420" w:firstLineChars="2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50.2.2定标委员会组长根据选票情况向招标人推荐中标人。</w:t>
      </w:r>
    </w:p>
    <w:p>
      <w:pPr>
        <w:spacing w:line="360" w:lineRule="auto"/>
        <w:ind w:firstLine="420" w:firstLineChars="2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50.2.3编写定标报告，定标委员会全体确认后签署定标报告。</w:t>
      </w:r>
    </w:p>
    <w:p>
      <w:pPr>
        <w:spacing w:line="360" w:lineRule="auto"/>
        <w:ind w:firstLine="420" w:firstLineChars="2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50.2.4招标人与中标人签订合同及办理施工许可前，如发现中标人委派的项目负责人已在其他在建项目中任职、中标人放弃中标、因不可抗力不能履行合同，或者被查实存在影响中标结果的违法行为等不符合法定情形，不符合中标条件的，招标人可以从其他合格的中标候选人中采用原定标办法，由原定标委员会确定中标人，也可以重新招标。</w:t>
      </w:r>
    </w:p>
    <w:p>
      <w:pPr>
        <w:pBdr>
          <w:bottom w:val="single" w:color="auto" w:sz="6" w:space="1"/>
        </w:pBdr>
        <w:spacing w:line="360" w:lineRule="auto"/>
        <w:ind w:firstLine="367" w:firstLineChars="175"/>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szCs w:val="21"/>
          <w:highlight w:val="none"/>
          <w:u w:val="single"/>
        </w:rPr>
        <w:t>50.2.5因质疑或投诉生效，需要重新评标或定标的，评标、定标信息（含业绩、奖项等）仍以投标截止时投标人的信息为准。因特殊原因需要延长投标有效期，投标人拒绝延长投标有效期的，仍参与评标、定标，但不被推荐为中标人。</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条款号：附表一 《资格审查表》         修改类型：修改</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原范本《资格审查表》。</w:t>
      </w:r>
    </w:p>
    <w:p>
      <w:pPr>
        <w:pBdr>
          <w:bottom w:val="single" w:color="auto" w:sz="6" w:space="1"/>
        </w:pBdr>
        <w:spacing w:line="460" w:lineRule="exact"/>
        <w:ind w:firstLine="527" w:firstLineChars="25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rPr>
        <w:t>附表一《资格审查表》</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条款号：附表二 《技术标有效性审查表》  修改类型：修改</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原范本《技术标有效性审查表》。</w:t>
      </w:r>
    </w:p>
    <w:p>
      <w:pPr>
        <w:pBdr>
          <w:bottom w:val="single" w:color="auto" w:sz="6" w:space="1"/>
        </w:pBdr>
        <w:spacing w:line="460" w:lineRule="exact"/>
        <w:ind w:firstLine="527" w:firstLineChars="25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rPr>
        <w:t>附表二《技术标有效性审查表》</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条款号：附表三 《经济标有效性审查表》  修改类型：修改</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原范本《经济标有效性审查表》</w:t>
      </w:r>
    </w:p>
    <w:p>
      <w:pPr>
        <w:pBdr>
          <w:bottom w:val="single" w:color="auto" w:sz="6" w:space="1"/>
        </w:pBdr>
        <w:spacing w:line="460" w:lineRule="exact"/>
        <w:ind w:firstLine="527" w:firstLineChars="25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rPr>
        <w:t>附表三《经济标有效性审查表》</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条款号：附表四 《技术标详细审查评分标准》 修改类型：删除</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原范本《技术标详细审查评分标准》。</w:t>
      </w:r>
    </w:p>
    <w:p>
      <w:pPr>
        <w:pBdr>
          <w:bottom w:val="single" w:color="auto" w:sz="6" w:space="1"/>
        </w:pBdr>
        <w:spacing w:line="460" w:lineRule="exact"/>
        <w:ind w:firstLine="527" w:firstLineChars="250"/>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现文：</w:t>
      </w:r>
      <w:r>
        <w:rPr>
          <w:rFonts w:hint="default" w:ascii="Times New Roman" w:hAnsi="Times New Roman" w:eastAsia="宋体" w:cs="Times New Roman"/>
          <w:color w:val="auto"/>
          <w:szCs w:val="21"/>
          <w:highlight w:val="none"/>
        </w:rPr>
        <w:t>附表四《技术标详细审查评分表》</w:t>
      </w:r>
    </w:p>
    <w:p>
      <w:pPr>
        <w:spacing w:line="460" w:lineRule="exact"/>
        <w:ind w:firstLine="472" w:firstLineChars="224"/>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条款号：附表五（适用于区间抽取法）经济标评分表  修改类型：删除</w:t>
      </w:r>
    </w:p>
    <w:p>
      <w:pPr>
        <w:pBdr>
          <w:bottom w:val="single" w:color="auto" w:sz="6" w:space="1"/>
        </w:pBdr>
        <w:spacing w:line="460" w:lineRule="exact"/>
        <w:ind w:firstLine="472"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原文：</w:t>
      </w:r>
      <w:r>
        <w:rPr>
          <w:rFonts w:hint="default" w:ascii="Times New Roman" w:hAnsi="Times New Roman" w:eastAsia="宋体" w:cs="Times New Roman"/>
          <w:color w:val="auto"/>
          <w:szCs w:val="21"/>
          <w:highlight w:val="none"/>
        </w:rPr>
        <w:t>原范本《经济标评分表》。</w:t>
      </w:r>
    </w:p>
    <w:p>
      <w:pPr>
        <w:spacing w:line="460" w:lineRule="exact"/>
        <w:ind w:firstLine="211" w:firstLineChars="1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注：以上修改，仅限于本范本中有可供选择条款的情形。</w:t>
      </w:r>
    </w:p>
    <w:p>
      <w:pPr>
        <w:spacing w:line="46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（以下无正文）</w:t>
      </w:r>
    </w:p>
    <w:p>
      <w:pPr>
        <w:pStyle w:val="9"/>
        <w:spacing w:line="460" w:lineRule="exact"/>
        <w:ind w:firstLine="482" w:firstLineChars="200"/>
        <w:jc w:val="center"/>
        <w:rPr>
          <w:rFonts w:hint="default" w:ascii="Times New Roman" w:hAnsi="Times New Roman" w:eastAsia="宋体" w:cs="Times New Roman"/>
          <w:b/>
          <w:color w:val="auto"/>
          <w:sz w:val="24"/>
          <w:szCs w:val="30"/>
          <w:highlight w:val="none"/>
        </w:rPr>
      </w:pPr>
      <w:bookmarkStart w:id="26" w:name="_Toc17323"/>
      <w:bookmarkStart w:id="27" w:name="_Toc26839"/>
      <w:bookmarkStart w:id="28" w:name="_Toc62134845"/>
      <w:r>
        <w:rPr>
          <w:rFonts w:hint="default" w:ascii="Times New Roman" w:hAnsi="Times New Roman" w:eastAsia="宋体" w:cs="Times New Roman"/>
          <w:b/>
          <w:color w:val="auto"/>
          <w:sz w:val="24"/>
          <w:szCs w:val="24"/>
          <w:highlight w:val="none"/>
        </w:rPr>
        <w:t>二、开标、评标及定标办法</w:t>
      </w:r>
      <w:r>
        <w:rPr>
          <w:rFonts w:hint="default" w:ascii="Times New Roman" w:hAnsi="Times New Roman" w:eastAsia="宋体" w:cs="Times New Roman"/>
          <w:b/>
          <w:color w:val="auto"/>
          <w:sz w:val="24"/>
          <w:szCs w:val="30"/>
          <w:highlight w:val="none"/>
        </w:rPr>
        <w:t>通用条款</w:t>
      </w:r>
      <w:bookmarkEnd w:id="26"/>
      <w:bookmarkEnd w:id="27"/>
    </w:p>
    <w:p>
      <w:pPr>
        <w:pStyle w:val="9"/>
        <w:spacing w:before="156" w:beforeAutospacing="0" w:after="156" w:afterAutospacing="0"/>
        <w:ind w:firstLine="542" w:firstLineChars="200"/>
        <w:rPr>
          <w:rFonts w:hint="default" w:ascii="Times New Roman" w:hAnsi="Times New Roman" w:eastAsia="宋体" w:cs="Times New Roman"/>
          <w:b/>
          <w:bCs/>
          <w:color w:val="auto"/>
          <w:highlight w:val="none"/>
        </w:rPr>
      </w:pPr>
      <w:bookmarkStart w:id="29" w:name="_Toc22707"/>
      <w:bookmarkStart w:id="30" w:name="_Toc7270"/>
      <w:bookmarkStart w:id="31" w:name="_Toc3896651"/>
      <w:r>
        <w:rPr>
          <w:rFonts w:hint="default" w:ascii="Times New Roman" w:hAnsi="Times New Roman" w:eastAsia="宋体" w:cs="Times New Roman"/>
          <w:b/>
          <w:bCs/>
          <w:color w:val="auto"/>
          <w:highlight w:val="none"/>
        </w:rPr>
        <w:t>（一）总则</w:t>
      </w:r>
      <w:bookmarkEnd w:id="29"/>
      <w:bookmarkEnd w:id="30"/>
    </w:p>
    <w:p>
      <w:pPr>
        <w:spacing w:line="360" w:lineRule="auto"/>
        <w:ind w:firstLine="480"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rPr>
        <w:t>35 开标、评标及定标所依据的规则</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35.1《中华人民共和国招标投标法》；</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35.2《中华人民共和国招标投标法实施条例》；</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35.3《评标委员会和评标方法暂行规定》（七部委第12号令）</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35.4《工程建设项目施工招标投标办法》（七部委2003年第30号令）</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35.5《广东省实施〈中华人民共和国招标投标法〉办法》；</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35.6《房屋建筑和市政基础设施工程施工招标投标管理办法》（建设部令第89号）</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35.7《广东省加强建设工程招标投标监督管理的若干规定》（粤发[2004]4号）；</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35.8《广州市工程建设项目招标投标管理办法》（穗建规字〔2023〕12号）。</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35.9本项目招标文件。</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36．开标</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36.1 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36.2 招标人在招标文件要求提交投标文件的截止时间前收到的投标文件，开标时都当众予以解密、公布。</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36.4若递交投标文件的投标人不足3家，则重新组织招标。（当N个标段同时招标且不允许兼中时，若有效投标人不足N+2家，则重新组织招标）</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36.5按下列程序进行开标：</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36.5.2备用光盘的读取按投标须知前附表第36项的规定执行；</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36.5.3投标人代表、招标人代表、监标人、记录人等有关人员在开标记录上签字确认；若有关人员不签字的，不影响开标程序；</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36.5.4开标结束。</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36.7开标时，两个（含两个）以上的投标人加密打包投标文件电脑机器特征码一致的，不参与下一程序，并由评标委员会否决其投标。</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37．评标</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37.1评标委员会由招标人依法组建。</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37.2评标委员会的职责及守则：</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37.2.1根据评标细则，对投标文件进行认真评审，完成评审报告；</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37.2.2向招标人报告评审意见，推荐合格的中标候选人。</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37.2.3</w:t>
      </w:r>
      <w:r>
        <w:rPr>
          <w:rFonts w:hint="default" w:ascii="Times New Roman" w:hAnsi="Times New Roman" w:eastAsia="宋体" w:cs="Times New Roman"/>
          <w:b/>
          <w:bCs/>
          <w:color w:val="auto"/>
          <w:sz w:val="24"/>
          <w:szCs w:val="24"/>
          <w:highlight w:val="none"/>
        </w:rPr>
        <w:t xml:space="preserve"> </w:t>
      </w:r>
      <w:r>
        <w:rPr>
          <w:rFonts w:hint="default" w:ascii="Times New Roman" w:hAnsi="Times New Roman" w:eastAsia="宋体" w:cs="Times New Roman"/>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37.2.4全体参与评标人员：</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37.2.4.1 必须遵守评标纪律、不得泄密；</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37.2.4.2 必须公正、不得循私；</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37.2.4.3 必须科学、不得草率；</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37.2.4.4 必须客观、不得带有成见；</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37.2.4.5 必须平等、不得强加于人；</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37.2.4.6 必须严谨、不得随意马虎。</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37.4评标结束后，评标委员会递交评标报告并依法推荐中标候选人。 </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38．投标文件的澄清</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38.3 评标委员会或评标委员会专业评审组成员均应当阅读投标人的澄清，但应独立参考澄清对投标文件进行评审。</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38.4如果投标文件实质上不响应招标文件的各项要求，评标委员会将按照符合性审查标准予以拒绝，不接受投标人通过修改或撤销其不符合要求的差异或保留，使之成为具有响应性的投标。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39．定标</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39.1 招标人根据评标委员会递交的评标报告，最终审定中标人。</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39.2 依法必须进行公开招标的项目，招标人应当确定排名第一的中标候选人为中标人。</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39.3排名第一的中标候选人放弃中标、或因不可抗力提出不能履行合同，或者招标文件规定应当提交履约担保而在规定的期限内未能提交的，招标人可以确定排名第二的中标候选人为中标人。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39.4排名第二的中标候选人出现前款所列的情形的，招标人可以确定排名第三的中标候选人为中标人。以此类推，如所有中标候选人均出现前款所列的情形，为招标失败，招标人依法重新招标。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pPr>
        <w:pStyle w:val="9"/>
        <w:spacing w:before="156" w:beforeAutospacing="0" w:after="156" w:afterAutospacing="0"/>
        <w:ind w:firstLine="542" w:firstLineChars="200"/>
        <w:rPr>
          <w:rFonts w:hint="default" w:ascii="Times New Roman" w:hAnsi="Times New Roman" w:eastAsia="宋体" w:cs="Times New Roman"/>
          <w:b/>
          <w:bCs/>
          <w:color w:val="auto"/>
          <w:highlight w:val="none"/>
        </w:rPr>
      </w:pPr>
      <w:bookmarkStart w:id="32" w:name="_Toc5072"/>
      <w:bookmarkStart w:id="33" w:name="_Toc30455"/>
      <w:r>
        <w:rPr>
          <w:rFonts w:hint="default" w:ascii="Times New Roman" w:hAnsi="Times New Roman" w:eastAsia="宋体" w:cs="Times New Roman"/>
          <w:b/>
          <w:bCs/>
          <w:color w:val="auto"/>
          <w:highlight w:val="none"/>
        </w:rPr>
        <w:t>（二）开标评标办法程序和细则</w:t>
      </w:r>
      <w:bookmarkEnd w:id="32"/>
      <w:bookmarkEnd w:id="33"/>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注：以下七种评标办法所述企业综合诚信评价分数即投标截止当日广州市工程招标代理行业协会网站上公布的企业综合诚信评价60日诚信分。</w:t>
      </w:r>
    </w:p>
    <w:p>
      <w:pPr>
        <w:pStyle w:val="9"/>
        <w:spacing w:before="156" w:beforeAutospacing="0" w:after="156" w:afterAutospacing="0"/>
        <w:ind w:firstLine="420" w:firstLineChars="200"/>
        <w:rPr>
          <w:rFonts w:hint="default" w:ascii="Times New Roman" w:hAnsi="Times New Roman" w:eastAsia="宋体" w:cs="Times New Roman"/>
          <w:b/>
          <w:bCs/>
          <w:color w:val="auto"/>
          <w:highlight w:val="none"/>
        </w:rPr>
      </w:pPr>
      <w:r>
        <w:rPr>
          <w:rFonts w:hint="default" w:ascii="Times New Roman" w:hAnsi="Times New Roman" w:eastAsia="宋体" w:cs="Times New Roman"/>
          <w:color w:val="auto"/>
          <w:sz w:val="21"/>
          <w:szCs w:val="21"/>
          <w:highlight w:val="none"/>
        </w:rPr>
        <w:br w:type="page"/>
      </w:r>
      <w:bookmarkEnd w:id="31"/>
      <w:bookmarkStart w:id="34" w:name="_Toc2272564"/>
      <w:bookmarkEnd w:id="34"/>
      <w:bookmarkStart w:id="35" w:name="_Toc3602"/>
      <w:bookmarkStart w:id="36" w:name="_Toc21525509"/>
      <w:bookmarkStart w:id="37" w:name="_Toc21039"/>
      <w:r>
        <w:rPr>
          <w:rFonts w:hint="default" w:ascii="Times New Roman" w:hAnsi="Times New Roman" w:eastAsia="宋体" w:cs="Times New Roman"/>
          <w:b/>
          <w:bCs/>
          <w:color w:val="auto"/>
          <w:highlight w:val="none"/>
        </w:rPr>
        <w:t>可选办法七（适合综合评分法四，技术标与经济标同时开启）</w:t>
      </w:r>
      <w:bookmarkEnd w:id="35"/>
      <w:bookmarkEnd w:id="36"/>
      <w:bookmarkEnd w:id="37"/>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40．开标和评标程序</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40.1技术标（含资格审查文件）与经济标投标文件同时公开开标；</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40.2由评标委员会对所有已公开开标的投标人进行资格审查；</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40.3技术标投标文件有效性审查；</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40.4技术标详细审查评分；</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40.5经济标详细审查评分； </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40.6评标委员会按照投标人总得分由高至低排序；</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40.7经济标投标文件有效性审查；</w:t>
      </w:r>
    </w:p>
    <w:p>
      <w:pPr>
        <w:snapToGrid w:val="0"/>
        <w:spacing w:line="360" w:lineRule="auto"/>
        <w:ind w:firstLine="48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4"/>
          <w:szCs w:val="24"/>
          <w:highlight w:val="none"/>
        </w:rPr>
        <w:t>40.8评标委员会按排序向招标人推荐中标候选人名单，并递交资格审查报告及评标报告。</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41．开标细则</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41.1开标由招标人主持；</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41.2 细则</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41.2.1投标截止期前，各投标人递交投标文件（包括技术标投标文件、经济标投标文件）至</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 xml:space="preserve">交易平台。有关投标文件提交的事项详见第一章投标须知。 </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41.2.2开标前，首先由招标人随机抽取确定该工程计算评标参考价的等分点值X。</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41.2.4按36.5.1的规定完成解密后，公布下列内容，并予以记录，记录提交评标委员会评审： </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41.3招标人对开标过程进行记录，并存档备查，投标人在技术标开标记录上签字。</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41.4 招标人将上述符合要求的投标文件，送至评标委员会进行评审。</w:t>
      </w:r>
    </w:p>
    <w:p>
      <w:pPr>
        <w:pStyle w:val="6"/>
        <w:snapToGrid w:val="0"/>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42. 资格审查及评标细则</w:t>
      </w:r>
    </w:p>
    <w:p>
      <w:pPr>
        <w:pStyle w:val="6"/>
        <w:snapToGrid w:val="0"/>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42.1资格审查及评标均由招标人依法组建的评标委员会负责。</w:t>
      </w:r>
    </w:p>
    <w:p>
      <w:pPr>
        <w:pStyle w:val="6"/>
        <w:snapToGrid w:val="0"/>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42.2评标委员会的组成：方式</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方式一：评标委员会为综合评标委员会，负责资格审查及评标工作。</w:t>
      </w:r>
    </w:p>
    <w:p>
      <w:pPr>
        <w:pStyle w:val="6"/>
        <w:snapToGrid w:val="0"/>
        <w:spacing w:after="0"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方式二：评标委员会由技术评审组和经济评审组组成。其中：资格审查及技术评审由技术评标组负责，经济评审由经济评审组负责。</w:t>
      </w:r>
    </w:p>
    <w:p>
      <w:pPr>
        <w:pStyle w:val="6"/>
        <w:snapToGrid w:val="0"/>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43．投标人资格审查</w:t>
      </w:r>
    </w:p>
    <w:p>
      <w:pPr>
        <w:pStyle w:val="6"/>
        <w:snapToGrid w:val="0"/>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6"/>
        <w:snapToGrid w:val="0"/>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43.2汇总资格审查情况，编写资格审查报告。</w:t>
      </w:r>
    </w:p>
    <w:p>
      <w:pPr>
        <w:pStyle w:val="6"/>
        <w:snapToGrid w:val="0"/>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43.3资格审查不合格的投标文件不参加下一阶段的评标，不参与评标参考价的计算。</w:t>
      </w:r>
    </w:p>
    <w:p>
      <w:pPr>
        <w:pStyle w:val="6"/>
        <w:snapToGrid w:val="0"/>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6"/>
        <w:snapToGrid w:val="0"/>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43.5资审合格后，投标人的资格发生变化而不满足投标人合格条件，在发出中标通知书前，资格问题仍未解决的，招标人将取消其中标资格。</w:t>
      </w:r>
    </w:p>
    <w:p>
      <w:pPr>
        <w:pStyle w:val="6"/>
        <w:snapToGrid w:val="0"/>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43.6资格审查合格的投标人少于3名的（当N个标段同时招标且不允许兼中时，资格审查合格的投标人少于N+2名），则本项目招标失败。</w:t>
      </w:r>
    </w:p>
    <w:p>
      <w:pPr>
        <w:pStyle w:val="6"/>
        <w:snapToGrid w:val="0"/>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44．技术标评审</w:t>
      </w:r>
    </w:p>
    <w:p>
      <w:pPr>
        <w:pStyle w:val="6"/>
        <w:snapToGrid w:val="0"/>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Style w:val="6"/>
        <w:snapToGrid w:val="0"/>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Style w:val="6"/>
        <w:snapToGrid w:val="0"/>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45．经济标评审和得分汇总</w:t>
      </w:r>
    </w:p>
    <w:p>
      <w:pPr>
        <w:pStyle w:val="6"/>
        <w:snapToGrid w:val="0"/>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45.1若通过技术标有效性审查的投标人中所有投标报价均大于等于最高投标限价，则本项目招标失败，由招标人依法重新招标。</w:t>
      </w:r>
    </w:p>
    <w:p>
      <w:pPr>
        <w:pStyle w:val="6"/>
        <w:snapToGrid w:val="0"/>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45.2按方法</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计算评标参考价：</w:t>
      </w:r>
    </w:p>
    <w:p>
      <w:pPr>
        <w:widowControl/>
        <w:spacing w:line="360" w:lineRule="auto"/>
        <w:ind w:firstLine="482" w:firstLineChars="200"/>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方法一：加权平均法</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技术标或技术标加诚信得分（具体由招标人自定）前N名（N≥5，具体由招标人自定）的经济报价加权平均，计算评标参考价。公式如下：</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评标参考价=Σ（投标人的投标报价*报价权重）。</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其中：报价权重的计算方法为：将N名投标人按技术分由高至低进行排序，第一名投标人的权重为（</w:t>
      </w:r>
      <w:r>
        <w:rPr>
          <w:rFonts w:hint="default" w:ascii="Times New Roman" w:hAnsi="Times New Roman" w:eastAsia="宋体" w:cs="Times New Roman"/>
          <w:color w:val="auto"/>
          <w:highlight w:val="none"/>
        </w:rPr>
        <w:drawing>
          <wp:inline distT="0" distB="0" distL="114300" distR="114300">
            <wp:extent cx="381000" cy="446405"/>
            <wp:effectExtent l="0" t="0" r="0" b="10795"/>
            <wp:docPr id="7" name="图片 13" descr="wpsD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descr="wpsDE11"/>
                    <pic:cNvPicPr>
                      <a:picLocks noChangeAspect="1"/>
                    </pic:cNvPicPr>
                  </pic:nvPicPr>
                  <pic:blipFill>
                    <a:blip r:embed="rId9"/>
                    <a:stretch>
                      <a:fillRect/>
                    </a:stretch>
                  </pic:blipFill>
                  <pic:spPr>
                    <a:xfrm>
                      <a:off x="0" y="0"/>
                      <a:ext cx="381000" cy="446405"/>
                    </a:xfrm>
                    <a:prstGeom prst="rect">
                      <a:avLst/>
                    </a:prstGeom>
                    <a:noFill/>
                    <a:ln>
                      <a:noFill/>
                    </a:ln>
                  </pic:spPr>
                </pic:pic>
              </a:graphicData>
            </a:graphic>
          </wp:inline>
        </w:drawing>
      </w:r>
      <w:r>
        <w:rPr>
          <w:rFonts w:hint="default" w:ascii="Times New Roman" w:hAnsi="Times New Roman" w:eastAsia="宋体" w:cs="Times New Roman"/>
          <w:color w:val="auto"/>
          <w:sz w:val="24"/>
          <w:szCs w:val="24"/>
          <w:highlight w:val="none"/>
        </w:rPr>
        <w:t>），第二名投标人的权重为（</w:t>
      </w:r>
      <w:r>
        <w:rPr>
          <w:rFonts w:hint="default" w:ascii="Times New Roman" w:hAnsi="Times New Roman" w:eastAsia="宋体" w:cs="Times New Roman"/>
          <w:color w:val="auto"/>
          <w:highlight w:val="none"/>
        </w:rPr>
        <w:drawing>
          <wp:inline distT="0" distB="0" distL="114300" distR="114300">
            <wp:extent cx="321310" cy="402590"/>
            <wp:effectExtent l="0" t="0" r="2540" b="16510"/>
            <wp:docPr id="8" name="图片 14" descr="wpsD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wpsDE22"/>
                    <pic:cNvPicPr>
                      <a:picLocks noChangeAspect="1"/>
                    </pic:cNvPicPr>
                  </pic:nvPicPr>
                  <pic:blipFill>
                    <a:blip r:embed="rId10"/>
                    <a:stretch>
                      <a:fillRect/>
                    </a:stretch>
                  </pic:blipFill>
                  <pic:spPr>
                    <a:xfrm>
                      <a:off x="0" y="0"/>
                      <a:ext cx="321310" cy="402590"/>
                    </a:xfrm>
                    <a:prstGeom prst="rect">
                      <a:avLst/>
                    </a:prstGeom>
                    <a:noFill/>
                    <a:ln>
                      <a:noFill/>
                    </a:ln>
                  </pic:spPr>
                </pic:pic>
              </a:graphicData>
            </a:graphic>
          </wp:inline>
        </w:drawing>
      </w:r>
      <w:r>
        <w:rPr>
          <w:rFonts w:hint="default" w:ascii="Times New Roman" w:hAnsi="Times New Roman" w:eastAsia="宋体" w:cs="Times New Roman"/>
          <w:color w:val="auto"/>
          <w:sz w:val="24"/>
          <w:szCs w:val="24"/>
          <w:highlight w:val="none"/>
        </w:rPr>
        <w:t>），以此类推，最后一名投标人的权重为（</w:t>
      </w:r>
      <w:r>
        <w:rPr>
          <w:rFonts w:hint="default" w:ascii="Times New Roman" w:hAnsi="Times New Roman" w:eastAsia="宋体" w:cs="Times New Roman"/>
          <w:color w:val="auto"/>
          <w:highlight w:val="none"/>
        </w:rPr>
        <w:drawing>
          <wp:inline distT="0" distB="0" distL="114300" distR="114300">
            <wp:extent cx="321310" cy="402590"/>
            <wp:effectExtent l="0" t="0" r="2540" b="16510"/>
            <wp:docPr id="9" name="图片 15" descr="wpsD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descr="wpsDE24"/>
                    <pic:cNvPicPr>
                      <a:picLocks noChangeAspect="1"/>
                    </pic:cNvPicPr>
                  </pic:nvPicPr>
                  <pic:blipFill>
                    <a:blip r:embed="rId11"/>
                    <a:stretch>
                      <a:fillRect/>
                    </a:stretch>
                  </pic:blipFill>
                  <pic:spPr>
                    <a:xfrm>
                      <a:off x="0" y="0"/>
                      <a:ext cx="321310" cy="402590"/>
                    </a:xfrm>
                    <a:prstGeom prst="rect">
                      <a:avLst/>
                    </a:prstGeom>
                    <a:noFill/>
                    <a:ln>
                      <a:noFill/>
                    </a:ln>
                  </pic:spPr>
                </pic:pic>
              </a:graphicData>
            </a:graphic>
          </wp:inline>
        </w:drawing>
      </w:r>
      <w:r>
        <w:rPr>
          <w:rFonts w:hint="default" w:ascii="Times New Roman" w:hAnsi="Times New Roman" w:eastAsia="宋体" w:cs="Times New Roman"/>
          <w:color w:val="auto"/>
          <w:sz w:val="24"/>
          <w:szCs w:val="24"/>
          <w:highlight w:val="none"/>
        </w:rPr>
        <w:t>）。</w:t>
      </w:r>
    </w:p>
    <w:p>
      <w:pPr>
        <w:widowControl/>
        <w:spacing w:line="360" w:lineRule="auto"/>
        <w:ind w:firstLine="482" w:firstLineChars="200"/>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方法二：区间抽取法</w:t>
      </w:r>
    </w:p>
    <w:p>
      <w:pPr>
        <w:widowControl/>
        <w:snapToGrid w:val="0"/>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hint="default" w:ascii="Times New Roman" w:hAnsi="Times New Roman" w:eastAsia="宋体" w:cs="Times New Roman"/>
          <w:color w:val="auto"/>
          <w:kern w:val="0"/>
          <w:sz w:val="24"/>
          <w:szCs w:val="24"/>
          <w:highlight w:val="none"/>
          <w:vertAlign w:val="subscript"/>
        </w:rPr>
      </w:pPr>
      <w:r>
        <w:rPr>
          <w:rFonts w:hint="default" w:ascii="Times New Roman" w:hAnsi="Times New Roman" w:eastAsia="宋体" w:cs="Times New Roman"/>
          <w:color w:val="auto"/>
          <w:kern w:val="0"/>
          <w:sz w:val="24"/>
          <w:szCs w:val="24"/>
          <w:highlight w:val="none"/>
        </w:rPr>
        <w:t>评标参考价=（Q</w:t>
      </w:r>
      <w:r>
        <w:rPr>
          <w:rFonts w:hint="default" w:ascii="Times New Roman" w:hAnsi="Times New Roman" w:eastAsia="宋体" w:cs="Times New Roman"/>
          <w:color w:val="auto"/>
          <w:kern w:val="0"/>
          <w:sz w:val="24"/>
          <w:szCs w:val="24"/>
          <w:highlight w:val="none"/>
          <w:vertAlign w:val="subscript"/>
        </w:rPr>
        <w:t>高</w:t>
      </w:r>
      <w:r>
        <w:rPr>
          <w:rFonts w:hint="default" w:ascii="Times New Roman" w:hAnsi="Times New Roman" w:eastAsia="宋体" w:cs="Times New Roman"/>
          <w:color w:val="auto"/>
          <w:kern w:val="0"/>
          <w:sz w:val="24"/>
          <w:szCs w:val="24"/>
          <w:highlight w:val="none"/>
        </w:rPr>
        <w:t>-Q</w:t>
      </w:r>
      <w:r>
        <w:rPr>
          <w:rFonts w:hint="default" w:ascii="Times New Roman" w:hAnsi="Times New Roman" w:eastAsia="宋体" w:cs="Times New Roman"/>
          <w:color w:val="auto"/>
          <w:kern w:val="0"/>
          <w:sz w:val="24"/>
          <w:szCs w:val="24"/>
          <w:highlight w:val="none"/>
          <w:vertAlign w:val="subscript"/>
        </w:rPr>
        <w:t>低</w:t>
      </w:r>
      <w:r>
        <w:rPr>
          <w:rFonts w:hint="default" w:ascii="Times New Roman" w:hAnsi="Times New Roman" w:eastAsia="宋体" w:cs="Times New Roman"/>
          <w:color w:val="auto"/>
          <w:kern w:val="0"/>
          <w:sz w:val="24"/>
          <w:szCs w:val="24"/>
          <w:highlight w:val="none"/>
        </w:rPr>
        <w:t>）/100*Ｘ+Q</w:t>
      </w:r>
      <w:r>
        <w:rPr>
          <w:rFonts w:hint="default" w:ascii="Times New Roman" w:hAnsi="Times New Roman" w:eastAsia="宋体" w:cs="Times New Roman"/>
          <w:color w:val="auto"/>
          <w:kern w:val="0"/>
          <w:sz w:val="24"/>
          <w:szCs w:val="24"/>
          <w:highlight w:val="none"/>
          <w:vertAlign w:val="subscript"/>
        </w:rPr>
        <w:t>低</w:t>
      </w:r>
    </w:p>
    <w:p>
      <w:pPr>
        <w:widowControl/>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Q</w:t>
      </w:r>
      <w:r>
        <w:rPr>
          <w:rFonts w:hint="default" w:ascii="Times New Roman" w:hAnsi="Times New Roman" w:eastAsia="宋体" w:cs="Times New Roman"/>
          <w:color w:val="auto"/>
          <w:sz w:val="24"/>
          <w:szCs w:val="24"/>
          <w:highlight w:val="none"/>
          <w:vertAlign w:val="subscript"/>
        </w:rPr>
        <w:t>低</w:t>
      </w:r>
      <w:r>
        <w:rPr>
          <w:rFonts w:hint="default" w:ascii="Times New Roman" w:hAnsi="Times New Roman" w:eastAsia="宋体" w:cs="Times New Roman"/>
          <w:color w:val="auto"/>
          <w:sz w:val="24"/>
          <w:szCs w:val="24"/>
          <w:highlight w:val="none"/>
        </w:rPr>
        <w:t>：为达到或超过技术标及格分数线的投标人最低报价与工程成本警示价两者中的较高值；</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rPr>
        <w:t>Q</w:t>
      </w:r>
      <w:r>
        <w:rPr>
          <w:rFonts w:hint="default" w:ascii="Times New Roman" w:hAnsi="Times New Roman" w:eastAsia="宋体" w:cs="Times New Roman"/>
          <w:color w:val="auto"/>
          <w:kern w:val="0"/>
          <w:sz w:val="24"/>
          <w:szCs w:val="24"/>
          <w:highlight w:val="none"/>
          <w:vertAlign w:val="subscript"/>
        </w:rPr>
        <w:t>高</w:t>
      </w:r>
      <w:r>
        <w:rPr>
          <w:rFonts w:hint="default" w:ascii="Times New Roman" w:hAnsi="Times New Roman" w:eastAsia="宋体" w:cs="Times New Roman"/>
          <w:color w:val="auto"/>
          <w:sz w:val="24"/>
          <w:szCs w:val="24"/>
          <w:highlight w:val="none"/>
        </w:rPr>
        <w:t>：为最高投标限价</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X:为等分点值，在开标前从[0,100]整数中随机抽取</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rPr>
        <w:t>45.3</w:t>
      </w:r>
      <w:r>
        <w:rPr>
          <w:rFonts w:hint="default" w:ascii="Times New Roman" w:hAnsi="Times New Roman" w:eastAsia="宋体" w:cs="Times New Roman"/>
          <w:color w:val="auto"/>
          <w:sz w:val="24"/>
          <w:szCs w:val="24"/>
          <w:highlight w:val="none"/>
        </w:rPr>
        <w:t>当标价等于评标参考价时得100分，标价每高于评标参考价1%，扣1.5分，每低于评标参考价1%，扣1分，扣至0分为止，得出经济分，精确到小数点后两位。</w:t>
      </w:r>
    </w:p>
    <w:p>
      <w:pPr>
        <w:pStyle w:val="6"/>
        <w:snapToGrid w:val="0"/>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Style w:val="6"/>
        <w:snapToGrid w:val="0"/>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46.经济标的有效性审查</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46.2经济标的算术校核。评标委员会对进行经济标有效性审查的投标文件投标报价按照就低不就高的原则进行算术校核，具体标准如下：</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46.2.1如果数字表示的金额和用文字表示的金额不一致时，应以文字表示的金额为准；</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46.2.2经算术复核的投标人报价与其投标报价不一致时，按就低不就高原则确定其最终报价；</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46.2.4当合价、金额累加错误时，按就低不就高原则，如果累加修正值小于原累加值，则按累加修正值；如果累加修正值大于原累加值，则按原累加值；</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46.2.5如果投标人的有关规费、暂列金额、暂估价、绿色施工安全防护措施费等未按招标文件规定的金额填写的，由评标委员会按照招标文件规定的金额进行修正；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46.2.7按就低不就高原则，当修正后报价小于原报价，总价按修正后报价；当修正后报价大于原报价，总价按原报价，并在签订合同时载明在结算价中扣除修正报价与原报价的差额。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48.评标委员会应在通过投标文件经济标有效性审查的投标人中，按步骤45.4确定的投标人第二阶段排序，推荐前3名依次为第一中标候选人至第三中标候选人,并编制评标报告。</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49.若通过经济标有效性审查的投标人不足三家，应当依法重新招标。（当N个标段同时招标且不允许兼中时，若有效投标人不足N+2家，应当依法重新招标）</w:t>
      </w:r>
    </w:p>
    <w:bookmarkEnd w:id="28"/>
    <w:p>
      <w:pPr>
        <w:keepNext w:val="0"/>
        <w:keepLines w:val="0"/>
        <w:pageBreakBefore w:val="0"/>
        <w:widowControl/>
        <w:kinsoku/>
        <w:wordWrap/>
        <w:overflowPunct/>
        <w:topLinePunct w:val="0"/>
        <w:autoSpaceDE/>
        <w:autoSpaceDN/>
        <w:bidi w:val="0"/>
        <w:adjustRightInd/>
        <w:snapToGrid/>
        <w:ind w:firstLine="482" w:firstLineChars="200"/>
        <w:textAlignment w:val="auto"/>
        <w:outlineLvl w:val="9"/>
        <w:rPr>
          <w:rFonts w:hint="default" w:ascii="Times New Roman" w:hAnsi="Times New Roman" w:eastAsia="宋体" w:cs="Times New Roman"/>
          <w:b/>
          <w:color w:val="auto"/>
          <w:sz w:val="24"/>
          <w:szCs w:val="30"/>
          <w:highlight w:val="none"/>
        </w:rPr>
      </w:pPr>
      <w:bookmarkStart w:id="38" w:name="_Toc2272557"/>
      <w:bookmarkStart w:id="39" w:name="_Toc88152401"/>
    </w:p>
    <w:bookmarkEnd w:id="38"/>
    <w:bookmarkEnd w:id="39"/>
    <w:p>
      <w:pPr>
        <w:keepNext/>
        <w:keepLines/>
        <w:pageBreakBefore w:val="0"/>
        <w:widowControl w:val="0"/>
        <w:numPr>
          <w:ilvl w:val="1"/>
          <w:numId w:val="0"/>
        </w:numPr>
        <w:kinsoku/>
        <w:wordWrap/>
        <w:overflowPunct/>
        <w:topLinePunct w:val="0"/>
        <w:autoSpaceDE/>
        <w:autoSpaceDN/>
        <w:bidi w:val="0"/>
        <w:adjustRightInd/>
        <w:snapToGrid/>
        <w:spacing w:before="120" w:after="120" w:line="416" w:lineRule="auto"/>
        <w:ind w:left="454" w:firstLine="527"/>
        <w:jc w:val="center"/>
        <w:textAlignment w:val="auto"/>
        <w:outlineLvl w:val="9"/>
        <w:rPr>
          <w:rFonts w:hint="default" w:ascii="Times New Roman" w:hAnsi="Times New Roman" w:eastAsia="宋体" w:cs="Times New Roman"/>
          <w:b/>
          <w:color w:val="auto"/>
          <w:kern w:val="0"/>
          <w:sz w:val="24"/>
          <w:szCs w:val="24"/>
          <w:highlight w:val="none"/>
        </w:rPr>
      </w:pPr>
    </w:p>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br w:type="page"/>
      </w:r>
      <w:r>
        <w:rPr>
          <w:rFonts w:hint="default" w:ascii="Times New Roman" w:hAnsi="Times New Roman" w:eastAsia="宋体" w:cs="Times New Roman"/>
          <w:color w:val="auto"/>
          <w:szCs w:val="21"/>
          <w:highlight w:val="none"/>
        </w:rPr>
        <w:t>附表一：</w:t>
      </w:r>
    </w:p>
    <w:p>
      <w:pPr>
        <w:jc w:val="center"/>
        <w:rPr>
          <w:rFonts w:hint="default" w:ascii="Times New Roman" w:hAnsi="Times New Roman" w:eastAsia="宋体" w:cs="Times New Roman"/>
          <w:b/>
          <w:color w:val="auto"/>
          <w:sz w:val="32"/>
          <w:szCs w:val="32"/>
          <w:highlight w:val="none"/>
        </w:rPr>
      </w:pPr>
      <w:r>
        <w:rPr>
          <w:rFonts w:hint="default" w:ascii="Times New Roman" w:hAnsi="Times New Roman" w:eastAsia="宋体" w:cs="Times New Roman"/>
          <w:b/>
          <w:color w:val="auto"/>
          <w:sz w:val="32"/>
          <w:szCs w:val="32"/>
          <w:highlight w:val="none"/>
        </w:rPr>
        <w:t>资格审查表</w:t>
      </w:r>
    </w:p>
    <w:p>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工程名称： </w:t>
      </w:r>
    </w:p>
    <w:p>
      <w:pPr>
        <w:spacing w:line="48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投标人名称：</w:t>
      </w:r>
    </w:p>
    <w:tbl>
      <w:tblPr>
        <w:tblStyle w:val="4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708"/>
        <w:gridCol w:w="4144"/>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序号</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审查项目</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须审查的资料</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投标人参加投标的意思表达清楚，投标人代表被授权有效</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投标人声明、法定代表人证明书；委托投标的还应提供法人授权委托证明书</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投标人均具有独立法人资格，按国家法律经营。</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营业执照</w:t>
            </w:r>
            <w:r>
              <w:rPr>
                <w:rFonts w:hint="eastAsia" w:ascii="宋体" w:hAnsi="宋体" w:cs="宋体"/>
                <w:color w:val="auto"/>
                <w:szCs w:val="21"/>
                <w:highlight w:val="none"/>
                <w:lang w:val="en-US" w:eastAsia="zh-CN"/>
              </w:rPr>
              <w:t>扫描件</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投标人均持有建设行政主管部门颁发的企业资质证书及安全生产许可证；投标人资质符合公告要求</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资质证书及安全生产许可证</w:t>
            </w:r>
            <w:r>
              <w:rPr>
                <w:rFonts w:hint="eastAsia" w:ascii="宋体" w:hAnsi="宋体" w:cs="宋体"/>
                <w:color w:val="auto"/>
                <w:szCs w:val="21"/>
                <w:highlight w:val="none"/>
                <w:lang w:val="en-US" w:eastAsia="zh-CN"/>
              </w:rPr>
              <w:t>扫描件</w:t>
            </w:r>
            <w:r>
              <w:rPr>
                <w:rFonts w:hint="default" w:ascii="Times New Roman" w:hAnsi="Times New Roman" w:eastAsia="宋体" w:cs="Times New Roman"/>
                <w:color w:val="auto"/>
                <w:szCs w:val="21"/>
                <w:highlight w:val="none"/>
              </w:rPr>
              <w:t>；</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投标人拟担任本工程项目负责人符合公告要求</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使用有效期内的</w:t>
            </w:r>
            <w:r>
              <w:rPr>
                <w:rFonts w:hint="default" w:ascii="Times New Roman" w:hAnsi="Times New Roman" w:eastAsia="宋体" w:cs="Times New Roman"/>
                <w:color w:val="auto"/>
                <w:szCs w:val="21"/>
                <w:highlight w:val="none"/>
                <w:u w:val="single"/>
              </w:rPr>
              <w:t>建造师注册证书或注册建造师电子注册证书</w:t>
            </w:r>
            <w:r>
              <w:rPr>
                <w:rFonts w:hint="eastAsia" w:ascii="宋体" w:hAnsi="宋体" w:cs="宋体"/>
                <w:color w:val="auto"/>
                <w:szCs w:val="21"/>
                <w:highlight w:val="none"/>
                <w:lang w:val="en-US" w:eastAsia="zh-CN"/>
              </w:rPr>
              <w:t>扫描件</w:t>
            </w:r>
            <w:r>
              <w:rPr>
                <w:rFonts w:hint="default" w:ascii="Times New Roman" w:hAnsi="Times New Roman" w:eastAsia="宋体" w:cs="Times New Roman"/>
                <w:color w:val="auto"/>
                <w:szCs w:val="21"/>
                <w:highlight w:val="none"/>
              </w:rPr>
              <w:t>；</w:t>
            </w:r>
          </w:p>
          <w:p>
            <w:pPr>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（注：打印建造师电子证书后，应在个人签名处手写本人签名。）</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持有项目负责人安全生产考核合格证（B类）或建筑施工企业项目负责人安全生产考核合格证</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项目负责人安全生产考核合格证（B证）或建筑施工企业项目负责人安全生产考核合格证</w:t>
            </w:r>
            <w:r>
              <w:rPr>
                <w:rFonts w:hint="eastAsia" w:ascii="宋体" w:hAnsi="宋体" w:cs="宋体"/>
                <w:color w:val="auto"/>
                <w:szCs w:val="21"/>
                <w:highlight w:val="none"/>
                <w:lang w:val="en-US" w:eastAsia="zh-CN"/>
              </w:rPr>
              <w:t>扫描件</w:t>
            </w:r>
            <w:r>
              <w:rPr>
                <w:rFonts w:hint="default" w:ascii="Times New Roman" w:hAnsi="Times New Roman" w:eastAsia="宋体" w:cs="Times New Roman"/>
                <w:color w:val="auto"/>
                <w:szCs w:val="21"/>
                <w:highlight w:val="none"/>
              </w:rPr>
              <w:t>；</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投标人拟担任本工程技术负责人符合公告要求</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rPr>
              <w:t>拟委托技术负责人的</w:t>
            </w:r>
            <w:r>
              <w:rPr>
                <w:rFonts w:hint="default" w:ascii="Times New Roman" w:hAnsi="Times New Roman" w:eastAsia="宋体" w:cs="Times New Roman"/>
                <w:bCs/>
                <w:color w:val="auto"/>
                <w:szCs w:val="21"/>
                <w:highlight w:val="none"/>
                <w:u w:val="single"/>
              </w:rPr>
              <w:t>职称证书扫描件；</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专职安全员须具有安全生产考核合格证（C类）或建筑施工企业专职安全生产管理人员安全生产考核合格证书</w:t>
            </w:r>
            <w:r>
              <w:rPr>
                <w:rFonts w:hint="default" w:ascii="Times New Roman" w:hAnsi="Times New Roman" w:eastAsia="宋体" w:cs="Times New Roman"/>
                <w:color w:val="auto"/>
                <w:szCs w:val="21"/>
                <w:highlight w:val="none"/>
                <w:u w:val="single"/>
              </w:rPr>
              <w:t>（C3类）</w:t>
            </w:r>
            <w:r>
              <w:rPr>
                <w:rFonts w:hint="default" w:ascii="Times New Roman" w:hAnsi="Times New Roman" w:eastAsia="宋体" w:cs="Times New Roman"/>
                <w:bCs/>
                <w:color w:val="auto"/>
                <w:szCs w:val="21"/>
                <w:highlight w:val="none"/>
              </w:rPr>
              <w:t>，</w:t>
            </w:r>
            <w:r>
              <w:rPr>
                <w:rFonts w:hint="default" w:ascii="Times New Roman" w:hAnsi="Times New Roman" w:eastAsia="宋体" w:cs="Times New Roman"/>
                <w:b/>
                <w:color w:val="auto"/>
                <w:szCs w:val="21"/>
                <w:highlight w:val="none"/>
              </w:rPr>
              <w:t>项目负责人和专职安全员不为同一人</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专职安全员的安全生产考核合格证（C类）或建筑施工企业专职安全生产管理人员安全生产考核合格证</w:t>
            </w:r>
            <w:r>
              <w:rPr>
                <w:rFonts w:hint="default" w:ascii="Times New Roman" w:hAnsi="Times New Roman" w:eastAsia="宋体" w:cs="Times New Roman"/>
                <w:color w:val="auto"/>
                <w:szCs w:val="21"/>
                <w:highlight w:val="none"/>
                <w:u w:val="single"/>
              </w:rPr>
              <w:t>（C3类）</w:t>
            </w:r>
            <w:r>
              <w:rPr>
                <w:rFonts w:hint="eastAsia" w:ascii="宋体" w:hAnsi="宋体" w:cs="宋体"/>
                <w:color w:val="auto"/>
                <w:szCs w:val="21"/>
                <w:highlight w:val="none"/>
                <w:lang w:val="en-US" w:eastAsia="zh-CN"/>
              </w:rPr>
              <w:t>扫描件</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8</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投标人提供的投标人声明符合公告要求</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投标人声明</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投标人声明中签字的项目负责人和技术负责人与本项目拟派的项目负责人和技术负责人一致</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网上投标时选择拟投标的项目负责人、资格审查文件中拟委派的技术负责人及投标人声明</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u w:val="single"/>
              </w:rPr>
              <w:t>关于联合体投标：本项目不接受联合体投标</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u w:val="single"/>
                <w:lang w:eastAsia="zh-CN"/>
              </w:rPr>
              <w:t>未以联合体进行投标</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both"/>
              <w:rPr>
                <w:rFonts w:hint="default" w:ascii="Times New Roman" w:hAnsi="Times New Roman" w:eastAsia="宋体" w:cs="Times New Roman"/>
                <w:color w:val="auto"/>
                <w:szCs w:val="21"/>
                <w:highlight w:val="none"/>
                <w:u w:val="single"/>
              </w:rPr>
            </w:pPr>
            <w:r>
              <w:rPr>
                <w:rFonts w:hint="eastAsia" w:ascii="宋体" w:hAnsi="宋体"/>
                <w:color w:val="auto"/>
                <w:szCs w:val="21"/>
                <w:highlight w:val="none"/>
              </w:rPr>
              <w:t>资格审查前，投标人须在广州公共资源交易中心办理企业信息登记及拟担任本工程项目负责人、专职安全员须是本企业企业信息登记中的在册人员</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both"/>
              <w:rPr>
                <w:rFonts w:hint="default" w:ascii="Times New Roman" w:hAnsi="Times New Roman" w:eastAsia="宋体" w:cs="Times New Roman"/>
                <w:color w:val="auto"/>
                <w:szCs w:val="21"/>
                <w:highlight w:val="none"/>
              </w:rPr>
            </w:pPr>
            <w:r>
              <w:rPr>
                <w:rFonts w:hint="eastAsia" w:ascii="宋体" w:hAnsi="宋体"/>
                <w:color w:val="auto"/>
                <w:szCs w:val="21"/>
                <w:highlight w:val="none"/>
              </w:rPr>
              <w:t>投标人在广州公共资源交易中心企业信息库的企业和人员信息</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12</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投标人未出现以下情形：与其它投标人的单位负责人为同一人或者存在控股、管理关系的（按投标人提供的《投标人声明》第八条内容进行评审）</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投标人声明</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13</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2"/>
                <w:highlight w:val="none"/>
              </w:rPr>
              <w:t>未被列入拖欠农民工工资失信联合惩戒对象名单</w:t>
            </w:r>
            <w:r>
              <w:rPr>
                <w:rFonts w:hint="default" w:ascii="Times New Roman" w:hAnsi="Times New Roman" w:eastAsia="宋体" w:cs="Times New Roman"/>
                <w:color w:val="auto"/>
                <w:szCs w:val="22"/>
                <w:highlight w:val="none"/>
                <w:lang w:eastAsia="zh-CN"/>
              </w:rPr>
              <w:t>；</w:t>
            </w:r>
          </w:p>
        </w:tc>
        <w:tc>
          <w:tcPr>
            <w:tcW w:w="414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投标人无需提供资料，按交易系统比对的结果进行评审</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p>
        </w:tc>
      </w:tr>
    </w:tbl>
    <w:p>
      <w:pPr>
        <w:spacing w:line="480" w:lineRule="auto"/>
        <w:ind w:firstLine="470"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备注：</w:t>
      </w:r>
    </w:p>
    <w:p>
      <w:pPr>
        <w:ind w:firstLine="470"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1、每一项目符合的打“○”，不符合的打“×”； </w:t>
      </w:r>
    </w:p>
    <w:p>
      <w:pPr>
        <w:ind w:firstLine="470" w:firstLineChars="224"/>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2、若评委意见不一致时，则按少数服从多数的原则，作出评审结论。汇总后，出现一个“×”的结论为“不通过”。</w:t>
      </w:r>
    </w:p>
    <w:p>
      <w:pPr>
        <w:pStyle w:val="11"/>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rPr>
          <w:rFonts w:hint="default" w:ascii="Times New Roman" w:hAnsi="Times New Roman" w:eastAsia="宋体" w:cs="Times New Roman"/>
          <w:color w:val="auto"/>
          <w:highlight w:val="none"/>
        </w:rPr>
      </w:pPr>
    </w:p>
    <w:p>
      <w:pPr>
        <w:jc w:val="center"/>
        <w:rPr>
          <w:rFonts w:hint="default" w:ascii="Times New Roman" w:hAnsi="Times New Roman" w:eastAsia="宋体" w:cs="Times New Roman"/>
          <w:b/>
          <w:color w:val="auto"/>
          <w:szCs w:val="20"/>
          <w:highlight w:val="none"/>
        </w:rPr>
      </w:pPr>
    </w:p>
    <w:p>
      <w:pPr>
        <w:pStyle w:val="11"/>
        <w:rPr>
          <w:rFonts w:hint="default" w:ascii="Times New Roman" w:hAnsi="Times New Roman" w:eastAsia="宋体" w:cs="Times New Roman"/>
          <w:b/>
          <w:color w:val="auto"/>
          <w:highlight w:val="none"/>
        </w:rPr>
      </w:pPr>
    </w:p>
    <w:p>
      <w:pPr>
        <w:rPr>
          <w:rFonts w:hint="default" w:ascii="Times New Roman" w:hAnsi="Times New Roman" w:eastAsia="宋体" w:cs="Times New Roman"/>
          <w:b/>
          <w:color w:val="auto"/>
          <w:szCs w:val="20"/>
          <w:highlight w:val="none"/>
        </w:rPr>
      </w:pPr>
    </w:p>
    <w:p>
      <w:pPr>
        <w:pStyle w:val="11"/>
        <w:rPr>
          <w:rFonts w:hint="default" w:ascii="Times New Roman" w:hAnsi="Times New Roman" w:eastAsia="宋体" w:cs="Times New Roman"/>
          <w:b/>
          <w:color w:val="auto"/>
          <w:highlight w:val="none"/>
        </w:rPr>
      </w:pPr>
    </w:p>
    <w:p>
      <w:pPr>
        <w:rPr>
          <w:rFonts w:hint="default" w:ascii="Times New Roman" w:hAnsi="Times New Roman" w:eastAsia="宋体" w:cs="Times New Roman"/>
          <w:b/>
          <w:color w:val="auto"/>
          <w:szCs w:val="20"/>
          <w:highlight w:val="none"/>
        </w:rPr>
      </w:pPr>
    </w:p>
    <w:p>
      <w:pPr>
        <w:pStyle w:val="11"/>
        <w:rPr>
          <w:rFonts w:hint="default" w:ascii="Times New Roman" w:hAnsi="Times New Roman" w:eastAsia="宋体" w:cs="Times New Roman"/>
          <w:b/>
          <w:color w:val="auto"/>
          <w:highlight w:val="none"/>
        </w:rPr>
      </w:pPr>
    </w:p>
    <w:p>
      <w:pPr>
        <w:rPr>
          <w:rFonts w:hint="default" w:ascii="Times New Roman" w:hAnsi="Times New Roman" w:eastAsia="宋体" w:cs="Times New Roman"/>
          <w:b/>
          <w:color w:val="auto"/>
          <w:szCs w:val="20"/>
          <w:highlight w:val="none"/>
        </w:rPr>
      </w:pPr>
    </w:p>
    <w:p>
      <w:pPr>
        <w:pStyle w:val="11"/>
        <w:rPr>
          <w:rFonts w:hint="default" w:ascii="Times New Roman" w:hAnsi="Times New Roman" w:eastAsia="宋体" w:cs="Times New Roman"/>
          <w:b/>
          <w:color w:val="auto"/>
          <w:highlight w:val="none"/>
        </w:rPr>
      </w:pPr>
    </w:p>
    <w:p>
      <w:pPr>
        <w:rPr>
          <w:rFonts w:hint="default" w:ascii="Times New Roman" w:hAnsi="Times New Roman" w:eastAsia="宋体" w:cs="Times New Roman"/>
          <w:b/>
          <w:color w:val="auto"/>
          <w:szCs w:val="20"/>
          <w:highlight w:val="none"/>
        </w:rPr>
      </w:pPr>
    </w:p>
    <w:p>
      <w:pPr>
        <w:pStyle w:val="11"/>
        <w:rPr>
          <w:rFonts w:hint="default" w:ascii="Times New Roman" w:hAnsi="Times New Roman" w:eastAsia="宋体" w:cs="Times New Roman"/>
          <w:b/>
          <w:color w:val="auto"/>
          <w:highlight w:val="none"/>
        </w:rPr>
      </w:pPr>
    </w:p>
    <w:p>
      <w:pPr>
        <w:rPr>
          <w:rFonts w:hint="default" w:ascii="Times New Roman" w:hAnsi="Times New Roman" w:eastAsia="宋体" w:cs="Times New Roman"/>
          <w:b/>
          <w:color w:val="auto"/>
          <w:szCs w:val="20"/>
          <w:highlight w:val="none"/>
        </w:rPr>
      </w:pPr>
    </w:p>
    <w:p>
      <w:pPr>
        <w:pStyle w:val="11"/>
        <w:rPr>
          <w:rFonts w:hint="default" w:ascii="Times New Roman" w:hAnsi="Times New Roman" w:eastAsia="宋体" w:cs="Times New Roman"/>
          <w:b/>
          <w:color w:val="auto"/>
          <w:highlight w:val="none"/>
        </w:rPr>
      </w:pPr>
    </w:p>
    <w:p>
      <w:pPr>
        <w:rPr>
          <w:rFonts w:hint="default" w:ascii="Times New Roman" w:hAnsi="Times New Roman" w:eastAsia="宋体" w:cs="Times New Roman"/>
          <w:b/>
          <w:color w:val="auto"/>
          <w:szCs w:val="20"/>
          <w:highlight w:val="none"/>
        </w:rPr>
      </w:pPr>
    </w:p>
    <w:p>
      <w:pPr>
        <w:pStyle w:val="11"/>
        <w:rPr>
          <w:rFonts w:hint="default" w:ascii="Times New Roman" w:hAnsi="Times New Roman" w:eastAsia="宋体" w:cs="Times New Roman"/>
          <w:b/>
          <w:color w:val="auto"/>
          <w:highlight w:val="none"/>
        </w:rPr>
      </w:pPr>
    </w:p>
    <w:p>
      <w:pPr>
        <w:rPr>
          <w:rFonts w:hint="default" w:ascii="Times New Roman" w:hAnsi="Times New Roman" w:eastAsia="宋体" w:cs="Times New Roman"/>
          <w:b/>
          <w:color w:val="auto"/>
          <w:szCs w:val="20"/>
          <w:highlight w:val="none"/>
        </w:rPr>
      </w:pPr>
    </w:p>
    <w:p>
      <w:pPr>
        <w:pStyle w:val="11"/>
        <w:rPr>
          <w:rFonts w:hint="default" w:ascii="Times New Roman" w:hAnsi="Times New Roman" w:eastAsia="宋体" w:cs="Times New Roman"/>
          <w:b/>
          <w:color w:val="auto"/>
          <w:highlight w:val="none"/>
        </w:rPr>
      </w:pPr>
    </w:p>
    <w:p>
      <w:pPr>
        <w:rPr>
          <w:rFonts w:hint="default" w:ascii="Times New Roman" w:hAnsi="Times New Roman" w:eastAsia="宋体" w:cs="Times New Roman"/>
          <w:b/>
          <w:color w:val="auto"/>
          <w:szCs w:val="20"/>
          <w:highlight w:val="none"/>
        </w:rPr>
      </w:pPr>
    </w:p>
    <w:p>
      <w:pPr>
        <w:pStyle w:val="11"/>
        <w:rPr>
          <w:rFonts w:hint="default" w:ascii="Times New Roman" w:hAnsi="Times New Roman" w:eastAsia="宋体" w:cs="Times New Roman"/>
          <w:b/>
          <w:color w:val="auto"/>
          <w:highlight w:val="none"/>
        </w:rPr>
      </w:pPr>
    </w:p>
    <w:p>
      <w:pPr>
        <w:rPr>
          <w:rFonts w:hint="default" w:ascii="Times New Roman" w:hAnsi="Times New Roman" w:eastAsia="宋体" w:cs="Times New Roman"/>
          <w:b/>
          <w:color w:val="auto"/>
          <w:szCs w:val="20"/>
          <w:highlight w:val="none"/>
        </w:rPr>
      </w:pPr>
    </w:p>
    <w:p>
      <w:pPr>
        <w:pStyle w:val="11"/>
        <w:rPr>
          <w:rFonts w:hint="default" w:ascii="Times New Roman" w:hAnsi="Times New Roman" w:eastAsia="宋体" w:cs="Times New Roman"/>
          <w:b/>
          <w:color w:val="auto"/>
          <w:highlight w:val="none"/>
        </w:rPr>
      </w:pPr>
    </w:p>
    <w:p>
      <w:pPr>
        <w:rPr>
          <w:rFonts w:hint="default" w:ascii="Times New Roman" w:hAnsi="Times New Roman" w:eastAsia="宋体" w:cs="Times New Roman"/>
          <w:color w:val="auto"/>
          <w:szCs w:val="21"/>
          <w:highlight w:val="none"/>
        </w:rPr>
        <w:sectPr>
          <w:footerReference r:id="rId4" w:type="default"/>
          <w:endnotePr>
            <w:numFmt w:val="decimal"/>
          </w:endnotePr>
          <w:pgSz w:w="11906" w:h="16838"/>
          <w:pgMar w:top="1134" w:right="1418" w:bottom="1247" w:left="1418" w:header="851" w:footer="907" w:gutter="0"/>
          <w:pgNumType w:fmt="decimal" w:start="1"/>
          <w:cols w:space="720" w:num="1"/>
          <w:docGrid w:type="lines" w:linePitch="312" w:charSpace="0"/>
        </w:sectPr>
      </w:pPr>
    </w:p>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附表二</w:t>
      </w:r>
    </w:p>
    <w:p>
      <w:pPr>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技术标有效性审查表</w:t>
      </w:r>
    </w:p>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工程名称：</w:t>
      </w:r>
    </w:p>
    <w:tbl>
      <w:tblPr>
        <w:tblStyle w:val="4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6649"/>
        <w:gridCol w:w="1195"/>
        <w:gridCol w:w="1195"/>
        <w:gridCol w:w="1062"/>
        <w:gridCol w:w="1194"/>
        <w:gridCol w:w="119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序号</w:t>
            </w:r>
          </w:p>
        </w:tc>
        <w:tc>
          <w:tcPr>
            <w:tcW w:w="6649"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adjustRightIn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投标人</w:t>
            </w:r>
          </w:p>
          <w:p>
            <w:pPr>
              <w:adjustRightInd w:val="0"/>
              <w:rPr>
                <w:rFonts w:hint="default" w:ascii="Times New Roman" w:hAnsi="Times New Roman" w:eastAsia="宋体" w:cs="Times New Roman"/>
                <w:color w:val="auto"/>
                <w:szCs w:val="21"/>
                <w:highlight w:val="none"/>
              </w:rPr>
            </w:pPr>
          </w:p>
          <w:p>
            <w:pPr>
              <w:adjustRightIn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评审内容</w:t>
            </w:r>
          </w:p>
        </w:tc>
        <w:tc>
          <w:tcPr>
            <w:tcW w:w="1195"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6649"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u w:val="single"/>
              </w:rPr>
              <w:t>《广州建设工程施工招标投标书》中工期不能满足招标文件要求的；</w:t>
            </w:r>
          </w:p>
        </w:tc>
        <w:tc>
          <w:tcPr>
            <w:tcW w:w="1195"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6649"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u w:val="single"/>
              </w:rPr>
              <w:t>《广州建设工程施工招标投标书》中质量标准不符合招标文件要求的；</w:t>
            </w:r>
          </w:p>
        </w:tc>
        <w:tc>
          <w:tcPr>
            <w:tcW w:w="1195"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6649"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投标文件中没有有效的法定代表人证明书，或由委托代理人</w:t>
            </w:r>
            <w:r>
              <w:rPr>
                <w:rFonts w:hint="default" w:ascii="Times New Roman" w:hAnsi="Times New Roman" w:eastAsia="宋体" w:cs="Times New Roman"/>
                <w:color w:val="auto"/>
                <w:szCs w:val="21"/>
                <w:highlight w:val="none"/>
                <w:u w:val="single"/>
              </w:rPr>
              <w:t>签字或盖章</w:t>
            </w:r>
            <w:r>
              <w:rPr>
                <w:rFonts w:hint="default" w:ascii="Times New Roman" w:hAnsi="Times New Roman" w:eastAsia="宋体" w:cs="Times New Roman"/>
                <w:color w:val="auto"/>
                <w:szCs w:val="21"/>
                <w:highlight w:val="none"/>
              </w:rPr>
              <w:t>的投标文件中没有法定代表人授权书；</w:t>
            </w:r>
          </w:p>
        </w:tc>
        <w:tc>
          <w:tcPr>
            <w:tcW w:w="1195"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p>
        </w:tc>
        <w:tc>
          <w:tcPr>
            <w:tcW w:w="6649"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highlight w:val="none"/>
              </w:rPr>
              <w:t>投标文件未按规定的格式填写，或主要内容不全，或关键字迹模糊、无法辨认的；</w:t>
            </w:r>
          </w:p>
        </w:tc>
        <w:tc>
          <w:tcPr>
            <w:tcW w:w="1195"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w:t>
            </w:r>
          </w:p>
        </w:tc>
        <w:tc>
          <w:tcPr>
            <w:tcW w:w="6649"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投标人之间存在《广东省实施&lt;中华人民共和国招标投标法&gt;》第十六条所禁止的情形的；</w:t>
            </w:r>
          </w:p>
        </w:tc>
        <w:tc>
          <w:tcPr>
            <w:tcW w:w="1195"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shd w:val="pct10" w:color="auto" w:fill="FFFFFF"/>
              </w:rPr>
            </w:pPr>
          </w:p>
        </w:tc>
        <w:tc>
          <w:tcPr>
            <w:tcW w:w="1195"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shd w:val="pct10" w:color="auto" w:fill="FFFFFF"/>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shd w:val="pct10" w:color="auto" w:fill="FFFFFF"/>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shd w:val="pct10" w:color="auto" w:fill="FFFFFF"/>
              </w:rPr>
            </w:pPr>
          </w:p>
        </w:tc>
        <w:tc>
          <w:tcPr>
            <w:tcW w:w="1195"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shd w:val="pct10" w:color="auto" w:fill="FFFFFF"/>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w:t>
            </w:r>
          </w:p>
        </w:tc>
        <w:tc>
          <w:tcPr>
            <w:tcW w:w="6649"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无《参与编制技术标投标文件人员名单》的</w:t>
            </w:r>
          </w:p>
        </w:tc>
        <w:tc>
          <w:tcPr>
            <w:tcW w:w="1195"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w:t>
            </w:r>
          </w:p>
        </w:tc>
        <w:tc>
          <w:tcPr>
            <w:tcW w:w="6649"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投标人未按要求提交投标保证金的</w:t>
            </w:r>
          </w:p>
        </w:tc>
        <w:tc>
          <w:tcPr>
            <w:tcW w:w="1195"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8</w:t>
            </w:r>
          </w:p>
        </w:tc>
        <w:tc>
          <w:tcPr>
            <w:tcW w:w="6649"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投标人与本项目其他投标人加密打包投标文件电脑机器特征码一致的(以</w:t>
            </w:r>
            <w:r>
              <w:rPr>
                <w:rFonts w:hint="default" w:ascii="Times New Roman" w:hAnsi="Times New Roman" w:eastAsia="宋体" w:cs="Times New Roman"/>
                <w:color w:val="auto"/>
                <w:szCs w:val="21"/>
                <w:highlight w:val="none"/>
                <w:u w:val="single"/>
              </w:rPr>
              <w:t>广州公共资源交易中心</w:t>
            </w:r>
            <w:r>
              <w:rPr>
                <w:rFonts w:hint="default" w:ascii="Times New Roman" w:hAnsi="Times New Roman" w:eastAsia="宋体" w:cs="Times New Roman"/>
                <w:color w:val="auto"/>
                <w:szCs w:val="21"/>
                <w:highlight w:val="none"/>
              </w:rPr>
              <w:t>交易平台评标系统的检索信息为准)</w:t>
            </w:r>
          </w:p>
        </w:tc>
        <w:tc>
          <w:tcPr>
            <w:tcW w:w="1195"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default" w:ascii="Times New Roman" w:hAnsi="Times New Roman" w:eastAsia="宋体" w:cs="Times New Roman"/>
                <w:color w:val="auto"/>
                <w:szCs w:val="21"/>
                <w:highlight w:val="none"/>
              </w:rPr>
            </w:pPr>
          </w:p>
        </w:tc>
      </w:tr>
    </w:tbl>
    <w:p>
      <w:pPr>
        <w:ind w:left="420" w:hanging="420" w:hanging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pPr>
        <w:ind w:left="420" w:hanging="420" w:hanging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ind w:left="420" w:hanging="420" w:hanging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3.凡出现以上任何一项情形，结论均为无效，否则就为有效。</w:t>
      </w:r>
    </w:p>
    <w:p>
      <w:pPr>
        <w:ind w:left="420" w:hanging="420" w:hanging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4.如对本表中某种情形的评审意见不一致时，以评标委员会过半数成员的意见作为评标委员会对该情形的认定结论。</w:t>
      </w:r>
    </w:p>
    <w:p>
      <w:pPr>
        <w:rPr>
          <w:rFonts w:hint="default" w:ascii="Times New Roman" w:hAnsi="Times New Roman" w:eastAsia="宋体" w:cs="Times New Roman"/>
          <w:color w:val="auto"/>
          <w:szCs w:val="21"/>
          <w:highlight w:val="none"/>
        </w:rPr>
      </w:pPr>
    </w:p>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评委签名：</w:t>
      </w:r>
    </w:p>
    <w:p>
      <w:pPr>
        <w:pStyle w:val="11"/>
        <w:rPr>
          <w:rFonts w:hint="default" w:ascii="Times New Roman" w:hAnsi="Times New Roman" w:eastAsia="宋体" w:cs="Times New Roman"/>
          <w:color w:val="auto"/>
          <w:szCs w:val="21"/>
          <w:highlight w:val="none"/>
          <w:lang w:val="en-US"/>
        </w:rPr>
      </w:pPr>
    </w:p>
    <w:p>
      <w:pPr>
        <w:widowControl/>
        <w:jc w:val="left"/>
        <w:rPr>
          <w:rFonts w:hint="default" w:ascii="Times New Roman" w:hAnsi="Times New Roman" w:eastAsia="宋体" w:cs="Times New Roman"/>
          <w:color w:val="auto"/>
          <w:highlight w:val="none"/>
        </w:rPr>
      </w:pPr>
    </w:p>
    <w:p>
      <w:pPr>
        <w:widowControl/>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br w:type="page"/>
      </w:r>
    </w:p>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附表三</w:t>
      </w:r>
    </w:p>
    <w:p>
      <w:pPr>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经济标有效性审查表</w:t>
      </w:r>
    </w:p>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工程名称：</w:t>
      </w:r>
    </w:p>
    <w:tbl>
      <w:tblPr>
        <w:tblStyle w:val="49"/>
        <w:tblW w:w="1360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6340"/>
        <w:gridCol w:w="1150"/>
        <w:gridCol w:w="1395"/>
        <w:gridCol w:w="1395"/>
        <w:gridCol w:w="1394"/>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序号</w:t>
            </w:r>
          </w:p>
        </w:tc>
        <w:tc>
          <w:tcPr>
            <w:tcW w:w="6340"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投标人</w:t>
            </w:r>
          </w:p>
          <w:p>
            <w:pPr>
              <w:rPr>
                <w:rFonts w:hint="default" w:ascii="Times New Roman" w:hAnsi="Times New Roman" w:eastAsia="宋体" w:cs="Times New Roman"/>
                <w:color w:val="auto"/>
                <w:szCs w:val="21"/>
                <w:highlight w:val="none"/>
              </w:rPr>
            </w:pPr>
          </w:p>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评审内容</w:t>
            </w:r>
          </w:p>
        </w:tc>
        <w:tc>
          <w:tcPr>
            <w:tcW w:w="11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634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对同一招标项目出现两个或以上的投标报价，且没有申明哪个有效；</w:t>
            </w:r>
          </w:p>
        </w:tc>
        <w:tc>
          <w:tcPr>
            <w:tcW w:w="11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634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u w:val="single"/>
              </w:rPr>
              <w:t>投标报价</w:t>
            </w:r>
            <w:r>
              <w:rPr>
                <w:rFonts w:hint="default" w:ascii="Times New Roman" w:hAnsi="Times New Roman" w:eastAsia="宋体" w:cs="Times New Roman"/>
                <w:color w:val="auto"/>
                <w:szCs w:val="21"/>
                <w:highlight w:val="none"/>
              </w:rPr>
              <w:t>高于最高投标限价的；</w:t>
            </w:r>
          </w:p>
        </w:tc>
        <w:tc>
          <w:tcPr>
            <w:tcW w:w="11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6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2" w:leftChars="-1"/>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u w:val="single"/>
              </w:rPr>
              <w:t>投标报价低于</w:t>
            </w:r>
            <w:r>
              <w:rPr>
                <w:rFonts w:hint="default" w:ascii="Times New Roman" w:hAnsi="Times New Roman" w:eastAsia="宋体" w:cs="Times New Roman"/>
                <w:bCs/>
                <w:color w:val="auto"/>
                <w:highlight w:val="none"/>
                <w:u w:val="single"/>
              </w:rPr>
              <w:t>成本</w:t>
            </w:r>
            <w:r>
              <w:rPr>
                <w:rFonts w:hint="default" w:ascii="Times New Roman" w:hAnsi="Times New Roman" w:eastAsia="宋体" w:cs="Times New Roman"/>
                <w:color w:val="auto"/>
                <w:highlight w:val="none"/>
                <w:u w:val="single"/>
              </w:rPr>
              <w:t>的（投标人的报价低于成本警戒价，使得其投标报价可能低于其个别成本，又不能合理说明或者不能提供相关证明材料，评标委员会认定该投标人低于成本报价的）；</w:t>
            </w:r>
          </w:p>
        </w:tc>
        <w:tc>
          <w:tcPr>
            <w:tcW w:w="11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p>
        </w:tc>
        <w:tc>
          <w:tcPr>
            <w:tcW w:w="634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算术复核后的投标报价与原投标报价相比存在1%或以上误差的；</w:t>
            </w:r>
          </w:p>
        </w:tc>
        <w:tc>
          <w:tcPr>
            <w:tcW w:w="11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w:t>
            </w:r>
          </w:p>
        </w:tc>
        <w:tc>
          <w:tcPr>
            <w:tcW w:w="634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投标文件未按规定的格式填写，或主要内容不全，或关键字迹模糊、无法辨认的；</w:t>
            </w:r>
          </w:p>
        </w:tc>
        <w:tc>
          <w:tcPr>
            <w:tcW w:w="11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w:t>
            </w:r>
          </w:p>
        </w:tc>
        <w:tc>
          <w:tcPr>
            <w:tcW w:w="634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不同投标人的投标报价中分部分项工程量清单综合单价相似度达到80%及以上的(以</w:t>
            </w:r>
            <w:r>
              <w:rPr>
                <w:rFonts w:hint="default" w:ascii="Times New Roman" w:hAnsi="Times New Roman" w:eastAsia="宋体" w:cs="Times New Roman"/>
                <w:color w:val="auto"/>
                <w:highlight w:val="none"/>
                <w:u w:val="single"/>
              </w:rPr>
              <w:t>广州公共资源交易中心</w:t>
            </w:r>
            <w:r>
              <w:rPr>
                <w:rFonts w:hint="default" w:ascii="Times New Roman" w:hAnsi="Times New Roman" w:eastAsia="宋体" w:cs="Times New Roman"/>
                <w:color w:val="auto"/>
                <w:highlight w:val="none"/>
              </w:rPr>
              <w:t>交易平台评标系统的检索信息为准)</w:t>
            </w:r>
          </w:p>
        </w:tc>
        <w:tc>
          <w:tcPr>
            <w:tcW w:w="11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w:t>
            </w:r>
          </w:p>
        </w:tc>
        <w:tc>
          <w:tcPr>
            <w:tcW w:w="634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投标人之间存在《广东省实施&lt;中华人民共和国招标投标法&gt;》第十六条所禁止的情形的；</w:t>
            </w:r>
          </w:p>
        </w:tc>
        <w:tc>
          <w:tcPr>
            <w:tcW w:w="11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8</w:t>
            </w:r>
          </w:p>
        </w:tc>
        <w:tc>
          <w:tcPr>
            <w:tcW w:w="634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无《参与编制经济标投标文件人员名单》的；</w:t>
            </w:r>
          </w:p>
        </w:tc>
        <w:tc>
          <w:tcPr>
            <w:tcW w:w="11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w:t>
            </w:r>
          </w:p>
        </w:tc>
        <w:tc>
          <w:tcPr>
            <w:tcW w:w="634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无《对投标文件编制的承诺》</w:t>
            </w:r>
          </w:p>
        </w:tc>
        <w:tc>
          <w:tcPr>
            <w:tcW w:w="11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w:t>
            </w:r>
          </w:p>
        </w:tc>
        <w:tc>
          <w:tcPr>
            <w:tcW w:w="634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投标人与本项目其他投标人的投标文件工程量清单编制机器硬件信息一致的（以交易平台评标系统的检索信息为准）</w:t>
            </w:r>
          </w:p>
        </w:tc>
        <w:tc>
          <w:tcPr>
            <w:tcW w:w="11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Cs w:val="21"/>
                <w:highlight w:val="none"/>
              </w:rPr>
            </w:pPr>
          </w:p>
        </w:tc>
      </w:tr>
    </w:tbl>
    <w:p>
      <w:pPr>
        <w:ind w:firstLine="458"/>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注：1.本表使用GZZB2018-3招标文件范本，与范本内容不同之处均以下划线标明。</w:t>
      </w:r>
    </w:p>
    <w:p>
      <w:pPr>
        <w:ind w:firstLine="458"/>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2.凡出现以上任何一项情形，结论均为无效，否则就为有效。</w:t>
      </w:r>
    </w:p>
    <w:p>
      <w:pPr>
        <w:ind w:firstLine="458"/>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3.如对本表中某种情形的评审意见不一致时，以评标委员会过半数成员的意见作为评标委员会对该情形的认定结论。</w:t>
      </w:r>
    </w:p>
    <w:p>
      <w:pPr>
        <w:ind w:firstLine="458"/>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pStyle w:val="11"/>
        <w:rPr>
          <w:rFonts w:hint="default" w:ascii="Times New Roman" w:hAnsi="Times New Roman" w:eastAsia="宋体" w:cs="Times New Roman"/>
          <w:color w:val="auto"/>
          <w:szCs w:val="21"/>
          <w:highlight w:val="none"/>
          <w:lang w:val="en-US"/>
        </w:rPr>
      </w:pPr>
    </w:p>
    <w:p>
      <w:pPr>
        <w:spacing w:after="120"/>
        <w:ind w:firstLine="458"/>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评委签名：</w:t>
      </w:r>
    </w:p>
    <w:p>
      <w:pP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szCs w:val="21"/>
          <w:highlight w:val="none"/>
        </w:rPr>
        <w:br w:type="page"/>
      </w:r>
      <w:r>
        <w:rPr>
          <w:rFonts w:hint="default" w:ascii="Times New Roman" w:hAnsi="Times New Roman" w:eastAsia="宋体" w:cs="Times New Roman"/>
          <w:color w:val="auto"/>
          <w:szCs w:val="21"/>
          <w:highlight w:val="none"/>
        </w:rPr>
        <w:t>附表四</w:t>
      </w:r>
    </w:p>
    <w:p>
      <w:pPr>
        <w:pStyle w:val="9"/>
        <w:spacing w:before="156" w:after="156"/>
        <w:ind w:firstLine="723" w:firstLineChars="200"/>
        <w:jc w:val="center"/>
        <w:rPr>
          <w:rFonts w:hint="default" w:ascii="Times New Roman" w:hAnsi="Times New Roman" w:eastAsia="宋体" w:cs="Times New Roman"/>
          <w:b/>
          <w:bCs/>
          <w:color w:val="auto"/>
          <w:sz w:val="36"/>
          <w:szCs w:val="36"/>
          <w:highlight w:val="none"/>
        </w:rPr>
      </w:pPr>
      <w:bookmarkStart w:id="40" w:name="_Toc27884"/>
      <w:bookmarkStart w:id="41" w:name="_Toc185"/>
      <w:r>
        <w:rPr>
          <w:rFonts w:hint="default" w:ascii="Times New Roman" w:hAnsi="Times New Roman" w:eastAsia="宋体" w:cs="Times New Roman"/>
          <w:b/>
          <w:bCs/>
          <w:color w:val="auto"/>
          <w:sz w:val="36"/>
          <w:szCs w:val="36"/>
          <w:highlight w:val="none"/>
        </w:rPr>
        <w:t>算术复核表</w:t>
      </w:r>
      <w:bookmarkEnd w:id="40"/>
      <w:bookmarkEnd w:id="41"/>
    </w:p>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工程名称：投标人:                                                  单位：元</w:t>
      </w:r>
    </w:p>
    <w:tbl>
      <w:tblPr>
        <w:tblStyle w:val="49"/>
        <w:tblW w:w="14174" w:type="dxa"/>
        <w:tblInd w:w="0" w:type="dxa"/>
        <w:tblLayout w:type="fixed"/>
        <w:tblCellMar>
          <w:top w:w="0" w:type="dxa"/>
          <w:left w:w="108" w:type="dxa"/>
          <w:bottom w:w="0" w:type="dxa"/>
          <w:right w:w="108" w:type="dxa"/>
        </w:tblCellMar>
      </w:tblPr>
      <w:tblGrid>
        <w:gridCol w:w="617"/>
        <w:gridCol w:w="4292"/>
        <w:gridCol w:w="1532"/>
        <w:gridCol w:w="1507"/>
        <w:gridCol w:w="1506"/>
        <w:gridCol w:w="1406"/>
        <w:gridCol w:w="3314"/>
      </w:tblGrid>
      <w:tr>
        <w:tblPrEx>
          <w:tblLayout w:type="fixed"/>
          <w:tblCellMar>
            <w:top w:w="0" w:type="dxa"/>
            <w:left w:w="108" w:type="dxa"/>
            <w:bottom w:w="0" w:type="dxa"/>
            <w:right w:w="108" w:type="dxa"/>
          </w:tblCellMar>
        </w:tblPrEx>
        <w:trPr>
          <w:trHeight w:val="705"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编号</w:t>
            </w:r>
          </w:p>
        </w:tc>
        <w:tc>
          <w:tcPr>
            <w:tcW w:w="4292"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算术校核项目</w:t>
            </w:r>
          </w:p>
        </w:tc>
        <w:tc>
          <w:tcPr>
            <w:tcW w:w="1532"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修正前投标</w:t>
            </w:r>
          </w:p>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报价A</w:t>
            </w:r>
          </w:p>
        </w:tc>
        <w:tc>
          <w:tcPr>
            <w:tcW w:w="1507"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修正后投标</w:t>
            </w:r>
          </w:p>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报价B</w:t>
            </w:r>
          </w:p>
        </w:tc>
        <w:tc>
          <w:tcPr>
            <w:tcW w:w="1506"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修正率</w:t>
            </w:r>
            <w:r>
              <w:rPr>
                <w:rFonts w:hint="default" w:ascii="Times New Roman" w:hAnsi="Times New Roman" w:eastAsia="宋体" w:cs="Times New Roman"/>
                <w:color w:val="auto"/>
                <w:kern w:val="0"/>
                <w:szCs w:val="21"/>
                <w:highlight w:val="none"/>
              </w:rPr>
              <w:br w:type="textWrapping"/>
            </w:r>
            <w:r>
              <w:rPr>
                <w:rFonts w:hint="default" w:ascii="Times New Roman" w:hAnsi="Times New Roman" w:eastAsia="宋体" w:cs="Times New Roman"/>
                <w:color w:val="auto"/>
                <w:kern w:val="0"/>
                <w:szCs w:val="21"/>
                <w:highlight w:val="none"/>
              </w:rPr>
              <w:t>r=|A-B|/A*100%</w:t>
            </w:r>
          </w:p>
        </w:tc>
        <w:tc>
          <w:tcPr>
            <w:tcW w:w="1406"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经评审的最终投标报价</w:t>
            </w:r>
          </w:p>
        </w:tc>
        <w:tc>
          <w:tcPr>
            <w:tcW w:w="3314"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当B&gt;A时，修正后报价与原报价的差额；当B≤A时,R=0</w:t>
            </w:r>
          </w:p>
        </w:tc>
      </w:tr>
      <w:tr>
        <w:tblPrEx>
          <w:tblLayout w:type="fixed"/>
          <w:tblCellMar>
            <w:top w:w="0" w:type="dxa"/>
            <w:left w:w="108" w:type="dxa"/>
            <w:bottom w:w="0" w:type="dxa"/>
            <w:right w:w="108" w:type="dxa"/>
          </w:tblCellMar>
        </w:tblPrEx>
        <w:trPr>
          <w:trHeight w:val="600" w:hRule="atLeast"/>
        </w:trPr>
        <w:tc>
          <w:tcPr>
            <w:tcW w:w="61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w:t>
            </w:r>
          </w:p>
        </w:tc>
        <w:tc>
          <w:tcPr>
            <w:tcW w:w="4292"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[单位工程1]</w:t>
            </w:r>
          </w:p>
        </w:tc>
        <w:tc>
          <w:tcPr>
            <w:tcW w:w="1532"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1507"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150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140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3314"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p>
        </w:tc>
      </w:tr>
      <w:tr>
        <w:tblPrEx>
          <w:tblLayout w:type="fixed"/>
          <w:tblCellMar>
            <w:top w:w="0" w:type="dxa"/>
            <w:left w:w="108" w:type="dxa"/>
            <w:bottom w:w="0" w:type="dxa"/>
            <w:right w:w="108" w:type="dxa"/>
          </w:tblCellMar>
        </w:tblPrEx>
        <w:trPr>
          <w:trHeight w:val="600" w:hRule="atLeast"/>
        </w:trPr>
        <w:tc>
          <w:tcPr>
            <w:tcW w:w="61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w:t>
            </w:r>
          </w:p>
        </w:tc>
        <w:tc>
          <w:tcPr>
            <w:tcW w:w="4292"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[单位工程2]</w:t>
            </w:r>
          </w:p>
        </w:tc>
        <w:tc>
          <w:tcPr>
            <w:tcW w:w="1532"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1507"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150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140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3314"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p>
        </w:tc>
      </w:tr>
      <w:tr>
        <w:tblPrEx>
          <w:tblLayout w:type="fixed"/>
          <w:tblCellMar>
            <w:top w:w="0" w:type="dxa"/>
            <w:left w:w="108" w:type="dxa"/>
            <w:bottom w:w="0" w:type="dxa"/>
            <w:right w:w="108" w:type="dxa"/>
          </w:tblCellMar>
        </w:tblPrEx>
        <w:trPr>
          <w:trHeight w:val="600" w:hRule="atLeast"/>
        </w:trPr>
        <w:tc>
          <w:tcPr>
            <w:tcW w:w="61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p>
        </w:tc>
        <w:tc>
          <w:tcPr>
            <w:tcW w:w="4292"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p>
        </w:tc>
        <w:tc>
          <w:tcPr>
            <w:tcW w:w="1532"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1507"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150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140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3314"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p>
        </w:tc>
      </w:tr>
      <w:tr>
        <w:tblPrEx>
          <w:tblLayout w:type="fixed"/>
          <w:tblCellMar>
            <w:top w:w="0" w:type="dxa"/>
            <w:left w:w="108" w:type="dxa"/>
            <w:bottom w:w="0" w:type="dxa"/>
            <w:right w:w="108" w:type="dxa"/>
          </w:tblCellMar>
        </w:tblPrEx>
        <w:trPr>
          <w:trHeight w:val="600" w:hRule="atLeast"/>
        </w:trPr>
        <w:tc>
          <w:tcPr>
            <w:tcW w:w="61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p>
        </w:tc>
        <w:tc>
          <w:tcPr>
            <w:tcW w:w="4292"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p>
        </w:tc>
        <w:tc>
          <w:tcPr>
            <w:tcW w:w="1532"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1507"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150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140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3314"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p>
        </w:tc>
      </w:tr>
      <w:tr>
        <w:tblPrEx>
          <w:tblLayout w:type="fixed"/>
          <w:tblCellMar>
            <w:top w:w="0" w:type="dxa"/>
            <w:left w:w="108" w:type="dxa"/>
            <w:bottom w:w="0" w:type="dxa"/>
            <w:right w:w="108" w:type="dxa"/>
          </w:tblCellMar>
        </w:tblPrEx>
        <w:trPr>
          <w:trHeight w:val="600" w:hRule="atLeast"/>
        </w:trPr>
        <w:tc>
          <w:tcPr>
            <w:tcW w:w="61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p>
        </w:tc>
        <w:tc>
          <w:tcPr>
            <w:tcW w:w="4292"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p>
        </w:tc>
        <w:tc>
          <w:tcPr>
            <w:tcW w:w="1532"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1507"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150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140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3314"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p>
        </w:tc>
      </w:tr>
      <w:tr>
        <w:tblPrEx>
          <w:tblLayout w:type="fixed"/>
          <w:tblCellMar>
            <w:top w:w="0" w:type="dxa"/>
            <w:left w:w="108" w:type="dxa"/>
            <w:bottom w:w="0" w:type="dxa"/>
            <w:right w:w="108" w:type="dxa"/>
          </w:tblCellMar>
        </w:tblPrEx>
        <w:trPr>
          <w:trHeight w:val="600" w:hRule="atLeast"/>
        </w:trPr>
        <w:tc>
          <w:tcPr>
            <w:tcW w:w="61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n</w:t>
            </w:r>
          </w:p>
        </w:tc>
        <w:tc>
          <w:tcPr>
            <w:tcW w:w="4292"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[单位工程n]</w:t>
            </w:r>
          </w:p>
        </w:tc>
        <w:tc>
          <w:tcPr>
            <w:tcW w:w="1532"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1507"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150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140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3314"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p>
        </w:tc>
      </w:tr>
      <w:tr>
        <w:tblPrEx>
          <w:tblLayout w:type="fixed"/>
          <w:tblCellMar>
            <w:top w:w="0" w:type="dxa"/>
            <w:left w:w="108" w:type="dxa"/>
            <w:bottom w:w="0" w:type="dxa"/>
            <w:right w:w="108" w:type="dxa"/>
          </w:tblCellMar>
        </w:tblPrEx>
        <w:trPr>
          <w:trHeight w:val="600" w:hRule="atLeast"/>
        </w:trPr>
        <w:tc>
          <w:tcPr>
            <w:tcW w:w="61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p>
        </w:tc>
        <w:tc>
          <w:tcPr>
            <w:tcW w:w="4292"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投标总报价</w:t>
            </w:r>
          </w:p>
        </w:tc>
        <w:tc>
          <w:tcPr>
            <w:tcW w:w="1532"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1507"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1506" w:type="dxa"/>
            <w:tcBorders>
              <w:top w:val="nil"/>
              <w:left w:val="nil"/>
              <w:bottom w:val="single" w:color="auto" w:sz="4" w:space="0"/>
              <w:right w:val="single" w:color="auto" w:sz="4" w:space="0"/>
              <w:tr2bl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1406" w:type="dxa"/>
            <w:tcBorders>
              <w:top w:val="nil"/>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w:t>
            </w:r>
          </w:p>
        </w:tc>
        <w:tc>
          <w:tcPr>
            <w:tcW w:w="3314"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∑A=A</w:t>
            </w:r>
            <w:r>
              <w:rPr>
                <w:rFonts w:hint="default" w:ascii="Times New Roman" w:hAnsi="Times New Roman" w:eastAsia="宋体" w:cs="Times New Roman"/>
                <w:color w:val="auto"/>
                <w:kern w:val="0"/>
                <w:szCs w:val="21"/>
                <w:highlight w:val="none"/>
                <w:vertAlign w:val="subscript"/>
              </w:rPr>
              <w:t>1</w:t>
            </w:r>
            <w:r>
              <w:rPr>
                <w:rFonts w:hint="default" w:ascii="Times New Roman" w:hAnsi="Times New Roman" w:eastAsia="宋体" w:cs="Times New Roman"/>
                <w:color w:val="auto"/>
                <w:kern w:val="0"/>
                <w:szCs w:val="21"/>
                <w:highlight w:val="none"/>
              </w:rPr>
              <w:t>+A</w:t>
            </w:r>
            <w:r>
              <w:rPr>
                <w:rFonts w:hint="default" w:ascii="Times New Roman" w:hAnsi="Times New Roman" w:eastAsia="宋体" w:cs="Times New Roman"/>
                <w:color w:val="auto"/>
                <w:kern w:val="0"/>
                <w:szCs w:val="21"/>
                <w:highlight w:val="none"/>
                <w:vertAlign w:val="subscript"/>
              </w:rPr>
              <w:t>2</w:t>
            </w:r>
            <w:r>
              <w:rPr>
                <w:rFonts w:hint="default" w:ascii="Times New Roman" w:hAnsi="Times New Roman" w:eastAsia="宋体" w:cs="Times New Roman"/>
                <w:color w:val="auto"/>
                <w:kern w:val="0"/>
                <w:szCs w:val="21"/>
                <w:highlight w:val="none"/>
              </w:rPr>
              <w:t>+…An；∑B=B</w:t>
            </w:r>
            <w:r>
              <w:rPr>
                <w:rFonts w:hint="default" w:ascii="Times New Roman" w:hAnsi="Times New Roman" w:eastAsia="宋体" w:cs="Times New Roman"/>
                <w:color w:val="auto"/>
                <w:kern w:val="0"/>
                <w:szCs w:val="21"/>
                <w:highlight w:val="none"/>
                <w:vertAlign w:val="subscript"/>
              </w:rPr>
              <w:t>1</w:t>
            </w:r>
            <w:r>
              <w:rPr>
                <w:rFonts w:hint="default" w:ascii="Times New Roman" w:hAnsi="Times New Roman" w:eastAsia="宋体" w:cs="Times New Roman"/>
                <w:color w:val="auto"/>
                <w:kern w:val="0"/>
                <w:szCs w:val="21"/>
                <w:highlight w:val="none"/>
              </w:rPr>
              <w:t>+B</w:t>
            </w:r>
            <w:r>
              <w:rPr>
                <w:rFonts w:hint="default" w:ascii="Times New Roman" w:hAnsi="Times New Roman" w:eastAsia="宋体" w:cs="Times New Roman"/>
                <w:color w:val="auto"/>
                <w:kern w:val="0"/>
                <w:szCs w:val="21"/>
                <w:highlight w:val="none"/>
                <w:vertAlign w:val="subscript"/>
              </w:rPr>
              <w:t>2</w:t>
            </w:r>
            <w:r>
              <w:rPr>
                <w:rFonts w:hint="default" w:ascii="Times New Roman" w:hAnsi="Times New Roman" w:eastAsia="宋体" w:cs="Times New Roman"/>
                <w:color w:val="auto"/>
                <w:kern w:val="0"/>
                <w:szCs w:val="21"/>
                <w:highlight w:val="none"/>
              </w:rPr>
              <w:t>+…Bn</w:t>
            </w:r>
          </w:p>
        </w:tc>
      </w:tr>
    </w:tbl>
    <w:p>
      <w:pP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修正原则：</w:t>
      </w:r>
      <w:r>
        <w:rPr>
          <w:rFonts w:hint="default" w:ascii="Times New Roman" w:hAnsi="Times New Roman" w:eastAsia="宋体" w:cs="Times New Roman"/>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hint="default" w:ascii="Times New Roman" w:hAnsi="Times New Roman" w:eastAsia="宋体" w:cs="Times New Roman"/>
          <w:color w:val="auto"/>
          <w:kern w:val="0"/>
          <w:szCs w:val="21"/>
          <w:highlight w:val="none"/>
        </w:rPr>
        <w:tab/>
      </w:r>
    </w:p>
    <w:p>
      <w:pPr>
        <w:rPr>
          <w:rFonts w:hint="default" w:ascii="Times New Roman" w:hAnsi="Times New Roman" w:eastAsia="宋体" w:cs="Times New Roman"/>
          <w:color w:val="auto"/>
          <w:kern w:val="0"/>
          <w:szCs w:val="21"/>
          <w:highlight w:val="none"/>
        </w:rPr>
      </w:pPr>
    </w:p>
    <w:p>
      <w:pPr>
        <w:spacing w:after="120"/>
        <w:ind w:firstLine="458"/>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评委签名：</w:t>
      </w:r>
      <w:r>
        <w:rPr>
          <w:rFonts w:hint="default" w:ascii="Times New Roman" w:hAnsi="Times New Roman" w:eastAsia="宋体" w:cs="Times New Roman"/>
          <w:color w:val="auto"/>
          <w:kern w:val="0"/>
          <w:szCs w:val="21"/>
          <w:highlight w:val="none"/>
        </w:rPr>
        <w:tab/>
      </w:r>
      <w:r>
        <w:rPr>
          <w:rFonts w:hint="default" w:ascii="Times New Roman" w:hAnsi="Times New Roman" w:eastAsia="宋体" w:cs="Times New Roman"/>
          <w:color w:val="auto"/>
          <w:kern w:val="0"/>
          <w:szCs w:val="21"/>
          <w:highlight w:val="none"/>
        </w:rPr>
        <w:tab/>
      </w:r>
      <w:r>
        <w:rPr>
          <w:rFonts w:hint="default" w:ascii="Times New Roman" w:hAnsi="Times New Roman" w:eastAsia="宋体" w:cs="Times New Roman"/>
          <w:color w:val="auto"/>
          <w:kern w:val="0"/>
          <w:szCs w:val="21"/>
          <w:highlight w:val="none"/>
        </w:rPr>
        <w:tab/>
      </w:r>
      <w:r>
        <w:rPr>
          <w:rFonts w:hint="default" w:ascii="Times New Roman" w:hAnsi="Times New Roman" w:eastAsia="宋体" w:cs="Times New Roman"/>
          <w:color w:val="auto"/>
          <w:kern w:val="0"/>
          <w:szCs w:val="21"/>
          <w:highlight w:val="none"/>
        </w:rPr>
        <w:tab/>
      </w:r>
      <w:r>
        <w:rPr>
          <w:rFonts w:hint="default" w:ascii="Times New Roman" w:hAnsi="Times New Roman" w:eastAsia="宋体" w:cs="Times New Roman"/>
          <w:color w:val="auto"/>
          <w:kern w:val="0"/>
          <w:szCs w:val="21"/>
          <w:highlight w:val="none"/>
        </w:rPr>
        <w:tab/>
      </w:r>
      <w:r>
        <w:rPr>
          <w:rFonts w:hint="default" w:ascii="Times New Roman" w:hAnsi="Times New Roman" w:eastAsia="宋体" w:cs="Times New Roman"/>
          <w:color w:val="auto"/>
          <w:kern w:val="0"/>
          <w:szCs w:val="21"/>
          <w:highlight w:val="none"/>
        </w:rPr>
        <w:t>日期：</w:t>
      </w:r>
    </w:p>
    <w:p>
      <w:pPr>
        <w:spacing w:after="120"/>
        <w:ind w:firstLine="458"/>
        <w:rPr>
          <w:rFonts w:hint="default" w:ascii="Times New Roman" w:hAnsi="Times New Roman" w:eastAsia="宋体" w:cs="Times New Roman"/>
          <w:color w:val="auto"/>
          <w:kern w:val="0"/>
          <w:szCs w:val="21"/>
          <w:highlight w:val="none"/>
        </w:rPr>
      </w:pPr>
    </w:p>
    <w:p>
      <w:pPr>
        <w:spacing w:after="120"/>
        <w:ind w:firstLine="458"/>
        <w:rPr>
          <w:rFonts w:hint="default" w:ascii="Times New Roman" w:hAnsi="Times New Roman" w:eastAsia="宋体" w:cs="Times New Roman"/>
          <w:color w:val="auto"/>
          <w:kern w:val="0"/>
          <w:szCs w:val="21"/>
          <w:highlight w:val="none"/>
        </w:rPr>
      </w:pPr>
    </w:p>
    <w:p>
      <w:pPr>
        <w:spacing w:after="120"/>
        <w:ind w:firstLine="458"/>
        <w:rPr>
          <w:rFonts w:hint="default" w:ascii="Times New Roman" w:hAnsi="Times New Roman" w:eastAsia="宋体" w:cs="Times New Roman"/>
          <w:color w:val="auto"/>
          <w:kern w:val="0"/>
          <w:szCs w:val="21"/>
          <w:highlight w:val="none"/>
        </w:rPr>
      </w:pPr>
    </w:p>
    <w:p>
      <w:pPr>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br w:type="page"/>
      </w:r>
      <w:r>
        <w:rPr>
          <w:rFonts w:hint="default" w:ascii="Times New Roman" w:hAnsi="Times New Roman" w:eastAsia="宋体" w:cs="Times New Roman"/>
          <w:b/>
          <w:color w:val="auto"/>
          <w:sz w:val="36"/>
          <w:szCs w:val="36"/>
          <w:highlight w:val="none"/>
        </w:rPr>
        <w:t>算术复核表</w:t>
      </w:r>
    </w:p>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工程名称：</w:t>
      </w:r>
    </w:p>
    <w:tbl>
      <w:tblPr>
        <w:tblStyle w:val="4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原投标报价（A）</w:t>
            </w:r>
          </w:p>
        </w:tc>
        <w:tc>
          <w:tcPr>
            <w:tcW w:w="310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算数复核后投标报价（B）</w:t>
            </w:r>
          </w:p>
        </w:tc>
        <w:tc>
          <w:tcPr>
            <w:tcW w:w="342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误差率（r=|A-B|/A*100%）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color w:val="auto"/>
                <w:sz w:val="36"/>
                <w:szCs w:val="36"/>
                <w:highlight w:val="none"/>
              </w:rPr>
            </w:pPr>
          </w:p>
        </w:tc>
      </w:tr>
    </w:tbl>
    <w:p>
      <w:pPr>
        <w:spacing w:after="120"/>
        <w:ind w:firstLine="458"/>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评委签名：</w:t>
      </w:r>
    </w:p>
    <w:p>
      <w:pPr>
        <w:widowControl/>
        <w:jc w:val="left"/>
        <w:rPr>
          <w:rFonts w:hint="default" w:ascii="Times New Roman" w:hAnsi="Times New Roman" w:eastAsia="宋体" w:cs="Times New Roman"/>
          <w:b/>
          <w:bCs/>
          <w:color w:val="auto"/>
          <w:highlight w:val="none"/>
        </w:rPr>
      </w:pPr>
      <w:r>
        <w:rPr>
          <w:rFonts w:hint="default" w:ascii="Times New Roman" w:hAnsi="Times New Roman" w:eastAsia="宋体" w:cs="Times New Roman"/>
          <w:color w:val="auto"/>
          <w:szCs w:val="21"/>
          <w:highlight w:val="none"/>
        </w:rPr>
        <w:br w:type="page"/>
      </w:r>
      <w:r>
        <w:rPr>
          <w:rFonts w:hint="default" w:ascii="Times New Roman" w:hAnsi="Times New Roman" w:eastAsia="宋体" w:cs="Times New Roman"/>
          <w:color w:val="auto"/>
          <w:highlight w:val="none"/>
        </w:rPr>
        <w:t>附表五</w:t>
      </w:r>
    </w:p>
    <w:p>
      <w:pPr>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lang w:val="en-US" w:eastAsia="zh-CN"/>
        </w:rPr>
        <w:t>施工</w:t>
      </w:r>
      <w:r>
        <w:rPr>
          <w:rFonts w:hint="default" w:ascii="Times New Roman" w:hAnsi="Times New Roman" w:eastAsia="宋体" w:cs="Times New Roman"/>
          <w:b/>
          <w:color w:val="auto"/>
          <w:sz w:val="36"/>
          <w:szCs w:val="36"/>
          <w:highlight w:val="none"/>
        </w:rPr>
        <w:t>方案</w:t>
      </w:r>
      <w:r>
        <w:rPr>
          <w:rFonts w:hint="default" w:ascii="Times New Roman" w:hAnsi="Times New Roman" w:eastAsia="宋体" w:cs="Times New Roman"/>
          <w:b/>
          <w:color w:val="auto"/>
          <w:sz w:val="36"/>
          <w:szCs w:val="36"/>
          <w:highlight w:val="none"/>
          <w:lang w:val="en-US" w:eastAsia="zh-CN"/>
        </w:rPr>
        <w:t>定性评审</w:t>
      </w:r>
      <w:r>
        <w:rPr>
          <w:rFonts w:hint="default" w:ascii="Times New Roman" w:hAnsi="Times New Roman" w:eastAsia="宋体" w:cs="Times New Roman"/>
          <w:b/>
          <w:color w:val="auto"/>
          <w:sz w:val="36"/>
          <w:szCs w:val="36"/>
          <w:highlight w:val="none"/>
        </w:rPr>
        <w:t>表</w:t>
      </w:r>
    </w:p>
    <w:p>
      <w:pPr>
        <w:spacing w:line="360" w:lineRule="auto"/>
        <w:jc w:val="left"/>
        <w:rPr>
          <w:rFonts w:hint="default" w:ascii="Times New Roman" w:hAnsi="Times New Roman" w:eastAsia="宋体" w:cs="Times New Roman"/>
          <w:color w:val="auto"/>
          <w:sz w:val="22"/>
          <w:szCs w:val="21"/>
          <w:highlight w:val="none"/>
        </w:rPr>
      </w:pPr>
      <w:r>
        <w:rPr>
          <w:rFonts w:hint="default" w:ascii="Times New Roman" w:hAnsi="Times New Roman" w:eastAsia="宋体" w:cs="Times New Roman"/>
          <w:color w:val="auto"/>
          <w:sz w:val="22"/>
          <w:szCs w:val="21"/>
          <w:highlight w:val="none"/>
          <w:lang w:val="en-US" w:eastAsia="zh-CN"/>
        </w:rPr>
        <w:t>工程</w:t>
      </w:r>
      <w:r>
        <w:rPr>
          <w:rFonts w:hint="default" w:ascii="Times New Roman" w:hAnsi="Times New Roman" w:eastAsia="宋体" w:cs="Times New Roman"/>
          <w:color w:val="auto"/>
          <w:sz w:val="22"/>
          <w:szCs w:val="21"/>
          <w:highlight w:val="none"/>
        </w:rPr>
        <w:t xml:space="preserve">名称：                                                                                 </w:t>
      </w:r>
    </w:p>
    <w:tbl>
      <w:tblPr>
        <w:tblStyle w:val="4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3540"/>
        <w:gridCol w:w="7515"/>
        <w:gridCol w:w="847"/>
        <w:gridCol w:w="847"/>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序号</w:t>
            </w:r>
          </w:p>
        </w:tc>
        <w:tc>
          <w:tcPr>
            <w:tcW w:w="3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评审内容</w:t>
            </w:r>
          </w:p>
        </w:tc>
        <w:tc>
          <w:tcPr>
            <w:tcW w:w="75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评审标准</w:t>
            </w:r>
          </w:p>
        </w:tc>
        <w:tc>
          <w:tcPr>
            <w:tcW w:w="8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投标人1</w:t>
            </w:r>
          </w:p>
        </w:tc>
        <w:tc>
          <w:tcPr>
            <w:tcW w:w="8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投标人2</w:t>
            </w:r>
          </w:p>
        </w:tc>
        <w:tc>
          <w:tcPr>
            <w:tcW w:w="8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投标人3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w:t>
            </w:r>
          </w:p>
        </w:tc>
        <w:tc>
          <w:tcPr>
            <w:tcW w:w="3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auto"/>
                <w:sz w:val="24"/>
                <w:highlight w:val="none"/>
                <w:lang w:val="zh-TW"/>
              </w:rPr>
            </w:pPr>
            <w:r>
              <w:rPr>
                <w:rFonts w:hint="default" w:ascii="Times New Roman" w:hAnsi="Times New Roman" w:eastAsia="宋体" w:cs="Times New Roman"/>
                <w:color w:val="auto"/>
                <w:szCs w:val="21"/>
                <w:highlight w:val="none"/>
              </w:rPr>
              <w:t>对工程特点的整体了解、难点的判断和应对措施</w:t>
            </w:r>
          </w:p>
        </w:tc>
        <w:tc>
          <w:tcPr>
            <w:tcW w:w="751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宋体" w:cs="Times New Roman"/>
                <w:color w:val="auto"/>
                <w:kern w:val="2"/>
                <w:sz w:val="24"/>
                <w:highlight w:val="none"/>
                <w:lang w:val="zh-TW" w:eastAsia="zh-TW"/>
              </w:rPr>
            </w:pPr>
            <w:r>
              <w:rPr>
                <w:rFonts w:hint="default" w:ascii="Times New Roman" w:hAnsi="Times New Roman" w:eastAsia="宋体" w:cs="Times New Roman"/>
                <w:color w:val="auto"/>
                <w:kern w:val="0"/>
                <w:szCs w:val="21"/>
                <w:highlight w:val="none"/>
              </w:rPr>
              <w:t>对工程状况了解全面，对于工程难点、重点问题分析全面。</w:t>
            </w:r>
          </w:p>
        </w:tc>
        <w:tc>
          <w:tcPr>
            <w:tcW w:w="8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宋体" w:cs="Times New Roman"/>
                <w:color w:val="auto"/>
                <w:kern w:val="0"/>
                <w:szCs w:val="21"/>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宋体" w:cs="Times New Roman"/>
                <w:color w:val="auto"/>
                <w:kern w:val="0"/>
                <w:szCs w:val="21"/>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w:t>
            </w:r>
          </w:p>
        </w:tc>
        <w:tc>
          <w:tcPr>
            <w:tcW w:w="3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auto"/>
                <w:sz w:val="24"/>
                <w:highlight w:val="none"/>
                <w:lang w:val="zh-TW"/>
              </w:rPr>
            </w:pPr>
            <w:r>
              <w:rPr>
                <w:rFonts w:hint="default" w:ascii="Times New Roman" w:hAnsi="Times New Roman" w:eastAsia="宋体" w:cs="Times New Roman"/>
                <w:color w:val="auto"/>
                <w:szCs w:val="21"/>
                <w:highlight w:val="none"/>
              </w:rPr>
              <w:t>施工总平面布置、主要施工方案及技术措施</w:t>
            </w:r>
          </w:p>
        </w:tc>
        <w:tc>
          <w:tcPr>
            <w:tcW w:w="751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宋体" w:cs="Times New Roman"/>
                <w:color w:val="auto"/>
                <w:sz w:val="24"/>
                <w:highlight w:val="none"/>
                <w:lang w:val="zh-TW"/>
              </w:rPr>
            </w:pPr>
            <w:r>
              <w:rPr>
                <w:rFonts w:hint="default" w:ascii="Times New Roman" w:hAnsi="Times New Roman" w:eastAsia="宋体" w:cs="Times New Roman"/>
                <w:color w:val="auto"/>
                <w:szCs w:val="21"/>
                <w:highlight w:val="none"/>
              </w:rPr>
              <w:t>施工总平面布置科学、合理；主要施工方案及技术措施重点难点分析全面、准确，保证措施合理可行。</w:t>
            </w:r>
          </w:p>
        </w:tc>
        <w:tc>
          <w:tcPr>
            <w:tcW w:w="8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宋体" w:cs="Times New Roman"/>
                <w:color w:val="auto"/>
                <w:szCs w:val="21"/>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宋体" w:cs="Times New Roman"/>
                <w:color w:val="auto"/>
                <w:szCs w:val="21"/>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3</w:t>
            </w:r>
          </w:p>
        </w:tc>
        <w:tc>
          <w:tcPr>
            <w:tcW w:w="3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auto"/>
                <w:sz w:val="24"/>
                <w:highlight w:val="none"/>
                <w:lang w:val="zh-TW"/>
              </w:rPr>
            </w:pPr>
            <w:r>
              <w:rPr>
                <w:rFonts w:hint="default" w:ascii="Times New Roman" w:hAnsi="Times New Roman" w:eastAsia="宋体" w:cs="Times New Roman"/>
                <w:color w:val="auto"/>
                <w:szCs w:val="21"/>
                <w:highlight w:val="none"/>
              </w:rPr>
              <w:t>施工进度、工期及技术、供应计划</w:t>
            </w:r>
          </w:p>
        </w:tc>
        <w:tc>
          <w:tcPr>
            <w:tcW w:w="751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宋体" w:cs="Times New Roman"/>
                <w:color w:val="auto"/>
                <w:kern w:val="2"/>
                <w:sz w:val="24"/>
                <w:highlight w:val="none"/>
                <w:lang w:val="zh-CN"/>
              </w:rPr>
            </w:pPr>
            <w:r>
              <w:rPr>
                <w:rFonts w:hint="default" w:ascii="Times New Roman" w:hAnsi="Times New Roman" w:eastAsia="宋体" w:cs="Times New Roman"/>
                <w:color w:val="auto"/>
                <w:szCs w:val="21"/>
                <w:highlight w:val="none"/>
              </w:rPr>
              <w:t>施工进度、工期及技术、供应计划方案合理可行。</w:t>
            </w:r>
          </w:p>
        </w:tc>
        <w:tc>
          <w:tcPr>
            <w:tcW w:w="8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宋体" w:cs="Times New Roman"/>
                <w:color w:val="auto"/>
                <w:szCs w:val="21"/>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宋体" w:cs="Times New Roman"/>
                <w:color w:val="auto"/>
                <w:szCs w:val="21"/>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4</w:t>
            </w:r>
          </w:p>
        </w:tc>
        <w:tc>
          <w:tcPr>
            <w:tcW w:w="3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auto"/>
                <w:sz w:val="24"/>
                <w:highlight w:val="none"/>
                <w:lang w:val="zh-TW"/>
              </w:rPr>
            </w:pPr>
            <w:r>
              <w:rPr>
                <w:rFonts w:hint="default" w:ascii="Times New Roman" w:hAnsi="Times New Roman" w:eastAsia="宋体" w:cs="Times New Roman"/>
                <w:color w:val="auto"/>
                <w:szCs w:val="21"/>
                <w:highlight w:val="none"/>
              </w:rPr>
              <w:t>质量管理</w:t>
            </w:r>
          </w:p>
        </w:tc>
        <w:tc>
          <w:tcPr>
            <w:tcW w:w="751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szCs w:val="21"/>
                <w:highlight w:val="none"/>
              </w:rPr>
              <w:t>工程质量管理目标明确，体系健全、控制措施合理。</w:t>
            </w:r>
          </w:p>
        </w:tc>
        <w:tc>
          <w:tcPr>
            <w:tcW w:w="8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宋体" w:cs="Times New Roman"/>
                <w:color w:val="auto"/>
                <w:szCs w:val="21"/>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宋体" w:cs="Times New Roman"/>
                <w:color w:val="auto"/>
                <w:szCs w:val="21"/>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5</w:t>
            </w:r>
          </w:p>
        </w:tc>
        <w:tc>
          <w:tcPr>
            <w:tcW w:w="3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宋体" w:cs="Times New Roman"/>
                <w:color w:val="auto"/>
                <w:sz w:val="24"/>
                <w:highlight w:val="none"/>
                <w:lang w:val="zh-TW"/>
              </w:rPr>
            </w:pPr>
            <w:r>
              <w:rPr>
                <w:rFonts w:hint="default" w:ascii="Times New Roman" w:hAnsi="Times New Roman" w:eastAsia="宋体" w:cs="Times New Roman"/>
                <w:color w:val="auto"/>
                <w:szCs w:val="21"/>
                <w:highlight w:val="none"/>
              </w:rPr>
              <w:t>安全及文明施工管理、环境保护与绿色施工</w:t>
            </w:r>
          </w:p>
        </w:tc>
        <w:tc>
          <w:tcPr>
            <w:tcW w:w="751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宋体" w:cs="Times New Roman"/>
                <w:color w:val="auto"/>
                <w:kern w:val="2"/>
                <w:sz w:val="24"/>
                <w:highlight w:val="none"/>
              </w:rPr>
            </w:pPr>
            <w:r>
              <w:rPr>
                <w:rFonts w:hint="default" w:ascii="Times New Roman" w:hAnsi="Times New Roman" w:eastAsia="宋体" w:cs="Times New Roman"/>
                <w:color w:val="auto"/>
                <w:szCs w:val="21"/>
                <w:highlight w:val="none"/>
              </w:rPr>
              <w:t>安全及文明施工管理、环境保护与绿色施工方案合理、措施可行。</w:t>
            </w:r>
          </w:p>
        </w:tc>
        <w:tc>
          <w:tcPr>
            <w:tcW w:w="8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宋体" w:cs="Times New Roman"/>
                <w:color w:val="auto"/>
                <w:szCs w:val="21"/>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宋体" w:cs="Times New Roman"/>
                <w:color w:val="auto"/>
                <w:szCs w:val="21"/>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1633" w:type="dxa"/>
            <w:gridSpan w:val="3"/>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highlight w:val="none"/>
              </w:rPr>
              <w:t>结论：通过/不通过</w:t>
            </w:r>
          </w:p>
        </w:tc>
        <w:tc>
          <w:tcPr>
            <w:tcW w:w="847"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sz w:val="21"/>
                <w:szCs w:val="21"/>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sz w:val="21"/>
                <w:szCs w:val="21"/>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sz w:val="21"/>
                <w:szCs w:val="21"/>
                <w:highlight w:val="none"/>
              </w:rPr>
            </w:pPr>
          </w:p>
        </w:tc>
      </w:tr>
    </w:tbl>
    <w:p>
      <w:pPr>
        <w:widowControl/>
        <w:rPr>
          <w:rFonts w:hint="default" w:ascii="Times New Roman" w:hAnsi="Times New Roman" w:eastAsia="宋体" w:cs="Times New Roman"/>
          <w:color w:val="auto"/>
          <w:kern w:val="0"/>
          <w:sz w:val="22"/>
          <w:szCs w:val="20"/>
          <w:highlight w:val="none"/>
        </w:rPr>
      </w:pPr>
      <w:r>
        <w:rPr>
          <w:rFonts w:hint="default" w:ascii="Times New Roman" w:hAnsi="Times New Roman" w:eastAsia="宋体" w:cs="Times New Roman"/>
          <w:color w:val="auto"/>
          <w:kern w:val="0"/>
          <w:sz w:val="22"/>
          <w:szCs w:val="20"/>
          <w:highlight w:val="none"/>
        </w:rPr>
        <w:t>注：1.本表适用于评标专家独立评审使用。</w:t>
      </w:r>
    </w:p>
    <w:p>
      <w:pPr>
        <w:widowControl/>
        <w:ind w:firstLine="440" w:firstLineChars="200"/>
        <w:rPr>
          <w:rFonts w:hint="default" w:ascii="Times New Roman" w:hAnsi="Times New Roman" w:eastAsia="宋体" w:cs="Times New Roman"/>
          <w:color w:val="auto"/>
          <w:kern w:val="0"/>
          <w:sz w:val="22"/>
          <w:szCs w:val="20"/>
          <w:highlight w:val="none"/>
        </w:rPr>
      </w:pPr>
      <w:r>
        <w:rPr>
          <w:rFonts w:hint="default" w:ascii="Times New Roman" w:hAnsi="Times New Roman" w:eastAsia="宋体" w:cs="Times New Roman"/>
          <w:color w:val="auto"/>
          <w:kern w:val="0"/>
          <w:sz w:val="22"/>
          <w:szCs w:val="20"/>
          <w:highlight w:val="none"/>
        </w:rPr>
        <w:t>2.每项符合的为“通过”，不符合的为“不通过”。</w:t>
      </w:r>
    </w:p>
    <w:p>
      <w:pPr>
        <w:widowControl/>
        <w:ind w:firstLine="440" w:firstLineChars="200"/>
        <w:rPr>
          <w:rFonts w:hint="default" w:ascii="Times New Roman" w:hAnsi="Times New Roman" w:eastAsia="宋体" w:cs="Times New Roman"/>
          <w:color w:val="auto"/>
          <w:kern w:val="0"/>
          <w:sz w:val="22"/>
          <w:szCs w:val="20"/>
          <w:highlight w:val="none"/>
        </w:rPr>
      </w:pPr>
      <w:r>
        <w:rPr>
          <w:rFonts w:hint="default" w:ascii="Times New Roman" w:hAnsi="Times New Roman" w:eastAsia="宋体" w:cs="Times New Roman"/>
          <w:color w:val="auto"/>
          <w:kern w:val="0"/>
          <w:sz w:val="22"/>
          <w:szCs w:val="20"/>
          <w:highlight w:val="none"/>
        </w:rPr>
        <w:t>3.结论分为“通过”、 “不通过”， 不通过仅限于符合招标文件废标、无效标情形以及投标文件违反国家强制性条文标准的情形。</w:t>
      </w:r>
    </w:p>
    <w:p>
      <w:pPr>
        <w:pStyle w:val="11"/>
        <w:ind w:firstLine="0" w:firstLineChars="0"/>
        <w:rPr>
          <w:rFonts w:hint="default" w:ascii="Times New Roman" w:hAnsi="Times New Roman" w:eastAsia="宋体" w:cs="Times New Roman"/>
          <w:color w:val="auto"/>
          <w:sz w:val="22"/>
          <w:szCs w:val="18"/>
          <w:highlight w:val="none"/>
        </w:rPr>
      </w:pPr>
    </w:p>
    <w:p>
      <w:pPr>
        <w:pStyle w:val="11"/>
        <w:ind w:firstLine="0" w:firstLineChars="0"/>
        <w:rPr>
          <w:rFonts w:hint="default" w:ascii="Times New Roman" w:hAnsi="Times New Roman" w:eastAsia="宋体" w:cs="Times New Roman"/>
          <w:color w:val="auto"/>
          <w:sz w:val="22"/>
          <w:szCs w:val="18"/>
          <w:highlight w:val="none"/>
        </w:rPr>
        <w:sectPr>
          <w:footerReference r:id="rId5" w:type="default"/>
          <w:pgSz w:w="16838" w:h="11906" w:orient="landscape"/>
          <w:pgMar w:top="1440" w:right="1440" w:bottom="1469" w:left="1440" w:header="851" w:footer="992" w:gutter="0"/>
          <w:pgNumType w:fmt="decimal"/>
          <w:cols w:space="720" w:num="1"/>
          <w:docGrid w:linePitch="312" w:charSpace="0"/>
        </w:sectPr>
      </w:pPr>
      <w:r>
        <w:rPr>
          <w:rFonts w:hint="default" w:ascii="Times New Roman" w:hAnsi="Times New Roman" w:eastAsia="宋体" w:cs="Times New Roman"/>
          <w:color w:val="auto"/>
          <w:sz w:val="22"/>
          <w:szCs w:val="18"/>
          <w:highlight w:val="none"/>
        </w:rPr>
        <w:t>评委签名：                                                                            日期：       年    月    日</w:t>
      </w:r>
    </w:p>
    <w:p>
      <w:pPr>
        <w:widowControl/>
        <w:jc w:val="left"/>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color w:val="auto"/>
          <w:highlight w:val="none"/>
        </w:rPr>
        <w:t>附表</w:t>
      </w:r>
      <w:r>
        <w:rPr>
          <w:rFonts w:hint="default" w:ascii="Times New Roman" w:hAnsi="Times New Roman" w:eastAsia="宋体" w:cs="Times New Roman"/>
          <w:color w:val="auto"/>
          <w:highlight w:val="none"/>
          <w:lang w:val="en-US" w:eastAsia="zh-CN"/>
        </w:rPr>
        <w:t>六</w:t>
      </w:r>
    </w:p>
    <w:p>
      <w:pPr>
        <w:adjustRightInd w:val="0"/>
        <w:snapToGrid w:val="0"/>
        <w:spacing w:line="360" w:lineRule="auto"/>
        <w:jc w:val="center"/>
        <w:rPr>
          <w:rFonts w:hint="default" w:ascii="Times New Roman" w:hAnsi="Times New Roman" w:eastAsia="宋体" w:cs="Times New Roman"/>
          <w:b/>
          <w:bCs/>
          <w:color w:val="auto"/>
          <w:kern w:val="0"/>
          <w:sz w:val="28"/>
          <w:szCs w:val="28"/>
          <w:highlight w:val="none"/>
        </w:rPr>
      </w:pPr>
      <w:r>
        <w:rPr>
          <w:rFonts w:hint="default" w:ascii="Times New Roman" w:hAnsi="Times New Roman" w:eastAsia="宋体" w:cs="Times New Roman"/>
          <w:b/>
          <w:bCs/>
          <w:color w:val="auto"/>
          <w:kern w:val="0"/>
          <w:sz w:val="28"/>
          <w:szCs w:val="28"/>
          <w:highlight w:val="none"/>
        </w:rPr>
        <w:t>直接票决定标选票表</w:t>
      </w:r>
    </w:p>
    <w:p>
      <w:pPr>
        <w:adjustRightInd w:val="0"/>
        <w:snapToGrid w:val="0"/>
        <w:spacing w:line="360" w:lineRule="auto"/>
        <w:rPr>
          <w:rFonts w:hint="default" w:ascii="Times New Roman" w:hAnsi="Times New Roman" w:eastAsia="宋体" w:cs="Times New Roman"/>
          <w:color w:val="auto"/>
          <w:kern w:val="0"/>
          <w:highlight w:val="none"/>
        </w:rPr>
      </w:pPr>
    </w:p>
    <w:p>
      <w:pPr>
        <w:adjustRightInd w:val="0"/>
        <w:snapToGrid w:val="0"/>
        <w:spacing w:line="360" w:lineRule="auto"/>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工程名称：</w:t>
      </w:r>
    </w:p>
    <w:tbl>
      <w:tblPr>
        <w:tblStyle w:val="49"/>
        <w:tblW w:w="8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6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支持的投标人名称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6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Times New Roman" w:hAnsi="Times New Roman" w:eastAsia="宋体" w:cs="Times New Roman"/>
                <w:color w:val="auto"/>
                <w:kern w:val="0"/>
                <w:szCs w:val="21"/>
                <w:highlight w:val="none"/>
              </w:rPr>
            </w:pPr>
          </w:p>
        </w:tc>
      </w:tr>
    </w:tbl>
    <w:p>
      <w:pPr>
        <w:pStyle w:val="91"/>
        <w:rPr>
          <w:rFonts w:hint="default" w:ascii="Times New Roman" w:hAnsi="Times New Roman" w:eastAsia="宋体" w:cs="Times New Roman"/>
          <w:color w:val="auto"/>
          <w:kern w:val="0"/>
          <w:szCs w:val="21"/>
          <w:highlight w:val="none"/>
        </w:rPr>
      </w:pPr>
    </w:p>
    <w:p>
      <w:pPr>
        <w:adjustRightInd w:val="0"/>
        <w:snapToGrid w:val="0"/>
        <w:spacing w:line="360" w:lineRule="auto"/>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定标委员签名：                                            日期：</w:t>
      </w:r>
    </w:p>
    <w:p>
      <w:pPr>
        <w:adjustRightInd w:val="0"/>
        <w:snapToGrid w:val="0"/>
        <w:spacing w:line="360" w:lineRule="auto"/>
        <w:rPr>
          <w:rFonts w:hint="default" w:ascii="Times New Roman" w:hAnsi="Times New Roman" w:eastAsia="宋体" w:cs="Times New Roman"/>
          <w:color w:val="auto"/>
          <w:kern w:val="0"/>
          <w:highlight w:val="none"/>
        </w:rPr>
      </w:pPr>
    </w:p>
    <w:p>
      <w:pPr>
        <w:adjustRightInd w:val="0"/>
        <w:snapToGrid w:val="0"/>
        <w:spacing w:line="360" w:lineRule="auto"/>
        <w:rPr>
          <w:rFonts w:hint="default" w:ascii="Times New Roman" w:hAnsi="Times New Roman" w:eastAsia="宋体" w:cs="Times New Roman"/>
          <w:b/>
          <w:color w:val="auto"/>
          <w:kern w:val="0"/>
          <w:highlight w:val="none"/>
        </w:rPr>
      </w:pPr>
      <w:r>
        <w:rPr>
          <w:rFonts w:hint="default" w:ascii="Times New Roman" w:hAnsi="Times New Roman" w:eastAsia="宋体" w:cs="Times New Roman"/>
          <w:b/>
          <w:color w:val="auto"/>
          <w:kern w:val="0"/>
          <w:highlight w:val="none"/>
        </w:rPr>
        <w:t>注：由定标委员会成员进行投票，各定标委员会成员只能支持一家投标人。</w:t>
      </w:r>
    </w:p>
    <w:p>
      <w:pPr>
        <w:adjustRightInd w:val="0"/>
        <w:snapToGrid w:val="0"/>
        <w:spacing w:line="360" w:lineRule="auto"/>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 xml:space="preserve"> </w:t>
      </w:r>
    </w:p>
    <w:p>
      <w:pPr>
        <w:widowControl/>
        <w:jc w:val="left"/>
        <w:rPr>
          <w:rFonts w:hint="default" w:ascii="Times New Roman" w:hAnsi="Times New Roman" w:eastAsia="宋体" w:cs="Times New Roman"/>
          <w:b/>
          <w:color w:val="auto"/>
          <w:szCs w:val="20"/>
          <w:highlight w:val="none"/>
        </w:rPr>
      </w:pPr>
      <w:r>
        <w:rPr>
          <w:rFonts w:hint="default" w:ascii="Times New Roman" w:hAnsi="Times New Roman" w:eastAsia="宋体" w:cs="Times New Roman"/>
          <w:b/>
          <w:color w:val="auto"/>
          <w:szCs w:val="20"/>
          <w:highlight w:val="none"/>
        </w:rPr>
        <w:br w:type="page"/>
      </w:r>
    </w:p>
    <w:p>
      <w:pPr>
        <w:pStyle w:val="91"/>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附表</w:t>
      </w:r>
      <w:r>
        <w:rPr>
          <w:rFonts w:hint="default" w:ascii="Times New Roman" w:hAnsi="Times New Roman" w:eastAsia="宋体" w:cs="Times New Roman"/>
          <w:color w:val="auto"/>
          <w:highlight w:val="none"/>
          <w:lang w:val="en-US" w:eastAsia="zh-CN"/>
        </w:rPr>
        <w:t>七</w:t>
      </w:r>
    </w:p>
    <w:p>
      <w:pPr>
        <w:jc w:val="center"/>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bCs/>
          <w:color w:val="auto"/>
          <w:kern w:val="0"/>
          <w:sz w:val="28"/>
          <w:szCs w:val="28"/>
          <w:highlight w:val="none"/>
        </w:rPr>
        <w:t>直接票决定标选票汇总表</w:t>
      </w:r>
      <w:r>
        <w:rPr>
          <w:rFonts w:hint="default" w:ascii="Times New Roman" w:hAnsi="Times New Roman" w:eastAsia="宋体" w:cs="Times New Roman"/>
          <w:b/>
          <w:color w:val="auto"/>
          <w:sz w:val="28"/>
          <w:szCs w:val="28"/>
          <w:highlight w:val="none"/>
        </w:rPr>
        <w:t>（定标阶段）</w:t>
      </w:r>
    </w:p>
    <w:p>
      <w:pPr>
        <w:pStyle w:val="91"/>
        <w:rPr>
          <w:rFonts w:hint="default" w:ascii="Times New Roman" w:hAnsi="Times New Roman" w:eastAsia="宋体" w:cs="Times New Roman"/>
          <w:color w:val="auto"/>
          <w:highlight w:val="none"/>
        </w:rPr>
      </w:pPr>
    </w:p>
    <w:p>
      <w:pPr>
        <w:adjustRightInd w:val="0"/>
        <w:snapToGrid w:val="0"/>
        <w:spacing w:line="360" w:lineRule="auto"/>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工程名称：</w:t>
      </w:r>
    </w:p>
    <w:tbl>
      <w:tblPr>
        <w:tblStyle w:val="49"/>
        <w:tblW w:w="70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3345"/>
        <w:gridCol w:w="1454"/>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highlight w:val="none"/>
              </w:rPr>
              <w:t>序号</w:t>
            </w:r>
          </w:p>
        </w:tc>
        <w:tc>
          <w:tcPr>
            <w:tcW w:w="33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highlight w:val="none"/>
              </w:rPr>
              <w:t>投标人名称</w:t>
            </w:r>
          </w:p>
        </w:tc>
        <w:tc>
          <w:tcPr>
            <w:tcW w:w="14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Times New Roman"/>
                <w:color w:val="auto"/>
                <w:szCs w:val="24"/>
                <w:highlight w:val="none"/>
                <w:lang w:val="en-US" w:eastAsia="zh-CN"/>
              </w:rPr>
            </w:pPr>
            <w:r>
              <w:rPr>
                <w:rFonts w:hint="default" w:ascii="Times New Roman" w:hAnsi="Times New Roman" w:eastAsia="宋体" w:cs="Times New Roman"/>
                <w:color w:val="auto"/>
                <w:szCs w:val="32"/>
                <w:highlight w:val="none"/>
              </w:rPr>
              <w:t>得票</w:t>
            </w:r>
            <w:r>
              <w:rPr>
                <w:rFonts w:hint="default" w:ascii="Times New Roman" w:hAnsi="Times New Roman" w:eastAsia="宋体" w:cs="Times New Roman"/>
                <w:color w:val="auto"/>
                <w:szCs w:val="32"/>
                <w:highlight w:val="none"/>
                <w:lang w:val="en-US" w:eastAsia="zh-CN"/>
              </w:rPr>
              <w:t>数</w:t>
            </w:r>
          </w:p>
        </w:tc>
        <w:tc>
          <w:tcPr>
            <w:tcW w:w="142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Times New Roman"/>
                <w:color w:val="auto"/>
                <w:szCs w:val="24"/>
                <w:highlight w:val="none"/>
                <w:lang w:eastAsia="zh-CN"/>
              </w:rPr>
            </w:pPr>
            <w:r>
              <w:rPr>
                <w:rFonts w:hint="default" w:ascii="Times New Roman" w:hAnsi="Times New Roman" w:eastAsia="宋体" w:cs="Times New Roman"/>
                <w:color w:val="auto"/>
                <w:szCs w:val="32"/>
                <w:highlight w:val="none"/>
                <w:lang w:val="en-US" w:eastAsia="zh-CN"/>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szCs w:val="24"/>
                <w:highlight w:val="none"/>
              </w:rPr>
            </w:pPr>
          </w:p>
        </w:tc>
        <w:tc>
          <w:tcPr>
            <w:tcW w:w="33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szCs w:val="24"/>
                <w:highlight w:val="none"/>
              </w:rPr>
            </w:pPr>
          </w:p>
        </w:tc>
        <w:tc>
          <w:tcPr>
            <w:tcW w:w="14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szCs w:val="24"/>
                <w:highlight w:val="none"/>
              </w:rPr>
            </w:pPr>
          </w:p>
        </w:tc>
        <w:tc>
          <w:tcPr>
            <w:tcW w:w="14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highlight w:val="none"/>
              </w:rPr>
              <w:t>1</w:t>
            </w:r>
          </w:p>
        </w:tc>
        <w:tc>
          <w:tcPr>
            <w:tcW w:w="3345"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hint="default" w:ascii="Times New Roman" w:hAnsi="Times New Roman" w:eastAsia="宋体" w:cs="Times New Roman"/>
                <w:color w:val="auto"/>
                <w:szCs w:val="24"/>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ascii="Times New Roman" w:hAnsi="Times New Roman" w:eastAsia="宋体" w:cs="Times New Roman"/>
                <w:color w:val="auto"/>
                <w:szCs w:val="24"/>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ascii="Times New Roman" w:hAnsi="Times New Roman"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highlight w:val="none"/>
              </w:rPr>
              <w:t>2</w:t>
            </w:r>
          </w:p>
        </w:tc>
        <w:tc>
          <w:tcPr>
            <w:tcW w:w="3345"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hint="default" w:ascii="Times New Roman" w:hAnsi="Times New Roman" w:eastAsia="宋体" w:cs="Times New Roman"/>
                <w:color w:val="auto"/>
                <w:szCs w:val="24"/>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ascii="Times New Roman" w:hAnsi="Times New Roman" w:eastAsia="宋体" w:cs="Times New Roman"/>
                <w:color w:val="auto"/>
                <w:szCs w:val="24"/>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ascii="Times New Roman" w:hAnsi="Times New Roman"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highlight w:val="none"/>
              </w:rPr>
              <w:t>3</w:t>
            </w:r>
          </w:p>
        </w:tc>
        <w:tc>
          <w:tcPr>
            <w:tcW w:w="3345"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hint="default" w:ascii="Times New Roman" w:hAnsi="Times New Roman" w:eastAsia="宋体" w:cs="Times New Roman"/>
                <w:color w:val="auto"/>
                <w:szCs w:val="24"/>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ascii="Times New Roman" w:hAnsi="Times New Roman" w:eastAsia="宋体" w:cs="Times New Roman"/>
                <w:color w:val="auto"/>
                <w:szCs w:val="24"/>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ascii="Times New Roman" w:hAnsi="Times New Roman"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highlight w:val="none"/>
              </w:rPr>
              <w:t>4</w:t>
            </w:r>
          </w:p>
        </w:tc>
        <w:tc>
          <w:tcPr>
            <w:tcW w:w="3345"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hint="default" w:ascii="Times New Roman" w:hAnsi="Times New Roman" w:eastAsia="宋体" w:cs="Times New Roman"/>
                <w:color w:val="auto"/>
                <w:szCs w:val="24"/>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ascii="Times New Roman" w:hAnsi="Times New Roman" w:eastAsia="宋体" w:cs="Times New Roman"/>
                <w:color w:val="auto"/>
                <w:szCs w:val="24"/>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ascii="Times New Roman" w:hAnsi="Times New Roman"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highlight w:val="none"/>
              </w:rPr>
              <w:t>5</w:t>
            </w:r>
          </w:p>
        </w:tc>
        <w:tc>
          <w:tcPr>
            <w:tcW w:w="3345"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hint="default" w:ascii="Times New Roman" w:hAnsi="Times New Roman" w:eastAsia="宋体" w:cs="Times New Roman"/>
                <w:color w:val="auto"/>
                <w:szCs w:val="24"/>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ascii="Times New Roman" w:hAnsi="Times New Roman" w:eastAsia="宋体" w:cs="Times New Roman"/>
                <w:color w:val="auto"/>
                <w:szCs w:val="24"/>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ascii="Times New Roman" w:hAnsi="Times New Roman"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highlight w:val="none"/>
              </w:rPr>
              <w:t>6</w:t>
            </w:r>
          </w:p>
        </w:tc>
        <w:tc>
          <w:tcPr>
            <w:tcW w:w="3345"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hint="default" w:ascii="Times New Roman" w:hAnsi="Times New Roman" w:eastAsia="宋体" w:cs="Times New Roman"/>
                <w:color w:val="auto"/>
                <w:szCs w:val="24"/>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ascii="Times New Roman" w:hAnsi="Times New Roman" w:eastAsia="宋体" w:cs="Times New Roman"/>
                <w:color w:val="auto"/>
                <w:szCs w:val="24"/>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ascii="Times New Roman" w:hAnsi="Times New Roman"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highlight w:val="none"/>
              </w:rPr>
              <w:t>…</w:t>
            </w:r>
          </w:p>
        </w:tc>
        <w:tc>
          <w:tcPr>
            <w:tcW w:w="3345"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hint="default" w:ascii="Times New Roman" w:hAnsi="Times New Roman" w:eastAsia="宋体" w:cs="Times New Roman"/>
                <w:color w:val="auto"/>
                <w:szCs w:val="24"/>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ascii="Times New Roman" w:hAnsi="Times New Roman" w:eastAsia="宋体" w:cs="Times New Roman"/>
                <w:color w:val="auto"/>
                <w:szCs w:val="24"/>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ascii="Times New Roman" w:hAnsi="Times New Roman" w:eastAsia="宋体" w:cs="Times New Roman"/>
                <w:color w:val="auto"/>
                <w:szCs w:val="24"/>
                <w:highlight w:val="none"/>
              </w:rPr>
            </w:pPr>
          </w:p>
        </w:tc>
      </w:tr>
    </w:tbl>
    <w:p>
      <w:pPr>
        <w:rPr>
          <w:rFonts w:hint="default" w:ascii="Times New Roman" w:hAnsi="Times New Roman" w:eastAsia="宋体" w:cs="Times New Roman"/>
          <w:color w:val="auto"/>
          <w:kern w:val="0"/>
          <w:szCs w:val="21"/>
          <w:highlight w:val="none"/>
        </w:rPr>
      </w:pPr>
    </w:p>
    <w:p>
      <w:pPr>
        <w:adjustRightInd w:val="0"/>
        <w:snapToGrid w:val="0"/>
        <w:spacing w:line="360" w:lineRule="auto"/>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定标委员签名：                                         日期：</w:t>
      </w:r>
    </w:p>
    <w:p>
      <w:pPr>
        <w:widowControl/>
        <w:jc w:val="left"/>
        <w:rPr>
          <w:rFonts w:hint="default" w:ascii="Times New Roman" w:hAnsi="Times New Roman" w:eastAsia="宋体" w:cs="Times New Roman"/>
          <w:color w:val="auto"/>
          <w:sz w:val="22"/>
          <w:highlight w:val="none"/>
        </w:rPr>
      </w:pPr>
      <w:r>
        <w:rPr>
          <w:rFonts w:hint="default" w:ascii="Times New Roman" w:hAnsi="Times New Roman" w:eastAsia="宋体" w:cs="Times New Roman"/>
          <w:color w:val="auto"/>
          <w:highlight w:val="none"/>
        </w:rPr>
        <w:br w:type="page"/>
      </w:r>
    </w:p>
    <w:p>
      <w:pPr>
        <w:pStyle w:val="91"/>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附表</w:t>
      </w:r>
      <w:r>
        <w:rPr>
          <w:rFonts w:hint="default" w:ascii="Times New Roman" w:hAnsi="Times New Roman" w:eastAsia="宋体" w:cs="Times New Roman"/>
          <w:color w:val="auto"/>
          <w:highlight w:val="none"/>
          <w:lang w:val="en-US" w:eastAsia="zh-CN"/>
        </w:rPr>
        <w:t>八</w:t>
      </w:r>
    </w:p>
    <w:p>
      <w:pPr>
        <w:pStyle w:val="91"/>
        <w:jc w:val="center"/>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附加</w:t>
      </w:r>
      <w:r>
        <w:rPr>
          <w:rFonts w:hint="default" w:ascii="Times New Roman" w:hAnsi="Times New Roman" w:eastAsia="宋体" w:cs="Times New Roman"/>
          <w:b/>
          <w:bCs/>
          <w:color w:val="auto"/>
          <w:kern w:val="0"/>
          <w:sz w:val="28"/>
          <w:szCs w:val="28"/>
          <w:highlight w:val="none"/>
        </w:rPr>
        <w:t>直接票决定标选票</w:t>
      </w:r>
      <w:r>
        <w:rPr>
          <w:rFonts w:hint="default" w:ascii="Times New Roman" w:hAnsi="Times New Roman" w:eastAsia="宋体" w:cs="Times New Roman"/>
          <w:b/>
          <w:color w:val="auto"/>
          <w:sz w:val="28"/>
          <w:szCs w:val="28"/>
          <w:highlight w:val="none"/>
        </w:rPr>
        <w:t>表</w:t>
      </w:r>
    </w:p>
    <w:p>
      <w:pPr>
        <w:pStyle w:val="91"/>
        <w:jc w:val="center"/>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（定标阶段-票数相同时定标委员会个人用表）</w:t>
      </w:r>
    </w:p>
    <w:p>
      <w:pPr>
        <w:pStyle w:val="91"/>
        <w:jc w:val="center"/>
        <w:rPr>
          <w:rFonts w:hint="default" w:ascii="Times New Roman" w:hAnsi="Times New Roman" w:eastAsia="宋体" w:cs="Times New Roman"/>
          <w:b/>
          <w:color w:val="auto"/>
          <w:sz w:val="28"/>
          <w:szCs w:val="28"/>
          <w:highlight w:val="none"/>
        </w:rPr>
      </w:pPr>
    </w:p>
    <w:p>
      <w:pPr>
        <w:adjustRightInd w:val="0"/>
        <w:snapToGrid w:val="0"/>
        <w:spacing w:line="360" w:lineRule="auto"/>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工程名称：</w:t>
      </w:r>
    </w:p>
    <w:tbl>
      <w:tblPr>
        <w:tblStyle w:val="49"/>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0"/>
        <w:gridCol w:w="2206"/>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64" w:hRule="atLeast"/>
        </w:trPr>
        <w:tc>
          <w:tcPr>
            <w:tcW w:w="218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投标人</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default" w:ascii="Times New Roman" w:hAnsi="Times New Roman" w:eastAsia="宋体" w:cs="Times New Roman"/>
                <w:color w:val="auto"/>
                <w:kern w:val="0"/>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default" w:ascii="Times New Roman" w:hAnsi="Times New Roman" w:eastAsia="宋体" w:cs="Times New Roman"/>
                <w:color w:val="auto"/>
                <w:kern w:val="0"/>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default" w:ascii="Times New Roman" w:hAnsi="Times New Roman"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64" w:hRule="atLeast"/>
        </w:trPr>
        <w:tc>
          <w:tcPr>
            <w:tcW w:w="218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highlight w:val="none"/>
              </w:rPr>
              <w:t>票决意见</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default" w:ascii="Times New Roman" w:hAnsi="Times New Roman" w:eastAsia="宋体" w:cs="Times New Roman"/>
                <w:color w:val="auto"/>
                <w:kern w:val="0"/>
                <w:szCs w:val="21"/>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default" w:ascii="Times New Roman" w:hAnsi="Times New Roman" w:eastAsia="宋体" w:cs="Times New Roman"/>
                <w:color w:val="auto"/>
                <w:kern w:val="0"/>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default" w:ascii="Times New Roman" w:hAnsi="Times New Roman" w:eastAsia="宋体" w:cs="Times New Roman"/>
                <w:color w:val="auto"/>
                <w:kern w:val="0"/>
                <w:highlight w:val="none"/>
              </w:rPr>
            </w:pPr>
          </w:p>
        </w:tc>
      </w:tr>
    </w:tbl>
    <w:p>
      <w:pPr>
        <w:pStyle w:val="91"/>
        <w:rPr>
          <w:rFonts w:hint="default" w:ascii="Times New Roman" w:hAnsi="Times New Roman" w:eastAsia="宋体" w:cs="Times New Roman"/>
          <w:color w:val="auto"/>
          <w:kern w:val="0"/>
          <w:szCs w:val="21"/>
          <w:highlight w:val="none"/>
        </w:rPr>
      </w:pPr>
    </w:p>
    <w:p>
      <w:pPr>
        <w:adjustRightInd w:val="0"/>
        <w:snapToGrid w:val="0"/>
        <w:spacing w:line="360" w:lineRule="auto"/>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定标委员签名：                                            日期：</w:t>
      </w:r>
    </w:p>
    <w:p>
      <w:pPr>
        <w:pStyle w:val="91"/>
        <w:rPr>
          <w:rFonts w:hint="default" w:ascii="Times New Roman" w:hAnsi="Times New Roman" w:eastAsia="宋体" w:cs="Times New Roman"/>
          <w:color w:val="auto"/>
          <w:highlight w:val="none"/>
        </w:rPr>
      </w:pPr>
    </w:p>
    <w:p>
      <w:pPr>
        <w:pStyle w:val="91"/>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备注：</w:t>
      </w:r>
    </w:p>
    <w:p>
      <w:pPr>
        <w:pStyle w:val="91"/>
        <w:ind w:firstLine="442" w:firstLineChars="200"/>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1、本表用于投票出现票数相同的情况。</w:t>
      </w:r>
    </w:p>
    <w:p>
      <w:pPr>
        <w:pStyle w:val="91"/>
        <w:ind w:firstLine="442" w:firstLineChars="200"/>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2、由定标委员会成员进行附加投票，票决意见分别为“投票”或“不投票”，各定标委员会成员只有1票表决权（即只能对其中一名投标人“投票”），票决意见为“投票”的，用“○”表示；票决意见为“不投票”，用“×”表示。</w:t>
      </w:r>
    </w:p>
    <w:p>
      <w:pPr>
        <w:widowControl/>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91"/>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附表</w:t>
      </w:r>
      <w:r>
        <w:rPr>
          <w:rFonts w:hint="default" w:ascii="Times New Roman" w:hAnsi="Times New Roman" w:eastAsia="宋体" w:cs="Times New Roman"/>
          <w:color w:val="auto"/>
          <w:highlight w:val="none"/>
          <w:lang w:val="en-US" w:eastAsia="zh-CN"/>
        </w:rPr>
        <w:t>九</w:t>
      </w:r>
      <w:r>
        <w:rPr>
          <w:rFonts w:hint="default" w:ascii="Times New Roman" w:hAnsi="Times New Roman" w:eastAsia="宋体" w:cs="Times New Roman"/>
          <w:color w:val="auto"/>
          <w:highlight w:val="none"/>
        </w:rPr>
        <w:t xml:space="preserve"> </w:t>
      </w:r>
    </w:p>
    <w:p>
      <w:pPr>
        <w:pStyle w:val="91"/>
        <w:jc w:val="center"/>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附加</w:t>
      </w:r>
      <w:r>
        <w:rPr>
          <w:rFonts w:hint="default" w:ascii="Times New Roman" w:hAnsi="Times New Roman" w:eastAsia="宋体" w:cs="Times New Roman"/>
          <w:b/>
          <w:bCs/>
          <w:color w:val="auto"/>
          <w:kern w:val="0"/>
          <w:sz w:val="28"/>
          <w:szCs w:val="28"/>
          <w:highlight w:val="none"/>
        </w:rPr>
        <w:t>直接票决定标选票汇总</w:t>
      </w:r>
      <w:r>
        <w:rPr>
          <w:rFonts w:hint="default" w:ascii="Times New Roman" w:hAnsi="Times New Roman" w:eastAsia="宋体" w:cs="Times New Roman"/>
          <w:b/>
          <w:color w:val="auto"/>
          <w:sz w:val="28"/>
          <w:szCs w:val="28"/>
          <w:highlight w:val="none"/>
        </w:rPr>
        <w:t>表</w:t>
      </w:r>
    </w:p>
    <w:p>
      <w:pPr>
        <w:pStyle w:val="91"/>
        <w:jc w:val="center"/>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（定标阶段-票数相同时定标委员会汇总用表）</w:t>
      </w:r>
    </w:p>
    <w:p>
      <w:pPr>
        <w:pStyle w:val="91"/>
        <w:jc w:val="center"/>
        <w:rPr>
          <w:rFonts w:hint="default" w:ascii="Times New Roman" w:hAnsi="Times New Roman" w:eastAsia="宋体" w:cs="Times New Roman"/>
          <w:b/>
          <w:color w:val="auto"/>
          <w:sz w:val="28"/>
          <w:szCs w:val="28"/>
          <w:highlight w:val="none"/>
        </w:rPr>
      </w:pPr>
    </w:p>
    <w:p>
      <w:pPr>
        <w:adjustRightInd w:val="0"/>
        <w:snapToGrid w:val="0"/>
        <w:spacing w:line="360" w:lineRule="auto"/>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工程名称：</w:t>
      </w:r>
    </w:p>
    <w:tbl>
      <w:tblPr>
        <w:tblStyle w:val="49"/>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3861"/>
        <w:gridCol w:w="1679"/>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3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序号</w:t>
            </w:r>
          </w:p>
        </w:tc>
        <w:tc>
          <w:tcPr>
            <w:tcW w:w="3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w:t>
            </w:r>
          </w:p>
        </w:tc>
        <w:tc>
          <w:tcPr>
            <w:tcW w:w="16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得</w:t>
            </w:r>
            <w:r>
              <w:rPr>
                <w:rFonts w:hint="default" w:ascii="Times New Roman" w:hAnsi="Times New Roman" w:eastAsia="宋体" w:cs="Times New Roman"/>
                <w:color w:val="auto"/>
                <w:szCs w:val="21"/>
                <w:highlight w:val="none"/>
              </w:rPr>
              <w:t>票数</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3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3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highlight w:val="none"/>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highlight w:val="none"/>
              </w:rPr>
            </w:pPr>
          </w:p>
        </w:tc>
        <w:tc>
          <w:tcPr>
            <w:tcW w:w="16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3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3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highlight w:val="none"/>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highlight w:val="none"/>
              </w:rPr>
            </w:pPr>
          </w:p>
        </w:tc>
        <w:tc>
          <w:tcPr>
            <w:tcW w:w="16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3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3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highlight w:val="none"/>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highlight w:val="none"/>
              </w:rPr>
            </w:pPr>
          </w:p>
        </w:tc>
        <w:tc>
          <w:tcPr>
            <w:tcW w:w="16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3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w:t>
            </w:r>
          </w:p>
        </w:tc>
        <w:tc>
          <w:tcPr>
            <w:tcW w:w="3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highlight w:val="none"/>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highlight w:val="none"/>
              </w:rPr>
            </w:pPr>
          </w:p>
        </w:tc>
        <w:tc>
          <w:tcPr>
            <w:tcW w:w="16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3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3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highlight w:val="none"/>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highlight w:val="none"/>
              </w:rPr>
            </w:pPr>
          </w:p>
        </w:tc>
        <w:tc>
          <w:tcPr>
            <w:tcW w:w="16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highlight w:val="none"/>
              </w:rPr>
            </w:pPr>
          </w:p>
        </w:tc>
      </w:tr>
    </w:tbl>
    <w:p>
      <w:pPr>
        <w:pStyle w:val="91"/>
        <w:rPr>
          <w:rFonts w:hint="default" w:ascii="Times New Roman" w:hAnsi="Times New Roman" w:eastAsia="宋体" w:cs="Times New Roman"/>
          <w:color w:val="auto"/>
          <w:kern w:val="0"/>
          <w:szCs w:val="21"/>
          <w:highlight w:val="none"/>
        </w:rPr>
      </w:pPr>
    </w:p>
    <w:p>
      <w:pPr>
        <w:adjustRightInd w:val="0"/>
        <w:snapToGrid w:val="0"/>
        <w:spacing w:line="360" w:lineRule="auto"/>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定标委员签名：                                            日期：</w:t>
      </w:r>
    </w:p>
    <w:p>
      <w:pPr>
        <w:widowControl/>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91"/>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附表</w:t>
      </w:r>
      <w:r>
        <w:rPr>
          <w:rFonts w:hint="default" w:ascii="Times New Roman" w:hAnsi="Times New Roman" w:eastAsia="宋体" w:cs="Times New Roman"/>
          <w:color w:val="auto"/>
          <w:highlight w:val="none"/>
          <w:lang w:val="en-US" w:eastAsia="zh-CN"/>
        </w:rPr>
        <w:t>十</w:t>
      </w:r>
    </w:p>
    <w:p>
      <w:pPr>
        <w:pStyle w:val="91"/>
        <w:jc w:val="center"/>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直接票决定标排名汇总表（定标阶段）</w:t>
      </w:r>
    </w:p>
    <w:tbl>
      <w:tblPr>
        <w:tblStyle w:val="49"/>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912"/>
        <w:gridCol w:w="1520"/>
        <w:gridCol w:w="2146"/>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序号</w:t>
            </w:r>
          </w:p>
        </w:tc>
        <w:tc>
          <w:tcPr>
            <w:tcW w:w="291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投标人名称</w:t>
            </w:r>
          </w:p>
        </w:tc>
        <w:tc>
          <w:tcPr>
            <w:tcW w:w="152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投票结果排名</w:t>
            </w:r>
          </w:p>
        </w:tc>
        <w:tc>
          <w:tcPr>
            <w:tcW w:w="214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是否确定为中标人</w:t>
            </w:r>
          </w:p>
        </w:tc>
        <w:tc>
          <w:tcPr>
            <w:tcW w:w="98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p>
        </w:tc>
        <w:tc>
          <w:tcPr>
            <w:tcW w:w="291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szCs w:val="24"/>
                <w:highlight w:val="none"/>
              </w:rPr>
            </w:pPr>
          </w:p>
        </w:tc>
        <w:tc>
          <w:tcPr>
            <w:tcW w:w="152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szCs w:val="24"/>
                <w:highlight w:val="none"/>
              </w:rPr>
            </w:pPr>
          </w:p>
        </w:tc>
        <w:tc>
          <w:tcPr>
            <w:tcW w:w="214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szCs w:val="24"/>
                <w:highlight w:val="none"/>
              </w:rPr>
            </w:pPr>
          </w:p>
        </w:tc>
        <w:tc>
          <w:tcPr>
            <w:tcW w:w="988"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p>
        </w:tc>
        <w:tc>
          <w:tcPr>
            <w:tcW w:w="291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szCs w:val="24"/>
                <w:highlight w:val="none"/>
              </w:rPr>
            </w:pPr>
          </w:p>
        </w:tc>
        <w:tc>
          <w:tcPr>
            <w:tcW w:w="152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szCs w:val="24"/>
                <w:highlight w:val="none"/>
              </w:rPr>
            </w:pPr>
          </w:p>
        </w:tc>
        <w:tc>
          <w:tcPr>
            <w:tcW w:w="214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szCs w:val="24"/>
                <w:highlight w:val="none"/>
              </w:rPr>
            </w:pPr>
          </w:p>
        </w:tc>
        <w:tc>
          <w:tcPr>
            <w:tcW w:w="988"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p>
        </w:tc>
        <w:tc>
          <w:tcPr>
            <w:tcW w:w="291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szCs w:val="24"/>
                <w:highlight w:val="none"/>
              </w:rPr>
            </w:pPr>
          </w:p>
        </w:tc>
        <w:tc>
          <w:tcPr>
            <w:tcW w:w="152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szCs w:val="24"/>
                <w:highlight w:val="none"/>
              </w:rPr>
            </w:pPr>
          </w:p>
        </w:tc>
        <w:tc>
          <w:tcPr>
            <w:tcW w:w="214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szCs w:val="24"/>
                <w:highlight w:val="none"/>
              </w:rPr>
            </w:pPr>
          </w:p>
        </w:tc>
        <w:tc>
          <w:tcPr>
            <w:tcW w:w="988"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p>
        </w:tc>
        <w:tc>
          <w:tcPr>
            <w:tcW w:w="291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szCs w:val="24"/>
                <w:highlight w:val="none"/>
              </w:rPr>
            </w:pPr>
          </w:p>
        </w:tc>
        <w:tc>
          <w:tcPr>
            <w:tcW w:w="152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szCs w:val="24"/>
                <w:highlight w:val="none"/>
              </w:rPr>
            </w:pPr>
          </w:p>
        </w:tc>
        <w:tc>
          <w:tcPr>
            <w:tcW w:w="214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szCs w:val="24"/>
                <w:highlight w:val="none"/>
              </w:rPr>
            </w:pPr>
          </w:p>
        </w:tc>
        <w:tc>
          <w:tcPr>
            <w:tcW w:w="988"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p>
        </w:tc>
        <w:tc>
          <w:tcPr>
            <w:tcW w:w="291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szCs w:val="24"/>
                <w:highlight w:val="none"/>
              </w:rPr>
            </w:pPr>
          </w:p>
        </w:tc>
        <w:tc>
          <w:tcPr>
            <w:tcW w:w="152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szCs w:val="24"/>
                <w:highlight w:val="none"/>
              </w:rPr>
            </w:pPr>
          </w:p>
        </w:tc>
        <w:tc>
          <w:tcPr>
            <w:tcW w:w="214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szCs w:val="24"/>
                <w:highlight w:val="none"/>
              </w:rPr>
            </w:pPr>
          </w:p>
        </w:tc>
        <w:tc>
          <w:tcPr>
            <w:tcW w:w="988"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p>
        </w:tc>
        <w:tc>
          <w:tcPr>
            <w:tcW w:w="291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szCs w:val="24"/>
                <w:highlight w:val="none"/>
              </w:rPr>
            </w:pPr>
          </w:p>
        </w:tc>
        <w:tc>
          <w:tcPr>
            <w:tcW w:w="152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szCs w:val="24"/>
                <w:highlight w:val="none"/>
              </w:rPr>
            </w:pPr>
          </w:p>
        </w:tc>
        <w:tc>
          <w:tcPr>
            <w:tcW w:w="214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szCs w:val="24"/>
                <w:highlight w:val="none"/>
              </w:rPr>
            </w:pPr>
          </w:p>
        </w:tc>
        <w:tc>
          <w:tcPr>
            <w:tcW w:w="988"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p>
        </w:tc>
        <w:tc>
          <w:tcPr>
            <w:tcW w:w="291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szCs w:val="24"/>
                <w:highlight w:val="none"/>
              </w:rPr>
            </w:pPr>
          </w:p>
        </w:tc>
        <w:tc>
          <w:tcPr>
            <w:tcW w:w="152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szCs w:val="24"/>
                <w:highlight w:val="none"/>
              </w:rPr>
            </w:pPr>
          </w:p>
        </w:tc>
        <w:tc>
          <w:tcPr>
            <w:tcW w:w="214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szCs w:val="24"/>
                <w:highlight w:val="none"/>
              </w:rPr>
            </w:pPr>
          </w:p>
        </w:tc>
        <w:tc>
          <w:tcPr>
            <w:tcW w:w="988"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eastAsia="宋体" w:cs="Times New Roman"/>
                <w:color w:val="auto"/>
                <w:sz w:val="24"/>
                <w:szCs w:val="24"/>
                <w:highlight w:val="none"/>
              </w:rPr>
            </w:pPr>
          </w:p>
        </w:tc>
      </w:tr>
    </w:tbl>
    <w:p>
      <w:pPr>
        <w:pStyle w:val="91"/>
        <w:rPr>
          <w:rFonts w:hint="default" w:ascii="Times New Roman" w:hAnsi="Times New Roman" w:eastAsia="宋体" w:cs="Times New Roman"/>
          <w:color w:val="auto"/>
          <w:highlight w:val="none"/>
        </w:rPr>
      </w:pPr>
    </w:p>
    <w:p>
      <w:pPr>
        <w:adjustRightInd w:val="0"/>
        <w:snapToGrid w:val="0"/>
        <w:spacing w:line="360" w:lineRule="auto"/>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定标委员签名：                                         日期：</w:t>
      </w:r>
    </w:p>
    <w:p>
      <w:pPr>
        <w:pStyle w:val="91"/>
        <w:rPr>
          <w:rFonts w:hint="default" w:ascii="Times New Roman" w:hAnsi="Times New Roman" w:eastAsia="宋体" w:cs="Times New Roman"/>
          <w:color w:val="auto"/>
          <w:highlight w:val="none"/>
        </w:rPr>
      </w:pPr>
    </w:p>
    <w:p>
      <w:pPr>
        <w:pStyle w:val="91"/>
        <w:rPr>
          <w:rFonts w:hint="default" w:ascii="Times New Roman" w:hAnsi="Times New Roman" w:eastAsia="宋体" w:cs="Times New Roman"/>
          <w:b/>
          <w:color w:val="auto"/>
          <w:highlight w:val="none"/>
        </w:rPr>
      </w:pPr>
    </w:p>
    <w:p>
      <w:pPr>
        <w:widowControl/>
        <w:jc w:val="left"/>
        <w:rPr>
          <w:rFonts w:hint="default" w:ascii="Times New Roman" w:hAnsi="Times New Roman" w:eastAsia="宋体" w:cs="Times New Roman"/>
          <w:color w:val="auto"/>
          <w:kern w:val="0"/>
          <w:sz w:val="20"/>
          <w:szCs w:val="20"/>
          <w:highlight w:val="none"/>
          <w:lang w:val="zh-CN"/>
        </w:rPr>
      </w:pPr>
      <w:r>
        <w:rPr>
          <w:rFonts w:hint="default" w:ascii="Times New Roman" w:hAnsi="Times New Roman" w:eastAsia="宋体" w:cs="Times New Roman"/>
          <w:color w:val="auto"/>
          <w:highlight w:val="none"/>
        </w:rPr>
        <w:br w:type="page"/>
      </w:r>
    </w:p>
    <w:p>
      <w:pPr>
        <w:jc w:val="left"/>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附表十</w:t>
      </w:r>
      <w:r>
        <w:rPr>
          <w:rFonts w:hint="default" w:ascii="Times New Roman" w:hAnsi="Times New Roman" w:eastAsia="宋体" w:cs="Times New Roman"/>
          <w:b/>
          <w:color w:val="auto"/>
          <w:highlight w:val="none"/>
          <w:lang w:val="en-US" w:eastAsia="zh-CN"/>
        </w:rPr>
        <w:t>一</w:t>
      </w:r>
      <w:r>
        <w:rPr>
          <w:rFonts w:hint="default" w:ascii="Times New Roman" w:hAnsi="Times New Roman" w:eastAsia="宋体" w:cs="Times New Roman"/>
          <w:b/>
          <w:color w:val="auto"/>
          <w:highlight w:val="none"/>
        </w:rPr>
        <w:t>：</w:t>
      </w:r>
    </w:p>
    <w:p>
      <w:pPr>
        <w:pStyle w:val="29"/>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定标因素评审表</w:t>
      </w:r>
    </w:p>
    <w:p>
      <w:pPr>
        <w:rPr>
          <w:rFonts w:hint="default" w:ascii="Times New Roman" w:hAnsi="Times New Roman" w:eastAsia="宋体" w:cs="Times New Roman"/>
          <w:color w:val="auto"/>
          <w:highlight w:val="none"/>
        </w:rPr>
      </w:pPr>
    </w:p>
    <w:tbl>
      <w:tblPr>
        <w:tblStyle w:val="49"/>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442"/>
        <w:gridCol w:w="687"/>
        <w:gridCol w:w="1261"/>
        <w:gridCol w:w="3111"/>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90" w:hRule="atLeast"/>
          <w:tblHeader/>
        </w:trPr>
        <w:tc>
          <w:tcPr>
            <w:tcW w:w="442" w:type="dxa"/>
            <w:vMerge w:val="restar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序号</w:t>
            </w:r>
          </w:p>
        </w:tc>
        <w:tc>
          <w:tcPr>
            <w:tcW w:w="1948" w:type="dxa"/>
            <w:gridSpan w:val="2"/>
            <w:vMerge w:val="restar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因素</w:t>
            </w:r>
          </w:p>
        </w:tc>
        <w:tc>
          <w:tcPr>
            <w:tcW w:w="6889" w:type="dxa"/>
            <w:gridSpan w:val="2"/>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评语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cantSplit/>
          <w:trHeight w:val="90" w:hRule="atLeast"/>
          <w:tblHeader/>
        </w:trPr>
        <w:tc>
          <w:tcPr>
            <w:tcW w:w="442" w:type="dxa"/>
            <w:vMerge w:val="continue"/>
            <w:noWrap w:val="0"/>
            <w:vAlign w:val="center"/>
          </w:tcPr>
          <w:p>
            <w:pPr>
              <w:jc w:val="center"/>
              <w:rPr>
                <w:rFonts w:hint="default" w:ascii="Times New Roman" w:hAnsi="Times New Roman" w:eastAsia="宋体" w:cs="Times New Roman"/>
                <w:color w:val="auto"/>
                <w:szCs w:val="21"/>
                <w:highlight w:val="none"/>
              </w:rPr>
            </w:pPr>
          </w:p>
        </w:tc>
        <w:tc>
          <w:tcPr>
            <w:tcW w:w="1948" w:type="dxa"/>
            <w:gridSpan w:val="2"/>
            <w:vMerge w:val="continue"/>
            <w:noWrap w:val="0"/>
            <w:vAlign w:val="center"/>
          </w:tcPr>
          <w:p>
            <w:pPr>
              <w:jc w:val="center"/>
              <w:rPr>
                <w:rFonts w:hint="default" w:ascii="Times New Roman" w:hAnsi="Times New Roman" w:eastAsia="宋体" w:cs="Times New Roman"/>
                <w:color w:val="auto"/>
                <w:szCs w:val="21"/>
                <w:highlight w:val="none"/>
              </w:rPr>
            </w:pPr>
          </w:p>
        </w:tc>
        <w:tc>
          <w:tcPr>
            <w:tcW w:w="3111" w:type="dxa"/>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中标候选人1</w:t>
            </w:r>
          </w:p>
        </w:tc>
        <w:tc>
          <w:tcPr>
            <w:tcW w:w="3778" w:type="dxa"/>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trHeight w:val="1180" w:hRule="atLeast"/>
        </w:trPr>
        <w:tc>
          <w:tcPr>
            <w:tcW w:w="442" w:type="dxa"/>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一</w:t>
            </w:r>
          </w:p>
        </w:tc>
        <w:tc>
          <w:tcPr>
            <w:tcW w:w="1948" w:type="dxa"/>
            <w:gridSpan w:val="2"/>
            <w:noWrap w:val="0"/>
            <w:vAlign w:val="center"/>
          </w:tcPr>
          <w:p>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价格</w:t>
            </w:r>
            <w:r>
              <w:rPr>
                <w:rFonts w:hint="default" w:ascii="Times New Roman" w:hAnsi="Times New Roman" w:eastAsia="宋体" w:cs="Times New Roman"/>
                <w:color w:val="auto"/>
                <w:szCs w:val="21"/>
                <w:highlight w:val="none"/>
                <w:lang w:val="en-US" w:eastAsia="zh-CN"/>
              </w:rPr>
              <w:t>因素</w:t>
            </w:r>
          </w:p>
        </w:tc>
        <w:tc>
          <w:tcPr>
            <w:tcW w:w="6889" w:type="dxa"/>
            <w:gridSpan w:val="2"/>
            <w:noWrap w:val="0"/>
            <w:vAlign w:val="top"/>
          </w:tcPr>
          <w:p>
            <w:pP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trHeight w:val="1310" w:hRule="atLeast"/>
        </w:trPr>
        <w:tc>
          <w:tcPr>
            <w:tcW w:w="442" w:type="dxa"/>
            <w:vMerge w:val="restar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二</w:t>
            </w:r>
          </w:p>
        </w:tc>
        <w:tc>
          <w:tcPr>
            <w:tcW w:w="687" w:type="dxa"/>
            <w:vMerge w:val="restart"/>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rPr>
              <w:t>方案因素</w:t>
            </w:r>
          </w:p>
        </w:tc>
        <w:tc>
          <w:tcPr>
            <w:tcW w:w="1261" w:type="dxa"/>
            <w:noWrap w:val="0"/>
            <w:vAlign w:val="center"/>
          </w:tcPr>
          <w:p>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（一）</w:t>
            </w:r>
            <w:r>
              <w:rPr>
                <w:rFonts w:hint="default" w:ascii="Times New Roman" w:hAnsi="Times New Roman" w:eastAsia="宋体" w:cs="Times New Roman"/>
                <w:color w:val="auto"/>
                <w:szCs w:val="21"/>
                <w:highlight w:val="none"/>
                <w:lang w:val="en-US" w:eastAsia="zh-CN"/>
              </w:rPr>
              <w:t>施工部署</w:t>
            </w:r>
          </w:p>
        </w:tc>
        <w:tc>
          <w:tcPr>
            <w:tcW w:w="6889" w:type="dxa"/>
            <w:gridSpan w:val="2"/>
            <w:noWrap w:val="0"/>
            <w:vAlign w:val="top"/>
          </w:tcPr>
          <w:p>
            <w:pP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trHeight w:val="1206" w:hRule="atLeast"/>
        </w:trPr>
        <w:tc>
          <w:tcPr>
            <w:tcW w:w="442" w:type="dxa"/>
            <w:vMerge w:val="continue"/>
            <w:noWrap w:val="0"/>
            <w:vAlign w:val="center"/>
          </w:tcPr>
          <w:p>
            <w:pPr>
              <w:jc w:val="center"/>
              <w:rPr>
                <w:rFonts w:hint="default" w:ascii="Times New Roman" w:hAnsi="Times New Roman" w:eastAsia="宋体" w:cs="Times New Roman"/>
                <w:color w:val="auto"/>
                <w:szCs w:val="21"/>
                <w:highlight w:val="none"/>
              </w:rPr>
            </w:pPr>
          </w:p>
        </w:tc>
        <w:tc>
          <w:tcPr>
            <w:tcW w:w="687" w:type="dxa"/>
            <w:vMerge w:val="continue"/>
            <w:noWrap w:val="0"/>
            <w:vAlign w:val="center"/>
          </w:tcPr>
          <w:p>
            <w:pPr>
              <w:jc w:val="center"/>
              <w:rPr>
                <w:rFonts w:hint="default" w:ascii="Times New Roman" w:hAnsi="Times New Roman" w:eastAsia="宋体" w:cs="Times New Roman"/>
                <w:color w:val="auto"/>
                <w:szCs w:val="21"/>
                <w:highlight w:val="none"/>
              </w:rPr>
            </w:pPr>
          </w:p>
        </w:tc>
        <w:tc>
          <w:tcPr>
            <w:tcW w:w="1261" w:type="dxa"/>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（二）安全控制措施</w:t>
            </w:r>
          </w:p>
        </w:tc>
        <w:tc>
          <w:tcPr>
            <w:tcW w:w="6889" w:type="dxa"/>
            <w:gridSpan w:val="2"/>
            <w:noWrap w:val="0"/>
            <w:vAlign w:val="top"/>
          </w:tcPr>
          <w:p>
            <w:pP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trHeight w:val="1273" w:hRule="atLeast"/>
        </w:trPr>
        <w:tc>
          <w:tcPr>
            <w:tcW w:w="442" w:type="dxa"/>
            <w:vMerge w:val="continue"/>
            <w:noWrap w:val="0"/>
            <w:vAlign w:val="center"/>
          </w:tcPr>
          <w:p>
            <w:pPr>
              <w:jc w:val="center"/>
              <w:rPr>
                <w:rFonts w:hint="default" w:ascii="Times New Roman" w:hAnsi="Times New Roman" w:eastAsia="宋体" w:cs="Times New Roman"/>
                <w:color w:val="auto"/>
                <w:szCs w:val="21"/>
                <w:highlight w:val="none"/>
              </w:rPr>
            </w:pPr>
          </w:p>
        </w:tc>
        <w:tc>
          <w:tcPr>
            <w:tcW w:w="687" w:type="dxa"/>
            <w:vMerge w:val="continue"/>
            <w:noWrap w:val="0"/>
            <w:vAlign w:val="center"/>
          </w:tcPr>
          <w:p>
            <w:pPr>
              <w:jc w:val="center"/>
              <w:rPr>
                <w:rFonts w:hint="default" w:ascii="Times New Roman" w:hAnsi="Times New Roman" w:eastAsia="宋体" w:cs="Times New Roman"/>
                <w:color w:val="auto"/>
                <w:szCs w:val="21"/>
                <w:highlight w:val="none"/>
              </w:rPr>
            </w:pPr>
          </w:p>
        </w:tc>
        <w:tc>
          <w:tcPr>
            <w:tcW w:w="1261" w:type="dxa"/>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（三）质量控制措施</w:t>
            </w:r>
          </w:p>
        </w:tc>
        <w:tc>
          <w:tcPr>
            <w:tcW w:w="6889" w:type="dxa"/>
            <w:gridSpan w:val="2"/>
            <w:noWrap w:val="0"/>
            <w:vAlign w:val="top"/>
          </w:tcPr>
          <w:p>
            <w:pP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trHeight w:val="1608" w:hRule="atLeast"/>
        </w:trPr>
        <w:tc>
          <w:tcPr>
            <w:tcW w:w="442" w:type="dxa"/>
            <w:vMerge w:val="continue"/>
            <w:noWrap w:val="0"/>
            <w:vAlign w:val="center"/>
          </w:tcPr>
          <w:p>
            <w:pPr>
              <w:jc w:val="center"/>
              <w:rPr>
                <w:rFonts w:hint="default" w:ascii="Times New Roman" w:hAnsi="Times New Roman" w:eastAsia="宋体" w:cs="Times New Roman"/>
                <w:color w:val="auto"/>
                <w:szCs w:val="21"/>
                <w:highlight w:val="none"/>
              </w:rPr>
            </w:pPr>
          </w:p>
        </w:tc>
        <w:tc>
          <w:tcPr>
            <w:tcW w:w="687" w:type="dxa"/>
            <w:vMerge w:val="continue"/>
            <w:noWrap w:val="0"/>
            <w:vAlign w:val="center"/>
          </w:tcPr>
          <w:p>
            <w:pPr>
              <w:jc w:val="center"/>
              <w:rPr>
                <w:rFonts w:hint="default" w:ascii="Times New Roman" w:hAnsi="Times New Roman" w:eastAsia="宋体" w:cs="Times New Roman"/>
                <w:color w:val="auto"/>
                <w:szCs w:val="21"/>
                <w:highlight w:val="none"/>
              </w:rPr>
            </w:pPr>
          </w:p>
        </w:tc>
        <w:tc>
          <w:tcPr>
            <w:tcW w:w="1261" w:type="dxa"/>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（四）进度控制措施</w:t>
            </w:r>
          </w:p>
        </w:tc>
        <w:tc>
          <w:tcPr>
            <w:tcW w:w="6889" w:type="dxa"/>
            <w:gridSpan w:val="2"/>
            <w:noWrap w:val="0"/>
            <w:vAlign w:val="top"/>
          </w:tcPr>
          <w:p>
            <w:pP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trHeight w:val="1165" w:hRule="atLeast"/>
        </w:trPr>
        <w:tc>
          <w:tcPr>
            <w:tcW w:w="442" w:type="dxa"/>
            <w:noWrap w:val="0"/>
            <w:vAlign w:val="center"/>
          </w:tcPr>
          <w:p>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三</w:t>
            </w:r>
          </w:p>
        </w:tc>
        <w:tc>
          <w:tcPr>
            <w:tcW w:w="1948" w:type="dxa"/>
            <w:gridSpan w:val="2"/>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团队因素</w:t>
            </w:r>
          </w:p>
        </w:tc>
        <w:tc>
          <w:tcPr>
            <w:tcW w:w="6889" w:type="dxa"/>
            <w:gridSpan w:val="2"/>
            <w:noWrap w:val="0"/>
            <w:vAlign w:val="top"/>
          </w:tcPr>
          <w:p>
            <w:pPr>
              <w:rPr>
                <w:rFonts w:hint="default" w:ascii="Times New Roman" w:hAnsi="Times New Roman" w:eastAsia="宋体" w:cs="Times New Roman"/>
                <w:color w:val="auto"/>
                <w:szCs w:val="21"/>
                <w:highlight w:val="none"/>
              </w:rPr>
            </w:pPr>
          </w:p>
        </w:tc>
      </w:tr>
    </w:tbl>
    <w:p>
      <w:pPr>
        <w:pStyle w:val="91"/>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kern w:val="0"/>
          <w:highlight w:val="none"/>
        </w:rPr>
        <w:t>注：由定标委员会各成员依据招标文件中列出的各定标因素，给予进入定标环节的各投标人客观实际的评语，并作为投票依据。</w:t>
      </w:r>
    </w:p>
    <w:p>
      <w:pPr>
        <w:adjustRightInd w:val="0"/>
        <w:snapToGrid w:val="0"/>
        <w:spacing w:line="360" w:lineRule="auto"/>
        <w:rPr>
          <w:rFonts w:hint="default" w:ascii="Times New Roman" w:hAnsi="Times New Roman" w:eastAsia="宋体" w:cs="Times New Roman"/>
          <w:color w:val="auto"/>
          <w:kern w:val="0"/>
          <w:sz w:val="24"/>
          <w:szCs w:val="24"/>
          <w:highlight w:val="none"/>
        </w:rPr>
      </w:pPr>
    </w:p>
    <w:p>
      <w:pPr>
        <w:adjustRightInd w:val="0"/>
        <w:snapToGrid w:val="0"/>
        <w:spacing w:line="360" w:lineRule="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定标委员签名：                                            日期：</w:t>
      </w:r>
    </w:p>
    <w:p>
      <w:pPr>
        <w:pStyle w:val="91"/>
        <w:numPr>
          <w:ilvl w:val="0"/>
          <w:numId w:val="0"/>
        </w:numPr>
        <w:rPr>
          <w:rFonts w:hint="default" w:ascii="Times New Roman" w:hAnsi="Times New Roman" w:eastAsia="宋体" w:cs="Times New Roman"/>
          <w:color w:val="auto"/>
          <w:highlight w:val="none"/>
        </w:rPr>
      </w:pPr>
    </w:p>
    <w:p>
      <w:pPr>
        <w:adjustRightInd w:val="0"/>
        <w:snapToGrid w:val="0"/>
        <w:spacing w:line="360" w:lineRule="auto"/>
        <w:ind w:right="-84" w:rightChars="-40"/>
        <w:rPr>
          <w:rFonts w:hint="default" w:ascii="Times New Roman" w:hAnsi="Times New Roman" w:eastAsia="宋体" w:cs="Times New Roman"/>
          <w:b/>
          <w:color w:val="auto"/>
          <w:kern w:val="0"/>
          <w:highlight w:val="none"/>
        </w:rPr>
      </w:pPr>
    </w:p>
    <w:p>
      <w:pPr>
        <w:widowControl/>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附表十</w:t>
      </w:r>
      <w:r>
        <w:rPr>
          <w:rFonts w:hint="default" w:ascii="Times New Roman" w:hAnsi="Times New Roman" w:eastAsia="宋体" w:cs="Times New Roman"/>
          <w:b/>
          <w:color w:val="auto"/>
          <w:sz w:val="24"/>
          <w:szCs w:val="24"/>
          <w:highlight w:val="none"/>
          <w:lang w:val="en-US" w:eastAsia="zh-CN"/>
        </w:rPr>
        <w:t>二</w:t>
      </w:r>
      <w:r>
        <w:rPr>
          <w:rFonts w:hint="default" w:ascii="Times New Roman" w:hAnsi="Times New Roman" w:eastAsia="宋体" w:cs="Times New Roman"/>
          <w:b/>
          <w:color w:val="auto"/>
          <w:sz w:val="24"/>
          <w:szCs w:val="24"/>
          <w:highlight w:val="none"/>
        </w:rPr>
        <w:t>：</w:t>
      </w:r>
    </w:p>
    <w:p>
      <w:pPr>
        <w:jc w:val="center"/>
        <w:rPr>
          <w:rFonts w:hint="default" w:ascii="Times New Roman" w:hAnsi="Times New Roman" w:eastAsia="宋体" w:cs="Times New Roman"/>
          <w:b/>
          <w:color w:val="auto"/>
          <w:sz w:val="32"/>
          <w:szCs w:val="32"/>
          <w:highlight w:val="none"/>
        </w:rPr>
      </w:pPr>
      <w:r>
        <w:rPr>
          <w:rFonts w:hint="default" w:ascii="Times New Roman" w:hAnsi="Times New Roman" w:eastAsia="宋体" w:cs="Times New Roman"/>
          <w:b/>
          <w:color w:val="auto"/>
          <w:sz w:val="32"/>
          <w:szCs w:val="32"/>
          <w:highlight w:val="none"/>
        </w:rPr>
        <w:t>定标因素表（定标阶段用表）</w:t>
      </w:r>
    </w:p>
    <w:p>
      <w:pPr>
        <w:rPr>
          <w:rFonts w:hint="default" w:ascii="Times New Roman" w:hAnsi="Times New Roman" w:eastAsia="宋体" w:cs="Times New Roman"/>
          <w:color w:val="auto"/>
          <w:sz w:val="24"/>
          <w:szCs w:val="24"/>
          <w:highlight w:val="none"/>
        </w:rPr>
      </w:pPr>
    </w:p>
    <w:p>
      <w:pP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工程名称：</w:t>
      </w:r>
    </w:p>
    <w:tbl>
      <w:tblPr>
        <w:tblStyle w:val="49"/>
        <w:tblW w:w="9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578"/>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序号</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评价项目</w:t>
            </w:r>
          </w:p>
        </w:tc>
        <w:tc>
          <w:tcPr>
            <w:tcW w:w="72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定标评价的内容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价格因素</w:t>
            </w:r>
          </w:p>
        </w:tc>
        <w:tc>
          <w:tcPr>
            <w:tcW w:w="7229"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rPr>
              <w:t>对投标人的投标报价进行分析，结合投标报价中的综合单价，对报价的合理性进行评审。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jc w:val="center"/>
        </w:trPr>
        <w:tc>
          <w:tcPr>
            <w:tcW w:w="742"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1578"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方案因素</w:t>
            </w:r>
          </w:p>
        </w:tc>
        <w:tc>
          <w:tcPr>
            <w:tcW w:w="7229" w:type="dxa"/>
            <w:tcBorders>
              <w:top w:val="single" w:color="auto" w:sz="4" w:space="0"/>
              <w:left w:val="single" w:color="auto" w:sz="4" w:space="0"/>
              <w:bottom w:val="single" w:color="auto" w:sz="4" w:space="0"/>
              <w:right w:val="single" w:color="auto" w:sz="4" w:space="0"/>
            </w:tcBorders>
            <w:noWrap w:val="0"/>
            <w:vAlign w:val="center"/>
          </w:tcPr>
          <w:p>
            <w:pPr>
              <w:spacing w:before="0" w:line="240" w:lineRule="auto"/>
              <w:ind w:firstLine="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施工平面布置和重难点分析及对策，结合本项目特点，包括如下内容：</w:t>
            </w:r>
          </w:p>
          <w:p>
            <w:pPr>
              <w:spacing w:before="0" w:line="24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1.总体布置有针对性、合理，较好满足施工需要；</w:t>
            </w:r>
          </w:p>
          <w:p>
            <w:pPr>
              <w:spacing w:before="0" w:line="24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2.对项目关键技术、工艺有深入的表述；</w:t>
            </w:r>
          </w:p>
          <w:p>
            <w:pPr>
              <w:spacing w:before="0" w:line="24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3.对重点、难点有先进、合理的建议；</w:t>
            </w:r>
          </w:p>
          <w:p>
            <w:pPr>
              <w:spacing w:before="0" w:line="240" w:lineRule="auto"/>
              <w:ind w:firstLine="0"/>
              <w:jc w:val="left"/>
              <w:rPr>
                <w:rFonts w:hint="default" w:ascii="Times New Roman" w:hAnsi="Times New Roman" w:eastAsia="宋体" w:cs="Times New Roman"/>
                <w:color w:val="auto"/>
                <w:sz w:val="21"/>
                <w:szCs w:val="21"/>
                <w:highlight w:val="none"/>
                <w:lang w:eastAsia="zh-CN"/>
              </w:rPr>
            </w:pPr>
            <w:r>
              <w:rPr>
                <w:rFonts w:hint="eastAsia" w:ascii="宋体" w:hAnsi="宋体" w:eastAsia="宋体" w:cs="宋体"/>
                <w:color w:val="auto"/>
                <w:sz w:val="21"/>
                <w:szCs w:val="21"/>
                <w:highlight w:val="none"/>
              </w:rPr>
              <w:t>4.解决方案完整、安全、工期、经济切实可行，措施得力。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jc w:val="center"/>
        </w:trPr>
        <w:tc>
          <w:tcPr>
            <w:tcW w:w="742" w:type="dxa"/>
            <w:vMerge w:val="continue"/>
            <w:tcBorders>
              <w:left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p>
        </w:tc>
        <w:tc>
          <w:tcPr>
            <w:tcW w:w="1578" w:type="dxa"/>
            <w:vMerge w:val="continue"/>
            <w:tcBorders>
              <w:left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p>
        </w:tc>
        <w:tc>
          <w:tcPr>
            <w:tcW w:w="7229" w:type="dxa"/>
            <w:tcBorders>
              <w:top w:val="single" w:color="auto" w:sz="4" w:space="0"/>
              <w:left w:val="single" w:color="auto" w:sz="4" w:space="0"/>
              <w:bottom w:val="single" w:color="auto" w:sz="4" w:space="0"/>
              <w:right w:val="single" w:color="auto" w:sz="4" w:space="0"/>
            </w:tcBorders>
            <w:noWrap w:val="0"/>
            <w:vAlign w:val="center"/>
          </w:tcPr>
          <w:p>
            <w:pPr>
              <w:spacing w:before="0" w:line="240" w:lineRule="auto"/>
              <w:ind w:firstLine="0"/>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安全控制措施，结合本项目特点，包括如下内容：</w:t>
            </w:r>
          </w:p>
          <w:p>
            <w:pPr>
              <w:spacing w:before="0" w:line="240" w:lineRule="auto"/>
              <w:ind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1.安全生产组织架构与项目特点的相符性，安全管理体系的完善性；</w:t>
            </w:r>
          </w:p>
          <w:p>
            <w:pPr>
              <w:spacing w:before="0" w:line="240" w:lineRule="auto"/>
              <w:ind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2.安全文明施工管理目标明确，安全文明施工管理方案完整；</w:t>
            </w:r>
          </w:p>
          <w:p>
            <w:pPr>
              <w:spacing w:before="0" w:line="240" w:lineRule="auto"/>
              <w:ind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3.安全文明施工管理方案保证措施合理可行；</w:t>
            </w:r>
          </w:p>
          <w:p>
            <w:pPr>
              <w:spacing w:before="0" w:line="240" w:lineRule="auto"/>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4.针对项目特点，分析安全管理的重点、难点，分析风险源并对安全风险分级管控。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jc w:val="center"/>
        </w:trPr>
        <w:tc>
          <w:tcPr>
            <w:tcW w:w="742" w:type="dxa"/>
            <w:vMerge w:val="continue"/>
            <w:tcBorders>
              <w:left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p>
        </w:tc>
        <w:tc>
          <w:tcPr>
            <w:tcW w:w="1578" w:type="dxa"/>
            <w:vMerge w:val="continue"/>
            <w:tcBorders>
              <w:left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p>
        </w:tc>
        <w:tc>
          <w:tcPr>
            <w:tcW w:w="7229" w:type="dxa"/>
            <w:tcBorders>
              <w:top w:val="single" w:color="auto" w:sz="4" w:space="0"/>
              <w:left w:val="single" w:color="auto" w:sz="4" w:space="0"/>
              <w:bottom w:val="single" w:color="auto" w:sz="4" w:space="0"/>
              <w:right w:val="single" w:color="auto" w:sz="4" w:space="0"/>
            </w:tcBorders>
            <w:noWrap w:val="0"/>
            <w:vAlign w:val="center"/>
          </w:tcPr>
          <w:p>
            <w:pPr>
              <w:spacing w:before="0" w:line="240" w:lineRule="auto"/>
              <w:ind w:firstLine="0"/>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质量控制措施，结合本项目特点，包括如下内容：</w:t>
            </w:r>
          </w:p>
          <w:p>
            <w:pPr>
              <w:spacing w:before="0" w:line="240" w:lineRule="auto"/>
              <w:ind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1.质量管理组织架构与项目特点的相符性，质量管理体系的完善性；</w:t>
            </w:r>
          </w:p>
          <w:p>
            <w:pPr>
              <w:spacing w:before="0" w:line="240" w:lineRule="auto"/>
              <w:ind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2.质量管理目标明确，质量管理方案完整；</w:t>
            </w:r>
          </w:p>
          <w:p>
            <w:pPr>
              <w:spacing w:before="0" w:line="240" w:lineRule="auto"/>
              <w:ind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3.质量管理方案保证措施合理可行；</w:t>
            </w:r>
          </w:p>
          <w:p>
            <w:pPr>
              <w:spacing w:before="0" w:line="240" w:lineRule="auto"/>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4.针对项目特点，分析质量管理的重点、难点，</w:t>
            </w:r>
            <w:r>
              <w:rPr>
                <w:rFonts w:hint="default" w:ascii="Times New Roman" w:hAnsi="Times New Roman" w:eastAsia="宋体" w:cs="Times New Roman"/>
                <w:color w:val="auto"/>
                <w:sz w:val="21"/>
                <w:szCs w:val="21"/>
                <w:highlight w:val="none"/>
                <w:lang w:val="en-US" w:eastAsia="zh-CN"/>
              </w:rPr>
              <w:t>有</w:t>
            </w:r>
            <w:r>
              <w:rPr>
                <w:rFonts w:hint="default" w:ascii="Times New Roman" w:hAnsi="Times New Roman" w:eastAsia="宋体" w:cs="Times New Roman"/>
                <w:color w:val="auto"/>
                <w:sz w:val="21"/>
                <w:szCs w:val="21"/>
                <w:highlight w:val="none"/>
              </w:rPr>
              <w:t>针对性的质量管理措施。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jc w:val="center"/>
        </w:trPr>
        <w:tc>
          <w:tcPr>
            <w:tcW w:w="742"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p>
        </w:tc>
        <w:tc>
          <w:tcPr>
            <w:tcW w:w="1578"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rPr>
            </w:pPr>
          </w:p>
        </w:tc>
        <w:tc>
          <w:tcPr>
            <w:tcW w:w="7229" w:type="dxa"/>
            <w:tcBorders>
              <w:top w:val="single" w:color="auto" w:sz="4" w:space="0"/>
              <w:left w:val="single" w:color="auto" w:sz="4" w:space="0"/>
              <w:bottom w:val="single" w:color="auto" w:sz="4" w:space="0"/>
              <w:right w:val="single" w:color="auto" w:sz="4" w:space="0"/>
            </w:tcBorders>
            <w:noWrap w:val="0"/>
            <w:vAlign w:val="center"/>
          </w:tcPr>
          <w:p>
            <w:pPr>
              <w:spacing w:before="0" w:line="240" w:lineRule="auto"/>
              <w:ind w:firstLine="0"/>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进度控制措施，结合本项目特点，包括如下内容：</w:t>
            </w:r>
          </w:p>
          <w:p>
            <w:pPr>
              <w:spacing w:before="0" w:line="240" w:lineRule="auto"/>
              <w:ind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1.进度管理组织架构与项目特点的相符性，进度管理体系的完善性；</w:t>
            </w:r>
          </w:p>
          <w:p>
            <w:pPr>
              <w:spacing w:before="0" w:line="240" w:lineRule="auto"/>
              <w:ind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2.进度计划管理目标明确，针对项目特点进行合理性分析；</w:t>
            </w:r>
          </w:p>
          <w:p>
            <w:pPr>
              <w:spacing w:before="0" w:line="240" w:lineRule="auto"/>
              <w:ind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3.施工组织方案满足项目实施需求，有具体的进度保障措施；</w:t>
            </w:r>
          </w:p>
          <w:p>
            <w:pPr>
              <w:spacing w:before="0" w:line="240" w:lineRule="auto"/>
              <w:ind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4.在保证节点工期的基础上，提出合理化的优化建议。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42" w:type="dxa"/>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3</w:t>
            </w:r>
          </w:p>
        </w:tc>
        <w:tc>
          <w:tcPr>
            <w:tcW w:w="1578" w:type="dxa"/>
            <w:tcBorders>
              <w:top w:val="single" w:color="auto" w:sz="4" w:space="0"/>
              <w:left w:val="single" w:color="auto" w:sz="4" w:space="0"/>
              <w:right w:val="single" w:color="auto" w:sz="4" w:space="0"/>
            </w:tcBorders>
            <w:noWrap w:val="0"/>
            <w:vAlign w:val="center"/>
          </w:tcPr>
          <w:p>
            <w:pPr>
              <w:spacing w:before="0"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团队因素</w:t>
            </w:r>
          </w:p>
        </w:tc>
        <w:tc>
          <w:tcPr>
            <w:tcW w:w="7229" w:type="dxa"/>
            <w:tcBorders>
              <w:top w:val="single" w:color="auto" w:sz="4" w:space="0"/>
              <w:left w:val="single" w:color="auto" w:sz="4" w:space="0"/>
              <w:right w:val="single" w:color="auto" w:sz="4" w:space="0"/>
            </w:tcBorders>
            <w:noWrap w:val="0"/>
            <w:vAlign w:val="center"/>
          </w:tcPr>
          <w:p>
            <w:pPr>
              <w:jc w:val="left"/>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拟委派项目管理团队的综合能力</w:t>
            </w:r>
            <w:r>
              <w:rPr>
                <w:rFonts w:hint="default" w:ascii="Times New Roman" w:hAnsi="Times New Roman" w:eastAsia="宋体" w:cs="Times New Roman"/>
                <w:color w:val="auto"/>
                <w:highlight w:val="none"/>
                <w:lang w:eastAsia="zh-CN"/>
              </w:rPr>
              <w:t>：</w:t>
            </w:r>
          </w:p>
          <w:p>
            <w:pPr>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1.</w:t>
            </w:r>
            <w:r>
              <w:rPr>
                <w:rFonts w:hint="default" w:ascii="Times New Roman" w:hAnsi="Times New Roman" w:eastAsia="宋体" w:cs="Times New Roman"/>
                <w:color w:val="auto"/>
                <w:highlight w:val="none"/>
              </w:rPr>
              <w:t>【优】投标人</w:t>
            </w:r>
            <w:r>
              <w:rPr>
                <w:rFonts w:hint="default" w:ascii="Times New Roman" w:hAnsi="Times New Roman" w:eastAsia="宋体" w:cs="Times New Roman"/>
                <w:color w:val="auto"/>
                <w:highlight w:val="none"/>
                <w:lang w:val="en-US" w:eastAsia="zh-CN"/>
              </w:rPr>
              <w:t>本项目拟派</w:t>
            </w:r>
            <w:r>
              <w:rPr>
                <w:rFonts w:hint="default" w:ascii="Times New Roman" w:hAnsi="Times New Roman" w:eastAsia="宋体" w:cs="Times New Roman"/>
                <w:color w:val="auto"/>
                <w:highlight w:val="none"/>
              </w:rPr>
              <w:t>管理人员、职称人员、专业技术人员配备齐全，人员技术水平高。</w:t>
            </w:r>
          </w:p>
          <w:p>
            <w:pPr>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rPr>
              <w:t>【良】投标人</w:t>
            </w:r>
            <w:r>
              <w:rPr>
                <w:rFonts w:hint="default" w:ascii="Times New Roman" w:hAnsi="Times New Roman" w:eastAsia="宋体" w:cs="Times New Roman"/>
                <w:color w:val="auto"/>
                <w:highlight w:val="none"/>
                <w:lang w:val="en-US" w:eastAsia="zh-CN"/>
              </w:rPr>
              <w:t>本项目拟派</w:t>
            </w:r>
            <w:r>
              <w:rPr>
                <w:rFonts w:hint="default" w:ascii="Times New Roman" w:hAnsi="Times New Roman" w:eastAsia="宋体" w:cs="Times New Roman"/>
                <w:color w:val="auto"/>
                <w:highlight w:val="none"/>
              </w:rPr>
              <w:t>管理人员、职称人员、专业技术人员配备较齐全，人员技术水平</w:t>
            </w:r>
            <w:r>
              <w:rPr>
                <w:rFonts w:hint="default" w:ascii="Times New Roman" w:hAnsi="Times New Roman" w:eastAsia="宋体" w:cs="Times New Roman"/>
                <w:color w:val="auto"/>
                <w:highlight w:val="none"/>
                <w:lang w:val="en-US" w:eastAsia="zh-CN"/>
              </w:rPr>
              <w:t>较高</w:t>
            </w:r>
            <w:r>
              <w:rPr>
                <w:rFonts w:hint="default" w:ascii="Times New Roman" w:hAnsi="Times New Roman" w:eastAsia="宋体" w:cs="Times New Roman"/>
                <w:color w:val="auto"/>
                <w:highlight w:val="none"/>
              </w:rPr>
              <w:t>。</w:t>
            </w:r>
          </w:p>
          <w:p>
            <w:pPr>
              <w:spacing w:before="0" w:line="240" w:lineRule="auto"/>
              <w:ind w:firstLine="0" w:firstLineChars="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3.</w:t>
            </w:r>
            <w:r>
              <w:rPr>
                <w:rFonts w:hint="default" w:ascii="Times New Roman" w:hAnsi="Times New Roman" w:eastAsia="宋体" w:cs="Times New Roman"/>
                <w:color w:val="auto"/>
                <w:highlight w:val="none"/>
              </w:rPr>
              <w:t>【中】投标人</w:t>
            </w:r>
            <w:r>
              <w:rPr>
                <w:rFonts w:hint="default" w:ascii="Times New Roman" w:hAnsi="Times New Roman" w:eastAsia="宋体" w:cs="Times New Roman"/>
                <w:color w:val="auto"/>
                <w:highlight w:val="none"/>
                <w:lang w:val="en-US" w:eastAsia="zh-CN"/>
              </w:rPr>
              <w:t>本项目拟派</w:t>
            </w:r>
            <w:r>
              <w:rPr>
                <w:rFonts w:hint="default" w:ascii="Times New Roman" w:hAnsi="Times New Roman" w:eastAsia="宋体" w:cs="Times New Roman"/>
                <w:color w:val="auto"/>
                <w:highlight w:val="none"/>
              </w:rPr>
              <w:t>管理人员、职称人员、专业技术人员配备不齐全，人员技术水平一般。</w:t>
            </w:r>
          </w:p>
          <w:p>
            <w:pPr>
              <w:pStyle w:val="37"/>
              <w:rPr>
                <w:rFonts w:hint="default" w:ascii="Times New Roman" w:hAnsi="Times New Roman" w:eastAsia="宋体" w:cs="Times New Roman"/>
                <w:color w:val="auto"/>
                <w:highlight w:val="none"/>
              </w:rPr>
            </w:pPr>
            <w:r>
              <w:rPr>
                <w:rFonts w:hint="default" w:ascii="Times New Roman" w:hAnsi="Times New Roman" w:eastAsia="宋体" w:cs="Times New Roman"/>
                <w:b/>
                <w:bCs/>
                <w:caps w:val="0"/>
                <w:color w:val="auto"/>
                <w:kern w:val="2"/>
                <w:sz w:val="21"/>
                <w:szCs w:val="21"/>
                <w:highlight w:val="none"/>
                <w:lang w:val="en-US" w:eastAsia="zh-CN" w:bidi="ar-SA"/>
              </w:rPr>
              <w:t>注：</w:t>
            </w:r>
            <w:r>
              <w:rPr>
                <w:rFonts w:hint="default" w:ascii="Times New Roman" w:hAnsi="Times New Roman" w:eastAsia="宋体" w:cs="Times New Roman"/>
                <w:caps w:val="0"/>
                <w:color w:val="auto"/>
                <w:kern w:val="2"/>
                <w:sz w:val="21"/>
                <w:szCs w:val="21"/>
                <w:highlight w:val="none"/>
                <w:lang w:val="en-US" w:eastAsia="zh-CN" w:bidi="ar-SA"/>
              </w:rPr>
              <w:t>拟委派项目管理团队需提供近1个月(2024年</w:t>
            </w:r>
            <w:r>
              <w:rPr>
                <w:rFonts w:hint="eastAsia" w:ascii="Times New Roman" w:hAnsi="Times New Roman" w:eastAsia="宋体" w:cs="Times New Roman"/>
                <w:caps w:val="0"/>
                <w:color w:val="auto"/>
                <w:kern w:val="2"/>
                <w:sz w:val="21"/>
                <w:szCs w:val="21"/>
                <w:highlight w:val="none"/>
                <w:lang w:val="en-US" w:eastAsia="zh-CN" w:bidi="ar-SA"/>
              </w:rPr>
              <w:t>3</w:t>
            </w:r>
            <w:r>
              <w:rPr>
                <w:rFonts w:hint="default" w:ascii="Times New Roman" w:hAnsi="Times New Roman" w:eastAsia="宋体" w:cs="Times New Roman"/>
                <w:caps w:val="0"/>
                <w:color w:val="auto"/>
                <w:kern w:val="2"/>
                <w:sz w:val="21"/>
                <w:szCs w:val="21"/>
                <w:highlight w:val="none"/>
                <w:lang w:val="en-US" w:eastAsia="zh-CN" w:bidi="ar-SA"/>
              </w:rPr>
              <w:t>月)社保缴纳证明扫描件、学历证（如有）、职称证（如有）、注册证（如有）、上岗证（如有）等证明资料。</w:t>
            </w:r>
          </w:p>
        </w:tc>
      </w:tr>
    </w:tbl>
    <w:p>
      <w:pPr>
        <w:jc w:val="center"/>
        <w:rPr>
          <w:rFonts w:hint="default" w:ascii="Times New Roman" w:hAnsi="Times New Roman" w:eastAsia="宋体" w:cs="Times New Roman"/>
          <w:b/>
          <w:color w:val="auto"/>
          <w:sz w:val="36"/>
          <w:szCs w:val="36"/>
          <w:highlight w:val="none"/>
        </w:rPr>
      </w:pPr>
    </w:p>
    <w:p>
      <w:pPr>
        <w:rPr>
          <w:rFonts w:hint="default" w:ascii="Times New Roman" w:hAnsi="Times New Roman" w:eastAsia="宋体" w:cs="Times New Roman"/>
          <w:color w:val="auto"/>
          <w:szCs w:val="21"/>
          <w:highlight w:val="none"/>
        </w:rPr>
      </w:pPr>
    </w:p>
    <w:p>
      <w:pPr>
        <w:pStyle w:val="4"/>
        <w:rPr>
          <w:rFonts w:hint="default" w:ascii="Times New Roman" w:hAnsi="Times New Roman" w:eastAsia="宋体" w:cs="Times New Roman"/>
          <w:color w:val="auto"/>
          <w:sz w:val="32"/>
          <w:szCs w:val="20"/>
          <w:highlight w:val="none"/>
        </w:rPr>
      </w:pPr>
      <w:bookmarkStart w:id="42" w:name="_Toc761"/>
      <w:bookmarkStart w:id="43" w:name="_Toc14697644"/>
      <w:bookmarkStart w:id="44" w:name="_Toc4122"/>
      <w:r>
        <w:rPr>
          <w:rFonts w:hint="default" w:ascii="Times New Roman" w:hAnsi="Times New Roman" w:eastAsia="宋体" w:cs="Times New Roman"/>
          <w:color w:val="auto"/>
          <w:sz w:val="32"/>
          <w:highlight w:val="none"/>
        </w:rPr>
        <w:t>第三章  合同条款</w:t>
      </w:r>
      <w:bookmarkEnd w:id="42"/>
      <w:bookmarkEnd w:id="43"/>
      <w:bookmarkEnd w:id="44"/>
    </w:p>
    <w:p>
      <w:pPr>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(另册)</w:t>
      </w:r>
    </w:p>
    <w:p>
      <w:pPr>
        <w:jc w:val="center"/>
        <w:rPr>
          <w:rFonts w:hint="default" w:ascii="Times New Roman" w:hAnsi="Times New Roman" w:eastAsia="宋体" w:cs="Times New Roman"/>
          <w:color w:val="auto"/>
          <w:sz w:val="24"/>
          <w:szCs w:val="24"/>
          <w:highlight w:val="none"/>
        </w:rPr>
      </w:pPr>
    </w:p>
    <w:p>
      <w:pPr>
        <w:keepNext/>
        <w:keepLines/>
        <w:spacing w:before="120" w:after="120" w:line="360" w:lineRule="auto"/>
        <w:jc w:val="center"/>
        <w:outlineLvl w:val="0"/>
        <w:rPr>
          <w:rFonts w:hint="default" w:ascii="Times New Roman" w:hAnsi="Times New Roman" w:eastAsia="宋体" w:cs="Times New Roman"/>
          <w:b/>
          <w:color w:val="auto"/>
          <w:kern w:val="44"/>
          <w:sz w:val="28"/>
          <w:szCs w:val="28"/>
          <w:highlight w:val="none"/>
        </w:rPr>
      </w:pPr>
      <w:r>
        <w:rPr>
          <w:rFonts w:hint="default" w:ascii="Times New Roman" w:hAnsi="Times New Roman" w:eastAsia="宋体" w:cs="Times New Roman"/>
          <w:color w:val="auto"/>
          <w:kern w:val="44"/>
          <w:sz w:val="28"/>
          <w:szCs w:val="28"/>
          <w:highlight w:val="none"/>
        </w:rPr>
        <w:br w:type="page"/>
      </w:r>
      <w:bookmarkStart w:id="45" w:name="_Toc14697645"/>
      <w:bookmarkStart w:id="46" w:name="_Toc11662"/>
      <w:bookmarkStart w:id="47" w:name="_Toc5220"/>
      <w:r>
        <w:rPr>
          <w:rFonts w:hint="default" w:ascii="Times New Roman" w:hAnsi="Times New Roman" w:eastAsia="宋体" w:cs="Times New Roman"/>
          <w:b/>
          <w:color w:val="auto"/>
          <w:kern w:val="44"/>
          <w:sz w:val="28"/>
          <w:szCs w:val="28"/>
          <w:highlight w:val="none"/>
        </w:rPr>
        <w:t>第四章  投标文件格式</w:t>
      </w:r>
      <w:bookmarkEnd w:id="45"/>
      <w:bookmarkEnd w:id="46"/>
      <w:bookmarkEnd w:id="47"/>
    </w:p>
    <w:p>
      <w:pPr>
        <w:rPr>
          <w:rFonts w:hint="default" w:ascii="Times New Roman" w:hAnsi="Times New Roman" w:eastAsia="宋体" w:cs="Times New Roman"/>
          <w:color w:val="auto"/>
          <w:highlight w:val="none"/>
        </w:rPr>
      </w:pPr>
    </w:p>
    <w:p>
      <w:pPr>
        <w:topLinePunct/>
        <w:adjustRightInd w:val="0"/>
        <w:snapToGrid w:val="0"/>
        <w:spacing w:line="360" w:lineRule="auto"/>
        <w:jc w:val="left"/>
        <w:outlineLvl w:val="0"/>
        <w:rPr>
          <w:rFonts w:hint="default" w:ascii="Times New Roman" w:hAnsi="Times New Roman" w:eastAsia="宋体" w:cs="Times New Roman"/>
          <w:b/>
          <w:snapToGrid w:val="0"/>
          <w:color w:val="auto"/>
          <w:spacing w:val="4"/>
          <w:kern w:val="0"/>
          <w:sz w:val="30"/>
          <w:szCs w:val="30"/>
          <w:highlight w:val="none"/>
        </w:rPr>
      </w:pPr>
      <w:bookmarkStart w:id="48" w:name="_Toc2549"/>
      <w:bookmarkStart w:id="49" w:name="_Toc7019446"/>
      <w:bookmarkStart w:id="50" w:name="_Toc8084"/>
      <w:bookmarkStart w:id="51" w:name="_Toc23725"/>
      <w:bookmarkStart w:id="52" w:name="_Toc14697646"/>
      <w:bookmarkStart w:id="53" w:name="_Toc62134853"/>
      <w:r>
        <w:rPr>
          <w:rFonts w:hint="default" w:ascii="Times New Roman" w:hAnsi="Times New Roman" w:eastAsia="宋体" w:cs="Times New Roman"/>
          <w:b/>
          <w:snapToGrid w:val="0"/>
          <w:color w:val="auto"/>
          <w:spacing w:val="4"/>
          <w:kern w:val="0"/>
          <w:sz w:val="30"/>
          <w:szCs w:val="30"/>
          <w:highlight w:val="none"/>
        </w:rPr>
        <w:t>一、技术标投标文件格式</w:t>
      </w:r>
      <w:bookmarkEnd w:id="48"/>
      <w:bookmarkEnd w:id="49"/>
      <w:bookmarkEnd w:id="50"/>
      <w:bookmarkEnd w:id="51"/>
      <w:bookmarkEnd w:id="52"/>
      <w:bookmarkEnd w:id="53"/>
    </w:p>
    <w:p>
      <w:pPr>
        <w:keepNext w:val="0"/>
        <w:keepLines w:val="0"/>
        <w:pageBreakBefore w:val="0"/>
        <w:widowControl/>
        <w:kinsoku/>
        <w:wordWrap/>
        <w:overflowPunct/>
        <w:topLinePunct w:val="0"/>
        <w:autoSpaceDE/>
        <w:autoSpaceDN/>
        <w:bidi w:val="0"/>
        <w:adjustRightInd/>
        <w:snapToGrid/>
        <w:spacing w:before="100" w:beforeAutospacing="1" w:after="100" w:afterAutospacing="1"/>
        <w:jc w:val="left"/>
        <w:textAlignment w:val="auto"/>
        <w:outlineLvl w:val="9"/>
        <w:rPr>
          <w:rFonts w:hint="default" w:ascii="Times New Roman" w:hAnsi="Times New Roman" w:eastAsia="宋体" w:cs="Times New Roman"/>
          <w:color w:val="auto"/>
          <w:kern w:val="0"/>
          <w:sz w:val="27"/>
          <w:szCs w:val="27"/>
          <w:highlight w:val="none"/>
        </w:rPr>
      </w:pPr>
      <w:r>
        <w:rPr>
          <w:rFonts w:hint="default" w:ascii="Times New Roman" w:hAnsi="Times New Roman" w:eastAsia="宋体" w:cs="Times New Roman"/>
          <w:color w:val="auto"/>
          <w:kern w:val="0"/>
          <w:sz w:val="27"/>
          <w:szCs w:val="27"/>
          <w:highlight w:val="none"/>
        </w:rPr>
        <w:br w:type="page"/>
      </w:r>
      <w:bookmarkStart w:id="54" w:name="_Toc14697647"/>
      <w:bookmarkStart w:id="55" w:name="_Toc62134854"/>
    </w:p>
    <w:p>
      <w:pPr>
        <w:pStyle w:val="83"/>
        <w:spacing w:beforeLines="0" w:afterLines="0" w:line="360" w:lineRule="auto"/>
        <w:rPr>
          <w:rFonts w:hint="default" w:ascii="Times New Roman" w:hAnsi="Times New Roman" w:eastAsia="宋体" w:cs="Times New Roman"/>
          <w:color w:val="auto"/>
          <w:highlight w:val="none"/>
        </w:rPr>
      </w:pPr>
      <w:bookmarkStart w:id="56" w:name="_Toc532475353"/>
      <w:bookmarkStart w:id="57" w:name="_Toc532475786"/>
      <w:bookmarkStart w:id="58" w:name="_Toc510963883"/>
      <w:bookmarkStart w:id="59" w:name="_Toc995"/>
      <w:bookmarkStart w:id="60" w:name="_Toc30413"/>
      <w:bookmarkStart w:id="61" w:name="_Toc9103"/>
      <w:r>
        <w:rPr>
          <w:rFonts w:hint="default" w:ascii="Times New Roman" w:hAnsi="Times New Roman" w:eastAsia="宋体" w:cs="Times New Roman"/>
          <w:color w:val="auto"/>
          <w:highlight w:val="none"/>
        </w:rPr>
        <w:t>格式1：</w:t>
      </w:r>
      <w:bookmarkEnd w:id="56"/>
      <w:bookmarkEnd w:id="57"/>
      <w:bookmarkEnd w:id="58"/>
      <w:bookmarkEnd w:id="59"/>
      <w:r>
        <w:rPr>
          <w:rFonts w:hint="default" w:ascii="Times New Roman" w:hAnsi="Times New Roman" w:eastAsia="宋体" w:cs="Times New Roman"/>
          <w:color w:val="auto"/>
          <w:highlight w:val="none"/>
        </w:rPr>
        <w:t>技术标投标文件封面</w:t>
      </w:r>
      <w:bookmarkEnd w:id="60"/>
      <w:bookmarkEnd w:id="61"/>
    </w:p>
    <w:p>
      <w:pPr>
        <w:pStyle w:val="72"/>
        <w:ind w:firstLine="496"/>
        <w:rPr>
          <w:rFonts w:hint="default" w:ascii="Times New Roman" w:hAnsi="Times New Roman" w:eastAsia="宋体" w:cs="Times New Roman"/>
          <w:color w:val="auto"/>
          <w:highlight w:val="none"/>
        </w:rPr>
      </w:pPr>
    </w:p>
    <w:p>
      <w:pPr>
        <w:pStyle w:val="106"/>
        <w:rPr>
          <w:rFonts w:hint="default" w:ascii="Times New Roman" w:hAnsi="Times New Roman" w:eastAsia="宋体" w:cs="Times New Roman"/>
          <w:b w:val="0"/>
          <w:color w:val="auto"/>
          <w:highlight w:val="none"/>
          <w:u w:val="single"/>
        </w:rPr>
      </w:pPr>
      <w:r>
        <w:rPr>
          <w:rFonts w:hint="default" w:ascii="Times New Roman" w:hAnsi="Times New Roman" w:eastAsia="宋体" w:cs="Times New Roman"/>
          <w:b w:val="0"/>
          <w:color w:val="auto"/>
          <w:highlight w:val="none"/>
          <w:u w:val="single"/>
        </w:rPr>
        <w:t xml:space="preserve">[工程名称] </w:t>
      </w:r>
    </w:p>
    <w:p>
      <w:pPr>
        <w:pStyle w:val="72"/>
        <w:ind w:firstLine="496"/>
        <w:rPr>
          <w:rFonts w:hint="default" w:ascii="Times New Roman" w:hAnsi="Times New Roman" w:eastAsia="宋体" w:cs="Times New Roman"/>
          <w:color w:val="auto"/>
          <w:highlight w:val="none"/>
        </w:rPr>
      </w:pPr>
    </w:p>
    <w:p>
      <w:pPr>
        <w:pStyle w:val="72"/>
        <w:ind w:firstLine="496"/>
        <w:rPr>
          <w:rFonts w:hint="default" w:ascii="Times New Roman" w:hAnsi="Times New Roman" w:eastAsia="宋体" w:cs="Times New Roman"/>
          <w:color w:val="auto"/>
          <w:highlight w:val="none"/>
        </w:rPr>
      </w:pPr>
    </w:p>
    <w:p>
      <w:pPr>
        <w:pStyle w:val="72"/>
        <w:ind w:firstLine="496"/>
        <w:rPr>
          <w:rFonts w:hint="default" w:ascii="Times New Roman" w:hAnsi="Times New Roman" w:eastAsia="宋体" w:cs="Times New Roman"/>
          <w:color w:val="auto"/>
          <w:highlight w:val="none"/>
        </w:rPr>
      </w:pPr>
    </w:p>
    <w:p>
      <w:pPr>
        <w:pStyle w:val="71"/>
        <w:rPr>
          <w:rFonts w:hint="default" w:ascii="Times New Roman" w:hAnsi="Times New Roman" w:eastAsia="宋体" w:cs="Times New Roman"/>
          <w:b w:val="0"/>
          <w:color w:val="auto"/>
          <w:highlight w:val="none"/>
        </w:rPr>
      </w:pPr>
      <w:r>
        <w:rPr>
          <w:rFonts w:hint="default" w:ascii="Times New Roman" w:hAnsi="Times New Roman" w:eastAsia="宋体" w:cs="Times New Roman"/>
          <w:b w:val="0"/>
          <w:color w:val="auto"/>
          <w:highlight w:val="none"/>
        </w:rPr>
        <w:t>投标文件</w:t>
      </w:r>
    </w:p>
    <w:p>
      <w:pPr>
        <w:pStyle w:val="106"/>
        <w:rPr>
          <w:rFonts w:hint="default" w:ascii="Times New Roman" w:hAnsi="Times New Roman" w:eastAsia="宋体" w:cs="Times New Roman"/>
          <w:b w:val="0"/>
          <w:color w:val="auto"/>
          <w:highlight w:val="none"/>
        </w:rPr>
      </w:pPr>
      <w:r>
        <w:rPr>
          <w:rFonts w:hint="default" w:ascii="Times New Roman" w:hAnsi="Times New Roman" w:eastAsia="宋体" w:cs="Times New Roman"/>
          <w:b w:val="0"/>
          <w:color w:val="auto"/>
          <w:highlight w:val="none"/>
        </w:rPr>
        <w:t>技术部分（含资格审查文件）投标文件</w:t>
      </w:r>
    </w:p>
    <w:p>
      <w:pPr>
        <w:pStyle w:val="72"/>
        <w:ind w:firstLine="496"/>
        <w:rPr>
          <w:rFonts w:hint="default" w:ascii="Times New Roman" w:hAnsi="Times New Roman" w:eastAsia="宋体" w:cs="Times New Roman"/>
          <w:color w:val="auto"/>
          <w:highlight w:val="none"/>
        </w:rPr>
      </w:pPr>
    </w:p>
    <w:p>
      <w:pPr>
        <w:pStyle w:val="72"/>
        <w:ind w:firstLine="496"/>
        <w:rPr>
          <w:rFonts w:hint="default" w:ascii="Times New Roman" w:hAnsi="Times New Roman" w:eastAsia="宋体" w:cs="Times New Roman"/>
          <w:color w:val="auto"/>
          <w:highlight w:val="none"/>
        </w:rPr>
      </w:pPr>
    </w:p>
    <w:p>
      <w:pPr>
        <w:pStyle w:val="72"/>
        <w:ind w:firstLine="496"/>
        <w:rPr>
          <w:rFonts w:hint="default" w:ascii="Times New Roman" w:hAnsi="Times New Roman" w:eastAsia="宋体" w:cs="Times New Roman"/>
          <w:color w:val="auto"/>
          <w:highlight w:val="none"/>
        </w:rPr>
      </w:pPr>
    </w:p>
    <w:p>
      <w:pPr>
        <w:pStyle w:val="129"/>
        <w:ind w:firstLine="616"/>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投标人：</w:t>
      </w:r>
      <w:r>
        <w:rPr>
          <w:rFonts w:hint="default" w:ascii="Times New Roman" w:hAnsi="Times New Roman" w:eastAsia="宋体" w:cs="Times New Roman"/>
          <w:color w:val="auto"/>
          <w:highlight w:val="none"/>
          <w:u w:val="single"/>
        </w:rPr>
        <w:t xml:space="preserve">    （填写投标人单位名称）    （盖章）</w:t>
      </w:r>
    </w:p>
    <w:p>
      <w:pPr>
        <w:pStyle w:val="129"/>
        <w:ind w:firstLine="616"/>
        <w:rPr>
          <w:rFonts w:hint="default" w:ascii="Times New Roman" w:hAnsi="Times New Roman" w:eastAsia="宋体" w:cs="Times New Roman"/>
          <w:color w:val="auto"/>
          <w:highlight w:val="none"/>
        </w:rPr>
      </w:pPr>
    </w:p>
    <w:p>
      <w:pPr>
        <w:pStyle w:val="129"/>
        <w:ind w:firstLine="616"/>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法定代表人或</w:t>
      </w:r>
    </w:p>
    <w:p>
      <w:pPr>
        <w:pStyle w:val="129"/>
        <w:ind w:firstLine="616"/>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其委托代理人：</w:t>
      </w:r>
      <w:r>
        <w:rPr>
          <w:rFonts w:hint="default" w:ascii="Times New Roman" w:hAnsi="Times New Roman" w:eastAsia="宋体" w:cs="Times New Roman"/>
          <w:color w:val="auto"/>
          <w:highlight w:val="none"/>
          <w:u w:val="single"/>
        </w:rPr>
        <w:t xml:space="preserve">                    （签名或盖章）</w:t>
      </w:r>
    </w:p>
    <w:p>
      <w:pPr>
        <w:pStyle w:val="129"/>
        <w:ind w:firstLine="616"/>
        <w:rPr>
          <w:rFonts w:hint="default" w:ascii="Times New Roman" w:hAnsi="Times New Roman" w:eastAsia="宋体" w:cs="Times New Roman"/>
          <w:color w:val="auto"/>
          <w:sz w:val="27"/>
          <w:szCs w:val="27"/>
          <w:highlight w:val="none"/>
        </w:rPr>
      </w:pPr>
      <w:r>
        <w:rPr>
          <w:rFonts w:hint="default" w:ascii="Times New Roman" w:hAnsi="Times New Roman" w:eastAsia="宋体" w:cs="Times New Roman"/>
          <w:color w:val="auto"/>
          <w:highlight w:val="none"/>
        </w:rPr>
        <w:t>日  期：</w:t>
      </w:r>
      <w:r>
        <w:rPr>
          <w:rFonts w:hint="default" w:ascii="Times New Roman" w:hAnsi="Times New Roman" w:eastAsia="宋体" w:cs="Times New Roman"/>
          <w:color w:val="auto"/>
          <w:highlight w:val="none"/>
          <w:u w:val="single"/>
        </w:rPr>
        <w:t xml:space="preserve">                                       </w:t>
      </w:r>
    </w:p>
    <w:p>
      <w:pPr>
        <w:widowControl/>
        <w:jc w:val="left"/>
        <w:rPr>
          <w:rFonts w:hint="default" w:ascii="Times New Roman" w:hAnsi="Times New Roman" w:eastAsia="宋体" w:cs="Times New Roman"/>
          <w:b/>
          <w:bCs/>
          <w:color w:val="auto"/>
          <w:spacing w:val="4"/>
          <w:kern w:val="0"/>
          <w:sz w:val="24"/>
          <w:szCs w:val="21"/>
          <w:highlight w:val="none"/>
          <w:lang w:val="zh-CN"/>
        </w:rPr>
      </w:pPr>
      <w:r>
        <w:rPr>
          <w:rFonts w:hint="default" w:ascii="Times New Roman" w:hAnsi="Times New Roman" w:eastAsia="宋体" w:cs="Times New Roman"/>
          <w:bCs/>
          <w:color w:val="auto"/>
          <w:szCs w:val="21"/>
          <w:highlight w:val="none"/>
        </w:rPr>
        <w:br w:type="page"/>
      </w:r>
    </w:p>
    <w:p>
      <w:pPr>
        <w:pStyle w:val="83"/>
        <w:spacing w:before="120" w:after="120"/>
        <w:rPr>
          <w:rFonts w:hint="default" w:ascii="Times New Roman" w:hAnsi="Times New Roman" w:eastAsia="宋体" w:cs="Times New Roman"/>
          <w:bCs/>
          <w:color w:val="auto"/>
          <w:szCs w:val="21"/>
          <w:highlight w:val="none"/>
        </w:rPr>
      </w:pPr>
      <w:bookmarkStart w:id="62" w:name="_Toc22686"/>
      <w:bookmarkStart w:id="63" w:name="_Toc21020"/>
      <w:r>
        <w:rPr>
          <w:rFonts w:hint="default" w:ascii="Times New Roman" w:hAnsi="Times New Roman" w:eastAsia="宋体" w:cs="Times New Roman"/>
          <w:bCs/>
          <w:color w:val="auto"/>
          <w:szCs w:val="21"/>
          <w:highlight w:val="none"/>
        </w:rPr>
        <w:t>技术部分格式2：</w:t>
      </w:r>
      <w:bookmarkEnd w:id="62"/>
      <w:bookmarkEnd w:id="63"/>
    </w:p>
    <w:p>
      <w:pPr>
        <w:spacing w:line="360" w:lineRule="auto"/>
        <w:jc w:val="center"/>
        <w:rPr>
          <w:rFonts w:hint="default" w:ascii="Times New Roman" w:hAnsi="Times New Roman" w:eastAsia="宋体" w:cs="Times New Roman"/>
          <w:b/>
          <w:bCs/>
          <w:color w:val="auto"/>
          <w:sz w:val="44"/>
          <w:szCs w:val="44"/>
          <w:highlight w:val="none"/>
        </w:rPr>
      </w:pPr>
      <w:r>
        <w:rPr>
          <w:rFonts w:hint="default" w:ascii="Times New Roman" w:hAnsi="Times New Roman" w:eastAsia="宋体" w:cs="Times New Roman"/>
          <w:b/>
          <w:color w:val="auto"/>
          <w:sz w:val="32"/>
          <w:szCs w:val="32"/>
          <w:highlight w:val="none"/>
          <w:lang w:val="zh-CN"/>
        </w:rPr>
        <w:t>资格审查文件</w:t>
      </w:r>
      <w:r>
        <w:rPr>
          <w:rFonts w:hint="default" w:ascii="Times New Roman" w:hAnsi="Times New Roman" w:eastAsia="宋体" w:cs="Times New Roman"/>
          <w:b/>
          <w:color w:val="auto"/>
          <w:sz w:val="32"/>
          <w:szCs w:val="32"/>
          <w:highlight w:val="none"/>
        </w:rPr>
        <w:t>部分</w:t>
      </w:r>
    </w:p>
    <w:p>
      <w:pPr>
        <w:keepNext w:val="0"/>
        <w:keepLines w:val="0"/>
        <w:pageBreakBefore w:val="0"/>
        <w:widowControl/>
        <w:kinsoku/>
        <w:wordWrap/>
        <w:overflowPunct/>
        <w:topLinePunct w:val="0"/>
        <w:autoSpaceDE/>
        <w:autoSpaceDN/>
        <w:bidi w:val="0"/>
        <w:adjustRightInd/>
        <w:snapToGrid/>
        <w:spacing w:line="360" w:lineRule="auto"/>
        <w:ind w:right="0" w:firstLine="440" w:firstLineChars="20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投标人编制资格审查文件须包含以下内容（以下条款招标文件未提供的格式，投标人可格式自拟）：</w:t>
      </w:r>
    </w:p>
    <w:p>
      <w:pPr>
        <w:pStyle w:val="11"/>
        <w:keepNext w:val="0"/>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default" w:ascii="Times New Roman" w:hAnsi="Times New Roman" w:eastAsia="宋体" w:cs="Times New Roman"/>
          <w:b w:val="0"/>
          <w:bCs w:val="0"/>
          <w:color w:val="auto"/>
          <w:sz w:val="22"/>
          <w:szCs w:val="22"/>
          <w:highlight w:val="none"/>
          <w:u w:val="none"/>
        </w:rPr>
      </w:pPr>
      <w:r>
        <w:rPr>
          <w:rFonts w:hint="default" w:ascii="Times New Roman" w:hAnsi="Times New Roman" w:eastAsia="宋体" w:cs="Times New Roman"/>
          <w:b w:val="0"/>
          <w:bCs w:val="0"/>
          <w:color w:val="auto"/>
          <w:sz w:val="22"/>
          <w:szCs w:val="22"/>
          <w:highlight w:val="none"/>
          <w:u w:val="none"/>
        </w:rPr>
        <w:t>（1）投标人声明（见招标公告附件一）；</w:t>
      </w:r>
    </w:p>
    <w:p>
      <w:pPr>
        <w:pStyle w:val="11"/>
        <w:keepNext w:val="0"/>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default" w:ascii="Times New Roman" w:hAnsi="Times New Roman" w:eastAsia="宋体" w:cs="Times New Roman"/>
          <w:b w:val="0"/>
          <w:bCs w:val="0"/>
          <w:color w:val="auto"/>
          <w:sz w:val="22"/>
          <w:szCs w:val="22"/>
          <w:highlight w:val="none"/>
          <w:u w:val="none"/>
        </w:rPr>
      </w:pPr>
      <w:r>
        <w:rPr>
          <w:rFonts w:hint="default" w:ascii="Times New Roman" w:hAnsi="Times New Roman" w:eastAsia="宋体" w:cs="Times New Roman"/>
          <w:b w:val="0"/>
          <w:bCs w:val="0"/>
          <w:color w:val="auto"/>
          <w:sz w:val="22"/>
          <w:szCs w:val="22"/>
          <w:highlight w:val="none"/>
          <w:u w:val="none"/>
        </w:rPr>
        <w:t>（2）经投标人盖章的法定代表人证明书、投标人盖章及法定代表人签字或盖章的本投标文件授权委托证明书；</w:t>
      </w:r>
    </w:p>
    <w:p>
      <w:pPr>
        <w:pStyle w:val="11"/>
        <w:keepNext w:val="0"/>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default" w:ascii="Times New Roman" w:hAnsi="Times New Roman" w:eastAsia="宋体" w:cs="Times New Roman"/>
          <w:b w:val="0"/>
          <w:bCs w:val="0"/>
          <w:color w:val="auto"/>
          <w:sz w:val="22"/>
          <w:szCs w:val="22"/>
          <w:highlight w:val="none"/>
          <w:u w:val="none"/>
        </w:rPr>
      </w:pPr>
      <w:r>
        <w:rPr>
          <w:rFonts w:hint="default" w:ascii="Times New Roman" w:hAnsi="Times New Roman" w:eastAsia="宋体" w:cs="Times New Roman"/>
          <w:b w:val="0"/>
          <w:bCs w:val="0"/>
          <w:color w:val="auto"/>
          <w:sz w:val="22"/>
          <w:szCs w:val="22"/>
          <w:highlight w:val="none"/>
          <w:u w:val="none"/>
        </w:rPr>
        <w:t>（3）企业营业执照</w:t>
      </w:r>
      <w:r>
        <w:rPr>
          <w:rFonts w:hint="default" w:ascii="Times New Roman" w:hAnsi="Times New Roman" w:eastAsia="宋体" w:cs="Times New Roman"/>
          <w:b w:val="0"/>
          <w:bCs w:val="0"/>
          <w:color w:val="auto"/>
          <w:sz w:val="22"/>
          <w:szCs w:val="22"/>
          <w:highlight w:val="none"/>
          <w:u w:val="none"/>
          <w:lang w:val="en-US" w:eastAsia="zh-CN"/>
        </w:rPr>
        <w:t>扫描件</w:t>
      </w:r>
      <w:r>
        <w:rPr>
          <w:rFonts w:hint="default" w:ascii="Times New Roman" w:hAnsi="Times New Roman" w:eastAsia="宋体" w:cs="Times New Roman"/>
          <w:b w:val="0"/>
          <w:bCs w:val="0"/>
          <w:color w:val="auto"/>
          <w:sz w:val="22"/>
          <w:szCs w:val="22"/>
          <w:highlight w:val="none"/>
          <w:u w:val="none"/>
        </w:rPr>
        <w:t>；</w:t>
      </w:r>
    </w:p>
    <w:p>
      <w:pPr>
        <w:pStyle w:val="11"/>
        <w:keepNext w:val="0"/>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default" w:ascii="Times New Roman" w:hAnsi="Times New Roman" w:eastAsia="宋体" w:cs="Times New Roman"/>
          <w:b w:val="0"/>
          <w:bCs w:val="0"/>
          <w:color w:val="auto"/>
          <w:sz w:val="22"/>
          <w:szCs w:val="22"/>
          <w:highlight w:val="none"/>
          <w:u w:val="none"/>
        </w:rPr>
      </w:pPr>
      <w:r>
        <w:rPr>
          <w:rFonts w:hint="default" w:ascii="Times New Roman" w:hAnsi="Times New Roman" w:eastAsia="宋体" w:cs="Times New Roman"/>
          <w:b w:val="0"/>
          <w:bCs w:val="0"/>
          <w:color w:val="auto"/>
          <w:sz w:val="22"/>
          <w:szCs w:val="22"/>
          <w:highlight w:val="none"/>
          <w:u w:val="none"/>
        </w:rPr>
        <w:t>（4）企业资质证书</w:t>
      </w:r>
      <w:r>
        <w:rPr>
          <w:rFonts w:hint="default" w:ascii="Times New Roman" w:hAnsi="Times New Roman" w:eastAsia="宋体" w:cs="Times New Roman"/>
          <w:b w:val="0"/>
          <w:bCs w:val="0"/>
          <w:color w:val="auto"/>
          <w:sz w:val="22"/>
          <w:szCs w:val="22"/>
          <w:highlight w:val="none"/>
          <w:u w:val="none"/>
          <w:lang w:val="en-US" w:eastAsia="zh-CN"/>
        </w:rPr>
        <w:t>扫描件</w:t>
      </w:r>
      <w:r>
        <w:rPr>
          <w:rFonts w:hint="default" w:ascii="Times New Roman" w:hAnsi="Times New Roman" w:eastAsia="宋体" w:cs="Times New Roman"/>
          <w:b w:val="0"/>
          <w:bCs w:val="0"/>
          <w:color w:val="auto"/>
          <w:sz w:val="22"/>
          <w:szCs w:val="22"/>
          <w:highlight w:val="none"/>
          <w:u w:val="none"/>
        </w:rPr>
        <w:t>；</w:t>
      </w:r>
    </w:p>
    <w:p>
      <w:pPr>
        <w:pStyle w:val="11"/>
        <w:keepNext w:val="0"/>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default" w:ascii="Times New Roman" w:hAnsi="Times New Roman" w:eastAsia="宋体" w:cs="Times New Roman"/>
          <w:b w:val="0"/>
          <w:bCs w:val="0"/>
          <w:color w:val="auto"/>
          <w:sz w:val="22"/>
          <w:szCs w:val="22"/>
          <w:highlight w:val="none"/>
          <w:u w:val="none"/>
        </w:rPr>
      </w:pPr>
      <w:r>
        <w:rPr>
          <w:rFonts w:hint="default" w:ascii="Times New Roman" w:hAnsi="Times New Roman" w:eastAsia="宋体" w:cs="Times New Roman"/>
          <w:b w:val="0"/>
          <w:bCs w:val="0"/>
          <w:color w:val="auto"/>
          <w:sz w:val="22"/>
          <w:szCs w:val="22"/>
          <w:highlight w:val="none"/>
          <w:u w:val="none"/>
        </w:rPr>
        <w:t>（5）建筑施工企业安全生产许可证</w:t>
      </w:r>
      <w:r>
        <w:rPr>
          <w:rFonts w:hint="default" w:ascii="Times New Roman" w:hAnsi="Times New Roman" w:eastAsia="宋体" w:cs="Times New Roman"/>
          <w:b w:val="0"/>
          <w:bCs w:val="0"/>
          <w:color w:val="auto"/>
          <w:sz w:val="22"/>
          <w:szCs w:val="22"/>
          <w:highlight w:val="none"/>
          <w:u w:val="none"/>
          <w:lang w:val="en-US" w:eastAsia="zh-CN"/>
        </w:rPr>
        <w:t>扫描件</w:t>
      </w:r>
      <w:r>
        <w:rPr>
          <w:rFonts w:hint="default" w:ascii="Times New Roman" w:hAnsi="Times New Roman" w:eastAsia="宋体" w:cs="Times New Roman"/>
          <w:b w:val="0"/>
          <w:bCs w:val="0"/>
          <w:color w:val="auto"/>
          <w:sz w:val="22"/>
          <w:szCs w:val="22"/>
          <w:highlight w:val="none"/>
          <w:u w:val="none"/>
        </w:rPr>
        <w:t>；</w:t>
      </w:r>
    </w:p>
    <w:p>
      <w:pPr>
        <w:pStyle w:val="11"/>
        <w:keepNext w:val="0"/>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default" w:ascii="Times New Roman" w:hAnsi="Times New Roman" w:eastAsia="宋体" w:cs="Times New Roman"/>
          <w:b w:val="0"/>
          <w:bCs w:val="0"/>
          <w:color w:val="auto"/>
          <w:sz w:val="22"/>
          <w:szCs w:val="22"/>
          <w:highlight w:val="none"/>
          <w:u w:val="none"/>
        </w:rPr>
      </w:pPr>
      <w:r>
        <w:rPr>
          <w:rFonts w:hint="default" w:ascii="Times New Roman" w:hAnsi="Times New Roman" w:eastAsia="宋体" w:cs="Times New Roman"/>
          <w:b w:val="0"/>
          <w:bCs w:val="0"/>
          <w:color w:val="auto"/>
          <w:sz w:val="22"/>
          <w:szCs w:val="22"/>
          <w:highlight w:val="none"/>
          <w:u w:val="none"/>
        </w:rPr>
        <w:t>（6）项目负责人（按网上投标登记时选择拟投标的项目负责人）；</w:t>
      </w:r>
    </w:p>
    <w:p>
      <w:pPr>
        <w:pStyle w:val="11"/>
        <w:keepNext w:val="0"/>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default" w:ascii="Times New Roman" w:hAnsi="Times New Roman" w:eastAsia="宋体" w:cs="Times New Roman"/>
          <w:b w:val="0"/>
          <w:bCs w:val="0"/>
          <w:color w:val="auto"/>
          <w:sz w:val="22"/>
          <w:szCs w:val="22"/>
          <w:highlight w:val="none"/>
          <w:u w:val="none"/>
        </w:rPr>
      </w:pPr>
      <w:r>
        <w:rPr>
          <w:rFonts w:hint="default" w:ascii="Times New Roman" w:hAnsi="Times New Roman" w:eastAsia="宋体" w:cs="Times New Roman"/>
          <w:b w:val="0"/>
          <w:bCs w:val="0"/>
          <w:color w:val="auto"/>
          <w:sz w:val="22"/>
          <w:szCs w:val="22"/>
          <w:highlight w:val="none"/>
          <w:u w:val="none"/>
        </w:rPr>
        <w:t>（7）专职安全员（按网上投标登记时选择拟投标的专职安全员）；</w:t>
      </w:r>
    </w:p>
    <w:p>
      <w:pPr>
        <w:pStyle w:val="11"/>
        <w:keepNext w:val="0"/>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default" w:ascii="Times New Roman" w:hAnsi="Times New Roman" w:eastAsia="宋体" w:cs="Times New Roman"/>
          <w:b w:val="0"/>
          <w:bCs w:val="0"/>
          <w:color w:val="auto"/>
          <w:sz w:val="22"/>
          <w:szCs w:val="22"/>
          <w:highlight w:val="none"/>
          <w:u w:val="none"/>
        </w:rPr>
      </w:pPr>
      <w:r>
        <w:rPr>
          <w:rFonts w:hint="default" w:ascii="Times New Roman" w:hAnsi="Times New Roman" w:eastAsia="宋体" w:cs="Times New Roman"/>
          <w:b w:val="0"/>
          <w:bCs w:val="0"/>
          <w:color w:val="auto"/>
          <w:sz w:val="22"/>
          <w:szCs w:val="22"/>
          <w:highlight w:val="none"/>
          <w:u w:val="none"/>
        </w:rPr>
        <w:t>（8）拟委派技术负责人的职称证书（提交扫描件）（按招标公告要求）；</w:t>
      </w:r>
    </w:p>
    <w:p>
      <w:pPr>
        <w:pStyle w:val="11"/>
        <w:keepNext w:val="0"/>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default" w:ascii="Times New Roman" w:hAnsi="Times New Roman" w:eastAsia="宋体" w:cs="Times New Roman"/>
          <w:b w:val="0"/>
          <w:bCs w:val="0"/>
          <w:color w:val="auto"/>
          <w:sz w:val="22"/>
          <w:szCs w:val="22"/>
          <w:highlight w:val="none"/>
          <w:u w:val="none"/>
        </w:rPr>
      </w:pPr>
      <w:r>
        <w:rPr>
          <w:rFonts w:hint="default" w:ascii="Times New Roman" w:hAnsi="Times New Roman" w:eastAsia="宋体" w:cs="Times New Roman"/>
          <w:b w:val="0"/>
          <w:bCs w:val="0"/>
          <w:color w:val="auto"/>
          <w:sz w:val="22"/>
          <w:szCs w:val="22"/>
          <w:highlight w:val="none"/>
          <w:u w:val="none"/>
        </w:rPr>
        <w:t>（9）拟委派项目负责人的建造师注册证书</w:t>
      </w:r>
      <w:r>
        <w:rPr>
          <w:rFonts w:hint="default" w:ascii="Times New Roman" w:hAnsi="Times New Roman" w:eastAsia="宋体" w:cs="Times New Roman"/>
          <w:b w:val="0"/>
          <w:bCs w:val="0"/>
          <w:color w:val="auto"/>
          <w:sz w:val="22"/>
          <w:szCs w:val="22"/>
          <w:highlight w:val="none"/>
          <w:u w:val="none"/>
          <w:lang w:val="en-US" w:eastAsia="zh-CN"/>
        </w:rPr>
        <w:t>扫描件</w:t>
      </w:r>
      <w:r>
        <w:rPr>
          <w:rFonts w:hint="default" w:ascii="Times New Roman" w:hAnsi="Times New Roman" w:eastAsia="宋体" w:cs="Times New Roman"/>
          <w:b w:val="0"/>
          <w:bCs w:val="0"/>
          <w:color w:val="auto"/>
          <w:sz w:val="22"/>
          <w:szCs w:val="22"/>
          <w:highlight w:val="none"/>
          <w:u w:val="none"/>
        </w:rPr>
        <w:t>；</w:t>
      </w:r>
    </w:p>
    <w:p>
      <w:pPr>
        <w:pStyle w:val="11"/>
        <w:keepNext w:val="0"/>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default" w:ascii="Times New Roman" w:hAnsi="Times New Roman" w:eastAsia="宋体" w:cs="Times New Roman"/>
          <w:b w:val="0"/>
          <w:bCs w:val="0"/>
          <w:color w:val="auto"/>
          <w:sz w:val="22"/>
          <w:szCs w:val="22"/>
          <w:highlight w:val="none"/>
          <w:u w:val="none"/>
        </w:rPr>
      </w:pPr>
      <w:r>
        <w:rPr>
          <w:rFonts w:hint="default" w:ascii="Times New Roman" w:hAnsi="Times New Roman" w:eastAsia="宋体" w:cs="Times New Roman"/>
          <w:b w:val="0"/>
          <w:bCs w:val="0"/>
          <w:color w:val="auto"/>
          <w:sz w:val="22"/>
          <w:szCs w:val="22"/>
          <w:highlight w:val="none"/>
          <w:u w:val="none"/>
        </w:rPr>
        <w:t>（10）项目负责人安全生产考核合格证明或在有效期内的安全考核合格证书（B类）或建筑施工企业项目负责人安全生产考核合格证书</w:t>
      </w:r>
      <w:r>
        <w:rPr>
          <w:rFonts w:hint="default" w:ascii="Times New Roman" w:hAnsi="Times New Roman" w:eastAsia="宋体" w:cs="Times New Roman"/>
          <w:b w:val="0"/>
          <w:bCs w:val="0"/>
          <w:color w:val="auto"/>
          <w:sz w:val="22"/>
          <w:szCs w:val="22"/>
          <w:highlight w:val="none"/>
          <w:u w:val="none"/>
          <w:lang w:val="en-US" w:eastAsia="zh-CN"/>
        </w:rPr>
        <w:t>扫描件</w:t>
      </w:r>
      <w:r>
        <w:rPr>
          <w:rFonts w:hint="default" w:ascii="Times New Roman" w:hAnsi="Times New Roman" w:eastAsia="宋体" w:cs="Times New Roman"/>
          <w:b w:val="0"/>
          <w:bCs w:val="0"/>
          <w:color w:val="auto"/>
          <w:sz w:val="22"/>
          <w:szCs w:val="22"/>
          <w:highlight w:val="none"/>
          <w:u w:val="none"/>
        </w:rPr>
        <w:t>；</w:t>
      </w:r>
    </w:p>
    <w:p>
      <w:pPr>
        <w:pStyle w:val="11"/>
        <w:keepNext w:val="0"/>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default" w:ascii="Times New Roman" w:hAnsi="Times New Roman" w:eastAsia="宋体" w:cs="Times New Roman"/>
          <w:b w:val="0"/>
          <w:bCs w:val="0"/>
          <w:color w:val="auto"/>
          <w:sz w:val="22"/>
          <w:szCs w:val="22"/>
          <w:highlight w:val="none"/>
          <w:u w:val="none"/>
        </w:rPr>
      </w:pPr>
      <w:r>
        <w:rPr>
          <w:rFonts w:hint="default" w:ascii="Times New Roman" w:hAnsi="Times New Roman" w:eastAsia="宋体" w:cs="Times New Roman"/>
          <w:b w:val="0"/>
          <w:bCs w:val="0"/>
          <w:color w:val="auto"/>
          <w:sz w:val="22"/>
          <w:szCs w:val="22"/>
          <w:highlight w:val="none"/>
          <w:u w:val="none"/>
        </w:rPr>
        <w:t>（11）专职安全员须具有在有效期内的安全考核合格证书（C类）或建筑施工企业专职安全生产管理人员安全生产考核合格证书（C3类）</w:t>
      </w:r>
      <w:r>
        <w:rPr>
          <w:rFonts w:hint="default" w:ascii="Times New Roman" w:hAnsi="Times New Roman" w:eastAsia="宋体" w:cs="Times New Roman"/>
          <w:b w:val="0"/>
          <w:bCs w:val="0"/>
          <w:color w:val="auto"/>
          <w:sz w:val="22"/>
          <w:szCs w:val="22"/>
          <w:highlight w:val="none"/>
          <w:u w:val="none"/>
          <w:lang w:val="en-US" w:eastAsia="zh-CN"/>
        </w:rPr>
        <w:t>扫描件</w:t>
      </w:r>
      <w:r>
        <w:rPr>
          <w:rFonts w:hint="default" w:ascii="Times New Roman" w:hAnsi="Times New Roman" w:eastAsia="宋体" w:cs="Times New Roman"/>
          <w:b w:val="0"/>
          <w:bCs w:val="0"/>
          <w:color w:val="auto"/>
          <w:sz w:val="22"/>
          <w:szCs w:val="22"/>
          <w:highlight w:val="none"/>
          <w:u w:val="none"/>
        </w:rPr>
        <w:t>，项目负责人和专职安全员不为同一人；</w:t>
      </w:r>
    </w:p>
    <w:p>
      <w:pPr>
        <w:pStyle w:val="11"/>
        <w:keepNext w:val="0"/>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default" w:ascii="Times New Roman" w:hAnsi="Times New Roman" w:eastAsia="宋体" w:cs="Times New Roman"/>
          <w:b w:val="0"/>
          <w:bCs w:val="0"/>
          <w:color w:val="auto"/>
          <w:sz w:val="22"/>
          <w:szCs w:val="22"/>
          <w:highlight w:val="none"/>
          <w:u w:val="none"/>
        </w:rPr>
      </w:pPr>
      <w:r>
        <w:rPr>
          <w:rFonts w:hint="default" w:ascii="Times New Roman" w:hAnsi="Times New Roman" w:eastAsia="宋体" w:cs="Times New Roman"/>
          <w:b w:val="0"/>
          <w:bCs w:val="0"/>
          <w:color w:val="auto"/>
          <w:sz w:val="22"/>
          <w:szCs w:val="22"/>
          <w:highlight w:val="none"/>
          <w:u w:val="none"/>
        </w:rPr>
        <w:t>（12）资格审查前，投标人须在</w:t>
      </w:r>
      <w:r>
        <w:rPr>
          <w:rFonts w:hint="default" w:ascii="Times New Roman" w:hAnsi="Times New Roman" w:eastAsia="宋体" w:cs="Times New Roman"/>
          <w:b w:val="0"/>
          <w:bCs w:val="0"/>
          <w:color w:val="auto"/>
          <w:sz w:val="22"/>
          <w:szCs w:val="22"/>
          <w:highlight w:val="none"/>
          <w:u w:val="none"/>
          <w:lang w:val="en-US" w:eastAsia="zh-CN"/>
        </w:rPr>
        <w:t>广州公共资源交易中心办理企业信息登记</w:t>
      </w:r>
      <w:r>
        <w:rPr>
          <w:rFonts w:hint="default" w:ascii="Times New Roman" w:hAnsi="Times New Roman" w:eastAsia="宋体" w:cs="Times New Roman"/>
          <w:b w:val="0"/>
          <w:bCs w:val="0"/>
          <w:color w:val="auto"/>
          <w:sz w:val="22"/>
          <w:szCs w:val="22"/>
          <w:highlight w:val="none"/>
          <w:u w:val="none"/>
        </w:rPr>
        <w:t>及拟担任本工程项目负责人、专职安全员须是本企业</w:t>
      </w:r>
      <w:r>
        <w:rPr>
          <w:rFonts w:hint="default" w:ascii="Times New Roman" w:hAnsi="Times New Roman" w:eastAsia="宋体" w:cs="Times New Roman"/>
          <w:b w:val="0"/>
          <w:bCs w:val="0"/>
          <w:color w:val="auto"/>
          <w:sz w:val="22"/>
          <w:szCs w:val="22"/>
          <w:highlight w:val="none"/>
          <w:u w:val="none"/>
          <w:lang w:val="en-US" w:eastAsia="zh-CN"/>
        </w:rPr>
        <w:t>信息登记</w:t>
      </w:r>
      <w:r>
        <w:rPr>
          <w:rFonts w:hint="default" w:ascii="Times New Roman" w:hAnsi="Times New Roman" w:eastAsia="宋体" w:cs="Times New Roman"/>
          <w:b w:val="0"/>
          <w:bCs w:val="0"/>
          <w:color w:val="auto"/>
          <w:sz w:val="22"/>
          <w:szCs w:val="22"/>
          <w:highlight w:val="none"/>
          <w:u w:val="none"/>
        </w:rPr>
        <w:t>中的在册人员。企业</w:t>
      </w:r>
      <w:r>
        <w:rPr>
          <w:rFonts w:hint="default" w:ascii="Times New Roman" w:hAnsi="Times New Roman" w:eastAsia="宋体" w:cs="Times New Roman"/>
          <w:b w:val="0"/>
          <w:bCs w:val="0"/>
          <w:color w:val="auto"/>
          <w:sz w:val="22"/>
          <w:szCs w:val="22"/>
          <w:highlight w:val="none"/>
          <w:u w:val="none"/>
          <w:lang w:val="en-US" w:eastAsia="zh-CN"/>
        </w:rPr>
        <w:t>信息</w:t>
      </w:r>
      <w:r>
        <w:rPr>
          <w:rFonts w:hint="default" w:ascii="Times New Roman" w:hAnsi="Times New Roman" w:eastAsia="宋体" w:cs="Times New Roman"/>
          <w:b w:val="0"/>
          <w:bCs w:val="0"/>
          <w:color w:val="auto"/>
          <w:sz w:val="22"/>
          <w:szCs w:val="22"/>
          <w:highlight w:val="none"/>
          <w:u w:val="none"/>
        </w:rPr>
        <w:t>取自投标截止时间投标人在企业</w:t>
      </w:r>
      <w:r>
        <w:rPr>
          <w:rFonts w:hint="default" w:ascii="Times New Roman" w:hAnsi="Times New Roman" w:eastAsia="宋体" w:cs="Times New Roman"/>
          <w:b w:val="0"/>
          <w:bCs w:val="0"/>
          <w:color w:val="auto"/>
          <w:sz w:val="22"/>
          <w:szCs w:val="22"/>
          <w:highlight w:val="none"/>
          <w:u w:val="none"/>
          <w:lang w:val="en-US" w:eastAsia="zh-CN"/>
        </w:rPr>
        <w:t>信息库内</w:t>
      </w:r>
      <w:r>
        <w:rPr>
          <w:rFonts w:hint="default" w:ascii="Times New Roman" w:hAnsi="Times New Roman" w:eastAsia="宋体" w:cs="Times New Roman"/>
          <w:b w:val="0"/>
          <w:bCs w:val="0"/>
          <w:color w:val="auto"/>
          <w:sz w:val="22"/>
          <w:szCs w:val="22"/>
          <w:highlight w:val="none"/>
          <w:u w:val="none"/>
        </w:rPr>
        <w:t>的信息，投标人无需提交相关资料，若招标人延长递交投标文件截止时间的，企业</w:t>
      </w:r>
      <w:r>
        <w:rPr>
          <w:rFonts w:hint="default" w:ascii="Times New Roman" w:hAnsi="Times New Roman" w:eastAsia="宋体" w:cs="Times New Roman"/>
          <w:b w:val="0"/>
          <w:bCs w:val="0"/>
          <w:color w:val="auto"/>
          <w:sz w:val="22"/>
          <w:szCs w:val="22"/>
          <w:highlight w:val="none"/>
          <w:u w:val="none"/>
          <w:lang w:val="en-US" w:eastAsia="zh-CN"/>
        </w:rPr>
        <w:t>信息</w:t>
      </w:r>
      <w:r>
        <w:rPr>
          <w:rFonts w:hint="default" w:ascii="Times New Roman" w:hAnsi="Times New Roman" w:eastAsia="宋体" w:cs="Times New Roman"/>
          <w:b w:val="0"/>
          <w:bCs w:val="0"/>
          <w:color w:val="auto"/>
          <w:sz w:val="22"/>
          <w:szCs w:val="22"/>
          <w:highlight w:val="none"/>
          <w:u w:val="none"/>
        </w:rPr>
        <w:t>的评审时点也相应延长</w:t>
      </w:r>
      <w:r>
        <w:rPr>
          <w:rFonts w:hint="default" w:ascii="Times New Roman" w:hAnsi="Times New Roman" w:eastAsia="宋体" w:cs="Times New Roman"/>
          <w:b w:val="0"/>
          <w:bCs w:val="0"/>
          <w:color w:val="auto"/>
          <w:sz w:val="22"/>
          <w:szCs w:val="22"/>
          <w:highlight w:val="none"/>
          <w:u w:val="none"/>
          <w:lang w:eastAsia="zh-CN"/>
        </w:rPr>
        <w:t>。</w:t>
      </w:r>
    </w:p>
    <w:p>
      <w:pPr>
        <w:pStyle w:val="11"/>
        <w:keepNext w:val="0"/>
        <w:keepLines w:val="0"/>
        <w:pageBreakBefore w:val="0"/>
        <w:kinsoku/>
        <w:wordWrap/>
        <w:overflowPunct/>
        <w:topLinePunct w:val="0"/>
        <w:autoSpaceDE/>
        <w:autoSpaceDN/>
        <w:bidi w:val="0"/>
        <w:adjustRightInd/>
        <w:snapToGrid/>
        <w:spacing w:line="360" w:lineRule="auto"/>
        <w:ind w:right="0" w:firstLine="440" w:firstLineChars="200"/>
        <w:textAlignment w:val="auto"/>
        <w:rPr>
          <w:rFonts w:hint="default" w:ascii="Times New Roman" w:hAnsi="Times New Roman" w:eastAsia="宋体" w:cs="Times New Roman"/>
          <w:b w:val="0"/>
          <w:bCs w:val="0"/>
          <w:color w:val="auto"/>
          <w:sz w:val="22"/>
          <w:szCs w:val="22"/>
          <w:highlight w:val="none"/>
          <w:u w:val="none"/>
        </w:rPr>
      </w:pPr>
      <w:r>
        <w:rPr>
          <w:rFonts w:hint="default" w:ascii="Times New Roman" w:hAnsi="Times New Roman" w:eastAsia="宋体" w:cs="Times New Roman"/>
          <w:b w:val="0"/>
          <w:bCs w:val="0"/>
          <w:color w:val="auto"/>
          <w:sz w:val="22"/>
          <w:szCs w:val="22"/>
          <w:highlight w:val="none"/>
          <w:u w:val="none"/>
        </w:rPr>
        <w:t>（13）投标人认为应提供的其他满足资格审查合格条件的证明材料。</w:t>
      </w:r>
    </w:p>
    <w:bookmarkEnd w:id="54"/>
    <w:bookmarkEnd w:id="55"/>
    <w:p>
      <w:pPr>
        <w:widowControl/>
        <w:jc w:val="left"/>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br w:type="page"/>
      </w:r>
    </w:p>
    <w:p>
      <w:pPr>
        <w:topLinePunct/>
        <w:adjustRightInd w:val="0"/>
        <w:snapToGrid w:val="0"/>
        <w:spacing w:line="360" w:lineRule="auto"/>
        <w:ind w:firstLine="482" w:firstLineChars="200"/>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技术部分格式3：</w:t>
      </w:r>
    </w:p>
    <w:p>
      <w:pPr>
        <w:pStyle w:val="11"/>
        <w:rPr>
          <w:rFonts w:hint="default" w:ascii="Times New Roman" w:hAnsi="Times New Roman" w:eastAsia="宋体" w:cs="Times New Roman"/>
          <w:b/>
          <w:color w:val="auto"/>
          <w:sz w:val="24"/>
          <w:szCs w:val="24"/>
          <w:highlight w:val="none"/>
          <w:lang w:val="en-US"/>
        </w:rPr>
      </w:pPr>
    </w:p>
    <w:p>
      <w:pPr>
        <w:rPr>
          <w:rFonts w:hint="default" w:ascii="Times New Roman" w:hAnsi="Times New Roman" w:eastAsia="宋体" w:cs="Times New Roman"/>
          <w:color w:val="auto"/>
          <w:highlight w:val="none"/>
        </w:rPr>
      </w:pPr>
    </w:p>
    <w:p>
      <w:pPr>
        <w:autoSpaceDE w:val="0"/>
        <w:autoSpaceDN w:val="0"/>
        <w:adjustRightInd w:val="0"/>
        <w:ind w:left="-178" w:leftChars="-85"/>
        <w:jc w:val="center"/>
        <w:rPr>
          <w:rFonts w:hint="default" w:ascii="Times New Roman" w:hAnsi="Times New Roman" w:eastAsia="宋体" w:cs="Times New Roman"/>
          <w:b/>
          <w:bCs/>
          <w:color w:val="auto"/>
          <w:sz w:val="52"/>
          <w:szCs w:val="52"/>
          <w:highlight w:val="none"/>
        </w:rPr>
      </w:pPr>
      <w:r>
        <w:rPr>
          <w:rFonts w:hint="default" w:ascii="Times New Roman" w:hAnsi="Times New Roman" w:eastAsia="宋体" w:cs="Times New Roman"/>
          <w:b/>
          <w:bCs/>
          <w:color w:val="auto"/>
          <w:sz w:val="44"/>
          <w:szCs w:val="44"/>
          <w:highlight w:val="none"/>
          <w:lang w:val="zh-CN"/>
        </w:rPr>
        <w:t>广州建设工程施工招标投标书</w:t>
      </w:r>
    </w:p>
    <w:p>
      <w:pPr>
        <w:ind w:right="560"/>
        <w:jc w:val="center"/>
        <w:rPr>
          <w:rFonts w:hint="default" w:ascii="Times New Roman" w:hAnsi="Times New Roman" w:eastAsia="宋体" w:cs="Times New Roman"/>
          <w:b/>
          <w:color w:val="auto"/>
          <w:sz w:val="28"/>
          <w:szCs w:val="28"/>
          <w:highlight w:val="none"/>
          <w:lang w:val="zh-CN"/>
        </w:rPr>
      </w:pPr>
    </w:p>
    <w:tbl>
      <w:tblPr>
        <w:tblStyle w:val="49"/>
        <w:tblpPr w:leftFromText="180" w:rightFromText="180" w:vertAnchor="text" w:horzAnchor="margin" w:tblpXSpec="center" w:tblpY="275"/>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6"/>
        <w:gridCol w:w="4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428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
                <w:color w:val="auto"/>
                <w:sz w:val="24"/>
                <w:szCs w:val="24"/>
                <w:highlight w:val="none"/>
                <w:lang w:val="zh-CN"/>
              </w:rPr>
              <w:t>工 程 名 称</w:t>
            </w:r>
          </w:p>
        </w:tc>
        <w:tc>
          <w:tcPr>
            <w:tcW w:w="42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default" w:ascii="Times New Roman" w:hAnsi="Times New Roman" w:eastAsia="宋体" w:cs="Times New Roman"/>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428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b/>
                <w:color w:val="auto"/>
                <w:sz w:val="24"/>
                <w:szCs w:val="24"/>
                <w:highlight w:val="none"/>
                <w:lang w:val="zh-CN"/>
              </w:rPr>
              <w:t>投标总报价（元）</w:t>
            </w:r>
          </w:p>
        </w:tc>
        <w:tc>
          <w:tcPr>
            <w:tcW w:w="421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default" w:ascii="Times New Roman" w:hAnsi="Times New Roman" w:eastAsia="宋体" w:cs="Times New Roman"/>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428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b/>
                <w:color w:val="auto"/>
                <w:sz w:val="24"/>
                <w:szCs w:val="24"/>
                <w:highlight w:val="none"/>
                <w:lang w:val="zh-CN"/>
              </w:rPr>
              <w:t>其中：</w:t>
            </w:r>
            <w:r>
              <w:rPr>
                <w:rFonts w:hint="default" w:ascii="Times New Roman" w:hAnsi="Times New Roman" w:eastAsia="宋体" w:cs="Times New Roman"/>
                <w:b/>
                <w:bCs/>
                <w:color w:val="auto"/>
                <w:sz w:val="24"/>
                <w:szCs w:val="24"/>
                <w:highlight w:val="none"/>
                <w:lang w:val="zh-CN"/>
              </w:rPr>
              <w:t>人工费</w:t>
            </w:r>
            <w:r>
              <w:rPr>
                <w:rFonts w:hint="default" w:ascii="Times New Roman" w:hAnsi="Times New Roman" w:eastAsia="宋体" w:cs="Times New Roman"/>
                <w:b/>
                <w:color w:val="auto"/>
                <w:sz w:val="24"/>
                <w:szCs w:val="24"/>
                <w:highlight w:val="none"/>
                <w:lang w:val="zh-CN"/>
              </w:rPr>
              <w:t>（元）</w:t>
            </w:r>
          </w:p>
        </w:tc>
        <w:tc>
          <w:tcPr>
            <w:tcW w:w="421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default" w:ascii="Times New Roman" w:hAnsi="Times New Roman" w:eastAsia="宋体" w:cs="Times New Roman"/>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42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lang w:val="zh-CN"/>
              </w:rPr>
              <w:t>其中：</w:t>
            </w:r>
            <w:r>
              <w:rPr>
                <w:rFonts w:hint="default" w:ascii="Times New Roman" w:hAnsi="Times New Roman" w:eastAsia="宋体" w:cs="Times New Roman"/>
                <w:b/>
                <w:color w:val="auto"/>
                <w:sz w:val="24"/>
                <w:szCs w:val="24"/>
                <w:highlight w:val="none"/>
                <w:lang w:val="zh-CN"/>
              </w:rPr>
              <w:t>绿色施工安全防护措施费（元）</w:t>
            </w:r>
          </w:p>
        </w:tc>
        <w:tc>
          <w:tcPr>
            <w:tcW w:w="421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default" w:ascii="Times New Roman" w:hAnsi="Times New Roman" w:eastAsia="宋体" w:cs="Times New Roman"/>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42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
                <w:color w:val="auto"/>
                <w:sz w:val="24"/>
                <w:szCs w:val="24"/>
                <w:highlight w:val="none"/>
                <w:lang w:val="zh-CN"/>
              </w:rPr>
              <w:t>投标总工期</w:t>
            </w:r>
          </w:p>
        </w:tc>
        <w:tc>
          <w:tcPr>
            <w:tcW w:w="421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default" w:ascii="Times New Roman" w:hAnsi="Times New Roman" w:eastAsia="宋体" w:cs="Times New Roman"/>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42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b/>
                <w:color w:val="auto"/>
                <w:sz w:val="24"/>
                <w:szCs w:val="24"/>
                <w:highlight w:val="none"/>
                <w:lang w:val="zh-CN"/>
              </w:rPr>
              <w:t>工程质量标准</w:t>
            </w:r>
          </w:p>
        </w:tc>
        <w:tc>
          <w:tcPr>
            <w:tcW w:w="421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default" w:ascii="Times New Roman" w:hAnsi="Times New Roman" w:eastAsia="宋体" w:cs="Times New Roman"/>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42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color w:val="auto"/>
                <w:sz w:val="24"/>
                <w:szCs w:val="24"/>
                <w:highlight w:val="none"/>
                <w:lang w:val="zh-CN"/>
              </w:rPr>
            </w:pPr>
            <w:r>
              <w:rPr>
                <w:rFonts w:hint="default" w:ascii="Times New Roman" w:hAnsi="Times New Roman" w:eastAsia="宋体" w:cs="Times New Roman"/>
                <w:b/>
                <w:color w:val="auto"/>
                <w:sz w:val="24"/>
                <w:szCs w:val="24"/>
                <w:highlight w:val="none"/>
                <w:lang w:val="zh-CN"/>
              </w:rPr>
              <w:t>保修期限</w:t>
            </w:r>
          </w:p>
        </w:tc>
        <w:tc>
          <w:tcPr>
            <w:tcW w:w="421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default" w:ascii="Times New Roman" w:hAnsi="Times New Roman" w:eastAsia="宋体" w:cs="Times New Roman"/>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42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color w:val="auto"/>
                <w:sz w:val="24"/>
                <w:szCs w:val="24"/>
                <w:highlight w:val="none"/>
                <w:lang w:val="zh-CN"/>
              </w:rPr>
            </w:pPr>
            <w:r>
              <w:rPr>
                <w:rFonts w:hint="default" w:ascii="Times New Roman" w:hAnsi="Times New Roman" w:eastAsia="宋体" w:cs="Times New Roman"/>
                <w:b/>
                <w:color w:val="auto"/>
                <w:sz w:val="24"/>
                <w:szCs w:val="24"/>
                <w:highlight w:val="none"/>
                <w:lang w:val="zh-CN"/>
              </w:rPr>
              <w:t>项目负责人</w:t>
            </w:r>
          </w:p>
        </w:tc>
        <w:tc>
          <w:tcPr>
            <w:tcW w:w="421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default" w:ascii="Times New Roman" w:hAnsi="Times New Roman" w:eastAsia="宋体" w:cs="Times New Roman"/>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42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技术负责人</w:t>
            </w:r>
          </w:p>
        </w:tc>
        <w:tc>
          <w:tcPr>
            <w:tcW w:w="421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default" w:ascii="Times New Roman" w:hAnsi="Times New Roman" w:eastAsia="宋体" w:cs="Times New Roman"/>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42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color w:val="auto"/>
                <w:sz w:val="24"/>
                <w:szCs w:val="24"/>
                <w:highlight w:val="none"/>
                <w:lang w:val="zh-CN"/>
              </w:rPr>
            </w:pPr>
            <w:r>
              <w:rPr>
                <w:rFonts w:hint="default" w:ascii="Times New Roman" w:hAnsi="Times New Roman" w:eastAsia="宋体" w:cs="Times New Roman"/>
                <w:b/>
                <w:color w:val="auto"/>
                <w:sz w:val="24"/>
                <w:szCs w:val="24"/>
                <w:highlight w:val="none"/>
                <w:lang w:val="zh-CN"/>
              </w:rPr>
              <w:t>专职安全员</w:t>
            </w:r>
          </w:p>
        </w:tc>
        <w:tc>
          <w:tcPr>
            <w:tcW w:w="421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default" w:ascii="Times New Roman" w:hAnsi="Times New Roman" w:eastAsia="宋体" w:cs="Times New Roman"/>
                <w:bCs/>
                <w:color w:val="auto"/>
                <w:sz w:val="24"/>
                <w:szCs w:val="24"/>
                <w:highlight w:val="none"/>
                <w:lang w:val="zh-CN"/>
              </w:rPr>
            </w:pPr>
          </w:p>
        </w:tc>
      </w:tr>
    </w:tbl>
    <w:p>
      <w:pPr>
        <w:spacing w:line="360" w:lineRule="auto"/>
        <w:rPr>
          <w:rFonts w:hint="default" w:ascii="Times New Roman" w:hAnsi="Times New Roman" w:eastAsia="宋体" w:cs="Times New Roman"/>
          <w:color w:val="auto"/>
          <w:highlight w:val="none"/>
        </w:rPr>
      </w:pPr>
    </w:p>
    <w:p>
      <w:pPr>
        <w:pStyle w:val="11"/>
        <w:rPr>
          <w:rFonts w:hint="default" w:ascii="Times New Roman" w:hAnsi="Times New Roman" w:eastAsia="宋体" w:cs="Times New Roman"/>
          <w:color w:val="auto"/>
          <w:highlight w:val="none"/>
        </w:rPr>
      </w:pPr>
    </w:p>
    <w:p>
      <w:pPr>
        <w:keepNext w:val="0"/>
        <w:keepLines w:val="0"/>
        <w:pageBreakBefore w:val="0"/>
        <w:widowControl w:val="0"/>
        <w:kinsoku/>
        <w:wordWrap/>
        <w:overflowPunct/>
        <w:topLinePunct/>
        <w:autoSpaceDE/>
        <w:autoSpaceDN/>
        <w:bidi w:val="0"/>
        <w:adjustRightInd w:val="0"/>
        <w:snapToGrid w:val="0"/>
        <w:spacing w:line="360" w:lineRule="auto"/>
        <w:ind w:firstLine="496" w:firstLineChars="200"/>
        <w:textAlignment w:val="auto"/>
        <w:outlineLvl w:val="9"/>
        <w:rPr>
          <w:rFonts w:hint="default" w:ascii="Times New Roman" w:hAnsi="Times New Roman" w:eastAsia="宋体" w:cs="Times New Roman"/>
          <w:snapToGrid w:val="0"/>
          <w:color w:val="auto"/>
          <w:spacing w:val="4"/>
          <w:kern w:val="0"/>
          <w:sz w:val="24"/>
          <w:szCs w:val="24"/>
          <w:highlight w:val="none"/>
        </w:rPr>
      </w:pPr>
    </w:p>
    <w:p>
      <w:pPr>
        <w:keepNext w:val="0"/>
        <w:keepLines w:val="0"/>
        <w:pageBreakBefore w:val="0"/>
        <w:widowControl w:val="0"/>
        <w:kinsoku/>
        <w:wordWrap/>
        <w:overflowPunct/>
        <w:topLinePunct/>
        <w:autoSpaceDE/>
        <w:autoSpaceDN/>
        <w:bidi w:val="0"/>
        <w:adjustRightInd w:val="0"/>
        <w:snapToGrid w:val="0"/>
        <w:spacing w:line="360" w:lineRule="auto"/>
        <w:textAlignment w:val="auto"/>
        <w:outlineLvl w:val="9"/>
        <w:rPr>
          <w:rFonts w:hint="default" w:ascii="Times New Roman" w:hAnsi="Times New Roman" w:eastAsia="宋体" w:cs="Times New Roman"/>
          <w:b/>
          <w:snapToGrid w:val="0"/>
          <w:color w:val="auto"/>
          <w:spacing w:val="4"/>
          <w:kern w:val="0"/>
          <w:sz w:val="24"/>
          <w:szCs w:val="24"/>
          <w:highlight w:val="none"/>
        </w:rPr>
      </w:pPr>
    </w:p>
    <w:p>
      <w:pPr>
        <w:keepNext w:val="0"/>
        <w:keepLines w:val="0"/>
        <w:pageBreakBefore w:val="0"/>
        <w:widowControl w:val="0"/>
        <w:kinsoku/>
        <w:wordWrap/>
        <w:overflowPunct/>
        <w:topLinePunct/>
        <w:autoSpaceDE/>
        <w:autoSpaceDN/>
        <w:bidi w:val="0"/>
        <w:adjustRightInd w:val="0"/>
        <w:snapToGrid w:val="0"/>
        <w:spacing w:line="360" w:lineRule="auto"/>
        <w:textAlignment w:val="auto"/>
        <w:outlineLvl w:val="9"/>
        <w:rPr>
          <w:rFonts w:hint="default" w:ascii="Times New Roman" w:hAnsi="Times New Roman" w:eastAsia="宋体" w:cs="Times New Roman"/>
          <w:b/>
          <w:snapToGrid w:val="0"/>
          <w:color w:val="auto"/>
          <w:spacing w:val="4"/>
          <w:kern w:val="0"/>
          <w:sz w:val="24"/>
          <w:szCs w:val="24"/>
          <w:highlight w:val="none"/>
        </w:rPr>
      </w:pPr>
    </w:p>
    <w:p>
      <w:pPr>
        <w:keepNext w:val="0"/>
        <w:keepLines w:val="0"/>
        <w:pageBreakBefore w:val="0"/>
        <w:widowControl w:val="0"/>
        <w:kinsoku/>
        <w:wordWrap/>
        <w:overflowPunct/>
        <w:topLinePunct/>
        <w:autoSpaceDE/>
        <w:autoSpaceDN/>
        <w:bidi w:val="0"/>
        <w:adjustRightInd w:val="0"/>
        <w:snapToGrid w:val="0"/>
        <w:spacing w:line="360" w:lineRule="auto"/>
        <w:textAlignment w:val="auto"/>
        <w:outlineLvl w:val="9"/>
        <w:rPr>
          <w:rFonts w:hint="default" w:ascii="Times New Roman" w:hAnsi="Times New Roman" w:eastAsia="宋体" w:cs="Times New Roman"/>
          <w:b/>
          <w:snapToGrid w:val="0"/>
          <w:color w:val="auto"/>
          <w:spacing w:val="4"/>
          <w:kern w:val="0"/>
          <w:sz w:val="24"/>
          <w:szCs w:val="24"/>
          <w:highlight w:val="none"/>
        </w:rPr>
      </w:pPr>
    </w:p>
    <w:p>
      <w:pPr>
        <w:widowControl/>
        <w:jc w:val="left"/>
        <w:rPr>
          <w:rFonts w:hint="default" w:ascii="Times New Roman" w:hAnsi="Times New Roman" w:eastAsia="宋体" w:cs="Times New Roman"/>
          <w:b/>
          <w:bCs/>
          <w:snapToGrid w:val="0"/>
          <w:color w:val="auto"/>
          <w:spacing w:val="4"/>
          <w:kern w:val="0"/>
          <w:sz w:val="24"/>
          <w:szCs w:val="21"/>
          <w:highlight w:val="none"/>
        </w:rPr>
      </w:pPr>
      <w:r>
        <w:rPr>
          <w:rFonts w:hint="default" w:ascii="Times New Roman" w:hAnsi="Times New Roman" w:eastAsia="宋体" w:cs="Times New Roman"/>
          <w:b/>
          <w:bCs/>
          <w:snapToGrid w:val="0"/>
          <w:color w:val="auto"/>
          <w:spacing w:val="4"/>
          <w:kern w:val="0"/>
          <w:sz w:val="24"/>
          <w:szCs w:val="21"/>
          <w:highlight w:val="none"/>
        </w:rPr>
        <w:br w:type="page"/>
      </w: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snapToGrid w:val="0"/>
          <w:color w:val="auto"/>
          <w:spacing w:val="4"/>
          <w:kern w:val="0"/>
          <w:sz w:val="24"/>
          <w:szCs w:val="21"/>
          <w:highlight w:val="none"/>
        </w:rPr>
        <w:t>技术部分格式4：</w:t>
      </w:r>
    </w:p>
    <w:p>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b/>
          <w:color w:val="auto"/>
          <w:sz w:val="32"/>
          <w:szCs w:val="32"/>
          <w:highlight w:val="none"/>
        </w:rPr>
        <w:t>投标人廉洁承诺书</w:t>
      </w:r>
    </w:p>
    <w:p>
      <w:pPr>
        <w:widowControl/>
        <w:shd w:val="clear" w:color="auto" w:fill="FFFFFF"/>
        <w:spacing w:after="135" w:line="400" w:lineRule="exact"/>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u w:val="single"/>
        </w:rPr>
        <w:t>广州市广花房地产开发有限公司</w:t>
      </w:r>
    </w:p>
    <w:p>
      <w:pPr>
        <w:widowControl/>
        <w:spacing w:line="400" w:lineRule="exact"/>
        <w:ind w:right="90" w:firstLine="645"/>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本公司参加了</w:t>
      </w:r>
      <w:r>
        <w:rPr>
          <w:rFonts w:hint="default" w:ascii="Times New Roman" w:hAnsi="Times New Roman" w:eastAsia="宋体" w:cs="Times New Roman"/>
          <w:color w:val="auto"/>
          <w:sz w:val="24"/>
          <w:szCs w:val="24"/>
          <w:highlight w:val="none"/>
          <w:u w:val="single"/>
          <w:lang w:eastAsia="zh-CN"/>
        </w:rPr>
        <w:t>广花公路以东、雅瑶中路以南CA1207006、CA1207019地块市政道路配套工程施工总承包</w:t>
      </w:r>
      <w:r>
        <w:rPr>
          <w:rFonts w:hint="default" w:ascii="Times New Roman" w:hAnsi="Times New Roman" w:eastAsia="宋体" w:cs="Times New Roman"/>
          <w:color w:val="auto"/>
          <w:sz w:val="24"/>
          <w:szCs w:val="24"/>
          <w:highlight w:val="none"/>
        </w:rPr>
        <w:t>投标，为确保招标工作的公平、公正、公开、有序进行，我们保证遵守《中华人民共和国招标投标法》、《中华人民共和国招标投标法实施条例》、《广东省实施&lt;中华人民共和国招标投标法&gt;办法》等法律法规，特承诺如下事项：</w:t>
      </w:r>
    </w:p>
    <w:p>
      <w:pPr>
        <w:widowControl/>
        <w:spacing w:line="400" w:lineRule="exact"/>
        <w:ind w:right="420" w:firstLine="645"/>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一、自觉遵守国家有关法律法规及廉洁规定。</w:t>
      </w:r>
    </w:p>
    <w:p>
      <w:pPr>
        <w:widowControl/>
        <w:spacing w:line="400" w:lineRule="exact"/>
        <w:ind w:right="90" w:firstLine="645"/>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二、不与招标单位工作人员串通投标，损害国家利益、企业利益以及他人的合法利益；</w:t>
      </w:r>
    </w:p>
    <w:p>
      <w:pPr>
        <w:widowControl/>
        <w:spacing w:line="400" w:lineRule="exact"/>
        <w:ind w:right="90" w:firstLine="645"/>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三、不与其他单位围标、串标，不出让投标资格，不向招标人或评标委员会成员行贿。</w:t>
      </w:r>
    </w:p>
    <w:p>
      <w:pPr>
        <w:widowControl/>
        <w:spacing w:line="400" w:lineRule="exact"/>
        <w:ind w:right="90" w:firstLine="645"/>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四、不以任何名义向参与招标、评标工作的有关人员提供高消费宴请及娱乐活动和赠送回扣、红包、礼金、购物卡、有价证券、贵重物品和好处费、感谢费等；</w:t>
      </w:r>
    </w:p>
    <w:p>
      <w:pPr>
        <w:widowControl/>
        <w:spacing w:line="400" w:lineRule="exact"/>
        <w:ind w:right="90" w:firstLine="645"/>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五、不以任何名义为参与招标、评标工作的有关人员装修住房、婚丧嫁取、配偶子女的工作安排以及境内外旅游等提供方便；</w:t>
      </w:r>
    </w:p>
    <w:p>
      <w:pPr>
        <w:widowControl/>
        <w:spacing w:line="400" w:lineRule="exact"/>
        <w:ind w:right="-52" w:firstLine="645"/>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六、不以谋取非正当利益为目的，擅自与参与招标、评标工作的有关人员就业务问题进行私下商谈或者达成利益默契；</w:t>
      </w:r>
    </w:p>
    <w:p>
      <w:pPr>
        <w:widowControl/>
        <w:spacing w:line="400" w:lineRule="exact"/>
        <w:ind w:right="-52" w:firstLine="645"/>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七、按法律规定及合同约定保修合同工程，履行本合同所约定的全部义务。</w:t>
      </w:r>
    </w:p>
    <w:p>
      <w:pPr>
        <w:widowControl/>
        <w:spacing w:line="400" w:lineRule="exact"/>
        <w:ind w:right="-52" w:firstLine="645"/>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八、坚决杜绝转包、违法分包、挂靠等违法违规行为，保证发包人免于承担因本公司违反法律或相关规定而引起的任何责任。未经发包人同意，不将工程的任何部分或任何工作分包给第三方；依法分包工程的承包人应具有相应承包资质。</w:t>
      </w:r>
    </w:p>
    <w:p>
      <w:pPr>
        <w:widowControl/>
        <w:spacing w:line="400" w:lineRule="exact"/>
        <w:ind w:right="-52" w:firstLine="645"/>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九、自觉接受政府有关部门、发包人或其上级主管部门和监理单位等对本工程的监督，并无条件配合政府有关部门、发包人或其上级主管部门指定审计机构开展审计工作。</w:t>
      </w:r>
    </w:p>
    <w:p>
      <w:pPr>
        <w:widowControl/>
        <w:spacing w:line="400" w:lineRule="exact"/>
        <w:ind w:right="-52" w:firstLine="645"/>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十、本公司理解并接受工程实施过程即可同步进行审计或监督工作，接受对工程实施全过程审计，包括且不限于工程计量、设计变更、资金支付、分包管理、结算等。若政府有关部门、发包人或其上级主管部门、监理单位经核查或审计认定本公司有挂靠或转包或违法分包行为之一的，发包人有权单方解除部分合同或解除合同，由此造成的经济损失由本公司承担。本公司自觉接受行政监督部门的行政处罚。</w:t>
      </w:r>
    </w:p>
    <w:p>
      <w:pPr>
        <w:widowControl/>
        <w:spacing w:line="400" w:lineRule="exact"/>
        <w:ind w:right="-52" w:firstLine="645"/>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十一、如因转包、违法分包（含现场施工作业或管理人员被发现不属于总承包单位或已经备案的依法分包单位人员的情形）、挂靠、项目管理不到位、民工工资纠纷等违反合同的行为，发包人或其上级主管部门有权立即开展调查，本公司无条件配合，相关费用由本公司负责。经核查属实，本公司自觉接受相应处罚。</w:t>
      </w:r>
    </w:p>
    <w:p>
      <w:pPr>
        <w:widowControl/>
        <w:shd w:val="clear" w:color="auto" w:fill="FFFFFF"/>
        <w:spacing w:after="135" w:line="400" w:lineRule="exact"/>
        <w:ind w:firstLine="645"/>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本公司违反上述承诺，或本承诺陈述与事实不符，经查实，本公司愿意接受公开通报，承担由此带来的法律后果，并自愿停止参加广州市行政辖区内的招标投标活动三个月。</w:t>
      </w:r>
    </w:p>
    <w:p>
      <w:pPr>
        <w:widowControl/>
        <w:shd w:val="clear" w:color="auto" w:fill="FFFFFF"/>
        <w:spacing w:after="135" w:line="400" w:lineRule="exact"/>
        <w:ind w:firstLine="645"/>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特此承诺</w:t>
      </w:r>
    </w:p>
    <w:p>
      <w:pPr>
        <w:widowControl/>
        <w:shd w:val="clear" w:color="auto" w:fill="FFFFFF"/>
        <w:spacing w:line="400" w:lineRule="exact"/>
        <w:ind w:right="-58" w:firstLine="2880"/>
        <w:jc w:val="right"/>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承诺企业：</w:t>
      </w:r>
      <w:r>
        <w:rPr>
          <w:rFonts w:hint="default" w:ascii="Times New Roman" w:hAnsi="Times New Roman" w:eastAsia="宋体" w:cs="Times New Roman"/>
          <w:color w:val="auto"/>
          <w:sz w:val="24"/>
          <w:szCs w:val="24"/>
          <w:highlight w:val="none"/>
          <w:u w:val="single"/>
        </w:rPr>
        <w:t xml:space="preserve">              (企业公章)</w:t>
      </w:r>
    </w:p>
    <w:p>
      <w:pPr>
        <w:widowControl/>
        <w:shd w:val="clear" w:color="auto" w:fill="FFFFFF"/>
        <w:wordWrap w:val="0"/>
        <w:spacing w:line="400" w:lineRule="exact"/>
        <w:ind w:right="165"/>
        <w:jc w:val="righ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法定代表人（签字或盖章）：</w:t>
      </w:r>
      <w:r>
        <w:rPr>
          <w:rFonts w:hint="default" w:ascii="Times New Roman" w:hAnsi="Times New Roman" w:eastAsia="宋体" w:cs="Times New Roman"/>
          <w:color w:val="auto"/>
          <w:sz w:val="24"/>
          <w:szCs w:val="24"/>
          <w:highlight w:val="none"/>
          <w:u w:val="single"/>
        </w:rPr>
        <w:t xml:space="preserve">                     </w:t>
      </w:r>
    </w:p>
    <w:p>
      <w:pPr>
        <w:widowControl/>
        <w:shd w:val="clear" w:color="auto" w:fill="FFFFFF"/>
        <w:spacing w:line="400" w:lineRule="exact"/>
        <w:ind w:right="165" w:firstLine="2880"/>
        <w:jc w:val="righ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年   月    日</w:t>
      </w:r>
    </w:p>
    <w:p>
      <w:pPr>
        <w:keepNext w:val="0"/>
        <w:keepLines w:val="0"/>
        <w:pageBreakBefore w:val="0"/>
        <w:widowControl w:val="0"/>
        <w:kinsoku/>
        <w:wordWrap/>
        <w:overflowPunct/>
        <w:topLinePunct/>
        <w:autoSpaceDE/>
        <w:autoSpaceDN/>
        <w:bidi w:val="0"/>
        <w:adjustRightInd w:val="0"/>
        <w:snapToGrid w:val="0"/>
        <w:spacing w:line="360" w:lineRule="auto"/>
        <w:textAlignment w:val="auto"/>
        <w:outlineLvl w:val="9"/>
        <w:rPr>
          <w:rFonts w:hint="default" w:ascii="Times New Roman" w:hAnsi="Times New Roman" w:eastAsia="宋体" w:cs="Times New Roman"/>
          <w:b/>
          <w:snapToGrid w:val="0"/>
          <w:color w:val="auto"/>
          <w:spacing w:val="4"/>
          <w:kern w:val="0"/>
          <w:sz w:val="24"/>
          <w:szCs w:val="24"/>
          <w:highlight w:val="none"/>
        </w:rPr>
      </w:pPr>
    </w:p>
    <w:p>
      <w:pPr>
        <w:keepNext w:val="0"/>
        <w:keepLines w:val="0"/>
        <w:pageBreakBefore w:val="0"/>
        <w:widowControl w:val="0"/>
        <w:kinsoku/>
        <w:wordWrap/>
        <w:overflowPunct/>
        <w:topLinePunct/>
        <w:autoSpaceDE/>
        <w:autoSpaceDN/>
        <w:bidi w:val="0"/>
        <w:adjustRightInd w:val="0"/>
        <w:snapToGrid w:val="0"/>
        <w:spacing w:line="360" w:lineRule="auto"/>
        <w:textAlignment w:val="auto"/>
        <w:outlineLvl w:val="9"/>
        <w:rPr>
          <w:rFonts w:hint="default" w:ascii="Times New Roman" w:hAnsi="Times New Roman" w:eastAsia="宋体" w:cs="Times New Roman"/>
          <w:b/>
          <w:snapToGrid w:val="0"/>
          <w:color w:val="auto"/>
          <w:spacing w:val="4"/>
          <w:kern w:val="0"/>
          <w:sz w:val="24"/>
          <w:szCs w:val="24"/>
          <w:highlight w:val="none"/>
        </w:rPr>
      </w:pPr>
    </w:p>
    <w:p>
      <w:pPr>
        <w:keepNext w:val="0"/>
        <w:keepLines w:val="0"/>
        <w:pageBreakBefore w:val="0"/>
        <w:widowControl w:val="0"/>
        <w:kinsoku/>
        <w:wordWrap/>
        <w:overflowPunct/>
        <w:topLinePunct/>
        <w:autoSpaceDE/>
        <w:autoSpaceDN/>
        <w:bidi w:val="0"/>
        <w:adjustRightInd w:val="0"/>
        <w:snapToGrid w:val="0"/>
        <w:spacing w:line="360" w:lineRule="auto"/>
        <w:textAlignment w:val="auto"/>
        <w:outlineLvl w:val="9"/>
        <w:rPr>
          <w:rFonts w:hint="default" w:ascii="Times New Roman" w:hAnsi="Times New Roman" w:eastAsia="宋体" w:cs="Times New Roman"/>
          <w:b/>
          <w:snapToGrid w:val="0"/>
          <w:color w:val="auto"/>
          <w:spacing w:val="4"/>
          <w:kern w:val="0"/>
          <w:sz w:val="24"/>
          <w:szCs w:val="24"/>
          <w:highlight w:val="none"/>
        </w:rPr>
      </w:pPr>
    </w:p>
    <w:p>
      <w:pPr>
        <w:keepNext w:val="0"/>
        <w:keepLines w:val="0"/>
        <w:pageBreakBefore w:val="0"/>
        <w:widowControl w:val="0"/>
        <w:kinsoku/>
        <w:wordWrap/>
        <w:overflowPunct/>
        <w:topLinePunct/>
        <w:autoSpaceDE/>
        <w:autoSpaceDN/>
        <w:bidi w:val="0"/>
        <w:adjustRightInd w:val="0"/>
        <w:snapToGrid w:val="0"/>
        <w:spacing w:line="360" w:lineRule="auto"/>
        <w:textAlignment w:val="auto"/>
        <w:outlineLvl w:val="9"/>
        <w:rPr>
          <w:rFonts w:hint="default" w:ascii="Times New Roman" w:hAnsi="Times New Roman" w:eastAsia="宋体" w:cs="Times New Roman"/>
          <w:b/>
          <w:snapToGrid w:val="0"/>
          <w:color w:val="auto"/>
          <w:spacing w:val="4"/>
          <w:kern w:val="0"/>
          <w:sz w:val="24"/>
          <w:szCs w:val="24"/>
          <w:highlight w:val="none"/>
        </w:rPr>
      </w:pPr>
    </w:p>
    <w:p>
      <w:pPr>
        <w:keepNext w:val="0"/>
        <w:keepLines w:val="0"/>
        <w:pageBreakBefore w:val="0"/>
        <w:widowControl w:val="0"/>
        <w:kinsoku/>
        <w:wordWrap/>
        <w:overflowPunct/>
        <w:topLinePunct/>
        <w:autoSpaceDE/>
        <w:autoSpaceDN/>
        <w:bidi w:val="0"/>
        <w:adjustRightInd w:val="0"/>
        <w:snapToGrid w:val="0"/>
        <w:spacing w:line="360" w:lineRule="auto"/>
        <w:textAlignment w:val="auto"/>
        <w:outlineLvl w:val="9"/>
        <w:rPr>
          <w:rFonts w:hint="default" w:ascii="Times New Roman" w:hAnsi="Times New Roman" w:eastAsia="宋体" w:cs="Times New Roman"/>
          <w:b/>
          <w:snapToGrid w:val="0"/>
          <w:color w:val="auto"/>
          <w:spacing w:val="4"/>
          <w:kern w:val="0"/>
          <w:sz w:val="24"/>
          <w:szCs w:val="24"/>
          <w:highlight w:val="none"/>
        </w:rPr>
      </w:pPr>
    </w:p>
    <w:p>
      <w:pPr>
        <w:keepNext w:val="0"/>
        <w:keepLines w:val="0"/>
        <w:pageBreakBefore w:val="0"/>
        <w:widowControl w:val="0"/>
        <w:kinsoku/>
        <w:wordWrap/>
        <w:overflowPunct/>
        <w:topLinePunct/>
        <w:autoSpaceDE/>
        <w:autoSpaceDN/>
        <w:bidi w:val="0"/>
        <w:adjustRightInd w:val="0"/>
        <w:snapToGrid w:val="0"/>
        <w:spacing w:line="360" w:lineRule="auto"/>
        <w:textAlignment w:val="auto"/>
        <w:outlineLvl w:val="9"/>
        <w:rPr>
          <w:rFonts w:hint="default" w:ascii="Times New Roman" w:hAnsi="Times New Roman" w:eastAsia="宋体" w:cs="Times New Roman"/>
          <w:b/>
          <w:snapToGrid w:val="0"/>
          <w:color w:val="auto"/>
          <w:spacing w:val="4"/>
          <w:kern w:val="0"/>
          <w:sz w:val="24"/>
          <w:szCs w:val="24"/>
          <w:highlight w:val="none"/>
        </w:rPr>
      </w:pPr>
    </w:p>
    <w:p>
      <w:pPr>
        <w:keepNext w:val="0"/>
        <w:keepLines w:val="0"/>
        <w:pageBreakBefore w:val="0"/>
        <w:widowControl w:val="0"/>
        <w:kinsoku/>
        <w:wordWrap/>
        <w:overflowPunct/>
        <w:topLinePunct/>
        <w:autoSpaceDE/>
        <w:autoSpaceDN/>
        <w:bidi w:val="0"/>
        <w:adjustRightInd w:val="0"/>
        <w:snapToGrid w:val="0"/>
        <w:spacing w:line="360" w:lineRule="auto"/>
        <w:textAlignment w:val="auto"/>
        <w:outlineLvl w:val="9"/>
        <w:rPr>
          <w:rFonts w:hint="default" w:ascii="Times New Roman" w:hAnsi="Times New Roman" w:eastAsia="宋体" w:cs="Times New Roman"/>
          <w:b/>
          <w:snapToGrid w:val="0"/>
          <w:color w:val="auto"/>
          <w:spacing w:val="4"/>
          <w:kern w:val="0"/>
          <w:sz w:val="24"/>
          <w:szCs w:val="24"/>
          <w:highlight w:val="none"/>
        </w:rPr>
      </w:pPr>
    </w:p>
    <w:p>
      <w:pPr>
        <w:keepNext w:val="0"/>
        <w:keepLines w:val="0"/>
        <w:pageBreakBefore w:val="0"/>
        <w:widowControl w:val="0"/>
        <w:kinsoku/>
        <w:wordWrap/>
        <w:overflowPunct/>
        <w:topLinePunct/>
        <w:autoSpaceDE/>
        <w:autoSpaceDN/>
        <w:bidi w:val="0"/>
        <w:adjustRightInd w:val="0"/>
        <w:snapToGrid w:val="0"/>
        <w:spacing w:line="360" w:lineRule="auto"/>
        <w:textAlignment w:val="auto"/>
        <w:outlineLvl w:val="9"/>
        <w:rPr>
          <w:rFonts w:hint="default" w:ascii="Times New Roman" w:hAnsi="Times New Roman" w:eastAsia="宋体" w:cs="Times New Roman"/>
          <w:b/>
          <w:snapToGrid w:val="0"/>
          <w:color w:val="auto"/>
          <w:spacing w:val="4"/>
          <w:kern w:val="0"/>
          <w:sz w:val="24"/>
          <w:szCs w:val="24"/>
          <w:highlight w:val="none"/>
        </w:rPr>
      </w:pPr>
    </w:p>
    <w:p>
      <w:pPr>
        <w:keepNext w:val="0"/>
        <w:keepLines w:val="0"/>
        <w:pageBreakBefore w:val="0"/>
        <w:widowControl w:val="0"/>
        <w:kinsoku/>
        <w:wordWrap/>
        <w:overflowPunct/>
        <w:topLinePunct/>
        <w:autoSpaceDE/>
        <w:autoSpaceDN/>
        <w:bidi w:val="0"/>
        <w:adjustRightInd w:val="0"/>
        <w:snapToGrid w:val="0"/>
        <w:spacing w:line="360" w:lineRule="auto"/>
        <w:textAlignment w:val="auto"/>
        <w:outlineLvl w:val="9"/>
        <w:rPr>
          <w:rFonts w:hint="default" w:ascii="Times New Roman" w:hAnsi="Times New Roman" w:eastAsia="宋体" w:cs="Times New Roman"/>
          <w:b/>
          <w:snapToGrid w:val="0"/>
          <w:color w:val="auto"/>
          <w:spacing w:val="4"/>
          <w:kern w:val="0"/>
          <w:sz w:val="24"/>
          <w:szCs w:val="24"/>
          <w:highlight w:val="none"/>
        </w:rPr>
      </w:pPr>
    </w:p>
    <w:p>
      <w:pPr>
        <w:keepNext w:val="0"/>
        <w:keepLines w:val="0"/>
        <w:pageBreakBefore w:val="0"/>
        <w:widowControl w:val="0"/>
        <w:kinsoku/>
        <w:wordWrap/>
        <w:overflowPunct/>
        <w:topLinePunct/>
        <w:autoSpaceDE/>
        <w:autoSpaceDN/>
        <w:bidi w:val="0"/>
        <w:adjustRightInd w:val="0"/>
        <w:snapToGrid w:val="0"/>
        <w:spacing w:line="360" w:lineRule="auto"/>
        <w:textAlignment w:val="auto"/>
        <w:outlineLvl w:val="9"/>
        <w:rPr>
          <w:rFonts w:hint="default" w:ascii="Times New Roman" w:hAnsi="Times New Roman" w:eastAsia="宋体" w:cs="Times New Roman"/>
          <w:b/>
          <w:snapToGrid w:val="0"/>
          <w:color w:val="auto"/>
          <w:spacing w:val="4"/>
          <w:kern w:val="0"/>
          <w:sz w:val="24"/>
          <w:szCs w:val="24"/>
          <w:highlight w:val="none"/>
        </w:rPr>
      </w:pPr>
    </w:p>
    <w:p>
      <w:pPr>
        <w:keepNext w:val="0"/>
        <w:keepLines w:val="0"/>
        <w:pageBreakBefore w:val="0"/>
        <w:widowControl w:val="0"/>
        <w:kinsoku/>
        <w:wordWrap/>
        <w:overflowPunct/>
        <w:topLinePunct/>
        <w:autoSpaceDE/>
        <w:autoSpaceDN/>
        <w:bidi w:val="0"/>
        <w:adjustRightInd w:val="0"/>
        <w:snapToGrid w:val="0"/>
        <w:spacing w:line="360" w:lineRule="auto"/>
        <w:textAlignment w:val="auto"/>
        <w:outlineLvl w:val="9"/>
        <w:rPr>
          <w:rFonts w:hint="default" w:ascii="Times New Roman" w:hAnsi="Times New Roman" w:eastAsia="宋体" w:cs="Times New Roman"/>
          <w:b/>
          <w:snapToGrid w:val="0"/>
          <w:color w:val="auto"/>
          <w:spacing w:val="4"/>
          <w:kern w:val="0"/>
          <w:sz w:val="24"/>
          <w:szCs w:val="24"/>
          <w:highlight w:val="none"/>
        </w:rPr>
      </w:pPr>
    </w:p>
    <w:p>
      <w:pPr>
        <w:keepNext w:val="0"/>
        <w:keepLines w:val="0"/>
        <w:pageBreakBefore w:val="0"/>
        <w:widowControl w:val="0"/>
        <w:kinsoku/>
        <w:wordWrap/>
        <w:overflowPunct/>
        <w:topLinePunct/>
        <w:autoSpaceDE/>
        <w:autoSpaceDN/>
        <w:bidi w:val="0"/>
        <w:adjustRightInd w:val="0"/>
        <w:snapToGrid w:val="0"/>
        <w:spacing w:line="360" w:lineRule="auto"/>
        <w:textAlignment w:val="auto"/>
        <w:outlineLvl w:val="9"/>
        <w:rPr>
          <w:rFonts w:hint="default" w:ascii="Times New Roman" w:hAnsi="Times New Roman" w:eastAsia="宋体" w:cs="Times New Roman"/>
          <w:b/>
          <w:snapToGrid w:val="0"/>
          <w:color w:val="auto"/>
          <w:spacing w:val="4"/>
          <w:kern w:val="0"/>
          <w:sz w:val="24"/>
          <w:szCs w:val="24"/>
          <w:highlight w:val="none"/>
        </w:rPr>
      </w:pPr>
    </w:p>
    <w:p>
      <w:pPr>
        <w:keepNext w:val="0"/>
        <w:keepLines w:val="0"/>
        <w:pageBreakBefore w:val="0"/>
        <w:widowControl w:val="0"/>
        <w:kinsoku/>
        <w:wordWrap/>
        <w:overflowPunct/>
        <w:topLinePunct/>
        <w:autoSpaceDE/>
        <w:autoSpaceDN/>
        <w:bidi w:val="0"/>
        <w:adjustRightInd w:val="0"/>
        <w:snapToGrid w:val="0"/>
        <w:spacing w:line="360" w:lineRule="auto"/>
        <w:textAlignment w:val="auto"/>
        <w:outlineLvl w:val="9"/>
        <w:rPr>
          <w:rFonts w:hint="default" w:ascii="Times New Roman" w:hAnsi="Times New Roman" w:eastAsia="宋体" w:cs="Times New Roman"/>
          <w:b/>
          <w:snapToGrid w:val="0"/>
          <w:color w:val="auto"/>
          <w:spacing w:val="4"/>
          <w:kern w:val="0"/>
          <w:sz w:val="24"/>
          <w:szCs w:val="24"/>
          <w:highlight w:val="none"/>
        </w:rPr>
      </w:pPr>
    </w:p>
    <w:p>
      <w:pPr>
        <w:keepNext w:val="0"/>
        <w:keepLines w:val="0"/>
        <w:pageBreakBefore w:val="0"/>
        <w:widowControl w:val="0"/>
        <w:kinsoku/>
        <w:wordWrap/>
        <w:overflowPunct/>
        <w:topLinePunct/>
        <w:autoSpaceDE/>
        <w:autoSpaceDN/>
        <w:bidi w:val="0"/>
        <w:adjustRightInd w:val="0"/>
        <w:snapToGrid w:val="0"/>
        <w:spacing w:line="360" w:lineRule="auto"/>
        <w:textAlignment w:val="auto"/>
        <w:outlineLvl w:val="9"/>
        <w:rPr>
          <w:rFonts w:hint="default" w:ascii="Times New Roman" w:hAnsi="Times New Roman" w:eastAsia="宋体" w:cs="Times New Roman"/>
          <w:b/>
          <w:snapToGrid w:val="0"/>
          <w:color w:val="auto"/>
          <w:spacing w:val="4"/>
          <w:kern w:val="0"/>
          <w:sz w:val="24"/>
          <w:szCs w:val="24"/>
          <w:highlight w:val="none"/>
        </w:rPr>
      </w:pPr>
    </w:p>
    <w:p>
      <w:pPr>
        <w:keepNext w:val="0"/>
        <w:keepLines w:val="0"/>
        <w:pageBreakBefore w:val="0"/>
        <w:widowControl w:val="0"/>
        <w:kinsoku/>
        <w:wordWrap/>
        <w:overflowPunct/>
        <w:topLinePunct/>
        <w:autoSpaceDE/>
        <w:autoSpaceDN/>
        <w:bidi w:val="0"/>
        <w:adjustRightInd w:val="0"/>
        <w:snapToGrid w:val="0"/>
        <w:spacing w:line="360" w:lineRule="auto"/>
        <w:textAlignment w:val="auto"/>
        <w:outlineLvl w:val="9"/>
        <w:rPr>
          <w:rFonts w:hint="default" w:ascii="Times New Roman" w:hAnsi="Times New Roman" w:eastAsia="宋体" w:cs="Times New Roman"/>
          <w:b/>
          <w:snapToGrid w:val="0"/>
          <w:color w:val="auto"/>
          <w:spacing w:val="4"/>
          <w:kern w:val="0"/>
          <w:sz w:val="24"/>
          <w:szCs w:val="24"/>
          <w:highlight w:val="none"/>
        </w:rPr>
      </w:pPr>
    </w:p>
    <w:p>
      <w:pPr>
        <w:keepNext w:val="0"/>
        <w:keepLines w:val="0"/>
        <w:pageBreakBefore w:val="0"/>
        <w:widowControl w:val="0"/>
        <w:kinsoku/>
        <w:wordWrap/>
        <w:overflowPunct/>
        <w:topLinePunct/>
        <w:autoSpaceDE/>
        <w:autoSpaceDN/>
        <w:bidi w:val="0"/>
        <w:adjustRightInd w:val="0"/>
        <w:snapToGrid w:val="0"/>
        <w:spacing w:line="360" w:lineRule="auto"/>
        <w:textAlignment w:val="auto"/>
        <w:outlineLvl w:val="9"/>
        <w:rPr>
          <w:rFonts w:hint="default" w:ascii="Times New Roman" w:hAnsi="Times New Roman" w:eastAsia="宋体" w:cs="Times New Roman"/>
          <w:b/>
          <w:snapToGrid w:val="0"/>
          <w:color w:val="auto"/>
          <w:spacing w:val="4"/>
          <w:kern w:val="0"/>
          <w:sz w:val="24"/>
          <w:szCs w:val="24"/>
          <w:highlight w:val="none"/>
        </w:rPr>
      </w:pPr>
    </w:p>
    <w:p>
      <w:pPr>
        <w:keepNext w:val="0"/>
        <w:keepLines w:val="0"/>
        <w:pageBreakBefore w:val="0"/>
        <w:widowControl w:val="0"/>
        <w:kinsoku/>
        <w:wordWrap/>
        <w:overflowPunct/>
        <w:topLinePunct/>
        <w:autoSpaceDE/>
        <w:autoSpaceDN/>
        <w:bidi w:val="0"/>
        <w:adjustRightInd w:val="0"/>
        <w:snapToGrid w:val="0"/>
        <w:spacing w:line="360" w:lineRule="auto"/>
        <w:textAlignment w:val="auto"/>
        <w:outlineLvl w:val="9"/>
        <w:rPr>
          <w:rFonts w:hint="default" w:ascii="Times New Roman" w:hAnsi="Times New Roman" w:eastAsia="宋体" w:cs="Times New Roman"/>
          <w:b/>
          <w:snapToGrid w:val="0"/>
          <w:color w:val="auto"/>
          <w:spacing w:val="4"/>
          <w:kern w:val="0"/>
          <w:sz w:val="24"/>
          <w:szCs w:val="24"/>
          <w:highlight w:val="none"/>
        </w:rPr>
      </w:pP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snapToGrid w:val="0"/>
          <w:color w:val="auto"/>
          <w:spacing w:val="4"/>
          <w:kern w:val="0"/>
          <w:sz w:val="24"/>
          <w:szCs w:val="21"/>
          <w:highlight w:val="none"/>
        </w:rPr>
        <w:br w:type="page"/>
      </w:r>
      <w:r>
        <w:rPr>
          <w:rFonts w:hint="default" w:ascii="Times New Roman" w:hAnsi="Times New Roman" w:eastAsia="宋体" w:cs="Times New Roman"/>
          <w:b/>
          <w:bCs/>
          <w:snapToGrid w:val="0"/>
          <w:color w:val="auto"/>
          <w:spacing w:val="4"/>
          <w:kern w:val="0"/>
          <w:sz w:val="24"/>
          <w:szCs w:val="21"/>
          <w:highlight w:val="none"/>
        </w:rPr>
        <w:t>技术部分格式</w:t>
      </w:r>
      <w:r>
        <w:rPr>
          <w:rFonts w:hint="default" w:ascii="Times New Roman" w:hAnsi="Times New Roman" w:eastAsia="宋体" w:cs="Times New Roman"/>
          <w:b/>
          <w:bCs/>
          <w:snapToGrid w:val="0"/>
          <w:color w:val="auto"/>
          <w:spacing w:val="4"/>
          <w:kern w:val="0"/>
          <w:sz w:val="24"/>
          <w:szCs w:val="21"/>
          <w:highlight w:val="none"/>
          <w:lang w:val="en-US" w:eastAsia="zh-CN"/>
        </w:rPr>
        <w:t>5</w:t>
      </w:r>
      <w:r>
        <w:rPr>
          <w:rFonts w:hint="default" w:ascii="Times New Roman" w:hAnsi="Times New Roman" w:eastAsia="宋体" w:cs="Times New Roman"/>
          <w:b/>
          <w:bCs/>
          <w:snapToGrid w:val="0"/>
          <w:color w:val="auto"/>
          <w:spacing w:val="4"/>
          <w:kern w:val="0"/>
          <w:sz w:val="24"/>
          <w:szCs w:val="21"/>
          <w:highlight w:val="none"/>
        </w:rPr>
        <w:t>：</w:t>
      </w:r>
    </w:p>
    <w:p>
      <w:pPr>
        <w:spacing w:line="360" w:lineRule="auto"/>
        <w:ind w:firstLine="3235" w:firstLineChars="895"/>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投  标  函</w:t>
      </w:r>
    </w:p>
    <w:p>
      <w:pPr>
        <w:spacing w:line="400" w:lineRule="exact"/>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致：</w:t>
      </w:r>
      <w:r>
        <w:rPr>
          <w:rFonts w:hint="default" w:ascii="Times New Roman" w:hAnsi="Times New Roman" w:eastAsia="宋体" w:cs="Times New Roman"/>
          <w:color w:val="auto"/>
          <w:sz w:val="24"/>
          <w:highlight w:val="none"/>
          <w:u w:val="single"/>
        </w:rPr>
        <w:t>广州市广花房地产开发有限公司</w:t>
      </w:r>
      <w:r>
        <w:rPr>
          <w:rFonts w:hint="default" w:ascii="Times New Roman" w:hAnsi="Times New Roman" w:eastAsia="宋体" w:cs="Times New Roman"/>
          <w:b/>
          <w:color w:val="auto"/>
          <w:sz w:val="24"/>
          <w:szCs w:val="24"/>
          <w:highlight w:val="none"/>
          <w:u w:val="single"/>
        </w:rPr>
        <w:t xml:space="preserve">  </w:t>
      </w:r>
    </w:p>
    <w:p>
      <w:pPr>
        <w:spacing w:line="40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1.根据已收到贵方的项目编号为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的</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工程的招标文件，并已详细审核了全部招标文件及有关附件。</w:t>
      </w:r>
    </w:p>
    <w:p>
      <w:pPr>
        <w:snapToGrid w:val="0"/>
        <w:spacing w:line="400" w:lineRule="exact"/>
        <w:ind w:firstLine="523" w:firstLineChars="218"/>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pPr>
        <w:spacing w:line="40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愿以经济标中的投标报价并按上述合同条款、标准和技术规范、图纸、工程量清单等的要求承包上述工程的施工、竣工并修补其任何缺陷。</w:t>
      </w:r>
    </w:p>
    <w:p>
      <w:pPr>
        <w:spacing w:line="4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3.我方同意所递交的投标文件在投标须知规定的投标有效期内有效，在此期间内我方的投标有可能中标，我方将受此约束。如果在投标有效期内撤销投标文件或放弃中标资格，我方的投标保证金将不予退还，给贵方造成的损失超过我方投标保证金金额的，贵方还有权要求我方对超过部分进行赔偿。</w:t>
      </w:r>
    </w:p>
    <w:p>
      <w:pPr>
        <w:spacing w:line="4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4.我方理解贵方将不受必须接受你们所收到的最低标价或其它任何投标文件的约束。</w:t>
      </w:r>
    </w:p>
    <w:p>
      <w:pPr>
        <w:spacing w:line="40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5.如果我方中标，我方保证按招标文件中规定的工期，在</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日历天内完成并移交本工程，质量标准达到招标文件中的要求。</w:t>
      </w:r>
    </w:p>
    <w:p>
      <w:pPr>
        <w:spacing w:line="40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6.如果我方中标，我方将按照规定递交由招标人认可，并在招标文件中规定金额的履约保函。</w:t>
      </w:r>
    </w:p>
    <w:p>
      <w:pPr>
        <w:spacing w:line="400" w:lineRule="exact"/>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7.除非另外达成协议并生效，贵方的中标通知书和本投标文件将成为约束双方的合同文件的组成部分。</w:t>
      </w:r>
    </w:p>
    <w:p>
      <w:pPr>
        <w:spacing w:line="400" w:lineRule="exact"/>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pPr>
        <w:spacing w:line="400" w:lineRule="exact"/>
        <w:ind w:firstLine="480"/>
        <w:rPr>
          <w:rFonts w:hint="default" w:ascii="Times New Roman" w:hAnsi="Times New Roman" w:eastAsia="宋体" w:cs="Times New Roman"/>
          <w:color w:val="auto"/>
          <w:sz w:val="24"/>
          <w:szCs w:val="24"/>
          <w:highlight w:val="none"/>
        </w:rPr>
      </w:pPr>
    </w:p>
    <w:p>
      <w:pPr>
        <w:pStyle w:val="72"/>
        <w:spacing w:line="400" w:lineRule="exact"/>
        <w:ind w:firstLine="3472" w:firstLineChars="14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投标人：　　（盖章）</w:t>
      </w:r>
    </w:p>
    <w:p>
      <w:pPr>
        <w:pStyle w:val="72"/>
        <w:spacing w:line="400" w:lineRule="exact"/>
        <w:ind w:firstLine="3472" w:firstLineChars="14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法定代表人或授权代理人（签字或盖章）：</w:t>
      </w:r>
    </w:p>
    <w:p>
      <w:pPr>
        <w:pStyle w:val="72"/>
        <w:spacing w:line="400" w:lineRule="exact"/>
        <w:ind w:firstLine="3472" w:firstLineChars="14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日期：     年   月   日</w:t>
      </w:r>
    </w:p>
    <w:p>
      <w:pPr>
        <w:pStyle w:val="72"/>
        <w:spacing w:line="400" w:lineRule="exact"/>
        <w:ind w:firstLine="496"/>
        <w:rPr>
          <w:rFonts w:hint="default" w:ascii="Times New Roman" w:hAnsi="Times New Roman" w:eastAsia="宋体" w:cs="Times New Roman"/>
          <w:color w:val="auto"/>
          <w:highlight w:val="none"/>
        </w:rPr>
      </w:pPr>
    </w:p>
    <w:p>
      <w:pPr>
        <w:spacing w:line="360" w:lineRule="auto"/>
        <w:rPr>
          <w:rFonts w:hint="default" w:ascii="Times New Roman" w:hAnsi="Times New Roman" w:eastAsia="宋体" w:cs="Times New Roman"/>
          <w:b/>
          <w:bCs/>
          <w:snapToGrid w:val="0"/>
          <w:color w:val="auto"/>
          <w:spacing w:val="4"/>
          <w:kern w:val="0"/>
          <w:sz w:val="24"/>
          <w:szCs w:val="21"/>
          <w:highlight w:val="none"/>
        </w:rPr>
      </w:pPr>
    </w:p>
    <w:p>
      <w:pPr>
        <w:spacing w:line="360" w:lineRule="auto"/>
        <w:rPr>
          <w:rFonts w:hint="default" w:ascii="Times New Roman" w:hAnsi="Times New Roman" w:eastAsia="宋体" w:cs="Times New Roman"/>
          <w:b/>
          <w:bCs/>
          <w:snapToGrid w:val="0"/>
          <w:color w:val="auto"/>
          <w:spacing w:val="4"/>
          <w:kern w:val="0"/>
          <w:sz w:val="24"/>
          <w:szCs w:val="21"/>
          <w:highlight w:val="none"/>
        </w:rPr>
      </w:pPr>
      <w:bookmarkStart w:id="64" w:name="_Toc62134856"/>
      <w:bookmarkStart w:id="65" w:name="_Toc22278"/>
      <w:bookmarkStart w:id="66" w:name="_Toc4489937"/>
      <w:bookmarkStart w:id="67" w:name="_Toc504722505"/>
      <w:bookmarkStart w:id="68" w:name="_Toc14697649"/>
      <w:r>
        <w:rPr>
          <w:rFonts w:hint="default" w:ascii="Times New Roman" w:hAnsi="Times New Roman" w:eastAsia="宋体" w:cs="Times New Roman"/>
          <w:b/>
          <w:bCs/>
          <w:snapToGrid w:val="0"/>
          <w:color w:val="auto"/>
          <w:spacing w:val="4"/>
          <w:kern w:val="0"/>
          <w:sz w:val="24"/>
          <w:szCs w:val="21"/>
          <w:highlight w:val="none"/>
        </w:rPr>
        <w:t>技术部分格式</w:t>
      </w:r>
      <w:r>
        <w:rPr>
          <w:rFonts w:hint="default" w:ascii="Times New Roman" w:hAnsi="Times New Roman" w:eastAsia="宋体" w:cs="Times New Roman"/>
          <w:b/>
          <w:bCs/>
          <w:snapToGrid w:val="0"/>
          <w:color w:val="auto"/>
          <w:spacing w:val="4"/>
          <w:kern w:val="0"/>
          <w:sz w:val="24"/>
          <w:szCs w:val="21"/>
          <w:highlight w:val="none"/>
          <w:lang w:val="en-US" w:eastAsia="zh-CN"/>
        </w:rPr>
        <w:t>6</w:t>
      </w:r>
      <w:r>
        <w:rPr>
          <w:rFonts w:hint="default" w:ascii="Times New Roman" w:hAnsi="Times New Roman" w:eastAsia="宋体" w:cs="Times New Roman"/>
          <w:b/>
          <w:bCs/>
          <w:snapToGrid w:val="0"/>
          <w:color w:val="auto"/>
          <w:spacing w:val="4"/>
          <w:kern w:val="0"/>
          <w:sz w:val="24"/>
          <w:szCs w:val="21"/>
          <w:highlight w:val="none"/>
        </w:rPr>
        <w:t>：</w:t>
      </w:r>
    </w:p>
    <w:p>
      <w:pPr>
        <w:keepNext w:val="0"/>
        <w:keepLines w:val="0"/>
        <w:pageBreakBefore w:val="0"/>
        <w:widowControl w:val="0"/>
        <w:kinsoku/>
        <w:wordWrap/>
        <w:overflowPunct/>
        <w:topLinePunct/>
        <w:autoSpaceDE/>
        <w:autoSpaceDN/>
        <w:bidi w:val="0"/>
        <w:adjustRightInd w:val="0"/>
        <w:snapToGrid w:val="0"/>
        <w:spacing w:line="360" w:lineRule="auto"/>
        <w:textAlignment w:val="auto"/>
        <w:outlineLvl w:val="9"/>
        <w:rPr>
          <w:rFonts w:hint="default" w:ascii="Times New Roman" w:hAnsi="Times New Roman" w:eastAsia="宋体" w:cs="Times New Roman"/>
          <w:b/>
          <w:snapToGrid w:val="0"/>
          <w:color w:val="auto"/>
          <w:spacing w:val="4"/>
          <w:kern w:val="0"/>
          <w:sz w:val="24"/>
          <w:szCs w:val="24"/>
          <w:highlight w:val="none"/>
        </w:rPr>
      </w:pPr>
    </w:p>
    <w:p>
      <w:pPr>
        <w:topLinePunct/>
        <w:adjustRightInd w:val="0"/>
        <w:snapToGrid w:val="0"/>
        <w:spacing w:before="156" w:after="156"/>
        <w:jc w:val="center"/>
        <w:rPr>
          <w:rFonts w:hint="default" w:ascii="Times New Roman" w:hAnsi="Times New Roman" w:eastAsia="宋体" w:cs="Times New Roman"/>
          <w:snapToGrid w:val="0"/>
          <w:color w:val="auto"/>
          <w:spacing w:val="4"/>
          <w:kern w:val="0"/>
          <w:sz w:val="32"/>
          <w:szCs w:val="32"/>
          <w:highlight w:val="none"/>
        </w:rPr>
      </w:pPr>
      <w:r>
        <w:rPr>
          <w:rFonts w:hint="default" w:ascii="Times New Roman" w:hAnsi="Times New Roman" w:eastAsia="宋体" w:cs="Times New Roman"/>
          <w:snapToGrid w:val="0"/>
          <w:color w:val="auto"/>
          <w:spacing w:val="4"/>
          <w:kern w:val="0"/>
          <w:sz w:val="32"/>
          <w:szCs w:val="32"/>
          <w:highlight w:val="none"/>
        </w:rPr>
        <w:t>法定代表人证明书、授权委托书</w:t>
      </w:r>
    </w:p>
    <w:p>
      <w:pPr>
        <w:topLinePunct/>
        <w:adjustRightInd w:val="0"/>
        <w:snapToGrid w:val="0"/>
        <w:spacing w:line="240" w:lineRule="exact"/>
        <w:rPr>
          <w:rFonts w:hint="default" w:ascii="Times New Roman" w:hAnsi="Times New Roman" w:eastAsia="宋体" w:cs="Times New Roman"/>
          <w:snapToGrid w:val="0"/>
          <w:color w:val="auto"/>
          <w:spacing w:val="4"/>
          <w:sz w:val="24"/>
          <w:szCs w:val="24"/>
          <w:highlight w:val="none"/>
        </w:rPr>
      </w:pPr>
      <w:r>
        <w:rPr>
          <w:rFonts w:hint="default" w:ascii="Times New Roman" w:hAnsi="Times New Roman" w:eastAsia="宋体" w:cs="Times New Roman"/>
          <w:snapToGrid w:val="0"/>
          <w:color w:val="auto"/>
          <w:spacing w:val="4"/>
          <w:sz w:val="24"/>
          <w:szCs w:val="24"/>
          <w:highlight w:val="none"/>
        </w:rPr>
        <w:t>（1）法定代表人证明书</w:t>
      </w:r>
    </w:p>
    <w:p>
      <w:pPr>
        <w:topLinePunct/>
        <w:adjustRightInd w:val="0"/>
        <w:snapToGrid w:val="0"/>
        <w:spacing w:line="360" w:lineRule="auto"/>
        <w:ind w:firstLine="420" w:firstLineChars="200"/>
        <w:rPr>
          <w:rFonts w:hint="default" w:ascii="Times New Roman" w:hAnsi="Times New Roman" w:eastAsia="宋体" w:cs="Times New Roman"/>
          <w:snapToGrid w:val="0"/>
          <w:color w:val="auto"/>
          <w:spacing w:val="4"/>
          <w:sz w:val="24"/>
          <w:szCs w:val="24"/>
          <w:highlight w:val="none"/>
        </w:rPr>
      </w:pPr>
      <w:r>
        <w:rPr>
          <w:rFonts w:hint="default" w:ascii="Times New Roman" w:hAnsi="Times New Roman" w:eastAsia="宋体" w:cs="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95250</wp:posOffset>
                </wp:positionV>
                <wp:extent cx="5583555" cy="2809875"/>
                <wp:effectExtent l="4445" t="4445" r="12700" b="5080"/>
                <wp:wrapNone/>
                <wp:docPr id="3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5791200" cy="2809875"/>
                        </a:xfrm>
                        <a:prstGeom prst="rect">
                          <a:avLst/>
                        </a:prstGeom>
                        <a:solidFill>
                          <a:srgbClr val="FFFFFF"/>
                        </a:solidFill>
                        <a:ln w="9525">
                          <a:solidFill>
                            <a:srgbClr val="000000"/>
                          </a:solidFill>
                          <a:miter lim="800000"/>
                        </a:ln>
                        <a:effectLst/>
                      </wps:spPr>
                      <wps:txbx>
                        <w:txbxContent>
                          <w:p>
                            <w:pPr>
                              <w:pStyle w:val="72"/>
                              <w:ind w:firstLine="0" w:firstLineChars="0"/>
                              <w:rPr>
                                <w:rFonts w:ascii="宋体" w:hAnsi="宋体"/>
                                <w:szCs w:val="28"/>
                              </w:rPr>
                            </w:pPr>
                            <w:r>
                              <w:rPr>
                                <w:rFonts w:hint="eastAsia"/>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pPr>
                              <w:pStyle w:val="72"/>
                              <w:spacing w:line="240" w:lineRule="auto"/>
                              <w:ind w:firstLine="0" w:firstLineChars="0"/>
                              <w:rPr>
                                <w:rFonts w:ascii="宋体" w:hAnsi="宋体"/>
                                <w:szCs w:val="28"/>
                              </w:rPr>
                            </w:pPr>
                            <w:r>
                              <w:rPr>
                                <w:rFonts w:hint="eastAsia" w:ascii="宋体" w:hAnsi="宋体"/>
                                <w:szCs w:val="28"/>
                              </w:rPr>
                              <w:t>特此证明。</w:t>
                            </w:r>
                          </w:p>
                          <w:p>
                            <w:pPr>
                              <w:pStyle w:val="72"/>
                              <w:spacing w:line="240" w:lineRule="auto"/>
                              <w:ind w:firstLine="0" w:firstLineChars="0"/>
                              <w:rPr>
                                <w:rFonts w:ascii="宋体" w:hAnsi="宋体"/>
                                <w:szCs w:val="28"/>
                              </w:rPr>
                            </w:pPr>
                            <w:r>
                              <w:rPr>
                                <w:rFonts w:hint="eastAsia" w:ascii="宋体" w:hAnsi="宋体"/>
                                <w:szCs w:val="28"/>
                              </w:rPr>
                              <w:t>有效期限：</w:t>
                            </w:r>
                            <w:r>
                              <w:rPr>
                                <w:rFonts w:hint="eastAsia" w:ascii="宋体" w:hAnsi="宋体"/>
                                <w:szCs w:val="28"/>
                                <w:u w:val="single"/>
                              </w:rPr>
                              <w:t xml:space="preserve">                                  </w:t>
                            </w:r>
                          </w:p>
                          <w:p>
                            <w:pPr>
                              <w:pStyle w:val="72"/>
                              <w:spacing w:line="240" w:lineRule="auto"/>
                              <w:ind w:firstLine="0" w:firstLineChars="0"/>
                              <w:rPr>
                                <w:rFonts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pPr>
                              <w:pStyle w:val="72"/>
                              <w:spacing w:line="240" w:lineRule="auto"/>
                              <w:ind w:firstLine="0" w:firstLineChars="0"/>
                              <w:rPr>
                                <w:rFonts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pPr>
                              <w:pStyle w:val="72"/>
                              <w:spacing w:line="240" w:lineRule="auto"/>
                              <w:ind w:firstLine="0" w:firstLineChars="0"/>
                              <w:rPr>
                                <w:rFonts w:ascii="宋体" w:hAnsi="宋体"/>
                                <w:szCs w:val="28"/>
                              </w:rPr>
                            </w:pPr>
                            <w:r>
                              <w:rPr>
                                <w:rFonts w:hint="eastAsia" w:ascii="宋体" w:hAnsi="宋体"/>
                                <w:szCs w:val="28"/>
                              </w:rPr>
                              <w:t>经营范围：</w:t>
                            </w:r>
                            <w:r>
                              <w:rPr>
                                <w:rFonts w:hint="eastAsia" w:ascii="宋体" w:hAnsi="宋体"/>
                                <w:szCs w:val="28"/>
                                <w:u w:val="single"/>
                              </w:rPr>
                              <w:t xml:space="preserve">                                       </w:t>
                            </w:r>
                          </w:p>
                          <w:p>
                            <w:pPr>
                              <w:pStyle w:val="72"/>
                              <w:spacing w:line="240" w:lineRule="auto"/>
                              <w:ind w:firstLine="0" w:firstLineChars="0"/>
                              <w:rPr>
                                <w:rFonts w:ascii="宋体" w:hAnsi="宋体"/>
                                <w:szCs w:val="28"/>
                              </w:rPr>
                            </w:pPr>
                            <w:r>
                              <w:rPr>
                                <w:rFonts w:hint="eastAsia" w:ascii="宋体" w:hAnsi="宋体"/>
                                <w:szCs w:val="28"/>
                              </w:rPr>
                              <w:t>　　　　　　　　　　单位：　　　　　　　　　　　（盖章）</w:t>
                            </w:r>
                          </w:p>
                          <w:p>
                            <w:pPr>
                              <w:pStyle w:val="72"/>
                              <w:spacing w:line="240" w:lineRule="auto"/>
                              <w:ind w:firstLine="0" w:firstLineChars="0"/>
                              <w:rPr>
                                <w:rFonts w:ascii="宋体" w:hAnsi="宋体"/>
                                <w:szCs w:val="28"/>
                              </w:rPr>
                            </w:pPr>
                            <w:r>
                              <w:rPr>
                                <w:rFonts w:hint="eastAsia" w:ascii="宋体" w:hAnsi="宋体"/>
                                <w:szCs w:val="28"/>
                              </w:rPr>
                              <w:t>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7.5pt;height:221.25pt;width:439.65pt;z-index:251659264;mso-width-relative:page;mso-height-relative:page;" fillcolor="#FFFFFF" filled="t" stroked="t" coordsize="21600,21600" o:gfxdata="UEsDBAoAAAAAAIdO4kAAAAAAAAAAAAAAAAAEAAAAZHJzL1BLAwQUAAAACACHTuJAs1RdR9cAAAAI&#10;AQAADwAAAGRycy9kb3ducmV2LnhtbE2PwU7DMBBE70j8g7VIXBB1Spo0hDg9IIHgVkpVrm68TSLs&#10;dYjdtPw9ywmOOzOafVOtzs6KCcfQe1IwnyUgkBpvemoVbN+fbgsQIWoy2npCBd8YYFVfXlS6NP5E&#10;bzhtYiu4hEKpFXQxDqWUoenQ6TDzAxJ7Bz86HfkcW2lGfeJyZ+VdkuTS6Z74Q6cHfOyw+dwcnYJi&#10;8TJ9hNd0vWvyg72PN8vp+WtU6vpqnjyAiHiOf2H4xWd0qJlp749kgrAKFikHWc54EdtFkeYg9qxn&#10;ywxkXcn/A+ofUEsDBBQAAAAIAIdO4kBZO4EiLgIAAEoEAAAOAAAAZHJzL2Uyb0RvYy54bWytVM2O&#10;0zAQviPxDpbvNGm3Zduo6Wrpqghp+ZEWHsB1nMTC8RjbbVIegH0DTly481x9DsZOtpS/CyIHy+MZ&#10;fzPzfeMsr7pGkb2wToLO6XiUUiI0h0LqKqfv3m6ezClxnumCKdAipwfh6NXq8aNlazIxgRpUISxB&#10;EO2y1uS09t5kSeJ4LRrmRmCERmcJtmEeTVslhWUtojcqmaTp06QFWxgLXDiHpze9k64iflkK7l+X&#10;pROeqJxibT6uNq7bsCarJcsqy0wt+VAG+4cqGiY1Jj1B3TDPyM7K36AayS04KP2IQ5NAWUouYg/Y&#10;zTj9pZu7mhkRe0FynDnR5P4fLH+1f2OJLHJ6cUGJZg1qdPx8f/zy7fj1E8EzJKg1LsO4O4ORvnsG&#10;HQodm3XmFvh7RzSsa6YrcW0ttLVgBRY4DjeTs6s9jgsg2/YlFJiI7TxEoK60TWAP+SCIjkIdTuKI&#10;zhOOh7PLxRgVp4SjbzJPF/PLWczBsofrxjr/XEBDwianFtWP8Gx/63woh2UPISGbAyWLjVQqGrba&#10;rpUle4aTsonfgP5TmNKkzeliNpn1DPwVIo3fnyAa6XHklWxyOj8PUjrUIeLQDvUG+gJjPXe+23aD&#10;HFsoDkikhX6g8QHipgb7kZIWhzmn7sOOWUGJeqFRjMV4Og3TH43p7HKChj33bM89THOEyqmnpN+u&#10;ff9idsbKqsZMvfwarlHAUkZqQ6l9VYPsOLCR8eFxhRdxbseoH7+A1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VF1H1wAAAAgBAAAPAAAAAAAAAAEAIAAAACIAAABkcnMvZG93bnJldi54bWxQSwEC&#10;FAAUAAAACACHTuJAWTuBIi4CAABKBAAADgAAAAAAAAABACAAAAAmAQAAZHJzL2Uyb0RvYy54bWxQ&#10;SwUGAAAAAAYABgBZAQAAxgUAAAAA&#10;">
                <v:fill on="t" focussize="0,0"/>
                <v:stroke color="#000000" miterlimit="8" joinstyle="miter"/>
                <v:imagedata o:title=""/>
                <o:lock v:ext="edit" aspectratio="f"/>
                <v:textbox>
                  <w:txbxContent>
                    <w:p>
                      <w:pPr>
                        <w:pStyle w:val="72"/>
                        <w:ind w:firstLine="0" w:firstLineChars="0"/>
                        <w:rPr>
                          <w:rFonts w:ascii="宋体" w:hAnsi="宋体"/>
                          <w:szCs w:val="28"/>
                        </w:rPr>
                      </w:pPr>
                      <w:r>
                        <w:rPr>
                          <w:rFonts w:hint="eastAsia"/>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pPr>
                        <w:pStyle w:val="72"/>
                        <w:spacing w:line="240" w:lineRule="auto"/>
                        <w:ind w:firstLine="0" w:firstLineChars="0"/>
                        <w:rPr>
                          <w:rFonts w:ascii="宋体" w:hAnsi="宋体"/>
                          <w:szCs w:val="28"/>
                        </w:rPr>
                      </w:pPr>
                      <w:r>
                        <w:rPr>
                          <w:rFonts w:hint="eastAsia" w:ascii="宋体" w:hAnsi="宋体"/>
                          <w:szCs w:val="28"/>
                        </w:rPr>
                        <w:t>特此证明。</w:t>
                      </w:r>
                    </w:p>
                    <w:p>
                      <w:pPr>
                        <w:pStyle w:val="72"/>
                        <w:spacing w:line="240" w:lineRule="auto"/>
                        <w:ind w:firstLine="0" w:firstLineChars="0"/>
                        <w:rPr>
                          <w:rFonts w:ascii="宋体" w:hAnsi="宋体"/>
                          <w:szCs w:val="28"/>
                        </w:rPr>
                      </w:pPr>
                      <w:r>
                        <w:rPr>
                          <w:rFonts w:hint="eastAsia" w:ascii="宋体" w:hAnsi="宋体"/>
                          <w:szCs w:val="28"/>
                        </w:rPr>
                        <w:t>有效期限：</w:t>
                      </w:r>
                      <w:r>
                        <w:rPr>
                          <w:rFonts w:hint="eastAsia" w:ascii="宋体" w:hAnsi="宋体"/>
                          <w:szCs w:val="28"/>
                          <w:u w:val="single"/>
                        </w:rPr>
                        <w:t xml:space="preserve">                                  </w:t>
                      </w:r>
                    </w:p>
                    <w:p>
                      <w:pPr>
                        <w:pStyle w:val="72"/>
                        <w:spacing w:line="240" w:lineRule="auto"/>
                        <w:ind w:firstLine="0" w:firstLineChars="0"/>
                        <w:rPr>
                          <w:rFonts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pPr>
                        <w:pStyle w:val="72"/>
                        <w:spacing w:line="240" w:lineRule="auto"/>
                        <w:ind w:firstLine="0" w:firstLineChars="0"/>
                        <w:rPr>
                          <w:rFonts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pPr>
                        <w:pStyle w:val="72"/>
                        <w:spacing w:line="240" w:lineRule="auto"/>
                        <w:ind w:firstLine="0" w:firstLineChars="0"/>
                        <w:rPr>
                          <w:rFonts w:ascii="宋体" w:hAnsi="宋体"/>
                          <w:szCs w:val="28"/>
                        </w:rPr>
                      </w:pPr>
                      <w:r>
                        <w:rPr>
                          <w:rFonts w:hint="eastAsia" w:ascii="宋体" w:hAnsi="宋体"/>
                          <w:szCs w:val="28"/>
                        </w:rPr>
                        <w:t>经营范围：</w:t>
                      </w:r>
                      <w:r>
                        <w:rPr>
                          <w:rFonts w:hint="eastAsia" w:ascii="宋体" w:hAnsi="宋体"/>
                          <w:szCs w:val="28"/>
                          <w:u w:val="single"/>
                        </w:rPr>
                        <w:t xml:space="preserve">                                       </w:t>
                      </w:r>
                    </w:p>
                    <w:p>
                      <w:pPr>
                        <w:pStyle w:val="72"/>
                        <w:spacing w:line="240" w:lineRule="auto"/>
                        <w:ind w:firstLine="0" w:firstLineChars="0"/>
                        <w:rPr>
                          <w:rFonts w:ascii="宋体" w:hAnsi="宋体"/>
                          <w:szCs w:val="28"/>
                        </w:rPr>
                      </w:pPr>
                      <w:r>
                        <w:rPr>
                          <w:rFonts w:hint="eastAsia" w:ascii="宋体" w:hAnsi="宋体"/>
                          <w:szCs w:val="28"/>
                        </w:rPr>
                        <w:t>　　　　　　　　　　单位：　　　　　　　　　　　（盖章）</w:t>
                      </w:r>
                    </w:p>
                    <w:p>
                      <w:pPr>
                        <w:pStyle w:val="72"/>
                        <w:spacing w:line="240" w:lineRule="auto"/>
                        <w:ind w:firstLine="0" w:firstLineChars="0"/>
                        <w:rPr>
                          <w:rFonts w:ascii="宋体" w:hAnsi="宋体"/>
                          <w:szCs w:val="28"/>
                        </w:rPr>
                      </w:pPr>
                      <w:r>
                        <w:rPr>
                          <w:rFonts w:hint="eastAsia" w:ascii="宋体" w:hAnsi="宋体"/>
                          <w:szCs w:val="28"/>
                        </w:rPr>
                        <w:t>　　　　　　　　　　　　　　　　　　　　　    年　月　　日</w:t>
                      </w:r>
                    </w:p>
                  </w:txbxContent>
                </v:textbox>
              </v:shape>
            </w:pict>
          </mc:Fallback>
        </mc:AlternateContent>
      </w:r>
    </w:p>
    <w:p>
      <w:pPr>
        <w:topLinePunct/>
        <w:adjustRightInd w:val="0"/>
        <w:snapToGrid w:val="0"/>
        <w:spacing w:line="360" w:lineRule="auto"/>
        <w:ind w:firstLine="496" w:firstLineChars="200"/>
        <w:rPr>
          <w:rFonts w:hint="default" w:ascii="Times New Roman" w:hAnsi="Times New Roman" w:eastAsia="宋体" w:cs="Times New Roman"/>
          <w:snapToGrid w:val="0"/>
          <w:color w:val="auto"/>
          <w:spacing w:val="4"/>
          <w:sz w:val="24"/>
          <w:szCs w:val="24"/>
          <w:highlight w:val="none"/>
        </w:rPr>
      </w:pPr>
    </w:p>
    <w:p>
      <w:pPr>
        <w:topLinePunct/>
        <w:adjustRightInd w:val="0"/>
        <w:snapToGrid w:val="0"/>
        <w:spacing w:line="360" w:lineRule="auto"/>
        <w:ind w:firstLine="496" w:firstLineChars="200"/>
        <w:rPr>
          <w:rFonts w:hint="default" w:ascii="Times New Roman" w:hAnsi="Times New Roman" w:eastAsia="宋体" w:cs="Times New Roman"/>
          <w:snapToGrid w:val="0"/>
          <w:color w:val="auto"/>
          <w:spacing w:val="4"/>
          <w:sz w:val="24"/>
          <w:szCs w:val="24"/>
          <w:highlight w:val="none"/>
        </w:rPr>
      </w:pPr>
    </w:p>
    <w:p>
      <w:pPr>
        <w:topLinePunct/>
        <w:adjustRightInd w:val="0"/>
        <w:snapToGrid w:val="0"/>
        <w:spacing w:line="360" w:lineRule="auto"/>
        <w:ind w:firstLine="496" w:firstLineChars="200"/>
        <w:rPr>
          <w:rFonts w:hint="default" w:ascii="Times New Roman" w:hAnsi="Times New Roman" w:eastAsia="宋体" w:cs="Times New Roman"/>
          <w:snapToGrid w:val="0"/>
          <w:color w:val="auto"/>
          <w:spacing w:val="4"/>
          <w:sz w:val="24"/>
          <w:szCs w:val="24"/>
          <w:highlight w:val="none"/>
        </w:rPr>
      </w:pPr>
    </w:p>
    <w:p>
      <w:pPr>
        <w:topLinePunct/>
        <w:adjustRightInd w:val="0"/>
        <w:snapToGrid w:val="0"/>
        <w:spacing w:line="360" w:lineRule="auto"/>
        <w:ind w:firstLine="496" w:firstLineChars="200"/>
        <w:rPr>
          <w:rFonts w:hint="default" w:ascii="Times New Roman" w:hAnsi="Times New Roman" w:eastAsia="宋体" w:cs="Times New Roman"/>
          <w:snapToGrid w:val="0"/>
          <w:color w:val="auto"/>
          <w:spacing w:val="4"/>
          <w:sz w:val="24"/>
          <w:szCs w:val="24"/>
          <w:highlight w:val="none"/>
        </w:rPr>
      </w:pPr>
    </w:p>
    <w:p>
      <w:pPr>
        <w:topLinePunct/>
        <w:adjustRightInd w:val="0"/>
        <w:snapToGrid w:val="0"/>
        <w:spacing w:line="360" w:lineRule="auto"/>
        <w:ind w:firstLine="496" w:firstLineChars="200"/>
        <w:rPr>
          <w:rFonts w:hint="default" w:ascii="Times New Roman" w:hAnsi="Times New Roman" w:eastAsia="宋体" w:cs="Times New Roman"/>
          <w:snapToGrid w:val="0"/>
          <w:color w:val="auto"/>
          <w:spacing w:val="4"/>
          <w:sz w:val="24"/>
          <w:szCs w:val="24"/>
          <w:highlight w:val="none"/>
        </w:rPr>
      </w:pPr>
    </w:p>
    <w:p>
      <w:pPr>
        <w:topLinePunct/>
        <w:adjustRightInd w:val="0"/>
        <w:snapToGrid w:val="0"/>
        <w:spacing w:line="360" w:lineRule="auto"/>
        <w:ind w:firstLine="496" w:firstLineChars="200"/>
        <w:rPr>
          <w:rFonts w:hint="default" w:ascii="Times New Roman" w:hAnsi="Times New Roman" w:eastAsia="宋体" w:cs="Times New Roman"/>
          <w:snapToGrid w:val="0"/>
          <w:color w:val="auto"/>
          <w:spacing w:val="4"/>
          <w:sz w:val="24"/>
          <w:szCs w:val="24"/>
          <w:highlight w:val="none"/>
        </w:rPr>
      </w:pPr>
    </w:p>
    <w:p>
      <w:pPr>
        <w:topLinePunct/>
        <w:adjustRightInd w:val="0"/>
        <w:snapToGrid w:val="0"/>
        <w:spacing w:line="360" w:lineRule="auto"/>
        <w:ind w:firstLine="496" w:firstLineChars="200"/>
        <w:rPr>
          <w:rFonts w:hint="default" w:ascii="Times New Roman" w:hAnsi="Times New Roman" w:eastAsia="宋体" w:cs="Times New Roman"/>
          <w:snapToGrid w:val="0"/>
          <w:color w:val="auto"/>
          <w:spacing w:val="4"/>
          <w:sz w:val="24"/>
          <w:szCs w:val="24"/>
          <w:highlight w:val="none"/>
        </w:rPr>
      </w:pPr>
    </w:p>
    <w:p>
      <w:pPr>
        <w:topLinePunct/>
        <w:adjustRightInd w:val="0"/>
        <w:snapToGrid w:val="0"/>
        <w:spacing w:line="360" w:lineRule="auto"/>
        <w:ind w:firstLine="496" w:firstLineChars="200"/>
        <w:rPr>
          <w:rFonts w:hint="default" w:ascii="Times New Roman" w:hAnsi="Times New Roman" w:eastAsia="宋体" w:cs="Times New Roman"/>
          <w:snapToGrid w:val="0"/>
          <w:color w:val="auto"/>
          <w:spacing w:val="4"/>
          <w:sz w:val="24"/>
          <w:szCs w:val="24"/>
          <w:highlight w:val="none"/>
        </w:rPr>
      </w:pPr>
    </w:p>
    <w:p>
      <w:pPr>
        <w:topLinePunct/>
        <w:adjustRightInd w:val="0"/>
        <w:snapToGrid w:val="0"/>
        <w:spacing w:line="360" w:lineRule="auto"/>
        <w:rPr>
          <w:rFonts w:hint="default" w:ascii="Times New Roman" w:hAnsi="Times New Roman" w:eastAsia="宋体" w:cs="Times New Roman"/>
          <w:snapToGrid w:val="0"/>
          <w:color w:val="auto"/>
          <w:spacing w:val="4"/>
          <w:sz w:val="24"/>
          <w:szCs w:val="24"/>
          <w:highlight w:val="none"/>
        </w:rPr>
      </w:pPr>
    </w:p>
    <w:p>
      <w:pPr>
        <w:topLinePunct/>
        <w:adjustRightInd w:val="0"/>
        <w:snapToGrid w:val="0"/>
        <w:spacing w:line="360" w:lineRule="auto"/>
        <w:rPr>
          <w:rFonts w:hint="default" w:ascii="Times New Roman" w:hAnsi="Times New Roman" w:eastAsia="宋体" w:cs="Times New Roman"/>
          <w:snapToGrid w:val="0"/>
          <w:color w:val="auto"/>
          <w:spacing w:val="4"/>
          <w:sz w:val="24"/>
          <w:szCs w:val="24"/>
          <w:highlight w:val="none"/>
        </w:rPr>
      </w:pPr>
    </w:p>
    <w:p>
      <w:pPr>
        <w:topLinePunct/>
        <w:adjustRightInd w:val="0"/>
        <w:snapToGrid w:val="0"/>
        <w:ind w:firstLine="496" w:firstLineChars="200"/>
        <w:rPr>
          <w:rFonts w:hint="default" w:ascii="Times New Roman" w:hAnsi="Times New Roman" w:eastAsia="宋体" w:cs="Times New Roman"/>
          <w:snapToGrid w:val="0"/>
          <w:color w:val="auto"/>
          <w:spacing w:val="4"/>
          <w:sz w:val="24"/>
          <w:szCs w:val="24"/>
          <w:highlight w:val="none"/>
        </w:rPr>
      </w:pPr>
    </w:p>
    <w:p>
      <w:pPr>
        <w:topLinePunct/>
        <w:adjustRightInd w:val="0"/>
        <w:snapToGrid w:val="0"/>
        <w:ind w:firstLine="496" w:firstLineChars="200"/>
        <w:rPr>
          <w:rFonts w:hint="default" w:ascii="Times New Roman" w:hAnsi="Times New Roman" w:eastAsia="宋体" w:cs="Times New Roman"/>
          <w:snapToGrid w:val="0"/>
          <w:color w:val="auto"/>
          <w:spacing w:val="4"/>
          <w:sz w:val="24"/>
          <w:szCs w:val="24"/>
          <w:highlight w:val="none"/>
        </w:rPr>
      </w:pPr>
      <w:r>
        <w:rPr>
          <w:rFonts w:hint="default" w:ascii="Times New Roman" w:hAnsi="Times New Roman" w:eastAsia="宋体" w:cs="Times New Roman"/>
          <w:snapToGrid w:val="0"/>
          <w:color w:val="auto"/>
          <w:spacing w:val="4"/>
          <w:sz w:val="24"/>
          <w:szCs w:val="24"/>
          <w:highlight w:val="none"/>
        </w:rPr>
        <w:t>（2）法定代表人授权委托书</w:t>
      </w:r>
    </w:p>
    <w:p>
      <w:pPr>
        <w:topLinePunct/>
        <w:adjustRightInd w:val="0"/>
        <w:snapToGrid w:val="0"/>
        <w:ind w:firstLine="420" w:firstLineChars="200"/>
        <w:rPr>
          <w:rFonts w:hint="default" w:ascii="Times New Roman" w:hAnsi="Times New Roman" w:eastAsia="宋体" w:cs="Times New Roman"/>
          <w:snapToGrid w:val="0"/>
          <w:color w:val="auto"/>
          <w:spacing w:val="4"/>
          <w:sz w:val="24"/>
          <w:szCs w:val="24"/>
          <w:highlight w:val="none"/>
        </w:rPr>
      </w:pPr>
      <w:r>
        <w:rPr>
          <w:rFonts w:hint="default" w:ascii="Times New Roman" w:hAnsi="Times New Roman" w:eastAsia="宋体" w:cs="Times New Roman"/>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80645</wp:posOffset>
                </wp:positionV>
                <wp:extent cx="5583555" cy="2748915"/>
                <wp:effectExtent l="4445" t="4445" r="12700" b="8890"/>
                <wp:wrapNone/>
                <wp:docPr id="32"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5791200" cy="2748915"/>
                        </a:xfrm>
                        <a:prstGeom prst="rect">
                          <a:avLst/>
                        </a:prstGeom>
                        <a:solidFill>
                          <a:srgbClr val="FFFFFF"/>
                        </a:solidFill>
                        <a:ln w="9525">
                          <a:solidFill>
                            <a:srgbClr val="000000"/>
                          </a:solidFill>
                          <a:miter lim="800000"/>
                        </a:ln>
                        <a:effectLst/>
                      </wps:spPr>
                      <wps:txbx>
                        <w:txbxContent>
                          <w:p>
                            <w:pPr>
                              <w:pStyle w:val="72"/>
                              <w:ind w:firstLine="0" w:firstLineChars="0"/>
                              <w:rPr>
                                <w:rFonts w:ascii="宋体" w:hAnsi="宋体"/>
                              </w:rPr>
                            </w:pPr>
                            <w:r>
                              <w:rPr>
                                <w:rFonts w:hint="eastAsia" w:ascii="宋体" w:hAnsi="宋体"/>
                              </w:rPr>
                              <w:t>兹授权</w:t>
                            </w:r>
                            <w:r>
                              <w:rPr>
                                <w:rFonts w:ascii="宋体" w:hAnsi="宋体"/>
                                <w:u w:val="single"/>
                              </w:rPr>
                              <w:t xml:space="preserve">                </w:t>
                            </w:r>
                            <w:r>
                              <w:rPr>
                                <w:rFonts w:hint="eastAsia" w:ascii="宋体" w:hAnsi="宋体"/>
                              </w:rPr>
                              <w:t>为我方委托代理人，其权限是：</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72"/>
                              <w:spacing w:line="240" w:lineRule="auto"/>
                              <w:ind w:firstLine="0" w:firstLineChars="0"/>
                              <w:rPr>
                                <w:rFonts w:ascii="宋体" w:hAnsi="宋体"/>
                              </w:rPr>
                            </w:pPr>
                            <w:r>
                              <w:rPr>
                                <w:rFonts w:hint="eastAsia" w:ascii="宋体" w:hAnsi="宋体"/>
                              </w:rPr>
                              <w:t>有效期限：</w:t>
                            </w:r>
                            <w:r>
                              <w:rPr>
                                <w:rFonts w:ascii="宋体" w:hAnsi="宋体"/>
                                <w:u w:val="single"/>
                              </w:rPr>
                              <w:t xml:space="preserve">                                                   </w:t>
                            </w:r>
                            <w:r>
                              <w:rPr>
                                <w:rFonts w:hint="eastAsia" w:ascii="宋体" w:hAnsi="宋体"/>
                                <w:u w:val="single"/>
                              </w:rPr>
                              <w:t xml:space="preserve">     </w:t>
                            </w:r>
                          </w:p>
                          <w:p>
                            <w:pPr>
                              <w:pStyle w:val="72"/>
                              <w:spacing w:line="240" w:lineRule="auto"/>
                              <w:ind w:firstLine="0" w:firstLineChars="0"/>
                              <w:rPr>
                                <w:rFonts w:ascii="宋体" w:hAnsi="宋体"/>
                              </w:rPr>
                            </w:pPr>
                            <w:r>
                              <w:rPr>
                                <w:rFonts w:hint="eastAsia" w:ascii="宋体" w:hAnsi="宋体"/>
                              </w:rPr>
                              <w:t>附：代理人性别：</w:t>
                            </w:r>
                            <w:r>
                              <w:rPr>
                                <w:rFonts w:ascii="宋体" w:hAnsi="宋体"/>
                                <w:u w:val="single"/>
                              </w:rPr>
                              <w:t xml:space="preserve">     </w:t>
                            </w:r>
                            <w:r>
                              <w:rPr>
                                <w:rFonts w:hint="eastAsia" w:ascii="宋体" w:hAnsi="宋体"/>
                              </w:rPr>
                              <w:t>年龄：</w:t>
                            </w:r>
                            <w:r>
                              <w:rPr>
                                <w:rFonts w:ascii="宋体" w:hAnsi="宋体"/>
                                <w:u w:val="single"/>
                              </w:rPr>
                              <w:t xml:space="preserve">     </w:t>
                            </w:r>
                            <w:r>
                              <w:rPr>
                                <w:rFonts w:hint="eastAsia" w:ascii="宋体" w:hAnsi="宋体"/>
                              </w:rPr>
                              <w:t>身份证号码：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72"/>
                              <w:spacing w:line="240" w:lineRule="auto"/>
                              <w:ind w:firstLine="0" w:firstLineChars="0"/>
                              <w:rPr>
                                <w:rFonts w:ascii="宋体" w:hAnsi="宋体"/>
                              </w:rPr>
                            </w:pPr>
                            <w:r>
                              <w:rPr>
                                <w:rFonts w:hint="eastAsia" w:ascii="宋体" w:hAnsi="宋体"/>
                              </w:rPr>
                              <w:t>注册号码：</w:t>
                            </w:r>
                            <w:r>
                              <w:rPr>
                                <w:rFonts w:ascii="宋体" w:hAnsi="宋体"/>
                                <w:u w:val="single"/>
                              </w:rPr>
                              <w:t xml:space="preserve">                  </w:t>
                            </w:r>
                            <w:r>
                              <w:rPr>
                                <w:rFonts w:hint="eastAsia" w:ascii="宋体" w:hAnsi="宋体"/>
                              </w:rPr>
                              <w:t>企业类型：</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72"/>
                              <w:spacing w:line="240" w:lineRule="auto"/>
                              <w:ind w:firstLine="0" w:firstLineChars="0"/>
                              <w:rPr>
                                <w:rFonts w:ascii="宋体" w:hAnsi="宋体"/>
                              </w:rPr>
                            </w:pPr>
                            <w:r>
                              <w:rPr>
                                <w:rFonts w:hint="eastAsia" w:ascii="宋体" w:hAnsi="宋体"/>
                              </w:rPr>
                              <w:t>经营范围：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72"/>
                              <w:spacing w:line="240" w:lineRule="auto"/>
                              <w:ind w:firstLine="0" w:firstLineChars="0"/>
                              <w:rPr>
                                <w:rFonts w:ascii="宋体" w:hAnsi="宋体"/>
                              </w:rPr>
                            </w:pPr>
                            <w:r>
                              <w:rPr>
                                <w:rFonts w:hint="eastAsia" w:ascii="宋体" w:hAnsi="宋体"/>
                              </w:rPr>
                              <w:t>法定代表人（负责人）：</w:t>
                            </w:r>
                            <w:r>
                              <w:rPr>
                                <w:rFonts w:ascii="宋体" w:hAnsi="宋体"/>
                                <w:u w:val="single"/>
                              </w:rPr>
                              <w:t xml:space="preserve">                 </w:t>
                            </w:r>
                            <w:r>
                              <w:rPr>
                                <w:rFonts w:hint="eastAsia" w:ascii="宋体" w:hAnsi="宋体"/>
                              </w:rPr>
                              <w:t>（签字或盖章）</w:t>
                            </w:r>
                          </w:p>
                          <w:p>
                            <w:pPr>
                              <w:pStyle w:val="72"/>
                              <w:spacing w:line="240" w:lineRule="auto"/>
                              <w:ind w:firstLine="0" w:firstLineChars="0"/>
                              <w:rPr>
                                <w:rFonts w:ascii="宋体" w:hAnsi="宋体"/>
                              </w:rPr>
                            </w:pPr>
                            <w:r>
                              <w:rPr>
                                <w:rFonts w:hint="eastAsia" w:ascii="宋体" w:hAnsi="宋体"/>
                              </w:rPr>
                              <w:t>授权单位：（盖章）</w:t>
                            </w:r>
                            <w:r>
                              <w:rPr>
                                <w:rFonts w:ascii="宋体" w:hAnsi="宋体"/>
                                <w:u w:val="single"/>
                              </w:rPr>
                              <w:t xml:space="preserve">                      </w:t>
                            </w:r>
                          </w:p>
                          <w:p>
                            <w:pPr>
                              <w:pStyle w:val="72"/>
                              <w:spacing w:line="240" w:lineRule="auto"/>
                              <w:ind w:firstLine="496"/>
                              <w:rPr>
                                <w:rFonts w:ascii="宋体" w:hAns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6.35pt;height:216.45pt;width:439.65pt;z-index:251660288;mso-width-relative:page;mso-height-relative:page;" fillcolor="#FFFFFF" filled="t" stroked="t" coordsize="21600,21600" o:gfxdata="UEsDBAoAAAAAAIdO4kAAAAAAAAAAAAAAAAAEAAAAZHJzL1BLAwQUAAAACACHTuJA+7N1k9gAAAAI&#10;AQAADwAAAGRycy9kb3ducmV2LnhtbE2PwU7DMBBE70j8g7VIXBB12oQ0hDg9IIHgVkpVrm6yTSLs&#10;dbDdtPw9ywmOOzOafVOtztaICX0YHCmYzxIQSI1rB+oUbN+fbgsQIWpqtXGECr4xwKq+vKh02boT&#10;veG0iZ3gEgqlVtDHOJZShqZHq8PMjUjsHZy3OvLpO9l6feJya+QiSXJp9UD8odcjPvbYfG6OVkGR&#10;vUwf4TVd75r8YO7jzXJ6/vJKXV/NkwcQEc/xLwy/+IwONTPt3ZHaIIyCLOUgy4slCLaLIs1B7FnP&#10;7nKQdSX/D6h/AFBLAwQUAAAACACHTuJA+MvYuS0CAABKBAAADgAAAGRycy9lMm9Eb2MueG1srVRN&#10;rtMwEN4jcQfLe5qmtLSNmj49+lSE9PiRHhzAcZzGwvEY221SDgA3YMWGPefqORg7eaX8bRBZWB7P&#10;+JuZ7xtnddU1ihyEdRJ0TtPRmBKhOZRS73L69s320YIS55kumQItcnoUjl6tHz5YtSYTE6hBlcIS&#10;BNEua01Oa+9NliSO16JhbgRGaHRWYBvm0bS7pLSsRfRGJZPx+EnSgi2NBS6cw9Ob3knXEb+qBPev&#10;qsoJT1ROsTYfVxvXIqzJesWynWWmlnwog/1DFQ2TGpOeoW6YZ2Rv5W9QjeQWHFR+xKFJoKokF7EH&#10;7CYd/9LNXc2MiL0gOc6caXL/D5a/PLy2RJY5fTyhRLMGNTp9/nT68u309SPBMySoNS7DuDuDkb57&#10;Ch0KHZt15hb4O0c0bGqmd+LaWmhrwUosMA03k4urPY4LIEX7AkpMxPYeIlBX2Sawh3wQREehjmdx&#10;ROcJx8PZfJmi4pRw9E3m08UyncUcLLu/bqzzzwQ0JGxyalH9CM8Ot86Hclh2HxKyOVCy3EqlomF3&#10;xUZZcmA4Kdv4Deg/hSlN2pwuZ5NZz8BfIcbx+xNEIz2OvJJNTheXQUqHOkQc2qHeQF9grOfOd0U3&#10;yFFAeUQiLfQDjQ8QNzXYD5S0OMw5de/3zApK1HONYizT6TRMfzSms/kEDXvpKS49THOEyqmnpN9u&#10;fP9i9sbKXY2Zevk1XKOAlYzUhlL7qgbZcWAj48PjCi/i0o5RP34B6+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7s3WT2AAAAAgBAAAPAAAAAAAAAAEAIAAAACIAAABkcnMvZG93bnJldi54bWxQSwEC&#10;FAAUAAAACACHTuJA+MvYuS0CAABKBAAADgAAAAAAAAABACAAAAAnAQAAZHJzL2Uyb0RvYy54bWxQ&#10;SwUGAAAAAAYABgBZAQAAxgUAAAAA&#10;">
                <v:fill on="t" focussize="0,0"/>
                <v:stroke color="#000000" miterlimit="8" joinstyle="miter"/>
                <v:imagedata o:title=""/>
                <o:lock v:ext="edit" aspectratio="f"/>
                <v:textbox>
                  <w:txbxContent>
                    <w:p>
                      <w:pPr>
                        <w:pStyle w:val="72"/>
                        <w:ind w:firstLine="0" w:firstLineChars="0"/>
                        <w:rPr>
                          <w:rFonts w:ascii="宋体" w:hAnsi="宋体"/>
                        </w:rPr>
                      </w:pPr>
                      <w:r>
                        <w:rPr>
                          <w:rFonts w:hint="eastAsia" w:ascii="宋体" w:hAnsi="宋体"/>
                        </w:rPr>
                        <w:t>兹授权</w:t>
                      </w:r>
                      <w:r>
                        <w:rPr>
                          <w:rFonts w:ascii="宋体" w:hAnsi="宋体"/>
                          <w:u w:val="single"/>
                        </w:rPr>
                        <w:t xml:space="preserve">                </w:t>
                      </w:r>
                      <w:r>
                        <w:rPr>
                          <w:rFonts w:hint="eastAsia" w:ascii="宋体" w:hAnsi="宋体"/>
                        </w:rPr>
                        <w:t>为我方委托代理人，其权限是：</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72"/>
                        <w:spacing w:line="240" w:lineRule="auto"/>
                        <w:ind w:firstLine="0" w:firstLineChars="0"/>
                        <w:rPr>
                          <w:rFonts w:ascii="宋体" w:hAnsi="宋体"/>
                        </w:rPr>
                      </w:pPr>
                      <w:r>
                        <w:rPr>
                          <w:rFonts w:hint="eastAsia" w:ascii="宋体" w:hAnsi="宋体"/>
                        </w:rPr>
                        <w:t>有效期限：</w:t>
                      </w:r>
                      <w:r>
                        <w:rPr>
                          <w:rFonts w:ascii="宋体" w:hAnsi="宋体"/>
                          <w:u w:val="single"/>
                        </w:rPr>
                        <w:t xml:space="preserve">                                                   </w:t>
                      </w:r>
                      <w:r>
                        <w:rPr>
                          <w:rFonts w:hint="eastAsia" w:ascii="宋体" w:hAnsi="宋体"/>
                          <w:u w:val="single"/>
                        </w:rPr>
                        <w:t xml:space="preserve">     </w:t>
                      </w:r>
                    </w:p>
                    <w:p>
                      <w:pPr>
                        <w:pStyle w:val="72"/>
                        <w:spacing w:line="240" w:lineRule="auto"/>
                        <w:ind w:firstLine="0" w:firstLineChars="0"/>
                        <w:rPr>
                          <w:rFonts w:ascii="宋体" w:hAnsi="宋体"/>
                        </w:rPr>
                      </w:pPr>
                      <w:r>
                        <w:rPr>
                          <w:rFonts w:hint="eastAsia" w:ascii="宋体" w:hAnsi="宋体"/>
                        </w:rPr>
                        <w:t>附：代理人性别：</w:t>
                      </w:r>
                      <w:r>
                        <w:rPr>
                          <w:rFonts w:ascii="宋体" w:hAnsi="宋体"/>
                          <w:u w:val="single"/>
                        </w:rPr>
                        <w:t xml:space="preserve">     </w:t>
                      </w:r>
                      <w:r>
                        <w:rPr>
                          <w:rFonts w:hint="eastAsia" w:ascii="宋体" w:hAnsi="宋体"/>
                        </w:rPr>
                        <w:t>年龄：</w:t>
                      </w:r>
                      <w:r>
                        <w:rPr>
                          <w:rFonts w:ascii="宋体" w:hAnsi="宋体"/>
                          <w:u w:val="single"/>
                        </w:rPr>
                        <w:t xml:space="preserve">     </w:t>
                      </w:r>
                      <w:r>
                        <w:rPr>
                          <w:rFonts w:hint="eastAsia" w:ascii="宋体" w:hAnsi="宋体"/>
                        </w:rPr>
                        <w:t>身份证号码：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72"/>
                        <w:spacing w:line="240" w:lineRule="auto"/>
                        <w:ind w:firstLine="0" w:firstLineChars="0"/>
                        <w:rPr>
                          <w:rFonts w:ascii="宋体" w:hAnsi="宋体"/>
                        </w:rPr>
                      </w:pPr>
                      <w:r>
                        <w:rPr>
                          <w:rFonts w:hint="eastAsia" w:ascii="宋体" w:hAnsi="宋体"/>
                        </w:rPr>
                        <w:t>注册号码：</w:t>
                      </w:r>
                      <w:r>
                        <w:rPr>
                          <w:rFonts w:ascii="宋体" w:hAnsi="宋体"/>
                          <w:u w:val="single"/>
                        </w:rPr>
                        <w:t xml:space="preserve">                  </w:t>
                      </w:r>
                      <w:r>
                        <w:rPr>
                          <w:rFonts w:hint="eastAsia" w:ascii="宋体" w:hAnsi="宋体"/>
                        </w:rPr>
                        <w:t>企业类型：</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72"/>
                        <w:spacing w:line="240" w:lineRule="auto"/>
                        <w:ind w:firstLine="0" w:firstLineChars="0"/>
                        <w:rPr>
                          <w:rFonts w:ascii="宋体" w:hAnsi="宋体"/>
                        </w:rPr>
                      </w:pPr>
                      <w:r>
                        <w:rPr>
                          <w:rFonts w:hint="eastAsia" w:ascii="宋体" w:hAnsi="宋体"/>
                        </w:rPr>
                        <w:t>经营范围：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72"/>
                        <w:spacing w:line="240" w:lineRule="auto"/>
                        <w:ind w:firstLine="0" w:firstLineChars="0"/>
                        <w:rPr>
                          <w:rFonts w:ascii="宋体" w:hAnsi="宋体"/>
                        </w:rPr>
                      </w:pPr>
                      <w:r>
                        <w:rPr>
                          <w:rFonts w:hint="eastAsia" w:ascii="宋体" w:hAnsi="宋体"/>
                        </w:rPr>
                        <w:t>法定代表人（负责人）：</w:t>
                      </w:r>
                      <w:r>
                        <w:rPr>
                          <w:rFonts w:ascii="宋体" w:hAnsi="宋体"/>
                          <w:u w:val="single"/>
                        </w:rPr>
                        <w:t xml:space="preserve">                 </w:t>
                      </w:r>
                      <w:r>
                        <w:rPr>
                          <w:rFonts w:hint="eastAsia" w:ascii="宋体" w:hAnsi="宋体"/>
                        </w:rPr>
                        <w:t>（签字或盖章）</w:t>
                      </w:r>
                    </w:p>
                    <w:p>
                      <w:pPr>
                        <w:pStyle w:val="72"/>
                        <w:spacing w:line="240" w:lineRule="auto"/>
                        <w:ind w:firstLine="0" w:firstLineChars="0"/>
                        <w:rPr>
                          <w:rFonts w:ascii="宋体" w:hAnsi="宋体"/>
                        </w:rPr>
                      </w:pPr>
                      <w:r>
                        <w:rPr>
                          <w:rFonts w:hint="eastAsia" w:ascii="宋体" w:hAnsi="宋体"/>
                        </w:rPr>
                        <w:t>授权单位：（盖章）</w:t>
                      </w:r>
                      <w:r>
                        <w:rPr>
                          <w:rFonts w:ascii="宋体" w:hAnsi="宋体"/>
                          <w:u w:val="single"/>
                        </w:rPr>
                        <w:t xml:space="preserve">                      </w:t>
                      </w:r>
                    </w:p>
                    <w:p>
                      <w:pPr>
                        <w:pStyle w:val="72"/>
                        <w:spacing w:line="240" w:lineRule="auto"/>
                        <w:ind w:firstLine="496"/>
                        <w:rPr>
                          <w:rFonts w:ascii="宋体" w:hAns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xbxContent>
                </v:textbox>
              </v:shape>
            </w:pict>
          </mc:Fallback>
        </mc:AlternateContent>
      </w:r>
      <w:r>
        <w:rPr>
          <w:rFonts w:hint="default" w:ascii="Times New Roman" w:hAnsi="Times New Roman" w:eastAsia="宋体" w:cs="Times New Roman"/>
          <w:snapToGrid w:val="0"/>
          <w:color w:val="auto"/>
          <w:spacing w:val="4"/>
          <w:sz w:val="24"/>
          <w:szCs w:val="24"/>
          <w:highlight w:val="none"/>
        </w:rPr>
        <w:t xml:space="preserve">                                                 </w:t>
      </w:r>
    </w:p>
    <w:p>
      <w:pPr>
        <w:topLinePunct/>
        <w:adjustRightInd w:val="0"/>
        <w:snapToGrid w:val="0"/>
        <w:spacing w:line="360" w:lineRule="auto"/>
        <w:ind w:firstLine="496" w:firstLineChars="200"/>
        <w:rPr>
          <w:rFonts w:hint="default" w:ascii="Times New Roman" w:hAnsi="Times New Roman" w:eastAsia="宋体" w:cs="Times New Roman"/>
          <w:snapToGrid w:val="0"/>
          <w:color w:val="auto"/>
          <w:spacing w:val="4"/>
          <w:sz w:val="24"/>
          <w:szCs w:val="24"/>
          <w:highlight w:val="none"/>
        </w:rPr>
      </w:pPr>
    </w:p>
    <w:p>
      <w:pPr>
        <w:topLinePunct/>
        <w:adjustRightInd w:val="0"/>
        <w:snapToGrid w:val="0"/>
        <w:spacing w:line="360" w:lineRule="auto"/>
        <w:ind w:firstLine="496" w:firstLineChars="200"/>
        <w:rPr>
          <w:rFonts w:hint="default" w:ascii="Times New Roman" w:hAnsi="Times New Roman" w:eastAsia="宋体" w:cs="Times New Roman"/>
          <w:snapToGrid w:val="0"/>
          <w:color w:val="auto"/>
          <w:spacing w:val="4"/>
          <w:sz w:val="24"/>
          <w:szCs w:val="24"/>
          <w:highlight w:val="none"/>
        </w:rPr>
      </w:pPr>
    </w:p>
    <w:p>
      <w:pPr>
        <w:topLinePunct/>
        <w:adjustRightInd w:val="0"/>
        <w:snapToGrid w:val="0"/>
        <w:spacing w:line="360" w:lineRule="auto"/>
        <w:ind w:firstLine="496" w:firstLineChars="200"/>
        <w:rPr>
          <w:rFonts w:hint="default" w:ascii="Times New Roman" w:hAnsi="Times New Roman" w:eastAsia="宋体" w:cs="Times New Roman"/>
          <w:snapToGrid w:val="0"/>
          <w:color w:val="auto"/>
          <w:spacing w:val="4"/>
          <w:sz w:val="24"/>
          <w:szCs w:val="24"/>
          <w:highlight w:val="none"/>
        </w:rPr>
      </w:pPr>
    </w:p>
    <w:p>
      <w:pPr>
        <w:topLinePunct/>
        <w:adjustRightInd w:val="0"/>
        <w:snapToGrid w:val="0"/>
        <w:spacing w:line="360" w:lineRule="auto"/>
        <w:ind w:firstLine="496" w:firstLineChars="200"/>
        <w:rPr>
          <w:rFonts w:hint="default" w:ascii="Times New Roman" w:hAnsi="Times New Roman" w:eastAsia="宋体" w:cs="Times New Roman"/>
          <w:snapToGrid w:val="0"/>
          <w:color w:val="auto"/>
          <w:spacing w:val="4"/>
          <w:sz w:val="24"/>
          <w:szCs w:val="24"/>
          <w:highlight w:val="none"/>
        </w:rPr>
      </w:pPr>
    </w:p>
    <w:p>
      <w:pPr>
        <w:topLinePunct/>
        <w:adjustRightInd w:val="0"/>
        <w:snapToGrid w:val="0"/>
        <w:spacing w:line="360" w:lineRule="auto"/>
        <w:ind w:firstLine="496" w:firstLineChars="200"/>
        <w:rPr>
          <w:rFonts w:hint="default" w:ascii="Times New Roman" w:hAnsi="Times New Roman" w:eastAsia="宋体" w:cs="Times New Roman"/>
          <w:snapToGrid w:val="0"/>
          <w:color w:val="auto"/>
          <w:spacing w:val="4"/>
          <w:sz w:val="24"/>
          <w:szCs w:val="24"/>
          <w:highlight w:val="none"/>
        </w:rPr>
      </w:pPr>
    </w:p>
    <w:p>
      <w:pPr>
        <w:topLinePunct/>
        <w:adjustRightInd w:val="0"/>
        <w:snapToGrid w:val="0"/>
        <w:spacing w:line="360" w:lineRule="auto"/>
        <w:ind w:firstLine="496" w:firstLineChars="200"/>
        <w:rPr>
          <w:rFonts w:hint="default" w:ascii="Times New Roman" w:hAnsi="Times New Roman" w:eastAsia="宋体" w:cs="Times New Roman"/>
          <w:snapToGrid w:val="0"/>
          <w:color w:val="auto"/>
          <w:spacing w:val="4"/>
          <w:sz w:val="24"/>
          <w:szCs w:val="24"/>
          <w:highlight w:val="none"/>
        </w:rPr>
      </w:pPr>
    </w:p>
    <w:p>
      <w:pPr>
        <w:topLinePunct/>
        <w:adjustRightInd w:val="0"/>
        <w:snapToGrid w:val="0"/>
        <w:spacing w:line="360" w:lineRule="auto"/>
        <w:ind w:firstLine="496" w:firstLineChars="200"/>
        <w:rPr>
          <w:rFonts w:hint="default" w:ascii="Times New Roman" w:hAnsi="Times New Roman" w:eastAsia="宋体" w:cs="Times New Roman"/>
          <w:snapToGrid w:val="0"/>
          <w:color w:val="auto"/>
          <w:spacing w:val="4"/>
          <w:sz w:val="24"/>
          <w:szCs w:val="24"/>
          <w:highlight w:val="none"/>
        </w:rPr>
      </w:pPr>
    </w:p>
    <w:p>
      <w:pPr>
        <w:topLinePunct/>
        <w:adjustRightInd w:val="0"/>
        <w:snapToGrid w:val="0"/>
        <w:spacing w:line="360" w:lineRule="auto"/>
        <w:ind w:firstLine="496" w:firstLineChars="200"/>
        <w:rPr>
          <w:rFonts w:hint="default" w:ascii="Times New Roman" w:hAnsi="Times New Roman" w:eastAsia="宋体" w:cs="Times New Roman"/>
          <w:snapToGrid w:val="0"/>
          <w:color w:val="auto"/>
          <w:spacing w:val="4"/>
          <w:sz w:val="24"/>
          <w:szCs w:val="24"/>
          <w:highlight w:val="none"/>
        </w:rPr>
      </w:pPr>
    </w:p>
    <w:p>
      <w:pPr>
        <w:topLinePunct/>
        <w:adjustRightInd w:val="0"/>
        <w:snapToGrid w:val="0"/>
        <w:spacing w:line="360" w:lineRule="auto"/>
        <w:ind w:firstLine="496" w:firstLineChars="200"/>
        <w:rPr>
          <w:rFonts w:hint="default" w:ascii="Times New Roman" w:hAnsi="Times New Roman" w:eastAsia="宋体" w:cs="Times New Roman"/>
          <w:snapToGrid w:val="0"/>
          <w:color w:val="auto"/>
          <w:spacing w:val="4"/>
          <w:sz w:val="24"/>
          <w:szCs w:val="24"/>
          <w:highlight w:val="none"/>
        </w:rPr>
      </w:pPr>
    </w:p>
    <w:p>
      <w:pPr>
        <w:topLinePunct/>
        <w:adjustRightInd w:val="0"/>
        <w:snapToGrid w:val="0"/>
        <w:spacing w:line="360" w:lineRule="auto"/>
        <w:rPr>
          <w:rFonts w:hint="default" w:ascii="Times New Roman" w:hAnsi="Times New Roman" w:eastAsia="宋体" w:cs="Times New Roman"/>
          <w:snapToGrid w:val="0"/>
          <w:color w:val="auto"/>
          <w:spacing w:val="4"/>
          <w:sz w:val="24"/>
          <w:szCs w:val="24"/>
          <w:highlight w:val="none"/>
        </w:rPr>
      </w:pPr>
    </w:p>
    <w:p>
      <w:pPr>
        <w:rPr>
          <w:rFonts w:hint="default" w:ascii="Times New Roman" w:hAnsi="Times New Roman" w:eastAsia="宋体" w:cs="Times New Roman"/>
          <w:snapToGrid w:val="0"/>
          <w:color w:val="auto"/>
          <w:spacing w:val="4"/>
          <w:kern w:val="0"/>
          <w:szCs w:val="21"/>
          <w:highlight w:val="none"/>
        </w:rPr>
      </w:pPr>
      <w:r>
        <w:rPr>
          <w:rFonts w:hint="default" w:ascii="Times New Roman" w:hAnsi="Times New Roman" w:eastAsia="宋体" w:cs="Times New Roman"/>
          <w:snapToGrid w:val="0"/>
          <w:color w:val="auto"/>
          <w:spacing w:val="4"/>
          <w:kern w:val="0"/>
          <w:szCs w:val="21"/>
          <w:highlight w:val="none"/>
        </w:rPr>
        <w:t>注：按提供的格式或使用从工商管理部门购买的格式填写。</w:t>
      </w:r>
    </w:p>
    <w:p>
      <w:pPr>
        <w:pStyle w:val="11"/>
        <w:rPr>
          <w:rFonts w:hint="default" w:ascii="Times New Roman" w:hAnsi="Times New Roman" w:eastAsia="宋体" w:cs="Times New Roman"/>
          <w:snapToGrid w:val="0"/>
          <w:color w:val="auto"/>
          <w:spacing w:val="4"/>
          <w:szCs w:val="21"/>
          <w:highlight w:val="none"/>
        </w:rPr>
      </w:pPr>
    </w:p>
    <w:p>
      <w:pPr>
        <w:widowControl/>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rPr>
          <w:rFonts w:hint="default" w:ascii="Times New Roman" w:hAnsi="Times New Roman" w:eastAsia="宋体" w:cs="Times New Roman"/>
          <w:color w:val="auto"/>
          <w:highlight w:val="none"/>
        </w:rPr>
      </w:pP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snapToGrid w:val="0"/>
          <w:color w:val="auto"/>
          <w:spacing w:val="4"/>
          <w:kern w:val="0"/>
          <w:sz w:val="24"/>
          <w:szCs w:val="21"/>
          <w:highlight w:val="none"/>
        </w:rPr>
        <w:t>技术部分格式</w:t>
      </w:r>
      <w:r>
        <w:rPr>
          <w:rFonts w:hint="default" w:ascii="Times New Roman" w:hAnsi="Times New Roman" w:eastAsia="宋体" w:cs="Times New Roman"/>
          <w:b/>
          <w:bCs/>
          <w:snapToGrid w:val="0"/>
          <w:color w:val="auto"/>
          <w:spacing w:val="4"/>
          <w:kern w:val="0"/>
          <w:sz w:val="24"/>
          <w:szCs w:val="21"/>
          <w:highlight w:val="none"/>
          <w:lang w:val="en-US" w:eastAsia="zh-CN"/>
        </w:rPr>
        <w:t>7</w:t>
      </w:r>
      <w:r>
        <w:rPr>
          <w:rFonts w:hint="default" w:ascii="Times New Roman" w:hAnsi="Times New Roman" w:eastAsia="宋体" w:cs="Times New Roman"/>
          <w:b/>
          <w:bCs/>
          <w:snapToGrid w:val="0"/>
          <w:color w:val="auto"/>
          <w:spacing w:val="4"/>
          <w:kern w:val="0"/>
          <w:sz w:val="24"/>
          <w:szCs w:val="21"/>
          <w:highlight w:val="none"/>
        </w:rPr>
        <w:t>：</w:t>
      </w:r>
    </w:p>
    <w:p>
      <w:pPr>
        <w:tabs>
          <w:tab w:val="left" w:pos="720"/>
        </w:tabs>
        <w:snapToGrid w:val="0"/>
        <w:spacing w:line="360" w:lineRule="auto"/>
        <w:jc w:val="center"/>
        <w:rPr>
          <w:rFonts w:hint="default" w:ascii="Times New Roman" w:hAnsi="Times New Roman" w:eastAsia="宋体" w:cs="Times New Roman"/>
          <w:b/>
          <w:color w:val="auto"/>
          <w:sz w:val="32"/>
          <w:szCs w:val="32"/>
          <w:highlight w:val="none"/>
        </w:rPr>
      </w:pPr>
    </w:p>
    <w:p>
      <w:pPr>
        <w:tabs>
          <w:tab w:val="left" w:pos="0"/>
        </w:tabs>
        <w:snapToGrid w:val="0"/>
        <w:spacing w:line="360" w:lineRule="auto"/>
        <w:jc w:val="center"/>
        <w:rPr>
          <w:rFonts w:hint="default" w:ascii="Times New Roman" w:hAnsi="Times New Roman" w:eastAsia="宋体" w:cs="Times New Roman"/>
          <w:b/>
          <w:color w:val="auto"/>
          <w:sz w:val="32"/>
          <w:szCs w:val="32"/>
          <w:highlight w:val="none"/>
        </w:rPr>
      </w:pPr>
      <w:r>
        <w:rPr>
          <w:rFonts w:hint="default" w:ascii="Times New Roman" w:hAnsi="Times New Roman" w:eastAsia="宋体" w:cs="Times New Roman"/>
          <w:b/>
          <w:color w:val="auto"/>
          <w:sz w:val="32"/>
          <w:szCs w:val="32"/>
          <w:highlight w:val="none"/>
        </w:rPr>
        <w:t>参与编制技术标投标文件人员名单</w:t>
      </w:r>
    </w:p>
    <w:tbl>
      <w:tblPr>
        <w:tblStyle w:val="49"/>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504"/>
        <w:gridCol w:w="2013"/>
        <w:gridCol w:w="226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8642"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29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职务</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所承担工作</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身份证号码</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29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9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u w:val="singl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9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9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9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9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29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29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spacing w:line="360" w:lineRule="auto"/>
              <w:jc w:val="center"/>
              <w:rPr>
                <w:rFonts w:hint="default" w:ascii="Times New Roman" w:hAnsi="Times New Roman" w:eastAsia="宋体" w:cs="Times New Roman"/>
                <w:color w:val="auto"/>
                <w:szCs w:val="21"/>
                <w:highlight w:val="none"/>
              </w:rPr>
            </w:pPr>
          </w:p>
        </w:tc>
      </w:tr>
    </w:tbl>
    <w:p>
      <w:pPr>
        <w:tabs>
          <w:tab w:val="left" w:pos="720"/>
        </w:tabs>
        <w:snapToGrid w:val="0"/>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注：参与编制技术标书所有人员名单应包括如编制技术投标方案、负责清样校对、负责打印及复印等所有人员在内的人员名单。</w:t>
      </w:r>
    </w:p>
    <w:p>
      <w:pPr>
        <w:autoSpaceDE w:val="0"/>
        <w:autoSpaceDN w:val="0"/>
        <w:adjustRightInd w:val="0"/>
        <w:rPr>
          <w:rFonts w:hint="default" w:ascii="Times New Roman" w:hAnsi="Times New Roman" w:eastAsia="宋体" w:cs="Times New Roman"/>
          <w:color w:val="auto"/>
          <w:szCs w:val="21"/>
          <w:highlight w:val="none"/>
        </w:rPr>
      </w:pPr>
    </w:p>
    <w:p>
      <w:pPr>
        <w:spacing w:line="360" w:lineRule="auto"/>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color w:val="auto"/>
          <w:szCs w:val="21"/>
          <w:highlight w:val="none"/>
        </w:rPr>
        <w:br w:type="page"/>
      </w:r>
      <w:r>
        <w:rPr>
          <w:rFonts w:hint="default" w:ascii="Times New Roman" w:hAnsi="Times New Roman" w:eastAsia="宋体" w:cs="Times New Roman"/>
          <w:b/>
          <w:bCs/>
          <w:snapToGrid w:val="0"/>
          <w:color w:val="auto"/>
          <w:spacing w:val="4"/>
          <w:kern w:val="0"/>
          <w:sz w:val="24"/>
          <w:szCs w:val="21"/>
          <w:highlight w:val="none"/>
        </w:rPr>
        <w:t>技术部分格式</w:t>
      </w:r>
      <w:r>
        <w:rPr>
          <w:rFonts w:hint="default" w:ascii="Times New Roman" w:hAnsi="Times New Roman" w:eastAsia="宋体" w:cs="Times New Roman"/>
          <w:b/>
          <w:bCs/>
          <w:snapToGrid w:val="0"/>
          <w:color w:val="auto"/>
          <w:spacing w:val="4"/>
          <w:kern w:val="0"/>
          <w:sz w:val="24"/>
          <w:szCs w:val="21"/>
          <w:highlight w:val="none"/>
          <w:lang w:val="en-US" w:eastAsia="zh-CN"/>
        </w:rPr>
        <w:t>8</w:t>
      </w:r>
      <w:r>
        <w:rPr>
          <w:rFonts w:hint="default" w:ascii="Times New Roman" w:hAnsi="Times New Roman" w:eastAsia="宋体" w:cs="Times New Roman"/>
          <w:b/>
          <w:color w:val="auto"/>
          <w:spacing w:val="4"/>
          <w:kern w:val="0"/>
          <w:sz w:val="24"/>
          <w:szCs w:val="24"/>
          <w:highlight w:val="none"/>
          <w:lang w:val="zh-CN"/>
        </w:rPr>
        <w:t>：危险性较大的分部分项工程安全管理措施</w:t>
      </w:r>
    </w:p>
    <w:p>
      <w:pPr>
        <w:rPr>
          <w:rFonts w:hint="default" w:ascii="Times New Roman" w:hAnsi="Times New Roman" w:eastAsia="宋体" w:cs="Times New Roman"/>
          <w:color w:val="auto"/>
          <w:highlight w:val="none"/>
        </w:rPr>
      </w:pPr>
    </w:p>
    <w:p>
      <w:pPr>
        <w:spacing w:line="360" w:lineRule="auto"/>
        <w:jc w:val="center"/>
        <w:rPr>
          <w:rFonts w:hint="default" w:ascii="Times New Roman" w:hAnsi="Times New Roman" w:eastAsia="宋体" w:cs="Times New Roman"/>
          <w:b/>
          <w:color w:val="auto"/>
          <w:sz w:val="36"/>
          <w:szCs w:val="36"/>
          <w:highlight w:val="none"/>
        </w:rPr>
      </w:pPr>
      <w:bookmarkStart w:id="69" w:name="_Hlk117756596"/>
      <w:r>
        <w:rPr>
          <w:rFonts w:hint="default" w:ascii="Times New Roman" w:hAnsi="Times New Roman" w:eastAsia="宋体" w:cs="Times New Roman"/>
          <w:b/>
          <w:color w:val="auto"/>
          <w:sz w:val="36"/>
          <w:szCs w:val="36"/>
          <w:highlight w:val="none"/>
        </w:rPr>
        <w:t>危险性较大的分部分项工程安全管理措施</w:t>
      </w:r>
      <w:bookmarkEnd w:id="69"/>
    </w:p>
    <w:p>
      <w:pPr>
        <w:numPr>
          <w:ilvl w:val="0"/>
          <w:numId w:val="2"/>
        </w:numPr>
        <w:autoSpaceDE w:val="0"/>
        <w:autoSpaceDN w:val="0"/>
        <w:adjustRightInd w:val="0"/>
        <w:spacing w:line="360" w:lineRule="auto"/>
        <w:jc w:val="left"/>
        <w:rPr>
          <w:rFonts w:hint="default" w:ascii="Times New Roman" w:hAnsi="Times New Roman" w:eastAsia="宋体" w:cs="Times New Roman"/>
          <w:snapToGrid w:val="0"/>
          <w:color w:val="auto"/>
          <w:spacing w:val="4"/>
          <w:kern w:val="0"/>
          <w:sz w:val="24"/>
          <w:szCs w:val="24"/>
          <w:highlight w:val="none"/>
        </w:rPr>
      </w:pPr>
      <w:r>
        <w:rPr>
          <w:rFonts w:hint="default" w:ascii="Times New Roman" w:hAnsi="Times New Roman" w:eastAsia="宋体" w:cs="Times New Roman"/>
          <w:color w:val="auto"/>
          <w:sz w:val="24"/>
          <w:szCs w:val="28"/>
          <w:highlight w:val="none"/>
        </w:rPr>
        <w:t>根据中华人民共和国住房和城乡建设部令第37号《危险性较大的分部分项工程安全管理规定》（以下简称“37号文”），投标人在投标时须补充完善危大工程清单并</w:t>
      </w:r>
      <w:r>
        <w:rPr>
          <w:rFonts w:hint="default" w:ascii="Times New Roman" w:hAnsi="Times New Roman" w:eastAsia="宋体" w:cs="Times New Roman"/>
          <w:snapToGrid w:val="0"/>
          <w:color w:val="auto"/>
          <w:spacing w:val="4"/>
          <w:kern w:val="0"/>
          <w:sz w:val="24"/>
          <w:szCs w:val="24"/>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pPr>
        <w:numPr>
          <w:ilvl w:val="0"/>
          <w:numId w:val="2"/>
        </w:numPr>
        <w:autoSpaceDE w:val="0"/>
        <w:autoSpaceDN w:val="0"/>
        <w:adjustRightInd w:val="0"/>
        <w:spacing w:line="360" w:lineRule="auto"/>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招标人根据设计文件的要求及37号文的规定列出“危险性较大的分部分项工程清单及超过一定规模的危险性较大的分部分项工程清单”中与本招标项目相关的清单项，具体详见第5点“打</w:t>
      </w:r>
      <w:r>
        <w:rPr>
          <w:rFonts w:hint="default" w:ascii="Times New Roman" w:hAnsi="Times New Roman" w:eastAsia="宋体" w:cs="Times New Roman"/>
          <w:color w:val="auto"/>
          <w:sz w:val="24"/>
          <w:szCs w:val="36"/>
          <w:highlight w:val="none"/>
        </w:rPr>
        <w:t>√”标识。</w:t>
      </w:r>
    </w:p>
    <w:p>
      <w:pPr>
        <w:numPr>
          <w:ilvl w:val="0"/>
          <w:numId w:val="3"/>
        </w:numPr>
        <w:autoSpaceDE w:val="0"/>
        <w:autoSpaceDN w:val="0"/>
        <w:adjustRightInd w:val="0"/>
        <w:spacing w:line="360" w:lineRule="auto"/>
        <w:jc w:val="left"/>
        <w:rPr>
          <w:rFonts w:hint="default" w:ascii="Times New Roman" w:hAnsi="Times New Roman" w:eastAsia="宋体" w:cs="Times New Roman"/>
          <w:color w:val="auto"/>
          <w:sz w:val="24"/>
          <w:szCs w:val="36"/>
          <w:highlight w:val="none"/>
        </w:rPr>
      </w:pPr>
      <w:r>
        <w:rPr>
          <w:rFonts w:hint="default" w:ascii="Times New Roman" w:hAnsi="Times New Roman" w:eastAsia="宋体" w:cs="Times New Roman"/>
          <w:color w:val="auto"/>
          <w:sz w:val="24"/>
          <w:szCs w:val="28"/>
          <w:highlight w:val="none"/>
        </w:rPr>
        <w:t>投标单位同意招标人在清单中标识的该项请在对应项打“</w:t>
      </w:r>
      <w:r>
        <w:rPr>
          <w:rFonts w:hint="default" w:ascii="Times New Roman" w:hAnsi="Times New Roman" w:eastAsia="宋体" w:cs="Times New Roman"/>
          <w:color w:val="auto"/>
          <w:sz w:val="24"/>
          <w:szCs w:val="36"/>
          <w:highlight w:val="none"/>
        </w:rPr>
        <w:t>√”标识，并在投标文件中提供相应的安全管理措施。</w:t>
      </w:r>
    </w:p>
    <w:p>
      <w:pPr>
        <w:numPr>
          <w:ilvl w:val="0"/>
          <w:numId w:val="3"/>
        </w:numPr>
        <w:autoSpaceDE w:val="0"/>
        <w:autoSpaceDN w:val="0"/>
        <w:adjustRightInd w:val="0"/>
        <w:spacing w:line="360" w:lineRule="auto"/>
        <w:jc w:val="left"/>
        <w:rPr>
          <w:rFonts w:hint="default" w:ascii="Times New Roman" w:hAnsi="Times New Roman" w:eastAsia="宋体" w:cs="Times New Roman"/>
          <w:color w:val="auto"/>
          <w:sz w:val="24"/>
          <w:szCs w:val="36"/>
          <w:highlight w:val="none"/>
        </w:rPr>
      </w:pPr>
      <w:r>
        <w:rPr>
          <w:rFonts w:hint="default" w:ascii="Times New Roman" w:hAnsi="Times New Roman" w:eastAsia="宋体" w:cs="Times New Roman"/>
          <w:color w:val="auto"/>
          <w:sz w:val="24"/>
          <w:szCs w:val="28"/>
          <w:highlight w:val="none"/>
        </w:rPr>
        <w:t>投标单位对清单中认为需要补充的该项请在对应项打“</w:t>
      </w:r>
      <w:r>
        <w:rPr>
          <w:rFonts w:hint="default" w:ascii="Times New Roman" w:hAnsi="Times New Roman" w:eastAsia="宋体" w:cs="Times New Roman"/>
          <w:color w:val="auto"/>
          <w:sz w:val="24"/>
          <w:szCs w:val="36"/>
          <w:highlight w:val="none"/>
        </w:rPr>
        <w:t>√”标识，并在投标文件中提供相应的安全管理措施。</w:t>
      </w:r>
    </w:p>
    <w:p>
      <w:pPr>
        <w:numPr>
          <w:ilvl w:val="0"/>
          <w:numId w:val="3"/>
        </w:numPr>
        <w:autoSpaceDE w:val="0"/>
        <w:autoSpaceDN w:val="0"/>
        <w:adjustRightInd w:val="0"/>
        <w:spacing w:line="360" w:lineRule="auto"/>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36"/>
          <w:highlight w:val="none"/>
        </w:rPr>
        <w:t>投标单位不同意招标人</w:t>
      </w:r>
      <w:r>
        <w:rPr>
          <w:rFonts w:hint="default" w:ascii="Times New Roman" w:hAnsi="Times New Roman" w:eastAsia="宋体" w:cs="Times New Roman"/>
          <w:color w:val="auto"/>
          <w:sz w:val="24"/>
          <w:szCs w:val="28"/>
          <w:highlight w:val="none"/>
        </w:rPr>
        <w:t>在清单中标识的该项</w:t>
      </w:r>
      <w:r>
        <w:rPr>
          <w:rFonts w:hint="default" w:ascii="Times New Roman" w:hAnsi="Times New Roman" w:eastAsia="宋体" w:cs="Times New Roman"/>
          <w:color w:val="auto"/>
          <w:sz w:val="24"/>
          <w:szCs w:val="36"/>
          <w:highlight w:val="none"/>
        </w:rPr>
        <w:t>请在对应项打“×”标识，并在备注栏填上相关说明。</w:t>
      </w:r>
    </w:p>
    <w:p>
      <w:pPr>
        <w:numPr>
          <w:ilvl w:val="0"/>
          <w:numId w:val="2"/>
        </w:numPr>
        <w:autoSpaceDE w:val="0"/>
        <w:autoSpaceDN w:val="0"/>
        <w:adjustRightInd w:val="0"/>
        <w:spacing w:line="360" w:lineRule="auto"/>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投标单位应当在投标时根据招标人提供的下述第5点清单，在投标文件中编制专项施工方案。</w:t>
      </w:r>
    </w:p>
    <w:p>
      <w:pPr>
        <w:numPr>
          <w:ilvl w:val="0"/>
          <w:numId w:val="2"/>
        </w:numPr>
        <w:autoSpaceDE w:val="0"/>
        <w:autoSpaceDN w:val="0"/>
        <w:adjustRightInd w:val="0"/>
        <w:spacing w:line="360" w:lineRule="auto"/>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numPr>
          <w:ilvl w:val="0"/>
          <w:numId w:val="2"/>
        </w:numPr>
        <w:autoSpaceDE w:val="0"/>
        <w:autoSpaceDN w:val="0"/>
        <w:adjustRightInd w:val="0"/>
        <w:spacing w:line="360" w:lineRule="auto"/>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危险性较大的分部分项工程清单及超过一定规模的危险性较大的分部分项工程清单：</w:t>
      </w:r>
    </w:p>
    <w:p>
      <w:pPr>
        <w:autoSpaceDE w:val="0"/>
        <w:autoSpaceDN w:val="0"/>
        <w:adjustRightInd w:val="0"/>
        <w:spacing w:line="360" w:lineRule="auto"/>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br w:type="page"/>
      </w:r>
    </w:p>
    <w:tbl>
      <w:tblPr>
        <w:tblStyle w:val="49"/>
        <w:tblW w:w="85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1361"/>
        <w:gridCol w:w="1361"/>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4786"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276" w:lineRule="auto"/>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危险性较大的分部分项工程清单</w:t>
            </w:r>
          </w:p>
        </w:tc>
        <w:tc>
          <w:tcPr>
            <w:tcW w:w="1361" w:type="dxa"/>
            <w:tcBorders>
              <w:top w:val="single" w:color="auto" w:sz="4" w:space="0"/>
              <w:left w:val="nil"/>
              <w:bottom w:val="single" w:color="auto" w:sz="4" w:space="0"/>
              <w:right w:val="single" w:color="auto" w:sz="4" w:space="0"/>
            </w:tcBorders>
            <w:shd w:val="clear" w:color="auto" w:fill="D9D9D9"/>
            <w:noWrap w:val="0"/>
            <w:vAlign w:val="center"/>
          </w:tcPr>
          <w:p>
            <w:pPr>
              <w:spacing w:line="276" w:lineRule="auto"/>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招标人</w:t>
            </w:r>
          </w:p>
        </w:tc>
        <w:tc>
          <w:tcPr>
            <w:tcW w:w="1361" w:type="dxa"/>
            <w:tcBorders>
              <w:top w:val="single" w:color="auto" w:sz="4" w:space="0"/>
              <w:left w:val="nil"/>
              <w:bottom w:val="single" w:color="auto" w:sz="4" w:space="0"/>
              <w:right w:val="single" w:color="auto" w:sz="4" w:space="0"/>
            </w:tcBorders>
            <w:shd w:val="clear" w:color="auto" w:fill="D9D9D9"/>
            <w:noWrap w:val="0"/>
            <w:vAlign w:val="center"/>
          </w:tcPr>
          <w:p>
            <w:pPr>
              <w:spacing w:line="276" w:lineRule="auto"/>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投标单位</w:t>
            </w:r>
          </w:p>
        </w:tc>
        <w:tc>
          <w:tcPr>
            <w:tcW w:w="1063" w:type="dxa"/>
            <w:tcBorders>
              <w:top w:val="single" w:color="auto" w:sz="4" w:space="0"/>
              <w:left w:val="nil"/>
              <w:bottom w:val="single" w:color="auto" w:sz="4" w:space="0"/>
              <w:right w:val="single" w:color="auto" w:sz="4" w:space="0"/>
            </w:tcBorders>
            <w:shd w:val="clear" w:color="auto" w:fill="D9D9D9"/>
            <w:noWrap w:val="0"/>
            <w:vAlign w:val="center"/>
          </w:tcPr>
          <w:p>
            <w:pPr>
              <w:spacing w:line="276" w:lineRule="auto"/>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71"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一、基坑支护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（一）开挖深度超过3m（含3m）的基坑（槽）的土方开挖、支护、降水工程。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sz w:val="21"/>
                <w:szCs w:val="22"/>
                <w:highlight w:val="none"/>
              </w:rPr>
              <w:t>√</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（二）开挖深度虽未超过3m，但地质条件、周围环境和地下管线复杂，或影响毗邻建、构筑物安全的基坑（槽）的土方开挖、支护、降水工程。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b/>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71"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highlight w:val="none"/>
              </w:rPr>
              <w:t>二、模板工程及支撑体系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（一）各类工具式模板工程：包括滑模、爬模、飞模、隧道模等工程。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以施工组织设计为准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（三）承重支撑体系：用于钢结构安装等满堂支撑体系。</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71"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highlight w:val="none"/>
              </w:rPr>
              <w:t>三、起重吊装及起重机械安装拆卸工程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（一）采用非常规起重设备、方法，且单件起吊重量在10kN及以上的起重吊装工程。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（二）采用起重机械进行安装的工程。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b/>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（三）起重机械安装和拆卸工程。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71"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highlight w:val="none"/>
              </w:rPr>
              <w:t>四、脚手架工程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（一）搭设高度24m及以上的落地式钢管脚手架工程（包括采光井、电梯井脚手架）。</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（二）附着式升降脚手架工程。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以施工组织设计为准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（三）悬挑式脚手架工程。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b/>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以施工组织设计为准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（四）高处作业吊篮。</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（五）卸料平台、操作平台工程。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b/>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（六）异型脚手架工程。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71"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highlight w:val="none"/>
              </w:rPr>
              <w:t>五、拆除工程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可能影响行人、交通、电力设施、通讯设施或其它建、构筑物安全的拆除工程。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sz w:val="21"/>
                <w:szCs w:val="22"/>
                <w:highlight w:val="none"/>
              </w:rPr>
              <w:t>√</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71"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highlight w:val="none"/>
              </w:rPr>
              <w:t>六、暗挖工程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采用矿山法、盾构法、顶管法施工的隧道、洞室工程。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71"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highlight w:val="none"/>
              </w:rPr>
              <w:t>七、其它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（一）建筑幕墙安装工程。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（二）钢结构、网架和索膜结构安装工程。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sz w:val="21"/>
                <w:szCs w:val="22"/>
                <w:highlight w:val="none"/>
              </w:rPr>
              <w:t>√</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（三）人工挖孔桩工程。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（四）水下作业工程。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b/>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（五）装配式建筑混凝土预制构件安装工程。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b/>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（六）采用新技术、新工艺、新材料、新设备可能影响工程施工安全，尚无国家、行业及地方技术标准的分部分项工程。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b/>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4786"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276" w:lineRule="auto"/>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超过一定规模的危险性较大的分部分项工程清单</w:t>
            </w:r>
          </w:p>
        </w:tc>
        <w:tc>
          <w:tcPr>
            <w:tcW w:w="1361" w:type="dxa"/>
            <w:tcBorders>
              <w:top w:val="single" w:color="auto" w:sz="4" w:space="0"/>
              <w:left w:val="nil"/>
              <w:bottom w:val="single" w:color="auto" w:sz="4" w:space="0"/>
              <w:right w:val="single" w:color="auto" w:sz="4" w:space="0"/>
            </w:tcBorders>
            <w:shd w:val="clear" w:color="auto" w:fill="D9D9D9"/>
            <w:noWrap w:val="0"/>
            <w:vAlign w:val="center"/>
          </w:tcPr>
          <w:p>
            <w:pPr>
              <w:spacing w:line="276" w:lineRule="auto"/>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招标人</w:t>
            </w:r>
          </w:p>
        </w:tc>
        <w:tc>
          <w:tcPr>
            <w:tcW w:w="1361" w:type="dxa"/>
            <w:tcBorders>
              <w:top w:val="single" w:color="auto" w:sz="4" w:space="0"/>
              <w:left w:val="nil"/>
              <w:bottom w:val="single" w:color="auto" w:sz="4" w:space="0"/>
              <w:right w:val="single" w:color="auto" w:sz="4" w:space="0"/>
            </w:tcBorders>
            <w:shd w:val="clear" w:color="auto" w:fill="D9D9D9"/>
            <w:noWrap w:val="0"/>
            <w:vAlign w:val="center"/>
          </w:tcPr>
          <w:p>
            <w:pPr>
              <w:spacing w:line="276" w:lineRule="auto"/>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投标单位</w:t>
            </w:r>
          </w:p>
        </w:tc>
        <w:tc>
          <w:tcPr>
            <w:tcW w:w="1063" w:type="dxa"/>
            <w:tcBorders>
              <w:top w:val="single" w:color="auto" w:sz="4" w:space="0"/>
              <w:left w:val="nil"/>
              <w:bottom w:val="single" w:color="auto" w:sz="4" w:space="0"/>
              <w:right w:val="single" w:color="auto" w:sz="4" w:space="0"/>
            </w:tcBorders>
            <w:shd w:val="clear" w:color="auto" w:fill="D9D9D9"/>
            <w:noWrap w:val="0"/>
            <w:vAlign w:val="center"/>
          </w:tcPr>
          <w:p>
            <w:pPr>
              <w:spacing w:line="276" w:lineRule="auto"/>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71"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一、深基坑工程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开挖深度超过5m（含5m）的基坑（槽）的土方开挖、支护、降水工程。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b/>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71"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highlight w:val="none"/>
              </w:rPr>
              <w:t>二、模板工程及支撑体系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（一）各类工具式模板工程：包括滑模、爬模、飞模、隧道模等工程。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b/>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以施工组织设计为准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（二）混凝土模板支撑工程：搭设高度8m及以上，或搭设跨度18m及以上，或施工总荷载（设计值）15kN/m2及以上，或集中线荷载（设计值）20kN/m及以上。</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以施工组织设计为准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（三）承重支撑体系：用于钢结构安装等满堂支撑体系，承受单点集中荷载7kN及以上。</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b/>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71"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highlight w:val="none"/>
              </w:rPr>
              <w:t>三、起重吊装及起重机械安装拆卸工程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（一）采用非常规起重设备、方法，且单件起吊重量在100kN及以上的起重吊装工程。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b/>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以施工组织设计为准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（二）起重量300kN及以上，或搭设总高度200m及以上，或搭设基础标高在200m及以上的起重机械安装和拆卸工程。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以施工组织设计为准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71"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四、脚手架工程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（一）搭设高度50m及以上的落地式钢管脚手架工程。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以施工组织设计为准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（二）提升高度在150m及以上的附着式升降脚手架工程或附着式升降操作平台工程。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b/>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（三）分段架体搭设高度20m及以上的悬挑式脚手架工程。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71"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五、拆除工程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（一）码头、桥梁、高架、烟囱、水塔或拆除中容易引起有毒有害气（液）体或粉尘扩散、易燃易爆事故发生的特殊建、构筑物的拆除工程。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以施工组织设计为准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（二）文物保护建筑、优秀历史建筑或历史文化风貌区影响范围内的拆除工程。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b/>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71"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六、暗挖工程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采用矿山法、盾构法、顶管法施工的隧道、洞室工程。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b/>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71"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七、其它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（一）施工高度50m及以上的建筑幕墙安装工程。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b/>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以施工组织设计为准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（二）跨度36m及以上的钢结构安装工程，或跨度60m及以上的网架和索膜结构安装工程。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（三）开挖深度16m及以上的人工挖孔桩工程。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（四）水下作业工程。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b/>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（五）重量1000kN及以上的大型结构整体顶升、平移、转体等施工工艺。</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（六）采用新技术、新工艺、新材料、新设备可能影响工程施工安全，尚无国家、行业及地方技术标准的分部分项工程。</w:t>
            </w: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b/>
                <w:color w:val="auto"/>
                <w:highlight w:val="none"/>
              </w:rPr>
            </w:pPr>
          </w:p>
        </w:tc>
        <w:tc>
          <w:tcPr>
            <w:tcW w:w="1361"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c>
          <w:tcPr>
            <w:tcW w:w="1063"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default" w:ascii="Times New Roman" w:hAnsi="Times New Roman" w:eastAsia="宋体" w:cs="Times New Roman"/>
                <w:color w:val="auto"/>
                <w:highlight w:val="none"/>
              </w:rPr>
            </w:pPr>
          </w:p>
        </w:tc>
      </w:tr>
    </w:tbl>
    <w:p>
      <w:pPr>
        <w:topLinePunct/>
        <w:adjustRightInd w:val="0"/>
        <w:snapToGrid w:val="0"/>
        <w:spacing w:line="360" w:lineRule="auto"/>
        <w:ind w:firstLine="691" w:firstLineChars="279"/>
        <w:rPr>
          <w:rFonts w:hint="default" w:ascii="Times New Roman" w:hAnsi="Times New Roman" w:eastAsia="宋体" w:cs="Times New Roman"/>
          <w:snapToGrid w:val="0"/>
          <w:color w:val="auto"/>
          <w:spacing w:val="4"/>
          <w:kern w:val="0"/>
          <w:sz w:val="24"/>
          <w:szCs w:val="24"/>
          <w:highlight w:val="none"/>
        </w:rPr>
      </w:pPr>
    </w:p>
    <w:p>
      <w:pPr>
        <w:spacing w:line="360" w:lineRule="auto"/>
        <w:ind w:firstLine="3480" w:firstLineChars="145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投标人名称（盖法人公章）：</w:t>
      </w:r>
    </w:p>
    <w:p>
      <w:pPr>
        <w:spacing w:line="360" w:lineRule="auto"/>
        <w:ind w:firstLine="3480" w:firstLineChars="145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法定代表人或被授权人（签字或盖章）：</w:t>
      </w:r>
    </w:p>
    <w:p>
      <w:pPr>
        <w:spacing w:line="360" w:lineRule="auto"/>
        <w:ind w:firstLine="3480" w:firstLineChars="145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日期：</w:t>
      </w:r>
    </w:p>
    <w:p>
      <w:pPr>
        <w:rPr>
          <w:rFonts w:hint="default" w:ascii="Times New Roman" w:hAnsi="Times New Roman" w:eastAsia="宋体" w:cs="Times New Roman"/>
          <w:color w:val="auto"/>
          <w:highlight w:val="none"/>
        </w:rPr>
      </w:pPr>
    </w:p>
    <w:p>
      <w:pPr>
        <w:spacing w:line="360" w:lineRule="auto"/>
        <w:ind w:firstLine="3480" w:firstLineChars="1450"/>
        <w:jc w:val="left"/>
        <w:rPr>
          <w:rFonts w:hint="default" w:ascii="Times New Roman" w:hAnsi="Times New Roman" w:eastAsia="宋体" w:cs="Times New Roman"/>
          <w:color w:val="auto"/>
          <w:sz w:val="24"/>
          <w:szCs w:val="24"/>
          <w:highlight w:val="none"/>
        </w:rPr>
      </w:pPr>
    </w:p>
    <w:p>
      <w:pPr>
        <w:spacing w:line="360" w:lineRule="auto"/>
        <w:rPr>
          <w:rFonts w:hint="default" w:ascii="Times New Roman" w:hAnsi="Times New Roman" w:eastAsia="宋体" w:cs="Times New Roman"/>
          <w:b/>
          <w:bCs/>
          <w:snapToGrid w:val="0"/>
          <w:color w:val="auto"/>
          <w:spacing w:val="4"/>
          <w:kern w:val="0"/>
          <w:sz w:val="24"/>
          <w:szCs w:val="21"/>
          <w:highlight w:val="none"/>
        </w:rPr>
      </w:pPr>
      <w:r>
        <w:rPr>
          <w:rFonts w:hint="default" w:ascii="Times New Roman" w:hAnsi="Times New Roman" w:eastAsia="宋体" w:cs="Times New Roman"/>
          <w:color w:val="auto"/>
          <w:highlight w:val="none"/>
        </w:rPr>
        <w:br w:type="page"/>
      </w:r>
      <w:bookmarkEnd w:id="64"/>
      <w:bookmarkEnd w:id="65"/>
      <w:bookmarkEnd w:id="66"/>
      <w:bookmarkEnd w:id="67"/>
      <w:bookmarkEnd w:id="68"/>
    </w:p>
    <w:p>
      <w:pPr>
        <w:spacing w:line="360" w:lineRule="auto"/>
        <w:rPr>
          <w:rFonts w:hint="default" w:ascii="Times New Roman" w:hAnsi="Times New Roman" w:eastAsia="宋体" w:cs="Times New Roman"/>
          <w:bCs/>
          <w:color w:val="auto"/>
          <w:highlight w:val="none"/>
        </w:rPr>
      </w:pPr>
      <w:r>
        <w:rPr>
          <w:rFonts w:hint="default" w:ascii="Times New Roman" w:hAnsi="Times New Roman" w:eastAsia="宋体" w:cs="Times New Roman"/>
          <w:b/>
          <w:bCs/>
          <w:snapToGrid w:val="0"/>
          <w:color w:val="auto"/>
          <w:spacing w:val="4"/>
          <w:kern w:val="0"/>
          <w:sz w:val="24"/>
          <w:szCs w:val="21"/>
          <w:highlight w:val="none"/>
        </w:rPr>
        <w:t>技术部分格式</w:t>
      </w:r>
      <w:r>
        <w:rPr>
          <w:rFonts w:hint="default" w:ascii="Times New Roman" w:hAnsi="Times New Roman" w:eastAsia="宋体" w:cs="Times New Roman"/>
          <w:b/>
          <w:bCs/>
          <w:snapToGrid w:val="0"/>
          <w:color w:val="auto"/>
          <w:spacing w:val="4"/>
          <w:kern w:val="0"/>
          <w:sz w:val="24"/>
          <w:szCs w:val="21"/>
          <w:highlight w:val="none"/>
          <w:lang w:val="en-US" w:eastAsia="zh-CN"/>
        </w:rPr>
        <w:t>9</w:t>
      </w:r>
      <w:r>
        <w:rPr>
          <w:rFonts w:hint="default" w:ascii="Times New Roman" w:hAnsi="Times New Roman" w:eastAsia="宋体" w:cs="Times New Roman"/>
          <w:b/>
          <w:bCs/>
          <w:snapToGrid w:val="0"/>
          <w:color w:val="auto"/>
          <w:spacing w:val="4"/>
          <w:kern w:val="0"/>
          <w:sz w:val="24"/>
          <w:szCs w:val="21"/>
          <w:highlight w:val="none"/>
        </w:rPr>
        <w:t>：</w:t>
      </w:r>
      <w:r>
        <w:rPr>
          <w:rFonts w:hint="default" w:ascii="Times New Roman" w:hAnsi="Times New Roman" w:eastAsia="宋体" w:cs="Times New Roman"/>
          <w:b/>
          <w:color w:val="auto"/>
          <w:spacing w:val="4"/>
          <w:sz w:val="24"/>
          <w:szCs w:val="24"/>
          <w:highlight w:val="none"/>
        </w:rPr>
        <w:t>投标人认为应该提供的其他资料</w:t>
      </w:r>
    </w:p>
    <w:p>
      <w:pPr>
        <w:jc w:val="center"/>
        <w:rPr>
          <w:rFonts w:hint="default" w:ascii="Times New Roman" w:hAnsi="Times New Roman" w:eastAsia="宋体" w:cs="Times New Roman"/>
          <w:color w:val="auto"/>
          <w:sz w:val="24"/>
          <w:szCs w:val="24"/>
          <w:highlight w:val="none"/>
          <w:u w:val="single"/>
        </w:rPr>
      </w:pPr>
    </w:p>
    <w:p>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color w:val="auto"/>
          <w:sz w:val="24"/>
          <w:szCs w:val="24"/>
          <w:highlight w:val="none"/>
          <w:u w:val="single"/>
        </w:rPr>
        <w:t>（由投标人根据要求自行编制）</w:t>
      </w:r>
    </w:p>
    <w:p>
      <w:pPr>
        <w:rPr>
          <w:rFonts w:hint="default" w:ascii="Times New Roman" w:hAnsi="Times New Roman" w:eastAsia="宋体" w:cs="Times New Roman"/>
          <w:color w:val="auto"/>
          <w:highlight w:val="none"/>
        </w:rPr>
      </w:pPr>
    </w:p>
    <w:p>
      <w:pPr>
        <w:pStyle w:val="83"/>
        <w:keepNext w:val="0"/>
        <w:keepLines w:val="0"/>
        <w:pageBreakBefore w:val="0"/>
        <w:widowControl/>
        <w:kinsoku/>
        <w:wordWrap/>
        <w:overflowPunct/>
        <w:topLinePunct/>
        <w:autoSpaceDE/>
        <w:autoSpaceDN/>
        <w:bidi w:val="0"/>
        <w:adjustRightInd w:val="0"/>
        <w:snapToGrid w:val="0"/>
        <w:spacing w:beforeLines="0" w:afterLines="0" w:line="360" w:lineRule="auto"/>
        <w:textAlignment w:val="auto"/>
        <w:outlineLvl w:val="9"/>
        <w:rPr>
          <w:rFonts w:hint="default" w:ascii="Times New Roman" w:hAnsi="Times New Roman" w:eastAsia="宋体" w:cs="Times New Roman"/>
          <w:snapToGrid w:val="0"/>
          <w:color w:val="auto"/>
          <w:highlight w:val="none"/>
        </w:rPr>
      </w:pPr>
      <w:bookmarkStart w:id="70" w:name="_Toc14697650"/>
      <w:bookmarkStart w:id="71" w:name="_Toc291101119"/>
      <w:bookmarkStart w:id="72" w:name="_Toc395261100"/>
      <w:bookmarkStart w:id="73" w:name="_Toc352240524"/>
      <w:bookmarkStart w:id="74" w:name="_Toc248650371"/>
      <w:bookmarkStart w:id="75" w:name="_Toc358370579"/>
      <w:bookmarkStart w:id="76" w:name="_Toc62134857"/>
      <w:bookmarkStart w:id="77" w:name="_Toc254961556"/>
      <w:bookmarkStart w:id="78" w:name="_Toc369536771"/>
      <w:bookmarkStart w:id="79" w:name="_Toc504722506"/>
      <w:bookmarkStart w:id="80" w:name="_Toc464131225"/>
      <w:bookmarkStart w:id="81" w:name="_Toc20655"/>
      <w:bookmarkStart w:id="82" w:name="_Toc226209004"/>
      <w:bookmarkStart w:id="83" w:name="_Toc337720092"/>
      <w:bookmarkStart w:id="84" w:name="_Toc352623422"/>
      <w:bookmarkStart w:id="85" w:name="_Toc449308421"/>
      <w:bookmarkStart w:id="86" w:name="_Toc4489938"/>
      <w:r>
        <w:rPr>
          <w:rFonts w:hint="default" w:ascii="Times New Roman" w:hAnsi="Times New Roman" w:eastAsia="宋体" w:cs="Times New Roman"/>
          <w:b w:val="0"/>
          <w:color w:val="auto"/>
          <w:kern w:val="44"/>
          <w:highlight w:val="none"/>
        </w:rPr>
        <w:br w:type="page"/>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topLinePunct/>
        <w:adjustRightInd w:val="0"/>
        <w:snapToGrid w:val="0"/>
        <w:spacing w:line="360" w:lineRule="auto"/>
        <w:ind w:firstLine="496" w:firstLineChars="200"/>
        <w:rPr>
          <w:rFonts w:hint="default" w:ascii="Times New Roman" w:hAnsi="Times New Roman" w:eastAsia="宋体" w:cs="Times New Roman"/>
          <w:snapToGrid w:val="0"/>
          <w:color w:val="auto"/>
          <w:spacing w:val="4"/>
          <w:kern w:val="0"/>
          <w:sz w:val="24"/>
          <w:szCs w:val="24"/>
          <w:highlight w:val="none"/>
        </w:rPr>
      </w:pPr>
    </w:p>
    <w:p>
      <w:pPr>
        <w:topLinePunct/>
        <w:adjustRightInd w:val="0"/>
        <w:snapToGrid w:val="0"/>
        <w:spacing w:line="360" w:lineRule="auto"/>
        <w:ind w:firstLine="496" w:firstLineChars="200"/>
        <w:rPr>
          <w:rFonts w:hint="default" w:ascii="Times New Roman" w:hAnsi="Times New Roman" w:eastAsia="宋体" w:cs="Times New Roman"/>
          <w:snapToGrid w:val="0"/>
          <w:color w:val="auto"/>
          <w:spacing w:val="4"/>
          <w:kern w:val="0"/>
          <w:sz w:val="24"/>
          <w:szCs w:val="24"/>
          <w:highlight w:val="none"/>
        </w:rPr>
      </w:pPr>
    </w:p>
    <w:p>
      <w:pPr>
        <w:topLinePunct/>
        <w:adjustRightInd w:val="0"/>
        <w:snapToGrid w:val="0"/>
        <w:spacing w:line="360" w:lineRule="auto"/>
        <w:jc w:val="center"/>
        <w:outlineLvl w:val="0"/>
        <w:rPr>
          <w:rFonts w:hint="default" w:ascii="Times New Roman" w:hAnsi="Times New Roman" w:eastAsia="宋体" w:cs="Times New Roman"/>
          <w:b/>
          <w:snapToGrid w:val="0"/>
          <w:color w:val="auto"/>
          <w:spacing w:val="4"/>
          <w:kern w:val="0"/>
          <w:sz w:val="30"/>
          <w:szCs w:val="30"/>
          <w:highlight w:val="none"/>
        </w:rPr>
      </w:pPr>
      <w:bookmarkStart w:id="87" w:name="_Toc14697669"/>
      <w:bookmarkStart w:id="88" w:name="_Toc7019447"/>
      <w:bookmarkStart w:id="89" w:name="_Toc21343"/>
      <w:bookmarkStart w:id="90" w:name="_Toc32013"/>
      <w:bookmarkStart w:id="91" w:name="_Toc13391"/>
      <w:bookmarkStart w:id="92" w:name="_Toc62134866"/>
      <w:r>
        <w:rPr>
          <w:rFonts w:hint="default" w:ascii="Times New Roman" w:hAnsi="Times New Roman" w:eastAsia="宋体" w:cs="Times New Roman"/>
          <w:b/>
          <w:snapToGrid w:val="0"/>
          <w:color w:val="auto"/>
          <w:spacing w:val="4"/>
          <w:kern w:val="0"/>
          <w:sz w:val="30"/>
          <w:szCs w:val="30"/>
          <w:highlight w:val="none"/>
        </w:rPr>
        <w:t>二、经济标投标文件格式</w:t>
      </w:r>
      <w:bookmarkEnd w:id="87"/>
      <w:bookmarkEnd w:id="88"/>
      <w:bookmarkEnd w:id="89"/>
      <w:bookmarkEnd w:id="90"/>
      <w:bookmarkEnd w:id="91"/>
      <w:bookmarkEnd w:id="92"/>
    </w:p>
    <w:p>
      <w:pPr>
        <w:topLinePunct/>
        <w:adjustRightInd w:val="0"/>
        <w:snapToGrid w:val="0"/>
        <w:spacing w:line="360" w:lineRule="auto"/>
        <w:ind w:firstLine="496" w:firstLineChars="200"/>
        <w:rPr>
          <w:rFonts w:hint="default" w:ascii="Times New Roman" w:hAnsi="Times New Roman" w:eastAsia="宋体" w:cs="Times New Roman"/>
          <w:snapToGrid w:val="0"/>
          <w:color w:val="auto"/>
          <w:spacing w:val="4"/>
          <w:kern w:val="0"/>
          <w:sz w:val="24"/>
          <w:szCs w:val="24"/>
          <w:highlight w:val="none"/>
        </w:rPr>
      </w:pPr>
    </w:p>
    <w:p>
      <w:pPr>
        <w:pStyle w:val="83"/>
        <w:spacing w:beforeLines="0" w:afterLines="0" w:line="36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bookmarkStart w:id="93" w:name="_Toc28475"/>
      <w:bookmarkStart w:id="94" w:name="_Toc22494"/>
      <w:r>
        <w:rPr>
          <w:rFonts w:hint="default" w:ascii="Times New Roman" w:hAnsi="Times New Roman" w:eastAsia="宋体" w:cs="Times New Roman"/>
          <w:color w:val="auto"/>
          <w:highlight w:val="none"/>
        </w:rPr>
        <w:t>格式一：经济标投标文件封面</w:t>
      </w:r>
      <w:bookmarkEnd w:id="93"/>
      <w:bookmarkEnd w:id="94"/>
    </w:p>
    <w:p>
      <w:pPr>
        <w:pStyle w:val="72"/>
        <w:ind w:firstLine="496"/>
        <w:rPr>
          <w:rFonts w:hint="default" w:ascii="Times New Roman" w:hAnsi="Times New Roman" w:eastAsia="宋体" w:cs="Times New Roman"/>
          <w:color w:val="auto"/>
          <w:highlight w:val="none"/>
        </w:rPr>
      </w:pPr>
    </w:p>
    <w:p>
      <w:pPr>
        <w:pStyle w:val="106"/>
        <w:rPr>
          <w:rFonts w:hint="default" w:ascii="Times New Roman" w:hAnsi="Times New Roman" w:eastAsia="宋体" w:cs="Times New Roman"/>
          <w:color w:val="auto"/>
          <w:highlight w:val="none"/>
        </w:rPr>
      </w:pPr>
      <w:r>
        <w:rPr>
          <w:rFonts w:hint="default" w:ascii="Times New Roman" w:hAnsi="Times New Roman" w:eastAsia="宋体" w:cs="Times New Roman"/>
          <w:b w:val="0"/>
          <w:color w:val="auto"/>
          <w:highlight w:val="none"/>
          <w:u w:val="single"/>
        </w:rPr>
        <w:t xml:space="preserve">[工程名称] </w:t>
      </w:r>
    </w:p>
    <w:p>
      <w:pPr>
        <w:pStyle w:val="72"/>
        <w:ind w:firstLine="496"/>
        <w:rPr>
          <w:rFonts w:hint="default" w:ascii="Times New Roman" w:hAnsi="Times New Roman" w:eastAsia="宋体" w:cs="Times New Roman"/>
          <w:color w:val="auto"/>
          <w:highlight w:val="none"/>
        </w:rPr>
      </w:pPr>
    </w:p>
    <w:p>
      <w:pPr>
        <w:pStyle w:val="72"/>
        <w:ind w:firstLine="496"/>
        <w:rPr>
          <w:rFonts w:hint="default" w:ascii="Times New Roman" w:hAnsi="Times New Roman" w:eastAsia="宋体" w:cs="Times New Roman"/>
          <w:color w:val="auto"/>
          <w:highlight w:val="none"/>
        </w:rPr>
      </w:pPr>
    </w:p>
    <w:p>
      <w:pPr>
        <w:pStyle w:val="71"/>
        <w:rPr>
          <w:rFonts w:hint="default" w:ascii="Times New Roman" w:hAnsi="Times New Roman" w:eastAsia="宋体" w:cs="Times New Roman"/>
          <w:b w:val="0"/>
          <w:color w:val="auto"/>
          <w:highlight w:val="none"/>
        </w:rPr>
      </w:pPr>
      <w:r>
        <w:rPr>
          <w:rFonts w:hint="default" w:ascii="Times New Roman" w:hAnsi="Times New Roman" w:eastAsia="宋体" w:cs="Times New Roman"/>
          <w:b w:val="0"/>
          <w:color w:val="auto"/>
          <w:highlight w:val="none"/>
        </w:rPr>
        <w:t>投标文件</w:t>
      </w:r>
    </w:p>
    <w:p>
      <w:pPr>
        <w:pStyle w:val="106"/>
        <w:rPr>
          <w:rFonts w:hint="default" w:ascii="Times New Roman" w:hAnsi="Times New Roman" w:eastAsia="宋体" w:cs="Times New Roman"/>
          <w:b w:val="0"/>
          <w:color w:val="auto"/>
          <w:highlight w:val="none"/>
        </w:rPr>
      </w:pPr>
      <w:r>
        <w:rPr>
          <w:rFonts w:hint="default" w:ascii="Times New Roman" w:hAnsi="Times New Roman" w:eastAsia="宋体" w:cs="Times New Roman"/>
          <w:b w:val="0"/>
          <w:color w:val="auto"/>
          <w:highlight w:val="none"/>
        </w:rPr>
        <w:t>经济部分投标文件</w:t>
      </w:r>
    </w:p>
    <w:p>
      <w:pPr>
        <w:pStyle w:val="72"/>
        <w:ind w:firstLine="496"/>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   </w:t>
      </w:r>
    </w:p>
    <w:p>
      <w:pPr>
        <w:pStyle w:val="72"/>
        <w:ind w:firstLine="496"/>
        <w:rPr>
          <w:rFonts w:hint="default" w:ascii="Times New Roman" w:hAnsi="Times New Roman" w:eastAsia="宋体" w:cs="Times New Roman"/>
          <w:color w:val="auto"/>
          <w:highlight w:val="none"/>
        </w:rPr>
      </w:pPr>
    </w:p>
    <w:p>
      <w:pPr>
        <w:pStyle w:val="72"/>
        <w:ind w:firstLine="496"/>
        <w:rPr>
          <w:rFonts w:hint="default" w:ascii="Times New Roman" w:hAnsi="Times New Roman" w:eastAsia="宋体" w:cs="Times New Roman"/>
          <w:color w:val="auto"/>
          <w:highlight w:val="none"/>
        </w:rPr>
      </w:pPr>
    </w:p>
    <w:p>
      <w:pPr>
        <w:pStyle w:val="129"/>
        <w:ind w:firstLine="616"/>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投标人：</w:t>
      </w:r>
      <w:r>
        <w:rPr>
          <w:rFonts w:hint="default" w:ascii="Times New Roman" w:hAnsi="Times New Roman" w:eastAsia="宋体" w:cs="Times New Roman"/>
          <w:color w:val="auto"/>
          <w:highlight w:val="none"/>
          <w:u w:val="single"/>
        </w:rPr>
        <w:t xml:space="preserve">      （填写投标人单位名称）     （盖章）</w:t>
      </w:r>
    </w:p>
    <w:p>
      <w:pPr>
        <w:pStyle w:val="129"/>
        <w:ind w:firstLine="616"/>
        <w:rPr>
          <w:rFonts w:hint="default" w:ascii="Times New Roman" w:hAnsi="Times New Roman" w:eastAsia="宋体" w:cs="Times New Roman"/>
          <w:color w:val="auto"/>
          <w:highlight w:val="none"/>
        </w:rPr>
      </w:pPr>
    </w:p>
    <w:p>
      <w:pPr>
        <w:pStyle w:val="129"/>
        <w:ind w:firstLine="616"/>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法定代表人或</w:t>
      </w:r>
    </w:p>
    <w:p>
      <w:pPr>
        <w:pStyle w:val="129"/>
        <w:ind w:firstLine="616"/>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其委托代理人：</w:t>
      </w:r>
      <w:r>
        <w:rPr>
          <w:rFonts w:hint="default" w:ascii="Times New Roman" w:hAnsi="Times New Roman" w:eastAsia="宋体" w:cs="Times New Roman"/>
          <w:color w:val="auto"/>
          <w:highlight w:val="none"/>
          <w:u w:val="single"/>
        </w:rPr>
        <w:t xml:space="preserve">                     （签字或盖章）</w:t>
      </w:r>
    </w:p>
    <w:p>
      <w:pPr>
        <w:ind w:firstLine="600" w:firstLineChars="20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sz w:val="30"/>
          <w:szCs w:val="30"/>
          <w:highlight w:val="none"/>
        </w:rPr>
        <w:t>日  期</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u w:val="single"/>
        </w:rPr>
        <w:t xml:space="preserve">                                       </w:t>
      </w:r>
    </w:p>
    <w:p>
      <w:pP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br w:type="page"/>
      </w:r>
      <w:r>
        <w:rPr>
          <w:rFonts w:hint="default" w:ascii="Times New Roman" w:hAnsi="Times New Roman" w:eastAsia="宋体" w:cs="Times New Roman"/>
          <w:b/>
          <w:color w:val="auto"/>
          <w:sz w:val="24"/>
          <w:szCs w:val="24"/>
          <w:highlight w:val="none"/>
        </w:rPr>
        <w:t>格式</w:t>
      </w:r>
      <w:r>
        <w:rPr>
          <w:rFonts w:hint="default" w:ascii="Times New Roman" w:hAnsi="Times New Roman" w:eastAsia="宋体" w:cs="Times New Roman"/>
          <w:b/>
          <w:color w:val="auto"/>
          <w:sz w:val="24"/>
          <w:szCs w:val="24"/>
          <w:highlight w:val="none"/>
          <w:lang w:val="en-US" w:eastAsia="zh-CN"/>
        </w:rPr>
        <w:t>二</w:t>
      </w:r>
      <w:r>
        <w:rPr>
          <w:rFonts w:hint="default" w:ascii="Times New Roman" w:hAnsi="Times New Roman" w:eastAsia="宋体" w:cs="Times New Roman"/>
          <w:b/>
          <w:color w:val="auto"/>
          <w:sz w:val="24"/>
          <w:szCs w:val="24"/>
          <w:highlight w:val="none"/>
        </w:rPr>
        <w:t>：工程量清单计价表</w:t>
      </w:r>
    </w:p>
    <w:p>
      <w:pPr>
        <w:topLinePunct/>
        <w:adjustRightInd w:val="0"/>
        <w:snapToGrid w:val="0"/>
        <w:spacing w:line="360" w:lineRule="auto"/>
        <w:ind w:firstLine="498" w:firstLineChars="200"/>
        <w:rPr>
          <w:rFonts w:hint="default" w:ascii="Times New Roman" w:hAnsi="Times New Roman" w:eastAsia="宋体" w:cs="Times New Roman"/>
          <w:b/>
          <w:snapToGrid w:val="0"/>
          <w:color w:val="auto"/>
          <w:spacing w:val="4"/>
          <w:kern w:val="0"/>
          <w:sz w:val="24"/>
          <w:szCs w:val="24"/>
          <w:highlight w:val="none"/>
        </w:rPr>
      </w:pPr>
    </w:p>
    <w:p>
      <w:pPr>
        <w:topLinePunct/>
        <w:adjustRightInd w:val="0"/>
        <w:snapToGrid w:val="0"/>
        <w:spacing w:before="156" w:after="156" w:line="360" w:lineRule="auto"/>
        <w:ind w:firstLine="617"/>
        <w:jc w:val="center"/>
        <w:rPr>
          <w:rFonts w:hint="default" w:ascii="Times New Roman" w:hAnsi="Times New Roman" w:eastAsia="宋体" w:cs="Times New Roman"/>
          <w:b/>
          <w:snapToGrid w:val="0"/>
          <w:color w:val="auto"/>
          <w:spacing w:val="4"/>
          <w:kern w:val="0"/>
          <w:sz w:val="36"/>
          <w:szCs w:val="36"/>
          <w:highlight w:val="none"/>
        </w:rPr>
      </w:pPr>
      <w:r>
        <w:rPr>
          <w:rFonts w:hint="default" w:ascii="Times New Roman" w:hAnsi="Times New Roman" w:eastAsia="宋体" w:cs="Times New Roman"/>
          <w:b/>
          <w:snapToGrid w:val="0"/>
          <w:color w:val="auto"/>
          <w:spacing w:val="4"/>
          <w:kern w:val="0"/>
          <w:sz w:val="36"/>
          <w:szCs w:val="36"/>
          <w:highlight w:val="none"/>
        </w:rPr>
        <w:t>工程量清单计价表</w:t>
      </w:r>
    </w:p>
    <w:p>
      <w:pPr>
        <w:topLinePunct/>
        <w:adjustRightInd w:val="0"/>
        <w:snapToGrid w:val="0"/>
        <w:spacing w:line="360" w:lineRule="auto"/>
        <w:ind w:firstLine="498" w:firstLineChars="200"/>
        <w:rPr>
          <w:rFonts w:hint="default" w:ascii="Times New Roman" w:hAnsi="Times New Roman" w:eastAsia="宋体" w:cs="Times New Roman"/>
          <w:b/>
          <w:snapToGrid w:val="0"/>
          <w:color w:val="auto"/>
          <w:spacing w:val="4"/>
          <w:kern w:val="0"/>
          <w:sz w:val="24"/>
          <w:szCs w:val="24"/>
          <w:highlight w:val="none"/>
        </w:rPr>
      </w:pPr>
    </w:p>
    <w:p>
      <w:pPr>
        <w:topLinePunct/>
        <w:adjustRightInd w:val="0"/>
        <w:snapToGrid w:val="0"/>
        <w:spacing w:line="360" w:lineRule="auto"/>
        <w:ind w:firstLine="498" w:firstLineChars="200"/>
        <w:rPr>
          <w:rFonts w:hint="default" w:ascii="Times New Roman" w:hAnsi="Times New Roman" w:eastAsia="宋体" w:cs="Times New Roman"/>
          <w:b/>
          <w:snapToGrid w:val="0"/>
          <w:color w:val="auto"/>
          <w:spacing w:val="4"/>
          <w:kern w:val="0"/>
          <w:sz w:val="24"/>
          <w:szCs w:val="24"/>
          <w:highlight w:val="none"/>
        </w:rPr>
      </w:pPr>
      <w:r>
        <w:rPr>
          <w:rFonts w:hint="default" w:ascii="Times New Roman" w:hAnsi="Times New Roman" w:eastAsia="宋体" w:cs="Times New Roman"/>
          <w:b/>
          <w:snapToGrid w:val="0"/>
          <w:color w:val="auto"/>
          <w:spacing w:val="4"/>
          <w:kern w:val="0"/>
          <w:sz w:val="24"/>
          <w:szCs w:val="24"/>
          <w:highlight w:val="none"/>
        </w:rPr>
        <w:t>本部分内容详见招标文件第七章工程量清单。</w:t>
      </w:r>
    </w:p>
    <w:p>
      <w:pPr>
        <w:pStyle w:val="83"/>
        <w:spacing w:before="120" w:after="120" w:line="360" w:lineRule="auto"/>
        <w:rPr>
          <w:rFonts w:hint="default" w:ascii="Times New Roman" w:hAnsi="Times New Roman" w:eastAsia="宋体" w:cs="Times New Roman"/>
          <w:b w:val="0"/>
          <w:color w:val="auto"/>
          <w:highlight w:val="none"/>
        </w:rPr>
      </w:pPr>
      <w:r>
        <w:rPr>
          <w:rFonts w:hint="default" w:ascii="Times New Roman" w:hAnsi="Times New Roman" w:eastAsia="宋体" w:cs="Times New Roman"/>
          <w:b w:val="0"/>
          <w:snapToGrid w:val="0"/>
          <w:color w:val="auto"/>
          <w:highlight w:val="none"/>
        </w:rPr>
        <w:br w:type="page"/>
      </w:r>
      <w:bookmarkStart w:id="95" w:name="_Toc16183"/>
      <w:bookmarkStart w:id="96" w:name="_Toc7338"/>
      <w:bookmarkStart w:id="97" w:name="_Toc8235"/>
      <w:bookmarkStart w:id="98" w:name="_Toc30254"/>
      <w:r>
        <w:rPr>
          <w:rFonts w:hint="default" w:ascii="Times New Roman" w:hAnsi="Times New Roman" w:eastAsia="宋体" w:cs="Times New Roman"/>
          <w:color w:val="auto"/>
          <w:highlight w:val="none"/>
        </w:rPr>
        <w:t>格式</w:t>
      </w:r>
      <w:r>
        <w:rPr>
          <w:rFonts w:hint="default" w:ascii="Times New Roman" w:hAnsi="Times New Roman" w:eastAsia="宋体" w:cs="Times New Roman"/>
          <w:color w:val="auto"/>
          <w:highlight w:val="none"/>
          <w:lang w:val="en-US" w:eastAsia="zh-CN"/>
        </w:rPr>
        <w:t>三</w:t>
      </w:r>
      <w:r>
        <w:rPr>
          <w:rFonts w:hint="default" w:ascii="Times New Roman" w:hAnsi="Times New Roman" w:eastAsia="宋体" w:cs="Times New Roman"/>
          <w:color w:val="auto"/>
          <w:highlight w:val="none"/>
        </w:rPr>
        <w:t>：</w:t>
      </w:r>
      <w:bookmarkEnd w:id="95"/>
      <w:bookmarkEnd w:id="96"/>
      <w:r>
        <w:rPr>
          <w:rFonts w:hint="default" w:ascii="Times New Roman" w:hAnsi="Times New Roman" w:eastAsia="宋体" w:cs="Times New Roman"/>
          <w:color w:val="auto"/>
          <w:highlight w:val="none"/>
        </w:rPr>
        <w:t>参与编制经济标投标文件人员名单</w:t>
      </w:r>
      <w:bookmarkEnd w:id="97"/>
      <w:bookmarkEnd w:id="98"/>
    </w:p>
    <w:p>
      <w:pPr>
        <w:tabs>
          <w:tab w:val="left" w:pos="720"/>
        </w:tabs>
        <w:snapToGrid w:val="0"/>
        <w:spacing w:line="360" w:lineRule="auto"/>
        <w:jc w:val="center"/>
        <w:rPr>
          <w:rFonts w:hint="default" w:ascii="Times New Roman" w:hAnsi="Times New Roman" w:eastAsia="宋体" w:cs="Times New Roman"/>
          <w:color w:val="auto"/>
          <w:sz w:val="24"/>
          <w:highlight w:val="none"/>
        </w:rPr>
      </w:pPr>
    </w:p>
    <w:p>
      <w:pPr>
        <w:topLinePunct/>
        <w:adjustRightInd w:val="0"/>
        <w:snapToGrid w:val="0"/>
        <w:spacing w:before="156" w:after="156" w:line="360" w:lineRule="auto"/>
        <w:ind w:firstLine="617"/>
        <w:jc w:val="center"/>
        <w:rPr>
          <w:rFonts w:hint="default" w:ascii="Times New Roman" w:hAnsi="Times New Roman" w:eastAsia="宋体" w:cs="Times New Roman"/>
          <w:b/>
          <w:snapToGrid w:val="0"/>
          <w:color w:val="auto"/>
          <w:spacing w:val="4"/>
          <w:kern w:val="0"/>
          <w:sz w:val="32"/>
          <w:szCs w:val="32"/>
          <w:highlight w:val="none"/>
        </w:rPr>
      </w:pPr>
      <w:r>
        <w:rPr>
          <w:rFonts w:hint="default" w:ascii="Times New Roman" w:hAnsi="Times New Roman" w:eastAsia="宋体" w:cs="Times New Roman"/>
          <w:b/>
          <w:snapToGrid w:val="0"/>
          <w:color w:val="auto"/>
          <w:spacing w:val="4"/>
          <w:kern w:val="0"/>
          <w:sz w:val="32"/>
          <w:szCs w:val="32"/>
          <w:highlight w:val="none"/>
        </w:rPr>
        <w:t>参与编制经济标投标文件人员名单</w:t>
      </w:r>
    </w:p>
    <w:tbl>
      <w:tblPr>
        <w:tblStyle w:val="49"/>
        <w:tblW w:w="8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2"/>
        <w:gridCol w:w="2341"/>
        <w:gridCol w:w="2245"/>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8724" w:type="dxa"/>
            <w:gridSpan w:val="5"/>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92"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姓名</w:t>
            </w:r>
          </w:p>
        </w:tc>
        <w:tc>
          <w:tcPr>
            <w:tcW w:w="1382"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职务</w:t>
            </w:r>
          </w:p>
        </w:tc>
        <w:tc>
          <w:tcPr>
            <w:tcW w:w="2341"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所承担工作</w:t>
            </w:r>
          </w:p>
        </w:tc>
        <w:tc>
          <w:tcPr>
            <w:tcW w:w="2245"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身份证号码</w:t>
            </w:r>
          </w:p>
        </w:tc>
        <w:tc>
          <w:tcPr>
            <w:tcW w:w="1564"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192"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c>
          <w:tcPr>
            <w:tcW w:w="1382"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c>
          <w:tcPr>
            <w:tcW w:w="2341"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c>
          <w:tcPr>
            <w:tcW w:w="2245"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c>
          <w:tcPr>
            <w:tcW w:w="1564"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92"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c>
          <w:tcPr>
            <w:tcW w:w="1382"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c>
          <w:tcPr>
            <w:tcW w:w="2341"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c>
          <w:tcPr>
            <w:tcW w:w="2245"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c>
          <w:tcPr>
            <w:tcW w:w="1564"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92"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c>
          <w:tcPr>
            <w:tcW w:w="1382"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c>
          <w:tcPr>
            <w:tcW w:w="2341"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c>
          <w:tcPr>
            <w:tcW w:w="2245"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c>
          <w:tcPr>
            <w:tcW w:w="1564"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92"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c>
          <w:tcPr>
            <w:tcW w:w="1382"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c>
          <w:tcPr>
            <w:tcW w:w="2341"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c>
          <w:tcPr>
            <w:tcW w:w="2245"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c>
          <w:tcPr>
            <w:tcW w:w="1564"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92"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c>
          <w:tcPr>
            <w:tcW w:w="1382"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c>
          <w:tcPr>
            <w:tcW w:w="2341"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c>
          <w:tcPr>
            <w:tcW w:w="2245"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c>
          <w:tcPr>
            <w:tcW w:w="1564"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92"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c>
          <w:tcPr>
            <w:tcW w:w="1382"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c>
          <w:tcPr>
            <w:tcW w:w="2341"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c>
          <w:tcPr>
            <w:tcW w:w="2245"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c>
          <w:tcPr>
            <w:tcW w:w="1564"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192"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c>
          <w:tcPr>
            <w:tcW w:w="1382"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c>
          <w:tcPr>
            <w:tcW w:w="2341"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c>
          <w:tcPr>
            <w:tcW w:w="2245"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c>
          <w:tcPr>
            <w:tcW w:w="1564"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192"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c>
          <w:tcPr>
            <w:tcW w:w="1382"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c>
          <w:tcPr>
            <w:tcW w:w="2341"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c>
          <w:tcPr>
            <w:tcW w:w="2245"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c>
          <w:tcPr>
            <w:tcW w:w="1564" w:type="dxa"/>
            <w:noWrap w:val="0"/>
            <w:vAlign w:val="center"/>
          </w:tcPr>
          <w:p>
            <w:pPr>
              <w:tabs>
                <w:tab w:val="left" w:pos="720"/>
              </w:tabs>
              <w:snapToGrid w:val="0"/>
              <w:spacing w:line="360" w:lineRule="auto"/>
              <w:jc w:val="center"/>
              <w:rPr>
                <w:rFonts w:hint="default" w:ascii="Times New Roman" w:hAnsi="Times New Roman" w:eastAsia="宋体" w:cs="Times New Roman"/>
                <w:color w:val="auto"/>
                <w:sz w:val="24"/>
                <w:highlight w:val="none"/>
              </w:rPr>
            </w:pPr>
          </w:p>
        </w:tc>
      </w:tr>
    </w:tbl>
    <w:p>
      <w:pPr>
        <w:tabs>
          <w:tab w:val="left" w:pos="720"/>
        </w:tabs>
        <w:snapToGrid w:val="0"/>
        <w:spacing w:line="360" w:lineRule="auto"/>
        <w:rPr>
          <w:rFonts w:hint="default" w:ascii="Times New Roman" w:hAnsi="Times New Roman" w:eastAsia="宋体" w:cs="Times New Roman"/>
          <w:color w:val="auto"/>
          <w:sz w:val="24"/>
          <w:highlight w:val="none"/>
        </w:rPr>
      </w:pPr>
    </w:p>
    <w:p>
      <w:pPr>
        <w:autoSpaceDE w:val="0"/>
        <w:autoSpaceDN w:val="0"/>
        <w:adjustRightInd w:val="0"/>
        <w:spacing w:line="360" w:lineRule="auto"/>
        <w:ind w:firstLine="368"/>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注：参与编制经济标书所有人员名单应包括如编制各种专业工程量清单投标报价、负责清样校对、负责打印及复印等所有人员在内的人员名单。</w:t>
      </w:r>
      <w:r>
        <w:rPr>
          <w:rFonts w:hint="default" w:ascii="Times New Roman" w:hAnsi="Times New Roman" w:eastAsia="宋体" w:cs="Times New Roman"/>
          <w:bCs/>
          <w:color w:val="auto"/>
          <w:sz w:val="24"/>
          <w:highlight w:val="none"/>
        </w:rPr>
        <w:t xml:space="preserve"> </w:t>
      </w:r>
    </w:p>
    <w:p>
      <w:pPr>
        <w:autoSpaceDE w:val="0"/>
        <w:autoSpaceDN w:val="0"/>
        <w:adjustRightInd w:val="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highlight w:val="none"/>
        </w:rPr>
        <w:br w:type="page"/>
      </w:r>
      <w:r>
        <w:rPr>
          <w:rFonts w:hint="default" w:ascii="Times New Roman" w:hAnsi="Times New Roman" w:eastAsia="宋体" w:cs="Times New Roman"/>
          <w:b/>
          <w:color w:val="auto"/>
          <w:sz w:val="24"/>
          <w:szCs w:val="24"/>
          <w:highlight w:val="none"/>
        </w:rPr>
        <w:t>格式</w:t>
      </w:r>
      <w:r>
        <w:rPr>
          <w:rFonts w:hint="default" w:ascii="Times New Roman" w:hAnsi="Times New Roman" w:eastAsia="宋体" w:cs="Times New Roman"/>
          <w:b/>
          <w:color w:val="auto"/>
          <w:sz w:val="24"/>
          <w:szCs w:val="24"/>
          <w:highlight w:val="none"/>
          <w:lang w:val="en-US" w:eastAsia="zh-CN"/>
        </w:rPr>
        <w:t>四</w:t>
      </w:r>
      <w:r>
        <w:rPr>
          <w:rFonts w:hint="default" w:ascii="Times New Roman" w:hAnsi="Times New Roman" w:eastAsia="宋体" w:cs="Times New Roman"/>
          <w:b/>
          <w:color w:val="auto"/>
          <w:sz w:val="24"/>
          <w:szCs w:val="24"/>
          <w:highlight w:val="none"/>
        </w:rPr>
        <w:t>：对投标文件编制的承诺</w:t>
      </w:r>
    </w:p>
    <w:p>
      <w:pPr>
        <w:autoSpaceDE w:val="0"/>
        <w:autoSpaceDN w:val="0"/>
        <w:adjustRightInd w:val="0"/>
        <w:rPr>
          <w:rFonts w:hint="default" w:ascii="Times New Roman" w:hAnsi="Times New Roman" w:eastAsia="宋体" w:cs="Times New Roman"/>
          <w:color w:val="auto"/>
          <w:szCs w:val="21"/>
          <w:highlight w:val="none"/>
        </w:rPr>
      </w:pPr>
    </w:p>
    <w:p>
      <w:pPr>
        <w:spacing w:line="360" w:lineRule="auto"/>
        <w:jc w:val="center"/>
        <w:rPr>
          <w:rFonts w:hint="default" w:ascii="Times New Roman" w:hAnsi="Times New Roman" w:eastAsia="宋体" w:cs="Times New Roman"/>
          <w:color w:val="auto"/>
          <w:kern w:val="0"/>
          <w:sz w:val="32"/>
          <w:szCs w:val="32"/>
          <w:highlight w:val="none"/>
        </w:rPr>
      </w:pPr>
      <w:r>
        <w:rPr>
          <w:rFonts w:hint="default" w:ascii="Times New Roman" w:hAnsi="Times New Roman" w:eastAsia="宋体" w:cs="Times New Roman"/>
          <w:b/>
          <w:color w:val="auto"/>
          <w:kern w:val="0"/>
          <w:sz w:val="32"/>
          <w:szCs w:val="32"/>
          <w:highlight w:val="none"/>
        </w:rPr>
        <w:t>对投标文件编制的承诺</w:t>
      </w:r>
    </w:p>
    <w:p>
      <w:pPr>
        <w:spacing w:line="360" w:lineRule="auto"/>
        <w:ind w:left="-2" w:leftChars="-1" w:firstLine="540" w:firstLineChars="225"/>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本公司授权</w:t>
      </w:r>
      <w:r>
        <w:rPr>
          <w:rFonts w:hint="default" w:ascii="Times New Roman" w:hAnsi="Times New Roman" w:eastAsia="宋体" w:cs="Times New Roman"/>
          <w:color w:val="auto"/>
          <w:kern w:val="0"/>
          <w:sz w:val="24"/>
          <w:szCs w:val="20"/>
          <w:highlight w:val="none"/>
          <w:u w:val="single"/>
        </w:rPr>
        <w:t xml:space="preserve">         （身份证号：               ）</w:t>
      </w:r>
      <w:r>
        <w:rPr>
          <w:rFonts w:hint="default" w:ascii="Times New Roman" w:hAnsi="Times New Roman" w:eastAsia="宋体" w:cs="Times New Roman"/>
          <w:color w:val="auto"/>
          <w:kern w:val="0"/>
          <w:sz w:val="24"/>
          <w:szCs w:val="20"/>
          <w:highlight w:val="none"/>
        </w:rPr>
        <w:t>负责对投标文件的编制及内容进行解释、说明，并承诺以下事项：</w:t>
      </w:r>
    </w:p>
    <w:p>
      <w:pPr>
        <w:spacing w:line="360" w:lineRule="auto"/>
        <w:ind w:left="-2" w:leftChars="-1" w:firstLine="540" w:firstLineChars="225"/>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1.被授权人清楚投标文件编制的具体情况，包括技术方案文件、工程量清单、以及投标文件的加密打包的理解；</w:t>
      </w:r>
    </w:p>
    <w:p>
      <w:pPr>
        <w:spacing w:line="360" w:lineRule="auto"/>
        <w:ind w:left="-2" w:leftChars="-1" w:firstLine="540" w:firstLineChars="225"/>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2.在本项目开标至评标结束前，努力确保被授权人在项目评标所在地附近；</w:t>
      </w:r>
    </w:p>
    <w:p>
      <w:pPr>
        <w:spacing w:line="360" w:lineRule="auto"/>
        <w:ind w:left="-2" w:leftChars="-1" w:firstLine="540" w:firstLineChars="225"/>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3.从评标委员会要求澄清起二小时内，被授权人应如实地书面澄清。</w:t>
      </w:r>
    </w:p>
    <w:p>
      <w:pPr>
        <w:spacing w:line="360" w:lineRule="auto"/>
        <w:ind w:left="-2" w:leftChars="-1" w:firstLine="540" w:firstLineChars="225"/>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 xml:space="preserve">如由于未遵守上述承诺内容之一导致无法进行澄清的，我公司认可和接受评标委员会作出的评审结论。                                 </w:t>
      </w:r>
    </w:p>
    <w:p>
      <w:pPr>
        <w:spacing w:line="360" w:lineRule="auto"/>
        <w:ind w:firstLine="360" w:firstLineChars="150"/>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 xml:space="preserve"> </w:t>
      </w:r>
    </w:p>
    <w:p>
      <w:pPr>
        <w:spacing w:line="360" w:lineRule="auto"/>
        <w:ind w:firstLine="480" w:firstLineChars="200"/>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附件：《投标文件编制情况》</w:t>
      </w:r>
    </w:p>
    <w:p>
      <w:pPr>
        <w:spacing w:line="360" w:lineRule="auto"/>
        <w:ind w:right="90" w:firstLine="3240" w:firstLineChars="135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 xml:space="preserve"> 投标人名称（盖法人公章）：</w:t>
      </w:r>
      <w:r>
        <w:rPr>
          <w:rFonts w:hint="default" w:ascii="Times New Roman" w:hAnsi="Times New Roman" w:eastAsia="宋体" w:cs="Times New Roman"/>
          <w:color w:val="auto"/>
          <w:sz w:val="24"/>
          <w:szCs w:val="24"/>
          <w:highlight w:val="none"/>
          <w:u w:val="single"/>
        </w:rPr>
        <w:t xml:space="preserve">                  </w:t>
      </w:r>
    </w:p>
    <w:p>
      <w:pPr>
        <w:spacing w:line="360" w:lineRule="auto"/>
        <w:ind w:firstLine="2160" w:firstLineChars="9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法定代表人或被授权人（签字或盖章）：</w:t>
      </w:r>
      <w:r>
        <w:rPr>
          <w:rFonts w:hint="default" w:ascii="Times New Roman" w:hAnsi="Times New Roman" w:eastAsia="宋体" w:cs="Times New Roman"/>
          <w:color w:val="auto"/>
          <w:sz w:val="24"/>
          <w:szCs w:val="24"/>
          <w:highlight w:val="none"/>
          <w:u w:val="single"/>
        </w:rPr>
        <w:t xml:space="preserve">                  </w:t>
      </w:r>
    </w:p>
    <w:p>
      <w:pPr>
        <w:spacing w:line="360" w:lineRule="auto"/>
        <w:ind w:firstLine="4440" w:firstLineChars="185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日期：      年   月   日 </w:t>
      </w:r>
      <w:r>
        <w:rPr>
          <w:rFonts w:hint="default" w:ascii="Times New Roman" w:hAnsi="Times New Roman" w:eastAsia="宋体" w:cs="Times New Roman"/>
          <w:color w:val="auto"/>
          <w:sz w:val="18"/>
          <w:szCs w:val="18"/>
          <w:highlight w:val="none"/>
        </w:rPr>
        <w:t xml:space="preserve"> </w:t>
      </w:r>
      <w:r>
        <w:rPr>
          <w:rFonts w:hint="default" w:ascii="Times New Roman" w:hAnsi="Times New Roman" w:eastAsia="宋体" w:cs="Times New Roman"/>
          <w:color w:val="auto"/>
          <w:sz w:val="24"/>
          <w:szCs w:val="24"/>
          <w:highlight w:val="none"/>
        </w:rPr>
        <w:t xml:space="preserve">    </w:t>
      </w:r>
    </w:p>
    <w:p>
      <w:pPr>
        <w:spacing w:line="360" w:lineRule="auto"/>
        <w:rPr>
          <w:rFonts w:hint="default" w:ascii="Times New Roman" w:hAnsi="Times New Roman" w:eastAsia="宋体" w:cs="Times New Roman"/>
          <w:b/>
          <w:color w:val="auto"/>
          <w:kern w:val="0"/>
          <w:sz w:val="32"/>
          <w:szCs w:val="32"/>
          <w:highlight w:val="none"/>
        </w:rPr>
      </w:pPr>
    </w:p>
    <w:p>
      <w:pPr>
        <w:spacing w:line="360" w:lineRule="auto"/>
        <w:ind w:firstLine="643" w:firstLineChars="20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b/>
          <w:color w:val="auto"/>
          <w:kern w:val="0"/>
          <w:sz w:val="32"/>
          <w:szCs w:val="32"/>
          <w:highlight w:val="none"/>
        </w:rPr>
        <w:t>投标文件编制情况</w:t>
      </w:r>
    </w:p>
    <w:tbl>
      <w:tblPr>
        <w:tblStyle w:val="49"/>
        <w:tblW w:w="8522" w:type="dxa"/>
        <w:tblInd w:w="0" w:type="dxa"/>
        <w:tblLayout w:type="fixed"/>
        <w:tblCellMar>
          <w:top w:w="0" w:type="dxa"/>
          <w:left w:w="108" w:type="dxa"/>
          <w:bottom w:w="0" w:type="dxa"/>
          <w:right w:w="108" w:type="dxa"/>
        </w:tblCellMar>
      </w:tblPr>
      <w:tblGrid>
        <w:gridCol w:w="8522"/>
      </w:tblGrid>
      <w:tr>
        <w:tblPrEx>
          <w:tblLayout w:type="fixed"/>
          <w:tblCellMar>
            <w:top w:w="0" w:type="dxa"/>
            <w:left w:w="108" w:type="dxa"/>
            <w:bottom w:w="0" w:type="dxa"/>
            <w:right w:w="108" w:type="dxa"/>
          </w:tblCellMar>
        </w:tblPrEx>
        <w:trPr>
          <w:trHeight w:val="2819" w:hRule="atLeast"/>
        </w:trPr>
        <w:tc>
          <w:tcPr>
            <w:tcW w:w="8522" w:type="dxa"/>
            <w:noWrap w:val="0"/>
            <w:vAlign w:val="top"/>
          </w:tcPr>
          <w:p>
            <w:pPr>
              <w:spacing w:line="360" w:lineRule="auto"/>
              <w:ind w:firstLine="480" w:firstLineChars="200"/>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1.投标文件报价编制方式: □自行编制的，编制的负责人：</w:t>
            </w:r>
            <w:r>
              <w:rPr>
                <w:rFonts w:hint="default" w:ascii="Times New Roman" w:hAnsi="Times New Roman" w:eastAsia="宋体" w:cs="Times New Roman"/>
                <w:color w:val="auto"/>
                <w:sz w:val="24"/>
                <w:szCs w:val="20"/>
                <w:highlight w:val="none"/>
                <w:u w:val="single"/>
              </w:rPr>
              <w:t xml:space="preserve"> （盖造价工程师执业专用章或全国建设工程造价员章，执业单位应与投标人一致） </w:t>
            </w:r>
            <w:r>
              <w:rPr>
                <w:rFonts w:hint="default" w:ascii="Times New Roman" w:hAnsi="Times New Roman" w:eastAsia="宋体" w:cs="Times New Roman"/>
                <w:color w:val="auto"/>
                <w:sz w:val="24"/>
                <w:szCs w:val="20"/>
                <w:highlight w:val="none"/>
              </w:rPr>
              <w:t>。□委托编制的，受委托单位</w:t>
            </w:r>
            <w:r>
              <w:rPr>
                <w:rFonts w:hint="default" w:ascii="Times New Roman" w:hAnsi="Times New Roman" w:eastAsia="宋体" w:cs="Times New Roman"/>
                <w:color w:val="auto"/>
                <w:sz w:val="24"/>
                <w:szCs w:val="20"/>
                <w:highlight w:val="none"/>
                <w:u w:val="single"/>
              </w:rPr>
              <w:t xml:space="preserve">                    </w:t>
            </w:r>
            <w:r>
              <w:rPr>
                <w:rFonts w:hint="default" w:ascii="Times New Roman" w:hAnsi="Times New Roman" w:eastAsia="宋体" w:cs="Times New Roman"/>
                <w:color w:val="auto"/>
                <w:sz w:val="24"/>
                <w:szCs w:val="20"/>
                <w:highlight w:val="none"/>
              </w:rPr>
              <w:t>，编制的负责人：</w:t>
            </w:r>
            <w:r>
              <w:rPr>
                <w:rFonts w:hint="default" w:ascii="Times New Roman" w:hAnsi="Times New Roman" w:eastAsia="宋体" w:cs="Times New Roman"/>
                <w:color w:val="auto"/>
                <w:sz w:val="24"/>
                <w:szCs w:val="20"/>
                <w:highlight w:val="none"/>
                <w:u w:val="single"/>
              </w:rPr>
              <w:t xml:space="preserve"> （盖造价工程师执业专用章或全国建设工程造价员章，执业单位应与受委托单位一致） </w:t>
            </w:r>
            <w:r>
              <w:rPr>
                <w:rFonts w:hint="default" w:ascii="Times New Roman" w:hAnsi="Times New Roman" w:eastAsia="宋体" w:cs="Times New Roman"/>
                <w:color w:val="auto"/>
                <w:sz w:val="24"/>
                <w:szCs w:val="20"/>
                <w:highlight w:val="none"/>
              </w:rPr>
              <w:t>。</w:t>
            </w:r>
          </w:p>
          <w:p>
            <w:pPr>
              <w:spacing w:line="360" w:lineRule="auto"/>
              <w:ind w:firstLine="480" w:firstLineChars="200"/>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2.投标文件加密打包的电脑情况</w:t>
            </w:r>
          </w:p>
          <w:p>
            <w:pPr>
              <w:spacing w:line="360" w:lineRule="auto"/>
              <w:ind w:firstLine="480" w:firstLineChars="200"/>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投标文件加密打包的电脑    自有    □     外包    □    其他    □</w:t>
            </w:r>
          </w:p>
          <w:p>
            <w:pPr>
              <w:spacing w:line="360" w:lineRule="auto"/>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电脑类型</w:t>
            </w:r>
          </w:p>
          <w:p>
            <w:pPr>
              <w:spacing w:line="360" w:lineRule="auto"/>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电脑所属单位</w:t>
            </w:r>
          </w:p>
          <w:p>
            <w:pPr>
              <w:spacing w:line="360" w:lineRule="auto"/>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电脑所在地址        （如××市××区(县) ××街（路）××号××大厦××房）</w:t>
            </w:r>
          </w:p>
        </w:tc>
      </w:tr>
    </w:tbl>
    <w:p>
      <w:pPr>
        <w:keepNext/>
        <w:keepLines/>
        <w:numPr>
          <w:ilvl w:val="0"/>
          <w:numId w:val="4"/>
        </w:numPr>
        <w:spacing w:before="120" w:after="120" w:line="360" w:lineRule="auto"/>
        <w:jc w:val="center"/>
        <w:outlineLvl w:val="0"/>
        <w:rPr>
          <w:rFonts w:hint="default" w:ascii="Times New Roman" w:hAnsi="Times New Roman" w:eastAsia="宋体" w:cs="Times New Roman"/>
          <w:b/>
          <w:color w:val="auto"/>
          <w:kern w:val="44"/>
          <w:sz w:val="28"/>
          <w:szCs w:val="28"/>
          <w:highlight w:val="none"/>
        </w:rPr>
      </w:pPr>
      <w:r>
        <w:rPr>
          <w:rFonts w:hint="default" w:ascii="Times New Roman" w:hAnsi="Times New Roman" w:eastAsia="宋体" w:cs="Times New Roman"/>
          <w:color w:val="auto"/>
          <w:sz w:val="24"/>
          <w:szCs w:val="24"/>
          <w:highlight w:val="none"/>
        </w:rPr>
        <w:br w:type="page"/>
      </w:r>
      <w:bookmarkStart w:id="99" w:name="_Toc62134868"/>
      <w:r>
        <w:rPr>
          <w:rFonts w:hint="default" w:ascii="Times New Roman" w:hAnsi="Times New Roman" w:eastAsia="宋体" w:cs="Times New Roman"/>
          <w:b/>
          <w:color w:val="auto"/>
          <w:kern w:val="44"/>
          <w:sz w:val="28"/>
          <w:szCs w:val="28"/>
          <w:highlight w:val="none"/>
        </w:rPr>
        <w:t xml:space="preserve"> </w:t>
      </w:r>
      <w:bookmarkStart w:id="100" w:name="_Toc2534"/>
      <w:r>
        <w:rPr>
          <w:rFonts w:hint="default" w:ascii="Times New Roman" w:hAnsi="Times New Roman" w:eastAsia="宋体" w:cs="Times New Roman"/>
          <w:b/>
          <w:color w:val="auto"/>
          <w:kern w:val="44"/>
          <w:sz w:val="28"/>
          <w:szCs w:val="28"/>
          <w:highlight w:val="none"/>
        </w:rPr>
        <w:t>技术条件（工程建设标准）</w:t>
      </w:r>
      <w:bookmarkEnd w:id="99"/>
      <w:bookmarkEnd w:id="100"/>
    </w:p>
    <w:p>
      <w:pPr>
        <w:spacing w:line="360" w:lineRule="auto"/>
        <w:jc w:val="left"/>
        <w:rPr>
          <w:rFonts w:hint="default" w:ascii="Times New Roman" w:hAnsi="Times New Roman" w:eastAsia="宋体" w:cs="Times New Roman"/>
          <w:color w:val="auto"/>
          <w:sz w:val="24"/>
          <w:szCs w:val="24"/>
          <w:highlight w:val="none"/>
        </w:rPr>
      </w:pPr>
      <w:bookmarkStart w:id="101" w:name="_Toc152042288"/>
      <w:bookmarkStart w:id="102" w:name="_Toc144974480"/>
      <w:bookmarkStart w:id="103" w:name="_Toc152045512"/>
      <w:bookmarkStart w:id="104" w:name="_Toc247527535"/>
      <w:bookmarkStart w:id="105" w:name="_Toc411736339"/>
      <w:bookmarkStart w:id="106" w:name="_Toc247513934"/>
      <w:r>
        <w:rPr>
          <w:rFonts w:hint="default" w:ascii="Times New Roman" w:hAnsi="Times New Roman" w:eastAsia="宋体" w:cs="Times New Roman"/>
          <w:b/>
          <w:bCs/>
          <w:color w:val="auto"/>
          <w:sz w:val="24"/>
          <w:szCs w:val="24"/>
          <w:highlight w:val="none"/>
        </w:rPr>
        <w:t>一、工程概况</w:t>
      </w:r>
      <w:r>
        <w:rPr>
          <w:rFonts w:hint="default" w:ascii="Times New Roman" w:hAnsi="Times New Roman" w:eastAsia="宋体" w:cs="Times New Roman"/>
          <w:color w:val="auto"/>
          <w:sz w:val="24"/>
          <w:szCs w:val="24"/>
          <w:highlight w:val="none"/>
        </w:rPr>
        <w:t>：</w:t>
      </w:r>
      <w:bookmarkEnd w:id="101"/>
      <w:bookmarkEnd w:id="102"/>
      <w:bookmarkEnd w:id="103"/>
      <w:bookmarkEnd w:id="104"/>
      <w:bookmarkEnd w:id="105"/>
      <w:bookmarkEnd w:id="106"/>
    </w:p>
    <w:p>
      <w:pPr>
        <w:spacing w:line="360" w:lineRule="auto"/>
        <w:ind w:firstLine="484" w:firstLineChars="202"/>
        <w:rPr>
          <w:rFonts w:hint="eastAsia" w:ascii="宋体" w:hAnsi="宋体" w:eastAsia="宋体" w:cs="宋体"/>
          <w:color w:val="auto"/>
          <w:sz w:val="24"/>
          <w:szCs w:val="24"/>
          <w:highlight w:val="none"/>
          <w:u w:val="single"/>
          <w:lang w:val="en-US" w:eastAsia="zh-CN"/>
        </w:rPr>
      </w:pPr>
      <w:bookmarkStart w:id="107" w:name="_Toc246818358"/>
      <w:bookmarkStart w:id="108" w:name="_Toc276564826"/>
      <w:bookmarkStart w:id="109" w:name="_Toc246427103"/>
      <w:r>
        <w:rPr>
          <w:rFonts w:hint="default" w:ascii="Times New Roman" w:hAnsi="Times New Roman" w:eastAsia="宋体" w:cs="Times New Roman"/>
          <w:color w:val="auto"/>
          <w:sz w:val="24"/>
          <w:szCs w:val="24"/>
          <w:highlight w:val="none"/>
          <w:lang w:val="en-US" w:eastAsia="zh-CN"/>
        </w:rPr>
        <w:t>1.本项目</w:t>
      </w:r>
      <w:bookmarkEnd w:id="107"/>
      <w:bookmarkEnd w:id="108"/>
      <w:bookmarkEnd w:id="109"/>
      <w:r>
        <w:rPr>
          <w:rFonts w:hint="default" w:ascii="Times New Roman" w:hAnsi="Times New Roman" w:eastAsia="宋体" w:cs="Times New Roman"/>
          <w:color w:val="auto"/>
          <w:sz w:val="24"/>
          <w:szCs w:val="24"/>
          <w:highlight w:val="none"/>
          <w:lang w:val="en-US" w:eastAsia="zh-CN"/>
        </w:rPr>
        <w:t>建筑规</w:t>
      </w:r>
      <w:r>
        <w:rPr>
          <w:rFonts w:hint="eastAsia" w:ascii="宋体" w:hAnsi="宋体" w:eastAsia="宋体" w:cs="宋体"/>
          <w:color w:val="auto"/>
          <w:sz w:val="24"/>
          <w:szCs w:val="24"/>
          <w:highlight w:val="none"/>
          <w:lang w:val="en-US" w:eastAsia="zh-CN"/>
        </w:rPr>
        <w:t>模：</w:t>
      </w:r>
      <w:r>
        <w:rPr>
          <w:rFonts w:hint="eastAsia" w:ascii="宋体" w:hAnsi="宋体" w:eastAsia="宋体" w:cs="宋体"/>
          <w:color w:val="auto"/>
          <w:sz w:val="24"/>
          <w:szCs w:val="24"/>
          <w:highlight w:val="none"/>
          <w:u w:val="single"/>
          <w:lang w:val="en-US" w:eastAsia="zh-CN"/>
        </w:rPr>
        <w:t>本项目建设地点位于广东省广州市花都区，建设内容主要包括市政道路配套工程包含1条市政道路：市政道路长度约430米，规划红线宽度 30 米，设计速度 40 公里/ 小时，为城市次干路。道路用地面积约16390.8平方米，地面停车场硬质铺装约</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val="en-US" w:eastAsia="zh-CN"/>
        </w:rPr>
        <w:t>000平方米。（具体工程以招标人提供的施工图和现场为准。）</w:t>
      </w:r>
    </w:p>
    <w:p>
      <w:pPr>
        <w:pStyle w:val="11"/>
        <w:rPr>
          <w:rFonts w:hint="default" w:ascii="Times New Roman" w:hAnsi="Times New Roman" w:eastAsia="宋体" w:cs="Times New Roman"/>
          <w:color w:val="auto"/>
          <w:highlight w:val="none"/>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b/>
          <w:bCs/>
          <w:color w:val="auto"/>
          <w:sz w:val="24"/>
          <w:szCs w:val="24"/>
          <w:highlight w:val="none"/>
        </w:rPr>
        <w:t>招标范围</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rPr>
        <w:t xml:space="preserve">依据招标文件、招标图纸（包括技术要求）、招标范围界面、工程量清单及相关资料和说明，对广花公路以东、雅瑶中路以南CA1207006、CA1207019地块市政道路配套工程进行施工，并完成与政府部门、施工总承包单位、专业承包单位的交接配合相关工作，保证项目达到设计要求及最终正常运行要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本次招标专业包括：图纸范围内的道路工程、给排水工程、照明工程、绿化工程、机电管沟土建工程、公共交通工程及交通疏解工程</w:t>
      </w:r>
      <w:r>
        <w:rPr>
          <w:rFonts w:hint="default" w:ascii="Times New Roman" w:hAnsi="Times New Roman" w:eastAsia="宋体" w:cs="Times New Roman"/>
          <w:color w:val="auto"/>
          <w:sz w:val="24"/>
          <w:szCs w:val="24"/>
          <w:highlight w:val="none"/>
          <w:u w:val="single"/>
          <w:lang w:val="en-US" w:eastAsia="zh-CN"/>
        </w:rPr>
        <w:t>、公交首末站及派出所道路工程</w:t>
      </w:r>
      <w:r>
        <w:rPr>
          <w:rFonts w:hint="default" w:ascii="Times New Roman" w:hAnsi="Times New Roman" w:eastAsia="宋体" w:cs="Times New Roman"/>
          <w:color w:val="auto"/>
          <w:sz w:val="24"/>
          <w:szCs w:val="24"/>
          <w:highlight w:val="none"/>
          <w:u w:val="single"/>
        </w:rPr>
        <w:t xml:space="preserve">等。具体如下：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1）承包人按现状接受场地。现有电科路（规划）市政路路口的破除、恢复及场地租赁至完工交付（如有）由承包人负责。场地内的硬化地面、地面铺装、地下管线及设备、地下旧基础、地面临时结构设施、现场围蔽、原有植被苗木均由承包人负责清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（2）土石方工程：土石方开挖、回填、夯实及运输，管沟、管井开挖、回填，种植土购买、场内运输及回填，场地平整等。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（3）本次招标种植土回填范围，为绿化种植区域设计绿化种植面标高以下至少-300mm。回填土要求回填至园林景观设计标高、种植区回填至园林景观植坡高度。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（4）道路工程：按图纸施工完成，包含但不限于道路地质处理、道路垫层及基层施工、道路结构施工、道路平石侧石铺设、沥青路面铺设、人行道铺装、公交车站施工、树池带施工、分隔栏安装等。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（5）交通工程：按图纸施工完成，包含但不限于交通标线，交通标志，标志单立杆、标志悬臂杆、路名牌标志杆的结构施工及安装等。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6）给排水工程：按图纸施工完成，包含但不限于新建给水管、消防水管、消火栓、阀门井；绿化灌溉系统；雨水管、污水管以及检查井；绿化带、人行道盲沟及透水排水管；新建给排水管道接入永利路、电科路（规划）、河涌的市政给水管和雨污水管；所有管道敷设及接通、末端安装、打压试验、闭水试验等。以及包含向相关管理部门办理开挖、接驳、验收、移交等施工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（7）机电管沟土建工程：按图纸施工完成，包含但不限于机电管线、电缆沟、电力电信埋管、电缆支架、电缆电信工作井及盖板等。以及包含向相关管理部门办理开挖、接驳、验收、移交等施工内容。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（8）照明工程：按图纸施工完成，包含但不限于路灯专用箱变（包括用电负荷申请）、户外路灯照明配电控制箱、电缆及管道、LED 灯（带单灯监控装置）、路灯灯杆基础及安装调试、景观照明系统。以及包含向相关管理部门办理开挖、接驳、验收、移交等施工内容。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（9）绿化工程：按图纸施工完成，包含但不限于人行道铺装和绿化带的乔木、灌木、地面植被等绿化施工内容。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（10）</w:t>
      </w:r>
      <w:r>
        <w:rPr>
          <w:rFonts w:hint="default" w:ascii="Times New Roman" w:hAnsi="Times New Roman" w:eastAsia="宋体" w:cs="Times New Roman"/>
          <w:color w:val="auto"/>
          <w:sz w:val="24"/>
          <w:szCs w:val="24"/>
          <w:highlight w:val="none"/>
          <w:u w:val="single"/>
          <w:lang w:val="en-US" w:eastAsia="zh-CN"/>
        </w:rPr>
        <w:t>公交首末站及派出所道路工程：</w:t>
      </w:r>
      <w:r>
        <w:rPr>
          <w:rFonts w:hint="default" w:ascii="Times New Roman" w:hAnsi="Times New Roman" w:eastAsia="宋体" w:cs="Times New Roman"/>
          <w:color w:val="auto"/>
          <w:sz w:val="24"/>
          <w:szCs w:val="24"/>
          <w:highlight w:val="none"/>
          <w:u w:val="single"/>
        </w:rPr>
        <w:t>承包人按现状接收</w:t>
      </w:r>
      <w:r>
        <w:rPr>
          <w:rFonts w:hint="default" w:ascii="Times New Roman" w:hAnsi="Times New Roman" w:eastAsia="宋体" w:cs="Times New Roman"/>
          <w:color w:val="auto"/>
          <w:sz w:val="24"/>
          <w:szCs w:val="24"/>
          <w:highlight w:val="none"/>
          <w:u w:val="single"/>
          <w:lang w:val="en-US" w:eastAsia="zh-CN"/>
        </w:rPr>
        <w:t>公交首末站及派出所</w:t>
      </w:r>
      <w:r>
        <w:rPr>
          <w:rFonts w:hint="default" w:ascii="Times New Roman" w:hAnsi="Times New Roman" w:eastAsia="宋体" w:cs="Times New Roman"/>
          <w:color w:val="auto"/>
          <w:sz w:val="24"/>
          <w:szCs w:val="24"/>
          <w:highlight w:val="none"/>
          <w:u w:val="single"/>
        </w:rPr>
        <w:t>场地。场地内的硬化地面、地面铺装、地下管线及设备、地下旧基础、地面临时结构设施、现场围蔽、原有植被苗木均由承包人负责清理。</w:t>
      </w:r>
      <w:r>
        <w:rPr>
          <w:rFonts w:hint="default" w:ascii="Times New Roman" w:hAnsi="Times New Roman" w:eastAsia="宋体" w:cs="Times New Roman"/>
          <w:color w:val="auto"/>
          <w:sz w:val="24"/>
          <w:szCs w:val="24"/>
          <w:highlight w:val="none"/>
          <w:u w:val="single"/>
          <w:lang w:val="en-US" w:eastAsia="zh-CN"/>
        </w:rPr>
        <w:t>承包人负责场地</w:t>
      </w:r>
      <w:r>
        <w:rPr>
          <w:rFonts w:hint="default" w:ascii="Times New Roman" w:hAnsi="Times New Roman" w:eastAsia="宋体" w:cs="Times New Roman"/>
          <w:color w:val="auto"/>
          <w:sz w:val="24"/>
          <w:szCs w:val="24"/>
          <w:highlight w:val="none"/>
          <w:u w:val="single"/>
        </w:rPr>
        <w:t>土石方开挖、回填、夯实及运输，场内运输及回填，场地平整等。</w:t>
      </w:r>
      <w:r>
        <w:rPr>
          <w:rFonts w:hint="default" w:ascii="Times New Roman" w:hAnsi="Times New Roman" w:eastAsia="宋体" w:cs="Times New Roman"/>
          <w:color w:val="auto"/>
          <w:sz w:val="24"/>
          <w:szCs w:val="24"/>
          <w:highlight w:val="none"/>
          <w:u w:val="single"/>
          <w:lang w:val="en-US" w:eastAsia="zh-CN"/>
        </w:rPr>
        <w:t>承包人</w:t>
      </w:r>
      <w:r>
        <w:rPr>
          <w:rFonts w:hint="default" w:ascii="Times New Roman" w:hAnsi="Times New Roman" w:eastAsia="宋体" w:cs="Times New Roman"/>
          <w:color w:val="auto"/>
          <w:sz w:val="24"/>
          <w:szCs w:val="24"/>
          <w:highlight w:val="none"/>
          <w:u w:val="single"/>
        </w:rPr>
        <w:t>按图纸施工完成，包含但不限于道路地质处理、道路垫层及基层施工、道路结构施工、道路平石铺设、沥青路面铺设等。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（1</w:t>
      </w:r>
      <w:r>
        <w:rPr>
          <w:rFonts w:hint="default" w:ascii="Times New Roman" w:hAnsi="Times New Roman" w:eastAsia="宋体" w:cs="Times New Roman"/>
          <w:color w:val="auto"/>
          <w:sz w:val="24"/>
          <w:szCs w:val="24"/>
          <w:highlight w:val="none"/>
          <w:u w:val="single"/>
          <w:lang w:val="en-US" w:eastAsia="zh-CN"/>
        </w:rPr>
        <w:t>1</w:t>
      </w:r>
      <w:r>
        <w:rPr>
          <w:rFonts w:hint="default" w:ascii="Times New Roman" w:hAnsi="Times New Roman" w:eastAsia="宋体" w:cs="Times New Roman"/>
          <w:color w:val="auto"/>
          <w:sz w:val="24"/>
          <w:szCs w:val="24"/>
          <w:highlight w:val="none"/>
          <w:u w:val="single"/>
        </w:rPr>
        <w:t>）其他工作及收边、收口工作：负责场地范围内的收边收口施工；为精装修施工单位、园林施工单位、总承包单位等预留满足施工使用的通道，承包人负责收边收口；负责场地周边交界部位开口、收口，包括防水处理；负责完善深化发包人提供的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具体以招标文件、招标图纸（包括技术要求）、工程量清单及有关资料说明为准。</w:t>
      </w:r>
    </w:p>
    <w:p>
      <w:pPr>
        <w:numPr>
          <w:ilvl w:val="0"/>
          <w:numId w:val="6"/>
        </w:numPr>
        <w:spacing w:line="360" w:lineRule="auto"/>
        <w:jc w:val="left"/>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招标要求：</w:t>
      </w:r>
    </w:p>
    <w:p>
      <w:pPr>
        <w:numPr>
          <w:ilvl w:val="0"/>
          <w:numId w:val="7"/>
        </w:numPr>
        <w:spacing w:line="360" w:lineRule="auto"/>
        <w:ind w:firstLine="480" w:firstLineChars="200"/>
        <w:jc w:val="left"/>
        <w:rPr>
          <w:rFonts w:hint="eastAsia" w:cs="Times New Roman"/>
          <w:b w:val="0"/>
          <w:bCs w:val="0"/>
          <w:color w:val="auto"/>
          <w:sz w:val="24"/>
          <w:szCs w:val="24"/>
          <w:highlight w:val="none"/>
          <w:u w:val="single"/>
          <w:lang w:val="en-US" w:eastAsia="zh-CN"/>
        </w:rPr>
      </w:pPr>
      <w:r>
        <w:rPr>
          <w:rFonts w:hint="eastAsia" w:cs="Times New Roman"/>
          <w:b w:val="0"/>
          <w:bCs w:val="0"/>
          <w:color w:val="auto"/>
          <w:sz w:val="24"/>
          <w:szCs w:val="24"/>
          <w:highlight w:val="none"/>
          <w:u w:val="single"/>
          <w:lang w:val="en-US" w:eastAsia="zh-CN"/>
        </w:rPr>
        <w:t>工期要求：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cs="Times New Roman"/>
          <w:b w:val="0"/>
          <w:bCs w:val="0"/>
          <w:color w:val="auto"/>
          <w:sz w:val="24"/>
          <w:szCs w:val="24"/>
          <w:highlight w:val="none"/>
          <w:u w:val="single"/>
          <w:lang w:val="en-US" w:eastAsia="zh-CN"/>
        </w:rPr>
      </w:pPr>
      <w:r>
        <w:rPr>
          <w:rFonts w:hint="eastAsia" w:cs="Times New Roman"/>
          <w:b w:val="0"/>
          <w:bCs w:val="0"/>
          <w:color w:val="auto"/>
          <w:sz w:val="24"/>
          <w:szCs w:val="24"/>
          <w:highlight w:val="none"/>
          <w:u w:val="single"/>
          <w:lang w:val="en-US" w:eastAsia="zh-CN"/>
        </w:rPr>
        <w:t>本工程总工期为150个日历天（具体开工日期以发包人或总监理工程师发出的开工令为准），含相关专业工程深化设计时间及配合施工总承包单位通过规划、消防、环保、人防、通信、质监等各专项验收、质量验收直至取得《广州市房屋建筑和市政基础设施工程竣工联合验收意见书》以及完成本期所有工程施工达到交付标准的所有工期。暂定从2025年10月10日-2026年3月10日。计划联合验收完成时间：2026年3月10日</w:t>
      </w:r>
      <w:r>
        <w:rPr>
          <w:rFonts w:hint="eastAsia" w:cs="Times New Roman"/>
          <w:b w:val="0"/>
          <w:bCs w:val="0"/>
          <w:color w:val="auto"/>
          <w:sz w:val="24"/>
          <w:szCs w:val="24"/>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u w:val="single"/>
        </w:rPr>
        <w:t>工程竣工日期以获得建设行政主管部门出具的《广州市房屋建筑和市政基础设施工程竣工联合验收意见书》所载明的验收日期和完成本期所有工程施工达到交付标准的日期中时间靠后的日期为准。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u w:val="single"/>
        </w:rPr>
        <w:t>本项目关键工期节点如下：</w:t>
      </w:r>
    </w:p>
    <w:tbl>
      <w:tblPr>
        <w:tblStyle w:val="49"/>
        <w:tblW w:w="80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34"/>
        <w:gridCol w:w="1755"/>
        <w:gridCol w:w="1843"/>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blHeader/>
          <w:jc w:val="center"/>
        </w:trPr>
        <w:tc>
          <w:tcPr>
            <w:tcW w:w="740" w:type="dxa"/>
            <w:tcBorders>
              <w:tl2br w:val="nil"/>
              <w:tr2bl w:val="nil"/>
            </w:tcBorders>
            <w:vAlign w:val="center"/>
          </w:tcPr>
          <w:p>
            <w:pPr>
              <w:widowControl/>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序号</w:t>
            </w:r>
          </w:p>
        </w:tc>
        <w:tc>
          <w:tcPr>
            <w:tcW w:w="1834" w:type="dxa"/>
            <w:tcBorders>
              <w:tl2br w:val="nil"/>
              <w:tr2bl w:val="nil"/>
            </w:tcBorders>
            <w:vAlign w:val="center"/>
          </w:tcPr>
          <w:p>
            <w:pPr>
              <w:widowControl/>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节点名称</w:t>
            </w:r>
          </w:p>
        </w:tc>
        <w:tc>
          <w:tcPr>
            <w:tcW w:w="1755" w:type="dxa"/>
            <w:tcBorders>
              <w:tl2br w:val="nil"/>
              <w:tr2bl w:val="nil"/>
            </w:tcBorders>
            <w:vAlign w:val="center"/>
          </w:tcPr>
          <w:p>
            <w:pPr>
              <w:widowControl/>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工期</w:t>
            </w:r>
          </w:p>
        </w:tc>
        <w:tc>
          <w:tcPr>
            <w:tcW w:w="1843" w:type="dxa"/>
            <w:tcBorders>
              <w:tl2br w:val="nil"/>
              <w:tr2bl w:val="nil"/>
            </w:tcBorders>
            <w:vAlign w:val="center"/>
          </w:tcPr>
          <w:p>
            <w:pPr>
              <w:widowControl/>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计划开工日期</w:t>
            </w:r>
          </w:p>
        </w:tc>
        <w:tc>
          <w:tcPr>
            <w:tcW w:w="1914" w:type="dxa"/>
            <w:tcBorders>
              <w:tl2br w:val="nil"/>
              <w:tr2bl w:val="nil"/>
            </w:tcBorders>
            <w:vAlign w:val="center"/>
          </w:tcPr>
          <w:p>
            <w:pPr>
              <w:widowControl/>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计划完工日期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40" w:type="dxa"/>
            <w:tcBorders>
              <w:tl2br w:val="nil"/>
              <w:tr2bl w:val="nil"/>
            </w:tcBorders>
            <w:vAlign w:val="center"/>
          </w:tcPr>
          <w:p>
            <w:pPr>
              <w:widowControl/>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c>
          <w:tcPr>
            <w:tcW w:w="1834" w:type="dxa"/>
            <w:tcBorders>
              <w:tl2br w:val="nil"/>
              <w:tr2bl w:val="nil"/>
            </w:tcBorders>
            <w:vAlign w:val="center"/>
          </w:tcPr>
          <w:p>
            <w:pPr>
              <w:widowControl/>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路基开挖，换填</w:t>
            </w:r>
          </w:p>
        </w:tc>
        <w:tc>
          <w:tcPr>
            <w:tcW w:w="1755" w:type="dxa"/>
            <w:tcBorders>
              <w:tl2br w:val="nil"/>
              <w:tr2bl w:val="nil"/>
            </w:tcBorders>
            <w:vAlign w:val="center"/>
          </w:tcPr>
          <w:p>
            <w:pPr>
              <w:widowControl/>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15天，开工日起计15日历天</w:t>
            </w:r>
          </w:p>
        </w:tc>
        <w:tc>
          <w:tcPr>
            <w:tcW w:w="1843" w:type="dxa"/>
            <w:tcBorders>
              <w:tl2br w:val="nil"/>
              <w:tr2bl w:val="nil"/>
            </w:tcBorders>
            <w:vAlign w:val="center"/>
          </w:tcPr>
          <w:p>
            <w:pPr>
              <w:widowControl/>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2025年10月10日</w:t>
            </w:r>
          </w:p>
        </w:tc>
        <w:tc>
          <w:tcPr>
            <w:tcW w:w="1914" w:type="dxa"/>
            <w:tcBorders>
              <w:tl2br w:val="nil"/>
              <w:tr2bl w:val="nil"/>
            </w:tcBorders>
            <w:vAlign w:val="center"/>
          </w:tcPr>
          <w:p>
            <w:pPr>
              <w:widowControl/>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2025年10月25日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40" w:type="dxa"/>
            <w:tcBorders>
              <w:tl2br w:val="nil"/>
              <w:tr2bl w:val="nil"/>
            </w:tcBorders>
            <w:vAlign w:val="center"/>
          </w:tcPr>
          <w:p>
            <w:pPr>
              <w:widowControl/>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p>
        </w:tc>
        <w:tc>
          <w:tcPr>
            <w:tcW w:w="1834" w:type="dxa"/>
            <w:tcBorders>
              <w:tl2br w:val="nil"/>
              <w:tr2bl w:val="nil"/>
            </w:tcBorders>
            <w:vAlign w:val="center"/>
          </w:tcPr>
          <w:p>
            <w:pPr>
              <w:widowControl/>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管综、管线施工、回填</w:t>
            </w:r>
          </w:p>
        </w:tc>
        <w:tc>
          <w:tcPr>
            <w:tcW w:w="1755" w:type="dxa"/>
            <w:tcBorders>
              <w:tl2br w:val="nil"/>
              <w:tr2bl w:val="nil"/>
            </w:tcBorders>
            <w:vAlign w:val="center"/>
          </w:tcPr>
          <w:p>
            <w:pPr>
              <w:widowControl/>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45天，开工日起计60日历天</w:t>
            </w:r>
          </w:p>
        </w:tc>
        <w:tc>
          <w:tcPr>
            <w:tcW w:w="1843" w:type="dxa"/>
            <w:tcBorders>
              <w:tl2br w:val="nil"/>
              <w:tr2bl w:val="nil"/>
            </w:tcBorders>
            <w:vAlign w:val="center"/>
          </w:tcPr>
          <w:p>
            <w:pPr>
              <w:widowControl/>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2025年10月26日</w:t>
            </w:r>
          </w:p>
        </w:tc>
        <w:tc>
          <w:tcPr>
            <w:tcW w:w="1914" w:type="dxa"/>
            <w:tcBorders>
              <w:tl2br w:val="nil"/>
              <w:tr2bl w:val="nil"/>
            </w:tcBorders>
            <w:vAlign w:val="center"/>
          </w:tcPr>
          <w:p>
            <w:pPr>
              <w:widowControl/>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2026年12月10日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740" w:type="dxa"/>
            <w:tcBorders>
              <w:tl2br w:val="nil"/>
              <w:tr2bl w:val="nil"/>
            </w:tcBorders>
            <w:vAlign w:val="center"/>
          </w:tcPr>
          <w:p>
            <w:pPr>
              <w:widowControl/>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p>
        </w:tc>
        <w:tc>
          <w:tcPr>
            <w:tcW w:w="1834" w:type="dxa"/>
            <w:tcBorders>
              <w:tl2br w:val="nil"/>
              <w:tr2bl w:val="nil"/>
            </w:tcBorders>
            <w:vAlign w:val="center"/>
          </w:tcPr>
          <w:p>
            <w:pPr>
              <w:widowControl/>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路基施工</w:t>
            </w:r>
          </w:p>
        </w:tc>
        <w:tc>
          <w:tcPr>
            <w:tcW w:w="1755" w:type="dxa"/>
            <w:tcBorders>
              <w:tl2br w:val="nil"/>
              <w:tr2bl w:val="nil"/>
            </w:tcBorders>
            <w:vAlign w:val="center"/>
          </w:tcPr>
          <w:p>
            <w:pPr>
              <w:widowControl/>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30天，开工日起计90日历天</w:t>
            </w:r>
          </w:p>
        </w:tc>
        <w:tc>
          <w:tcPr>
            <w:tcW w:w="1843" w:type="dxa"/>
            <w:tcBorders>
              <w:tl2br w:val="nil"/>
              <w:tr2bl w:val="nil"/>
            </w:tcBorders>
            <w:vAlign w:val="center"/>
          </w:tcPr>
          <w:p>
            <w:pPr>
              <w:widowControl/>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2026年12月11日</w:t>
            </w:r>
          </w:p>
        </w:tc>
        <w:tc>
          <w:tcPr>
            <w:tcW w:w="1914" w:type="dxa"/>
            <w:tcBorders>
              <w:tl2br w:val="nil"/>
              <w:tr2bl w:val="nil"/>
            </w:tcBorders>
            <w:vAlign w:val="center"/>
          </w:tcPr>
          <w:p>
            <w:pPr>
              <w:widowControl/>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2026年1月11日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40" w:type="dxa"/>
            <w:tcBorders>
              <w:tl2br w:val="nil"/>
              <w:tr2bl w:val="nil"/>
            </w:tcBorders>
            <w:vAlign w:val="center"/>
          </w:tcPr>
          <w:p>
            <w:pPr>
              <w:widowControl/>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p>
        </w:tc>
        <w:tc>
          <w:tcPr>
            <w:tcW w:w="1834" w:type="dxa"/>
            <w:tcBorders>
              <w:tl2br w:val="nil"/>
              <w:tr2bl w:val="nil"/>
            </w:tcBorders>
            <w:vAlign w:val="center"/>
          </w:tcPr>
          <w:p>
            <w:pPr>
              <w:widowControl/>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路面结构施工</w:t>
            </w:r>
          </w:p>
        </w:tc>
        <w:tc>
          <w:tcPr>
            <w:tcW w:w="1755" w:type="dxa"/>
            <w:tcBorders>
              <w:tl2br w:val="nil"/>
              <w:tr2bl w:val="nil"/>
            </w:tcBorders>
            <w:vAlign w:val="center"/>
          </w:tcPr>
          <w:p>
            <w:pPr>
              <w:widowControl/>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50天，开工日起计140日历天</w:t>
            </w:r>
          </w:p>
        </w:tc>
        <w:tc>
          <w:tcPr>
            <w:tcW w:w="1843" w:type="dxa"/>
            <w:tcBorders>
              <w:tl2br w:val="nil"/>
              <w:tr2bl w:val="nil"/>
            </w:tcBorders>
            <w:vAlign w:val="center"/>
          </w:tcPr>
          <w:p>
            <w:pPr>
              <w:widowControl/>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2026年1月12日</w:t>
            </w:r>
          </w:p>
        </w:tc>
        <w:tc>
          <w:tcPr>
            <w:tcW w:w="1914" w:type="dxa"/>
            <w:tcBorders>
              <w:tl2br w:val="nil"/>
              <w:tr2bl w:val="nil"/>
            </w:tcBorders>
            <w:vAlign w:val="center"/>
          </w:tcPr>
          <w:p>
            <w:pPr>
              <w:widowControl/>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2026年3月1日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40" w:type="dxa"/>
            <w:tcBorders>
              <w:tl2br w:val="nil"/>
              <w:tr2bl w:val="nil"/>
            </w:tcBorders>
            <w:vAlign w:val="center"/>
          </w:tcPr>
          <w:p>
            <w:pPr>
              <w:widowControl/>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w:t>
            </w:r>
          </w:p>
        </w:tc>
        <w:tc>
          <w:tcPr>
            <w:tcW w:w="1834" w:type="dxa"/>
            <w:tcBorders>
              <w:tl2br w:val="nil"/>
              <w:tr2bl w:val="nil"/>
            </w:tcBorders>
            <w:vAlign w:val="center"/>
          </w:tcPr>
          <w:p>
            <w:pPr>
              <w:widowControl/>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竣工验收</w:t>
            </w:r>
          </w:p>
        </w:tc>
        <w:tc>
          <w:tcPr>
            <w:tcW w:w="1755" w:type="dxa"/>
            <w:tcBorders>
              <w:tl2br w:val="nil"/>
              <w:tr2bl w:val="nil"/>
            </w:tcBorders>
            <w:vAlign w:val="center"/>
          </w:tcPr>
          <w:p>
            <w:pPr>
              <w:widowControl/>
              <w:ind w:firstLine="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10天，开工日起计150日历天</w:t>
            </w:r>
          </w:p>
        </w:tc>
        <w:tc>
          <w:tcPr>
            <w:tcW w:w="1843" w:type="dxa"/>
            <w:tcBorders>
              <w:tl2br w:val="nil"/>
              <w:tr2bl w:val="nil"/>
            </w:tcBorders>
            <w:vAlign w:val="center"/>
          </w:tcPr>
          <w:p>
            <w:pPr>
              <w:widowControl/>
              <w:ind w:firstLine="0"/>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2026年3月1日</w:t>
            </w:r>
          </w:p>
        </w:tc>
        <w:tc>
          <w:tcPr>
            <w:tcW w:w="1914" w:type="dxa"/>
            <w:tcBorders>
              <w:tl2br w:val="nil"/>
              <w:tr2bl w:val="nil"/>
            </w:tcBorders>
            <w:vAlign w:val="center"/>
          </w:tcPr>
          <w:p>
            <w:pPr>
              <w:widowControl/>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2026年3月10日</w:t>
            </w:r>
          </w:p>
        </w:tc>
      </w:tr>
    </w:tbl>
    <w:p>
      <w:pPr>
        <w:numPr>
          <w:ilvl w:val="-1"/>
          <w:numId w:val="0"/>
        </w:numPr>
        <w:spacing w:line="360" w:lineRule="auto"/>
        <w:ind w:firstLine="480" w:firstLineChars="200"/>
        <w:jc w:val="left"/>
        <w:outlineLvl w:val="9"/>
        <w:rPr>
          <w:rFonts w:hint="eastAsia" w:cs="Times New Roman"/>
          <w:b w:val="0"/>
          <w:bCs w:val="0"/>
          <w:color w:val="auto"/>
          <w:sz w:val="24"/>
          <w:szCs w:val="24"/>
          <w:highlight w:val="none"/>
          <w:u w:val="single"/>
          <w:lang w:val="en-US" w:eastAsia="zh-CN"/>
        </w:rPr>
      </w:pPr>
      <w:r>
        <w:rPr>
          <w:rFonts w:hint="eastAsia" w:ascii="Times New Roman" w:hAnsi="Times New Roman" w:eastAsia="宋体" w:cs="Times New Roman"/>
          <w:color w:val="auto"/>
          <w:sz w:val="24"/>
          <w:szCs w:val="24"/>
          <w:highlight w:val="none"/>
          <w:u w:val="single"/>
        </w:rPr>
        <w:t>发包人根据工程实施情况，有权对本合同工程工期（包括关键节点工期和竣工日期）进行适当调整，承包人必须采取一切有效措施保证竣工日期，不得延误，并不得要求另行增加费用；如不能按经发包人批准或下达的计划完成任务，承包人须承担逾期违约责任。</w:t>
      </w:r>
    </w:p>
    <w:p>
      <w:pPr>
        <w:numPr>
          <w:ilvl w:val="0"/>
          <w:numId w:val="7"/>
        </w:numPr>
        <w:spacing w:line="360" w:lineRule="auto"/>
        <w:ind w:firstLine="480" w:firstLineChars="200"/>
        <w:jc w:val="left"/>
        <w:rPr>
          <w:rFonts w:hint="default" w:cs="Times New Roman"/>
          <w:b w:val="0"/>
          <w:bCs w:val="0"/>
          <w:color w:val="auto"/>
          <w:sz w:val="24"/>
          <w:szCs w:val="24"/>
          <w:highlight w:val="none"/>
          <w:u w:val="single"/>
          <w:lang w:val="en-US" w:eastAsia="zh-CN"/>
        </w:rPr>
      </w:pPr>
      <w:r>
        <w:rPr>
          <w:rFonts w:hint="eastAsia" w:cs="Times New Roman"/>
          <w:b w:val="0"/>
          <w:bCs w:val="0"/>
          <w:color w:val="auto"/>
          <w:sz w:val="24"/>
          <w:szCs w:val="24"/>
          <w:highlight w:val="none"/>
          <w:u w:val="single"/>
          <w:lang w:val="en-US" w:eastAsia="zh-CN"/>
        </w:rPr>
        <w:t>工程质量标准：</w:t>
      </w:r>
    </w:p>
    <w:p>
      <w:pPr>
        <w:numPr>
          <w:ilvl w:val="-1"/>
          <w:numId w:val="0"/>
        </w:numPr>
        <w:spacing w:line="360" w:lineRule="auto"/>
        <w:ind w:firstLine="480" w:firstLineChars="200"/>
        <w:jc w:val="left"/>
        <w:rPr>
          <w:rFonts w:hint="default" w:cs="Times New Roman"/>
          <w:b w:val="0"/>
          <w:bCs w:val="0"/>
          <w:color w:val="auto"/>
          <w:sz w:val="24"/>
          <w:szCs w:val="24"/>
          <w:highlight w:val="none"/>
          <w:u w:val="single"/>
          <w:lang w:val="en-US" w:eastAsia="zh-CN"/>
        </w:rPr>
      </w:pPr>
      <w:r>
        <w:rPr>
          <w:rFonts w:hint="eastAsia" w:cs="Times New Roman"/>
          <w:b w:val="0"/>
          <w:bCs w:val="0"/>
          <w:color w:val="auto"/>
          <w:sz w:val="24"/>
          <w:szCs w:val="24"/>
          <w:highlight w:val="none"/>
          <w:u w:val="single"/>
          <w:lang w:val="en-US" w:eastAsia="zh-CN"/>
        </w:rPr>
        <w:t>本工程的质量要求为工程一次竣工验收合格，满足交通、水务、供电市政、城管等部门接管单位验收标准，符合施工图纸要求和国家、行业有关标准，符合《工程施工质量验收规范》合格标准，符合《建筑工程施工质量验收统一标准》（GB50300-2013）（如有新版本颁布，则按最新版本执行），前述质量标准存在不同的，应当以更严格的为准。发包人及其主管部门后续发布有关样板工地的建设标准，承包人应按其执行。相关费用承包人已在投标报价中综合考虑,发包人不再就此支付任何费用。</w:t>
      </w:r>
    </w:p>
    <w:p>
      <w:pPr>
        <w:numPr>
          <w:ilvl w:val="0"/>
          <w:numId w:val="7"/>
        </w:numPr>
        <w:spacing w:line="360" w:lineRule="auto"/>
        <w:ind w:firstLine="480" w:firstLineChars="200"/>
        <w:jc w:val="left"/>
        <w:rPr>
          <w:rFonts w:hint="default" w:cs="Times New Roman"/>
          <w:b w:val="0"/>
          <w:bCs w:val="0"/>
          <w:color w:val="auto"/>
          <w:sz w:val="24"/>
          <w:szCs w:val="24"/>
          <w:highlight w:val="none"/>
          <w:u w:val="single"/>
          <w:lang w:val="en-US" w:eastAsia="zh-CN"/>
        </w:rPr>
      </w:pPr>
      <w:r>
        <w:rPr>
          <w:rFonts w:hint="default" w:cs="Times New Roman"/>
          <w:b w:val="0"/>
          <w:bCs w:val="0"/>
          <w:color w:val="auto"/>
          <w:sz w:val="24"/>
          <w:szCs w:val="24"/>
          <w:highlight w:val="none"/>
          <w:u w:val="single"/>
          <w:lang w:val="en-US" w:eastAsia="zh-CN"/>
        </w:rPr>
        <w:t>安全、文明施工目标：</w:t>
      </w:r>
    </w:p>
    <w:p>
      <w:pPr>
        <w:numPr>
          <w:ilvl w:val="-1"/>
          <w:numId w:val="0"/>
        </w:numPr>
        <w:spacing w:line="360" w:lineRule="auto"/>
        <w:ind w:firstLine="480" w:firstLineChars="200"/>
        <w:jc w:val="left"/>
        <w:rPr>
          <w:rFonts w:hint="default" w:cs="Times New Roman"/>
          <w:b w:val="0"/>
          <w:bCs w:val="0"/>
          <w:color w:val="auto"/>
          <w:sz w:val="24"/>
          <w:szCs w:val="24"/>
          <w:highlight w:val="none"/>
          <w:u w:val="single"/>
          <w:lang w:val="en-US" w:eastAsia="zh-CN"/>
        </w:rPr>
      </w:pPr>
      <w:r>
        <w:rPr>
          <w:rFonts w:hint="default" w:cs="Times New Roman"/>
          <w:b w:val="0"/>
          <w:bCs w:val="0"/>
          <w:color w:val="auto"/>
          <w:sz w:val="24"/>
          <w:szCs w:val="24"/>
          <w:highlight w:val="none"/>
          <w:u w:val="single"/>
          <w:lang w:val="en-US" w:eastAsia="zh-CN"/>
        </w:rPr>
        <w:t>杜绝一般事故等级以上的伤亡事故且工伤责任事故死亡人数为零。本项目必须做好工地的安全、文明施工，尽量减少因施工扰民给项目进展带来的干扰。</w:t>
      </w:r>
    </w:p>
    <w:p>
      <w:pPr>
        <w:numPr>
          <w:ilvl w:val="0"/>
          <w:numId w:val="6"/>
        </w:numPr>
        <w:spacing w:line="360" w:lineRule="auto"/>
        <w:jc w:val="left"/>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施工现场建筑垃圾源头减量的具体要求和建筑垃圾综合利用产品的使用要求：</w:t>
      </w:r>
    </w:p>
    <w:p>
      <w:pPr>
        <w:pStyle w:val="2"/>
        <w:pageBreakBefore w:val="0"/>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 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pPr>
        <w:pStyle w:val="2"/>
        <w:pageBreakBefore w:val="0"/>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 建筑垃圾应当按照国家有关规定进行分类，实行分类收集、分类贮存、分类运输、分类处置。</w:t>
      </w:r>
    </w:p>
    <w:p>
      <w:pPr>
        <w:pStyle w:val="2"/>
        <w:pageBreakBefore w:val="0"/>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 施工单位应当建立建筑垃圾管理台账，分类收集、贮存和及时清运施工过程中产生的建筑垃圾，采取有效措施防止混合已分类的建筑垃圾。</w:t>
      </w:r>
    </w:p>
    <w:p>
      <w:pPr>
        <w:pStyle w:val="2"/>
        <w:pageBreakBefore w:val="0"/>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工程施工单位应当将建筑垃圾的产生量与种类、清运时间、最终去向等信息在施工现场公示，接受社会监督。</w:t>
      </w:r>
    </w:p>
    <w:p>
      <w:pPr>
        <w:keepNext/>
        <w:keepLines/>
        <w:pageBreakBefore w:val="0"/>
        <w:numPr>
          <w:ilvl w:val="0"/>
          <w:numId w:val="0"/>
        </w:numPr>
        <w:kinsoku/>
        <w:wordWrap/>
        <w:overflowPunct/>
        <w:topLinePunct w:val="0"/>
        <w:autoSpaceDE/>
        <w:autoSpaceDN/>
        <w:bidi w:val="0"/>
        <w:adjustRightInd/>
        <w:snapToGrid/>
        <w:spacing w:before="120" w:after="120" w:line="360" w:lineRule="auto"/>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 .建设单位和施工单位严格遵守并执行《广东省建筑垃圾管理条例》。</w:t>
      </w:r>
    </w:p>
    <w:p>
      <w:pPr>
        <w:keepNext w:val="0"/>
        <w:keepLines w:val="0"/>
        <w:pageBreakBefore w:val="0"/>
        <w:numPr>
          <w:ilvl w:val="0"/>
          <w:numId w:val="6"/>
        </w:numPr>
        <w:kinsoku/>
        <w:wordWrap/>
        <w:overflowPunct/>
        <w:topLinePunct w:val="0"/>
        <w:autoSpaceDE/>
        <w:autoSpaceDN/>
        <w:bidi w:val="0"/>
        <w:adjustRightInd/>
        <w:snapToGrid/>
        <w:spacing w:before="0" w:after="0" w:line="360" w:lineRule="auto"/>
        <w:jc w:val="left"/>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其他说明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具体按施工图纸、中华人民共和国现行技术和验收规范、图纸中规定的其它技术和验收标准、遵照招标人相关规定要求为准</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依据招标文件及相关文件的要求，本招标工程项目的材料、设备、施工须达到中华人民共和国以及省、市或行业的工程建设标准、规范的要求。</w:t>
      </w:r>
    </w:p>
    <w:p>
      <w:pPr>
        <w:pStyle w:val="2"/>
        <w:pageBreakBefore w:val="0"/>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highlight w:val="none"/>
          <w:lang w:val="en-US" w:eastAsia="zh-CN"/>
        </w:rPr>
      </w:pPr>
    </w:p>
    <w:p>
      <w:pPr>
        <w:pStyle w:val="2"/>
        <w:pageBreakBefore w:val="0"/>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highlight w:val="none"/>
          <w:lang w:val="en-US" w:eastAsia="zh-CN"/>
        </w:rPr>
      </w:pPr>
    </w:p>
    <w:p>
      <w:pPr>
        <w:pStyle w:val="2"/>
        <w:spacing w:after="0" w:line="360" w:lineRule="auto"/>
        <w:ind w:left="0" w:leftChars="0" w:right="0" w:rightChars="0" w:firstLine="480" w:firstLineChars="200"/>
        <w:jc w:val="left"/>
        <w:rPr>
          <w:rFonts w:hint="default" w:ascii="Times New Roman" w:hAnsi="Times New Roman" w:eastAsia="宋体" w:cs="Times New Roman"/>
          <w:color w:val="auto"/>
          <w:sz w:val="24"/>
          <w:szCs w:val="24"/>
          <w:highlight w:val="none"/>
          <w:lang w:val="en-US" w:eastAsia="zh-CN"/>
        </w:rPr>
      </w:pPr>
    </w:p>
    <w:p>
      <w:pPr>
        <w:keepNext/>
        <w:keepLines/>
        <w:numPr>
          <w:ilvl w:val="0"/>
          <w:numId w:val="0"/>
        </w:numPr>
        <w:spacing w:before="120" w:after="120" w:line="360" w:lineRule="auto"/>
        <w:jc w:val="center"/>
        <w:outlineLvl w:val="0"/>
        <w:rPr>
          <w:rFonts w:hint="default" w:ascii="Times New Roman" w:hAnsi="Times New Roman" w:eastAsia="宋体" w:cs="Times New Roman"/>
          <w:b/>
          <w:color w:val="auto"/>
          <w:kern w:val="44"/>
          <w:sz w:val="28"/>
          <w:szCs w:val="28"/>
          <w:highlight w:val="none"/>
        </w:rPr>
      </w:pPr>
      <w:r>
        <w:rPr>
          <w:rFonts w:hint="default" w:ascii="Times New Roman" w:hAnsi="Times New Roman" w:eastAsia="宋体" w:cs="Times New Roman"/>
          <w:b/>
          <w:color w:val="auto"/>
          <w:kern w:val="44"/>
          <w:sz w:val="28"/>
          <w:szCs w:val="28"/>
          <w:highlight w:val="none"/>
        </w:rPr>
        <w:br w:type="page"/>
      </w:r>
      <w:bookmarkStart w:id="110" w:name="_Toc20976"/>
      <w:r>
        <w:rPr>
          <w:rFonts w:hint="default" w:ascii="Times New Roman" w:hAnsi="Times New Roman" w:eastAsia="宋体" w:cs="Times New Roman"/>
          <w:b/>
          <w:color w:val="auto"/>
          <w:kern w:val="44"/>
          <w:sz w:val="28"/>
          <w:szCs w:val="28"/>
          <w:highlight w:val="none"/>
        </w:rPr>
        <w:t>第六章  图纸及勘察资料</w:t>
      </w:r>
      <w:bookmarkEnd w:id="110"/>
    </w:p>
    <w:p>
      <w:pPr>
        <w:keepNext/>
        <w:keepLines/>
        <w:pageBreakBefore w:val="0"/>
        <w:widowControl w:val="0"/>
        <w:kinsoku/>
        <w:wordWrap/>
        <w:overflowPunct/>
        <w:topLinePunct w:val="0"/>
        <w:autoSpaceDE/>
        <w:autoSpaceDN/>
        <w:bidi w:val="0"/>
        <w:adjustRightInd/>
        <w:snapToGrid/>
        <w:spacing w:before="120" w:after="120" w:line="360" w:lineRule="auto"/>
        <w:jc w:val="center"/>
        <w:textAlignment w:val="auto"/>
        <w:outlineLvl w:val="9"/>
        <w:rPr>
          <w:rFonts w:hint="default" w:ascii="Times New Roman" w:hAnsi="Times New Roman" w:eastAsia="宋体" w:cs="Times New Roman"/>
          <w:b/>
          <w:color w:val="auto"/>
          <w:kern w:val="44"/>
          <w:sz w:val="28"/>
          <w:szCs w:val="28"/>
          <w:highlight w:val="none"/>
        </w:rPr>
      </w:pPr>
      <w:bookmarkStart w:id="111" w:name="_Toc62134900"/>
      <w:bookmarkStart w:id="112" w:name="_Toc41306302"/>
      <w:r>
        <w:rPr>
          <w:rFonts w:hint="default" w:ascii="Times New Roman" w:hAnsi="Times New Roman" w:eastAsia="宋体" w:cs="Times New Roman"/>
          <w:b/>
          <w:color w:val="auto"/>
          <w:kern w:val="44"/>
          <w:sz w:val="28"/>
          <w:szCs w:val="28"/>
          <w:highlight w:val="none"/>
        </w:rPr>
        <w:t>（另册）</w:t>
      </w:r>
      <w:bookmarkEnd w:id="111"/>
      <w:bookmarkEnd w:id="112"/>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注：本项目所有招标图纸、资料知识产权属招标人所有，不得用于除本次招标项目外其它用途，否则应承担由此所引起的全部法律责任。</w:t>
      </w:r>
    </w:p>
    <w:p>
      <w:pPr>
        <w:rPr>
          <w:rFonts w:hint="default" w:ascii="Times New Roman" w:hAnsi="Times New Roman" w:eastAsia="宋体" w:cs="Times New Roman"/>
          <w:color w:val="auto"/>
          <w:sz w:val="24"/>
          <w:szCs w:val="24"/>
          <w:highlight w:val="none"/>
        </w:rPr>
      </w:pPr>
    </w:p>
    <w:p>
      <w:pPr>
        <w:keepNext/>
        <w:keepLines/>
        <w:spacing w:before="120" w:after="120" w:line="360" w:lineRule="auto"/>
        <w:jc w:val="center"/>
        <w:outlineLvl w:val="0"/>
        <w:rPr>
          <w:rFonts w:hint="default" w:ascii="Times New Roman" w:hAnsi="Times New Roman" w:eastAsia="宋体" w:cs="Times New Roman"/>
          <w:b/>
          <w:color w:val="auto"/>
          <w:kern w:val="44"/>
          <w:sz w:val="28"/>
          <w:szCs w:val="28"/>
          <w:highlight w:val="none"/>
        </w:rPr>
      </w:pPr>
      <w:r>
        <w:rPr>
          <w:rFonts w:hint="default" w:ascii="Times New Roman" w:hAnsi="Times New Roman" w:eastAsia="宋体" w:cs="Times New Roman"/>
          <w:b/>
          <w:color w:val="auto"/>
          <w:kern w:val="44"/>
          <w:sz w:val="24"/>
          <w:szCs w:val="24"/>
          <w:highlight w:val="none"/>
        </w:rPr>
        <w:br w:type="page"/>
      </w:r>
      <w:bookmarkStart w:id="113" w:name="_Toc17069"/>
      <w:r>
        <w:rPr>
          <w:rFonts w:hint="default" w:ascii="Times New Roman" w:hAnsi="Times New Roman" w:eastAsia="宋体" w:cs="Times New Roman"/>
          <w:b/>
          <w:color w:val="auto"/>
          <w:kern w:val="44"/>
          <w:sz w:val="28"/>
          <w:szCs w:val="28"/>
          <w:highlight w:val="none"/>
        </w:rPr>
        <w:t>第七章  工程量清单</w:t>
      </w:r>
      <w:bookmarkEnd w:id="113"/>
    </w:p>
    <w:p>
      <w:pPr>
        <w:rPr>
          <w:rFonts w:hint="default" w:ascii="Times New Roman" w:hAnsi="Times New Roman" w:eastAsia="宋体" w:cs="Times New Roman"/>
          <w:color w:val="auto"/>
          <w:sz w:val="24"/>
          <w:szCs w:val="24"/>
          <w:highlight w:val="none"/>
        </w:rPr>
        <w:sectPr>
          <w:headerReference r:id="rId6" w:type="default"/>
          <w:footerReference r:id="rId7" w:type="default"/>
          <w:pgSz w:w="11906" w:h="16838"/>
          <w:pgMar w:top="1440" w:right="1800" w:bottom="1440" w:left="1800" w:header="851" w:footer="992" w:gutter="0"/>
          <w:pgNumType w:fmt="decimal"/>
          <w:cols w:space="720" w:num="1"/>
          <w:docGrid w:linePitch="312" w:charSpace="0"/>
        </w:sectPr>
      </w:pPr>
      <w:r>
        <w:rPr>
          <w:rFonts w:hint="default" w:ascii="Times New Roman" w:hAnsi="Times New Roman" w:eastAsia="宋体" w:cs="Times New Roman"/>
          <w:color w:val="auto"/>
          <w:sz w:val="24"/>
          <w:szCs w:val="24"/>
          <w:highlight w:val="none"/>
        </w:rPr>
        <w:t>注：另册。</w:t>
      </w:r>
    </w:p>
    <w:p>
      <w:pPr>
        <w:keepNext/>
        <w:keepLines/>
        <w:spacing w:before="120" w:after="120" w:line="360" w:lineRule="auto"/>
        <w:jc w:val="center"/>
        <w:outlineLvl w:val="0"/>
        <w:rPr>
          <w:rFonts w:hint="default" w:ascii="Times New Roman" w:hAnsi="Times New Roman" w:eastAsia="宋体" w:cs="Times New Roman"/>
          <w:b/>
          <w:color w:val="auto"/>
          <w:kern w:val="44"/>
          <w:sz w:val="28"/>
          <w:szCs w:val="28"/>
          <w:highlight w:val="none"/>
        </w:rPr>
      </w:pPr>
      <w:bookmarkStart w:id="114" w:name="_Toc24214"/>
      <w:r>
        <w:rPr>
          <w:rFonts w:hint="default" w:ascii="Times New Roman" w:hAnsi="Times New Roman" w:eastAsia="宋体" w:cs="Times New Roman"/>
          <w:b/>
          <w:color w:val="auto"/>
          <w:kern w:val="44"/>
          <w:sz w:val="28"/>
          <w:szCs w:val="28"/>
          <w:highlight w:val="none"/>
        </w:rPr>
        <w:t>第八章  最高投标限价</w:t>
      </w:r>
      <w:bookmarkEnd w:id="114"/>
    </w:p>
    <w:p>
      <w:pPr>
        <w:spacing w:line="360" w:lineRule="auto"/>
        <w:ind w:firstLine="480"/>
        <w:rPr>
          <w:rFonts w:hint="default" w:ascii="Times New Roman" w:hAnsi="Times New Roman" w:eastAsia="宋体" w:cs="Times New Roman"/>
          <w:b/>
          <w:color w:val="auto"/>
          <w:sz w:val="24"/>
          <w:szCs w:val="24"/>
          <w:highlight w:val="none"/>
          <w:u w:val="single"/>
        </w:rPr>
      </w:pPr>
      <w:r>
        <w:rPr>
          <w:rFonts w:hint="default" w:ascii="Times New Roman" w:hAnsi="Times New Roman" w:eastAsia="宋体" w:cs="Times New Roman"/>
          <w:b/>
          <w:color w:val="auto"/>
          <w:sz w:val="24"/>
          <w:szCs w:val="24"/>
          <w:highlight w:val="none"/>
          <w:u w:val="single"/>
        </w:rPr>
        <w:t>注：《最高投标限价公布函》另册。</w:t>
      </w:r>
    </w:p>
    <w:p>
      <w:pPr>
        <w:spacing w:line="360" w:lineRule="auto"/>
        <w:jc w:val="center"/>
        <w:rPr>
          <w:rFonts w:hint="default" w:ascii="Times New Roman" w:hAnsi="Times New Roman" w:eastAsia="宋体" w:cs="Times New Roman"/>
          <w:b/>
          <w:bCs/>
          <w:color w:val="auto"/>
          <w:spacing w:val="40"/>
          <w:sz w:val="48"/>
          <w:szCs w:val="48"/>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sectPr>
      <w:pgSz w:w="11906" w:h="16838"/>
      <w:pgMar w:top="1440" w:right="1800" w:bottom="1440" w:left="180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Batang">
    <w:altName w:val="Malgun Gothic"/>
    <w:panose1 w:val="02030600000101010101"/>
    <w:charset w:val="81"/>
    <w:family w:val="auto"/>
    <w:pitch w:val="default"/>
    <w:sig w:usb0="00000000" w:usb1="00000000"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alisto MT">
    <w:panose1 w:val="02040603050505030304"/>
    <w:charset w:val="00"/>
    <w:family w:val="roman"/>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Century Schoolbook">
    <w:panose1 w:val="02040604050505020304"/>
    <w:charset w:val="00"/>
    <w:family w:val="roman"/>
    <w:pitch w:val="default"/>
    <w:sig w:usb0="00000287" w:usb1="00000000" w:usb2="00000000" w:usb3="00000000" w:csb0="2000009F" w:csb1="DFD7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720" w:firstLine="4320" w:firstLineChars="2400"/>
      <w:rPr>
        <w:rStyle w:val="5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720" w:firstLine="4320" w:firstLineChars="2400"/>
      <w:rPr>
        <w:rStyle w:val="5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KkFYq0BAABM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0uyVnQXqa0enrl9O3H6fvn9nz0p8xYUtpD4kS8/QqTpQ7+5GcRfZkwJcvCWIU&#10;p04fr93VU2aqPFotV6uGQopi84XwxePzBJhf6+hZMToONL7aVXl4i/mcOqeUaiHeW+fqCF34zUGY&#10;xSMK9zPHYuVpO10EbWN/JD0jTb7jgVaTM/cmUGPLkswGzMZ2NvYJ7G6oW1TqYXq5z0SicisVzrCX&#10;wjSyqu6yXmUnfr3XrMefYPM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KypBWKtAQAATAMA&#10;AA4AAAAAAAAAAQAgAAAAHgEAAGRycy9lMm9Eb2MueG1sUEsFBgAAAAAGAAYAWQEAAD0FAAAAAA==&#10;">
              <v:fill on="f" focussize="0,0"/>
              <v:stroke on="f"/>
              <v:imagedata o:title=""/>
              <o:lock v:ext="edit" aspectratio="f"/>
              <v:textbox inset="0mm,0mm,0mm,0mm" style="mso-fit-shape-to-text:t;">
                <w:txbxContent>
                  <w:p>
                    <w:pPr>
                      <w:pStyle w:val="3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77</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sNM8IBAABxAwAADgAAAGRycy9lMm9Eb2MueG1srVPBjtMwEL0j8Q+W&#10;7zTZHlAVNV0trBYhIUBa+ADXsRtLtscau03KB8AfcOLCne/qdzB2mu4CN7QXZzwzfvPezGR9PTrL&#10;DgqjAd/yq0XNmfISOuN3Lf/86e7FirOYhO+EBa9aflSRX2+eP1sPoVFL6MF2ChmB+NgMoeV9SqGp&#10;qih75URcQFCeghrQiURX3FUdioHQna2Wdf2yGgC7gCBVjOS9nYJ8U/C1VjJ90DqqxGzLiVsqJ5Zz&#10;m89qsxbNDkXojTzTEP/BwgnjqegF6lYkwfZo/oFyRiJE0GkhwVWgtZGqaCA1V/Vfau57EVTRQs2J&#10;4dKm+HSw8v3hIzLT0eyoPV44mtHp+7fTj1+nn1/ZMvdnCLGhtPtAiWl8BSPlzv5Izix71OjylwQx&#10;ihPU8dJdNSYm86PVcrWqKSQpNl8Iv3p4HjCmNwocy0bLkcZXuioO72KaUueUXM3DnbG2jND6PxyE&#10;mT1V5j5xzFYat+NZ0Ba6I+mhzaU6PeAXzgbagpZ7WlPO7FtPTc4LMxs4G9vZEF7Sw5YnzibzdZoW&#10;ax/Q7PqyaplUDDf7REyLgExjqn1mR3MtLTjvYF6cx/eS9fCnb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EmLDTPCAQAAcQMAAA4AAAAAAAAAAQAgAAAAHgEAAGRycy9lMm9Eb2MueG1sUEsF&#10;BgAAAAAGAAYAWQEAAFIFAAAAAA==&#10;">
              <v:fill on="f" focussize="0,0"/>
              <v:stroke on="f"/>
              <v:imagedata o:title=""/>
              <o:lock v:ext="edit" aspectratio="f"/>
              <v:textbox inset="0mm,0mm,0mm,0mm" style="mso-fit-shape-to-text:t;">
                <w:txbxContent>
                  <w:p>
                    <w:pPr>
                      <w:pStyle w:val="3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77</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FdO0sIBAABxAwAADgAAAGRycy9lMm9Eb2MueG1srVNNrtMwEN4jcQfL&#10;e+q0SKiKmj4BTw8hIUB6cADXcRpLtscau03KAeAGrNiw51w9B2On6eNnh9g445nxzPfNfNncjM6y&#10;o8ZowDd8uag4015Ba/y+4R8/3D1ZcxaT9K204HXDTzrym+3jR5sh1HoFPdhWI6MiPtZDaHifUqiF&#10;iKrXTsYFBO0p2AE6meiKe9GiHKi6s2JVVc/EANgGBKVjJO/tFOTbUr/rtErvui7qxGzDCVsqJ5Zz&#10;l0+x3ch6jzL0Rl1gyH9A4aTx1PRa6lYmyQ5o/irljEKI0KWFAieg64zShQOxWVZ/sLnvZdCFCw0n&#10;huuY4v8rq94e3yMzLe1uyZmXjnZ0/vrl/O3H+ftn9jTPZwixprT7QIlpfAEj5c7+SM5Me+zQ5S8R&#10;YhSnSZ+u09VjYio/Wq/W64pCimLzheqLh+cBY3qlwbFsNBxpfWWq8vgmpil1TsndPNwZa8sKrf/N&#10;QTWzR2TsE8ZspXE3XgjtoD0RH1Iu9ekBP3E2kAoa7kmmnNnXnoacBTMbOBu72ZBe0cOGJ84m82Wa&#10;hHUIaPZ9kVoGFcPzQyKkhUCGMfW+oKO9lhFcNJiF8+u9ZD38Kd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DxXTtLCAQAAcQMAAA4AAAAAAAAAAQAgAAAAHgEAAGRycy9lMm9Eb2MueG1sUEsF&#10;BgAAAAAGAAYAWQEAAFIFAAAAAA==&#10;">
              <v:fill on="f" focussize="0,0"/>
              <v:stroke on="f"/>
              <v:imagedata o:title=""/>
              <o:lock v:ext="edit" aspectratio="f"/>
              <v:textbox inset="0mm,0mm,0mm,0mm" style="mso-fit-shape-to-text:t;">
                <w:txbxContent>
                  <w:p>
                    <w:pPr>
                      <w:pStyle w:val="3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6E2E22"/>
    <w:multiLevelType w:val="singleLevel"/>
    <w:tmpl w:val="D46E2E22"/>
    <w:lvl w:ilvl="0" w:tentative="0">
      <w:start w:val="5"/>
      <w:numFmt w:val="chineseCounting"/>
      <w:suff w:val="space"/>
      <w:lvlText w:val="第%1章"/>
      <w:lvlJc w:val="left"/>
      <w:rPr>
        <w:rFonts w:hint="eastAsia"/>
      </w:rPr>
    </w:lvl>
  </w:abstractNum>
  <w:abstractNum w:abstractNumId="1">
    <w:nsid w:val="F8272D0B"/>
    <w:multiLevelType w:val="singleLevel"/>
    <w:tmpl w:val="F8272D0B"/>
    <w:lvl w:ilvl="0" w:tentative="0">
      <w:start w:val="2"/>
      <w:numFmt w:val="chineseCounting"/>
      <w:suff w:val="nothing"/>
      <w:lvlText w:val="%1、"/>
      <w:lvlJc w:val="left"/>
      <w:rPr>
        <w:rFonts w:hint="eastAsia"/>
      </w:rPr>
    </w:lvl>
  </w:abstractNum>
  <w:abstractNum w:abstractNumId="2">
    <w:nsid w:val="00000003"/>
    <w:multiLevelType w:val="multilevel"/>
    <w:tmpl w:val="00000003"/>
    <w:lvl w:ilvl="0" w:tentative="0">
      <w:start w:val="1"/>
      <w:numFmt w:val="decimal"/>
      <w:lvlText w:val="（%1）"/>
      <w:lvlJc w:val="left"/>
      <w:pPr>
        <w:ind w:left="1080" w:hanging="720"/>
      </w:pPr>
      <w:rPr>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00000007"/>
    <w:multiLevelType w:val="multilevel"/>
    <w:tmpl w:val="000000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07F0E1"/>
    <w:multiLevelType w:val="singleLevel"/>
    <w:tmpl w:val="0F07F0E1"/>
    <w:lvl w:ilvl="0" w:tentative="0">
      <w:start w:val="3"/>
      <w:numFmt w:val="chineseCounting"/>
      <w:suff w:val="nothing"/>
      <w:lvlText w:val="%1、"/>
      <w:lvlJc w:val="left"/>
      <w:rPr>
        <w:rFonts w:hint="eastAsia"/>
      </w:rPr>
    </w:lvl>
  </w:abstractNum>
  <w:abstractNum w:abstractNumId="5">
    <w:nsid w:val="3AD5465A"/>
    <w:multiLevelType w:val="multilevel"/>
    <w:tmpl w:val="3AD5465A"/>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4C71C83"/>
    <w:multiLevelType w:val="singleLevel"/>
    <w:tmpl w:val="54C71C83"/>
    <w:lvl w:ilvl="0" w:tentative="0">
      <w:start w:val="1"/>
      <w:numFmt w:val="decimal"/>
      <w:lvlText w:val="%1."/>
      <w:lvlJc w:val="left"/>
      <w:pPr>
        <w:tabs>
          <w:tab w:val="left" w:pos="312"/>
        </w:tabs>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dit="trackedChange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YzRlY2Y2MzE4NTlmNWViOWQ5OWZjZDMzYjFkODUifQ=="/>
  </w:docVars>
  <w:rsids>
    <w:rsidRoot w:val="0075426D"/>
    <w:rsid w:val="00006440"/>
    <w:rsid w:val="000124E8"/>
    <w:rsid w:val="00017FCD"/>
    <w:rsid w:val="00020A9A"/>
    <w:rsid w:val="00027438"/>
    <w:rsid w:val="00033A08"/>
    <w:rsid w:val="00035802"/>
    <w:rsid w:val="00037892"/>
    <w:rsid w:val="00043BDD"/>
    <w:rsid w:val="0004413E"/>
    <w:rsid w:val="00047FF0"/>
    <w:rsid w:val="000547FF"/>
    <w:rsid w:val="00065AD5"/>
    <w:rsid w:val="00066CD5"/>
    <w:rsid w:val="00071FE9"/>
    <w:rsid w:val="00085C2F"/>
    <w:rsid w:val="00087B0B"/>
    <w:rsid w:val="000A63EC"/>
    <w:rsid w:val="000A7CDF"/>
    <w:rsid w:val="000C2ECF"/>
    <w:rsid w:val="000D0D3D"/>
    <w:rsid w:val="000D3801"/>
    <w:rsid w:val="000E07D5"/>
    <w:rsid w:val="000E1D98"/>
    <w:rsid w:val="000E565A"/>
    <w:rsid w:val="000E6462"/>
    <w:rsid w:val="000F0ADF"/>
    <w:rsid w:val="000F6E49"/>
    <w:rsid w:val="00102517"/>
    <w:rsid w:val="00107D73"/>
    <w:rsid w:val="00113A1A"/>
    <w:rsid w:val="00117D07"/>
    <w:rsid w:val="0012281E"/>
    <w:rsid w:val="00125C46"/>
    <w:rsid w:val="00133CB3"/>
    <w:rsid w:val="0013598D"/>
    <w:rsid w:val="00137805"/>
    <w:rsid w:val="00145706"/>
    <w:rsid w:val="0014601C"/>
    <w:rsid w:val="00150D90"/>
    <w:rsid w:val="00150F24"/>
    <w:rsid w:val="00160159"/>
    <w:rsid w:val="00166224"/>
    <w:rsid w:val="00174D65"/>
    <w:rsid w:val="001768B1"/>
    <w:rsid w:val="001768ED"/>
    <w:rsid w:val="00177E56"/>
    <w:rsid w:val="001828FD"/>
    <w:rsid w:val="00194B6C"/>
    <w:rsid w:val="001950D8"/>
    <w:rsid w:val="001A1562"/>
    <w:rsid w:val="001A3295"/>
    <w:rsid w:val="001B1329"/>
    <w:rsid w:val="001B3547"/>
    <w:rsid w:val="001C30B1"/>
    <w:rsid w:val="001C4C26"/>
    <w:rsid w:val="001C66FE"/>
    <w:rsid w:val="001C6C7E"/>
    <w:rsid w:val="001D0BB5"/>
    <w:rsid w:val="001D34F2"/>
    <w:rsid w:val="001D7B18"/>
    <w:rsid w:val="001E2E4A"/>
    <w:rsid w:val="001E4BCD"/>
    <w:rsid w:val="001E7EE3"/>
    <w:rsid w:val="001E7F34"/>
    <w:rsid w:val="001F0A04"/>
    <w:rsid w:val="00200FC9"/>
    <w:rsid w:val="002015F2"/>
    <w:rsid w:val="00201A04"/>
    <w:rsid w:val="0020444F"/>
    <w:rsid w:val="0021035B"/>
    <w:rsid w:val="0021370C"/>
    <w:rsid w:val="00217C90"/>
    <w:rsid w:val="0022189E"/>
    <w:rsid w:val="00223254"/>
    <w:rsid w:val="002239B4"/>
    <w:rsid w:val="00224432"/>
    <w:rsid w:val="00224F53"/>
    <w:rsid w:val="00225886"/>
    <w:rsid w:val="00225B7D"/>
    <w:rsid w:val="00231271"/>
    <w:rsid w:val="00233AF2"/>
    <w:rsid w:val="0025142C"/>
    <w:rsid w:val="00252E0B"/>
    <w:rsid w:val="0025521C"/>
    <w:rsid w:val="002561FC"/>
    <w:rsid w:val="00257076"/>
    <w:rsid w:val="00261A1D"/>
    <w:rsid w:val="00262156"/>
    <w:rsid w:val="00264EEA"/>
    <w:rsid w:val="0026654A"/>
    <w:rsid w:val="002675F7"/>
    <w:rsid w:val="00267A77"/>
    <w:rsid w:val="00270497"/>
    <w:rsid w:val="002708BD"/>
    <w:rsid w:val="00274B2A"/>
    <w:rsid w:val="002768B2"/>
    <w:rsid w:val="00281673"/>
    <w:rsid w:val="00282294"/>
    <w:rsid w:val="00283462"/>
    <w:rsid w:val="002836FB"/>
    <w:rsid w:val="00284293"/>
    <w:rsid w:val="00285AC5"/>
    <w:rsid w:val="00290950"/>
    <w:rsid w:val="002927B2"/>
    <w:rsid w:val="002970AF"/>
    <w:rsid w:val="002A162C"/>
    <w:rsid w:val="002A180A"/>
    <w:rsid w:val="002A2112"/>
    <w:rsid w:val="002A3360"/>
    <w:rsid w:val="002A3C73"/>
    <w:rsid w:val="002C0C7F"/>
    <w:rsid w:val="002C582D"/>
    <w:rsid w:val="002D2EC2"/>
    <w:rsid w:val="002D3FEE"/>
    <w:rsid w:val="002D4C99"/>
    <w:rsid w:val="002D4E33"/>
    <w:rsid w:val="002E16FB"/>
    <w:rsid w:val="002E2A15"/>
    <w:rsid w:val="002E484F"/>
    <w:rsid w:val="002E548D"/>
    <w:rsid w:val="00306729"/>
    <w:rsid w:val="00307B28"/>
    <w:rsid w:val="0031168A"/>
    <w:rsid w:val="0031738E"/>
    <w:rsid w:val="003201B1"/>
    <w:rsid w:val="003240BA"/>
    <w:rsid w:val="00331A7B"/>
    <w:rsid w:val="00331D3F"/>
    <w:rsid w:val="0033781E"/>
    <w:rsid w:val="00342B6C"/>
    <w:rsid w:val="00344BC0"/>
    <w:rsid w:val="00344E39"/>
    <w:rsid w:val="003463F4"/>
    <w:rsid w:val="0035144D"/>
    <w:rsid w:val="00356AFC"/>
    <w:rsid w:val="00361279"/>
    <w:rsid w:val="00366386"/>
    <w:rsid w:val="00367554"/>
    <w:rsid w:val="00367DE8"/>
    <w:rsid w:val="003706E9"/>
    <w:rsid w:val="0037233D"/>
    <w:rsid w:val="00372702"/>
    <w:rsid w:val="00375DF7"/>
    <w:rsid w:val="003768E5"/>
    <w:rsid w:val="003809E4"/>
    <w:rsid w:val="003814BF"/>
    <w:rsid w:val="0038669B"/>
    <w:rsid w:val="0039291D"/>
    <w:rsid w:val="003942E0"/>
    <w:rsid w:val="0039708A"/>
    <w:rsid w:val="003A3DFD"/>
    <w:rsid w:val="003A5A8A"/>
    <w:rsid w:val="003B195D"/>
    <w:rsid w:val="003B482B"/>
    <w:rsid w:val="003C43E7"/>
    <w:rsid w:val="003C622D"/>
    <w:rsid w:val="003D030D"/>
    <w:rsid w:val="003D218F"/>
    <w:rsid w:val="003D25DE"/>
    <w:rsid w:val="003D5AB5"/>
    <w:rsid w:val="003D708E"/>
    <w:rsid w:val="003E2C24"/>
    <w:rsid w:val="004035C7"/>
    <w:rsid w:val="00405B05"/>
    <w:rsid w:val="0040660A"/>
    <w:rsid w:val="00414A0B"/>
    <w:rsid w:val="004217E8"/>
    <w:rsid w:val="004228B9"/>
    <w:rsid w:val="00424763"/>
    <w:rsid w:val="004259C8"/>
    <w:rsid w:val="004266D0"/>
    <w:rsid w:val="00436BE9"/>
    <w:rsid w:val="00445615"/>
    <w:rsid w:val="00455B8C"/>
    <w:rsid w:val="004601DB"/>
    <w:rsid w:val="004610A1"/>
    <w:rsid w:val="0046745B"/>
    <w:rsid w:val="0046769C"/>
    <w:rsid w:val="00472B68"/>
    <w:rsid w:val="00486322"/>
    <w:rsid w:val="00493B8E"/>
    <w:rsid w:val="00494E20"/>
    <w:rsid w:val="004959E7"/>
    <w:rsid w:val="00496575"/>
    <w:rsid w:val="0049741D"/>
    <w:rsid w:val="004A1667"/>
    <w:rsid w:val="004A3459"/>
    <w:rsid w:val="004A4A19"/>
    <w:rsid w:val="004B0EF3"/>
    <w:rsid w:val="004B34FF"/>
    <w:rsid w:val="004C0173"/>
    <w:rsid w:val="004C1C22"/>
    <w:rsid w:val="004C5259"/>
    <w:rsid w:val="004D0F2F"/>
    <w:rsid w:val="004E080F"/>
    <w:rsid w:val="004E19AF"/>
    <w:rsid w:val="004E3B1F"/>
    <w:rsid w:val="004E7A94"/>
    <w:rsid w:val="004F019F"/>
    <w:rsid w:val="004F5019"/>
    <w:rsid w:val="005021A3"/>
    <w:rsid w:val="0050363D"/>
    <w:rsid w:val="00505232"/>
    <w:rsid w:val="00506133"/>
    <w:rsid w:val="00511F81"/>
    <w:rsid w:val="005151A1"/>
    <w:rsid w:val="00515290"/>
    <w:rsid w:val="00526F60"/>
    <w:rsid w:val="00540B34"/>
    <w:rsid w:val="00552384"/>
    <w:rsid w:val="00563266"/>
    <w:rsid w:val="005722A2"/>
    <w:rsid w:val="0057677E"/>
    <w:rsid w:val="00585882"/>
    <w:rsid w:val="005875FE"/>
    <w:rsid w:val="00592A24"/>
    <w:rsid w:val="0059476A"/>
    <w:rsid w:val="00595D19"/>
    <w:rsid w:val="00597621"/>
    <w:rsid w:val="00597B75"/>
    <w:rsid w:val="005A20B2"/>
    <w:rsid w:val="005B0CCD"/>
    <w:rsid w:val="005B1C9C"/>
    <w:rsid w:val="005B464A"/>
    <w:rsid w:val="005B7376"/>
    <w:rsid w:val="005D287F"/>
    <w:rsid w:val="005D3C01"/>
    <w:rsid w:val="005D6EE3"/>
    <w:rsid w:val="005F1CFE"/>
    <w:rsid w:val="005F3C9E"/>
    <w:rsid w:val="005F6916"/>
    <w:rsid w:val="006013F0"/>
    <w:rsid w:val="00601721"/>
    <w:rsid w:val="0061109A"/>
    <w:rsid w:val="006253F8"/>
    <w:rsid w:val="0064053C"/>
    <w:rsid w:val="00640E47"/>
    <w:rsid w:val="00641219"/>
    <w:rsid w:val="00642ED7"/>
    <w:rsid w:val="00646036"/>
    <w:rsid w:val="00646961"/>
    <w:rsid w:val="00650088"/>
    <w:rsid w:val="00650FB2"/>
    <w:rsid w:val="006532B1"/>
    <w:rsid w:val="00653753"/>
    <w:rsid w:val="00656454"/>
    <w:rsid w:val="00656B79"/>
    <w:rsid w:val="00661B15"/>
    <w:rsid w:val="00661B8A"/>
    <w:rsid w:val="0066548E"/>
    <w:rsid w:val="00667A34"/>
    <w:rsid w:val="0068005A"/>
    <w:rsid w:val="00683784"/>
    <w:rsid w:val="00687C1E"/>
    <w:rsid w:val="006A2D41"/>
    <w:rsid w:val="006B6783"/>
    <w:rsid w:val="006C6F0D"/>
    <w:rsid w:val="006D166F"/>
    <w:rsid w:val="006D3E74"/>
    <w:rsid w:val="006D4859"/>
    <w:rsid w:val="006D624C"/>
    <w:rsid w:val="006D698A"/>
    <w:rsid w:val="006D70AF"/>
    <w:rsid w:val="006E218F"/>
    <w:rsid w:val="006E57BD"/>
    <w:rsid w:val="006F0B9D"/>
    <w:rsid w:val="006F36DC"/>
    <w:rsid w:val="006F550B"/>
    <w:rsid w:val="0070377E"/>
    <w:rsid w:val="007050D3"/>
    <w:rsid w:val="007058BB"/>
    <w:rsid w:val="0070638B"/>
    <w:rsid w:val="00715E6E"/>
    <w:rsid w:val="00716EAF"/>
    <w:rsid w:val="0073328E"/>
    <w:rsid w:val="00734748"/>
    <w:rsid w:val="00734FE7"/>
    <w:rsid w:val="00743D55"/>
    <w:rsid w:val="00746F81"/>
    <w:rsid w:val="0075426D"/>
    <w:rsid w:val="00755D4D"/>
    <w:rsid w:val="00757CB9"/>
    <w:rsid w:val="00763551"/>
    <w:rsid w:val="00764907"/>
    <w:rsid w:val="00765D5E"/>
    <w:rsid w:val="00771D0C"/>
    <w:rsid w:val="00773F7A"/>
    <w:rsid w:val="00775DFB"/>
    <w:rsid w:val="007765AA"/>
    <w:rsid w:val="0078194B"/>
    <w:rsid w:val="00791F99"/>
    <w:rsid w:val="007941B3"/>
    <w:rsid w:val="00797F4C"/>
    <w:rsid w:val="007A0B53"/>
    <w:rsid w:val="007A435C"/>
    <w:rsid w:val="007A709F"/>
    <w:rsid w:val="007A7139"/>
    <w:rsid w:val="007A7C1F"/>
    <w:rsid w:val="007B2558"/>
    <w:rsid w:val="007B2A69"/>
    <w:rsid w:val="007B405A"/>
    <w:rsid w:val="007B4DD6"/>
    <w:rsid w:val="007B550C"/>
    <w:rsid w:val="007C0CCE"/>
    <w:rsid w:val="007C125A"/>
    <w:rsid w:val="007C185D"/>
    <w:rsid w:val="007C2AA2"/>
    <w:rsid w:val="007C4BA6"/>
    <w:rsid w:val="007C6897"/>
    <w:rsid w:val="007D2B26"/>
    <w:rsid w:val="007D3D33"/>
    <w:rsid w:val="007D4159"/>
    <w:rsid w:val="007D4A9C"/>
    <w:rsid w:val="007D589B"/>
    <w:rsid w:val="007E0809"/>
    <w:rsid w:val="007E1A4A"/>
    <w:rsid w:val="007E7C08"/>
    <w:rsid w:val="007F5B92"/>
    <w:rsid w:val="007F72CB"/>
    <w:rsid w:val="0080167D"/>
    <w:rsid w:val="00806F06"/>
    <w:rsid w:val="008077BA"/>
    <w:rsid w:val="00815218"/>
    <w:rsid w:val="008179B3"/>
    <w:rsid w:val="00820307"/>
    <w:rsid w:val="00823CDC"/>
    <w:rsid w:val="00825517"/>
    <w:rsid w:val="008258D7"/>
    <w:rsid w:val="00826B80"/>
    <w:rsid w:val="00830F24"/>
    <w:rsid w:val="0083466C"/>
    <w:rsid w:val="0083574E"/>
    <w:rsid w:val="00835D73"/>
    <w:rsid w:val="008449CB"/>
    <w:rsid w:val="00852256"/>
    <w:rsid w:val="00852B98"/>
    <w:rsid w:val="008560D8"/>
    <w:rsid w:val="008563A5"/>
    <w:rsid w:val="008600D4"/>
    <w:rsid w:val="00860C67"/>
    <w:rsid w:val="00860FEC"/>
    <w:rsid w:val="008620EB"/>
    <w:rsid w:val="00863A49"/>
    <w:rsid w:val="00873910"/>
    <w:rsid w:val="00874F5F"/>
    <w:rsid w:val="00880184"/>
    <w:rsid w:val="00881F9A"/>
    <w:rsid w:val="00886959"/>
    <w:rsid w:val="00891204"/>
    <w:rsid w:val="0089377E"/>
    <w:rsid w:val="00897612"/>
    <w:rsid w:val="008A1C55"/>
    <w:rsid w:val="008A512D"/>
    <w:rsid w:val="008B70DE"/>
    <w:rsid w:val="008B7701"/>
    <w:rsid w:val="008C01E2"/>
    <w:rsid w:val="008C2857"/>
    <w:rsid w:val="008C4FAE"/>
    <w:rsid w:val="008C589C"/>
    <w:rsid w:val="008C5AE9"/>
    <w:rsid w:val="008D7691"/>
    <w:rsid w:val="008D7A0F"/>
    <w:rsid w:val="008F0B10"/>
    <w:rsid w:val="008F4E3C"/>
    <w:rsid w:val="008F6517"/>
    <w:rsid w:val="008F77AA"/>
    <w:rsid w:val="008F7C39"/>
    <w:rsid w:val="00901B29"/>
    <w:rsid w:val="00905CDF"/>
    <w:rsid w:val="00906A5E"/>
    <w:rsid w:val="00906EBF"/>
    <w:rsid w:val="0091076F"/>
    <w:rsid w:val="0091232E"/>
    <w:rsid w:val="0091326F"/>
    <w:rsid w:val="00917FEF"/>
    <w:rsid w:val="0092062B"/>
    <w:rsid w:val="009209E6"/>
    <w:rsid w:val="0093498A"/>
    <w:rsid w:val="00947090"/>
    <w:rsid w:val="0094710F"/>
    <w:rsid w:val="0095350B"/>
    <w:rsid w:val="0095603B"/>
    <w:rsid w:val="0095700D"/>
    <w:rsid w:val="009601B3"/>
    <w:rsid w:val="00965244"/>
    <w:rsid w:val="00965E67"/>
    <w:rsid w:val="009710A9"/>
    <w:rsid w:val="0097615D"/>
    <w:rsid w:val="00982CB1"/>
    <w:rsid w:val="00993A6D"/>
    <w:rsid w:val="00995F31"/>
    <w:rsid w:val="009960D9"/>
    <w:rsid w:val="0099665A"/>
    <w:rsid w:val="009A12B6"/>
    <w:rsid w:val="009A2154"/>
    <w:rsid w:val="009A5CE5"/>
    <w:rsid w:val="009A79B1"/>
    <w:rsid w:val="009B6F78"/>
    <w:rsid w:val="009B7693"/>
    <w:rsid w:val="009B7FF5"/>
    <w:rsid w:val="009D2D8F"/>
    <w:rsid w:val="009D399A"/>
    <w:rsid w:val="009E2BFA"/>
    <w:rsid w:val="009F69E1"/>
    <w:rsid w:val="00A12DDD"/>
    <w:rsid w:val="00A20348"/>
    <w:rsid w:val="00A20570"/>
    <w:rsid w:val="00A20AA0"/>
    <w:rsid w:val="00A267CD"/>
    <w:rsid w:val="00A3436A"/>
    <w:rsid w:val="00A34418"/>
    <w:rsid w:val="00A361B4"/>
    <w:rsid w:val="00A36A59"/>
    <w:rsid w:val="00A36CAF"/>
    <w:rsid w:val="00A37609"/>
    <w:rsid w:val="00A37CAD"/>
    <w:rsid w:val="00A43B17"/>
    <w:rsid w:val="00A445C9"/>
    <w:rsid w:val="00A449B3"/>
    <w:rsid w:val="00A4609E"/>
    <w:rsid w:val="00A46851"/>
    <w:rsid w:val="00A47183"/>
    <w:rsid w:val="00A47402"/>
    <w:rsid w:val="00A51C02"/>
    <w:rsid w:val="00A53799"/>
    <w:rsid w:val="00A550EF"/>
    <w:rsid w:val="00A561E6"/>
    <w:rsid w:val="00A56AF6"/>
    <w:rsid w:val="00A56F12"/>
    <w:rsid w:val="00A62598"/>
    <w:rsid w:val="00A6646A"/>
    <w:rsid w:val="00A6695E"/>
    <w:rsid w:val="00A66B15"/>
    <w:rsid w:val="00A71077"/>
    <w:rsid w:val="00A71F4C"/>
    <w:rsid w:val="00A774D2"/>
    <w:rsid w:val="00A803B0"/>
    <w:rsid w:val="00A808F1"/>
    <w:rsid w:val="00A81F1B"/>
    <w:rsid w:val="00A82380"/>
    <w:rsid w:val="00A92B47"/>
    <w:rsid w:val="00AA0021"/>
    <w:rsid w:val="00AA4EB6"/>
    <w:rsid w:val="00AB2D63"/>
    <w:rsid w:val="00AB46CE"/>
    <w:rsid w:val="00AB546B"/>
    <w:rsid w:val="00AB6AF0"/>
    <w:rsid w:val="00AB76D5"/>
    <w:rsid w:val="00AD28EA"/>
    <w:rsid w:val="00AD5AB5"/>
    <w:rsid w:val="00AE12AF"/>
    <w:rsid w:val="00AE181F"/>
    <w:rsid w:val="00AE32C8"/>
    <w:rsid w:val="00AE3D3D"/>
    <w:rsid w:val="00AF005A"/>
    <w:rsid w:val="00AF1860"/>
    <w:rsid w:val="00AF402B"/>
    <w:rsid w:val="00B043ED"/>
    <w:rsid w:val="00B10F57"/>
    <w:rsid w:val="00B22CCC"/>
    <w:rsid w:val="00B25702"/>
    <w:rsid w:val="00B26F0D"/>
    <w:rsid w:val="00B3287C"/>
    <w:rsid w:val="00B33219"/>
    <w:rsid w:val="00B53E7A"/>
    <w:rsid w:val="00B54A6A"/>
    <w:rsid w:val="00B567F4"/>
    <w:rsid w:val="00B62940"/>
    <w:rsid w:val="00B64908"/>
    <w:rsid w:val="00B653E6"/>
    <w:rsid w:val="00B65967"/>
    <w:rsid w:val="00B73CB9"/>
    <w:rsid w:val="00B73EAB"/>
    <w:rsid w:val="00B979A3"/>
    <w:rsid w:val="00B97CCD"/>
    <w:rsid w:val="00B97D0C"/>
    <w:rsid w:val="00BA0AF5"/>
    <w:rsid w:val="00BA4B00"/>
    <w:rsid w:val="00BB18FC"/>
    <w:rsid w:val="00BB5196"/>
    <w:rsid w:val="00BC5B82"/>
    <w:rsid w:val="00BC69AC"/>
    <w:rsid w:val="00BC6C27"/>
    <w:rsid w:val="00BD5D45"/>
    <w:rsid w:val="00BD6A53"/>
    <w:rsid w:val="00BE70B4"/>
    <w:rsid w:val="00BF53BB"/>
    <w:rsid w:val="00BF7302"/>
    <w:rsid w:val="00C025A4"/>
    <w:rsid w:val="00C04427"/>
    <w:rsid w:val="00C07821"/>
    <w:rsid w:val="00C11C6F"/>
    <w:rsid w:val="00C13612"/>
    <w:rsid w:val="00C20265"/>
    <w:rsid w:val="00C20D3D"/>
    <w:rsid w:val="00C21291"/>
    <w:rsid w:val="00C212D2"/>
    <w:rsid w:val="00C25BD5"/>
    <w:rsid w:val="00C30B54"/>
    <w:rsid w:val="00C37B3E"/>
    <w:rsid w:val="00C50794"/>
    <w:rsid w:val="00C510DA"/>
    <w:rsid w:val="00C52E1E"/>
    <w:rsid w:val="00C52F47"/>
    <w:rsid w:val="00C534DC"/>
    <w:rsid w:val="00C605DB"/>
    <w:rsid w:val="00C61E6D"/>
    <w:rsid w:val="00C7030B"/>
    <w:rsid w:val="00C707A8"/>
    <w:rsid w:val="00C71959"/>
    <w:rsid w:val="00C83CB7"/>
    <w:rsid w:val="00C8507F"/>
    <w:rsid w:val="00C86E08"/>
    <w:rsid w:val="00C94AFF"/>
    <w:rsid w:val="00CA09B3"/>
    <w:rsid w:val="00CA60E2"/>
    <w:rsid w:val="00CA6118"/>
    <w:rsid w:val="00CA7E51"/>
    <w:rsid w:val="00CB0919"/>
    <w:rsid w:val="00CB3C2F"/>
    <w:rsid w:val="00CC25FC"/>
    <w:rsid w:val="00CC4C78"/>
    <w:rsid w:val="00CC4FF3"/>
    <w:rsid w:val="00CC6C52"/>
    <w:rsid w:val="00CD1913"/>
    <w:rsid w:val="00CD1CCE"/>
    <w:rsid w:val="00CD5E06"/>
    <w:rsid w:val="00CE3969"/>
    <w:rsid w:val="00CE6D93"/>
    <w:rsid w:val="00CF0838"/>
    <w:rsid w:val="00CF4F1C"/>
    <w:rsid w:val="00CF5801"/>
    <w:rsid w:val="00CF6624"/>
    <w:rsid w:val="00D004B9"/>
    <w:rsid w:val="00D0053B"/>
    <w:rsid w:val="00D014B1"/>
    <w:rsid w:val="00D0170D"/>
    <w:rsid w:val="00D02372"/>
    <w:rsid w:val="00D10D00"/>
    <w:rsid w:val="00D224FD"/>
    <w:rsid w:val="00D2446D"/>
    <w:rsid w:val="00D37B36"/>
    <w:rsid w:val="00D412F7"/>
    <w:rsid w:val="00D413A4"/>
    <w:rsid w:val="00D46445"/>
    <w:rsid w:val="00D464DB"/>
    <w:rsid w:val="00D662F5"/>
    <w:rsid w:val="00D66AAE"/>
    <w:rsid w:val="00D7131F"/>
    <w:rsid w:val="00D732F5"/>
    <w:rsid w:val="00D74B90"/>
    <w:rsid w:val="00D77D1B"/>
    <w:rsid w:val="00D81D9C"/>
    <w:rsid w:val="00D8533D"/>
    <w:rsid w:val="00D920D4"/>
    <w:rsid w:val="00D938A9"/>
    <w:rsid w:val="00D95D8C"/>
    <w:rsid w:val="00D968FE"/>
    <w:rsid w:val="00DA08FA"/>
    <w:rsid w:val="00DA7609"/>
    <w:rsid w:val="00DB0075"/>
    <w:rsid w:val="00DB3658"/>
    <w:rsid w:val="00DB48BC"/>
    <w:rsid w:val="00DB48D5"/>
    <w:rsid w:val="00DB4D1B"/>
    <w:rsid w:val="00DC0C69"/>
    <w:rsid w:val="00DC4D94"/>
    <w:rsid w:val="00DD00AC"/>
    <w:rsid w:val="00DD11D7"/>
    <w:rsid w:val="00DE1622"/>
    <w:rsid w:val="00DF0B59"/>
    <w:rsid w:val="00DF320B"/>
    <w:rsid w:val="00DF3313"/>
    <w:rsid w:val="00E103C9"/>
    <w:rsid w:val="00E154B8"/>
    <w:rsid w:val="00E17CDA"/>
    <w:rsid w:val="00E23AD9"/>
    <w:rsid w:val="00E246A2"/>
    <w:rsid w:val="00E3026E"/>
    <w:rsid w:val="00E3274A"/>
    <w:rsid w:val="00E36746"/>
    <w:rsid w:val="00E36E76"/>
    <w:rsid w:val="00E37EFA"/>
    <w:rsid w:val="00E52486"/>
    <w:rsid w:val="00E526BD"/>
    <w:rsid w:val="00E572BA"/>
    <w:rsid w:val="00E62510"/>
    <w:rsid w:val="00E7058C"/>
    <w:rsid w:val="00E71196"/>
    <w:rsid w:val="00E739AD"/>
    <w:rsid w:val="00E81D7A"/>
    <w:rsid w:val="00E83E4E"/>
    <w:rsid w:val="00E87070"/>
    <w:rsid w:val="00E92D01"/>
    <w:rsid w:val="00E934DD"/>
    <w:rsid w:val="00E9782C"/>
    <w:rsid w:val="00EA124E"/>
    <w:rsid w:val="00EA3786"/>
    <w:rsid w:val="00EA4A27"/>
    <w:rsid w:val="00EA5701"/>
    <w:rsid w:val="00EA5C41"/>
    <w:rsid w:val="00EB2CB2"/>
    <w:rsid w:val="00EB42E1"/>
    <w:rsid w:val="00EB6C45"/>
    <w:rsid w:val="00EB7C4B"/>
    <w:rsid w:val="00EC0E05"/>
    <w:rsid w:val="00EC20BC"/>
    <w:rsid w:val="00EC2625"/>
    <w:rsid w:val="00EC4B99"/>
    <w:rsid w:val="00EC6A85"/>
    <w:rsid w:val="00ED0040"/>
    <w:rsid w:val="00ED1069"/>
    <w:rsid w:val="00ED1F88"/>
    <w:rsid w:val="00ED3497"/>
    <w:rsid w:val="00ED5CCD"/>
    <w:rsid w:val="00ED7440"/>
    <w:rsid w:val="00EE203C"/>
    <w:rsid w:val="00EE2F9C"/>
    <w:rsid w:val="00EE5E42"/>
    <w:rsid w:val="00EE79B2"/>
    <w:rsid w:val="00EF2219"/>
    <w:rsid w:val="00EF49AF"/>
    <w:rsid w:val="00EF69C4"/>
    <w:rsid w:val="00F03446"/>
    <w:rsid w:val="00F11000"/>
    <w:rsid w:val="00F13379"/>
    <w:rsid w:val="00F13BF9"/>
    <w:rsid w:val="00F17828"/>
    <w:rsid w:val="00F17C9F"/>
    <w:rsid w:val="00F23A30"/>
    <w:rsid w:val="00F23FB4"/>
    <w:rsid w:val="00F26BCA"/>
    <w:rsid w:val="00F26EE3"/>
    <w:rsid w:val="00F2748C"/>
    <w:rsid w:val="00F32E61"/>
    <w:rsid w:val="00F33328"/>
    <w:rsid w:val="00F37E06"/>
    <w:rsid w:val="00F4576C"/>
    <w:rsid w:val="00F4629C"/>
    <w:rsid w:val="00F464BB"/>
    <w:rsid w:val="00F5194F"/>
    <w:rsid w:val="00F560D7"/>
    <w:rsid w:val="00F60D57"/>
    <w:rsid w:val="00F614F8"/>
    <w:rsid w:val="00F6252D"/>
    <w:rsid w:val="00F64A41"/>
    <w:rsid w:val="00F65334"/>
    <w:rsid w:val="00F65351"/>
    <w:rsid w:val="00F65457"/>
    <w:rsid w:val="00F72FEF"/>
    <w:rsid w:val="00F7359E"/>
    <w:rsid w:val="00F81F2B"/>
    <w:rsid w:val="00F82ECC"/>
    <w:rsid w:val="00F838F4"/>
    <w:rsid w:val="00F845FD"/>
    <w:rsid w:val="00F84823"/>
    <w:rsid w:val="00F916EE"/>
    <w:rsid w:val="00F92C66"/>
    <w:rsid w:val="00F9482E"/>
    <w:rsid w:val="00F94EF4"/>
    <w:rsid w:val="00F958DE"/>
    <w:rsid w:val="00FA5273"/>
    <w:rsid w:val="00FA6B2F"/>
    <w:rsid w:val="00FB06A6"/>
    <w:rsid w:val="00FB237B"/>
    <w:rsid w:val="00FB42AF"/>
    <w:rsid w:val="00FB4E0B"/>
    <w:rsid w:val="00FB6FAF"/>
    <w:rsid w:val="00FC544F"/>
    <w:rsid w:val="00FC6746"/>
    <w:rsid w:val="00FC6F27"/>
    <w:rsid w:val="00FD03EB"/>
    <w:rsid w:val="00FD1067"/>
    <w:rsid w:val="00FD2F53"/>
    <w:rsid w:val="00FD7680"/>
    <w:rsid w:val="00FE13F5"/>
    <w:rsid w:val="00FE1781"/>
    <w:rsid w:val="00FE1D7B"/>
    <w:rsid w:val="00FE63A1"/>
    <w:rsid w:val="00FE6E45"/>
    <w:rsid w:val="00FE787C"/>
    <w:rsid w:val="00FF129E"/>
    <w:rsid w:val="00FF7E47"/>
    <w:rsid w:val="00FF7F18"/>
    <w:rsid w:val="011A1A98"/>
    <w:rsid w:val="011C6C19"/>
    <w:rsid w:val="0145515C"/>
    <w:rsid w:val="01693236"/>
    <w:rsid w:val="01AE110D"/>
    <w:rsid w:val="01C74BBC"/>
    <w:rsid w:val="01D6328C"/>
    <w:rsid w:val="01D96FDB"/>
    <w:rsid w:val="01E46FFC"/>
    <w:rsid w:val="01EF301B"/>
    <w:rsid w:val="026B09DB"/>
    <w:rsid w:val="028C5DE5"/>
    <w:rsid w:val="02A23E35"/>
    <w:rsid w:val="02A436C1"/>
    <w:rsid w:val="02AD0793"/>
    <w:rsid w:val="02DC48FD"/>
    <w:rsid w:val="0326002A"/>
    <w:rsid w:val="03283199"/>
    <w:rsid w:val="03374E9C"/>
    <w:rsid w:val="033A41D5"/>
    <w:rsid w:val="03836D1A"/>
    <w:rsid w:val="03A42B5E"/>
    <w:rsid w:val="03A6631C"/>
    <w:rsid w:val="03BB083A"/>
    <w:rsid w:val="03D110A5"/>
    <w:rsid w:val="03DA6CB5"/>
    <w:rsid w:val="03E41C34"/>
    <w:rsid w:val="04164E32"/>
    <w:rsid w:val="04226C5B"/>
    <w:rsid w:val="04241337"/>
    <w:rsid w:val="044F6189"/>
    <w:rsid w:val="04516AF8"/>
    <w:rsid w:val="04555EC0"/>
    <w:rsid w:val="045A3815"/>
    <w:rsid w:val="047D00F0"/>
    <w:rsid w:val="04AE19C6"/>
    <w:rsid w:val="05164AC2"/>
    <w:rsid w:val="053B0F72"/>
    <w:rsid w:val="053E27A4"/>
    <w:rsid w:val="05710395"/>
    <w:rsid w:val="05813B24"/>
    <w:rsid w:val="05BA5F94"/>
    <w:rsid w:val="05EE681F"/>
    <w:rsid w:val="06060EE9"/>
    <w:rsid w:val="06495FD1"/>
    <w:rsid w:val="06D60E1F"/>
    <w:rsid w:val="06F13C54"/>
    <w:rsid w:val="06F77087"/>
    <w:rsid w:val="070F1052"/>
    <w:rsid w:val="07123387"/>
    <w:rsid w:val="075108C5"/>
    <w:rsid w:val="07524BC3"/>
    <w:rsid w:val="075C7AEE"/>
    <w:rsid w:val="075E562F"/>
    <w:rsid w:val="077602E9"/>
    <w:rsid w:val="077B20CD"/>
    <w:rsid w:val="077D7E88"/>
    <w:rsid w:val="07BC7698"/>
    <w:rsid w:val="07E30B3D"/>
    <w:rsid w:val="08024942"/>
    <w:rsid w:val="08071B88"/>
    <w:rsid w:val="0831226D"/>
    <w:rsid w:val="083D26E0"/>
    <w:rsid w:val="0889420E"/>
    <w:rsid w:val="088B363E"/>
    <w:rsid w:val="089725D4"/>
    <w:rsid w:val="08992B5F"/>
    <w:rsid w:val="08CA5D1F"/>
    <w:rsid w:val="08EB337A"/>
    <w:rsid w:val="09141CDB"/>
    <w:rsid w:val="092A3569"/>
    <w:rsid w:val="093D43A6"/>
    <w:rsid w:val="09510E8F"/>
    <w:rsid w:val="095A70B5"/>
    <w:rsid w:val="0982006B"/>
    <w:rsid w:val="09981F82"/>
    <w:rsid w:val="09A82F5E"/>
    <w:rsid w:val="09B926A6"/>
    <w:rsid w:val="09F01852"/>
    <w:rsid w:val="09FB6243"/>
    <w:rsid w:val="0A9A1439"/>
    <w:rsid w:val="0AAD1D0C"/>
    <w:rsid w:val="0AE327E5"/>
    <w:rsid w:val="0AF062B3"/>
    <w:rsid w:val="0B0A70C9"/>
    <w:rsid w:val="0B1B09F3"/>
    <w:rsid w:val="0B2455DB"/>
    <w:rsid w:val="0B3218C6"/>
    <w:rsid w:val="0B7E2221"/>
    <w:rsid w:val="0BEC3446"/>
    <w:rsid w:val="0C090A6E"/>
    <w:rsid w:val="0C526FE1"/>
    <w:rsid w:val="0C663410"/>
    <w:rsid w:val="0CC26021"/>
    <w:rsid w:val="0CD20913"/>
    <w:rsid w:val="0CD33220"/>
    <w:rsid w:val="0CDC78D9"/>
    <w:rsid w:val="0CE16556"/>
    <w:rsid w:val="0CF50912"/>
    <w:rsid w:val="0CFD25F3"/>
    <w:rsid w:val="0D3A3C55"/>
    <w:rsid w:val="0D424D89"/>
    <w:rsid w:val="0D693B8D"/>
    <w:rsid w:val="0D6C5777"/>
    <w:rsid w:val="0D746788"/>
    <w:rsid w:val="0D886D10"/>
    <w:rsid w:val="0E515645"/>
    <w:rsid w:val="0E914B4E"/>
    <w:rsid w:val="0E9836F7"/>
    <w:rsid w:val="0EB52394"/>
    <w:rsid w:val="0EC51470"/>
    <w:rsid w:val="0EFB562D"/>
    <w:rsid w:val="0FA44BB5"/>
    <w:rsid w:val="0FB503FE"/>
    <w:rsid w:val="0FC65A8B"/>
    <w:rsid w:val="0FE33DF9"/>
    <w:rsid w:val="10027EF7"/>
    <w:rsid w:val="103157F8"/>
    <w:rsid w:val="104B2A36"/>
    <w:rsid w:val="106120BD"/>
    <w:rsid w:val="10643B06"/>
    <w:rsid w:val="106712F6"/>
    <w:rsid w:val="106D604F"/>
    <w:rsid w:val="10E47B15"/>
    <w:rsid w:val="110F180D"/>
    <w:rsid w:val="11105F96"/>
    <w:rsid w:val="11664849"/>
    <w:rsid w:val="116D0803"/>
    <w:rsid w:val="11AE2EA9"/>
    <w:rsid w:val="11F92910"/>
    <w:rsid w:val="12020EAF"/>
    <w:rsid w:val="121830B3"/>
    <w:rsid w:val="12B75203"/>
    <w:rsid w:val="13381431"/>
    <w:rsid w:val="13562ADD"/>
    <w:rsid w:val="135D4BEE"/>
    <w:rsid w:val="13685195"/>
    <w:rsid w:val="13707AD4"/>
    <w:rsid w:val="13832D0B"/>
    <w:rsid w:val="13A4282C"/>
    <w:rsid w:val="13E95513"/>
    <w:rsid w:val="14571544"/>
    <w:rsid w:val="1499352C"/>
    <w:rsid w:val="14A40267"/>
    <w:rsid w:val="14C37B46"/>
    <w:rsid w:val="14EB49AE"/>
    <w:rsid w:val="15022E91"/>
    <w:rsid w:val="150C4D48"/>
    <w:rsid w:val="150D2E97"/>
    <w:rsid w:val="15834B00"/>
    <w:rsid w:val="1590403C"/>
    <w:rsid w:val="15986524"/>
    <w:rsid w:val="15DA0833"/>
    <w:rsid w:val="161C6771"/>
    <w:rsid w:val="165D5900"/>
    <w:rsid w:val="168B4051"/>
    <w:rsid w:val="168E2EFB"/>
    <w:rsid w:val="16FF05C9"/>
    <w:rsid w:val="17007A27"/>
    <w:rsid w:val="171B61BE"/>
    <w:rsid w:val="171F2D2A"/>
    <w:rsid w:val="17371746"/>
    <w:rsid w:val="178950D8"/>
    <w:rsid w:val="17A32F8B"/>
    <w:rsid w:val="17B60841"/>
    <w:rsid w:val="17BD55D1"/>
    <w:rsid w:val="17D3403B"/>
    <w:rsid w:val="17F266A1"/>
    <w:rsid w:val="18033E78"/>
    <w:rsid w:val="180C30F8"/>
    <w:rsid w:val="181C6D09"/>
    <w:rsid w:val="184A7154"/>
    <w:rsid w:val="186E0567"/>
    <w:rsid w:val="18900A1F"/>
    <w:rsid w:val="189736F1"/>
    <w:rsid w:val="18AE3541"/>
    <w:rsid w:val="18E07B07"/>
    <w:rsid w:val="19141866"/>
    <w:rsid w:val="194F3DA7"/>
    <w:rsid w:val="19691CF9"/>
    <w:rsid w:val="19737579"/>
    <w:rsid w:val="19853254"/>
    <w:rsid w:val="19C3104B"/>
    <w:rsid w:val="1AB2069F"/>
    <w:rsid w:val="1ABE68EC"/>
    <w:rsid w:val="1AE41153"/>
    <w:rsid w:val="1AE65FCC"/>
    <w:rsid w:val="1B786AD8"/>
    <w:rsid w:val="1B7F7AE1"/>
    <w:rsid w:val="1BC846CC"/>
    <w:rsid w:val="1BE152A3"/>
    <w:rsid w:val="1C371E05"/>
    <w:rsid w:val="1CCE7D51"/>
    <w:rsid w:val="1D0330A9"/>
    <w:rsid w:val="1D1C6931"/>
    <w:rsid w:val="1D22117B"/>
    <w:rsid w:val="1E51493C"/>
    <w:rsid w:val="1E555144"/>
    <w:rsid w:val="1E640746"/>
    <w:rsid w:val="1E882475"/>
    <w:rsid w:val="1ED13D9A"/>
    <w:rsid w:val="1EE342A6"/>
    <w:rsid w:val="1F03521A"/>
    <w:rsid w:val="1F284AA9"/>
    <w:rsid w:val="1FB664A7"/>
    <w:rsid w:val="1FC50A85"/>
    <w:rsid w:val="1FD37FAB"/>
    <w:rsid w:val="20035FFA"/>
    <w:rsid w:val="20106883"/>
    <w:rsid w:val="201A5017"/>
    <w:rsid w:val="20476F69"/>
    <w:rsid w:val="20C869F9"/>
    <w:rsid w:val="20C97637"/>
    <w:rsid w:val="20EC2C86"/>
    <w:rsid w:val="212C7DA9"/>
    <w:rsid w:val="212E6DF0"/>
    <w:rsid w:val="21322798"/>
    <w:rsid w:val="214426A4"/>
    <w:rsid w:val="21651750"/>
    <w:rsid w:val="219C6A09"/>
    <w:rsid w:val="21BE3084"/>
    <w:rsid w:val="22396826"/>
    <w:rsid w:val="224732E1"/>
    <w:rsid w:val="22514CF2"/>
    <w:rsid w:val="22923F3B"/>
    <w:rsid w:val="22B21F5D"/>
    <w:rsid w:val="22E37CF6"/>
    <w:rsid w:val="232D3F22"/>
    <w:rsid w:val="233E6695"/>
    <w:rsid w:val="23573B3B"/>
    <w:rsid w:val="23595A47"/>
    <w:rsid w:val="238C2D2D"/>
    <w:rsid w:val="23987D5C"/>
    <w:rsid w:val="239C7A9B"/>
    <w:rsid w:val="23A03A4B"/>
    <w:rsid w:val="247401CF"/>
    <w:rsid w:val="247B5941"/>
    <w:rsid w:val="24F61922"/>
    <w:rsid w:val="25006898"/>
    <w:rsid w:val="250B6263"/>
    <w:rsid w:val="250D7BC4"/>
    <w:rsid w:val="25296F7C"/>
    <w:rsid w:val="255232EF"/>
    <w:rsid w:val="256105A2"/>
    <w:rsid w:val="256419B8"/>
    <w:rsid w:val="2569304E"/>
    <w:rsid w:val="25907BCE"/>
    <w:rsid w:val="25B36420"/>
    <w:rsid w:val="261958E9"/>
    <w:rsid w:val="262A4E99"/>
    <w:rsid w:val="264C52BD"/>
    <w:rsid w:val="26684360"/>
    <w:rsid w:val="2691189B"/>
    <w:rsid w:val="26A05EA5"/>
    <w:rsid w:val="26B43206"/>
    <w:rsid w:val="26CE20A0"/>
    <w:rsid w:val="26EC5A57"/>
    <w:rsid w:val="270F0EBC"/>
    <w:rsid w:val="273776FB"/>
    <w:rsid w:val="27763885"/>
    <w:rsid w:val="28296F60"/>
    <w:rsid w:val="2848616E"/>
    <w:rsid w:val="28912B5A"/>
    <w:rsid w:val="28B24D01"/>
    <w:rsid w:val="28D87569"/>
    <w:rsid w:val="291A46F1"/>
    <w:rsid w:val="291C3D3B"/>
    <w:rsid w:val="292F36C6"/>
    <w:rsid w:val="293A0097"/>
    <w:rsid w:val="29502D76"/>
    <w:rsid w:val="299813F2"/>
    <w:rsid w:val="29B04259"/>
    <w:rsid w:val="29BB3500"/>
    <w:rsid w:val="29BD2FFF"/>
    <w:rsid w:val="29C535E8"/>
    <w:rsid w:val="29D86F9D"/>
    <w:rsid w:val="2A103D11"/>
    <w:rsid w:val="2A186FEF"/>
    <w:rsid w:val="2A1A5AE0"/>
    <w:rsid w:val="2A3A4794"/>
    <w:rsid w:val="2A40528C"/>
    <w:rsid w:val="2A4E1487"/>
    <w:rsid w:val="2A693F16"/>
    <w:rsid w:val="2A8213A1"/>
    <w:rsid w:val="2AB0358F"/>
    <w:rsid w:val="2B6B648B"/>
    <w:rsid w:val="2B782AD4"/>
    <w:rsid w:val="2B982D46"/>
    <w:rsid w:val="2B9D6B1F"/>
    <w:rsid w:val="2BB95FAE"/>
    <w:rsid w:val="2BDA43D6"/>
    <w:rsid w:val="2BE8492B"/>
    <w:rsid w:val="2BFC1785"/>
    <w:rsid w:val="2C620F64"/>
    <w:rsid w:val="2C9F610E"/>
    <w:rsid w:val="2CA8595B"/>
    <w:rsid w:val="2CD26C42"/>
    <w:rsid w:val="2CE32CBF"/>
    <w:rsid w:val="2D680848"/>
    <w:rsid w:val="2D7E047F"/>
    <w:rsid w:val="2D930FE1"/>
    <w:rsid w:val="2DB37A96"/>
    <w:rsid w:val="2DB8558F"/>
    <w:rsid w:val="2DD87D34"/>
    <w:rsid w:val="2E094C70"/>
    <w:rsid w:val="2E3C1CD9"/>
    <w:rsid w:val="2E524B6A"/>
    <w:rsid w:val="2E660794"/>
    <w:rsid w:val="2E683234"/>
    <w:rsid w:val="2E926642"/>
    <w:rsid w:val="2EBD02DF"/>
    <w:rsid w:val="2F3770E4"/>
    <w:rsid w:val="2F6463C8"/>
    <w:rsid w:val="2F9A093E"/>
    <w:rsid w:val="2FD5457E"/>
    <w:rsid w:val="2FE579E3"/>
    <w:rsid w:val="2FEE42A9"/>
    <w:rsid w:val="302D0BB9"/>
    <w:rsid w:val="30806992"/>
    <w:rsid w:val="30971DCD"/>
    <w:rsid w:val="30A31DC8"/>
    <w:rsid w:val="30BF179F"/>
    <w:rsid w:val="30C96FF9"/>
    <w:rsid w:val="30CA40D1"/>
    <w:rsid w:val="30D3252A"/>
    <w:rsid w:val="30FE22D5"/>
    <w:rsid w:val="3108118A"/>
    <w:rsid w:val="310A6494"/>
    <w:rsid w:val="31234DFE"/>
    <w:rsid w:val="313C1E62"/>
    <w:rsid w:val="314600EA"/>
    <w:rsid w:val="32196915"/>
    <w:rsid w:val="3225660E"/>
    <w:rsid w:val="3263230B"/>
    <w:rsid w:val="32662FE6"/>
    <w:rsid w:val="326D1309"/>
    <w:rsid w:val="32837629"/>
    <w:rsid w:val="328C64DB"/>
    <w:rsid w:val="32A818D9"/>
    <w:rsid w:val="32AD2A9F"/>
    <w:rsid w:val="32EE406B"/>
    <w:rsid w:val="33094DD6"/>
    <w:rsid w:val="330D54F7"/>
    <w:rsid w:val="3311372A"/>
    <w:rsid w:val="33321F25"/>
    <w:rsid w:val="333A2D9C"/>
    <w:rsid w:val="33512152"/>
    <w:rsid w:val="337B54EC"/>
    <w:rsid w:val="33B21C45"/>
    <w:rsid w:val="33FC2F78"/>
    <w:rsid w:val="34482DA3"/>
    <w:rsid w:val="346012C7"/>
    <w:rsid w:val="347A4D5E"/>
    <w:rsid w:val="349720F3"/>
    <w:rsid w:val="34C04ADE"/>
    <w:rsid w:val="34DF25E4"/>
    <w:rsid w:val="35953C9A"/>
    <w:rsid w:val="359A3DC1"/>
    <w:rsid w:val="35B56E0C"/>
    <w:rsid w:val="35EA3DB3"/>
    <w:rsid w:val="366E4831"/>
    <w:rsid w:val="3679311B"/>
    <w:rsid w:val="368B368F"/>
    <w:rsid w:val="36C42CE6"/>
    <w:rsid w:val="36E9355F"/>
    <w:rsid w:val="371C3AE4"/>
    <w:rsid w:val="371F3A05"/>
    <w:rsid w:val="37440A17"/>
    <w:rsid w:val="374B748E"/>
    <w:rsid w:val="375F4166"/>
    <w:rsid w:val="37C62C78"/>
    <w:rsid w:val="37D26A66"/>
    <w:rsid w:val="37E60996"/>
    <w:rsid w:val="38231674"/>
    <w:rsid w:val="384345BE"/>
    <w:rsid w:val="38587DB8"/>
    <w:rsid w:val="38692996"/>
    <w:rsid w:val="38717A0E"/>
    <w:rsid w:val="38937CF6"/>
    <w:rsid w:val="38D9086D"/>
    <w:rsid w:val="392F7762"/>
    <w:rsid w:val="393A1781"/>
    <w:rsid w:val="395269B5"/>
    <w:rsid w:val="39813210"/>
    <w:rsid w:val="39972C55"/>
    <w:rsid w:val="3998236D"/>
    <w:rsid w:val="39A74D45"/>
    <w:rsid w:val="39A9180A"/>
    <w:rsid w:val="39D809FF"/>
    <w:rsid w:val="39F678BD"/>
    <w:rsid w:val="3A0C08A2"/>
    <w:rsid w:val="3A2D68F2"/>
    <w:rsid w:val="3A387977"/>
    <w:rsid w:val="3A3E41D4"/>
    <w:rsid w:val="3A507032"/>
    <w:rsid w:val="3A822652"/>
    <w:rsid w:val="3A8E5279"/>
    <w:rsid w:val="3A935D24"/>
    <w:rsid w:val="3AAB0EE7"/>
    <w:rsid w:val="3AB37869"/>
    <w:rsid w:val="3AF44B41"/>
    <w:rsid w:val="3AF87B57"/>
    <w:rsid w:val="3B3F6922"/>
    <w:rsid w:val="3B572BFD"/>
    <w:rsid w:val="3B621DFD"/>
    <w:rsid w:val="3BE45323"/>
    <w:rsid w:val="3C382F2A"/>
    <w:rsid w:val="3CC1223C"/>
    <w:rsid w:val="3CE1276F"/>
    <w:rsid w:val="3D2B4A92"/>
    <w:rsid w:val="3D335A02"/>
    <w:rsid w:val="3D405366"/>
    <w:rsid w:val="3D6E3E25"/>
    <w:rsid w:val="3D8675ED"/>
    <w:rsid w:val="3D9829B4"/>
    <w:rsid w:val="3E1C3F4B"/>
    <w:rsid w:val="3E300A9A"/>
    <w:rsid w:val="3E833EE0"/>
    <w:rsid w:val="3E8350BB"/>
    <w:rsid w:val="3E9A6A24"/>
    <w:rsid w:val="3F1756B1"/>
    <w:rsid w:val="3F3A3E12"/>
    <w:rsid w:val="3F7D462F"/>
    <w:rsid w:val="3F8D71E7"/>
    <w:rsid w:val="3F902399"/>
    <w:rsid w:val="3FB43BB8"/>
    <w:rsid w:val="3FD7582D"/>
    <w:rsid w:val="3FE24DE3"/>
    <w:rsid w:val="400F679D"/>
    <w:rsid w:val="401613F8"/>
    <w:rsid w:val="40482806"/>
    <w:rsid w:val="4056200D"/>
    <w:rsid w:val="40B0484E"/>
    <w:rsid w:val="40E5020E"/>
    <w:rsid w:val="40F73FD7"/>
    <w:rsid w:val="41183295"/>
    <w:rsid w:val="41230E6B"/>
    <w:rsid w:val="41553807"/>
    <w:rsid w:val="415A136B"/>
    <w:rsid w:val="41730560"/>
    <w:rsid w:val="42076177"/>
    <w:rsid w:val="420E62E5"/>
    <w:rsid w:val="422868AB"/>
    <w:rsid w:val="4251536F"/>
    <w:rsid w:val="427F38D2"/>
    <w:rsid w:val="429E164E"/>
    <w:rsid w:val="42AB79E9"/>
    <w:rsid w:val="42B11AB8"/>
    <w:rsid w:val="42FC5A40"/>
    <w:rsid w:val="430E6EF7"/>
    <w:rsid w:val="43250083"/>
    <w:rsid w:val="432B5DE9"/>
    <w:rsid w:val="43332612"/>
    <w:rsid w:val="434E4029"/>
    <w:rsid w:val="438D6D44"/>
    <w:rsid w:val="438E7A54"/>
    <w:rsid w:val="43A5265E"/>
    <w:rsid w:val="44057101"/>
    <w:rsid w:val="44716D05"/>
    <w:rsid w:val="44B32928"/>
    <w:rsid w:val="44BA065B"/>
    <w:rsid w:val="44DF2F47"/>
    <w:rsid w:val="44F1617B"/>
    <w:rsid w:val="44F579FB"/>
    <w:rsid w:val="44FB2A85"/>
    <w:rsid w:val="45002397"/>
    <w:rsid w:val="453E1435"/>
    <w:rsid w:val="45A74C0A"/>
    <w:rsid w:val="45AB6429"/>
    <w:rsid w:val="45BC126B"/>
    <w:rsid w:val="45F536D9"/>
    <w:rsid w:val="46645B62"/>
    <w:rsid w:val="466910CF"/>
    <w:rsid w:val="467C6B3B"/>
    <w:rsid w:val="468828FC"/>
    <w:rsid w:val="46C37F26"/>
    <w:rsid w:val="46DB279C"/>
    <w:rsid w:val="46EA1755"/>
    <w:rsid w:val="46ED73F7"/>
    <w:rsid w:val="470971BA"/>
    <w:rsid w:val="47447DB0"/>
    <w:rsid w:val="475662F0"/>
    <w:rsid w:val="476C1E4B"/>
    <w:rsid w:val="478D74D8"/>
    <w:rsid w:val="47A82ABC"/>
    <w:rsid w:val="47EC62DD"/>
    <w:rsid w:val="48157517"/>
    <w:rsid w:val="48174676"/>
    <w:rsid w:val="4835154A"/>
    <w:rsid w:val="48753254"/>
    <w:rsid w:val="489F4D85"/>
    <w:rsid w:val="48FE07E5"/>
    <w:rsid w:val="490D10FC"/>
    <w:rsid w:val="49386906"/>
    <w:rsid w:val="499100DD"/>
    <w:rsid w:val="4997476C"/>
    <w:rsid w:val="49AE4492"/>
    <w:rsid w:val="49C62CA0"/>
    <w:rsid w:val="49CE2C64"/>
    <w:rsid w:val="4A31690A"/>
    <w:rsid w:val="4A3A1114"/>
    <w:rsid w:val="4A470E05"/>
    <w:rsid w:val="4A7E53CB"/>
    <w:rsid w:val="4A926627"/>
    <w:rsid w:val="4A9510D4"/>
    <w:rsid w:val="4B234BCC"/>
    <w:rsid w:val="4B3B6F2D"/>
    <w:rsid w:val="4B4D046B"/>
    <w:rsid w:val="4B6A7901"/>
    <w:rsid w:val="4B6C49DD"/>
    <w:rsid w:val="4B9D62E8"/>
    <w:rsid w:val="4BB203FB"/>
    <w:rsid w:val="4BB955A5"/>
    <w:rsid w:val="4BBC1E6D"/>
    <w:rsid w:val="4BC228D9"/>
    <w:rsid w:val="4BD75A3A"/>
    <w:rsid w:val="4BD97AD1"/>
    <w:rsid w:val="4C0B07A0"/>
    <w:rsid w:val="4C592B18"/>
    <w:rsid w:val="4C811B5B"/>
    <w:rsid w:val="4C930715"/>
    <w:rsid w:val="4CAF11A5"/>
    <w:rsid w:val="4CCA02DE"/>
    <w:rsid w:val="4CEC3F81"/>
    <w:rsid w:val="4D0C7EB4"/>
    <w:rsid w:val="4D1A1FE1"/>
    <w:rsid w:val="4D210CB5"/>
    <w:rsid w:val="4D244C5B"/>
    <w:rsid w:val="4D3B0E9E"/>
    <w:rsid w:val="4D4164B7"/>
    <w:rsid w:val="4D550A45"/>
    <w:rsid w:val="4D5A1B84"/>
    <w:rsid w:val="4D602605"/>
    <w:rsid w:val="4D6C51A0"/>
    <w:rsid w:val="4D92545A"/>
    <w:rsid w:val="4DED07A1"/>
    <w:rsid w:val="4E2142BB"/>
    <w:rsid w:val="4E2D0130"/>
    <w:rsid w:val="4E3C4A3D"/>
    <w:rsid w:val="4E5355C9"/>
    <w:rsid w:val="4E6E755A"/>
    <w:rsid w:val="4E862306"/>
    <w:rsid w:val="4EAB0003"/>
    <w:rsid w:val="4F1C225A"/>
    <w:rsid w:val="4F7E1CB5"/>
    <w:rsid w:val="4FBB1E2C"/>
    <w:rsid w:val="4FC23C49"/>
    <w:rsid w:val="50076288"/>
    <w:rsid w:val="50752F5C"/>
    <w:rsid w:val="508737CE"/>
    <w:rsid w:val="509F2AFD"/>
    <w:rsid w:val="50A04B3E"/>
    <w:rsid w:val="50E17A50"/>
    <w:rsid w:val="51235CFA"/>
    <w:rsid w:val="51330273"/>
    <w:rsid w:val="515051DD"/>
    <w:rsid w:val="515A6097"/>
    <w:rsid w:val="51A72715"/>
    <w:rsid w:val="51C7673A"/>
    <w:rsid w:val="51FD5417"/>
    <w:rsid w:val="52323694"/>
    <w:rsid w:val="523D3AB3"/>
    <w:rsid w:val="523D57F4"/>
    <w:rsid w:val="525C5E3D"/>
    <w:rsid w:val="527022B8"/>
    <w:rsid w:val="52872800"/>
    <w:rsid w:val="52E340F8"/>
    <w:rsid w:val="531B21BA"/>
    <w:rsid w:val="532D7038"/>
    <w:rsid w:val="533D56DD"/>
    <w:rsid w:val="534369B1"/>
    <w:rsid w:val="534B2715"/>
    <w:rsid w:val="536E31FF"/>
    <w:rsid w:val="53C07418"/>
    <w:rsid w:val="53CB087D"/>
    <w:rsid w:val="53CD315A"/>
    <w:rsid w:val="53D96927"/>
    <w:rsid w:val="53DB6C0D"/>
    <w:rsid w:val="54283064"/>
    <w:rsid w:val="54322394"/>
    <w:rsid w:val="54394B9C"/>
    <w:rsid w:val="54994501"/>
    <w:rsid w:val="54A94115"/>
    <w:rsid w:val="54BD0F50"/>
    <w:rsid w:val="54D10087"/>
    <w:rsid w:val="54F76D48"/>
    <w:rsid w:val="55074802"/>
    <w:rsid w:val="5524657D"/>
    <w:rsid w:val="553E5C01"/>
    <w:rsid w:val="55576603"/>
    <w:rsid w:val="55653684"/>
    <w:rsid w:val="557E4411"/>
    <w:rsid w:val="55A709D3"/>
    <w:rsid w:val="55C807A0"/>
    <w:rsid w:val="55D44154"/>
    <w:rsid w:val="55F54914"/>
    <w:rsid w:val="56132BCE"/>
    <w:rsid w:val="56246A8B"/>
    <w:rsid w:val="5627774D"/>
    <w:rsid w:val="56586083"/>
    <w:rsid w:val="567D5809"/>
    <w:rsid w:val="5687791A"/>
    <w:rsid w:val="56B13384"/>
    <w:rsid w:val="56DA5E47"/>
    <w:rsid w:val="571842CE"/>
    <w:rsid w:val="57217E82"/>
    <w:rsid w:val="57261C72"/>
    <w:rsid w:val="57433E28"/>
    <w:rsid w:val="574C1008"/>
    <w:rsid w:val="575B3EF0"/>
    <w:rsid w:val="5763573B"/>
    <w:rsid w:val="576952E4"/>
    <w:rsid w:val="57794491"/>
    <w:rsid w:val="578310E7"/>
    <w:rsid w:val="57B23E86"/>
    <w:rsid w:val="57B561E6"/>
    <w:rsid w:val="584E7662"/>
    <w:rsid w:val="58571C73"/>
    <w:rsid w:val="586C68A4"/>
    <w:rsid w:val="58BF739F"/>
    <w:rsid w:val="58F71F1F"/>
    <w:rsid w:val="59401102"/>
    <w:rsid w:val="596368F5"/>
    <w:rsid w:val="597B318D"/>
    <w:rsid w:val="598922C1"/>
    <w:rsid w:val="598D59F0"/>
    <w:rsid w:val="599E7DF6"/>
    <w:rsid w:val="59C555B0"/>
    <w:rsid w:val="59E14D7F"/>
    <w:rsid w:val="59F47E40"/>
    <w:rsid w:val="59F907B2"/>
    <w:rsid w:val="5A1612BC"/>
    <w:rsid w:val="5A692642"/>
    <w:rsid w:val="5A711C8B"/>
    <w:rsid w:val="5A726A60"/>
    <w:rsid w:val="5A7C1207"/>
    <w:rsid w:val="5A7F5AEE"/>
    <w:rsid w:val="5A887348"/>
    <w:rsid w:val="5A9C7E80"/>
    <w:rsid w:val="5AB11E2F"/>
    <w:rsid w:val="5AB24A5C"/>
    <w:rsid w:val="5AB61F96"/>
    <w:rsid w:val="5ACC4B93"/>
    <w:rsid w:val="5AD9342A"/>
    <w:rsid w:val="5B13336D"/>
    <w:rsid w:val="5B3C6C0D"/>
    <w:rsid w:val="5B5552C1"/>
    <w:rsid w:val="5B6F0784"/>
    <w:rsid w:val="5B771D13"/>
    <w:rsid w:val="5B7C475A"/>
    <w:rsid w:val="5BD53A92"/>
    <w:rsid w:val="5BDE0A43"/>
    <w:rsid w:val="5C0D0E88"/>
    <w:rsid w:val="5C1A0F2B"/>
    <w:rsid w:val="5C364548"/>
    <w:rsid w:val="5C8F6425"/>
    <w:rsid w:val="5CE700EE"/>
    <w:rsid w:val="5D834D2A"/>
    <w:rsid w:val="5DC06280"/>
    <w:rsid w:val="5DEF3712"/>
    <w:rsid w:val="5E0257F0"/>
    <w:rsid w:val="5E2A6015"/>
    <w:rsid w:val="5E544F2F"/>
    <w:rsid w:val="5E6B4A82"/>
    <w:rsid w:val="5EB84344"/>
    <w:rsid w:val="5EC03356"/>
    <w:rsid w:val="5EDE2A49"/>
    <w:rsid w:val="5F2058E7"/>
    <w:rsid w:val="5F2E3A4D"/>
    <w:rsid w:val="5F374C4E"/>
    <w:rsid w:val="5FCA63E3"/>
    <w:rsid w:val="5FED1875"/>
    <w:rsid w:val="6009537D"/>
    <w:rsid w:val="601372CA"/>
    <w:rsid w:val="60162206"/>
    <w:rsid w:val="6023513A"/>
    <w:rsid w:val="60410CDF"/>
    <w:rsid w:val="604B2638"/>
    <w:rsid w:val="607E699B"/>
    <w:rsid w:val="60C106FF"/>
    <w:rsid w:val="60C84283"/>
    <w:rsid w:val="611C68FD"/>
    <w:rsid w:val="61752810"/>
    <w:rsid w:val="61761AD9"/>
    <w:rsid w:val="618C1CB5"/>
    <w:rsid w:val="61B373E7"/>
    <w:rsid w:val="61C75379"/>
    <w:rsid w:val="61D24CFD"/>
    <w:rsid w:val="61FA1B00"/>
    <w:rsid w:val="620B2749"/>
    <w:rsid w:val="620E4208"/>
    <w:rsid w:val="621B3B09"/>
    <w:rsid w:val="62291AA1"/>
    <w:rsid w:val="62CD7408"/>
    <w:rsid w:val="62E17635"/>
    <w:rsid w:val="6312275B"/>
    <w:rsid w:val="631D6642"/>
    <w:rsid w:val="63266F4D"/>
    <w:rsid w:val="636C2DED"/>
    <w:rsid w:val="63872DE8"/>
    <w:rsid w:val="63C277E7"/>
    <w:rsid w:val="63CC7FC7"/>
    <w:rsid w:val="641F1DD8"/>
    <w:rsid w:val="642F74B8"/>
    <w:rsid w:val="64617F10"/>
    <w:rsid w:val="64660544"/>
    <w:rsid w:val="646605EE"/>
    <w:rsid w:val="647F7684"/>
    <w:rsid w:val="64EB18C6"/>
    <w:rsid w:val="65046028"/>
    <w:rsid w:val="65106BCF"/>
    <w:rsid w:val="651A7917"/>
    <w:rsid w:val="65651E6D"/>
    <w:rsid w:val="656C5691"/>
    <w:rsid w:val="65EE3991"/>
    <w:rsid w:val="65F549BD"/>
    <w:rsid w:val="6617652B"/>
    <w:rsid w:val="661C607B"/>
    <w:rsid w:val="66474976"/>
    <w:rsid w:val="665A09F0"/>
    <w:rsid w:val="667F5106"/>
    <w:rsid w:val="66A557CD"/>
    <w:rsid w:val="66A92BD6"/>
    <w:rsid w:val="66D94ADD"/>
    <w:rsid w:val="66E15514"/>
    <w:rsid w:val="66F217A3"/>
    <w:rsid w:val="67040094"/>
    <w:rsid w:val="671952F9"/>
    <w:rsid w:val="67C023A9"/>
    <w:rsid w:val="68336F96"/>
    <w:rsid w:val="68504C2B"/>
    <w:rsid w:val="68841925"/>
    <w:rsid w:val="68A429D0"/>
    <w:rsid w:val="68A93547"/>
    <w:rsid w:val="68AD297F"/>
    <w:rsid w:val="68AF3994"/>
    <w:rsid w:val="68B13076"/>
    <w:rsid w:val="68F1097D"/>
    <w:rsid w:val="69264A34"/>
    <w:rsid w:val="69670357"/>
    <w:rsid w:val="698B4040"/>
    <w:rsid w:val="699C2600"/>
    <w:rsid w:val="69D15654"/>
    <w:rsid w:val="69ED133D"/>
    <w:rsid w:val="69FB3021"/>
    <w:rsid w:val="6A015201"/>
    <w:rsid w:val="6A0E11D6"/>
    <w:rsid w:val="6A3019AE"/>
    <w:rsid w:val="6A417977"/>
    <w:rsid w:val="6A517232"/>
    <w:rsid w:val="6A89262D"/>
    <w:rsid w:val="6AE24BBC"/>
    <w:rsid w:val="6AEB3660"/>
    <w:rsid w:val="6B071557"/>
    <w:rsid w:val="6B176542"/>
    <w:rsid w:val="6B475E9B"/>
    <w:rsid w:val="6B4A54F0"/>
    <w:rsid w:val="6BA667C5"/>
    <w:rsid w:val="6BB85FD1"/>
    <w:rsid w:val="6C384AEB"/>
    <w:rsid w:val="6CAB77C2"/>
    <w:rsid w:val="6CD433EC"/>
    <w:rsid w:val="6CEF5EF6"/>
    <w:rsid w:val="6D1B7437"/>
    <w:rsid w:val="6D3E6C8D"/>
    <w:rsid w:val="6D675E01"/>
    <w:rsid w:val="6D6A08F0"/>
    <w:rsid w:val="6D815F47"/>
    <w:rsid w:val="6D981D6E"/>
    <w:rsid w:val="6DFA6565"/>
    <w:rsid w:val="6E3B27BA"/>
    <w:rsid w:val="6E8D7337"/>
    <w:rsid w:val="6E9A058C"/>
    <w:rsid w:val="6EB53263"/>
    <w:rsid w:val="6ECE6AC2"/>
    <w:rsid w:val="6ED15B2E"/>
    <w:rsid w:val="6EDD240A"/>
    <w:rsid w:val="6EDD4495"/>
    <w:rsid w:val="6EDD6C5B"/>
    <w:rsid w:val="6EEC66E6"/>
    <w:rsid w:val="6EFE2F35"/>
    <w:rsid w:val="6F063613"/>
    <w:rsid w:val="6F1F733B"/>
    <w:rsid w:val="6F3367BE"/>
    <w:rsid w:val="6F49564F"/>
    <w:rsid w:val="6F6338F5"/>
    <w:rsid w:val="6F68445C"/>
    <w:rsid w:val="6F950D05"/>
    <w:rsid w:val="6FE611A0"/>
    <w:rsid w:val="6FFB6FCE"/>
    <w:rsid w:val="701065D6"/>
    <w:rsid w:val="702C4B7E"/>
    <w:rsid w:val="7074696C"/>
    <w:rsid w:val="70A47801"/>
    <w:rsid w:val="70CE1E35"/>
    <w:rsid w:val="710B2A5E"/>
    <w:rsid w:val="711E7619"/>
    <w:rsid w:val="712561B3"/>
    <w:rsid w:val="71693B62"/>
    <w:rsid w:val="717E4445"/>
    <w:rsid w:val="71852D11"/>
    <w:rsid w:val="7194098D"/>
    <w:rsid w:val="71A828D8"/>
    <w:rsid w:val="71B76627"/>
    <w:rsid w:val="71E15918"/>
    <w:rsid w:val="71F57708"/>
    <w:rsid w:val="71F904FE"/>
    <w:rsid w:val="72466128"/>
    <w:rsid w:val="725C7BFC"/>
    <w:rsid w:val="72A60030"/>
    <w:rsid w:val="732435F0"/>
    <w:rsid w:val="732D0F5C"/>
    <w:rsid w:val="73533F1C"/>
    <w:rsid w:val="7395275D"/>
    <w:rsid w:val="73A2692F"/>
    <w:rsid w:val="73D65173"/>
    <w:rsid w:val="740071A6"/>
    <w:rsid w:val="74177B2F"/>
    <w:rsid w:val="74656B8C"/>
    <w:rsid w:val="7482198D"/>
    <w:rsid w:val="74BB7CB7"/>
    <w:rsid w:val="74CB1CB5"/>
    <w:rsid w:val="74F90065"/>
    <w:rsid w:val="75036BEF"/>
    <w:rsid w:val="752F7CFA"/>
    <w:rsid w:val="753F0E5C"/>
    <w:rsid w:val="756F5EAD"/>
    <w:rsid w:val="75753363"/>
    <w:rsid w:val="75771037"/>
    <w:rsid w:val="75903281"/>
    <w:rsid w:val="759A2577"/>
    <w:rsid w:val="75F1520E"/>
    <w:rsid w:val="76242F06"/>
    <w:rsid w:val="76311294"/>
    <w:rsid w:val="764F1AE7"/>
    <w:rsid w:val="764F77FC"/>
    <w:rsid w:val="76620DC3"/>
    <w:rsid w:val="767A223D"/>
    <w:rsid w:val="76A92F49"/>
    <w:rsid w:val="76FE5E5B"/>
    <w:rsid w:val="770138D0"/>
    <w:rsid w:val="7702786D"/>
    <w:rsid w:val="770E6CE2"/>
    <w:rsid w:val="773735C4"/>
    <w:rsid w:val="773C2729"/>
    <w:rsid w:val="778E7C58"/>
    <w:rsid w:val="77A21BEE"/>
    <w:rsid w:val="782973D8"/>
    <w:rsid w:val="7830128B"/>
    <w:rsid w:val="78570DCB"/>
    <w:rsid w:val="78791EF9"/>
    <w:rsid w:val="78E21BCC"/>
    <w:rsid w:val="791E4426"/>
    <w:rsid w:val="79276F0B"/>
    <w:rsid w:val="79472C38"/>
    <w:rsid w:val="795313FB"/>
    <w:rsid w:val="79642538"/>
    <w:rsid w:val="7997746E"/>
    <w:rsid w:val="79D729E7"/>
    <w:rsid w:val="7A0F1E81"/>
    <w:rsid w:val="7A1A56AB"/>
    <w:rsid w:val="7A7F23F9"/>
    <w:rsid w:val="7AEE7B56"/>
    <w:rsid w:val="7B0851C6"/>
    <w:rsid w:val="7B3C67B8"/>
    <w:rsid w:val="7B4247F2"/>
    <w:rsid w:val="7B824A22"/>
    <w:rsid w:val="7BA66B7B"/>
    <w:rsid w:val="7BBB5AC8"/>
    <w:rsid w:val="7C0D5B8F"/>
    <w:rsid w:val="7C2C0A68"/>
    <w:rsid w:val="7C5F29E2"/>
    <w:rsid w:val="7C682C35"/>
    <w:rsid w:val="7C745D4C"/>
    <w:rsid w:val="7C9D6D9F"/>
    <w:rsid w:val="7CD46BF2"/>
    <w:rsid w:val="7CD92816"/>
    <w:rsid w:val="7D083253"/>
    <w:rsid w:val="7D77435D"/>
    <w:rsid w:val="7DBC2E18"/>
    <w:rsid w:val="7DD6031B"/>
    <w:rsid w:val="7DD75105"/>
    <w:rsid w:val="7DDE20E1"/>
    <w:rsid w:val="7DF034DD"/>
    <w:rsid w:val="7E326887"/>
    <w:rsid w:val="7E7745AB"/>
    <w:rsid w:val="7E832849"/>
    <w:rsid w:val="7E860185"/>
    <w:rsid w:val="7ECB23CA"/>
    <w:rsid w:val="7F2D4FE8"/>
    <w:rsid w:val="7F367599"/>
    <w:rsid w:val="7F4F7869"/>
    <w:rsid w:val="7F724027"/>
    <w:rsid w:val="7F7E6F20"/>
    <w:rsid w:val="7F834F1D"/>
    <w:rsid w:val="7FD73168"/>
    <w:rsid w:val="7FD765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qFormat="1" w:unhideWhenUsed="0" w:uiPriority="0" w:semiHidden="0"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5"/>
    <w:next w:val="6"/>
    <w:link w:val="372"/>
    <w:qFormat/>
    <w:uiPriority w:val="0"/>
    <w:pPr>
      <w:keepNext/>
      <w:keepLines/>
      <w:spacing w:after="120" w:line="360" w:lineRule="auto"/>
      <w:outlineLvl w:val="0"/>
    </w:pPr>
    <w:rPr>
      <w:kern w:val="44"/>
      <w:sz w:val="28"/>
      <w:szCs w:val="28"/>
    </w:rPr>
  </w:style>
  <w:style w:type="paragraph" w:styleId="8">
    <w:name w:val="heading 2"/>
    <w:basedOn w:val="1"/>
    <w:next w:val="1"/>
    <w:link w:val="301"/>
    <w:qFormat/>
    <w:uiPriority w:val="0"/>
    <w:pPr>
      <w:keepNext/>
      <w:keepLines/>
      <w:spacing w:before="120" w:after="120" w:line="415" w:lineRule="auto"/>
      <w:ind w:left="454" w:firstLine="525"/>
      <w:jc w:val="center"/>
      <w:outlineLvl w:val="1"/>
    </w:pPr>
    <w:rPr>
      <w:rFonts w:ascii="Arial" w:hAnsi="Arial"/>
      <w:b/>
      <w:kern w:val="0"/>
      <w:sz w:val="24"/>
      <w:szCs w:val="24"/>
      <w:lang w:val="zh-CN"/>
    </w:rPr>
  </w:style>
  <w:style w:type="paragraph" w:styleId="9">
    <w:name w:val="heading 3"/>
    <w:basedOn w:val="1"/>
    <w:next w:val="1"/>
    <w:link w:val="188"/>
    <w:qFormat/>
    <w:uiPriority w:val="0"/>
    <w:pPr>
      <w:widowControl/>
      <w:spacing w:before="100" w:beforeAutospacing="1" w:after="100" w:afterAutospacing="1"/>
      <w:jc w:val="left"/>
      <w:outlineLvl w:val="2"/>
    </w:pPr>
    <w:rPr>
      <w:rFonts w:ascii="宋体" w:hAnsi="宋体"/>
      <w:kern w:val="0"/>
      <w:sz w:val="27"/>
      <w:szCs w:val="27"/>
      <w:lang w:val="zh-CN"/>
    </w:rPr>
  </w:style>
  <w:style w:type="paragraph" w:styleId="10">
    <w:name w:val="heading 4"/>
    <w:basedOn w:val="9"/>
    <w:next w:val="11"/>
    <w:link w:val="151"/>
    <w:qFormat/>
    <w:uiPriority w:val="0"/>
    <w:pPr>
      <w:keepNext/>
      <w:keepLines/>
      <w:widowControl w:val="0"/>
      <w:spacing w:before="0" w:beforeLines="50" w:beforeAutospacing="0" w:after="0" w:afterLines="50" w:afterAutospacing="0" w:line="360" w:lineRule="auto"/>
      <w:ind w:left="284" w:hanging="284"/>
      <w:outlineLvl w:val="3"/>
    </w:pPr>
    <w:rPr>
      <w:rFonts w:ascii="Arial" w:hAnsi="Arial"/>
      <w:color w:val="000000"/>
      <w:sz w:val="20"/>
      <w:szCs w:val="21"/>
    </w:rPr>
  </w:style>
  <w:style w:type="paragraph" w:styleId="12">
    <w:name w:val="heading 5"/>
    <w:basedOn w:val="10"/>
    <w:next w:val="11"/>
    <w:link w:val="307"/>
    <w:qFormat/>
    <w:uiPriority w:val="0"/>
    <w:pPr>
      <w:spacing w:line="240" w:lineRule="exact"/>
      <w:outlineLvl w:val="4"/>
    </w:pPr>
  </w:style>
  <w:style w:type="paragraph" w:styleId="13">
    <w:name w:val="heading 6"/>
    <w:basedOn w:val="1"/>
    <w:next w:val="1"/>
    <w:link w:val="380"/>
    <w:qFormat/>
    <w:uiPriority w:val="0"/>
    <w:pPr>
      <w:keepNext/>
      <w:keepLines/>
      <w:spacing w:before="240" w:after="64" w:line="320" w:lineRule="auto"/>
      <w:outlineLvl w:val="5"/>
    </w:pPr>
    <w:rPr>
      <w:rFonts w:ascii="Arial" w:hAnsi="Arial" w:eastAsia="黑体"/>
      <w:b/>
      <w:bCs/>
      <w:kern w:val="0"/>
      <w:sz w:val="24"/>
      <w:szCs w:val="24"/>
      <w:lang w:val="zh-CN"/>
    </w:rPr>
  </w:style>
  <w:style w:type="paragraph" w:styleId="14">
    <w:name w:val="heading 7"/>
    <w:basedOn w:val="1"/>
    <w:next w:val="11"/>
    <w:link w:val="359"/>
    <w:qFormat/>
    <w:uiPriority w:val="0"/>
    <w:pPr>
      <w:keepNext/>
      <w:keepLines/>
      <w:spacing w:before="240" w:after="64" w:line="320" w:lineRule="auto"/>
      <w:outlineLvl w:val="6"/>
    </w:pPr>
    <w:rPr>
      <w:rFonts w:ascii="Times New Roman" w:hAnsi="Times New Roman"/>
      <w:b/>
      <w:kern w:val="0"/>
      <w:sz w:val="24"/>
      <w:szCs w:val="20"/>
      <w:lang w:val="zh-CN"/>
    </w:rPr>
  </w:style>
  <w:style w:type="paragraph" w:styleId="15">
    <w:name w:val="heading 8"/>
    <w:basedOn w:val="1"/>
    <w:next w:val="11"/>
    <w:link w:val="176"/>
    <w:qFormat/>
    <w:uiPriority w:val="0"/>
    <w:pPr>
      <w:keepNext/>
      <w:keepLines/>
      <w:spacing w:before="240" w:after="64" w:line="320" w:lineRule="auto"/>
      <w:outlineLvl w:val="7"/>
    </w:pPr>
    <w:rPr>
      <w:rFonts w:ascii="Arial" w:hAnsi="Arial" w:eastAsia="黑体"/>
      <w:kern w:val="0"/>
      <w:sz w:val="24"/>
      <w:szCs w:val="20"/>
      <w:lang w:val="zh-CN"/>
    </w:rPr>
  </w:style>
  <w:style w:type="paragraph" w:styleId="16">
    <w:name w:val="heading 9"/>
    <w:basedOn w:val="1"/>
    <w:next w:val="11"/>
    <w:link w:val="240"/>
    <w:qFormat/>
    <w:uiPriority w:val="0"/>
    <w:pPr>
      <w:keepNext/>
      <w:keepLines/>
      <w:spacing w:before="240" w:after="64" w:line="320" w:lineRule="auto"/>
      <w:outlineLvl w:val="8"/>
    </w:pPr>
    <w:rPr>
      <w:rFonts w:ascii="Arial" w:hAnsi="Arial" w:eastAsia="黑体"/>
      <w:kern w:val="0"/>
      <w:sz w:val="20"/>
      <w:szCs w:val="20"/>
      <w:lang w:val="zh-CN"/>
    </w:rPr>
  </w:style>
  <w:style w:type="character" w:default="1" w:styleId="51">
    <w:name w:val="Default Paragraph Font"/>
    <w:unhideWhenUsed/>
    <w:qFormat/>
    <w:uiPriority w:val="1"/>
  </w:style>
  <w:style w:type="table" w:default="1" w:styleId="49">
    <w:name w:val="Normal Table"/>
    <w:unhideWhenUsed/>
    <w:qFormat/>
    <w:uiPriority w:val="99"/>
    <w:tblPr>
      <w:tblLayout w:type="fixed"/>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rPr>
      <w:szCs w:val="24"/>
    </w:rPr>
  </w:style>
  <w:style w:type="paragraph" w:styleId="3">
    <w:name w:val="macro"/>
    <w:link w:val="31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5">
    <w:name w:val="Title"/>
    <w:basedOn w:val="1"/>
    <w:link w:val="159"/>
    <w:qFormat/>
    <w:uiPriority w:val="0"/>
    <w:pPr>
      <w:spacing w:before="120" w:after="60"/>
      <w:jc w:val="center"/>
    </w:pPr>
    <w:rPr>
      <w:rFonts w:ascii="Arial" w:hAnsi="Arial"/>
      <w:b/>
      <w:kern w:val="0"/>
      <w:sz w:val="44"/>
      <w:szCs w:val="20"/>
      <w:lang w:val="zh-CN"/>
    </w:rPr>
  </w:style>
  <w:style w:type="paragraph" w:styleId="6">
    <w:name w:val="Body Text First Indent"/>
    <w:basedOn w:val="7"/>
    <w:next w:val="1"/>
    <w:link w:val="347"/>
    <w:qFormat/>
    <w:uiPriority w:val="0"/>
    <w:pPr>
      <w:ind w:firstLine="420"/>
    </w:pPr>
    <w:rPr>
      <w:rFonts w:ascii="Times New Roman" w:hAnsi="Times New Roman"/>
    </w:rPr>
  </w:style>
  <w:style w:type="paragraph" w:styleId="7">
    <w:name w:val="Body Text"/>
    <w:basedOn w:val="1"/>
    <w:next w:val="1"/>
    <w:link w:val="216"/>
    <w:qFormat/>
    <w:uiPriority w:val="0"/>
    <w:pPr>
      <w:spacing w:after="120"/>
    </w:pPr>
    <w:rPr>
      <w:kern w:val="0"/>
      <w:sz w:val="20"/>
      <w:szCs w:val="20"/>
      <w:lang w:val="zh-CN"/>
    </w:rPr>
  </w:style>
  <w:style w:type="paragraph" w:styleId="11">
    <w:name w:val="Normal Indent"/>
    <w:basedOn w:val="1"/>
    <w:next w:val="1"/>
    <w:link w:val="317"/>
    <w:qFormat/>
    <w:uiPriority w:val="0"/>
    <w:pPr>
      <w:ind w:firstLine="420"/>
    </w:pPr>
    <w:rPr>
      <w:rFonts w:ascii="Times New Roman" w:hAnsi="Times New Roman"/>
      <w:kern w:val="0"/>
      <w:sz w:val="20"/>
      <w:szCs w:val="20"/>
      <w:lang w:val="zh-CN"/>
    </w:rPr>
  </w:style>
  <w:style w:type="paragraph" w:styleId="17">
    <w:name w:val="Note Heading"/>
    <w:basedOn w:val="1"/>
    <w:next w:val="1"/>
    <w:link w:val="156"/>
    <w:qFormat/>
    <w:uiPriority w:val="0"/>
    <w:pPr>
      <w:jc w:val="center"/>
    </w:pPr>
    <w:rPr>
      <w:rFonts w:eastAsia="方正大标宋简体"/>
      <w:kern w:val="0"/>
      <w:sz w:val="24"/>
      <w:szCs w:val="20"/>
      <w:lang w:val="zh-CN" w:eastAsia="zh-TW"/>
    </w:rPr>
  </w:style>
  <w:style w:type="paragraph" w:styleId="18">
    <w:name w:val="E-mail Signature"/>
    <w:basedOn w:val="1"/>
    <w:link w:val="333"/>
    <w:qFormat/>
    <w:uiPriority w:val="0"/>
    <w:rPr>
      <w:kern w:val="0"/>
      <w:sz w:val="20"/>
      <w:szCs w:val="24"/>
      <w:lang w:val="zh-CN"/>
    </w:rPr>
  </w:style>
  <w:style w:type="paragraph" w:styleId="19">
    <w:name w:val="Document Map"/>
    <w:basedOn w:val="1"/>
    <w:link w:val="431"/>
    <w:qFormat/>
    <w:uiPriority w:val="0"/>
    <w:pPr>
      <w:shd w:val="clear" w:color="auto" w:fill="000080"/>
    </w:pPr>
    <w:rPr>
      <w:rFonts w:ascii="Times New Roman" w:hAnsi="Times New Roman"/>
      <w:kern w:val="0"/>
      <w:sz w:val="20"/>
      <w:szCs w:val="20"/>
      <w:lang w:val="zh-CN"/>
    </w:rPr>
  </w:style>
  <w:style w:type="paragraph" w:styleId="20">
    <w:name w:val="annotation text"/>
    <w:basedOn w:val="1"/>
    <w:next w:val="1"/>
    <w:link w:val="444"/>
    <w:unhideWhenUsed/>
    <w:qFormat/>
    <w:uiPriority w:val="99"/>
    <w:pPr>
      <w:jc w:val="left"/>
    </w:pPr>
    <w:rPr>
      <w:kern w:val="0"/>
      <w:sz w:val="20"/>
      <w:szCs w:val="20"/>
      <w:lang w:val="zh-CN"/>
    </w:rPr>
  </w:style>
  <w:style w:type="paragraph" w:styleId="21">
    <w:name w:val="Salutation"/>
    <w:basedOn w:val="1"/>
    <w:next w:val="1"/>
    <w:link w:val="331"/>
    <w:qFormat/>
    <w:uiPriority w:val="0"/>
    <w:rPr>
      <w:kern w:val="0"/>
      <w:sz w:val="20"/>
      <w:szCs w:val="24"/>
      <w:lang w:val="zh-CN"/>
    </w:rPr>
  </w:style>
  <w:style w:type="paragraph" w:styleId="22">
    <w:name w:val="Body Text 3"/>
    <w:basedOn w:val="1"/>
    <w:link w:val="295"/>
    <w:qFormat/>
    <w:uiPriority w:val="0"/>
    <w:rPr>
      <w:rFonts w:ascii="宋体" w:hAnsi="宋体"/>
      <w:kern w:val="0"/>
      <w:sz w:val="20"/>
      <w:szCs w:val="20"/>
      <w:u w:val="single"/>
      <w:bdr w:val="single" w:color="auto" w:sz="4" w:space="0"/>
      <w:lang w:val="zh-CN"/>
    </w:rPr>
  </w:style>
  <w:style w:type="paragraph" w:styleId="23">
    <w:name w:val="Closing"/>
    <w:basedOn w:val="1"/>
    <w:link w:val="344"/>
    <w:qFormat/>
    <w:uiPriority w:val="0"/>
    <w:pPr>
      <w:ind w:left="100" w:leftChars="2100"/>
    </w:pPr>
    <w:rPr>
      <w:kern w:val="0"/>
      <w:sz w:val="20"/>
      <w:szCs w:val="24"/>
      <w:lang w:val="zh-CN"/>
    </w:rPr>
  </w:style>
  <w:style w:type="paragraph" w:styleId="24">
    <w:name w:val="Body Text Indent"/>
    <w:basedOn w:val="1"/>
    <w:next w:val="25"/>
    <w:link w:val="143"/>
    <w:qFormat/>
    <w:uiPriority w:val="0"/>
    <w:pPr>
      <w:spacing w:after="120"/>
      <w:ind w:left="420" w:leftChars="200"/>
    </w:pPr>
    <w:rPr>
      <w:kern w:val="0"/>
      <w:sz w:val="20"/>
      <w:szCs w:val="20"/>
      <w:lang w:val="zh-CN"/>
    </w:rPr>
  </w:style>
  <w:style w:type="paragraph" w:styleId="25">
    <w:name w:val="envelope return"/>
    <w:basedOn w:val="1"/>
    <w:qFormat/>
    <w:uiPriority w:val="0"/>
    <w:pPr>
      <w:snapToGrid w:val="0"/>
    </w:pPr>
    <w:rPr>
      <w:rFonts w:ascii="Arial" w:hAnsi="Arial"/>
      <w:szCs w:val="24"/>
    </w:rPr>
  </w:style>
  <w:style w:type="paragraph" w:styleId="26">
    <w:name w:val="HTML Address"/>
    <w:basedOn w:val="1"/>
    <w:link w:val="315"/>
    <w:qFormat/>
    <w:uiPriority w:val="0"/>
    <w:rPr>
      <w:i/>
      <w:iCs/>
      <w:kern w:val="0"/>
      <w:sz w:val="20"/>
      <w:szCs w:val="24"/>
      <w:lang w:val="zh-CN"/>
    </w:rPr>
  </w:style>
  <w:style w:type="paragraph" w:styleId="27">
    <w:name w:val="index 4"/>
    <w:basedOn w:val="1"/>
    <w:next w:val="1"/>
    <w:unhideWhenUsed/>
    <w:qFormat/>
    <w:uiPriority w:val="99"/>
    <w:pPr>
      <w:ind w:left="600" w:leftChars="600"/>
    </w:pPr>
  </w:style>
  <w:style w:type="paragraph" w:styleId="28">
    <w:name w:val="toc 3"/>
    <w:basedOn w:val="1"/>
    <w:next w:val="1"/>
    <w:qFormat/>
    <w:uiPriority w:val="0"/>
    <w:pPr>
      <w:snapToGrid w:val="0"/>
      <w:spacing w:line="360" w:lineRule="auto"/>
      <w:ind w:left="400" w:leftChars="400"/>
      <w:jc w:val="left"/>
    </w:pPr>
    <w:rPr>
      <w:rFonts w:ascii="Times New Roman" w:hAnsi="Times New Roman"/>
      <w:sz w:val="24"/>
      <w:szCs w:val="20"/>
    </w:rPr>
  </w:style>
  <w:style w:type="paragraph" w:styleId="29">
    <w:name w:val="Plain Text"/>
    <w:basedOn w:val="1"/>
    <w:next w:val="1"/>
    <w:link w:val="287"/>
    <w:qFormat/>
    <w:uiPriority w:val="0"/>
    <w:rPr>
      <w:rFonts w:ascii="宋体" w:hAnsi="Courier New"/>
      <w:kern w:val="0"/>
      <w:sz w:val="20"/>
      <w:szCs w:val="20"/>
      <w:lang w:val="zh-CN"/>
    </w:rPr>
  </w:style>
  <w:style w:type="paragraph" w:styleId="30">
    <w:name w:val="Date"/>
    <w:basedOn w:val="1"/>
    <w:next w:val="1"/>
    <w:link w:val="376"/>
    <w:qFormat/>
    <w:uiPriority w:val="0"/>
    <w:rPr>
      <w:rFonts w:ascii="Times New Roman" w:hAnsi="Times New Roman"/>
      <w:kern w:val="0"/>
      <w:sz w:val="20"/>
      <w:szCs w:val="20"/>
      <w:lang w:val="zh-CN"/>
    </w:rPr>
  </w:style>
  <w:style w:type="paragraph" w:styleId="31">
    <w:name w:val="Body Text Indent 2"/>
    <w:basedOn w:val="1"/>
    <w:link w:val="153"/>
    <w:qFormat/>
    <w:uiPriority w:val="0"/>
    <w:pPr>
      <w:spacing w:line="400" w:lineRule="exact"/>
      <w:ind w:left="425"/>
    </w:pPr>
    <w:rPr>
      <w:rFonts w:ascii="Times New Roman" w:hAnsi="Times New Roman"/>
      <w:color w:val="000000"/>
      <w:kern w:val="0"/>
      <w:sz w:val="24"/>
      <w:szCs w:val="20"/>
      <w:lang w:val="zh-CN"/>
    </w:rPr>
  </w:style>
  <w:style w:type="paragraph" w:styleId="32">
    <w:name w:val="endnote text"/>
    <w:basedOn w:val="1"/>
    <w:link w:val="273"/>
    <w:qFormat/>
    <w:uiPriority w:val="0"/>
    <w:pPr>
      <w:snapToGrid w:val="0"/>
      <w:jc w:val="left"/>
    </w:pPr>
    <w:rPr>
      <w:rFonts w:ascii="Times New Roman" w:hAnsi="Times New Roman"/>
      <w:kern w:val="0"/>
      <w:sz w:val="20"/>
      <w:szCs w:val="20"/>
      <w:lang w:val="zh-CN"/>
    </w:rPr>
  </w:style>
  <w:style w:type="paragraph" w:styleId="33">
    <w:name w:val="Balloon Text"/>
    <w:basedOn w:val="1"/>
    <w:link w:val="436"/>
    <w:qFormat/>
    <w:uiPriority w:val="0"/>
    <w:rPr>
      <w:rFonts w:ascii="Times New Roman" w:hAnsi="Times New Roman"/>
      <w:kern w:val="0"/>
      <w:sz w:val="18"/>
      <w:szCs w:val="18"/>
      <w:lang w:val="zh-CN"/>
    </w:rPr>
  </w:style>
  <w:style w:type="paragraph" w:styleId="34">
    <w:name w:val="footer"/>
    <w:basedOn w:val="1"/>
    <w:link w:val="158"/>
    <w:qFormat/>
    <w:uiPriority w:val="0"/>
    <w:pPr>
      <w:tabs>
        <w:tab w:val="center" w:pos="4153"/>
        <w:tab w:val="right" w:pos="8306"/>
      </w:tabs>
      <w:snapToGrid w:val="0"/>
      <w:jc w:val="left"/>
    </w:pPr>
    <w:rPr>
      <w:kern w:val="0"/>
      <w:sz w:val="18"/>
      <w:szCs w:val="18"/>
      <w:lang w:val="zh-CN"/>
    </w:rPr>
  </w:style>
  <w:style w:type="paragraph" w:styleId="35">
    <w:name w:val="header"/>
    <w:basedOn w:val="1"/>
    <w:link w:val="200"/>
    <w:qFormat/>
    <w:uiPriority w:val="0"/>
    <w:pPr>
      <w:pBdr>
        <w:bottom w:val="single" w:color="auto" w:sz="6" w:space="1"/>
      </w:pBdr>
      <w:tabs>
        <w:tab w:val="center" w:pos="4153"/>
        <w:tab w:val="right" w:pos="8306"/>
      </w:tabs>
      <w:snapToGrid w:val="0"/>
      <w:jc w:val="center"/>
    </w:pPr>
    <w:rPr>
      <w:kern w:val="0"/>
      <w:sz w:val="18"/>
      <w:szCs w:val="18"/>
      <w:lang w:val="zh-CN"/>
    </w:rPr>
  </w:style>
  <w:style w:type="paragraph" w:styleId="36">
    <w:name w:val="Signature"/>
    <w:basedOn w:val="1"/>
    <w:link w:val="342"/>
    <w:qFormat/>
    <w:uiPriority w:val="0"/>
    <w:pPr>
      <w:ind w:left="100" w:leftChars="2100"/>
    </w:pPr>
    <w:rPr>
      <w:kern w:val="0"/>
      <w:sz w:val="20"/>
      <w:szCs w:val="24"/>
      <w:lang w:val="zh-CN"/>
    </w:rPr>
  </w:style>
  <w:style w:type="paragraph" w:styleId="37">
    <w:name w:val="toc 1"/>
    <w:basedOn w:val="1"/>
    <w:next w:val="1"/>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38">
    <w:name w:val="Subtitle"/>
    <w:basedOn w:val="1"/>
    <w:next w:val="1"/>
    <w:link w:val="146"/>
    <w:qFormat/>
    <w:uiPriority w:val="0"/>
    <w:pPr>
      <w:widowControl/>
      <w:spacing w:after="200" w:line="276" w:lineRule="auto"/>
      <w:jc w:val="left"/>
    </w:pPr>
    <w:rPr>
      <w:rFonts w:ascii="Cambria" w:hAnsi="Cambria"/>
      <w:i/>
      <w:iCs/>
      <w:color w:val="4F81BD"/>
      <w:spacing w:val="15"/>
      <w:kern w:val="0"/>
      <w:sz w:val="24"/>
      <w:szCs w:val="24"/>
      <w:lang w:val="zh-CN"/>
    </w:rPr>
  </w:style>
  <w:style w:type="paragraph" w:styleId="39">
    <w:name w:val="footnote text"/>
    <w:basedOn w:val="1"/>
    <w:link w:val="294"/>
    <w:qFormat/>
    <w:uiPriority w:val="0"/>
    <w:pPr>
      <w:snapToGrid w:val="0"/>
      <w:spacing w:line="360" w:lineRule="auto"/>
      <w:ind w:firstLine="523" w:firstLineChars="218"/>
      <w:jc w:val="left"/>
    </w:pPr>
    <w:rPr>
      <w:rFonts w:ascii="宋体" w:hAnsi="宋体"/>
      <w:kern w:val="0"/>
      <w:sz w:val="18"/>
      <w:szCs w:val="18"/>
      <w:lang w:val="zh-CN"/>
    </w:rPr>
  </w:style>
  <w:style w:type="paragraph" w:styleId="40">
    <w:name w:val="Body Text Indent 3"/>
    <w:basedOn w:val="1"/>
    <w:link w:val="252"/>
    <w:qFormat/>
    <w:uiPriority w:val="0"/>
    <w:pPr>
      <w:tabs>
        <w:tab w:val="left" w:pos="0"/>
      </w:tabs>
      <w:spacing w:line="400" w:lineRule="exact"/>
      <w:ind w:left="563" w:leftChars="228" w:hanging="84" w:hangingChars="35"/>
    </w:pPr>
    <w:rPr>
      <w:rFonts w:ascii="Times New Roman" w:hAnsi="Times New Roman"/>
      <w:color w:val="000000"/>
      <w:kern w:val="0"/>
      <w:sz w:val="24"/>
      <w:szCs w:val="20"/>
      <w:lang w:val="zh-CN"/>
    </w:rPr>
  </w:style>
  <w:style w:type="paragraph" w:styleId="41">
    <w:name w:val="toc 2"/>
    <w:basedOn w:val="1"/>
    <w:next w:val="1"/>
    <w:qFormat/>
    <w:uiPriority w:val="0"/>
    <w:pPr>
      <w:tabs>
        <w:tab w:val="right" w:leader="dot" w:pos="9060"/>
      </w:tabs>
      <w:snapToGrid w:val="0"/>
      <w:spacing w:line="360" w:lineRule="auto"/>
      <w:ind w:left="420" w:leftChars="200"/>
      <w:jc w:val="left"/>
    </w:pPr>
    <w:rPr>
      <w:rFonts w:ascii="Times New Roman" w:hAnsi="Times New Roman"/>
      <w:sz w:val="24"/>
      <w:szCs w:val="24"/>
    </w:rPr>
  </w:style>
  <w:style w:type="paragraph" w:styleId="42">
    <w:name w:val="Body Text 2"/>
    <w:basedOn w:val="1"/>
    <w:link w:val="459"/>
    <w:qFormat/>
    <w:uiPriority w:val="0"/>
    <w:rPr>
      <w:rFonts w:ascii="宋体" w:hAnsi="宋体"/>
      <w:kern w:val="0"/>
      <w:sz w:val="20"/>
      <w:szCs w:val="24"/>
      <w:u w:val="single"/>
      <w:lang w:val="zh-CN"/>
    </w:rPr>
  </w:style>
  <w:style w:type="paragraph" w:styleId="43">
    <w:name w:val="Message Header"/>
    <w:basedOn w:val="1"/>
    <w:link w:val="25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sz w:val="24"/>
      <w:szCs w:val="24"/>
      <w:shd w:val="pct20" w:color="auto" w:fill="auto"/>
      <w:lang w:val="zh-CN"/>
    </w:rPr>
  </w:style>
  <w:style w:type="paragraph" w:styleId="44">
    <w:name w:val="HTML Preformatted"/>
    <w:basedOn w:val="1"/>
    <w:link w:val="291"/>
    <w:qFormat/>
    <w:uiPriority w:val="0"/>
    <w:rPr>
      <w:rFonts w:ascii="Courier New" w:hAnsi="Courier New"/>
      <w:kern w:val="0"/>
      <w:sz w:val="20"/>
      <w:szCs w:val="20"/>
      <w:lang w:val="zh-CN"/>
    </w:rPr>
  </w:style>
  <w:style w:type="paragraph" w:styleId="45">
    <w:name w:val="Normal (Web)"/>
    <w:basedOn w:val="1"/>
    <w:next w:val="1"/>
    <w:qFormat/>
    <w:uiPriority w:val="0"/>
    <w:pPr>
      <w:widowControl/>
      <w:spacing w:before="100" w:beforeAutospacing="1" w:after="100" w:afterAutospacing="1"/>
      <w:jc w:val="left"/>
    </w:pPr>
    <w:rPr>
      <w:rFonts w:ascii="宋体" w:hAnsi="宋体"/>
      <w:kern w:val="0"/>
      <w:sz w:val="24"/>
      <w:szCs w:val="24"/>
    </w:rPr>
  </w:style>
  <w:style w:type="paragraph" w:styleId="46">
    <w:name w:val="index 1"/>
    <w:basedOn w:val="1"/>
    <w:next w:val="1"/>
    <w:qFormat/>
    <w:uiPriority w:val="0"/>
    <w:rPr>
      <w:rFonts w:ascii="Times New Roman" w:hAnsi="Times New Roman" w:eastAsia="仿宋_GB2312"/>
      <w:sz w:val="28"/>
      <w:szCs w:val="20"/>
    </w:rPr>
  </w:style>
  <w:style w:type="paragraph" w:styleId="47">
    <w:name w:val="annotation subject"/>
    <w:basedOn w:val="20"/>
    <w:next w:val="20"/>
    <w:link w:val="302"/>
    <w:qFormat/>
    <w:uiPriority w:val="0"/>
    <w:pPr>
      <w:spacing w:line="360" w:lineRule="auto"/>
      <w:ind w:firstLine="523" w:firstLineChars="218"/>
    </w:pPr>
    <w:rPr>
      <w:rFonts w:ascii="宋体" w:hAnsi="宋体"/>
      <w:b/>
      <w:bCs/>
      <w:sz w:val="24"/>
      <w:szCs w:val="24"/>
    </w:rPr>
  </w:style>
  <w:style w:type="paragraph" w:styleId="48">
    <w:name w:val="Body Text First Indent 2"/>
    <w:basedOn w:val="24"/>
    <w:link w:val="189"/>
    <w:qFormat/>
    <w:uiPriority w:val="0"/>
    <w:pPr>
      <w:ind w:firstLine="420" w:firstLineChars="200"/>
    </w:pPr>
    <w:rPr>
      <w:rFonts w:ascii="Times New Roman" w:hAnsi="Times New Roman"/>
      <w:sz w:val="28"/>
      <w:szCs w:val="24"/>
    </w:rPr>
  </w:style>
  <w:style w:type="table" w:styleId="50">
    <w:name w:val="Table Grid"/>
    <w:basedOn w:val="4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2">
    <w:name w:val="Strong"/>
    <w:qFormat/>
    <w:uiPriority w:val="0"/>
    <w:rPr>
      <w:rFonts w:ascii="Calibri" w:hAnsi="Calibri" w:eastAsia="宋体" w:cs="Times New Roman"/>
      <w:b/>
    </w:rPr>
  </w:style>
  <w:style w:type="character" w:styleId="53">
    <w:name w:val="endnote reference"/>
    <w:qFormat/>
    <w:uiPriority w:val="0"/>
    <w:rPr>
      <w:rFonts w:ascii="Calibri" w:hAnsi="Calibri" w:eastAsia="宋体" w:cs="Times New Roman"/>
      <w:vertAlign w:val="superscript"/>
    </w:rPr>
  </w:style>
  <w:style w:type="character" w:styleId="54">
    <w:name w:val="page number"/>
    <w:qFormat/>
    <w:uiPriority w:val="0"/>
    <w:rPr>
      <w:rFonts w:ascii="Calibri" w:hAnsi="Calibri" w:eastAsia="宋体" w:cs="Times New Roman"/>
    </w:rPr>
  </w:style>
  <w:style w:type="character" w:styleId="55">
    <w:name w:val="Emphasis"/>
    <w:qFormat/>
    <w:uiPriority w:val="0"/>
    <w:rPr>
      <w:rFonts w:ascii="Times New Roman" w:hAnsi="Times New Roman" w:eastAsia="宋体" w:cs="Times New Roman"/>
      <w:i/>
      <w:iCs/>
    </w:rPr>
  </w:style>
  <w:style w:type="character" w:styleId="56">
    <w:name w:val="line number"/>
    <w:qFormat/>
    <w:uiPriority w:val="0"/>
    <w:rPr>
      <w:rFonts w:ascii="Times New Roman" w:hAnsi="Times New Roman" w:eastAsia="宋体" w:cs="Times New Roman"/>
    </w:rPr>
  </w:style>
  <w:style w:type="character" w:styleId="57">
    <w:name w:val="HTML Definition"/>
    <w:qFormat/>
    <w:uiPriority w:val="0"/>
    <w:rPr>
      <w:rFonts w:ascii="Times New Roman" w:hAnsi="Times New Roman" w:eastAsia="宋体" w:cs="Times New Roman"/>
      <w:i/>
      <w:iCs/>
    </w:rPr>
  </w:style>
  <w:style w:type="character" w:styleId="58">
    <w:name w:val="HTML Typewriter"/>
    <w:qFormat/>
    <w:uiPriority w:val="0"/>
    <w:rPr>
      <w:rFonts w:ascii="PMingLiU" w:hAnsi="PMingLiU" w:eastAsia="宋体" w:cs="PMingLiU"/>
      <w:sz w:val="20"/>
      <w:szCs w:val="20"/>
    </w:rPr>
  </w:style>
  <w:style w:type="character" w:styleId="59">
    <w:name w:val="HTML Acronym"/>
    <w:qFormat/>
    <w:uiPriority w:val="0"/>
    <w:rPr>
      <w:rFonts w:ascii="Times New Roman" w:hAnsi="Times New Roman" w:eastAsia="宋体" w:cs="Times New Roman"/>
    </w:rPr>
  </w:style>
  <w:style w:type="character" w:styleId="60">
    <w:name w:val="HTML Variable"/>
    <w:qFormat/>
    <w:uiPriority w:val="0"/>
    <w:rPr>
      <w:rFonts w:ascii="Times New Roman" w:hAnsi="Times New Roman" w:eastAsia="宋体" w:cs="Times New Roman"/>
      <w:i/>
      <w:iCs/>
    </w:rPr>
  </w:style>
  <w:style w:type="character" w:styleId="61">
    <w:name w:val="Hyperlink"/>
    <w:qFormat/>
    <w:uiPriority w:val="0"/>
    <w:rPr>
      <w:rFonts w:ascii="Calibri" w:hAnsi="Calibri" w:eastAsia="宋体" w:cs="Times New Roman"/>
      <w:color w:val="0000FF"/>
      <w:u w:val="single"/>
    </w:rPr>
  </w:style>
  <w:style w:type="character" w:styleId="62">
    <w:name w:val="HTML Code"/>
    <w:qFormat/>
    <w:uiPriority w:val="0"/>
    <w:rPr>
      <w:rFonts w:ascii="PMingLiU" w:hAnsi="PMingLiU" w:eastAsia="宋体" w:cs="PMingLiU"/>
      <w:sz w:val="20"/>
      <w:szCs w:val="20"/>
    </w:rPr>
  </w:style>
  <w:style w:type="character" w:styleId="63">
    <w:name w:val="annotation reference"/>
    <w:qFormat/>
    <w:uiPriority w:val="0"/>
    <w:rPr>
      <w:rFonts w:ascii="Calibri" w:hAnsi="Calibri" w:eastAsia="宋体" w:cs="Times New Roman"/>
      <w:sz w:val="21"/>
      <w:szCs w:val="21"/>
    </w:rPr>
  </w:style>
  <w:style w:type="character" w:styleId="64">
    <w:name w:val="HTML Cite"/>
    <w:qFormat/>
    <w:uiPriority w:val="0"/>
    <w:rPr>
      <w:rFonts w:ascii="Times New Roman" w:hAnsi="Times New Roman" w:eastAsia="宋体" w:cs="Times New Roman"/>
      <w:i/>
      <w:iCs/>
    </w:rPr>
  </w:style>
  <w:style w:type="character" w:styleId="65">
    <w:name w:val="footnote reference"/>
    <w:qFormat/>
    <w:uiPriority w:val="0"/>
    <w:rPr>
      <w:rFonts w:ascii="Calibri" w:hAnsi="Calibri" w:eastAsia="宋体" w:cs="Times New Roman"/>
      <w:vertAlign w:val="superscript"/>
    </w:rPr>
  </w:style>
  <w:style w:type="character" w:styleId="66">
    <w:name w:val="HTML Keyboard"/>
    <w:qFormat/>
    <w:uiPriority w:val="0"/>
    <w:rPr>
      <w:rFonts w:ascii="PMingLiU" w:hAnsi="PMingLiU" w:eastAsia="宋体" w:cs="PMingLiU"/>
      <w:sz w:val="20"/>
      <w:szCs w:val="20"/>
    </w:rPr>
  </w:style>
  <w:style w:type="character" w:styleId="67">
    <w:name w:val="HTML Sample"/>
    <w:qFormat/>
    <w:uiPriority w:val="0"/>
    <w:rPr>
      <w:rFonts w:ascii="PMingLiU" w:hAnsi="PMingLiU" w:eastAsia="宋体" w:cs="PMingLiU"/>
    </w:rPr>
  </w:style>
  <w:style w:type="paragraph" w:customStyle="1" w:styleId="68">
    <w:name w:val="PlainText"/>
    <w:basedOn w:val="1"/>
    <w:qFormat/>
    <w:uiPriority w:val="0"/>
    <w:pPr>
      <w:textAlignment w:val="baseline"/>
    </w:pPr>
    <w:rPr>
      <w:rFonts w:ascii="宋体" w:hAnsi="Courier New" w:cs="Calibri"/>
      <w:color w:val="000000"/>
      <w:kern w:val="0"/>
      <w:sz w:val="20"/>
      <w:szCs w:val="20"/>
    </w:rPr>
  </w:style>
  <w:style w:type="paragraph" w:customStyle="1" w:styleId="69">
    <w:name w:val="公文标题"/>
    <w:basedOn w:val="9"/>
    <w:qFormat/>
    <w:uiPriority w:val="0"/>
    <w:pPr>
      <w:keepNext/>
      <w:keepLines/>
      <w:widowControl w:val="0"/>
      <w:spacing w:before="0" w:beforeAutospacing="0" w:after="0" w:afterAutospacing="0"/>
      <w:ind w:left="1469" w:right="1542"/>
    </w:pPr>
    <w:rPr>
      <w:rFonts w:ascii="Calibri" w:hAnsi="Times New Roman"/>
      <w:b/>
      <w:kern w:val="2"/>
      <w:sz w:val="44"/>
      <w:szCs w:val="21"/>
    </w:rPr>
  </w:style>
  <w:style w:type="paragraph" w:customStyle="1" w:styleId="70">
    <w:name w:val="表头"/>
    <w:basedOn w:val="1"/>
    <w:qFormat/>
    <w:uiPriority w:val="0"/>
    <w:pPr>
      <w:spacing w:line="360" w:lineRule="auto"/>
      <w:jc w:val="center"/>
    </w:pPr>
    <w:rPr>
      <w:rFonts w:ascii="黑体" w:hAnsi="Times New Roman" w:eastAsia="黑体"/>
      <w:kern w:val="0"/>
      <w:sz w:val="24"/>
      <w:szCs w:val="20"/>
    </w:rPr>
  </w:style>
  <w:style w:type="paragraph" w:customStyle="1" w:styleId="71">
    <w:name w:val="封一"/>
    <w:basedOn w:val="72"/>
    <w:next w:val="72"/>
    <w:qFormat/>
    <w:uiPriority w:val="0"/>
    <w:pPr>
      <w:ind w:firstLine="0" w:firstLineChars="0"/>
      <w:jc w:val="center"/>
    </w:pPr>
    <w:rPr>
      <w:rFonts w:eastAsia="黑体"/>
      <w:b/>
      <w:sz w:val="84"/>
      <w:szCs w:val="84"/>
    </w:rPr>
  </w:style>
  <w:style w:type="paragraph" w:customStyle="1" w:styleId="72">
    <w:name w:val="文一"/>
    <w:basedOn w:val="1"/>
    <w:next w:val="1"/>
    <w:link w:val="155"/>
    <w:qFormat/>
    <w:uiPriority w:val="0"/>
    <w:pPr>
      <w:widowControl/>
      <w:topLinePunct/>
      <w:adjustRightInd w:val="0"/>
      <w:snapToGrid w:val="0"/>
      <w:spacing w:after="200" w:line="360" w:lineRule="auto"/>
      <w:ind w:firstLine="200" w:firstLineChars="200"/>
      <w:jc w:val="left"/>
    </w:pPr>
    <w:rPr>
      <w:spacing w:val="4"/>
      <w:kern w:val="0"/>
      <w:sz w:val="24"/>
      <w:szCs w:val="24"/>
      <w:lang w:val="zh-CN"/>
    </w:rPr>
  </w:style>
  <w:style w:type="paragraph" w:customStyle="1" w:styleId="73">
    <w:name w:val="样式1"/>
    <w:basedOn w:val="1"/>
    <w:link w:val="215"/>
    <w:qFormat/>
    <w:uiPriority w:val="0"/>
    <w:pPr>
      <w:spacing w:before="120" w:line="300" w:lineRule="auto"/>
      <w:ind w:firstLine="408"/>
    </w:pPr>
    <w:rPr>
      <w:kern w:val="0"/>
      <w:sz w:val="24"/>
      <w:szCs w:val="20"/>
      <w:lang w:val="zh-CN"/>
    </w:rPr>
  </w:style>
  <w:style w:type="paragraph" w:customStyle="1" w:styleId="74">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76">
    <w:name w:val="样式 正文缩进表正文正文非缩进正文（首行缩进两字）1正文（首行缩进两字）1 Char Char Char Char Ch..."/>
    <w:basedOn w:val="11"/>
    <w:link w:val="264"/>
    <w:qFormat/>
    <w:uiPriority w:val="0"/>
    <w:pPr>
      <w:spacing w:line="360" w:lineRule="auto"/>
      <w:ind w:firstLine="480" w:firstLineChars="200"/>
    </w:pPr>
    <w:rPr>
      <w:rFonts w:ascii="Calibri" w:hAnsi="Calibri"/>
      <w:sz w:val="24"/>
    </w:rPr>
  </w:style>
  <w:style w:type="paragraph" w:customStyle="1" w:styleId="77">
    <w:name w:val="样式 样式 样式 仿宋_GB2312 四号 段后: 7.8 磅 行距: 1.5 倍行距 + 首行缩进:  2 字符 +"/>
    <w:basedOn w:val="1"/>
    <w:link w:val="395"/>
    <w:qFormat/>
    <w:uiPriority w:val="0"/>
    <w:pPr>
      <w:snapToGrid w:val="0"/>
      <w:spacing w:line="312" w:lineRule="auto"/>
      <w:ind w:firstLine="480" w:firstLineChars="200"/>
    </w:pPr>
    <w:rPr>
      <w:rFonts w:ascii="Batang" w:hAnsi="宋体" w:eastAsia="Calibri"/>
      <w:kern w:val="0"/>
      <w:sz w:val="24"/>
      <w:szCs w:val="20"/>
      <w:lang w:val="zh-CN"/>
    </w:rPr>
  </w:style>
  <w:style w:type="paragraph" w:customStyle="1" w:styleId="78">
    <w:name w:val="正文部分"/>
    <w:basedOn w:val="1"/>
    <w:link w:val="417"/>
    <w:qFormat/>
    <w:uiPriority w:val="0"/>
    <w:pPr>
      <w:spacing w:line="460" w:lineRule="exact"/>
      <w:ind w:firstLine="225" w:firstLineChars="225"/>
    </w:pPr>
    <w:rPr>
      <w:kern w:val="0"/>
      <w:sz w:val="24"/>
      <w:szCs w:val="24"/>
      <w:lang w:val="zh-CN"/>
    </w:rPr>
  </w:style>
  <w:style w:type="paragraph" w:customStyle="1" w:styleId="79">
    <w:name w:val="文二"/>
    <w:basedOn w:val="1"/>
    <w:next w:val="1"/>
    <w:qFormat/>
    <w:uiPriority w:val="0"/>
    <w:pPr>
      <w:widowControl/>
      <w:spacing w:after="200" w:line="276" w:lineRule="auto"/>
      <w:jc w:val="left"/>
    </w:pPr>
    <w:rPr>
      <w:rFonts w:ascii="宋体" w:hAnsi="宋体"/>
      <w:kern w:val="0"/>
      <w:sz w:val="22"/>
      <w:szCs w:val="21"/>
      <w:lang w:eastAsia="en-US" w:bidi="en-US"/>
    </w:rPr>
  </w:style>
  <w:style w:type="paragraph" w:customStyle="1" w:styleId="80">
    <w:name w:val="Heading3"/>
    <w:basedOn w:val="1"/>
    <w:next w:val="1"/>
    <w:qFormat/>
    <w:uiPriority w:val="0"/>
    <w:pPr>
      <w:widowControl/>
      <w:spacing w:before="100" w:beforeAutospacing="1" w:after="100" w:afterAutospacing="1"/>
      <w:jc w:val="left"/>
      <w:textAlignment w:val="baseline"/>
    </w:pPr>
    <w:rPr>
      <w:rFonts w:ascii="宋体" w:hAnsi="宋体"/>
      <w:kern w:val="0"/>
      <w:sz w:val="27"/>
      <w:szCs w:val="27"/>
    </w:rPr>
  </w:style>
  <w:style w:type="paragraph" w:customStyle="1" w:styleId="81">
    <w:name w:val="_Style 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标题 3-1"/>
    <w:next w:val="1"/>
    <w:qFormat/>
    <w:uiPriority w:val="0"/>
    <w:pPr>
      <w:spacing w:line="460" w:lineRule="exact"/>
    </w:pPr>
    <w:rPr>
      <w:rFonts w:ascii="ˎ̥" w:hAnsi="ˎ̥" w:eastAsia="ˎ̥" w:cs="Times New Roman"/>
      <w:kern w:val="2"/>
      <w:sz w:val="28"/>
      <w:szCs w:val="28"/>
      <w:lang w:val="en-US" w:eastAsia="zh-CN" w:bidi="ar-SA"/>
    </w:rPr>
  </w:style>
  <w:style w:type="paragraph" w:customStyle="1" w:styleId="83">
    <w:name w:val="章节三"/>
    <w:basedOn w:val="72"/>
    <w:next w:val="1"/>
    <w:link w:val="298"/>
    <w:qFormat/>
    <w:uiPriority w:val="0"/>
    <w:pPr>
      <w:spacing w:beforeLines="50" w:afterLines="50" w:line="240" w:lineRule="auto"/>
      <w:ind w:firstLine="0" w:firstLineChars="0"/>
      <w:outlineLvl w:val="2"/>
    </w:pPr>
    <w:rPr>
      <w:rFonts w:ascii="黑体" w:hAnsi="宋体" w:eastAsia="黑体"/>
      <w:b/>
    </w:rPr>
  </w:style>
  <w:style w:type="paragraph" w:customStyle="1" w:styleId="84">
    <w:name w:val="前言、引言标题"/>
    <w:next w:val="1"/>
    <w:qFormat/>
    <w:uiPriority w:val="0"/>
    <w:pPr>
      <w:shd w:val="clear" w:color="auto" w:fill="FFFFFF"/>
      <w:tabs>
        <w:tab w:val="left" w:pos="360"/>
        <w:tab w:val="left" w:pos="1053"/>
      </w:tabs>
      <w:spacing w:before="640" w:after="560"/>
      <w:jc w:val="center"/>
      <w:outlineLvl w:val="0"/>
    </w:pPr>
    <w:rPr>
      <w:rFonts w:ascii="黑体" w:hAnsi="Times New Roman" w:eastAsia="黑体" w:cs="Times New Roman"/>
      <w:sz w:val="32"/>
      <w:lang w:val="en-US" w:eastAsia="zh-CN" w:bidi="ar-SA"/>
    </w:rPr>
  </w:style>
  <w:style w:type="paragraph" w:customStyle="1" w:styleId="85">
    <w:name w:val="Char Char Char Char"/>
    <w:basedOn w:val="1"/>
    <w:next w:val="1"/>
    <w:qFormat/>
    <w:uiPriority w:val="0"/>
    <w:rPr>
      <w:rFonts w:ascii="Times New Roman" w:hAnsi="Times New Roman"/>
      <w:sz w:val="30"/>
      <w:szCs w:val="24"/>
    </w:rPr>
  </w:style>
  <w:style w:type="paragraph" w:customStyle="1" w:styleId="86">
    <w:name w:val="列出段落11"/>
    <w:basedOn w:val="1"/>
    <w:qFormat/>
    <w:uiPriority w:val="0"/>
    <w:pPr>
      <w:ind w:firstLine="420" w:firstLineChars="200"/>
    </w:pPr>
    <w:rPr>
      <w:szCs w:val="20"/>
    </w:rPr>
  </w:style>
  <w:style w:type="paragraph" w:customStyle="1" w:styleId="87">
    <w:name w:val="正文 New New New New New New New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8">
    <w:name w:val="正文文本3"/>
    <w:basedOn w:val="1"/>
    <w:qFormat/>
    <w:uiPriority w:val="0"/>
    <w:pPr>
      <w:shd w:val="clear" w:color="auto" w:fill="FFFFFF"/>
      <w:spacing w:line="0" w:lineRule="atLeast"/>
      <w:jc w:val="left"/>
    </w:pPr>
    <w:rPr>
      <w:rFonts w:ascii="宋体" w:hAnsi="宋体"/>
      <w:kern w:val="0"/>
      <w:sz w:val="19"/>
      <w:szCs w:val="19"/>
    </w:rPr>
  </w:style>
  <w:style w:type="paragraph" w:customStyle="1" w:styleId="89">
    <w:name w:val="修订11"/>
    <w:qFormat/>
    <w:uiPriority w:val="0"/>
    <w:rPr>
      <w:rFonts w:ascii="Times New Roman" w:hAnsi="Times New Roman" w:eastAsia="宋体" w:cs="Times New Roman"/>
      <w:kern w:val="2"/>
      <w:sz w:val="21"/>
      <w:lang w:val="en-US" w:eastAsia="zh-CN" w:bidi="ar-SA"/>
    </w:rPr>
  </w:style>
  <w:style w:type="paragraph" w:customStyle="1" w:styleId="90">
    <w:name w:val="表格文字居左"/>
    <w:basedOn w:val="1"/>
    <w:next w:val="1"/>
    <w:link w:val="390"/>
    <w:qFormat/>
    <w:uiPriority w:val="0"/>
    <w:pPr>
      <w:ind w:firstLine="480" w:firstLineChars="200"/>
    </w:pPr>
    <w:rPr>
      <w:rFonts w:ascii="宋体"/>
      <w:kern w:val="0"/>
      <w:sz w:val="24"/>
      <w:szCs w:val="24"/>
      <w:lang w:val="zh-CN"/>
    </w:rPr>
  </w:style>
  <w:style w:type="paragraph" w:styleId="91">
    <w:name w:val="No Spacing"/>
    <w:link w:val="336"/>
    <w:qFormat/>
    <w:uiPriority w:val="0"/>
    <w:rPr>
      <w:rFonts w:ascii="Times New Roman" w:hAnsi="Times New Roman" w:eastAsia="宋体" w:cs="Times New Roman"/>
      <w:kern w:val="2"/>
      <w:sz w:val="22"/>
      <w:szCs w:val="22"/>
      <w:lang w:val="en-US" w:eastAsia="zh-CN" w:bidi="ar-SA"/>
    </w:rPr>
  </w:style>
  <w:style w:type="paragraph" w:customStyle="1" w:styleId="92">
    <w:name w:val="表格文字居中"/>
    <w:basedOn w:val="1"/>
    <w:link w:val="148"/>
    <w:qFormat/>
    <w:uiPriority w:val="0"/>
    <w:pPr>
      <w:spacing w:line="360" w:lineRule="auto"/>
      <w:jc w:val="center"/>
    </w:pPr>
    <w:rPr>
      <w:rFonts w:ascii="宋体" w:hAnsi="宋体"/>
      <w:b/>
      <w:bCs/>
      <w:kern w:val="0"/>
      <w:sz w:val="24"/>
      <w:szCs w:val="24"/>
      <w:lang w:val="zh-CN"/>
    </w:rPr>
  </w:style>
  <w:style w:type="paragraph" w:customStyle="1" w:styleId="93">
    <w:name w:val="Heading2"/>
    <w:basedOn w:val="1"/>
    <w:next w:val="1"/>
    <w:qFormat/>
    <w:uiPriority w:val="0"/>
    <w:pPr>
      <w:keepNext/>
      <w:keepLines/>
      <w:widowControl/>
      <w:spacing w:before="120" w:after="120" w:line="415" w:lineRule="auto"/>
      <w:ind w:left="454"/>
      <w:jc w:val="center"/>
      <w:textAlignment w:val="baseline"/>
    </w:pPr>
    <w:rPr>
      <w:rFonts w:ascii="Arial" w:hAnsi="Arial"/>
      <w:color w:val="000000"/>
      <w:sz w:val="24"/>
      <w:szCs w:val="24"/>
    </w:rPr>
  </w:style>
  <w:style w:type="paragraph" w:customStyle="1" w:styleId="94">
    <w:name w:val="插图"/>
    <w:basedOn w:val="95"/>
    <w:link w:val="201"/>
    <w:qFormat/>
    <w:uiPriority w:val="0"/>
    <w:pPr>
      <w:spacing w:line="240" w:lineRule="auto"/>
      <w:ind w:firstLine="0" w:firstLineChars="0"/>
      <w:jc w:val="center"/>
    </w:pPr>
    <w:rPr>
      <w:rFonts w:hAnsi="Calibri"/>
    </w:rPr>
  </w:style>
  <w:style w:type="paragraph" w:customStyle="1" w:styleId="95">
    <w:name w:val="方案正文"/>
    <w:basedOn w:val="1"/>
    <w:link w:val="388"/>
    <w:qFormat/>
    <w:uiPriority w:val="0"/>
    <w:pPr>
      <w:spacing w:line="360" w:lineRule="auto"/>
      <w:ind w:firstLine="480" w:firstLineChars="200"/>
      <w:jc w:val="left"/>
    </w:pPr>
    <w:rPr>
      <w:rFonts w:ascii="宋体" w:hAnsi="Times New Roman"/>
      <w:kern w:val="0"/>
      <w:sz w:val="24"/>
      <w:szCs w:val="24"/>
      <w:lang w:val="zh-CN"/>
    </w:rPr>
  </w:style>
  <w:style w:type="paragraph" w:customStyle="1" w:styleId="96">
    <w:name w:val="样式 样式 仿宋_GB2312 四号 段后: 7.8 磅 行距: 1.5 倍行距 + 首行缩进:  2 字符"/>
    <w:basedOn w:val="1"/>
    <w:link w:val="373"/>
    <w:qFormat/>
    <w:uiPriority w:val="0"/>
    <w:pPr>
      <w:snapToGrid w:val="0"/>
      <w:spacing w:line="312" w:lineRule="auto"/>
      <w:ind w:firstLine="480" w:firstLineChars="200"/>
    </w:pPr>
    <w:rPr>
      <w:rFonts w:ascii="Batang" w:hAnsi="宋体" w:eastAsia="Calibri"/>
      <w:kern w:val="24"/>
      <w:sz w:val="24"/>
      <w:szCs w:val="20"/>
      <w:lang w:val="zh-CN"/>
    </w:rPr>
  </w:style>
  <w:style w:type="paragraph" w:customStyle="1" w:styleId="97">
    <w:name w:val="_Style 60"/>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公文抬头"/>
    <w:basedOn w:val="11"/>
    <w:qFormat/>
    <w:uiPriority w:val="0"/>
    <w:pPr>
      <w:ind w:firstLine="0"/>
    </w:pPr>
    <w:rPr>
      <w:rFonts w:ascii="仿宋_GB2312" w:hAnsi="Calibri" w:eastAsia="仿宋_GB2312"/>
      <w:sz w:val="30"/>
      <w:szCs w:val="24"/>
    </w:rPr>
  </w:style>
  <w:style w:type="paragraph" w:customStyle="1" w:styleId="99">
    <w:name w:val="_Style 63"/>
    <w:next w:val="1"/>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00">
    <w:name w:val="Char1"/>
    <w:basedOn w:val="1"/>
    <w:qFormat/>
    <w:uiPriority w:val="0"/>
    <w:pPr>
      <w:ind w:left="567" w:hanging="279"/>
    </w:pPr>
    <w:rPr>
      <w:rFonts w:ascii="Times New Roman" w:hAnsi="Times New Roman"/>
      <w:sz w:val="24"/>
      <w:szCs w:val="24"/>
    </w:rPr>
  </w:style>
  <w:style w:type="paragraph" w:customStyle="1" w:styleId="101">
    <w:name w:val="TOC 标题1"/>
    <w:basedOn w:val="4"/>
    <w:next w:val="1"/>
    <w:qFormat/>
    <w:uiPriority w:val="0"/>
    <w:pPr>
      <w:widowControl/>
      <w:tabs>
        <w:tab w:val="right" w:leader="dot" w:pos="9060"/>
      </w:tabs>
      <w:adjustRightInd w:val="0"/>
      <w:snapToGrid w:val="0"/>
      <w:spacing w:before="480" w:after="0" w:line="276" w:lineRule="auto"/>
      <w:jc w:val="left"/>
      <w:outlineLvl w:val="9"/>
    </w:pPr>
    <w:rPr>
      <w:rFonts w:ascii="Cambria" w:hAnsi="Cambria"/>
      <w:color w:val="365F91"/>
      <w:kern w:val="0"/>
    </w:rPr>
  </w:style>
  <w:style w:type="paragraph" w:customStyle="1" w:styleId="102">
    <w:name w:val="_Style 3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表格左缩进"/>
    <w:basedOn w:val="104"/>
    <w:link w:val="437"/>
    <w:qFormat/>
    <w:uiPriority w:val="0"/>
    <w:pPr>
      <w:ind w:firstLine="420" w:firstLineChars="200"/>
    </w:pPr>
    <w:rPr>
      <w:rFonts w:hAnsi="Calibri"/>
    </w:rPr>
  </w:style>
  <w:style w:type="paragraph" w:customStyle="1" w:styleId="104">
    <w:name w:val="表格左对齐"/>
    <w:basedOn w:val="1"/>
    <w:link w:val="227"/>
    <w:qFormat/>
    <w:uiPriority w:val="0"/>
    <w:pPr>
      <w:jc w:val="left"/>
    </w:pPr>
    <w:rPr>
      <w:rFonts w:ascii="宋体" w:hAnsi="Times New Roman"/>
      <w:kern w:val="0"/>
      <w:sz w:val="20"/>
      <w:szCs w:val="21"/>
      <w:lang w:val="zh-CN"/>
    </w:rPr>
  </w:style>
  <w:style w:type="paragraph" w:customStyle="1" w:styleId="105">
    <w:name w:val="正文1"/>
    <w:basedOn w:val="1"/>
    <w:next w:val="7"/>
    <w:qFormat/>
    <w:uiPriority w:val="0"/>
    <w:rPr>
      <w:sz w:val="24"/>
      <w:szCs w:val="24"/>
    </w:rPr>
  </w:style>
  <w:style w:type="paragraph" w:customStyle="1" w:styleId="106">
    <w:name w:val="封二"/>
    <w:basedOn w:val="72"/>
    <w:next w:val="72"/>
    <w:qFormat/>
    <w:uiPriority w:val="0"/>
    <w:pPr>
      <w:ind w:firstLine="0" w:firstLineChars="0"/>
      <w:jc w:val="center"/>
    </w:pPr>
    <w:rPr>
      <w:rFonts w:eastAsia="黑体"/>
      <w:b/>
      <w:sz w:val="36"/>
      <w:szCs w:val="36"/>
    </w:rPr>
  </w:style>
  <w:style w:type="paragraph" w:customStyle="1" w:styleId="107">
    <w:name w:val="发文落款"/>
    <w:basedOn w:val="108"/>
    <w:qFormat/>
    <w:uiPriority w:val="0"/>
    <w:pPr>
      <w:ind w:left="4094" w:right="607" w:firstLine="0"/>
      <w:jc w:val="center"/>
    </w:pPr>
    <w:rPr>
      <w:rFonts w:ascii="Calibri" w:hAnsi="Calibri" w:eastAsia="宋体"/>
    </w:rPr>
  </w:style>
  <w:style w:type="paragraph" w:customStyle="1" w:styleId="10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09">
    <w:name w:val="4、"/>
    <w:basedOn w:val="72"/>
    <w:next w:val="1"/>
    <w:qFormat/>
    <w:uiPriority w:val="0"/>
    <w:pPr>
      <w:spacing w:beforeLines="50" w:after="0" w:afterLines="50"/>
      <w:outlineLvl w:val="3"/>
    </w:pPr>
  </w:style>
  <w:style w:type="paragraph" w:customStyle="1" w:styleId="110">
    <w:name w:val="样式 标题 2 + (西文) 宋体 小四"/>
    <w:basedOn w:val="8"/>
    <w:link w:val="196"/>
    <w:qFormat/>
    <w:uiPriority w:val="0"/>
    <w:pPr>
      <w:spacing w:before="260" w:after="260"/>
      <w:ind w:hanging="454"/>
    </w:pPr>
    <w:rPr>
      <w:rFonts w:ascii="宋体" w:hAnsi="宋体"/>
      <w:color w:val="000000"/>
      <w:szCs w:val="20"/>
    </w:rPr>
  </w:style>
  <w:style w:type="paragraph" w:customStyle="1" w:styleId="111">
    <w:name w:val="标题10"/>
    <w:qFormat/>
    <w:uiPriority w:val="0"/>
    <w:pPr>
      <w:spacing w:after="100" w:afterLines="100"/>
    </w:pPr>
    <w:rPr>
      <w:rFonts w:ascii="Times New Roman" w:hAnsi="Times New Roman" w:eastAsia="宋体" w:cs="Times New Roman"/>
      <w:b/>
      <w:sz w:val="32"/>
      <w:lang w:val="en-US" w:eastAsia="zh-CN" w:bidi="ar-SA"/>
    </w:rPr>
  </w:style>
  <w:style w:type="paragraph" w:customStyle="1" w:styleId="112">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b/>
      <w:snapToGrid w:val="0"/>
      <w:spacing w:val="4"/>
      <w:kern w:val="0"/>
      <w:sz w:val="30"/>
      <w:szCs w:val="30"/>
    </w:rPr>
  </w:style>
  <w:style w:type="paragraph" w:customStyle="1" w:styleId="113">
    <w:name w:val="TOC 标题2"/>
    <w:basedOn w:val="4"/>
    <w:next w:val="1"/>
    <w:qFormat/>
    <w:uiPriority w:val="0"/>
    <w:pPr>
      <w:widowControl/>
      <w:spacing w:before="480" w:after="0" w:line="276" w:lineRule="auto"/>
      <w:outlineLvl w:val="9"/>
    </w:pPr>
    <w:rPr>
      <w:rFonts w:ascii="Cambria" w:hAnsi="Cambria"/>
      <w:color w:val="365F91"/>
      <w:kern w:val="0"/>
    </w:rPr>
  </w:style>
  <w:style w:type="paragraph" w:customStyle="1" w:styleId="114">
    <w:name w:val="表格文字缩进"/>
    <w:basedOn w:val="1"/>
    <w:next w:val="115"/>
    <w:link w:val="320"/>
    <w:qFormat/>
    <w:uiPriority w:val="0"/>
    <w:pPr>
      <w:spacing w:line="360" w:lineRule="exact"/>
      <w:ind w:firstLine="480" w:firstLineChars="200"/>
    </w:pPr>
    <w:rPr>
      <w:rFonts w:ascii="宋体"/>
      <w:kern w:val="0"/>
      <w:sz w:val="24"/>
      <w:szCs w:val="24"/>
      <w:lang w:val="zh-CN"/>
    </w:rPr>
  </w:style>
  <w:style w:type="paragraph" w:customStyle="1" w:styleId="115">
    <w:name w:val="西塔正文1"/>
    <w:basedOn w:val="1"/>
    <w:link w:val="343"/>
    <w:qFormat/>
    <w:uiPriority w:val="0"/>
    <w:pPr>
      <w:spacing w:line="360" w:lineRule="auto"/>
      <w:jc w:val="center"/>
    </w:pPr>
    <w:rPr>
      <w:rFonts w:ascii="宋体"/>
      <w:kern w:val="0"/>
      <w:sz w:val="24"/>
      <w:szCs w:val="24"/>
      <w:lang w:val="zh-CN"/>
    </w:rPr>
  </w:style>
  <w:style w:type="paragraph" w:customStyle="1" w:styleId="116">
    <w:name w:val="正文编号"/>
    <w:basedOn w:val="117"/>
    <w:link w:val="325"/>
    <w:qFormat/>
    <w:uiPriority w:val="0"/>
    <w:pPr>
      <w:widowControl/>
      <w:tabs>
        <w:tab w:val="left" w:pos="1260"/>
      </w:tabs>
      <w:snapToGrid w:val="0"/>
      <w:spacing w:beforeLines="50" w:line="288" w:lineRule="auto"/>
      <w:ind w:left="1260" w:firstLine="0" w:firstLineChars="0"/>
      <w:jc w:val="left"/>
    </w:pPr>
    <w:rPr>
      <w:rFonts w:ascii="宋体" w:hAnsi="宋体"/>
      <w:kern w:val="0"/>
      <w:sz w:val="24"/>
      <w:szCs w:val="24"/>
      <w:lang w:val="zh-CN"/>
    </w:rPr>
  </w:style>
  <w:style w:type="paragraph" w:styleId="117">
    <w:name w:val="List Paragraph"/>
    <w:basedOn w:val="1"/>
    <w:qFormat/>
    <w:uiPriority w:val="0"/>
    <w:pPr>
      <w:ind w:firstLine="420" w:firstLineChars="200"/>
    </w:pPr>
    <w:rPr>
      <w:rFonts w:ascii="Times New Roman" w:hAnsi="Times New Roman"/>
      <w:szCs w:val="20"/>
    </w:rPr>
  </w:style>
  <w:style w:type="paragraph" w:customStyle="1" w:styleId="11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19">
    <w:name w:val="正文缩2"/>
    <w:basedOn w:val="1"/>
    <w:link w:val="316"/>
    <w:qFormat/>
    <w:uiPriority w:val="0"/>
    <w:pPr>
      <w:spacing w:before="156" w:beforeLines="50" w:line="300" w:lineRule="auto"/>
      <w:ind w:firstLine="480" w:firstLineChars="200"/>
    </w:pPr>
    <w:rPr>
      <w:kern w:val="0"/>
      <w:sz w:val="24"/>
      <w:szCs w:val="24"/>
      <w:lang w:val="zh-CN"/>
    </w:rPr>
  </w:style>
  <w:style w:type="paragraph" w:customStyle="1" w:styleId="120">
    <w:name w:val="样式 样式 正文 + 首行缩进:  2 字符 + 首行缩进:  2 字符 段后: 0.3 行 + 首行缩进:  2 字符"/>
    <w:basedOn w:val="1"/>
    <w:link w:val="351"/>
    <w:qFormat/>
    <w:uiPriority w:val="0"/>
    <w:pPr>
      <w:spacing w:after="93" w:afterLines="30" w:line="400" w:lineRule="exact"/>
      <w:ind w:firstLine="200" w:firstLineChars="200"/>
      <w:jc w:val="left"/>
    </w:pPr>
    <w:rPr>
      <w:kern w:val="0"/>
      <w:sz w:val="24"/>
      <w:szCs w:val="20"/>
      <w:lang w:val="zh-CN"/>
    </w:rPr>
  </w:style>
  <w:style w:type="paragraph" w:customStyle="1" w:styleId="121">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122">
    <w:name w:val="BodyText1I"/>
    <w:basedOn w:val="1"/>
    <w:link w:val="220"/>
    <w:qFormat/>
    <w:uiPriority w:val="0"/>
    <w:pPr>
      <w:widowControl/>
      <w:spacing w:after="120"/>
      <w:ind w:firstLine="420"/>
      <w:textAlignment w:val="baseline"/>
    </w:pPr>
    <w:rPr>
      <w:kern w:val="0"/>
      <w:sz w:val="20"/>
      <w:szCs w:val="20"/>
    </w:rPr>
  </w:style>
  <w:style w:type="paragraph" w:customStyle="1" w:styleId="123">
    <w:name w:val="_Style 3"/>
    <w:basedOn w:val="1"/>
    <w:qFormat/>
    <w:uiPriority w:val="0"/>
    <w:rPr>
      <w:rFonts w:cs="宋体"/>
      <w:szCs w:val="21"/>
    </w:rPr>
  </w:style>
  <w:style w:type="paragraph" w:customStyle="1" w:styleId="124">
    <w:name w:val="样式 宋体 行距: 1.5 倍行距"/>
    <w:basedOn w:val="1"/>
    <w:qFormat/>
    <w:uiPriority w:val="0"/>
    <w:pPr>
      <w:jc w:val="center"/>
    </w:pPr>
    <w:rPr>
      <w:rFonts w:ascii="Times New Roman" w:hAnsi="Times New Roman"/>
      <w:b/>
      <w:szCs w:val="20"/>
    </w:rPr>
  </w:style>
  <w:style w:type="paragraph" w:customStyle="1" w:styleId="125">
    <w:name w:val="_Style 15"/>
    <w:basedOn w:val="1"/>
    <w:next w:val="1"/>
    <w:link w:val="400"/>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lang w:val="zh-CN"/>
    </w:rPr>
  </w:style>
  <w:style w:type="paragraph" w:customStyle="1" w:styleId="126">
    <w:name w:val="_Style 6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
    <w:name w:val="表格内容"/>
    <w:basedOn w:val="1"/>
    <w:link w:val="157"/>
    <w:qFormat/>
    <w:uiPriority w:val="0"/>
    <w:pPr>
      <w:spacing w:line="300" w:lineRule="exact"/>
    </w:pPr>
    <w:rPr>
      <w:rFonts w:ascii="宋体" w:hAnsi="宋体"/>
      <w:kern w:val="0"/>
      <w:sz w:val="20"/>
      <w:szCs w:val="21"/>
      <w:lang w:val="zh-CN"/>
    </w:rPr>
  </w:style>
  <w:style w:type="paragraph" w:customStyle="1" w:styleId="128">
    <w:name w:val="列出段落1"/>
    <w:basedOn w:val="1"/>
    <w:qFormat/>
    <w:uiPriority w:val="0"/>
    <w:pPr>
      <w:ind w:firstLine="420" w:firstLineChars="200"/>
    </w:pPr>
    <w:rPr>
      <w:szCs w:val="24"/>
    </w:rPr>
  </w:style>
  <w:style w:type="paragraph" w:customStyle="1" w:styleId="129">
    <w:name w:val="封四"/>
    <w:basedOn w:val="72"/>
    <w:next w:val="72"/>
    <w:qFormat/>
    <w:uiPriority w:val="0"/>
    <w:rPr>
      <w:sz w:val="30"/>
      <w:szCs w:val="30"/>
    </w:rPr>
  </w:style>
  <w:style w:type="paragraph" w:customStyle="1" w:styleId="130">
    <w:name w:val="表格文字"/>
    <w:basedOn w:val="1"/>
    <w:link w:val="205"/>
    <w:qFormat/>
    <w:uiPriority w:val="0"/>
    <w:pPr>
      <w:adjustRightInd w:val="0"/>
      <w:snapToGrid w:val="0"/>
      <w:jc w:val="center"/>
    </w:pPr>
    <w:rPr>
      <w:rFonts w:ascii="宋体" w:hAnsi="宋体" w:eastAsia="Calibri"/>
      <w:kern w:val="0"/>
      <w:sz w:val="24"/>
      <w:szCs w:val="24"/>
      <w:lang w:val="zh-CN" w:eastAsia="zh-TW"/>
    </w:rPr>
  </w:style>
  <w:style w:type="paragraph" w:customStyle="1" w:styleId="131">
    <w:name w:val="正题"/>
    <w:basedOn w:val="72"/>
    <w:next w:val="72"/>
    <w:qFormat/>
    <w:uiPriority w:val="0"/>
    <w:pPr>
      <w:ind w:firstLine="0" w:firstLineChars="0"/>
      <w:jc w:val="center"/>
    </w:pPr>
    <w:rPr>
      <w:rFonts w:eastAsia="黑体"/>
      <w:b/>
      <w:sz w:val="36"/>
      <w:szCs w:val="36"/>
    </w:rPr>
  </w:style>
  <w:style w:type="paragraph" w:customStyle="1" w:styleId="132">
    <w:name w:val="文提"/>
    <w:basedOn w:val="72"/>
    <w:qFormat/>
    <w:uiPriority w:val="0"/>
    <w:pPr>
      <w:widowControl w:val="0"/>
      <w:spacing w:after="0"/>
      <w:ind w:firstLine="0" w:firstLineChars="0"/>
      <w:jc w:val="both"/>
    </w:pPr>
    <w:rPr>
      <w:rFonts w:eastAsia="黑体" w:cs="宋体"/>
      <w:b/>
    </w:rPr>
  </w:style>
  <w:style w:type="paragraph" w:customStyle="1" w:styleId="133">
    <w:name w:val="样式 表格文字居中 + 黑色"/>
    <w:basedOn w:val="92"/>
    <w:link w:val="348"/>
    <w:uiPriority w:val="0"/>
    <w:pPr>
      <w:widowControl/>
    </w:pPr>
    <w:rPr>
      <w:color w:val="000000"/>
      <w:szCs w:val="21"/>
    </w:rPr>
  </w:style>
  <w:style w:type="paragraph" w:customStyle="1" w:styleId="134">
    <w:name w:val="_Style 25"/>
    <w:basedOn w:val="1"/>
    <w:next w:val="1"/>
    <w:uiPriority w:val="0"/>
    <w:rPr>
      <w:rFonts w:ascii="Times New Roman" w:hAnsi="Times New Roman"/>
    </w:rPr>
  </w:style>
  <w:style w:type="paragraph" w:customStyle="1" w:styleId="135">
    <w:name w:val="正文 New New"/>
    <w:basedOn w:val="1"/>
    <w:qFormat/>
    <w:uiPriority w:val="0"/>
    <w:rPr>
      <w:rFonts w:ascii="Times New Roman" w:hAnsi="Times New Roman" w:eastAsia="楷体_GB2312" w:cs="宋体"/>
      <w:szCs w:val="21"/>
    </w:rPr>
  </w:style>
  <w:style w:type="paragraph" w:customStyle="1" w:styleId="136">
    <w:name w:val="Char Char Char1 Char"/>
    <w:basedOn w:val="19"/>
    <w:qFormat/>
    <w:uiPriority w:val="0"/>
    <w:rPr>
      <w:rFonts w:ascii="Tahoma" w:hAnsi="Tahoma"/>
      <w:sz w:val="24"/>
      <w:szCs w:val="24"/>
    </w:rPr>
  </w:style>
  <w:style w:type="paragraph" w:customStyle="1" w:styleId="137">
    <w:name w:val="修订1"/>
    <w:qFormat/>
    <w:uiPriority w:val="0"/>
    <w:rPr>
      <w:rFonts w:ascii="Times New Roman" w:hAnsi="Times New Roman" w:eastAsia="宋体" w:cs="Times New Roman"/>
      <w:kern w:val="2"/>
      <w:sz w:val="21"/>
      <w:lang w:val="en-US" w:eastAsia="zh-CN" w:bidi="ar-SA"/>
    </w:rPr>
  </w:style>
  <w:style w:type="paragraph" w:customStyle="1" w:styleId="138">
    <w:name w:val="Default"/>
    <w:next w:val="11"/>
    <w:uiPriority w:val="0"/>
    <w:pPr>
      <w:widowControl w:val="0"/>
      <w:autoSpaceDE w:val="0"/>
      <w:autoSpaceDN w:val="0"/>
      <w:adjustRightInd w:val="0"/>
    </w:pPr>
    <w:rPr>
      <w:rFonts w:ascii="ˎ̥" w:hAnsi="Times New Roman" w:eastAsia="ˎ̥" w:cs="Times New Roman"/>
      <w:color w:val="000000"/>
      <w:sz w:val="24"/>
      <w:szCs w:val="24"/>
      <w:lang w:val="en-US" w:eastAsia="zh-CN" w:bidi="ar-SA"/>
    </w:rPr>
  </w:style>
  <w:style w:type="paragraph" w:customStyle="1" w:styleId="139">
    <w:name w:val="_Style 4"/>
    <w:basedOn w:val="1"/>
    <w:qFormat/>
    <w:uiPriority w:val="0"/>
    <w:pPr>
      <w:widowControl/>
      <w:adjustRightInd w:val="0"/>
      <w:snapToGrid w:val="0"/>
      <w:spacing w:after="200"/>
      <w:ind w:firstLine="420" w:firstLineChars="200"/>
      <w:jc w:val="left"/>
    </w:pPr>
    <w:rPr>
      <w:rFonts w:ascii="Tahoma" w:hAnsi="Tahoma" w:eastAsia="微软雅黑"/>
      <w:kern w:val="0"/>
      <w:sz w:val="22"/>
    </w:rPr>
  </w:style>
  <w:style w:type="character" w:customStyle="1" w:styleId="140">
    <w:name w:val="正文文本 3 Char1"/>
    <w:qFormat/>
    <w:uiPriority w:val="0"/>
    <w:rPr>
      <w:rFonts w:ascii="Calibri" w:hAnsi="Calibri" w:eastAsia="宋体" w:cs="Times New Roman"/>
      <w:kern w:val="2"/>
      <w:sz w:val="16"/>
      <w:szCs w:val="16"/>
    </w:rPr>
  </w:style>
  <w:style w:type="character" w:customStyle="1" w:styleId="141">
    <w:name w:val="页眉 字符"/>
    <w:qFormat/>
    <w:uiPriority w:val="0"/>
    <w:rPr>
      <w:rFonts w:ascii="Calibri" w:hAnsi="Calibri" w:eastAsia="宋体" w:cs="Times New Roman"/>
      <w:sz w:val="18"/>
      <w:szCs w:val="18"/>
    </w:rPr>
  </w:style>
  <w:style w:type="character" w:customStyle="1" w:styleId="142">
    <w:name w:val="结束语 Char2"/>
    <w:qFormat/>
    <w:uiPriority w:val="0"/>
    <w:rPr>
      <w:rFonts w:ascii="Calibri" w:hAnsi="Calibri" w:eastAsia="宋体" w:cs="Times New Roman"/>
      <w:kern w:val="2"/>
      <w:sz w:val="21"/>
      <w:szCs w:val="22"/>
    </w:rPr>
  </w:style>
  <w:style w:type="character" w:customStyle="1" w:styleId="143">
    <w:name w:val="正文文本缩进 Char2"/>
    <w:link w:val="24"/>
    <w:qFormat/>
    <w:uiPriority w:val="0"/>
    <w:rPr>
      <w:rFonts w:ascii="Calibri" w:hAnsi="Calibri" w:eastAsia="宋体" w:cs="Times New Roman"/>
    </w:rPr>
  </w:style>
  <w:style w:type="character" w:customStyle="1" w:styleId="144">
    <w:name w:val="正文首行缩进 Char4"/>
    <w:qFormat/>
    <w:uiPriority w:val="0"/>
    <w:rPr>
      <w:rFonts w:ascii="Calibri" w:hAnsi="Calibri" w:eastAsia="宋体" w:cs="Times New Roman"/>
    </w:rPr>
  </w:style>
  <w:style w:type="character" w:customStyle="1" w:styleId="145">
    <w:name w:val="标题 6 字符"/>
    <w:qFormat/>
    <w:uiPriority w:val="0"/>
    <w:rPr>
      <w:rFonts w:ascii="等线 Light" w:hAnsi="等线 Light" w:eastAsia="等线 Light" w:cs="Times New Roman"/>
      <w:b/>
      <w:bCs/>
      <w:sz w:val="24"/>
      <w:szCs w:val="24"/>
    </w:rPr>
  </w:style>
  <w:style w:type="character" w:customStyle="1" w:styleId="146">
    <w:name w:val="副标题 Char"/>
    <w:link w:val="38"/>
    <w:qFormat/>
    <w:uiPriority w:val="0"/>
    <w:rPr>
      <w:rFonts w:ascii="Cambria" w:hAnsi="Cambria" w:eastAsia="宋体" w:cs="Times New Roman"/>
      <w:i/>
      <w:iCs/>
      <w:color w:val="4F81BD"/>
      <w:spacing w:val="15"/>
      <w:sz w:val="24"/>
      <w:szCs w:val="24"/>
    </w:rPr>
  </w:style>
  <w:style w:type="character" w:customStyle="1" w:styleId="147">
    <w:name w:val="正文文本缩进 3 Char6"/>
    <w:semiHidden/>
    <w:qFormat/>
    <w:uiPriority w:val="99"/>
    <w:rPr>
      <w:rFonts w:ascii="Calibri" w:hAnsi="Calibri" w:eastAsia="宋体" w:cs="Times New Roman"/>
      <w:sz w:val="16"/>
      <w:szCs w:val="16"/>
    </w:rPr>
  </w:style>
  <w:style w:type="character" w:customStyle="1" w:styleId="148">
    <w:name w:val="表格文字居中 Char"/>
    <w:link w:val="92"/>
    <w:qFormat/>
    <w:uiPriority w:val="0"/>
    <w:rPr>
      <w:rFonts w:ascii="宋体" w:hAnsi="宋体" w:eastAsia="宋体" w:cs="Times New Roman"/>
      <w:b/>
      <w:bCs/>
      <w:sz w:val="24"/>
      <w:szCs w:val="24"/>
    </w:rPr>
  </w:style>
  <w:style w:type="character" w:customStyle="1" w:styleId="149">
    <w:name w:val="正文文本 2 字符"/>
    <w:qFormat/>
    <w:uiPriority w:val="0"/>
    <w:rPr>
      <w:rFonts w:ascii="Calibri" w:hAnsi="Calibri" w:eastAsia="宋体" w:cs="Times New Roman"/>
    </w:rPr>
  </w:style>
  <w:style w:type="character" w:customStyle="1" w:styleId="150">
    <w:name w:val="正文文本 3 Char4"/>
    <w:qFormat/>
    <w:uiPriority w:val="0"/>
    <w:rPr>
      <w:rFonts w:ascii="Calibri" w:hAnsi="Calibri" w:eastAsia="宋体" w:cs="Times New Roman"/>
      <w:kern w:val="2"/>
      <w:sz w:val="16"/>
      <w:szCs w:val="16"/>
    </w:rPr>
  </w:style>
  <w:style w:type="character" w:customStyle="1" w:styleId="151">
    <w:name w:val="标题 4 Char"/>
    <w:link w:val="10"/>
    <w:qFormat/>
    <w:uiPriority w:val="0"/>
    <w:rPr>
      <w:rFonts w:ascii="Arial" w:hAnsi="Arial" w:eastAsia="宋体" w:cs="Times New Roman"/>
      <w:color w:val="000000"/>
      <w:kern w:val="0"/>
      <w:sz w:val="20"/>
      <w:szCs w:val="21"/>
    </w:rPr>
  </w:style>
  <w:style w:type="character" w:customStyle="1" w:styleId="152">
    <w:name w:val="批注文字 Char5"/>
    <w:qFormat/>
    <w:uiPriority w:val="0"/>
    <w:rPr>
      <w:rFonts w:ascii="Calibri" w:hAnsi="Calibri" w:eastAsia="宋体" w:cs="Times New Roman"/>
      <w:kern w:val="2"/>
      <w:sz w:val="21"/>
      <w:szCs w:val="22"/>
    </w:rPr>
  </w:style>
  <w:style w:type="character" w:customStyle="1" w:styleId="153">
    <w:name w:val="正文文本缩进 2 Char"/>
    <w:link w:val="31"/>
    <w:qFormat/>
    <w:uiPriority w:val="0"/>
    <w:rPr>
      <w:rFonts w:ascii="Times New Roman" w:hAnsi="Times New Roman" w:eastAsia="宋体" w:cs="Times New Roman"/>
      <w:color w:val="000000"/>
      <w:sz w:val="24"/>
    </w:rPr>
  </w:style>
  <w:style w:type="character" w:customStyle="1" w:styleId="154">
    <w:name w:val="正文文本缩进 Char4"/>
    <w:qFormat/>
    <w:uiPriority w:val="0"/>
    <w:rPr>
      <w:rFonts w:ascii="Times New Roman" w:hAnsi="Times New Roman" w:eastAsia="宋体" w:cs="Times New Roman"/>
    </w:rPr>
  </w:style>
  <w:style w:type="character" w:customStyle="1" w:styleId="155">
    <w:name w:val="文一 Char"/>
    <w:link w:val="72"/>
    <w:qFormat/>
    <w:uiPriority w:val="0"/>
    <w:rPr>
      <w:rFonts w:ascii="Calibri" w:hAnsi="Calibri" w:eastAsia="宋体" w:cs="Times New Roman"/>
      <w:spacing w:val="4"/>
      <w:sz w:val="24"/>
      <w:szCs w:val="24"/>
    </w:rPr>
  </w:style>
  <w:style w:type="character" w:customStyle="1" w:styleId="156">
    <w:name w:val="注释标题 Char"/>
    <w:link w:val="17"/>
    <w:qFormat/>
    <w:uiPriority w:val="0"/>
    <w:rPr>
      <w:rFonts w:ascii="Calibri" w:hAnsi="Calibri" w:eastAsia="方正大标宋简体" w:cs="Times New Roman"/>
      <w:sz w:val="24"/>
      <w:lang w:eastAsia="zh-TW"/>
    </w:rPr>
  </w:style>
  <w:style w:type="character" w:customStyle="1" w:styleId="157">
    <w:name w:val="表格内容 Char"/>
    <w:link w:val="127"/>
    <w:qFormat/>
    <w:uiPriority w:val="0"/>
    <w:rPr>
      <w:rFonts w:ascii="宋体" w:hAnsi="宋体" w:eastAsia="宋体" w:cs="Times New Roman"/>
      <w:szCs w:val="21"/>
    </w:rPr>
  </w:style>
  <w:style w:type="character" w:customStyle="1" w:styleId="158">
    <w:name w:val="页脚 Char"/>
    <w:link w:val="34"/>
    <w:qFormat/>
    <w:uiPriority w:val="0"/>
    <w:rPr>
      <w:rFonts w:ascii="Calibri" w:hAnsi="Calibri" w:eastAsia="宋体" w:cs="Times New Roman"/>
      <w:sz w:val="18"/>
      <w:szCs w:val="18"/>
    </w:rPr>
  </w:style>
  <w:style w:type="character" w:customStyle="1" w:styleId="159">
    <w:name w:val="标题 Char"/>
    <w:link w:val="5"/>
    <w:qFormat/>
    <w:uiPriority w:val="0"/>
    <w:rPr>
      <w:rFonts w:ascii="Arial" w:hAnsi="Arial" w:eastAsia="宋体" w:cs="Times New Roman"/>
      <w:b/>
      <w:sz w:val="44"/>
    </w:rPr>
  </w:style>
  <w:style w:type="character" w:customStyle="1" w:styleId="160">
    <w:name w:val="正文文本 3 Char5"/>
    <w:qFormat/>
    <w:uiPriority w:val="0"/>
    <w:rPr>
      <w:rFonts w:ascii="Calibri" w:hAnsi="Calibri" w:eastAsia="宋体" w:cs="Times New Roman"/>
      <w:kern w:val="2"/>
      <w:sz w:val="16"/>
      <w:szCs w:val="16"/>
    </w:rPr>
  </w:style>
  <w:style w:type="character" w:customStyle="1" w:styleId="161">
    <w:name w:val="宏文本 Char6"/>
    <w:semiHidden/>
    <w:qFormat/>
    <w:uiPriority w:val="99"/>
    <w:rPr>
      <w:rFonts w:ascii="Courier New" w:hAnsi="Courier New" w:eastAsia="宋体" w:cs="Courier New"/>
      <w:sz w:val="24"/>
      <w:szCs w:val="24"/>
    </w:rPr>
  </w:style>
  <w:style w:type="character" w:customStyle="1" w:styleId="162">
    <w:name w:val="正文文本 2 Char2"/>
    <w:qFormat/>
    <w:uiPriority w:val="0"/>
    <w:rPr>
      <w:rFonts w:ascii="Calibri" w:hAnsi="Calibri" w:eastAsia="宋体" w:cs="Times New Roman"/>
      <w:kern w:val="2"/>
      <w:sz w:val="21"/>
      <w:szCs w:val="22"/>
    </w:rPr>
  </w:style>
  <w:style w:type="character" w:customStyle="1" w:styleId="163">
    <w:name w:val="标题 Char3"/>
    <w:qFormat/>
    <w:uiPriority w:val="0"/>
    <w:rPr>
      <w:rFonts w:ascii="Cambria" w:hAnsi="Cambria" w:eastAsia="宋体" w:cs="Times New Roman"/>
      <w:b/>
      <w:bCs/>
      <w:kern w:val="2"/>
      <w:sz w:val="32"/>
      <w:szCs w:val="32"/>
    </w:rPr>
  </w:style>
  <w:style w:type="character" w:customStyle="1" w:styleId="164">
    <w:name w:val="正文文本缩进 Char3"/>
    <w:qFormat/>
    <w:uiPriority w:val="0"/>
    <w:rPr>
      <w:rFonts w:ascii="Calibri" w:hAnsi="Calibri" w:eastAsia="楷体_GB2312" w:cs="Times New Roman"/>
      <w:szCs w:val="20"/>
    </w:rPr>
  </w:style>
  <w:style w:type="character" w:customStyle="1" w:styleId="165">
    <w:name w:val="称呼 Char3"/>
    <w:qFormat/>
    <w:uiPriority w:val="0"/>
    <w:rPr>
      <w:rFonts w:ascii="Times New Roman" w:hAnsi="Times New Roman" w:eastAsia="宋体" w:cs="Times New Roman"/>
    </w:rPr>
  </w:style>
  <w:style w:type="character" w:customStyle="1" w:styleId="166">
    <w:name w:val="Char Char13"/>
    <w:qFormat/>
    <w:uiPriority w:val="0"/>
    <w:rPr>
      <w:rFonts w:ascii="Calibri" w:hAnsi="Calibri" w:eastAsia="宋体" w:cs="Times New Roman"/>
      <w:sz w:val="18"/>
      <w:szCs w:val="18"/>
      <w:lang w:bidi="ar-SA"/>
    </w:rPr>
  </w:style>
  <w:style w:type="character" w:customStyle="1" w:styleId="167">
    <w:name w:val="注释标题 Char3"/>
    <w:qFormat/>
    <w:uiPriority w:val="0"/>
    <w:rPr>
      <w:rFonts w:ascii="Calibri" w:hAnsi="Calibri" w:eastAsia="宋体" w:cs="Times New Roman"/>
      <w:kern w:val="2"/>
      <w:sz w:val="21"/>
      <w:szCs w:val="22"/>
    </w:rPr>
  </w:style>
  <w:style w:type="character" w:customStyle="1" w:styleId="168">
    <w:name w:val="HTML 预设格式 Char1"/>
    <w:qFormat/>
    <w:uiPriority w:val="0"/>
    <w:rPr>
      <w:rFonts w:ascii="Courier New" w:hAnsi="Courier New" w:eastAsia="楷体_GB2312" w:cs="Courier New"/>
      <w:sz w:val="20"/>
      <w:szCs w:val="20"/>
    </w:rPr>
  </w:style>
  <w:style w:type="character" w:customStyle="1" w:styleId="169">
    <w:name w:val="HTML 预设格式 Char4"/>
    <w:qFormat/>
    <w:uiPriority w:val="0"/>
    <w:rPr>
      <w:rFonts w:ascii="Courier New" w:hAnsi="Courier New" w:eastAsia="宋体" w:cs="Courier New"/>
      <w:kern w:val="2"/>
    </w:rPr>
  </w:style>
  <w:style w:type="character" w:customStyle="1" w:styleId="170">
    <w:name w:val="信息标题 Char4"/>
    <w:qFormat/>
    <w:uiPriority w:val="0"/>
    <w:rPr>
      <w:rFonts w:ascii="Cambria" w:hAnsi="Cambria" w:eastAsia="宋体" w:cs="Times New Roman"/>
      <w:kern w:val="2"/>
      <w:sz w:val="24"/>
      <w:szCs w:val="24"/>
      <w:shd w:val="pct20" w:color="auto" w:fill="auto"/>
    </w:rPr>
  </w:style>
  <w:style w:type="character" w:customStyle="1" w:styleId="171">
    <w:name w:val="标题 4 字符"/>
    <w:qFormat/>
    <w:uiPriority w:val="0"/>
    <w:rPr>
      <w:rFonts w:ascii="等线 Light" w:hAnsi="等线 Light" w:eastAsia="等线 Light" w:cs="Times New Roman"/>
      <w:b/>
      <w:bCs/>
      <w:sz w:val="28"/>
      <w:szCs w:val="28"/>
    </w:rPr>
  </w:style>
  <w:style w:type="character" w:customStyle="1" w:styleId="172">
    <w:name w:val="信息标题 Char2"/>
    <w:qFormat/>
    <w:uiPriority w:val="0"/>
    <w:rPr>
      <w:rFonts w:ascii="Cambria" w:hAnsi="Cambria" w:eastAsia="宋体" w:cs="Times New Roman"/>
      <w:kern w:val="2"/>
      <w:sz w:val="24"/>
      <w:szCs w:val="24"/>
      <w:shd w:val="pct20" w:color="auto" w:fill="auto"/>
    </w:rPr>
  </w:style>
  <w:style w:type="character" w:customStyle="1" w:styleId="173">
    <w:name w:val="Char Char12"/>
    <w:qFormat/>
    <w:uiPriority w:val="0"/>
    <w:rPr>
      <w:rFonts w:ascii="Calibri" w:hAnsi="Calibri" w:eastAsia="宋体" w:cs="Times New Roman"/>
      <w:sz w:val="18"/>
      <w:lang w:bidi="ar-SA"/>
    </w:rPr>
  </w:style>
  <w:style w:type="character" w:customStyle="1" w:styleId="174">
    <w:name w:val="copy1"/>
    <w:qFormat/>
    <w:uiPriority w:val="0"/>
    <w:rPr>
      <w:rFonts w:hint="default" w:ascii="Wingdings" w:hAnsi="Wingdings" w:eastAsia="宋体" w:cs="Times New Roman"/>
      <w:sz w:val="16"/>
      <w:szCs w:val="16"/>
    </w:rPr>
  </w:style>
  <w:style w:type="character" w:customStyle="1" w:styleId="175">
    <w:name w:val="ca-3"/>
    <w:qFormat/>
    <w:uiPriority w:val="0"/>
    <w:rPr>
      <w:rFonts w:ascii="Calibri" w:hAnsi="Calibri" w:eastAsia="宋体" w:cs="Times New Roman"/>
    </w:rPr>
  </w:style>
  <w:style w:type="character" w:customStyle="1" w:styleId="176">
    <w:name w:val="标题 8 Char"/>
    <w:link w:val="15"/>
    <w:qFormat/>
    <w:uiPriority w:val="0"/>
    <w:rPr>
      <w:rFonts w:ascii="Arial" w:hAnsi="Arial" w:eastAsia="黑体" w:cs="Times New Roman"/>
      <w:kern w:val="0"/>
      <w:sz w:val="24"/>
      <w:szCs w:val="20"/>
    </w:rPr>
  </w:style>
  <w:style w:type="character" w:customStyle="1" w:styleId="177">
    <w:name w:val="结束语 Char6"/>
    <w:semiHidden/>
    <w:qFormat/>
    <w:uiPriority w:val="99"/>
    <w:rPr>
      <w:rFonts w:ascii="Calibri" w:hAnsi="Calibri" w:eastAsia="宋体" w:cs="Times New Roman"/>
    </w:rPr>
  </w:style>
  <w:style w:type="character" w:customStyle="1" w:styleId="178">
    <w:name w:val="脚注文本 Char1"/>
    <w:qFormat/>
    <w:uiPriority w:val="0"/>
    <w:rPr>
      <w:rFonts w:ascii="Calibri" w:hAnsi="Calibri" w:eastAsia="宋体" w:cs="Times New Roman"/>
      <w:kern w:val="2"/>
      <w:sz w:val="18"/>
      <w:szCs w:val="18"/>
    </w:rPr>
  </w:style>
  <w:style w:type="character" w:customStyle="1" w:styleId="179">
    <w:name w:val="menuword"/>
    <w:qFormat/>
    <w:uiPriority w:val="0"/>
    <w:rPr>
      <w:rFonts w:ascii="Times New Roman" w:hAnsi="Times New Roman" w:eastAsia="宋体" w:cs="Times New Roman"/>
    </w:rPr>
  </w:style>
  <w:style w:type="character" w:customStyle="1" w:styleId="180">
    <w:name w:val="注释标题 Char4"/>
    <w:qFormat/>
    <w:uiPriority w:val="0"/>
    <w:rPr>
      <w:rFonts w:ascii="Times New Roman" w:hAnsi="Times New Roman" w:eastAsia="宋体" w:cs="Times New Roman"/>
    </w:rPr>
  </w:style>
  <w:style w:type="character" w:customStyle="1" w:styleId="181">
    <w:name w:val="正文首行缩进 Char5"/>
    <w:qFormat/>
    <w:uiPriority w:val="0"/>
    <w:rPr>
      <w:rFonts w:ascii="Calibri" w:hAnsi="Calibri" w:eastAsia="宋体" w:cs="Times New Roman"/>
    </w:rPr>
  </w:style>
  <w:style w:type="character" w:customStyle="1" w:styleId="182">
    <w:name w:val="脚注文本 Char4"/>
    <w:qFormat/>
    <w:uiPriority w:val="0"/>
    <w:rPr>
      <w:rFonts w:ascii="Calibri" w:hAnsi="Calibri" w:eastAsia="宋体" w:cs="Times New Roman"/>
      <w:kern w:val="2"/>
      <w:sz w:val="18"/>
      <w:szCs w:val="18"/>
    </w:rPr>
  </w:style>
  <w:style w:type="character" w:customStyle="1" w:styleId="183">
    <w:name w:val="电子邮件签名 Char3"/>
    <w:qFormat/>
    <w:uiPriority w:val="0"/>
    <w:rPr>
      <w:rFonts w:ascii="Times New Roman" w:hAnsi="Times New Roman" w:eastAsia="宋体" w:cs="Times New Roman"/>
    </w:rPr>
  </w:style>
  <w:style w:type="character" w:customStyle="1" w:styleId="184">
    <w:name w:val="正文文本 Char3"/>
    <w:qFormat/>
    <w:uiPriority w:val="0"/>
    <w:rPr>
      <w:rFonts w:ascii="Times New Roman" w:hAnsi="Times New Roman" w:eastAsia="宋体" w:cs="Times New Roman"/>
    </w:rPr>
  </w:style>
  <w:style w:type="character" w:customStyle="1" w:styleId="185">
    <w:name w:val="标题 Char8"/>
    <w:qFormat/>
    <w:uiPriority w:val="10"/>
    <w:rPr>
      <w:rFonts w:ascii="Cambria" w:hAnsi="Cambria" w:eastAsia="宋体" w:cs="Times New Roman"/>
      <w:b/>
      <w:bCs/>
      <w:sz w:val="32"/>
      <w:szCs w:val="32"/>
    </w:rPr>
  </w:style>
  <w:style w:type="character" w:customStyle="1" w:styleId="186">
    <w:name w:val="纯文本 Char5"/>
    <w:qFormat/>
    <w:uiPriority w:val="0"/>
    <w:rPr>
      <w:rFonts w:ascii="宋体" w:hAnsi="Courier New" w:eastAsia="宋体" w:cs="Courier New"/>
      <w:kern w:val="2"/>
      <w:sz w:val="21"/>
      <w:szCs w:val="21"/>
    </w:rPr>
  </w:style>
  <w:style w:type="character" w:customStyle="1" w:styleId="187">
    <w:name w:val="尾注文本 Char1"/>
    <w:qFormat/>
    <w:uiPriority w:val="0"/>
    <w:rPr>
      <w:rFonts w:ascii="Calibri" w:hAnsi="Calibri" w:eastAsia="宋体" w:cs="Times New Roman"/>
      <w:kern w:val="2"/>
      <w:sz w:val="21"/>
      <w:szCs w:val="22"/>
    </w:rPr>
  </w:style>
  <w:style w:type="character" w:customStyle="1" w:styleId="188">
    <w:name w:val="标题 3 Char"/>
    <w:link w:val="9"/>
    <w:qFormat/>
    <w:uiPriority w:val="0"/>
    <w:rPr>
      <w:rFonts w:ascii="宋体" w:hAnsi="宋体" w:eastAsia="宋体" w:cs="Times New Roman"/>
      <w:kern w:val="0"/>
      <w:sz w:val="27"/>
      <w:szCs w:val="27"/>
    </w:rPr>
  </w:style>
  <w:style w:type="character" w:customStyle="1" w:styleId="189">
    <w:name w:val="正文首行缩进 2 Char"/>
    <w:link w:val="48"/>
    <w:qFormat/>
    <w:uiPriority w:val="0"/>
    <w:rPr>
      <w:rFonts w:ascii="Times New Roman" w:hAnsi="Times New Roman" w:eastAsia="宋体" w:cs="Times New Roman"/>
      <w:sz w:val="28"/>
      <w:szCs w:val="24"/>
    </w:rPr>
  </w:style>
  <w:style w:type="character" w:customStyle="1" w:styleId="190">
    <w:name w:val="尾注文本 Char7"/>
    <w:semiHidden/>
    <w:qFormat/>
    <w:uiPriority w:val="99"/>
    <w:rPr>
      <w:rFonts w:ascii="Calibri" w:hAnsi="Calibri" w:eastAsia="宋体" w:cs="Times New Roman"/>
    </w:rPr>
  </w:style>
  <w:style w:type="character" w:customStyle="1" w:styleId="191">
    <w:name w:val="宏文本 Char1"/>
    <w:qFormat/>
    <w:uiPriority w:val="0"/>
    <w:rPr>
      <w:rFonts w:ascii="Courier New" w:hAnsi="Courier New" w:eastAsia="宋体" w:cs="Courier New"/>
      <w:kern w:val="2"/>
      <w:sz w:val="24"/>
      <w:szCs w:val="24"/>
    </w:rPr>
  </w:style>
  <w:style w:type="character" w:customStyle="1" w:styleId="192">
    <w:name w:val="yxInternal"/>
    <w:qFormat/>
    <w:uiPriority w:val="0"/>
    <w:rPr>
      <w:rFonts w:ascii="PMingLiU" w:hAnsi="PMingLiU" w:eastAsia="宋体" w:cs="Times New Roman"/>
      <w:color w:val="FF0000"/>
    </w:rPr>
  </w:style>
  <w:style w:type="character" w:customStyle="1" w:styleId="193">
    <w:name w:val="签名 Char4"/>
    <w:qFormat/>
    <w:uiPriority w:val="0"/>
    <w:rPr>
      <w:rFonts w:ascii="Times New Roman" w:hAnsi="Times New Roman" w:eastAsia="宋体" w:cs="Times New Roman"/>
    </w:rPr>
  </w:style>
  <w:style w:type="character" w:customStyle="1" w:styleId="194">
    <w:name w:val="电子邮件签名 Char4"/>
    <w:qFormat/>
    <w:uiPriority w:val="0"/>
    <w:rPr>
      <w:rFonts w:ascii="Calibri" w:hAnsi="Calibri" w:eastAsia="宋体" w:cs="Times New Roman"/>
      <w:kern w:val="2"/>
      <w:sz w:val="21"/>
      <w:szCs w:val="22"/>
    </w:rPr>
  </w:style>
  <w:style w:type="character" w:customStyle="1" w:styleId="195">
    <w:name w:val="日期 Char6"/>
    <w:semiHidden/>
    <w:qFormat/>
    <w:uiPriority w:val="99"/>
    <w:rPr>
      <w:rFonts w:ascii="Calibri" w:hAnsi="Calibri" w:eastAsia="宋体" w:cs="Times New Roman"/>
    </w:rPr>
  </w:style>
  <w:style w:type="character" w:customStyle="1" w:styleId="196">
    <w:name w:val="样式 标题 2 + (西文) 宋体 小四 Char"/>
    <w:link w:val="110"/>
    <w:qFormat/>
    <w:uiPriority w:val="0"/>
    <w:rPr>
      <w:rFonts w:ascii="宋体" w:hAnsi="宋体" w:eastAsia="宋体" w:cs="Times New Roman"/>
      <w:b/>
      <w:color w:val="000000"/>
      <w:sz w:val="24"/>
    </w:rPr>
  </w:style>
  <w:style w:type="character" w:customStyle="1" w:styleId="197">
    <w:name w:val="日期 字符"/>
    <w:qFormat/>
    <w:uiPriority w:val="0"/>
    <w:rPr>
      <w:rFonts w:ascii="Calibri" w:hAnsi="Calibri" w:eastAsia="宋体" w:cs="Times New Roman"/>
    </w:rPr>
  </w:style>
  <w:style w:type="character" w:customStyle="1" w:styleId="198">
    <w:name w:val="日期 Char4"/>
    <w:qFormat/>
    <w:uiPriority w:val="0"/>
    <w:rPr>
      <w:rFonts w:ascii="Calibri" w:hAnsi="Calibri" w:eastAsia="宋体" w:cs="Times New Roman"/>
      <w:kern w:val="2"/>
      <w:sz w:val="21"/>
      <w:szCs w:val="22"/>
    </w:rPr>
  </w:style>
  <w:style w:type="character" w:customStyle="1" w:styleId="199">
    <w:name w:val="结束语 Char1"/>
    <w:qFormat/>
    <w:uiPriority w:val="0"/>
    <w:rPr>
      <w:rFonts w:ascii="Calibri" w:hAnsi="Calibri" w:eastAsia="宋体" w:cs="Times New Roman"/>
      <w:kern w:val="2"/>
      <w:sz w:val="21"/>
      <w:szCs w:val="22"/>
    </w:rPr>
  </w:style>
  <w:style w:type="character" w:customStyle="1" w:styleId="200">
    <w:name w:val="页眉 Char"/>
    <w:link w:val="35"/>
    <w:qFormat/>
    <w:uiPriority w:val="0"/>
    <w:rPr>
      <w:rFonts w:ascii="Calibri" w:hAnsi="Calibri" w:eastAsia="宋体" w:cs="Times New Roman"/>
      <w:sz w:val="18"/>
      <w:szCs w:val="18"/>
    </w:rPr>
  </w:style>
  <w:style w:type="character" w:customStyle="1" w:styleId="201">
    <w:name w:val="插图 Char"/>
    <w:link w:val="94"/>
    <w:qFormat/>
    <w:uiPriority w:val="0"/>
    <w:rPr>
      <w:rFonts w:ascii="宋体" w:hAnsi="Calibri" w:eastAsia="宋体" w:cs="Times New Roman"/>
      <w:sz w:val="24"/>
      <w:szCs w:val="24"/>
    </w:rPr>
  </w:style>
  <w:style w:type="character" w:customStyle="1" w:styleId="202">
    <w:name w:val="正文文本缩进 3 字符"/>
    <w:qFormat/>
    <w:uiPriority w:val="0"/>
    <w:rPr>
      <w:rFonts w:ascii="Calibri" w:hAnsi="Calibri" w:eastAsia="宋体" w:cs="Times New Roman"/>
      <w:sz w:val="16"/>
      <w:szCs w:val="16"/>
    </w:rPr>
  </w:style>
  <w:style w:type="character" w:customStyle="1" w:styleId="203">
    <w:name w:val="s2"/>
    <w:qFormat/>
    <w:uiPriority w:val="0"/>
    <w:rPr>
      <w:rFonts w:ascii="Calibri" w:hAnsi="Calibri" w:eastAsia="宋体" w:cs="Times New Roman"/>
    </w:rPr>
  </w:style>
  <w:style w:type="character" w:customStyle="1" w:styleId="204">
    <w:name w:val="Char Char27"/>
    <w:qFormat/>
    <w:uiPriority w:val="0"/>
    <w:rPr>
      <w:rFonts w:hint="default" w:ascii="Arial" w:hAnsi="Arial" w:eastAsia="宋体" w:cs="Times New Roman"/>
      <w:b/>
      <w:kern w:val="44"/>
      <w:sz w:val="28"/>
      <w:szCs w:val="28"/>
    </w:rPr>
  </w:style>
  <w:style w:type="character" w:customStyle="1" w:styleId="205">
    <w:name w:val="表格文字 Char"/>
    <w:link w:val="130"/>
    <w:qFormat/>
    <w:uiPriority w:val="0"/>
    <w:rPr>
      <w:rFonts w:ascii="宋体" w:hAnsi="宋体" w:eastAsia="Calibri" w:cs="Times New Roman"/>
      <w:sz w:val="24"/>
      <w:szCs w:val="24"/>
      <w:lang w:eastAsia="zh-TW"/>
    </w:rPr>
  </w:style>
  <w:style w:type="character" w:customStyle="1" w:styleId="206">
    <w:name w:val="正文文本缩进 2 Char3"/>
    <w:qFormat/>
    <w:uiPriority w:val="0"/>
    <w:rPr>
      <w:rFonts w:ascii="Times New Roman" w:hAnsi="Times New Roman" w:eastAsia="宋体" w:cs="Times New Roman"/>
    </w:rPr>
  </w:style>
  <w:style w:type="character" w:customStyle="1" w:styleId="207">
    <w:name w:val="信息标题 Char3"/>
    <w:qFormat/>
    <w:uiPriority w:val="0"/>
    <w:rPr>
      <w:rFonts w:ascii="Cambria" w:hAnsi="Cambria" w:eastAsia="宋体" w:cs="Times New Roman"/>
      <w:sz w:val="24"/>
      <w:szCs w:val="24"/>
      <w:shd w:val="pct20" w:color="auto" w:fill="auto"/>
    </w:rPr>
  </w:style>
  <w:style w:type="character" w:customStyle="1" w:styleId="208">
    <w:name w:val="HTML 预设格式 Char5"/>
    <w:qFormat/>
    <w:uiPriority w:val="0"/>
    <w:rPr>
      <w:rFonts w:ascii="Courier New" w:hAnsi="Courier New" w:eastAsia="宋体" w:cs="Courier New"/>
      <w:kern w:val="2"/>
    </w:rPr>
  </w:style>
  <w:style w:type="character" w:customStyle="1" w:styleId="209">
    <w:name w:val="文档结构图 Char5"/>
    <w:qFormat/>
    <w:uiPriority w:val="0"/>
    <w:rPr>
      <w:rFonts w:ascii="宋体" w:hAnsi="Calibri" w:eastAsia="宋体" w:cs="Times New Roman"/>
      <w:kern w:val="2"/>
      <w:sz w:val="18"/>
      <w:szCs w:val="18"/>
    </w:rPr>
  </w:style>
  <w:style w:type="character" w:customStyle="1" w:styleId="210">
    <w:name w:val="副标题 Char2"/>
    <w:qFormat/>
    <w:uiPriority w:val="0"/>
    <w:rPr>
      <w:rFonts w:ascii="Cambria" w:hAnsi="Cambria" w:eastAsia="宋体" w:cs="Times New Roman"/>
      <w:b/>
      <w:bCs/>
      <w:kern w:val="28"/>
      <w:sz w:val="32"/>
      <w:szCs w:val="32"/>
    </w:rPr>
  </w:style>
  <w:style w:type="character" w:customStyle="1" w:styleId="211">
    <w:name w:val="脚注文本 Char3"/>
    <w:qFormat/>
    <w:uiPriority w:val="0"/>
    <w:rPr>
      <w:rFonts w:ascii="Calibri" w:hAnsi="Calibri" w:eastAsia="宋体" w:cs="Times New Roman"/>
      <w:kern w:val="2"/>
      <w:sz w:val="18"/>
      <w:szCs w:val="18"/>
    </w:rPr>
  </w:style>
  <w:style w:type="character" w:customStyle="1" w:styleId="212">
    <w:name w:val="称呼 Char4"/>
    <w:qFormat/>
    <w:uiPriority w:val="0"/>
    <w:rPr>
      <w:rFonts w:ascii="Calibri" w:hAnsi="Calibri" w:eastAsia="宋体" w:cs="Times New Roman"/>
      <w:kern w:val="2"/>
      <w:sz w:val="21"/>
      <w:szCs w:val="22"/>
    </w:rPr>
  </w:style>
  <w:style w:type="character" w:customStyle="1" w:styleId="213">
    <w:name w:val="标题 Char6"/>
    <w:qFormat/>
    <w:uiPriority w:val="0"/>
    <w:rPr>
      <w:rFonts w:ascii="Cambria" w:hAnsi="Cambria" w:eastAsia="宋体" w:cs="Times New Roman"/>
      <w:b/>
      <w:bCs/>
      <w:kern w:val="2"/>
      <w:sz w:val="32"/>
      <w:szCs w:val="32"/>
    </w:rPr>
  </w:style>
  <w:style w:type="character" w:customStyle="1" w:styleId="214">
    <w:name w:val="标题 9 字符"/>
    <w:qFormat/>
    <w:uiPriority w:val="0"/>
    <w:rPr>
      <w:rFonts w:ascii="等线 Light" w:hAnsi="等线 Light" w:eastAsia="等线 Light" w:cs="Times New Roman"/>
      <w:szCs w:val="21"/>
    </w:rPr>
  </w:style>
  <w:style w:type="character" w:customStyle="1" w:styleId="215">
    <w:name w:val="样式1 Char Char"/>
    <w:link w:val="73"/>
    <w:qFormat/>
    <w:uiPriority w:val="0"/>
    <w:rPr>
      <w:rFonts w:ascii="Calibri" w:hAnsi="Calibri" w:eastAsia="宋体" w:cs="Times New Roman"/>
      <w:sz w:val="24"/>
    </w:rPr>
  </w:style>
  <w:style w:type="character" w:customStyle="1" w:styleId="216">
    <w:name w:val="正文文本 Char"/>
    <w:link w:val="7"/>
    <w:uiPriority w:val="0"/>
    <w:rPr>
      <w:rFonts w:ascii="Calibri" w:hAnsi="Calibri" w:eastAsia="宋体" w:cs="Times New Roman"/>
    </w:rPr>
  </w:style>
  <w:style w:type="character" w:customStyle="1" w:styleId="217">
    <w:name w:val="注释标题 Char2"/>
    <w:qFormat/>
    <w:uiPriority w:val="0"/>
    <w:rPr>
      <w:rFonts w:ascii="Times New Roman" w:hAnsi="Times New Roman" w:eastAsia="楷体_GB2312" w:cs="Times New Roman"/>
      <w:szCs w:val="20"/>
    </w:rPr>
  </w:style>
  <w:style w:type="character" w:customStyle="1" w:styleId="218">
    <w:name w:val="注释标题 Char6"/>
    <w:qFormat/>
    <w:uiPriority w:val="0"/>
    <w:rPr>
      <w:rFonts w:ascii="Calibri" w:hAnsi="Calibri" w:eastAsia="宋体" w:cs="Times New Roman"/>
      <w:kern w:val="2"/>
      <w:sz w:val="21"/>
      <w:szCs w:val="22"/>
    </w:rPr>
  </w:style>
  <w:style w:type="character" w:customStyle="1" w:styleId="219">
    <w:name w:val="正文文本 3 Char3"/>
    <w:qFormat/>
    <w:uiPriority w:val="0"/>
    <w:rPr>
      <w:rFonts w:ascii="Calibri" w:hAnsi="Calibri" w:eastAsia="宋体" w:cs="Times New Roman"/>
      <w:kern w:val="2"/>
      <w:sz w:val="16"/>
      <w:szCs w:val="16"/>
    </w:rPr>
  </w:style>
  <w:style w:type="character" w:customStyle="1" w:styleId="220">
    <w:name w:val="UserStyle_5"/>
    <w:link w:val="122"/>
    <w:qFormat/>
    <w:uiPriority w:val="0"/>
  </w:style>
  <w:style w:type="character" w:customStyle="1" w:styleId="221">
    <w:name w:val="正文文本缩进 Char1"/>
    <w:qFormat/>
    <w:uiPriority w:val="0"/>
    <w:rPr>
      <w:rFonts w:ascii="Calibri" w:hAnsi="Calibri" w:eastAsia="宋体" w:cs="Times New Roman"/>
      <w:kern w:val="2"/>
      <w:sz w:val="21"/>
      <w:szCs w:val="22"/>
    </w:rPr>
  </w:style>
  <w:style w:type="character" w:customStyle="1" w:styleId="222">
    <w:name w:val="纯文本 Char2"/>
    <w:qFormat/>
    <w:uiPriority w:val="0"/>
    <w:rPr>
      <w:rFonts w:ascii="宋体" w:hAnsi="Courier New" w:eastAsia="宋体" w:cs="Courier New"/>
      <w:kern w:val="2"/>
      <w:sz w:val="21"/>
      <w:szCs w:val="21"/>
    </w:rPr>
  </w:style>
  <w:style w:type="character" w:customStyle="1" w:styleId="223">
    <w:name w:val="正文文本缩进 3 Char2"/>
    <w:qFormat/>
    <w:uiPriority w:val="0"/>
    <w:rPr>
      <w:rFonts w:ascii="Calibri" w:hAnsi="Calibri" w:eastAsia="宋体" w:cs="Times New Roman"/>
      <w:kern w:val="2"/>
      <w:sz w:val="16"/>
      <w:szCs w:val="16"/>
    </w:rPr>
  </w:style>
  <w:style w:type="character" w:customStyle="1" w:styleId="224">
    <w:name w:val="批注主题 Char2"/>
    <w:qFormat/>
    <w:uiPriority w:val="0"/>
    <w:rPr>
      <w:rFonts w:ascii="Calibri" w:hAnsi="Calibri" w:eastAsia="宋体" w:cs="Times New Roman"/>
      <w:b/>
      <w:bCs/>
      <w:kern w:val="2"/>
      <w:sz w:val="21"/>
      <w:szCs w:val="22"/>
    </w:rPr>
  </w:style>
  <w:style w:type="character" w:customStyle="1" w:styleId="225">
    <w:name w:val="文一 Char Char"/>
    <w:qFormat/>
    <w:uiPriority w:val="0"/>
    <w:rPr>
      <w:rFonts w:ascii="Calibri" w:hAnsi="Calibri" w:eastAsia="宋体" w:cs="Times New Roman"/>
      <w:snapToGrid w:val="0"/>
      <w:spacing w:val="4"/>
      <w:sz w:val="24"/>
      <w:szCs w:val="24"/>
    </w:rPr>
  </w:style>
  <w:style w:type="character" w:customStyle="1" w:styleId="226">
    <w:name w:val="font81"/>
    <w:basedOn w:val="51"/>
    <w:qFormat/>
    <w:uiPriority w:val="0"/>
    <w:rPr>
      <w:rFonts w:hint="eastAsia" w:ascii="宋体" w:hAnsi="宋体" w:eastAsia="宋体" w:cs="宋体"/>
      <w:color w:val="FF0000"/>
      <w:sz w:val="24"/>
      <w:szCs w:val="24"/>
      <w:u w:val="none"/>
    </w:rPr>
  </w:style>
  <w:style w:type="character" w:customStyle="1" w:styleId="227">
    <w:name w:val="表格左对齐 Char"/>
    <w:link w:val="104"/>
    <w:qFormat/>
    <w:uiPriority w:val="0"/>
    <w:rPr>
      <w:rFonts w:ascii="宋体" w:hAnsi="Times New Roman" w:eastAsia="宋体" w:cs="Times New Roman"/>
      <w:szCs w:val="21"/>
    </w:rPr>
  </w:style>
  <w:style w:type="character" w:customStyle="1" w:styleId="228">
    <w:name w:val="正文文本缩进 3 Char5"/>
    <w:qFormat/>
    <w:uiPriority w:val="0"/>
    <w:rPr>
      <w:rFonts w:ascii="Calibri" w:hAnsi="Calibri" w:eastAsia="宋体" w:cs="Times New Roman"/>
      <w:kern w:val="2"/>
      <w:sz w:val="16"/>
      <w:szCs w:val="16"/>
    </w:rPr>
  </w:style>
  <w:style w:type="character" w:customStyle="1" w:styleId="229">
    <w:name w:val="Normal Indent Char"/>
    <w:qFormat/>
    <w:uiPriority w:val="0"/>
    <w:rPr>
      <w:rFonts w:ascii="Calibri" w:hAnsi="Calibri" w:eastAsia="宋体" w:cs="Times New Roman"/>
      <w:kern w:val="2"/>
      <w:sz w:val="21"/>
    </w:rPr>
  </w:style>
  <w:style w:type="character" w:customStyle="1" w:styleId="230">
    <w:name w:val="正文文本 2 Char3"/>
    <w:qFormat/>
    <w:uiPriority w:val="0"/>
    <w:rPr>
      <w:rFonts w:ascii="Times New Roman" w:hAnsi="Times New Roman" w:eastAsia="宋体" w:cs="Times New Roman"/>
    </w:rPr>
  </w:style>
  <w:style w:type="character" w:customStyle="1" w:styleId="231">
    <w:name w:val="电子邮件签名 Char5"/>
    <w:qFormat/>
    <w:uiPriority w:val="0"/>
    <w:rPr>
      <w:rFonts w:ascii="Calibri" w:hAnsi="Calibri" w:eastAsia="宋体" w:cs="Times New Roman"/>
      <w:kern w:val="2"/>
      <w:sz w:val="21"/>
      <w:szCs w:val="22"/>
    </w:rPr>
  </w:style>
  <w:style w:type="character" w:customStyle="1" w:styleId="232">
    <w:name w:val="标题 6 Char1"/>
    <w:qFormat/>
    <w:uiPriority w:val="0"/>
    <w:rPr>
      <w:rFonts w:ascii="Arial" w:hAnsi="Arial" w:eastAsia="ˎ̥" w:cs="Times New Roman"/>
      <w:b/>
      <w:bCs/>
      <w:kern w:val="2"/>
      <w:sz w:val="24"/>
      <w:szCs w:val="24"/>
      <w:lang w:val="en-US" w:eastAsia="zh-CN" w:bidi="ar-SA"/>
    </w:rPr>
  </w:style>
  <w:style w:type="character" w:customStyle="1" w:styleId="233">
    <w:name w:val="副标题 Char6"/>
    <w:qFormat/>
    <w:uiPriority w:val="0"/>
    <w:rPr>
      <w:rFonts w:ascii="Cambria" w:hAnsi="Cambria" w:eastAsia="宋体" w:cs="Times New Roman"/>
      <w:b/>
      <w:bCs/>
      <w:kern w:val="28"/>
      <w:sz w:val="32"/>
      <w:szCs w:val="32"/>
    </w:rPr>
  </w:style>
  <w:style w:type="character" w:customStyle="1" w:styleId="234">
    <w:name w:val="批注主题 Char3"/>
    <w:qFormat/>
    <w:uiPriority w:val="0"/>
    <w:rPr>
      <w:rFonts w:ascii="Calibri" w:hAnsi="Calibri" w:eastAsia="楷体_GB2312" w:cs="Times New Roman"/>
      <w:b/>
      <w:bCs/>
      <w:kern w:val="2"/>
      <w:sz w:val="21"/>
      <w:szCs w:val="20"/>
    </w:rPr>
  </w:style>
  <w:style w:type="character" w:customStyle="1" w:styleId="235">
    <w:name w:val="标题 1 字符"/>
    <w:qFormat/>
    <w:uiPriority w:val="0"/>
    <w:rPr>
      <w:rFonts w:ascii="Calibri" w:hAnsi="Calibri" w:eastAsia="宋体" w:cs="Times New Roman"/>
      <w:b/>
      <w:bCs/>
      <w:kern w:val="44"/>
      <w:sz w:val="44"/>
      <w:szCs w:val="44"/>
    </w:rPr>
  </w:style>
  <w:style w:type="character" w:customStyle="1" w:styleId="236">
    <w:name w:val="正文文本缩进 Char6"/>
    <w:qFormat/>
    <w:uiPriority w:val="0"/>
    <w:rPr>
      <w:rFonts w:ascii="Calibri" w:hAnsi="Calibri" w:eastAsia="宋体" w:cs="Times New Roman"/>
      <w:kern w:val="2"/>
      <w:sz w:val="21"/>
      <w:szCs w:val="22"/>
    </w:rPr>
  </w:style>
  <w:style w:type="character" w:customStyle="1" w:styleId="237">
    <w:name w:val="脚注文本 字符"/>
    <w:qFormat/>
    <w:uiPriority w:val="0"/>
    <w:rPr>
      <w:rFonts w:ascii="Calibri" w:hAnsi="Calibri" w:eastAsia="宋体" w:cs="Times New Roman"/>
      <w:sz w:val="18"/>
      <w:szCs w:val="18"/>
    </w:rPr>
  </w:style>
  <w:style w:type="character" w:customStyle="1" w:styleId="238">
    <w:name w:val="正文首行缩进 Char1"/>
    <w:qFormat/>
    <w:uiPriority w:val="0"/>
    <w:rPr>
      <w:rFonts w:ascii="Calibri" w:hAnsi="Calibri" w:eastAsia="宋体" w:cs="Times New Roman"/>
    </w:rPr>
  </w:style>
  <w:style w:type="character" w:customStyle="1" w:styleId="239">
    <w:name w:val="正文首行缩进 Char6"/>
    <w:semiHidden/>
    <w:qFormat/>
    <w:uiPriority w:val="99"/>
    <w:rPr>
      <w:rFonts w:ascii="Calibri" w:hAnsi="Calibri" w:eastAsia="宋体" w:cs="Times New Roman"/>
    </w:rPr>
  </w:style>
  <w:style w:type="character" w:customStyle="1" w:styleId="240">
    <w:name w:val="标题 9 Char"/>
    <w:link w:val="16"/>
    <w:qFormat/>
    <w:uiPriority w:val="0"/>
    <w:rPr>
      <w:rFonts w:ascii="Arial" w:hAnsi="Arial" w:eastAsia="黑体" w:cs="Times New Roman"/>
      <w:kern w:val="0"/>
      <w:sz w:val="20"/>
      <w:szCs w:val="20"/>
    </w:rPr>
  </w:style>
  <w:style w:type="character" w:customStyle="1" w:styleId="241">
    <w:name w:val="style6"/>
    <w:qFormat/>
    <w:uiPriority w:val="0"/>
    <w:rPr>
      <w:rFonts w:ascii="Times New Roman" w:hAnsi="Times New Roman" w:eastAsia="宋体" w:cs="Times New Roman"/>
    </w:rPr>
  </w:style>
  <w:style w:type="character" w:customStyle="1" w:styleId="242">
    <w:name w:val="注释标题 Char7"/>
    <w:semiHidden/>
    <w:qFormat/>
    <w:uiPriority w:val="99"/>
    <w:rPr>
      <w:rFonts w:ascii="Calibri" w:hAnsi="Calibri" w:eastAsia="宋体" w:cs="Times New Roman"/>
    </w:rPr>
  </w:style>
  <w:style w:type="character" w:customStyle="1" w:styleId="243">
    <w:name w:val="批注框文本 Char3"/>
    <w:qFormat/>
    <w:uiPriority w:val="0"/>
    <w:rPr>
      <w:rFonts w:ascii="Times New Roman" w:hAnsi="Times New Roman" w:eastAsia="宋体" w:cs="Times New Roman"/>
      <w:sz w:val="18"/>
      <w:szCs w:val="18"/>
    </w:rPr>
  </w:style>
  <w:style w:type="character" w:customStyle="1" w:styleId="244">
    <w:name w:val="注释标题 Char5"/>
    <w:qFormat/>
    <w:uiPriority w:val="0"/>
    <w:rPr>
      <w:rFonts w:ascii="Calibri" w:hAnsi="Calibri" w:eastAsia="宋体" w:cs="Times New Roman"/>
      <w:kern w:val="2"/>
      <w:sz w:val="21"/>
      <w:szCs w:val="22"/>
    </w:rPr>
  </w:style>
  <w:style w:type="character" w:customStyle="1" w:styleId="245">
    <w:name w:val="font01"/>
    <w:qFormat/>
    <w:uiPriority w:val="0"/>
    <w:rPr>
      <w:rFonts w:hint="eastAsia" w:ascii="宋体" w:hAnsi="宋体" w:eastAsia="宋体" w:cs="宋体"/>
      <w:color w:val="000000"/>
      <w:sz w:val="21"/>
      <w:szCs w:val="21"/>
      <w:u w:val="none"/>
    </w:rPr>
  </w:style>
  <w:style w:type="character" w:customStyle="1" w:styleId="246">
    <w:name w:val="正文首行缩进 2 Char2"/>
    <w:qFormat/>
    <w:uiPriority w:val="0"/>
    <w:rPr>
      <w:rFonts w:ascii="Calibri" w:hAnsi="Calibri" w:eastAsia="宋体" w:cs="Times New Roman"/>
    </w:rPr>
  </w:style>
  <w:style w:type="character" w:customStyle="1" w:styleId="247">
    <w:name w:val="文档结构图 Char6"/>
    <w:semiHidden/>
    <w:uiPriority w:val="99"/>
    <w:rPr>
      <w:rFonts w:ascii="宋体" w:hAnsi="Calibri" w:eastAsia="宋体" w:cs="Times New Roman"/>
      <w:sz w:val="18"/>
      <w:szCs w:val="18"/>
    </w:rPr>
  </w:style>
  <w:style w:type="character" w:customStyle="1" w:styleId="248">
    <w:name w:val="尾注文本 Char5"/>
    <w:qFormat/>
    <w:uiPriority w:val="0"/>
    <w:rPr>
      <w:rFonts w:ascii="Calibri" w:hAnsi="Calibri" w:eastAsia="宋体" w:cs="Times New Roman"/>
      <w:kern w:val="2"/>
      <w:sz w:val="21"/>
      <w:szCs w:val="22"/>
    </w:rPr>
  </w:style>
  <w:style w:type="character" w:customStyle="1" w:styleId="249">
    <w:name w:val="标题 3 Char1"/>
    <w:qFormat/>
    <w:uiPriority w:val="0"/>
    <w:rPr>
      <w:rFonts w:ascii="Times New Roman" w:hAnsi="Times New Roman" w:eastAsia="宋体" w:cs="Times New Roman"/>
      <w:b/>
      <w:color w:val="0000FF"/>
      <w:kern w:val="2"/>
      <w:sz w:val="30"/>
      <w:szCs w:val="24"/>
      <w:lang w:val="en-US" w:eastAsia="zh-CN" w:bidi="ar-SA"/>
    </w:rPr>
  </w:style>
  <w:style w:type="character" w:customStyle="1" w:styleId="250">
    <w:name w:val="批注框文本 Char4"/>
    <w:qFormat/>
    <w:uiPriority w:val="0"/>
    <w:rPr>
      <w:rFonts w:ascii="Calibri" w:hAnsi="Calibri" w:eastAsia="宋体" w:cs="Times New Roman"/>
      <w:kern w:val="2"/>
      <w:sz w:val="18"/>
      <w:szCs w:val="18"/>
    </w:rPr>
  </w:style>
  <w:style w:type="character" w:customStyle="1" w:styleId="251">
    <w:name w:val="HTML 地址 Char2"/>
    <w:qFormat/>
    <w:uiPriority w:val="0"/>
    <w:rPr>
      <w:rFonts w:ascii="Calibri" w:hAnsi="Calibri" w:eastAsia="宋体" w:cs="Times New Roman"/>
      <w:i/>
      <w:iCs/>
      <w:kern w:val="2"/>
      <w:sz w:val="21"/>
      <w:szCs w:val="22"/>
    </w:rPr>
  </w:style>
  <w:style w:type="character" w:customStyle="1" w:styleId="252">
    <w:name w:val="正文文本缩进 3 Char"/>
    <w:link w:val="40"/>
    <w:qFormat/>
    <w:uiPriority w:val="0"/>
    <w:rPr>
      <w:rFonts w:ascii="Times New Roman" w:hAnsi="Times New Roman" w:eastAsia="宋体" w:cs="Times New Roman"/>
      <w:color w:val="000000"/>
      <w:sz w:val="24"/>
    </w:rPr>
  </w:style>
  <w:style w:type="character" w:customStyle="1" w:styleId="253">
    <w:name w:val="信息标题 Char"/>
    <w:link w:val="43"/>
    <w:qFormat/>
    <w:uiPriority w:val="0"/>
    <w:rPr>
      <w:rFonts w:ascii="Arial" w:hAnsi="Arial" w:eastAsia="宋体" w:cs="Times New Roman"/>
      <w:sz w:val="24"/>
      <w:szCs w:val="24"/>
      <w:shd w:val="pct20" w:color="auto" w:fill="auto"/>
    </w:rPr>
  </w:style>
  <w:style w:type="character" w:customStyle="1" w:styleId="254">
    <w:name w:val="信息标题 Char1"/>
    <w:qFormat/>
    <w:uiPriority w:val="0"/>
    <w:rPr>
      <w:rFonts w:ascii="Cambria" w:hAnsi="Cambria" w:eastAsia="宋体" w:cs="Times New Roman"/>
      <w:kern w:val="2"/>
      <w:sz w:val="24"/>
      <w:szCs w:val="24"/>
      <w:shd w:val="pct20" w:color="auto" w:fill="auto"/>
    </w:rPr>
  </w:style>
  <w:style w:type="character" w:customStyle="1" w:styleId="255">
    <w:name w:val="批注文字 Char2"/>
    <w:qFormat/>
    <w:uiPriority w:val="0"/>
    <w:rPr>
      <w:rFonts w:ascii="Calibri" w:hAnsi="Calibri" w:eastAsia="宋体" w:cs="Times New Roman"/>
      <w:kern w:val="2"/>
      <w:sz w:val="21"/>
      <w:szCs w:val="22"/>
    </w:rPr>
  </w:style>
  <w:style w:type="character" w:customStyle="1" w:styleId="256">
    <w:name w:val="标题 2 字符"/>
    <w:qFormat/>
    <w:uiPriority w:val="0"/>
    <w:rPr>
      <w:rFonts w:ascii="等线 Light" w:hAnsi="等线 Light" w:eastAsia="等线 Light" w:cs="Times New Roman"/>
      <w:b/>
      <w:bCs/>
      <w:sz w:val="32"/>
      <w:szCs w:val="32"/>
    </w:rPr>
  </w:style>
  <w:style w:type="character" w:customStyle="1" w:styleId="257">
    <w:name w:val="Char Char131"/>
    <w:qFormat/>
    <w:uiPriority w:val="0"/>
    <w:rPr>
      <w:rFonts w:ascii="Calibri" w:hAnsi="Calibri" w:eastAsia="宋体" w:cs="Times New Roman"/>
      <w:sz w:val="18"/>
      <w:szCs w:val="18"/>
      <w:lang w:bidi="ar-SA"/>
    </w:rPr>
  </w:style>
  <w:style w:type="character" w:customStyle="1" w:styleId="258">
    <w:name w:val="批注主题 Char1"/>
    <w:qFormat/>
    <w:uiPriority w:val="0"/>
    <w:rPr>
      <w:rFonts w:ascii="Calibri" w:hAnsi="Calibri" w:eastAsia="宋体" w:cs="Times New Roman"/>
      <w:b/>
      <w:bCs/>
      <w:kern w:val="2"/>
      <w:sz w:val="21"/>
      <w:szCs w:val="22"/>
    </w:rPr>
  </w:style>
  <w:style w:type="character" w:customStyle="1" w:styleId="259">
    <w:name w:val="批注文字 Char6"/>
    <w:qFormat/>
    <w:uiPriority w:val="0"/>
    <w:rPr>
      <w:rFonts w:ascii="Calibri" w:hAnsi="Calibri" w:eastAsia="宋体" w:cs="Times New Roman"/>
      <w:kern w:val="2"/>
      <w:sz w:val="21"/>
      <w:szCs w:val="22"/>
    </w:rPr>
  </w:style>
  <w:style w:type="character" w:customStyle="1" w:styleId="260">
    <w:name w:val="正文文本 Char6"/>
    <w:semiHidden/>
    <w:qFormat/>
    <w:uiPriority w:val="99"/>
    <w:rPr>
      <w:rFonts w:ascii="Calibri" w:hAnsi="Calibri" w:eastAsia="宋体" w:cs="Times New Roman"/>
    </w:rPr>
  </w:style>
  <w:style w:type="character" w:customStyle="1" w:styleId="261">
    <w:name w:val="标题 1 Char1"/>
    <w:qFormat/>
    <w:uiPriority w:val="0"/>
    <w:rPr>
      <w:rFonts w:ascii="Arial" w:hAnsi="Arial" w:eastAsia="宋体" w:cs="Times New Roman"/>
      <w:b/>
      <w:bCs/>
      <w:kern w:val="44"/>
      <w:sz w:val="36"/>
      <w:szCs w:val="36"/>
      <w:lang w:val="en-US" w:eastAsia="zh-CN" w:bidi="ar-SA"/>
    </w:rPr>
  </w:style>
  <w:style w:type="character" w:customStyle="1" w:styleId="262">
    <w:name w:val="已访问的超链接1"/>
    <w:qFormat/>
    <w:uiPriority w:val="0"/>
    <w:rPr>
      <w:rFonts w:ascii="Calibri" w:hAnsi="Calibri" w:eastAsia="宋体" w:cs="Times New Roman"/>
      <w:color w:val="800080"/>
      <w:u w:val="single"/>
    </w:rPr>
  </w:style>
  <w:style w:type="character" w:customStyle="1" w:styleId="263">
    <w:name w:val="标题 1 Char2"/>
    <w:qFormat/>
    <w:uiPriority w:val="0"/>
    <w:rPr>
      <w:rFonts w:ascii="Arial" w:hAnsi="Arial" w:eastAsia="宋体" w:cs="Times New Roman"/>
      <w:b/>
      <w:bCs/>
      <w:color w:val="000000"/>
      <w:kern w:val="44"/>
      <w:sz w:val="44"/>
      <w:szCs w:val="44"/>
    </w:rPr>
  </w:style>
  <w:style w:type="character" w:customStyle="1" w:styleId="264">
    <w:name w:val="样式 正文缩进表正文正文非缩进正文（首行缩进两字）1正文（首行缩进两字）1 Char Char Char Char Ch... Char"/>
    <w:link w:val="76"/>
    <w:qFormat/>
    <w:uiPriority w:val="0"/>
    <w:rPr>
      <w:rFonts w:ascii="Calibri" w:hAnsi="Calibri" w:eastAsia="宋体" w:cs="Times New Roman"/>
      <w:sz w:val="24"/>
    </w:rPr>
  </w:style>
  <w:style w:type="character" w:customStyle="1" w:styleId="265">
    <w:name w:val="宏文本 Char3"/>
    <w:qFormat/>
    <w:uiPriority w:val="0"/>
    <w:rPr>
      <w:rFonts w:ascii="Courier New" w:hAnsi="Courier New" w:eastAsia="宋体" w:cs="Courier New"/>
      <w:kern w:val="2"/>
      <w:sz w:val="24"/>
      <w:szCs w:val="24"/>
    </w:rPr>
  </w:style>
  <w:style w:type="character" w:customStyle="1" w:styleId="266">
    <w:name w:val="font91"/>
    <w:qFormat/>
    <w:uiPriority w:val="0"/>
    <w:rPr>
      <w:rFonts w:hint="eastAsia" w:ascii="宋体" w:hAnsi="宋体" w:eastAsia="宋体" w:cs="宋体"/>
      <w:b/>
      <w:color w:val="000000"/>
      <w:sz w:val="28"/>
      <w:szCs w:val="28"/>
      <w:u w:val="none"/>
    </w:rPr>
  </w:style>
  <w:style w:type="character" w:customStyle="1" w:styleId="267">
    <w:name w:val="批注框文本 Char2"/>
    <w:qFormat/>
    <w:uiPriority w:val="0"/>
    <w:rPr>
      <w:rFonts w:ascii="Calibri" w:hAnsi="Calibri" w:eastAsia="宋体" w:cs="Times New Roman"/>
      <w:kern w:val="2"/>
      <w:sz w:val="18"/>
      <w:szCs w:val="18"/>
    </w:rPr>
  </w:style>
  <w:style w:type="character" w:customStyle="1" w:styleId="268">
    <w:name w:val="标题 Char2"/>
    <w:qFormat/>
    <w:uiPriority w:val="0"/>
    <w:rPr>
      <w:rFonts w:ascii="Cambria" w:hAnsi="Cambria" w:eastAsia="宋体" w:cs="Times New Roman"/>
      <w:b/>
      <w:bCs/>
      <w:kern w:val="2"/>
      <w:sz w:val="32"/>
      <w:szCs w:val="32"/>
    </w:rPr>
  </w:style>
  <w:style w:type="character" w:customStyle="1" w:styleId="269">
    <w:name w:val="标题 5 字符"/>
    <w:qFormat/>
    <w:uiPriority w:val="0"/>
    <w:rPr>
      <w:rFonts w:ascii="Calibri" w:hAnsi="Calibri" w:eastAsia="宋体" w:cs="Times New Roman"/>
      <w:b/>
      <w:bCs/>
      <w:sz w:val="28"/>
      <w:szCs w:val="28"/>
    </w:rPr>
  </w:style>
  <w:style w:type="character" w:customStyle="1" w:styleId="270">
    <w:name w:val="hover42"/>
    <w:qFormat/>
    <w:uiPriority w:val="0"/>
    <w:rPr>
      <w:rFonts w:ascii="Calibri" w:hAnsi="Calibri" w:eastAsia="宋体" w:cs="Times New Roman"/>
    </w:rPr>
  </w:style>
  <w:style w:type="character" w:customStyle="1" w:styleId="271">
    <w:name w:val="电子邮件签名 Char1"/>
    <w:qFormat/>
    <w:uiPriority w:val="0"/>
    <w:rPr>
      <w:rFonts w:ascii="Calibri" w:hAnsi="Calibri" w:eastAsia="宋体" w:cs="Times New Roman"/>
      <w:kern w:val="2"/>
      <w:sz w:val="21"/>
      <w:szCs w:val="22"/>
    </w:rPr>
  </w:style>
  <w:style w:type="character" w:customStyle="1" w:styleId="272">
    <w:name w:val="签名 Char5"/>
    <w:qFormat/>
    <w:uiPriority w:val="0"/>
    <w:rPr>
      <w:rFonts w:ascii="Calibri" w:hAnsi="Calibri" w:eastAsia="宋体" w:cs="Times New Roman"/>
      <w:kern w:val="2"/>
      <w:sz w:val="21"/>
      <w:szCs w:val="22"/>
    </w:rPr>
  </w:style>
  <w:style w:type="character" w:customStyle="1" w:styleId="273">
    <w:name w:val="尾注文本 Char"/>
    <w:link w:val="32"/>
    <w:qFormat/>
    <w:uiPriority w:val="0"/>
    <w:rPr>
      <w:rFonts w:ascii="Times New Roman" w:hAnsi="Times New Roman" w:eastAsia="宋体" w:cs="Times New Roman"/>
    </w:rPr>
  </w:style>
  <w:style w:type="character" w:customStyle="1" w:styleId="274">
    <w:name w:val="日期 Char5"/>
    <w:qFormat/>
    <w:uiPriority w:val="0"/>
    <w:rPr>
      <w:rFonts w:ascii="Calibri" w:hAnsi="Calibri" w:eastAsia="宋体" w:cs="Times New Roman"/>
      <w:kern w:val="2"/>
      <w:sz w:val="21"/>
      <w:szCs w:val="22"/>
    </w:rPr>
  </w:style>
  <w:style w:type="character" w:customStyle="1" w:styleId="275">
    <w:name w:val="Char Char10"/>
    <w:qFormat/>
    <w:uiPriority w:val="0"/>
    <w:rPr>
      <w:rFonts w:ascii="Calibri" w:hAnsi="Calibri" w:eastAsia="宋体" w:cs="Times New Roman"/>
      <w:kern w:val="2"/>
      <w:sz w:val="21"/>
      <w:szCs w:val="24"/>
      <w:lang w:val="en-US" w:eastAsia="zh-CN" w:bidi="ar-SA"/>
    </w:rPr>
  </w:style>
  <w:style w:type="character" w:customStyle="1" w:styleId="276">
    <w:name w:val="文档结构图 Char3"/>
    <w:qFormat/>
    <w:uiPriority w:val="0"/>
    <w:rPr>
      <w:rFonts w:ascii="宋体" w:hAnsi="Times New Roman" w:eastAsia="宋体" w:cs="Times New Roman"/>
      <w:sz w:val="18"/>
      <w:szCs w:val="18"/>
    </w:rPr>
  </w:style>
  <w:style w:type="character" w:customStyle="1" w:styleId="277">
    <w:name w:val="正文文本 2 Char5"/>
    <w:qFormat/>
    <w:uiPriority w:val="0"/>
    <w:rPr>
      <w:rFonts w:ascii="Calibri" w:hAnsi="Calibri" w:eastAsia="宋体" w:cs="Times New Roman"/>
      <w:kern w:val="2"/>
      <w:sz w:val="21"/>
      <w:szCs w:val="22"/>
    </w:rPr>
  </w:style>
  <w:style w:type="character" w:customStyle="1" w:styleId="278">
    <w:name w:val="批注主题 Char6"/>
    <w:qFormat/>
    <w:uiPriority w:val="0"/>
    <w:rPr>
      <w:rFonts w:ascii="Calibri" w:hAnsi="Calibri" w:eastAsia="宋体" w:cs="Times New Roman"/>
      <w:b/>
      <w:bCs/>
      <w:kern w:val="2"/>
      <w:sz w:val="21"/>
      <w:szCs w:val="22"/>
    </w:rPr>
  </w:style>
  <w:style w:type="character" w:customStyle="1" w:styleId="279">
    <w:name w:val="纯文本 Char3"/>
    <w:qFormat/>
    <w:uiPriority w:val="0"/>
    <w:rPr>
      <w:rFonts w:ascii="宋体" w:hAnsi="Courier New" w:eastAsia="宋体" w:cs="Courier New"/>
      <w:szCs w:val="21"/>
    </w:rPr>
  </w:style>
  <w:style w:type="character" w:customStyle="1" w:styleId="280">
    <w:name w:val="正文文本 3 Char6"/>
    <w:semiHidden/>
    <w:qFormat/>
    <w:uiPriority w:val="99"/>
    <w:rPr>
      <w:rFonts w:ascii="Calibri" w:hAnsi="Calibri" w:eastAsia="宋体" w:cs="Times New Roman"/>
      <w:sz w:val="16"/>
      <w:szCs w:val="16"/>
    </w:rPr>
  </w:style>
  <w:style w:type="character" w:customStyle="1" w:styleId="281">
    <w:name w:val="称呼 Char5"/>
    <w:qFormat/>
    <w:uiPriority w:val="0"/>
    <w:rPr>
      <w:rFonts w:ascii="Calibri" w:hAnsi="Calibri" w:eastAsia="宋体" w:cs="Times New Roman"/>
      <w:kern w:val="2"/>
      <w:sz w:val="21"/>
      <w:szCs w:val="22"/>
    </w:rPr>
  </w:style>
  <w:style w:type="character" w:customStyle="1" w:styleId="282">
    <w:name w:val="尾注文本 Char6"/>
    <w:qFormat/>
    <w:uiPriority w:val="0"/>
    <w:rPr>
      <w:rFonts w:ascii="Calibri" w:hAnsi="Calibri" w:eastAsia="宋体" w:cs="Times New Roman"/>
      <w:kern w:val="2"/>
      <w:sz w:val="21"/>
      <w:szCs w:val="22"/>
    </w:rPr>
  </w:style>
  <w:style w:type="character" w:customStyle="1" w:styleId="283">
    <w:name w:val="批注主题 Char4"/>
    <w:qFormat/>
    <w:uiPriority w:val="0"/>
    <w:rPr>
      <w:rFonts w:ascii="Times New Roman" w:hAnsi="Times New Roman" w:eastAsia="宋体" w:cs="Times New Roman"/>
      <w:b/>
      <w:bCs/>
    </w:rPr>
  </w:style>
  <w:style w:type="character" w:customStyle="1" w:styleId="284">
    <w:name w:val="Char Char26"/>
    <w:qFormat/>
    <w:uiPriority w:val="0"/>
    <w:rPr>
      <w:rFonts w:hint="default" w:ascii="Arial" w:hAnsi="Arial" w:eastAsia="宋体" w:cs="Times New Roman"/>
      <w:b/>
      <w:color w:val="000000"/>
      <w:sz w:val="24"/>
      <w:szCs w:val="24"/>
    </w:rPr>
  </w:style>
  <w:style w:type="character" w:customStyle="1" w:styleId="285">
    <w:name w:val="正文文本 字符"/>
    <w:qFormat/>
    <w:uiPriority w:val="0"/>
    <w:rPr>
      <w:rFonts w:ascii="Calibri" w:hAnsi="Calibri" w:eastAsia="宋体" w:cs="Times New Roman"/>
    </w:rPr>
  </w:style>
  <w:style w:type="character" w:customStyle="1" w:styleId="286">
    <w:name w:val="正文文本缩进 3 Char3"/>
    <w:qFormat/>
    <w:uiPriority w:val="0"/>
    <w:rPr>
      <w:rFonts w:ascii="Times New Roman" w:hAnsi="Times New Roman" w:eastAsia="宋体" w:cs="Times New Roman"/>
      <w:sz w:val="16"/>
      <w:szCs w:val="16"/>
    </w:rPr>
  </w:style>
  <w:style w:type="character" w:customStyle="1" w:styleId="287">
    <w:name w:val="纯文本 Char"/>
    <w:link w:val="29"/>
    <w:qFormat/>
    <w:uiPriority w:val="0"/>
    <w:rPr>
      <w:rFonts w:ascii="宋体" w:hAnsi="Courier New" w:eastAsia="宋体" w:cs="Times New Roman"/>
    </w:rPr>
  </w:style>
  <w:style w:type="character" w:customStyle="1" w:styleId="288">
    <w:name w:val="tpc_content1"/>
    <w:qFormat/>
    <w:uiPriority w:val="0"/>
    <w:rPr>
      <w:rFonts w:ascii="Times New Roman" w:hAnsi="Times New Roman" w:eastAsia="宋体" w:cs="Times New Roman"/>
      <w:sz w:val="26"/>
      <w:szCs w:val="26"/>
    </w:rPr>
  </w:style>
  <w:style w:type="character" w:customStyle="1" w:styleId="289">
    <w:name w:val="页眉 Char1"/>
    <w:qFormat/>
    <w:uiPriority w:val="0"/>
    <w:rPr>
      <w:rFonts w:ascii="Calibri" w:hAnsi="Calibri" w:eastAsia="楷体_GB2312" w:cs="Times New Roman"/>
      <w:sz w:val="18"/>
    </w:rPr>
  </w:style>
  <w:style w:type="character" w:customStyle="1" w:styleId="290">
    <w:name w:val="标题 Char1"/>
    <w:qFormat/>
    <w:uiPriority w:val="0"/>
    <w:rPr>
      <w:rFonts w:ascii="Cambria" w:hAnsi="Cambria" w:eastAsia="宋体" w:cs="Times New Roman"/>
      <w:b/>
      <w:bCs/>
      <w:kern w:val="2"/>
      <w:sz w:val="32"/>
      <w:szCs w:val="32"/>
    </w:rPr>
  </w:style>
  <w:style w:type="character" w:customStyle="1" w:styleId="291">
    <w:name w:val="HTML 预设格式 Char"/>
    <w:link w:val="44"/>
    <w:qFormat/>
    <w:uiPriority w:val="0"/>
    <w:rPr>
      <w:rFonts w:ascii="Courier New" w:hAnsi="Courier New" w:eastAsia="宋体" w:cs="Courier New"/>
    </w:rPr>
  </w:style>
  <w:style w:type="character" w:customStyle="1" w:styleId="292">
    <w:name w:val="font11"/>
    <w:qFormat/>
    <w:uiPriority w:val="0"/>
    <w:rPr>
      <w:rFonts w:hint="default" w:ascii="等线" w:hAnsi="等线" w:eastAsia="等线" w:cs="等线"/>
      <w:color w:val="000000"/>
      <w:sz w:val="21"/>
      <w:szCs w:val="21"/>
      <w:u w:val="none"/>
    </w:rPr>
  </w:style>
  <w:style w:type="character" w:customStyle="1" w:styleId="293">
    <w:name w:val="结束语 Char5"/>
    <w:qFormat/>
    <w:uiPriority w:val="0"/>
    <w:rPr>
      <w:rFonts w:ascii="Calibri" w:hAnsi="Calibri" w:eastAsia="宋体" w:cs="Times New Roman"/>
      <w:kern w:val="2"/>
      <w:sz w:val="21"/>
      <w:szCs w:val="22"/>
    </w:rPr>
  </w:style>
  <w:style w:type="character" w:customStyle="1" w:styleId="294">
    <w:name w:val="脚注文本 Char"/>
    <w:link w:val="39"/>
    <w:qFormat/>
    <w:uiPriority w:val="0"/>
    <w:rPr>
      <w:rFonts w:ascii="宋体" w:hAnsi="宋体" w:eastAsia="宋体" w:cs="Times New Roman"/>
      <w:sz w:val="18"/>
      <w:szCs w:val="18"/>
    </w:rPr>
  </w:style>
  <w:style w:type="character" w:customStyle="1" w:styleId="295">
    <w:name w:val="正文文本 3 Char"/>
    <w:link w:val="22"/>
    <w:qFormat/>
    <w:uiPriority w:val="0"/>
    <w:rPr>
      <w:rFonts w:ascii="宋体" w:hAnsi="宋体" w:eastAsia="宋体" w:cs="Times New Roman"/>
      <w:u w:val="single"/>
      <w:bdr w:val="single" w:color="auto" w:sz="4" w:space="0"/>
    </w:rPr>
  </w:style>
  <w:style w:type="character" w:customStyle="1" w:styleId="296">
    <w:name w:val="文档结构图 Char1"/>
    <w:qFormat/>
    <w:uiPriority w:val="0"/>
    <w:rPr>
      <w:rFonts w:ascii="宋体" w:hAnsi="Calibri" w:eastAsia="宋体" w:cs="Times New Roman"/>
      <w:kern w:val="2"/>
      <w:sz w:val="18"/>
      <w:szCs w:val="18"/>
    </w:rPr>
  </w:style>
  <w:style w:type="character" w:customStyle="1" w:styleId="297">
    <w:name w:val="HTML 预设格式 Char2"/>
    <w:qFormat/>
    <w:uiPriority w:val="0"/>
    <w:rPr>
      <w:rFonts w:ascii="Courier New" w:hAnsi="Courier New" w:eastAsia="宋体" w:cs="Courier New"/>
      <w:kern w:val="2"/>
    </w:rPr>
  </w:style>
  <w:style w:type="character" w:customStyle="1" w:styleId="298">
    <w:name w:val="章节三 Char"/>
    <w:link w:val="83"/>
    <w:qFormat/>
    <w:locked/>
    <w:uiPriority w:val="0"/>
    <w:rPr>
      <w:rFonts w:ascii="黑体" w:hAnsi="宋体" w:eastAsia="黑体"/>
      <w:b/>
      <w:spacing w:val="4"/>
      <w:sz w:val="24"/>
      <w:szCs w:val="24"/>
      <w:lang w:val="zh-CN" w:eastAsia="zh-CN"/>
    </w:rPr>
  </w:style>
  <w:style w:type="character" w:customStyle="1" w:styleId="299">
    <w:name w:val="font51"/>
    <w:qFormat/>
    <w:uiPriority w:val="0"/>
    <w:rPr>
      <w:rFonts w:hint="eastAsia" w:ascii="宋体" w:hAnsi="宋体" w:eastAsia="宋体" w:cs="宋体"/>
      <w:color w:val="000000"/>
      <w:sz w:val="20"/>
      <w:szCs w:val="20"/>
      <w:u w:val="none"/>
    </w:rPr>
  </w:style>
  <w:style w:type="character" w:customStyle="1" w:styleId="300">
    <w:name w:val="文档结构图 字符"/>
    <w:qFormat/>
    <w:uiPriority w:val="0"/>
    <w:rPr>
      <w:rFonts w:ascii="Microsoft YaHei UI" w:hAnsi="Calibri" w:eastAsia="Microsoft YaHei UI" w:cs="Times New Roman"/>
      <w:sz w:val="18"/>
      <w:szCs w:val="18"/>
    </w:rPr>
  </w:style>
  <w:style w:type="character" w:customStyle="1" w:styleId="301">
    <w:name w:val="标题 2 Char"/>
    <w:link w:val="8"/>
    <w:qFormat/>
    <w:uiPriority w:val="0"/>
    <w:rPr>
      <w:rFonts w:ascii="Arial" w:hAnsi="Arial" w:eastAsia="宋体" w:cs="Times New Roman"/>
      <w:b/>
      <w:kern w:val="0"/>
      <w:sz w:val="24"/>
      <w:szCs w:val="24"/>
    </w:rPr>
  </w:style>
  <w:style w:type="character" w:customStyle="1" w:styleId="302">
    <w:name w:val="批注主题 Char"/>
    <w:link w:val="47"/>
    <w:qFormat/>
    <w:uiPriority w:val="0"/>
    <w:rPr>
      <w:rFonts w:ascii="宋体" w:hAnsi="宋体" w:eastAsia="宋体" w:cs="Times New Roman"/>
      <w:b/>
      <w:bCs/>
      <w:sz w:val="24"/>
      <w:szCs w:val="24"/>
    </w:rPr>
  </w:style>
  <w:style w:type="character" w:customStyle="1" w:styleId="303">
    <w:name w:val="正文首行缩进 2 Char3"/>
    <w:qFormat/>
    <w:uiPriority w:val="0"/>
    <w:rPr>
      <w:rFonts w:ascii="Calibri" w:hAnsi="Calibri" w:eastAsia="宋体" w:cs="Times New Roman"/>
    </w:rPr>
  </w:style>
  <w:style w:type="character" w:customStyle="1" w:styleId="304">
    <w:name w:val="标题 Char4"/>
    <w:qFormat/>
    <w:uiPriority w:val="0"/>
    <w:rPr>
      <w:rFonts w:ascii="Cambria" w:hAnsi="Cambria" w:eastAsia="宋体" w:cs="Times New Roman"/>
      <w:b/>
      <w:bCs/>
      <w:sz w:val="32"/>
      <w:szCs w:val="32"/>
    </w:rPr>
  </w:style>
  <w:style w:type="character" w:customStyle="1" w:styleId="305">
    <w:name w:val="title26"/>
    <w:qFormat/>
    <w:uiPriority w:val="0"/>
    <w:rPr>
      <w:rFonts w:ascii="Calibri" w:hAnsi="Calibri" w:eastAsia="宋体" w:cs="Times New Roman"/>
    </w:rPr>
  </w:style>
  <w:style w:type="character" w:customStyle="1" w:styleId="306">
    <w:name w:val="称呼 Char6"/>
    <w:semiHidden/>
    <w:qFormat/>
    <w:uiPriority w:val="99"/>
    <w:rPr>
      <w:rFonts w:ascii="Calibri" w:hAnsi="Calibri" w:eastAsia="宋体" w:cs="Times New Roman"/>
    </w:rPr>
  </w:style>
  <w:style w:type="character" w:customStyle="1" w:styleId="307">
    <w:name w:val="标题 5 Char"/>
    <w:link w:val="12"/>
    <w:qFormat/>
    <w:uiPriority w:val="0"/>
    <w:rPr>
      <w:rFonts w:ascii="Arial" w:hAnsi="Arial" w:eastAsia="宋体" w:cs="Times New Roman"/>
      <w:color w:val="000000"/>
      <w:kern w:val="0"/>
      <w:sz w:val="20"/>
      <w:szCs w:val="21"/>
    </w:rPr>
  </w:style>
  <w:style w:type="character" w:customStyle="1" w:styleId="308">
    <w:name w:val="脚注文本 Char5"/>
    <w:semiHidden/>
    <w:qFormat/>
    <w:uiPriority w:val="99"/>
    <w:rPr>
      <w:rFonts w:ascii="Calibri" w:hAnsi="Calibri" w:eastAsia="宋体" w:cs="Times New Roman"/>
      <w:sz w:val="18"/>
      <w:szCs w:val="18"/>
    </w:rPr>
  </w:style>
  <w:style w:type="character" w:customStyle="1" w:styleId="309">
    <w:name w:val="副标题 Char3"/>
    <w:qFormat/>
    <w:uiPriority w:val="0"/>
    <w:rPr>
      <w:rFonts w:ascii="Cambria" w:hAnsi="Cambria" w:eastAsia="宋体" w:cs="Times New Roman"/>
      <w:b/>
      <w:bCs/>
      <w:kern w:val="28"/>
      <w:sz w:val="32"/>
      <w:szCs w:val="32"/>
    </w:rPr>
  </w:style>
  <w:style w:type="character" w:customStyle="1" w:styleId="310">
    <w:name w:val="纯文本 字符"/>
    <w:qFormat/>
    <w:uiPriority w:val="0"/>
    <w:rPr>
      <w:rFonts w:ascii="等线" w:hAnsi="Courier New" w:eastAsia="宋体" w:cs="Courier New"/>
    </w:rPr>
  </w:style>
  <w:style w:type="character" w:customStyle="1" w:styleId="311">
    <w:name w:val="页脚 Char2"/>
    <w:qFormat/>
    <w:uiPriority w:val="0"/>
    <w:rPr>
      <w:rFonts w:ascii="Calibri" w:hAnsi="Calibri" w:eastAsia="楷体_GB2312" w:cs="Times New Roman"/>
      <w:sz w:val="18"/>
      <w:szCs w:val="18"/>
    </w:rPr>
  </w:style>
  <w:style w:type="character" w:customStyle="1" w:styleId="312">
    <w:name w:val="正文文本 3 Char2"/>
    <w:qFormat/>
    <w:uiPriority w:val="0"/>
    <w:rPr>
      <w:rFonts w:ascii="Calibri" w:hAnsi="Calibri" w:eastAsia="宋体" w:cs="Times New Roman"/>
      <w:kern w:val="2"/>
      <w:sz w:val="16"/>
      <w:szCs w:val="16"/>
    </w:rPr>
  </w:style>
  <w:style w:type="character" w:customStyle="1" w:styleId="313">
    <w:name w:val="正文首行缩进 字符"/>
    <w:qFormat/>
    <w:uiPriority w:val="0"/>
    <w:rPr>
      <w:rFonts w:ascii="Calibri" w:hAnsi="Calibri" w:eastAsia="宋体" w:cs="Times New Roman"/>
    </w:rPr>
  </w:style>
  <w:style w:type="character" w:customStyle="1" w:styleId="314">
    <w:name w:val="宏文本 Char"/>
    <w:link w:val="3"/>
    <w:qFormat/>
    <w:uiPriority w:val="0"/>
    <w:rPr>
      <w:rFonts w:ascii="Courier New" w:hAnsi="Courier New"/>
      <w:kern w:val="2"/>
      <w:sz w:val="24"/>
      <w:szCs w:val="24"/>
      <w:lang w:val="en-US" w:eastAsia="zh-CN" w:bidi="ar-SA"/>
    </w:rPr>
  </w:style>
  <w:style w:type="character" w:customStyle="1" w:styleId="315">
    <w:name w:val="HTML 地址 Char"/>
    <w:link w:val="26"/>
    <w:qFormat/>
    <w:uiPriority w:val="0"/>
    <w:rPr>
      <w:rFonts w:ascii="Calibri" w:hAnsi="Calibri" w:eastAsia="宋体" w:cs="Times New Roman"/>
      <w:i/>
      <w:iCs/>
      <w:szCs w:val="24"/>
    </w:rPr>
  </w:style>
  <w:style w:type="character" w:customStyle="1" w:styleId="316">
    <w:name w:val="正文缩2 Char"/>
    <w:link w:val="119"/>
    <w:qFormat/>
    <w:uiPriority w:val="0"/>
    <w:rPr>
      <w:rFonts w:ascii="Calibri" w:hAnsi="Calibri" w:eastAsia="宋体" w:cs="Times New Roman"/>
      <w:sz w:val="24"/>
      <w:szCs w:val="24"/>
    </w:rPr>
  </w:style>
  <w:style w:type="character" w:customStyle="1" w:styleId="317">
    <w:name w:val="正文缩进 Char"/>
    <w:link w:val="11"/>
    <w:qFormat/>
    <w:uiPriority w:val="0"/>
    <w:rPr>
      <w:rFonts w:ascii="Times New Roman" w:hAnsi="Times New Roman" w:eastAsia="宋体" w:cs="Times New Roman"/>
    </w:rPr>
  </w:style>
  <w:style w:type="character" w:customStyle="1" w:styleId="318">
    <w:name w:val="尾注文本 Char4"/>
    <w:qFormat/>
    <w:uiPriority w:val="0"/>
    <w:rPr>
      <w:rFonts w:ascii="Calibri" w:hAnsi="Calibri" w:eastAsia="宋体" w:cs="Times New Roman"/>
      <w:kern w:val="2"/>
      <w:sz w:val="21"/>
      <w:szCs w:val="22"/>
    </w:rPr>
  </w:style>
  <w:style w:type="character" w:customStyle="1" w:styleId="319">
    <w:name w:val="宏文本 Char4"/>
    <w:qFormat/>
    <w:uiPriority w:val="0"/>
    <w:rPr>
      <w:rFonts w:ascii="Courier New" w:hAnsi="Courier New" w:eastAsia="宋体" w:cs="Courier New"/>
      <w:kern w:val="2"/>
      <w:sz w:val="24"/>
      <w:szCs w:val="24"/>
    </w:rPr>
  </w:style>
  <w:style w:type="character" w:customStyle="1" w:styleId="320">
    <w:name w:val="表格文字缩进 Char"/>
    <w:link w:val="114"/>
    <w:qFormat/>
    <w:uiPriority w:val="0"/>
    <w:rPr>
      <w:rFonts w:ascii="宋体" w:hAnsi="Calibri" w:eastAsia="宋体" w:cs="Times New Roman"/>
      <w:sz w:val="24"/>
      <w:szCs w:val="24"/>
    </w:rPr>
  </w:style>
  <w:style w:type="character" w:customStyle="1" w:styleId="321">
    <w:name w:val="font31"/>
    <w:qFormat/>
    <w:uiPriority w:val="0"/>
    <w:rPr>
      <w:rFonts w:hint="eastAsia" w:ascii="宋体" w:hAnsi="宋体" w:eastAsia="宋体" w:cs="宋体"/>
      <w:color w:val="000000"/>
      <w:sz w:val="24"/>
      <w:szCs w:val="24"/>
      <w:u w:val="none"/>
    </w:rPr>
  </w:style>
  <w:style w:type="character" w:customStyle="1" w:styleId="322">
    <w:name w:val="标题 7 字符"/>
    <w:qFormat/>
    <w:uiPriority w:val="0"/>
    <w:rPr>
      <w:rFonts w:ascii="Calibri" w:hAnsi="Calibri" w:eastAsia="宋体" w:cs="Times New Roman"/>
      <w:b/>
      <w:bCs/>
      <w:sz w:val="24"/>
      <w:szCs w:val="24"/>
    </w:rPr>
  </w:style>
  <w:style w:type="character" w:customStyle="1" w:styleId="323">
    <w:name w:val="正文文本缩进 2 Char5"/>
    <w:qFormat/>
    <w:uiPriority w:val="0"/>
    <w:rPr>
      <w:rFonts w:ascii="Calibri" w:hAnsi="Calibri" w:eastAsia="宋体" w:cs="Times New Roman"/>
      <w:kern w:val="2"/>
      <w:sz w:val="21"/>
      <w:szCs w:val="22"/>
    </w:rPr>
  </w:style>
  <w:style w:type="character" w:customStyle="1" w:styleId="324">
    <w:name w:val="正文首行缩进 2 Char5"/>
    <w:semiHidden/>
    <w:qFormat/>
    <w:uiPriority w:val="99"/>
    <w:rPr>
      <w:rFonts w:ascii="Calibri" w:hAnsi="Calibri" w:eastAsia="宋体" w:cs="Times New Roman"/>
    </w:rPr>
  </w:style>
  <w:style w:type="character" w:customStyle="1" w:styleId="325">
    <w:name w:val="正文编号 Char"/>
    <w:link w:val="116"/>
    <w:qFormat/>
    <w:uiPriority w:val="0"/>
    <w:rPr>
      <w:rFonts w:ascii="宋体" w:hAnsi="宋体" w:eastAsia="宋体" w:cs="Times New Roman"/>
      <w:sz w:val="24"/>
      <w:szCs w:val="24"/>
      <w:lang w:val="zh-CN"/>
    </w:rPr>
  </w:style>
  <w:style w:type="character" w:customStyle="1" w:styleId="326">
    <w:name w:val="框图文字 Char"/>
    <w:qFormat/>
    <w:uiPriority w:val="0"/>
    <w:rPr>
      <w:rFonts w:ascii="宋体" w:hAnsi="PMingLiU" w:eastAsia="Calibri" w:cs="Times New Roman"/>
      <w:kern w:val="2"/>
      <w:sz w:val="21"/>
      <w:lang w:val="en-US" w:eastAsia="zh-CN" w:bidi="ar-SA"/>
    </w:rPr>
  </w:style>
  <w:style w:type="character" w:customStyle="1" w:styleId="327">
    <w:name w:val="纯文本 Char6"/>
    <w:semiHidden/>
    <w:qFormat/>
    <w:uiPriority w:val="99"/>
    <w:rPr>
      <w:rFonts w:ascii="宋体" w:hAnsi="Courier New" w:eastAsia="宋体" w:cs="Courier New"/>
      <w:szCs w:val="21"/>
    </w:rPr>
  </w:style>
  <w:style w:type="character" w:customStyle="1" w:styleId="328">
    <w:name w:val="正文首行缩进 Char2"/>
    <w:qFormat/>
    <w:uiPriority w:val="0"/>
    <w:rPr>
      <w:rFonts w:ascii="Calibri" w:hAnsi="Calibri" w:eastAsia="宋体" w:cs="Times New Roman"/>
    </w:rPr>
  </w:style>
  <w:style w:type="character" w:customStyle="1" w:styleId="329">
    <w:name w:val="times"/>
    <w:qFormat/>
    <w:uiPriority w:val="0"/>
    <w:rPr>
      <w:rFonts w:ascii="Calibri" w:hAnsi="Calibri" w:eastAsia="宋体" w:cs="Times New Roman"/>
      <w:color w:val="CDCDCD"/>
      <w:bdr w:val="single" w:color="CDCDCD" w:sz="6" w:space="0"/>
      <w:shd w:val="clear" w:color="auto" w:fill="EFEFEF"/>
    </w:rPr>
  </w:style>
  <w:style w:type="character" w:customStyle="1" w:styleId="330">
    <w:name w:val="正文文本 Char4"/>
    <w:qFormat/>
    <w:uiPriority w:val="0"/>
    <w:rPr>
      <w:rFonts w:ascii="Calibri" w:hAnsi="Calibri" w:eastAsia="宋体" w:cs="Times New Roman"/>
      <w:kern w:val="2"/>
      <w:sz w:val="21"/>
      <w:szCs w:val="22"/>
    </w:rPr>
  </w:style>
  <w:style w:type="character" w:customStyle="1" w:styleId="331">
    <w:name w:val="称呼 Char"/>
    <w:link w:val="21"/>
    <w:qFormat/>
    <w:uiPriority w:val="0"/>
    <w:rPr>
      <w:rFonts w:ascii="Calibri" w:hAnsi="Calibri" w:eastAsia="宋体" w:cs="Times New Roman"/>
      <w:szCs w:val="24"/>
    </w:rPr>
  </w:style>
  <w:style w:type="character" w:customStyle="1" w:styleId="332">
    <w:name w:val="日期 Char2"/>
    <w:qFormat/>
    <w:uiPriority w:val="0"/>
    <w:rPr>
      <w:rFonts w:ascii="Calibri" w:hAnsi="Calibri" w:eastAsia="宋体" w:cs="Times New Roman"/>
      <w:kern w:val="2"/>
      <w:sz w:val="21"/>
      <w:szCs w:val="22"/>
    </w:rPr>
  </w:style>
  <w:style w:type="character" w:customStyle="1" w:styleId="333">
    <w:name w:val="电子邮件签名 Char"/>
    <w:link w:val="18"/>
    <w:qFormat/>
    <w:uiPriority w:val="0"/>
    <w:rPr>
      <w:rFonts w:ascii="Calibri" w:hAnsi="Calibri" w:eastAsia="宋体" w:cs="Times New Roman"/>
      <w:szCs w:val="24"/>
    </w:rPr>
  </w:style>
  <w:style w:type="character" w:customStyle="1" w:styleId="334">
    <w:name w:val="样式 Char Char"/>
    <w:qFormat/>
    <w:uiPriority w:val="0"/>
    <w:rPr>
      <w:rFonts w:ascii="Times New Roman" w:hAnsi="Times New Roman" w:eastAsia="宋体" w:cs="Times New Roman"/>
    </w:rPr>
  </w:style>
  <w:style w:type="character" w:customStyle="1" w:styleId="335">
    <w:name w:val="签名 Char1"/>
    <w:qFormat/>
    <w:uiPriority w:val="0"/>
    <w:rPr>
      <w:rFonts w:ascii="Calibri" w:hAnsi="Calibri" w:eastAsia="宋体" w:cs="Times New Roman"/>
      <w:kern w:val="2"/>
      <w:sz w:val="21"/>
      <w:szCs w:val="22"/>
    </w:rPr>
  </w:style>
  <w:style w:type="character" w:customStyle="1" w:styleId="336">
    <w:name w:val="无间隔 Char"/>
    <w:link w:val="91"/>
    <w:qFormat/>
    <w:uiPriority w:val="0"/>
    <w:rPr>
      <w:kern w:val="2"/>
      <w:sz w:val="22"/>
      <w:szCs w:val="22"/>
      <w:lang w:val="en-US" w:eastAsia="zh-CN" w:bidi="ar-SA"/>
    </w:rPr>
  </w:style>
  <w:style w:type="character" w:customStyle="1" w:styleId="337">
    <w:name w:val="标题 8 字符"/>
    <w:qFormat/>
    <w:uiPriority w:val="0"/>
    <w:rPr>
      <w:rFonts w:ascii="等线 Light" w:hAnsi="等线 Light" w:eastAsia="等线 Light" w:cs="Times New Roman"/>
      <w:sz w:val="24"/>
      <w:szCs w:val="24"/>
    </w:rPr>
  </w:style>
  <w:style w:type="character" w:customStyle="1" w:styleId="338">
    <w:name w:val="正文文本缩进 Char"/>
    <w:qFormat/>
    <w:uiPriority w:val="0"/>
    <w:rPr>
      <w:rFonts w:ascii="Calibri" w:hAnsi="Calibri" w:eastAsia="宋体" w:cs="Times New Roman"/>
      <w:kern w:val="2"/>
      <w:sz w:val="21"/>
      <w:szCs w:val="22"/>
    </w:rPr>
  </w:style>
  <w:style w:type="character" w:customStyle="1" w:styleId="339">
    <w:name w:val="NormalCharacter"/>
    <w:qFormat/>
    <w:uiPriority w:val="0"/>
    <w:rPr>
      <w:rFonts w:ascii="Calibri" w:hAnsi="Calibri" w:eastAsia="宋体" w:cs="Times New Roman"/>
    </w:rPr>
  </w:style>
  <w:style w:type="character" w:customStyle="1" w:styleId="340">
    <w:name w:val="HTML 地址 Char6"/>
    <w:semiHidden/>
    <w:qFormat/>
    <w:uiPriority w:val="99"/>
    <w:rPr>
      <w:rFonts w:ascii="Calibri" w:hAnsi="Calibri" w:eastAsia="宋体" w:cs="Times New Roman"/>
      <w:i/>
      <w:iCs/>
    </w:rPr>
  </w:style>
  <w:style w:type="character" w:customStyle="1" w:styleId="341">
    <w:name w:val="批注文字 字符"/>
    <w:qFormat/>
    <w:uiPriority w:val="0"/>
    <w:rPr>
      <w:rFonts w:ascii="Calibri" w:hAnsi="Calibri" w:eastAsia="宋体" w:cs="Times New Roman"/>
    </w:rPr>
  </w:style>
  <w:style w:type="character" w:customStyle="1" w:styleId="342">
    <w:name w:val="签名 Char"/>
    <w:link w:val="36"/>
    <w:qFormat/>
    <w:uiPriority w:val="0"/>
    <w:rPr>
      <w:rFonts w:ascii="Calibri" w:hAnsi="Calibri" w:eastAsia="宋体" w:cs="Times New Roman"/>
      <w:szCs w:val="24"/>
    </w:rPr>
  </w:style>
  <w:style w:type="character" w:customStyle="1" w:styleId="343">
    <w:name w:val="西塔正文1 Char Char"/>
    <w:link w:val="115"/>
    <w:qFormat/>
    <w:uiPriority w:val="0"/>
    <w:rPr>
      <w:rFonts w:ascii="宋体" w:hAnsi="Calibri" w:eastAsia="宋体" w:cs="Times New Roman"/>
      <w:sz w:val="24"/>
      <w:szCs w:val="24"/>
    </w:rPr>
  </w:style>
  <w:style w:type="character" w:customStyle="1" w:styleId="344">
    <w:name w:val="结束语 Char"/>
    <w:link w:val="23"/>
    <w:qFormat/>
    <w:uiPriority w:val="0"/>
    <w:rPr>
      <w:rFonts w:ascii="Calibri" w:hAnsi="Calibri" w:eastAsia="宋体" w:cs="Times New Roman"/>
      <w:szCs w:val="24"/>
    </w:rPr>
  </w:style>
  <w:style w:type="character" w:customStyle="1" w:styleId="345">
    <w:name w:val="尾注文本 字符"/>
    <w:qFormat/>
    <w:uiPriority w:val="0"/>
    <w:rPr>
      <w:rFonts w:ascii="Calibri" w:hAnsi="Calibri" w:eastAsia="宋体" w:cs="Times New Roman"/>
    </w:rPr>
  </w:style>
  <w:style w:type="character" w:customStyle="1" w:styleId="346">
    <w:name w:val="批注框文本 Char6"/>
    <w:semiHidden/>
    <w:qFormat/>
    <w:uiPriority w:val="99"/>
    <w:rPr>
      <w:rFonts w:ascii="Calibri" w:hAnsi="Calibri" w:eastAsia="宋体" w:cs="Times New Roman"/>
      <w:sz w:val="18"/>
      <w:szCs w:val="18"/>
    </w:rPr>
  </w:style>
  <w:style w:type="character" w:customStyle="1" w:styleId="347">
    <w:name w:val="正文首行缩进 Char"/>
    <w:link w:val="6"/>
    <w:qFormat/>
    <w:uiPriority w:val="0"/>
    <w:rPr>
      <w:rFonts w:ascii="Times New Roman" w:hAnsi="Times New Roman" w:eastAsia="宋体" w:cs="Times New Roman"/>
    </w:rPr>
  </w:style>
  <w:style w:type="character" w:customStyle="1" w:styleId="348">
    <w:name w:val="样式 表格文字居中 + 黑色 Char"/>
    <w:link w:val="133"/>
    <w:qFormat/>
    <w:uiPriority w:val="0"/>
    <w:rPr>
      <w:rFonts w:ascii="宋体" w:hAnsi="宋体" w:eastAsia="宋体" w:cs="Times New Roman"/>
      <w:b/>
      <w:bCs/>
      <w:color w:val="000000"/>
      <w:sz w:val="24"/>
      <w:szCs w:val="21"/>
    </w:rPr>
  </w:style>
  <w:style w:type="character" w:customStyle="1" w:styleId="349">
    <w:name w:val="纯文本 Char4"/>
    <w:qFormat/>
    <w:uiPriority w:val="0"/>
    <w:rPr>
      <w:rFonts w:ascii="宋体" w:hAnsi="Courier New" w:eastAsia="宋体" w:cs="Courier New"/>
      <w:kern w:val="2"/>
      <w:sz w:val="21"/>
      <w:szCs w:val="21"/>
    </w:rPr>
  </w:style>
  <w:style w:type="character" w:customStyle="1" w:styleId="350">
    <w:name w:val="正文文本缩进 Char5"/>
    <w:qFormat/>
    <w:uiPriority w:val="0"/>
    <w:rPr>
      <w:rFonts w:ascii="Calibri" w:hAnsi="Calibri" w:eastAsia="宋体" w:cs="Times New Roman"/>
      <w:kern w:val="2"/>
      <w:sz w:val="21"/>
      <w:szCs w:val="22"/>
    </w:rPr>
  </w:style>
  <w:style w:type="character" w:customStyle="1" w:styleId="351">
    <w:name w:val="样式 样式 正文 + 首行缩进:  2 字符 + 首行缩进:  2 字符 段后: 0.3 行 + 首行缩进:  2 字符 Char"/>
    <w:link w:val="120"/>
    <w:qFormat/>
    <w:uiPriority w:val="0"/>
    <w:rPr>
      <w:rFonts w:ascii="Calibri" w:hAnsi="Calibri" w:eastAsia="宋体" w:cs="Times New Roman"/>
      <w:sz w:val="24"/>
    </w:rPr>
  </w:style>
  <w:style w:type="character" w:customStyle="1" w:styleId="352">
    <w:name w:val="签名 Char2"/>
    <w:qFormat/>
    <w:uiPriority w:val="0"/>
    <w:rPr>
      <w:rFonts w:ascii="Calibri" w:hAnsi="Calibri" w:eastAsia="宋体" w:cs="Times New Roman"/>
      <w:kern w:val="2"/>
      <w:sz w:val="21"/>
      <w:szCs w:val="22"/>
    </w:rPr>
  </w:style>
  <w:style w:type="character" w:customStyle="1" w:styleId="353">
    <w:name w:val="批注框文本 Char5"/>
    <w:qFormat/>
    <w:uiPriority w:val="0"/>
    <w:rPr>
      <w:rFonts w:ascii="Calibri" w:hAnsi="Calibri" w:eastAsia="宋体" w:cs="Times New Roman"/>
      <w:kern w:val="2"/>
      <w:sz w:val="18"/>
      <w:szCs w:val="18"/>
    </w:rPr>
  </w:style>
  <w:style w:type="character" w:customStyle="1" w:styleId="354">
    <w:name w:val="Char Char9"/>
    <w:qFormat/>
    <w:uiPriority w:val="0"/>
    <w:rPr>
      <w:rFonts w:ascii="Calibri" w:hAnsi="Calibri" w:eastAsia="宋体" w:cs="Times New Roman"/>
      <w:b/>
      <w:bCs/>
      <w:lang w:bidi="ar-SA"/>
    </w:rPr>
  </w:style>
  <w:style w:type="character" w:customStyle="1" w:styleId="355">
    <w:name w:val="信息标题 Char6"/>
    <w:semiHidden/>
    <w:qFormat/>
    <w:uiPriority w:val="99"/>
    <w:rPr>
      <w:rFonts w:ascii="Cambria" w:hAnsi="Cambria" w:eastAsia="宋体" w:cs="Times New Roman"/>
      <w:sz w:val="24"/>
      <w:szCs w:val="24"/>
      <w:shd w:val="pct20" w:color="auto" w:fill="auto"/>
    </w:rPr>
  </w:style>
  <w:style w:type="character" w:customStyle="1" w:styleId="356">
    <w:name w:val="表格居中 Char"/>
    <w:qFormat/>
    <w:uiPriority w:val="0"/>
    <w:rPr>
      <w:rFonts w:ascii="宋体" w:hAnsi="Times New Roman" w:eastAsia="宋体" w:cs="Times New Roman"/>
      <w:kern w:val="2"/>
      <w:sz w:val="21"/>
      <w:szCs w:val="21"/>
      <w:lang w:val="en-US" w:eastAsia="zh-CN" w:bidi="ar-SA"/>
    </w:rPr>
  </w:style>
  <w:style w:type="character" w:customStyle="1" w:styleId="357">
    <w:name w:val="16"/>
    <w:qFormat/>
    <w:uiPriority w:val="0"/>
    <w:rPr>
      <w:rFonts w:hint="eastAsia" w:ascii="宋体" w:hAnsi="宋体" w:eastAsia="宋体" w:cs="Times New Roman"/>
      <w:color w:val="000000"/>
      <w:sz w:val="20"/>
      <w:szCs w:val="20"/>
    </w:rPr>
  </w:style>
  <w:style w:type="character" w:customStyle="1" w:styleId="358">
    <w:name w:val="HTML 地址 Char1"/>
    <w:qFormat/>
    <w:uiPriority w:val="0"/>
    <w:rPr>
      <w:rFonts w:ascii="Calibri" w:hAnsi="Calibri" w:eastAsia="楷体_GB2312" w:cs="Times New Roman"/>
      <w:i/>
      <w:iCs/>
      <w:kern w:val="2"/>
      <w:sz w:val="21"/>
    </w:rPr>
  </w:style>
  <w:style w:type="character" w:customStyle="1" w:styleId="359">
    <w:name w:val="标题 7 Char"/>
    <w:link w:val="14"/>
    <w:qFormat/>
    <w:uiPriority w:val="0"/>
    <w:rPr>
      <w:rFonts w:ascii="Times New Roman" w:hAnsi="Times New Roman" w:eastAsia="宋体" w:cs="Times New Roman"/>
      <w:b/>
      <w:kern w:val="0"/>
      <w:sz w:val="24"/>
      <w:szCs w:val="20"/>
    </w:rPr>
  </w:style>
  <w:style w:type="character" w:customStyle="1" w:styleId="360">
    <w:name w:val="普通文字 Char2"/>
    <w:qFormat/>
    <w:uiPriority w:val="0"/>
    <w:rPr>
      <w:rFonts w:ascii="宋体" w:hAnsi="Courier New" w:eastAsia="宋体" w:cs="Times New Roman"/>
      <w:kern w:val="2"/>
      <w:sz w:val="21"/>
      <w:lang w:val="en-US" w:eastAsia="zh-CN" w:bidi="ar-SA"/>
    </w:rPr>
  </w:style>
  <w:style w:type="character" w:customStyle="1" w:styleId="361">
    <w:name w:val="注释标题 Char1"/>
    <w:qFormat/>
    <w:uiPriority w:val="0"/>
    <w:rPr>
      <w:rFonts w:ascii="Calibri" w:hAnsi="Calibri" w:eastAsia="宋体" w:cs="Times New Roman"/>
      <w:kern w:val="2"/>
      <w:sz w:val="21"/>
      <w:szCs w:val="22"/>
    </w:rPr>
  </w:style>
  <w:style w:type="character" w:customStyle="1" w:styleId="362">
    <w:name w:val="签名 Char7"/>
    <w:semiHidden/>
    <w:qFormat/>
    <w:uiPriority w:val="99"/>
    <w:rPr>
      <w:rFonts w:ascii="Calibri" w:hAnsi="Calibri" w:eastAsia="宋体" w:cs="Times New Roman"/>
    </w:rPr>
  </w:style>
  <w:style w:type="character" w:customStyle="1" w:styleId="363">
    <w:name w:val="电子邮件签名 Char6"/>
    <w:semiHidden/>
    <w:qFormat/>
    <w:uiPriority w:val="99"/>
    <w:rPr>
      <w:rFonts w:ascii="Calibri" w:hAnsi="Calibri" w:eastAsia="宋体" w:cs="Times New Roman"/>
    </w:rPr>
  </w:style>
  <w:style w:type="character" w:customStyle="1" w:styleId="364">
    <w:name w:val="批注主题 Char7"/>
    <w:semiHidden/>
    <w:qFormat/>
    <w:uiPriority w:val="99"/>
    <w:rPr>
      <w:rFonts w:ascii="Calibri" w:hAnsi="Calibri" w:eastAsia="宋体" w:cs="Times New Roman"/>
      <w:b/>
      <w:bCs/>
    </w:rPr>
  </w:style>
  <w:style w:type="character" w:customStyle="1" w:styleId="365">
    <w:name w:val="纯文本 字符1"/>
    <w:qFormat/>
    <w:uiPriority w:val="0"/>
    <w:rPr>
      <w:rFonts w:ascii="宋体" w:hAnsi="Courier New" w:eastAsia="宋体" w:cs="Times New Roman"/>
      <w:szCs w:val="20"/>
    </w:rPr>
  </w:style>
  <w:style w:type="character" w:customStyle="1" w:styleId="366">
    <w:name w:val="页脚 字符"/>
    <w:qFormat/>
    <w:uiPriority w:val="0"/>
    <w:rPr>
      <w:rFonts w:ascii="Calibri" w:hAnsi="Calibri" w:eastAsia="宋体" w:cs="Times New Roman"/>
      <w:sz w:val="18"/>
      <w:szCs w:val="18"/>
    </w:rPr>
  </w:style>
  <w:style w:type="character" w:customStyle="1" w:styleId="367">
    <w:name w:val="批注主题 字符"/>
    <w:qFormat/>
    <w:uiPriority w:val="0"/>
    <w:rPr>
      <w:rFonts w:ascii="Calibri" w:hAnsi="Calibri" w:eastAsia="宋体" w:cs="Times New Roman"/>
      <w:b/>
      <w:bCs/>
    </w:rPr>
  </w:style>
  <w:style w:type="character" w:customStyle="1" w:styleId="368">
    <w:name w:val="正文文本缩进 3 Char4"/>
    <w:qFormat/>
    <w:uiPriority w:val="0"/>
    <w:rPr>
      <w:rFonts w:ascii="Calibri" w:hAnsi="Calibri" w:eastAsia="宋体" w:cs="Times New Roman"/>
      <w:kern w:val="2"/>
      <w:sz w:val="16"/>
      <w:szCs w:val="16"/>
    </w:rPr>
  </w:style>
  <w:style w:type="character" w:customStyle="1" w:styleId="369">
    <w:name w:val="Char Char121"/>
    <w:qFormat/>
    <w:uiPriority w:val="0"/>
    <w:rPr>
      <w:rFonts w:ascii="Calibri" w:hAnsi="Calibri" w:eastAsia="宋体" w:cs="Times New Roman"/>
      <w:sz w:val="18"/>
      <w:lang w:bidi="ar-SA"/>
    </w:rPr>
  </w:style>
  <w:style w:type="character" w:customStyle="1" w:styleId="370">
    <w:name w:val="批注框文本 字符"/>
    <w:qFormat/>
    <w:uiPriority w:val="0"/>
    <w:rPr>
      <w:rFonts w:ascii="Calibri" w:hAnsi="Calibri" w:eastAsia="宋体" w:cs="Times New Roman"/>
      <w:sz w:val="18"/>
      <w:szCs w:val="18"/>
    </w:rPr>
  </w:style>
  <w:style w:type="character" w:customStyle="1" w:styleId="371">
    <w:name w:val="times1"/>
    <w:qFormat/>
    <w:uiPriority w:val="0"/>
    <w:rPr>
      <w:rFonts w:ascii="Calibri" w:hAnsi="Calibri" w:eastAsia="宋体" w:cs="Times New Roman"/>
      <w:color w:val="3399FF"/>
      <w:bdr w:val="single" w:color="D1EDF8" w:sz="6" w:space="0"/>
      <w:shd w:val="clear" w:color="auto" w:fill="EAF9FF"/>
    </w:rPr>
  </w:style>
  <w:style w:type="character" w:customStyle="1" w:styleId="372">
    <w:name w:val="标题 1 Char"/>
    <w:link w:val="4"/>
    <w:qFormat/>
    <w:uiPriority w:val="0"/>
    <w:rPr>
      <w:rFonts w:ascii="Arial" w:hAnsi="Arial" w:eastAsia="宋体" w:cs="Times New Roman"/>
      <w:b/>
      <w:kern w:val="44"/>
      <w:sz w:val="28"/>
      <w:szCs w:val="28"/>
    </w:rPr>
  </w:style>
  <w:style w:type="character" w:customStyle="1" w:styleId="373">
    <w:name w:val="样式 样式 仿宋_GB2312 四号 段后: 7.8 磅 行距: 1.5 倍行距 + 首行缩进:  2 字符 Char"/>
    <w:link w:val="96"/>
    <w:qFormat/>
    <w:uiPriority w:val="0"/>
    <w:rPr>
      <w:rFonts w:ascii="Batang" w:hAnsi="宋体" w:eastAsia="Calibri" w:cs="Times New Roman"/>
      <w:kern w:val="24"/>
      <w:sz w:val="24"/>
    </w:rPr>
  </w:style>
  <w:style w:type="character" w:customStyle="1" w:styleId="374">
    <w:name w:val="正文文本 Char5"/>
    <w:qFormat/>
    <w:uiPriority w:val="0"/>
    <w:rPr>
      <w:rFonts w:ascii="Calibri" w:hAnsi="Calibri" w:eastAsia="宋体" w:cs="Times New Roman"/>
      <w:kern w:val="2"/>
      <w:sz w:val="21"/>
      <w:szCs w:val="22"/>
    </w:rPr>
  </w:style>
  <w:style w:type="character" w:customStyle="1" w:styleId="375">
    <w:name w:val="批注文字 Char1"/>
    <w:qFormat/>
    <w:uiPriority w:val="0"/>
    <w:rPr>
      <w:rFonts w:ascii="Calibri" w:hAnsi="Calibri" w:eastAsia="宋体" w:cs="Times New Roman"/>
      <w:kern w:val="2"/>
      <w:sz w:val="21"/>
      <w:szCs w:val="22"/>
    </w:rPr>
  </w:style>
  <w:style w:type="character" w:customStyle="1" w:styleId="376">
    <w:name w:val="日期 Char"/>
    <w:link w:val="30"/>
    <w:qFormat/>
    <w:uiPriority w:val="0"/>
    <w:rPr>
      <w:rFonts w:ascii="Times New Roman" w:hAnsi="Times New Roman" w:eastAsia="宋体" w:cs="Times New Roman"/>
    </w:rPr>
  </w:style>
  <w:style w:type="character" w:customStyle="1" w:styleId="377">
    <w:name w:val="尾注文本 Char3"/>
    <w:qFormat/>
    <w:uiPriority w:val="0"/>
    <w:rPr>
      <w:rFonts w:ascii="Calibri" w:hAnsi="Calibri" w:eastAsia="宋体" w:cs="Times New Roman"/>
      <w:kern w:val="2"/>
      <w:sz w:val="21"/>
      <w:szCs w:val="22"/>
    </w:rPr>
  </w:style>
  <w:style w:type="character" w:customStyle="1" w:styleId="378">
    <w:name w:val="标题 3 字符"/>
    <w:qFormat/>
    <w:uiPriority w:val="0"/>
    <w:rPr>
      <w:rFonts w:ascii="Calibri" w:hAnsi="Calibri" w:eastAsia="宋体" w:cs="Times New Roman"/>
      <w:b/>
      <w:bCs/>
      <w:sz w:val="32"/>
      <w:szCs w:val="32"/>
    </w:rPr>
  </w:style>
  <w:style w:type="character" w:customStyle="1" w:styleId="379">
    <w:name w:val="正文文本缩进 字符"/>
    <w:qFormat/>
    <w:uiPriority w:val="0"/>
    <w:rPr>
      <w:rFonts w:ascii="Calibri" w:hAnsi="Calibri" w:eastAsia="宋体" w:cs="Times New Roman"/>
    </w:rPr>
  </w:style>
  <w:style w:type="character" w:customStyle="1" w:styleId="380">
    <w:name w:val="标题 6 Char"/>
    <w:link w:val="13"/>
    <w:qFormat/>
    <w:uiPriority w:val="0"/>
    <w:rPr>
      <w:rFonts w:ascii="Arial" w:hAnsi="Arial" w:eastAsia="黑体" w:cs="Times New Roman"/>
      <w:b/>
      <w:bCs/>
      <w:kern w:val="0"/>
      <w:sz w:val="24"/>
      <w:szCs w:val="24"/>
    </w:rPr>
  </w:style>
  <w:style w:type="character" w:customStyle="1" w:styleId="381">
    <w:name w:val="页眉 Char5"/>
    <w:semiHidden/>
    <w:qFormat/>
    <w:uiPriority w:val="99"/>
    <w:rPr>
      <w:rFonts w:ascii="Calibri" w:hAnsi="Calibri" w:eastAsia="宋体" w:cs="Times New Roman"/>
      <w:sz w:val="18"/>
      <w:szCs w:val="18"/>
    </w:rPr>
  </w:style>
  <w:style w:type="character" w:customStyle="1" w:styleId="382">
    <w:name w:val="username"/>
    <w:qFormat/>
    <w:uiPriority w:val="0"/>
    <w:rPr>
      <w:rFonts w:ascii="Calibri" w:hAnsi="Calibri" w:eastAsia="宋体" w:cs="Times New Roman"/>
    </w:rPr>
  </w:style>
  <w:style w:type="character" w:customStyle="1" w:styleId="383">
    <w:name w:val="正文首行缩进 2 Char1"/>
    <w:qFormat/>
    <w:uiPriority w:val="0"/>
    <w:rPr>
      <w:rFonts w:ascii="Calibri" w:hAnsi="Calibri" w:eastAsia="宋体" w:cs="Times New Roman"/>
      <w:kern w:val="2"/>
      <w:sz w:val="21"/>
      <w:szCs w:val="22"/>
    </w:rPr>
  </w:style>
  <w:style w:type="character" w:customStyle="1" w:styleId="384">
    <w:name w:val="文档结构图 Char2"/>
    <w:qFormat/>
    <w:uiPriority w:val="0"/>
    <w:rPr>
      <w:rFonts w:ascii="宋体" w:hAnsi="Calibri" w:eastAsia="宋体" w:cs="Times New Roman"/>
      <w:kern w:val="2"/>
      <w:sz w:val="18"/>
      <w:szCs w:val="18"/>
    </w:rPr>
  </w:style>
  <w:style w:type="character" w:customStyle="1" w:styleId="385">
    <w:name w:val="标题 字符"/>
    <w:qFormat/>
    <w:uiPriority w:val="0"/>
    <w:rPr>
      <w:rFonts w:ascii="等线 Light" w:hAnsi="等线 Light" w:eastAsia="等线 Light" w:cs="Times New Roman"/>
      <w:b/>
      <w:bCs/>
      <w:sz w:val="32"/>
      <w:szCs w:val="32"/>
    </w:rPr>
  </w:style>
  <w:style w:type="character" w:customStyle="1" w:styleId="386">
    <w:name w:val="批注文字 Char"/>
    <w:qFormat/>
    <w:uiPriority w:val="0"/>
    <w:rPr>
      <w:rFonts w:ascii="Calibri" w:hAnsi="Calibri" w:eastAsia="宋体" w:cs="Times New Roman"/>
      <w:kern w:val="2"/>
      <w:sz w:val="21"/>
      <w:szCs w:val="22"/>
    </w:rPr>
  </w:style>
  <w:style w:type="character" w:customStyle="1" w:styleId="387">
    <w:name w:val="纯文本 Char Char Char Char"/>
    <w:qFormat/>
    <w:uiPriority w:val="0"/>
    <w:rPr>
      <w:rFonts w:ascii="宋体" w:hAnsi="Courier New" w:eastAsia="宋体" w:cs="Times New Roman"/>
      <w:kern w:val="2"/>
      <w:sz w:val="21"/>
      <w:lang w:val="en-US" w:eastAsia="zh-CN" w:bidi="ar-SA"/>
    </w:rPr>
  </w:style>
  <w:style w:type="character" w:customStyle="1" w:styleId="388">
    <w:name w:val="方案正文 Char"/>
    <w:link w:val="95"/>
    <w:qFormat/>
    <w:uiPriority w:val="0"/>
    <w:rPr>
      <w:rFonts w:ascii="宋体" w:hAnsi="Times New Roman" w:eastAsia="宋体" w:cs="Times New Roman"/>
      <w:sz w:val="24"/>
      <w:szCs w:val="24"/>
    </w:rPr>
  </w:style>
  <w:style w:type="character" w:customStyle="1" w:styleId="389">
    <w:name w:val="结束语 Char3"/>
    <w:qFormat/>
    <w:uiPriority w:val="0"/>
    <w:rPr>
      <w:rFonts w:ascii="Calibri" w:hAnsi="Calibri" w:eastAsia="宋体" w:cs="Times New Roman"/>
      <w:kern w:val="2"/>
      <w:sz w:val="21"/>
      <w:szCs w:val="22"/>
    </w:rPr>
  </w:style>
  <w:style w:type="character" w:customStyle="1" w:styleId="390">
    <w:name w:val="表格文字居左 Char"/>
    <w:link w:val="90"/>
    <w:qFormat/>
    <w:uiPriority w:val="0"/>
    <w:rPr>
      <w:rFonts w:ascii="宋体" w:hAnsi="Calibri" w:eastAsia="宋体" w:cs="Times New Roman"/>
      <w:sz w:val="24"/>
      <w:szCs w:val="24"/>
    </w:rPr>
  </w:style>
  <w:style w:type="character" w:customStyle="1" w:styleId="391">
    <w:name w:val="标题 Char5"/>
    <w:qFormat/>
    <w:uiPriority w:val="0"/>
    <w:rPr>
      <w:rFonts w:ascii="Cambria" w:hAnsi="Cambria" w:eastAsia="宋体" w:cs="Times New Roman"/>
      <w:b/>
      <w:bCs/>
      <w:sz w:val="32"/>
      <w:szCs w:val="32"/>
    </w:rPr>
  </w:style>
  <w:style w:type="character" w:customStyle="1" w:styleId="392">
    <w:name w:val="宏文本 Char2"/>
    <w:qFormat/>
    <w:uiPriority w:val="0"/>
    <w:rPr>
      <w:rFonts w:ascii="Courier New" w:hAnsi="Courier New" w:eastAsia="宋体" w:cs="Courier New"/>
      <w:kern w:val="2"/>
      <w:sz w:val="24"/>
      <w:szCs w:val="24"/>
    </w:rPr>
  </w:style>
  <w:style w:type="character" w:customStyle="1" w:styleId="393">
    <w:name w:val="正文文本缩进 2 Char2"/>
    <w:qFormat/>
    <w:uiPriority w:val="0"/>
    <w:rPr>
      <w:rFonts w:ascii="Calibri" w:hAnsi="Calibri" w:eastAsia="宋体" w:cs="Times New Roman"/>
      <w:kern w:val="2"/>
      <w:sz w:val="21"/>
      <w:szCs w:val="22"/>
    </w:rPr>
  </w:style>
  <w:style w:type="character" w:customStyle="1" w:styleId="394">
    <w:name w:val="纯文本 Char1"/>
    <w:qFormat/>
    <w:uiPriority w:val="0"/>
    <w:rPr>
      <w:rFonts w:ascii="宋体" w:hAnsi="Courier New" w:eastAsia="宋体" w:cs="Courier New"/>
      <w:kern w:val="2"/>
      <w:sz w:val="21"/>
      <w:szCs w:val="21"/>
    </w:rPr>
  </w:style>
  <w:style w:type="character" w:customStyle="1" w:styleId="395">
    <w:name w:val="样式 样式 样式 仿宋_GB2312 四号 段后: 7.8 磅 行距: 1.5 倍行距 + 首行缩进:  2 字符 + Char"/>
    <w:link w:val="77"/>
    <w:qFormat/>
    <w:uiPriority w:val="0"/>
    <w:rPr>
      <w:rFonts w:ascii="Batang" w:hAnsi="宋体" w:eastAsia="Calibri" w:cs="Times New Roman"/>
      <w:sz w:val="24"/>
    </w:rPr>
  </w:style>
  <w:style w:type="character" w:customStyle="1" w:styleId="396">
    <w:name w:val="HTML 地址 Char4"/>
    <w:qFormat/>
    <w:uiPriority w:val="0"/>
    <w:rPr>
      <w:rFonts w:ascii="Calibri" w:hAnsi="Calibri" w:eastAsia="宋体" w:cs="Times New Roman"/>
      <w:i/>
      <w:iCs/>
      <w:kern w:val="2"/>
      <w:sz w:val="21"/>
      <w:szCs w:val="22"/>
    </w:rPr>
  </w:style>
  <w:style w:type="character" w:customStyle="1" w:styleId="397">
    <w:name w:val="电子邮件签名 Char2"/>
    <w:qFormat/>
    <w:uiPriority w:val="0"/>
    <w:rPr>
      <w:rFonts w:ascii="Calibri" w:hAnsi="Calibri" w:eastAsia="宋体" w:cs="Times New Roman"/>
      <w:kern w:val="2"/>
      <w:sz w:val="21"/>
      <w:szCs w:val="22"/>
    </w:rPr>
  </w:style>
  <w:style w:type="character" w:customStyle="1" w:styleId="398">
    <w:name w:val="正文文本1"/>
    <w:uiPriority w:val="0"/>
    <w:rPr>
      <w:rFonts w:ascii="宋体" w:hAnsi="宋体" w:eastAsia="宋体" w:cs="宋体"/>
      <w:color w:val="000000"/>
      <w:spacing w:val="0"/>
      <w:w w:val="100"/>
      <w:position w:val="0"/>
      <w:sz w:val="19"/>
      <w:szCs w:val="19"/>
      <w:shd w:val="clear" w:color="auto" w:fill="FFFFFF"/>
      <w:lang w:val="zh-TW"/>
    </w:rPr>
  </w:style>
  <w:style w:type="character" w:customStyle="1" w:styleId="399">
    <w:name w:val="hover41"/>
    <w:qFormat/>
    <w:uiPriority w:val="0"/>
    <w:rPr>
      <w:rFonts w:ascii="Calibri" w:hAnsi="Calibri" w:eastAsia="宋体" w:cs="Times New Roman"/>
    </w:rPr>
  </w:style>
  <w:style w:type="character" w:customStyle="1" w:styleId="400">
    <w:name w:val="正文文本首行缩进 字符"/>
    <w:link w:val="125"/>
    <w:qFormat/>
    <w:uiPriority w:val="0"/>
    <w:rPr>
      <w:rFonts w:ascii="宋体" w:hAnsi="宋体" w:eastAsia="宋体" w:cs="Times New Roman"/>
      <w:caps/>
      <w:sz w:val="24"/>
      <w:szCs w:val="32"/>
    </w:rPr>
  </w:style>
  <w:style w:type="character" w:customStyle="1" w:styleId="401">
    <w:name w:val="正文文本 Char2"/>
    <w:qFormat/>
    <w:uiPriority w:val="0"/>
    <w:rPr>
      <w:rFonts w:ascii="Calibri" w:hAnsi="Calibri" w:eastAsia="宋体" w:cs="Times New Roman"/>
      <w:kern w:val="2"/>
      <w:sz w:val="21"/>
      <w:szCs w:val="22"/>
    </w:rPr>
  </w:style>
  <w:style w:type="character" w:customStyle="1" w:styleId="402">
    <w:name w:val="正文文本 2 Char4"/>
    <w:uiPriority w:val="0"/>
    <w:rPr>
      <w:rFonts w:ascii="Calibri" w:hAnsi="Calibri" w:eastAsia="宋体" w:cs="Times New Roman"/>
      <w:kern w:val="2"/>
      <w:sz w:val="21"/>
      <w:szCs w:val="22"/>
    </w:rPr>
  </w:style>
  <w:style w:type="character" w:customStyle="1" w:styleId="403">
    <w:name w:val="宏文本 Char5"/>
    <w:qFormat/>
    <w:uiPriority w:val="0"/>
    <w:rPr>
      <w:rFonts w:ascii="Courier New" w:hAnsi="Courier New" w:eastAsia="宋体" w:cs="Courier New"/>
      <w:kern w:val="2"/>
      <w:sz w:val="24"/>
      <w:szCs w:val="24"/>
    </w:rPr>
  </w:style>
  <w:style w:type="character" w:customStyle="1" w:styleId="404">
    <w:name w:val="结束语 Char4"/>
    <w:qFormat/>
    <w:uiPriority w:val="0"/>
    <w:rPr>
      <w:rFonts w:ascii="Calibri" w:hAnsi="Calibri" w:eastAsia="宋体" w:cs="Times New Roman"/>
      <w:kern w:val="2"/>
      <w:sz w:val="21"/>
      <w:szCs w:val="22"/>
    </w:rPr>
  </w:style>
  <w:style w:type="character" w:customStyle="1" w:styleId="405">
    <w:name w:val="正文首行缩进 2 Char4"/>
    <w:qFormat/>
    <w:uiPriority w:val="0"/>
    <w:rPr>
      <w:rFonts w:ascii="Calibri" w:hAnsi="Calibri" w:eastAsia="宋体" w:cs="Times New Roman"/>
    </w:rPr>
  </w:style>
  <w:style w:type="character" w:customStyle="1" w:styleId="406">
    <w:name w:val="副标题 Char5"/>
    <w:qFormat/>
    <w:uiPriority w:val="0"/>
    <w:rPr>
      <w:rFonts w:ascii="Cambria" w:hAnsi="Cambria" w:eastAsia="宋体" w:cs="Times New Roman"/>
      <w:b/>
      <w:bCs/>
      <w:kern w:val="28"/>
      <w:sz w:val="32"/>
      <w:szCs w:val="32"/>
    </w:rPr>
  </w:style>
  <w:style w:type="character" w:customStyle="1" w:styleId="407">
    <w:name w:val="签名 Char3"/>
    <w:qFormat/>
    <w:uiPriority w:val="0"/>
    <w:rPr>
      <w:rFonts w:ascii="Calibri" w:hAnsi="Calibri" w:eastAsia="宋体" w:cs="Times New Roman"/>
      <w:kern w:val="2"/>
      <w:sz w:val="21"/>
      <w:szCs w:val="22"/>
    </w:rPr>
  </w:style>
  <w:style w:type="character" w:customStyle="1" w:styleId="408">
    <w:name w:val="Char Char91"/>
    <w:qFormat/>
    <w:uiPriority w:val="0"/>
    <w:rPr>
      <w:rFonts w:ascii="Calibri" w:hAnsi="Calibri" w:eastAsia="宋体" w:cs="Times New Roman"/>
      <w:b/>
      <w:bCs/>
      <w:lang w:bidi="ar-SA"/>
    </w:rPr>
  </w:style>
  <w:style w:type="character" w:customStyle="1" w:styleId="409">
    <w:name w:val="HTML 地址 Char5"/>
    <w:qFormat/>
    <w:uiPriority w:val="0"/>
    <w:rPr>
      <w:rFonts w:ascii="Calibri" w:hAnsi="Calibri" w:eastAsia="宋体" w:cs="Times New Roman"/>
      <w:i/>
      <w:iCs/>
      <w:kern w:val="2"/>
      <w:sz w:val="21"/>
      <w:szCs w:val="22"/>
    </w:rPr>
  </w:style>
  <w:style w:type="character" w:customStyle="1" w:styleId="410">
    <w:name w:val="页脚 Char5"/>
    <w:semiHidden/>
    <w:qFormat/>
    <w:uiPriority w:val="99"/>
    <w:rPr>
      <w:rFonts w:ascii="Calibri" w:hAnsi="Calibri" w:eastAsia="宋体" w:cs="Times New Roman"/>
      <w:sz w:val="18"/>
      <w:szCs w:val="18"/>
    </w:rPr>
  </w:style>
  <w:style w:type="character" w:customStyle="1" w:styleId="411">
    <w:name w:val="正文文本 2 Char1"/>
    <w:qFormat/>
    <w:uiPriority w:val="0"/>
    <w:rPr>
      <w:rFonts w:ascii="Calibri" w:hAnsi="Calibri" w:eastAsia="宋体" w:cs="Times New Roman"/>
      <w:kern w:val="2"/>
      <w:sz w:val="21"/>
      <w:szCs w:val="22"/>
    </w:rPr>
  </w:style>
  <w:style w:type="character" w:customStyle="1" w:styleId="412">
    <w:name w:val="正文文本缩进 2 Char6"/>
    <w:semiHidden/>
    <w:qFormat/>
    <w:uiPriority w:val="99"/>
    <w:rPr>
      <w:rFonts w:ascii="Calibri" w:hAnsi="Calibri" w:eastAsia="宋体" w:cs="Times New Roman"/>
    </w:rPr>
  </w:style>
  <w:style w:type="character" w:customStyle="1" w:styleId="413">
    <w:name w:val="签名 Char6"/>
    <w:uiPriority w:val="0"/>
    <w:rPr>
      <w:rFonts w:ascii="Calibri" w:hAnsi="Calibri" w:eastAsia="宋体" w:cs="Times New Roman"/>
      <w:kern w:val="2"/>
      <w:sz w:val="21"/>
      <w:szCs w:val="22"/>
    </w:rPr>
  </w:style>
  <w:style w:type="character" w:customStyle="1" w:styleId="414">
    <w:name w:val="正文文本缩进 2 字符"/>
    <w:qFormat/>
    <w:uiPriority w:val="0"/>
    <w:rPr>
      <w:rFonts w:ascii="Calibri" w:hAnsi="Calibri" w:eastAsia="宋体" w:cs="Times New Roman"/>
    </w:rPr>
  </w:style>
  <w:style w:type="character" w:customStyle="1" w:styleId="415">
    <w:name w:val="称呼 Char2"/>
    <w:qFormat/>
    <w:uiPriority w:val="0"/>
    <w:rPr>
      <w:rFonts w:ascii="Calibri" w:hAnsi="Calibri" w:eastAsia="宋体" w:cs="Times New Roman"/>
      <w:kern w:val="2"/>
      <w:sz w:val="21"/>
      <w:szCs w:val="22"/>
    </w:rPr>
  </w:style>
  <w:style w:type="character" w:customStyle="1" w:styleId="416">
    <w:name w:val="font41"/>
    <w:qFormat/>
    <w:uiPriority w:val="0"/>
    <w:rPr>
      <w:rFonts w:hint="eastAsia" w:ascii="宋体" w:hAnsi="宋体" w:eastAsia="宋体" w:cs="宋体"/>
      <w:color w:val="FF0000"/>
      <w:sz w:val="24"/>
      <w:szCs w:val="24"/>
      <w:u w:val="none"/>
    </w:rPr>
  </w:style>
  <w:style w:type="character" w:customStyle="1" w:styleId="417">
    <w:name w:val="正文部分 Char"/>
    <w:link w:val="78"/>
    <w:qFormat/>
    <w:uiPriority w:val="0"/>
    <w:rPr>
      <w:rFonts w:ascii="Calibri" w:hAnsi="Calibri" w:eastAsia="宋体" w:cs="Times New Roman"/>
      <w:sz w:val="24"/>
      <w:szCs w:val="24"/>
    </w:rPr>
  </w:style>
  <w:style w:type="character" w:customStyle="1" w:styleId="418">
    <w:name w:val="正文文本缩进 3 Char1"/>
    <w:qFormat/>
    <w:uiPriority w:val="0"/>
    <w:rPr>
      <w:rFonts w:ascii="Calibri" w:hAnsi="Calibri" w:eastAsia="宋体" w:cs="Times New Roman"/>
      <w:kern w:val="2"/>
      <w:sz w:val="16"/>
      <w:szCs w:val="16"/>
    </w:rPr>
  </w:style>
  <w:style w:type="character" w:customStyle="1" w:styleId="419">
    <w:name w:val="正文文本缩进 Char7"/>
    <w:semiHidden/>
    <w:qFormat/>
    <w:uiPriority w:val="99"/>
    <w:rPr>
      <w:rFonts w:ascii="Calibri" w:hAnsi="Calibri" w:eastAsia="宋体" w:cs="Times New Roman"/>
    </w:rPr>
  </w:style>
  <w:style w:type="character" w:customStyle="1" w:styleId="420">
    <w:name w:val="HTML 预设格式 Char3"/>
    <w:qFormat/>
    <w:uiPriority w:val="0"/>
    <w:rPr>
      <w:rFonts w:ascii="Courier New" w:hAnsi="Courier New" w:eastAsia="宋体" w:cs="Courier New"/>
      <w:kern w:val="2"/>
    </w:rPr>
  </w:style>
  <w:style w:type="character" w:customStyle="1" w:styleId="421">
    <w:name w:val="javascript"/>
    <w:qFormat/>
    <w:uiPriority w:val="0"/>
    <w:rPr>
      <w:rFonts w:ascii="Times New Roman" w:hAnsi="Times New Roman" w:eastAsia="宋体" w:cs="Times New Roman"/>
    </w:rPr>
  </w:style>
  <w:style w:type="character" w:customStyle="1" w:styleId="422">
    <w:name w:val="文档结构图 Char4"/>
    <w:qFormat/>
    <w:uiPriority w:val="0"/>
    <w:rPr>
      <w:rFonts w:ascii="宋体" w:hAnsi="Calibri" w:eastAsia="宋体" w:cs="Times New Roman"/>
      <w:kern w:val="2"/>
      <w:sz w:val="18"/>
      <w:szCs w:val="18"/>
    </w:rPr>
  </w:style>
  <w:style w:type="character" w:customStyle="1" w:styleId="423">
    <w:name w:val="批注文字 Char4"/>
    <w:uiPriority w:val="0"/>
    <w:rPr>
      <w:rFonts w:hint="default" w:ascii="Times New Roman" w:hAnsi="Times New Roman" w:eastAsia="宋体" w:cs="Times New Roman"/>
      <w:kern w:val="2"/>
      <w:sz w:val="21"/>
      <w:szCs w:val="22"/>
    </w:rPr>
  </w:style>
  <w:style w:type="character" w:customStyle="1" w:styleId="424">
    <w:name w:val="页脚 Char3"/>
    <w:qFormat/>
    <w:uiPriority w:val="0"/>
    <w:rPr>
      <w:rFonts w:ascii="Times New Roman" w:hAnsi="Times New Roman" w:eastAsia="宋体" w:cs="Times New Roman"/>
      <w:sz w:val="18"/>
      <w:szCs w:val="18"/>
    </w:rPr>
  </w:style>
  <w:style w:type="character" w:customStyle="1" w:styleId="425">
    <w:name w:val="s3"/>
    <w:qFormat/>
    <w:uiPriority w:val="0"/>
    <w:rPr>
      <w:rFonts w:ascii="Calibri" w:hAnsi="Calibri" w:eastAsia="宋体" w:cs="Times New Roman"/>
    </w:rPr>
  </w:style>
  <w:style w:type="character" w:customStyle="1" w:styleId="426">
    <w:name w:val="页眉 Char3"/>
    <w:qFormat/>
    <w:uiPriority w:val="0"/>
    <w:rPr>
      <w:rFonts w:ascii="Times New Roman" w:hAnsi="Times New Roman" w:eastAsia="宋体" w:cs="Times New Roman"/>
      <w:sz w:val="18"/>
      <w:szCs w:val="18"/>
    </w:rPr>
  </w:style>
  <w:style w:type="character" w:customStyle="1" w:styleId="427">
    <w:name w:val="HTML 预设格式 Char6"/>
    <w:semiHidden/>
    <w:qFormat/>
    <w:uiPriority w:val="99"/>
    <w:rPr>
      <w:rFonts w:ascii="Courier New" w:hAnsi="Courier New" w:eastAsia="宋体" w:cs="Courier New"/>
      <w:sz w:val="20"/>
      <w:szCs w:val="20"/>
    </w:rPr>
  </w:style>
  <w:style w:type="character" w:customStyle="1" w:styleId="428">
    <w:name w:val="信息标题 Char5"/>
    <w:qFormat/>
    <w:uiPriority w:val="0"/>
    <w:rPr>
      <w:rFonts w:ascii="Cambria" w:hAnsi="Cambria" w:eastAsia="宋体" w:cs="Times New Roman"/>
      <w:kern w:val="2"/>
      <w:sz w:val="24"/>
      <w:szCs w:val="24"/>
      <w:shd w:val="pct20" w:color="auto" w:fill="auto"/>
    </w:rPr>
  </w:style>
  <w:style w:type="character" w:customStyle="1" w:styleId="429">
    <w:name w:val="s15"/>
    <w:qFormat/>
    <w:uiPriority w:val="0"/>
    <w:rPr>
      <w:rFonts w:ascii="Calibri" w:hAnsi="Calibri" w:eastAsia="宋体" w:cs="Times New Roman"/>
      <w:color w:val="2131A1"/>
    </w:rPr>
  </w:style>
  <w:style w:type="character" w:customStyle="1" w:styleId="430">
    <w:name w:val="标题 Char7"/>
    <w:qFormat/>
    <w:uiPriority w:val="0"/>
    <w:rPr>
      <w:rFonts w:ascii="Cambria" w:hAnsi="Cambria" w:eastAsia="宋体" w:cs="Times New Roman"/>
      <w:b/>
      <w:bCs/>
      <w:kern w:val="2"/>
      <w:sz w:val="32"/>
      <w:szCs w:val="32"/>
    </w:rPr>
  </w:style>
  <w:style w:type="character" w:customStyle="1" w:styleId="431">
    <w:name w:val="文档结构图 Char"/>
    <w:link w:val="19"/>
    <w:qFormat/>
    <w:uiPriority w:val="0"/>
    <w:rPr>
      <w:rFonts w:ascii="Times New Roman" w:hAnsi="Times New Roman" w:eastAsia="宋体" w:cs="Times New Roman"/>
      <w:shd w:val="clear" w:color="auto" w:fill="000080"/>
    </w:rPr>
  </w:style>
  <w:style w:type="character" w:customStyle="1" w:styleId="432">
    <w:name w:val="正文文本缩进 2 Char4"/>
    <w:qFormat/>
    <w:uiPriority w:val="0"/>
    <w:rPr>
      <w:rFonts w:ascii="Calibri" w:hAnsi="Calibri" w:eastAsia="宋体" w:cs="Times New Roman"/>
      <w:kern w:val="2"/>
      <w:sz w:val="21"/>
      <w:szCs w:val="22"/>
    </w:rPr>
  </w:style>
  <w:style w:type="character" w:customStyle="1" w:styleId="433">
    <w:name w:val="脚注文本 Char2"/>
    <w:qFormat/>
    <w:uiPriority w:val="0"/>
    <w:rPr>
      <w:rFonts w:ascii="Times New Roman" w:hAnsi="Times New Roman" w:eastAsia="宋体" w:cs="Times New Roman"/>
      <w:sz w:val="18"/>
      <w:szCs w:val="18"/>
    </w:rPr>
  </w:style>
  <w:style w:type="character" w:customStyle="1" w:styleId="434">
    <w:name w:val="副标题 Char4"/>
    <w:qFormat/>
    <w:uiPriority w:val="0"/>
    <w:rPr>
      <w:rFonts w:ascii="Cambria" w:hAnsi="Cambria" w:eastAsia="宋体" w:cs="Times New Roman"/>
      <w:b/>
      <w:bCs/>
      <w:kern w:val="28"/>
      <w:sz w:val="32"/>
      <w:szCs w:val="32"/>
    </w:rPr>
  </w:style>
  <w:style w:type="character" w:customStyle="1" w:styleId="435">
    <w:name w:val="批注主题 Char5"/>
    <w:qFormat/>
    <w:uiPriority w:val="0"/>
    <w:rPr>
      <w:rFonts w:ascii="Calibri" w:hAnsi="Calibri" w:eastAsia="宋体" w:cs="Times New Roman"/>
      <w:b/>
      <w:bCs/>
      <w:kern w:val="2"/>
      <w:sz w:val="21"/>
      <w:szCs w:val="22"/>
    </w:rPr>
  </w:style>
  <w:style w:type="character" w:customStyle="1" w:styleId="436">
    <w:name w:val="批注框文本 Char"/>
    <w:link w:val="33"/>
    <w:qFormat/>
    <w:uiPriority w:val="0"/>
    <w:rPr>
      <w:rFonts w:ascii="Times New Roman" w:hAnsi="Times New Roman" w:eastAsia="宋体" w:cs="Times New Roman"/>
      <w:sz w:val="18"/>
      <w:szCs w:val="18"/>
    </w:rPr>
  </w:style>
  <w:style w:type="character" w:customStyle="1" w:styleId="437">
    <w:name w:val="表格左缩进 Char"/>
    <w:link w:val="103"/>
    <w:qFormat/>
    <w:uiPriority w:val="0"/>
    <w:rPr>
      <w:rFonts w:ascii="宋体" w:hAnsi="Calibri" w:eastAsia="宋体" w:cs="Times New Roman"/>
      <w:szCs w:val="21"/>
    </w:rPr>
  </w:style>
  <w:style w:type="character" w:customStyle="1" w:styleId="438">
    <w:name w:val="正文文本 Char1"/>
    <w:uiPriority w:val="0"/>
    <w:rPr>
      <w:rFonts w:ascii="Calibri" w:hAnsi="Calibri" w:eastAsia="宋体" w:cs="Times New Roman"/>
      <w:kern w:val="2"/>
      <w:sz w:val="21"/>
      <w:szCs w:val="22"/>
    </w:rPr>
  </w:style>
  <w:style w:type="character" w:customStyle="1" w:styleId="439">
    <w:name w:val="页眉 Char4"/>
    <w:uiPriority w:val="0"/>
    <w:rPr>
      <w:rFonts w:ascii="Calibri" w:hAnsi="Calibri" w:eastAsia="宋体" w:cs="Times New Roman"/>
      <w:kern w:val="2"/>
      <w:sz w:val="18"/>
      <w:szCs w:val="18"/>
    </w:rPr>
  </w:style>
  <w:style w:type="character" w:customStyle="1" w:styleId="440">
    <w:name w:val="页眉 Char2"/>
    <w:qFormat/>
    <w:uiPriority w:val="0"/>
    <w:rPr>
      <w:rFonts w:ascii="Calibri" w:hAnsi="Calibri" w:eastAsia="楷体_GB2312" w:cs="Times New Roman"/>
      <w:sz w:val="18"/>
      <w:szCs w:val="18"/>
    </w:rPr>
  </w:style>
  <w:style w:type="character" w:customStyle="1" w:styleId="441">
    <w:name w:val="正文文本缩进 2 Char1"/>
    <w:qFormat/>
    <w:uiPriority w:val="0"/>
    <w:rPr>
      <w:rFonts w:ascii="Calibri" w:hAnsi="Calibri" w:eastAsia="宋体" w:cs="Times New Roman"/>
      <w:kern w:val="2"/>
      <w:sz w:val="21"/>
      <w:szCs w:val="22"/>
    </w:rPr>
  </w:style>
  <w:style w:type="character" w:customStyle="1" w:styleId="442">
    <w:name w:val="称呼 Char1"/>
    <w:qFormat/>
    <w:uiPriority w:val="0"/>
    <w:rPr>
      <w:rFonts w:ascii="Calibri" w:hAnsi="Calibri" w:eastAsia="宋体" w:cs="Times New Roman"/>
      <w:kern w:val="2"/>
      <w:sz w:val="21"/>
      <w:szCs w:val="22"/>
    </w:rPr>
  </w:style>
  <w:style w:type="character" w:customStyle="1" w:styleId="443">
    <w:name w:val="正文文本 + Century Schoolbook"/>
    <w:qFormat/>
    <w:uiPriority w:val="0"/>
    <w:rPr>
      <w:rFonts w:ascii="Century Schoolbook" w:hAnsi="Century Schoolbook" w:eastAsia="Century Schoolbook" w:cs="Century Schoolbook"/>
      <w:b/>
      <w:bCs/>
      <w:color w:val="000000"/>
      <w:spacing w:val="10"/>
      <w:w w:val="100"/>
      <w:position w:val="0"/>
      <w:sz w:val="17"/>
      <w:szCs w:val="17"/>
      <w:shd w:val="clear" w:color="auto" w:fill="FFFFFF"/>
      <w:lang w:val="en-US"/>
    </w:rPr>
  </w:style>
  <w:style w:type="character" w:customStyle="1" w:styleId="444">
    <w:name w:val="批注文字 Char7"/>
    <w:link w:val="20"/>
    <w:semiHidden/>
    <w:qFormat/>
    <w:uiPriority w:val="99"/>
    <w:rPr>
      <w:rFonts w:ascii="Calibri" w:hAnsi="Calibri" w:eastAsia="宋体" w:cs="Times New Roman"/>
    </w:rPr>
  </w:style>
  <w:style w:type="character" w:customStyle="1" w:styleId="445">
    <w:name w:val="正文文本 2 Char6"/>
    <w:semiHidden/>
    <w:qFormat/>
    <w:uiPriority w:val="99"/>
    <w:rPr>
      <w:rFonts w:ascii="Calibri" w:hAnsi="Calibri" w:eastAsia="宋体" w:cs="Times New Roman"/>
    </w:rPr>
  </w:style>
  <w:style w:type="character" w:customStyle="1" w:styleId="446">
    <w:name w:val="批注文字 Char3"/>
    <w:qFormat/>
    <w:uiPriority w:val="0"/>
    <w:rPr>
      <w:rFonts w:ascii="Times New Roman" w:hAnsi="Times New Roman" w:eastAsia="宋体" w:cs="Times New Roman"/>
    </w:rPr>
  </w:style>
  <w:style w:type="character" w:customStyle="1" w:styleId="447">
    <w:name w:val="页脚 Char1"/>
    <w:qFormat/>
    <w:uiPriority w:val="0"/>
    <w:rPr>
      <w:rFonts w:ascii="Calibri" w:hAnsi="Calibri" w:eastAsia="楷体_GB2312" w:cs="Times New Roman"/>
      <w:sz w:val="18"/>
    </w:rPr>
  </w:style>
  <w:style w:type="character" w:customStyle="1" w:styleId="448">
    <w:name w:val="副标题 Char7"/>
    <w:qFormat/>
    <w:uiPriority w:val="11"/>
    <w:rPr>
      <w:rFonts w:ascii="Cambria" w:hAnsi="Cambria" w:eastAsia="宋体" w:cs="Times New Roman"/>
      <w:b/>
      <w:bCs/>
      <w:kern w:val="28"/>
      <w:sz w:val="32"/>
      <w:szCs w:val="32"/>
    </w:rPr>
  </w:style>
  <w:style w:type="character" w:customStyle="1" w:styleId="449">
    <w:name w:val="西塔正文1 Char"/>
    <w:qFormat/>
    <w:uiPriority w:val="0"/>
    <w:rPr>
      <w:rFonts w:ascii="宋体" w:hAnsi="Times New Roman" w:eastAsia="宋体" w:cs="Times New Roman"/>
      <w:kern w:val="2"/>
      <w:sz w:val="24"/>
      <w:szCs w:val="24"/>
      <w:lang w:val="en-US" w:eastAsia="zh-CN" w:bidi="ar-SA"/>
    </w:rPr>
  </w:style>
  <w:style w:type="character" w:customStyle="1" w:styleId="450">
    <w:name w:val="尾注文本 Char2"/>
    <w:qFormat/>
    <w:uiPriority w:val="0"/>
    <w:rPr>
      <w:rFonts w:ascii="Calibri" w:hAnsi="Calibri" w:eastAsia="宋体" w:cs="Times New Roman"/>
      <w:kern w:val="2"/>
      <w:sz w:val="21"/>
      <w:szCs w:val="22"/>
    </w:rPr>
  </w:style>
  <w:style w:type="character" w:customStyle="1" w:styleId="451">
    <w:name w:val="正文首行缩进 Char3"/>
    <w:qFormat/>
    <w:uiPriority w:val="0"/>
    <w:rPr>
      <w:rFonts w:ascii="Calibri" w:hAnsi="Calibri" w:eastAsia="宋体" w:cs="Times New Roman"/>
    </w:rPr>
  </w:style>
  <w:style w:type="character" w:customStyle="1" w:styleId="452">
    <w:name w:val="副标题 Char1"/>
    <w:qFormat/>
    <w:uiPriority w:val="0"/>
    <w:rPr>
      <w:rFonts w:ascii="Cambria" w:hAnsi="Cambria" w:eastAsia="宋体" w:cs="Times New Roman"/>
      <w:b/>
      <w:bCs/>
      <w:kern w:val="28"/>
      <w:sz w:val="32"/>
      <w:szCs w:val="32"/>
    </w:rPr>
  </w:style>
  <w:style w:type="character" w:customStyle="1" w:styleId="453">
    <w:name w:val="日期 Char1"/>
    <w:qFormat/>
    <w:uiPriority w:val="0"/>
    <w:rPr>
      <w:rFonts w:ascii="Calibri" w:hAnsi="Calibri" w:eastAsia="宋体" w:cs="Times New Roman"/>
      <w:kern w:val="2"/>
      <w:sz w:val="21"/>
      <w:szCs w:val="22"/>
    </w:rPr>
  </w:style>
  <w:style w:type="character" w:customStyle="1" w:styleId="454">
    <w:name w:val="HTML 地址 Char3"/>
    <w:qFormat/>
    <w:uiPriority w:val="0"/>
    <w:rPr>
      <w:rFonts w:ascii="Times New Roman" w:hAnsi="Times New Roman" w:eastAsia="宋体" w:cs="Times New Roman"/>
      <w:i/>
      <w:iCs/>
    </w:rPr>
  </w:style>
  <w:style w:type="character" w:customStyle="1" w:styleId="455">
    <w:name w:val="批注框文本 Char1"/>
    <w:qFormat/>
    <w:uiPriority w:val="0"/>
    <w:rPr>
      <w:rFonts w:ascii="Calibri" w:hAnsi="Calibri" w:eastAsia="宋体" w:cs="Times New Roman"/>
      <w:kern w:val="2"/>
      <w:sz w:val="18"/>
      <w:szCs w:val="18"/>
    </w:rPr>
  </w:style>
  <w:style w:type="character" w:customStyle="1" w:styleId="456">
    <w:name w:val="Char Char101"/>
    <w:qFormat/>
    <w:uiPriority w:val="0"/>
    <w:rPr>
      <w:rFonts w:ascii="Calibri" w:hAnsi="Calibri" w:eastAsia="宋体" w:cs="Times New Roman"/>
      <w:kern w:val="2"/>
      <w:sz w:val="21"/>
      <w:szCs w:val="24"/>
      <w:lang w:val="en-US" w:eastAsia="zh-CN" w:bidi="ar-SA"/>
    </w:rPr>
  </w:style>
  <w:style w:type="character" w:customStyle="1" w:styleId="457">
    <w:name w:val="页脚 Char4"/>
    <w:qFormat/>
    <w:uiPriority w:val="0"/>
    <w:rPr>
      <w:rFonts w:ascii="Calibri" w:hAnsi="Calibri" w:eastAsia="宋体" w:cs="Times New Roman"/>
      <w:kern w:val="2"/>
      <w:sz w:val="18"/>
      <w:szCs w:val="18"/>
    </w:rPr>
  </w:style>
  <w:style w:type="character" w:customStyle="1" w:styleId="458">
    <w:name w:val="日期 Char3"/>
    <w:qFormat/>
    <w:uiPriority w:val="0"/>
    <w:rPr>
      <w:rFonts w:ascii="Times New Roman" w:hAnsi="Times New Roman" w:eastAsia="宋体" w:cs="Times New Roman"/>
    </w:rPr>
  </w:style>
  <w:style w:type="character" w:customStyle="1" w:styleId="459">
    <w:name w:val="正文文本 2 Char"/>
    <w:link w:val="42"/>
    <w:qFormat/>
    <w:uiPriority w:val="0"/>
    <w:rPr>
      <w:rFonts w:ascii="宋体" w:hAnsi="宋体" w:eastAsia="宋体" w:cs="Times New Roman"/>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87</Pages>
  <Words>48124</Words>
  <Characters>50589</Characters>
  <Lines>421</Lines>
  <Paragraphs>118</Paragraphs>
  <TotalTime>2</TotalTime>
  <ScaleCrop>false</ScaleCrop>
  <LinksUpToDate>false</LinksUpToDate>
  <CharactersWithSpaces>53259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2022-12-05T03:45:00Z</dcterms:created>
  <dc:creator>GZ</dc:creator>
  <cp:lastModifiedBy>迟爽</cp:lastModifiedBy>
  <cp:lastPrinted>2023-02-20T03:02:00Z</cp:lastPrinted>
  <dcterms:modified xsi:type="dcterms:W3CDTF">2024-04-16T04:10:43Z</dcterms:modified>
  <dc:title>官洲街道“水乡官洲——绿色生态宜居环线”特色街区项目施工总承包</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060F5E0931384F6CB6E8BF496D4F7F58_13</vt:lpwstr>
  </property>
</Properties>
</file>