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vanish/>
          <w:sz w:val="48"/>
          <w:szCs w:val="48"/>
          <w:highlight w:val="none"/>
        </w:rPr>
      </w:pPr>
      <w:r>
        <w:rPr>
          <w:rFonts w:ascii="宋体" w:hAnsi="宋体" w:cs="宋体"/>
          <w:b/>
          <w:vanish/>
          <w:kern w:val="0"/>
          <w:sz w:val="36"/>
          <w:szCs w:val="36"/>
          <w:highlight w:val="none"/>
        </w:rPr>
        <w:t>GZZB</w:t>
      </w:r>
      <w:r>
        <w:rPr>
          <w:rFonts w:hint="eastAsia" w:ascii="宋体" w:hAnsi="宋体" w:cs="宋体"/>
          <w:b/>
          <w:vanish/>
          <w:kern w:val="0"/>
          <w:sz w:val="36"/>
          <w:szCs w:val="36"/>
          <w:highlight w:val="none"/>
        </w:rPr>
        <w:t>2018-3</w:t>
      </w:r>
    </w:p>
    <w:p>
      <w:pPr>
        <w:spacing w:line="360" w:lineRule="auto"/>
        <w:jc w:val="center"/>
        <w:rPr>
          <w:rFonts w:ascii="宋体" w:hAnsi="宋体"/>
          <w:b/>
          <w:vanish/>
          <w:sz w:val="48"/>
          <w:szCs w:val="48"/>
          <w:highlight w:val="none"/>
        </w:rPr>
      </w:pPr>
      <w:r>
        <w:rPr>
          <w:rFonts w:ascii="宋体" w:hAnsi="宋体" w:cs="宋体"/>
          <w:b/>
          <w:vanish/>
          <w:kern w:val="0"/>
          <w:sz w:val="36"/>
          <w:szCs w:val="36"/>
          <w:highlight w:val="none"/>
        </w:rPr>
        <w:t>GZZB</w:t>
      </w:r>
      <w:r>
        <w:rPr>
          <w:rFonts w:hint="eastAsia" w:ascii="宋体" w:hAnsi="宋体" w:cs="宋体"/>
          <w:b/>
          <w:vanish/>
          <w:kern w:val="0"/>
          <w:sz w:val="36"/>
          <w:szCs w:val="36"/>
          <w:highlight w:val="none"/>
        </w:rPr>
        <w:t>2018-3</w:t>
      </w:r>
    </w:p>
    <w:p>
      <w:pPr>
        <w:spacing w:line="360" w:lineRule="auto"/>
        <w:jc w:val="center"/>
        <w:rPr>
          <w:rFonts w:ascii="宋体" w:hAnsi="宋体" w:cs="宋体"/>
          <w:b/>
          <w:bCs/>
          <w:color w:val="auto"/>
          <w:spacing w:val="26"/>
          <w:sz w:val="48"/>
          <w:szCs w:val="48"/>
          <w:highlight w:val="none"/>
        </w:rPr>
      </w:pPr>
    </w:p>
    <w:p>
      <w:pPr>
        <w:spacing w:line="480" w:lineRule="auto"/>
        <w:jc w:val="center"/>
        <w:rPr>
          <w:rFonts w:hint="eastAsia" w:ascii="宋体" w:hAnsi="宋体" w:eastAsia="宋体" w:cs="宋体"/>
          <w:b/>
          <w:bCs/>
          <w:color w:val="auto"/>
          <w:spacing w:val="26"/>
          <w:sz w:val="48"/>
          <w:szCs w:val="48"/>
          <w:highlight w:val="none"/>
          <w:lang w:eastAsia="zh-CN"/>
        </w:rPr>
      </w:pPr>
      <w:r>
        <w:rPr>
          <w:rFonts w:hint="eastAsia" w:ascii="宋体" w:hAnsi="宋体" w:cs="宋体"/>
          <w:b/>
          <w:bCs/>
          <w:color w:val="auto"/>
          <w:spacing w:val="26"/>
          <w:sz w:val="48"/>
          <w:szCs w:val="48"/>
          <w:highlight w:val="none"/>
          <w:lang w:eastAsia="zh-CN"/>
        </w:rPr>
        <w:t>九佛街五村七片统筹改造项目复建地块及配套设施-房屋拆除工程施工</w:t>
      </w:r>
    </w:p>
    <w:p>
      <w:pPr>
        <w:rPr>
          <w:rFonts w:ascii="宋体" w:hAnsi="宋体" w:cs="宋体"/>
          <w:b/>
          <w:bCs/>
          <w:color w:val="auto"/>
          <w:spacing w:val="26"/>
          <w:sz w:val="110"/>
          <w:szCs w:val="110"/>
          <w:highlight w:val="none"/>
        </w:rPr>
      </w:pPr>
    </w:p>
    <w:p>
      <w:pPr>
        <w:pStyle w:val="2"/>
        <w:rPr>
          <w:rFonts w:hAnsi="宋体" w:cs="宋体"/>
          <w:color w:val="auto"/>
          <w:highlight w:val="none"/>
        </w:rPr>
      </w:pPr>
    </w:p>
    <w:p>
      <w:pPr>
        <w:spacing w:line="360" w:lineRule="auto"/>
        <w:jc w:val="center"/>
        <w:rPr>
          <w:rFonts w:ascii="宋体" w:hAnsi="宋体" w:cs="宋体"/>
          <w:b/>
          <w:bCs/>
          <w:color w:val="auto"/>
          <w:spacing w:val="26"/>
          <w:sz w:val="72"/>
          <w:szCs w:val="72"/>
          <w:highlight w:val="none"/>
        </w:rPr>
      </w:pPr>
      <w:r>
        <w:rPr>
          <w:rFonts w:hint="eastAsia" w:ascii="宋体" w:hAnsi="宋体" w:cs="宋体"/>
          <w:b/>
          <w:bCs/>
          <w:color w:val="auto"/>
          <w:spacing w:val="26"/>
          <w:sz w:val="72"/>
          <w:szCs w:val="72"/>
          <w:highlight w:val="none"/>
        </w:rPr>
        <w:t>招标公告</w:t>
      </w:r>
    </w:p>
    <w:p>
      <w:pPr>
        <w:spacing w:line="360" w:lineRule="auto"/>
        <w:jc w:val="center"/>
        <w:rPr>
          <w:rFonts w:ascii="宋体" w:hAnsi="宋体" w:cs="宋体"/>
          <w:color w:val="auto"/>
          <w:sz w:val="32"/>
          <w:highlight w:val="none"/>
        </w:rPr>
      </w:pPr>
    </w:p>
    <w:p>
      <w:pPr>
        <w:spacing w:line="360" w:lineRule="auto"/>
        <w:ind w:firstLine="2560" w:firstLineChars="800"/>
        <w:rPr>
          <w:rFonts w:ascii="宋体" w:hAnsi="宋体" w:cs="宋体"/>
          <w:color w:val="auto"/>
          <w:sz w:val="32"/>
          <w:highlight w:val="none"/>
        </w:rPr>
      </w:pPr>
    </w:p>
    <w:p>
      <w:pPr>
        <w:spacing w:line="360" w:lineRule="auto"/>
        <w:rPr>
          <w:rFonts w:ascii="宋体" w:hAnsi="宋体" w:cs="宋体"/>
          <w:color w:val="auto"/>
          <w:sz w:val="52"/>
          <w:highlight w:val="none"/>
        </w:rPr>
      </w:pPr>
    </w:p>
    <w:p>
      <w:pPr>
        <w:rPr>
          <w:rFonts w:ascii="宋体" w:hAnsi="宋体" w:cs="宋体"/>
          <w:color w:val="auto"/>
          <w:highlight w:val="none"/>
        </w:rPr>
      </w:pPr>
    </w:p>
    <w:p>
      <w:pPr>
        <w:pStyle w:val="2"/>
        <w:rPr>
          <w:color w:val="auto"/>
          <w:highlight w:val="none"/>
        </w:rPr>
      </w:pPr>
    </w:p>
    <w:p>
      <w:pPr>
        <w:pStyle w:val="2"/>
        <w:rPr>
          <w:rFonts w:hAnsi="宋体" w:cs="宋体"/>
          <w:color w:val="auto"/>
          <w:highlight w:val="none"/>
        </w:rPr>
      </w:pPr>
    </w:p>
    <w:p>
      <w:pPr>
        <w:pStyle w:val="2"/>
        <w:rPr>
          <w:rFonts w:hAnsi="宋体" w:cs="宋体"/>
          <w:color w:val="auto"/>
          <w:highlight w:val="none"/>
        </w:rPr>
      </w:pPr>
    </w:p>
    <w:p>
      <w:pPr>
        <w:spacing w:line="360" w:lineRule="auto"/>
        <w:rPr>
          <w:rFonts w:ascii="宋体" w:hAnsi="宋体" w:cs="宋体"/>
          <w:b/>
          <w:color w:val="auto"/>
          <w:sz w:val="30"/>
          <w:szCs w:val="30"/>
          <w:highlight w:val="none"/>
        </w:rPr>
      </w:pPr>
    </w:p>
    <w:p>
      <w:pPr>
        <w:pStyle w:val="2"/>
        <w:rPr>
          <w:rFonts w:ascii="宋体" w:hAnsi="宋体" w:cs="宋体"/>
          <w:b/>
          <w:color w:val="auto"/>
          <w:sz w:val="30"/>
          <w:szCs w:val="30"/>
          <w:highlight w:val="none"/>
        </w:rPr>
      </w:pPr>
    </w:p>
    <w:p>
      <w:pPr>
        <w:pStyle w:val="2"/>
        <w:rPr>
          <w:rFonts w:ascii="宋体" w:hAnsi="宋体" w:cs="宋体"/>
          <w:b/>
          <w:color w:val="auto"/>
          <w:sz w:val="30"/>
          <w:szCs w:val="30"/>
          <w:highlight w:val="none"/>
        </w:rPr>
      </w:pPr>
    </w:p>
    <w:p>
      <w:pPr>
        <w:pStyle w:val="2"/>
        <w:rPr>
          <w:color w:val="auto"/>
          <w:highlight w:val="none"/>
        </w:rPr>
      </w:pPr>
    </w:p>
    <w:p>
      <w:pPr>
        <w:spacing w:line="360" w:lineRule="auto"/>
        <w:ind w:firstLine="964" w:firstLineChars="300"/>
        <w:rPr>
          <w:rFonts w:hint="eastAsia" w:ascii="宋体" w:hAnsi="宋体" w:eastAsia="宋体" w:cs="宋体"/>
          <w:b/>
          <w:color w:val="auto"/>
          <w:sz w:val="32"/>
          <w:szCs w:val="32"/>
          <w:highlight w:val="none"/>
          <w:u w:val="single"/>
          <w:lang w:eastAsia="zh-CN"/>
        </w:rPr>
      </w:pPr>
      <w:r>
        <w:rPr>
          <w:rFonts w:hint="eastAsia" w:ascii="宋体" w:hAnsi="宋体" w:cs="宋体"/>
          <w:b/>
          <w:color w:val="auto"/>
          <w:sz w:val="32"/>
          <w:szCs w:val="32"/>
          <w:highlight w:val="none"/>
        </w:rPr>
        <w:t>招 标 单  位：</w:t>
      </w:r>
      <w:r>
        <w:rPr>
          <w:rFonts w:hint="eastAsia" w:ascii="宋体" w:hAnsi="宋体" w:cs="宋体"/>
          <w:b/>
          <w:color w:val="auto"/>
          <w:sz w:val="32"/>
          <w:szCs w:val="32"/>
          <w:highlight w:val="none"/>
          <w:u w:val="single"/>
          <w:lang w:eastAsia="zh-CN"/>
        </w:rPr>
        <w:t>广州知城梧栖城市开发投资有限公司</w:t>
      </w:r>
    </w:p>
    <w:p>
      <w:pPr>
        <w:spacing w:line="360" w:lineRule="auto"/>
        <w:ind w:firstLine="964" w:firstLineChars="300"/>
        <w:rPr>
          <w:rFonts w:hint="eastAsia" w:ascii="宋体" w:hAnsi="宋体" w:eastAsia="宋体" w:cs="宋体"/>
          <w:b/>
          <w:color w:val="auto"/>
          <w:sz w:val="32"/>
          <w:szCs w:val="32"/>
          <w:highlight w:val="none"/>
          <w:u w:val="single"/>
          <w:lang w:eastAsia="zh-CN"/>
        </w:rPr>
      </w:pPr>
      <w:r>
        <w:rPr>
          <w:rFonts w:hint="eastAsia" w:ascii="宋体" w:hAnsi="宋体" w:cs="宋体"/>
          <w:b/>
          <w:color w:val="auto"/>
          <w:sz w:val="32"/>
          <w:szCs w:val="32"/>
          <w:highlight w:val="none"/>
        </w:rPr>
        <w:t>招标代理单位：</w:t>
      </w:r>
      <w:r>
        <w:rPr>
          <w:rFonts w:hint="eastAsia" w:ascii="宋体" w:hAnsi="宋体" w:cs="宋体"/>
          <w:b/>
          <w:color w:val="auto"/>
          <w:sz w:val="32"/>
          <w:szCs w:val="32"/>
          <w:highlight w:val="none"/>
          <w:u w:val="single"/>
          <w:lang w:eastAsia="zh-CN"/>
        </w:rPr>
        <w:t>广东省机电设备招标有限公司</w:t>
      </w:r>
    </w:p>
    <w:p>
      <w:pPr>
        <w:spacing w:line="360" w:lineRule="auto"/>
        <w:ind w:firstLine="964" w:firstLineChars="300"/>
        <w:rPr>
          <w:rFonts w:ascii="宋体" w:hAnsi="宋体" w:cs="宋体"/>
          <w:b/>
          <w:color w:val="auto"/>
          <w:sz w:val="32"/>
          <w:szCs w:val="32"/>
          <w:highlight w:val="none"/>
        </w:rPr>
      </w:pPr>
      <w:r>
        <w:rPr>
          <w:rFonts w:hint="eastAsia" w:ascii="宋体" w:hAnsi="宋体" w:cs="宋体"/>
          <w:b/>
          <w:color w:val="auto"/>
          <w:sz w:val="32"/>
          <w:szCs w:val="32"/>
          <w:highlight w:val="none"/>
        </w:rPr>
        <w:t>日        期：</w:t>
      </w:r>
      <w:r>
        <w:rPr>
          <w:rFonts w:hint="eastAsia" w:ascii="宋体" w:hAnsi="宋体" w:cs="宋体"/>
          <w:b/>
          <w:color w:val="auto"/>
          <w:sz w:val="32"/>
          <w:szCs w:val="32"/>
          <w:highlight w:val="none"/>
          <w:u w:val="single"/>
        </w:rPr>
        <w:t>2024</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u w:val="single"/>
          <w:lang w:val="en-US" w:eastAsia="zh-CN"/>
        </w:rPr>
        <w:t>04</w:t>
      </w:r>
      <w:r>
        <w:rPr>
          <w:rFonts w:hint="eastAsia" w:ascii="宋体" w:hAnsi="宋体" w:cs="宋体"/>
          <w:b/>
          <w:color w:val="auto"/>
          <w:sz w:val="32"/>
          <w:szCs w:val="32"/>
          <w:highlight w:val="none"/>
        </w:rPr>
        <w:t>月</w:t>
      </w:r>
    </w:p>
    <w:p>
      <w:pPr>
        <w:pStyle w:val="2"/>
        <w:rPr>
          <w:color w:val="auto"/>
          <w:highlight w:val="none"/>
        </w:rPr>
      </w:pPr>
    </w:p>
    <w:p>
      <w:pPr>
        <w:rPr>
          <w:b/>
          <w:bCs/>
          <w:color w:val="auto"/>
          <w:sz w:val="30"/>
          <w:szCs w:val="30"/>
          <w:highlight w:val="none"/>
        </w:rPr>
      </w:pPr>
      <w:r>
        <w:rPr>
          <w:rFonts w:hint="eastAsia"/>
          <w:b/>
          <w:bCs/>
          <w:color w:val="auto"/>
          <w:sz w:val="30"/>
          <w:szCs w:val="30"/>
          <w:highlight w:val="none"/>
        </w:rPr>
        <w:br w:type="page"/>
      </w:r>
    </w:p>
    <w:p>
      <w:pPr>
        <w:pStyle w:val="6"/>
        <w:spacing w:line="360" w:lineRule="auto"/>
        <w:jc w:val="center"/>
        <w:rPr>
          <w:b/>
          <w:bCs/>
          <w:color w:val="auto"/>
          <w:sz w:val="36"/>
          <w:szCs w:val="36"/>
          <w:highlight w:val="none"/>
          <w:u w:val="none"/>
        </w:rPr>
      </w:pPr>
      <w:r>
        <w:rPr>
          <w:rFonts w:hint="eastAsia"/>
          <w:b/>
          <w:bCs/>
          <w:color w:val="auto"/>
          <w:sz w:val="36"/>
          <w:szCs w:val="36"/>
          <w:highlight w:val="none"/>
          <w:u w:val="none"/>
          <w:lang w:eastAsia="zh-CN"/>
        </w:rPr>
        <w:t>九佛街五村七片统筹改造项目复建地块及配套设施-房屋拆除工程施工</w:t>
      </w:r>
      <w:r>
        <w:rPr>
          <w:rFonts w:hint="eastAsia"/>
          <w:b/>
          <w:bCs/>
          <w:color w:val="auto"/>
          <w:sz w:val="36"/>
          <w:szCs w:val="36"/>
          <w:highlight w:val="none"/>
          <w:u w:val="none"/>
        </w:rPr>
        <w:t>招标公告</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根据</w:t>
      </w:r>
      <w:r>
        <w:rPr>
          <w:rFonts w:hint="eastAsia" w:ascii="宋体" w:hAnsi="宋体"/>
          <w:color w:val="auto"/>
          <w:sz w:val="24"/>
          <w:highlight w:val="none"/>
          <w:u w:val="single"/>
        </w:rPr>
        <w:t>广东省企业投资项目备案证（</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2404-440112-04-05-643118</w:t>
      </w:r>
      <w:r>
        <w:rPr>
          <w:rFonts w:hint="eastAsia" w:ascii="宋体" w:hAnsi="宋体"/>
          <w:color w:val="auto"/>
          <w:sz w:val="24"/>
          <w:highlight w:val="none"/>
          <w:u w:val="single"/>
        </w:rPr>
        <w:t>）</w:t>
      </w:r>
      <w:r>
        <w:rPr>
          <w:rFonts w:hint="eastAsia" w:ascii="宋体" w:hAnsi="宋体"/>
          <w:color w:val="auto"/>
          <w:sz w:val="24"/>
          <w:szCs w:val="24"/>
          <w:highlight w:val="none"/>
        </w:rPr>
        <w:t>文件批准，并且图纸和技术资料满足施工需要，</w:t>
      </w:r>
      <w:r>
        <w:rPr>
          <w:rFonts w:hint="eastAsia" w:ascii="宋体" w:hAnsi="宋体"/>
          <w:color w:val="auto"/>
          <w:sz w:val="24"/>
          <w:szCs w:val="24"/>
          <w:highlight w:val="none"/>
          <w:u w:val="single"/>
          <w:lang w:eastAsia="zh-CN"/>
        </w:rPr>
        <w:t>广州知城梧栖城市开发投资有限公司</w:t>
      </w:r>
      <w:r>
        <w:rPr>
          <w:rFonts w:hint="eastAsia" w:ascii="宋体" w:hAnsi="宋体"/>
          <w:color w:val="auto"/>
          <w:sz w:val="24"/>
          <w:szCs w:val="24"/>
          <w:highlight w:val="none"/>
        </w:rPr>
        <w:t>现对</w:t>
      </w:r>
      <w:r>
        <w:rPr>
          <w:rFonts w:hint="eastAsia" w:ascii="宋体" w:hAnsi="宋体"/>
          <w:color w:val="auto"/>
          <w:sz w:val="24"/>
          <w:szCs w:val="24"/>
          <w:highlight w:val="none"/>
          <w:u w:val="single"/>
          <w:lang w:eastAsia="zh-CN"/>
        </w:rPr>
        <w:t>九佛街五村七片统筹改造项目复建地块及配套设施-房屋拆除工程施工</w:t>
      </w:r>
      <w:r>
        <w:rPr>
          <w:rFonts w:hint="eastAsia"/>
          <w:color w:val="auto"/>
          <w:sz w:val="24"/>
          <w:szCs w:val="24"/>
          <w:highlight w:val="none"/>
        </w:rPr>
        <w:t>进行</w:t>
      </w:r>
      <w:r>
        <w:rPr>
          <w:rFonts w:hint="eastAsia" w:ascii="宋体" w:hAnsi="宋体"/>
          <w:color w:val="auto"/>
          <w:sz w:val="24"/>
          <w:szCs w:val="24"/>
          <w:highlight w:val="none"/>
        </w:rPr>
        <w:t>公开招标，选定承包人。</w:t>
      </w:r>
    </w:p>
    <w:p>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一、工程名称：</w:t>
      </w:r>
      <w:r>
        <w:rPr>
          <w:rFonts w:hint="eastAsia" w:ascii="宋体" w:hAnsi="宋体"/>
          <w:color w:val="auto"/>
          <w:sz w:val="24"/>
          <w:szCs w:val="24"/>
          <w:highlight w:val="none"/>
          <w:u w:val="single"/>
          <w:lang w:eastAsia="zh-CN"/>
        </w:rPr>
        <w:t>九佛街五村七片统筹改造项目复建地块及配套设施-房屋拆除工程施工</w:t>
      </w:r>
    </w:p>
    <w:p>
      <w:pPr>
        <w:spacing w:line="360" w:lineRule="auto"/>
        <w:ind w:firstLine="960" w:firstLineChars="400"/>
        <w:rPr>
          <w:rFonts w:ascii="宋体" w:hAnsi="宋体"/>
          <w:color w:val="auto"/>
          <w:sz w:val="24"/>
          <w:szCs w:val="24"/>
          <w:highlight w:val="none"/>
        </w:rPr>
      </w:pPr>
      <w:r>
        <w:rPr>
          <w:rFonts w:hint="eastAsia" w:ascii="宋体" w:hAnsi="宋体"/>
          <w:color w:val="auto"/>
          <w:sz w:val="24"/>
          <w:szCs w:val="24"/>
          <w:highlight w:val="none"/>
        </w:rPr>
        <w:t>项目代码：</w:t>
      </w:r>
      <w:r>
        <w:rPr>
          <w:rFonts w:hint="eastAsia" w:ascii="宋体" w:hAnsi="宋体"/>
          <w:color w:val="auto"/>
          <w:sz w:val="24"/>
          <w:szCs w:val="24"/>
          <w:highlight w:val="none"/>
          <w:u w:val="single"/>
        </w:rPr>
        <w:t xml:space="preserve">2404-440112-04-05-643118 </w:t>
      </w:r>
    </w:p>
    <w:p>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二、招标单位：</w:t>
      </w:r>
      <w:r>
        <w:rPr>
          <w:rFonts w:hint="eastAsia" w:ascii="宋体" w:hAnsi="宋体"/>
          <w:color w:val="auto"/>
          <w:sz w:val="24"/>
          <w:szCs w:val="24"/>
          <w:highlight w:val="none"/>
          <w:u w:val="single"/>
          <w:lang w:eastAsia="zh-CN"/>
        </w:rPr>
        <w:t>广州知城梧栖城市开发投资有限公司</w:t>
      </w:r>
    </w:p>
    <w:p>
      <w:pPr>
        <w:spacing w:line="360" w:lineRule="auto"/>
        <w:ind w:firstLine="960" w:firstLineChars="400"/>
        <w:rPr>
          <w:rFonts w:hint="default" w:ascii="宋体" w:hAnsi="宋体"/>
          <w:color w:val="auto"/>
          <w:sz w:val="24"/>
          <w:szCs w:val="24"/>
          <w:highlight w:val="none"/>
          <w:lang w:val="en-US"/>
        </w:rPr>
      </w:pPr>
      <w:r>
        <w:rPr>
          <w:rFonts w:hint="eastAsia" w:ascii="宋体" w:hAnsi="宋体"/>
          <w:color w:val="auto"/>
          <w:sz w:val="24"/>
          <w:szCs w:val="24"/>
          <w:highlight w:val="none"/>
        </w:rPr>
        <w:t>联系人：</w:t>
      </w:r>
      <w:r>
        <w:rPr>
          <w:rFonts w:hint="eastAsia" w:ascii="宋体" w:hAnsi="宋体"/>
          <w:color w:val="auto"/>
          <w:sz w:val="24"/>
          <w:szCs w:val="24"/>
          <w:highlight w:val="none"/>
          <w:u w:val="single"/>
          <w:lang w:val="en-US" w:eastAsia="zh-CN"/>
        </w:rPr>
        <w:t>徐华骏</w:t>
      </w:r>
      <w:r>
        <w:rPr>
          <w:rFonts w:hint="eastAsia" w:ascii="宋体" w:hAnsi="宋体"/>
          <w:color w:val="auto"/>
          <w:sz w:val="24"/>
          <w:szCs w:val="24"/>
          <w:highlight w:val="none"/>
        </w:rPr>
        <w:t xml:space="preserve">      联系电话：</w:t>
      </w:r>
      <w:r>
        <w:rPr>
          <w:rFonts w:hint="eastAsia" w:ascii="宋体" w:hAnsi="宋体"/>
          <w:color w:val="auto"/>
          <w:sz w:val="24"/>
          <w:szCs w:val="24"/>
          <w:highlight w:val="none"/>
          <w:lang w:val="en-US" w:eastAsia="zh-CN"/>
        </w:rPr>
        <w:t>020-31700409</w:t>
      </w:r>
    </w:p>
    <w:p>
      <w:pPr>
        <w:spacing w:line="360" w:lineRule="auto"/>
        <w:ind w:firstLine="960" w:firstLineChars="400"/>
        <w:rPr>
          <w:rFonts w:ascii="宋体" w:hAnsi="宋体"/>
          <w:color w:val="auto"/>
          <w:sz w:val="24"/>
          <w:szCs w:val="24"/>
          <w:highlight w:val="none"/>
        </w:rPr>
      </w:pPr>
      <w:r>
        <w:rPr>
          <w:rFonts w:hint="eastAsia" w:ascii="宋体" w:hAnsi="宋体"/>
          <w:color w:val="auto"/>
          <w:sz w:val="24"/>
          <w:szCs w:val="24"/>
          <w:highlight w:val="none"/>
        </w:rPr>
        <w:t>联系地址：</w:t>
      </w:r>
      <w:r>
        <w:rPr>
          <w:rFonts w:hint="eastAsia" w:ascii="宋体" w:hAnsi="宋体"/>
          <w:color w:val="auto"/>
          <w:sz w:val="24"/>
          <w:szCs w:val="24"/>
          <w:highlight w:val="none"/>
          <w:u w:val="single"/>
        </w:rPr>
        <w:t xml:space="preserve">广州市黄埔区知凤街9号知识大厦7楼01-06室 </w:t>
      </w:r>
    </w:p>
    <w:p>
      <w:pPr>
        <w:spacing w:line="360" w:lineRule="auto"/>
        <w:ind w:firstLine="960" w:firstLineChars="4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招标代理机构：</w:t>
      </w:r>
      <w:r>
        <w:rPr>
          <w:rFonts w:hint="eastAsia" w:ascii="宋体" w:hAnsi="宋体"/>
          <w:color w:val="auto"/>
          <w:sz w:val="24"/>
          <w:szCs w:val="24"/>
          <w:highlight w:val="none"/>
          <w:u w:val="single"/>
          <w:lang w:eastAsia="zh-CN"/>
        </w:rPr>
        <w:t>广东省机电设备招标有限公司</w:t>
      </w:r>
    </w:p>
    <w:p>
      <w:pPr>
        <w:spacing w:line="360" w:lineRule="auto"/>
        <w:ind w:firstLine="960" w:firstLineChars="400"/>
        <w:rPr>
          <w:rFonts w:hint="default" w:ascii="宋体" w:hAnsi="宋体" w:eastAsia="宋体"/>
          <w:color w:val="auto"/>
          <w:sz w:val="24"/>
          <w:szCs w:val="24"/>
          <w:highlight w:val="none"/>
          <w:u w:val="single"/>
          <w:lang w:val="en-US" w:eastAsia="zh-CN"/>
        </w:rPr>
      </w:pPr>
      <w:r>
        <w:rPr>
          <w:rFonts w:hint="eastAsia" w:ascii="宋体" w:hAnsi="宋体"/>
          <w:color w:val="auto"/>
          <w:sz w:val="24"/>
          <w:szCs w:val="24"/>
          <w:highlight w:val="none"/>
        </w:rPr>
        <w:t>联系人：</w:t>
      </w:r>
      <w:r>
        <w:rPr>
          <w:rFonts w:hint="eastAsia" w:ascii="宋体" w:hAnsi="宋体"/>
          <w:color w:val="auto"/>
          <w:sz w:val="24"/>
          <w:szCs w:val="24"/>
          <w:highlight w:val="none"/>
          <w:u w:val="single"/>
          <w:lang w:val="en-US" w:eastAsia="zh-CN"/>
        </w:rPr>
        <w:t>谢</w:t>
      </w:r>
      <w:r>
        <w:rPr>
          <w:rFonts w:hint="eastAsia" w:ascii="宋体" w:hAnsi="宋体"/>
          <w:color w:val="auto"/>
          <w:sz w:val="24"/>
          <w:szCs w:val="24"/>
          <w:highlight w:val="none"/>
          <w:u w:val="single"/>
        </w:rPr>
        <w:t xml:space="preserve">  工</w:t>
      </w:r>
      <w:r>
        <w:rPr>
          <w:rFonts w:hint="eastAsia" w:ascii="宋体" w:hAnsi="宋体"/>
          <w:color w:val="auto"/>
          <w:sz w:val="24"/>
          <w:szCs w:val="24"/>
          <w:highlight w:val="none"/>
        </w:rPr>
        <w:t xml:space="preserve">       联系电话：</w:t>
      </w:r>
      <w:r>
        <w:rPr>
          <w:rFonts w:hint="eastAsia" w:ascii="宋体" w:hAnsi="宋体"/>
          <w:color w:val="auto"/>
          <w:sz w:val="24"/>
          <w:szCs w:val="24"/>
          <w:highlight w:val="none"/>
          <w:u w:val="single"/>
          <w:lang w:val="en-US" w:eastAsia="zh-CN"/>
        </w:rPr>
        <w:t>020-83546177</w:t>
      </w:r>
    </w:p>
    <w:p>
      <w:pPr>
        <w:spacing w:line="360" w:lineRule="auto"/>
        <w:ind w:firstLine="960" w:firstLineChars="400"/>
        <w:rPr>
          <w:rFonts w:ascii="宋体" w:hAnsi="宋体"/>
          <w:color w:val="auto"/>
          <w:sz w:val="24"/>
          <w:szCs w:val="24"/>
          <w:highlight w:val="none"/>
          <w:u w:val="single"/>
        </w:rPr>
      </w:pPr>
      <w:r>
        <w:rPr>
          <w:rFonts w:hint="eastAsia" w:ascii="宋体" w:hAnsi="宋体"/>
          <w:color w:val="auto"/>
          <w:sz w:val="24"/>
          <w:szCs w:val="24"/>
          <w:highlight w:val="none"/>
        </w:rPr>
        <w:t>联系地址：</w:t>
      </w:r>
      <w:r>
        <w:rPr>
          <w:rFonts w:hint="eastAsia" w:ascii="宋体" w:hAnsi="宋体"/>
          <w:color w:val="auto"/>
          <w:sz w:val="24"/>
          <w:szCs w:val="24"/>
          <w:highlight w:val="none"/>
          <w:u w:val="single"/>
        </w:rPr>
        <w:t>广州市越秀区环市中路316号金鹰大厦10楼</w:t>
      </w:r>
    </w:p>
    <w:p>
      <w:pPr>
        <w:spacing w:line="360" w:lineRule="auto"/>
        <w:ind w:left="2638" w:leftChars="456" w:hanging="1680" w:hangingChars="700"/>
        <w:rPr>
          <w:rFonts w:ascii="宋体" w:hAnsi="宋体"/>
          <w:color w:val="auto"/>
          <w:sz w:val="24"/>
          <w:szCs w:val="24"/>
          <w:highlight w:val="none"/>
        </w:rPr>
      </w:pPr>
      <w:r>
        <w:rPr>
          <w:rFonts w:hint="eastAsia" w:ascii="宋体" w:hAnsi="宋体"/>
          <w:color w:val="auto"/>
          <w:sz w:val="24"/>
          <w:szCs w:val="24"/>
          <w:highlight w:val="none"/>
        </w:rPr>
        <w:t>招标监督机构：</w:t>
      </w:r>
      <w:r>
        <w:rPr>
          <w:rFonts w:hint="eastAsia" w:ascii="宋体" w:hAnsi="宋体"/>
          <w:color w:val="auto"/>
          <w:sz w:val="24"/>
          <w:szCs w:val="24"/>
          <w:highlight w:val="none"/>
          <w:u w:val="single"/>
        </w:rPr>
        <w:t>广州开发区建设工程招投标管理办公室（广州市黄埔区建设工程招投标管理办公室）</w:t>
      </w:r>
    </w:p>
    <w:p>
      <w:pPr>
        <w:spacing w:line="360" w:lineRule="auto"/>
        <w:ind w:firstLine="960" w:firstLineChars="400"/>
        <w:rPr>
          <w:rFonts w:ascii="宋体" w:hAnsi="宋体"/>
          <w:color w:val="auto"/>
          <w:sz w:val="24"/>
          <w:szCs w:val="24"/>
          <w:highlight w:val="none"/>
        </w:rPr>
      </w:pPr>
      <w:r>
        <w:rPr>
          <w:rFonts w:hint="eastAsia" w:ascii="宋体" w:hAnsi="宋体"/>
          <w:color w:val="auto"/>
          <w:sz w:val="24"/>
          <w:szCs w:val="24"/>
          <w:highlight w:val="none"/>
        </w:rPr>
        <w:t>监督电话：</w:t>
      </w:r>
      <w:r>
        <w:rPr>
          <w:rFonts w:hint="eastAsia" w:ascii="宋体" w:hAnsi="宋体"/>
          <w:color w:val="auto"/>
          <w:sz w:val="24"/>
          <w:szCs w:val="24"/>
          <w:highlight w:val="none"/>
          <w:u w:val="single"/>
        </w:rPr>
        <w:t>020-82112206、82116676</w:t>
      </w:r>
    </w:p>
    <w:p>
      <w:pPr>
        <w:spacing w:line="360" w:lineRule="auto"/>
        <w:ind w:firstLine="960" w:firstLineChars="400"/>
        <w:rPr>
          <w:rFonts w:ascii="宋体" w:hAnsi="宋体"/>
          <w:color w:val="auto"/>
          <w:sz w:val="24"/>
          <w:szCs w:val="24"/>
          <w:highlight w:val="none"/>
        </w:rPr>
      </w:pPr>
      <w:r>
        <w:rPr>
          <w:rFonts w:hint="eastAsia" w:ascii="宋体" w:hAnsi="宋体"/>
          <w:color w:val="auto"/>
          <w:sz w:val="24"/>
          <w:szCs w:val="24"/>
          <w:highlight w:val="none"/>
        </w:rPr>
        <w:t>联系地址：</w:t>
      </w:r>
      <w:r>
        <w:rPr>
          <w:rFonts w:hint="eastAsia" w:ascii="宋体" w:hAnsi="宋体"/>
          <w:color w:val="auto"/>
          <w:sz w:val="24"/>
          <w:szCs w:val="24"/>
          <w:highlight w:val="none"/>
          <w:u w:val="single"/>
        </w:rPr>
        <w:t>广州市黄埔区水西路30号四楼</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三、建设地点：</w:t>
      </w:r>
      <w:r>
        <w:rPr>
          <w:rFonts w:hint="eastAsia" w:ascii="宋体" w:hAnsi="宋体"/>
          <w:color w:val="auto"/>
          <w:sz w:val="24"/>
          <w:szCs w:val="24"/>
          <w:highlight w:val="none"/>
          <w:u w:val="single"/>
        </w:rPr>
        <w:t>广州市黄埔区</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四、项目概况：</w:t>
      </w:r>
      <w:r>
        <w:rPr>
          <w:rFonts w:hint="eastAsia" w:ascii="宋体" w:hAnsi="宋体"/>
          <w:color w:val="auto"/>
          <w:sz w:val="24"/>
          <w:szCs w:val="24"/>
          <w:highlight w:val="none"/>
          <w:u w:val="single"/>
        </w:rPr>
        <w:t>本项目包含拆除房屋约297栋，拆除面积约12.71万㎡（其中私宅97488.9581㎡，集体物业29642.7482㎡），人工拆除量约2.82万㎡，附属物0.3万㎡。（具体以招标图纸、工程量清单及招标过程中所发出的相关文件所包含的全部内容为准）。</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五、标段划分及各标段招标内容、规模和最高投标限价：</w:t>
      </w:r>
    </w:p>
    <w:p>
      <w:pPr>
        <w:spacing w:line="360" w:lineRule="auto"/>
        <w:ind w:firstLine="480" w:firstLineChars="200"/>
        <w:rPr>
          <w:rFonts w:ascii="宋体" w:hAnsi="宋体"/>
          <w:color w:val="auto"/>
          <w:sz w:val="24"/>
          <w:szCs w:val="24"/>
          <w:highlight w:val="none"/>
          <w:u w:val="single"/>
        </w:rPr>
      </w:pPr>
      <w:r>
        <w:rPr>
          <w:rFonts w:ascii="宋体" w:hAnsi="宋体"/>
          <w:color w:val="auto"/>
          <w:sz w:val="24"/>
          <w:szCs w:val="24"/>
          <w:highlight w:val="none"/>
        </w:rPr>
        <w:t>1.</w:t>
      </w:r>
      <w:r>
        <w:rPr>
          <w:rFonts w:hint="eastAsia" w:ascii="宋体" w:hAnsi="宋体"/>
          <w:color w:val="auto"/>
          <w:sz w:val="24"/>
          <w:szCs w:val="24"/>
          <w:highlight w:val="none"/>
        </w:rPr>
        <w:t>标段划分：</w:t>
      </w:r>
      <w:r>
        <w:rPr>
          <w:rFonts w:hint="eastAsia" w:ascii="宋体" w:hAnsi="宋体"/>
          <w:color w:val="auto"/>
          <w:sz w:val="24"/>
          <w:szCs w:val="24"/>
          <w:highlight w:val="none"/>
          <w:u w:val="single"/>
        </w:rPr>
        <w:t>本工程划分为1个标段。</w:t>
      </w:r>
    </w:p>
    <w:p>
      <w:pPr>
        <w:spacing w:line="360" w:lineRule="auto"/>
        <w:ind w:firstLine="480" w:firstLineChars="200"/>
        <w:rPr>
          <w:rFonts w:ascii="宋体" w:hAnsi="宋体"/>
          <w:color w:val="auto"/>
          <w:sz w:val="24"/>
          <w:szCs w:val="24"/>
          <w:highlight w:val="none"/>
          <w:u w:val="single"/>
        </w:rPr>
      </w:pPr>
      <w:r>
        <w:rPr>
          <w:rFonts w:ascii="宋体" w:hAnsi="宋体"/>
          <w:color w:val="auto"/>
          <w:sz w:val="24"/>
          <w:szCs w:val="24"/>
          <w:highlight w:val="none"/>
        </w:rPr>
        <w:t>2.</w:t>
      </w:r>
      <w:r>
        <w:rPr>
          <w:rFonts w:hint="eastAsia" w:ascii="宋体" w:hAnsi="宋体"/>
          <w:color w:val="auto"/>
          <w:sz w:val="24"/>
          <w:szCs w:val="24"/>
          <w:highlight w:val="none"/>
        </w:rPr>
        <w:t>招标内容及规模：</w:t>
      </w:r>
      <w:r>
        <w:rPr>
          <w:rFonts w:hint="eastAsia" w:ascii="宋体" w:hAnsi="宋体"/>
          <w:color w:val="auto"/>
          <w:sz w:val="24"/>
          <w:szCs w:val="24"/>
          <w:highlight w:val="none"/>
          <w:u w:val="single"/>
        </w:rPr>
        <w:t>本项目主要包括但不限于（1）技术方案与相关村委达成一致意见，进行项目全面交底；（</w:t>
      </w:r>
      <w:r>
        <w:rPr>
          <w:rFonts w:hint="eastAsia" w:ascii="宋体" w:hAnsi="宋体"/>
          <w:color w:val="auto"/>
          <w:sz w:val="24"/>
          <w:szCs w:val="24"/>
          <w:highlight w:val="none"/>
          <w:u w:val="single"/>
          <w:lang w:val="en-US" w:eastAsia="zh-CN"/>
        </w:rPr>
        <w:t>2</w:t>
      </w:r>
      <w:r>
        <w:rPr>
          <w:rFonts w:hint="eastAsia" w:ascii="宋体" w:hAnsi="宋体"/>
          <w:color w:val="auto"/>
          <w:sz w:val="24"/>
          <w:szCs w:val="24"/>
          <w:highlight w:val="none"/>
          <w:u w:val="single"/>
        </w:rPr>
        <w:t>）拆除房屋约297栋，拆除面积约12.71万㎡（其中私宅97488.9581㎡，集体物业29642.7482㎡），人工拆除量约2.82万㎡，附属物0.3万㎡（具体以招标图纸、工程量清单及招标过程中所发出的相关文件所包含的全部内容为准）。</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3.计划日期：</w:t>
      </w:r>
      <w:r>
        <w:rPr>
          <w:rFonts w:hint="eastAsia" w:ascii="宋体" w:hAnsi="宋体"/>
          <w:color w:val="auto"/>
          <w:sz w:val="24"/>
          <w:szCs w:val="24"/>
          <w:highlight w:val="none"/>
          <w:u w:val="single"/>
          <w:lang w:val="en-US" w:eastAsia="zh-CN"/>
        </w:rPr>
        <w:t>730</w:t>
      </w:r>
      <w:r>
        <w:rPr>
          <w:rFonts w:hint="eastAsia" w:ascii="宋体" w:hAnsi="宋体"/>
          <w:color w:val="auto"/>
          <w:sz w:val="24"/>
          <w:szCs w:val="24"/>
          <w:highlight w:val="none"/>
        </w:rPr>
        <w:t>个日历</w:t>
      </w:r>
      <w:r>
        <w:rPr>
          <w:rFonts w:hint="eastAsia" w:ascii="宋体" w:hAnsi="宋体"/>
          <w:color w:val="auto"/>
          <w:sz w:val="24"/>
          <w:szCs w:val="24"/>
          <w:highlight w:val="none"/>
          <w:lang w:val="en-US" w:eastAsia="zh-CN"/>
        </w:rPr>
        <w:t>天</w:t>
      </w:r>
      <w:r>
        <w:rPr>
          <w:rFonts w:hint="eastAsia" w:ascii="宋体" w:hAnsi="宋体"/>
          <w:color w:val="auto"/>
          <w:sz w:val="24"/>
          <w:szCs w:val="24"/>
          <w:highlight w:val="none"/>
          <w:lang w:eastAsia="zh-CN"/>
        </w:rPr>
        <w:t>，具体详见合同</w:t>
      </w:r>
      <w:r>
        <w:rPr>
          <w:rFonts w:hint="eastAsia" w:ascii="宋体" w:hAnsi="宋体"/>
          <w:color w:val="auto"/>
          <w:sz w:val="24"/>
          <w:szCs w:val="24"/>
          <w:highlight w:val="none"/>
        </w:rPr>
        <w:t>。</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4.最高投标限价：</w:t>
      </w:r>
      <w:r>
        <w:rPr>
          <w:rFonts w:hint="eastAsia" w:ascii="宋体" w:hAnsi="宋体"/>
          <w:color w:val="auto"/>
          <w:sz w:val="24"/>
          <w:szCs w:val="24"/>
          <w:highlight w:val="none"/>
          <w:u w:val="single"/>
        </w:rPr>
        <w:t>5,091,605.70元</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lang w:val="en-US" w:eastAsia="zh-CN"/>
        </w:rPr>
        <w:t>含税</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rPr>
        <w:t>（详见招标人最终发出的《最高投标限价公布函》，投标价超过最高投标限价的投标文件将被拒绝）。</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六、资金来源：</w:t>
      </w:r>
      <w:r>
        <w:rPr>
          <w:rFonts w:hint="eastAsia" w:ascii="宋体" w:hAnsi="宋体"/>
          <w:color w:val="auto"/>
          <w:sz w:val="24"/>
          <w:szCs w:val="24"/>
          <w:highlight w:val="none"/>
          <w:u w:val="single"/>
        </w:rPr>
        <w:t>企业自筹资金</w:t>
      </w:r>
    </w:p>
    <w:p>
      <w:pPr>
        <w:spacing w:line="360" w:lineRule="auto"/>
        <w:ind w:firstLine="480" w:firstLineChars="200"/>
        <w:rPr>
          <w:rFonts w:ascii="宋体" w:hAnsi="宋体"/>
          <w:color w:val="auto"/>
          <w:sz w:val="24"/>
          <w:szCs w:val="24"/>
          <w:highlight w:val="none"/>
          <w:u w:val="single"/>
        </w:rPr>
      </w:pPr>
      <w:r>
        <w:rPr>
          <w:rFonts w:hint="eastAsia" w:ascii="宋体" w:hAnsi="宋体" w:cs="宋体"/>
          <w:color w:val="auto"/>
          <w:kern w:val="0"/>
          <w:sz w:val="24"/>
          <w:szCs w:val="24"/>
          <w:highlight w:val="none"/>
        </w:rPr>
        <w:t>七、</w:t>
      </w:r>
      <w:r>
        <w:rPr>
          <w:rFonts w:hint="eastAsia" w:ascii="宋体" w:hAnsi="宋体"/>
          <w:color w:val="auto"/>
          <w:sz w:val="24"/>
          <w:szCs w:val="24"/>
          <w:highlight w:val="none"/>
        </w:rPr>
        <w:t>公告发布日期、</w:t>
      </w:r>
      <w:r>
        <w:rPr>
          <w:rFonts w:hint="eastAsia" w:ascii="宋体" w:hAnsi="宋体" w:cs="宋体"/>
          <w:color w:val="auto"/>
          <w:sz w:val="24"/>
          <w:szCs w:val="24"/>
          <w:highlight w:val="none"/>
        </w:rPr>
        <w:t>递交投标文件时间与开标时间：</w:t>
      </w:r>
    </w:p>
    <w:p>
      <w:pPr>
        <w:spacing w:line="360" w:lineRule="auto"/>
        <w:ind w:firstLine="480" w:firstLineChars="200"/>
        <w:rPr>
          <w:rFonts w:ascii="宋体" w:hAnsi="宋体"/>
          <w:color w:val="auto"/>
          <w:sz w:val="24"/>
          <w:szCs w:val="24"/>
          <w:highlight w:val="none"/>
          <w:u w:val="single"/>
        </w:rPr>
      </w:pPr>
      <w:r>
        <w:rPr>
          <w:rFonts w:ascii="宋体" w:hAnsi="宋体"/>
          <w:color w:val="auto"/>
          <w:sz w:val="24"/>
          <w:szCs w:val="24"/>
          <w:highlight w:val="none"/>
        </w:rPr>
        <w:t>1.</w:t>
      </w:r>
      <w:r>
        <w:rPr>
          <w:rFonts w:hint="eastAsia" w:ascii="宋体" w:hAnsi="宋体"/>
          <w:color w:val="auto"/>
          <w:sz w:val="24"/>
          <w:szCs w:val="24"/>
          <w:highlight w:val="none"/>
        </w:rPr>
        <w:t>公告发布日期（含本日）：</w:t>
      </w:r>
      <w:r>
        <w:rPr>
          <w:rFonts w:hint="eastAsia" w:ascii="宋体" w:hAnsi="宋体"/>
          <w:color w:val="auto"/>
          <w:sz w:val="24"/>
          <w:szCs w:val="24"/>
          <w:highlight w:val="none"/>
          <w:u w:val="single"/>
        </w:rPr>
        <w:t>202</w:t>
      </w:r>
      <w:r>
        <w:rPr>
          <w:rFonts w:ascii="宋体" w:hAnsi="宋体"/>
          <w:color w:val="auto"/>
          <w:sz w:val="24"/>
          <w:szCs w:val="24"/>
          <w:highlight w:val="none"/>
          <w:u w:val="single"/>
        </w:rPr>
        <w:t>4</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ascii="宋体" w:hAnsi="宋体"/>
          <w:color w:val="auto"/>
          <w:sz w:val="24"/>
          <w:szCs w:val="24"/>
          <w:highlight w:val="none"/>
          <w:u w:val="single"/>
        </w:rPr>
        <w:t xml:space="preserve">   </w:t>
      </w:r>
      <w:r>
        <w:rPr>
          <w:rFonts w:hint="eastAsia" w:ascii="宋体" w:hAnsi="宋体"/>
          <w:color w:val="auto"/>
          <w:sz w:val="24"/>
          <w:szCs w:val="24"/>
          <w:highlight w:val="none"/>
        </w:rPr>
        <w:t>分至</w:t>
      </w:r>
      <w:r>
        <w:rPr>
          <w:rFonts w:hint="eastAsia" w:ascii="宋体" w:hAnsi="宋体"/>
          <w:color w:val="auto"/>
          <w:sz w:val="24"/>
          <w:szCs w:val="24"/>
          <w:highlight w:val="none"/>
          <w:u w:val="single"/>
        </w:rPr>
        <w:t>202</w:t>
      </w:r>
      <w:r>
        <w:rPr>
          <w:rFonts w:ascii="宋体" w:hAnsi="宋体"/>
          <w:color w:val="auto"/>
          <w:sz w:val="24"/>
          <w:szCs w:val="24"/>
          <w:highlight w:val="none"/>
          <w:u w:val="single"/>
        </w:rPr>
        <w:t>4</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分</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凡有意参加投标者，请登录</w:t>
      </w:r>
      <w:r>
        <w:rPr>
          <w:rFonts w:hint="eastAsia" w:ascii="宋体" w:hAnsi="宋体" w:cs="宋体"/>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交易平台网站下载电子招标文件。</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注：发布招标公告的时间为招标公告发出之日起至投标截止时间止。</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递交投标文件起始时间：</w:t>
      </w:r>
      <w:r>
        <w:rPr>
          <w:rFonts w:hint="eastAsia" w:ascii="宋体" w:hAnsi="宋体"/>
          <w:color w:val="auto"/>
          <w:sz w:val="24"/>
          <w:szCs w:val="24"/>
          <w:highlight w:val="none"/>
          <w:u w:val="single"/>
        </w:rPr>
        <w:t>202</w:t>
      </w:r>
      <w:r>
        <w:rPr>
          <w:rFonts w:ascii="宋体" w:hAnsi="宋体"/>
          <w:color w:val="auto"/>
          <w:sz w:val="24"/>
          <w:szCs w:val="24"/>
          <w:highlight w:val="none"/>
          <w:u w:val="single"/>
        </w:rPr>
        <w:t>4</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ascii="宋体" w:hAnsi="宋体"/>
          <w:color w:val="auto"/>
          <w:sz w:val="24"/>
          <w:szCs w:val="24"/>
          <w:highlight w:val="none"/>
          <w:u w:val="single"/>
        </w:rPr>
        <w:t xml:space="preserve">   </w:t>
      </w:r>
      <w:r>
        <w:rPr>
          <w:rFonts w:hint="eastAsia" w:ascii="宋体" w:hAnsi="宋体"/>
          <w:color w:val="auto"/>
          <w:sz w:val="24"/>
          <w:szCs w:val="24"/>
          <w:highlight w:val="none"/>
        </w:rPr>
        <w:t>分；</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截止时间：</w:t>
      </w:r>
      <w:r>
        <w:rPr>
          <w:rFonts w:hint="eastAsia" w:ascii="宋体" w:hAnsi="宋体"/>
          <w:color w:val="auto"/>
          <w:sz w:val="24"/>
          <w:szCs w:val="24"/>
          <w:highlight w:val="none"/>
          <w:u w:val="single"/>
        </w:rPr>
        <w:t>202</w:t>
      </w:r>
      <w:r>
        <w:rPr>
          <w:rFonts w:ascii="宋体" w:hAnsi="宋体"/>
          <w:color w:val="auto"/>
          <w:sz w:val="24"/>
          <w:szCs w:val="24"/>
          <w:highlight w:val="none"/>
          <w:u w:val="single"/>
        </w:rPr>
        <w:t>4</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ascii="宋体" w:hAnsi="宋体"/>
          <w:color w:val="auto"/>
          <w:sz w:val="24"/>
          <w:szCs w:val="24"/>
          <w:highlight w:val="none"/>
          <w:u w:val="single"/>
        </w:rPr>
        <w:t xml:space="preserve">   </w:t>
      </w:r>
      <w:r>
        <w:rPr>
          <w:rFonts w:hint="eastAsia" w:ascii="宋体" w:hAnsi="宋体"/>
          <w:color w:val="auto"/>
          <w:sz w:val="24"/>
          <w:szCs w:val="24"/>
          <w:highlight w:val="none"/>
        </w:rPr>
        <w:t>分。</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递交投标文件备用光盘时间：</w:t>
      </w:r>
      <w:r>
        <w:rPr>
          <w:rFonts w:hint="eastAsia" w:ascii="宋体" w:hAnsi="宋体"/>
          <w:color w:val="auto"/>
          <w:sz w:val="24"/>
          <w:szCs w:val="24"/>
          <w:highlight w:val="none"/>
          <w:u w:val="single"/>
        </w:rPr>
        <w:t>202</w:t>
      </w:r>
      <w:r>
        <w:rPr>
          <w:rFonts w:ascii="宋体" w:hAnsi="宋体"/>
          <w:color w:val="auto"/>
          <w:sz w:val="24"/>
          <w:szCs w:val="24"/>
          <w:highlight w:val="none"/>
          <w:u w:val="single"/>
        </w:rPr>
        <w:t>4</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ascii="宋体" w:hAnsi="宋体"/>
          <w:color w:val="auto"/>
          <w:sz w:val="24"/>
          <w:szCs w:val="24"/>
          <w:highlight w:val="none"/>
          <w:u w:val="single"/>
        </w:rPr>
        <w:t xml:space="preserve">   </w:t>
      </w:r>
      <w:r>
        <w:rPr>
          <w:rFonts w:hint="eastAsia" w:ascii="宋体" w:hAnsi="宋体"/>
          <w:color w:val="auto"/>
          <w:sz w:val="24"/>
          <w:szCs w:val="24"/>
          <w:highlight w:val="none"/>
        </w:rPr>
        <w:t>分至</w:t>
      </w:r>
      <w:r>
        <w:rPr>
          <w:rFonts w:hint="eastAsia" w:ascii="宋体" w:hAnsi="宋体"/>
          <w:color w:val="auto"/>
          <w:sz w:val="24"/>
          <w:szCs w:val="24"/>
          <w:highlight w:val="none"/>
          <w:u w:val="single"/>
        </w:rPr>
        <w:t>202</w:t>
      </w:r>
      <w:r>
        <w:rPr>
          <w:rFonts w:ascii="宋体" w:hAnsi="宋体"/>
          <w:color w:val="auto"/>
          <w:sz w:val="24"/>
          <w:szCs w:val="24"/>
          <w:highlight w:val="none"/>
          <w:u w:val="single"/>
        </w:rPr>
        <w:t>4</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ascii="宋体" w:hAnsi="宋体"/>
          <w:color w:val="auto"/>
          <w:sz w:val="24"/>
          <w:szCs w:val="24"/>
          <w:highlight w:val="none"/>
          <w:u w:val="single"/>
        </w:rPr>
        <w:t xml:space="preserve">   </w:t>
      </w:r>
      <w:r>
        <w:rPr>
          <w:rFonts w:hint="eastAsia" w:ascii="宋体" w:hAnsi="宋体"/>
          <w:color w:val="auto"/>
          <w:sz w:val="24"/>
          <w:szCs w:val="24"/>
          <w:highlight w:val="none"/>
        </w:rPr>
        <w:t>分；</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递交投标文件备用光盘地点：广州公共资源交易中心第</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开标室。</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3</w:t>
      </w:r>
      <w:r>
        <w:rPr>
          <w:rFonts w:ascii="宋体" w:hAnsi="宋体"/>
          <w:color w:val="auto"/>
          <w:sz w:val="24"/>
          <w:szCs w:val="24"/>
          <w:highlight w:val="none"/>
        </w:rPr>
        <w:t>.</w:t>
      </w:r>
      <w:r>
        <w:rPr>
          <w:rFonts w:hint="eastAsia" w:ascii="宋体" w:hAnsi="宋体"/>
          <w:color w:val="auto"/>
          <w:sz w:val="24"/>
          <w:szCs w:val="24"/>
          <w:highlight w:val="none"/>
        </w:rPr>
        <w:t>开标开始时间：</w:t>
      </w:r>
      <w:r>
        <w:rPr>
          <w:rFonts w:hint="eastAsia" w:ascii="宋体" w:hAnsi="宋体"/>
          <w:color w:val="auto"/>
          <w:sz w:val="24"/>
          <w:szCs w:val="24"/>
          <w:highlight w:val="none"/>
          <w:u w:val="single"/>
        </w:rPr>
        <w:t>202</w:t>
      </w:r>
      <w:r>
        <w:rPr>
          <w:rFonts w:ascii="宋体" w:hAnsi="宋体"/>
          <w:color w:val="auto"/>
          <w:sz w:val="24"/>
          <w:szCs w:val="24"/>
          <w:highlight w:val="none"/>
          <w:u w:val="single"/>
        </w:rPr>
        <w:t>4</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ascii="宋体" w:hAnsi="宋体"/>
          <w:color w:val="auto"/>
          <w:sz w:val="24"/>
          <w:szCs w:val="24"/>
          <w:highlight w:val="none"/>
          <w:u w:val="single"/>
        </w:rPr>
        <w:t xml:space="preserve">   </w:t>
      </w:r>
      <w:r>
        <w:rPr>
          <w:rFonts w:hint="eastAsia" w:ascii="宋体" w:hAnsi="宋体"/>
          <w:color w:val="auto"/>
          <w:sz w:val="24"/>
          <w:szCs w:val="24"/>
          <w:highlight w:val="none"/>
        </w:rPr>
        <w:t>分。</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4</w:t>
      </w:r>
      <w:r>
        <w:rPr>
          <w:rFonts w:ascii="宋体" w:hAnsi="宋体"/>
          <w:color w:val="auto"/>
          <w:sz w:val="24"/>
          <w:szCs w:val="24"/>
          <w:highlight w:val="none"/>
        </w:rPr>
        <w:t>.</w:t>
      </w:r>
      <w:r>
        <w:rPr>
          <w:rFonts w:hint="eastAsia" w:ascii="宋体" w:hAnsi="宋体"/>
          <w:color w:val="auto"/>
          <w:sz w:val="24"/>
          <w:szCs w:val="24"/>
          <w:highlight w:val="none"/>
        </w:rPr>
        <w:t>递交投标文件截止时间与开标时间是否有变化，请密切留意招标答疑中的相关信息。递交投标文件截止时间后，开标时间因故推迟的，相关评标信息仍以原递交投标文件截止时间的信息为准。</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5</w:t>
      </w:r>
      <w:r>
        <w:rPr>
          <w:rFonts w:ascii="宋体" w:hAnsi="宋体"/>
          <w:color w:val="auto"/>
          <w:sz w:val="24"/>
          <w:szCs w:val="24"/>
          <w:highlight w:val="none"/>
        </w:rPr>
        <w:t>.</w:t>
      </w:r>
      <w:r>
        <w:rPr>
          <w:rFonts w:hint="eastAsia" w:ascii="宋体" w:hAnsi="宋体"/>
          <w:color w:val="auto"/>
          <w:sz w:val="24"/>
          <w:szCs w:val="24"/>
          <w:highlight w:val="none"/>
        </w:rPr>
        <w:t>投标人通过</w:t>
      </w:r>
      <w:r>
        <w:rPr>
          <w:rFonts w:hint="eastAsia" w:ascii="宋体" w:hAnsi="宋体" w:cs="宋体"/>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交易平台递交电子投标文件。投标人应在递交投标文件截止时间前，登录</w:t>
      </w:r>
      <w:r>
        <w:rPr>
          <w:rFonts w:hint="eastAsia" w:ascii="宋体" w:hAnsi="宋体" w:cs="宋体"/>
          <w:color w:val="auto"/>
          <w:sz w:val="24"/>
          <w:szCs w:val="24"/>
          <w:highlight w:val="none"/>
          <w:u w:val="single"/>
        </w:rPr>
        <w:t>广州交易集团有限公司（广州公共资源交易中心）</w:t>
      </w:r>
      <w:r>
        <w:rPr>
          <w:rFonts w:hint="eastAsia" w:ascii="宋体" w:hAnsi="宋体"/>
          <w:color w:val="auto"/>
          <w:sz w:val="24"/>
          <w:szCs w:val="24"/>
          <w:highlight w:val="none"/>
        </w:rPr>
        <w:t>易平台网站办理网上投标登记手续。按照交易平台关于全流程电子化项目的相关指南进行操作。详见：</w:t>
      </w:r>
      <w:r>
        <w:rPr>
          <w:rFonts w:hint="eastAsia" w:ascii="宋体" w:hAnsi="宋体"/>
          <w:color w:val="auto"/>
          <w:sz w:val="24"/>
          <w:szCs w:val="24"/>
          <w:highlight w:val="none"/>
          <w:u w:val="single"/>
        </w:rPr>
        <w:t>《房屋建筑和市政基础设施工程全流程电子化项目专章》</w:t>
      </w:r>
      <w:r>
        <w:rPr>
          <w:rFonts w:hint="eastAsia" w:ascii="宋体" w:hAnsi="宋体"/>
          <w:color w:val="auto"/>
          <w:sz w:val="24"/>
          <w:szCs w:val="24"/>
          <w:highlight w:val="none"/>
        </w:rPr>
        <w:t>。</w:t>
      </w:r>
    </w:p>
    <w:p>
      <w:pPr>
        <w:spacing w:line="360" w:lineRule="auto"/>
        <w:ind w:firstLine="480" w:firstLineChars="200"/>
        <w:rPr>
          <w:rFonts w:ascii="宋体" w:hAnsi="宋体"/>
          <w:color w:val="auto"/>
          <w:sz w:val="24"/>
          <w:szCs w:val="24"/>
          <w:highlight w:val="none"/>
          <w:u w:val="single"/>
        </w:rPr>
      </w:pPr>
      <w:r>
        <w:rPr>
          <w:rFonts w:hint="eastAsia" w:ascii="宋体" w:hAnsi="宋体" w:cs="宋体"/>
          <w:color w:val="auto"/>
          <w:kern w:val="0"/>
          <w:sz w:val="24"/>
          <w:szCs w:val="24"/>
          <w:highlight w:val="none"/>
        </w:rPr>
        <w:t>八、招标文件获取方式：</w:t>
      </w:r>
    </w:p>
    <w:p>
      <w:pPr>
        <w:spacing w:line="360" w:lineRule="auto"/>
        <w:ind w:firstLine="480" w:firstLineChars="200"/>
        <w:rPr>
          <w:rFonts w:ascii="宋体" w:hAnsi="宋体"/>
          <w:color w:val="auto"/>
          <w:sz w:val="24"/>
          <w:szCs w:val="24"/>
          <w:highlight w:val="none"/>
          <w:u w:val="single"/>
        </w:rPr>
      </w:pPr>
      <w:r>
        <w:rPr>
          <w:rFonts w:hint="eastAsia" w:ascii="宋体" w:hAnsi="宋体" w:cs="宋体"/>
          <w:color w:val="auto"/>
          <w:kern w:val="0"/>
          <w:sz w:val="24"/>
          <w:szCs w:val="24"/>
          <w:highlight w:val="none"/>
        </w:rPr>
        <w:t>本项目招标文件随招标公告一并在</w:t>
      </w:r>
      <w:r>
        <w:rPr>
          <w:rFonts w:hint="eastAsia" w:ascii="宋体" w:hAnsi="宋体" w:cs="宋体"/>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交易平台网站发布。招标文件</w:t>
      </w:r>
      <w:r>
        <w:rPr>
          <w:rFonts w:hint="eastAsia" w:ascii="宋体" w:hAnsi="宋体" w:cs="宋体"/>
          <w:color w:val="auto"/>
          <w:kern w:val="0"/>
          <w:sz w:val="24"/>
          <w:szCs w:val="24"/>
          <w:highlight w:val="none"/>
        </w:rPr>
        <w:t>一经在</w:t>
      </w:r>
      <w:r>
        <w:rPr>
          <w:rFonts w:hint="eastAsia" w:ascii="宋体" w:hAnsi="宋体" w:cs="宋体"/>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hAnsi="宋体" w:cs="宋体"/>
          <w:color w:val="auto"/>
          <w:kern w:val="0"/>
          <w:sz w:val="24"/>
          <w:szCs w:val="24"/>
          <w:highlight w:val="none"/>
        </w:rPr>
        <w:t>发布，视为发售给投标人，招标文件由投标人自行在</w:t>
      </w:r>
      <w:r>
        <w:rPr>
          <w:rFonts w:hint="eastAsia" w:ascii="宋体" w:hAnsi="宋体" w:cs="宋体"/>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hAnsi="宋体" w:cs="宋体"/>
          <w:color w:val="auto"/>
          <w:kern w:val="0"/>
          <w:sz w:val="24"/>
          <w:szCs w:val="24"/>
          <w:highlight w:val="none"/>
        </w:rPr>
        <w:t>网站下载。</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九、投标人合格条件：</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投标人参加投标的意思表达清楚，投标人代表被授权有效。</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投标人均具有独立法人资格，按国家法律经营。</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w:t>
      </w:r>
      <w:r>
        <w:rPr>
          <w:rFonts w:hint="eastAsia" w:ascii="宋体" w:hAnsi="宋体"/>
          <w:color w:val="auto"/>
          <w:sz w:val="24"/>
          <w:szCs w:val="24"/>
          <w:highlight w:val="none"/>
        </w:rPr>
        <w:t>投标人均持有建设行政主管部门颁发的有效期</w:t>
      </w:r>
      <w:r>
        <w:rPr>
          <w:rFonts w:ascii="宋体" w:hAnsi="宋体"/>
          <w:color w:val="auto"/>
          <w:sz w:val="24"/>
          <w:szCs w:val="24"/>
          <w:highlight w:val="none"/>
        </w:rPr>
        <w:t>内</w:t>
      </w:r>
      <w:r>
        <w:rPr>
          <w:rFonts w:hint="eastAsia" w:ascii="宋体" w:hAnsi="宋体"/>
          <w:color w:val="auto"/>
          <w:sz w:val="24"/>
          <w:szCs w:val="24"/>
          <w:highlight w:val="none"/>
        </w:rPr>
        <w:t>的企业资质证书及安全生产许可证。</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投标人应具备承接本工程所需的</w:t>
      </w:r>
      <w:r>
        <w:rPr>
          <w:rFonts w:hint="eastAsia" w:ascii="宋体" w:hAnsi="宋体"/>
          <w:color w:val="auto"/>
          <w:sz w:val="24"/>
          <w:szCs w:val="24"/>
          <w:highlight w:val="none"/>
          <w:u w:val="single"/>
        </w:rPr>
        <w:t>建筑工程施工总承包</w:t>
      </w:r>
      <w:r>
        <w:rPr>
          <w:rFonts w:hint="eastAsia" w:ascii="宋体" w:hAnsi="宋体"/>
          <w:color w:val="auto"/>
          <w:sz w:val="24"/>
          <w:szCs w:val="24"/>
          <w:highlight w:val="none"/>
          <w:u w:val="single"/>
          <w:lang w:val="en-US" w:eastAsia="zh-CN"/>
        </w:rPr>
        <w:t>叁</w:t>
      </w:r>
      <w:r>
        <w:rPr>
          <w:rFonts w:hint="eastAsia" w:ascii="宋体" w:hAnsi="宋体"/>
          <w:color w:val="auto"/>
          <w:sz w:val="24"/>
          <w:szCs w:val="24"/>
          <w:highlight w:val="none"/>
          <w:u w:val="single"/>
        </w:rPr>
        <w:t>级（或以上）级别施工总承包资质</w:t>
      </w:r>
      <w:r>
        <w:rPr>
          <w:rFonts w:hint="eastAsia" w:ascii="宋体" w:hAnsi="宋体"/>
          <w:color w:val="auto"/>
          <w:sz w:val="24"/>
          <w:szCs w:val="24"/>
          <w:highlight w:val="none"/>
        </w:rPr>
        <w:t>。</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投标人拟担任本工程项目负责人的人员为：</w:t>
      </w:r>
      <w:r>
        <w:rPr>
          <w:rFonts w:hint="eastAsia" w:ascii="宋体" w:hAnsi="宋体" w:cs="宋体"/>
          <w:color w:val="auto"/>
          <w:sz w:val="24"/>
          <w:szCs w:val="24"/>
          <w:highlight w:val="none"/>
          <w:u w:val="single"/>
        </w:rPr>
        <w:t>建筑工程专业二级或以上</w:t>
      </w:r>
      <w:r>
        <w:rPr>
          <w:rFonts w:hint="eastAsia" w:ascii="宋体" w:hAnsi="宋体" w:cs="宋体"/>
          <w:color w:val="auto"/>
          <w:sz w:val="24"/>
          <w:szCs w:val="24"/>
          <w:highlight w:val="none"/>
        </w:rPr>
        <w:t>级别的注册建造师</w:t>
      </w:r>
      <w:r>
        <w:rPr>
          <w:rFonts w:hint="eastAsia" w:ascii="宋体" w:hAnsi="宋体"/>
          <w:color w:val="auto"/>
          <w:sz w:val="24"/>
          <w:szCs w:val="24"/>
          <w:highlight w:val="none"/>
        </w:rPr>
        <w:t>。</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w:t>
      </w:r>
      <w:r>
        <w:rPr>
          <w:rFonts w:ascii="宋体" w:hAnsi="宋体" w:cs="宋体"/>
          <w:color w:val="auto"/>
          <w:sz w:val="24"/>
          <w:szCs w:val="24"/>
          <w:highlight w:val="none"/>
        </w:rPr>
        <w:t>.</w:t>
      </w:r>
      <w:r>
        <w:rPr>
          <w:rFonts w:ascii="宋体" w:hAnsi="宋体"/>
          <w:bCs/>
          <w:color w:val="auto"/>
          <w:sz w:val="24"/>
          <w:szCs w:val="24"/>
          <w:highlight w:val="none"/>
        </w:rPr>
        <w:t>项目负责人持有安全</w:t>
      </w:r>
      <w:r>
        <w:rPr>
          <w:rFonts w:hint="eastAsia" w:ascii="宋体" w:hAnsi="宋体"/>
          <w:bCs/>
          <w:color w:val="auto"/>
          <w:sz w:val="24"/>
          <w:szCs w:val="24"/>
          <w:highlight w:val="none"/>
        </w:rPr>
        <w:t>生产</w:t>
      </w:r>
      <w:r>
        <w:rPr>
          <w:rFonts w:ascii="宋体" w:hAnsi="宋体"/>
          <w:bCs/>
          <w:color w:val="auto"/>
          <w:sz w:val="24"/>
          <w:szCs w:val="24"/>
          <w:highlight w:val="none"/>
        </w:rPr>
        <w:t>考核合格证（B类）</w:t>
      </w:r>
      <w:r>
        <w:rPr>
          <w:rFonts w:ascii="宋体" w:hAnsi="宋体" w:cs="宋体"/>
          <w:color w:val="auto"/>
          <w:sz w:val="24"/>
          <w:szCs w:val="24"/>
          <w:highlight w:val="none"/>
        </w:rPr>
        <w:t>或</w:t>
      </w:r>
      <w:r>
        <w:rPr>
          <w:rFonts w:hint="eastAsia" w:ascii="宋体" w:hAnsi="宋体" w:cs="宋体"/>
          <w:color w:val="auto"/>
          <w:sz w:val="24"/>
          <w:szCs w:val="24"/>
          <w:highlight w:val="none"/>
        </w:rPr>
        <w:t>建筑施工企业项目负责人安全生产考核合格证书。</w:t>
      </w:r>
    </w:p>
    <w:p>
      <w:pPr>
        <w:spacing w:line="360" w:lineRule="auto"/>
        <w:ind w:firstLine="480" w:firstLineChars="200"/>
        <w:rPr>
          <w:rFonts w:ascii="宋体" w:hAnsi="宋体"/>
          <w:color w:val="auto"/>
          <w:sz w:val="24"/>
          <w:szCs w:val="24"/>
          <w:highlight w:val="none"/>
          <w:u w:val="single"/>
        </w:rPr>
      </w:pPr>
      <w:r>
        <w:rPr>
          <w:rFonts w:ascii="宋体" w:hAnsi="宋体" w:cs="宋体"/>
          <w:color w:val="auto"/>
          <w:sz w:val="24"/>
          <w:szCs w:val="24"/>
          <w:highlight w:val="none"/>
        </w:rPr>
        <w:t>6.</w:t>
      </w:r>
      <w:r>
        <w:rPr>
          <w:rFonts w:hint="eastAsia" w:ascii="宋体" w:hAnsi="宋体"/>
          <w:color w:val="auto"/>
          <w:sz w:val="24"/>
          <w:szCs w:val="24"/>
          <w:highlight w:val="none"/>
        </w:rPr>
        <w:t>投标人拟担任本工程技术负责人的资格要求为：</w:t>
      </w:r>
      <w:r>
        <w:rPr>
          <w:rFonts w:hint="eastAsia" w:ascii="宋体" w:hAnsi="宋体" w:cs="宋体"/>
          <w:color w:val="auto"/>
          <w:sz w:val="24"/>
          <w:szCs w:val="24"/>
          <w:highlight w:val="none"/>
          <w:u w:val="single"/>
        </w:rPr>
        <w:t>具有建筑工程相关专业中级或以上职称。</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w:t>
      </w:r>
      <w:r>
        <w:rPr>
          <w:rFonts w:ascii="宋体" w:hAnsi="宋体" w:cs="宋体"/>
          <w:color w:val="auto"/>
          <w:sz w:val="24"/>
          <w:szCs w:val="24"/>
          <w:highlight w:val="none"/>
        </w:rPr>
        <w:t>.</w:t>
      </w:r>
      <w:r>
        <w:rPr>
          <w:rFonts w:hint="eastAsia" w:ascii="宋体" w:hAnsi="宋体"/>
          <w:bCs/>
          <w:color w:val="auto"/>
          <w:sz w:val="24"/>
          <w:szCs w:val="24"/>
          <w:highlight w:val="none"/>
        </w:rPr>
        <w:t>专职安全员须具有在有效期内的安全生产考核合格证（C类）或建筑施工企业专职安全生产管理人员安全生产考核合格证书（C3）</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w:t>
      </w:r>
      <w:r>
        <w:rPr>
          <w:rFonts w:ascii="宋体" w:hAnsi="宋体" w:cs="宋体"/>
          <w:color w:val="auto"/>
          <w:sz w:val="24"/>
          <w:szCs w:val="24"/>
          <w:highlight w:val="none"/>
        </w:rPr>
        <w:t>.</w:t>
      </w:r>
      <w:r>
        <w:rPr>
          <w:rFonts w:hint="eastAsia" w:ascii="宋体" w:hAnsi="宋体"/>
          <w:color w:val="auto"/>
          <w:sz w:val="24"/>
          <w:szCs w:val="24"/>
          <w:highlight w:val="none"/>
        </w:rPr>
        <w:t>投标人已按照附件一的内容签署盖章的投标人声明。</w:t>
      </w:r>
    </w:p>
    <w:p>
      <w:pPr>
        <w:spacing w:line="360" w:lineRule="auto"/>
        <w:ind w:firstLine="480" w:firstLineChars="200"/>
        <w:rPr>
          <w:rFonts w:ascii="宋体" w:hAnsi="宋体"/>
          <w:color w:val="auto"/>
          <w:sz w:val="24"/>
          <w:szCs w:val="24"/>
          <w:highlight w:val="none"/>
          <w:u w:val="single"/>
        </w:rPr>
      </w:pPr>
      <w:r>
        <w:rPr>
          <w:rFonts w:hint="eastAsia" w:ascii="宋体" w:hAnsi="宋体" w:cs="宋体"/>
          <w:color w:val="auto"/>
          <w:sz w:val="24"/>
          <w:szCs w:val="24"/>
          <w:highlight w:val="none"/>
        </w:rPr>
        <w:t>9</w:t>
      </w:r>
      <w:r>
        <w:rPr>
          <w:rFonts w:ascii="宋体" w:hAnsi="宋体" w:cs="宋体"/>
          <w:color w:val="auto"/>
          <w:sz w:val="24"/>
          <w:szCs w:val="24"/>
          <w:highlight w:val="none"/>
        </w:rPr>
        <w:t>.</w:t>
      </w:r>
      <w:r>
        <w:rPr>
          <w:rFonts w:hint="eastAsia" w:ascii="宋体" w:hAnsi="宋体"/>
          <w:color w:val="auto"/>
          <w:sz w:val="24"/>
          <w:szCs w:val="24"/>
          <w:highlight w:val="none"/>
        </w:rPr>
        <w:t>关于联合体投标：</w:t>
      </w:r>
      <w:r>
        <w:rPr>
          <w:rFonts w:hint="eastAsia" w:ascii="宋体" w:hAnsi="宋体"/>
          <w:color w:val="auto"/>
          <w:sz w:val="24"/>
          <w:szCs w:val="24"/>
          <w:highlight w:val="none"/>
          <w:u w:val="single"/>
        </w:rPr>
        <w:t>本项目不接受联合体投标。</w:t>
      </w:r>
    </w:p>
    <w:p>
      <w:pPr>
        <w:spacing w:line="360" w:lineRule="auto"/>
        <w:ind w:firstLine="480" w:firstLineChars="200"/>
        <w:rPr>
          <w:rFonts w:ascii="宋体" w:hAnsi="宋体"/>
          <w:color w:val="auto"/>
          <w:sz w:val="24"/>
          <w:szCs w:val="24"/>
          <w:highlight w:val="none"/>
        </w:rPr>
      </w:pPr>
      <w:r>
        <w:rPr>
          <w:rFonts w:ascii="宋体" w:hAnsi="宋体" w:cs="宋体"/>
          <w:color w:val="auto"/>
          <w:sz w:val="24"/>
          <w:szCs w:val="24"/>
          <w:highlight w:val="none"/>
        </w:rPr>
        <w:t>10.</w:t>
      </w:r>
      <w:r>
        <w:rPr>
          <w:rFonts w:ascii="宋体" w:hAnsi="宋体"/>
          <w:bCs/>
          <w:color w:val="auto"/>
          <w:sz w:val="24"/>
          <w:szCs w:val="24"/>
          <w:highlight w:val="none"/>
        </w:rPr>
        <w:t>资格审查前，投标</w:t>
      </w:r>
      <w:r>
        <w:rPr>
          <w:rFonts w:ascii="宋体" w:hAnsi="宋体"/>
          <w:color w:val="auto"/>
          <w:sz w:val="24"/>
          <w:szCs w:val="24"/>
          <w:highlight w:val="none"/>
        </w:rPr>
        <w:t>人须在</w:t>
      </w:r>
      <w:r>
        <w:rPr>
          <w:rFonts w:hint="eastAsia" w:ascii="宋体" w:hAnsi="宋体"/>
          <w:color w:val="auto"/>
          <w:sz w:val="24"/>
          <w:szCs w:val="24"/>
          <w:highlight w:val="none"/>
        </w:rPr>
        <w:t>广州市住房和城乡建设局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w:t>
      </w:r>
      <w:r>
        <w:rPr>
          <w:rFonts w:ascii="宋体" w:hAnsi="宋体"/>
          <w:color w:val="auto"/>
          <w:sz w:val="24"/>
          <w:szCs w:val="24"/>
          <w:highlight w:val="none"/>
        </w:rPr>
        <w:t>http://zfcj.gz.gov.cn/zwgk/zsdwxxgkzl/gzsjzyglfwzx/bszy/content/post_8484886.html</w:t>
      </w:r>
      <w:r>
        <w:rPr>
          <w:rFonts w:hint="eastAsia" w:ascii="宋体" w:hAnsi="宋体"/>
          <w:color w:val="auto"/>
          <w:sz w:val="24"/>
          <w:szCs w:val="24"/>
          <w:highlight w:val="none"/>
        </w:rPr>
        <w:t>）</w:t>
      </w:r>
      <w:r>
        <w:rPr>
          <w:rFonts w:ascii="宋体" w:hAnsi="宋体"/>
          <w:color w:val="auto"/>
          <w:sz w:val="24"/>
          <w:szCs w:val="24"/>
          <w:highlight w:val="none"/>
        </w:rPr>
        <w:t xml:space="preserve"> </w:t>
      </w:r>
    </w:p>
    <w:p>
      <w:pPr>
        <w:spacing w:line="360" w:lineRule="auto"/>
        <w:ind w:firstLine="480" w:firstLineChars="200"/>
        <w:rPr>
          <w:rFonts w:ascii="宋体" w:hAnsi="宋体"/>
          <w:bCs/>
          <w:color w:val="auto"/>
          <w:sz w:val="24"/>
          <w:szCs w:val="24"/>
          <w:highlight w:val="none"/>
        </w:rPr>
      </w:pPr>
      <w:r>
        <w:rPr>
          <w:rFonts w:ascii="宋体" w:hAnsi="宋体"/>
          <w:color w:val="auto"/>
          <w:sz w:val="24"/>
          <w:szCs w:val="24"/>
          <w:highlight w:val="none"/>
        </w:rPr>
        <w:t>11.</w:t>
      </w:r>
      <w:r>
        <w:rPr>
          <w:rFonts w:hint="eastAsia" w:ascii="宋体" w:hAnsi="宋体"/>
          <w:bCs/>
          <w:color w:val="auto"/>
          <w:sz w:val="24"/>
          <w:szCs w:val="24"/>
          <w:highlight w:val="none"/>
        </w:rPr>
        <w:t>投标人未出现以下情形：与其它投标人的单位负责人为同一人或者存在控股、管理关系的（按投标人提供的《投标人声明》第八条内容进行评审）。如不同投标人出现单位负责人为同一人或者存在控股、管理关系的情形，则视为无效投标。</w:t>
      </w:r>
    </w:p>
    <w:p>
      <w:pPr>
        <w:spacing w:line="360" w:lineRule="auto"/>
        <w:ind w:firstLine="480" w:firstLineChars="200"/>
        <w:rPr>
          <w:rFonts w:ascii="宋体" w:hAnsi="宋体"/>
          <w:bCs/>
          <w:color w:val="auto"/>
          <w:sz w:val="24"/>
          <w:szCs w:val="24"/>
          <w:highlight w:val="none"/>
        </w:rPr>
      </w:pPr>
      <w:r>
        <w:rPr>
          <w:rFonts w:ascii="宋体" w:hAnsi="宋体"/>
          <w:bCs/>
          <w:color w:val="auto"/>
          <w:sz w:val="24"/>
          <w:szCs w:val="24"/>
          <w:highlight w:val="none"/>
        </w:rPr>
        <w:t>12.</w:t>
      </w:r>
      <w:r>
        <w:rPr>
          <w:rFonts w:hint="eastAsia" w:ascii="宋体" w:hAnsi="宋体"/>
          <w:bCs/>
          <w:color w:val="auto"/>
          <w:sz w:val="24"/>
          <w:szCs w:val="24"/>
          <w:highlight w:val="none"/>
        </w:rPr>
        <w:t>未被列入拖欠农民工工资失信联合惩戒对象名单。</w:t>
      </w:r>
    </w:p>
    <w:p>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注：因联合惩戒措施表述存在细微差别，惩戒措施与上文不完全一致但措施内容相同的，也应属于被限制参与相关项目的投标。</w:t>
      </w:r>
    </w:p>
    <w:p>
      <w:pPr>
        <w:spacing w:line="360" w:lineRule="auto"/>
        <w:ind w:firstLine="480" w:firstLineChars="200"/>
        <w:rPr>
          <w:rFonts w:ascii="宋体" w:hAnsi="宋体"/>
          <w:bCs/>
          <w:color w:val="auto"/>
          <w:sz w:val="24"/>
          <w:szCs w:val="24"/>
          <w:highlight w:val="none"/>
        </w:rPr>
      </w:pPr>
      <w:r>
        <w:rPr>
          <w:rFonts w:hint="eastAsia" w:ascii="宋体" w:hAnsi="宋体"/>
          <w:color w:val="auto"/>
          <w:sz w:val="24"/>
          <w:szCs w:val="24"/>
          <w:highlight w:val="none"/>
        </w:rPr>
        <w:t>注：未在招标公告第九条单列的资审合格条件，不作为资审不合格的依据。</w:t>
      </w:r>
    </w:p>
    <w:p>
      <w:pPr>
        <w:spacing w:line="360" w:lineRule="auto"/>
        <w:ind w:firstLine="480" w:firstLineChars="200"/>
        <w:rPr>
          <w:rFonts w:ascii="宋体" w:hAnsi="宋体"/>
          <w:bCs/>
          <w:color w:val="auto"/>
          <w:sz w:val="24"/>
          <w:szCs w:val="24"/>
          <w:highlight w:val="none"/>
        </w:rPr>
      </w:pPr>
      <w:r>
        <w:rPr>
          <w:rFonts w:hint="eastAsia" w:ascii="宋体" w:hAnsi="宋体" w:cs="宋体"/>
          <w:color w:val="auto"/>
          <w:sz w:val="24"/>
          <w:szCs w:val="24"/>
          <w:highlight w:val="none"/>
        </w:rPr>
        <w:t>十、资格审查方式：</w:t>
      </w:r>
    </w:p>
    <w:p>
      <w:pPr>
        <w:spacing w:line="360" w:lineRule="auto"/>
        <w:ind w:firstLine="480" w:firstLineChars="200"/>
        <w:rPr>
          <w:rFonts w:ascii="宋体" w:hAnsi="宋体"/>
          <w:bCs/>
          <w:color w:val="auto"/>
          <w:sz w:val="24"/>
          <w:szCs w:val="24"/>
          <w:highlight w:val="none"/>
        </w:rPr>
      </w:pPr>
      <w:r>
        <w:rPr>
          <w:rFonts w:hint="eastAsia" w:ascii="宋体" w:hAnsi="宋体" w:cs="宋体"/>
          <w:color w:val="auto"/>
          <w:sz w:val="24"/>
          <w:szCs w:val="24"/>
          <w:highlight w:val="none"/>
        </w:rPr>
        <w:t>本工程采用资格后审方式，由评标委员会负责资格审查。</w:t>
      </w:r>
    </w:p>
    <w:p>
      <w:pPr>
        <w:spacing w:line="360" w:lineRule="auto"/>
        <w:ind w:firstLine="480" w:firstLineChars="200"/>
        <w:rPr>
          <w:rFonts w:ascii="宋体" w:hAnsi="宋体"/>
          <w:bCs/>
          <w:color w:val="auto"/>
          <w:sz w:val="24"/>
          <w:szCs w:val="24"/>
          <w:highlight w:val="none"/>
        </w:rPr>
      </w:pPr>
      <w:r>
        <w:rPr>
          <w:rFonts w:hint="eastAsia" w:ascii="宋体" w:hAnsi="宋体"/>
          <w:color w:val="auto"/>
          <w:sz w:val="24"/>
          <w:szCs w:val="24"/>
          <w:highlight w:val="none"/>
        </w:rPr>
        <w:t>十一、资格审查结果将在</w:t>
      </w:r>
      <w:r>
        <w:rPr>
          <w:rFonts w:hint="eastAsia" w:ascii="宋体" w:hAnsi="宋体" w:cs="宋体"/>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交易平台和广东省招标投标监管网公示，</w:t>
      </w:r>
      <w:r>
        <w:rPr>
          <w:rFonts w:hint="eastAsia" w:ascii="宋体" w:hAnsi="宋体"/>
          <w:bCs/>
          <w:color w:val="auto"/>
          <w:sz w:val="24"/>
          <w:szCs w:val="24"/>
          <w:highlight w:val="none"/>
        </w:rPr>
        <w:t>公示时间不得少于3日。</w:t>
      </w:r>
    </w:p>
    <w:p>
      <w:pPr>
        <w:spacing w:line="360" w:lineRule="auto"/>
        <w:ind w:firstLine="480" w:firstLineChars="200"/>
        <w:rPr>
          <w:rFonts w:ascii="宋体" w:hAnsi="宋体"/>
          <w:bCs/>
          <w:color w:val="auto"/>
          <w:sz w:val="24"/>
          <w:szCs w:val="24"/>
          <w:highlight w:val="none"/>
        </w:rPr>
      </w:pPr>
      <w:r>
        <w:rPr>
          <w:rFonts w:hint="eastAsia" w:ascii="宋体" w:hAnsi="宋体"/>
          <w:color w:val="auto"/>
          <w:sz w:val="24"/>
          <w:szCs w:val="24"/>
          <w:highlight w:val="none"/>
        </w:rPr>
        <w:t>十二、满足资格审查合格条件的投标人不足3名或通过有效性审查的投标人不足3名时为招标失败。招标人分析招标失败原因，修正招标方案，报有关管理部门核准后，重新组织招标。</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十四、</w:t>
      </w:r>
      <w:r>
        <w:rPr>
          <w:rFonts w:hint="eastAsia" w:ascii="宋体" w:hAnsi="宋体"/>
          <w:bCs/>
          <w:color w:val="auto"/>
          <w:sz w:val="24"/>
          <w:szCs w:val="24"/>
          <w:highlight w:val="none"/>
        </w:rPr>
        <w:t>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十五、潜在投标人或利害关系人对本招标公告及招标文件有异议的，应当在投标截止时间10日前向招标人书面提出。</w:t>
      </w:r>
    </w:p>
    <w:p>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异议受理部门：</w:t>
      </w:r>
      <w:r>
        <w:rPr>
          <w:rFonts w:hint="eastAsia" w:ascii="宋体" w:hAnsi="宋体"/>
          <w:color w:val="auto"/>
          <w:sz w:val="24"/>
          <w:szCs w:val="24"/>
          <w:highlight w:val="none"/>
          <w:u w:val="single"/>
          <w:lang w:eastAsia="zh-CN"/>
        </w:rPr>
        <w:t>广州知城梧栖城市开发投资有限公司</w:t>
      </w:r>
    </w:p>
    <w:p>
      <w:pPr>
        <w:spacing w:line="360" w:lineRule="auto"/>
        <w:ind w:firstLine="480" w:firstLineChars="200"/>
        <w:rPr>
          <w:rFonts w:hint="default" w:ascii="宋体" w:hAnsi="宋体"/>
          <w:color w:val="auto"/>
          <w:sz w:val="24"/>
          <w:szCs w:val="24"/>
          <w:highlight w:val="none"/>
          <w:lang w:val="en-US"/>
        </w:rPr>
      </w:pPr>
      <w:r>
        <w:rPr>
          <w:rFonts w:hint="eastAsia" w:ascii="宋体" w:hAnsi="宋体"/>
          <w:color w:val="auto"/>
          <w:sz w:val="24"/>
          <w:szCs w:val="24"/>
          <w:highlight w:val="none"/>
        </w:rPr>
        <w:t>异议受理电话：</w:t>
      </w:r>
      <w:r>
        <w:rPr>
          <w:rFonts w:hint="eastAsia" w:ascii="宋体" w:hAnsi="宋体"/>
          <w:color w:val="auto"/>
          <w:sz w:val="24"/>
          <w:szCs w:val="24"/>
          <w:highlight w:val="none"/>
          <w:u w:val="single"/>
          <w:lang w:val="en-US" w:eastAsia="zh-CN"/>
        </w:rPr>
        <w:t xml:space="preserve"> 020-31700409</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地    址：</w:t>
      </w:r>
      <w:r>
        <w:rPr>
          <w:rFonts w:hint="eastAsia" w:ascii="宋体" w:hAnsi="宋体"/>
          <w:color w:val="auto"/>
          <w:sz w:val="24"/>
          <w:szCs w:val="24"/>
          <w:highlight w:val="none"/>
          <w:u w:val="single"/>
        </w:rPr>
        <w:t xml:space="preserve">广州市黄埔区知凤街9号知识大厦7楼01-06室 </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十六、本公告在广州公共资源交易网（http://www.gzggzy.cn）、广东省招标投标监管网（http://zbtb.gd.gov.cn）和中国招标投标公共服务平台（http://www.cebpubservice.com）发布，本公告的修改、补充，在广州公共资源交易网发布。</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十七、本招标公告及招标文件使用GZZB2018-3招标文件范本。本公告与范本内容不同之处均以下划线标明，所有标明下划线部分属于本公告的组成部分，同其他部分具有同样的效力。</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十八、招标公告网上发布时，同时发布招标文件、施工图纸、最高投标限价。本工程根据国家和省有关计价规范设置最高投标限价。招标公告发布之日起计算编制投标文件时间，编制投标文件的时间不得少于20天。</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特别提示：投标人在本项目招标人的工程项目中存在下列行为的，将被拒绝一定时期内参与招标人后续工程投标。（注：拒绝投标时限由招标人视严重程度确定，最低三个月起，自招标人发出通知之日起计）：</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1.将中标工程转包或者违法分包的;</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2.在中标工程中不执行质量、安全生产相关规定的，造成质量或安全事故的；</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3.存在围标或串标情形的;</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4.在投标文件中提供虚假材料的；</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5.存在行贿情形的;</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6.拖欠农民工工资的；</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7.未按照国家、省、市有关建筑施工实名制管理和工人工资支付分账管理的规定执行，被行政监管部门处罚的。</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8.中标人在项目实施过程中选取的专业分包单位或劳务企业或劳务班组长与投标时不一致的（如有）；</w:t>
      </w:r>
    </w:p>
    <w:p>
      <w:pPr>
        <w:spacing w:line="360" w:lineRule="auto"/>
        <w:ind w:right="252" w:rightChars="120" w:firstLine="4080" w:firstLineChars="1700"/>
        <w:jc w:val="right"/>
        <w:rPr>
          <w:rFonts w:ascii="宋体" w:hAnsi="宋体"/>
          <w:color w:val="auto"/>
          <w:sz w:val="24"/>
          <w:szCs w:val="24"/>
          <w:highlight w:val="none"/>
        </w:rPr>
      </w:pPr>
    </w:p>
    <w:p>
      <w:pPr>
        <w:spacing w:line="360" w:lineRule="auto"/>
        <w:ind w:right="252" w:rightChars="120" w:firstLine="4080" w:firstLineChars="1700"/>
        <w:jc w:val="right"/>
        <w:rPr>
          <w:rFonts w:ascii="宋体" w:hAnsi="宋体"/>
          <w:color w:val="auto"/>
          <w:sz w:val="24"/>
          <w:szCs w:val="24"/>
          <w:highlight w:val="none"/>
        </w:rPr>
      </w:pPr>
    </w:p>
    <w:p>
      <w:pPr>
        <w:spacing w:line="360" w:lineRule="auto"/>
        <w:ind w:right="252" w:rightChars="120" w:firstLine="4080" w:firstLineChars="1700"/>
        <w:jc w:val="right"/>
        <w:rPr>
          <w:rFonts w:ascii="宋体" w:hAnsi="宋体"/>
          <w:color w:val="auto"/>
          <w:sz w:val="24"/>
          <w:szCs w:val="24"/>
          <w:highlight w:val="none"/>
        </w:rPr>
      </w:pPr>
    </w:p>
    <w:p>
      <w:pPr>
        <w:spacing w:line="360" w:lineRule="auto"/>
        <w:ind w:right="252" w:rightChars="120" w:firstLine="4080" w:firstLineChars="1700"/>
        <w:jc w:val="right"/>
        <w:rPr>
          <w:rFonts w:ascii="宋体" w:hAnsi="宋体"/>
          <w:color w:val="auto"/>
          <w:sz w:val="24"/>
          <w:szCs w:val="24"/>
          <w:highlight w:val="none"/>
        </w:rPr>
      </w:pPr>
    </w:p>
    <w:p>
      <w:pPr>
        <w:spacing w:line="360" w:lineRule="auto"/>
        <w:ind w:right="252" w:rightChars="120" w:firstLine="4080" w:firstLineChars="1700"/>
        <w:jc w:val="righ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招标单位：</w:t>
      </w:r>
      <w:r>
        <w:rPr>
          <w:rFonts w:hint="eastAsia" w:ascii="宋体" w:hAnsi="宋体"/>
          <w:color w:val="auto"/>
          <w:sz w:val="24"/>
          <w:szCs w:val="24"/>
          <w:highlight w:val="none"/>
          <w:lang w:eastAsia="zh-CN"/>
        </w:rPr>
        <w:t>广州知城梧栖城市开发投资有限公司</w:t>
      </w:r>
    </w:p>
    <w:p>
      <w:pPr>
        <w:spacing w:line="360" w:lineRule="auto"/>
        <w:ind w:right="252" w:rightChars="120" w:firstLine="4080" w:firstLineChars="1700"/>
        <w:jc w:val="righ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招标代理：</w:t>
      </w:r>
      <w:r>
        <w:rPr>
          <w:rFonts w:hint="eastAsia" w:ascii="宋体" w:hAnsi="宋体"/>
          <w:color w:val="auto"/>
          <w:sz w:val="24"/>
          <w:szCs w:val="24"/>
          <w:highlight w:val="none"/>
          <w:lang w:eastAsia="zh-CN"/>
        </w:rPr>
        <w:t>广东省机电设备招标有限公司</w:t>
      </w:r>
    </w:p>
    <w:p>
      <w:pPr>
        <w:spacing w:line="360" w:lineRule="auto"/>
        <w:ind w:right="252" w:rightChars="120" w:firstLine="6969" w:firstLineChars="2904"/>
        <w:jc w:val="right"/>
        <w:rPr>
          <w:rFonts w:ascii="宋体" w:hAnsi="宋体"/>
          <w:color w:val="auto"/>
          <w:sz w:val="24"/>
          <w:szCs w:val="24"/>
          <w:highlight w:val="none"/>
        </w:rPr>
      </w:pPr>
      <w:r>
        <w:rPr>
          <w:rFonts w:hint="eastAsia" w:ascii="宋体" w:hAnsi="宋体"/>
          <w:color w:val="auto"/>
          <w:sz w:val="24"/>
          <w:szCs w:val="24"/>
          <w:highlight w:val="none"/>
        </w:rPr>
        <w:t>2024年</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16</w:t>
      </w:r>
      <w:bookmarkStart w:id="0" w:name="_GoBack"/>
      <w:bookmarkEnd w:id="0"/>
      <w:r>
        <w:rPr>
          <w:rFonts w:hint="eastAsia" w:ascii="宋体" w:hAnsi="宋体"/>
          <w:color w:val="auto"/>
          <w:sz w:val="24"/>
          <w:szCs w:val="24"/>
          <w:highlight w:val="none"/>
        </w:rPr>
        <w:t>日</w:t>
      </w:r>
    </w:p>
    <w:p>
      <w:pPr>
        <w:spacing w:line="360" w:lineRule="auto"/>
        <w:rPr>
          <w:rFonts w:ascii="宋体" w:hAnsi="宋体"/>
          <w:b/>
          <w:bCs/>
          <w:color w:val="auto"/>
          <w:szCs w:val="21"/>
          <w:highlight w:val="none"/>
        </w:rPr>
        <w:sectPr>
          <w:headerReference r:id="rId3" w:type="default"/>
          <w:footerReference r:id="rId4" w:type="default"/>
          <w:pgSz w:w="11906" w:h="16838"/>
          <w:pgMar w:top="1018" w:right="988" w:bottom="1140" w:left="1038" w:header="851" w:footer="680" w:gutter="0"/>
          <w:cols w:space="0" w:num="1"/>
          <w:docGrid w:type="lines" w:linePitch="312" w:charSpace="0"/>
        </w:sectPr>
      </w:pPr>
    </w:p>
    <w:p>
      <w:pPr>
        <w:spacing w:line="360" w:lineRule="auto"/>
        <w:rPr>
          <w:rFonts w:ascii="宋体" w:hAnsi="宋体" w:cs="宋体"/>
          <w:b/>
          <w:color w:val="auto"/>
          <w:sz w:val="44"/>
          <w:highlight w:val="none"/>
        </w:rPr>
      </w:pPr>
      <w:r>
        <w:rPr>
          <w:rFonts w:hint="eastAsia" w:ascii="宋体" w:hAnsi="宋体" w:cs="宋体"/>
          <w:color w:val="auto"/>
          <w:sz w:val="24"/>
          <w:highlight w:val="none"/>
        </w:rPr>
        <w:t>附件一：</w:t>
      </w:r>
    </w:p>
    <w:p>
      <w:pPr>
        <w:adjustRightInd w:val="0"/>
        <w:snapToGrid w:val="0"/>
        <w:spacing w:line="360" w:lineRule="auto"/>
        <w:jc w:val="center"/>
        <w:rPr>
          <w:rFonts w:ascii="宋体" w:hAnsi="宋体" w:cs="宋体"/>
          <w:b/>
          <w:color w:val="auto"/>
          <w:sz w:val="30"/>
          <w:szCs w:val="30"/>
          <w:highlight w:val="none"/>
        </w:rPr>
      </w:pPr>
      <w:r>
        <w:rPr>
          <w:rFonts w:hint="eastAsia" w:ascii="宋体" w:hAnsi="宋体" w:cs="宋体"/>
          <w:b/>
          <w:color w:val="auto"/>
          <w:kern w:val="0"/>
          <w:sz w:val="30"/>
          <w:szCs w:val="30"/>
          <w:highlight w:val="none"/>
        </w:rPr>
        <w:t>投标人声明</w:t>
      </w:r>
    </w:p>
    <w:p>
      <w:pPr>
        <w:adjustRightInd w:val="0"/>
        <w:snapToGrid w:val="0"/>
        <w:spacing w:line="360" w:lineRule="auto"/>
        <w:jc w:val="center"/>
        <w:rPr>
          <w:rFonts w:ascii="宋体" w:hAnsi="宋体" w:cs="宋体"/>
          <w:b/>
          <w:color w:val="auto"/>
          <w:sz w:val="24"/>
          <w:szCs w:val="24"/>
          <w:highlight w:val="none"/>
        </w:rPr>
      </w:pPr>
    </w:p>
    <w:p>
      <w:pPr>
        <w:pStyle w:val="17"/>
        <w:ind w:firstLine="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广州市黄埔区住房和城乡建设局、广州开发区建设和交通局、广州开发区建设工程招投标管理办公室（广州市黄埔区建设工程招投标管理办公室）</w:t>
      </w:r>
      <w:r>
        <w:rPr>
          <w:rFonts w:hint="eastAsia" w:ascii="宋体" w:hAnsi="宋体" w:eastAsia="宋体" w:cs="宋体"/>
          <w:color w:val="auto"/>
          <w:sz w:val="24"/>
          <w:szCs w:val="24"/>
          <w:highlight w:val="none"/>
        </w:rPr>
        <w:t>、本招标项目招标人：</w:t>
      </w:r>
    </w:p>
    <w:p>
      <w:pPr>
        <w:widowControl/>
        <w:spacing w:line="360" w:lineRule="auto"/>
        <w:ind w:firstLine="480" w:firstLineChars="200"/>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本公司就</w:t>
      </w:r>
      <w:r>
        <w:rPr>
          <w:rFonts w:hint="eastAsia" w:ascii="宋体" w:hAnsi="宋体" w:cs="宋体"/>
          <w:color w:val="auto"/>
          <w:kern w:val="0"/>
          <w:sz w:val="24"/>
          <w:szCs w:val="24"/>
          <w:highlight w:val="none"/>
          <w:u w:val="single"/>
          <w:lang w:bidi="ar"/>
        </w:rPr>
        <w:t xml:space="preserve">                      （项目名称）</w:t>
      </w:r>
      <w:r>
        <w:rPr>
          <w:rFonts w:hint="eastAsia" w:ascii="宋体" w:hAnsi="宋体" w:cs="宋体"/>
          <w:color w:val="auto"/>
          <w:kern w:val="0"/>
          <w:sz w:val="24"/>
          <w:szCs w:val="24"/>
          <w:highlight w:val="none"/>
          <w:lang w:bidi="ar"/>
        </w:rPr>
        <w:t>参加投标工作，作出郑重声明：</w:t>
      </w:r>
    </w:p>
    <w:p>
      <w:pPr>
        <w:widowControl/>
        <w:spacing w:line="360" w:lineRule="auto"/>
        <w:ind w:firstLine="480" w:firstLineChars="200"/>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一、本公司保证投标文件及其后提供的一切材料都是真实的。如我司成为本项目中标候选人，我司同意并授权招标人将我司投标文件商务部分的人员、业绩、奖项等资料进行公开。</w:t>
      </w:r>
    </w:p>
    <w:p>
      <w:pPr>
        <w:widowControl/>
        <w:spacing w:line="360" w:lineRule="auto"/>
        <w:ind w:firstLine="480" w:firstLineChars="200"/>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二、本公司保证在本项目投标中不与其他单位围标、串标，不出让投标资格，不向招标人或评标委员会成员行贿。</w:t>
      </w:r>
    </w:p>
    <w:p>
      <w:pPr>
        <w:widowControl/>
        <w:spacing w:line="360" w:lineRule="auto"/>
        <w:ind w:firstLine="480" w:firstLineChars="200"/>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三、本公司不存在下列情形之一：</w:t>
      </w:r>
    </w:p>
    <w:p>
      <w:pPr>
        <w:widowControl/>
        <w:spacing w:line="360" w:lineRule="auto"/>
        <w:ind w:firstLine="480" w:firstLineChars="200"/>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（一）为招标人不具有独立法人资格的附属机构（单位）；</w:t>
      </w:r>
    </w:p>
    <w:p>
      <w:pPr>
        <w:widowControl/>
        <w:spacing w:line="360" w:lineRule="auto"/>
        <w:ind w:firstLine="480" w:firstLineChars="200"/>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（二）为本标段前期准备提供设计或咨询服务或者与本项目设计人或提供咨询服务的机构存在附属关系的；</w:t>
      </w:r>
    </w:p>
    <w:p>
      <w:pPr>
        <w:widowControl/>
        <w:spacing w:line="360" w:lineRule="auto"/>
        <w:ind w:firstLine="480" w:firstLineChars="200"/>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（三）为本标段监理人或者与本标段监理人存在隶属关系或者其他利害关系；</w:t>
      </w:r>
    </w:p>
    <w:p>
      <w:pPr>
        <w:widowControl/>
        <w:spacing w:line="360" w:lineRule="auto"/>
        <w:ind w:firstLine="480" w:firstLineChars="200"/>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（四）为本标段的代建人；</w:t>
      </w:r>
    </w:p>
    <w:p>
      <w:pPr>
        <w:widowControl/>
        <w:spacing w:line="360" w:lineRule="auto"/>
        <w:ind w:firstLine="480" w:firstLineChars="200"/>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（五）为本标段提供招标代理服务的；</w:t>
      </w:r>
    </w:p>
    <w:p>
      <w:pPr>
        <w:widowControl/>
        <w:spacing w:line="360" w:lineRule="auto"/>
        <w:ind w:firstLine="480" w:firstLineChars="200"/>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（六）与本标段的监理人或代建人或招标代理机构同为一个法定代表人的；</w:t>
      </w:r>
    </w:p>
    <w:p>
      <w:pPr>
        <w:widowControl/>
        <w:spacing w:line="360" w:lineRule="auto"/>
        <w:ind w:firstLine="480" w:firstLineChars="200"/>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（七）与本标段的监理人或代建人或招标代理机构互相控股或参股的；</w:t>
      </w:r>
    </w:p>
    <w:p>
      <w:pPr>
        <w:widowControl/>
        <w:spacing w:line="360" w:lineRule="auto"/>
        <w:ind w:firstLine="480" w:firstLineChars="200"/>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（八）与本标段的监理人或代建人或招标代理机构相互任职或工作的；</w:t>
      </w:r>
    </w:p>
    <w:p>
      <w:pPr>
        <w:widowControl/>
        <w:spacing w:line="360" w:lineRule="auto"/>
        <w:ind w:firstLine="480" w:firstLineChars="200"/>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（九）与本标段的检测机构有隶属关系或者其他利害关系；</w:t>
      </w:r>
    </w:p>
    <w:p>
      <w:pPr>
        <w:widowControl/>
        <w:spacing w:line="360" w:lineRule="auto"/>
        <w:ind w:firstLine="480" w:firstLineChars="200"/>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 xml:space="preserve">（十）与招标人存在利害关系且可能影响招标公正性； </w:t>
      </w:r>
    </w:p>
    <w:p>
      <w:pPr>
        <w:widowControl/>
        <w:spacing w:line="360" w:lineRule="auto"/>
        <w:ind w:firstLine="480" w:firstLineChars="200"/>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pPr>
        <w:widowControl/>
        <w:spacing w:line="360" w:lineRule="auto"/>
        <w:ind w:firstLine="480" w:firstLineChars="200"/>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（十二）被责令停产停业、暂扣或者吊销许可证、暂扣或者吊销执照的（本项事实应当以根据《中华人民共和国行政处罚法》依法作出并已经生效的行政处罚决定为认定依据。）；</w:t>
      </w:r>
    </w:p>
    <w:p>
      <w:pPr>
        <w:widowControl/>
        <w:spacing w:line="360" w:lineRule="auto"/>
        <w:ind w:firstLine="480" w:firstLineChars="200"/>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（十三）进入清算程序，或被宣布破产，或其他丧失履约能力的情形；</w:t>
      </w:r>
    </w:p>
    <w:p>
      <w:pPr>
        <w:widowControl/>
        <w:spacing w:line="360" w:lineRule="auto"/>
        <w:ind w:firstLine="480" w:firstLineChars="200"/>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widowControl/>
        <w:spacing w:line="360" w:lineRule="auto"/>
        <w:ind w:firstLine="480" w:firstLineChars="200"/>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（十五）法律法规规定的其他情形。</w:t>
      </w:r>
    </w:p>
    <w:p>
      <w:pPr>
        <w:widowControl/>
        <w:spacing w:line="360" w:lineRule="auto"/>
        <w:ind w:firstLine="480" w:firstLineChars="200"/>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四、本公司保证：本项目拟派的项目负责人没有在其他在建项目中任施工单位项目负责人，本项目拟派的专职安全员没有在其他在建项目中任职。</w:t>
      </w:r>
    </w:p>
    <w:p>
      <w:pPr>
        <w:widowControl/>
        <w:spacing w:line="360" w:lineRule="auto"/>
        <w:ind w:firstLine="480" w:firstLineChars="200"/>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widowControl/>
        <w:spacing w:line="360" w:lineRule="auto"/>
        <w:ind w:firstLine="480" w:firstLineChars="200"/>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widowControl/>
        <w:spacing w:line="360" w:lineRule="auto"/>
        <w:ind w:firstLine="480" w:firstLineChars="200"/>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pPr>
        <w:widowControl/>
        <w:spacing w:line="360" w:lineRule="auto"/>
        <w:ind w:firstLine="480" w:firstLineChars="200"/>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八、与本公司单位负责人为同一人或者与本公司存在控股、管理关系的其他单位包括：</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。（注：本条由投标人如实填写，如有，应列出全部满足招标公告资质要求的相关单位的名称；如无，则填写“无”。）</w:t>
      </w:r>
    </w:p>
    <w:p>
      <w:pPr>
        <w:widowControl/>
        <w:spacing w:line="360" w:lineRule="auto"/>
        <w:ind w:firstLine="480" w:firstLineChars="200"/>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九、本公司拟委派专职安全员兼任本工程的工地余泥渣土运输与排放管理员，严格遵守建设工程余泥渣土运输与排放管理制度，执行“一不准进、三不准出”规定，选择合法的余泥渣土运输单位及排放点。</w:t>
      </w:r>
    </w:p>
    <w:p>
      <w:pPr>
        <w:widowControl/>
        <w:spacing w:line="360" w:lineRule="auto"/>
        <w:ind w:firstLine="480" w:firstLineChars="200"/>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十、本单位及拟派项目负责人近2年未因与工程项目施工相关的车辆运输而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w:t>
      </w:r>
    </w:p>
    <w:p>
      <w:pPr>
        <w:widowControl/>
        <w:spacing w:line="360" w:lineRule="auto"/>
        <w:ind w:firstLine="480" w:firstLineChars="200"/>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十一、本单位中标后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单位或个体经营者运输。</w:t>
      </w:r>
    </w:p>
    <w:p>
      <w:pPr>
        <w:widowControl/>
        <w:spacing w:line="360" w:lineRule="auto"/>
        <w:ind w:firstLine="480" w:firstLineChars="200"/>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十二、我方保证本单位或拟派项目负责人、拟派专职安全员未因安全生产违法行为或失信行为被有关行政主管部门采取本行业或者职业禁入等联合惩戒措施（有效期内）。</w:t>
      </w:r>
    </w:p>
    <w:p>
      <w:pPr>
        <w:widowControl/>
        <w:spacing w:line="360" w:lineRule="auto"/>
        <w:ind w:firstLine="480" w:firstLineChars="200"/>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十三、本单位承诺，中标后将切实落实《广东省建设工程施工扬尘污染防治管理办法（试行）》（粤办函〔2017〕708号）、《广州市住房和城乡建设局等9部门关于印发广州市建设工程绿色施工围蔽指导图集（V2.0版）的通知》（穗建质〔2020〕1号）、《关于在全区建设项目推广使用封闭式外脚手架金属防护网的通知》（穗埔建﹝2019﹞66号）、《黄埔区住房和城乡建设局 广州开发区建设和交通局关于进一步规范全区建设工程施工围蔽标准的通知》（穗埔建﹝2020﹞183号）和黄埔区、广州开发区建设行政主管部门发布的有关绿色施工、新型防护、施工围蔽的文件规定，按招标文件和合同要求对施工范围内绿色施工、新型防护、施工围蔽工作负责，全面落实各项扬尘污染防治措施、绿色施工围蔽措施和安全防护措施，接受招标人及建设行政主管部门的监督、检查。</w:t>
      </w:r>
    </w:p>
    <w:p>
      <w:pPr>
        <w:widowControl/>
        <w:spacing w:line="360" w:lineRule="auto"/>
        <w:ind w:firstLine="480" w:firstLineChars="200"/>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如未履行承诺，经建设单位催告后逾期不履行承诺或经教育后拒不整改或整改后仍不符合相关技术标准规定的，自愿接受被招标人拒绝规定时期参与后续工程投标的后果（时限按招标文件规定或由招标人确定，自招标人发出通知之日起计）。</w:t>
      </w:r>
    </w:p>
    <w:p>
      <w:pPr>
        <w:widowControl/>
        <w:spacing w:line="360" w:lineRule="auto"/>
        <w:ind w:firstLine="480" w:firstLineChars="200"/>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十四、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widowControl/>
        <w:spacing w:line="360" w:lineRule="auto"/>
        <w:ind w:firstLine="480" w:firstLineChars="200"/>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十五、本公司违反上述保证，或本声明陈述与事实不符，一经查实将按相关规定进行信用记录。本公司对失信行为产生的一切后果已知悉。其中，本声明陈述与事实不符，属于弄虚作假骗取中标，将依法接受监管部门的处罚。如核实存在上述第十条及第十一条任一情况，招标人有权取消本公司作为中标人的中标资格。</w:t>
      </w:r>
    </w:p>
    <w:p>
      <w:pPr>
        <w:widowControl/>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特此声明。</w:t>
      </w:r>
    </w:p>
    <w:p>
      <w:pPr>
        <w:widowControl/>
        <w:spacing w:line="360" w:lineRule="auto"/>
        <w:ind w:firstLine="4320" w:firstLineChars="1800"/>
        <w:jc w:val="left"/>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声明企业：</w:t>
      </w:r>
    </w:p>
    <w:p>
      <w:pPr>
        <w:widowControl/>
        <w:spacing w:line="360" w:lineRule="auto"/>
        <w:ind w:firstLine="4320" w:firstLineChars="1800"/>
        <w:jc w:val="left"/>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法定代表人签字：</w:t>
      </w:r>
    </w:p>
    <w:p>
      <w:pPr>
        <w:widowControl/>
        <w:spacing w:line="360" w:lineRule="auto"/>
        <w:ind w:firstLine="4320" w:firstLineChars="1800"/>
        <w:jc w:val="left"/>
        <w:rPr>
          <w:rFonts w:ascii="宋体" w:hAnsi="宋体" w:cs="宋体"/>
          <w:color w:val="auto"/>
          <w:sz w:val="24"/>
          <w:szCs w:val="24"/>
          <w:highlight w:val="none"/>
        </w:rPr>
      </w:pPr>
      <w:r>
        <w:rPr>
          <w:rFonts w:hint="eastAsia" w:ascii="宋体" w:hAnsi="宋体" w:cs="宋体"/>
          <w:color w:val="auto"/>
          <w:kern w:val="0"/>
          <w:sz w:val="24"/>
          <w:szCs w:val="24"/>
          <w:highlight w:val="none"/>
          <w:lang w:bidi="ar"/>
        </w:rPr>
        <w:t>项目负责人签字:</w:t>
      </w:r>
    </w:p>
    <w:p>
      <w:pPr>
        <w:widowControl/>
        <w:spacing w:line="360" w:lineRule="auto"/>
        <w:ind w:firstLine="4320" w:firstLineChars="1800"/>
        <w:jc w:val="left"/>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技术负责人签字：</w:t>
      </w:r>
    </w:p>
    <w:p>
      <w:pPr>
        <w:widowControl/>
        <w:spacing w:line="360" w:lineRule="auto"/>
        <w:jc w:val="right"/>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年   月   日 </w:t>
      </w:r>
    </w:p>
    <w:p>
      <w:pPr>
        <w:widowControl/>
        <w:spacing w:line="360" w:lineRule="auto"/>
        <w:jc w:val="right"/>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（企业公章） </w:t>
      </w:r>
    </w:p>
    <w:p>
      <w:pPr>
        <w:spacing w:line="360" w:lineRule="auto"/>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注：招标人应当要求投标人的法定代表人、项目负责人和技术负责人签字。</w:t>
      </w:r>
    </w:p>
    <w:sectPr>
      <w:pgSz w:w="11906" w:h="16838"/>
      <w:pgMar w:top="1418" w:right="1028" w:bottom="1418" w:left="1218" w:header="851" w:footer="68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E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40995" cy="278765"/>
              <wp:effectExtent l="0" t="0" r="0" b="0"/>
              <wp:wrapNone/>
              <wp:docPr id="1" name="矩形 1"/>
              <wp:cNvGraphicFramePr/>
              <a:graphic xmlns:a="http://schemas.openxmlformats.org/drawingml/2006/main">
                <a:graphicData uri="http://schemas.microsoft.com/office/word/2010/wordprocessingShape">
                  <wps:wsp>
                    <wps:cNvSpPr/>
                    <wps:spPr>
                      <a:xfrm>
                        <a:off x="0" y="0"/>
                        <a:ext cx="340995" cy="278765"/>
                      </a:xfrm>
                      <a:prstGeom prst="rect">
                        <a:avLst/>
                      </a:prstGeom>
                      <a:noFill/>
                      <a:ln>
                        <a:noFill/>
                      </a:ln>
                    </wps:spPr>
                    <wps:txbx>
                      <w:txbxContent>
                        <w:p>
                          <w:pPr>
                            <w:pStyle w:val="4"/>
                            <w:jc w:val="center"/>
                            <w:rPr>
                              <w:rStyle w:val="10"/>
                              <w:rFonts w:ascii="宋体" w:hAnsi="宋体"/>
                            </w:rPr>
                          </w:pPr>
                          <w:r>
                            <w:rPr>
                              <w:rStyle w:val="10"/>
                              <w:rFonts w:ascii="宋体" w:hAnsi="宋体"/>
                            </w:rPr>
                            <w:fldChar w:fldCharType="begin"/>
                          </w:r>
                          <w:r>
                            <w:rPr>
                              <w:rStyle w:val="10"/>
                              <w:rFonts w:ascii="宋体" w:hAnsi="宋体"/>
                            </w:rPr>
                            <w:instrText xml:space="preserve">PAGE  </w:instrText>
                          </w:r>
                          <w:r>
                            <w:rPr>
                              <w:rStyle w:val="10"/>
                              <w:rFonts w:ascii="宋体" w:hAnsi="宋体"/>
                            </w:rPr>
                            <w:fldChar w:fldCharType="separate"/>
                          </w:r>
                          <w:r>
                            <w:rPr>
                              <w:rStyle w:val="10"/>
                              <w:rFonts w:ascii="宋体" w:hAnsi="宋体"/>
                            </w:rPr>
                            <w:t>2</w:t>
                          </w:r>
                          <w:r>
                            <w:rPr>
                              <w:rStyle w:val="10"/>
                              <w:rFonts w:ascii="宋体" w:hAnsi="宋体"/>
                            </w:rPr>
                            <w:fldChar w:fldCharType="end"/>
                          </w:r>
                        </w:p>
                        <w:p>
                          <w:pPr>
                            <w:pStyle w:val="4"/>
                            <w:ind w:left="-4410" w:leftChars="-2100" w:right="-4439" w:rightChars="-2114"/>
                            <w:rPr>
                              <w:rStyle w:val="10"/>
                              <w:rFonts w:ascii="宋体" w:hAnsi="宋体"/>
                            </w:rPr>
                          </w:pPr>
                        </w:p>
                      </w:txbxContent>
                    </wps:txbx>
                    <wps:bodyPr lIns="0" tIns="0" rIns="0" bIns="0" upright="1">
                      <a:spAutoFit/>
                    </wps:bodyPr>
                  </wps:wsp>
                </a:graphicData>
              </a:graphic>
            </wp:anchor>
          </w:drawing>
        </mc:Choice>
        <mc:Fallback>
          <w:pict>
            <v:rect id="_x0000_s1026" o:spid="_x0000_s1026" o:spt="1" style="position:absolute;left:0pt;margin-top:0pt;height:21.95pt;width:26.85pt;mso-position-horizontal:center;mso-position-horizontal-relative:margin;z-index:251659264;mso-width-relative:page;mso-height-relative:page;" filled="f" stroked="f" coordsize="21600,21600" o:gfxdata="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jgJdD1QAAAAMBAAAPAAAAAAAAAAEAIAAAACIAAABkcnMvZG93bnJldi54bWxQSwECFAAU&#10;AAAACACHTuJAFN6yr7sBAAB+AwAADgAAAAAAAAABACAAAAAkAQAAZHJzL2Uyb0RvYy54bWxQSwUG&#10;AAAAAAYABgBZAQAAUQUAAAAA&#10;">
              <v:fill on="f" focussize="0,0"/>
              <v:stroke on="f"/>
              <v:imagedata o:title=""/>
              <o:lock v:ext="edit" aspectratio="f"/>
              <v:textbox inset="0mm,0mm,0mm,0mm" style="mso-fit-shape-to-text:t;">
                <w:txbxContent>
                  <w:p>
                    <w:pPr>
                      <w:pStyle w:val="4"/>
                      <w:jc w:val="center"/>
                      <w:rPr>
                        <w:rStyle w:val="10"/>
                        <w:rFonts w:ascii="宋体" w:hAnsi="宋体"/>
                      </w:rPr>
                    </w:pPr>
                    <w:r>
                      <w:rPr>
                        <w:rStyle w:val="10"/>
                        <w:rFonts w:ascii="宋体" w:hAnsi="宋体"/>
                      </w:rPr>
                      <w:fldChar w:fldCharType="begin"/>
                    </w:r>
                    <w:r>
                      <w:rPr>
                        <w:rStyle w:val="10"/>
                        <w:rFonts w:ascii="宋体" w:hAnsi="宋体"/>
                      </w:rPr>
                      <w:instrText xml:space="preserve">PAGE  </w:instrText>
                    </w:r>
                    <w:r>
                      <w:rPr>
                        <w:rStyle w:val="10"/>
                        <w:rFonts w:ascii="宋体" w:hAnsi="宋体"/>
                      </w:rPr>
                      <w:fldChar w:fldCharType="separate"/>
                    </w:r>
                    <w:r>
                      <w:rPr>
                        <w:rStyle w:val="10"/>
                        <w:rFonts w:ascii="宋体" w:hAnsi="宋体"/>
                      </w:rPr>
                      <w:t>2</w:t>
                    </w:r>
                    <w:r>
                      <w:rPr>
                        <w:rStyle w:val="10"/>
                        <w:rFonts w:ascii="宋体" w:hAnsi="宋体"/>
                      </w:rPr>
                      <w:fldChar w:fldCharType="end"/>
                    </w:r>
                  </w:p>
                  <w:p>
                    <w:pPr>
                      <w:pStyle w:val="4"/>
                      <w:ind w:left="-4410" w:leftChars="-2100" w:right="-4439" w:rightChars="-2114"/>
                      <w:rPr>
                        <w:rStyle w:val="10"/>
                        <w:rFonts w:ascii="宋体" w:hAnsi="宋体"/>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4OTNmNDY5ZjJiOTMzMmJiZjZiMTEyODQ3ZDZiMTIifQ=="/>
  </w:docVars>
  <w:rsids>
    <w:rsidRoot w:val="00667467"/>
    <w:rsid w:val="00004597"/>
    <w:rsid w:val="0001617C"/>
    <w:rsid w:val="00025E55"/>
    <w:rsid w:val="00064167"/>
    <w:rsid w:val="00066BFA"/>
    <w:rsid w:val="00073013"/>
    <w:rsid w:val="00085B93"/>
    <w:rsid w:val="000976B2"/>
    <w:rsid w:val="000A5297"/>
    <w:rsid w:val="000B756E"/>
    <w:rsid w:val="000C6388"/>
    <w:rsid w:val="000D3893"/>
    <w:rsid w:val="000E2830"/>
    <w:rsid w:val="000E2DFF"/>
    <w:rsid w:val="00106D72"/>
    <w:rsid w:val="0011013D"/>
    <w:rsid w:val="001105AD"/>
    <w:rsid w:val="00114D8C"/>
    <w:rsid w:val="001208CF"/>
    <w:rsid w:val="00126931"/>
    <w:rsid w:val="0013675C"/>
    <w:rsid w:val="0015307C"/>
    <w:rsid w:val="00160322"/>
    <w:rsid w:val="0016579C"/>
    <w:rsid w:val="00175F55"/>
    <w:rsid w:val="00177296"/>
    <w:rsid w:val="00182716"/>
    <w:rsid w:val="00186A07"/>
    <w:rsid w:val="00192910"/>
    <w:rsid w:val="001A0DAF"/>
    <w:rsid w:val="001C49CF"/>
    <w:rsid w:val="001C6FDD"/>
    <w:rsid w:val="001C7ACD"/>
    <w:rsid w:val="001F008C"/>
    <w:rsid w:val="00212221"/>
    <w:rsid w:val="00214184"/>
    <w:rsid w:val="00223A92"/>
    <w:rsid w:val="00224965"/>
    <w:rsid w:val="002342D2"/>
    <w:rsid w:val="002404F0"/>
    <w:rsid w:val="00241E3A"/>
    <w:rsid w:val="00266720"/>
    <w:rsid w:val="00275F3F"/>
    <w:rsid w:val="00290642"/>
    <w:rsid w:val="00291F25"/>
    <w:rsid w:val="002C71F9"/>
    <w:rsid w:val="002D140E"/>
    <w:rsid w:val="002D223C"/>
    <w:rsid w:val="002E03D9"/>
    <w:rsid w:val="002E1BB3"/>
    <w:rsid w:val="002E5014"/>
    <w:rsid w:val="002F496E"/>
    <w:rsid w:val="00316388"/>
    <w:rsid w:val="0031707B"/>
    <w:rsid w:val="003170A3"/>
    <w:rsid w:val="00340AC5"/>
    <w:rsid w:val="00353333"/>
    <w:rsid w:val="00375090"/>
    <w:rsid w:val="00377D01"/>
    <w:rsid w:val="0038339D"/>
    <w:rsid w:val="00385890"/>
    <w:rsid w:val="003869FA"/>
    <w:rsid w:val="003A5D77"/>
    <w:rsid w:val="003D3DCE"/>
    <w:rsid w:val="003E460F"/>
    <w:rsid w:val="003F001D"/>
    <w:rsid w:val="00400D23"/>
    <w:rsid w:val="00410668"/>
    <w:rsid w:val="004228D7"/>
    <w:rsid w:val="00423552"/>
    <w:rsid w:val="00426D6B"/>
    <w:rsid w:val="00427812"/>
    <w:rsid w:val="00450FEA"/>
    <w:rsid w:val="0048037D"/>
    <w:rsid w:val="00495767"/>
    <w:rsid w:val="00497E91"/>
    <w:rsid w:val="004B021D"/>
    <w:rsid w:val="004C1FF3"/>
    <w:rsid w:val="004F5561"/>
    <w:rsid w:val="00500854"/>
    <w:rsid w:val="00534579"/>
    <w:rsid w:val="0053641B"/>
    <w:rsid w:val="00545F1F"/>
    <w:rsid w:val="005479D4"/>
    <w:rsid w:val="00562EB4"/>
    <w:rsid w:val="00572AA0"/>
    <w:rsid w:val="005A3F64"/>
    <w:rsid w:val="005B6EEB"/>
    <w:rsid w:val="005C0F1D"/>
    <w:rsid w:val="005E4B3B"/>
    <w:rsid w:val="005F4C05"/>
    <w:rsid w:val="00623C0D"/>
    <w:rsid w:val="00630205"/>
    <w:rsid w:val="00636576"/>
    <w:rsid w:val="00642F73"/>
    <w:rsid w:val="006447F0"/>
    <w:rsid w:val="00653FD3"/>
    <w:rsid w:val="00655E76"/>
    <w:rsid w:val="00667467"/>
    <w:rsid w:val="0068597C"/>
    <w:rsid w:val="00685CD1"/>
    <w:rsid w:val="006916A6"/>
    <w:rsid w:val="006952E9"/>
    <w:rsid w:val="006A79F0"/>
    <w:rsid w:val="006A7DC0"/>
    <w:rsid w:val="006C5883"/>
    <w:rsid w:val="006D28F2"/>
    <w:rsid w:val="006D5783"/>
    <w:rsid w:val="006F402E"/>
    <w:rsid w:val="006F5BA1"/>
    <w:rsid w:val="00705AF9"/>
    <w:rsid w:val="007106B5"/>
    <w:rsid w:val="00720244"/>
    <w:rsid w:val="007234F7"/>
    <w:rsid w:val="0074550F"/>
    <w:rsid w:val="00750EFB"/>
    <w:rsid w:val="00770E57"/>
    <w:rsid w:val="007730E7"/>
    <w:rsid w:val="00793DCC"/>
    <w:rsid w:val="007B3077"/>
    <w:rsid w:val="007D7369"/>
    <w:rsid w:val="007E1AF5"/>
    <w:rsid w:val="00814CE0"/>
    <w:rsid w:val="00833CEF"/>
    <w:rsid w:val="00836BBF"/>
    <w:rsid w:val="00851091"/>
    <w:rsid w:val="00877EE4"/>
    <w:rsid w:val="00885C2C"/>
    <w:rsid w:val="008B7CA7"/>
    <w:rsid w:val="008C7ACC"/>
    <w:rsid w:val="008D54AD"/>
    <w:rsid w:val="008D5F11"/>
    <w:rsid w:val="009023F4"/>
    <w:rsid w:val="00915810"/>
    <w:rsid w:val="00961675"/>
    <w:rsid w:val="00964FD5"/>
    <w:rsid w:val="009A64D6"/>
    <w:rsid w:val="009A75D0"/>
    <w:rsid w:val="009B0158"/>
    <w:rsid w:val="009D1FF2"/>
    <w:rsid w:val="009D2DB7"/>
    <w:rsid w:val="009D72F8"/>
    <w:rsid w:val="00A12AC9"/>
    <w:rsid w:val="00A30EA5"/>
    <w:rsid w:val="00A35C6E"/>
    <w:rsid w:val="00A6176B"/>
    <w:rsid w:val="00A67109"/>
    <w:rsid w:val="00A72AC4"/>
    <w:rsid w:val="00A847EA"/>
    <w:rsid w:val="00A91456"/>
    <w:rsid w:val="00AC0CE4"/>
    <w:rsid w:val="00AC2C96"/>
    <w:rsid w:val="00AC4B63"/>
    <w:rsid w:val="00AC5CD3"/>
    <w:rsid w:val="00AC6E14"/>
    <w:rsid w:val="00B07E85"/>
    <w:rsid w:val="00B23810"/>
    <w:rsid w:val="00B239DC"/>
    <w:rsid w:val="00B54C7D"/>
    <w:rsid w:val="00B5575B"/>
    <w:rsid w:val="00B73436"/>
    <w:rsid w:val="00B73459"/>
    <w:rsid w:val="00B83239"/>
    <w:rsid w:val="00B85263"/>
    <w:rsid w:val="00BA0E6C"/>
    <w:rsid w:val="00BA640F"/>
    <w:rsid w:val="00BB4313"/>
    <w:rsid w:val="00BC0AB9"/>
    <w:rsid w:val="00BC6B5C"/>
    <w:rsid w:val="00BD313A"/>
    <w:rsid w:val="00C00D40"/>
    <w:rsid w:val="00C02C5D"/>
    <w:rsid w:val="00C06206"/>
    <w:rsid w:val="00C0773F"/>
    <w:rsid w:val="00C13A82"/>
    <w:rsid w:val="00C151A9"/>
    <w:rsid w:val="00C20506"/>
    <w:rsid w:val="00C2733C"/>
    <w:rsid w:val="00C43604"/>
    <w:rsid w:val="00C51E66"/>
    <w:rsid w:val="00C53D1F"/>
    <w:rsid w:val="00C57819"/>
    <w:rsid w:val="00C83019"/>
    <w:rsid w:val="00CA67B5"/>
    <w:rsid w:val="00CC4E63"/>
    <w:rsid w:val="00CD4E11"/>
    <w:rsid w:val="00CF3117"/>
    <w:rsid w:val="00CF3C5F"/>
    <w:rsid w:val="00CF3D25"/>
    <w:rsid w:val="00D04BC0"/>
    <w:rsid w:val="00D07C6C"/>
    <w:rsid w:val="00D11C1F"/>
    <w:rsid w:val="00D231F0"/>
    <w:rsid w:val="00D3063E"/>
    <w:rsid w:val="00D30A67"/>
    <w:rsid w:val="00D40D7A"/>
    <w:rsid w:val="00D51A6C"/>
    <w:rsid w:val="00D53DBD"/>
    <w:rsid w:val="00D77889"/>
    <w:rsid w:val="00DA214C"/>
    <w:rsid w:val="00DA3433"/>
    <w:rsid w:val="00DB6F60"/>
    <w:rsid w:val="00DD27AB"/>
    <w:rsid w:val="00DE4B97"/>
    <w:rsid w:val="00DF42D8"/>
    <w:rsid w:val="00DF4EC2"/>
    <w:rsid w:val="00E3517B"/>
    <w:rsid w:val="00E615C2"/>
    <w:rsid w:val="00E65BE9"/>
    <w:rsid w:val="00EB4F89"/>
    <w:rsid w:val="00EB6ADA"/>
    <w:rsid w:val="00ED2839"/>
    <w:rsid w:val="00ED4356"/>
    <w:rsid w:val="00ED444B"/>
    <w:rsid w:val="00ED4F09"/>
    <w:rsid w:val="00EE2B36"/>
    <w:rsid w:val="00EF18DC"/>
    <w:rsid w:val="00EF33E5"/>
    <w:rsid w:val="00F00CB9"/>
    <w:rsid w:val="00F07D16"/>
    <w:rsid w:val="00F13B1A"/>
    <w:rsid w:val="00F14E75"/>
    <w:rsid w:val="00F22048"/>
    <w:rsid w:val="00F359D5"/>
    <w:rsid w:val="00F43B6A"/>
    <w:rsid w:val="00F562B5"/>
    <w:rsid w:val="00F62659"/>
    <w:rsid w:val="00F743B2"/>
    <w:rsid w:val="00F768ED"/>
    <w:rsid w:val="00F80AB9"/>
    <w:rsid w:val="00F8751C"/>
    <w:rsid w:val="00FA1DA4"/>
    <w:rsid w:val="00FA2ECE"/>
    <w:rsid w:val="00FA55AA"/>
    <w:rsid w:val="00FA5EBB"/>
    <w:rsid w:val="00FB1BB5"/>
    <w:rsid w:val="00FF06BC"/>
    <w:rsid w:val="00FF1CB5"/>
    <w:rsid w:val="047C4E36"/>
    <w:rsid w:val="056B20F3"/>
    <w:rsid w:val="0A811F68"/>
    <w:rsid w:val="15C81014"/>
    <w:rsid w:val="237C18C4"/>
    <w:rsid w:val="2529725B"/>
    <w:rsid w:val="25C13C16"/>
    <w:rsid w:val="29443E00"/>
    <w:rsid w:val="2CD76197"/>
    <w:rsid w:val="31855302"/>
    <w:rsid w:val="36EB4DF7"/>
    <w:rsid w:val="39C828B3"/>
    <w:rsid w:val="3B27720D"/>
    <w:rsid w:val="4B867AE7"/>
    <w:rsid w:val="532E5804"/>
    <w:rsid w:val="599C1311"/>
    <w:rsid w:val="63471784"/>
    <w:rsid w:val="659C673A"/>
    <w:rsid w:val="694E570C"/>
    <w:rsid w:val="7E5B27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autoRedefine/>
    <w:unhideWhenUsed/>
    <w:qFormat/>
    <w:uiPriority w:val="0"/>
    <w:rPr>
      <w:rFonts w:hAnsi="Courier New" w:cs="Courier New" w:asciiTheme="minorEastAsia" w:eastAsiaTheme="minorEastAsia"/>
    </w:rPr>
  </w:style>
  <w:style w:type="paragraph" w:styleId="3">
    <w:name w:val="annotation text"/>
    <w:basedOn w:val="1"/>
    <w:link w:val="25"/>
    <w:autoRedefine/>
    <w:unhideWhenUsed/>
    <w:qFormat/>
    <w:uiPriority w:val="99"/>
    <w:pPr>
      <w:jc w:val="left"/>
    </w:pPr>
  </w:style>
  <w:style w:type="paragraph" w:styleId="4">
    <w:name w:val="footer"/>
    <w:basedOn w:val="1"/>
    <w:link w:val="20"/>
    <w:autoRedefine/>
    <w:qFormat/>
    <w:uiPriority w:val="0"/>
    <w:pPr>
      <w:tabs>
        <w:tab w:val="center" w:pos="4153"/>
        <w:tab w:val="right" w:pos="8306"/>
      </w:tabs>
      <w:snapToGrid w:val="0"/>
      <w:jc w:val="left"/>
    </w:pPr>
    <w:rPr>
      <w:sz w:val="18"/>
      <w:szCs w:val="18"/>
    </w:rPr>
  </w:style>
  <w:style w:type="paragraph" w:styleId="5">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link w:val="21"/>
    <w:qFormat/>
    <w:uiPriority w:val="0"/>
    <w:rPr>
      <w:rFonts w:ascii="宋体" w:hAnsi="宋体"/>
      <w:szCs w:val="24"/>
      <w:u w:val="single"/>
    </w:rPr>
  </w:style>
  <w:style w:type="paragraph" w:styleId="7">
    <w:name w:val="annotation subject"/>
    <w:basedOn w:val="3"/>
    <w:next w:val="3"/>
    <w:link w:val="26"/>
    <w:autoRedefine/>
    <w:semiHidden/>
    <w:unhideWhenUsed/>
    <w:qFormat/>
    <w:uiPriority w:val="99"/>
    <w:rPr>
      <w:b/>
      <w:bCs/>
    </w:rPr>
  </w:style>
  <w:style w:type="character" w:styleId="10">
    <w:name w:val="page number"/>
    <w:autoRedefine/>
    <w:qFormat/>
    <w:uiPriority w:val="0"/>
    <w:rPr>
      <w:rFonts w:cs="Times New Roman"/>
    </w:rPr>
  </w:style>
  <w:style w:type="character" w:styleId="11">
    <w:name w:val="Hyperlink"/>
    <w:basedOn w:val="9"/>
    <w:autoRedefine/>
    <w:unhideWhenUsed/>
    <w:qFormat/>
    <w:uiPriority w:val="99"/>
    <w:rPr>
      <w:color w:val="0563C1" w:themeColor="hyperlink"/>
      <w:u w:val="single"/>
      <w14:textFill>
        <w14:solidFill>
          <w14:schemeClr w14:val="hlink"/>
        </w14:solidFill>
      </w14:textFill>
    </w:rPr>
  </w:style>
  <w:style w:type="character" w:styleId="12">
    <w:name w:val="annotation reference"/>
    <w:basedOn w:val="9"/>
    <w:semiHidden/>
    <w:unhideWhenUsed/>
    <w:qFormat/>
    <w:uiPriority w:val="99"/>
    <w:rPr>
      <w:sz w:val="21"/>
      <w:szCs w:val="21"/>
    </w:rPr>
  </w:style>
  <w:style w:type="character" w:customStyle="1" w:styleId="13">
    <w:name w:val="纯文本 字符"/>
    <w:basedOn w:val="9"/>
    <w:link w:val="2"/>
    <w:autoRedefine/>
    <w:qFormat/>
    <w:uiPriority w:val="0"/>
    <w:rPr>
      <w:rFonts w:hAnsi="Courier New" w:cs="Courier New" w:asciiTheme="minorEastAsia"/>
    </w:rPr>
  </w:style>
  <w:style w:type="character" w:customStyle="1" w:styleId="14">
    <w:name w:val="页脚 字符"/>
    <w:basedOn w:val="9"/>
    <w:autoRedefine/>
    <w:semiHidden/>
    <w:qFormat/>
    <w:uiPriority w:val="99"/>
    <w:rPr>
      <w:rFonts w:ascii="Calibri" w:hAnsi="Calibri" w:eastAsia="宋体" w:cs="Times New Roman"/>
      <w:sz w:val="18"/>
      <w:szCs w:val="18"/>
    </w:rPr>
  </w:style>
  <w:style w:type="character" w:customStyle="1" w:styleId="15">
    <w:name w:val="页眉 字符"/>
    <w:basedOn w:val="9"/>
    <w:autoRedefine/>
    <w:semiHidden/>
    <w:qFormat/>
    <w:uiPriority w:val="99"/>
    <w:rPr>
      <w:rFonts w:ascii="Calibri" w:hAnsi="Calibri" w:eastAsia="宋体" w:cs="Times New Roman"/>
      <w:sz w:val="18"/>
      <w:szCs w:val="18"/>
    </w:rPr>
  </w:style>
  <w:style w:type="character" w:customStyle="1" w:styleId="16">
    <w:name w:val="正文文本 2 字符"/>
    <w:basedOn w:val="9"/>
    <w:autoRedefine/>
    <w:semiHidden/>
    <w:qFormat/>
    <w:uiPriority w:val="99"/>
    <w:rPr>
      <w:rFonts w:ascii="Calibri" w:hAnsi="Calibri" w:eastAsia="宋体" w:cs="Times New Roman"/>
    </w:rPr>
  </w:style>
  <w:style w:type="paragraph" w:customStyle="1" w:styleId="17">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8">
    <w:name w:val="发文落款"/>
    <w:basedOn w:val="17"/>
    <w:autoRedefine/>
    <w:qFormat/>
    <w:uiPriority w:val="0"/>
    <w:pPr>
      <w:ind w:left="4094" w:right="607" w:firstLine="0"/>
      <w:jc w:val="center"/>
    </w:pPr>
  </w:style>
  <w:style w:type="character" w:customStyle="1" w:styleId="19">
    <w:name w:val="页眉 字符1"/>
    <w:link w:val="5"/>
    <w:autoRedefine/>
    <w:qFormat/>
    <w:uiPriority w:val="0"/>
    <w:rPr>
      <w:rFonts w:ascii="Calibri" w:hAnsi="Calibri" w:eastAsia="宋体" w:cs="Times New Roman"/>
      <w:sz w:val="18"/>
      <w:szCs w:val="18"/>
    </w:rPr>
  </w:style>
  <w:style w:type="character" w:customStyle="1" w:styleId="20">
    <w:name w:val="页脚 字符1"/>
    <w:link w:val="4"/>
    <w:qFormat/>
    <w:uiPriority w:val="0"/>
    <w:rPr>
      <w:rFonts w:ascii="Calibri" w:hAnsi="Calibri" w:eastAsia="宋体" w:cs="Times New Roman"/>
      <w:sz w:val="18"/>
      <w:szCs w:val="18"/>
    </w:rPr>
  </w:style>
  <w:style w:type="character" w:customStyle="1" w:styleId="21">
    <w:name w:val="正文文本 2 字符1"/>
    <w:link w:val="6"/>
    <w:autoRedefine/>
    <w:qFormat/>
    <w:uiPriority w:val="0"/>
    <w:rPr>
      <w:rFonts w:ascii="宋体" w:hAnsi="宋体" w:eastAsia="宋体" w:cs="Times New Roman"/>
      <w:szCs w:val="24"/>
      <w:u w:val="single"/>
    </w:rPr>
  </w:style>
  <w:style w:type="character" w:customStyle="1" w:styleId="22">
    <w:name w:val="NormalCharacter"/>
    <w:autoRedefine/>
    <w:qFormat/>
    <w:uiPriority w:val="0"/>
  </w:style>
  <w:style w:type="paragraph" w:customStyle="1" w:styleId="23">
    <w:name w:val="修订1"/>
    <w:autoRedefine/>
    <w:hidden/>
    <w:semiHidden/>
    <w:qFormat/>
    <w:uiPriority w:val="99"/>
    <w:rPr>
      <w:rFonts w:ascii="Calibri" w:hAnsi="Calibri" w:eastAsia="宋体" w:cs="Times New Roman"/>
      <w:kern w:val="2"/>
      <w:sz w:val="21"/>
      <w:szCs w:val="22"/>
      <w:lang w:val="en-US" w:eastAsia="zh-CN" w:bidi="ar-SA"/>
    </w:rPr>
  </w:style>
  <w:style w:type="character" w:customStyle="1" w:styleId="24">
    <w:name w:val="未处理的提及1"/>
    <w:basedOn w:val="9"/>
    <w:autoRedefine/>
    <w:semiHidden/>
    <w:unhideWhenUsed/>
    <w:qFormat/>
    <w:uiPriority w:val="99"/>
    <w:rPr>
      <w:color w:val="605E5C"/>
      <w:shd w:val="clear" w:color="auto" w:fill="E1DFDD"/>
    </w:rPr>
  </w:style>
  <w:style w:type="character" w:customStyle="1" w:styleId="25">
    <w:name w:val="批注文字 字符"/>
    <w:basedOn w:val="9"/>
    <w:link w:val="3"/>
    <w:autoRedefine/>
    <w:qFormat/>
    <w:uiPriority w:val="99"/>
    <w:rPr>
      <w:rFonts w:ascii="Calibri" w:hAnsi="Calibri" w:eastAsia="宋体" w:cs="Times New Roman"/>
    </w:rPr>
  </w:style>
  <w:style w:type="character" w:customStyle="1" w:styleId="26">
    <w:name w:val="批注主题 字符"/>
    <w:basedOn w:val="25"/>
    <w:link w:val="7"/>
    <w:autoRedefine/>
    <w:semiHidden/>
    <w:qFormat/>
    <w:uiPriority w:val="99"/>
    <w:rPr>
      <w:rFonts w:ascii="Calibri" w:hAnsi="Calibri" w:eastAsia="宋体"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1238</Words>
  <Characters>7059</Characters>
  <Lines>58</Lines>
  <Paragraphs>16</Paragraphs>
  <TotalTime>40</TotalTime>
  <ScaleCrop>false</ScaleCrop>
  <LinksUpToDate>false</LinksUpToDate>
  <CharactersWithSpaces>8281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2024-01-11T07:45:00Z</dcterms:created>
  <dc:creator>23961</dc:creator>
  <cp:lastModifiedBy>而立之年</cp:lastModifiedBy>
  <dcterms:modified xsi:type="dcterms:W3CDTF">2024-04-16T00:32:45Z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16B30174F4F1433DBE1D7C95105C5719_13</vt:lpwstr>
  </property>
</Properties>
</file>