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auto"/>
          <w:sz w:val="36"/>
          <w:szCs w:val="36"/>
          <w:highlight w:val="none"/>
        </w:rPr>
      </w:pPr>
      <w:bookmarkStart w:id="0" w:name="_Toc251569647"/>
      <w:bookmarkStart w:id="1" w:name="_Toc288578279"/>
      <w:bookmarkStart w:id="2" w:name="_Toc197843635"/>
      <w:bookmarkStart w:id="240" w:name="_GoBack"/>
    </w:p>
    <w:p>
      <w:pPr>
        <w:tabs>
          <w:tab w:val="left" w:pos="4536"/>
        </w:tabs>
        <w:spacing w:line="360" w:lineRule="auto"/>
        <w:ind w:left="-15" w:leftChars="-7" w:firstLine="13" w:firstLineChars="3"/>
        <w:jc w:val="center"/>
        <w:rPr>
          <w:rFonts w:hint="eastAsia" w:ascii="宋体" w:hAnsi="宋体" w:eastAsia="宋体" w:cs="华文中宋"/>
          <w:color w:val="auto"/>
          <w:highlight w:val="none"/>
          <w:lang w:eastAsia="zh-CN"/>
        </w:rPr>
      </w:pPr>
      <w:r>
        <w:rPr>
          <w:rFonts w:hint="eastAsia" w:ascii="宋体" w:hAnsi="宋体" w:cs="宋体"/>
          <w:b/>
          <w:bCs/>
          <w:color w:val="auto"/>
          <w:sz w:val="44"/>
          <w:szCs w:val="44"/>
          <w:highlight w:val="none"/>
          <w:lang w:eastAsia="zh-CN"/>
        </w:rPr>
        <w:t>黄埔区开放大道北二期建设工程第三方检测服务</w:t>
      </w:r>
    </w:p>
    <w:p>
      <w:pPr>
        <w:spacing w:line="360" w:lineRule="auto"/>
        <w:jc w:val="center"/>
        <w:rPr>
          <w:rFonts w:ascii="宋体" w:hAnsi="宋体"/>
          <w:color w:val="auto"/>
          <w:highlight w:val="none"/>
        </w:rPr>
      </w:pPr>
    </w:p>
    <w:p>
      <w:pPr>
        <w:spacing w:line="360" w:lineRule="auto"/>
        <w:ind w:left="3986" w:firstLine="421"/>
        <w:rPr>
          <w:rFonts w:ascii="宋体" w:hAnsi="宋体"/>
          <w:color w:val="auto"/>
          <w:highlight w:val="none"/>
        </w:rPr>
      </w:pPr>
    </w:p>
    <w:p>
      <w:pPr>
        <w:pStyle w:val="2"/>
        <w:ind w:left="0" w:leftChars="0" w:firstLine="0" w:firstLineChars="0"/>
        <w:jc w:val="center"/>
        <w:rPr>
          <w:rFonts w:ascii="宋体" w:hAnsi="宋体"/>
          <w:color w:val="auto"/>
          <w:highlight w:val="none"/>
        </w:rPr>
      </w:pPr>
    </w:p>
    <w:p>
      <w:pPr>
        <w:pStyle w:val="2"/>
        <w:ind w:left="0" w:leftChars="0" w:firstLine="0" w:firstLineChars="0"/>
        <w:jc w:val="center"/>
        <w:rPr>
          <w:rFonts w:ascii="宋体" w:hAnsi="宋体"/>
          <w:color w:val="auto"/>
          <w:highlight w:val="none"/>
        </w:rPr>
      </w:pPr>
    </w:p>
    <w:p>
      <w:pPr>
        <w:pStyle w:val="2"/>
        <w:ind w:left="0" w:leftChars="0" w:firstLine="0" w:firstLineChars="0"/>
        <w:jc w:val="center"/>
        <w:rPr>
          <w:rFonts w:ascii="宋体" w:hAnsi="宋体"/>
          <w:color w:val="auto"/>
          <w:highlight w:val="none"/>
        </w:rPr>
      </w:pPr>
    </w:p>
    <w:p>
      <w:pPr>
        <w:pStyle w:val="2"/>
        <w:ind w:left="0" w:leftChars="0" w:firstLine="0" w:firstLineChars="0"/>
        <w:jc w:val="center"/>
        <w:rPr>
          <w:rFonts w:ascii="宋体" w:hAnsi="宋体"/>
          <w:color w:val="auto"/>
          <w:highlight w:val="none"/>
        </w:rPr>
      </w:pPr>
    </w:p>
    <w:p>
      <w:pPr>
        <w:pStyle w:val="2"/>
        <w:ind w:left="0" w:leftChars="0" w:firstLine="0" w:firstLineChars="0"/>
        <w:jc w:val="center"/>
        <w:rPr>
          <w:rFonts w:ascii="宋体" w:hAnsi="宋体"/>
          <w:color w:val="auto"/>
          <w:highlight w:val="none"/>
        </w:rPr>
      </w:pPr>
    </w:p>
    <w:p>
      <w:pPr>
        <w:spacing w:line="360" w:lineRule="auto"/>
        <w:jc w:val="center"/>
        <w:rPr>
          <w:rFonts w:ascii="宋体" w:hAnsi="宋体" w:cs="宋体"/>
          <w:b/>
          <w:bCs/>
          <w:color w:val="auto"/>
          <w:sz w:val="72"/>
          <w:szCs w:val="72"/>
          <w:highlight w:val="none"/>
        </w:rPr>
      </w:pPr>
      <w:r>
        <w:rPr>
          <w:rFonts w:ascii="宋体" w:hAnsi="宋体" w:cs="宋体"/>
          <w:b/>
          <w:bCs/>
          <w:color w:val="auto"/>
          <w:sz w:val="72"/>
          <w:szCs w:val="72"/>
          <w:highlight w:val="none"/>
        </w:rPr>
        <w:t>招标</w:t>
      </w:r>
      <w:r>
        <w:rPr>
          <w:rFonts w:hint="eastAsia" w:ascii="宋体" w:hAnsi="宋体" w:cs="宋体"/>
          <w:b/>
          <w:bCs/>
          <w:color w:val="auto"/>
          <w:sz w:val="72"/>
          <w:szCs w:val="72"/>
          <w:highlight w:val="none"/>
        </w:rPr>
        <w:t>文件</w:t>
      </w: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pStyle w:val="60"/>
        <w:rPr>
          <w:rFonts w:ascii="宋体" w:hAnsi="宋体"/>
          <w:color w:val="auto"/>
          <w:highlight w:val="none"/>
        </w:rPr>
      </w:pPr>
    </w:p>
    <w:p>
      <w:pPr>
        <w:pStyle w:val="60"/>
        <w:rPr>
          <w:rFonts w:ascii="宋体" w:hAnsi="宋体"/>
          <w:color w:val="auto"/>
          <w:highlight w:val="none"/>
        </w:rPr>
      </w:pP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spacing w:line="360" w:lineRule="auto"/>
        <w:ind w:firstLine="421"/>
        <w:jc w:val="center"/>
        <w:rPr>
          <w:rFonts w:ascii="宋体" w:hAnsi="宋体"/>
          <w:color w:val="auto"/>
          <w:highlight w:val="none"/>
        </w:rPr>
      </w:pPr>
    </w:p>
    <w:p>
      <w:pPr>
        <w:tabs>
          <w:tab w:val="left" w:pos="6575"/>
        </w:tabs>
        <w:spacing w:line="360" w:lineRule="auto"/>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招标人：广州开发区财政投资建设项目管理中心（盖单位章）</w:t>
      </w:r>
    </w:p>
    <w:p>
      <w:pPr>
        <w:tabs>
          <w:tab w:val="left" w:pos="6575"/>
        </w:tabs>
        <w:spacing w:line="360" w:lineRule="auto"/>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招标代理机构：广州市市政工程监理有限公司（盖单位章）</w:t>
      </w:r>
    </w:p>
    <w:p>
      <w:pPr>
        <w:tabs>
          <w:tab w:val="left" w:pos="6575"/>
        </w:tabs>
        <w:spacing w:line="360" w:lineRule="auto"/>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日期：202</w:t>
      </w:r>
      <w:r>
        <w:rPr>
          <w:rFonts w:hint="eastAsia" w:ascii="宋体" w:hAnsi="宋体"/>
          <w:b/>
          <w:color w:val="auto"/>
          <w:sz w:val="28"/>
          <w:szCs w:val="28"/>
          <w:highlight w:val="none"/>
          <w:lang w:val="en-US" w:eastAsia="zh-CN"/>
        </w:rPr>
        <w:t>2</w:t>
      </w:r>
      <w:r>
        <w:rPr>
          <w:rFonts w:hint="eastAsia" w:ascii="宋体" w:hAnsi="宋体"/>
          <w:b/>
          <w:color w:val="auto"/>
          <w:sz w:val="28"/>
          <w:szCs w:val="28"/>
          <w:highlight w:val="none"/>
          <w:lang w:val="zh-CN"/>
        </w:rPr>
        <w:t>年</w:t>
      </w:r>
      <w:r>
        <w:rPr>
          <w:rFonts w:hint="eastAsia" w:ascii="宋体" w:hAnsi="宋体"/>
          <w:b/>
          <w:color w:val="auto"/>
          <w:sz w:val="28"/>
          <w:szCs w:val="28"/>
          <w:highlight w:val="none"/>
          <w:lang w:val="en-US" w:eastAsia="zh-CN"/>
        </w:rPr>
        <w:t>1</w:t>
      </w:r>
      <w:r>
        <w:rPr>
          <w:rFonts w:hint="eastAsia" w:ascii="宋体" w:hAnsi="宋体"/>
          <w:b/>
          <w:color w:val="auto"/>
          <w:sz w:val="28"/>
          <w:szCs w:val="28"/>
          <w:highlight w:val="none"/>
          <w:lang w:val="zh-CN"/>
        </w:rPr>
        <w:t>月</w:t>
      </w:r>
    </w:p>
    <w:p>
      <w:pPr>
        <w:spacing w:line="360" w:lineRule="auto"/>
        <w:jc w:val="center"/>
        <w:rPr>
          <w:rFonts w:ascii="宋体" w:hAnsi="宋体"/>
          <w:bCs/>
          <w:color w:val="auto"/>
          <w:sz w:val="52"/>
          <w:highlight w:val="none"/>
        </w:rPr>
        <w:sectPr>
          <w:footerReference r:id="rId3" w:type="default"/>
          <w:footerReference r:id="rId4" w:type="even"/>
          <w:pgSz w:w="11906" w:h="16838"/>
          <w:pgMar w:top="1440" w:right="1080" w:bottom="1440" w:left="1080" w:header="851" w:footer="1020" w:gutter="0"/>
          <w:pgNumType w:start="1"/>
          <w:cols w:space="720" w:num="1"/>
          <w:docGrid w:type="lines" w:linePitch="312" w:charSpace="0"/>
        </w:sectPr>
      </w:pPr>
    </w:p>
    <w:p>
      <w:pPr>
        <w:spacing w:line="360" w:lineRule="auto"/>
        <w:jc w:val="center"/>
        <w:rPr>
          <w:rFonts w:ascii="宋体" w:hAnsi="宋体"/>
          <w:bCs/>
          <w:color w:val="auto"/>
          <w:sz w:val="52"/>
          <w:highlight w:val="none"/>
        </w:rPr>
      </w:pPr>
      <w:r>
        <w:rPr>
          <w:rFonts w:hint="eastAsia" w:ascii="宋体" w:hAnsi="宋体"/>
          <w:bCs/>
          <w:color w:val="auto"/>
          <w:sz w:val="52"/>
          <w:highlight w:val="none"/>
        </w:rPr>
        <w:t>重要提示</w:t>
      </w:r>
    </w:p>
    <w:p>
      <w:pPr>
        <w:spacing w:line="360" w:lineRule="auto"/>
        <w:ind w:firstLine="537" w:firstLineChars="224"/>
        <w:jc w:val="center"/>
        <w:rPr>
          <w:rFonts w:ascii="宋体" w:hAnsi="宋体"/>
          <w:bCs/>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本项目实施电子招投标，投标人应先认真阅读</w:t>
      </w:r>
      <w:r>
        <w:rPr>
          <w:rFonts w:hint="eastAsia" w:ascii="宋体" w:hAnsi="宋体"/>
          <w:color w:val="auto"/>
          <w:sz w:val="24"/>
          <w:szCs w:val="24"/>
          <w:highlight w:val="none"/>
        </w:rPr>
        <w:t>《房屋建筑和市政基础设施工程全流程电子化项目专章》</w:t>
      </w:r>
      <w:r>
        <w:rPr>
          <w:rFonts w:hint="eastAsia" w:ascii="宋体" w:hAnsi="宋体"/>
          <w:color w:val="auto"/>
          <w:sz w:val="24"/>
          <w:highlight w:val="none"/>
        </w:rPr>
        <w:t>。</w:t>
      </w:r>
    </w:p>
    <w:p>
      <w:pPr>
        <w:jc w:val="center"/>
        <w:rPr>
          <w:rFonts w:ascii="宋体" w:hAnsi="宋体"/>
          <w:b/>
          <w:color w:val="auto"/>
          <w:sz w:val="28"/>
          <w:szCs w:val="28"/>
          <w:highlight w:val="none"/>
        </w:rPr>
      </w:pPr>
    </w:p>
    <w:p>
      <w:pPr>
        <w:spacing w:line="360" w:lineRule="auto"/>
        <w:ind w:firstLine="1164" w:firstLineChars="224"/>
        <w:jc w:val="center"/>
        <w:rPr>
          <w:rFonts w:ascii="宋体" w:hAnsi="宋体"/>
          <w:bCs/>
          <w:color w:val="auto"/>
          <w:sz w:val="52"/>
          <w:highlight w:val="none"/>
        </w:rPr>
        <w:sectPr>
          <w:footerReference r:id="rId5" w:type="default"/>
          <w:pgSz w:w="11906" w:h="16838"/>
          <w:pgMar w:top="1440" w:right="1080" w:bottom="1440" w:left="1080" w:header="851" w:footer="1020" w:gutter="0"/>
          <w:pgNumType w:start="1"/>
          <w:cols w:space="720" w:num="1"/>
          <w:docGrid w:type="lines" w:linePitch="312" w:charSpace="0"/>
        </w:sectPr>
      </w:pPr>
    </w:p>
    <w:p>
      <w:pPr>
        <w:jc w:val="center"/>
        <w:rPr>
          <w:rFonts w:ascii="宋体" w:hAnsi="宋体"/>
          <w:b/>
          <w:bCs/>
          <w:color w:val="auto"/>
          <w:sz w:val="48"/>
          <w:szCs w:val="48"/>
          <w:highlight w:val="none"/>
        </w:rPr>
      </w:pPr>
      <w:r>
        <w:rPr>
          <w:rFonts w:hint="eastAsia" w:ascii="宋体" w:hAnsi="宋体"/>
          <w:b/>
          <w:bCs/>
          <w:color w:val="auto"/>
          <w:sz w:val="48"/>
          <w:szCs w:val="48"/>
          <w:highlight w:val="none"/>
        </w:rPr>
        <w:t>目录</w:t>
      </w:r>
    </w:p>
    <w:p>
      <w:pPr>
        <w:pStyle w:val="24"/>
        <w:tabs>
          <w:tab w:val="right" w:leader="dot" w:pos="9072"/>
        </w:tabs>
        <w:rPr>
          <w:rFonts w:ascii="宋体" w:hAnsi="宋体"/>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"1-3" \h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"_Toc5234" </w:instrText>
      </w:r>
      <w:r>
        <w:rPr>
          <w:color w:val="auto"/>
          <w:highlight w:val="none"/>
        </w:rPr>
        <w:fldChar w:fldCharType="separate"/>
      </w:r>
      <w:r>
        <w:rPr>
          <w:rFonts w:hint="eastAsia" w:ascii="宋体" w:hAnsi="宋体"/>
          <w:color w:val="auto"/>
          <w:highlight w:val="none"/>
        </w:rPr>
        <w:t>第一卷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_Toc5234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"_Toc2042" </w:instrText>
      </w:r>
      <w:r>
        <w:rPr>
          <w:color w:val="auto"/>
          <w:highlight w:val="none"/>
        </w:rPr>
        <w:fldChar w:fldCharType="separate"/>
      </w:r>
      <w:r>
        <w:rPr>
          <w:rFonts w:hint="eastAsia" w:ascii="宋体" w:hAnsi="宋体"/>
          <w:color w:val="auto"/>
          <w:highlight w:val="none"/>
        </w:rPr>
        <w:t>第一章  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_Toc2042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"_Toc25709" </w:instrText>
      </w:r>
      <w:r>
        <w:rPr>
          <w:color w:val="auto"/>
          <w:highlight w:val="none"/>
        </w:rPr>
        <w:fldChar w:fldCharType="separate"/>
      </w:r>
      <w:r>
        <w:rPr>
          <w:rFonts w:hint="eastAsia" w:ascii="宋体" w:hAnsi="宋体"/>
          <w:color w:val="auto"/>
          <w:highlight w:val="none"/>
        </w:rPr>
        <w:t>第二章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_Toc25709 \h </w:instrText>
      </w:r>
      <w:r>
        <w:rPr>
          <w:rFonts w:ascii="宋体" w:hAnsi="宋体"/>
          <w:color w:val="auto"/>
          <w:highlight w:val="none"/>
        </w:rPr>
        <w:fldChar w:fldCharType="separate"/>
      </w:r>
      <w:r>
        <w:rPr>
          <w:rFonts w:ascii="宋体" w:hAnsi="宋体"/>
          <w:color w:val="auto"/>
          <w:highlight w:val="none"/>
        </w:rPr>
        <w:t>4</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hint="eastAsia" w:ascii="宋体" w:hAnsi="宋体" w:eastAsia="宋体"/>
          <w:color w:val="auto"/>
          <w:highlight w:val="none"/>
          <w:lang w:val="en-US" w:eastAsia="zh-CN"/>
        </w:rPr>
      </w:pPr>
      <w:r>
        <w:rPr>
          <w:color w:val="auto"/>
          <w:highlight w:val="none"/>
        </w:rPr>
        <w:fldChar w:fldCharType="begin"/>
      </w:r>
      <w:r>
        <w:rPr>
          <w:color w:val="auto"/>
          <w:highlight w:val="none"/>
        </w:rPr>
        <w:instrText xml:space="preserve"> HYPERLINK \l "_Toc28322" </w:instrText>
      </w:r>
      <w:r>
        <w:rPr>
          <w:color w:val="auto"/>
          <w:highlight w:val="none"/>
        </w:rPr>
        <w:fldChar w:fldCharType="separate"/>
      </w:r>
      <w:r>
        <w:rPr>
          <w:rFonts w:hint="eastAsia" w:ascii="宋体" w:hAnsi="宋体"/>
          <w:color w:val="auto"/>
          <w:highlight w:val="none"/>
        </w:rPr>
        <w:t>第三章  评标办法（综合评估法）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_Toc28322 \h </w:instrText>
      </w:r>
      <w:r>
        <w:rPr>
          <w:rFonts w:ascii="宋体" w:hAnsi="宋体"/>
          <w:color w:val="auto"/>
          <w:highlight w:val="none"/>
        </w:rPr>
        <w:fldChar w:fldCharType="separate"/>
      </w:r>
      <w:r>
        <w:rPr>
          <w:rFonts w:ascii="宋体" w:hAnsi="宋体"/>
          <w:color w:val="auto"/>
          <w:highlight w:val="none"/>
        </w:rPr>
        <w:t>22</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"_Toc28705" </w:instrText>
      </w:r>
      <w:r>
        <w:rPr>
          <w:color w:val="auto"/>
          <w:highlight w:val="none"/>
        </w:rPr>
        <w:fldChar w:fldCharType="separate"/>
      </w:r>
      <w:r>
        <w:rPr>
          <w:rFonts w:hint="eastAsia" w:ascii="宋体" w:hAnsi="宋体"/>
          <w:color w:val="auto"/>
          <w:highlight w:val="none"/>
        </w:rPr>
        <w:t>第四章  合同条款及格式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_Toc28705 \h </w:instrText>
      </w:r>
      <w:r>
        <w:rPr>
          <w:rFonts w:ascii="宋体" w:hAnsi="宋体"/>
          <w:color w:val="auto"/>
          <w:highlight w:val="none"/>
        </w:rPr>
        <w:fldChar w:fldCharType="separate"/>
      </w:r>
      <w:r>
        <w:rPr>
          <w:rFonts w:ascii="宋体" w:hAnsi="宋体"/>
          <w:color w:val="auto"/>
          <w:highlight w:val="none"/>
        </w:rPr>
        <w:t>33</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"_Toc30019" </w:instrText>
      </w:r>
      <w:r>
        <w:rPr>
          <w:color w:val="auto"/>
          <w:highlight w:val="none"/>
        </w:rPr>
        <w:fldChar w:fldCharType="separate"/>
      </w:r>
      <w:r>
        <w:rPr>
          <w:rFonts w:hint="eastAsia" w:ascii="宋体" w:hAnsi="宋体"/>
          <w:color w:val="auto"/>
          <w:highlight w:val="none"/>
        </w:rPr>
        <w:t>第二卷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_Toc30019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"_Toc6203" </w:instrText>
      </w:r>
      <w:r>
        <w:rPr>
          <w:color w:val="auto"/>
          <w:highlight w:val="none"/>
        </w:rPr>
        <w:fldChar w:fldCharType="separate"/>
      </w:r>
      <w:r>
        <w:rPr>
          <w:rFonts w:hint="eastAsia" w:ascii="宋体" w:hAnsi="宋体"/>
          <w:color w:val="auto"/>
          <w:szCs w:val="18"/>
          <w:highlight w:val="none"/>
        </w:rPr>
        <w:t>第五章 委托人要求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_Toc6203 \h </w:instrText>
      </w:r>
      <w:r>
        <w:rPr>
          <w:rFonts w:ascii="宋体" w:hAnsi="宋体"/>
          <w:color w:val="auto"/>
          <w:highlight w:val="none"/>
        </w:rPr>
        <w:fldChar w:fldCharType="separate"/>
      </w:r>
      <w:r>
        <w:rPr>
          <w:rFonts w:ascii="宋体" w:hAnsi="宋体"/>
          <w:color w:val="auto"/>
          <w:highlight w:val="none"/>
        </w:rPr>
        <w:t>48</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"_Toc6825" </w:instrText>
      </w:r>
      <w:r>
        <w:rPr>
          <w:color w:val="auto"/>
          <w:highlight w:val="none"/>
        </w:rPr>
        <w:fldChar w:fldCharType="separate"/>
      </w:r>
      <w:r>
        <w:rPr>
          <w:rFonts w:hint="eastAsia" w:ascii="宋体" w:hAnsi="宋体"/>
          <w:color w:val="auto"/>
          <w:highlight w:val="none"/>
        </w:rPr>
        <w:t>第三卷</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_Toc6825 \h </w:instrText>
      </w:r>
      <w:r>
        <w:rPr>
          <w:rFonts w:ascii="宋体" w:hAnsi="宋体"/>
          <w:color w:val="auto"/>
          <w:highlight w:val="none"/>
        </w:rPr>
        <w:fldChar w:fldCharType="separate"/>
      </w:r>
      <w:r>
        <w:rPr>
          <w:rFonts w:ascii="宋体" w:hAnsi="宋体"/>
          <w:color w:val="auto"/>
          <w:highlight w:val="none"/>
        </w:rPr>
        <w:t>51</w:t>
      </w:r>
      <w:r>
        <w:rPr>
          <w:rFonts w:ascii="宋体" w:hAnsi="宋体"/>
          <w:color w:val="auto"/>
          <w:highlight w:val="none"/>
        </w:rPr>
        <w:fldChar w:fldCharType="end"/>
      </w:r>
      <w:r>
        <w:rPr>
          <w:rFonts w:ascii="宋体" w:hAnsi="宋体"/>
          <w:color w:val="auto"/>
          <w:highlight w:val="none"/>
        </w:rPr>
        <w:fldChar w:fldCharType="end"/>
      </w:r>
    </w:p>
    <w:p>
      <w:pPr>
        <w:pStyle w:val="24"/>
        <w:tabs>
          <w:tab w:val="right" w:leader="dot" w:pos="9072"/>
        </w:tabs>
        <w:rPr>
          <w:rFonts w:ascii="宋体" w:hAnsi="宋体"/>
          <w:color w:val="auto"/>
          <w:highlight w:val="none"/>
        </w:rPr>
      </w:pPr>
      <w:r>
        <w:rPr>
          <w:color w:val="auto"/>
          <w:highlight w:val="none"/>
        </w:rPr>
        <w:fldChar w:fldCharType="begin"/>
      </w:r>
      <w:r>
        <w:rPr>
          <w:color w:val="auto"/>
          <w:highlight w:val="none"/>
        </w:rPr>
        <w:instrText xml:space="preserve"> HYPERLINK \l "_Toc2572" </w:instrText>
      </w:r>
      <w:r>
        <w:rPr>
          <w:color w:val="auto"/>
          <w:highlight w:val="none"/>
        </w:rPr>
        <w:fldChar w:fldCharType="separate"/>
      </w:r>
      <w:r>
        <w:rPr>
          <w:rFonts w:hint="eastAsia" w:ascii="宋体" w:hAnsi="宋体"/>
          <w:color w:val="auto"/>
          <w:highlight w:val="none"/>
        </w:rPr>
        <w:t>第六章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_Toc2572 \h </w:instrText>
      </w:r>
      <w:r>
        <w:rPr>
          <w:rFonts w:ascii="宋体" w:hAnsi="宋体"/>
          <w:color w:val="auto"/>
          <w:highlight w:val="none"/>
        </w:rPr>
        <w:fldChar w:fldCharType="separate"/>
      </w:r>
      <w:r>
        <w:rPr>
          <w:rFonts w:ascii="宋体" w:hAnsi="宋体"/>
          <w:color w:val="auto"/>
          <w:highlight w:val="none"/>
        </w:rPr>
        <w:t>51</w:t>
      </w:r>
      <w:r>
        <w:rPr>
          <w:rFonts w:ascii="宋体" w:hAnsi="宋体"/>
          <w:color w:val="auto"/>
          <w:highlight w:val="none"/>
        </w:rPr>
        <w:fldChar w:fldCharType="end"/>
      </w:r>
      <w:r>
        <w:rPr>
          <w:rFonts w:ascii="宋体" w:hAnsi="宋体"/>
          <w:color w:val="auto"/>
          <w:highlight w:val="none"/>
        </w:rPr>
        <w:fldChar w:fldCharType="end"/>
      </w:r>
    </w:p>
    <w:p>
      <w:pPr>
        <w:pStyle w:val="17"/>
        <w:tabs>
          <w:tab w:val="right" w:leader="dot" w:pos="9072"/>
        </w:tabs>
        <w:rPr>
          <w:rFonts w:ascii="宋体" w:hAnsi="宋体"/>
          <w:color w:val="auto"/>
          <w:highlight w:val="none"/>
        </w:rPr>
      </w:pPr>
    </w:p>
    <w:p>
      <w:pPr>
        <w:spacing w:line="360" w:lineRule="auto"/>
        <w:ind w:firstLine="420" w:firstLineChars="200"/>
        <w:rPr>
          <w:rFonts w:ascii="宋体" w:hAnsi="宋体"/>
          <w:color w:val="auto"/>
          <w:highlight w:val="none"/>
        </w:rPr>
      </w:pPr>
      <w:r>
        <w:rPr>
          <w:rFonts w:ascii="宋体" w:hAnsi="宋体"/>
          <w:color w:val="auto"/>
          <w:szCs w:val="28"/>
          <w:highlight w:val="none"/>
        </w:rPr>
        <w:fldChar w:fldCharType="end"/>
      </w:r>
      <w:r>
        <w:rPr>
          <w:rFonts w:ascii="宋体" w:hAnsi="宋体"/>
          <w:color w:val="auto"/>
          <w:highlight w:val="none"/>
        </w:rPr>
        <w:br w:type="page"/>
      </w:r>
    </w:p>
    <w:p>
      <w:pPr>
        <w:pStyle w:val="5"/>
        <w:ind w:firstLine="470"/>
        <w:rPr>
          <w:color w:val="auto"/>
          <w:highlight w:val="none"/>
        </w:rPr>
      </w:pPr>
      <w:bookmarkStart w:id="3" w:name="_Toc5234"/>
      <w:bookmarkStart w:id="4" w:name="_Toc32367"/>
      <w:r>
        <w:rPr>
          <w:rFonts w:hint="eastAsia"/>
          <w:color w:val="auto"/>
          <w:highlight w:val="none"/>
        </w:rPr>
        <w:t>第一卷</w:t>
      </w:r>
      <w:bookmarkEnd w:id="3"/>
      <w:bookmarkEnd w:id="4"/>
    </w:p>
    <w:p>
      <w:pPr>
        <w:pStyle w:val="5"/>
        <w:rPr>
          <w:color w:val="auto"/>
          <w:sz w:val="28"/>
          <w:highlight w:val="none"/>
        </w:rPr>
      </w:pPr>
      <w:bookmarkStart w:id="5" w:name="_Toc20603"/>
      <w:bookmarkStart w:id="6" w:name="_Toc2042"/>
      <w:bookmarkStart w:id="7" w:name="_Toc533357306"/>
      <w:r>
        <w:rPr>
          <w:rFonts w:hint="eastAsia"/>
          <w:color w:val="auto"/>
          <w:highlight w:val="none"/>
        </w:rPr>
        <w:t>第一章  招标公告</w:t>
      </w:r>
      <w:bookmarkEnd w:id="5"/>
      <w:bookmarkEnd w:id="6"/>
    </w:p>
    <w:p>
      <w:pPr>
        <w:spacing w:line="360" w:lineRule="auto"/>
        <w:jc w:val="center"/>
        <w:rPr>
          <w:rFonts w:ascii="宋体" w:hAnsi="宋体"/>
          <w:color w:val="auto"/>
          <w:sz w:val="24"/>
          <w:szCs w:val="24"/>
          <w:highlight w:val="none"/>
        </w:rPr>
      </w:pPr>
      <w:r>
        <w:rPr>
          <w:rFonts w:hint="eastAsia" w:ascii="宋体" w:hAnsi="宋体"/>
          <w:b/>
          <w:color w:val="auto"/>
          <w:sz w:val="32"/>
          <w:szCs w:val="32"/>
          <w:highlight w:val="none"/>
        </w:rPr>
        <w:t>（另册）</w:t>
      </w:r>
    </w:p>
    <w:p>
      <w:pPr>
        <w:spacing w:line="360" w:lineRule="auto"/>
        <w:ind w:left="3986" w:firstLine="421"/>
        <w:rPr>
          <w:rFonts w:ascii="宋体" w:hAnsi="宋体"/>
          <w:color w:val="auto"/>
          <w:highlight w:val="none"/>
        </w:rPr>
      </w:pPr>
    </w:p>
    <w:p>
      <w:pPr>
        <w:spacing w:line="360" w:lineRule="auto"/>
        <w:ind w:left="3986" w:firstLine="421"/>
        <w:rPr>
          <w:rFonts w:ascii="宋体" w:hAnsi="宋体"/>
          <w:color w:val="auto"/>
          <w:highlight w:val="none"/>
        </w:rPr>
      </w:pPr>
    </w:p>
    <w:p>
      <w:pPr>
        <w:pStyle w:val="5"/>
        <w:rPr>
          <w:color w:val="auto"/>
          <w:sz w:val="28"/>
          <w:highlight w:val="none"/>
        </w:rPr>
      </w:pPr>
      <w:bookmarkStart w:id="8" w:name="_Toc511557031"/>
      <w:bookmarkStart w:id="9" w:name="_Toc514099629"/>
      <w:r>
        <w:rPr>
          <w:rFonts w:hint="eastAsia"/>
          <w:color w:val="auto"/>
          <w:highlight w:val="none"/>
        </w:rPr>
        <w:br w:type="page"/>
      </w:r>
      <w:bookmarkEnd w:id="7"/>
      <w:bookmarkEnd w:id="8"/>
      <w:bookmarkEnd w:id="9"/>
      <w:bookmarkStart w:id="10" w:name="_Toc352691455"/>
      <w:bookmarkEnd w:id="10"/>
      <w:bookmarkStart w:id="11" w:name="_Toc247527536"/>
      <w:bookmarkEnd w:id="11"/>
      <w:bookmarkStart w:id="12" w:name="_Toc152045513"/>
      <w:bookmarkEnd w:id="12"/>
      <w:bookmarkStart w:id="13" w:name="_Toc361508560"/>
      <w:bookmarkEnd w:id="13"/>
      <w:bookmarkStart w:id="14" w:name="_Toc10785"/>
      <w:bookmarkEnd w:id="14"/>
      <w:bookmarkStart w:id="15" w:name="_Toc352691453"/>
      <w:bookmarkEnd w:id="15"/>
      <w:bookmarkStart w:id="16" w:name="_Toc369531495"/>
      <w:bookmarkEnd w:id="16"/>
      <w:bookmarkStart w:id="17" w:name="_Toc369531497"/>
      <w:bookmarkEnd w:id="17"/>
      <w:bookmarkStart w:id="18" w:name="_Toc369531498"/>
      <w:bookmarkEnd w:id="18"/>
      <w:bookmarkStart w:id="19" w:name="_Toc30817"/>
      <w:bookmarkEnd w:id="19"/>
      <w:bookmarkStart w:id="20" w:name="_Toc352691456"/>
      <w:bookmarkEnd w:id="20"/>
      <w:bookmarkStart w:id="21" w:name="_Toc247527535"/>
      <w:bookmarkEnd w:id="21"/>
      <w:bookmarkStart w:id="22" w:name="_Toc144974480"/>
      <w:bookmarkEnd w:id="22"/>
      <w:bookmarkStart w:id="23" w:name="_Toc152045512"/>
      <w:bookmarkEnd w:id="23"/>
      <w:bookmarkStart w:id="24" w:name="_Toc152042288"/>
      <w:bookmarkEnd w:id="24"/>
      <w:bookmarkStart w:id="25" w:name="_Toc144974481"/>
      <w:bookmarkEnd w:id="25"/>
      <w:bookmarkStart w:id="26" w:name="_Toc384308185"/>
      <w:bookmarkEnd w:id="26"/>
      <w:bookmarkStart w:id="27" w:name="_Toc300834927"/>
      <w:bookmarkEnd w:id="27"/>
      <w:bookmarkStart w:id="28" w:name="_Toc361508563"/>
      <w:bookmarkEnd w:id="28"/>
      <w:bookmarkStart w:id="29" w:name="_Toc384308187"/>
      <w:bookmarkEnd w:id="29"/>
      <w:bookmarkStart w:id="30" w:name="_Toc247513935"/>
      <w:bookmarkEnd w:id="30"/>
      <w:bookmarkStart w:id="31" w:name="_Toc152042289"/>
      <w:bookmarkEnd w:id="31"/>
      <w:bookmarkStart w:id="32" w:name="_Toc300834930"/>
      <w:bookmarkEnd w:id="32"/>
      <w:bookmarkStart w:id="33" w:name="_Toc361508562"/>
      <w:bookmarkEnd w:id="33"/>
      <w:bookmarkStart w:id="34" w:name="_Toc384308188"/>
      <w:bookmarkEnd w:id="34"/>
      <w:bookmarkStart w:id="35" w:name="_Toc300834929"/>
      <w:bookmarkEnd w:id="35"/>
      <w:bookmarkStart w:id="36" w:name="_Toc17972"/>
      <w:bookmarkEnd w:id="36"/>
      <w:bookmarkStart w:id="37" w:name="_Toc247513934"/>
      <w:bookmarkEnd w:id="37"/>
      <w:bookmarkStart w:id="38" w:name="_Toc25709"/>
      <w:bookmarkStart w:id="39" w:name="_Toc13713"/>
      <w:r>
        <w:rPr>
          <w:rFonts w:hint="eastAsia"/>
          <w:color w:val="auto"/>
          <w:highlight w:val="none"/>
        </w:rPr>
        <w:t>第二章  投标人须知</w:t>
      </w:r>
      <w:bookmarkEnd w:id="38"/>
      <w:bookmarkEnd w:id="39"/>
    </w:p>
    <w:p>
      <w:pPr>
        <w:pStyle w:val="6"/>
        <w:rPr>
          <w:rFonts w:ascii="宋体" w:hAnsi="宋体"/>
          <w:color w:val="auto"/>
          <w:highlight w:val="none"/>
        </w:rPr>
      </w:pPr>
      <w:bookmarkStart w:id="40" w:name="_Toc29072"/>
      <w:bookmarkStart w:id="41" w:name="_Toc533357307"/>
      <w:bookmarkStart w:id="42" w:name="_Toc24354"/>
      <w:r>
        <w:rPr>
          <w:rFonts w:hint="eastAsia" w:ascii="宋体" w:hAnsi="宋体"/>
          <w:color w:val="auto"/>
          <w:highlight w:val="none"/>
        </w:rPr>
        <w:t>投标人须知前附表</w:t>
      </w:r>
      <w:bookmarkEnd w:id="40"/>
      <w:bookmarkEnd w:id="41"/>
      <w:bookmarkEnd w:id="42"/>
    </w:p>
    <w:tbl>
      <w:tblPr>
        <w:tblStyle w:val="29"/>
        <w:tblpPr w:leftFromText="180" w:rightFromText="180" w:vertAnchor="text" w:horzAnchor="page" w:tblpX="1001" w:tblpY="9"/>
        <w:tblOverlap w:val="never"/>
        <w:tblW w:w="1022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6"/>
        <w:gridCol w:w="2160"/>
        <w:gridCol w:w="7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866" w:type="dxa"/>
            <w:tcBorders>
              <w:top w:val="single" w:color="auto" w:sz="4" w:space="0"/>
            </w:tcBorders>
            <w:vAlign w:val="center"/>
          </w:tcPr>
          <w:p>
            <w:pPr>
              <w:snapToGrid w:val="0"/>
              <w:spacing w:line="276"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2160" w:type="dxa"/>
            <w:tcBorders>
              <w:top w:val="single" w:color="auto" w:sz="4" w:space="0"/>
            </w:tcBorders>
            <w:vAlign w:val="center"/>
          </w:tcPr>
          <w:p>
            <w:pPr>
              <w:snapToGrid w:val="0"/>
              <w:spacing w:line="276"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7200" w:type="dxa"/>
            <w:tcBorders>
              <w:top w:val="single" w:color="auto" w:sz="4" w:space="0"/>
            </w:tcBorders>
            <w:vAlign w:val="center"/>
          </w:tcPr>
          <w:p>
            <w:pPr>
              <w:snapToGrid w:val="0"/>
              <w:spacing w:line="276"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w:t>
            </w:r>
          </w:p>
        </w:tc>
        <w:tc>
          <w:tcPr>
            <w:tcW w:w="7200" w:type="dxa"/>
            <w:vAlign w:val="center"/>
          </w:tcPr>
          <w:p>
            <w:pPr>
              <w:spacing w:line="276"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u w:val="single"/>
              </w:rPr>
              <w:t>广州开发区财政投资建设项目管理中心</w:t>
            </w:r>
          </w:p>
          <w:p>
            <w:pPr>
              <w:spacing w:line="276" w:lineRule="auto"/>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广州科学城揽月路80号创意大厦B2附三楼</w:t>
            </w:r>
          </w:p>
          <w:p>
            <w:pPr>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u w:val="single"/>
              </w:rPr>
              <w:t>林工</w:t>
            </w:r>
          </w:p>
          <w:p>
            <w:pPr>
              <w:snapToGrid w:val="0"/>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u w:val="single"/>
              </w:rPr>
              <w:t>020-28068853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866"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项目建设管理单位</w:t>
            </w:r>
          </w:p>
        </w:tc>
        <w:tc>
          <w:tcPr>
            <w:tcW w:w="7200" w:type="dxa"/>
            <w:vAlign w:val="center"/>
          </w:tcPr>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u w:val="single"/>
              </w:rPr>
              <w:t>/</w:t>
            </w:r>
          </w:p>
          <w:p>
            <w:pPr>
              <w:spacing w:line="276" w:lineRule="auto"/>
              <w:rPr>
                <w:rFonts w:cs="宋体"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u w:val="single"/>
              </w:rPr>
              <w:t>/</w:t>
            </w:r>
          </w:p>
          <w:p>
            <w:pPr>
              <w:spacing w:line="276"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u w:val="single"/>
              </w:rPr>
              <w:t>/</w:t>
            </w:r>
          </w:p>
          <w:p>
            <w:pPr>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招标代理机构</w:t>
            </w:r>
          </w:p>
        </w:tc>
        <w:tc>
          <w:tcPr>
            <w:tcW w:w="7200" w:type="dxa"/>
            <w:vAlign w:val="center"/>
          </w:tcPr>
          <w:p>
            <w:pPr>
              <w:spacing w:line="276" w:lineRule="auto"/>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u w:val="single"/>
                <w:lang w:eastAsia="zh-CN"/>
              </w:rPr>
              <w:t>广州市市政工程监理有限公司</w:t>
            </w:r>
          </w:p>
          <w:p>
            <w:pPr>
              <w:spacing w:line="276" w:lineRule="auto"/>
              <w:rPr>
                <w:rFonts w:hint="eastAsia"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u w:val="single"/>
              </w:rPr>
              <w:t>广州市越秀区东风中路437号越秀城市广场南塔38楼</w:t>
            </w:r>
          </w:p>
          <w:p>
            <w:pPr>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u w:val="single"/>
              </w:rPr>
              <w:t>李工</w:t>
            </w:r>
          </w:p>
          <w:p>
            <w:pPr>
              <w:snapToGrid w:val="0"/>
              <w:spacing w:line="276" w:lineRule="auto"/>
              <w:rPr>
                <w:rFonts w:hint="eastAsia"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电话：</w:t>
            </w:r>
            <w:r>
              <w:rPr>
                <w:rFonts w:hint="eastAsia" w:cs="宋体" w:asciiTheme="minorEastAsia" w:hAnsiTheme="minorEastAsia" w:eastAsiaTheme="minorEastAsia"/>
                <w:color w:val="auto"/>
                <w:szCs w:val="21"/>
                <w:highlight w:val="none"/>
                <w:u w:val="single"/>
                <w:lang w:eastAsia="zh-CN"/>
              </w:rPr>
              <w:t>020-83313605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1.1.4</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招标项目名称</w:t>
            </w:r>
          </w:p>
        </w:tc>
        <w:tc>
          <w:tcPr>
            <w:tcW w:w="7200" w:type="dxa"/>
            <w:vAlign w:val="center"/>
          </w:tcPr>
          <w:p>
            <w:pPr>
              <w:snapToGrid w:val="0"/>
              <w:spacing w:line="276" w:lineRule="auto"/>
              <w:jc w:val="left"/>
              <w:rPr>
                <w:rFonts w:hint="eastAsia" w:asciiTheme="minorEastAsia" w:hAnsiTheme="minorEastAsia" w:eastAsiaTheme="minorEastAsia"/>
                <w:color w:val="auto"/>
                <w:szCs w:val="21"/>
                <w:highlight w:val="none"/>
                <w:u w:val="single"/>
                <w:lang w:eastAsia="zh-CN"/>
              </w:rPr>
            </w:pPr>
            <w:r>
              <w:rPr>
                <w:rFonts w:hint="eastAsia" w:cs="宋体" w:asciiTheme="minorEastAsia" w:hAnsiTheme="minorEastAsia" w:eastAsiaTheme="minorEastAsia"/>
                <w:color w:val="auto"/>
                <w:szCs w:val="21"/>
                <w:highlight w:val="none"/>
                <w:u w:val="single"/>
                <w:lang w:eastAsia="zh-CN"/>
              </w:rPr>
              <w:t>黄埔区开放大道北二期建设工程第三方检测服务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1.1.5</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项目建设地点</w:t>
            </w:r>
          </w:p>
        </w:tc>
        <w:tc>
          <w:tcPr>
            <w:tcW w:w="7200" w:type="dxa"/>
            <w:vAlign w:val="center"/>
          </w:tcPr>
          <w:p>
            <w:pPr>
              <w:snapToGrid w:val="0"/>
              <w:spacing w:line="276" w:lineRule="auto"/>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1.1.6</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项目建设规模</w:t>
            </w:r>
          </w:p>
        </w:tc>
        <w:tc>
          <w:tcPr>
            <w:tcW w:w="7200" w:type="dxa"/>
            <w:vAlign w:val="center"/>
          </w:tcPr>
          <w:p>
            <w:pPr>
              <w:snapToGrid w:val="0"/>
              <w:spacing w:line="276" w:lineRule="auto"/>
              <w:ind w:right="106"/>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1.1.7</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工程项目施工预计开工日期和建设周期</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1.1.8</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建筑安装工程费</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工程概算</w:t>
            </w:r>
          </w:p>
        </w:tc>
        <w:tc>
          <w:tcPr>
            <w:tcW w:w="7200" w:type="dxa"/>
            <w:vAlign w:val="center"/>
          </w:tcPr>
          <w:p>
            <w:pPr>
              <w:snapToGrid w:val="0"/>
              <w:spacing w:line="276" w:lineRule="auto"/>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资金来源及比例</w:t>
            </w:r>
          </w:p>
        </w:tc>
        <w:tc>
          <w:tcPr>
            <w:tcW w:w="7200" w:type="dxa"/>
            <w:vAlign w:val="center"/>
          </w:tcPr>
          <w:p>
            <w:pPr>
              <w:snapToGrid w:val="0"/>
              <w:spacing w:line="276" w:lineRule="auto"/>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资金落实情况</w:t>
            </w:r>
          </w:p>
        </w:tc>
        <w:tc>
          <w:tcPr>
            <w:tcW w:w="7200" w:type="dxa"/>
            <w:vAlign w:val="center"/>
          </w:tcPr>
          <w:p>
            <w:pPr>
              <w:snapToGrid w:val="0"/>
              <w:spacing w:line="276" w:lineRule="auto"/>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招标范围</w:t>
            </w:r>
          </w:p>
        </w:tc>
        <w:tc>
          <w:tcPr>
            <w:tcW w:w="7200" w:type="dxa"/>
            <w:vAlign w:val="center"/>
          </w:tcPr>
          <w:p>
            <w:pPr>
              <w:snapToGrid w:val="0"/>
              <w:spacing w:line="276" w:lineRule="auto"/>
              <w:ind w:right="106"/>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服务期</w:t>
            </w:r>
          </w:p>
        </w:tc>
        <w:tc>
          <w:tcPr>
            <w:tcW w:w="7200" w:type="dxa"/>
            <w:vAlign w:val="center"/>
          </w:tcPr>
          <w:p>
            <w:pPr>
              <w:snapToGrid w:val="0"/>
              <w:spacing w:line="276" w:lineRule="auto"/>
              <w:ind w:right="106"/>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服务期从中标单位进场至所有服务项目且项目完成竣工验收备案为止，服务周期必须满足实际施工要求。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7200" w:type="dxa"/>
            <w:vAlign w:val="center"/>
          </w:tcPr>
          <w:p>
            <w:pPr>
              <w:pStyle w:val="28"/>
              <w:snapToGrid w:val="0"/>
              <w:spacing w:line="276" w:lineRule="auto"/>
              <w:ind w:firstLine="0"/>
              <w:rPr>
                <w:rFonts w:hint="eastAsia" w:cs="宋体"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u w:val="single"/>
              </w:rPr>
              <w:t>符合国家及省、市有关检测标准</w:t>
            </w:r>
            <w:r>
              <w:rPr>
                <w:rFonts w:hint="eastAsia" w:asciiTheme="minorEastAsia" w:hAnsiTheme="minorEastAsia" w:eastAsiaTheme="minorEastAsia"/>
                <w:color w:val="auto"/>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投标人资质条件、能力、信誉</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）资质要求：</w:t>
            </w:r>
            <w:r>
              <w:rPr>
                <w:rFonts w:hint="eastAsia" w:asciiTheme="minorEastAsia" w:hAnsiTheme="minorEastAsia" w:eastAsiaTheme="minorEastAsia"/>
                <w:color w:val="auto"/>
                <w:szCs w:val="21"/>
                <w:highlight w:val="none"/>
                <w:u w:val="single"/>
              </w:rPr>
              <w:t>见招标公告投标人资格要求。</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）财务要求：</w:t>
            </w:r>
            <w:r>
              <w:rPr>
                <w:rFonts w:hint="eastAsia" w:asciiTheme="minorEastAsia" w:hAnsiTheme="minorEastAsia" w:eastAsiaTheme="minorEastAsia"/>
                <w:color w:val="auto"/>
                <w:szCs w:val="21"/>
                <w:highlight w:val="none"/>
                <w:u w:val="single"/>
              </w:rPr>
              <w:t>/</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）业绩要求：</w:t>
            </w:r>
            <w:r>
              <w:rPr>
                <w:rFonts w:hint="eastAsia" w:asciiTheme="minorEastAsia" w:hAnsiTheme="minorEastAsia" w:eastAsiaTheme="minorEastAsia"/>
                <w:color w:val="auto"/>
                <w:szCs w:val="21"/>
                <w:highlight w:val="none"/>
                <w:u w:val="single"/>
              </w:rPr>
              <w:t>/</w:t>
            </w:r>
          </w:p>
          <w:p>
            <w:pPr>
              <w:snapToGrid w:val="0"/>
              <w:spacing w:line="276" w:lineRule="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）信誉要求：</w:t>
            </w:r>
            <w:r>
              <w:rPr>
                <w:rFonts w:hint="eastAsia" w:asciiTheme="minorEastAsia" w:hAnsiTheme="minorEastAsia" w:eastAsiaTheme="minorEastAsia"/>
                <w:color w:val="auto"/>
                <w:szCs w:val="21"/>
                <w:highlight w:val="none"/>
                <w:u w:val="single"/>
              </w:rPr>
              <w:t>/</w:t>
            </w:r>
          </w:p>
          <w:p>
            <w:pPr>
              <w:snapToGrid w:val="0"/>
              <w:spacing w:line="276" w:lineRule="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）项目负责人的资格要求：</w:t>
            </w:r>
            <w:r>
              <w:rPr>
                <w:rFonts w:hint="eastAsia" w:asciiTheme="minorEastAsia" w:hAnsiTheme="minorEastAsia" w:eastAsiaTheme="minorEastAsia"/>
                <w:color w:val="auto"/>
                <w:szCs w:val="21"/>
                <w:highlight w:val="none"/>
                <w:u w:val="single"/>
              </w:rPr>
              <w:t>见招标公告投标人资格要求。</w:t>
            </w:r>
          </w:p>
          <w:p>
            <w:pPr>
              <w:snapToGrid w:val="0"/>
              <w:spacing w:line="276" w:lineRule="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）其他主要人员要求：</w:t>
            </w:r>
            <w:r>
              <w:rPr>
                <w:rFonts w:hint="eastAsia" w:asciiTheme="minorEastAsia" w:hAnsiTheme="minorEastAsia" w:eastAsiaTheme="minorEastAsia"/>
                <w:color w:val="auto"/>
                <w:szCs w:val="21"/>
                <w:highlight w:val="none"/>
                <w:u w:val="single"/>
              </w:rPr>
              <w:t>/</w:t>
            </w:r>
          </w:p>
          <w:p>
            <w:pPr>
              <w:snapToGrid w:val="0"/>
              <w:spacing w:line="276" w:lineRule="auto"/>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）试验检测仪器设备要求：</w:t>
            </w:r>
            <w:r>
              <w:rPr>
                <w:rFonts w:hint="eastAsia" w:asciiTheme="minorEastAsia" w:hAnsiTheme="minorEastAsia" w:eastAsiaTheme="minorEastAsia"/>
                <w:color w:val="auto"/>
                <w:szCs w:val="21"/>
                <w:highlight w:val="none"/>
                <w:u w:val="single"/>
              </w:rPr>
              <w:t>/</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）其他要求：</w:t>
            </w:r>
            <w:r>
              <w:rPr>
                <w:rFonts w:hint="eastAsia" w:asciiTheme="minorEastAsia" w:hAnsiTheme="minorEastAsia" w:eastAsiaTheme="minorEastAsia"/>
                <w:color w:val="auto"/>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是否接受联合体投标</w:t>
            </w:r>
          </w:p>
        </w:tc>
        <w:tc>
          <w:tcPr>
            <w:tcW w:w="7200" w:type="dxa"/>
            <w:vAlign w:val="center"/>
          </w:tcPr>
          <w:p>
            <w:pPr>
              <w:snapToGrid w:val="0"/>
              <w:spacing w:line="276" w:lineRule="auto"/>
              <w:ind w:right="-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position w:val="3"/>
                <w:szCs w:val="21"/>
                <w:highlight w:val="none"/>
              </w:rPr>
              <w:t>不接受</w:t>
            </w:r>
          </w:p>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1"/>
                <w:szCs w:val="21"/>
                <w:highlight w:val="none"/>
              </w:rPr>
              <w:t>■</w:t>
            </w:r>
            <w:r>
              <w:rPr>
                <w:rFonts w:hint="eastAsia" w:asciiTheme="minorEastAsia" w:hAnsiTheme="minorEastAsia" w:eastAsiaTheme="minorEastAsia"/>
                <w:color w:val="auto"/>
                <w:szCs w:val="21"/>
                <w:highlight w:val="none"/>
              </w:rPr>
              <w:t>接受，应满足下列要求：详见招标公告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投标人不得存在的其他情形</w:t>
            </w:r>
          </w:p>
        </w:tc>
        <w:tc>
          <w:tcPr>
            <w:tcW w:w="7200" w:type="dxa"/>
            <w:vAlign w:val="center"/>
          </w:tcPr>
          <w:p>
            <w:pPr>
              <w:topLinePunct/>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1.9.1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踏勘现场</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不组织，</w:t>
            </w:r>
            <w:r>
              <w:rPr>
                <w:rFonts w:hint="eastAsia" w:asciiTheme="minorEastAsia" w:hAnsiTheme="minorEastAsia" w:eastAsiaTheme="minorEastAsia"/>
                <w:color w:val="auto"/>
                <w:sz w:val="21"/>
                <w:szCs w:val="21"/>
                <w:highlight w:val="none"/>
                <w:u w:val="single"/>
              </w:rPr>
              <w:t>由投标人自行现场考察。</w:t>
            </w:r>
          </w:p>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□组织，踏勘时间：</w:t>
            </w:r>
            <w:r>
              <w:rPr>
                <w:rFonts w:asciiTheme="minorEastAsia" w:hAnsiTheme="minorEastAsia" w:eastAsiaTheme="minorEastAsia"/>
                <w:color w:val="auto"/>
                <w:sz w:val="21"/>
                <w:szCs w:val="21"/>
                <w:highlight w:val="none"/>
              </w:rPr>
              <w:t>/</w:t>
            </w:r>
          </w:p>
          <w:p>
            <w:pPr>
              <w:pStyle w:val="15"/>
              <w:topLinePunct/>
              <w:snapToGrid w:val="0"/>
              <w:spacing w:line="276" w:lineRule="auto"/>
              <w:ind w:firstLine="840" w:firstLine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踏勘集中地点：</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投标预备会</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不召开</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□召开，召开时间：</w:t>
            </w:r>
            <w:r>
              <w:rPr>
                <w:rFonts w:asciiTheme="minorEastAsia" w:hAnsiTheme="minorEastAsia" w:eastAsiaTheme="minorEastAsia"/>
                <w:color w:val="auto"/>
                <w:szCs w:val="21"/>
                <w:highlight w:val="none"/>
                <w:u w:val="single"/>
              </w:rPr>
              <w:t xml:space="preserve"> / </w:t>
            </w:r>
          </w:p>
          <w:p>
            <w:pPr>
              <w:snapToGrid w:val="0"/>
              <w:spacing w:line="276" w:lineRule="auto"/>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召开地点：</w:t>
            </w:r>
            <w:r>
              <w:rPr>
                <w:rFonts w:asciiTheme="minorEastAsia" w:hAnsiTheme="minorEastAsia" w:eastAsiaTheme="minorEastAsia"/>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1.10.2</w:t>
            </w:r>
          </w:p>
        </w:tc>
        <w:tc>
          <w:tcPr>
            <w:tcW w:w="2160"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投标人在投标预备会前提出问题</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w:t>
            </w:r>
            <w:r>
              <w:rPr>
                <w:rFonts w:asciiTheme="minorEastAsia" w:hAnsiTheme="minorEastAsia" w:eastAsiaTheme="minorEastAsia"/>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2160"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w:t>
            </w:r>
            <w:r>
              <w:rPr>
                <w:rFonts w:asciiTheme="minorEastAsia" w:hAnsiTheme="minorEastAsia" w:eastAsiaTheme="minorEastAsia"/>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1.10.3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招标文件澄清发出的形式</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（此为投标预备会的答疑澄清）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实质性要求和条件</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偏差</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1"/>
                <w:szCs w:val="21"/>
                <w:highlight w:val="none"/>
              </w:rPr>
              <w:t>■</w:t>
            </w:r>
            <w:r>
              <w:rPr>
                <w:rFonts w:hint="eastAsia" w:asciiTheme="minorEastAsia" w:hAnsiTheme="minorEastAsia" w:eastAsiaTheme="minorEastAsia"/>
                <w:color w:val="auto"/>
                <w:szCs w:val="21"/>
                <w:highlight w:val="none"/>
              </w:rPr>
              <w:t>不允许</w:t>
            </w:r>
          </w:p>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□允许，偏差范围：</w:t>
            </w:r>
            <w:r>
              <w:rPr>
                <w:rFonts w:asciiTheme="minorEastAsia" w:hAnsiTheme="minorEastAsia" w:eastAsiaTheme="minorEastAsia"/>
                <w:color w:val="auto"/>
                <w:sz w:val="21"/>
                <w:szCs w:val="21"/>
                <w:highlight w:val="none"/>
              </w:rPr>
              <w:t>/</w:t>
            </w:r>
          </w:p>
          <w:p>
            <w:pPr>
              <w:pStyle w:val="15"/>
              <w:topLinePunct/>
              <w:snapToGrid w:val="0"/>
              <w:spacing w:line="276" w:lineRule="auto"/>
              <w:ind w:firstLine="840" w:firstLineChars="4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偏差幅度：</w:t>
            </w:r>
            <w:r>
              <w:rPr>
                <w:rFonts w:asciiTheme="minorEastAsia" w:hAnsiTheme="minorEastAsia"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构成招标文件的其他资料</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2.2.1</w:t>
            </w:r>
          </w:p>
        </w:tc>
        <w:tc>
          <w:tcPr>
            <w:tcW w:w="2160"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投标人要求澄清招标文件</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时间：投标人在递交投标文件截止时间</w:t>
            </w:r>
            <w:r>
              <w:rPr>
                <w:rFonts w:asciiTheme="minorEastAsia" w:hAnsiTheme="minorEastAsia" w:eastAsiaTheme="minorEastAsia"/>
                <w:color w:val="auto"/>
                <w:szCs w:val="21"/>
                <w:highlight w:val="none"/>
              </w:rPr>
              <w:t>18</w:t>
            </w:r>
            <w:r>
              <w:rPr>
                <w:rFonts w:hint="eastAsia" w:asciiTheme="minorEastAsia" w:hAnsiTheme="minorEastAsia" w:eastAsiaTheme="minorEastAsia"/>
                <w:color w:val="auto"/>
                <w:szCs w:val="21"/>
                <w:highlight w:val="none"/>
              </w:rPr>
              <w:t>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2160"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7200" w:type="dxa"/>
            <w:vAlign w:val="center"/>
          </w:tcPr>
          <w:p>
            <w:pPr>
              <w:pStyle w:val="28"/>
              <w:snapToGrid w:val="0"/>
              <w:spacing w:line="276" w:lineRule="auto"/>
              <w:ind w:right="174" w:rightChars="83" w:firstLine="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w:t>
            </w:r>
            <w:r>
              <w:rPr>
                <w:rFonts w:hint="eastAsia" w:cs="宋体" w:asciiTheme="minorEastAsia" w:hAnsiTheme="minorEastAsia" w:eastAsiaTheme="minorEastAsia"/>
                <w:color w:val="auto"/>
                <w:szCs w:val="21"/>
                <w:highlight w:val="none"/>
              </w:rPr>
              <w:t>招标答疑采用网上答疑方式进行。投标人若对招标文件（包括图纸、合同版本、最高投标限价等）有疑问的，可在规定的时间内通过广州公共资源交易中心网站将问题提交给招标人或招标代理人。</w:t>
            </w:r>
          </w:p>
          <w:p>
            <w:pPr>
              <w:pStyle w:val="28"/>
              <w:snapToGrid w:val="0"/>
              <w:spacing w:line="276" w:lineRule="auto"/>
              <w:ind w:right="174" w:rightChars="83" w:firstLine="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网上答疑的操作指南为：登陆广州公共资源交易中心网站-&gt;进入“我是投标人（供应商）”-&gt;“我的投标”-&gt;“招标答疑提问”查询项目并提问。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招标文件澄清发出的形式</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在递交投标文件截止时间</w:t>
            </w:r>
            <w:r>
              <w:rPr>
                <w:rFonts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天前；在广州公共资源交易中心网站通过项目答疑专区网上公开发布。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2.2.3</w:t>
            </w:r>
          </w:p>
        </w:tc>
        <w:tc>
          <w:tcPr>
            <w:tcW w:w="2160"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投标人确认收到招标文件澄清</w:t>
            </w: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2160"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招标文件修改发出的形式</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2.3.2</w:t>
            </w:r>
          </w:p>
        </w:tc>
        <w:tc>
          <w:tcPr>
            <w:tcW w:w="2160" w:type="dxa"/>
            <w:vMerge w:val="restart"/>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投标人确认收到招标文件修改</w:t>
            </w: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2160" w:type="dxa"/>
            <w:vMerge w:val="continue"/>
            <w:vAlign w:val="center"/>
          </w:tcPr>
          <w:p>
            <w:pPr>
              <w:snapToGrid w:val="0"/>
              <w:spacing w:line="276" w:lineRule="auto"/>
              <w:jc w:val="center"/>
              <w:rPr>
                <w:rFonts w:asciiTheme="minorEastAsia" w:hAnsiTheme="minorEastAsia" w:eastAsiaTheme="minorEastAsia"/>
                <w:color w:val="auto"/>
                <w:szCs w:val="21"/>
                <w:highlight w:val="none"/>
              </w:rPr>
            </w:pP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构成投标文件的其他资料</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详见第六章投标文件格式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增值税税金的计算方法</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报价方式</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采用固定下浮率报价方式报价。并依据所报下浮率列明投标报价。（以元为单位，精确到小数点后2位）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3.2.4</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最高投标限价</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w:t>
            </w:r>
          </w:p>
          <w:p>
            <w:pPr>
              <w:spacing w:line="276" w:lineRule="auto"/>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pacing w:val="-1"/>
                <w:szCs w:val="21"/>
                <w:highlight w:val="none"/>
              </w:rPr>
              <w:t>■</w:t>
            </w:r>
            <w:r>
              <w:rPr>
                <w:rFonts w:hint="eastAsia" w:asciiTheme="minorEastAsia" w:hAnsiTheme="minorEastAsia" w:eastAsiaTheme="minorEastAsia"/>
                <w:color w:val="auto"/>
                <w:szCs w:val="21"/>
                <w:highlight w:val="none"/>
              </w:rPr>
              <w:t>有，最高投标限价：</w:t>
            </w:r>
            <w:r>
              <w:rPr>
                <w:rFonts w:hint="eastAsia" w:cs="宋体" w:asciiTheme="minorEastAsia" w:hAnsiTheme="minorEastAsia" w:eastAsiaTheme="minorEastAsia"/>
                <w:color w:val="auto"/>
                <w:szCs w:val="21"/>
                <w:highlight w:val="none"/>
              </w:rPr>
              <w:t>人民币</w:t>
            </w:r>
            <w:r>
              <w:rPr>
                <w:rFonts w:hint="eastAsia" w:cs="宋体" w:asciiTheme="minorEastAsia" w:hAnsiTheme="minorEastAsia" w:eastAsiaTheme="minorEastAsia"/>
                <w:color w:val="auto"/>
                <w:szCs w:val="21"/>
                <w:highlight w:val="none"/>
                <w:u w:val="single"/>
              </w:rPr>
              <w:t>2321.54万</w:t>
            </w:r>
            <w:r>
              <w:rPr>
                <w:rFonts w:hint="eastAsia" w:cs="宋体" w:asciiTheme="minorEastAsia" w:hAnsiTheme="minorEastAsia" w:eastAsiaTheme="minorEastAsia"/>
                <w:color w:val="auto"/>
                <w:szCs w:val="21"/>
                <w:highlight w:val="none"/>
              </w:rPr>
              <w:t>元（最高投标限价为暂定金额下浮5%）。</w:t>
            </w:r>
          </w:p>
          <w:p>
            <w:pPr>
              <w:tabs>
                <w:tab w:val="left" w:pos="7513"/>
              </w:tabs>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本项目招标控制价只作为招标的依据，投标金额及下浮率（%）作为签订合同的依据。中标价不作为竣工结算的依据。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3.2.5</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投标报价的其他要求</w:t>
            </w:r>
          </w:p>
        </w:tc>
        <w:tc>
          <w:tcPr>
            <w:tcW w:w="7200" w:type="dxa"/>
            <w:vAlign w:val="center"/>
          </w:tcPr>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投标人必须详细审阅全部招标文件，充分考虑职责和义务，全面地理解招标文件对投标报价的要求，并按招标人提出的条件及内容进行报价。</w:t>
            </w:r>
          </w:p>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一.暂定金额：本项目第三方检测服务费暂按可研批复建安工程费的1.5%计取，暂定金额为</w:t>
            </w:r>
            <w:r>
              <w:rPr>
                <w:rFonts w:hint="eastAsia" w:asciiTheme="minorEastAsia" w:hAnsiTheme="minorEastAsia" w:eastAsiaTheme="minorEastAsia"/>
                <w:color w:val="auto"/>
                <w:szCs w:val="21"/>
                <w:highlight w:val="none"/>
                <w:u w:val="single"/>
              </w:rPr>
              <w:t>2443.725</w:t>
            </w:r>
            <w:r>
              <w:rPr>
                <w:rFonts w:hint="eastAsia" w:asciiTheme="minorEastAsia" w:hAnsiTheme="minorEastAsia" w:eastAsiaTheme="minorEastAsia"/>
                <w:color w:val="auto"/>
                <w:szCs w:val="21"/>
                <w:highlight w:val="none"/>
              </w:rPr>
              <w:t>万元。</w:t>
            </w:r>
          </w:p>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二.各投标人自行报价，投标报价超过最高投标限价的，一律视为废标。</w:t>
            </w:r>
          </w:p>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三.投标报价及费用计算方式：</w:t>
            </w:r>
          </w:p>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1.投标项目总报价＝暂定金额×（1－投标下浮率）</w:t>
            </w:r>
          </w:p>
          <w:p>
            <w:pPr>
              <w:pStyle w:val="2"/>
              <w:spacing w:after="0" w:line="276" w:lineRule="auto"/>
              <w:ind w:left="0" w:left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注：投标下浮率＝（1－投标报价/暂定金额）×100%</w:t>
            </w:r>
          </w:p>
          <w:p>
            <w:pPr>
              <w:pStyle w:val="2"/>
              <w:spacing w:after="0" w:line="276" w:lineRule="auto"/>
              <w:ind w:left="0" w:leftChars="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招标不提供检测清单，各投标人应根据工程实际编制检测方案，投标综合单价包干，地基基础工程检测、主体结构工程现场检测、人防工程检测、见证取样材料检测、建筑节能检测、室内环境检测、智能化检测、园林绿化检测等检测综合单价取费原则：</w:t>
            </w:r>
          </w:p>
          <w:p>
            <w:pPr>
              <w:pStyle w:val="2"/>
              <w:spacing w:after="0" w:line="276" w:lineRule="auto"/>
              <w:ind w:left="0" w:leftChars="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（1）根据黄埔区财政局《关于印发广州市黄埔区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的下浮20%），再乘以（1-投标下浮率），以招标人审定为准。</w:t>
            </w:r>
          </w:p>
          <w:p>
            <w:pPr>
              <w:pStyle w:val="2"/>
              <w:spacing w:after="0" w:line="276" w:lineRule="auto"/>
              <w:ind w:left="0" w:leftChars="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2）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不予另行计算。工程量按经发包人核定的实际发生量计取（如超出检测规范或相关文件规定的工程量，不予结算）。最终检测综合单价和结算总价以广州开发区财政局或其授权委托单位审定为准。</w:t>
            </w:r>
          </w:p>
          <w:p>
            <w:pPr>
              <w:pStyle w:val="2"/>
              <w:spacing w:after="0" w:line="276" w:lineRule="auto"/>
              <w:ind w:left="0" w:leftChars="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四.成本警戒价为</w:t>
            </w:r>
            <w:r>
              <w:rPr>
                <w:rFonts w:hint="eastAsia" w:asciiTheme="minorEastAsia" w:hAnsiTheme="minorEastAsia" w:eastAsiaTheme="minorEastAsia"/>
                <w:color w:val="auto"/>
                <w:szCs w:val="21"/>
                <w:highlight w:val="none"/>
                <w:u w:val="single"/>
                <w:lang w:val="en-US" w:eastAsia="zh-CN"/>
              </w:rPr>
              <w:t>1954.98</w:t>
            </w:r>
            <w:r>
              <w:rPr>
                <w:rFonts w:hint="eastAsia" w:asciiTheme="minorEastAsia" w:hAnsiTheme="minorEastAsia" w:eastAsiaTheme="minorEastAsia"/>
                <w:color w:val="auto"/>
                <w:szCs w:val="21"/>
                <w:highlight w:val="none"/>
              </w:rPr>
              <w:t>万元。（按暂定金额的80%设置）。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
              <w:spacing w:after="0" w:line="276" w:lineRule="auto"/>
              <w:ind w:left="0" w:leftChars="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eastAsia="zh-CN"/>
              </w:rPr>
              <w:t>五</w:t>
            </w:r>
            <w:r>
              <w:rPr>
                <w:rFonts w:hint="eastAsia" w:asciiTheme="minorEastAsia" w:hAnsiTheme="minorEastAsia" w:eastAsiaTheme="minorEastAsia"/>
                <w:color w:val="auto"/>
                <w:szCs w:val="21"/>
                <w:highlight w:val="none"/>
                <w:lang w:val="en-US" w:eastAsia="zh-CN"/>
              </w:rPr>
              <w:t>.财局最终审定价若超过</w:t>
            </w:r>
            <w:r>
              <w:rPr>
                <w:rFonts w:hint="eastAsia" w:asciiTheme="minorEastAsia" w:hAnsiTheme="minorEastAsia" w:eastAsiaTheme="minorEastAsia"/>
                <w:szCs w:val="21"/>
                <w:highlight w:val="none"/>
              </w:rPr>
              <w:t>最高投标限价</w:t>
            </w:r>
            <w:r>
              <w:rPr>
                <w:rFonts w:hint="eastAsia" w:asciiTheme="minorEastAsia" w:hAnsiTheme="minorEastAsia" w:eastAsiaTheme="minorEastAsia"/>
                <w:color w:val="auto"/>
                <w:szCs w:val="21"/>
                <w:highlight w:val="none"/>
                <w:lang w:val="en-US" w:eastAsia="zh-CN"/>
              </w:rPr>
              <w:t>，以</w:t>
            </w:r>
            <w:r>
              <w:rPr>
                <w:rFonts w:hint="eastAsia" w:asciiTheme="minorEastAsia" w:hAnsiTheme="minorEastAsia" w:eastAsiaTheme="minorEastAsia"/>
                <w:szCs w:val="21"/>
                <w:highlight w:val="none"/>
              </w:rPr>
              <w:t>最高投标限价</w:t>
            </w:r>
            <w:r>
              <w:rPr>
                <w:rFonts w:hint="eastAsia" w:asciiTheme="minorEastAsia" w:hAnsiTheme="minorEastAsia" w:eastAsiaTheme="minorEastAsia"/>
                <w:color w:val="auto"/>
                <w:szCs w:val="21"/>
                <w:highlight w:val="none"/>
                <w:lang w:val="en-US" w:eastAsia="zh-CN"/>
              </w:rPr>
              <w:t>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投标有效期</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90</w:t>
            </w:r>
            <w:r>
              <w:rPr>
                <w:rFonts w:hint="eastAsia" w:asciiTheme="minorEastAsia" w:hAnsiTheme="minorEastAsia" w:eastAsiaTheme="minorEastAsia"/>
                <w:color w:val="auto"/>
                <w:szCs w:val="21"/>
                <w:highlight w:val="none"/>
              </w:rPr>
              <w:t>日历天（从提交投标截止之日起计算。如出现异议或投诉，则投标有效期自动延长至异议或投诉处理结束）。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3.4.1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w:t>
            </w:r>
          </w:p>
        </w:tc>
        <w:tc>
          <w:tcPr>
            <w:tcW w:w="7200" w:type="dxa"/>
            <w:vAlign w:val="center"/>
          </w:tcPr>
          <w:p>
            <w:pPr>
              <w:pStyle w:val="15"/>
              <w:topLinePunct/>
              <w:spacing w:line="276" w:lineRule="auto"/>
              <w:ind w:left="40" w:leftChars="19" w:right="107" w:rightChars="5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是否要求投标人递交投标保证金：</w:t>
            </w:r>
          </w:p>
          <w:p>
            <w:pPr>
              <w:spacing w:line="276" w:lineRule="auto"/>
              <w:ind w:right="107" w:rightChars="5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■要求，投标保证金的金额：</w:t>
            </w:r>
            <w:r>
              <w:rPr>
                <w:rFonts w:hint="eastAsia"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kern w:val="0"/>
                <w:szCs w:val="21"/>
                <w:highlight w:val="none"/>
                <w:u w:val="single"/>
                <w:lang w:val="en-US" w:eastAsia="zh-CN"/>
              </w:rPr>
              <w:t>30</w:t>
            </w:r>
            <w:r>
              <w:rPr>
                <w:rFonts w:hint="eastAsia" w:asciiTheme="minorEastAsia" w:hAnsiTheme="minorEastAsia" w:eastAsiaTheme="minorEastAsia"/>
                <w:color w:val="auto"/>
                <w:kern w:val="0"/>
                <w:szCs w:val="21"/>
                <w:highlight w:val="none"/>
                <w:u w:val="single"/>
              </w:rPr>
              <w:t xml:space="preserve"> </w:t>
            </w:r>
            <w:r>
              <w:rPr>
                <w:rFonts w:hint="eastAsia" w:asciiTheme="minorEastAsia" w:hAnsiTheme="minorEastAsia" w:eastAsiaTheme="minorEastAsia"/>
                <w:color w:val="auto"/>
                <w:szCs w:val="21"/>
                <w:highlight w:val="none"/>
              </w:rPr>
              <w:t>万元人民币。</w:t>
            </w:r>
          </w:p>
          <w:p>
            <w:pPr>
              <w:spacing w:line="276" w:lineRule="auto"/>
              <w:ind w:right="107" w:rightChars="51" w:firstLine="840" w:firstLineChars="4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投标保证金有效期：</w:t>
            </w:r>
            <w:r>
              <w:rPr>
                <w:rFonts w:asciiTheme="minorEastAsia" w:hAnsiTheme="minorEastAsia" w:eastAsiaTheme="minorEastAsia"/>
                <w:color w:val="auto"/>
                <w:szCs w:val="21"/>
                <w:highlight w:val="none"/>
                <w:u w:val="single"/>
              </w:rPr>
              <w:t>与投标有效期一致</w:t>
            </w:r>
            <w:r>
              <w:rPr>
                <w:rFonts w:asciiTheme="minorEastAsia" w:hAnsiTheme="minorEastAsia" w:eastAsiaTheme="minorEastAsia"/>
                <w:color w:val="auto"/>
                <w:szCs w:val="21"/>
                <w:highlight w:val="none"/>
              </w:rPr>
              <w:t>。</w:t>
            </w:r>
          </w:p>
          <w:p>
            <w:pPr>
              <w:spacing w:line="276" w:lineRule="auto"/>
              <w:ind w:right="107" w:rightChars="5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一、</w:t>
            </w:r>
            <w:r>
              <w:rPr>
                <w:rFonts w:asciiTheme="minorEastAsia" w:hAnsiTheme="minorEastAsia" w:eastAsiaTheme="minorEastAsia"/>
                <w:color w:val="auto"/>
                <w:szCs w:val="21"/>
                <w:highlight w:val="none"/>
              </w:rPr>
              <w:t>投标保证金的形式：投标保证金可采用现金、支票、投标保证保险、投标保函（银行或专业担保公司出具）的形式，须在递交投标文件截止时间前完成缴纳。</w:t>
            </w:r>
          </w:p>
          <w:p>
            <w:pPr>
              <w:spacing w:line="276" w:lineRule="auto"/>
              <w:ind w:right="107" w:rightChars="5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二、</w:t>
            </w:r>
            <w:r>
              <w:rPr>
                <w:rFonts w:asciiTheme="minorEastAsia" w:hAnsiTheme="minorEastAsia" w:eastAsiaTheme="minorEastAsia"/>
                <w:color w:val="auto"/>
                <w:szCs w:val="21"/>
                <w:highlight w:val="none"/>
              </w:rPr>
              <w:t>投标保证金的提交方式：</w:t>
            </w:r>
          </w:p>
          <w:p>
            <w:pPr>
              <w:spacing w:line="276" w:lineRule="auto"/>
              <w:ind w:right="107" w:rightChars="5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如采用现金、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spacing w:line="276" w:lineRule="auto"/>
              <w:ind w:right="107" w:rightChars="5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如采用投标保函、投标保证保险形式提交投标保证金的，投标保函或投标保证保险须开具给招标人（保险受益人须为招标人）。开标前可不提交纸质原件，但投标人应在投标文件中提交投标保函或投标保险的</w:t>
            </w:r>
            <w:r>
              <w:rPr>
                <w:rFonts w:hint="eastAsia" w:asciiTheme="minorEastAsia" w:hAnsiTheme="minorEastAsia" w:eastAsiaTheme="minorEastAsia"/>
                <w:color w:val="auto"/>
                <w:szCs w:val="21"/>
                <w:highlight w:val="none"/>
              </w:rPr>
              <w:t>原件</w:t>
            </w:r>
            <w:r>
              <w:rPr>
                <w:rFonts w:asciiTheme="minorEastAsia" w:hAnsiTheme="minorEastAsia" w:eastAsiaTheme="minorEastAsia"/>
                <w:color w:val="auto"/>
                <w:szCs w:val="21"/>
                <w:highlight w:val="none"/>
              </w:rPr>
              <w:t>扫描件并加盖投标人电子印章。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spacing w:line="276" w:lineRule="auto"/>
              <w:ind w:right="107" w:rightChars="5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（3）联合体投标时，投标保证金由联合体主办方递交。</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3.4.4</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不予退还投标保证金的其他情形</w:t>
            </w:r>
          </w:p>
        </w:tc>
        <w:tc>
          <w:tcPr>
            <w:tcW w:w="7200" w:type="dxa"/>
            <w:vAlign w:val="center"/>
          </w:tcPr>
          <w:p>
            <w:pPr>
              <w:pStyle w:val="15"/>
              <w:topLinePunct/>
              <w:spacing w:line="276" w:lineRule="auto"/>
              <w:ind w:left="40" w:leftChars="19" w:right="107" w:rightChars="5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（1）投标人弄虚作假骗取中标的；</w:t>
            </w:r>
          </w:p>
          <w:p>
            <w:pPr>
              <w:pStyle w:val="15"/>
              <w:topLinePunct/>
              <w:spacing w:line="276" w:lineRule="auto"/>
              <w:ind w:left="40" w:leftChars="19" w:right="107" w:rightChars="5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（2）放弃中标资格的；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3.5</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资格审查资料的特殊要求</w:t>
            </w:r>
          </w:p>
        </w:tc>
        <w:tc>
          <w:tcPr>
            <w:tcW w:w="7200" w:type="dxa"/>
            <w:vAlign w:val="center"/>
          </w:tcPr>
          <w:p>
            <w:pPr>
              <w:pStyle w:val="15"/>
              <w:topLinePunct/>
              <w:snapToGrid w:val="0"/>
              <w:spacing w:line="276" w:lineRule="auto"/>
              <w:rPr>
                <w:rFonts w:asciiTheme="minorEastAsia" w:hAnsiTheme="minorEastAsia" w:eastAsiaTheme="minorEastAsia"/>
                <w:color w:val="auto"/>
                <w:spacing w:val="-1"/>
                <w:sz w:val="21"/>
                <w:szCs w:val="21"/>
                <w:highlight w:val="none"/>
              </w:rPr>
            </w:pPr>
            <w:r>
              <w:rPr>
                <w:rFonts w:hint="eastAsia" w:asciiTheme="minorEastAsia" w:hAnsiTheme="minorEastAsia" w:eastAsiaTheme="minorEastAsia"/>
                <w:color w:val="auto"/>
                <w:spacing w:val="-1"/>
                <w:sz w:val="21"/>
                <w:szCs w:val="21"/>
                <w:highlight w:val="none"/>
              </w:rPr>
              <w:t>■无</w:t>
            </w:r>
          </w:p>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3.5.2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近年财务状况的年份要求</w:t>
            </w:r>
          </w:p>
        </w:tc>
        <w:tc>
          <w:tcPr>
            <w:tcW w:w="7200" w:type="dxa"/>
            <w:vAlign w:val="center"/>
          </w:tcPr>
          <w:p>
            <w:pPr>
              <w:spacing w:line="276" w:lineRule="auto"/>
              <w:ind w:firstLine="105" w:firstLineChars="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年至</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3.5.3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近年完成的类似项目情况的时间要求</w:t>
            </w:r>
          </w:p>
        </w:tc>
        <w:tc>
          <w:tcPr>
            <w:tcW w:w="7200" w:type="dxa"/>
            <w:vAlign w:val="center"/>
          </w:tcPr>
          <w:p>
            <w:pPr>
              <w:spacing w:line="276" w:lineRule="auto"/>
              <w:ind w:firstLine="105" w:firstLineChars="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日至今（</w:t>
            </w:r>
            <w:r>
              <w:rPr>
                <w:rFonts w:hint="eastAsia" w:cs="宋体" w:asciiTheme="minorEastAsia" w:hAnsiTheme="minorEastAsia" w:eastAsiaTheme="minorEastAsia"/>
                <w:color w:val="auto"/>
                <w:szCs w:val="21"/>
                <w:highlight w:val="none"/>
              </w:rPr>
              <w:t>完成时间以检测报告为准）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3.5.5</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近年发生的诉讼及仲裁情况的时间要求</w:t>
            </w:r>
          </w:p>
        </w:tc>
        <w:tc>
          <w:tcPr>
            <w:tcW w:w="7200" w:type="dxa"/>
            <w:vAlign w:val="center"/>
          </w:tcPr>
          <w:p>
            <w:pPr>
              <w:snapToGrid w:val="0"/>
              <w:spacing w:line="276" w:lineRule="auto"/>
              <w:ind w:firstLine="105" w:firstLineChars="5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日至</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3.6.1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是否允许递交备选投标方案</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不允许</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3.7.3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投标文件所附证书证件要求</w:t>
            </w:r>
          </w:p>
        </w:tc>
        <w:tc>
          <w:tcPr>
            <w:tcW w:w="7200" w:type="dxa"/>
            <w:vAlign w:val="center"/>
          </w:tcPr>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证书证件需为</w:t>
            </w:r>
            <w:r>
              <w:rPr>
                <w:rFonts w:hint="eastAsia" w:asciiTheme="minorEastAsia" w:hAnsiTheme="minorEastAsia" w:eastAsiaTheme="minorEastAsia"/>
                <w:b/>
                <w:color w:val="auto"/>
                <w:szCs w:val="21"/>
                <w:highlight w:val="none"/>
              </w:rPr>
              <w:t>原件清晰彩色扫描件</w:t>
            </w:r>
            <w:r>
              <w:rPr>
                <w:rFonts w:hint="eastAsia" w:asciiTheme="minorEastAsia" w:hAnsiTheme="minorEastAsia" w:eastAsiaTheme="minorEastAsia"/>
                <w:color w:val="auto"/>
                <w:szCs w:val="21"/>
                <w:highlight w:val="none"/>
              </w:rPr>
              <w:t>，并采用单位数字证书，按照招标文件要求在相应位置加盖电子印章。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3.7.3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投标文件签字或盖章要求</w:t>
            </w:r>
          </w:p>
        </w:tc>
        <w:tc>
          <w:tcPr>
            <w:tcW w:w="7200" w:type="dxa"/>
            <w:vAlign w:val="center"/>
          </w:tcPr>
          <w:p>
            <w:pPr>
              <w:pStyle w:val="15"/>
              <w:topLinePunct/>
              <w:snapToGrid w:val="0"/>
              <w:spacing w:line="276" w:lineRule="auto"/>
              <w:ind w:right="174" w:rightChars="83"/>
              <w:rPr>
                <w:rFonts w:cs="宋体" w:asciiTheme="minorEastAsia" w:hAnsiTheme="minorEastAsia" w:eastAsiaTheme="minorEastAsia"/>
                <w:color w:val="auto"/>
                <w:sz w:val="21"/>
                <w:szCs w:val="21"/>
                <w:highlight w:val="none"/>
                <w:u w:val="single"/>
              </w:rPr>
            </w:pPr>
            <w:r>
              <w:rPr>
                <w:rFonts w:hint="eastAsia" w:hAnsi="宋体" w:cs="宋体"/>
                <w:color w:val="auto"/>
                <w:sz w:val="21"/>
                <w:szCs w:val="21"/>
                <w:highlight w:val="none"/>
                <w:u w:val="single"/>
              </w:rPr>
              <w:t>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投标文件加密要求</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网上递交的电子投标文件须进行加密。具体操作</w:t>
            </w:r>
            <w:r>
              <w:rPr>
                <w:rFonts w:hint="eastAsia" w:cs="宋体" w:asciiTheme="minorEastAsia" w:hAnsiTheme="minorEastAsia" w:eastAsiaTheme="minorEastAsia"/>
                <w:color w:val="auto"/>
                <w:sz w:val="21"/>
                <w:szCs w:val="21"/>
                <w:highlight w:val="none"/>
                <w:u w:val="single"/>
              </w:rPr>
              <w:t>详见广州公共资源交易中心网站最新发布的《房屋建筑和市政基础设施工程全流程电子化项目专章》。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shd w:val="clear" w:color="FFFFFF" w:fill="D9D9D9"/>
              </w:rPr>
            </w:pPr>
            <w:r>
              <w:rPr>
                <w:rFonts w:hint="eastAsia" w:asciiTheme="minorEastAsia" w:hAnsiTheme="minorEastAsia" w:eastAsiaTheme="minorEastAsia"/>
                <w:color w:val="auto"/>
                <w:szCs w:val="21"/>
                <w:highlight w:val="none"/>
              </w:rPr>
              <w:t>封套上应载明的信息</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如有提交投标文件光盘备用，封套上应注明如下信息：</w:t>
            </w:r>
          </w:p>
          <w:p>
            <w:pPr>
              <w:pStyle w:val="15"/>
              <w:topLinePunct/>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招标人名称：</w:t>
            </w:r>
            <w:r>
              <w:rPr>
                <w:rFonts w:hint="eastAsia" w:asciiTheme="minorEastAsia" w:hAnsiTheme="minorEastAsia" w:eastAsiaTheme="minorEastAsia"/>
                <w:color w:val="auto"/>
                <w:sz w:val="21"/>
                <w:szCs w:val="21"/>
                <w:highlight w:val="none"/>
                <w:u w:val="single"/>
              </w:rPr>
              <w:t>广州开发区财政投资建设项目管理中心</w:t>
            </w:r>
          </w:p>
          <w:p>
            <w:pPr>
              <w:pStyle w:val="15"/>
              <w:topLinePunct/>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招标人地址：</w:t>
            </w:r>
            <w:r>
              <w:rPr>
                <w:rFonts w:hint="eastAsia" w:asciiTheme="minorEastAsia" w:hAnsiTheme="minorEastAsia" w:eastAsiaTheme="minorEastAsia"/>
                <w:color w:val="auto"/>
                <w:sz w:val="21"/>
                <w:szCs w:val="21"/>
                <w:highlight w:val="none"/>
                <w:u w:val="single"/>
              </w:rPr>
              <w:t>广州市科学城创意大厦B2主楼三楼</w:t>
            </w:r>
          </w:p>
          <w:p>
            <w:pPr>
              <w:pStyle w:val="15"/>
              <w:topLinePunct/>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（项目名称）招标项目投标文件</w:t>
            </w:r>
          </w:p>
          <w:p>
            <w:pPr>
              <w:pStyle w:val="15"/>
              <w:topLinePunct/>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招标项目编号：</w:t>
            </w:r>
          </w:p>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年</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月</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日</w:t>
            </w:r>
            <w:r>
              <w:rPr>
                <w:rFonts w:hint="eastAsia" w:cs="宋体" w:asciiTheme="minorEastAsia" w:hAnsiTheme="minorEastAsia" w:eastAsiaTheme="minorEastAsia"/>
                <w:color w:val="auto"/>
                <w:sz w:val="21"/>
                <w:szCs w:val="21"/>
                <w:highlight w:val="none"/>
                <w:u w:val="single"/>
              </w:rPr>
              <w:t xml:space="preserve">     </w:t>
            </w:r>
            <w:r>
              <w:rPr>
                <w:rFonts w:hint="eastAsia" w:cs="宋体" w:asciiTheme="minorEastAsia" w:hAnsiTheme="minorEastAsia" w:eastAsiaTheme="minorEastAsia"/>
                <w:color w:val="auto"/>
                <w:sz w:val="21"/>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投标截止时间</w:t>
            </w:r>
          </w:p>
        </w:tc>
        <w:tc>
          <w:tcPr>
            <w:tcW w:w="7200" w:type="dxa"/>
            <w:vAlign w:val="center"/>
          </w:tcPr>
          <w:p>
            <w:pPr>
              <w:snapToGrid w:val="0"/>
              <w:spacing w:line="276"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u w:val="single"/>
              </w:rPr>
              <w:t xml:space="preserve">  时  分（北京时间）</w:t>
            </w:r>
          </w:p>
          <w:p>
            <w:pPr>
              <w:snapToGrid w:val="0"/>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递交电子投标文件交易平台</w:t>
            </w:r>
          </w:p>
        </w:tc>
        <w:tc>
          <w:tcPr>
            <w:tcW w:w="7200" w:type="dxa"/>
            <w:vAlign w:val="center"/>
          </w:tcPr>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1.</w:t>
            </w:r>
            <w:r>
              <w:rPr>
                <w:rFonts w:hint="eastAsia" w:asciiTheme="minorEastAsia" w:hAnsiTheme="minorEastAsia" w:eastAsiaTheme="minorEastAsia"/>
                <w:color w:val="auto"/>
                <w:szCs w:val="21"/>
                <w:highlight w:val="none"/>
                <w:u w:val="single"/>
              </w:rPr>
              <w:t>递交方式：网上递交投标文件</w:t>
            </w:r>
            <w:r>
              <w:rPr>
                <w:rFonts w:asciiTheme="minorEastAsia" w:hAnsiTheme="minorEastAsia" w:eastAsiaTheme="minorEastAsia"/>
                <w:color w:val="auto"/>
                <w:szCs w:val="21"/>
                <w:highlight w:val="none"/>
                <w:u w:val="single"/>
              </w:rPr>
              <w:t xml:space="preserve"> </w:t>
            </w:r>
          </w:p>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2.</w:t>
            </w:r>
            <w:r>
              <w:rPr>
                <w:rFonts w:hint="eastAsia" w:asciiTheme="minorEastAsia" w:hAnsiTheme="minorEastAsia" w:eastAsiaTheme="minorEastAsia"/>
                <w:color w:val="auto"/>
                <w:szCs w:val="21"/>
                <w:highlight w:val="none"/>
                <w:u w:val="single"/>
              </w:rPr>
              <w:t>递交投标文件的起始时间：（详见广州公共资源交易中心网站信息）。</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截止时间：（详见广州公共资源交易中心网站信息）</w:t>
            </w:r>
          </w:p>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rPr>
              <w:t>地点：广州公共资源交易中心网站。</w:t>
            </w:r>
          </w:p>
          <w:p>
            <w:pPr>
              <w:snapToGrid w:val="0"/>
              <w:spacing w:line="276"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u w:val="single"/>
              </w:rPr>
              <w:t>4.</w:t>
            </w:r>
            <w:r>
              <w:rPr>
                <w:rFonts w:hint="eastAsia" w:asciiTheme="minorEastAsia" w:hAnsiTheme="minorEastAsia" w:eastAsiaTheme="minorEastAsia"/>
                <w:color w:val="auto"/>
                <w:szCs w:val="21"/>
                <w:highlight w:val="none"/>
                <w:u w:val="single"/>
              </w:rPr>
              <w:t>上述时间及地点是否有改变，</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4.2.3</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投标文件是否退还</w:t>
            </w:r>
          </w:p>
        </w:tc>
        <w:tc>
          <w:tcPr>
            <w:tcW w:w="7200" w:type="dxa"/>
            <w:vAlign w:val="center"/>
          </w:tcPr>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pacing w:val="-1"/>
                <w:sz w:val="21"/>
                <w:szCs w:val="21"/>
                <w:highlight w:val="none"/>
              </w:rPr>
              <w:t>■</w:t>
            </w:r>
            <w:r>
              <w:rPr>
                <w:rFonts w:hint="eastAsia" w:asciiTheme="minorEastAsia" w:hAnsiTheme="minorEastAsia" w:eastAsiaTheme="minorEastAsia"/>
                <w:color w:val="auto"/>
                <w:sz w:val="21"/>
                <w:szCs w:val="21"/>
                <w:highlight w:val="none"/>
              </w:rPr>
              <w:t>否</w:t>
            </w:r>
          </w:p>
          <w:p>
            <w:pPr>
              <w:pStyle w:val="15"/>
              <w:topLinePunct/>
              <w:snapToGrid w:val="0"/>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开标时间和地点</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开标时间：同投标截止时间</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开标地点：广州公共资源交易中心黄埔交易部（黄埔区水西路32号四楼）</w:t>
            </w:r>
            <w:r>
              <w:rPr>
                <w:rFonts w:hint="eastAsia" w:cs="宋体" w:asciiTheme="minorEastAsia" w:hAnsiTheme="minorEastAsia" w:eastAsiaTheme="minorEastAsia"/>
                <w:color w:val="auto"/>
                <w:szCs w:val="21"/>
                <w:highlight w:val="none"/>
              </w:rPr>
              <w:t>第      开标室</w:t>
            </w:r>
            <w:r>
              <w:rPr>
                <w:rFonts w:hint="eastAsia" w:asciiTheme="minorEastAsia" w:hAnsiTheme="minorEastAsia" w:eastAsiaTheme="minorEastAsia"/>
                <w:color w:val="auto"/>
                <w:szCs w:val="21"/>
                <w:highlight w:val="none"/>
                <w:u w:val="single"/>
              </w:rPr>
              <w:t>（详见广州公共资源交易中心网站信息），并邀请所有投标人的法定代表人或其委托代理人准时参加。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开标程序</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电子招投标项目开标按下列程序进行：</w:t>
            </w:r>
          </w:p>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5.2.1</w:t>
            </w:r>
            <w:r>
              <w:rPr>
                <w:rFonts w:hint="eastAsia" w:asciiTheme="minorEastAsia" w:hAnsiTheme="minorEastAsia" w:eastAsiaTheme="minorEastAsia"/>
                <w:color w:val="auto"/>
                <w:szCs w:val="21"/>
                <w:highlight w:val="none"/>
                <w:u w:val="single"/>
              </w:rPr>
              <w:t>主持人按下列程序进行开标：</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1</w:t>
            </w:r>
            <w:r>
              <w:rPr>
                <w:rFonts w:hint="eastAsia" w:asciiTheme="minorEastAsia" w:hAnsiTheme="minorEastAsia" w:eastAsiaTheme="minorEastAsia"/>
                <w:color w:val="auto"/>
                <w:szCs w:val="21"/>
                <w:highlight w:val="none"/>
                <w:u w:val="single"/>
              </w:rPr>
              <w:t>）宣布开标纪律；</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2</w:t>
            </w:r>
            <w:r>
              <w:rPr>
                <w:rFonts w:hint="eastAsia" w:asciiTheme="minorEastAsia" w:hAnsiTheme="minorEastAsia" w:eastAsiaTheme="minorEastAsia"/>
                <w:color w:val="auto"/>
                <w:szCs w:val="21"/>
                <w:highlight w:val="none"/>
                <w:u w:val="single"/>
              </w:rPr>
              <w:t>）公布在投标截止时间前递交投标文件的投标人名称；</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rPr>
              <w:t>）宣布开标人、唱标人、记录人、监标人等有关人员姓名；</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4</w:t>
            </w:r>
            <w:r>
              <w:rPr>
                <w:rFonts w:hint="eastAsia" w:asciiTheme="minorEastAsia" w:hAnsiTheme="minorEastAsia" w:eastAsiaTheme="minorEastAsia"/>
                <w:color w:val="auto"/>
                <w:szCs w:val="21"/>
                <w:highlight w:val="none"/>
                <w:u w:val="single"/>
              </w:rPr>
              <w:t>）投标人通过电子招标投标交易平台对已递交的电子投标文件进行解密，公布招标项目名称、投标人名称、投标保证金的递交情况、投标报价及其他内容，并记录在案；</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5</w:t>
            </w:r>
            <w:r>
              <w:rPr>
                <w:rFonts w:hint="eastAsia" w:asciiTheme="minorEastAsia" w:hAnsiTheme="minorEastAsia" w:eastAsiaTheme="minorEastAsia"/>
                <w:color w:val="auto"/>
                <w:szCs w:val="21"/>
                <w:highlight w:val="none"/>
                <w:u w:val="single"/>
              </w:rPr>
              <w:t>）投标人代表、招标人代表、监标人、记录人等有关人员在开标记录上签字确认；若有关人员不签字的，不影响开标程序；</w:t>
            </w:r>
          </w:p>
          <w:p>
            <w:pPr>
              <w:snapToGrid w:val="0"/>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6</w:t>
            </w:r>
            <w:r>
              <w:rPr>
                <w:rFonts w:hint="eastAsia" w:asciiTheme="minorEastAsia" w:hAnsiTheme="minorEastAsia" w:eastAsiaTheme="minorEastAsia"/>
                <w:color w:val="auto"/>
                <w:szCs w:val="21"/>
                <w:highlight w:val="none"/>
                <w:u w:val="single"/>
              </w:rPr>
              <w:t>）开标结束。</w:t>
            </w:r>
          </w:p>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5.2.2</w:t>
            </w:r>
            <w:r>
              <w:rPr>
                <w:rFonts w:hint="eastAsia" w:asciiTheme="minorEastAsia" w:hAnsiTheme="minorEastAsia" w:eastAsiaTheme="minorEastAsia"/>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napToGrid w:val="0"/>
              <w:spacing w:line="276" w:lineRule="auto"/>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5.2.3</w:t>
            </w:r>
            <w:r>
              <w:rPr>
                <w:rFonts w:hint="eastAsia" w:asciiTheme="minorEastAsia" w:hAnsiTheme="minorEastAsia" w:eastAsiaTheme="minorEastAsia"/>
                <w:color w:val="auto"/>
                <w:szCs w:val="21"/>
                <w:highlight w:val="none"/>
                <w:u w:val="single"/>
              </w:rPr>
              <w:t>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6.1.1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评标委员会的组建</w:t>
            </w:r>
          </w:p>
        </w:tc>
        <w:tc>
          <w:tcPr>
            <w:tcW w:w="7200" w:type="dxa"/>
            <w:vAlign w:val="center"/>
          </w:tcPr>
          <w:p>
            <w:pPr>
              <w:snapToGrid w:val="0"/>
              <w:spacing w:line="276"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u w:val="single"/>
                <w:lang w:eastAsia="zh-CN"/>
              </w:rPr>
              <w:t>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6.3.2</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评标委员会推荐中标候选人的人数</w:t>
            </w:r>
          </w:p>
        </w:tc>
        <w:tc>
          <w:tcPr>
            <w:tcW w:w="7200" w:type="dxa"/>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推荐中标候选人：</w:t>
            </w:r>
            <w:r>
              <w:rPr>
                <w:rFonts w:asciiTheme="minorEastAsia" w:hAnsiTheme="minorEastAsia" w:eastAsiaTheme="minorEastAsia"/>
                <w:color w:val="auto"/>
                <w:szCs w:val="21"/>
                <w:highlight w:val="none"/>
                <w:u w:val="single"/>
              </w:rPr>
              <w:t xml:space="preserve"> 3</w:t>
            </w:r>
            <w:r>
              <w:rPr>
                <w:rFonts w:hint="eastAsia" w:asciiTheme="minorEastAsia" w:hAnsiTheme="minorEastAsia" w:eastAsiaTheme="minorEastAsia"/>
                <w:color w:val="auto"/>
                <w:szCs w:val="21"/>
                <w:highlight w:val="none"/>
                <w:u w:val="single"/>
              </w:rPr>
              <w:t>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中标候选人公示媒介及期限</w:t>
            </w: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公示媒介：</w:t>
            </w:r>
            <w:r>
              <w:rPr>
                <w:rFonts w:hint="eastAsia" w:cs="宋体" w:asciiTheme="minorEastAsia" w:hAnsiTheme="minorEastAsia" w:eastAsiaTheme="minorEastAsia"/>
                <w:color w:val="auto"/>
                <w:szCs w:val="21"/>
                <w:highlight w:val="none"/>
                <w:u w:val="single"/>
              </w:rPr>
              <w:t>广州公共资源交易中心网站、广东省招标投标监管网、中国招标投标公共服务平台</w:t>
            </w:r>
          </w:p>
          <w:p>
            <w:pPr>
              <w:snapToGrid w:val="0"/>
              <w:spacing w:line="276" w:lineRule="auto"/>
              <w:ind w:right="10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公示期限：</w:t>
            </w: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7.4</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是否授权评标委员会确定中标人</w:t>
            </w: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w:t>
            </w:r>
          </w:p>
          <w:p>
            <w:pPr>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7.6.1</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履约保证金</w:t>
            </w:r>
          </w:p>
        </w:tc>
        <w:tc>
          <w:tcPr>
            <w:tcW w:w="7200" w:type="dxa"/>
            <w:vAlign w:val="center"/>
          </w:tcPr>
          <w:p>
            <w:pPr>
              <w:pStyle w:val="15"/>
              <w:topLinePunct/>
              <w:spacing w:line="276"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是否要求中标人提交履约保证金：</w:t>
            </w:r>
          </w:p>
          <w:p>
            <w:pPr>
              <w:pStyle w:val="15"/>
              <w:topLinePunct/>
              <w:spacing w:line="276"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sym w:font="Wingdings 2" w:char="00A3"/>
            </w:r>
            <w:r>
              <w:rPr>
                <w:rFonts w:hint="eastAsia" w:asciiTheme="minorEastAsia" w:hAnsiTheme="minorEastAsia" w:eastAsiaTheme="minorEastAsia"/>
                <w:b/>
                <w:color w:val="auto"/>
                <w:sz w:val="21"/>
                <w:szCs w:val="21"/>
                <w:highlight w:val="none"/>
              </w:rPr>
              <w:t>要求，履约保证金的形式：</w:t>
            </w:r>
            <w:r>
              <w:rPr>
                <w:rFonts w:hint="eastAsia" w:asciiTheme="minorEastAsia" w:hAnsiTheme="minorEastAsia" w:eastAsiaTheme="minorEastAsia"/>
                <w:color w:val="auto"/>
                <w:sz w:val="21"/>
                <w:szCs w:val="21"/>
                <w:highlight w:val="none"/>
                <w:u w:val="single"/>
              </w:rPr>
              <w:t>《履约银行保函》</w:t>
            </w:r>
          </w:p>
          <w:p>
            <w:pPr>
              <w:spacing w:line="276" w:lineRule="auto"/>
              <w:ind w:firstLine="843" w:firstLineChars="400"/>
              <w:rPr>
                <w:rFonts w:asciiTheme="minorEastAsia" w:hAnsiTheme="minorEastAsia" w:eastAsiaTheme="minorEastAsia"/>
                <w:color w:val="auto"/>
                <w:szCs w:val="21"/>
                <w:highlight w:val="none"/>
                <w:u w:val="single"/>
              </w:rPr>
            </w:pPr>
            <w:r>
              <w:rPr>
                <w:rFonts w:hint="eastAsia" w:asciiTheme="minorEastAsia" w:hAnsiTheme="minorEastAsia" w:eastAsiaTheme="minorEastAsia"/>
                <w:b/>
                <w:color w:val="auto"/>
                <w:szCs w:val="21"/>
                <w:highlight w:val="none"/>
              </w:rPr>
              <w:t>履约保证金的金额：</w:t>
            </w:r>
            <w:r>
              <w:rPr>
                <w:rFonts w:hint="eastAsia" w:asciiTheme="minorEastAsia" w:hAnsiTheme="minorEastAsia" w:eastAsiaTheme="minorEastAsia"/>
                <w:color w:val="auto"/>
                <w:szCs w:val="21"/>
                <w:highlight w:val="none"/>
                <w:u w:val="single"/>
              </w:rPr>
              <w:t>中标价款的</w:t>
            </w:r>
            <w:r>
              <w:rPr>
                <w:rFonts w:asciiTheme="minorEastAsia" w:hAnsiTheme="minorEastAsia" w:eastAsiaTheme="minorEastAsia"/>
                <w:color w:val="auto"/>
                <w:szCs w:val="21"/>
                <w:highlight w:val="none"/>
                <w:u w:val="single"/>
              </w:rPr>
              <w:t>10</w:t>
            </w:r>
            <w:r>
              <w:rPr>
                <w:rFonts w:hint="eastAsia" w:asciiTheme="minorEastAsia" w:hAnsiTheme="minorEastAsia" w:eastAsiaTheme="minorEastAsia"/>
                <w:color w:val="auto"/>
                <w:szCs w:val="21"/>
                <w:highlight w:val="none"/>
                <w:u w:val="single"/>
              </w:rPr>
              <w:t>％</w:t>
            </w:r>
          </w:p>
          <w:p>
            <w:pPr>
              <w:pStyle w:val="15"/>
              <w:topLinePunct/>
              <w:spacing w:line="276"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是否采用电子招标投标</w:t>
            </w:r>
          </w:p>
        </w:tc>
        <w:tc>
          <w:tcPr>
            <w:tcW w:w="7200" w:type="dxa"/>
            <w:vAlign w:val="center"/>
          </w:tcPr>
          <w:p>
            <w:pPr>
              <w:spacing w:line="276"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否</w:t>
            </w:r>
          </w:p>
          <w:p>
            <w:pPr>
              <w:spacing w:line="276" w:lineRule="auto"/>
              <w:ind w:left="2099" w:leftChars="3" w:hanging="2093" w:hangingChars="997"/>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■是，具体要求：</w:t>
            </w:r>
          </w:p>
          <w:p>
            <w:pPr>
              <w:spacing w:line="276" w:lineRule="auto"/>
              <w:jc w:val="left"/>
              <w:rPr>
                <w:rFonts w:asciiTheme="minorEastAsia" w:hAnsiTheme="minorEastAsia" w:eastAsiaTheme="minorEastAsia"/>
                <w:color w:val="auto"/>
                <w:szCs w:val="21"/>
                <w:highlight w:val="none"/>
                <w:u w:val="single"/>
              </w:rPr>
            </w:pPr>
            <w:r>
              <w:rPr>
                <w:rFonts w:hint="eastAsia" w:cs="Courier New" w:asciiTheme="minorEastAsia" w:hAnsiTheme="minorEastAsia" w:eastAsiaTheme="minorEastAsia"/>
                <w:color w:val="auto"/>
                <w:szCs w:val="21"/>
                <w:highlight w:val="none"/>
                <w:u w:val="single"/>
              </w:rPr>
              <w:t>1.具体操作详见广州公共资源交易中心网站最新发布的《房屋建筑和市政基础设施工程全流程电子化项目专章》。</w:t>
            </w:r>
          </w:p>
          <w:p>
            <w:pPr>
              <w:spacing w:line="276" w:lineRule="auto"/>
              <w:rPr>
                <w:rFonts w:cs="Courier New" w:asciiTheme="minorEastAsia" w:hAnsiTheme="minorEastAsia" w:eastAsiaTheme="minorEastAsia"/>
                <w:color w:val="auto"/>
                <w:szCs w:val="21"/>
                <w:highlight w:val="none"/>
                <w:u w:val="single"/>
              </w:rPr>
            </w:pPr>
            <w:r>
              <w:rPr>
                <w:rFonts w:hint="eastAsia" w:cs="Courier New" w:asciiTheme="minorEastAsia" w:hAnsiTheme="minorEastAsia" w:eastAsiaTheme="minorEastAsia"/>
                <w:color w:val="auto"/>
                <w:szCs w:val="21"/>
                <w:highlight w:val="none"/>
                <w:u w:val="single"/>
              </w:rPr>
              <w:t>2.提交投标文件光盘备用</w:t>
            </w:r>
          </w:p>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投标人将按《房屋建筑和市政基础设施工程全流程电子化项目专章》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备用光盘。</w:t>
            </w:r>
          </w:p>
          <w:p>
            <w:pPr>
              <w:spacing w:line="276" w:lineRule="auto"/>
              <w:ind w:firstLine="210" w:firstLineChars="100"/>
              <w:rPr>
                <w:rFonts w:asciiTheme="minorEastAsia" w:hAnsiTheme="minorEastAsia" w:eastAsiaTheme="minorEastAsia"/>
                <w:color w:val="auto"/>
                <w:szCs w:val="21"/>
                <w:highlight w:val="none"/>
                <w:u w:val="single"/>
              </w:rPr>
            </w:pP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rPr>
              <w:t>补救方案</w:t>
            </w:r>
          </w:p>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1</w:t>
            </w:r>
            <w:r>
              <w:rPr>
                <w:rFonts w:hint="eastAsia" w:asciiTheme="minorEastAsia" w:hAnsiTheme="minorEastAsia" w:eastAsiaTheme="minorEastAsia"/>
                <w:color w:val="auto"/>
                <w:szCs w:val="21"/>
                <w:highlight w:val="none"/>
                <w:u w:val="single"/>
              </w:rPr>
              <w:t>）投标文件解密失败的补救方案：</w:t>
            </w:r>
          </w:p>
          <w:p>
            <w:pPr>
              <w:spacing w:line="276" w:lineRule="auto"/>
              <w:ind w:firstLine="315" w:firstLineChars="1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之外原因解密失败且未递交电子光盘或递交的电子光盘不能读取的，视为撤回投标文件。</w:t>
            </w:r>
          </w:p>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2</w:t>
            </w:r>
            <w:r>
              <w:rPr>
                <w:rFonts w:hint="eastAsia" w:asciiTheme="minorEastAsia" w:hAnsiTheme="minorEastAsia" w:eastAsiaTheme="minorEastAsia"/>
                <w:color w:val="auto"/>
                <w:szCs w:val="21"/>
                <w:highlight w:val="none"/>
                <w:u w:val="single"/>
              </w:rPr>
              <w:t>）评标时突发情况的补救方案</w:t>
            </w:r>
          </w:p>
          <w:p>
            <w:pPr>
              <w:spacing w:line="276" w:lineRule="auto"/>
              <w:ind w:firstLine="315" w:firstLineChars="15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若遇不可抗力发生（如：网络瘫痪、服务器损坏、交易系统故障短期无法恢复等因素），由评标委员会开启递交的全部投标文件光盘，并按光盘内容进行评审。</w:t>
            </w:r>
          </w:p>
          <w:p>
            <w:pPr>
              <w:spacing w:line="276"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3</w:t>
            </w:r>
            <w:r>
              <w:rPr>
                <w:rFonts w:hint="eastAsia" w:asciiTheme="minorEastAsia" w:hAnsiTheme="minorEastAsia" w:eastAsiaTheme="minorEastAsia"/>
                <w:color w:val="auto"/>
                <w:szCs w:val="21"/>
                <w:highlight w:val="none"/>
                <w:u w:val="single"/>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2160" w:type="dxa"/>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需要补充的其他内容</w:t>
            </w:r>
          </w:p>
        </w:tc>
        <w:tc>
          <w:tcPr>
            <w:tcW w:w="7200" w:type="dxa"/>
            <w:vAlign w:val="center"/>
          </w:tcPr>
          <w:p>
            <w:pPr>
              <w:snapToGrid w:val="0"/>
              <w:spacing w:line="276"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10.1</w:t>
            </w:r>
          </w:p>
        </w:tc>
        <w:tc>
          <w:tcPr>
            <w:tcW w:w="2160" w:type="dxa"/>
            <w:vAlign w:val="center"/>
          </w:tcPr>
          <w:p>
            <w:pPr>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特别提示</w:t>
            </w:r>
          </w:p>
        </w:tc>
        <w:tc>
          <w:tcPr>
            <w:tcW w:w="7200" w:type="dxa"/>
            <w:vAlign w:val="center"/>
          </w:tcPr>
          <w:p>
            <w:pPr>
              <w:widowControl/>
              <w:shd w:val="clear" w:color="auto" w:fill="FFFFFF"/>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投标人在本项目招标人的工程项目中存在下列行为的，将被拒绝一年内参与我单位后续工程投标。（注：拒绝投标时限由招标人视严重程度确定，最低三个月起，自招标人发出通知之日起计）：</w:t>
            </w:r>
          </w:p>
          <w:p>
            <w:pPr>
              <w:widowControl/>
              <w:shd w:val="clear" w:color="auto" w:fill="FFFFFF"/>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1.将中标工程转包或者违法分包的；</w:t>
            </w:r>
          </w:p>
          <w:p>
            <w:pPr>
              <w:widowControl/>
              <w:shd w:val="clear" w:color="auto" w:fill="FFFFFF"/>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2.在中标工程中不执行质量、安全生产相关规定的，造成质量或安全事故的；</w:t>
            </w:r>
          </w:p>
          <w:p>
            <w:pPr>
              <w:widowControl/>
              <w:shd w:val="clear" w:color="auto" w:fill="FFFFFF"/>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3.存在围标或串标情形的；</w:t>
            </w:r>
          </w:p>
          <w:p>
            <w:pPr>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2</w:t>
            </w:r>
          </w:p>
        </w:tc>
        <w:tc>
          <w:tcPr>
            <w:tcW w:w="2160" w:type="dxa"/>
            <w:vAlign w:val="center"/>
          </w:tcPr>
          <w:p>
            <w:pPr>
              <w:widowControl/>
              <w:shd w:val="clear" w:color="auto" w:fill="FFFFFF"/>
              <w:adjustRightIn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招标失败情形</w:t>
            </w:r>
          </w:p>
        </w:tc>
        <w:tc>
          <w:tcPr>
            <w:tcW w:w="7200" w:type="dxa"/>
            <w:vAlign w:val="center"/>
          </w:tcPr>
          <w:p>
            <w:pPr>
              <w:spacing w:line="276" w:lineRule="auto"/>
              <w:ind w:left="1" w:hanging="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本项目采用资格后审方式</w:t>
            </w:r>
            <w:r>
              <w:rPr>
                <w:rFonts w:hint="eastAsia" w:cs="仿宋" w:asciiTheme="minorEastAsia" w:hAnsiTheme="minorEastAsia" w:eastAsiaTheme="minorEastAsia"/>
                <w:color w:val="auto"/>
                <w:szCs w:val="21"/>
                <w:highlight w:val="none"/>
              </w:rPr>
              <w:t>。若投标登记或递交投标文件或通过初步评审（含形式评审、资格评审、响应性评审）的合格投标人不足3家的，</w:t>
            </w:r>
            <w:r>
              <w:rPr>
                <w:rFonts w:hint="eastAsia" w:asciiTheme="minorEastAsia" w:hAnsiTheme="minorEastAsia" w:eastAsiaTheme="minorEastAsia"/>
                <w:color w:val="auto"/>
                <w:szCs w:val="21"/>
                <w:highlight w:val="none"/>
                <w:u w:val="single"/>
              </w:rPr>
              <w:t>则该项目招标失败</w:t>
            </w:r>
            <w:r>
              <w:rPr>
                <w:rFonts w:hint="eastAsia" w:cs="仿宋"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3</w:t>
            </w:r>
          </w:p>
        </w:tc>
        <w:tc>
          <w:tcPr>
            <w:tcW w:w="2160" w:type="dxa"/>
            <w:tcBorders>
              <w:bottom w:val="single" w:color="auto" w:sz="4" w:space="0"/>
            </w:tcBorders>
            <w:vAlign w:val="center"/>
          </w:tcPr>
          <w:p>
            <w:pPr>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其他费用</w:t>
            </w:r>
          </w:p>
        </w:tc>
        <w:tc>
          <w:tcPr>
            <w:tcW w:w="7200" w:type="dxa"/>
            <w:tcBorders>
              <w:bottom w:val="single" w:color="auto" w:sz="4" w:space="0"/>
            </w:tcBorders>
            <w:vAlign w:val="center"/>
          </w:tcPr>
          <w:p>
            <w:pPr>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交易服务费：中标人按规定，向广州公共资源交易中心缴纳交易服务费，其费用包含在中标人投标报价中，招标人不另行支付。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4</w:t>
            </w:r>
          </w:p>
        </w:tc>
        <w:tc>
          <w:tcPr>
            <w:tcW w:w="2160" w:type="dxa"/>
            <w:tcBorders>
              <w:bottom w:val="single" w:color="auto" w:sz="4" w:space="0"/>
            </w:tcBorders>
            <w:vAlign w:val="center"/>
          </w:tcPr>
          <w:p>
            <w:pPr>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招标人拒绝接收其投标文件备用光盘情况</w:t>
            </w:r>
          </w:p>
        </w:tc>
        <w:tc>
          <w:tcPr>
            <w:tcW w:w="7200" w:type="dxa"/>
            <w:tcBorders>
              <w:bottom w:val="single" w:color="auto" w:sz="4" w:space="0"/>
            </w:tcBorders>
            <w:vAlign w:val="center"/>
          </w:tcPr>
          <w:p>
            <w:pPr>
              <w:pStyle w:val="28"/>
              <w:spacing w:line="276" w:lineRule="auto"/>
              <w:ind w:hanging="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1、投标人在投标截止期后逾期或未在指定地点递交备用投标文件电子光盘的；</w:t>
            </w:r>
          </w:p>
          <w:p>
            <w:pPr>
              <w:pStyle w:val="28"/>
              <w:spacing w:line="276" w:lineRule="auto"/>
              <w:ind w:hanging="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2、投标人递交的备用投标文件电子光盘未按招标文件要求密封或未在密封处盖章的；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pPr>
              <w:snapToGrid w:val="0"/>
              <w:spacing w:line="276" w:lineRule="auto"/>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5</w:t>
            </w:r>
          </w:p>
        </w:tc>
        <w:tc>
          <w:tcPr>
            <w:tcW w:w="2160" w:type="dxa"/>
            <w:tcBorders>
              <w:bottom w:val="single" w:color="auto" w:sz="4" w:space="0"/>
            </w:tcBorders>
            <w:vAlign w:val="center"/>
          </w:tcPr>
          <w:p>
            <w:pPr>
              <w:widowControl/>
              <w:shd w:val="clear" w:color="auto" w:fill="FFFFFF"/>
              <w:adjustRightIn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7200" w:type="dxa"/>
            <w:tcBorders>
              <w:bottom w:val="single" w:color="auto" w:sz="4" w:space="0"/>
            </w:tcBorders>
            <w:vAlign w:val="center"/>
          </w:tcPr>
          <w:p>
            <w:pPr>
              <w:snapToGrid w:val="0"/>
              <w:spacing w:line="276" w:lineRule="auto"/>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1．在产生中标候选人后，招标人将中标候选人的投标文件商务部分的电子版（报价清单、方案等涉及商业秘密的内容除外）在广州公共资源交易中心网站公开。</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2.招标公告、招标文件、答疑纪要、图纸等招标资料全部发布在广州公共资源交易中心网站，由投标人自行下载查阅。</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3.投标截止时间、开标时间和地点：发布在广州公共资源交易中心网站（具体在网站主页“服务指南”中“交易活动安排”栏目上以“项目名称”或“项目编号”进行查询）。</w:t>
            </w:r>
          </w:p>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4．中标单位在中标通知书发出后3个工作日内，补送一正一副正式书面投标文件（加盖公章）及电子文件光盘给招标人。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66" w:type="dxa"/>
            <w:tcBorders>
              <w:bottom w:val="single" w:color="auto" w:sz="4" w:space="0"/>
            </w:tcBorders>
            <w:vAlign w:val="center"/>
          </w:tcPr>
          <w:p>
            <w:pPr>
              <w:snapToGri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10.6</w:t>
            </w:r>
          </w:p>
        </w:tc>
        <w:tc>
          <w:tcPr>
            <w:tcW w:w="2160" w:type="dxa"/>
            <w:tcBorders>
              <w:bottom w:val="single" w:color="auto" w:sz="4" w:space="0"/>
            </w:tcBorders>
            <w:vAlign w:val="center"/>
          </w:tcPr>
          <w:p>
            <w:pPr>
              <w:widowControl/>
              <w:shd w:val="clear" w:color="auto" w:fill="FFFFFF"/>
              <w:adjustRightInd w:val="0"/>
              <w:spacing w:line="276"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投标人是否参加开标</w:t>
            </w:r>
          </w:p>
        </w:tc>
        <w:tc>
          <w:tcPr>
            <w:tcW w:w="7200" w:type="dxa"/>
            <w:tcBorders>
              <w:bottom w:val="single" w:color="auto" w:sz="4" w:space="0"/>
            </w:tcBorders>
            <w:vAlign w:val="center"/>
          </w:tcPr>
          <w:p>
            <w:pPr>
              <w:snapToGrid w:val="0"/>
              <w:spacing w:line="276"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开标时，投标人代表有权出席开标会，也可以自主决定不参加开标会，若投标人代表对开标过程提出异议，该投标人代表须同时出示本人身份证原件。</w:t>
            </w:r>
          </w:p>
        </w:tc>
      </w:tr>
    </w:tbl>
    <w:p>
      <w:pPr>
        <w:pStyle w:val="7"/>
        <w:rPr>
          <w:color w:val="auto"/>
          <w:highlight w:val="none"/>
        </w:rPr>
      </w:pPr>
      <w:r>
        <w:rPr>
          <w:color w:val="auto"/>
          <w:highlight w:val="none"/>
        </w:rPr>
        <w:br w:type="page"/>
      </w:r>
      <w:bookmarkStart w:id="43" w:name="_Toc17665"/>
      <w:bookmarkStart w:id="44" w:name="_Toc24393"/>
      <w:bookmarkStart w:id="45" w:name="_Toc533357308"/>
      <w:r>
        <w:rPr>
          <w:color w:val="auto"/>
          <w:highlight w:val="none"/>
        </w:rPr>
        <w:t>1.</w:t>
      </w:r>
      <w:r>
        <w:rPr>
          <w:rFonts w:hint="eastAsia"/>
          <w:color w:val="auto"/>
          <w:highlight w:val="none"/>
        </w:rPr>
        <w:t>总则</w:t>
      </w:r>
      <w:bookmarkEnd w:id="43"/>
      <w:bookmarkEnd w:id="44"/>
      <w:bookmarkEnd w:id="45"/>
    </w:p>
    <w:p>
      <w:pPr>
        <w:pStyle w:val="9"/>
        <w:spacing w:line="360" w:lineRule="auto"/>
        <w:rPr>
          <w:rFonts w:ascii="宋体" w:hAnsi="宋体"/>
          <w:color w:val="auto"/>
          <w:highlight w:val="none"/>
        </w:rPr>
      </w:pPr>
      <w:r>
        <w:rPr>
          <w:rFonts w:ascii="宋体" w:hAnsi="宋体"/>
          <w:color w:val="auto"/>
          <w:highlight w:val="none"/>
        </w:rPr>
        <w:t xml:space="preserve">1.1 </w:t>
      </w:r>
      <w:r>
        <w:rPr>
          <w:rFonts w:hint="eastAsia" w:ascii="宋体" w:hAnsi="宋体"/>
          <w:color w:val="auto"/>
          <w:highlight w:val="none"/>
        </w:rPr>
        <w:t>招标项目概况</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根据《中华人民共和国招标投标法》、《中华人民共和国招标投标法实施条例》等有关法律、法规和规章的规定，本招标项目已具备招标条件，现对检测服务进行招标。</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招标人：见投标人须知前附表。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招标代理机构：见投标人须知前附表。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招标项目名称：见投标人须知前附表。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1.1.5</w:t>
      </w:r>
      <w:r>
        <w:rPr>
          <w:rFonts w:hint="eastAsia" w:ascii="宋体" w:hAnsi="宋体"/>
          <w:color w:val="auto"/>
          <w:szCs w:val="21"/>
          <w:highlight w:val="none"/>
        </w:rPr>
        <w:t>项目建设地点：见投标人须知前附表。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1.1.6</w:t>
      </w:r>
      <w:r>
        <w:rPr>
          <w:rFonts w:hint="eastAsia" w:ascii="宋体" w:hAnsi="宋体"/>
          <w:color w:val="auto"/>
          <w:szCs w:val="21"/>
          <w:highlight w:val="none"/>
        </w:rPr>
        <w:t>项目建设规模：见投标人须知前附表。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1.1.7</w:t>
      </w:r>
      <w:r>
        <w:rPr>
          <w:rFonts w:hint="eastAsia" w:ascii="宋体" w:hAnsi="宋体"/>
          <w:color w:val="auto"/>
          <w:szCs w:val="21"/>
          <w:highlight w:val="none"/>
        </w:rPr>
        <w:t>工程项目施工预计开工日期和建设周期：见投标人须知前附表。</w:t>
      </w:r>
    </w:p>
    <w:p>
      <w:pPr>
        <w:pStyle w:val="28"/>
        <w:spacing w:line="360" w:lineRule="auto"/>
        <w:ind w:firstLineChars="200"/>
        <w:rPr>
          <w:rFonts w:ascii="宋体" w:hAnsi="宋体"/>
          <w:color w:val="auto"/>
          <w:szCs w:val="21"/>
          <w:highlight w:val="none"/>
        </w:rPr>
      </w:pPr>
      <w:r>
        <w:rPr>
          <w:rFonts w:ascii="宋体" w:hAnsi="宋体"/>
          <w:color w:val="auto"/>
          <w:szCs w:val="21"/>
          <w:highlight w:val="none"/>
        </w:rPr>
        <w:t>1.1.8</w:t>
      </w:r>
      <w:r>
        <w:rPr>
          <w:rFonts w:hint="eastAsia" w:ascii="宋体" w:hAnsi="宋体"/>
          <w:color w:val="auto"/>
          <w:szCs w:val="21"/>
          <w:highlight w:val="none"/>
        </w:rPr>
        <w:t>建筑安装工程费</w:t>
      </w:r>
      <w:r>
        <w:rPr>
          <w:rFonts w:ascii="宋体" w:hAnsi="宋体"/>
          <w:color w:val="auto"/>
          <w:szCs w:val="21"/>
          <w:highlight w:val="none"/>
        </w:rPr>
        <w:t>/</w:t>
      </w:r>
      <w:r>
        <w:rPr>
          <w:rFonts w:hint="eastAsia" w:ascii="宋体" w:hAnsi="宋体"/>
          <w:color w:val="auto"/>
          <w:szCs w:val="21"/>
          <w:highlight w:val="none"/>
        </w:rPr>
        <w:t>工程概算：见投标人须知前附表。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r>
        <w:rPr>
          <w:rFonts w:ascii="宋体" w:hAnsi="宋体"/>
          <w:color w:val="auto"/>
          <w:highlight w:val="none"/>
        </w:rPr>
        <w:t xml:space="preserve">1.2 </w:t>
      </w:r>
      <w:r>
        <w:rPr>
          <w:rFonts w:hint="eastAsia" w:ascii="宋体" w:hAnsi="宋体"/>
          <w:color w:val="auto"/>
          <w:highlight w:val="none"/>
        </w:rPr>
        <w:t>招标项目的资金来源和落实情况</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1.2.1</w:t>
      </w:r>
      <w:r>
        <w:rPr>
          <w:rFonts w:hint="eastAsia" w:ascii="宋体" w:hAnsi="宋体"/>
          <w:color w:val="auto"/>
          <w:szCs w:val="21"/>
          <w:highlight w:val="none"/>
        </w:rPr>
        <w:t>资金来源及比例：见投标人须知前附表。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1.2.2</w:t>
      </w:r>
      <w:r>
        <w:rPr>
          <w:rFonts w:hint="eastAsia" w:ascii="宋体" w:hAnsi="宋体"/>
          <w:color w:val="auto"/>
          <w:szCs w:val="21"/>
          <w:highlight w:val="none"/>
        </w:rPr>
        <w:t>资金落实情况：见投标人须知前附表。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r>
        <w:rPr>
          <w:rFonts w:ascii="宋体" w:hAnsi="宋体"/>
          <w:color w:val="auto"/>
          <w:highlight w:val="none"/>
        </w:rPr>
        <w:t xml:space="preserve">1.3 </w:t>
      </w:r>
      <w:r>
        <w:rPr>
          <w:rFonts w:hint="eastAsia" w:ascii="宋体" w:hAnsi="宋体"/>
          <w:color w:val="auto"/>
          <w:highlight w:val="none"/>
        </w:rPr>
        <w:t>招标内容、服务期限和质量标准</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1.3.1</w:t>
      </w:r>
      <w:r>
        <w:rPr>
          <w:rFonts w:hint="eastAsia" w:ascii="宋体" w:hAnsi="宋体"/>
          <w:color w:val="auto"/>
          <w:szCs w:val="21"/>
          <w:highlight w:val="none"/>
        </w:rPr>
        <w:t>招标内容：见投标人须知前附表。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1.3.2</w:t>
      </w:r>
      <w:r>
        <w:rPr>
          <w:rFonts w:hint="eastAsia" w:ascii="宋体" w:hAnsi="宋体"/>
          <w:color w:val="auto"/>
          <w:szCs w:val="21"/>
          <w:highlight w:val="none"/>
        </w:rPr>
        <w:t>服务期：见投标人须知前附表。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1.3.3</w:t>
      </w:r>
      <w:r>
        <w:rPr>
          <w:rFonts w:hint="eastAsia" w:ascii="宋体" w:hAnsi="宋体"/>
          <w:color w:val="auto"/>
          <w:highlight w:val="none"/>
        </w:rPr>
        <w:t>质量标准</w:t>
      </w:r>
      <w:r>
        <w:rPr>
          <w:rFonts w:hint="eastAsia" w:ascii="宋体" w:hAnsi="宋体"/>
          <w:color w:val="auto"/>
          <w:szCs w:val="21"/>
          <w:highlight w:val="none"/>
        </w:rPr>
        <w:t>：见投标人须知前附表。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r>
        <w:rPr>
          <w:rFonts w:ascii="宋体" w:hAnsi="宋体"/>
          <w:color w:val="auto"/>
          <w:highlight w:val="none"/>
        </w:rPr>
        <w:t xml:space="preserve">1.4 </w:t>
      </w:r>
      <w:r>
        <w:rPr>
          <w:rFonts w:hint="eastAsia" w:ascii="宋体" w:hAnsi="宋体"/>
          <w:color w:val="auto"/>
          <w:highlight w:val="none"/>
        </w:rPr>
        <w:t>投标人资格要求</w:t>
      </w:r>
    </w:p>
    <w:p>
      <w:pPr>
        <w:pStyle w:val="16"/>
        <w:kinsoku w:val="0"/>
        <w:overflowPunct w:val="0"/>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1.4.1</w:t>
      </w:r>
      <w:r>
        <w:rPr>
          <w:rFonts w:hint="eastAsia" w:ascii="宋体" w:hAnsi="宋体"/>
          <w:color w:val="auto"/>
          <w:szCs w:val="21"/>
          <w:highlight w:val="none"/>
        </w:rPr>
        <w:t>投标人应具备承担本招标项目资质条件、能力和信誉：</w:t>
      </w:r>
      <w:r>
        <w:rPr>
          <w:rFonts w:hint="eastAsia" w:ascii="宋体" w:hAnsi="宋体"/>
          <w:color w:val="auto"/>
          <w:szCs w:val="21"/>
          <w:highlight w:val="none"/>
          <w:u w:val="single"/>
        </w:rPr>
        <w:t>详见招标公告。</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投标人须知前附表规定接受联合体投标的，联合体除应符合本章第</w:t>
      </w:r>
      <w:r>
        <w:rPr>
          <w:rFonts w:ascii="宋体" w:hAnsi="宋体"/>
          <w:color w:val="auto"/>
          <w:szCs w:val="21"/>
          <w:highlight w:val="none"/>
        </w:rPr>
        <w:t>1.4.1</w:t>
      </w:r>
      <w:r>
        <w:rPr>
          <w:rFonts w:hint="eastAsia" w:ascii="宋体" w:hAnsi="宋体"/>
          <w:color w:val="auto"/>
          <w:szCs w:val="21"/>
          <w:highlight w:val="none"/>
        </w:rPr>
        <w:t>项和投标人须知前附表的要求外，还应遵守以下规定：</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）联合体各方应按招标文件提供的格式签订联合体协议书，明确联合体牵头人和各方权利义务，并承诺就中标项目向招标人承担连带责任；</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）联合体各方不得再以自己名义单独或参加其他联合体在本招标项目中投标，否则各相关投标均无效。</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投标人不得存在下列情形之一：</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（2）与招标人存在利害关系且可能影响招标公正性；</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（3）与本招标项目的其他投标人为同一个单位负责人；</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（4）与本招标项目的其他投标人存在控股、管理关系；</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（5）为本招标项目的代建人；</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（6）为本招标项目的招标代理机构；</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（7）与本招标项目的代建人或招标代理机构同为一个法定代表人；</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（8）与本招标项目的代建人或招标代理机构存在控股或参股关系；</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（9）与本招标项目的施工承包人以及建筑材料、建筑构配件和设备供应商有隶属关系或者其他利害关系；</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（10）被依法暂停或者取消投标资格；</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（11）被责令停产停业、暂扣或者吊销许可证、暂扣或者吊销执照；</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（12）进入清算程序，或被宣告破产，或其他丧失履约能力的情形；</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（13）在最近三年内发生重大检测质量问题（以相关行业主管部门的行政处罚决定或司法机关出具的有关法律文书为准）；</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（14）被工商行政管理机关在全国企业信用信息公示系统中列入严重违法失信企业名单；</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（15）被最高人民法院在“信用中国”网站（www.creditchina.gov.cn）或各级信用信息共享平台中列入失信被执行人名单；</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（16）法律法规或投标人须知前附表规定的其他情形。</w:t>
      </w:r>
    </w:p>
    <w:p>
      <w:pPr>
        <w:pStyle w:val="9"/>
        <w:spacing w:line="360" w:lineRule="auto"/>
        <w:rPr>
          <w:rFonts w:ascii="宋体" w:hAnsi="宋体"/>
          <w:color w:val="auto"/>
          <w:highlight w:val="none"/>
        </w:rPr>
      </w:pPr>
      <w:r>
        <w:rPr>
          <w:rFonts w:ascii="宋体" w:hAnsi="宋体"/>
          <w:color w:val="auto"/>
          <w:highlight w:val="none"/>
        </w:rPr>
        <w:t xml:space="preserve">1.5 </w:t>
      </w:r>
      <w:r>
        <w:rPr>
          <w:rFonts w:hint="eastAsia" w:ascii="宋体" w:hAnsi="宋体"/>
          <w:color w:val="auto"/>
          <w:highlight w:val="none"/>
        </w:rPr>
        <w:t>费用承担</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投标人准备和参加投标活动发生的费用自理。</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46" w:name="bookmark26"/>
      <w:bookmarkEnd w:id="46"/>
      <w:r>
        <w:rPr>
          <w:rFonts w:ascii="宋体" w:hAnsi="宋体"/>
          <w:color w:val="auto"/>
          <w:highlight w:val="none"/>
        </w:rPr>
        <w:t xml:space="preserve">1.6 </w:t>
      </w:r>
      <w:r>
        <w:rPr>
          <w:rFonts w:hint="eastAsia" w:ascii="宋体" w:hAnsi="宋体"/>
          <w:color w:val="auto"/>
          <w:highlight w:val="none"/>
        </w:rPr>
        <w:t>保密</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参与招标投标活动的各方应对招标文件和投标文件中的商业和技术等秘密保密，否则应承担相应的法律责任。</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47" w:name="bookmark27"/>
      <w:bookmarkEnd w:id="47"/>
      <w:r>
        <w:rPr>
          <w:rFonts w:ascii="宋体" w:hAnsi="宋体"/>
          <w:color w:val="auto"/>
          <w:highlight w:val="none"/>
        </w:rPr>
        <w:t xml:space="preserve">1.7 </w:t>
      </w:r>
      <w:r>
        <w:rPr>
          <w:rFonts w:hint="eastAsia" w:ascii="宋体" w:hAnsi="宋体"/>
          <w:color w:val="auto"/>
          <w:highlight w:val="none"/>
        </w:rPr>
        <w:t>语言文字</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招标投标文件使用的语言文字为中文。专用术语使用外文的，应附有中文注释。</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48" w:name="bookmark28"/>
      <w:bookmarkEnd w:id="48"/>
      <w:r>
        <w:rPr>
          <w:rFonts w:ascii="宋体" w:hAnsi="宋体"/>
          <w:color w:val="auto"/>
          <w:highlight w:val="none"/>
        </w:rPr>
        <w:t xml:space="preserve">1.8 </w:t>
      </w:r>
      <w:r>
        <w:rPr>
          <w:rFonts w:hint="eastAsia" w:ascii="宋体" w:hAnsi="宋体"/>
          <w:color w:val="auto"/>
          <w:highlight w:val="none"/>
        </w:rPr>
        <w:t>计量单位</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49" w:name="bookmark29"/>
      <w:bookmarkEnd w:id="49"/>
      <w:r>
        <w:rPr>
          <w:rFonts w:ascii="宋体" w:hAnsi="宋体"/>
          <w:color w:val="auto"/>
          <w:highlight w:val="none"/>
        </w:rPr>
        <w:t xml:space="preserve">1.9 </w:t>
      </w:r>
      <w:r>
        <w:rPr>
          <w:rFonts w:hint="eastAsia" w:ascii="宋体" w:hAnsi="宋体"/>
          <w:color w:val="auto"/>
          <w:highlight w:val="none"/>
        </w:rPr>
        <w:t>踏勘现场</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1.9.1</w:t>
      </w:r>
      <w:r>
        <w:rPr>
          <w:rFonts w:hint="eastAsia" w:ascii="宋体" w:hAnsi="宋体"/>
          <w:color w:val="auto"/>
          <w:szCs w:val="21"/>
          <w:highlight w:val="none"/>
        </w:rPr>
        <w:t>投标人须知前附表规定组织踏勘现场的，招标人按投标人须知前附表规定的时间、地点组织投标人踏勘项目现场。部分投标人未按时参加踏勘现场的，不影响踏勘现场的正常进行。</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1.9.2</w:t>
      </w:r>
      <w:r>
        <w:rPr>
          <w:rFonts w:hint="eastAsia" w:ascii="宋体" w:hAnsi="宋体"/>
          <w:color w:val="auto"/>
          <w:szCs w:val="21"/>
          <w:highlight w:val="none"/>
        </w:rPr>
        <w:t>投标人踏勘现场发生的费用自理。</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1.9.3</w:t>
      </w:r>
      <w:r>
        <w:rPr>
          <w:rFonts w:hint="eastAsia" w:ascii="宋体" w:hAnsi="宋体"/>
          <w:color w:val="auto"/>
          <w:szCs w:val="21"/>
          <w:highlight w:val="none"/>
        </w:rPr>
        <w:t>除招标人的原因外，投标人自行负责在踏勘现场中所发生的人员伤亡和财产损失。</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1.9.4</w:t>
      </w:r>
      <w:r>
        <w:rPr>
          <w:rFonts w:hint="eastAsia" w:ascii="宋体" w:hAnsi="宋体"/>
          <w:color w:val="auto"/>
          <w:szCs w:val="21"/>
          <w:highlight w:val="none"/>
        </w:rPr>
        <w:t>招标人在踏勘现场中介绍的工程场地和相关的周边环境情况，供投标人在编制投标文件时参考，招标人不对投标人据此作出的判断和决策负责。</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50" w:name="bookmark30"/>
      <w:bookmarkEnd w:id="50"/>
      <w:r>
        <w:rPr>
          <w:rFonts w:ascii="宋体" w:hAnsi="宋体"/>
          <w:color w:val="auto"/>
          <w:highlight w:val="none"/>
        </w:rPr>
        <w:t xml:space="preserve">1.10 </w:t>
      </w:r>
      <w:r>
        <w:rPr>
          <w:rFonts w:hint="eastAsia" w:ascii="宋体" w:hAnsi="宋体"/>
          <w:color w:val="auto"/>
          <w:highlight w:val="none"/>
        </w:rPr>
        <w:t>投标预备会</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1.10.1</w:t>
      </w:r>
      <w:r>
        <w:rPr>
          <w:rFonts w:hint="eastAsia" w:ascii="宋体" w:hAnsi="宋体"/>
          <w:color w:val="auto"/>
          <w:szCs w:val="21"/>
          <w:highlight w:val="none"/>
        </w:rPr>
        <w:t>投标人须知前附表规定召开投标预备会的，招标人按投标人须知前附表规定的时间和地点召开投标预备会，澄清投标人提出的问题。</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1.10.2</w:t>
      </w:r>
      <w:r>
        <w:rPr>
          <w:rFonts w:hint="eastAsia" w:ascii="宋体" w:hAnsi="宋体"/>
          <w:color w:val="auto"/>
          <w:szCs w:val="21"/>
          <w:highlight w:val="none"/>
        </w:rPr>
        <w:t>投标人应按投标人须知前附表规定的时间和形式将提出的问题送达招标人，以便招标人在会议期间澄清。</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1.10.3</w:t>
      </w:r>
      <w:r>
        <w:rPr>
          <w:rFonts w:hint="eastAsia" w:ascii="宋体" w:hAnsi="宋体"/>
          <w:color w:val="auto"/>
          <w:szCs w:val="21"/>
          <w:highlight w:val="none"/>
        </w:rPr>
        <w:t>投标预备会后，招标人将对投标人所提问题的澄清，以投标人须知前附表规定的形式通知所有潜在投标人。该澄清内容为招标文件的组成部分。</w:t>
      </w:r>
      <w:bookmarkStart w:id="51" w:name="bookmark31"/>
      <w:bookmarkEnd w:id="51"/>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r>
        <w:rPr>
          <w:rFonts w:ascii="宋体" w:hAnsi="宋体"/>
          <w:color w:val="auto"/>
          <w:highlight w:val="none"/>
        </w:rPr>
        <w:t xml:space="preserve">1.11 </w:t>
      </w:r>
      <w:r>
        <w:rPr>
          <w:rFonts w:hint="eastAsia" w:ascii="宋体" w:hAnsi="宋体"/>
          <w:color w:val="auto"/>
          <w:highlight w:val="none"/>
        </w:rPr>
        <w:t>分包</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w:t>
      </w:r>
      <w:r>
        <w:rPr>
          <w:rFonts w:ascii="宋体" w:hAnsi="宋体"/>
          <w:color w:val="auto"/>
          <w:szCs w:val="21"/>
          <w:highlight w:val="none"/>
        </w:rPr>
        <w:t>对于非主要检测工作，中标人不具备资质的，经招标人同意后可依法分包给具备相关资质的检测单位，分包的检测工作不得再次分包。</w:t>
      </w:r>
    </w:p>
    <w:p>
      <w:pPr>
        <w:pStyle w:val="9"/>
        <w:spacing w:line="360" w:lineRule="auto"/>
        <w:rPr>
          <w:rFonts w:ascii="宋体" w:hAnsi="宋体"/>
          <w:color w:val="auto"/>
          <w:highlight w:val="none"/>
        </w:rPr>
      </w:pPr>
      <w:bookmarkStart w:id="52" w:name="bookmark32"/>
      <w:bookmarkEnd w:id="52"/>
      <w:r>
        <w:rPr>
          <w:rFonts w:ascii="宋体" w:hAnsi="宋体"/>
          <w:color w:val="auto"/>
          <w:highlight w:val="none"/>
        </w:rPr>
        <w:t xml:space="preserve">1.12 </w:t>
      </w:r>
      <w:r>
        <w:rPr>
          <w:rFonts w:hint="eastAsia" w:ascii="宋体" w:hAnsi="宋体"/>
          <w:color w:val="auto"/>
          <w:highlight w:val="none"/>
        </w:rPr>
        <w:t>响应和偏差</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1.12.1</w:t>
      </w:r>
      <w:r>
        <w:rPr>
          <w:rFonts w:hint="eastAsia" w:ascii="宋体" w:hAnsi="宋体"/>
          <w:color w:val="auto"/>
          <w:szCs w:val="21"/>
          <w:highlight w:val="none"/>
        </w:rPr>
        <w:t>投标文件应当对招标文件的实质性要求和条件作出满足性或更有利于招标人的响应，否则，投标人的投标将被否决。实质性要求和条件见投标人须知前附表。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1.12.2</w:t>
      </w:r>
      <w:r>
        <w:rPr>
          <w:rFonts w:hint="eastAsia" w:ascii="宋体" w:hAnsi="宋体"/>
          <w:color w:val="auto"/>
          <w:szCs w:val="21"/>
          <w:highlight w:val="none"/>
        </w:rPr>
        <w:t>投标人应根据招标文件的要求提供技术方案等内容以对招标文件作出响应。</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投标人须知前附表允许投标文件偏离招标文件某些要求的，偏差应当符合招标文件规定的偏差范围和幅度。</w:t>
      </w:r>
    </w:p>
    <w:p>
      <w:pPr>
        <w:pStyle w:val="16"/>
        <w:kinsoku w:val="0"/>
        <w:overflowPunct w:val="0"/>
        <w:spacing w:line="288" w:lineRule="auto"/>
        <w:ind w:firstLine="420" w:firstLineChars="200"/>
        <w:rPr>
          <w:rFonts w:ascii="宋体" w:hAnsi="宋体"/>
          <w:color w:val="auto"/>
          <w:szCs w:val="21"/>
          <w:highlight w:val="none"/>
        </w:rPr>
      </w:pPr>
    </w:p>
    <w:p>
      <w:pPr>
        <w:pStyle w:val="7"/>
        <w:rPr>
          <w:color w:val="auto"/>
          <w:highlight w:val="none"/>
        </w:rPr>
      </w:pPr>
      <w:bookmarkStart w:id="53" w:name="_Toc533357309"/>
      <w:bookmarkStart w:id="54" w:name="_Toc27821"/>
      <w:bookmarkStart w:id="55" w:name="_Toc6354"/>
      <w:r>
        <w:rPr>
          <w:color w:val="auto"/>
          <w:highlight w:val="none"/>
        </w:rPr>
        <w:t>2.</w:t>
      </w:r>
      <w:r>
        <w:rPr>
          <w:rFonts w:hint="eastAsia"/>
          <w:color w:val="auto"/>
          <w:highlight w:val="none"/>
        </w:rPr>
        <w:t>招标文件</w:t>
      </w:r>
      <w:bookmarkEnd w:id="53"/>
      <w:bookmarkEnd w:id="54"/>
      <w:bookmarkEnd w:id="55"/>
    </w:p>
    <w:p>
      <w:pPr>
        <w:pStyle w:val="9"/>
        <w:spacing w:line="360" w:lineRule="auto"/>
        <w:rPr>
          <w:rFonts w:ascii="宋体" w:hAnsi="宋体"/>
          <w:color w:val="auto"/>
          <w:highlight w:val="none"/>
        </w:rPr>
      </w:pPr>
      <w:bookmarkStart w:id="56" w:name="bookmark35"/>
      <w:bookmarkEnd w:id="56"/>
      <w:bookmarkStart w:id="57" w:name="bookmark34"/>
      <w:bookmarkEnd w:id="57"/>
      <w:r>
        <w:rPr>
          <w:rFonts w:ascii="宋体" w:hAnsi="宋体"/>
          <w:color w:val="auto"/>
          <w:highlight w:val="none"/>
        </w:rPr>
        <w:t xml:space="preserve">2.1 </w:t>
      </w:r>
      <w:r>
        <w:rPr>
          <w:rFonts w:hint="eastAsia" w:ascii="宋体" w:hAnsi="宋体"/>
          <w:color w:val="auto"/>
          <w:highlight w:val="none"/>
        </w:rPr>
        <w:t>招标文件的组成</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本招标文件包括：</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）招标公告；</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）投标人须知；</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）评标办法；</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）合同条款及格式；</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）委托人要求；</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）投标文件格式；</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）投标人须知前附表规定的其他资料。</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根据本章第</w:t>
      </w:r>
      <w:r>
        <w:rPr>
          <w:rFonts w:ascii="宋体" w:hAnsi="宋体"/>
          <w:color w:val="auto"/>
          <w:szCs w:val="21"/>
          <w:highlight w:val="none"/>
        </w:rPr>
        <w:t>1.10</w:t>
      </w:r>
      <w:r>
        <w:rPr>
          <w:rFonts w:hint="eastAsia" w:ascii="宋体" w:hAnsi="宋体"/>
          <w:color w:val="auto"/>
          <w:szCs w:val="21"/>
          <w:highlight w:val="none"/>
        </w:rPr>
        <w:t>款、第</w:t>
      </w:r>
      <w:r>
        <w:rPr>
          <w:rFonts w:ascii="宋体" w:hAnsi="宋体"/>
          <w:color w:val="auto"/>
          <w:szCs w:val="21"/>
          <w:highlight w:val="none"/>
        </w:rPr>
        <w:t>2.2</w:t>
      </w:r>
      <w:r>
        <w:rPr>
          <w:rFonts w:hint="eastAsia" w:ascii="宋体" w:hAnsi="宋体"/>
          <w:color w:val="auto"/>
          <w:szCs w:val="21"/>
          <w:highlight w:val="none"/>
        </w:rPr>
        <w:t>款和第</w:t>
      </w:r>
      <w:r>
        <w:rPr>
          <w:rFonts w:ascii="宋体" w:hAnsi="宋体"/>
          <w:color w:val="auto"/>
          <w:szCs w:val="21"/>
          <w:highlight w:val="none"/>
        </w:rPr>
        <w:t>2.3</w:t>
      </w:r>
      <w:r>
        <w:rPr>
          <w:rFonts w:hint="eastAsia" w:ascii="宋体" w:hAnsi="宋体"/>
          <w:color w:val="auto"/>
          <w:szCs w:val="21"/>
          <w:highlight w:val="none"/>
        </w:rPr>
        <w:t>款对招标文件所作的澄清、修改，构成招标文件的组成部分。</w:t>
      </w:r>
    </w:p>
    <w:p>
      <w:pPr>
        <w:pStyle w:val="9"/>
        <w:spacing w:line="360" w:lineRule="auto"/>
        <w:rPr>
          <w:rFonts w:ascii="宋体" w:hAnsi="宋体"/>
          <w:color w:val="auto"/>
          <w:highlight w:val="none"/>
        </w:rPr>
      </w:pPr>
      <w:r>
        <w:rPr>
          <w:rFonts w:ascii="宋体" w:hAnsi="宋体"/>
          <w:color w:val="auto"/>
          <w:highlight w:val="none"/>
        </w:rPr>
        <w:t xml:space="preserve">2.2 </w:t>
      </w:r>
      <w:r>
        <w:rPr>
          <w:rFonts w:hint="eastAsia" w:ascii="宋体" w:hAnsi="宋体"/>
          <w:color w:val="auto"/>
          <w:highlight w:val="none"/>
        </w:rPr>
        <w:t>招标文件的澄清</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招标文件的澄清以投标人须知前附表规定的形式发给所有潜在投标人，但不指明澄清问题的来源。澄清发出的时间距本章第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日的，并且澄清内容可能影响投标文件编制的，将相应延长投标截止时间。</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2.2.3 </w:t>
      </w:r>
      <w:r>
        <w:rPr>
          <w:rFonts w:hint="eastAsia" w:ascii="宋体" w:hAnsi="宋体"/>
          <w:color w:val="auto"/>
          <w:szCs w:val="21"/>
          <w:highlight w:val="none"/>
        </w:rPr>
        <w:t>投标人在收到澄清后，应按投标人须知前附表规定的时间和形式通知</w:t>
      </w:r>
      <w:r>
        <w:rPr>
          <w:rFonts w:hint="eastAsia" w:ascii="宋体" w:hAnsi="宋体"/>
          <w:color w:val="auto"/>
          <w:sz w:val="24"/>
          <w:szCs w:val="24"/>
          <w:highlight w:val="none"/>
        </w:rPr>
        <w:t>招标人，</w:t>
      </w:r>
      <w:r>
        <w:rPr>
          <w:rFonts w:hint="eastAsia" w:ascii="宋体" w:hAnsi="宋体"/>
          <w:color w:val="auto"/>
          <w:szCs w:val="21"/>
          <w:highlight w:val="none"/>
        </w:rPr>
        <w:t>确认已收到该澄清。</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除非招标人认为确有必要答复，否则，招标人有权拒绝回复投标人在本章第</w:t>
      </w:r>
      <w:r>
        <w:rPr>
          <w:rFonts w:ascii="宋体" w:hAnsi="宋体"/>
          <w:color w:val="auto"/>
          <w:szCs w:val="21"/>
          <w:highlight w:val="none"/>
        </w:rPr>
        <w:t>2.2.1</w:t>
      </w:r>
      <w:r>
        <w:rPr>
          <w:rFonts w:hint="eastAsia" w:ascii="宋体" w:hAnsi="宋体"/>
          <w:color w:val="auto"/>
          <w:szCs w:val="21"/>
          <w:highlight w:val="none"/>
        </w:rPr>
        <w:t>项规定的时间后的任何澄清要求。</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58" w:name="bookmark36"/>
      <w:bookmarkEnd w:id="58"/>
      <w:r>
        <w:rPr>
          <w:rFonts w:ascii="宋体" w:hAnsi="宋体"/>
          <w:color w:val="auto"/>
          <w:highlight w:val="none"/>
        </w:rPr>
        <w:t xml:space="preserve">2.3 </w:t>
      </w:r>
      <w:r>
        <w:rPr>
          <w:rFonts w:hint="eastAsia" w:ascii="宋体" w:hAnsi="宋体"/>
          <w:color w:val="auto"/>
          <w:highlight w:val="none"/>
        </w:rPr>
        <w:t>招标文件的修改</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2.3.1</w:t>
      </w:r>
      <w:r>
        <w:rPr>
          <w:rFonts w:hint="eastAsia" w:ascii="宋体" w:hAnsi="宋体"/>
          <w:color w:val="auto"/>
          <w:szCs w:val="21"/>
          <w:highlight w:val="none"/>
        </w:rPr>
        <w:t>招标人以投标人须知前附表规定的形式修改招标文件，并通知所有潜在投标人。修改招标文件的时间距本章第</w:t>
      </w:r>
      <w:r>
        <w:rPr>
          <w:rFonts w:ascii="宋体" w:hAnsi="宋体"/>
          <w:color w:val="auto"/>
          <w:szCs w:val="21"/>
          <w:highlight w:val="none"/>
        </w:rPr>
        <w:t>4.2.1</w:t>
      </w:r>
      <w:r>
        <w:rPr>
          <w:rFonts w:hint="eastAsia" w:ascii="宋体" w:hAnsi="宋体"/>
          <w:color w:val="auto"/>
          <w:szCs w:val="21"/>
          <w:highlight w:val="none"/>
        </w:rPr>
        <w:t>项规定的投标截止时间不足</w:t>
      </w:r>
      <w:r>
        <w:rPr>
          <w:rFonts w:ascii="宋体" w:hAnsi="宋体"/>
          <w:color w:val="auto"/>
          <w:szCs w:val="21"/>
          <w:highlight w:val="none"/>
        </w:rPr>
        <w:t>15</w:t>
      </w:r>
      <w:r>
        <w:rPr>
          <w:rFonts w:hint="eastAsia" w:ascii="宋体" w:hAnsi="宋体"/>
          <w:color w:val="auto"/>
          <w:szCs w:val="21"/>
          <w:highlight w:val="none"/>
        </w:rPr>
        <w:t>日的，并且修改内容可能影响投标文件编制的，将相应延长投标截止时间。</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2.3.2</w:t>
      </w:r>
      <w:r>
        <w:rPr>
          <w:rFonts w:hint="eastAsia" w:ascii="宋体" w:hAnsi="宋体"/>
          <w:color w:val="auto"/>
          <w:szCs w:val="21"/>
          <w:highlight w:val="none"/>
        </w:rPr>
        <w:t>投标人收到修改内容后，应按投标人须知前附表规定的时间和形式通知招标人，确认已收到该修改。</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59" w:name="bookmark37"/>
      <w:bookmarkEnd w:id="59"/>
      <w:r>
        <w:rPr>
          <w:rFonts w:ascii="宋体" w:hAnsi="宋体"/>
          <w:color w:val="auto"/>
          <w:highlight w:val="none"/>
        </w:rPr>
        <w:t xml:space="preserve">2.4 </w:t>
      </w:r>
      <w:r>
        <w:rPr>
          <w:rFonts w:hint="eastAsia" w:ascii="宋体" w:hAnsi="宋体"/>
          <w:color w:val="auto"/>
          <w:highlight w:val="none"/>
        </w:rPr>
        <w:t>招标文件的异议</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投标人或者其他利害关系人对招标文件有异议的，应当在投标截止时间</w:t>
      </w:r>
      <w:r>
        <w:rPr>
          <w:rFonts w:ascii="宋体" w:hAnsi="宋体"/>
          <w:color w:val="auto"/>
          <w:szCs w:val="21"/>
          <w:highlight w:val="none"/>
        </w:rPr>
        <w:t>10</w:t>
      </w:r>
      <w:r>
        <w:rPr>
          <w:rFonts w:hint="eastAsia" w:ascii="宋体" w:hAnsi="宋体"/>
          <w:color w:val="auto"/>
          <w:szCs w:val="21"/>
          <w:highlight w:val="none"/>
        </w:rPr>
        <w:t>日前以书面形式提出。招标人将在收到异议之日起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60" w:name="_Toc16104"/>
      <w:bookmarkStart w:id="61" w:name="_Toc533357310"/>
      <w:bookmarkStart w:id="62" w:name="_Toc17826"/>
      <w:r>
        <w:rPr>
          <w:color w:val="auto"/>
          <w:highlight w:val="none"/>
        </w:rPr>
        <w:t xml:space="preserve">3. </w:t>
      </w:r>
      <w:r>
        <w:rPr>
          <w:rFonts w:hint="eastAsia"/>
          <w:color w:val="auto"/>
          <w:highlight w:val="none"/>
        </w:rPr>
        <w:t>投标文件</w:t>
      </w:r>
      <w:bookmarkEnd w:id="60"/>
      <w:bookmarkEnd w:id="61"/>
      <w:bookmarkEnd w:id="62"/>
    </w:p>
    <w:p>
      <w:pPr>
        <w:pStyle w:val="9"/>
        <w:spacing w:line="360" w:lineRule="auto"/>
        <w:ind w:firstLine="420"/>
        <w:rPr>
          <w:rFonts w:ascii="宋体" w:hAnsi="宋体"/>
          <w:color w:val="auto"/>
          <w:highlight w:val="none"/>
        </w:rPr>
      </w:pPr>
      <w:bookmarkStart w:id="63" w:name="bookmark39"/>
      <w:bookmarkEnd w:id="63"/>
      <w:r>
        <w:rPr>
          <w:rFonts w:ascii="宋体" w:hAnsi="宋体"/>
          <w:color w:val="auto"/>
          <w:highlight w:val="none"/>
        </w:rPr>
        <w:t xml:space="preserve">3.1 </w:t>
      </w:r>
      <w:r>
        <w:rPr>
          <w:rFonts w:hint="eastAsia" w:ascii="宋体" w:hAnsi="宋体"/>
          <w:color w:val="auto"/>
          <w:highlight w:val="none"/>
        </w:rPr>
        <w:t>投标文件的组成</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投标文件应包括下列内容：</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（1）投标函及其附表；</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（2）法定代表人证明书及授权委托书；</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（3）投标保证金；</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（4）投标报价书；</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（5）资格审查资料；</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（6）类似项目情况表；</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（7）拟投入本项目的检测人员一览表；</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（8）拟投入本项目的检测人员简历表；</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（9）拟投入本项目的主要仪器设备一览表；</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（10）检测方案；</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（11）其他资料。投标人须知前附表规定的其他资料，投标人认为有必要提交的其他资料。投标人在评标过程中作出的符合法律法规和招标文件规定的澄清确认，构成投标文件的组成部分。</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投标人须知前附表规定不接受联合体投标的，或投标人没有组成联合体的，投标文件不包括本章第</w:t>
      </w:r>
      <w:r>
        <w:rPr>
          <w:rFonts w:ascii="宋体" w:hAnsi="宋体"/>
          <w:color w:val="auto"/>
          <w:szCs w:val="21"/>
          <w:highlight w:val="none"/>
        </w:rPr>
        <w:t>3.1.1</w:t>
      </w:r>
      <w:r>
        <w:rPr>
          <w:rFonts w:hint="eastAsia" w:ascii="宋体" w:hAnsi="宋体"/>
          <w:color w:val="auto"/>
          <w:szCs w:val="21"/>
          <w:highlight w:val="none"/>
        </w:rPr>
        <w:t>所指的联合体协议书。</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投标人须知前附表未要求提交投标保证金的，投标文件不包括本章第</w:t>
      </w:r>
      <w:r>
        <w:rPr>
          <w:rFonts w:ascii="宋体" w:hAnsi="宋体"/>
          <w:color w:val="auto"/>
          <w:szCs w:val="21"/>
          <w:highlight w:val="none"/>
        </w:rPr>
        <w:t>3.1.1</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）所指的投标保证金。</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64" w:name="bookmark40"/>
      <w:bookmarkEnd w:id="64"/>
      <w:r>
        <w:rPr>
          <w:rFonts w:ascii="宋体" w:hAnsi="宋体"/>
          <w:color w:val="auto"/>
          <w:highlight w:val="none"/>
        </w:rPr>
        <w:t xml:space="preserve">3.2 </w:t>
      </w:r>
      <w:r>
        <w:rPr>
          <w:rFonts w:hint="eastAsia" w:ascii="宋体" w:hAnsi="宋体"/>
          <w:color w:val="auto"/>
          <w:highlight w:val="none"/>
        </w:rPr>
        <w:t>投标报价</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投标报价应包括国家规定的增值税税金，除投标人须知前附表另有规定外，增值税税金按一般计税方法计算。投标人应按第六章“投标文件格式”的要求在投标函中进行报价并填写报价书。</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投标人应充分了解该项目的总体情况以及影响投标报价的其他要素。</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3.2.3</w:t>
      </w:r>
      <w:r>
        <w:rPr>
          <w:rFonts w:hint="eastAsia" w:ascii="宋体" w:hAnsi="宋体"/>
          <w:color w:val="auto"/>
          <w:szCs w:val="21"/>
          <w:highlight w:val="none"/>
        </w:rPr>
        <w:t>本项目的报价方式见投标人须知前附表。投标人在投标截止时间前修改投标函中的投标报价总额，应同时修改投标文件“报价书”中的相应报价。此修改须符合本章第</w:t>
      </w:r>
      <w:r>
        <w:rPr>
          <w:rFonts w:ascii="宋体" w:hAnsi="宋体"/>
          <w:color w:val="auto"/>
          <w:szCs w:val="21"/>
          <w:highlight w:val="none"/>
        </w:rPr>
        <w:t>4.3</w:t>
      </w:r>
      <w:r>
        <w:rPr>
          <w:rFonts w:hint="eastAsia" w:ascii="宋体" w:hAnsi="宋体"/>
          <w:color w:val="auto"/>
          <w:szCs w:val="21"/>
          <w:highlight w:val="none"/>
        </w:rPr>
        <w:t>款的有关要求。</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招标人设有最高投标限价的，投标人的投标报价不得超过最高投标限价，最高投标限价在投标人须知前附表中载明。</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3.2.5</w:t>
      </w:r>
      <w:r>
        <w:rPr>
          <w:rFonts w:hint="eastAsia" w:ascii="宋体" w:hAnsi="宋体"/>
          <w:color w:val="auto"/>
          <w:szCs w:val="21"/>
          <w:highlight w:val="none"/>
        </w:rPr>
        <w:t>投标报价的其他要求见投标人须知前附表。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65" w:name="bookmark41"/>
      <w:bookmarkEnd w:id="65"/>
      <w:r>
        <w:rPr>
          <w:rFonts w:ascii="宋体" w:hAnsi="宋体"/>
          <w:color w:val="auto"/>
          <w:highlight w:val="none"/>
        </w:rPr>
        <w:t xml:space="preserve">3.3 </w:t>
      </w:r>
      <w:r>
        <w:rPr>
          <w:rFonts w:hint="eastAsia" w:ascii="宋体" w:hAnsi="宋体"/>
          <w:color w:val="auto"/>
          <w:highlight w:val="none"/>
        </w:rPr>
        <w:t>投标有效期</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除投标人须知前附表另有规定外，投标有效期为</w:t>
      </w:r>
      <w:r>
        <w:rPr>
          <w:rFonts w:ascii="宋体" w:hAnsi="宋体"/>
          <w:color w:val="auto"/>
          <w:szCs w:val="21"/>
          <w:highlight w:val="none"/>
        </w:rPr>
        <w:t>90</w:t>
      </w:r>
      <w:r>
        <w:rPr>
          <w:rFonts w:hint="eastAsia" w:ascii="宋体" w:hAnsi="宋体"/>
          <w:color w:val="auto"/>
          <w:szCs w:val="21"/>
          <w:highlight w:val="none"/>
        </w:rPr>
        <w:t>天。</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在投标有效期内，投标人撤销投标文件的，应承担招标文件和法律规定的责任。</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66" w:name="bookmark42"/>
      <w:bookmarkEnd w:id="66"/>
      <w:r>
        <w:rPr>
          <w:rFonts w:ascii="宋体" w:hAnsi="宋体"/>
          <w:color w:val="auto"/>
          <w:highlight w:val="none"/>
        </w:rPr>
        <w:t xml:space="preserve">3.4 </w:t>
      </w:r>
      <w:r>
        <w:rPr>
          <w:rFonts w:hint="eastAsia" w:ascii="宋体" w:hAnsi="宋体"/>
          <w:color w:val="auto"/>
          <w:highlight w:val="none"/>
        </w:rPr>
        <w:t>投标保证金</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投标人不按本章第</w:t>
      </w:r>
      <w:r>
        <w:rPr>
          <w:rFonts w:ascii="宋体" w:hAnsi="宋体"/>
          <w:color w:val="auto"/>
          <w:szCs w:val="21"/>
          <w:highlight w:val="none"/>
        </w:rPr>
        <w:t>3.4.1</w:t>
      </w:r>
      <w:r>
        <w:rPr>
          <w:rFonts w:hint="eastAsia" w:ascii="宋体" w:hAnsi="宋体"/>
          <w:color w:val="auto"/>
          <w:szCs w:val="21"/>
          <w:highlight w:val="none"/>
        </w:rPr>
        <w:t>项要求提交投标保证金的，评标委员会将否决其投标。</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3.4.3</w:t>
      </w:r>
      <w:r>
        <w:rPr>
          <w:rFonts w:hint="eastAsia" w:ascii="宋体" w:hAnsi="宋体"/>
          <w:color w:val="auto"/>
          <w:szCs w:val="21"/>
          <w:highlight w:val="none"/>
        </w:rPr>
        <w:t>招标人最迟将在与中标人签订合同后</w:t>
      </w:r>
      <w:r>
        <w:rPr>
          <w:rFonts w:ascii="宋体" w:hAnsi="宋体"/>
          <w:color w:val="auto"/>
          <w:szCs w:val="21"/>
          <w:highlight w:val="none"/>
        </w:rPr>
        <w:t>5</w:t>
      </w:r>
      <w:r>
        <w:rPr>
          <w:rFonts w:hint="eastAsia" w:ascii="宋体" w:hAnsi="宋体"/>
          <w:color w:val="auto"/>
          <w:szCs w:val="21"/>
          <w:highlight w:val="none"/>
        </w:rPr>
        <w:t>日内，向未中标的投标人和中标人退还投标保证金。投标保证金以现金或者支票形式递交的，还应退还银行同期存款利息。</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3.4.4</w:t>
      </w:r>
      <w:r>
        <w:rPr>
          <w:rFonts w:hint="eastAsia" w:ascii="宋体" w:hAnsi="宋体"/>
          <w:color w:val="auto"/>
          <w:szCs w:val="21"/>
          <w:highlight w:val="none"/>
        </w:rPr>
        <w:t>有下列情形之一的，投标保证金将不予退还：</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）投标人在投标有效期内撤销投标文件或放弃中标资格的；</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）中标人在收到中标通知书后，无正当理由不与招标人订立合同，在签订合同时向招标人提出附加条件；</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（3）投标人弄虚作假骗取中标的；</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（4）发生投标人须知前附表规定的其他可以不予退还投标保证金的情形。</w:t>
      </w:r>
    </w:p>
    <w:p>
      <w:pPr>
        <w:pStyle w:val="16"/>
        <w:kinsoku w:val="0"/>
        <w:overflowPunct w:val="0"/>
        <w:spacing w:line="360" w:lineRule="auto"/>
        <w:ind w:firstLine="420" w:firstLineChars="200"/>
        <w:rPr>
          <w:rFonts w:ascii="宋体" w:hAnsi="宋体"/>
          <w:color w:val="auto"/>
          <w:szCs w:val="21"/>
          <w:highlight w:val="none"/>
        </w:rPr>
      </w:pPr>
      <w:bookmarkStart w:id="67" w:name="bookmark43"/>
      <w:bookmarkEnd w:id="67"/>
    </w:p>
    <w:p>
      <w:pPr>
        <w:pStyle w:val="9"/>
        <w:spacing w:line="360" w:lineRule="auto"/>
        <w:rPr>
          <w:rFonts w:ascii="宋体" w:hAnsi="宋体"/>
          <w:color w:val="auto"/>
          <w:highlight w:val="none"/>
        </w:rPr>
      </w:pPr>
      <w:bookmarkStart w:id="68" w:name="bookmark44"/>
      <w:bookmarkEnd w:id="68"/>
      <w:r>
        <w:rPr>
          <w:rFonts w:ascii="宋体" w:hAnsi="宋体"/>
          <w:color w:val="auto"/>
          <w:highlight w:val="none"/>
        </w:rPr>
        <w:t xml:space="preserve">3.5 </w:t>
      </w:r>
      <w:r>
        <w:rPr>
          <w:rFonts w:hint="eastAsia" w:ascii="宋体" w:hAnsi="宋体"/>
          <w:color w:val="auto"/>
          <w:highlight w:val="none"/>
        </w:rPr>
        <w:t>资格审查资料</w:t>
      </w:r>
    </w:p>
    <w:p>
      <w:pPr>
        <w:pStyle w:val="16"/>
        <w:kinsoku w:val="0"/>
        <w:overflowPunct w:val="0"/>
        <w:spacing w:line="360" w:lineRule="auto"/>
        <w:ind w:firstLine="420" w:firstLineChars="200"/>
        <w:rPr>
          <w:rFonts w:ascii="宋体" w:hAnsi="宋体"/>
          <w:color w:val="auto"/>
          <w:szCs w:val="21"/>
          <w:highlight w:val="none"/>
        </w:rPr>
      </w:pPr>
      <w:bookmarkStart w:id="69" w:name="bookmark45"/>
      <w:bookmarkEnd w:id="69"/>
      <w:r>
        <w:rPr>
          <w:rFonts w:hint="eastAsia" w:ascii="宋体" w:hAnsi="宋体"/>
          <w:color w:val="auto"/>
          <w:szCs w:val="21"/>
          <w:highlight w:val="none"/>
        </w:rPr>
        <w:t>除投标人须知前附表另有规定外，投标人应按下列规定提供资格审查资料，以证明其满足本章第</w:t>
      </w:r>
      <w:r>
        <w:rPr>
          <w:rFonts w:ascii="宋体" w:hAnsi="宋体"/>
          <w:color w:val="auto"/>
          <w:szCs w:val="21"/>
          <w:highlight w:val="none"/>
        </w:rPr>
        <w:t>1.4</w:t>
      </w:r>
      <w:r>
        <w:rPr>
          <w:rFonts w:hint="eastAsia" w:ascii="宋体" w:hAnsi="宋体"/>
          <w:color w:val="auto"/>
          <w:szCs w:val="21"/>
          <w:highlight w:val="none"/>
        </w:rPr>
        <w:t>款规定的资质、财务、业绩、信誉等要求。</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3.5.1</w:t>
      </w:r>
      <w:r>
        <w:rPr>
          <w:rFonts w:hint="eastAsia" w:ascii="宋体" w:hAnsi="宋体"/>
          <w:color w:val="auto"/>
          <w:szCs w:val="21"/>
          <w:highlight w:val="none"/>
        </w:rPr>
        <w:t>“投标人基本情况表”应附检测投标单位的营业执照副本或事业单位法人证书副本、建设行政主管部门颁发的建设工程质量检测机构资质证书、</w:t>
      </w:r>
      <w:r>
        <w:rPr>
          <w:rFonts w:ascii="宋体" w:hAnsi="宋体"/>
          <w:color w:val="auto"/>
          <w:szCs w:val="21"/>
          <w:highlight w:val="none"/>
        </w:rPr>
        <w:t>CMA</w:t>
      </w:r>
      <w:r>
        <w:rPr>
          <w:rFonts w:hint="eastAsia" w:ascii="宋体" w:hAnsi="宋体"/>
          <w:color w:val="auto"/>
          <w:szCs w:val="21"/>
          <w:highlight w:val="none"/>
        </w:rPr>
        <w:t>计量认证合格证书以及其他相关资料。</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3.5.2其他满足本章第</w:t>
      </w:r>
      <w:r>
        <w:rPr>
          <w:rFonts w:ascii="宋体" w:hAnsi="宋体"/>
          <w:color w:val="auto"/>
          <w:szCs w:val="21"/>
          <w:highlight w:val="none"/>
        </w:rPr>
        <w:t>1.4.1</w:t>
      </w:r>
      <w:r>
        <w:rPr>
          <w:rFonts w:hint="eastAsia" w:ascii="宋体" w:hAnsi="宋体"/>
          <w:color w:val="auto"/>
          <w:szCs w:val="21"/>
          <w:highlight w:val="none"/>
        </w:rPr>
        <w:t>项规定的要求的相关资料。</w:t>
      </w:r>
    </w:p>
    <w:p>
      <w:pPr>
        <w:spacing w:line="360" w:lineRule="auto"/>
        <w:rPr>
          <w:rFonts w:ascii="宋体" w:hAnsi="宋体"/>
          <w:color w:val="auto"/>
          <w:highlight w:val="none"/>
        </w:rPr>
      </w:pPr>
    </w:p>
    <w:p>
      <w:pPr>
        <w:pStyle w:val="9"/>
        <w:spacing w:line="360" w:lineRule="auto"/>
        <w:rPr>
          <w:rFonts w:ascii="宋体" w:hAnsi="宋体"/>
          <w:color w:val="auto"/>
          <w:highlight w:val="none"/>
        </w:rPr>
      </w:pPr>
      <w:r>
        <w:rPr>
          <w:rFonts w:ascii="宋体" w:hAnsi="宋体"/>
          <w:color w:val="auto"/>
          <w:highlight w:val="none"/>
        </w:rPr>
        <w:t xml:space="preserve">3.6 </w:t>
      </w:r>
      <w:r>
        <w:rPr>
          <w:rFonts w:hint="eastAsia" w:ascii="宋体" w:hAnsi="宋体"/>
          <w:color w:val="auto"/>
          <w:highlight w:val="none"/>
        </w:rPr>
        <w:t>备选投标方案</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3.6.1</w:t>
      </w:r>
      <w:r>
        <w:rPr>
          <w:rFonts w:hint="eastAsia" w:ascii="宋体" w:hAnsi="宋体"/>
          <w:color w:val="auto"/>
          <w:szCs w:val="21"/>
          <w:highlight w:val="none"/>
        </w:rPr>
        <w:t>除投标人须知前附表规定允许外，投标人不得递交备选投标方案，否则其投标将被否决。</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3.6.2</w:t>
      </w:r>
      <w:r>
        <w:rPr>
          <w:rFonts w:hint="eastAsia" w:ascii="宋体" w:hAnsi="宋体"/>
          <w:color w:val="auto"/>
          <w:szCs w:val="21"/>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3.6.3</w:t>
      </w:r>
      <w:r>
        <w:rPr>
          <w:rFonts w:hint="eastAsia" w:ascii="宋体" w:hAnsi="宋体"/>
          <w:color w:val="auto"/>
          <w:szCs w:val="21"/>
          <w:highlight w:val="none"/>
        </w:rPr>
        <w:t>投标人提供两个或两个以上投标报价，或者在投标文件中提供一个报价，但同时提供两个或两个以上服务方案的，视为提供备选方案。</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70" w:name="bookmark46"/>
      <w:bookmarkEnd w:id="70"/>
      <w:r>
        <w:rPr>
          <w:rFonts w:ascii="宋体" w:hAnsi="宋体"/>
          <w:color w:val="auto"/>
          <w:highlight w:val="none"/>
        </w:rPr>
        <w:t xml:space="preserve">3.7 </w:t>
      </w:r>
      <w:r>
        <w:rPr>
          <w:rFonts w:hint="eastAsia" w:ascii="宋体" w:hAnsi="宋体"/>
          <w:color w:val="auto"/>
          <w:highlight w:val="none"/>
        </w:rPr>
        <w:t>投标文件的编制</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3.7.1</w:t>
      </w:r>
      <w:r>
        <w:rPr>
          <w:rFonts w:hint="eastAsia" w:ascii="宋体" w:hAnsi="宋体"/>
          <w:color w:val="auto"/>
          <w:szCs w:val="21"/>
          <w:highlight w:val="none"/>
        </w:rPr>
        <w:t>投标文件应按第六章“投标文件格式”进行编写，如有必要，可以增加附页，作为投标文件的组成部分。</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3.7.2</w:t>
      </w:r>
      <w:r>
        <w:rPr>
          <w:rFonts w:hint="eastAsia" w:ascii="宋体" w:hAnsi="宋体"/>
          <w:color w:val="auto"/>
          <w:szCs w:val="21"/>
          <w:highlight w:val="none"/>
        </w:rPr>
        <w:t>投标文件应当对招标文件有关服务期限、投标有效期、委托人要求、招标范围等实质性内容作出响应。</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3.7.3</w:t>
      </w:r>
      <w:r>
        <w:rPr>
          <w:rFonts w:hint="eastAsia" w:ascii="宋体" w:hAnsi="宋体"/>
          <w:color w:val="auto"/>
          <w:szCs w:val="21"/>
          <w:highlight w:val="none"/>
        </w:rPr>
        <w:t>投标文件全部采用电子文档，除投标人须知前附表另有规定外，投标文件所附证书证件均为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rPr>
          <w:rFonts w:ascii="宋体" w:hAnsi="宋体"/>
          <w:color w:val="auto"/>
          <w:highlight w:val="none"/>
        </w:rPr>
      </w:pPr>
    </w:p>
    <w:p>
      <w:pPr>
        <w:pStyle w:val="7"/>
        <w:rPr>
          <w:color w:val="auto"/>
          <w:highlight w:val="none"/>
        </w:rPr>
      </w:pPr>
      <w:bookmarkStart w:id="71" w:name="_Toc20061"/>
      <w:bookmarkStart w:id="72" w:name="_Toc533357311"/>
      <w:bookmarkStart w:id="73" w:name="_Toc11568"/>
      <w:r>
        <w:rPr>
          <w:color w:val="auto"/>
          <w:highlight w:val="none"/>
        </w:rPr>
        <w:t xml:space="preserve">4. </w:t>
      </w:r>
      <w:r>
        <w:rPr>
          <w:rFonts w:hint="eastAsia"/>
          <w:color w:val="auto"/>
          <w:highlight w:val="none"/>
        </w:rPr>
        <w:t>投标</w:t>
      </w:r>
      <w:bookmarkEnd w:id="71"/>
      <w:bookmarkEnd w:id="72"/>
      <w:bookmarkEnd w:id="73"/>
    </w:p>
    <w:p>
      <w:pPr>
        <w:pStyle w:val="9"/>
        <w:spacing w:line="360" w:lineRule="auto"/>
        <w:ind w:firstLine="420"/>
        <w:rPr>
          <w:rFonts w:ascii="宋体" w:hAnsi="宋体"/>
          <w:color w:val="auto"/>
          <w:highlight w:val="none"/>
        </w:rPr>
      </w:pPr>
      <w:bookmarkStart w:id="74" w:name="bookmark48"/>
      <w:bookmarkEnd w:id="74"/>
      <w:r>
        <w:rPr>
          <w:rFonts w:ascii="宋体" w:hAnsi="宋体"/>
          <w:color w:val="auto"/>
          <w:highlight w:val="none"/>
        </w:rPr>
        <w:t xml:space="preserve">4.1 </w:t>
      </w:r>
      <w:r>
        <w:rPr>
          <w:rFonts w:hint="eastAsia" w:ascii="宋体" w:hAnsi="宋体"/>
          <w:color w:val="auto"/>
          <w:highlight w:val="none"/>
        </w:rPr>
        <w:t>投标文件的密封和标记</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4.1.1</w:t>
      </w:r>
      <w:r>
        <w:rPr>
          <w:rFonts w:hint="eastAsia" w:ascii="宋体" w:hAnsi="宋体"/>
          <w:color w:val="auto"/>
          <w:szCs w:val="21"/>
          <w:highlight w:val="none"/>
        </w:rPr>
        <w:t>投标人应当按照招标文件和电子招标投标交易平台的要求加密投标文件，具体要求见投标人须知前附表。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4.1.2</w:t>
      </w:r>
      <w:r>
        <w:rPr>
          <w:rFonts w:hint="eastAsia" w:ascii="宋体" w:hAnsi="宋体"/>
          <w:color w:val="auto"/>
          <w:szCs w:val="21"/>
          <w:highlight w:val="none"/>
        </w:rPr>
        <w:t>投标文件封套上应写明的内容见投标人须知前附表。</w:t>
      </w:r>
    </w:p>
    <w:p>
      <w:pPr>
        <w:pStyle w:val="16"/>
        <w:kinsoku w:val="0"/>
        <w:overflowPunct w:val="0"/>
        <w:spacing w:line="360" w:lineRule="auto"/>
        <w:ind w:firstLine="420" w:firstLineChars="200"/>
        <w:rPr>
          <w:rFonts w:ascii="宋体" w:hAnsi="宋体"/>
          <w:strike/>
          <w:color w:val="auto"/>
          <w:szCs w:val="21"/>
          <w:highlight w:val="none"/>
        </w:rPr>
      </w:pPr>
      <w:r>
        <w:rPr>
          <w:rFonts w:ascii="宋体" w:hAnsi="宋体"/>
          <w:strike/>
          <w:color w:val="auto"/>
          <w:szCs w:val="21"/>
          <w:highlight w:val="none"/>
        </w:rPr>
        <w:t>4.1.3</w:t>
      </w:r>
      <w:r>
        <w:rPr>
          <w:rFonts w:hint="eastAsia" w:ascii="宋体" w:hAnsi="宋体"/>
          <w:strike/>
          <w:color w:val="auto"/>
          <w:szCs w:val="21"/>
          <w:highlight w:val="none"/>
        </w:rPr>
        <w:t>未按本章第</w:t>
      </w:r>
      <w:r>
        <w:rPr>
          <w:rFonts w:ascii="宋体" w:hAnsi="宋体"/>
          <w:strike/>
          <w:color w:val="auto"/>
          <w:szCs w:val="21"/>
          <w:highlight w:val="none"/>
        </w:rPr>
        <w:t>4.1.1</w:t>
      </w:r>
      <w:r>
        <w:rPr>
          <w:rFonts w:hint="eastAsia" w:ascii="宋体" w:hAnsi="宋体"/>
          <w:strike/>
          <w:color w:val="auto"/>
          <w:szCs w:val="21"/>
          <w:highlight w:val="none"/>
        </w:rPr>
        <w:t>项要求密封的投标文件，招标人将予以拒收。</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75" w:name="bookmark49"/>
      <w:bookmarkEnd w:id="75"/>
      <w:r>
        <w:rPr>
          <w:rFonts w:ascii="宋体" w:hAnsi="宋体"/>
          <w:color w:val="auto"/>
          <w:highlight w:val="none"/>
        </w:rPr>
        <w:t xml:space="preserve">4.2 </w:t>
      </w:r>
      <w:r>
        <w:rPr>
          <w:rFonts w:hint="eastAsia" w:ascii="宋体" w:hAnsi="宋体"/>
          <w:color w:val="auto"/>
          <w:highlight w:val="none"/>
        </w:rPr>
        <w:t>投标文件的递交</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4.2.1</w:t>
      </w:r>
      <w:r>
        <w:rPr>
          <w:rFonts w:hint="eastAsia" w:ascii="宋体" w:hAnsi="宋体"/>
          <w:color w:val="auto"/>
          <w:szCs w:val="21"/>
          <w:highlight w:val="none"/>
        </w:rPr>
        <w:t>投标人应在投标人须知前附表规定的投标截止时间前递交投标文件。</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4.2.2</w:t>
      </w:r>
      <w:r>
        <w:rPr>
          <w:rFonts w:hint="eastAsia" w:ascii="宋体" w:hAnsi="宋体"/>
          <w:color w:val="auto"/>
          <w:szCs w:val="21"/>
          <w:highlight w:val="none"/>
        </w:rPr>
        <w:t>投标人通过下载招标文件的电子招标投标交易平台递交电子投标文件。</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4.2.3</w:t>
      </w:r>
      <w:r>
        <w:rPr>
          <w:rFonts w:hint="eastAsia" w:ascii="宋体" w:hAnsi="宋体"/>
          <w:color w:val="auto"/>
          <w:szCs w:val="21"/>
          <w:highlight w:val="none"/>
        </w:rPr>
        <w:t>除投标人须知前附表另有规定外，投标人所递交的投标文件不予退还。</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4.2.4</w:t>
      </w:r>
      <w:r>
        <w:rPr>
          <w:rFonts w:hint="eastAsia" w:ascii="宋体" w:hAnsi="宋体"/>
          <w:color w:val="auto"/>
          <w:szCs w:val="21"/>
          <w:highlight w:val="none"/>
        </w:rPr>
        <w:t>投标人完成电子投标文件上传后，电子招标投标交易平台即时向投标人发出递交回执通知。递交时间以递交回执通知载明的传输完成时间为准。</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4.2.5</w:t>
      </w:r>
      <w:r>
        <w:rPr>
          <w:rFonts w:hint="eastAsia" w:ascii="宋体" w:hAnsi="宋体"/>
          <w:color w:val="auto"/>
          <w:szCs w:val="21"/>
          <w:highlight w:val="none"/>
        </w:rPr>
        <w:t>逾期送达的投标文件，电子招标投标交易平台将予以拒收。</w:t>
      </w:r>
      <w:bookmarkStart w:id="76" w:name="bookmark50"/>
      <w:bookmarkEnd w:id="76"/>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r>
        <w:rPr>
          <w:rFonts w:ascii="宋体" w:hAnsi="宋体"/>
          <w:color w:val="auto"/>
          <w:highlight w:val="none"/>
        </w:rPr>
        <w:t xml:space="preserve">4.3 </w:t>
      </w:r>
      <w:r>
        <w:rPr>
          <w:rFonts w:hint="eastAsia" w:ascii="宋体" w:hAnsi="宋体"/>
          <w:color w:val="auto"/>
          <w:highlight w:val="none"/>
        </w:rPr>
        <w:t>投标文件的修改与撤回</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4.3.1</w:t>
      </w:r>
      <w:r>
        <w:rPr>
          <w:rFonts w:hint="eastAsia" w:ascii="宋体" w:hAnsi="宋体"/>
          <w:color w:val="auto"/>
          <w:szCs w:val="21"/>
          <w:highlight w:val="none"/>
        </w:rPr>
        <w:t>在本章第</w:t>
      </w:r>
      <w:r>
        <w:rPr>
          <w:rFonts w:ascii="宋体" w:hAnsi="宋体"/>
          <w:color w:val="auto"/>
          <w:szCs w:val="21"/>
          <w:highlight w:val="none"/>
        </w:rPr>
        <w:t>4.2.1</w:t>
      </w:r>
      <w:r>
        <w:rPr>
          <w:rFonts w:hint="eastAsia" w:ascii="宋体" w:hAnsi="宋体"/>
          <w:color w:val="auto"/>
          <w:szCs w:val="21"/>
          <w:highlight w:val="none"/>
        </w:rPr>
        <w:t>项规定的投标截止时间前，投标人可以修改或撤回已递交的投标文件，但应以书面形式通知招标人。</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4.3.2</w:t>
      </w:r>
      <w:r>
        <w:rPr>
          <w:rFonts w:hint="eastAsia" w:ascii="宋体" w:hAnsi="宋体"/>
          <w:color w:val="auto"/>
          <w:szCs w:val="21"/>
          <w:highlight w:val="none"/>
        </w:rPr>
        <w:t>投标人修改或撤回已递交投标文件的通知，应按照本章第</w:t>
      </w:r>
      <w:r>
        <w:rPr>
          <w:rFonts w:ascii="宋体" w:hAnsi="宋体"/>
          <w:color w:val="auto"/>
          <w:szCs w:val="21"/>
          <w:highlight w:val="none"/>
        </w:rPr>
        <w:t>3.7.3</w:t>
      </w:r>
      <w:r>
        <w:rPr>
          <w:rFonts w:hint="eastAsia" w:ascii="宋体" w:hAnsi="宋体"/>
          <w:color w:val="auto"/>
          <w:szCs w:val="21"/>
          <w:highlight w:val="none"/>
        </w:rPr>
        <w:t>项的要求加盖电子印章。电子招标投标交易平台收到通知后，即时向投标人发出确认回执通知。</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4.3.3</w:t>
      </w:r>
      <w:r>
        <w:rPr>
          <w:rFonts w:hint="eastAsia" w:ascii="宋体" w:hAnsi="宋体"/>
          <w:color w:val="auto"/>
          <w:szCs w:val="21"/>
          <w:highlight w:val="none"/>
        </w:rPr>
        <w:t>投标人撤回投标文件的，招标人自收到投标人书面撤回通知之日起</w:t>
      </w:r>
      <w:r>
        <w:rPr>
          <w:rFonts w:ascii="宋体" w:hAnsi="宋体"/>
          <w:color w:val="auto"/>
          <w:szCs w:val="21"/>
          <w:highlight w:val="none"/>
        </w:rPr>
        <w:t>5</w:t>
      </w:r>
      <w:r>
        <w:rPr>
          <w:rFonts w:hint="eastAsia" w:ascii="宋体" w:hAnsi="宋体"/>
          <w:color w:val="auto"/>
          <w:szCs w:val="21"/>
          <w:highlight w:val="none"/>
        </w:rPr>
        <w:t>日内退还已收取的投标保证金。</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4.3.4</w:t>
      </w:r>
      <w:r>
        <w:rPr>
          <w:rFonts w:hint="eastAsia" w:ascii="宋体" w:hAnsi="宋体"/>
          <w:color w:val="auto"/>
          <w:szCs w:val="21"/>
          <w:highlight w:val="none"/>
        </w:rPr>
        <w:t>修改的内容为投标文件的组成部分。修改的投标文件应按照本章第</w:t>
      </w:r>
      <w:r>
        <w:rPr>
          <w:rFonts w:ascii="宋体" w:hAnsi="宋体"/>
          <w:color w:val="auto"/>
          <w:szCs w:val="21"/>
          <w:highlight w:val="none"/>
        </w:rPr>
        <w:t>3</w:t>
      </w:r>
      <w:r>
        <w:rPr>
          <w:rFonts w:hint="eastAsia" w:ascii="宋体" w:hAnsi="宋体"/>
          <w:color w:val="auto"/>
          <w:szCs w:val="21"/>
          <w:highlight w:val="none"/>
        </w:rPr>
        <w:t>条、第</w:t>
      </w:r>
      <w:r>
        <w:rPr>
          <w:rFonts w:ascii="宋体" w:hAnsi="宋体"/>
          <w:color w:val="auto"/>
          <w:szCs w:val="21"/>
          <w:highlight w:val="none"/>
        </w:rPr>
        <w:t>4</w:t>
      </w:r>
      <w:r>
        <w:rPr>
          <w:rFonts w:hint="eastAsia" w:ascii="宋体" w:hAnsi="宋体"/>
          <w:color w:val="auto"/>
          <w:szCs w:val="21"/>
          <w:highlight w:val="none"/>
        </w:rPr>
        <w:t>条的规定进行编制、密封、标记和递交，并标明“修改”字样。</w:t>
      </w:r>
    </w:p>
    <w:p>
      <w:pPr>
        <w:pStyle w:val="7"/>
        <w:rPr>
          <w:color w:val="auto"/>
          <w:highlight w:val="none"/>
        </w:rPr>
      </w:pPr>
      <w:bookmarkStart w:id="77" w:name="_Toc11991"/>
      <w:bookmarkStart w:id="78" w:name="_Toc30426"/>
      <w:bookmarkStart w:id="79" w:name="_Toc533357312"/>
    </w:p>
    <w:p>
      <w:pPr>
        <w:pStyle w:val="7"/>
        <w:rPr>
          <w:color w:val="auto"/>
          <w:highlight w:val="none"/>
        </w:rPr>
      </w:pPr>
      <w:r>
        <w:rPr>
          <w:color w:val="auto"/>
          <w:highlight w:val="none"/>
        </w:rPr>
        <w:t xml:space="preserve">5. </w:t>
      </w:r>
      <w:r>
        <w:rPr>
          <w:rFonts w:hint="eastAsia"/>
          <w:color w:val="auto"/>
          <w:highlight w:val="none"/>
        </w:rPr>
        <w:t>开标</w:t>
      </w:r>
      <w:bookmarkEnd w:id="77"/>
      <w:bookmarkEnd w:id="78"/>
      <w:bookmarkEnd w:id="79"/>
    </w:p>
    <w:p>
      <w:pPr>
        <w:pStyle w:val="9"/>
        <w:spacing w:line="360" w:lineRule="auto"/>
        <w:ind w:firstLine="420"/>
        <w:rPr>
          <w:rFonts w:ascii="宋体" w:hAnsi="宋体"/>
          <w:color w:val="auto"/>
          <w:highlight w:val="none"/>
        </w:rPr>
      </w:pPr>
      <w:bookmarkStart w:id="80" w:name="bookmark53"/>
      <w:bookmarkEnd w:id="80"/>
      <w:bookmarkStart w:id="81" w:name="bookmark52"/>
      <w:bookmarkEnd w:id="81"/>
      <w:r>
        <w:rPr>
          <w:rFonts w:ascii="宋体" w:hAnsi="宋体"/>
          <w:color w:val="auto"/>
          <w:highlight w:val="none"/>
        </w:rPr>
        <w:t xml:space="preserve">5.1 </w:t>
      </w:r>
      <w:r>
        <w:rPr>
          <w:rFonts w:hint="eastAsia" w:ascii="宋体" w:hAnsi="宋体"/>
          <w:color w:val="auto"/>
          <w:highlight w:val="none"/>
        </w:rPr>
        <w:t>开标时间和地点</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招标人在本章第</w:t>
      </w:r>
      <w:r>
        <w:rPr>
          <w:rFonts w:ascii="宋体" w:hAnsi="宋体"/>
          <w:color w:val="auto"/>
          <w:szCs w:val="21"/>
          <w:highlight w:val="none"/>
        </w:rPr>
        <w:t>4.2.1</w:t>
      </w:r>
      <w:r>
        <w:rPr>
          <w:rFonts w:hint="eastAsia" w:ascii="宋体" w:hAnsi="宋体"/>
          <w:color w:val="auto"/>
          <w:szCs w:val="21"/>
          <w:highlight w:val="none"/>
        </w:rPr>
        <w:t>项规定的投标截止时间（开标时间）</w:t>
      </w:r>
      <w:r>
        <w:rPr>
          <w:rFonts w:ascii="宋体" w:hAnsi="宋体"/>
          <w:color w:val="auto"/>
          <w:szCs w:val="21"/>
          <w:highlight w:val="none"/>
        </w:rPr>
        <w:t>,</w:t>
      </w:r>
      <w:r>
        <w:rPr>
          <w:rFonts w:hint="eastAsia" w:ascii="宋体" w:hAnsi="宋体"/>
          <w:color w:val="auto"/>
          <w:szCs w:val="21"/>
          <w:highlight w:val="none"/>
        </w:rPr>
        <w:t>通过电子招标投标交易平台公开开标。开标时，投标人代表有权出席开标会，也可以自主决定不参加开标会。</w:t>
      </w:r>
    </w:p>
    <w:p>
      <w:pPr>
        <w:spacing w:line="360" w:lineRule="auto"/>
        <w:rPr>
          <w:rFonts w:ascii="宋体" w:hAnsi="宋体"/>
          <w:color w:val="auto"/>
          <w:highlight w:val="none"/>
        </w:rPr>
      </w:pPr>
    </w:p>
    <w:p>
      <w:pPr>
        <w:pStyle w:val="9"/>
        <w:spacing w:line="360" w:lineRule="auto"/>
        <w:rPr>
          <w:rFonts w:ascii="宋体" w:hAnsi="宋体"/>
          <w:color w:val="auto"/>
          <w:highlight w:val="none"/>
        </w:rPr>
      </w:pPr>
      <w:bookmarkStart w:id="82" w:name="bookmark54"/>
      <w:bookmarkEnd w:id="82"/>
      <w:r>
        <w:rPr>
          <w:rFonts w:ascii="宋体" w:hAnsi="宋体"/>
          <w:color w:val="auto"/>
          <w:highlight w:val="none"/>
        </w:rPr>
        <w:t xml:space="preserve">5.2 </w:t>
      </w:r>
      <w:r>
        <w:rPr>
          <w:rFonts w:hint="eastAsia" w:ascii="宋体" w:hAnsi="宋体"/>
          <w:color w:val="auto"/>
          <w:highlight w:val="none"/>
        </w:rPr>
        <w:t>开标程序</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5.2.1</w:t>
      </w:r>
      <w:r>
        <w:rPr>
          <w:rFonts w:hint="eastAsia" w:ascii="宋体" w:hAnsi="宋体"/>
          <w:color w:val="auto"/>
          <w:szCs w:val="21"/>
          <w:highlight w:val="none"/>
        </w:rPr>
        <w:t>主持人按下列程序进行开标：</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）宣布开标纪律；</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）公布在投标截止时间前递交投标文件的投标人名称；</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）宣布开标人、唱标人、记录人、监标人等有关人员姓名；</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）投标人通过电子招标投标交易平台对已递交的电子投标文件进行解密，公布招标项目名称、投标人名称、投标保证金的递交情况、投标报价及其他内容，并记录在案；</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）投标人代表、招标人代表、监标人、记录人等有关人员在开标记录上签字确认；若有关人员不签字的，不影响开标程序；</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）开标结束。</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5.2.2</w:t>
      </w:r>
      <w:r>
        <w:rPr>
          <w:rFonts w:hint="eastAsia" w:ascii="宋体" w:hAnsi="宋体"/>
          <w:color w:val="auto"/>
          <w:szCs w:val="21"/>
          <w:highlight w:val="none"/>
          <w:u w:val="singl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5.2.3</w:t>
      </w:r>
      <w:r>
        <w:rPr>
          <w:rFonts w:hint="eastAsia" w:ascii="宋体" w:hAnsi="宋体"/>
          <w:color w:val="auto"/>
          <w:szCs w:val="21"/>
          <w:highlight w:val="none"/>
        </w:rPr>
        <w:t>开标时，两个（含两个）以上的投标人加密打包投标文件电脑机器特征码一致的，不参与下一程序，并由评标委员会否决其投标。</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83" w:name="bookmark55"/>
      <w:bookmarkEnd w:id="83"/>
      <w:r>
        <w:rPr>
          <w:rFonts w:ascii="宋体" w:hAnsi="宋体"/>
          <w:color w:val="auto"/>
          <w:highlight w:val="none"/>
        </w:rPr>
        <w:t xml:space="preserve">5.3 </w:t>
      </w:r>
      <w:r>
        <w:rPr>
          <w:rFonts w:hint="eastAsia" w:ascii="宋体" w:hAnsi="宋体"/>
          <w:color w:val="auto"/>
          <w:highlight w:val="none"/>
        </w:rPr>
        <w:t>开标异议</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投标人对开标有异议的，应当在开标现场提出，并出示本人身份证，招标人当场作出答复，并制作记录。</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84" w:name="_Toc25816"/>
      <w:bookmarkStart w:id="85" w:name="_Toc21000"/>
      <w:bookmarkStart w:id="86" w:name="_Toc533357313"/>
      <w:r>
        <w:rPr>
          <w:color w:val="auto"/>
          <w:highlight w:val="none"/>
        </w:rPr>
        <w:t xml:space="preserve">6. </w:t>
      </w:r>
      <w:r>
        <w:rPr>
          <w:rFonts w:hint="eastAsia"/>
          <w:color w:val="auto"/>
          <w:highlight w:val="none"/>
        </w:rPr>
        <w:t>评标</w:t>
      </w:r>
      <w:bookmarkEnd w:id="84"/>
      <w:bookmarkEnd w:id="85"/>
      <w:bookmarkEnd w:id="86"/>
    </w:p>
    <w:p>
      <w:pPr>
        <w:pStyle w:val="9"/>
        <w:spacing w:line="360" w:lineRule="auto"/>
        <w:ind w:firstLine="420"/>
        <w:rPr>
          <w:rFonts w:ascii="宋体" w:hAnsi="宋体"/>
          <w:color w:val="auto"/>
          <w:highlight w:val="none"/>
        </w:rPr>
      </w:pPr>
      <w:bookmarkStart w:id="87" w:name="bookmark57"/>
      <w:bookmarkEnd w:id="87"/>
      <w:r>
        <w:rPr>
          <w:rFonts w:ascii="宋体" w:hAnsi="宋体"/>
          <w:color w:val="auto"/>
          <w:highlight w:val="none"/>
        </w:rPr>
        <w:t xml:space="preserve">6.1 </w:t>
      </w:r>
      <w:r>
        <w:rPr>
          <w:rFonts w:hint="eastAsia" w:ascii="宋体" w:hAnsi="宋体"/>
          <w:color w:val="auto"/>
          <w:highlight w:val="none"/>
        </w:rPr>
        <w:t>评标委员会</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6.1.1</w:t>
      </w:r>
      <w:r>
        <w:rPr>
          <w:rFonts w:hint="eastAsia" w:ascii="宋体" w:hAnsi="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6.1.2</w:t>
      </w:r>
      <w:r>
        <w:rPr>
          <w:rFonts w:hint="eastAsia" w:ascii="宋体" w:hAnsi="宋体"/>
          <w:color w:val="auto"/>
          <w:szCs w:val="21"/>
          <w:highlight w:val="none"/>
        </w:rPr>
        <w:t>评标委员会成员有下列情形之一的，应当回避：</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）投标人或投标人主要负责人的近亲属；</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）项目主管部门或者行政监督部门的人员；</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）与投标人有经济利益关系，可能影响对投标公正评审的；</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）曾因在招标、评标以及其他与招标投标有关活动中从事违法行为而受过行政处罚或刑事处罚的</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）与投标人有其他利害关系。</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6.1.3</w:t>
      </w:r>
      <w:r>
        <w:rPr>
          <w:rFonts w:hint="eastAsia" w:ascii="宋体" w:hAnsi="宋体"/>
          <w:color w:val="auto"/>
          <w:szCs w:val="21"/>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88" w:name="bookmark58"/>
      <w:bookmarkEnd w:id="88"/>
      <w:r>
        <w:rPr>
          <w:rFonts w:ascii="宋体" w:hAnsi="宋体"/>
          <w:color w:val="auto"/>
          <w:highlight w:val="none"/>
        </w:rPr>
        <w:t xml:space="preserve">6.2 </w:t>
      </w:r>
      <w:r>
        <w:rPr>
          <w:rFonts w:hint="eastAsia" w:ascii="宋体" w:hAnsi="宋体"/>
          <w:color w:val="auto"/>
          <w:highlight w:val="none"/>
        </w:rPr>
        <w:t>评标原则</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89" w:name="bookmark59"/>
      <w:bookmarkEnd w:id="89"/>
      <w:r>
        <w:rPr>
          <w:rFonts w:ascii="宋体" w:hAnsi="宋体"/>
          <w:color w:val="auto"/>
          <w:highlight w:val="none"/>
        </w:rPr>
        <w:t xml:space="preserve">6.3 </w:t>
      </w:r>
      <w:r>
        <w:rPr>
          <w:rFonts w:hint="eastAsia" w:ascii="宋体" w:hAnsi="宋体"/>
          <w:color w:val="auto"/>
          <w:highlight w:val="none"/>
        </w:rPr>
        <w:t>评标</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6.3.1</w:t>
      </w:r>
      <w:r>
        <w:rPr>
          <w:rFonts w:hint="eastAsia" w:ascii="宋体" w:hAnsi="宋体"/>
          <w:color w:val="auto"/>
          <w:szCs w:val="21"/>
          <w:highlight w:val="none"/>
        </w:rPr>
        <w:t>评标委员会按照第三章“评标办法”规定的方法、评审因素、标准和程序对投标文件进行评审。第三章“评标办法”没有规定的方法、评审因素和标准，不作为评标依据。</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6.3.2</w:t>
      </w:r>
      <w:r>
        <w:rPr>
          <w:rFonts w:hint="eastAsia" w:ascii="宋体" w:hAnsi="宋体"/>
          <w:color w:val="auto"/>
          <w:szCs w:val="21"/>
          <w:highlight w:val="none"/>
        </w:rPr>
        <w:t>评标完成后，评标委员会应当向招标人提交书面评标报告和中标候选人名单。评标委员会推荐中标候选人的人数见投标人须知前附表。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90" w:name="bookmark60"/>
      <w:bookmarkEnd w:id="90"/>
      <w:bookmarkStart w:id="91" w:name="_Toc533357314"/>
      <w:bookmarkStart w:id="92" w:name="_Toc9785"/>
      <w:bookmarkStart w:id="93" w:name="_Toc30445"/>
      <w:r>
        <w:rPr>
          <w:color w:val="auto"/>
          <w:highlight w:val="none"/>
        </w:rPr>
        <w:t xml:space="preserve">7. </w:t>
      </w:r>
      <w:r>
        <w:rPr>
          <w:rFonts w:hint="eastAsia"/>
          <w:color w:val="auto"/>
          <w:highlight w:val="none"/>
        </w:rPr>
        <w:t>合同授予</w:t>
      </w:r>
      <w:bookmarkEnd w:id="91"/>
      <w:bookmarkEnd w:id="92"/>
      <w:bookmarkEnd w:id="93"/>
    </w:p>
    <w:p>
      <w:pPr>
        <w:pStyle w:val="9"/>
        <w:spacing w:line="360" w:lineRule="auto"/>
        <w:ind w:firstLine="420"/>
        <w:rPr>
          <w:rFonts w:ascii="宋体" w:hAnsi="宋体"/>
          <w:color w:val="auto"/>
          <w:highlight w:val="none"/>
        </w:rPr>
      </w:pPr>
      <w:bookmarkStart w:id="94" w:name="bookmark61"/>
      <w:bookmarkEnd w:id="94"/>
      <w:r>
        <w:rPr>
          <w:rFonts w:ascii="宋体" w:hAnsi="宋体"/>
          <w:color w:val="auto"/>
          <w:highlight w:val="none"/>
        </w:rPr>
        <w:t xml:space="preserve">7.1 </w:t>
      </w:r>
      <w:r>
        <w:rPr>
          <w:rFonts w:hint="eastAsia" w:ascii="宋体" w:hAnsi="宋体"/>
          <w:color w:val="auto"/>
          <w:highlight w:val="none"/>
        </w:rPr>
        <w:t>中标候选人公示</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招标人在收到评标报告之日起</w:t>
      </w:r>
      <w:r>
        <w:rPr>
          <w:rFonts w:ascii="宋体" w:hAnsi="宋体"/>
          <w:color w:val="auto"/>
          <w:szCs w:val="21"/>
          <w:highlight w:val="none"/>
        </w:rPr>
        <w:t>3</w:t>
      </w:r>
      <w:r>
        <w:rPr>
          <w:rFonts w:hint="eastAsia" w:ascii="宋体" w:hAnsi="宋体"/>
          <w:color w:val="auto"/>
          <w:szCs w:val="21"/>
          <w:highlight w:val="none"/>
        </w:rPr>
        <w:t>日内，按照投标人须知前附表规定的公示媒介和期限公示中标候选人，公示期不得少于</w:t>
      </w:r>
      <w:r>
        <w:rPr>
          <w:rFonts w:ascii="宋体" w:hAnsi="宋体"/>
          <w:color w:val="auto"/>
          <w:szCs w:val="21"/>
          <w:highlight w:val="none"/>
        </w:rPr>
        <w:t>3</w:t>
      </w:r>
      <w:r>
        <w:rPr>
          <w:rFonts w:hint="eastAsia" w:ascii="宋体" w:hAnsi="宋体"/>
          <w:color w:val="auto"/>
          <w:szCs w:val="21"/>
          <w:highlight w:val="none"/>
        </w:rPr>
        <w:t>天。</w:t>
      </w:r>
    </w:p>
    <w:p>
      <w:pPr>
        <w:pStyle w:val="9"/>
        <w:spacing w:line="360" w:lineRule="auto"/>
        <w:rPr>
          <w:rFonts w:ascii="宋体" w:hAnsi="宋体"/>
          <w:color w:val="auto"/>
          <w:highlight w:val="none"/>
        </w:rPr>
      </w:pPr>
      <w:bookmarkStart w:id="95" w:name="bookmark62"/>
      <w:bookmarkEnd w:id="95"/>
      <w:r>
        <w:rPr>
          <w:rFonts w:ascii="宋体" w:hAnsi="宋体"/>
          <w:color w:val="auto"/>
          <w:highlight w:val="none"/>
        </w:rPr>
        <w:t xml:space="preserve">7.2 </w:t>
      </w:r>
      <w:r>
        <w:rPr>
          <w:rFonts w:hint="eastAsia" w:ascii="宋体" w:hAnsi="宋体"/>
          <w:color w:val="auto"/>
          <w:highlight w:val="none"/>
        </w:rPr>
        <w:t>评标结果异议</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投标人或者其他利害关系人对评标结果有异议的，应当在中标候选人公示期间提出。招标人将在收到异议之日起</w:t>
      </w:r>
      <w:r>
        <w:rPr>
          <w:rFonts w:ascii="宋体" w:hAnsi="宋体"/>
          <w:color w:val="auto"/>
          <w:szCs w:val="21"/>
          <w:highlight w:val="none"/>
        </w:rPr>
        <w:t>3</w:t>
      </w:r>
      <w:r>
        <w:rPr>
          <w:rFonts w:hint="eastAsia" w:ascii="宋体" w:hAnsi="宋体"/>
          <w:color w:val="auto"/>
          <w:szCs w:val="21"/>
          <w:highlight w:val="none"/>
        </w:rPr>
        <w:t>日内作出答复；作出答复前，将暂停招标投标活动。</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96" w:name="bookmark63"/>
      <w:bookmarkEnd w:id="96"/>
      <w:r>
        <w:rPr>
          <w:rFonts w:ascii="宋体" w:hAnsi="宋体"/>
          <w:color w:val="auto"/>
          <w:highlight w:val="none"/>
        </w:rPr>
        <w:t xml:space="preserve">7.3 </w:t>
      </w:r>
      <w:r>
        <w:rPr>
          <w:rFonts w:hint="eastAsia" w:ascii="宋体" w:hAnsi="宋体"/>
          <w:color w:val="auto"/>
          <w:highlight w:val="none"/>
        </w:rPr>
        <w:t>中标候选人履约能力审查</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97" w:name="bookmark64"/>
      <w:bookmarkEnd w:id="97"/>
      <w:r>
        <w:rPr>
          <w:rFonts w:ascii="宋体" w:hAnsi="宋体"/>
          <w:color w:val="auto"/>
          <w:highlight w:val="none"/>
        </w:rPr>
        <w:t xml:space="preserve">7.4 </w:t>
      </w:r>
      <w:r>
        <w:rPr>
          <w:rFonts w:hint="eastAsia" w:ascii="宋体" w:hAnsi="宋体"/>
          <w:color w:val="auto"/>
          <w:highlight w:val="none"/>
        </w:rPr>
        <w:t>定标</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按照投标人须知前附表的规定，招标人或招标人授权的评标委员会依法确定中标人。</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98" w:name="bookmark65"/>
      <w:bookmarkEnd w:id="98"/>
      <w:r>
        <w:rPr>
          <w:rFonts w:ascii="宋体" w:hAnsi="宋体"/>
          <w:color w:val="auto"/>
          <w:highlight w:val="none"/>
        </w:rPr>
        <w:t xml:space="preserve">7.5 </w:t>
      </w:r>
      <w:r>
        <w:rPr>
          <w:rFonts w:hint="eastAsia" w:ascii="宋体" w:hAnsi="宋体"/>
          <w:color w:val="auto"/>
          <w:highlight w:val="none"/>
        </w:rPr>
        <w:t>中标通知</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在本章第</w:t>
      </w:r>
      <w:r>
        <w:rPr>
          <w:rFonts w:ascii="宋体" w:hAnsi="宋体"/>
          <w:color w:val="auto"/>
          <w:szCs w:val="21"/>
          <w:highlight w:val="none"/>
        </w:rPr>
        <w:t>3.3</w:t>
      </w:r>
      <w:r>
        <w:rPr>
          <w:rFonts w:hint="eastAsia" w:ascii="宋体" w:hAnsi="宋体"/>
          <w:color w:val="auto"/>
          <w:szCs w:val="21"/>
          <w:highlight w:val="none"/>
        </w:rPr>
        <w:t>款规定的投标有效期内，招标人以书面形式向中标人发出中标通知书，同时将中标结果通知未中标的投标人。</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99" w:name="bookmark66"/>
      <w:bookmarkEnd w:id="99"/>
      <w:r>
        <w:rPr>
          <w:rFonts w:ascii="宋体" w:hAnsi="宋体"/>
          <w:color w:val="auto"/>
          <w:highlight w:val="none"/>
        </w:rPr>
        <w:t xml:space="preserve">7.6 </w:t>
      </w:r>
      <w:r>
        <w:rPr>
          <w:rFonts w:hint="eastAsia" w:ascii="宋体" w:hAnsi="宋体"/>
          <w:color w:val="auto"/>
          <w:highlight w:val="none"/>
        </w:rPr>
        <w:t>履约保证金</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7.6.1</w:t>
      </w:r>
      <w:r>
        <w:rPr>
          <w:rFonts w:hint="eastAsia" w:ascii="宋体" w:hAnsi="宋体"/>
          <w:color w:val="auto"/>
          <w:szCs w:val="21"/>
          <w:highlight w:val="none"/>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color w:val="auto"/>
          <w:szCs w:val="21"/>
          <w:highlight w:val="none"/>
        </w:rPr>
        <w:t>10%</w:t>
      </w:r>
      <w:r>
        <w:rPr>
          <w:rFonts w:hint="eastAsia" w:ascii="宋体" w:hAnsi="宋体"/>
          <w:color w:val="auto"/>
          <w:szCs w:val="21"/>
          <w:highlight w:val="none"/>
        </w:rPr>
        <w:t>。联合体中标的，其履约保证金以联合体各方或者联合体中牵头人的名义提交。</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7.6.2</w:t>
      </w:r>
      <w:r>
        <w:rPr>
          <w:rFonts w:hint="eastAsia" w:ascii="宋体" w:hAnsi="宋体"/>
          <w:color w:val="auto"/>
          <w:szCs w:val="21"/>
          <w:highlight w:val="none"/>
        </w:rPr>
        <w:t>中标人不能按本章第</w:t>
      </w:r>
      <w:r>
        <w:rPr>
          <w:rFonts w:ascii="宋体" w:hAnsi="宋体"/>
          <w:color w:val="auto"/>
          <w:szCs w:val="21"/>
          <w:highlight w:val="none"/>
        </w:rPr>
        <w:t>7.6.1</w:t>
      </w:r>
      <w:r>
        <w:rPr>
          <w:rFonts w:hint="eastAsia" w:ascii="宋体" w:hAnsi="宋体"/>
          <w:color w:val="auto"/>
          <w:szCs w:val="21"/>
          <w:highlight w:val="none"/>
        </w:rPr>
        <w:t>项要求提交履约保证金的，视为放弃中标，其投标保证金不予退还，给招标人造成的损失超过投标保证金数额的，中标人还应当对超过部分予以赔偿。</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100" w:name="bookmark67"/>
      <w:bookmarkEnd w:id="100"/>
      <w:r>
        <w:rPr>
          <w:rFonts w:ascii="宋体" w:hAnsi="宋体"/>
          <w:color w:val="auto"/>
          <w:highlight w:val="none"/>
        </w:rPr>
        <w:t xml:space="preserve">7.7 </w:t>
      </w:r>
      <w:r>
        <w:rPr>
          <w:rFonts w:hint="eastAsia" w:ascii="宋体" w:hAnsi="宋体"/>
          <w:color w:val="auto"/>
          <w:highlight w:val="none"/>
        </w:rPr>
        <w:t>签订合同</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7.7.1</w:t>
      </w:r>
      <w:r>
        <w:rPr>
          <w:rFonts w:hint="eastAsia" w:ascii="宋体" w:hAnsi="宋体"/>
          <w:color w:val="auto"/>
          <w:szCs w:val="21"/>
          <w:highlight w:val="none"/>
        </w:rPr>
        <w:t>招标人和中标人应当在中标通知书发出之日起</w:t>
      </w:r>
      <w:r>
        <w:rPr>
          <w:rFonts w:ascii="宋体" w:hAnsi="宋体"/>
          <w:color w:val="auto"/>
          <w:szCs w:val="21"/>
          <w:highlight w:val="none"/>
        </w:rPr>
        <w:t>30</w:t>
      </w:r>
      <w:r>
        <w:rPr>
          <w:rFonts w:hint="eastAsia" w:ascii="宋体" w:hAnsi="宋体"/>
          <w:color w:val="auto"/>
          <w:szCs w:val="21"/>
          <w:highlight w:val="none"/>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7.7.2</w:t>
      </w:r>
      <w:r>
        <w:rPr>
          <w:rFonts w:hint="eastAsia" w:ascii="宋体" w:hAnsi="宋体"/>
          <w:color w:val="auto"/>
          <w:szCs w:val="21"/>
          <w:highlight w:val="none"/>
        </w:rPr>
        <w:t>发出中标通知书后，招标人无正当理由拒签合同，或者在签订合同时向中标人提出附加条件的，招标人向中标人退还投标保证金；给中标人造成损失的，还应当赔偿损失。</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7.7.3</w:t>
      </w:r>
      <w:r>
        <w:rPr>
          <w:rFonts w:hint="eastAsia" w:ascii="宋体" w:hAnsi="宋体"/>
          <w:color w:val="auto"/>
          <w:szCs w:val="21"/>
          <w:highlight w:val="none"/>
        </w:rPr>
        <w:t>联合体中标的，联合体各方应当共同与招标人签订合同，就中标项目向招标人承担连带责任。</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101" w:name="bookmark68"/>
      <w:bookmarkEnd w:id="101"/>
      <w:bookmarkStart w:id="102" w:name="_Toc15067"/>
      <w:bookmarkStart w:id="103" w:name="_Toc533357315"/>
      <w:bookmarkStart w:id="104" w:name="_Toc2080"/>
      <w:r>
        <w:rPr>
          <w:color w:val="auto"/>
          <w:highlight w:val="none"/>
        </w:rPr>
        <w:t>8.</w:t>
      </w:r>
      <w:r>
        <w:rPr>
          <w:rFonts w:hint="eastAsia"/>
          <w:color w:val="auto"/>
          <w:highlight w:val="none"/>
        </w:rPr>
        <w:t>纪律和监督</w:t>
      </w:r>
      <w:bookmarkEnd w:id="102"/>
      <w:bookmarkEnd w:id="103"/>
      <w:bookmarkEnd w:id="104"/>
    </w:p>
    <w:p>
      <w:pPr>
        <w:pStyle w:val="9"/>
        <w:spacing w:line="360" w:lineRule="auto"/>
        <w:ind w:firstLine="420"/>
        <w:rPr>
          <w:rFonts w:ascii="宋体" w:hAnsi="宋体"/>
          <w:color w:val="auto"/>
          <w:highlight w:val="none"/>
        </w:rPr>
      </w:pPr>
      <w:bookmarkStart w:id="105" w:name="bookmark69"/>
      <w:bookmarkEnd w:id="105"/>
      <w:r>
        <w:rPr>
          <w:rFonts w:ascii="宋体" w:hAnsi="宋体"/>
          <w:color w:val="auto"/>
          <w:highlight w:val="none"/>
        </w:rPr>
        <w:t xml:space="preserve">8.1 </w:t>
      </w:r>
      <w:r>
        <w:rPr>
          <w:rFonts w:hint="eastAsia" w:ascii="宋体" w:hAnsi="宋体"/>
          <w:color w:val="auto"/>
          <w:highlight w:val="none"/>
        </w:rPr>
        <w:t>对招标人的纪律要求</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招标人不得泄露招标投标活动中应当保密的情况和资料，不得与投标人串通损害国家利益、社会公共利益或者他人合法权益。</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106" w:name="bookmark70"/>
      <w:bookmarkEnd w:id="106"/>
      <w:r>
        <w:rPr>
          <w:rFonts w:ascii="宋体" w:hAnsi="宋体"/>
          <w:color w:val="auto"/>
          <w:highlight w:val="none"/>
        </w:rPr>
        <w:t xml:space="preserve">8.2 </w:t>
      </w:r>
      <w:r>
        <w:rPr>
          <w:rFonts w:hint="eastAsia" w:ascii="宋体" w:hAnsi="宋体"/>
          <w:color w:val="auto"/>
          <w:highlight w:val="none"/>
        </w:rPr>
        <w:t>对投标人的纪律要求</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107" w:name="bookmark71"/>
      <w:bookmarkEnd w:id="107"/>
      <w:r>
        <w:rPr>
          <w:rFonts w:ascii="宋体" w:hAnsi="宋体"/>
          <w:color w:val="auto"/>
          <w:highlight w:val="none"/>
        </w:rPr>
        <w:t xml:space="preserve">8.3 </w:t>
      </w:r>
      <w:r>
        <w:rPr>
          <w:rFonts w:hint="eastAsia" w:ascii="宋体" w:hAnsi="宋体"/>
          <w:color w:val="auto"/>
          <w:highlight w:val="none"/>
        </w:rPr>
        <w:t>对评标委员会成员的纪律要求</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108" w:name="bookmark72"/>
      <w:bookmarkEnd w:id="108"/>
      <w:r>
        <w:rPr>
          <w:rFonts w:ascii="宋体" w:hAnsi="宋体"/>
          <w:color w:val="auto"/>
          <w:highlight w:val="none"/>
        </w:rPr>
        <w:t xml:space="preserve">8.4 </w:t>
      </w:r>
      <w:r>
        <w:rPr>
          <w:rFonts w:hint="eastAsia" w:ascii="宋体" w:hAnsi="宋体"/>
          <w:color w:val="auto"/>
          <w:highlight w:val="none"/>
        </w:rPr>
        <w:t>对与评标活动有关的工作人员的纪律要求</w:t>
      </w:r>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16"/>
        <w:kinsoku w:val="0"/>
        <w:overflowPunct w:val="0"/>
        <w:spacing w:line="360" w:lineRule="auto"/>
        <w:ind w:firstLine="420" w:firstLineChars="200"/>
        <w:rPr>
          <w:rFonts w:ascii="宋体" w:hAnsi="宋体"/>
          <w:color w:val="auto"/>
          <w:szCs w:val="21"/>
          <w:highlight w:val="none"/>
        </w:rPr>
      </w:pPr>
    </w:p>
    <w:p>
      <w:pPr>
        <w:pStyle w:val="9"/>
        <w:spacing w:line="360" w:lineRule="auto"/>
        <w:rPr>
          <w:rFonts w:ascii="宋体" w:hAnsi="宋体"/>
          <w:color w:val="auto"/>
          <w:highlight w:val="none"/>
        </w:rPr>
      </w:pPr>
      <w:bookmarkStart w:id="109" w:name="bookmark73"/>
      <w:bookmarkEnd w:id="109"/>
      <w:r>
        <w:rPr>
          <w:rFonts w:ascii="宋体" w:hAnsi="宋体"/>
          <w:color w:val="auto"/>
          <w:highlight w:val="none"/>
        </w:rPr>
        <w:t xml:space="preserve">8.5 </w:t>
      </w:r>
      <w:r>
        <w:rPr>
          <w:rFonts w:hint="eastAsia" w:ascii="宋体" w:hAnsi="宋体"/>
          <w:color w:val="auto"/>
          <w:highlight w:val="none"/>
        </w:rPr>
        <w:t>投诉</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8.5.1</w:t>
      </w:r>
      <w:r>
        <w:rPr>
          <w:rFonts w:hint="eastAsia" w:ascii="宋体" w:hAnsi="宋体"/>
          <w:color w:val="auto"/>
          <w:szCs w:val="21"/>
          <w:highlight w:val="none"/>
        </w:rPr>
        <w:t>投标人或者其他利害关系人认为招标投标活动不符合法律、行政法规规定的，可以自知道或者应当知道之日起</w:t>
      </w:r>
      <w:r>
        <w:rPr>
          <w:rFonts w:ascii="宋体" w:hAnsi="宋体"/>
          <w:color w:val="auto"/>
          <w:szCs w:val="21"/>
          <w:highlight w:val="none"/>
        </w:rPr>
        <w:t>10</w:t>
      </w:r>
      <w:r>
        <w:rPr>
          <w:rFonts w:hint="eastAsia" w:ascii="宋体" w:hAnsi="宋体"/>
          <w:color w:val="auto"/>
          <w:szCs w:val="21"/>
          <w:highlight w:val="none"/>
        </w:rPr>
        <w:t>日内向有关行政监督部门投诉。投诉应当有明确的请求和必要的证明材料。</w:t>
      </w:r>
    </w:p>
    <w:p>
      <w:pPr>
        <w:pStyle w:val="16"/>
        <w:kinsoku w:val="0"/>
        <w:overflowPunct w:val="0"/>
        <w:spacing w:line="360" w:lineRule="auto"/>
        <w:ind w:firstLine="420" w:firstLineChars="200"/>
        <w:rPr>
          <w:rFonts w:ascii="宋体" w:hAnsi="宋体"/>
          <w:color w:val="auto"/>
          <w:szCs w:val="21"/>
          <w:highlight w:val="none"/>
        </w:rPr>
      </w:pPr>
      <w:r>
        <w:rPr>
          <w:rFonts w:ascii="宋体" w:hAnsi="宋体"/>
          <w:color w:val="auto"/>
          <w:szCs w:val="21"/>
          <w:highlight w:val="none"/>
        </w:rPr>
        <w:t>8.5.2</w:t>
      </w:r>
      <w:r>
        <w:rPr>
          <w:rFonts w:hint="eastAsia" w:ascii="宋体" w:hAnsi="宋体"/>
          <w:color w:val="auto"/>
          <w:szCs w:val="21"/>
          <w:highlight w:val="none"/>
        </w:rPr>
        <w:t>投标人或者其他利害关系人对招标文件、开标和评标结果提出投诉的，应当按照投标人须知第</w:t>
      </w:r>
      <w:r>
        <w:rPr>
          <w:rFonts w:ascii="宋体" w:hAnsi="宋体"/>
          <w:color w:val="auto"/>
          <w:szCs w:val="21"/>
          <w:highlight w:val="none"/>
        </w:rPr>
        <w:t>2.4</w:t>
      </w:r>
      <w:r>
        <w:rPr>
          <w:rFonts w:hint="eastAsia" w:ascii="宋体" w:hAnsi="宋体"/>
          <w:color w:val="auto"/>
          <w:szCs w:val="21"/>
          <w:highlight w:val="none"/>
        </w:rPr>
        <w:t>款、第</w:t>
      </w:r>
      <w:r>
        <w:rPr>
          <w:rFonts w:ascii="宋体" w:hAnsi="宋体"/>
          <w:color w:val="auto"/>
          <w:szCs w:val="21"/>
          <w:highlight w:val="none"/>
        </w:rPr>
        <w:t>5.3</w:t>
      </w:r>
      <w:r>
        <w:rPr>
          <w:rFonts w:hint="eastAsia" w:ascii="宋体" w:hAnsi="宋体"/>
          <w:color w:val="auto"/>
          <w:szCs w:val="21"/>
          <w:highlight w:val="none"/>
        </w:rPr>
        <w:t>款和第</w:t>
      </w:r>
      <w:r>
        <w:rPr>
          <w:rFonts w:ascii="宋体" w:hAnsi="宋体"/>
          <w:color w:val="auto"/>
          <w:szCs w:val="21"/>
          <w:highlight w:val="none"/>
        </w:rPr>
        <w:t>7.2</w:t>
      </w:r>
      <w:r>
        <w:rPr>
          <w:rFonts w:hint="eastAsia" w:ascii="宋体" w:hAnsi="宋体"/>
          <w:color w:val="auto"/>
          <w:szCs w:val="21"/>
          <w:highlight w:val="none"/>
        </w:rPr>
        <w:t>款的规定先向招标人提出异议。异议答复期间不计算在第</w:t>
      </w:r>
      <w:r>
        <w:rPr>
          <w:rFonts w:ascii="宋体" w:hAnsi="宋体"/>
          <w:color w:val="auto"/>
          <w:szCs w:val="21"/>
          <w:highlight w:val="none"/>
        </w:rPr>
        <w:t>8.5.1</w:t>
      </w:r>
      <w:r>
        <w:rPr>
          <w:rFonts w:hint="eastAsia" w:ascii="宋体" w:hAnsi="宋体"/>
          <w:color w:val="auto"/>
          <w:szCs w:val="21"/>
          <w:highlight w:val="none"/>
        </w:rPr>
        <w:t>项规定的期限内。</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110" w:name="bookmark74"/>
      <w:bookmarkEnd w:id="110"/>
      <w:bookmarkStart w:id="111" w:name="_Toc10711"/>
      <w:bookmarkStart w:id="112" w:name="_Toc11088"/>
      <w:r>
        <w:rPr>
          <w:color w:val="auto"/>
          <w:highlight w:val="none"/>
        </w:rPr>
        <w:t xml:space="preserve">9. </w:t>
      </w:r>
      <w:r>
        <w:rPr>
          <w:rFonts w:hint="eastAsia"/>
          <w:color w:val="auto"/>
          <w:highlight w:val="none"/>
        </w:rPr>
        <w:t>是否采用电子招标投标</w:t>
      </w:r>
      <w:bookmarkEnd w:id="111"/>
      <w:bookmarkEnd w:id="112"/>
    </w:p>
    <w:p>
      <w:pPr>
        <w:pStyle w:val="16"/>
        <w:kinsoku w:val="0"/>
        <w:overflowPunct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本招标项目采用电子招标投标方式，具体要求见投标人须知前附表。</w:t>
      </w:r>
    </w:p>
    <w:p>
      <w:pPr>
        <w:pStyle w:val="16"/>
        <w:kinsoku w:val="0"/>
        <w:overflowPunct w:val="0"/>
        <w:spacing w:line="360" w:lineRule="auto"/>
        <w:ind w:firstLine="420" w:firstLineChars="200"/>
        <w:rPr>
          <w:rFonts w:ascii="宋体" w:hAnsi="宋体"/>
          <w:color w:val="auto"/>
          <w:szCs w:val="21"/>
          <w:highlight w:val="none"/>
        </w:rPr>
      </w:pPr>
    </w:p>
    <w:p>
      <w:pPr>
        <w:pStyle w:val="7"/>
        <w:rPr>
          <w:color w:val="auto"/>
          <w:highlight w:val="none"/>
        </w:rPr>
      </w:pPr>
      <w:bookmarkStart w:id="113" w:name="bookmark75"/>
      <w:bookmarkEnd w:id="113"/>
      <w:bookmarkStart w:id="114" w:name="_Toc28841"/>
      <w:bookmarkStart w:id="115" w:name="_Toc31257"/>
      <w:r>
        <w:rPr>
          <w:color w:val="auto"/>
          <w:highlight w:val="none"/>
        </w:rPr>
        <w:t xml:space="preserve">10. </w:t>
      </w:r>
      <w:r>
        <w:rPr>
          <w:rFonts w:hint="eastAsia"/>
          <w:color w:val="auto"/>
          <w:highlight w:val="none"/>
        </w:rPr>
        <w:t>需要补充的其他内容</w:t>
      </w:r>
      <w:bookmarkEnd w:id="114"/>
      <w:bookmarkEnd w:id="115"/>
    </w:p>
    <w:p>
      <w:pPr>
        <w:spacing w:line="360" w:lineRule="auto"/>
        <w:ind w:firstLine="424" w:firstLineChars="202"/>
        <w:rPr>
          <w:rFonts w:ascii="宋体" w:hAnsi="宋体"/>
          <w:color w:val="auto"/>
          <w:highlight w:val="none"/>
        </w:rPr>
      </w:pPr>
      <w:r>
        <w:rPr>
          <w:rFonts w:hint="eastAsia" w:ascii="宋体" w:hAnsi="宋体"/>
          <w:color w:val="auto"/>
          <w:highlight w:val="none"/>
        </w:rPr>
        <w:t>需要补充的其他内容：见投标人须知前附表。</w:t>
      </w:r>
    </w:p>
    <w:p>
      <w:pPr>
        <w:ind w:firstLine="424" w:firstLineChars="202"/>
        <w:rPr>
          <w:rFonts w:ascii="宋体" w:hAnsi="宋体"/>
          <w:color w:val="auto"/>
          <w:highlight w:val="none"/>
        </w:rPr>
      </w:pPr>
    </w:p>
    <w:p>
      <w:pPr>
        <w:ind w:firstLine="424" w:firstLineChars="202"/>
        <w:rPr>
          <w:rFonts w:ascii="宋体" w:hAnsi="宋体"/>
          <w:color w:val="auto"/>
          <w:highlight w:val="none"/>
        </w:rPr>
      </w:pPr>
    </w:p>
    <w:p>
      <w:pPr>
        <w:ind w:firstLine="424" w:firstLineChars="202"/>
        <w:rPr>
          <w:rFonts w:ascii="宋体" w:hAnsi="宋体"/>
          <w:color w:val="auto"/>
          <w:highlight w:val="none"/>
        </w:rPr>
      </w:pPr>
    </w:p>
    <w:p>
      <w:pPr>
        <w:pStyle w:val="5"/>
        <w:rPr>
          <w:color w:val="auto"/>
          <w:highlight w:val="none"/>
        </w:rPr>
      </w:pPr>
      <w:r>
        <w:rPr>
          <w:color w:val="auto"/>
          <w:szCs w:val="24"/>
          <w:highlight w:val="none"/>
        </w:rPr>
        <w:br w:type="page"/>
      </w:r>
      <w:bookmarkStart w:id="116" w:name="_Toc28322"/>
      <w:bookmarkStart w:id="117" w:name="_Toc20885"/>
      <w:bookmarkStart w:id="118" w:name="_Toc533357317"/>
      <w:r>
        <w:rPr>
          <w:rFonts w:hint="eastAsia"/>
          <w:color w:val="auto"/>
          <w:highlight w:val="none"/>
        </w:rPr>
        <w:t>第三章  评标办法（综合评估法）</w:t>
      </w:r>
      <w:bookmarkEnd w:id="116"/>
      <w:bookmarkEnd w:id="117"/>
      <w:bookmarkEnd w:id="118"/>
    </w:p>
    <w:p>
      <w:pPr>
        <w:pStyle w:val="6"/>
        <w:rPr>
          <w:rFonts w:ascii="宋体" w:hAnsi="宋体"/>
          <w:color w:val="auto"/>
          <w:highlight w:val="none"/>
        </w:rPr>
      </w:pPr>
      <w:bookmarkStart w:id="119" w:name="_Toc4237"/>
      <w:bookmarkStart w:id="120" w:name="_Toc533357318"/>
      <w:bookmarkStart w:id="121" w:name="_Toc31896"/>
      <w:r>
        <w:rPr>
          <w:rFonts w:hint="eastAsia" w:ascii="宋体" w:hAnsi="宋体"/>
          <w:color w:val="auto"/>
          <w:highlight w:val="none"/>
        </w:rPr>
        <w:t>评标办法前附表</w:t>
      </w:r>
      <w:bookmarkEnd w:id="119"/>
      <w:bookmarkEnd w:id="120"/>
      <w:bookmarkEnd w:id="121"/>
    </w:p>
    <w:tbl>
      <w:tblPr>
        <w:tblStyle w:val="29"/>
        <w:tblW w:w="10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51"/>
        <w:gridCol w:w="1550"/>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gridSpan w:val="2"/>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1550"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7136"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Align w:val="center"/>
          </w:tcPr>
          <w:p>
            <w:pPr>
              <w:spacing w:line="276" w:lineRule="auto"/>
              <w:jc w:val="center"/>
              <w:rPr>
                <w:rFonts w:ascii="宋体" w:hAnsi="宋体"/>
                <w:color w:val="auto"/>
                <w:szCs w:val="21"/>
                <w:highlight w:val="none"/>
              </w:rPr>
            </w:pPr>
            <w:r>
              <w:rPr>
                <w:rFonts w:ascii="宋体" w:hAnsi="宋体"/>
                <w:color w:val="auto"/>
                <w:szCs w:val="21"/>
                <w:highlight w:val="none"/>
              </w:rPr>
              <w:t>1</w:t>
            </w:r>
          </w:p>
        </w:tc>
        <w:tc>
          <w:tcPr>
            <w:tcW w:w="851"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中标候选人排序方法</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得分相等时，以投标报价低的优先；报价也相等的，以检测方案得分高的优先；如果检测方案得分也相等，由评标委员会采用记名投票方式（不得弃权），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67" w:type="dxa"/>
            <w:vMerge w:val="restart"/>
            <w:vAlign w:val="center"/>
          </w:tcPr>
          <w:p>
            <w:pPr>
              <w:spacing w:line="276" w:lineRule="auto"/>
              <w:jc w:val="center"/>
              <w:rPr>
                <w:rFonts w:ascii="宋体" w:hAnsi="宋体"/>
                <w:color w:val="auto"/>
                <w:szCs w:val="21"/>
                <w:highlight w:val="none"/>
              </w:rPr>
            </w:pPr>
            <w:r>
              <w:rPr>
                <w:rFonts w:ascii="宋体" w:hAnsi="宋体"/>
                <w:color w:val="auto"/>
                <w:szCs w:val="21"/>
                <w:highlight w:val="none"/>
              </w:rPr>
              <w:t>2.1.1</w:t>
            </w:r>
          </w:p>
        </w:tc>
        <w:tc>
          <w:tcPr>
            <w:tcW w:w="851"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形式评审标准</w:t>
            </w: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投标人名称</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67" w:type="dxa"/>
            <w:vMerge w:val="continue"/>
            <w:vAlign w:val="center"/>
          </w:tcPr>
          <w:p>
            <w:pPr>
              <w:spacing w:line="276" w:lineRule="auto"/>
              <w:rPr>
                <w:rFonts w:ascii="宋体" w:hAnsi="宋体"/>
                <w:color w:val="auto"/>
                <w:szCs w:val="21"/>
                <w:highlight w:val="none"/>
              </w:rPr>
            </w:pPr>
          </w:p>
        </w:tc>
        <w:tc>
          <w:tcPr>
            <w:tcW w:w="851" w:type="dxa"/>
            <w:vMerge w:val="continue"/>
            <w:vAlign w:val="center"/>
          </w:tcPr>
          <w:p>
            <w:pPr>
              <w:spacing w:line="276" w:lineRule="auto"/>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投标函及其附表签字盖章</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投标函及其附表格式及签字盖章符合招标文件要求，由法定代表人签字的，应附法定代表人证明书，由代理人签字的，应附法定代表人证明书及授权委托书。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pPr>
              <w:spacing w:line="276" w:lineRule="auto"/>
              <w:rPr>
                <w:rFonts w:ascii="宋体" w:hAnsi="宋体"/>
                <w:color w:val="auto"/>
                <w:szCs w:val="21"/>
                <w:highlight w:val="none"/>
              </w:rPr>
            </w:pPr>
          </w:p>
        </w:tc>
        <w:tc>
          <w:tcPr>
            <w:tcW w:w="851" w:type="dxa"/>
            <w:vMerge w:val="continue"/>
            <w:vAlign w:val="center"/>
          </w:tcPr>
          <w:p>
            <w:pPr>
              <w:spacing w:line="276" w:lineRule="auto"/>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投标文件格式</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7" w:type="dxa"/>
            <w:vMerge w:val="continue"/>
            <w:vAlign w:val="center"/>
          </w:tcPr>
          <w:p>
            <w:pPr>
              <w:spacing w:line="276" w:lineRule="auto"/>
              <w:rPr>
                <w:rFonts w:ascii="宋体" w:hAnsi="宋体"/>
                <w:color w:val="auto"/>
                <w:szCs w:val="21"/>
                <w:highlight w:val="none"/>
              </w:rPr>
            </w:pPr>
          </w:p>
        </w:tc>
        <w:tc>
          <w:tcPr>
            <w:tcW w:w="851" w:type="dxa"/>
            <w:vMerge w:val="continue"/>
            <w:vAlign w:val="center"/>
          </w:tcPr>
          <w:p>
            <w:pPr>
              <w:spacing w:line="276" w:lineRule="auto"/>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备选投标方案</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767" w:type="dxa"/>
            <w:vMerge w:val="continue"/>
            <w:vAlign w:val="center"/>
          </w:tcPr>
          <w:p>
            <w:pPr>
              <w:spacing w:line="276" w:lineRule="auto"/>
              <w:rPr>
                <w:rFonts w:ascii="宋体" w:hAnsi="宋体"/>
                <w:color w:val="auto"/>
                <w:szCs w:val="21"/>
                <w:highlight w:val="none"/>
              </w:rPr>
            </w:pPr>
          </w:p>
        </w:tc>
        <w:tc>
          <w:tcPr>
            <w:tcW w:w="851" w:type="dxa"/>
            <w:vMerge w:val="continue"/>
            <w:vAlign w:val="center"/>
          </w:tcPr>
          <w:p>
            <w:pPr>
              <w:spacing w:line="276" w:lineRule="auto"/>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投标人机器码</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不同投标人机器码相同（以广州公共资源交易中心评标系统的检索信息为准），将被否决。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67" w:type="dxa"/>
            <w:vMerge w:val="restart"/>
            <w:vAlign w:val="center"/>
          </w:tcPr>
          <w:p>
            <w:pPr>
              <w:spacing w:line="276" w:lineRule="auto"/>
              <w:jc w:val="center"/>
              <w:rPr>
                <w:rFonts w:ascii="宋体" w:hAnsi="宋体"/>
                <w:color w:val="auto"/>
                <w:szCs w:val="21"/>
                <w:highlight w:val="none"/>
              </w:rPr>
            </w:pPr>
            <w:r>
              <w:rPr>
                <w:rFonts w:ascii="宋体" w:hAnsi="宋体"/>
                <w:color w:val="auto"/>
                <w:szCs w:val="21"/>
                <w:highlight w:val="none"/>
              </w:rPr>
              <w:t>2.1.2</w:t>
            </w:r>
          </w:p>
        </w:tc>
        <w:tc>
          <w:tcPr>
            <w:tcW w:w="851"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资格评审标准</w:t>
            </w: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（或事业单位法人证书）</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符合第二章“投标人须知”第3.5.1项规定。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资质要求</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业绩要求</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项目负责人</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其他主要人员</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试验检测仪器设备</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其他要求</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联合体投标人</w:t>
            </w:r>
          </w:p>
        </w:tc>
        <w:tc>
          <w:tcPr>
            <w:tcW w:w="7136" w:type="dxa"/>
            <w:vAlign w:val="center"/>
          </w:tcPr>
          <w:p>
            <w:pPr>
              <w:spacing w:line="276" w:lineRule="auto"/>
              <w:jc w:val="both"/>
              <w:rPr>
                <w:rFonts w:ascii="宋体" w:hAnsi="宋体"/>
                <w:color w:val="auto"/>
                <w:szCs w:val="21"/>
                <w:highlight w:val="none"/>
              </w:rPr>
            </w:pPr>
            <w:r>
              <w:rPr>
                <w:rFonts w:hint="eastAsia" w:ascii="宋体" w:hAnsi="宋体"/>
                <w:color w:val="auto"/>
                <w:szCs w:val="21"/>
                <w:highlight w:val="none"/>
              </w:rPr>
              <w:t>本项目接受联合体。</w:t>
            </w:r>
            <w:r>
              <w:rPr>
                <w:rFonts w:hint="eastAsia" w:ascii="宋体" w:hAnsi="宋体" w:cs="宋体"/>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不存在第二章“投标人须知”第 1.4.3 项规定的任何一种情形（以《投标申请人声明》为准）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不良记录</w:t>
            </w:r>
          </w:p>
        </w:tc>
        <w:tc>
          <w:tcPr>
            <w:tcW w:w="7136" w:type="dxa"/>
            <w:vAlign w:val="center"/>
          </w:tcPr>
          <w:p>
            <w:pPr>
              <w:spacing w:line="276" w:lineRule="auto"/>
              <w:jc w:val="both"/>
              <w:rPr>
                <w:rFonts w:ascii="宋体" w:hAnsi="宋体" w:cs="宋体"/>
                <w:color w:val="auto"/>
                <w:szCs w:val="21"/>
                <w:highlight w:val="none"/>
                <w:u w:val="single"/>
              </w:rPr>
            </w:pPr>
            <w:r>
              <w:rPr>
                <w:rFonts w:hint="eastAsia" w:ascii="宋体" w:hAnsi="宋体" w:cs="宋体"/>
                <w:color w:val="auto"/>
                <w:szCs w:val="21"/>
                <w:highlight w:val="none"/>
                <w:u w:val="single"/>
              </w:rPr>
              <w:t>本项目不接受被列入我区不良记录名单（处罚有效期内）的单位或个人（指项目负责人）投标，不良记录具体名单以资格审查时广州市黄埔区人民政府、广州开发区管委会网站的区住房城乡建设局网页“建筑活动不良行为记录”栏目（网址：http://www.hp.gov.cn/gzjg/qzfgwhgzbm/qzfhcxjsj10/jzhdblxwjl/）公布名单为准。若资格审查时网址有变化，以最新网址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67" w:type="dxa"/>
            <w:vMerge w:val="restart"/>
            <w:vAlign w:val="center"/>
          </w:tcPr>
          <w:p>
            <w:pPr>
              <w:spacing w:line="276" w:lineRule="auto"/>
              <w:jc w:val="center"/>
              <w:rPr>
                <w:rFonts w:ascii="宋体" w:hAnsi="宋体"/>
                <w:color w:val="auto"/>
                <w:szCs w:val="21"/>
                <w:highlight w:val="none"/>
              </w:rPr>
            </w:pPr>
            <w:r>
              <w:rPr>
                <w:rFonts w:ascii="宋体" w:hAnsi="宋体"/>
                <w:color w:val="auto"/>
                <w:szCs w:val="21"/>
                <w:highlight w:val="none"/>
              </w:rPr>
              <w:t>2.1.3</w:t>
            </w:r>
          </w:p>
        </w:tc>
        <w:tc>
          <w:tcPr>
            <w:tcW w:w="851"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响应性评审标准</w:t>
            </w: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投标报价</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投标内容</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服务期限</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质量标准</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投标有效期</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投标保证金</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符合第二章“投标人须知”第3.4.1规定；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串通投标情形</w:t>
            </w:r>
          </w:p>
        </w:tc>
        <w:tc>
          <w:tcPr>
            <w:tcW w:w="7136" w:type="dxa"/>
            <w:vAlign w:val="center"/>
          </w:tcPr>
          <w:p>
            <w:pPr>
              <w:spacing w:line="276" w:lineRule="auto"/>
              <w:jc w:val="both"/>
              <w:rPr>
                <w:rFonts w:ascii="宋体" w:hAnsi="宋体" w:cs="宋体"/>
                <w:color w:val="auto"/>
                <w:szCs w:val="21"/>
                <w:highlight w:val="none"/>
              </w:rPr>
            </w:pPr>
            <w:r>
              <w:rPr>
                <w:rFonts w:hint="eastAsia" w:ascii="宋体" w:hAnsi="宋体" w:cs="宋体"/>
                <w:color w:val="auto"/>
                <w:szCs w:val="21"/>
                <w:highlight w:val="none"/>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618" w:type="dxa"/>
            <w:gridSpan w:val="2"/>
            <w:vAlign w:val="center"/>
          </w:tcPr>
          <w:p>
            <w:pPr>
              <w:spacing w:line="276" w:lineRule="auto"/>
              <w:jc w:val="center"/>
              <w:rPr>
                <w:rFonts w:ascii="宋体" w:hAnsi="宋体"/>
                <w:color w:val="auto"/>
                <w:szCs w:val="21"/>
                <w:highlight w:val="none"/>
              </w:rPr>
            </w:pPr>
            <w:r>
              <w:rPr>
                <w:rFonts w:ascii="宋体" w:hAnsi="宋体"/>
                <w:color w:val="auto"/>
                <w:szCs w:val="21"/>
                <w:highlight w:val="none"/>
              </w:rPr>
              <w:t>2.2.1</w:t>
            </w: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分值构成</w:t>
            </w:r>
          </w:p>
          <w:p>
            <w:pPr>
              <w:spacing w:line="276" w:lineRule="auto"/>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总分</w:t>
            </w:r>
            <w:r>
              <w:rPr>
                <w:rFonts w:ascii="宋体" w:hAnsi="宋体" w:cs="宋体"/>
                <w:color w:val="auto"/>
                <w:szCs w:val="21"/>
                <w:highlight w:val="none"/>
              </w:rPr>
              <w:t>100</w:t>
            </w:r>
            <w:r>
              <w:rPr>
                <w:rFonts w:hint="eastAsia" w:ascii="宋体" w:hAnsi="宋体" w:cs="宋体"/>
                <w:color w:val="auto"/>
                <w:szCs w:val="21"/>
                <w:highlight w:val="none"/>
              </w:rPr>
              <w:t>分</w:t>
            </w:r>
            <w:r>
              <w:rPr>
                <w:rFonts w:ascii="宋体" w:hAnsi="宋体" w:cs="宋体"/>
                <w:color w:val="auto"/>
                <w:szCs w:val="21"/>
                <w:highlight w:val="none"/>
              </w:rPr>
              <w:t>)</w:t>
            </w:r>
          </w:p>
        </w:tc>
        <w:tc>
          <w:tcPr>
            <w:tcW w:w="7136" w:type="dxa"/>
            <w:vAlign w:val="center"/>
          </w:tcPr>
          <w:p>
            <w:pPr>
              <w:spacing w:line="276" w:lineRule="auto"/>
              <w:rPr>
                <w:rFonts w:ascii="宋体" w:hAnsi="宋体"/>
                <w:color w:val="auto"/>
                <w:szCs w:val="21"/>
                <w:highlight w:val="none"/>
              </w:rPr>
            </w:pPr>
            <w:r>
              <w:rPr>
                <w:rFonts w:hint="eastAsia" w:ascii="宋体" w:hAnsi="宋体"/>
                <w:b/>
                <w:color w:val="auto"/>
                <w:szCs w:val="21"/>
                <w:highlight w:val="none"/>
              </w:rPr>
              <w:t>A企业综合实力部分：</w:t>
            </w:r>
            <w:r>
              <w:rPr>
                <w:rFonts w:hint="eastAsia" w:ascii="宋体" w:hAnsi="宋体"/>
                <w:bCs/>
                <w:color w:val="auto"/>
                <w:szCs w:val="21"/>
                <w:highlight w:val="none"/>
                <w:u w:val="single"/>
                <w:lang w:val="en-US" w:eastAsia="zh-CN"/>
              </w:rPr>
              <w:t>55</w:t>
            </w:r>
            <w:r>
              <w:rPr>
                <w:rFonts w:hint="eastAsia" w:ascii="宋体" w:hAnsi="宋体"/>
                <w:bCs/>
                <w:color w:val="auto"/>
                <w:szCs w:val="21"/>
                <w:highlight w:val="none"/>
              </w:rPr>
              <w:t>分</w:t>
            </w:r>
          </w:p>
          <w:p>
            <w:pPr>
              <w:spacing w:line="276" w:lineRule="auto"/>
              <w:rPr>
                <w:rFonts w:ascii="宋体" w:hAnsi="宋体"/>
                <w:b/>
                <w:color w:val="auto"/>
                <w:szCs w:val="21"/>
                <w:highlight w:val="none"/>
              </w:rPr>
            </w:pPr>
            <w:r>
              <w:rPr>
                <w:rFonts w:hint="eastAsia" w:ascii="宋体" w:hAnsi="宋体"/>
                <w:b/>
                <w:color w:val="auto"/>
                <w:szCs w:val="21"/>
                <w:highlight w:val="none"/>
              </w:rPr>
              <w:t>B技术方案部分：</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rPr>
              <w:t>分</w:t>
            </w:r>
          </w:p>
          <w:p>
            <w:pPr>
              <w:spacing w:line="276" w:lineRule="auto"/>
              <w:rPr>
                <w:rFonts w:ascii="宋体" w:hAnsi="宋体"/>
                <w:bCs/>
                <w:color w:val="auto"/>
                <w:szCs w:val="21"/>
                <w:highlight w:val="none"/>
              </w:rPr>
            </w:pPr>
            <w:r>
              <w:rPr>
                <w:rFonts w:hint="eastAsia" w:ascii="宋体" w:hAnsi="宋体"/>
                <w:b/>
                <w:color w:val="auto"/>
                <w:szCs w:val="21"/>
                <w:highlight w:val="none"/>
              </w:rPr>
              <w:t>C投标报价部分：</w:t>
            </w:r>
            <w:r>
              <w:rPr>
                <w:rFonts w:hint="eastAsia" w:ascii="宋体" w:hAnsi="宋体"/>
                <w:bCs/>
                <w:color w:val="auto"/>
                <w:szCs w:val="21"/>
                <w:highlight w:val="none"/>
                <w:u w:val="single"/>
              </w:rPr>
              <w:t>20</w:t>
            </w:r>
            <w:r>
              <w:rPr>
                <w:rFonts w:hint="eastAsia" w:ascii="宋体" w:hAnsi="宋体"/>
                <w:bCs/>
                <w:color w:val="auto"/>
                <w:szCs w:val="21"/>
                <w:highlight w:val="none"/>
              </w:rPr>
              <w:t>分</w:t>
            </w:r>
          </w:p>
          <w:p>
            <w:pPr>
              <w:pStyle w:val="6"/>
              <w:jc w:val="both"/>
              <w:rPr>
                <w:rFonts w:ascii="宋体" w:hAnsi="宋体"/>
                <w:color w:val="auto"/>
                <w:highlight w:val="none"/>
              </w:rPr>
            </w:pPr>
            <w:r>
              <w:rPr>
                <w:rFonts w:hint="eastAsia" w:ascii="宋体" w:hAnsi="宋体"/>
                <w:color w:val="auto"/>
                <w:sz w:val="21"/>
                <w:szCs w:val="21"/>
                <w:highlight w:val="none"/>
              </w:rPr>
              <w:t>D其他因素评分标准：</w:t>
            </w:r>
            <w:r>
              <w:rPr>
                <w:rFonts w:hint="eastAsia" w:ascii="宋体" w:hAnsi="宋体"/>
                <w:b w:val="0"/>
                <w:bCs/>
                <w:color w:val="auto"/>
                <w:sz w:val="21"/>
                <w:szCs w:val="21"/>
                <w:highlight w:val="none"/>
                <w:u w:val="single"/>
              </w:rPr>
              <w:t>/</w:t>
            </w:r>
          </w:p>
          <w:p>
            <w:pPr>
              <w:spacing w:line="276" w:lineRule="auto"/>
              <w:jc w:val="left"/>
              <w:rPr>
                <w:rFonts w:ascii="宋体" w:hAnsi="宋体"/>
                <w:color w:val="auto"/>
                <w:szCs w:val="21"/>
                <w:highlight w:val="none"/>
              </w:rPr>
            </w:pPr>
            <w:r>
              <w:rPr>
                <w:rFonts w:hint="eastAsia" w:ascii="宋体" w:hAnsi="宋体" w:cs="宋体"/>
                <w:color w:val="auto"/>
                <w:szCs w:val="21"/>
                <w:highlight w:val="none"/>
              </w:rPr>
              <w:t>注：1）投标人总得分为各评委A+B+C的总分去掉一个最高分和一个最低分后计取的算术平均分（保留小数点后二位，第三位小数四舍五入）；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618" w:type="dxa"/>
            <w:gridSpan w:val="2"/>
            <w:vAlign w:val="center"/>
          </w:tcPr>
          <w:p>
            <w:pPr>
              <w:spacing w:line="276" w:lineRule="auto"/>
              <w:jc w:val="center"/>
              <w:rPr>
                <w:rFonts w:ascii="宋体" w:hAnsi="宋体"/>
                <w:color w:val="auto"/>
                <w:szCs w:val="21"/>
                <w:highlight w:val="none"/>
              </w:rPr>
            </w:pPr>
            <w:r>
              <w:rPr>
                <w:rFonts w:ascii="宋体" w:hAnsi="宋体"/>
                <w:color w:val="auto"/>
                <w:szCs w:val="21"/>
                <w:highlight w:val="none"/>
              </w:rPr>
              <w:t>2.2.2</w:t>
            </w: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评标参考价计算方法</w:t>
            </w:r>
          </w:p>
        </w:tc>
        <w:tc>
          <w:tcPr>
            <w:tcW w:w="7136" w:type="dxa"/>
            <w:vAlign w:val="center"/>
          </w:tcPr>
          <w:p>
            <w:pPr>
              <w:pStyle w:val="28"/>
              <w:spacing w:line="276" w:lineRule="auto"/>
              <w:ind w:firstLine="0"/>
              <w:rPr>
                <w:rFonts w:ascii="宋体" w:hAnsi="宋体" w:cs="宋体"/>
                <w:color w:val="auto"/>
                <w:szCs w:val="21"/>
                <w:highlight w:val="none"/>
              </w:rPr>
            </w:pPr>
            <w:r>
              <w:rPr>
                <w:rFonts w:hint="eastAsia" w:ascii="宋体" w:hAnsi="宋体" w:cs="宋体"/>
                <w:color w:val="auto"/>
                <w:szCs w:val="21"/>
                <w:highlight w:val="none"/>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618" w:type="dxa"/>
            <w:gridSpan w:val="2"/>
            <w:vAlign w:val="center"/>
          </w:tcPr>
          <w:p>
            <w:pPr>
              <w:spacing w:line="276" w:lineRule="auto"/>
              <w:jc w:val="center"/>
              <w:rPr>
                <w:rFonts w:ascii="宋体" w:hAnsi="宋体"/>
                <w:color w:val="auto"/>
                <w:szCs w:val="21"/>
                <w:highlight w:val="none"/>
              </w:rPr>
            </w:pPr>
            <w:r>
              <w:rPr>
                <w:rFonts w:ascii="宋体" w:hAnsi="宋体"/>
                <w:color w:val="auto"/>
                <w:szCs w:val="21"/>
                <w:highlight w:val="none"/>
              </w:rPr>
              <w:t>2.2.3</w:t>
            </w: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投标报价的偏差率计算公式</w:t>
            </w:r>
          </w:p>
        </w:tc>
        <w:tc>
          <w:tcPr>
            <w:tcW w:w="7136" w:type="dxa"/>
            <w:vAlign w:val="center"/>
          </w:tcPr>
          <w:p>
            <w:pPr>
              <w:spacing w:line="276" w:lineRule="auto"/>
              <w:rPr>
                <w:rFonts w:ascii="宋体" w:hAnsi="宋体"/>
                <w:color w:val="auto"/>
                <w:szCs w:val="21"/>
                <w:highlight w:val="none"/>
              </w:rPr>
            </w:pPr>
            <w:r>
              <w:rPr>
                <w:rFonts w:hint="eastAsia" w:ascii="宋体" w:hAnsi="宋体"/>
                <w:color w:val="auto"/>
                <w:szCs w:val="21"/>
                <w:highlight w:val="none"/>
              </w:rPr>
              <w:t>投标报价的偏差率=（有效投标报价-</w:t>
            </w:r>
            <w:r>
              <w:rPr>
                <w:rFonts w:hint="eastAsia" w:ascii="宋体" w:hAnsi="宋体" w:cs="宋体"/>
                <w:color w:val="auto"/>
                <w:szCs w:val="21"/>
                <w:highlight w:val="none"/>
              </w:rPr>
              <w:t>评标参考价</w:t>
            </w:r>
            <w:r>
              <w:rPr>
                <w:rFonts w:hint="eastAsia" w:ascii="宋体" w:hAnsi="宋体"/>
                <w:color w:val="auto"/>
                <w:szCs w:val="21"/>
                <w:highlight w:val="none"/>
              </w:rPr>
              <w:t>）/</w:t>
            </w:r>
            <w:r>
              <w:rPr>
                <w:rFonts w:hint="eastAsia" w:ascii="宋体" w:hAnsi="宋体" w:cs="宋体"/>
                <w:color w:val="auto"/>
                <w:szCs w:val="21"/>
                <w:highlight w:val="none"/>
              </w:rPr>
              <w:t>评标参考价</w:t>
            </w:r>
            <w:r>
              <w:rPr>
                <w:rFonts w:hint="eastAsia" w:ascii="宋体" w:hAnsi="宋体"/>
                <w:color w:val="auto"/>
                <w:szCs w:val="21"/>
                <w:highlight w:val="none"/>
              </w:rPr>
              <w:t>×100%（偏差率出现小数点时，保留小数点后2位，第三位小数四舍五入。）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67" w:type="dxa"/>
            <w:vMerge w:val="restart"/>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2.2.4（1）</w:t>
            </w:r>
          </w:p>
        </w:tc>
        <w:tc>
          <w:tcPr>
            <w:tcW w:w="851" w:type="dxa"/>
            <w:vMerge w:val="restar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企业综合实力评分标准</w:t>
            </w: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类似业绩</w:t>
            </w:r>
          </w:p>
        </w:tc>
        <w:tc>
          <w:tcPr>
            <w:tcW w:w="7136" w:type="dxa"/>
            <w:vAlign w:val="center"/>
          </w:tcPr>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7" w:type="dxa"/>
            <w:vMerge w:val="continue"/>
            <w:vAlign w:val="center"/>
          </w:tcPr>
          <w:p>
            <w:pPr>
              <w:spacing w:line="276" w:lineRule="auto"/>
              <w:jc w:val="center"/>
              <w:rPr>
                <w:rFonts w:ascii="宋体" w:hAnsi="宋体" w:cs="宋体"/>
                <w:color w:val="auto"/>
                <w:szCs w:val="21"/>
                <w:highlight w:val="none"/>
              </w:rPr>
            </w:pPr>
          </w:p>
        </w:tc>
        <w:tc>
          <w:tcPr>
            <w:tcW w:w="851" w:type="dxa"/>
            <w:vMerge w:val="continue"/>
            <w:vAlign w:val="center"/>
          </w:tcPr>
          <w:p>
            <w:pPr>
              <w:spacing w:line="276" w:lineRule="auto"/>
              <w:jc w:val="center"/>
              <w:rPr>
                <w:rFonts w:ascii="宋体" w:hAnsi="宋体" w:cs="微软雅黑"/>
                <w:color w:val="auto"/>
                <w:sz w:val="22"/>
                <w:highlight w:val="none"/>
              </w:rPr>
            </w:pPr>
          </w:p>
        </w:tc>
        <w:tc>
          <w:tcPr>
            <w:tcW w:w="1550" w:type="dxa"/>
            <w:vAlign w:val="center"/>
          </w:tcPr>
          <w:p>
            <w:pPr>
              <w:spacing w:line="276" w:lineRule="auto"/>
              <w:jc w:val="center"/>
              <w:rPr>
                <w:rFonts w:ascii="宋体" w:hAnsi="宋体" w:cs="宋体"/>
                <w:color w:val="auto"/>
                <w:sz w:val="22"/>
                <w:szCs w:val="21"/>
                <w:highlight w:val="none"/>
              </w:rPr>
            </w:pPr>
            <w:r>
              <w:rPr>
                <w:rFonts w:hint="eastAsia" w:ascii="宋体" w:hAnsi="宋体" w:cs="宋体"/>
                <w:color w:val="auto"/>
                <w:szCs w:val="21"/>
                <w:highlight w:val="none"/>
              </w:rPr>
              <w:t>企业资信</w:t>
            </w:r>
          </w:p>
        </w:tc>
        <w:tc>
          <w:tcPr>
            <w:tcW w:w="7136" w:type="dxa"/>
            <w:vAlign w:val="center"/>
          </w:tcPr>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拟投入人员综合水平</w:t>
            </w:r>
          </w:p>
        </w:tc>
        <w:tc>
          <w:tcPr>
            <w:tcW w:w="7136" w:type="dxa"/>
            <w:vAlign w:val="center"/>
          </w:tcPr>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7" w:type="dxa"/>
            <w:vMerge w:val="restart"/>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851" w:type="dxa"/>
            <w:vMerge w:val="restart"/>
            <w:vAlign w:val="center"/>
          </w:tcPr>
          <w:p>
            <w:pPr>
              <w:spacing w:line="276" w:lineRule="auto"/>
              <w:jc w:val="center"/>
              <w:rPr>
                <w:rFonts w:ascii="宋体" w:hAnsi="宋体" w:cs="微软雅黑"/>
                <w:color w:val="auto"/>
                <w:sz w:val="22"/>
                <w:highlight w:val="none"/>
              </w:rPr>
            </w:pPr>
            <w:r>
              <w:rPr>
                <w:rFonts w:hint="eastAsia" w:ascii="宋体" w:hAnsi="宋体" w:cs="宋体"/>
                <w:color w:val="auto"/>
                <w:szCs w:val="21"/>
                <w:highlight w:val="none"/>
              </w:rPr>
              <w:t>技术方案评分标准</w:t>
            </w: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拟投入本项目的检测设备</w:t>
            </w:r>
          </w:p>
        </w:tc>
        <w:tc>
          <w:tcPr>
            <w:tcW w:w="7136" w:type="dxa"/>
            <w:vAlign w:val="center"/>
          </w:tcPr>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67" w:type="dxa"/>
            <w:vMerge w:val="continue"/>
            <w:vAlign w:val="center"/>
          </w:tcPr>
          <w:p>
            <w:pPr>
              <w:spacing w:line="276" w:lineRule="auto"/>
              <w:jc w:val="center"/>
              <w:rPr>
                <w:rFonts w:ascii="宋体" w:hAnsi="宋体"/>
                <w:color w:val="auto"/>
                <w:szCs w:val="21"/>
                <w:highlight w:val="none"/>
              </w:rPr>
            </w:pPr>
          </w:p>
        </w:tc>
        <w:tc>
          <w:tcPr>
            <w:tcW w:w="851" w:type="dxa"/>
            <w:vMerge w:val="continue"/>
            <w:vAlign w:val="center"/>
          </w:tcPr>
          <w:p>
            <w:pPr>
              <w:spacing w:line="276" w:lineRule="auto"/>
              <w:jc w:val="center"/>
              <w:rPr>
                <w:rFonts w:ascii="宋体" w:hAnsi="宋体"/>
                <w:color w:val="auto"/>
                <w:szCs w:val="21"/>
                <w:highlight w:val="none"/>
              </w:rPr>
            </w:pPr>
          </w:p>
        </w:tc>
        <w:tc>
          <w:tcPr>
            <w:tcW w:w="1550" w:type="dxa"/>
            <w:vAlign w:val="center"/>
          </w:tcPr>
          <w:p>
            <w:pPr>
              <w:spacing w:line="276" w:lineRule="auto"/>
              <w:jc w:val="center"/>
              <w:rPr>
                <w:rFonts w:ascii="宋体" w:hAnsi="宋体" w:cs="宋体"/>
                <w:color w:val="auto"/>
                <w:szCs w:val="21"/>
                <w:highlight w:val="none"/>
              </w:rPr>
            </w:pPr>
            <w:r>
              <w:rPr>
                <w:rFonts w:hint="eastAsia" w:ascii="宋体" w:hAnsi="宋体"/>
                <w:color w:val="auto"/>
                <w:szCs w:val="21"/>
                <w:highlight w:val="none"/>
              </w:rPr>
              <w:t>检测方案</w:t>
            </w:r>
          </w:p>
        </w:tc>
        <w:tc>
          <w:tcPr>
            <w:tcW w:w="7136" w:type="dxa"/>
            <w:vAlign w:val="center"/>
          </w:tcPr>
          <w:p>
            <w:pPr>
              <w:spacing w:line="276" w:lineRule="auto"/>
              <w:rPr>
                <w:rFonts w:ascii="宋体" w:hAnsi="宋体"/>
                <w:color w:val="auto"/>
                <w:szCs w:val="21"/>
                <w:highlight w:val="none"/>
              </w:rPr>
            </w:pPr>
            <w:r>
              <w:rPr>
                <w:rFonts w:hint="eastAsia" w:ascii="宋体" w:hAnsi="宋体" w:cs="宋体"/>
                <w:color w:val="auto"/>
                <w:szCs w:val="21"/>
                <w:highlight w:val="none"/>
              </w:rPr>
              <w:t>详见本章附表：综合评分表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67" w:type="dxa"/>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851" w:type="dxa"/>
            <w:vAlign w:val="center"/>
          </w:tcPr>
          <w:p>
            <w:pPr>
              <w:spacing w:line="276" w:lineRule="auto"/>
              <w:ind w:left="-107" w:leftChars="-51" w:right="-107" w:rightChars="-51"/>
              <w:jc w:val="center"/>
              <w:rPr>
                <w:rFonts w:ascii="宋体" w:hAnsi="宋体" w:cs="宋体"/>
                <w:color w:val="auto"/>
                <w:szCs w:val="21"/>
                <w:highlight w:val="none"/>
              </w:rPr>
            </w:pPr>
            <w:r>
              <w:rPr>
                <w:rFonts w:hint="eastAsia" w:ascii="宋体" w:hAnsi="宋体" w:cs="宋体"/>
                <w:color w:val="auto"/>
                <w:szCs w:val="21"/>
                <w:highlight w:val="none"/>
              </w:rPr>
              <w:t>投标报价评分标准</w:t>
            </w:r>
          </w:p>
        </w:tc>
        <w:tc>
          <w:tcPr>
            <w:tcW w:w="8686" w:type="dxa"/>
            <w:gridSpan w:val="2"/>
            <w:vAlign w:val="center"/>
          </w:tcPr>
          <w:p>
            <w:pPr>
              <w:widowControl/>
              <w:spacing w:line="276" w:lineRule="auto"/>
              <w:rPr>
                <w:rFonts w:ascii="宋体" w:hAnsi="宋体" w:cs="宋体"/>
                <w:color w:val="auto"/>
                <w:kern w:val="0"/>
                <w:szCs w:val="21"/>
                <w:highlight w:val="none"/>
              </w:rPr>
            </w:pPr>
            <w:r>
              <w:rPr>
                <w:rFonts w:hint="eastAsia" w:ascii="宋体" w:hAnsi="宋体" w:cs="宋体"/>
                <w:color w:val="auto"/>
                <w:szCs w:val="21"/>
                <w:highlight w:val="none"/>
              </w:rPr>
              <w:t>以评标参考价作为计算各有效投标价得分的基础，当有效投标价等于评标参考值时得</w:t>
            </w:r>
            <w:r>
              <w:rPr>
                <w:rFonts w:hint="eastAsia" w:ascii="宋体" w:hAnsi="宋体" w:cs="宋体"/>
                <w:color w:val="auto"/>
                <w:szCs w:val="21"/>
                <w:highlight w:val="none"/>
                <w:u w:val="single"/>
              </w:rPr>
              <w:t>20</w:t>
            </w:r>
            <w:r>
              <w:rPr>
                <w:rFonts w:hint="eastAsia" w:ascii="宋体" w:hAnsi="宋体" w:cs="宋体"/>
                <w:color w:val="auto"/>
                <w:szCs w:val="21"/>
                <w:highlight w:val="none"/>
              </w:rPr>
              <w:t>分；投标有效投价与评标参考价相比，每上偏1%扣</w:t>
            </w:r>
            <w:r>
              <w:rPr>
                <w:rFonts w:hint="eastAsia" w:ascii="宋体" w:hAnsi="宋体" w:cs="宋体"/>
                <w:b/>
                <w:color w:val="auto"/>
                <w:szCs w:val="21"/>
                <w:highlight w:val="none"/>
                <w:u w:val="single"/>
              </w:rPr>
              <w:t>1.0</w:t>
            </w:r>
            <w:r>
              <w:rPr>
                <w:rFonts w:hint="eastAsia" w:ascii="宋体" w:hAnsi="宋体" w:cs="宋体"/>
                <w:color w:val="auto"/>
                <w:szCs w:val="21"/>
                <w:highlight w:val="none"/>
              </w:rPr>
              <w:t>分，每下偏1%扣</w:t>
            </w:r>
            <w:r>
              <w:rPr>
                <w:rFonts w:hint="eastAsia" w:ascii="宋体" w:hAnsi="宋体" w:cs="宋体"/>
                <w:b/>
                <w:color w:val="auto"/>
                <w:szCs w:val="21"/>
                <w:highlight w:val="none"/>
                <w:u w:val="single"/>
              </w:rPr>
              <w:t>0.5</w:t>
            </w:r>
            <w:r>
              <w:rPr>
                <w:rFonts w:hint="eastAsia" w:ascii="宋体" w:hAnsi="宋体" w:cs="宋体"/>
                <w:color w:val="auto"/>
                <w:szCs w:val="21"/>
                <w:highlight w:val="none"/>
              </w:rPr>
              <w:t>分。</w:t>
            </w:r>
            <w:r>
              <w:rPr>
                <w:rFonts w:hint="eastAsia" w:ascii="宋体" w:hAnsi="宋体"/>
                <w:b/>
                <w:color w:val="auto"/>
                <w:szCs w:val="21"/>
                <w:highlight w:val="none"/>
              </w:rPr>
              <w:t>得分精确到小数点后两位。</w:t>
            </w:r>
          </w:p>
        </w:tc>
      </w:tr>
    </w:tbl>
    <w:p>
      <w:pPr>
        <w:rPr>
          <w:rFonts w:ascii="宋体" w:hAnsi="宋体"/>
          <w:color w:val="auto"/>
          <w:highlight w:val="none"/>
        </w:rPr>
      </w:pPr>
    </w:p>
    <w:p>
      <w:pPr>
        <w:pStyle w:val="7"/>
        <w:rPr>
          <w:rFonts w:cs="宋体"/>
          <w:color w:val="auto"/>
          <w:szCs w:val="21"/>
          <w:highlight w:val="none"/>
        </w:rPr>
        <w:sectPr>
          <w:pgSz w:w="11906" w:h="16838"/>
          <w:pgMar w:top="1417" w:right="1417" w:bottom="1417" w:left="1417" w:header="850" w:footer="567" w:gutter="0"/>
          <w:cols w:space="720" w:num="1"/>
        </w:sectPr>
      </w:pPr>
    </w:p>
    <w:p>
      <w:pPr>
        <w:pStyle w:val="7"/>
        <w:rPr>
          <w:color w:val="auto"/>
          <w:highlight w:val="none"/>
        </w:rPr>
      </w:pPr>
      <w:bookmarkStart w:id="122" w:name="_Toc4512"/>
      <w:bookmarkStart w:id="123" w:name="_Toc2152"/>
      <w:bookmarkStart w:id="124" w:name="_Toc1446"/>
      <w:r>
        <w:rPr>
          <w:rFonts w:hint="eastAsia"/>
          <w:color w:val="auto"/>
          <w:highlight w:val="none"/>
        </w:rPr>
        <w:t>附表一：形式评审表</w:t>
      </w:r>
      <w:bookmarkEnd w:id="122"/>
      <w:bookmarkEnd w:id="123"/>
      <w:bookmarkEnd w:id="124"/>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形式评审表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44"/>
        <w:gridCol w:w="534"/>
        <w:gridCol w:w="762"/>
        <w:gridCol w:w="762"/>
        <w:gridCol w:w="76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4344" w:type="dxa"/>
            <w:tcBorders>
              <w:tl2br w:val="single" w:color="auto" w:sz="4" w:space="0"/>
            </w:tcBorders>
            <w:vAlign w:val="center"/>
          </w:tcPr>
          <w:p>
            <w:pPr>
              <w:tabs>
                <w:tab w:val="left" w:pos="720"/>
              </w:tabs>
              <w:snapToGrid w:val="0"/>
              <w:spacing w:line="276" w:lineRule="auto"/>
              <w:ind w:firstLine="2415" w:firstLineChars="1150"/>
              <w:rPr>
                <w:rFonts w:ascii="宋体" w:hAnsi="宋体"/>
                <w:color w:val="auto"/>
                <w:szCs w:val="21"/>
                <w:highlight w:val="none"/>
              </w:rPr>
            </w:pPr>
            <w:r>
              <w:rPr>
                <w:rFonts w:hint="eastAsia" w:ascii="宋体" w:hAnsi="宋体"/>
                <w:color w:val="auto"/>
                <w:szCs w:val="21"/>
                <w:highlight w:val="none"/>
              </w:rPr>
              <w:t>投标人名称</w:t>
            </w:r>
          </w:p>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534" w:type="dxa"/>
            <w:vAlign w:val="center"/>
          </w:tcPr>
          <w:p>
            <w:pPr>
              <w:tabs>
                <w:tab w:val="left" w:pos="720"/>
              </w:tabs>
              <w:snapToGrid w:val="0"/>
              <w:spacing w:line="276" w:lineRule="auto"/>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投标人名称：与营业执照（或事业单位法人证书）、资质证书一致。</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投标函及其附表签字盖章：投标函及其附表格式及签字盖章符合招标文件要求，由法定代表人签字的，应附法定代表人证明书，由代理人签字的，应附法定代表人证明书及授权委托书。</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投标文件格式：符合第六章“投标文件格式”的规定。</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4</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备选投标方案：不允许。</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5</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投标人机器码：不同投标人机器码相同（以广州公共资源交易中心评标系统的检索信息为准），将被否决。</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4344"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534"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74" w:type="dxa"/>
            <w:vAlign w:val="center"/>
          </w:tcPr>
          <w:p>
            <w:pPr>
              <w:tabs>
                <w:tab w:val="left" w:pos="720"/>
              </w:tabs>
              <w:snapToGrid w:val="0"/>
              <w:spacing w:line="276" w:lineRule="auto"/>
              <w:jc w:val="center"/>
              <w:rPr>
                <w:rFonts w:ascii="宋体" w:hAnsi="宋体"/>
                <w:color w:val="auto"/>
                <w:szCs w:val="21"/>
                <w:highlight w:val="none"/>
              </w:rPr>
            </w:pPr>
          </w:p>
        </w:tc>
      </w:tr>
    </w:tbl>
    <w:p>
      <w:pPr>
        <w:pStyle w:val="7"/>
        <w:rPr>
          <w:rFonts w:cs="宋体"/>
          <w:color w:val="auto"/>
          <w:highlight w:val="none"/>
        </w:rPr>
      </w:pPr>
      <w:r>
        <w:rPr>
          <w:rFonts w:cs="宋体"/>
          <w:color w:val="auto"/>
          <w:szCs w:val="21"/>
          <w:highlight w:val="none"/>
        </w:rPr>
        <w:br w:type="page"/>
      </w:r>
      <w:bookmarkStart w:id="125" w:name="_Toc18815"/>
      <w:bookmarkStart w:id="126" w:name="_Toc32435"/>
      <w:bookmarkStart w:id="127" w:name="_Toc7134"/>
      <w:r>
        <w:rPr>
          <w:rFonts w:hint="eastAsia" w:cs="宋体"/>
          <w:color w:val="auto"/>
          <w:highlight w:val="none"/>
        </w:rPr>
        <w:t>附表二：资格评审表</w:t>
      </w:r>
      <w:bookmarkEnd w:id="125"/>
      <w:bookmarkEnd w:id="126"/>
      <w:bookmarkEnd w:id="127"/>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资格评审表</w:t>
      </w:r>
    </w:p>
    <w:tbl>
      <w:tblPr>
        <w:tblStyle w:val="29"/>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63"/>
        <w:gridCol w:w="553"/>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7163" w:type="dxa"/>
            <w:tcBorders>
              <w:tl2br w:val="single" w:color="auto" w:sz="4" w:space="0"/>
            </w:tcBorders>
            <w:vAlign w:val="center"/>
          </w:tcPr>
          <w:p>
            <w:pPr>
              <w:tabs>
                <w:tab w:val="left" w:pos="720"/>
              </w:tabs>
              <w:snapToGrid w:val="0"/>
              <w:spacing w:line="276" w:lineRule="auto"/>
              <w:ind w:firstLine="4620" w:firstLineChars="2200"/>
              <w:rPr>
                <w:rFonts w:ascii="宋体" w:hAnsi="宋体"/>
                <w:color w:val="auto"/>
                <w:szCs w:val="21"/>
                <w:highlight w:val="none"/>
              </w:rPr>
            </w:pPr>
            <w:r>
              <w:rPr>
                <w:rFonts w:hint="eastAsia" w:ascii="宋体" w:hAnsi="宋体"/>
                <w:color w:val="auto"/>
                <w:szCs w:val="21"/>
                <w:highlight w:val="none"/>
              </w:rPr>
              <w:t>投标人名称</w:t>
            </w:r>
          </w:p>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审查项目</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投标人（或联合体各方）具有独立法人资格，持有事业单位登记管理部门核发的事业单位法人证书或工商行政管理部门核发的企业法人营业执照，且在营业期限内。</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具备建设行政主管部门颁发的建设工程质量检测机构资质证书（检测范围覆盖地基基础检测、主体结构工程现场检测、见证取样材料检测），且证书在有效期内。</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4</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具有质量技术监督部门颁发的CMA计量认证合格证书或CMA检验检测机构资质认定证书（CMA计量认证合格证书附表的认证范围覆盖招标主要内容：地基基础工程检测、主体结构工程现场检测、见证取样材料检测），且证书在有效期内。如投标人CMA计量认证合格证书中的检测项目与上述名称不同，但表达的意思一致也视为满足本项条件。</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5</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投标人（或联合体主办方）拟委派项目负责人要求具备工程类相关专业工程师或以上职称。</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6</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投标登记前，投标人（或联合体各方）须在广州公共资源交易中心平台完成企业信息登记。</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7</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投标人（或联合体主办方）出具按照招标文件要求的格式签署盖章的《投标申请人声明》（格式见招标文件第六章）。</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8</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投标人（或联合体主办方）近二年（从</w:t>
            </w:r>
            <w:r>
              <w:rPr>
                <w:rFonts w:hint="eastAsia" w:ascii="宋体" w:hAnsi="宋体"/>
                <w:color w:val="auto"/>
                <w:szCs w:val="21"/>
                <w:highlight w:val="none"/>
                <w:lang w:val="en-US" w:eastAsia="zh-CN"/>
              </w:rPr>
              <w:t>2020</w:t>
            </w:r>
            <w:r>
              <w:rPr>
                <w:rFonts w:hint="eastAsia" w:ascii="宋体" w:hAnsi="宋体"/>
                <w:color w:val="auto"/>
                <w:szCs w:val="21"/>
                <w:highlight w:val="none"/>
              </w:rPr>
              <w:t>年1月1日起至投标截止时间止）未因以往检测工作中存在伪造检测数据、出具虚假检测报告的行为被各级建设行政主管部门或市场监督管理部门行政处罚或通报的（按投标人提供的《投标申请人声明》第三条内容进行评审）。</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9</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关于联合体投标：本项目接受联合体投标，并满足招标公告要求。</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10</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本项目不接受被列入我区不良记录名单（处罚有效期内）的单位或个人（指项目负责人）投标，不良记录具体名单以资格审查时广州市黄埔区人民政府、广州开发区管委会网站的区住房城乡建设局网页“建筑活动不良行为记录”栏目（网址：http://www.hp.gov.cn/gzjg/qzfgwhgzbm/qzfhcxjsj10/jzhdblxwjl/）公布名单为准。若资格审查时网址有变化，以最新网址为准。</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7163"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3" w:type="dxa"/>
            <w:vAlign w:val="center"/>
          </w:tcPr>
          <w:p>
            <w:pPr>
              <w:tabs>
                <w:tab w:val="left" w:pos="720"/>
              </w:tabs>
              <w:snapToGrid w:val="0"/>
              <w:spacing w:line="276" w:lineRule="auto"/>
              <w:jc w:val="center"/>
              <w:rPr>
                <w:rFonts w:ascii="宋体" w:hAnsi="宋体"/>
                <w:color w:val="auto"/>
                <w:szCs w:val="21"/>
                <w:highlight w:val="none"/>
              </w:rPr>
            </w:pPr>
          </w:p>
        </w:tc>
        <w:tc>
          <w:tcPr>
            <w:tcW w:w="554" w:type="dxa"/>
            <w:vAlign w:val="center"/>
          </w:tcPr>
          <w:p>
            <w:pPr>
              <w:tabs>
                <w:tab w:val="left" w:pos="720"/>
              </w:tabs>
              <w:snapToGrid w:val="0"/>
              <w:spacing w:line="276" w:lineRule="auto"/>
              <w:jc w:val="center"/>
              <w:rPr>
                <w:rFonts w:ascii="宋体" w:hAnsi="宋体"/>
                <w:color w:val="auto"/>
                <w:szCs w:val="21"/>
                <w:highlight w:val="none"/>
              </w:rPr>
            </w:pPr>
          </w:p>
        </w:tc>
      </w:tr>
    </w:tbl>
    <w:p>
      <w:pPr>
        <w:rPr>
          <w:rFonts w:ascii="宋体" w:hAnsi="宋体"/>
          <w:color w:val="auto"/>
          <w:highlight w:val="none"/>
        </w:rPr>
      </w:pPr>
    </w:p>
    <w:p>
      <w:pPr>
        <w:rPr>
          <w:rFonts w:ascii="宋体" w:hAnsi="宋体" w:cs="宋体"/>
          <w:color w:val="auto"/>
          <w:highlight w:val="none"/>
        </w:rPr>
      </w:pPr>
    </w:p>
    <w:p>
      <w:pPr>
        <w:pStyle w:val="7"/>
        <w:rPr>
          <w:rFonts w:cs="宋体"/>
          <w:color w:val="auto"/>
          <w:szCs w:val="21"/>
          <w:highlight w:val="none"/>
        </w:rPr>
      </w:pPr>
      <w:r>
        <w:rPr>
          <w:rFonts w:hint="eastAsia" w:cs="宋体"/>
          <w:color w:val="auto"/>
          <w:highlight w:val="none"/>
        </w:rPr>
        <w:br w:type="page"/>
      </w:r>
      <w:bookmarkStart w:id="128" w:name="_Toc14711"/>
      <w:bookmarkStart w:id="129" w:name="_Toc25723"/>
      <w:bookmarkStart w:id="130" w:name="_Toc8668"/>
      <w:r>
        <w:rPr>
          <w:rFonts w:hint="eastAsia" w:cs="宋体"/>
          <w:color w:val="auto"/>
          <w:highlight w:val="none"/>
        </w:rPr>
        <w:t>附表三：响应性评审表</w:t>
      </w:r>
      <w:bookmarkEnd w:id="128"/>
      <w:bookmarkEnd w:id="129"/>
      <w:bookmarkEnd w:id="130"/>
    </w:p>
    <w:p>
      <w:pPr>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响应性评审表</w:t>
      </w:r>
    </w:p>
    <w:p>
      <w:pPr>
        <w:rPr>
          <w:rFonts w:ascii="宋体" w:hAnsi="宋体"/>
          <w:color w:val="auto"/>
          <w:sz w:val="18"/>
          <w:szCs w:val="18"/>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927"/>
        <w:gridCol w:w="761"/>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编号</w:t>
            </w:r>
          </w:p>
        </w:tc>
        <w:tc>
          <w:tcPr>
            <w:tcW w:w="4927" w:type="dxa"/>
            <w:tcBorders>
              <w:tl2br w:val="single" w:color="auto" w:sz="4" w:space="0"/>
            </w:tcBorders>
            <w:vAlign w:val="center"/>
          </w:tcPr>
          <w:p>
            <w:pPr>
              <w:tabs>
                <w:tab w:val="left" w:pos="720"/>
              </w:tabs>
              <w:snapToGrid w:val="0"/>
              <w:spacing w:line="276" w:lineRule="auto"/>
              <w:ind w:firstLine="2940" w:firstLineChars="1400"/>
              <w:rPr>
                <w:rFonts w:ascii="宋体" w:hAnsi="宋体"/>
                <w:color w:val="auto"/>
                <w:szCs w:val="21"/>
                <w:highlight w:val="none"/>
              </w:rPr>
            </w:pPr>
            <w:r>
              <w:rPr>
                <w:rFonts w:hint="eastAsia" w:ascii="宋体" w:hAnsi="宋体"/>
                <w:color w:val="auto"/>
                <w:szCs w:val="21"/>
                <w:highlight w:val="none"/>
              </w:rPr>
              <w:t>投标人名称</w:t>
            </w:r>
          </w:p>
          <w:p>
            <w:pPr>
              <w:tabs>
                <w:tab w:val="left" w:pos="720"/>
              </w:tabs>
              <w:snapToGrid w:val="0"/>
              <w:spacing w:line="276" w:lineRule="auto"/>
              <w:rPr>
                <w:rFonts w:ascii="宋体" w:hAnsi="宋体"/>
                <w:color w:val="auto"/>
                <w:szCs w:val="21"/>
                <w:highlight w:val="none"/>
              </w:rPr>
            </w:pPr>
          </w:p>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评审项目</w:t>
            </w:r>
          </w:p>
        </w:tc>
        <w:tc>
          <w:tcPr>
            <w:tcW w:w="761" w:type="dxa"/>
            <w:vAlign w:val="center"/>
          </w:tcPr>
          <w:p>
            <w:pPr>
              <w:tabs>
                <w:tab w:val="left" w:pos="720"/>
              </w:tabs>
              <w:snapToGrid w:val="0"/>
              <w:spacing w:line="276" w:lineRule="auto"/>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1</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投标报价：符合第二章“投标人须知”第3.2款规定；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2</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投标内容：符合第二章“投标人须知”第1.3.1规定；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3</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服务期限：符合第二章“投标人须知”第1.3.2规定；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4</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质量标准：符合第二章“投标人须知”第1.3.3规定；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5</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投标有效期：符合第二章“投标人须知”第3.3.1规定；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6</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投标保证金：符合第二章“投标人须知”第3.4.1规定；</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7</w:t>
            </w:r>
          </w:p>
        </w:tc>
        <w:tc>
          <w:tcPr>
            <w:tcW w:w="4927" w:type="dxa"/>
            <w:vAlign w:val="center"/>
          </w:tcPr>
          <w:p>
            <w:pPr>
              <w:tabs>
                <w:tab w:val="left" w:pos="720"/>
              </w:tabs>
              <w:snapToGrid w:val="0"/>
              <w:spacing w:line="276" w:lineRule="auto"/>
              <w:rPr>
                <w:rFonts w:ascii="宋体" w:hAnsi="宋体" w:cs="宋体"/>
                <w:color w:val="auto"/>
                <w:szCs w:val="21"/>
                <w:highlight w:val="none"/>
              </w:rPr>
            </w:pPr>
            <w:r>
              <w:rPr>
                <w:rFonts w:hint="eastAsia" w:ascii="宋体" w:hAnsi="宋体" w:cs="宋体"/>
                <w:color w:val="auto"/>
                <w:szCs w:val="21"/>
                <w:highlight w:val="none"/>
              </w:rPr>
              <w:t>串通投标情形：不存在串通投标情形（串通投标情形以《中华人民共和国招标投标法实施条例》的规定为准）；</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6" w:type="dxa"/>
            <w:vAlign w:val="center"/>
          </w:tcPr>
          <w:p>
            <w:pPr>
              <w:tabs>
                <w:tab w:val="left" w:pos="720"/>
              </w:tabs>
              <w:snapToGrid w:val="0"/>
              <w:spacing w:line="276" w:lineRule="auto"/>
              <w:jc w:val="center"/>
              <w:rPr>
                <w:rFonts w:ascii="宋体" w:hAnsi="宋体"/>
                <w:color w:val="auto"/>
                <w:szCs w:val="21"/>
                <w:highlight w:val="none"/>
              </w:rPr>
            </w:pPr>
            <w:r>
              <w:rPr>
                <w:rFonts w:hint="eastAsia" w:ascii="宋体" w:hAnsi="宋体"/>
                <w:color w:val="auto"/>
                <w:szCs w:val="21"/>
                <w:highlight w:val="none"/>
              </w:rPr>
              <w:t>结论</w:t>
            </w:r>
          </w:p>
        </w:tc>
        <w:tc>
          <w:tcPr>
            <w:tcW w:w="4927" w:type="dxa"/>
            <w:vAlign w:val="center"/>
          </w:tcPr>
          <w:p>
            <w:pPr>
              <w:tabs>
                <w:tab w:val="left" w:pos="720"/>
              </w:tabs>
              <w:snapToGrid w:val="0"/>
              <w:spacing w:line="276" w:lineRule="auto"/>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761"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c>
          <w:tcPr>
            <w:tcW w:w="762" w:type="dxa"/>
            <w:vAlign w:val="center"/>
          </w:tcPr>
          <w:p>
            <w:pPr>
              <w:tabs>
                <w:tab w:val="left" w:pos="720"/>
              </w:tabs>
              <w:snapToGrid w:val="0"/>
              <w:spacing w:line="276" w:lineRule="auto"/>
              <w:jc w:val="center"/>
              <w:rPr>
                <w:rFonts w:ascii="宋体" w:hAnsi="宋体"/>
                <w:color w:val="auto"/>
                <w:szCs w:val="21"/>
                <w:highlight w:val="none"/>
              </w:rPr>
            </w:pPr>
          </w:p>
        </w:tc>
      </w:tr>
    </w:tbl>
    <w:p>
      <w:pPr>
        <w:pStyle w:val="7"/>
        <w:rPr>
          <w:color w:val="auto"/>
          <w:highlight w:val="none"/>
        </w:rPr>
      </w:pPr>
      <w:r>
        <w:rPr>
          <w:rFonts w:hint="eastAsia" w:cs="宋体"/>
          <w:color w:val="auto"/>
          <w:highlight w:val="none"/>
        </w:rPr>
        <w:br w:type="page"/>
      </w:r>
      <w:bookmarkStart w:id="131" w:name="_Toc28823"/>
      <w:bookmarkStart w:id="132" w:name="_Toc2105"/>
      <w:bookmarkStart w:id="133" w:name="_Toc19098"/>
      <w:r>
        <w:rPr>
          <w:rFonts w:hint="eastAsia"/>
          <w:color w:val="auto"/>
          <w:highlight w:val="none"/>
        </w:rPr>
        <w:t>附表四：综合评分表</w:t>
      </w:r>
      <w:bookmarkEnd w:id="131"/>
      <w:bookmarkEnd w:id="132"/>
      <w:bookmarkEnd w:id="133"/>
    </w:p>
    <w:tbl>
      <w:tblPr>
        <w:tblStyle w:val="29"/>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66"/>
        <w:gridCol w:w="1291"/>
        <w:gridCol w:w="5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b/>
                <w:bCs/>
                <w:color w:val="auto"/>
                <w:szCs w:val="21"/>
                <w:highlight w:val="none"/>
              </w:rPr>
            </w:pPr>
            <w:bookmarkStart w:id="134" w:name="_Toc15751"/>
            <w:bookmarkStart w:id="135" w:name="_Toc31465"/>
            <w:r>
              <w:rPr>
                <w:rFonts w:hint="eastAsia" w:ascii="宋体" w:hAnsi="宋体" w:cs="宋体"/>
                <w:b/>
                <w:bCs/>
                <w:color w:val="auto"/>
                <w:szCs w:val="21"/>
                <w:highlight w:val="none"/>
              </w:rPr>
              <w:t>项目</w:t>
            </w:r>
          </w:p>
        </w:tc>
        <w:tc>
          <w:tcPr>
            <w:tcW w:w="2557"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评分因素</w:t>
            </w:r>
          </w:p>
        </w:tc>
        <w:tc>
          <w:tcPr>
            <w:tcW w:w="5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96"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ind w:left="181" w:right="-20"/>
              <w:jc w:val="center"/>
              <w:rPr>
                <w:rFonts w:ascii="宋体" w:hAnsi="宋体" w:cs="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ind w:left="136" w:right="59"/>
              <w:jc w:val="center"/>
              <w:rPr>
                <w:rFonts w:ascii="宋体" w:hAnsi="宋体"/>
                <w:color w:val="auto"/>
                <w:szCs w:val="21"/>
                <w:highlight w:val="none"/>
              </w:rPr>
            </w:pPr>
            <w:r>
              <w:rPr>
                <w:rFonts w:hint="eastAsia" w:ascii="宋体" w:hAnsi="宋体"/>
                <w:color w:val="auto"/>
                <w:szCs w:val="21"/>
                <w:highlight w:val="none"/>
              </w:rPr>
              <w:t>企业综合实力评分标准</w:t>
            </w:r>
          </w:p>
          <w:p>
            <w:pPr>
              <w:adjustRightInd w:val="0"/>
              <w:snapToGrid w:val="0"/>
              <w:spacing w:line="360" w:lineRule="exact"/>
              <w:ind w:left="136" w:right="59"/>
              <w:jc w:val="center"/>
              <w:rPr>
                <w:rFonts w:ascii="宋体" w:hAnsi="宋体" w:cs="宋体"/>
                <w:color w:val="auto"/>
                <w:szCs w:val="21"/>
                <w:highlight w:val="none"/>
              </w:rPr>
            </w:pPr>
            <w:r>
              <w:rPr>
                <w:rFonts w:hint="eastAsia" w:ascii="宋体" w:hAnsi="宋体"/>
                <w:color w:val="auto"/>
                <w:szCs w:val="21"/>
                <w:highlight w:val="none"/>
              </w:rPr>
              <w:t>（55分）</w:t>
            </w:r>
          </w:p>
        </w:tc>
        <w:tc>
          <w:tcPr>
            <w:tcW w:w="2557"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类似业绩</w:t>
            </w:r>
          </w:p>
          <w:p>
            <w:pPr>
              <w:adjustRightInd w:val="0"/>
              <w:snapToGrid w:val="0"/>
              <w:spacing w:line="360" w:lineRule="exact"/>
              <w:jc w:val="center"/>
              <w:rPr>
                <w:rFonts w:ascii="宋体" w:hAnsi="宋体" w:cs="宋体"/>
                <w:color w:val="auto"/>
                <w:szCs w:val="21"/>
                <w:highlight w:val="none"/>
              </w:rPr>
            </w:pPr>
            <w:r>
              <w:rPr>
                <w:rFonts w:hint="eastAsia" w:ascii="宋体" w:hAnsi="宋体"/>
                <w:color w:val="auto"/>
                <w:szCs w:val="21"/>
                <w:highlight w:val="none"/>
              </w:rPr>
              <w:t>（10分）</w:t>
            </w:r>
          </w:p>
        </w:tc>
        <w:tc>
          <w:tcPr>
            <w:tcW w:w="5938" w:type="dxa"/>
            <w:tcBorders>
              <w:top w:val="single" w:color="auto" w:sz="4" w:space="0"/>
              <w:left w:val="single" w:color="auto" w:sz="4" w:space="0"/>
              <w:bottom w:val="single" w:color="auto" w:sz="4" w:space="0"/>
              <w:right w:val="single" w:color="auto" w:sz="4" w:space="0"/>
            </w:tcBorders>
            <w:noWrap w:val="0"/>
            <w:vAlign w:val="center"/>
          </w:tcPr>
          <w:p>
            <w:pPr>
              <w:pStyle w:val="28"/>
              <w:spacing w:line="360" w:lineRule="auto"/>
              <w:ind w:firstLine="0"/>
              <w:rPr>
                <w:rFonts w:ascii="宋体" w:hAnsi="宋体"/>
                <w:b/>
                <w:color w:val="auto"/>
                <w:szCs w:val="21"/>
                <w:highlight w:val="none"/>
              </w:rPr>
            </w:pPr>
            <w:r>
              <w:rPr>
                <w:rFonts w:hint="eastAsia" w:ascii="宋体" w:hAnsi="宋体"/>
                <w:bCs/>
                <w:color w:val="auto"/>
                <w:szCs w:val="21"/>
                <w:highlight w:val="none"/>
                <w:lang w:val="en-US" w:eastAsia="zh-CN"/>
              </w:rPr>
              <w:t>2017</w:t>
            </w:r>
            <w:r>
              <w:rPr>
                <w:rFonts w:hint="eastAsia" w:ascii="宋体" w:hAnsi="宋体"/>
                <w:bCs/>
                <w:color w:val="auto"/>
                <w:szCs w:val="21"/>
                <w:highlight w:val="none"/>
              </w:rPr>
              <w:t>年至今承接过类似检测业绩合同金额</w:t>
            </w:r>
            <w:r>
              <w:rPr>
                <w:rFonts w:ascii="宋体" w:hAnsi="宋体"/>
                <w:bCs/>
                <w:color w:val="auto"/>
                <w:szCs w:val="21"/>
                <w:highlight w:val="none"/>
              </w:rPr>
              <w:t>50</w:t>
            </w:r>
            <w:r>
              <w:rPr>
                <w:rFonts w:hint="eastAsia" w:ascii="宋体" w:hAnsi="宋体"/>
                <w:bCs/>
                <w:color w:val="auto"/>
                <w:szCs w:val="21"/>
                <w:highlight w:val="none"/>
              </w:rPr>
              <w:t>0万以上（含</w:t>
            </w:r>
            <w:r>
              <w:rPr>
                <w:rFonts w:ascii="宋体" w:hAnsi="宋体"/>
                <w:bCs/>
                <w:color w:val="auto"/>
                <w:szCs w:val="21"/>
                <w:highlight w:val="none"/>
              </w:rPr>
              <w:t>50</w:t>
            </w:r>
            <w:r>
              <w:rPr>
                <w:rFonts w:hint="eastAsia" w:ascii="宋体" w:hAnsi="宋体"/>
                <w:bCs/>
                <w:color w:val="auto"/>
                <w:szCs w:val="21"/>
                <w:highlight w:val="none"/>
              </w:rPr>
              <w:t>0万）的，每个得2分，最多得10分。注：提供检测报告关键页原件清晰扫描件、服务合同证明材料，业绩时间以合同签订时间为准、金额以提供的检测合同金额为准。类似检测业绩指：包含本项目招标内容中的一项或多项内容的建设工程检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996" w:type="dxa"/>
            <w:vMerge w:val="continue"/>
            <w:tcBorders>
              <w:left w:val="single" w:color="auto" w:sz="4" w:space="0"/>
              <w:right w:val="single" w:color="auto" w:sz="4" w:space="0"/>
            </w:tcBorders>
            <w:noWrap w:val="0"/>
            <w:tcMar>
              <w:top w:w="0" w:type="dxa"/>
              <w:left w:w="57" w:type="dxa"/>
              <w:bottom w:w="0" w:type="dxa"/>
              <w:right w:w="57" w:type="dxa"/>
            </w:tcMar>
            <w:vAlign w:val="center"/>
          </w:tcPr>
          <w:p>
            <w:pPr>
              <w:widowControl/>
              <w:adjustRightInd w:val="0"/>
              <w:snapToGrid w:val="0"/>
              <w:spacing w:line="360" w:lineRule="exact"/>
              <w:jc w:val="left"/>
              <w:rPr>
                <w:rFonts w:ascii="宋体" w:hAnsi="宋体"/>
                <w:color w:val="auto"/>
                <w:szCs w:val="21"/>
                <w:highlight w:val="none"/>
              </w:rPr>
            </w:pPr>
          </w:p>
        </w:tc>
        <w:tc>
          <w:tcPr>
            <w:tcW w:w="2557"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20"/>
              <w:jc w:val="center"/>
              <w:rPr>
                <w:rFonts w:ascii="宋体" w:hAnsi="宋体" w:cs="宋体"/>
                <w:color w:val="auto"/>
                <w:szCs w:val="21"/>
                <w:highlight w:val="none"/>
              </w:rPr>
            </w:pPr>
            <w:r>
              <w:rPr>
                <w:rFonts w:hint="eastAsia" w:ascii="宋体" w:hAnsi="宋体" w:cs="宋体"/>
                <w:color w:val="auto"/>
                <w:szCs w:val="21"/>
                <w:highlight w:val="none"/>
              </w:rPr>
              <w:t>企业资信</w:t>
            </w:r>
          </w:p>
          <w:p>
            <w:pPr>
              <w:adjustRightInd w:val="0"/>
              <w:snapToGrid w:val="0"/>
              <w:spacing w:line="360" w:lineRule="exact"/>
              <w:ind w:right="-20"/>
              <w:jc w:val="center"/>
              <w:rPr>
                <w:rFonts w:ascii="宋体" w:hAnsi="宋体" w:cs="宋体"/>
                <w:color w:val="auto"/>
                <w:szCs w:val="21"/>
                <w:highlight w:val="none"/>
              </w:rPr>
            </w:pPr>
            <w:r>
              <w:rPr>
                <w:rFonts w:hint="eastAsia" w:ascii="宋体" w:hAnsi="宋体" w:cs="宋体"/>
                <w:color w:val="auto"/>
                <w:szCs w:val="21"/>
                <w:highlight w:val="none"/>
              </w:rPr>
              <w:t>（25分）</w:t>
            </w:r>
          </w:p>
        </w:tc>
        <w:tc>
          <w:tcPr>
            <w:tcW w:w="5938" w:type="dxa"/>
            <w:tcBorders>
              <w:top w:val="single" w:color="auto" w:sz="4" w:space="0"/>
              <w:left w:val="single" w:color="auto" w:sz="4" w:space="0"/>
              <w:bottom w:val="single" w:color="auto" w:sz="4" w:space="0"/>
              <w:right w:val="single" w:color="auto" w:sz="4" w:space="0"/>
            </w:tcBorders>
            <w:noWrap w:val="0"/>
            <w:vAlign w:val="top"/>
          </w:tcPr>
          <w:p>
            <w:pPr>
              <w:pStyle w:val="28"/>
              <w:adjustRightInd w:val="0"/>
              <w:snapToGrid w:val="0"/>
              <w:spacing w:line="360" w:lineRule="exact"/>
              <w:ind w:firstLine="0"/>
              <w:rPr>
                <w:rFonts w:ascii="宋体" w:hAnsi="宋体" w:cs="楷体"/>
                <w:bCs/>
                <w:color w:val="auto"/>
                <w:szCs w:val="21"/>
                <w:highlight w:val="none"/>
              </w:rPr>
            </w:pPr>
            <w:r>
              <w:rPr>
                <w:rFonts w:hint="eastAsia" w:ascii="宋体" w:hAnsi="宋体" w:cs="楷体"/>
                <w:bCs/>
                <w:color w:val="auto"/>
                <w:szCs w:val="21"/>
                <w:highlight w:val="none"/>
              </w:rPr>
              <w:t>1、</w:t>
            </w:r>
            <w:r>
              <w:rPr>
                <w:rFonts w:hint="eastAsia" w:ascii="宋体" w:hAnsi="宋体"/>
                <w:bCs/>
                <w:color w:val="auto"/>
                <w:szCs w:val="21"/>
                <w:highlight w:val="none"/>
              </w:rPr>
              <w:t>具有中国合格评定国家认可委员会实验室认可证书(CNAS)并在有效期内的，得4分</w:t>
            </w:r>
            <w:r>
              <w:rPr>
                <w:rFonts w:hint="eastAsia" w:ascii="宋体" w:hAnsi="宋体" w:cs="宋体"/>
                <w:color w:val="auto"/>
                <w:szCs w:val="21"/>
                <w:highlight w:val="none"/>
              </w:rPr>
              <w:t>，没有不得分</w:t>
            </w:r>
            <w:r>
              <w:rPr>
                <w:rFonts w:hint="eastAsia" w:ascii="宋体" w:hAnsi="宋体" w:cs="宋体"/>
                <w:iCs/>
                <w:color w:val="auto"/>
                <w:szCs w:val="21"/>
                <w:highlight w:val="none"/>
              </w:rPr>
              <w:t>。</w:t>
            </w:r>
          </w:p>
          <w:p>
            <w:pPr>
              <w:pStyle w:val="28"/>
              <w:adjustRightInd w:val="0"/>
              <w:snapToGrid w:val="0"/>
              <w:spacing w:line="360" w:lineRule="exact"/>
              <w:ind w:firstLine="0"/>
              <w:rPr>
                <w:rFonts w:hint="eastAsia" w:ascii="宋体" w:hAnsi="宋体"/>
                <w:color w:val="auto"/>
                <w:szCs w:val="21"/>
                <w:highlight w:val="none"/>
                <w:lang w:val="zh-CN"/>
              </w:rPr>
            </w:pPr>
            <w:r>
              <w:rPr>
                <w:rFonts w:hint="eastAsia" w:ascii="宋体" w:hAnsi="宋体" w:cs="楷体"/>
                <w:bCs/>
                <w:color w:val="auto"/>
                <w:szCs w:val="21"/>
                <w:highlight w:val="none"/>
              </w:rPr>
              <w:t>2、</w:t>
            </w:r>
            <w:r>
              <w:rPr>
                <w:rFonts w:hint="eastAsia" w:ascii="宋体" w:hAnsi="宋体"/>
                <w:color w:val="auto"/>
                <w:szCs w:val="21"/>
                <w:highlight w:val="none"/>
                <w:lang w:val="zh-CN"/>
              </w:rPr>
              <w:t>投标人获得</w:t>
            </w:r>
            <w:r>
              <w:rPr>
                <w:rFonts w:hint="eastAsia" w:ascii="宋体" w:hAnsi="宋体" w:cs="宋体"/>
                <w:color w:val="auto"/>
                <w:highlight w:val="none"/>
              </w:rPr>
              <w:t>省级</w:t>
            </w:r>
            <w:r>
              <w:rPr>
                <w:rStyle w:val="35"/>
                <w:rFonts w:hint="eastAsia"/>
                <w:color w:val="auto"/>
                <w:highlight w:val="none"/>
              </w:rPr>
              <w:t>或以上</w:t>
            </w:r>
            <w:r>
              <w:rPr>
                <w:rFonts w:hint="eastAsia" w:ascii="宋体" w:hAnsi="宋体"/>
                <w:color w:val="auto"/>
                <w:szCs w:val="21"/>
                <w:highlight w:val="none"/>
                <w:lang w:val="zh-CN"/>
              </w:rPr>
              <w:t>市政行业协会颁发的（检测机构）诚信评价证书且在有效期内：AAAAA级的得</w:t>
            </w:r>
            <w:r>
              <w:rPr>
                <w:rFonts w:hint="eastAsia" w:ascii="宋体" w:hAnsi="宋体"/>
                <w:color w:val="auto"/>
                <w:szCs w:val="21"/>
                <w:highlight w:val="none"/>
              </w:rPr>
              <w:t>8</w:t>
            </w:r>
            <w:r>
              <w:rPr>
                <w:rFonts w:hint="eastAsia" w:ascii="宋体" w:hAnsi="宋体"/>
                <w:color w:val="auto"/>
                <w:szCs w:val="21"/>
                <w:highlight w:val="none"/>
                <w:lang w:val="zh-CN"/>
              </w:rPr>
              <w:t>分；AAAA 级的得</w:t>
            </w:r>
            <w:r>
              <w:rPr>
                <w:rFonts w:hint="eastAsia" w:ascii="宋体" w:hAnsi="宋体"/>
                <w:color w:val="auto"/>
                <w:szCs w:val="21"/>
                <w:highlight w:val="none"/>
              </w:rPr>
              <w:t>5</w:t>
            </w:r>
            <w:r>
              <w:rPr>
                <w:rFonts w:hint="eastAsia" w:ascii="宋体" w:hAnsi="宋体"/>
                <w:color w:val="auto"/>
                <w:szCs w:val="21"/>
                <w:highlight w:val="none"/>
                <w:lang w:val="zh-CN"/>
              </w:rPr>
              <w:t>分；AAA级的得3分，其余不得分，本小项最高得</w:t>
            </w:r>
            <w:r>
              <w:rPr>
                <w:rFonts w:hint="eastAsia" w:ascii="宋体" w:hAnsi="宋体"/>
                <w:color w:val="auto"/>
                <w:szCs w:val="21"/>
                <w:highlight w:val="none"/>
              </w:rPr>
              <w:t>8</w:t>
            </w:r>
            <w:r>
              <w:rPr>
                <w:rFonts w:hint="eastAsia" w:ascii="宋体" w:hAnsi="宋体"/>
                <w:color w:val="auto"/>
                <w:szCs w:val="21"/>
                <w:highlight w:val="none"/>
                <w:lang w:val="zh-CN"/>
              </w:rPr>
              <w:t>分。</w:t>
            </w:r>
          </w:p>
          <w:p>
            <w:pPr>
              <w:pStyle w:val="28"/>
              <w:adjustRightInd w:val="0"/>
              <w:snapToGrid w:val="0"/>
              <w:spacing w:line="360" w:lineRule="exact"/>
              <w:ind w:firstLine="0"/>
              <w:rPr>
                <w:rFonts w:hint="eastAsia" w:ascii="宋体" w:hAnsi="宋体"/>
                <w:color w:val="auto"/>
                <w:szCs w:val="21"/>
                <w:highlight w:val="none"/>
                <w:lang w:val="zh-CN"/>
              </w:rPr>
            </w:pPr>
            <w:r>
              <w:rPr>
                <w:rFonts w:hint="eastAsia" w:ascii="宋体" w:hAnsi="宋体"/>
                <w:color w:val="auto"/>
                <w:szCs w:val="21"/>
                <w:highlight w:val="none"/>
                <w:lang w:val="zh-CN"/>
              </w:rPr>
              <w:t>3、投标人获得省级或以上市政行业协会颁发的“先进单位”称号的，得6分。</w:t>
            </w:r>
          </w:p>
          <w:p>
            <w:pPr>
              <w:pStyle w:val="28"/>
              <w:adjustRightInd w:val="0"/>
              <w:snapToGrid w:val="0"/>
              <w:spacing w:line="360" w:lineRule="exact"/>
              <w:ind w:firstLine="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zh-CN"/>
              </w:rPr>
              <w:t>投标人同时具有质量管理体系、环境管理体系、职业健康安全管理体系、知识产权管理体系认证证书的得</w:t>
            </w:r>
            <w:r>
              <w:rPr>
                <w:rFonts w:hint="eastAsia" w:ascii="宋体" w:hAnsi="宋体"/>
                <w:color w:val="auto"/>
                <w:szCs w:val="21"/>
                <w:highlight w:val="none"/>
              </w:rPr>
              <w:t>7</w:t>
            </w:r>
            <w:r>
              <w:rPr>
                <w:rFonts w:hint="eastAsia" w:ascii="宋体" w:hAnsi="宋体"/>
                <w:color w:val="auto"/>
                <w:szCs w:val="21"/>
                <w:highlight w:val="none"/>
                <w:lang w:val="zh-CN"/>
              </w:rPr>
              <w:t>分，具有其中</w:t>
            </w:r>
            <w:r>
              <w:rPr>
                <w:rFonts w:hint="eastAsia" w:ascii="宋体" w:hAnsi="宋体"/>
                <w:color w:val="auto"/>
                <w:szCs w:val="21"/>
                <w:highlight w:val="none"/>
              </w:rPr>
              <w:t>3项得4分，具有其中2项或以下得2分，没有不得分</w:t>
            </w:r>
            <w:r>
              <w:rPr>
                <w:rFonts w:hint="eastAsia" w:ascii="宋体" w:hAnsi="宋体"/>
                <w:color w:val="auto"/>
                <w:szCs w:val="21"/>
                <w:highlight w:val="none"/>
                <w:lang w:val="zh-CN"/>
              </w:rPr>
              <w:t>。</w:t>
            </w:r>
          </w:p>
          <w:p>
            <w:pPr>
              <w:pStyle w:val="28"/>
              <w:adjustRightInd w:val="0"/>
              <w:snapToGrid w:val="0"/>
              <w:spacing w:line="360" w:lineRule="exact"/>
              <w:ind w:firstLine="0"/>
              <w:rPr>
                <w:rFonts w:ascii="宋体" w:hAnsi="宋体" w:cs="楷体"/>
                <w:b/>
                <w:color w:val="auto"/>
                <w:szCs w:val="21"/>
                <w:highlight w:val="none"/>
              </w:rPr>
            </w:pPr>
            <w:r>
              <w:rPr>
                <w:rFonts w:hint="eastAsia" w:ascii="宋体" w:hAnsi="宋体"/>
                <w:color w:val="auto"/>
                <w:szCs w:val="21"/>
                <w:highlight w:val="none"/>
                <w:lang w:val="zh-CN"/>
              </w:rPr>
              <w:t>注：须提供</w:t>
            </w:r>
            <w:r>
              <w:rPr>
                <w:rFonts w:hint="eastAsia" w:ascii="宋体" w:hAnsi="宋体" w:cs="楷体"/>
                <w:b/>
                <w:color w:val="auto"/>
                <w:szCs w:val="21"/>
                <w:highlight w:val="none"/>
              </w:rPr>
              <w:t>相关证明材料的清晰扫描件。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6" w:type="dxa"/>
            <w:vMerge w:val="continue"/>
            <w:tcBorders>
              <w:left w:val="single" w:color="auto" w:sz="4" w:space="0"/>
              <w:right w:val="single" w:color="auto" w:sz="4" w:space="0"/>
            </w:tcBorders>
            <w:noWrap w:val="0"/>
            <w:vAlign w:val="center"/>
          </w:tcPr>
          <w:p>
            <w:pPr>
              <w:widowControl/>
              <w:adjustRightInd w:val="0"/>
              <w:snapToGrid w:val="0"/>
              <w:spacing w:line="360" w:lineRule="exact"/>
              <w:jc w:val="left"/>
              <w:rPr>
                <w:rFonts w:ascii="宋体" w:hAnsi="宋体" w:cs="宋体"/>
                <w:color w:val="auto"/>
                <w:szCs w:val="21"/>
                <w:highlight w:val="none"/>
              </w:rPr>
            </w:pPr>
          </w:p>
        </w:tc>
        <w:tc>
          <w:tcPr>
            <w:tcW w:w="1266"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126"/>
              <w:jc w:val="center"/>
              <w:rPr>
                <w:rFonts w:ascii="宋体" w:hAnsi="宋体" w:cs="宋体"/>
                <w:color w:val="auto"/>
                <w:szCs w:val="21"/>
                <w:highlight w:val="none"/>
              </w:rPr>
            </w:pPr>
            <w:r>
              <w:rPr>
                <w:rFonts w:hint="eastAsia" w:ascii="宋体" w:hAnsi="宋体" w:cs="宋体"/>
                <w:color w:val="auto"/>
                <w:szCs w:val="21"/>
                <w:highlight w:val="none"/>
              </w:rPr>
              <w:t>拟投入人员综合水平</w:t>
            </w:r>
          </w:p>
          <w:p>
            <w:pPr>
              <w:adjustRightInd w:val="0"/>
              <w:snapToGrid w:val="0"/>
              <w:spacing w:line="360" w:lineRule="exact"/>
              <w:ind w:right="126"/>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12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126"/>
              <w:jc w:val="center"/>
              <w:rPr>
                <w:rFonts w:ascii="宋体" w:hAnsi="宋体" w:cs="宋体"/>
                <w:color w:val="auto"/>
                <w:szCs w:val="21"/>
                <w:highlight w:val="none"/>
              </w:rPr>
            </w:pPr>
            <w:r>
              <w:rPr>
                <w:rFonts w:hint="eastAsia" w:ascii="宋体" w:hAnsi="宋体" w:cs="宋体"/>
                <w:color w:val="auto"/>
                <w:szCs w:val="21"/>
                <w:highlight w:val="none"/>
              </w:rPr>
              <w:t>项目负责人要求</w:t>
            </w:r>
          </w:p>
          <w:p>
            <w:pPr>
              <w:adjustRightInd w:val="0"/>
              <w:snapToGrid w:val="0"/>
              <w:spacing w:line="360" w:lineRule="exact"/>
              <w:ind w:right="126"/>
              <w:jc w:val="center"/>
              <w:rPr>
                <w:rFonts w:ascii="宋体" w:hAnsi="宋体" w:cs="宋体"/>
                <w:color w:val="auto"/>
                <w:szCs w:val="21"/>
                <w:highlight w:val="none"/>
              </w:rPr>
            </w:pPr>
            <w:r>
              <w:rPr>
                <w:rFonts w:hint="eastAsia" w:ascii="宋体" w:hAnsi="宋体" w:cs="宋体"/>
                <w:color w:val="auto"/>
                <w:szCs w:val="21"/>
                <w:highlight w:val="none"/>
              </w:rPr>
              <w:t>（8分）</w:t>
            </w:r>
          </w:p>
        </w:tc>
        <w:tc>
          <w:tcPr>
            <w:tcW w:w="5938" w:type="dxa"/>
            <w:tcBorders>
              <w:top w:val="single" w:color="auto" w:sz="4" w:space="0"/>
              <w:left w:val="single" w:color="auto" w:sz="4" w:space="0"/>
              <w:bottom w:val="single" w:color="auto" w:sz="4" w:space="0"/>
              <w:right w:val="single" w:color="auto" w:sz="4" w:space="0"/>
            </w:tcBorders>
            <w:noWrap w:val="0"/>
            <w:vAlign w:val="top"/>
          </w:tcPr>
          <w:p>
            <w:pPr>
              <w:spacing w:line="312" w:lineRule="auto"/>
              <w:jc w:val="left"/>
              <w:rPr>
                <w:rFonts w:hint="eastAsia"/>
                <w:color w:val="auto"/>
                <w:highlight w:val="none"/>
              </w:rPr>
            </w:pPr>
            <w:r>
              <w:rPr>
                <w:rFonts w:hint="eastAsia" w:ascii="宋体" w:hAnsi="宋体"/>
                <w:bCs/>
                <w:color w:val="auto"/>
                <w:szCs w:val="21"/>
                <w:highlight w:val="none"/>
              </w:rPr>
              <w:t>（1）具有</w:t>
            </w:r>
            <w:r>
              <w:rPr>
                <w:rFonts w:hint="eastAsia" w:ascii="宋体" w:hAnsi="宋体"/>
                <w:bCs/>
                <w:color w:val="auto"/>
                <w:szCs w:val="21"/>
                <w:highlight w:val="none"/>
                <w:lang w:eastAsia="zh-CN"/>
              </w:rPr>
              <w:t>建筑工程检测</w:t>
            </w:r>
            <w:r>
              <w:rPr>
                <w:rFonts w:hint="eastAsia" w:ascii="宋体" w:hAnsi="宋体"/>
                <w:bCs/>
                <w:color w:val="auto"/>
                <w:szCs w:val="21"/>
                <w:highlight w:val="none"/>
              </w:rPr>
              <w:t>高级工程师或以上职称的得3分；具有建筑工程检测工程师的得1分（按最高职称计算一次，不累计计分）；最高得3分。</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（2）具有注册土木工程师（岩土）执业资格证书，得2分。</w:t>
            </w:r>
          </w:p>
          <w:p>
            <w:pPr>
              <w:pStyle w:val="6"/>
              <w:spacing w:line="360" w:lineRule="auto"/>
              <w:jc w:val="both"/>
              <w:rPr>
                <w:rFonts w:hint="eastAsia" w:ascii="宋体" w:hAnsi="宋体" w:cs="宋体"/>
                <w:b w:val="0"/>
                <w:color w:val="auto"/>
                <w:sz w:val="21"/>
                <w:szCs w:val="21"/>
                <w:highlight w:val="none"/>
              </w:rPr>
            </w:pPr>
            <w:r>
              <w:rPr>
                <w:rFonts w:hint="eastAsia" w:ascii="宋体" w:hAnsi="宋体" w:cs="宋体"/>
                <w:b w:val="0"/>
                <w:color w:val="auto"/>
                <w:sz w:val="21"/>
                <w:szCs w:val="21"/>
                <w:highlight w:val="none"/>
              </w:rPr>
              <w:t>（3）具有一级注册结构工程师执业资格证书的，得2分。</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bCs/>
                <w:color w:val="auto"/>
                <w:szCs w:val="21"/>
                <w:highlight w:val="none"/>
              </w:rPr>
              <w:t>具有</w:t>
            </w:r>
            <w:r>
              <w:rPr>
                <w:rFonts w:hint="eastAsia" w:ascii="宋体" w:hAnsi="宋体"/>
                <w:color w:val="auto"/>
                <w:szCs w:val="21"/>
                <w:highlight w:val="none"/>
              </w:rPr>
              <w:t>建设行政主管部门或其委托的机构、行业协会颁发的检测员证或检测鉴定培训合格证的，</w:t>
            </w:r>
            <w:r>
              <w:rPr>
                <w:rFonts w:hint="eastAsia" w:ascii="宋体" w:hAnsi="宋体"/>
                <w:bCs/>
                <w:color w:val="auto"/>
                <w:szCs w:val="21"/>
                <w:highlight w:val="none"/>
              </w:rPr>
              <w:t>得1分。</w:t>
            </w:r>
          </w:p>
          <w:p>
            <w:pPr>
              <w:spacing w:line="240" w:lineRule="exact"/>
              <w:rPr>
                <w:rFonts w:ascii="宋体" w:hAnsi="宋体"/>
                <w:color w:val="auto"/>
                <w:szCs w:val="21"/>
                <w:highlight w:val="none"/>
              </w:rPr>
            </w:pPr>
            <w:r>
              <w:rPr>
                <w:rFonts w:hint="eastAsia" w:ascii="宋体" w:hAnsi="宋体" w:cs="宋体"/>
                <w:b/>
                <w:color w:val="auto"/>
                <w:szCs w:val="21"/>
                <w:highlight w:val="none"/>
              </w:rPr>
              <w:t>需提供</w:t>
            </w:r>
            <w:r>
              <w:rPr>
                <w:rFonts w:ascii="宋体" w:hAnsi="宋体" w:cs="宋体"/>
                <w:b/>
                <w:color w:val="auto"/>
                <w:szCs w:val="21"/>
                <w:highlight w:val="none"/>
              </w:rPr>
              <w:t>身份证、职称证、</w:t>
            </w:r>
            <w:r>
              <w:rPr>
                <w:rFonts w:hint="eastAsia" w:ascii="宋体" w:hAnsi="宋体" w:cs="宋体"/>
                <w:b/>
                <w:color w:val="auto"/>
                <w:szCs w:val="21"/>
                <w:highlight w:val="none"/>
              </w:rPr>
              <w:t>注册证（须提供住房和城乡建设部执业资格注册中心查询网页截图）</w:t>
            </w:r>
            <w:r>
              <w:rPr>
                <w:rFonts w:ascii="宋体" w:hAnsi="宋体" w:cs="宋体"/>
                <w:b/>
                <w:color w:val="auto"/>
                <w:szCs w:val="21"/>
                <w:highlight w:val="none"/>
              </w:rPr>
              <w:t>、</w:t>
            </w:r>
            <w:r>
              <w:rPr>
                <w:rFonts w:hint="eastAsia" w:ascii="宋体" w:hAnsi="宋体" w:cs="宋体"/>
                <w:b/>
                <w:color w:val="auto"/>
                <w:szCs w:val="21"/>
                <w:highlight w:val="none"/>
              </w:rPr>
              <w:t>检测员证</w:t>
            </w:r>
            <w:r>
              <w:rPr>
                <w:rFonts w:hint="eastAsia" w:ascii="宋体" w:hAnsi="宋体" w:cs="宋体"/>
                <w:color w:val="auto"/>
                <w:szCs w:val="21"/>
                <w:highlight w:val="none"/>
              </w:rPr>
              <w:t>或检测鉴定培训合格证、</w:t>
            </w:r>
            <w:r>
              <w:rPr>
                <w:rFonts w:hint="eastAsia" w:ascii="宋体" w:hAnsi="宋体" w:cs="宋体"/>
                <w:b/>
                <w:color w:val="auto"/>
                <w:szCs w:val="21"/>
                <w:highlight w:val="none"/>
              </w:rPr>
              <w:t>近</w:t>
            </w:r>
            <w:r>
              <w:rPr>
                <w:rFonts w:hint="eastAsia" w:ascii="宋体" w:hAnsi="宋体" w:cs="宋体"/>
                <w:color w:val="auto"/>
                <w:szCs w:val="21"/>
                <w:highlight w:val="none"/>
              </w:rPr>
              <w:t>一个月</w:t>
            </w:r>
            <w:r>
              <w:rPr>
                <w:rFonts w:ascii="宋体" w:hAnsi="宋体" w:cs="宋体"/>
                <w:b/>
                <w:color w:val="auto"/>
                <w:szCs w:val="21"/>
                <w:highlight w:val="none"/>
              </w:rPr>
              <w:t>社保等证明材料</w:t>
            </w:r>
            <w:r>
              <w:rPr>
                <w:rFonts w:hint="eastAsia" w:ascii="宋体" w:hAnsi="宋体" w:cs="宋体"/>
                <w:b/>
                <w:color w:val="auto"/>
                <w:szCs w:val="21"/>
                <w:highlight w:val="none"/>
              </w:rPr>
              <w:t>，</w:t>
            </w:r>
            <w:r>
              <w:rPr>
                <w:rFonts w:hint="eastAsia" w:ascii="宋体" w:hAnsi="宋体" w:cs="宋体"/>
                <w:color w:val="auto"/>
                <w:szCs w:val="21"/>
                <w:highlight w:val="none"/>
              </w:rPr>
              <w:t>须提供上述证件或证明材料原件扫描件</w:t>
            </w:r>
            <w:r>
              <w:rPr>
                <w:rFonts w:hint="eastAsia"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96" w:type="dxa"/>
            <w:vMerge w:val="continue"/>
            <w:tcBorders>
              <w:left w:val="single" w:color="auto" w:sz="4" w:space="0"/>
              <w:right w:val="single" w:color="auto" w:sz="4" w:space="0"/>
            </w:tcBorders>
            <w:noWrap w:val="0"/>
            <w:vAlign w:val="center"/>
          </w:tcPr>
          <w:p>
            <w:pPr>
              <w:widowControl/>
              <w:adjustRightInd w:val="0"/>
              <w:snapToGrid w:val="0"/>
              <w:spacing w:line="360" w:lineRule="exact"/>
              <w:jc w:val="left"/>
              <w:rPr>
                <w:rFonts w:ascii="宋体" w:hAnsi="宋体" w:cs="宋体"/>
                <w:color w:val="auto"/>
                <w:szCs w:val="21"/>
                <w:highlight w:val="none"/>
              </w:rPr>
            </w:pPr>
          </w:p>
        </w:tc>
        <w:tc>
          <w:tcPr>
            <w:tcW w:w="1266" w:type="dxa"/>
            <w:vMerge w:val="continue"/>
            <w:tcBorders>
              <w:left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126"/>
              <w:jc w:val="center"/>
              <w:rPr>
                <w:rFonts w:ascii="宋体" w:hAnsi="宋体" w:cs="宋体"/>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126"/>
              <w:jc w:val="center"/>
              <w:rPr>
                <w:rFonts w:ascii="宋体" w:hAnsi="宋体"/>
                <w:color w:val="auto"/>
                <w:spacing w:val="-2"/>
                <w:szCs w:val="21"/>
                <w:highlight w:val="none"/>
              </w:rPr>
            </w:pPr>
            <w:r>
              <w:rPr>
                <w:rFonts w:hint="eastAsia" w:ascii="宋体" w:hAnsi="宋体"/>
                <w:color w:val="auto"/>
                <w:spacing w:val="-2"/>
                <w:szCs w:val="21"/>
                <w:highlight w:val="none"/>
              </w:rPr>
              <w:t>技术负责人要求</w:t>
            </w:r>
          </w:p>
          <w:p>
            <w:pPr>
              <w:adjustRightInd w:val="0"/>
              <w:snapToGrid w:val="0"/>
              <w:spacing w:line="360" w:lineRule="exact"/>
              <w:ind w:right="126"/>
              <w:jc w:val="center"/>
              <w:rPr>
                <w:rFonts w:ascii="宋体" w:hAnsi="宋体" w:cs="宋体"/>
                <w:color w:val="auto"/>
                <w:szCs w:val="21"/>
                <w:highlight w:val="none"/>
              </w:rPr>
            </w:pPr>
            <w:r>
              <w:rPr>
                <w:rFonts w:hint="eastAsia" w:ascii="宋体" w:hAnsi="宋体"/>
                <w:color w:val="auto"/>
                <w:spacing w:val="-2"/>
                <w:szCs w:val="21"/>
                <w:highlight w:val="none"/>
              </w:rPr>
              <w:t>（6）分</w:t>
            </w:r>
          </w:p>
        </w:tc>
        <w:tc>
          <w:tcPr>
            <w:tcW w:w="5938" w:type="dxa"/>
            <w:tcBorders>
              <w:top w:val="single" w:color="auto" w:sz="4" w:space="0"/>
              <w:left w:val="single" w:color="auto" w:sz="4" w:space="0"/>
              <w:bottom w:val="single" w:color="auto" w:sz="4" w:space="0"/>
              <w:right w:val="single" w:color="auto" w:sz="4" w:space="0"/>
            </w:tcBorders>
            <w:noWrap w:val="0"/>
            <w:vAlign w:val="top"/>
          </w:tcPr>
          <w:p>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bCs/>
                <w:color w:val="auto"/>
                <w:szCs w:val="21"/>
                <w:highlight w:val="none"/>
              </w:rPr>
              <w:t>具有</w:t>
            </w:r>
            <w:r>
              <w:rPr>
                <w:rFonts w:hint="eastAsia" w:ascii="宋体" w:hAnsi="宋体"/>
                <w:bCs/>
                <w:color w:val="auto"/>
                <w:szCs w:val="21"/>
                <w:highlight w:val="none"/>
                <w:lang w:eastAsia="zh-CN"/>
              </w:rPr>
              <w:t>建筑工程检测</w:t>
            </w:r>
            <w:r>
              <w:rPr>
                <w:rFonts w:hint="eastAsia" w:ascii="宋体" w:hAnsi="宋体"/>
                <w:bCs/>
                <w:color w:val="auto"/>
                <w:szCs w:val="21"/>
                <w:highlight w:val="none"/>
              </w:rPr>
              <w:t>高级工程师或以上职称的得3分；具有建筑工程检测工程师的得1分。（按最高职称计算一次，不累计计分）；最高得3分。</w:t>
            </w:r>
          </w:p>
          <w:p>
            <w:pPr>
              <w:spacing w:line="312" w:lineRule="auto"/>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bCs/>
                <w:color w:val="auto"/>
                <w:szCs w:val="21"/>
                <w:highlight w:val="none"/>
              </w:rPr>
              <w:t>具有注册土木工程师（岩土）或</w:t>
            </w:r>
            <w:r>
              <w:rPr>
                <w:rFonts w:hint="eastAsia" w:ascii="宋体" w:hAnsi="宋体" w:cs="宋体"/>
                <w:color w:val="auto"/>
                <w:szCs w:val="21"/>
                <w:highlight w:val="none"/>
              </w:rPr>
              <w:t>一级注册结构工程师</w:t>
            </w:r>
            <w:r>
              <w:rPr>
                <w:rFonts w:hint="eastAsia" w:ascii="宋体" w:hAnsi="宋体"/>
                <w:bCs/>
                <w:color w:val="auto"/>
                <w:szCs w:val="21"/>
                <w:highlight w:val="none"/>
              </w:rPr>
              <w:t>执业资格证书的，得2分。</w:t>
            </w:r>
          </w:p>
          <w:p>
            <w:pPr>
              <w:spacing w:line="312" w:lineRule="auto"/>
              <w:jc w:val="left"/>
              <w:rPr>
                <w:rFonts w:hint="eastAsia"/>
                <w:color w:val="auto"/>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bCs/>
                <w:color w:val="auto"/>
                <w:szCs w:val="21"/>
                <w:highlight w:val="none"/>
              </w:rPr>
              <w:t>具有</w:t>
            </w:r>
            <w:r>
              <w:rPr>
                <w:rFonts w:hint="eastAsia" w:ascii="宋体" w:hAnsi="宋体"/>
                <w:color w:val="auto"/>
                <w:szCs w:val="21"/>
                <w:highlight w:val="none"/>
              </w:rPr>
              <w:t>建设行政主管部门或其委托的机构、行业协会颁发的检测员证或检测鉴定培训合格证</w:t>
            </w:r>
            <w:r>
              <w:rPr>
                <w:rFonts w:hint="eastAsia" w:ascii="宋体" w:hAnsi="宋体"/>
                <w:bCs/>
                <w:color w:val="auto"/>
                <w:szCs w:val="21"/>
                <w:highlight w:val="none"/>
              </w:rPr>
              <w:t>的，得1分。</w:t>
            </w:r>
          </w:p>
          <w:p>
            <w:pPr>
              <w:spacing w:line="360" w:lineRule="auto"/>
              <w:rPr>
                <w:rFonts w:ascii="宋体" w:hAnsi="宋体"/>
                <w:b/>
                <w:bCs/>
                <w:color w:val="auto"/>
                <w:szCs w:val="21"/>
                <w:highlight w:val="none"/>
              </w:rPr>
            </w:pPr>
            <w:r>
              <w:rPr>
                <w:rFonts w:hint="eastAsia" w:ascii="宋体" w:hAnsi="宋体" w:cs="宋体"/>
                <w:b/>
                <w:color w:val="auto"/>
                <w:szCs w:val="21"/>
                <w:highlight w:val="none"/>
              </w:rPr>
              <w:t>需提供</w:t>
            </w:r>
            <w:r>
              <w:rPr>
                <w:rFonts w:ascii="宋体" w:hAnsi="宋体" w:cs="宋体"/>
                <w:b/>
                <w:color w:val="auto"/>
                <w:szCs w:val="21"/>
                <w:highlight w:val="none"/>
              </w:rPr>
              <w:t>身份证、职称证、</w:t>
            </w:r>
            <w:r>
              <w:rPr>
                <w:rFonts w:hint="eastAsia" w:ascii="宋体" w:hAnsi="宋体" w:cs="宋体"/>
                <w:b/>
                <w:color w:val="auto"/>
                <w:szCs w:val="21"/>
                <w:highlight w:val="none"/>
              </w:rPr>
              <w:t>注册证（须提供住房和城乡建设部执业资格注册中心查询网页截图）</w:t>
            </w:r>
            <w:r>
              <w:rPr>
                <w:rFonts w:ascii="宋体" w:hAnsi="宋体" w:cs="宋体"/>
                <w:b/>
                <w:color w:val="auto"/>
                <w:szCs w:val="21"/>
                <w:highlight w:val="none"/>
              </w:rPr>
              <w:t>、</w:t>
            </w:r>
            <w:r>
              <w:rPr>
                <w:rFonts w:hint="eastAsia" w:ascii="宋体" w:hAnsi="宋体" w:cs="宋体"/>
                <w:b/>
                <w:color w:val="auto"/>
                <w:szCs w:val="21"/>
                <w:highlight w:val="none"/>
              </w:rPr>
              <w:t>检测员证</w:t>
            </w:r>
            <w:r>
              <w:rPr>
                <w:rFonts w:hint="eastAsia" w:ascii="宋体" w:hAnsi="宋体" w:cs="宋体"/>
                <w:color w:val="auto"/>
                <w:szCs w:val="21"/>
                <w:highlight w:val="none"/>
              </w:rPr>
              <w:t>或检测鉴定培训合格证、</w:t>
            </w:r>
            <w:r>
              <w:rPr>
                <w:rFonts w:hint="eastAsia" w:ascii="宋体" w:hAnsi="宋体" w:cs="宋体"/>
                <w:b/>
                <w:color w:val="auto"/>
                <w:szCs w:val="21"/>
                <w:highlight w:val="none"/>
              </w:rPr>
              <w:t>近</w:t>
            </w:r>
            <w:r>
              <w:rPr>
                <w:rFonts w:hint="eastAsia" w:ascii="宋体" w:hAnsi="宋体" w:cs="宋体"/>
                <w:color w:val="auto"/>
                <w:szCs w:val="21"/>
                <w:highlight w:val="none"/>
              </w:rPr>
              <w:t>一个月</w:t>
            </w:r>
            <w:r>
              <w:rPr>
                <w:rFonts w:ascii="宋体" w:hAnsi="宋体" w:cs="宋体"/>
                <w:b/>
                <w:color w:val="auto"/>
                <w:szCs w:val="21"/>
                <w:highlight w:val="none"/>
              </w:rPr>
              <w:t>社保等证明材料</w:t>
            </w:r>
            <w:r>
              <w:rPr>
                <w:rFonts w:hint="eastAsia" w:ascii="宋体" w:hAnsi="宋体" w:cs="宋体"/>
                <w:b/>
                <w:color w:val="auto"/>
                <w:szCs w:val="21"/>
                <w:highlight w:val="none"/>
              </w:rPr>
              <w:t>，</w:t>
            </w:r>
            <w:r>
              <w:rPr>
                <w:rFonts w:hint="eastAsia" w:ascii="宋体" w:hAnsi="宋体" w:cs="宋体"/>
                <w:color w:val="auto"/>
                <w:szCs w:val="21"/>
                <w:highlight w:val="none"/>
              </w:rPr>
              <w:t>须提供上述证件或证明材料原件扫描件</w:t>
            </w:r>
            <w:r>
              <w:rPr>
                <w:rFonts w:hint="eastAsia" w:ascii="宋体" w:hAnsi="宋体"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996" w:type="dxa"/>
            <w:vMerge w:val="continue"/>
            <w:tcBorders>
              <w:left w:val="single" w:color="auto" w:sz="4" w:space="0"/>
              <w:right w:val="single" w:color="auto" w:sz="4" w:space="0"/>
            </w:tcBorders>
            <w:noWrap w:val="0"/>
            <w:vAlign w:val="center"/>
          </w:tcPr>
          <w:p>
            <w:pPr>
              <w:widowControl/>
              <w:adjustRightInd w:val="0"/>
              <w:snapToGrid w:val="0"/>
              <w:spacing w:line="360" w:lineRule="exact"/>
              <w:jc w:val="left"/>
              <w:rPr>
                <w:rFonts w:ascii="宋体" w:hAnsi="宋体" w:cs="宋体"/>
                <w:color w:val="auto"/>
                <w:szCs w:val="21"/>
                <w:highlight w:val="none"/>
              </w:rPr>
            </w:pPr>
          </w:p>
        </w:tc>
        <w:tc>
          <w:tcPr>
            <w:tcW w:w="1266" w:type="dxa"/>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top"/>
          </w:tcPr>
          <w:p>
            <w:pPr>
              <w:adjustRightInd w:val="0"/>
              <w:snapToGrid w:val="0"/>
              <w:spacing w:line="360" w:lineRule="exact"/>
              <w:jc w:val="center"/>
              <w:rPr>
                <w:rFonts w:ascii="宋体" w:hAnsi="宋体"/>
                <w:color w:val="auto"/>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主要技术人员要求</w:t>
            </w:r>
          </w:p>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（6分）</w:t>
            </w:r>
          </w:p>
        </w:tc>
        <w:tc>
          <w:tcPr>
            <w:tcW w:w="5938" w:type="dxa"/>
            <w:tcBorders>
              <w:top w:val="single" w:color="auto" w:sz="4" w:space="0"/>
              <w:left w:val="single" w:color="auto" w:sz="4" w:space="0"/>
              <w:bottom w:val="single" w:color="auto" w:sz="4" w:space="0"/>
              <w:right w:val="single" w:color="auto" w:sz="4" w:space="0"/>
            </w:tcBorders>
            <w:noWrap w:val="0"/>
            <w:vAlign w:val="top"/>
          </w:tcPr>
          <w:p>
            <w:pPr>
              <w:pStyle w:val="28"/>
              <w:spacing w:line="360" w:lineRule="auto"/>
              <w:ind w:firstLine="0"/>
              <w:rPr>
                <w:rFonts w:ascii="宋体" w:hAnsi="宋体"/>
                <w:color w:val="auto"/>
                <w:szCs w:val="21"/>
                <w:highlight w:val="none"/>
              </w:rPr>
            </w:pPr>
            <w:r>
              <w:rPr>
                <w:rFonts w:hint="eastAsia" w:ascii="宋体" w:hAnsi="宋体"/>
                <w:color w:val="auto"/>
                <w:szCs w:val="21"/>
                <w:highlight w:val="none"/>
              </w:rPr>
              <w:t>拟投入本项目技术人员（除项目负责人、</w:t>
            </w:r>
            <w:r>
              <w:rPr>
                <w:rFonts w:ascii="宋体" w:hAnsi="宋体"/>
                <w:color w:val="auto"/>
                <w:szCs w:val="21"/>
                <w:highlight w:val="none"/>
              </w:rPr>
              <w:t>技术负责人</w:t>
            </w:r>
            <w:r>
              <w:rPr>
                <w:rFonts w:hint="eastAsia" w:ascii="宋体" w:hAnsi="宋体"/>
                <w:color w:val="auto"/>
                <w:szCs w:val="21"/>
                <w:highlight w:val="none"/>
              </w:rPr>
              <w:t>外）中：</w:t>
            </w:r>
          </w:p>
          <w:p>
            <w:pPr>
              <w:spacing w:line="312" w:lineRule="auto"/>
              <w:jc w:val="left"/>
              <w:rPr>
                <w:rFonts w:hint="eastAsia" w:ascii="宋体" w:hAnsi="宋体"/>
                <w:bCs/>
                <w:color w:val="auto"/>
                <w:szCs w:val="21"/>
                <w:highlight w:val="none"/>
              </w:rPr>
            </w:pPr>
            <w:r>
              <w:rPr>
                <w:rFonts w:hint="eastAsia" w:ascii="宋体" w:hAnsi="宋体"/>
                <w:bCs/>
                <w:color w:val="auto"/>
                <w:szCs w:val="21"/>
                <w:highlight w:val="none"/>
              </w:rPr>
              <w:t>（1）持有建设行政主管部门或其委托的机构、行业协会颁发的检测员证或检测鉴定培训合格证，每一人得0.5分，最多得3分；</w:t>
            </w:r>
          </w:p>
          <w:p>
            <w:pPr>
              <w:pStyle w:val="28"/>
              <w:spacing w:line="360" w:lineRule="auto"/>
              <w:ind w:firstLine="0"/>
              <w:rPr>
                <w:rFonts w:ascii="宋体" w:hAnsi="宋体"/>
                <w:color w:val="auto"/>
                <w:szCs w:val="21"/>
                <w:highlight w:val="none"/>
              </w:rPr>
            </w:pPr>
            <w:r>
              <w:rPr>
                <w:rFonts w:hint="eastAsia" w:ascii="宋体" w:hAnsi="宋体"/>
                <w:bCs/>
                <w:color w:val="auto"/>
                <w:szCs w:val="21"/>
                <w:highlight w:val="none"/>
              </w:rPr>
              <w:t>（2）上述持有检测员证或检测鉴定培训合格证的人员中，具有高级工程师或以上职称，每一人加0.5分，最多加3分；</w:t>
            </w:r>
          </w:p>
          <w:p>
            <w:pPr>
              <w:pStyle w:val="28"/>
              <w:adjustRightInd w:val="0"/>
              <w:snapToGrid w:val="0"/>
              <w:spacing w:line="360" w:lineRule="exact"/>
              <w:ind w:firstLine="0"/>
              <w:rPr>
                <w:rFonts w:ascii="宋体" w:hAnsi="宋体"/>
                <w:b/>
                <w:color w:val="auto"/>
                <w:szCs w:val="21"/>
                <w:highlight w:val="none"/>
              </w:rPr>
            </w:pPr>
            <w:r>
              <w:rPr>
                <w:rFonts w:hint="eastAsia" w:ascii="宋体" w:hAnsi="宋体"/>
                <w:b/>
                <w:color w:val="auto"/>
                <w:szCs w:val="21"/>
                <w:highlight w:val="none"/>
              </w:rPr>
              <w:t>注：须提供职称证、检测员证或检测鉴定培训合格证及近一个月社保证明，提供原件清晰扫描件。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996" w:type="dxa"/>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top"/>
          </w:tcPr>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jc w:val="left"/>
              <w:rPr>
                <w:rFonts w:ascii="宋体" w:hAnsi="宋体"/>
                <w:color w:val="auto"/>
                <w:szCs w:val="21"/>
                <w:highlight w:val="none"/>
              </w:rPr>
            </w:pPr>
          </w:p>
          <w:p>
            <w:pPr>
              <w:adjustRightInd w:val="0"/>
              <w:snapToGrid w:val="0"/>
              <w:spacing w:line="360" w:lineRule="exact"/>
              <w:ind w:left="181" w:right="-20"/>
              <w:jc w:val="left"/>
              <w:rPr>
                <w:rFonts w:ascii="宋体" w:hAnsi="宋体"/>
                <w:color w:val="auto"/>
                <w:szCs w:val="21"/>
                <w:highlight w:val="none"/>
              </w:rPr>
            </w:pPr>
          </w:p>
          <w:p>
            <w:pPr>
              <w:adjustRightInd w:val="0"/>
              <w:snapToGrid w:val="0"/>
              <w:spacing w:line="360" w:lineRule="exact"/>
              <w:jc w:val="center"/>
              <w:rPr>
                <w:rFonts w:ascii="宋体" w:hAnsi="宋体"/>
                <w:color w:val="auto"/>
                <w:szCs w:val="21"/>
                <w:highlight w:val="none"/>
              </w:rPr>
            </w:pPr>
          </w:p>
          <w:p>
            <w:pPr>
              <w:adjustRightInd w:val="0"/>
              <w:snapToGrid w:val="0"/>
              <w:spacing w:line="360" w:lineRule="exact"/>
              <w:ind w:left="136" w:right="59"/>
              <w:jc w:val="center"/>
              <w:rPr>
                <w:rFonts w:ascii="宋体" w:hAnsi="宋体"/>
                <w:color w:val="auto"/>
                <w:szCs w:val="21"/>
                <w:highlight w:val="none"/>
              </w:rPr>
            </w:pPr>
            <w:r>
              <w:rPr>
                <w:rFonts w:hint="eastAsia" w:ascii="宋体" w:hAnsi="宋体"/>
                <w:color w:val="auto"/>
                <w:szCs w:val="21"/>
                <w:highlight w:val="none"/>
              </w:rPr>
              <w:t>技术方案评分标准（25分）</w:t>
            </w:r>
          </w:p>
        </w:tc>
        <w:tc>
          <w:tcPr>
            <w:tcW w:w="2557" w:type="dxa"/>
            <w:gridSpan w:val="2"/>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ind w:right="-20"/>
              <w:jc w:val="center"/>
              <w:rPr>
                <w:rFonts w:ascii="宋体" w:hAnsi="宋体"/>
                <w:color w:val="auto"/>
                <w:szCs w:val="21"/>
                <w:highlight w:val="none"/>
              </w:rPr>
            </w:pPr>
            <w:r>
              <w:rPr>
                <w:rFonts w:hint="eastAsia" w:ascii="宋体" w:hAnsi="宋体"/>
                <w:color w:val="auto"/>
                <w:szCs w:val="21"/>
                <w:highlight w:val="none"/>
              </w:rPr>
              <w:t>拟投入机械</w:t>
            </w:r>
          </w:p>
          <w:p>
            <w:pPr>
              <w:adjustRightInd w:val="0"/>
              <w:snapToGrid w:val="0"/>
              <w:spacing w:line="360" w:lineRule="exact"/>
              <w:ind w:right="-20"/>
              <w:jc w:val="center"/>
              <w:rPr>
                <w:rFonts w:ascii="宋体" w:hAnsi="宋体"/>
                <w:color w:val="auto"/>
                <w:szCs w:val="21"/>
                <w:highlight w:val="none"/>
              </w:rPr>
            </w:pPr>
            <w:r>
              <w:rPr>
                <w:rFonts w:hint="eastAsia" w:ascii="宋体" w:hAnsi="宋体"/>
                <w:color w:val="auto"/>
                <w:szCs w:val="21"/>
                <w:highlight w:val="none"/>
              </w:rPr>
              <w:t>设备计划</w:t>
            </w:r>
          </w:p>
          <w:p>
            <w:pPr>
              <w:adjustRightInd w:val="0"/>
              <w:snapToGrid w:val="0"/>
              <w:spacing w:line="360" w:lineRule="exact"/>
              <w:ind w:right="-20"/>
              <w:jc w:val="center"/>
              <w:rPr>
                <w:rFonts w:ascii="宋体" w:hAnsi="宋体"/>
                <w:color w:val="auto"/>
                <w:szCs w:val="21"/>
                <w:highlight w:val="none"/>
              </w:rPr>
            </w:pPr>
            <w:r>
              <w:rPr>
                <w:rFonts w:hint="eastAsia" w:ascii="宋体" w:hAnsi="宋体"/>
                <w:color w:val="auto"/>
                <w:szCs w:val="21"/>
                <w:highlight w:val="none"/>
              </w:rPr>
              <w:t>（10分）</w:t>
            </w:r>
          </w:p>
        </w:tc>
        <w:tc>
          <w:tcPr>
            <w:tcW w:w="5938" w:type="dxa"/>
            <w:tcBorders>
              <w:top w:val="single" w:color="auto" w:sz="4" w:space="0"/>
              <w:left w:val="single" w:color="auto" w:sz="4" w:space="0"/>
              <w:bottom w:val="single" w:color="auto" w:sz="4" w:space="0"/>
              <w:right w:val="single" w:color="auto" w:sz="4" w:space="0"/>
            </w:tcBorders>
            <w:noWrap w:val="0"/>
            <w:vAlign w:val="top"/>
          </w:tcPr>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【优】拟投入检测设备先进、配备合理，完全满足检测和服务期要求，得8-10分；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【良】拟投入检测设备先进、配备合理，能较好满足检测和服务期要求，得4-7分；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【中】拟投入检测设备先进、配备基本合理，能基本满足检测和服务期要求，得1-3分；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【差】设备不能满足检测需要和服务期要求，得0分。</w:t>
            </w:r>
          </w:p>
          <w:p>
            <w:pPr>
              <w:pStyle w:val="28"/>
              <w:adjustRightInd w:val="0"/>
              <w:snapToGrid w:val="0"/>
              <w:spacing w:line="360" w:lineRule="exact"/>
              <w:ind w:firstLine="0"/>
              <w:rPr>
                <w:rFonts w:ascii="宋体" w:hAnsi="宋体"/>
                <w:b/>
                <w:color w:val="auto"/>
                <w:szCs w:val="21"/>
                <w:highlight w:val="none"/>
              </w:rPr>
            </w:pPr>
            <w:r>
              <w:rPr>
                <w:rFonts w:hint="eastAsia" w:ascii="宋体" w:hAnsi="宋体"/>
                <w:b/>
                <w:color w:val="auto"/>
                <w:szCs w:val="21"/>
                <w:highlight w:val="none"/>
              </w:rPr>
              <w:t>注：须提交设备购置发票、仪器检定证书或其他证明材料的原件清晰扫描件。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96" w:type="dxa"/>
            <w:vMerge w:val="continue"/>
            <w:tcBorders>
              <w:left w:val="single" w:color="auto" w:sz="4" w:space="0"/>
              <w:right w:val="single" w:color="auto" w:sz="4" w:space="0"/>
            </w:tcBorders>
            <w:noWrap w:val="0"/>
            <w:vAlign w:val="center"/>
          </w:tcPr>
          <w:p>
            <w:pPr>
              <w:widowControl/>
              <w:adjustRightInd w:val="0"/>
              <w:snapToGrid w:val="0"/>
              <w:spacing w:line="360" w:lineRule="exact"/>
              <w:jc w:val="left"/>
              <w:rPr>
                <w:rFonts w:ascii="宋体" w:hAnsi="宋体"/>
                <w:color w:val="auto"/>
                <w:szCs w:val="21"/>
                <w:highlight w:val="none"/>
              </w:rPr>
            </w:pPr>
          </w:p>
        </w:tc>
        <w:tc>
          <w:tcPr>
            <w:tcW w:w="2557" w:type="dxa"/>
            <w:gridSpan w:val="2"/>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检测方案</w:t>
            </w:r>
          </w:p>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（15分）</w:t>
            </w:r>
          </w:p>
        </w:tc>
        <w:tc>
          <w:tcPr>
            <w:tcW w:w="5938" w:type="dxa"/>
            <w:tcBorders>
              <w:top w:val="single" w:color="auto" w:sz="4" w:space="0"/>
              <w:left w:val="single" w:color="auto" w:sz="4" w:space="0"/>
              <w:right w:val="single" w:color="auto" w:sz="4" w:space="0"/>
            </w:tcBorders>
            <w:noWrap w:val="0"/>
            <w:vAlign w:val="top"/>
          </w:tcPr>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【优】检测工作的程序与方案详细、具体，内容齐全，能满足用户需求，有合理可行的保证通过相关验收、满足工程进度确保措施，得10-15分。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【良】检测工作的程序与方案内容齐全，基本满足要求，检测方法符合检测要求，得5-9分；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【中】检测工作的程序与方案不够全面具体，可行性低，得1-4分。</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【差】检测方案内容阐述缺项，检测程序不满足要求，得0分。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9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评分标准</w:t>
            </w:r>
          </w:p>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2557"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p>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5938" w:type="dxa"/>
            <w:tcBorders>
              <w:top w:val="single" w:color="auto" w:sz="4" w:space="0"/>
              <w:left w:val="single" w:color="auto" w:sz="4" w:space="0"/>
              <w:bottom w:val="single" w:color="auto" w:sz="4" w:space="0"/>
              <w:right w:val="single" w:color="auto" w:sz="4" w:space="0"/>
            </w:tcBorders>
            <w:noWrap w:val="0"/>
            <w:vAlign w:val="center"/>
          </w:tcPr>
          <w:p>
            <w:pPr>
              <w:pStyle w:val="28"/>
              <w:adjustRightInd w:val="0"/>
              <w:snapToGrid w:val="0"/>
              <w:spacing w:line="360" w:lineRule="exact"/>
              <w:ind w:firstLine="0"/>
              <w:rPr>
                <w:rFonts w:ascii="宋体" w:hAnsi="宋体" w:cs="宋体"/>
                <w:color w:val="auto"/>
                <w:szCs w:val="21"/>
                <w:highlight w:val="none"/>
              </w:rPr>
            </w:pPr>
            <w:r>
              <w:rPr>
                <w:rFonts w:hint="eastAsia" w:ascii="宋体" w:hAnsi="宋体"/>
                <w:color w:val="auto"/>
                <w:szCs w:val="21"/>
                <w:highlight w:val="none"/>
              </w:rPr>
              <w:t>1.评标参考价的计算：</w:t>
            </w:r>
            <w:r>
              <w:rPr>
                <w:rFonts w:hint="eastAsia" w:ascii="宋体" w:hAnsi="宋体" w:cs="宋体"/>
                <w:color w:val="auto"/>
                <w:szCs w:val="21"/>
                <w:highlight w:val="none"/>
              </w:rPr>
              <w:t>当通过初步评审的有效投标人大于5名时，去掉一个最高价和一个最低价，取余下有效投标人的投标报价的算术平均值作为评标参考价；当通过初步评审的有效投标人小于或等于5名时取所有入围的有效投标人的投标报价的算术平均值作为评标参考价。</w:t>
            </w:r>
          </w:p>
          <w:p>
            <w:pPr>
              <w:pStyle w:val="28"/>
              <w:adjustRightInd w:val="0"/>
              <w:snapToGrid w:val="0"/>
              <w:spacing w:line="360" w:lineRule="exact"/>
              <w:ind w:firstLine="0"/>
              <w:rPr>
                <w:rFonts w:ascii="宋体" w:hAnsi="宋体"/>
                <w:color w:val="auto"/>
                <w:szCs w:val="21"/>
                <w:highlight w:val="none"/>
              </w:rPr>
            </w:pPr>
            <w:r>
              <w:rPr>
                <w:rFonts w:hint="eastAsia" w:ascii="宋体" w:hAnsi="宋体"/>
                <w:color w:val="auto"/>
                <w:szCs w:val="21"/>
                <w:highlight w:val="none"/>
              </w:rPr>
              <w:t>2.投标报价得分：以评标参考价作为计算各有效投标报价得分的基础，当有效投标报价等于评标参考价时得20分；投标有效报价与评标参考价之差，每上偏1%扣1.0分，下偏1%扣0.5分；最多减至0分止。</w:t>
            </w:r>
          </w:p>
          <w:p>
            <w:pPr>
              <w:pStyle w:val="28"/>
              <w:adjustRightInd w:val="0"/>
              <w:snapToGrid w:val="0"/>
              <w:spacing w:line="360" w:lineRule="exact"/>
              <w:ind w:firstLine="0"/>
              <w:rPr>
                <w:rFonts w:ascii="宋体" w:hAnsi="宋体"/>
                <w:b/>
                <w:color w:val="auto"/>
                <w:szCs w:val="21"/>
                <w:highlight w:val="none"/>
              </w:rPr>
            </w:pPr>
            <w:r>
              <w:rPr>
                <w:rFonts w:hint="eastAsia" w:ascii="宋体" w:hAnsi="宋体"/>
                <w:b/>
                <w:color w:val="auto"/>
                <w:szCs w:val="21"/>
                <w:highlight w:val="none"/>
              </w:rPr>
              <w:t>本项最高分为20分，最低分为0分。得分精确到小数点后两位。</w:t>
            </w:r>
          </w:p>
        </w:tc>
      </w:tr>
      <w:bookmarkEnd w:id="134"/>
      <w:bookmarkEnd w:id="135"/>
    </w:tbl>
    <w:p>
      <w:pPr>
        <w:keepNext/>
        <w:keepLines/>
        <w:spacing w:before="100" w:after="100" w:line="360" w:lineRule="exact"/>
        <w:jc w:val="left"/>
        <w:rPr>
          <w:rFonts w:ascii="宋体" w:hAnsi="宋体" w:cs="宋体"/>
          <w:color w:val="auto"/>
          <w:szCs w:val="21"/>
          <w:highlight w:val="none"/>
        </w:rPr>
      </w:pPr>
      <w:r>
        <w:rPr>
          <w:rFonts w:hint="eastAsia" w:ascii="宋体" w:hAnsi="宋体"/>
          <w:color w:val="auto"/>
          <w:szCs w:val="21"/>
          <w:highlight w:val="none"/>
        </w:rPr>
        <w:t>说明：1</w:t>
      </w:r>
      <w:r>
        <w:rPr>
          <w:rFonts w:hint="eastAsia" w:ascii="宋体" w:hAnsi="宋体"/>
          <w:color w:val="auto"/>
          <w:szCs w:val="21"/>
          <w:highlight w:val="none"/>
          <w:lang w:eastAsia="zh-CN"/>
        </w:rPr>
        <w:t>、</w:t>
      </w:r>
      <w:r>
        <w:rPr>
          <w:rFonts w:hint="eastAsia" w:ascii="宋体" w:hAnsi="宋体"/>
          <w:color w:val="auto"/>
          <w:szCs w:val="21"/>
          <w:highlight w:val="none"/>
        </w:rPr>
        <w:t>类似检测业绩：指包含本项目检测内容一项或多项的建设工程质量检测业绩，需同时</w:t>
      </w:r>
      <w:r>
        <w:rPr>
          <w:rFonts w:hint="eastAsia" w:ascii="宋体" w:hAnsi="宋体"/>
          <w:bCs/>
          <w:color w:val="auto"/>
          <w:szCs w:val="21"/>
          <w:highlight w:val="none"/>
        </w:rPr>
        <w:t>提供检测报告关键页原件清晰扫描件、服务合同证明材料</w:t>
      </w:r>
      <w:r>
        <w:rPr>
          <w:rFonts w:hint="eastAsia" w:ascii="宋体" w:hAnsi="宋体"/>
          <w:color w:val="auto"/>
          <w:szCs w:val="21"/>
          <w:highlight w:val="none"/>
        </w:rPr>
        <w:t>原件清晰扫描件，否则不得分。业绩时间以合同签订时间为准，业绩金额以提供的检测合同金额为准。</w:t>
      </w:r>
    </w:p>
    <w:p>
      <w:pPr>
        <w:pStyle w:val="28"/>
        <w:spacing w:line="360" w:lineRule="exact"/>
        <w:ind w:firstLine="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以上所有人员不得重复计分，人员的近一个月社保证明（</w:t>
      </w:r>
      <w:r>
        <w:rPr>
          <w:rFonts w:hint="eastAsia" w:ascii="宋体" w:hAnsi="宋体" w:cs="宋体"/>
          <w:color w:val="auto"/>
          <w:szCs w:val="21"/>
          <w:highlight w:val="none"/>
          <w:lang w:eastAsia="zh-CN"/>
        </w:rPr>
        <w:t>即</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份的社保证明）；本项目社保缴纳期限包含疫情期，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3、投标人的综合得分为各评委的评分去掉一个最高分和一个最低分后计取的算术平均分（分数出现小数点时，保留小数点后二位，第三位小数四舍五入）。</w:t>
      </w:r>
    </w:p>
    <w:p>
      <w:pPr>
        <w:rPr>
          <w:color w:val="auto"/>
          <w:highlight w:val="none"/>
        </w:rPr>
      </w:pPr>
      <w:r>
        <w:rPr>
          <w:rFonts w:hint="eastAsia" w:ascii="宋体" w:hAnsi="宋体" w:cs="宋体"/>
          <w:color w:val="auto"/>
          <w:szCs w:val="21"/>
          <w:highlight w:val="none"/>
        </w:rPr>
        <w:t>4、若投标人为联合体，上述评分依据以联合体牵头人（主办方）提供的资料为准。</w:t>
      </w:r>
    </w:p>
    <w:p>
      <w:pPr>
        <w:rPr>
          <w:rFonts w:cs="宋体"/>
          <w:color w:val="auto"/>
          <w:szCs w:val="21"/>
          <w:highlight w:val="none"/>
        </w:rPr>
      </w:pPr>
      <w:r>
        <w:rPr>
          <w:rFonts w:cs="宋体"/>
          <w:color w:val="auto"/>
          <w:szCs w:val="21"/>
          <w:highlight w:val="none"/>
        </w:rPr>
        <w:br w:type="page"/>
      </w:r>
    </w:p>
    <w:p>
      <w:pPr>
        <w:pStyle w:val="7"/>
        <w:rPr>
          <w:color w:val="auto"/>
          <w:highlight w:val="none"/>
        </w:rPr>
      </w:pPr>
      <w:bookmarkStart w:id="136" w:name="_Toc9991"/>
      <w:bookmarkStart w:id="137" w:name="_Toc533357319"/>
      <w:bookmarkStart w:id="138" w:name="_Toc26437"/>
      <w:r>
        <w:rPr>
          <w:rFonts w:hint="eastAsia"/>
          <w:color w:val="auto"/>
          <w:highlight w:val="none"/>
        </w:rPr>
        <w:t>1、评标方法</w:t>
      </w:r>
      <w:bookmarkEnd w:id="136"/>
      <w:bookmarkEnd w:id="137"/>
      <w:bookmarkEnd w:id="138"/>
    </w:p>
    <w:p>
      <w:pPr>
        <w:rPr>
          <w:rFonts w:ascii="宋体" w:hAnsi="宋体"/>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本次评标采用综合评估法。评标委员会对满足招标文件实质性要求的投标文件，按照本章第2.2款规定的评分标准进行打分，并按得分由高到低顺序推荐中标候选人，排序的前一</w:t>
      </w:r>
      <w:r>
        <w:rPr>
          <w:rStyle w:val="33"/>
          <w:rFonts w:ascii="宋体" w:hAnsi="宋体" w:cs="Arial"/>
          <w:i w:val="0"/>
          <w:color w:val="auto"/>
          <w:sz w:val="16"/>
          <w:szCs w:val="16"/>
          <w:highlight w:val="none"/>
          <w:shd w:val="clear" w:color="auto" w:fill="FFFFFF"/>
        </w:rPr>
        <w:t>~</w:t>
      </w:r>
      <w:r>
        <w:rPr>
          <w:rFonts w:hint="eastAsia" w:ascii="宋体" w:hAnsi="宋体"/>
          <w:color w:val="auto"/>
          <w:szCs w:val="21"/>
          <w:highlight w:val="none"/>
        </w:rPr>
        <w:t>三名为第一中标候选人、第二中标候选人和第三中标候选人。总得分相等时，以投标报价低的优先；报价也相等的，以检测方案得分高的优先；如果检测方案得分也相等，由评标委员会采用记名投票方式（不得弃权），以得票多的优先。</w:t>
      </w:r>
    </w:p>
    <w:p>
      <w:pPr>
        <w:pStyle w:val="7"/>
        <w:rPr>
          <w:color w:val="auto"/>
          <w:highlight w:val="none"/>
        </w:rPr>
      </w:pPr>
      <w:bookmarkStart w:id="139" w:name="bookmark85"/>
      <w:bookmarkEnd w:id="139"/>
      <w:bookmarkStart w:id="140" w:name="_Toc533357320"/>
      <w:bookmarkStart w:id="141" w:name="_Toc7960"/>
      <w:bookmarkStart w:id="142" w:name="_Toc16732"/>
      <w:r>
        <w:rPr>
          <w:color w:val="auto"/>
          <w:highlight w:val="none"/>
        </w:rPr>
        <w:t xml:space="preserve">2. </w:t>
      </w:r>
      <w:r>
        <w:rPr>
          <w:rFonts w:hint="eastAsia"/>
          <w:color w:val="auto"/>
          <w:highlight w:val="none"/>
        </w:rPr>
        <w:t>评审标准</w:t>
      </w:r>
      <w:bookmarkEnd w:id="140"/>
      <w:bookmarkEnd w:id="141"/>
      <w:bookmarkEnd w:id="142"/>
    </w:p>
    <w:p>
      <w:pPr>
        <w:pStyle w:val="9"/>
        <w:rPr>
          <w:rFonts w:ascii="宋体" w:hAnsi="宋体"/>
          <w:color w:val="auto"/>
          <w:highlight w:val="none"/>
        </w:rPr>
      </w:pPr>
      <w:bookmarkStart w:id="143" w:name="bookmark86"/>
      <w:bookmarkEnd w:id="143"/>
      <w:bookmarkStart w:id="144" w:name="bookmark87"/>
      <w:bookmarkEnd w:id="144"/>
      <w:r>
        <w:rPr>
          <w:rFonts w:ascii="宋体" w:hAnsi="宋体"/>
          <w:color w:val="auto"/>
          <w:highlight w:val="none"/>
        </w:rPr>
        <w:t xml:space="preserve">2.2 </w:t>
      </w:r>
      <w:r>
        <w:rPr>
          <w:rFonts w:hint="eastAsia" w:ascii="宋体" w:hAnsi="宋体"/>
          <w:color w:val="auto"/>
          <w:highlight w:val="none"/>
        </w:rPr>
        <w:t>分值构成与评分标准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2.2.1</w:t>
      </w:r>
      <w:r>
        <w:rPr>
          <w:rFonts w:hint="eastAsia" w:ascii="宋体" w:hAnsi="宋体"/>
          <w:color w:val="auto"/>
          <w:szCs w:val="21"/>
          <w:highlight w:val="none"/>
        </w:rPr>
        <w:t>分值构成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）企业综合实力部分：见评标办法前附表；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）技术方案部分：见评标办法前附表；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）投标报价部分：见评标办法前附表；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）其他因素部分：见评标办法前附表。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评标基准价计算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评标基准价计算方法：见评标办法前附表。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2.2.3</w:t>
      </w:r>
      <w:r>
        <w:rPr>
          <w:rFonts w:hint="eastAsia" w:ascii="宋体" w:hAnsi="宋体"/>
          <w:color w:val="auto"/>
          <w:szCs w:val="21"/>
          <w:highlight w:val="none"/>
        </w:rPr>
        <w:t>投标报价的计算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投标报价的偏差率计算公式：见评标办法前附表。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评分标准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）企业综合实力评分标准：见评标办法前附表；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）技术方案评分标准：见评标办法前附表；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）投标报价评分标准：见评标办法前附表；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）其他因素评分标准：见评标办法前附表。</w:t>
      </w:r>
    </w:p>
    <w:p>
      <w:pPr>
        <w:pStyle w:val="7"/>
        <w:rPr>
          <w:color w:val="auto"/>
          <w:highlight w:val="none"/>
        </w:rPr>
      </w:pPr>
      <w:bookmarkStart w:id="145" w:name="bookmark88"/>
      <w:bookmarkEnd w:id="145"/>
      <w:bookmarkStart w:id="146" w:name="_Toc17856"/>
      <w:bookmarkStart w:id="147" w:name="_Toc533357321"/>
      <w:bookmarkStart w:id="148" w:name="_Toc5166"/>
      <w:r>
        <w:rPr>
          <w:color w:val="auto"/>
          <w:highlight w:val="none"/>
        </w:rPr>
        <w:t xml:space="preserve">3. </w:t>
      </w:r>
      <w:r>
        <w:rPr>
          <w:rFonts w:hint="eastAsia"/>
          <w:color w:val="auto"/>
          <w:highlight w:val="none"/>
        </w:rPr>
        <w:t>评标程序</w:t>
      </w:r>
      <w:bookmarkEnd w:id="146"/>
      <w:bookmarkEnd w:id="147"/>
      <w:bookmarkEnd w:id="148"/>
    </w:p>
    <w:p>
      <w:pPr>
        <w:pStyle w:val="9"/>
        <w:ind w:firstLine="420"/>
        <w:rPr>
          <w:rFonts w:ascii="宋体" w:hAnsi="宋体"/>
          <w:color w:val="auto"/>
          <w:highlight w:val="none"/>
        </w:rPr>
      </w:pPr>
      <w:bookmarkStart w:id="149" w:name="bookmark89"/>
      <w:bookmarkEnd w:id="149"/>
      <w:r>
        <w:rPr>
          <w:rFonts w:ascii="宋体" w:hAnsi="宋体"/>
          <w:color w:val="auto"/>
          <w:highlight w:val="none"/>
        </w:rPr>
        <w:t xml:space="preserve">2.1 </w:t>
      </w:r>
      <w:r>
        <w:rPr>
          <w:rFonts w:hint="eastAsia" w:ascii="宋体" w:hAnsi="宋体"/>
          <w:color w:val="auto"/>
          <w:highlight w:val="none"/>
        </w:rPr>
        <w:t>初步评审标准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2.1.1</w:t>
      </w:r>
      <w:r>
        <w:rPr>
          <w:rFonts w:hint="eastAsia" w:ascii="宋体" w:hAnsi="宋体"/>
          <w:color w:val="auto"/>
          <w:szCs w:val="21"/>
          <w:highlight w:val="none"/>
        </w:rPr>
        <w:t>形式评审标准：见评标办法前附表。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rPr>
        <w:t>资格评审标准：见评标办法前附表。</w:t>
      </w:r>
    </w:p>
    <w:p>
      <w:pPr>
        <w:spacing w:line="360" w:lineRule="auto"/>
        <w:ind w:firstLine="420" w:firstLineChars="200"/>
        <w:rPr>
          <w:rFonts w:ascii="宋体" w:hAnsi="宋体"/>
          <w:color w:val="auto"/>
          <w:sz w:val="24"/>
          <w:szCs w:val="24"/>
          <w:highlight w:val="none"/>
        </w:rPr>
      </w:pPr>
      <w:r>
        <w:rPr>
          <w:rFonts w:ascii="宋体" w:hAnsi="宋体"/>
          <w:color w:val="auto"/>
          <w:szCs w:val="21"/>
          <w:highlight w:val="none"/>
        </w:rPr>
        <w:t>2.1.3</w:t>
      </w:r>
      <w:r>
        <w:rPr>
          <w:rFonts w:hint="eastAsia" w:ascii="宋体" w:hAnsi="宋体"/>
          <w:color w:val="auto"/>
          <w:szCs w:val="21"/>
          <w:highlight w:val="none"/>
        </w:rPr>
        <w:t>响应性评审标准：见评标办法前附表。</w:t>
      </w:r>
    </w:p>
    <w:p>
      <w:pPr>
        <w:pStyle w:val="9"/>
        <w:rPr>
          <w:rFonts w:ascii="宋体" w:hAnsi="宋体"/>
          <w:color w:val="auto"/>
          <w:highlight w:val="none"/>
        </w:rPr>
      </w:pPr>
      <w:r>
        <w:rPr>
          <w:rFonts w:ascii="宋体" w:hAnsi="宋体"/>
          <w:color w:val="auto"/>
          <w:highlight w:val="none"/>
        </w:rPr>
        <w:t xml:space="preserve">3.1 </w:t>
      </w:r>
      <w:r>
        <w:rPr>
          <w:rFonts w:hint="eastAsia" w:ascii="宋体" w:hAnsi="宋体"/>
          <w:color w:val="auto"/>
          <w:highlight w:val="none"/>
        </w:rPr>
        <w:t>初步评审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评标委员会可以要求投标人提交第二章“投标人须知”规定的有关证明和证件的原件，以便核验。评标委员会依据本章第</w:t>
      </w:r>
      <w:r>
        <w:rPr>
          <w:rFonts w:ascii="宋体" w:hAnsi="宋体"/>
          <w:color w:val="auto"/>
          <w:szCs w:val="21"/>
          <w:highlight w:val="none"/>
        </w:rPr>
        <w:t>2.1</w:t>
      </w:r>
      <w:r>
        <w:rPr>
          <w:rFonts w:hint="eastAsia" w:ascii="宋体" w:hAnsi="宋体"/>
          <w:color w:val="auto"/>
          <w:szCs w:val="21"/>
          <w:highlight w:val="none"/>
        </w:rPr>
        <w:t>款规定的标准对投标文件进行初步评审。有一项不符合评审标准的，评标委员会应当否决其投标。</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3.1.2</w:t>
      </w:r>
      <w:r>
        <w:rPr>
          <w:rFonts w:hint="eastAsia" w:ascii="宋体" w:hAnsi="宋体"/>
          <w:color w:val="auto"/>
          <w:szCs w:val="21"/>
          <w:highlight w:val="none"/>
        </w:rPr>
        <w:t>投标人有以下情形之一的，评标委员会应当否决其投标：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）投标文件没有对招标文件的实质性要求和条件作出响应，或者对招标文件的偏差超出招标文件规定的偏差范围或最高项数；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）有串通投标、弄虚作假、行贿等违法行为。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3.1.3</w:t>
      </w:r>
      <w:r>
        <w:rPr>
          <w:rFonts w:hint="eastAsia" w:ascii="宋体" w:hAnsi="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）投标文件中的大写金额与小写金额不一致的，以大写金额为准；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）总价金额与单价金额不一致的，以单价金额为准，但单价金额小数点有明显错误的除外。</w:t>
      </w:r>
    </w:p>
    <w:p>
      <w:pPr>
        <w:pStyle w:val="9"/>
        <w:rPr>
          <w:rFonts w:ascii="宋体" w:hAnsi="宋体"/>
          <w:color w:val="auto"/>
          <w:highlight w:val="none"/>
        </w:rPr>
      </w:pPr>
      <w:bookmarkStart w:id="150" w:name="bookmark90"/>
      <w:bookmarkEnd w:id="150"/>
      <w:r>
        <w:rPr>
          <w:rFonts w:ascii="宋体" w:hAnsi="宋体"/>
          <w:color w:val="auto"/>
          <w:highlight w:val="none"/>
        </w:rPr>
        <w:t xml:space="preserve">3.2 </w:t>
      </w:r>
      <w:r>
        <w:rPr>
          <w:rFonts w:hint="eastAsia" w:ascii="宋体" w:hAnsi="宋体"/>
          <w:color w:val="auto"/>
          <w:highlight w:val="none"/>
        </w:rPr>
        <w:t>详细评审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3.2.1</w:t>
      </w:r>
      <w:r>
        <w:rPr>
          <w:rFonts w:hint="eastAsia" w:ascii="宋体" w:hAnsi="宋体"/>
          <w:color w:val="auto"/>
          <w:szCs w:val="21"/>
          <w:highlight w:val="none"/>
        </w:rPr>
        <w:t>评标委员会按本章第</w:t>
      </w:r>
      <w:r>
        <w:rPr>
          <w:rFonts w:ascii="宋体" w:hAnsi="宋体"/>
          <w:color w:val="auto"/>
          <w:szCs w:val="21"/>
          <w:highlight w:val="none"/>
        </w:rPr>
        <w:t>2.2</w:t>
      </w:r>
      <w:r>
        <w:rPr>
          <w:rFonts w:hint="eastAsia" w:ascii="宋体" w:hAnsi="宋体"/>
          <w:color w:val="auto"/>
          <w:szCs w:val="21"/>
          <w:highlight w:val="none"/>
        </w:rPr>
        <w:t>款规定的量化因素和分值进行打分，并计算出综合评估得分。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）目规定的评审因素和分值对企业综合实力部分计算出得分</w:t>
      </w:r>
      <w:r>
        <w:rPr>
          <w:rFonts w:hint="eastAsia" w:ascii="宋体" w:hAnsi="宋体"/>
          <w:b/>
          <w:color w:val="auto"/>
          <w:sz w:val="18"/>
          <w:szCs w:val="18"/>
          <w:highlight w:val="none"/>
        </w:rPr>
        <w:t>A</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）目规定的评审因素和分值对技术方案部分计算出得分</w:t>
      </w:r>
      <w:r>
        <w:rPr>
          <w:rFonts w:hint="eastAsia" w:ascii="宋体" w:hAnsi="宋体"/>
          <w:b/>
          <w:color w:val="auto"/>
          <w:sz w:val="18"/>
          <w:szCs w:val="18"/>
          <w:highlight w:val="none"/>
        </w:rPr>
        <w:t>B</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）按本章第</w:t>
      </w:r>
      <w:r>
        <w:rPr>
          <w:rFonts w:ascii="宋体" w:hAnsi="宋体"/>
          <w:color w:val="auto"/>
          <w:szCs w:val="21"/>
          <w:highlight w:val="none"/>
        </w:rPr>
        <w:t>2.2.4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）目规定的评审因素和分值对投标报价部分计算出得分</w:t>
      </w:r>
      <w:r>
        <w:rPr>
          <w:rFonts w:hint="eastAsia" w:ascii="宋体" w:hAnsi="宋体"/>
          <w:b/>
          <w:color w:val="auto"/>
          <w:sz w:val="18"/>
          <w:szCs w:val="18"/>
          <w:highlight w:val="none"/>
        </w:rPr>
        <w:t>C</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3.2.2</w:t>
      </w:r>
      <w:r>
        <w:rPr>
          <w:rFonts w:hint="eastAsia" w:ascii="宋体" w:hAnsi="宋体"/>
          <w:color w:val="auto"/>
          <w:szCs w:val="21"/>
          <w:highlight w:val="none"/>
        </w:rPr>
        <w:t>评分分值计算保留小数点后两位，小数点后第三位“四舍五入”。</w:t>
      </w:r>
    </w:p>
    <w:p>
      <w:pPr>
        <w:spacing w:line="360" w:lineRule="auto"/>
        <w:ind w:firstLine="420" w:firstLineChars="200"/>
        <w:rPr>
          <w:rFonts w:ascii="宋体" w:hAnsi="宋体"/>
          <w:color w:val="auto"/>
          <w:szCs w:val="21"/>
          <w:highlight w:val="none"/>
          <w:u w:val="single"/>
        </w:rPr>
      </w:pPr>
      <w:r>
        <w:rPr>
          <w:rFonts w:ascii="宋体" w:hAnsi="宋体"/>
          <w:color w:val="auto"/>
          <w:szCs w:val="21"/>
          <w:highlight w:val="none"/>
        </w:rPr>
        <w:t>3.2.3</w:t>
      </w:r>
      <w:r>
        <w:rPr>
          <w:rFonts w:hint="eastAsia" w:ascii="宋体" w:hAnsi="宋体"/>
          <w:color w:val="auto"/>
          <w:szCs w:val="21"/>
          <w:highlight w:val="none"/>
        </w:rPr>
        <w:t>投标人总得分：</w:t>
      </w:r>
      <w:r>
        <w:rPr>
          <w:rFonts w:hint="eastAsia" w:ascii="宋体" w:hAnsi="宋体"/>
          <w:color w:val="auto"/>
          <w:szCs w:val="21"/>
          <w:highlight w:val="none"/>
          <w:u w:val="single"/>
        </w:rPr>
        <w:t>评标办法前附表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3.2.4</w:t>
      </w:r>
      <w:r>
        <w:rPr>
          <w:rFonts w:hint="eastAsia" w:ascii="宋体" w:hAnsi="宋体"/>
          <w:color w:val="auto"/>
          <w:szCs w:val="21"/>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9"/>
        <w:rPr>
          <w:rFonts w:ascii="宋体" w:hAnsi="宋体"/>
          <w:color w:val="auto"/>
          <w:highlight w:val="none"/>
        </w:rPr>
      </w:pPr>
      <w:bookmarkStart w:id="151" w:name="bookmark91"/>
      <w:bookmarkEnd w:id="151"/>
      <w:r>
        <w:rPr>
          <w:rFonts w:ascii="宋体" w:hAnsi="宋体"/>
          <w:color w:val="auto"/>
          <w:highlight w:val="none"/>
        </w:rPr>
        <w:t xml:space="preserve">3.3 </w:t>
      </w:r>
      <w:r>
        <w:rPr>
          <w:rFonts w:hint="eastAsia" w:ascii="宋体" w:hAnsi="宋体"/>
          <w:color w:val="auto"/>
          <w:highlight w:val="none"/>
        </w:rPr>
        <w:t>投标文件的澄清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3.3.1</w:t>
      </w:r>
      <w:r>
        <w:rPr>
          <w:rFonts w:hint="eastAsia" w:ascii="宋体" w:hAnsi="宋体"/>
          <w:color w:val="auto"/>
          <w:szCs w:val="21"/>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3.3.2</w:t>
      </w:r>
      <w:r>
        <w:rPr>
          <w:rFonts w:hint="eastAsia" w:ascii="宋体" w:hAnsi="宋体"/>
          <w:color w:val="auto"/>
          <w:szCs w:val="21"/>
          <w:highlight w:val="none"/>
        </w:rPr>
        <w:t>澄清、说明或补正不得超出投标文件的范围且不得改变投标文件的实质性内容，并构成投标文件的组成部分。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3.3.3</w:t>
      </w:r>
      <w:r>
        <w:rPr>
          <w:rFonts w:hint="eastAsia" w:ascii="宋体" w:hAnsi="宋体"/>
          <w:color w:val="auto"/>
          <w:szCs w:val="21"/>
          <w:highlight w:val="none"/>
        </w:rPr>
        <w:t>评标委员会对投标人提交的澄清、说明或补正有疑问的，可以要求投标人进一步澄清、说明或补正，直至满足评标委员会的要求。</w:t>
      </w:r>
    </w:p>
    <w:p>
      <w:pPr>
        <w:pStyle w:val="9"/>
        <w:rPr>
          <w:rFonts w:ascii="宋体" w:hAnsi="宋体"/>
          <w:color w:val="auto"/>
          <w:highlight w:val="none"/>
        </w:rPr>
      </w:pPr>
      <w:bookmarkStart w:id="152" w:name="bookmark92"/>
      <w:bookmarkEnd w:id="152"/>
      <w:r>
        <w:rPr>
          <w:rFonts w:ascii="宋体" w:hAnsi="宋体"/>
          <w:color w:val="auto"/>
          <w:highlight w:val="none"/>
        </w:rPr>
        <w:t xml:space="preserve">3.4 </w:t>
      </w:r>
      <w:r>
        <w:rPr>
          <w:rFonts w:hint="eastAsia" w:ascii="宋体" w:hAnsi="宋体"/>
          <w:color w:val="auto"/>
          <w:highlight w:val="none"/>
        </w:rPr>
        <w:t>评标结果</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rPr>
        <w:t>除第二章“投标人须知”前附表授权直接确定中标人外，评标委员会按照得分由高到低的顺序推荐中标候选人，并标明排序。</w:t>
      </w:r>
    </w:p>
    <w:p>
      <w:pPr>
        <w:ind w:firstLine="472" w:firstLineChars="225"/>
        <w:rPr>
          <w:rFonts w:ascii="宋体" w:hAnsi="宋体"/>
          <w:color w:val="auto"/>
          <w:szCs w:val="21"/>
          <w:highlight w:val="none"/>
        </w:rPr>
      </w:pPr>
      <w:r>
        <w:rPr>
          <w:rFonts w:ascii="宋体" w:hAnsi="宋体"/>
          <w:color w:val="auto"/>
          <w:szCs w:val="21"/>
          <w:highlight w:val="none"/>
        </w:rPr>
        <w:t>3.4.2</w:t>
      </w:r>
      <w:r>
        <w:rPr>
          <w:rFonts w:hint="eastAsia" w:ascii="宋体" w:hAnsi="宋体"/>
          <w:color w:val="auto"/>
          <w:szCs w:val="21"/>
          <w:highlight w:val="none"/>
        </w:rPr>
        <w:t>评标委员会完成评标后，应当向招标人提交书面评标报告和中标候选人名单。</w:t>
      </w:r>
    </w:p>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 xml:space="preserve"> </w:t>
      </w:r>
    </w:p>
    <w:p>
      <w:pPr>
        <w:adjustRightInd w:val="0"/>
        <w:snapToGrid w:val="0"/>
        <w:spacing w:line="360" w:lineRule="auto"/>
        <w:jc w:val="center"/>
        <w:rPr>
          <w:rFonts w:ascii="宋体" w:hAnsi="宋体"/>
          <w:b/>
          <w:color w:val="auto"/>
          <w:sz w:val="36"/>
          <w:szCs w:val="36"/>
          <w:highlight w:val="none"/>
        </w:rPr>
      </w:pPr>
    </w:p>
    <w:p>
      <w:pPr>
        <w:pStyle w:val="5"/>
        <w:rPr>
          <w:color w:val="auto"/>
          <w:highlight w:val="none"/>
        </w:rPr>
      </w:pPr>
      <w:r>
        <w:rPr>
          <w:color w:val="auto"/>
          <w:sz w:val="24"/>
          <w:szCs w:val="24"/>
          <w:highlight w:val="none"/>
        </w:rPr>
        <w:br w:type="page"/>
      </w:r>
      <w:bookmarkStart w:id="153" w:name="_Toc533357322"/>
      <w:bookmarkStart w:id="154" w:name="_Toc1267"/>
      <w:bookmarkStart w:id="155" w:name="_Toc28705"/>
      <w:r>
        <w:rPr>
          <w:rFonts w:hint="eastAsia"/>
          <w:color w:val="auto"/>
          <w:highlight w:val="none"/>
        </w:rPr>
        <w:t>第四章  合同条款及格式</w:t>
      </w:r>
      <w:bookmarkEnd w:id="153"/>
      <w:bookmarkEnd w:id="154"/>
      <w:bookmarkEnd w:id="155"/>
    </w:p>
    <w:p>
      <w:pPr>
        <w:pStyle w:val="60"/>
        <w:rPr>
          <w:rFonts w:ascii="宋体" w:hAnsi="宋体"/>
          <w:color w:val="auto"/>
          <w:highlight w:val="none"/>
        </w:rPr>
      </w:pPr>
      <w:r>
        <w:rPr>
          <w:rFonts w:ascii="宋体" w:hAnsi="宋体"/>
          <w:b/>
          <w:color w:val="auto"/>
          <w:sz w:val="28"/>
          <w:szCs w:val="28"/>
          <w:highlight w:val="none"/>
        </w:rPr>
        <w:br w:type="page"/>
      </w:r>
    </w:p>
    <w:p>
      <w:pPr>
        <w:spacing w:line="560" w:lineRule="exact"/>
        <w:rPr>
          <w:rFonts w:ascii="宋体" w:hAnsi="宋体"/>
          <w:color w:val="auto"/>
          <w:sz w:val="24"/>
          <w:szCs w:val="24"/>
          <w:highlight w:val="none"/>
        </w:rPr>
      </w:pPr>
      <w:r>
        <w:rPr>
          <w:rFonts w:hint="eastAsia" w:ascii="宋体" w:hAnsi="宋体"/>
          <w:b/>
          <w:color w:val="auto"/>
          <w:highlight w:val="none"/>
        </w:rPr>
        <w:drawing>
          <wp:anchor distT="0" distB="0" distL="114300" distR="114300" simplePos="0" relativeHeight="251664384" behindDoc="0" locked="0" layoutInCell="1" allowOverlap="0">
            <wp:simplePos x="0" y="0"/>
            <wp:positionH relativeFrom="column">
              <wp:posOffset>3273425</wp:posOffset>
            </wp:positionH>
            <wp:positionV relativeFrom="line">
              <wp:posOffset>2540</wp:posOffset>
            </wp:positionV>
            <wp:extent cx="2442210" cy="2110105"/>
            <wp:effectExtent l="0" t="0" r="0" b="4445"/>
            <wp:wrapSquare wrapText="bothSides"/>
            <wp:docPr id="9" name="图片 9" descr="C:\Users\FYX\AppData\Local\Temp\ksohtml\wps611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FYX\AppData\Local\Temp\ksohtml\wps611B.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42210" cy="2110105"/>
                    </a:xfrm>
                    <a:prstGeom prst="rect">
                      <a:avLst/>
                    </a:prstGeom>
                    <a:noFill/>
                    <a:ln>
                      <a:noFill/>
                    </a:ln>
                  </pic:spPr>
                </pic:pic>
              </a:graphicData>
            </a:graphic>
          </wp:anchor>
        </w:drawing>
      </w:r>
      <w:r>
        <w:rPr>
          <w:rFonts w:ascii="宋体" w:hAnsi="宋体"/>
          <w:color w:val="auto"/>
          <w:sz w:val="24"/>
          <w:szCs w:val="24"/>
          <w:highlight w:val="none"/>
        </w:rPr>
        <w:drawing>
          <wp:inline distT="0" distB="0" distL="0" distR="0">
            <wp:extent cx="2624455" cy="285115"/>
            <wp:effectExtent l="0" t="0" r="4445" b="635"/>
            <wp:docPr id="3" name="图片 3" descr="C:\Users\FYX\AppData\Local\Temp\ksohtml\wps611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FYX\AppData\Local\Temp\ksohtml\wps611C.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24455" cy="285115"/>
                    </a:xfrm>
                    <a:prstGeom prst="rect">
                      <a:avLst/>
                    </a:prstGeom>
                    <a:noFill/>
                    <a:ln>
                      <a:noFill/>
                    </a:ln>
                  </pic:spPr>
                </pic:pic>
              </a:graphicData>
            </a:graphic>
          </wp:inline>
        </w:drawing>
      </w:r>
    </w:p>
    <w:p>
      <w:pPr>
        <w:spacing w:line="560" w:lineRule="exact"/>
        <w:rPr>
          <w:rFonts w:ascii="宋体" w:hAnsi="宋体"/>
          <w:color w:val="auto"/>
          <w:sz w:val="24"/>
          <w:szCs w:val="24"/>
          <w:highlight w:val="none"/>
        </w:rPr>
      </w:pPr>
      <w:r>
        <w:rPr>
          <w:rFonts w:hint="eastAsia" w:ascii="宋体" w:hAnsi="宋体"/>
          <w:color w:val="auto"/>
          <w:sz w:val="24"/>
          <w:szCs w:val="24"/>
          <w:highlight w:val="none"/>
        </w:rPr>
        <w:t xml:space="preserve">合同编号：穗开建管综 [2021]  号                 </w:t>
      </w:r>
    </w:p>
    <w:p>
      <w:pPr>
        <w:spacing w:line="560" w:lineRule="exact"/>
        <w:rPr>
          <w:rFonts w:ascii="宋体" w:hAnsi="宋体"/>
          <w:color w:val="auto"/>
          <w:sz w:val="28"/>
          <w:szCs w:val="28"/>
          <w:highlight w:val="none"/>
        </w:rPr>
      </w:pPr>
      <w:r>
        <w:rPr>
          <w:rFonts w:hint="eastAsia" w:ascii="宋体" w:hAnsi="宋体"/>
          <w:color w:val="auto"/>
          <w:sz w:val="28"/>
          <w:szCs w:val="28"/>
          <w:highlight w:val="none"/>
        </w:rPr>
        <w:t xml:space="preserve"> </w:t>
      </w:r>
    </w:p>
    <w:p>
      <w:pPr>
        <w:spacing w:line="560" w:lineRule="exact"/>
        <w:ind w:firstLine="840" w:firstLineChars="400"/>
        <w:rPr>
          <w:rFonts w:ascii="宋体" w:hAnsi="宋体"/>
          <w:color w:val="auto"/>
          <w:highlight w:val="none"/>
        </w:rPr>
      </w:pPr>
    </w:p>
    <w:p>
      <w:pPr>
        <w:spacing w:line="560" w:lineRule="exact"/>
        <w:ind w:firstLine="8400" w:firstLineChars="3500"/>
        <w:rPr>
          <w:rFonts w:ascii="宋体" w:hAnsi="宋体"/>
          <w:color w:val="auto"/>
          <w:sz w:val="24"/>
          <w:highlight w:val="none"/>
        </w:rPr>
      </w:pPr>
      <w:r>
        <w:rPr>
          <w:rFonts w:hint="eastAsia" w:ascii="宋体" w:hAnsi="宋体"/>
          <w:color w:val="auto"/>
          <w:sz w:val="24"/>
          <w:highlight w:val="none"/>
        </w:rPr>
        <w:t xml:space="preserve">                            </w:t>
      </w:r>
    </w:p>
    <w:p>
      <w:pPr>
        <w:spacing w:line="560" w:lineRule="exact"/>
        <w:rPr>
          <w:rFonts w:ascii="宋体" w:hAnsi="宋体"/>
          <w:color w:val="auto"/>
          <w:sz w:val="28"/>
          <w:szCs w:val="28"/>
          <w:highlight w:val="none"/>
        </w:rPr>
      </w:pPr>
    </w:p>
    <w:p>
      <w:pPr>
        <w:spacing w:line="560" w:lineRule="exact"/>
        <w:ind w:firstLine="840" w:firstLineChars="400"/>
        <w:rPr>
          <w:rFonts w:ascii="宋体" w:hAnsi="宋体"/>
          <w:b/>
          <w:bCs/>
          <w:color w:val="auto"/>
          <w:sz w:val="84"/>
          <w:szCs w:val="84"/>
          <w:highlight w:val="none"/>
        </w:rPr>
      </w:pPr>
      <w:r>
        <w:rPr>
          <w:rFonts w:hint="eastAsia" w:ascii="宋体" w:hAnsi="宋体"/>
          <w:color w:val="auto"/>
          <w:highlight w:val="none"/>
        </w:rPr>
        <w:t xml:space="preserve">   </w:t>
      </w:r>
    </w:p>
    <w:p>
      <w:pPr>
        <w:spacing w:line="560" w:lineRule="exact"/>
        <w:jc w:val="center"/>
        <w:rPr>
          <w:rFonts w:ascii="宋体" w:hAnsi="宋体"/>
          <w:b/>
          <w:bCs/>
          <w:color w:val="auto"/>
          <w:sz w:val="52"/>
          <w:szCs w:val="52"/>
          <w:highlight w:val="none"/>
        </w:rPr>
      </w:pPr>
      <w:r>
        <w:rPr>
          <w:rFonts w:hint="eastAsia" w:ascii="宋体" w:hAnsi="宋体"/>
          <w:b/>
          <w:bCs/>
          <w:color w:val="auto"/>
          <w:sz w:val="52"/>
          <w:szCs w:val="52"/>
          <w:highlight w:val="none"/>
        </w:rPr>
        <w:t>建设工程项目第三方检测服务合同</w:t>
      </w:r>
    </w:p>
    <w:p>
      <w:pPr>
        <w:spacing w:line="480" w:lineRule="exact"/>
        <w:ind w:firstLine="5100" w:firstLineChars="1700"/>
        <w:rPr>
          <w:rFonts w:ascii="宋体" w:hAnsi="宋体"/>
          <w:color w:val="auto"/>
          <w:sz w:val="30"/>
          <w:szCs w:val="30"/>
          <w:highlight w:val="none"/>
        </w:rPr>
      </w:pPr>
    </w:p>
    <w:p>
      <w:pPr>
        <w:spacing w:line="480" w:lineRule="exact"/>
        <w:rPr>
          <w:rFonts w:ascii="宋体" w:hAnsi="宋体"/>
          <w:color w:val="auto"/>
          <w:sz w:val="28"/>
          <w:szCs w:val="28"/>
          <w:highlight w:val="none"/>
        </w:rPr>
      </w:pPr>
    </w:p>
    <w:p>
      <w:pPr>
        <w:spacing w:line="480" w:lineRule="exact"/>
        <w:ind w:firstLine="140" w:firstLineChars="50"/>
        <w:rPr>
          <w:rFonts w:hint="eastAsia" w:ascii="宋体" w:hAnsi="宋体"/>
          <w:color w:val="auto"/>
          <w:sz w:val="28"/>
          <w:szCs w:val="28"/>
          <w:highlight w:val="none"/>
          <w:u w:val="singl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黄埔区开放大道北二期建设工程第三方检测服务</w:t>
      </w:r>
    </w:p>
    <w:p>
      <w:pPr>
        <w:spacing w:line="480" w:lineRule="exact"/>
        <w:ind w:firstLine="140" w:firstLineChars="50"/>
        <w:rPr>
          <w:rFonts w:ascii="宋体" w:hAnsi="宋体"/>
          <w:color w:val="auto"/>
          <w:sz w:val="28"/>
          <w:szCs w:val="28"/>
          <w:highlight w:val="none"/>
          <w:u w:val="single"/>
        </w:rPr>
      </w:pPr>
      <w:r>
        <w:rPr>
          <w:rFonts w:hint="eastAsia" w:ascii="宋体" w:hAnsi="宋体"/>
          <w:color w:val="auto"/>
          <w:sz w:val="28"/>
          <w:szCs w:val="28"/>
          <w:highlight w:val="none"/>
        </w:rPr>
        <w:t>委托单位：</w:t>
      </w:r>
      <w:r>
        <w:rPr>
          <w:rFonts w:hint="eastAsia" w:ascii="宋体" w:hAnsi="宋体"/>
          <w:color w:val="auto"/>
          <w:sz w:val="28"/>
          <w:szCs w:val="28"/>
          <w:highlight w:val="none"/>
          <w:u w:val="single"/>
        </w:rPr>
        <w:t xml:space="preserve"> 广州开发区财政投资建设项目管理中心</w:t>
      </w:r>
    </w:p>
    <w:p>
      <w:pPr>
        <w:spacing w:line="480" w:lineRule="exact"/>
        <w:rPr>
          <w:rFonts w:ascii="宋体" w:hAnsi="宋体"/>
          <w:color w:val="auto"/>
          <w:sz w:val="28"/>
          <w:szCs w:val="28"/>
          <w:highlight w:val="none"/>
          <w:u w:val="single"/>
        </w:rPr>
      </w:pPr>
      <w:r>
        <w:rPr>
          <w:rFonts w:hint="eastAsia" w:ascii="宋体" w:hAnsi="宋体"/>
          <w:color w:val="auto"/>
          <w:sz w:val="28"/>
          <w:szCs w:val="28"/>
          <w:highlight w:val="none"/>
        </w:rPr>
        <w:t xml:space="preserve"> 服务单位：</w:t>
      </w:r>
      <w:r>
        <w:rPr>
          <w:rFonts w:hint="eastAsia" w:ascii="宋体" w:hAnsi="宋体"/>
          <w:color w:val="auto"/>
          <w:sz w:val="28"/>
          <w:szCs w:val="28"/>
          <w:highlight w:val="none"/>
          <w:u w:val="single"/>
        </w:rPr>
        <w:t xml:space="preserve">                                              </w:t>
      </w:r>
    </w:p>
    <w:p>
      <w:pPr>
        <w:spacing w:line="480" w:lineRule="exact"/>
        <w:rPr>
          <w:rFonts w:ascii="宋体" w:hAnsi="宋体"/>
          <w:color w:val="auto"/>
          <w:sz w:val="28"/>
          <w:szCs w:val="28"/>
          <w:highlight w:val="none"/>
          <w:u w:val="single"/>
        </w:rPr>
      </w:pPr>
      <w:r>
        <w:rPr>
          <w:rFonts w:hint="eastAsia" w:ascii="宋体" w:hAnsi="宋体"/>
          <w:color w:val="auto"/>
          <w:sz w:val="28"/>
          <w:szCs w:val="28"/>
          <w:highlight w:val="none"/>
        </w:rPr>
        <w:t xml:space="preserve"> 合同签订日期：</w:t>
      </w:r>
      <w:r>
        <w:rPr>
          <w:rFonts w:hint="eastAsia" w:ascii="宋体" w:hAnsi="宋体"/>
          <w:color w:val="auto"/>
          <w:sz w:val="28"/>
          <w:szCs w:val="28"/>
          <w:highlight w:val="none"/>
          <w:u w:val="single"/>
        </w:rPr>
        <w:t>202</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年 月 日 </w:t>
      </w:r>
    </w:p>
    <w:p>
      <w:pPr>
        <w:spacing w:line="480" w:lineRule="exact"/>
        <w:ind w:firstLine="105" w:firstLineChars="50"/>
        <w:rPr>
          <w:rFonts w:ascii="宋体" w:hAnsi="宋体"/>
          <w:color w:val="auto"/>
          <w:highlight w:val="none"/>
        </w:rPr>
        <w:sectPr>
          <w:pgSz w:w="11906" w:h="16838"/>
          <w:pgMar w:top="1417" w:right="1417" w:bottom="1417" w:left="1417" w:header="850" w:footer="567" w:gutter="0"/>
          <w:cols w:space="720" w:num="1"/>
        </w:sectPr>
      </w:pPr>
      <w:r>
        <w:rPr>
          <w:rFonts w:ascii="宋体" w:hAnsi="宋体"/>
          <w:color w:val="auto"/>
          <w:highlight w:val="none"/>
        </w:rPr>
        <w:drawing>
          <wp:anchor distT="0" distB="0" distL="114300" distR="114300" simplePos="0" relativeHeight="251662336" behindDoc="0" locked="0" layoutInCell="1" allowOverlap="0">
            <wp:simplePos x="0" y="0"/>
            <wp:positionH relativeFrom="column">
              <wp:posOffset>-899795</wp:posOffset>
            </wp:positionH>
            <wp:positionV relativeFrom="paragraph">
              <wp:posOffset>1609090</wp:posOffset>
            </wp:positionV>
            <wp:extent cx="7519035" cy="2619375"/>
            <wp:effectExtent l="0" t="0" r="5715"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19035" cy="2619375"/>
                    </a:xfrm>
                    <a:prstGeom prst="rect">
                      <a:avLst/>
                    </a:prstGeom>
                    <a:noFill/>
                    <a:ln>
                      <a:noFill/>
                    </a:ln>
                  </pic:spPr>
                </pic:pic>
              </a:graphicData>
            </a:graphic>
          </wp:anchor>
        </w:drawing>
      </w:r>
      <w:r>
        <w:rPr>
          <w:rFonts w:hint="eastAsia" w:ascii="宋体" w:hAnsi="宋体"/>
          <w:color w:val="auto"/>
          <w:sz w:val="28"/>
          <w:szCs w:val="28"/>
          <w:highlight w:val="none"/>
        </w:rPr>
        <w:t>签订地点：</w:t>
      </w:r>
      <w:r>
        <w:rPr>
          <w:rFonts w:hint="eastAsia" w:ascii="宋体" w:hAnsi="宋体"/>
          <w:color w:val="auto"/>
          <w:sz w:val="28"/>
          <w:szCs w:val="28"/>
          <w:highlight w:val="none"/>
          <w:u w:val="single"/>
        </w:rPr>
        <w:t>广州市黄埔区</w:t>
      </w:r>
    </w:p>
    <w:p>
      <w:pPr>
        <w:spacing w:line="500" w:lineRule="exact"/>
        <w:rPr>
          <w:rFonts w:ascii="宋体" w:hAnsi="宋体"/>
          <w:color w:val="auto"/>
          <w:sz w:val="28"/>
          <w:szCs w:val="28"/>
          <w:highlight w:val="none"/>
          <w:u w:val="single"/>
        </w:rPr>
      </w:pPr>
      <w:r>
        <w:rPr>
          <w:rFonts w:hint="eastAsia" w:ascii="宋体" w:hAnsi="宋体"/>
          <w:color w:val="auto"/>
          <w:sz w:val="28"/>
          <w:szCs w:val="28"/>
          <w:highlight w:val="none"/>
        </w:rPr>
        <w:t>甲方：</w:t>
      </w:r>
      <w:r>
        <w:rPr>
          <w:rFonts w:hint="eastAsia" w:ascii="宋体" w:hAnsi="宋体"/>
          <w:color w:val="auto"/>
          <w:sz w:val="28"/>
          <w:szCs w:val="28"/>
          <w:highlight w:val="none"/>
          <w:u w:val="single"/>
        </w:rPr>
        <w:t>广州开发区财政投资建设项目管理中心</w:t>
      </w:r>
    </w:p>
    <w:p>
      <w:pPr>
        <w:spacing w:line="480" w:lineRule="exact"/>
        <w:rPr>
          <w:rFonts w:ascii="宋体" w:hAnsi="宋体"/>
          <w:color w:val="auto"/>
          <w:sz w:val="28"/>
          <w:szCs w:val="28"/>
          <w:highlight w:val="none"/>
        </w:rPr>
      </w:pPr>
      <w:r>
        <w:rPr>
          <w:rFonts w:hint="eastAsia" w:ascii="宋体" w:hAnsi="宋体"/>
          <w:color w:val="auto"/>
          <w:sz w:val="28"/>
          <w:szCs w:val="28"/>
          <w:highlight w:val="none"/>
        </w:rPr>
        <w:t>乙方：</w:t>
      </w:r>
      <w:r>
        <w:rPr>
          <w:rFonts w:hint="eastAsia" w:ascii="宋体" w:hAnsi="宋体"/>
          <w:color w:val="auto"/>
          <w:sz w:val="28"/>
          <w:szCs w:val="28"/>
          <w:highlight w:val="none"/>
          <w:u w:val="single"/>
        </w:rPr>
        <w:t xml:space="preserve">                                    </w:t>
      </w:r>
    </w:p>
    <w:p>
      <w:pPr>
        <w:adjustRightInd w:val="0"/>
        <w:snapToGrid w:val="0"/>
        <w:spacing w:line="500" w:lineRule="exact"/>
        <w:ind w:right="11"/>
        <w:rPr>
          <w:rFonts w:ascii="宋体" w:hAnsi="宋体"/>
          <w:color w:val="auto"/>
          <w:sz w:val="28"/>
          <w:szCs w:val="28"/>
          <w:highlight w:val="none"/>
        </w:rPr>
      </w:pPr>
      <w:r>
        <w:rPr>
          <w:rFonts w:ascii="宋体" w:hAnsi="宋体"/>
          <w:color w:val="auto"/>
          <w:sz w:val="28"/>
          <w:szCs w:val="28"/>
          <w:highlight w:val="none"/>
        </w:rPr>
        <w:t xml:space="preserve"> </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鉴于</w:t>
      </w:r>
      <w:r>
        <w:rPr>
          <w:rFonts w:hint="eastAsia" w:ascii="宋体" w:hAnsi="宋体"/>
          <w:color w:val="auto"/>
          <w:sz w:val="28"/>
          <w:szCs w:val="28"/>
          <w:highlight w:val="none"/>
          <w:u w:val="single"/>
        </w:rPr>
        <w:t>广州开发区财政投资建设项目管理中心</w:t>
      </w:r>
      <w:r>
        <w:rPr>
          <w:rFonts w:hint="eastAsia" w:ascii="宋体" w:hAnsi="宋体"/>
          <w:color w:val="auto"/>
          <w:sz w:val="28"/>
          <w:szCs w:val="28"/>
          <w:highlight w:val="none"/>
        </w:rPr>
        <w:t>（以下称甲方）就</w:t>
      </w:r>
      <w:r>
        <w:rPr>
          <w:rFonts w:hint="eastAsia" w:ascii="宋体" w:hAnsi="宋体"/>
          <w:color w:val="auto"/>
          <w:sz w:val="28"/>
          <w:szCs w:val="28"/>
          <w:highlight w:val="none"/>
          <w:u w:val="single"/>
        </w:rPr>
        <w:t xml:space="preserve">          第三方检测服务</w:t>
      </w:r>
      <w:r>
        <w:rPr>
          <w:rFonts w:hint="eastAsia" w:ascii="宋体" w:hAnsi="宋体"/>
          <w:color w:val="auto"/>
          <w:sz w:val="28"/>
          <w:szCs w:val="28"/>
          <w:highlight w:val="none"/>
        </w:rPr>
        <w:t>进行了公开招标，中标人为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（下称乙方），甲方与乙方依照《中华人民共和国民法典》、《中华人民共和国建筑法》及其他有关法律、行政法规、部门规章、地方性法规和规章，遵循平等、自愿、公平和诚实信用的原则，双方就</w:t>
      </w:r>
      <w:r>
        <w:rPr>
          <w:rFonts w:hint="eastAsia" w:ascii="宋体" w:hAnsi="宋体"/>
          <w:color w:val="auto"/>
          <w:sz w:val="28"/>
          <w:szCs w:val="28"/>
          <w:highlight w:val="none"/>
          <w:u w:val="single"/>
        </w:rPr>
        <w:t xml:space="preserve">                       第三方检测服务</w:t>
      </w:r>
      <w:r>
        <w:rPr>
          <w:rFonts w:hint="eastAsia" w:ascii="宋体" w:hAnsi="宋体"/>
          <w:color w:val="auto"/>
          <w:sz w:val="28"/>
          <w:szCs w:val="28"/>
          <w:highlight w:val="none"/>
        </w:rPr>
        <w:t>事宜协商一致，订立本合同。</w:t>
      </w:r>
    </w:p>
    <w:p>
      <w:pPr>
        <w:adjustRightInd w:val="0"/>
        <w:snapToGrid w:val="0"/>
        <w:spacing w:line="500" w:lineRule="exact"/>
        <w:ind w:right="11" w:firstLine="562" w:firstLineChars="200"/>
        <w:rPr>
          <w:rFonts w:ascii="宋体" w:hAnsi="宋体"/>
          <w:bCs/>
          <w:color w:val="auto"/>
          <w:sz w:val="28"/>
          <w:szCs w:val="28"/>
          <w:highlight w:val="none"/>
        </w:rPr>
      </w:pPr>
      <w:r>
        <w:rPr>
          <w:rFonts w:hint="eastAsia" w:ascii="宋体" w:hAnsi="宋体"/>
          <w:b/>
          <w:color w:val="auto"/>
          <w:sz w:val="28"/>
          <w:szCs w:val="28"/>
          <w:highlight w:val="none"/>
        </w:rPr>
        <w:t>一、下列文件应被认为是组成本合同的一部分，并互为补充和解释，如各文件存在冲突之处，以如下排列次序在前者优先适用：</w:t>
      </w:r>
    </w:p>
    <w:p>
      <w:pPr>
        <w:adjustRightInd w:val="0"/>
        <w:snapToGrid w:val="0"/>
        <w:spacing w:line="500" w:lineRule="exact"/>
        <w:ind w:right="11" w:firstLine="560" w:firstLineChars="200"/>
        <w:rPr>
          <w:rFonts w:ascii="宋体" w:hAnsi="宋体"/>
          <w:bCs/>
          <w:color w:val="auto"/>
          <w:sz w:val="28"/>
          <w:szCs w:val="28"/>
          <w:highlight w:val="none"/>
        </w:rPr>
      </w:pPr>
      <w:r>
        <w:rPr>
          <w:rFonts w:hint="eastAsia" w:ascii="宋体" w:hAnsi="宋体"/>
          <w:bCs/>
          <w:color w:val="auto"/>
          <w:sz w:val="28"/>
          <w:szCs w:val="28"/>
          <w:highlight w:val="none"/>
        </w:rPr>
        <w:t>1、国家和广东省、广州市、黄埔区、开发区关于本工程的有关文件；</w:t>
      </w:r>
    </w:p>
    <w:p>
      <w:pPr>
        <w:spacing w:line="500" w:lineRule="exact"/>
        <w:rPr>
          <w:rFonts w:ascii="宋体" w:hAnsi="宋体"/>
          <w:color w:val="auto"/>
          <w:sz w:val="28"/>
          <w:szCs w:val="28"/>
          <w:highlight w:val="none"/>
        </w:rPr>
      </w:pPr>
      <w:r>
        <w:rPr>
          <w:rFonts w:hint="eastAsia" w:ascii="宋体" w:hAnsi="宋体"/>
          <w:color w:val="auto"/>
          <w:sz w:val="28"/>
          <w:szCs w:val="28"/>
          <w:highlight w:val="none"/>
        </w:rPr>
        <w:t xml:space="preserve">    2、本合同实施期间双方签订的其补充协议；</w:t>
      </w:r>
    </w:p>
    <w:p>
      <w:pPr>
        <w:spacing w:line="500" w:lineRule="exact"/>
        <w:rPr>
          <w:rFonts w:ascii="宋体" w:hAnsi="宋体"/>
          <w:color w:val="auto"/>
          <w:sz w:val="28"/>
          <w:szCs w:val="28"/>
          <w:highlight w:val="none"/>
        </w:rPr>
      </w:pPr>
      <w:r>
        <w:rPr>
          <w:rFonts w:hint="eastAsia" w:ascii="宋体" w:hAnsi="宋体"/>
          <w:color w:val="auto"/>
          <w:sz w:val="28"/>
          <w:szCs w:val="28"/>
          <w:highlight w:val="none"/>
        </w:rPr>
        <w:t>　  3、中标通知书</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4、第三方检测服务招标文件</w:t>
      </w:r>
      <w:r>
        <w:rPr>
          <w:rFonts w:hint="eastAsia" w:ascii="宋体" w:hAnsi="宋体"/>
          <w:bCs/>
          <w:color w:val="auto"/>
          <w:sz w:val="28"/>
          <w:szCs w:val="28"/>
          <w:highlight w:val="none"/>
        </w:rPr>
        <w:t>（含招标文件补充文件、澄清文件、答疑文件等）</w:t>
      </w:r>
      <w:r>
        <w:rPr>
          <w:rFonts w:hint="eastAsia" w:ascii="宋体" w:hAnsi="宋体"/>
          <w:color w:val="auto"/>
          <w:sz w:val="28"/>
          <w:szCs w:val="28"/>
          <w:highlight w:val="none"/>
        </w:rPr>
        <w:t>；</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5、第三方检测服务投标文件</w:t>
      </w:r>
      <w:r>
        <w:rPr>
          <w:rFonts w:hint="eastAsia" w:ascii="宋体" w:hAnsi="宋体"/>
          <w:bCs/>
          <w:color w:val="auto"/>
          <w:sz w:val="28"/>
          <w:szCs w:val="28"/>
          <w:highlight w:val="none"/>
        </w:rPr>
        <w:t>（含投标文件澄清等）；</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6、组成本合同的其他文件。</w:t>
      </w:r>
    </w:p>
    <w:p>
      <w:pPr>
        <w:spacing w:line="560" w:lineRule="exact"/>
        <w:ind w:firstLine="560" w:firstLineChars="200"/>
        <w:contextualSpacing/>
        <w:jc w:val="left"/>
        <w:rPr>
          <w:rFonts w:ascii="宋体" w:hAnsi="宋体"/>
          <w:b/>
          <w:bCs/>
          <w:color w:val="auto"/>
          <w:sz w:val="28"/>
          <w:szCs w:val="28"/>
          <w:highlight w:val="none"/>
        </w:rPr>
      </w:pPr>
      <w:r>
        <w:rPr>
          <w:rFonts w:hint="eastAsia" w:ascii="宋体" w:hAnsi="宋体"/>
          <w:color w:val="auto"/>
          <w:sz w:val="28"/>
          <w:szCs w:val="28"/>
          <w:highlight w:val="none"/>
        </w:rPr>
        <w:t>通过上述顺序解释仍无法明确的事项，由甲方与乙方协商解决；如协商不成，由甲方按照公平合理和有利于本合同工程建设的原则作出决定，乙方应无条件执行。</w:t>
      </w:r>
    </w:p>
    <w:p>
      <w:pPr>
        <w:spacing w:line="560" w:lineRule="exact"/>
        <w:ind w:firstLine="562" w:firstLineChars="200"/>
        <w:contextualSpacing/>
        <w:jc w:val="left"/>
        <w:rPr>
          <w:rFonts w:ascii="宋体" w:hAnsi="宋体"/>
          <w:b/>
          <w:bCs/>
          <w:color w:val="auto"/>
          <w:sz w:val="28"/>
          <w:szCs w:val="28"/>
          <w:highlight w:val="none"/>
        </w:rPr>
      </w:pPr>
      <w:r>
        <w:rPr>
          <w:rFonts w:hint="eastAsia" w:ascii="宋体" w:hAnsi="宋体"/>
          <w:b/>
          <w:bCs/>
          <w:color w:val="auto"/>
          <w:sz w:val="28"/>
          <w:szCs w:val="28"/>
          <w:highlight w:val="none"/>
        </w:rPr>
        <w:t>二、项目概况</w:t>
      </w:r>
    </w:p>
    <w:p>
      <w:pPr>
        <w:adjustRightInd w:val="0"/>
        <w:snapToGrid w:val="0"/>
        <w:spacing w:line="500" w:lineRule="exact"/>
        <w:ind w:firstLine="560" w:firstLineChars="200"/>
        <w:rPr>
          <w:rFonts w:ascii="宋体" w:hAnsi="宋体"/>
          <w:color w:val="auto"/>
          <w:sz w:val="28"/>
          <w:szCs w:val="28"/>
          <w:highlight w:val="none"/>
        </w:rPr>
      </w:pPr>
      <w:r>
        <w:rPr>
          <w:rFonts w:hint="eastAsia" w:ascii="宋体" w:hAnsi="宋体"/>
          <w:bCs/>
          <w:color w:val="auto"/>
          <w:sz w:val="28"/>
          <w:szCs w:val="28"/>
          <w:highlight w:val="none"/>
        </w:rPr>
        <w:t>1、项目名称：</w:t>
      </w:r>
      <w:r>
        <w:rPr>
          <w:rFonts w:hint="eastAsia" w:ascii="宋体" w:hAnsi="宋体"/>
          <w:color w:val="auto"/>
          <w:sz w:val="28"/>
          <w:szCs w:val="28"/>
          <w:highlight w:val="none"/>
          <w:u w:val="single"/>
        </w:rPr>
        <w:t>黄埔区开放大道北二期建设工程第三方检测服务</w:t>
      </w:r>
    </w:p>
    <w:p>
      <w:pPr>
        <w:spacing w:line="560" w:lineRule="exact"/>
        <w:ind w:firstLine="560" w:firstLineChars="200"/>
        <w:contextualSpacing/>
        <w:jc w:val="left"/>
        <w:rPr>
          <w:rFonts w:ascii="宋体" w:hAnsi="宋体"/>
          <w:color w:val="auto"/>
          <w:sz w:val="28"/>
          <w:szCs w:val="28"/>
          <w:highlight w:val="none"/>
        </w:rPr>
      </w:pPr>
      <w:r>
        <w:rPr>
          <w:rFonts w:hint="eastAsia" w:ascii="宋体" w:hAnsi="宋体"/>
          <w:bCs/>
          <w:color w:val="auto"/>
          <w:sz w:val="28"/>
          <w:szCs w:val="28"/>
          <w:highlight w:val="none"/>
        </w:rPr>
        <w:t>2、项目地点：</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w:t>
      </w:r>
    </w:p>
    <w:p>
      <w:pPr>
        <w:spacing w:line="560" w:lineRule="exact"/>
        <w:ind w:firstLine="560" w:firstLineChars="200"/>
        <w:contextualSpacing/>
        <w:jc w:val="left"/>
        <w:rPr>
          <w:rFonts w:ascii="宋体" w:hAnsi="宋体"/>
          <w:color w:val="auto"/>
          <w:sz w:val="28"/>
          <w:szCs w:val="28"/>
          <w:highlight w:val="none"/>
        </w:rPr>
      </w:pPr>
      <w:r>
        <w:rPr>
          <w:rFonts w:hint="eastAsia" w:ascii="宋体" w:hAnsi="宋体"/>
          <w:color w:val="auto"/>
          <w:sz w:val="28"/>
          <w:szCs w:val="28"/>
          <w:highlight w:val="none"/>
        </w:rPr>
        <w:t>3、服务目标：乙方按照国家有关检测规范对甲方委托的服务项目进行检测，确保工程质量。</w:t>
      </w:r>
    </w:p>
    <w:p>
      <w:pPr>
        <w:spacing w:line="560" w:lineRule="exact"/>
        <w:ind w:firstLine="560" w:firstLineChars="200"/>
        <w:contextualSpacing/>
        <w:jc w:val="left"/>
        <w:rPr>
          <w:rFonts w:ascii="宋体" w:hAnsi="宋体"/>
          <w:color w:val="auto"/>
          <w:sz w:val="28"/>
          <w:szCs w:val="28"/>
          <w:highlight w:val="none"/>
        </w:rPr>
      </w:pPr>
      <w:r>
        <w:rPr>
          <w:rFonts w:hint="eastAsia" w:ascii="宋体" w:hAnsi="宋体"/>
          <w:color w:val="auto"/>
          <w:sz w:val="28"/>
          <w:szCs w:val="28"/>
          <w:highlight w:val="none"/>
        </w:rPr>
        <w:t>4、 从乙方进场至所有服务项目完成竣工验收备案为止，服务周期必须满足实际施工要求。</w:t>
      </w:r>
    </w:p>
    <w:p>
      <w:pPr>
        <w:spacing w:line="560" w:lineRule="exact"/>
        <w:ind w:firstLine="560" w:firstLineChars="200"/>
        <w:contextualSpacing/>
        <w:jc w:val="left"/>
        <w:rPr>
          <w:rFonts w:ascii="宋体" w:hAnsi="宋体"/>
          <w:color w:val="auto"/>
          <w:sz w:val="28"/>
          <w:szCs w:val="28"/>
          <w:highlight w:val="none"/>
        </w:rPr>
      </w:pPr>
      <w:r>
        <w:rPr>
          <w:rFonts w:hint="eastAsia" w:ascii="宋体" w:hAnsi="宋体"/>
          <w:color w:val="auto"/>
          <w:sz w:val="28"/>
          <w:szCs w:val="28"/>
          <w:highlight w:val="none"/>
        </w:rPr>
        <w:t>5、监理单位：</w:t>
      </w:r>
      <w:r>
        <w:rPr>
          <w:rFonts w:hint="eastAsia" w:ascii="宋体" w:hAnsi="宋体"/>
          <w:color w:val="auto"/>
          <w:sz w:val="28"/>
          <w:szCs w:val="28"/>
          <w:highlight w:val="none"/>
          <w:u w:val="single"/>
        </w:rPr>
        <w:t xml:space="preserve">                           </w:t>
      </w:r>
    </w:p>
    <w:p>
      <w:pPr>
        <w:spacing w:line="560" w:lineRule="exact"/>
        <w:ind w:firstLine="562" w:firstLineChars="200"/>
        <w:contextualSpacing/>
        <w:jc w:val="left"/>
        <w:rPr>
          <w:rFonts w:ascii="宋体" w:hAnsi="宋体"/>
          <w:color w:val="auto"/>
          <w:sz w:val="28"/>
          <w:szCs w:val="28"/>
          <w:highlight w:val="none"/>
        </w:rPr>
      </w:pPr>
      <w:r>
        <w:rPr>
          <w:rFonts w:hint="eastAsia" w:ascii="宋体" w:hAnsi="宋体"/>
          <w:b/>
          <w:color w:val="auto"/>
          <w:sz w:val="28"/>
          <w:szCs w:val="28"/>
          <w:highlight w:val="none"/>
        </w:rPr>
        <w:t>三、工作内容及技术要求</w:t>
      </w:r>
    </w:p>
    <w:p>
      <w:pPr>
        <w:adjustRightInd w:val="0"/>
        <w:snapToGrid w:val="0"/>
        <w:spacing w:line="50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1、检测服务的工作内容:</w:t>
      </w:r>
      <w:r>
        <w:rPr>
          <w:rFonts w:hint="eastAsia" w:ascii="宋体" w:hAnsi="宋体"/>
          <w:color w:val="auto"/>
          <w:sz w:val="28"/>
          <w:szCs w:val="28"/>
          <w:highlight w:val="none"/>
          <w:u w:val="single"/>
        </w:rPr>
        <w:t xml:space="preserve">             具体检测项目以本项目清单、设计图纸及有关规范要求为准。</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服务范围除以上工作外，还包括但不限于以下内容：</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1）与工程所在行政区域的相关建设行政主管部门和监督部门所进行的协调工作，且合同价中已经综合考虑了该项协调工作的费用。如申报检测技术成果的审批，保证技术成果能够通过相关部门认可，确保不因检测工作影响本工程项目的建设进度和竣工验收。</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（2）在进行检测任务的过程中与该工程相关的施工单位、监理单位、设计单位、业主、建设管理单位、建设主管部门等相关单位的协调工作，且合同价中已经综合考虑了该项协调工作的费用。</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（3）因按相关规定须与行业、行政监督部门传输报送检测数据信息的工作，且合同价中已经综合考虑了该项协调工作的费用。</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（4）根据相关规范和标准、主管部门文件的规定以及设计图纸的有关要求，结合工程实际情况编制相关项目的《检测方案》，并报质监部门备案（如需要）。</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（5）负责检测的工程质量需符合《建设工程质量管理条例》等国家相关管理要求。</w:t>
      </w:r>
    </w:p>
    <w:p>
      <w:pPr>
        <w:shd w:val="clear" w:color="auto" w:fill="FFFFFF"/>
        <w:adjustRightInd w:val="0"/>
        <w:spacing w:line="560" w:lineRule="exact"/>
        <w:ind w:firstLine="490" w:firstLineChars="175"/>
        <w:jc w:val="left"/>
        <w:rPr>
          <w:rFonts w:ascii="宋体" w:hAnsi="宋体"/>
          <w:color w:val="auto"/>
          <w:sz w:val="28"/>
          <w:szCs w:val="28"/>
          <w:highlight w:val="none"/>
          <w:u w:val="single"/>
        </w:rPr>
      </w:pPr>
      <w:r>
        <w:rPr>
          <w:rFonts w:hint="eastAsia" w:ascii="宋体" w:hAnsi="宋体"/>
          <w:color w:val="auto"/>
          <w:sz w:val="28"/>
          <w:szCs w:val="28"/>
          <w:highlight w:val="none"/>
          <w:u w:val="single"/>
        </w:rPr>
        <w:t>（具体以招标文件、施工图纸、检测方案为准）。</w:t>
      </w:r>
    </w:p>
    <w:p>
      <w:pPr>
        <w:spacing w:after="120" w:line="560" w:lineRule="exact"/>
        <w:ind w:left="482"/>
        <w:rPr>
          <w:rFonts w:ascii="宋体" w:hAnsi="宋体"/>
          <w:b/>
          <w:color w:val="auto"/>
          <w:sz w:val="28"/>
          <w:szCs w:val="28"/>
          <w:highlight w:val="none"/>
        </w:rPr>
      </w:pPr>
      <w:r>
        <w:rPr>
          <w:rFonts w:hint="eastAsia" w:ascii="宋体" w:hAnsi="宋体"/>
          <w:b/>
          <w:color w:val="auto"/>
          <w:sz w:val="28"/>
          <w:szCs w:val="28"/>
          <w:highlight w:val="none"/>
        </w:rPr>
        <w:t>2、技术要求</w:t>
      </w:r>
    </w:p>
    <w:p>
      <w:pPr>
        <w:autoSpaceDE w:val="0"/>
        <w:autoSpaceDN w:val="0"/>
        <w:spacing w:line="360" w:lineRule="auto"/>
        <w:ind w:firstLine="560" w:firstLineChars="200"/>
        <w:contextualSpacing/>
        <w:jc w:val="left"/>
        <w:rPr>
          <w:rFonts w:ascii="宋体" w:hAnsi="宋体"/>
          <w:color w:val="auto"/>
          <w:kern w:val="28"/>
          <w:sz w:val="28"/>
          <w:szCs w:val="28"/>
          <w:highlight w:val="none"/>
        </w:rPr>
      </w:pPr>
      <w:r>
        <w:rPr>
          <w:rFonts w:hint="eastAsia" w:ascii="宋体" w:hAnsi="宋体"/>
          <w:color w:val="auto"/>
          <w:kern w:val="28"/>
          <w:sz w:val="28"/>
          <w:szCs w:val="28"/>
          <w:highlight w:val="none"/>
        </w:rPr>
        <w:t>（1）乙方的检测工作必须满足国家、广东省、广州市相关检测规范、强制性标准。</w:t>
      </w:r>
    </w:p>
    <w:p>
      <w:pPr>
        <w:autoSpaceDE w:val="0"/>
        <w:autoSpaceDN w:val="0"/>
        <w:spacing w:line="360" w:lineRule="auto"/>
        <w:ind w:firstLine="560" w:firstLineChars="200"/>
        <w:contextualSpacing/>
        <w:jc w:val="left"/>
        <w:rPr>
          <w:rFonts w:ascii="宋体" w:hAnsi="宋体"/>
          <w:color w:val="auto"/>
          <w:kern w:val="28"/>
          <w:sz w:val="28"/>
          <w:szCs w:val="28"/>
          <w:highlight w:val="none"/>
        </w:rPr>
      </w:pPr>
      <w:r>
        <w:rPr>
          <w:rFonts w:hint="eastAsia" w:ascii="宋体" w:hAnsi="宋体"/>
          <w:color w:val="auto"/>
          <w:kern w:val="28"/>
          <w:sz w:val="28"/>
          <w:szCs w:val="28"/>
          <w:highlight w:val="none"/>
        </w:rPr>
        <w:t>（2）乙方除按要求完成本次招标范围内的检测工作外，还应完成以下工作：</w:t>
      </w:r>
    </w:p>
    <w:p>
      <w:pPr>
        <w:widowControl/>
        <w:tabs>
          <w:tab w:val="left" w:pos="1800"/>
        </w:tabs>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①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pPr>
        <w:widowControl/>
        <w:tabs>
          <w:tab w:val="left" w:pos="1800"/>
        </w:tabs>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②在进行检测服务过程中，与该工程相关的施工、监理、设计、咨询等相关单位及建设行政主管部门和监督部门协调，乙方需在合同价中综合考虑该项协调工作费用。</w:t>
      </w:r>
    </w:p>
    <w:p>
      <w:pPr>
        <w:widowControl/>
        <w:tabs>
          <w:tab w:val="left" w:pos="1800"/>
        </w:tabs>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③</w:t>
      </w:r>
      <w:r>
        <w:rPr>
          <w:rFonts w:hint="eastAsia" w:ascii="宋体" w:hAnsi="宋体"/>
          <w:color w:val="auto"/>
          <w:kern w:val="28"/>
          <w:sz w:val="28"/>
          <w:szCs w:val="28"/>
          <w:highlight w:val="none"/>
        </w:rPr>
        <w:t>本招标项目已包含监督抽检的工作内容，监督抽检数量按建设行政主管部门要求实施，乙方需在合同价中综合考虑该部分费用。</w:t>
      </w:r>
    </w:p>
    <w:p>
      <w:pPr>
        <w:widowControl/>
        <w:tabs>
          <w:tab w:val="left" w:pos="1800"/>
        </w:tabs>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④负责检测数据的有关信息通过广州市建设工程质量检测监管信息网报送，乙方已在合同清单单价中综合考虑该项协调工作费用。</w:t>
      </w:r>
    </w:p>
    <w:p>
      <w:pPr>
        <w:tabs>
          <w:tab w:val="left" w:pos="1155"/>
        </w:tabs>
        <w:spacing w:before="20" w:after="120" w:line="560" w:lineRule="exact"/>
        <w:ind w:left="420" w:firstLine="281" w:firstLineChars="100"/>
        <w:rPr>
          <w:rFonts w:ascii="宋体" w:hAnsi="宋体"/>
          <w:b/>
          <w:color w:val="auto"/>
          <w:sz w:val="28"/>
          <w:szCs w:val="28"/>
          <w:highlight w:val="none"/>
        </w:rPr>
      </w:pPr>
      <w:r>
        <w:rPr>
          <w:rFonts w:hint="eastAsia" w:ascii="宋体" w:hAnsi="宋体"/>
          <w:b/>
          <w:color w:val="auto"/>
          <w:sz w:val="28"/>
          <w:szCs w:val="28"/>
          <w:highlight w:val="none"/>
        </w:rPr>
        <w:t>四、甲乙双方的责任与义务</w:t>
      </w:r>
    </w:p>
    <w:p>
      <w:pPr>
        <w:tabs>
          <w:tab w:val="left" w:pos="1155"/>
        </w:tabs>
        <w:spacing w:before="20" w:after="120"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（一）甲方责任与义务</w:t>
      </w:r>
    </w:p>
    <w:p>
      <w:pPr>
        <w:spacing w:line="560" w:lineRule="exact"/>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1、及时审核乙方提交的质量检测实施方案。</w:t>
      </w:r>
    </w:p>
    <w:p>
      <w:pPr>
        <w:spacing w:line="560" w:lineRule="exact"/>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2、为乙方提供必要的工作条件和协助解决检验过程中出现的问题。</w:t>
      </w:r>
    </w:p>
    <w:p>
      <w:pPr>
        <w:spacing w:line="560" w:lineRule="exact"/>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3、协助乙方设备进、退场。</w:t>
      </w:r>
    </w:p>
    <w:p>
      <w:pPr>
        <w:spacing w:line="560" w:lineRule="exact"/>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4、指定专人或委托相关单位对乙方现场检验进行旁站式监督，对乙方按要求完成的工作量予以签字确认。</w:t>
      </w:r>
    </w:p>
    <w:p>
      <w:pPr>
        <w:tabs>
          <w:tab w:val="left" w:pos="1155"/>
        </w:tabs>
        <w:spacing w:before="20" w:after="120"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（二）乙方责任与义务</w:t>
      </w:r>
    </w:p>
    <w:p>
      <w:pPr>
        <w:spacing w:line="360" w:lineRule="auto"/>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1、开展检测工作前，乙方应向甲方提交检测实施方案，</w:t>
      </w:r>
      <w:r>
        <w:rPr>
          <w:rFonts w:hint="eastAsia" w:ascii="宋体" w:hAnsi="宋体"/>
          <w:bCs/>
          <w:color w:val="auto"/>
          <w:sz w:val="28"/>
          <w:szCs w:val="28"/>
          <w:highlight w:val="none"/>
        </w:rPr>
        <w:t>经施工单位复核、监理单位及甲方审核确定后执行。如甲方要求乙方对</w:t>
      </w:r>
      <w:r>
        <w:rPr>
          <w:rFonts w:hint="eastAsia" w:ascii="宋体" w:hAnsi="宋体"/>
          <w:color w:val="auto"/>
          <w:sz w:val="28"/>
          <w:szCs w:val="28"/>
          <w:highlight w:val="none"/>
        </w:rPr>
        <w:t>检测实施方案</w:t>
      </w:r>
      <w:r>
        <w:rPr>
          <w:rFonts w:hint="eastAsia" w:ascii="宋体" w:hAnsi="宋体"/>
          <w:bCs/>
          <w:color w:val="auto"/>
          <w:sz w:val="28"/>
          <w:szCs w:val="28"/>
          <w:highlight w:val="none"/>
        </w:rPr>
        <w:t>进行调整，乙方必须在收到甲方调整意见之日起3个工作日内，按甲方要求完成调整并重新报甲方审核</w:t>
      </w:r>
      <w:r>
        <w:rPr>
          <w:rFonts w:hint="eastAsia" w:ascii="宋体" w:hAnsi="宋体"/>
          <w:color w:val="auto"/>
          <w:sz w:val="28"/>
          <w:szCs w:val="28"/>
          <w:highlight w:val="none"/>
        </w:rPr>
        <w:t>。</w:t>
      </w:r>
    </w:p>
    <w:p>
      <w:pPr>
        <w:spacing w:line="360" w:lineRule="auto"/>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2、对需要抽查检验的项目，由乙方根据工程实际进度向甲方递交抽查申请单，经甲方签字盖章确认后执行现场见证抽检。</w:t>
      </w:r>
    </w:p>
    <w:p>
      <w:pPr>
        <w:spacing w:line="360" w:lineRule="auto"/>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3、乙方应组织技术人员、仪器设备按本合同约定的时间进场，并按本合同约定及有关技术规范、标准、规程和甲方的任务通知、技术要求进行检测工作，检验完成后向甲方提交检验报告。</w:t>
      </w:r>
    </w:p>
    <w:p>
      <w:pPr>
        <w:spacing w:line="360" w:lineRule="auto"/>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4、乙方发现甲方提供的资料、数据、场地等工作条件不符合约定时应及时通知监理单位及甲方，经监理单位及甲方审核确认后检验工期可得顺延；超过3个工作日未通知甲方的，视为其对甲方提供的工作条件予以认可，检验工期不得顺延。</w:t>
      </w:r>
    </w:p>
    <w:p>
      <w:pPr>
        <w:spacing w:line="360" w:lineRule="auto"/>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5、乙方在现场检验过程中，发现检验结果异常时，应立即通知监理单位及甲方；如当场无法得出结论而经分析后得出的结果异常时，应在检验结束后的2个日历日内通知监理单位及甲方。</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6、在现场工作的乙方人员，应遵守甲方的安全保卫及其它有关的规章制度。</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7、负责检测过程和检测设备、人员的进退场以及检测用水电使用费；</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8、保证检测成果的公正性、准确性、及时性，保证检测工作符合合同约定及相关技术规范要求；</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9、检测报告盖有广东省建设厅核准的工程检测报告专用章、广东省质量技术监督局核准的计量认证合格“CMA”标志，盖章后的检测报告具有法律效力；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10、在检测工作中，乙方应按安全防护有关规定进入现场作业，若发生安全事故，乙方自行承担一切责任；</w:t>
      </w:r>
    </w:p>
    <w:p>
      <w:pPr>
        <w:tabs>
          <w:tab w:val="left" w:pos="1155"/>
        </w:tabs>
        <w:spacing w:before="20" w:after="120" w:line="560" w:lineRule="exact"/>
        <w:ind w:left="420" w:firstLine="281" w:firstLineChars="100"/>
        <w:rPr>
          <w:rFonts w:ascii="宋体" w:hAnsi="宋体"/>
          <w:b/>
          <w:color w:val="auto"/>
          <w:sz w:val="28"/>
          <w:szCs w:val="28"/>
          <w:highlight w:val="none"/>
        </w:rPr>
      </w:pPr>
      <w:r>
        <w:rPr>
          <w:rFonts w:hint="eastAsia" w:ascii="宋体" w:hAnsi="宋体"/>
          <w:b/>
          <w:color w:val="auto"/>
          <w:sz w:val="28"/>
          <w:szCs w:val="28"/>
          <w:highlight w:val="none"/>
        </w:rPr>
        <w:t>五、服务周期</w:t>
      </w:r>
    </w:p>
    <w:p>
      <w:pPr>
        <w:spacing w:line="560" w:lineRule="exact"/>
        <w:ind w:firstLine="554" w:firstLineChars="198"/>
        <w:contextualSpacing/>
        <w:rPr>
          <w:rFonts w:ascii="宋体" w:hAnsi="宋体"/>
          <w:color w:val="auto"/>
          <w:sz w:val="28"/>
          <w:szCs w:val="28"/>
          <w:highlight w:val="none"/>
        </w:rPr>
      </w:pPr>
      <w:r>
        <w:rPr>
          <w:rFonts w:hint="eastAsia" w:ascii="宋体" w:hAnsi="宋体"/>
          <w:color w:val="auto"/>
          <w:sz w:val="28"/>
          <w:szCs w:val="28"/>
          <w:highlight w:val="none"/>
        </w:rPr>
        <w:t>1、从乙方进场至完成所有检测项目且技术成果通过审批，服务周期必须满足实际施工及验收要求，且甲方有权根据工程实际需要调整工期及验收时间，乙方需配合甲方的调整作出相应的执行计划。</w:t>
      </w:r>
    </w:p>
    <w:p>
      <w:pPr>
        <w:tabs>
          <w:tab w:val="left" w:pos="1155"/>
        </w:tabs>
        <w:spacing w:before="20" w:after="120"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六、检测标准</w:t>
      </w:r>
    </w:p>
    <w:p>
      <w:pPr>
        <w:tabs>
          <w:tab w:val="left" w:pos="0"/>
        </w:tabs>
        <w:spacing w:line="560" w:lineRule="exact"/>
        <w:ind w:firstLine="504" w:firstLineChars="180"/>
        <w:jc w:val="left"/>
        <w:rPr>
          <w:rFonts w:ascii="宋体" w:hAnsi="宋体"/>
          <w:color w:val="auto"/>
          <w:sz w:val="28"/>
          <w:szCs w:val="28"/>
          <w:highlight w:val="none"/>
        </w:rPr>
      </w:pPr>
      <w:r>
        <w:rPr>
          <w:rFonts w:hint="eastAsia" w:ascii="宋体" w:hAnsi="宋体"/>
          <w:color w:val="auto"/>
          <w:sz w:val="28"/>
          <w:szCs w:val="28"/>
          <w:highlight w:val="none"/>
        </w:rPr>
        <w:t>1、《公路工程质量检验评定标准》（JTGF80/1-2017）</w:t>
      </w:r>
    </w:p>
    <w:p>
      <w:pPr>
        <w:tabs>
          <w:tab w:val="left" w:pos="0"/>
        </w:tabs>
        <w:spacing w:line="560" w:lineRule="exact"/>
        <w:ind w:firstLine="504" w:firstLineChars="180"/>
        <w:jc w:val="left"/>
        <w:rPr>
          <w:rFonts w:ascii="宋体" w:hAnsi="宋体"/>
          <w:color w:val="auto"/>
          <w:sz w:val="28"/>
          <w:szCs w:val="28"/>
          <w:highlight w:val="none"/>
        </w:rPr>
      </w:pPr>
      <w:r>
        <w:rPr>
          <w:rFonts w:hint="eastAsia" w:ascii="宋体" w:hAnsi="宋体"/>
          <w:color w:val="auto"/>
          <w:sz w:val="28"/>
          <w:szCs w:val="28"/>
          <w:highlight w:val="none"/>
        </w:rPr>
        <w:t>2、《公路路基路面现场测试规程》（JTG3450-2019</w:t>
      </w:r>
      <w:r>
        <w:rPr>
          <w:rFonts w:ascii="宋体" w:hAnsi="宋体"/>
          <w:color w:val="auto"/>
          <w:sz w:val="28"/>
          <w:szCs w:val="28"/>
          <w:highlight w:val="none"/>
        </w:rPr>
        <w:t>）</w:t>
      </w:r>
    </w:p>
    <w:p>
      <w:pPr>
        <w:tabs>
          <w:tab w:val="left" w:pos="0"/>
        </w:tabs>
        <w:spacing w:line="560" w:lineRule="exact"/>
        <w:ind w:firstLine="504" w:firstLineChars="180"/>
        <w:jc w:val="left"/>
        <w:rPr>
          <w:rFonts w:ascii="宋体" w:hAnsi="宋体"/>
          <w:color w:val="auto"/>
          <w:sz w:val="28"/>
          <w:szCs w:val="28"/>
          <w:highlight w:val="none"/>
        </w:rPr>
      </w:pPr>
      <w:r>
        <w:rPr>
          <w:rFonts w:hint="eastAsia" w:ascii="宋体" w:hAnsi="宋体"/>
          <w:color w:val="auto"/>
          <w:sz w:val="28"/>
          <w:szCs w:val="28"/>
          <w:highlight w:val="none"/>
        </w:rPr>
        <w:t>3、《土工试验方法》（GB/T50123-2019）</w:t>
      </w:r>
    </w:p>
    <w:p>
      <w:pPr>
        <w:tabs>
          <w:tab w:val="left" w:pos="0"/>
        </w:tabs>
        <w:spacing w:line="560" w:lineRule="exact"/>
        <w:ind w:firstLine="504" w:firstLineChars="180"/>
        <w:jc w:val="left"/>
        <w:rPr>
          <w:rFonts w:ascii="宋体" w:hAnsi="宋体"/>
          <w:color w:val="auto"/>
          <w:sz w:val="28"/>
          <w:szCs w:val="28"/>
          <w:highlight w:val="none"/>
        </w:rPr>
      </w:pPr>
      <w:r>
        <w:rPr>
          <w:rFonts w:hint="eastAsia" w:ascii="宋体" w:hAnsi="宋体"/>
          <w:color w:val="auto"/>
          <w:sz w:val="28"/>
          <w:szCs w:val="28"/>
          <w:highlight w:val="none"/>
        </w:rPr>
        <w:t>4、《公路工程无机结合料稳定材料试验规程》（JTGE51-2009）</w:t>
      </w:r>
    </w:p>
    <w:p>
      <w:pPr>
        <w:tabs>
          <w:tab w:val="left" w:pos="0"/>
        </w:tabs>
        <w:spacing w:line="560" w:lineRule="exact"/>
        <w:ind w:firstLine="504" w:firstLineChars="180"/>
        <w:jc w:val="left"/>
        <w:rPr>
          <w:rFonts w:ascii="宋体" w:hAnsi="宋体"/>
          <w:color w:val="auto"/>
          <w:sz w:val="28"/>
          <w:szCs w:val="28"/>
          <w:highlight w:val="none"/>
        </w:rPr>
      </w:pPr>
      <w:r>
        <w:rPr>
          <w:rFonts w:hint="eastAsia" w:ascii="宋体" w:hAnsi="宋体"/>
          <w:color w:val="auto"/>
          <w:sz w:val="28"/>
          <w:szCs w:val="28"/>
          <w:highlight w:val="none"/>
        </w:rPr>
        <w:t>5、《城镇道路工程施工与质量验收规范》（CJJ1-2008）</w:t>
      </w:r>
    </w:p>
    <w:p>
      <w:pPr>
        <w:tabs>
          <w:tab w:val="left" w:pos="0"/>
        </w:tabs>
        <w:spacing w:line="560" w:lineRule="exact"/>
        <w:ind w:firstLine="504" w:firstLineChars="180"/>
        <w:jc w:val="left"/>
        <w:rPr>
          <w:rFonts w:ascii="宋体" w:hAnsi="宋体"/>
          <w:b/>
          <w:color w:val="auto"/>
          <w:sz w:val="28"/>
          <w:szCs w:val="28"/>
          <w:highlight w:val="none"/>
        </w:rPr>
      </w:pPr>
      <w:r>
        <w:rPr>
          <w:rFonts w:hint="eastAsia" w:ascii="宋体" w:hAnsi="宋体"/>
          <w:color w:val="auto"/>
          <w:sz w:val="28"/>
          <w:szCs w:val="28"/>
          <w:highlight w:val="none"/>
        </w:rPr>
        <w:t xml:space="preserve">6、国家和广东省、广州市、黄埔区、开发区其他有关检测的法律、法规、规章、规范及标准。 </w:t>
      </w:r>
    </w:p>
    <w:p>
      <w:pPr>
        <w:tabs>
          <w:tab w:val="left" w:pos="0"/>
        </w:tabs>
        <w:spacing w:line="560" w:lineRule="exact"/>
        <w:ind w:firstLine="506" w:firstLineChars="180"/>
        <w:jc w:val="left"/>
        <w:rPr>
          <w:rFonts w:ascii="宋体" w:hAnsi="宋体"/>
          <w:color w:val="auto"/>
          <w:sz w:val="28"/>
          <w:szCs w:val="28"/>
          <w:highlight w:val="none"/>
        </w:rPr>
      </w:pPr>
      <w:r>
        <w:rPr>
          <w:rFonts w:hint="eastAsia" w:ascii="宋体" w:hAnsi="宋体"/>
          <w:b/>
          <w:color w:val="auto"/>
          <w:sz w:val="28"/>
          <w:szCs w:val="28"/>
          <w:highlight w:val="none"/>
        </w:rPr>
        <w:t>七、技术服务成果的提交</w:t>
      </w:r>
    </w:p>
    <w:p>
      <w:pPr>
        <w:spacing w:line="560" w:lineRule="exact"/>
        <w:ind w:firstLine="560" w:firstLineChars="200"/>
        <w:contextualSpacing/>
        <w:rPr>
          <w:rFonts w:ascii="宋体" w:hAnsi="宋体"/>
          <w:color w:val="auto"/>
          <w:sz w:val="28"/>
          <w:szCs w:val="28"/>
          <w:highlight w:val="none"/>
        </w:rPr>
      </w:pPr>
      <w:r>
        <w:rPr>
          <w:rFonts w:hint="eastAsia" w:ascii="宋体" w:hAnsi="宋体"/>
          <w:color w:val="auto"/>
          <w:sz w:val="28"/>
          <w:szCs w:val="28"/>
          <w:highlight w:val="none"/>
        </w:rPr>
        <w:t>1、乙方在检测工作完成后，应按监理单位及甲方要求及时提交有效的检测报告（检测报告分为初步报告和最终报告）。初步报告应在每次检测后3天内提交给甲方，一式三份。最终报告应在每次检测后7天内提交，一式十份。最终报告需加盖检测报告专用章和计量认证章（CMA章）；检测报告签认人员的检测资格证书必须在乙方处注册。</w:t>
      </w:r>
    </w:p>
    <w:p>
      <w:pPr>
        <w:spacing w:after="120"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2、所有检测报告必须符合国家和地方现行的规范、标准。</w:t>
      </w:r>
    </w:p>
    <w:p>
      <w:pPr>
        <w:spacing w:line="560" w:lineRule="exact"/>
        <w:contextualSpacing/>
        <w:rPr>
          <w:rFonts w:ascii="宋体" w:hAnsi="宋体"/>
          <w:b/>
          <w:color w:val="auto"/>
          <w:sz w:val="28"/>
          <w:szCs w:val="28"/>
          <w:highlight w:val="none"/>
        </w:rPr>
      </w:pPr>
      <w:r>
        <w:rPr>
          <w:rFonts w:hint="eastAsia" w:ascii="宋体" w:hAnsi="宋体"/>
          <w:b/>
          <w:color w:val="auto"/>
          <w:sz w:val="28"/>
          <w:szCs w:val="28"/>
          <w:highlight w:val="none"/>
        </w:rPr>
        <w:t xml:space="preserve">    八、服务报酬及支付方式</w:t>
      </w:r>
    </w:p>
    <w:p>
      <w:pPr>
        <w:autoSpaceDE w:val="0"/>
        <w:autoSpaceDN w:val="0"/>
        <w:adjustRightInd w:val="0"/>
        <w:spacing w:line="560" w:lineRule="exact"/>
        <w:ind w:firstLine="560" w:firstLineChars="200"/>
        <w:contextualSpacing/>
        <w:rPr>
          <w:rFonts w:ascii="宋体" w:hAnsi="宋体"/>
          <w:color w:val="auto"/>
          <w:sz w:val="28"/>
          <w:szCs w:val="28"/>
          <w:highlight w:val="none"/>
        </w:rPr>
      </w:pPr>
      <w:r>
        <w:rPr>
          <w:rFonts w:hint="eastAsia" w:ascii="宋体" w:hAnsi="宋体"/>
          <w:color w:val="auto"/>
          <w:sz w:val="28"/>
          <w:szCs w:val="28"/>
          <w:highlight w:val="none"/>
        </w:rPr>
        <w:t>1、本合同价暂定为投标报价，即人民币：</w:t>
      </w:r>
      <w:r>
        <w:rPr>
          <w:rFonts w:hint="eastAsia" w:ascii="宋体" w:hAnsi="宋体" w:cs="微软雅黑"/>
          <w:color w:val="auto"/>
          <w:sz w:val="22"/>
          <w:highlight w:val="none"/>
          <w:u w:val="single"/>
          <w:shd w:val="clear" w:color="auto" w:fill="FFFFFF"/>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元（大写：</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；投标下浮率为：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乙方按照监理单位及甲方审核同意的检测实施方案及本合同约定的计费标准，并执行投标下浮率后编制本工程检测服务费用明细表，经监理单位及甲方审核后，根据审核的检测费用签订补充协议，并作为支付本工程检测进度款及结算的依据。</w:t>
      </w:r>
    </w:p>
    <w:p>
      <w:pPr>
        <w:autoSpaceDE w:val="0"/>
        <w:autoSpaceDN w:val="0"/>
        <w:adjustRightInd w:val="0"/>
        <w:spacing w:line="560" w:lineRule="exact"/>
        <w:ind w:firstLine="560" w:firstLineChars="200"/>
        <w:contextualSpacing/>
        <w:rPr>
          <w:rFonts w:ascii="宋体" w:hAnsi="宋体"/>
          <w:color w:val="auto"/>
          <w:sz w:val="28"/>
          <w:szCs w:val="28"/>
          <w:highlight w:val="none"/>
        </w:rPr>
      </w:pPr>
      <w:r>
        <w:rPr>
          <w:rFonts w:hint="eastAsia" w:ascii="宋体" w:hAnsi="宋体"/>
          <w:color w:val="auto"/>
          <w:sz w:val="28"/>
          <w:szCs w:val="28"/>
          <w:highlight w:val="none"/>
        </w:rPr>
        <w:t>2、计费标准</w:t>
      </w:r>
    </w:p>
    <w:p>
      <w:pPr>
        <w:autoSpaceDE w:val="0"/>
        <w:autoSpaceDN w:val="0"/>
        <w:adjustRightInd w:val="0"/>
        <w:spacing w:line="560" w:lineRule="exact"/>
        <w:ind w:firstLine="560" w:firstLineChars="200"/>
        <w:contextualSpacing/>
        <w:rPr>
          <w:rFonts w:hint="eastAsia" w:ascii="宋体" w:hAnsi="宋体"/>
          <w:color w:val="auto"/>
          <w:sz w:val="28"/>
          <w:szCs w:val="28"/>
          <w:highlight w:val="none"/>
        </w:rPr>
      </w:pPr>
      <w:r>
        <w:rPr>
          <w:rFonts w:hint="eastAsia" w:ascii="宋体" w:hAnsi="宋体"/>
          <w:color w:val="auto"/>
          <w:sz w:val="28"/>
          <w:szCs w:val="28"/>
          <w:highlight w:val="none"/>
        </w:rPr>
        <w:t>根据黄埔区财政局《关于印发广州市黄埔区 广州开发区政府投资建设项目资金管理办法的通知》（穗埔财[2020]373号）及《广州开发区财政投资建设项目管理中心咨询服务类合同结算编审指引》穗开建管[2021]33号（其中单价参照《关于印发&lt;广东省房屋建筑和市政工程质量安全检测收费指导价（第一批）&gt;和&lt;广东省既有房屋建筑安全性鉴定收费指导价&gt;的通知》（粤建检协[2015]8号）的下浮20%），再乘以（1-投标下浮率），最终检测综合单价和结算总价以广州开发区财政局或其授权委托单位审定为准。财局最终审定价若超过最高投标限价，以最高投标限价为准。</w:t>
      </w:r>
    </w:p>
    <w:p>
      <w:pPr>
        <w:autoSpaceDE w:val="0"/>
        <w:autoSpaceDN w:val="0"/>
        <w:adjustRightInd w:val="0"/>
        <w:spacing w:line="560" w:lineRule="exact"/>
        <w:ind w:firstLine="560" w:firstLineChars="200"/>
        <w:contextualSpacing/>
        <w:rPr>
          <w:rFonts w:ascii="宋体" w:hAnsi="宋体"/>
          <w:color w:val="auto"/>
          <w:sz w:val="28"/>
          <w:szCs w:val="28"/>
          <w:highlight w:val="none"/>
        </w:rPr>
      </w:pPr>
      <w:r>
        <w:rPr>
          <w:rFonts w:hint="eastAsia" w:ascii="宋体" w:hAnsi="宋体"/>
          <w:color w:val="auto"/>
          <w:sz w:val="28"/>
          <w:szCs w:val="28"/>
          <w:highlight w:val="none"/>
        </w:rPr>
        <w:t>3、本工程预算价中的综合单价已包括了为完成设计文件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pPr>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4、结算方式：按经监理单位及甲方审核后的预算综合单价【工程检测服务合同综合单价包干（其中综合单价中含子项目的，综合单价按实际实施的子项目单价计算）】，并执行投标下浮率，工程量按实际发生量并经监理单位及甲方审核同意。预算书没有开列但实际已实施的检测项目，按合同中约定的计费标准或国家省市区行业收费标准或经监理单位及甲方确认的市场价（若同一类项目同时套用上述计费文件时，按费用较低的文件执行），乘以中标下浮率，确认检测项目综合单价，再乘以实际工程量进行结算。最终结算以广州开发区财政局或其授权委托单位审定结算价为准。</w:t>
      </w:r>
    </w:p>
    <w:p>
      <w:pPr>
        <w:spacing w:line="560" w:lineRule="exact"/>
        <w:ind w:left="105" w:leftChars="50" w:firstLine="420" w:firstLineChars="150"/>
        <w:rPr>
          <w:rFonts w:ascii="宋体" w:hAnsi="宋体"/>
          <w:color w:val="auto"/>
          <w:sz w:val="28"/>
          <w:szCs w:val="28"/>
          <w:highlight w:val="none"/>
        </w:rPr>
      </w:pPr>
      <w:r>
        <w:rPr>
          <w:rFonts w:hint="eastAsia" w:ascii="宋体" w:hAnsi="宋体"/>
          <w:color w:val="auto"/>
          <w:sz w:val="28"/>
          <w:szCs w:val="28"/>
          <w:highlight w:val="none"/>
        </w:rPr>
        <w:t>5</w:t>
      </w:r>
      <w:r>
        <w:rPr>
          <w:rFonts w:ascii="宋体" w:hAnsi="宋体"/>
          <w:color w:val="auto"/>
          <w:sz w:val="28"/>
          <w:szCs w:val="28"/>
          <w:highlight w:val="none"/>
        </w:rPr>
        <w:t>、支付方式</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（1）本合同签订生效后，乙方按要求编制完成检测预算并经</w:t>
      </w:r>
      <w:r>
        <w:rPr>
          <w:rFonts w:hint="eastAsia" w:ascii="宋体" w:hAnsi="宋体"/>
          <w:color w:val="auto"/>
          <w:sz w:val="28"/>
          <w:szCs w:val="28"/>
          <w:highlight w:val="none"/>
        </w:rPr>
        <w:t>监理单位及</w:t>
      </w:r>
      <w:r>
        <w:rPr>
          <w:rFonts w:ascii="宋体" w:hAnsi="宋体"/>
          <w:color w:val="auto"/>
          <w:sz w:val="28"/>
          <w:szCs w:val="28"/>
          <w:highlight w:val="none"/>
        </w:rPr>
        <w:t>甲方审核通过后，可向甲方申请支付本合同暂定总价的20%，甲方应在收到乙方款项申请手续并审核确认之日起十个工作日内且财政拨款到位后支付。</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（2）每季度支付一次检测费用，乙方完成各分项检测工作并提交符合要求的检测成果报告经</w:t>
      </w:r>
      <w:r>
        <w:rPr>
          <w:rFonts w:hint="eastAsia" w:ascii="宋体" w:hAnsi="宋体"/>
          <w:color w:val="auto"/>
          <w:sz w:val="28"/>
          <w:szCs w:val="28"/>
          <w:highlight w:val="none"/>
        </w:rPr>
        <w:t>监理单位及</w:t>
      </w:r>
      <w:r>
        <w:rPr>
          <w:rFonts w:ascii="宋体" w:hAnsi="宋体"/>
          <w:color w:val="auto"/>
          <w:sz w:val="28"/>
          <w:szCs w:val="28"/>
          <w:highlight w:val="none"/>
        </w:rPr>
        <w:t>甲方审核通过后，乙方可向甲方申请该分项检测工作实际金额的80%（即实际工程量乘以经甲方审核的综合单价）作为本合同检测服务进度款（前期已付预付款转作甲方已付进度款），且累计支付不超过合同暂定总价的80%。甲方应在收到乙方款项申请手续并审核确认之日起十个工作日内且财政拨款到位后支付。</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r>
        <w:rPr>
          <w:rFonts w:ascii="宋体" w:hAnsi="宋体"/>
          <w:color w:val="auto"/>
          <w:sz w:val="28"/>
          <w:szCs w:val="28"/>
          <w:highlight w:val="none"/>
        </w:rPr>
        <w:t>（3）本合同全部检测技术服务工作完成，乙方向甲方报送符合要求的检测成果报告及完整的合同结算资料，经区财政部门或其授权委托单位审定最终结算价款后，甲方应该在收到乙方款项申请手续并审核确认之日十个工作日内且财政拨款到位后一次付清结算余款给乙方。</w:t>
      </w:r>
    </w:p>
    <w:p>
      <w:pPr>
        <w:spacing w:line="560" w:lineRule="exact"/>
        <w:ind w:firstLine="562" w:firstLineChars="200"/>
        <w:rPr>
          <w:rFonts w:ascii="宋体" w:hAnsi="宋体"/>
          <w:color w:val="auto"/>
          <w:sz w:val="28"/>
          <w:szCs w:val="28"/>
          <w:highlight w:val="none"/>
          <w:u w:val="single"/>
        </w:rPr>
      </w:pPr>
      <w:r>
        <w:rPr>
          <w:rFonts w:hint="eastAsia" w:ascii="宋体" w:hAnsi="宋体"/>
          <w:b/>
          <w:color w:val="auto"/>
          <w:sz w:val="28"/>
          <w:szCs w:val="28"/>
          <w:highlight w:val="none"/>
        </w:rPr>
        <w:t>九、 知识产权</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1、在本合同有效期内，甲方利用乙方提交的技术服务工作成果所完成的新的技术成果，归甲方所有。</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2、在本合同有效期内，乙方利用甲方提供技术资料和工作条件所完成的新的技术成果，归甲方所有。</w:t>
      </w:r>
    </w:p>
    <w:p>
      <w:pPr>
        <w:spacing w:line="560" w:lineRule="exact"/>
        <w:ind w:firstLine="562" w:firstLineChars="200"/>
        <w:rPr>
          <w:rFonts w:ascii="宋体" w:hAnsi="宋体"/>
          <w:color w:val="auto"/>
          <w:sz w:val="28"/>
          <w:szCs w:val="28"/>
          <w:highlight w:val="none"/>
          <w:u w:val="single"/>
        </w:rPr>
      </w:pPr>
      <w:r>
        <w:rPr>
          <w:rFonts w:hint="eastAsia" w:ascii="宋体" w:hAnsi="宋体"/>
          <w:b/>
          <w:color w:val="auto"/>
          <w:sz w:val="28"/>
          <w:szCs w:val="28"/>
          <w:highlight w:val="none"/>
        </w:rPr>
        <w:t>十、 违约责任</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1、除非法律、法规规定或本合同约定，任何一方不得擅自解除合同，擅自解除合同者应向对方支付</w:t>
      </w:r>
      <w:r>
        <w:rPr>
          <w:rFonts w:hint="eastAsia" w:ascii="宋体" w:hAnsi="宋体"/>
          <w:bCs/>
          <w:color w:val="auto"/>
          <w:sz w:val="28"/>
          <w:szCs w:val="28"/>
          <w:highlight w:val="none"/>
        </w:rPr>
        <w:t>本合同</w:t>
      </w:r>
      <w:r>
        <w:rPr>
          <w:rFonts w:hint="eastAsia" w:ascii="宋体" w:hAnsi="宋体"/>
          <w:color w:val="auto"/>
          <w:sz w:val="28"/>
          <w:szCs w:val="28"/>
          <w:highlight w:val="none"/>
        </w:rPr>
        <w:t>暂定价20%的违约金。如乙方擅自解除合同的，还需返还甲方已支付的全部款项。</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2、甲方违反本协议第七条支付时间约定，每逾期一日按应付款项的</w:t>
      </w:r>
      <w:r>
        <w:rPr>
          <w:rFonts w:hint="eastAsia" w:ascii="宋体" w:hAnsi="宋体"/>
          <w:color w:val="auto"/>
          <w:sz w:val="28"/>
          <w:szCs w:val="28"/>
          <w:highlight w:val="none"/>
          <w:u w:val="single"/>
        </w:rPr>
        <w:t>万分之一</w:t>
      </w:r>
      <w:r>
        <w:rPr>
          <w:rFonts w:hint="eastAsia" w:ascii="宋体" w:hAnsi="宋体"/>
          <w:color w:val="auto"/>
          <w:sz w:val="28"/>
          <w:szCs w:val="28"/>
          <w:highlight w:val="none"/>
        </w:rPr>
        <w:t>向乙方支付违约金，但违约金总额最高不超过逾付款项的20%。本工程属财政投资，因受政府财政投资控制，在甲方按合同规定时间内完成各项支付手续报财政审批后，由于财政审批导致支付时间延长时，不属甲方违约。</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3、如因乙方失误或报告情况失实造成甲方与第三方发生纠纷或损失的，甲方保留追究乙方责任和要求赔偿损失的权利。</w:t>
      </w:r>
    </w:p>
    <w:p>
      <w:pPr>
        <w:spacing w:after="120"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乙方不按本合同约定的期限完成检测工作或提交检验报告，每逾期一日，应向甲方支付本合同暂定款万分之一的违约金，累计逾期10日以上，甲方有权单方面解除合同；同时，乙方应向甲方支付本合同暂定总价20%的违约金，并赔偿由此给甲方造成的全部损失。</w:t>
      </w:r>
    </w:p>
    <w:p>
      <w:pPr>
        <w:spacing w:after="120"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5.乙方提供的检测报告不准确，乙方应无偿返工或采取补救措施予以完善，由此造成延迟交付的，按照本合同第九条第4点的约定处理。</w:t>
      </w:r>
    </w:p>
    <w:p>
      <w:pPr>
        <w:spacing w:line="560" w:lineRule="exact"/>
        <w:ind w:firstLine="562" w:firstLineChars="200"/>
        <w:rPr>
          <w:rFonts w:ascii="宋体" w:hAnsi="宋体"/>
          <w:color w:val="auto"/>
          <w:sz w:val="28"/>
          <w:szCs w:val="28"/>
          <w:highlight w:val="none"/>
        </w:rPr>
      </w:pPr>
      <w:r>
        <w:rPr>
          <w:rFonts w:hint="eastAsia" w:ascii="宋体" w:hAnsi="宋体"/>
          <w:b/>
          <w:color w:val="auto"/>
          <w:sz w:val="28"/>
          <w:szCs w:val="28"/>
          <w:highlight w:val="none"/>
        </w:rPr>
        <w:t xml:space="preserve">十一、 </w:t>
      </w:r>
      <w:r>
        <w:rPr>
          <w:rFonts w:hint="eastAsia" w:ascii="宋体" w:hAnsi="宋体"/>
          <w:color w:val="auto"/>
          <w:sz w:val="28"/>
          <w:szCs w:val="28"/>
          <w:highlight w:val="none"/>
        </w:rPr>
        <w:t xml:space="preserve"> 双方约定本协议其他相关事项为：</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u w:val="single"/>
        </w:rPr>
        <w:t>1、</w:t>
      </w:r>
      <w:r>
        <w:rPr>
          <w:rFonts w:ascii="宋体" w:hAnsi="宋体"/>
          <w:color w:val="auto"/>
          <w:sz w:val="28"/>
          <w:szCs w:val="28"/>
          <w:highlight w:val="none"/>
          <w:u w:val="single"/>
        </w:rPr>
        <w:t>对于非主要检测工作，</w:t>
      </w:r>
      <w:r>
        <w:rPr>
          <w:rFonts w:hint="eastAsia" w:ascii="宋体" w:hAnsi="宋体"/>
          <w:color w:val="auto"/>
          <w:sz w:val="28"/>
          <w:szCs w:val="28"/>
          <w:highlight w:val="none"/>
          <w:u w:val="single"/>
        </w:rPr>
        <w:t>乙方</w:t>
      </w:r>
      <w:r>
        <w:rPr>
          <w:rFonts w:ascii="宋体" w:hAnsi="宋体"/>
          <w:color w:val="auto"/>
          <w:sz w:val="28"/>
          <w:szCs w:val="28"/>
          <w:highlight w:val="none"/>
          <w:u w:val="single"/>
        </w:rPr>
        <w:t>不具备资质的，经</w:t>
      </w:r>
      <w:r>
        <w:rPr>
          <w:rFonts w:hint="eastAsia" w:ascii="宋体" w:hAnsi="宋体"/>
          <w:color w:val="auto"/>
          <w:sz w:val="28"/>
          <w:szCs w:val="28"/>
          <w:highlight w:val="none"/>
          <w:u w:val="single"/>
        </w:rPr>
        <w:t>甲方</w:t>
      </w:r>
      <w:r>
        <w:rPr>
          <w:rFonts w:ascii="宋体" w:hAnsi="宋体"/>
          <w:color w:val="auto"/>
          <w:sz w:val="28"/>
          <w:szCs w:val="28"/>
          <w:highlight w:val="none"/>
          <w:u w:val="single"/>
        </w:rPr>
        <w:t>同意后可依法分包给具备相关资质的检测单位，分包的检测工作不得再次分包</w:t>
      </w:r>
      <w:r>
        <w:rPr>
          <w:rFonts w:hint="eastAsia" w:ascii="宋体" w:hAnsi="宋体"/>
          <w:color w:val="auto"/>
          <w:sz w:val="28"/>
          <w:szCs w:val="28"/>
          <w:highlight w:val="none"/>
          <w:u w:val="single"/>
        </w:rPr>
        <w:t>，且乙方与第三方检测单位应对该检测结果向甲方承担连带责任</w:t>
      </w:r>
      <w:r>
        <w:rPr>
          <w:rFonts w:ascii="宋体" w:hAnsi="宋体"/>
          <w:color w:val="auto"/>
          <w:sz w:val="28"/>
          <w:szCs w:val="28"/>
          <w:highlight w:val="none"/>
          <w:u w:val="single"/>
        </w:rPr>
        <w:t>。</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u w:val="single"/>
        </w:rPr>
        <w:t>2、</w:t>
      </w:r>
      <w:r>
        <w:rPr>
          <w:rFonts w:ascii="宋体" w:hAnsi="宋体"/>
          <w:color w:val="auto"/>
          <w:sz w:val="28"/>
          <w:szCs w:val="28"/>
          <w:highlight w:val="none"/>
          <w:u w:val="single"/>
        </w:rPr>
        <w:t>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甲方核实，甲方有权终止合同。</w:t>
      </w:r>
    </w:p>
    <w:p>
      <w:pPr>
        <w:spacing w:line="560" w:lineRule="exact"/>
        <w:ind w:firstLine="560" w:firstLineChars="200"/>
        <w:rPr>
          <w:rFonts w:ascii="宋体" w:hAnsi="宋体"/>
          <w:color w:val="auto"/>
          <w:sz w:val="28"/>
          <w:szCs w:val="28"/>
          <w:highlight w:val="none"/>
          <w:u w:val="single"/>
        </w:rPr>
      </w:pPr>
      <w:r>
        <w:rPr>
          <w:rFonts w:ascii="宋体" w:hAnsi="宋体"/>
          <w:color w:val="auto"/>
          <w:sz w:val="28"/>
          <w:szCs w:val="28"/>
          <w:highlight w:val="none"/>
          <w:u w:val="single"/>
        </w:rPr>
        <w:t> </w:t>
      </w:r>
      <w:r>
        <w:rPr>
          <w:rFonts w:hint="eastAsia" w:ascii="宋体" w:hAnsi="宋体"/>
          <w:color w:val="auto"/>
          <w:sz w:val="28"/>
          <w:szCs w:val="28"/>
          <w:highlight w:val="none"/>
          <w:u w:val="single"/>
        </w:rPr>
        <w:t xml:space="preserve"> 3、</w:t>
      </w:r>
      <w:r>
        <w:rPr>
          <w:rFonts w:ascii="宋体" w:hAnsi="宋体"/>
          <w:color w:val="auto"/>
          <w:sz w:val="28"/>
          <w:szCs w:val="28"/>
          <w:highlight w:val="none"/>
          <w:u w:val="singl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甲方核实，甲方有权终止合同。</w:t>
      </w:r>
    </w:p>
    <w:p>
      <w:pPr>
        <w:pStyle w:val="60"/>
        <w:ind w:firstLine="560" w:firstLineChars="200"/>
        <w:jc w:val="both"/>
        <w:rPr>
          <w:rFonts w:ascii="宋体" w:hAnsi="宋体"/>
          <w:color w:val="auto"/>
          <w:highlight w:val="none"/>
        </w:rPr>
      </w:pPr>
      <w:r>
        <w:rPr>
          <w:rFonts w:hint="eastAsia" w:ascii="宋体" w:hAnsi="宋体"/>
          <w:color w:val="auto"/>
          <w:sz w:val="28"/>
          <w:szCs w:val="28"/>
          <w:highlight w:val="none"/>
          <w:u w:val="single"/>
        </w:rPr>
        <w:t>4、</w:t>
      </w:r>
      <w:r>
        <w:rPr>
          <w:rFonts w:ascii="宋体" w:hAnsi="宋体"/>
          <w:color w:val="auto"/>
          <w:sz w:val="28"/>
          <w:szCs w:val="28"/>
          <w:highlight w:val="none"/>
          <w:u w:val="singl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u w:val="single"/>
        </w:rPr>
        <w:t>5、如有未尽事宜，双方另行协商，达成补充协议。</w:t>
      </w:r>
    </w:p>
    <w:p>
      <w:pPr>
        <w:spacing w:line="560" w:lineRule="exact"/>
        <w:ind w:firstLine="562" w:firstLineChars="200"/>
        <w:rPr>
          <w:rFonts w:ascii="宋体" w:hAnsi="宋体"/>
          <w:color w:val="auto"/>
          <w:sz w:val="28"/>
          <w:szCs w:val="28"/>
          <w:highlight w:val="none"/>
        </w:rPr>
      </w:pPr>
      <w:r>
        <w:rPr>
          <w:rFonts w:hint="eastAsia" w:ascii="宋体" w:hAnsi="宋体"/>
          <w:b/>
          <w:color w:val="auto"/>
          <w:sz w:val="28"/>
          <w:szCs w:val="28"/>
          <w:highlight w:val="none"/>
        </w:rPr>
        <w:t xml:space="preserve">十二、  </w:t>
      </w:r>
      <w:r>
        <w:rPr>
          <w:rFonts w:hint="eastAsia" w:ascii="宋体" w:hAnsi="宋体"/>
          <w:color w:val="auto"/>
          <w:sz w:val="28"/>
          <w:szCs w:val="28"/>
          <w:highlight w:val="none"/>
        </w:rPr>
        <w:t>双方因履行本协议而发生的争议，应协商、调解解决。协商、调解不成的，向广州市黄埔区人民法院起诉。</w:t>
      </w:r>
    </w:p>
    <w:p>
      <w:pPr>
        <w:spacing w:line="560" w:lineRule="exact"/>
        <w:ind w:firstLine="562" w:firstLineChars="200"/>
        <w:rPr>
          <w:rFonts w:ascii="宋体" w:hAnsi="宋体"/>
          <w:color w:val="auto"/>
          <w:sz w:val="28"/>
          <w:szCs w:val="28"/>
          <w:highlight w:val="none"/>
        </w:rPr>
      </w:pPr>
      <w:r>
        <w:rPr>
          <w:rFonts w:hint="eastAsia" w:ascii="宋体" w:hAnsi="宋体"/>
          <w:b/>
          <w:color w:val="auto"/>
          <w:sz w:val="28"/>
          <w:szCs w:val="28"/>
          <w:highlight w:val="none"/>
        </w:rPr>
        <w:t xml:space="preserve">十三、  </w:t>
      </w:r>
      <w:r>
        <w:rPr>
          <w:rFonts w:hint="eastAsia" w:ascii="宋体" w:hAnsi="宋体"/>
          <w:color w:val="auto"/>
          <w:sz w:val="28"/>
          <w:szCs w:val="28"/>
          <w:highlight w:val="none"/>
        </w:rPr>
        <w:t>本合同经甲、乙双方签字盖章后生效。本合同正本一式二份，甲方执一份，乙方执一份，副本八份，甲方执四份，乙方执四份,均具有同等法律效力，但正本与副本不一致的，以正本为准。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（本页以下无正文）</w:t>
      </w:r>
    </w:p>
    <w:p>
      <w:pPr>
        <w:adjustRightInd w:val="0"/>
        <w:snapToGrid w:val="0"/>
        <w:spacing w:line="500" w:lineRule="exact"/>
        <w:ind w:right="11" w:firstLine="560" w:firstLineChars="200"/>
        <w:rPr>
          <w:rFonts w:ascii="宋体" w:hAnsi="宋体"/>
          <w:color w:val="auto"/>
          <w:sz w:val="28"/>
          <w:szCs w:val="28"/>
          <w:highlight w:val="none"/>
        </w:rPr>
      </w:pPr>
      <w:r>
        <w:rPr>
          <w:rFonts w:hint="eastAsia" w:ascii="宋体" w:hAnsi="宋体"/>
          <w:color w:val="auto"/>
          <w:sz w:val="28"/>
          <w:szCs w:val="28"/>
          <w:highlight w:val="none"/>
        </w:rPr>
        <w:t>附件：</w:t>
      </w:r>
    </w:p>
    <w:p>
      <w:pPr>
        <w:pStyle w:val="18"/>
        <w:spacing w:line="500" w:lineRule="exact"/>
        <w:ind w:firstLine="560" w:firstLineChars="200"/>
        <w:jc w:val="left"/>
        <w:rPr>
          <w:rFonts w:hAnsi="宋体"/>
          <w:color w:val="auto"/>
          <w:sz w:val="28"/>
          <w:szCs w:val="28"/>
          <w:highlight w:val="none"/>
        </w:rPr>
      </w:pPr>
      <w:r>
        <w:rPr>
          <w:rFonts w:hint="eastAsia" w:hAnsi="宋体"/>
          <w:color w:val="auto"/>
          <w:sz w:val="28"/>
          <w:szCs w:val="28"/>
          <w:highlight w:val="none"/>
        </w:rPr>
        <w:t xml:space="preserve">    1.工程建设项目廉政责任书。</w:t>
      </w:r>
    </w:p>
    <w:p>
      <w:pPr>
        <w:pStyle w:val="18"/>
        <w:spacing w:line="500" w:lineRule="exact"/>
        <w:ind w:firstLine="560" w:firstLineChars="200"/>
        <w:jc w:val="left"/>
        <w:rPr>
          <w:rFonts w:hAnsi="宋体"/>
          <w:color w:val="auto"/>
          <w:sz w:val="28"/>
          <w:szCs w:val="28"/>
          <w:highlight w:val="none"/>
        </w:rPr>
      </w:pPr>
    </w:p>
    <w:p>
      <w:pPr>
        <w:adjustRightInd w:val="0"/>
        <w:snapToGrid w:val="0"/>
        <w:spacing w:line="500" w:lineRule="exact"/>
        <w:ind w:right="11"/>
        <w:rPr>
          <w:rFonts w:ascii="宋体" w:hAnsi="宋体"/>
          <w:color w:val="auto"/>
          <w:sz w:val="28"/>
          <w:szCs w:val="28"/>
          <w:highlight w:val="none"/>
        </w:rPr>
      </w:pPr>
    </w:p>
    <w:p>
      <w:pPr>
        <w:adjustRightInd w:val="0"/>
        <w:snapToGrid w:val="0"/>
        <w:spacing w:line="500" w:lineRule="exact"/>
        <w:ind w:right="11"/>
        <w:rPr>
          <w:rFonts w:ascii="宋体" w:hAnsi="宋体"/>
          <w:color w:val="auto"/>
          <w:sz w:val="28"/>
          <w:szCs w:val="28"/>
          <w:highlight w:val="none"/>
        </w:rPr>
      </w:pPr>
    </w:p>
    <w:p>
      <w:pPr>
        <w:pStyle w:val="60"/>
        <w:rPr>
          <w:rFonts w:ascii="宋体" w:hAnsi="宋体"/>
          <w:color w:val="auto"/>
          <w:sz w:val="28"/>
          <w:szCs w:val="28"/>
          <w:highlight w:val="none"/>
        </w:rPr>
      </w:pPr>
    </w:p>
    <w:p>
      <w:pPr>
        <w:pStyle w:val="60"/>
        <w:rPr>
          <w:rFonts w:ascii="宋体" w:hAnsi="宋体"/>
          <w:color w:val="auto"/>
          <w:sz w:val="28"/>
          <w:szCs w:val="28"/>
          <w:highlight w:val="none"/>
        </w:rPr>
      </w:pPr>
    </w:p>
    <w:p>
      <w:pPr>
        <w:pStyle w:val="60"/>
        <w:rPr>
          <w:rFonts w:ascii="宋体" w:hAnsi="宋体"/>
          <w:color w:val="auto"/>
          <w:sz w:val="28"/>
          <w:szCs w:val="28"/>
          <w:highlight w:val="none"/>
        </w:rPr>
      </w:pP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甲方：广州开发区财政投资               乙方：</w:t>
      </w:r>
    </w:p>
    <w:p>
      <w:pPr>
        <w:adjustRightInd w:val="0"/>
        <w:snapToGrid w:val="0"/>
        <w:spacing w:line="500" w:lineRule="exact"/>
        <w:ind w:right="11" w:firstLine="1120" w:firstLineChars="400"/>
        <w:rPr>
          <w:rFonts w:ascii="宋体" w:hAnsi="宋体"/>
          <w:color w:val="auto"/>
          <w:sz w:val="28"/>
          <w:szCs w:val="28"/>
          <w:highlight w:val="none"/>
        </w:rPr>
      </w:pPr>
      <w:r>
        <w:rPr>
          <w:rFonts w:hint="eastAsia" w:ascii="宋体" w:hAnsi="宋体"/>
          <w:color w:val="auto"/>
          <w:sz w:val="28"/>
          <w:szCs w:val="28"/>
          <w:highlight w:val="none"/>
        </w:rPr>
        <w:t>建设项目管理中心</w:t>
      </w: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法定代表人：                           法定代表人：</w:t>
      </w:r>
    </w:p>
    <w:p>
      <w:pPr>
        <w:pStyle w:val="60"/>
        <w:rPr>
          <w:rFonts w:ascii="宋体" w:hAnsi="宋体"/>
          <w:color w:val="auto"/>
          <w:highlight w:val="none"/>
        </w:rPr>
      </w:pPr>
    </w:p>
    <w:p>
      <w:pPr>
        <w:adjustRightInd w:val="0"/>
        <w:snapToGrid w:val="0"/>
        <w:spacing w:line="500" w:lineRule="exact"/>
        <w:ind w:left="-2" w:leftChars="-1" w:right="11"/>
        <w:rPr>
          <w:rFonts w:ascii="宋体" w:hAnsi="宋体"/>
          <w:color w:val="auto"/>
          <w:sz w:val="28"/>
          <w:szCs w:val="28"/>
          <w:highlight w:val="none"/>
        </w:rPr>
      </w:pPr>
      <w:r>
        <w:rPr>
          <w:rFonts w:hint="eastAsia" w:ascii="宋体" w:hAnsi="宋体"/>
          <w:color w:val="auto"/>
          <w:sz w:val="28"/>
          <w:szCs w:val="28"/>
          <w:highlight w:val="none"/>
        </w:rPr>
        <w:t>委托代理人：                           委托代理人：</w:t>
      </w:r>
    </w:p>
    <w:p>
      <w:pPr>
        <w:pStyle w:val="60"/>
        <w:rPr>
          <w:rFonts w:ascii="宋体" w:hAnsi="宋体"/>
          <w:color w:val="auto"/>
          <w:highlight w:val="none"/>
        </w:rPr>
      </w:pP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 xml:space="preserve">住所：                                 住所：       </w:t>
      </w: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 xml:space="preserve">            </w:t>
      </w: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电话：                                 电话：</w:t>
      </w:r>
    </w:p>
    <w:p>
      <w:pPr>
        <w:pStyle w:val="60"/>
        <w:jc w:val="both"/>
        <w:rPr>
          <w:rFonts w:ascii="宋体" w:hAnsi="宋体"/>
          <w:color w:val="auto"/>
          <w:highlight w:val="none"/>
        </w:rPr>
      </w:pPr>
    </w:p>
    <w:p>
      <w:pPr>
        <w:adjustRightInd w:val="0"/>
        <w:snapToGrid w:val="0"/>
        <w:spacing w:line="500" w:lineRule="exact"/>
        <w:ind w:left="-2" w:leftChars="-1" w:right="11"/>
        <w:rPr>
          <w:rFonts w:ascii="宋体" w:hAnsi="宋体"/>
          <w:color w:val="auto"/>
          <w:sz w:val="28"/>
          <w:szCs w:val="28"/>
          <w:highlight w:val="none"/>
        </w:rPr>
      </w:pPr>
      <w:r>
        <w:rPr>
          <w:rFonts w:hint="eastAsia" w:ascii="宋体" w:hAnsi="宋体"/>
          <w:color w:val="auto"/>
          <w:sz w:val="28"/>
          <w:szCs w:val="28"/>
          <w:highlight w:val="none"/>
        </w:rPr>
        <w:t>开户银行：                             开户银行：</w:t>
      </w:r>
    </w:p>
    <w:p>
      <w:pPr>
        <w:pStyle w:val="60"/>
        <w:rPr>
          <w:rFonts w:ascii="宋体" w:hAnsi="宋体"/>
          <w:color w:val="auto"/>
          <w:highlight w:val="none"/>
        </w:rPr>
      </w:pPr>
    </w:p>
    <w:p>
      <w:pPr>
        <w:adjustRightInd w:val="0"/>
        <w:snapToGrid w:val="0"/>
        <w:spacing w:line="500" w:lineRule="exact"/>
        <w:ind w:left="-2" w:leftChars="-1" w:right="11"/>
        <w:rPr>
          <w:rFonts w:ascii="宋体" w:hAnsi="宋体"/>
          <w:color w:val="auto"/>
          <w:sz w:val="28"/>
          <w:szCs w:val="28"/>
          <w:highlight w:val="none"/>
        </w:rPr>
      </w:pPr>
      <w:r>
        <w:rPr>
          <w:rFonts w:hint="eastAsia" w:ascii="宋体" w:hAnsi="宋体"/>
          <w:color w:val="auto"/>
          <w:sz w:val="28"/>
          <w:szCs w:val="28"/>
          <w:highlight w:val="none"/>
        </w:rPr>
        <w:t>帐号：                                 帐号：</w:t>
      </w:r>
    </w:p>
    <w:p>
      <w:pPr>
        <w:pStyle w:val="60"/>
        <w:rPr>
          <w:rFonts w:ascii="宋体" w:hAnsi="宋体"/>
          <w:color w:val="auto"/>
          <w:highlight w:val="none"/>
        </w:rPr>
      </w:pP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签约日期：202</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xml:space="preserve">年   月   日                     </w:t>
      </w:r>
    </w:p>
    <w:p>
      <w:pPr>
        <w:adjustRightInd w:val="0"/>
        <w:snapToGrid w:val="0"/>
        <w:spacing w:line="500" w:lineRule="exact"/>
        <w:ind w:right="11"/>
        <w:rPr>
          <w:rFonts w:ascii="宋体" w:hAnsi="宋体"/>
          <w:color w:val="auto"/>
          <w:sz w:val="28"/>
          <w:szCs w:val="28"/>
          <w:highlight w:val="none"/>
        </w:rPr>
      </w:pPr>
      <w:r>
        <w:rPr>
          <w:rFonts w:hint="eastAsia" w:ascii="宋体" w:hAnsi="宋体"/>
          <w:color w:val="auto"/>
          <w:sz w:val="28"/>
          <w:szCs w:val="28"/>
          <w:highlight w:val="none"/>
        </w:rPr>
        <w:t>签约地点：广东省广州市黄埔区。</w:t>
      </w:r>
    </w:p>
    <w:p>
      <w:pPr>
        <w:pStyle w:val="28"/>
        <w:ind w:firstLine="200"/>
        <w:rPr>
          <w:rFonts w:ascii="宋体" w:hAnsi="宋体"/>
          <w:color w:val="auto"/>
          <w:highlight w:val="none"/>
        </w:rPr>
      </w:pPr>
      <w:r>
        <w:rPr>
          <w:rFonts w:ascii="宋体" w:hAnsi="宋体"/>
          <w:color w:val="auto"/>
          <w:highlight w:val="none"/>
        </w:rPr>
        <w:t xml:space="preserve"> </w:t>
      </w: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200"/>
        <w:rPr>
          <w:rFonts w:ascii="宋体" w:hAnsi="宋体"/>
          <w:b/>
          <w:bCs/>
          <w:color w:val="auto"/>
          <w:sz w:val="28"/>
          <w:szCs w:val="28"/>
          <w:highlight w:val="none"/>
        </w:rPr>
      </w:pPr>
    </w:p>
    <w:p>
      <w:pPr>
        <w:pStyle w:val="28"/>
        <w:ind w:firstLine="0"/>
        <w:rPr>
          <w:rFonts w:ascii="宋体" w:hAnsi="宋体"/>
          <w:b/>
          <w:bCs/>
          <w:color w:val="auto"/>
          <w:sz w:val="28"/>
          <w:szCs w:val="28"/>
          <w:highlight w:val="none"/>
        </w:rPr>
      </w:pPr>
    </w:p>
    <w:p>
      <w:pPr>
        <w:pStyle w:val="28"/>
        <w:ind w:firstLine="0"/>
        <w:rPr>
          <w:rFonts w:ascii="宋体" w:hAnsi="宋体"/>
          <w:b/>
          <w:bCs/>
          <w:color w:val="auto"/>
          <w:sz w:val="28"/>
          <w:szCs w:val="28"/>
          <w:highlight w:val="none"/>
        </w:rPr>
      </w:pPr>
    </w:p>
    <w:p>
      <w:pPr>
        <w:pStyle w:val="28"/>
        <w:ind w:firstLine="0"/>
        <w:rPr>
          <w:rFonts w:ascii="宋体" w:hAnsi="宋体"/>
          <w:b/>
          <w:bCs/>
          <w:color w:val="auto"/>
          <w:sz w:val="28"/>
          <w:szCs w:val="28"/>
          <w:highlight w:val="none"/>
        </w:rPr>
      </w:pPr>
    </w:p>
    <w:p>
      <w:pPr>
        <w:pStyle w:val="28"/>
        <w:ind w:firstLine="0"/>
        <w:rPr>
          <w:rFonts w:ascii="宋体" w:hAnsi="宋体"/>
          <w:b/>
          <w:bCs/>
          <w:color w:val="auto"/>
          <w:sz w:val="28"/>
          <w:szCs w:val="28"/>
          <w:highlight w:val="none"/>
        </w:rPr>
      </w:pPr>
    </w:p>
    <w:p>
      <w:pPr>
        <w:pStyle w:val="28"/>
        <w:ind w:firstLine="0"/>
        <w:rPr>
          <w:rFonts w:ascii="宋体" w:hAnsi="宋体"/>
          <w:b/>
          <w:bCs/>
          <w:color w:val="auto"/>
          <w:sz w:val="28"/>
          <w:szCs w:val="28"/>
          <w:highlight w:val="none"/>
        </w:rPr>
      </w:pPr>
      <w:r>
        <w:rPr>
          <w:rFonts w:hint="eastAsia" w:ascii="宋体" w:hAnsi="宋体"/>
          <w:b/>
          <w:bCs/>
          <w:color w:val="auto"/>
          <w:sz w:val="28"/>
          <w:szCs w:val="28"/>
          <w:highlight w:val="none"/>
        </w:rPr>
        <w:t xml:space="preserve">附件1：              </w:t>
      </w:r>
    </w:p>
    <w:p>
      <w:pPr>
        <w:spacing w:line="56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工程建设项目廉政责任书</w:t>
      </w:r>
    </w:p>
    <w:p>
      <w:pPr>
        <w:adjustRightInd w:val="0"/>
        <w:snapToGrid w:val="0"/>
        <w:spacing w:line="560" w:lineRule="exact"/>
        <w:ind w:left="2940"/>
        <w:rPr>
          <w:rFonts w:ascii="宋体" w:hAnsi="宋体"/>
          <w:color w:val="auto"/>
          <w:sz w:val="24"/>
          <w:szCs w:val="24"/>
          <w:highlight w:val="none"/>
        </w:rPr>
      </w:pPr>
      <w:r>
        <w:rPr>
          <w:rFonts w:ascii="宋体" w:hAnsi="宋体"/>
          <w:color w:val="auto"/>
          <w:sz w:val="24"/>
          <w:szCs w:val="24"/>
          <w:highlight w:val="none"/>
        </w:rPr>
        <w:t xml:space="preserve"> </w:t>
      </w:r>
    </w:p>
    <w:p>
      <w:pPr>
        <w:adjustRightInd w:val="0"/>
        <w:snapToGrid w:val="0"/>
        <w:spacing w:line="500" w:lineRule="exact"/>
        <w:rPr>
          <w:rFonts w:ascii="宋体" w:hAnsi="宋体"/>
          <w:color w:val="auto"/>
          <w:sz w:val="28"/>
          <w:szCs w:val="28"/>
          <w:highlight w:val="none"/>
          <w:u w:val="single"/>
        </w:rPr>
      </w:pPr>
      <w:r>
        <w:rPr>
          <w:rFonts w:hint="eastAsia" w:ascii="宋体" w:hAnsi="宋体"/>
          <w:color w:val="auto"/>
          <w:sz w:val="28"/>
          <w:szCs w:val="28"/>
          <w:highlight w:val="none"/>
        </w:rPr>
        <w:t xml:space="preserve"> 工程项目名称：</w:t>
      </w:r>
      <w:r>
        <w:rPr>
          <w:rFonts w:hint="eastAsia" w:ascii="宋体" w:hAnsi="宋体"/>
          <w:color w:val="auto"/>
          <w:sz w:val="28"/>
          <w:szCs w:val="28"/>
          <w:highlight w:val="none"/>
          <w:u w:val="single"/>
        </w:rPr>
        <w:t xml:space="preserve">             第三方检测服务</w:t>
      </w:r>
      <w:r>
        <w:rPr>
          <w:rFonts w:hint="eastAsia" w:ascii="宋体" w:hAnsi="宋体"/>
          <w:color w:val="auto"/>
          <w:sz w:val="28"/>
          <w:szCs w:val="28"/>
          <w:highlight w:val="none"/>
        </w:rPr>
        <w:t xml:space="preserve"> </w:t>
      </w:r>
    </w:p>
    <w:p>
      <w:pPr>
        <w:adjustRightInd w:val="0"/>
        <w:snapToGrid w:val="0"/>
        <w:spacing w:line="560" w:lineRule="exact"/>
        <w:rPr>
          <w:rFonts w:ascii="宋体" w:hAnsi="宋体"/>
          <w:color w:val="auto"/>
          <w:sz w:val="28"/>
          <w:szCs w:val="28"/>
          <w:highlight w:val="none"/>
        </w:rPr>
      </w:pPr>
      <w:r>
        <w:rPr>
          <w:rFonts w:hint="eastAsia" w:ascii="宋体" w:hAnsi="宋体"/>
          <w:color w:val="auto"/>
          <w:sz w:val="28"/>
          <w:szCs w:val="28"/>
          <w:highlight w:val="none"/>
        </w:rPr>
        <w:t>工程项目地址：</w:t>
      </w:r>
      <w:r>
        <w:rPr>
          <w:rFonts w:hint="eastAsia" w:ascii="宋体" w:hAnsi="宋体"/>
          <w:color w:val="auto"/>
          <w:sz w:val="28"/>
          <w:szCs w:val="28"/>
          <w:highlight w:val="none"/>
          <w:u w:val="single"/>
        </w:rPr>
        <w:t>广州市黄埔区</w:t>
      </w:r>
    </w:p>
    <w:p>
      <w:pPr>
        <w:spacing w:line="500" w:lineRule="exact"/>
        <w:rPr>
          <w:rFonts w:ascii="宋体" w:hAnsi="宋体"/>
          <w:color w:val="auto"/>
          <w:sz w:val="28"/>
          <w:szCs w:val="28"/>
          <w:highlight w:val="none"/>
          <w:u w:val="single"/>
        </w:rPr>
      </w:pPr>
      <w:r>
        <w:rPr>
          <w:rFonts w:hint="eastAsia" w:ascii="宋体" w:hAnsi="宋体"/>
          <w:color w:val="auto"/>
          <w:sz w:val="28"/>
          <w:szCs w:val="28"/>
          <w:highlight w:val="none"/>
        </w:rPr>
        <w:t>甲方：</w:t>
      </w:r>
      <w:r>
        <w:rPr>
          <w:rFonts w:hint="eastAsia" w:ascii="宋体" w:hAnsi="宋体"/>
          <w:color w:val="auto"/>
          <w:sz w:val="28"/>
          <w:szCs w:val="28"/>
          <w:highlight w:val="none"/>
          <w:u w:val="single"/>
        </w:rPr>
        <w:t>广州开发区财政投资建设项目管理中心</w:t>
      </w:r>
    </w:p>
    <w:p>
      <w:pPr>
        <w:spacing w:line="480" w:lineRule="exact"/>
        <w:rPr>
          <w:rFonts w:ascii="宋体" w:hAnsi="宋体"/>
          <w:color w:val="auto"/>
          <w:sz w:val="28"/>
          <w:szCs w:val="28"/>
          <w:highlight w:val="none"/>
        </w:rPr>
      </w:pPr>
      <w:r>
        <w:rPr>
          <w:rFonts w:hint="eastAsia" w:ascii="宋体" w:hAnsi="宋体"/>
          <w:color w:val="auto"/>
          <w:sz w:val="28"/>
          <w:szCs w:val="28"/>
          <w:highlight w:val="none"/>
        </w:rPr>
        <w:t>乙方：</w:t>
      </w:r>
      <w:r>
        <w:rPr>
          <w:rFonts w:hint="eastAsia" w:ascii="宋体" w:hAnsi="宋体"/>
          <w:color w:val="auto"/>
          <w:sz w:val="28"/>
          <w:szCs w:val="28"/>
          <w:highlight w:val="none"/>
          <w:u w:val="single"/>
        </w:rPr>
        <w:t xml:space="preserve">                                  </w:t>
      </w:r>
    </w:p>
    <w:p>
      <w:pPr>
        <w:adjustRightInd w:val="0"/>
        <w:snapToGrid w:val="0"/>
        <w:spacing w:line="560" w:lineRule="exact"/>
        <w:rPr>
          <w:rFonts w:ascii="宋体" w:hAnsi="宋体"/>
          <w:color w:val="auto"/>
          <w:sz w:val="28"/>
          <w:szCs w:val="28"/>
          <w:highlight w:val="none"/>
        </w:rPr>
      </w:pPr>
      <w:r>
        <w:rPr>
          <w:rFonts w:ascii="宋体" w:hAnsi="宋体"/>
          <w:color w:val="auto"/>
          <w:sz w:val="28"/>
          <w:szCs w:val="28"/>
          <w:highlight w:val="none"/>
        </w:rPr>
        <w:t xml:space="preserve"> </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560" w:lineRule="exact"/>
        <w:ind w:firstLine="482"/>
        <w:rPr>
          <w:rFonts w:ascii="宋体" w:hAnsi="宋体"/>
          <w:b/>
          <w:bCs/>
          <w:color w:val="auto"/>
          <w:sz w:val="28"/>
          <w:szCs w:val="28"/>
          <w:highlight w:val="none"/>
        </w:rPr>
      </w:pPr>
      <w:r>
        <w:rPr>
          <w:rFonts w:hint="eastAsia" w:ascii="宋体" w:hAnsi="宋体"/>
          <w:b/>
          <w:bCs/>
          <w:color w:val="auto"/>
          <w:sz w:val="28"/>
          <w:szCs w:val="28"/>
          <w:highlight w:val="none"/>
        </w:rPr>
        <w:t>第一条</w:t>
      </w:r>
      <w:r>
        <w:rPr>
          <w:rFonts w:hint="eastAsia" w:ascii="宋体" w:hAnsi="宋体"/>
          <w:color w:val="auto"/>
          <w:sz w:val="28"/>
          <w:szCs w:val="28"/>
          <w:highlight w:val="none"/>
        </w:rPr>
        <w:t>甲、乙双方的责任</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（一）应严格遵守国家关于市场准入、项目招标投标、工程建设和市场活动等有关法律、法规、相关政策，以及廉政建设的各项规定。</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（二）严格执行建设工程项目承发包合同文件，自觉按合同办事。</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（三）业务活动必须坚持公开、公平、公正、诚信、透明的原则（除法律法规另有规定者外），不得为获取不正当的利益，损害国家、集体和对方利益，不得违反工程建设过程管理的规章制度。</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（四）发现对方在业务活动中有违规、违纪、违法行为的，应及时提醒对方，情节严重的，应向其上级主管部门或纪检监察、司法等有关机关举报。</w:t>
      </w:r>
    </w:p>
    <w:p>
      <w:pPr>
        <w:adjustRightInd w:val="0"/>
        <w:snapToGrid w:val="0"/>
        <w:spacing w:line="560" w:lineRule="exact"/>
        <w:ind w:firstLine="482"/>
        <w:rPr>
          <w:rFonts w:ascii="宋体" w:hAnsi="宋体"/>
          <w:color w:val="auto"/>
          <w:sz w:val="28"/>
          <w:szCs w:val="28"/>
          <w:highlight w:val="none"/>
        </w:rPr>
      </w:pPr>
      <w:r>
        <w:rPr>
          <w:rFonts w:hint="eastAsia" w:ascii="宋体" w:hAnsi="宋体"/>
          <w:b/>
          <w:bCs/>
          <w:color w:val="auto"/>
          <w:sz w:val="28"/>
          <w:szCs w:val="28"/>
          <w:highlight w:val="none"/>
        </w:rPr>
        <w:t>第二条</w:t>
      </w:r>
      <w:r>
        <w:rPr>
          <w:rFonts w:hint="eastAsia" w:ascii="宋体" w:hAnsi="宋体"/>
          <w:color w:val="auto"/>
          <w:sz w:val="28"/>
          <w:szCs w:val="28"/>
          <w:highlight w:val="none"/>
        </w:rPr>
        <w:t>甲方的责任</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甲方的领导和从事本建设工程项目的工作人员，在工程建设的事前、事中、事后应遵守以下规定：</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（一）不准向乙方和相关单位索要或接受回扣、礼金、有价证券、贵重物品和好处费、感谢费等。</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（二）不准在乙方和相关单位报销任何应由甲方或个人支付的费用。</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（三）不准要求、暗示或接受乙方和相关单位为个人装修住房、婚丧嫁娶、配偶子女的工作安排以及出国（境）、旅游等提供方便。</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（四）不准参加有可能影响公正执行公务的乙方及相关单位的宴请、健身、娱乐等活动。</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560" w:lineRule="exact"/>
        <w:ind w:firstLine="482"/>
        <w:rPr>
          <w:rFonts w:ascii="宋体" w:hAnsi="宋体"/>
          <w:color w:val="auto"/>
          <w:sz w:val="28"/>
          <w:szCs w:val="28"/>
          <w:highlight w:val="none"/>
        </w:rPr>
      </w:pPr>
      <w:r>
        <w:rPr>
          <w:rFonts w:hint="eastAsia" w:ascii="宋体" w:hAnsi="宋体"/>
          <w:b/>
          <w:bCs/>
          <w:color w:val="auto"/>
          <w:sz w:val="28"/>
          <w:szCs w:val="28"/>
          <w:highlight w:val="none"/>
        </w:rPr>
        <w:t>第三条</w:t>
      </w:r>
      <w:r>
        <w:rPr>
          <w:rFonts w:hint="eastAsia" w:ascii="宋体" w:hAnsi="宋体"/>
          <w:color w:val="auto"/>
          <w:sz w:val="28"/>
          <w:szCs w:val="28"/>
          <w:highlight w:val="none"/>
        </w:rPr>
        <w:t>乙方的责任</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应与甲方保持正常的业务交往，按照有关法律法规和程序开展业务工作，严格执行工程建设过程管理的有关方针、政策，尤其是强制性标准和规范，并遵守以下规定：</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（一）不准以任何理由向甲方、相关单位及其工作人员索要、接受或赠送礼金、有价证券、贵重物品及回扣、好处费、感谢费等。</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（二）不准以任何理由为甲方和相关单位报销应由对方或个人支付的费用。</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（三）不准接受或暗示为甲方、相关单位或个人装修住房、婚丧嫁娶、配偶子女的工作安排以及出国（境）、旅游等提供方便。</w:t>
      </w:r>
    </w:p>
    <w:p>
      <w:pPr>
        <w:adjustRightInd w:val="0"/>
        <w:snapToGrid w:val="0"/>
        <w:spacing w:line="560" w:lineRule="exact"/>
        <w:ind w:firstLine="482"/>
        <w:rPr>
          <w:rFonts w:ascii="宋体" w:hAnsi="宋体"/>
          <w:b/>
          <w:bCs/>
          <w:color w:val="auto"/>
          <w:sz w:val="28"/>
          <w:szCs w:val="28"/>
          <w:highlight w:val="none"/>
        </w:rPr>
      </w:pPr>
      <w:r>
        <w:rPr>
          <w:rFonts w:hint="eastAsia" w:ascii="宋体" w:hAnsi="宋体"/>
          <w:color w:val="auto"/>
          <w:sz w:val="28"/>
          <w:szCs w:val="28"/>
          <w:highlight w:val="none"/>
        </w:rPr>
        <w:t>（四）不准以任何理由为甲方、相关单位或个人组织有可能影响公正执行公务的宴请、健身、娱乐等活动。</w:t>
      </w:r>
    </w:p>
    <w:p>
      <w:pPr>
        <w:adjustRightInd w:val="0"/>
        <w:snapToGrid w:val="0"/>
        <w:spacing w:line="560" w:lineRule="exact"/>
        <w:ind w:firstLine="482"/>
        <w:rPr>
          <w:rFonts w:ascii="宋体" w:hAnsi="宋体"/>
          <w:color w:val="auto"/>
          <w:sz w:val="28"/>
          <w:szCs w:val="28"/>
          <w:highlight w:val="none"/>
        </w:rPr>
      </w:pPr>
      <w:r>
        <w:rPr>
          <w:rFonts w:hint="eastAsia" w:ascii="宋体" w:hAnsi="宋体"/>
          <w:b/>
          <w:bCs/>
          <w:color w:val="auto"/>
          <w:sz w:val="28"/>
          <w:szCs w:val="28"/>
          <w:highlight w:val="none"/>
        </w:rPr>
        <w:t xml:space="preserve"> 第四条  </w:t>
      </w:r>
      <w:r>
        <w:rPr>
          <w:rFonts w:hint="eastAsia" w:ascii="宋体" w:hAnsi="宋体"/>
          <w:color w:val="auto"/>
          <w:sz w:val="28"/>
          <w:szCs w:val="28"/>
          <w:highlight w:val="none"/>
        </w:rPr>
        <w:t>违约责任</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560" w:lineRule="exact"/>
        <w:ind w:firstLine="482"/>
        <w:rPr>
          <w:rFonts w:ascii="宋体" w:hAnsi="宋体"/>
          <w:color w:val="auto"/>
          <w:sz w:val="28"/>
          <w:szCs w:val="28"/>
          <w:highlight w:val="none"/>
        </w:rPr>
      </w:pPr>
      <w:r>
        <w:rPr>
          <w:rFonts w:hint="eastAsia" w:ascii="宋体" w:hAnsi="宋体"/>
          <w:color w:val="auto"/>
          <w:sz w:val="28"/>
          <w:szCs w:val="28"/>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560" w:lineRule="exact"/>
        <w:ind w:firstLine="482"/>
        <w:rPr>
          <w:rFonts w:ascii="宋体" w:hAnsi="宋体"/>
          <w:b/>
          <w:bCs/>
          <w:color w:val="auto"/>
          <w:sz w:val="28"/>
          <w:szCs w:val="28"/>
          <w:highlight w:val="none"/>
        </w:rPr>
      </w:pPr>
      <w:r>
        <w:rPr>
          <w:rFonts w:hint="eastAsia" w:ascii="宋体" w:hAnsi="宋体"/>
          <w:b/>
          <w:bCs/>
          <w:color w:val="auto"/>
          <w:sz w:val="28"/>
          <w:szCs w:val="28"/>
          <w:highlight w:val="none"/>
        </w:rPr>
        <w:t>第五条</w:t>
      </w:r>
      <w:r>
        <w:rPr>
          <w:rFonts w:hint="eastAsia" w:ascii="宋体" w:hAnsi="宋体"/>
          <w:color w:val="auto"/>
          <w:sz w:val="28"/>
          <w:szCs w:val="28"/>
          <w:highlight w:val="none"/>
        </w:rPr>
        <w:t>本廉政责任书作为合同的附件，与合同具有同等法律效力。经双方签署后立即生效。</w:t>
      </w:r>
    </w:p>
    <w:p>
      <w:pPr>
        <w:adjustRightInd w:val="0"/>
        <w:snapToGrid w:val="0"/>
        <w:spacing w:line="560" w:lineRule="exact"/>
        <w:ind w:firstLine="482"/>
        <w:rPr>
          <w:rFonts w:ascii="宋体" w:hAnsi="宋体"/>
          <w:b/>
          <w:bCs/>
          <w:color w:val="auto"/>
          <w:sz w:val="28"/>
          <w:szCs w:val="28"/>
          <w:highlight w:val="none"/>
        </w:rPr>
      </w:pPr>
      <w:r>
        <w:rPr>
          <w:rFonts w:hint="eastAsia" w:ascii="宋体" w:hAnsi="宋体"/>
          <w:b/>
          <w:bCs/>
          <w:color w:val="auto"/>
          <w:sz w:val="28"/>
          <w:szCs w:val="28"/>
          <w:highlight w:val="none"/>
        </w:rPr>
        <w:t>第六条</w:t>
      </w:r>
      <w:r>
        <w:rPr>
          <w:rFonts w:hint="eastAsia" w:ascii="宋体" w:hAnsi="宋体"/>
          <w:color w:val="auto"/>
          <w:sz w:val="28"/>
          <w:szCs w:val="28"/>
          <w:highlight w:val="none"/>
        </w:rPr>
        <w:t>本廉政责任书的有效期与合同的有效期相同。</w:t>
      </w:r>
    </w:p>
    <w:p>
      <w:pPr>
        <w:adjustRightInd w:val="0"/>
        <w:snapToGrid w:val="0"/>
        <w:spacing w:line="560" w:lineRule="exact"/>
        <w:ind w:firstLine="482"/>
        <w:rPr>
          <w:rFonts w:ascii="宋体" w:hAnsi="宋体"/>
          <w:b/>
          <w:bCs/>
          <w:color w:val="auto"/>
          <w:sz w:val="28"/>
          <w:szCs w:val="28"/>
          <w:highlight w:val="none"/>
        </w:rPr>
      </w:pPr>
      <w:r>
        <w:rPr>
          <w:rFonts w:hint="eastAsia" w:ascii="宋体" w:hAnsi="宋体"/>
          <w:b/>
          <w:bCs/>
          <w:color w:val="auto"/>
          <w:sz w:val="28"/>
          <w:szCs w:val="28"/>
          <w:highlight w:val="none"/>
        </w:rPr>
        <w:t>第七条</w:t>
      </w:r>
      <w:r>
        <w:rPr>
          <w:rFonts w:hint="eastAsia" w:ascii="宋体" w:hAnsi="宋体"/>
          <w:color w:val="auto"/>
          <w:sz w:val="28"/>
          <w:szCs w:val="28"/>
          <w:highlight w:val="none"/>
        </w:rPr>
        <w:t>本廉政责任书一式十份，甲方执五份，乙方执五份。</w:t>
      </w:r>
    </w:p>
    <w:p>
      <w:pPr>
        <w:adjustRightInd w:val="0"/>
        <w:snapToGrid w:val="0"/>
        <w:spacing w:line="560" w:lineRule="exact"/>
        <w:ind w:right="11"/>
        <w:rPr>
          <w:rFonts w:ascii="宋体" w:hAnsi="宋体"/>
          <w:color w:val="auto"/>
          <w:sz w:val="28"/>
          <w:szCs w:val="28"/>
          <w:highlight w:val="none"/>
        </w:rPr>
      </w:pPr>
      <w:r>
        <w:rPr>
          <w:rFonts w:ascii="宋体" w:hAnsi="宋体"/>
          <w:color w:val="auto"/>
          <w:sz w:val="28"/>
          <w:szCs w:val="28"/>
          <w:highlight w:val="none"/>
        </w:rPr>
        <w:t xml:space="preserve"> </w:t>
      </w:r>
    </w:p>
    <w:p>
      <w:pPr>
        <w:adjustRightInd w:val="0"/>
        <w:snapToGrid w:val="0"/>
        <w:spacing w:line="560" w:lineRule="exact"/>
        <w:ind w:left="2240" w:right="11" w:hanging="2240" w:hangingChars="800"/>
        <w:rPr>
          <w:rFonts w:ascii="宋体" w:hAnsi="宋体"/>
          <w:color w:val="auto"/>
          <w:sz w:val="28"/>
          <w:szCs w:val="28"/>
          <w:highlight w:val="none"/>
        </w:rPr>
      </w:pPr>
      <w:r>
        <w:rPr>
          <w:rFonts w:hint="eastAsia" w:ascii="宋体" w:hAnsi="宋体"/>
          <w:color w:val="auto"/>
          <w:sz w:val="28"/>
          <w:szCs w:val="28"/>
          <w:highlight w:val="none"/>
        </w:rPr>
        <w:t xml:space="preserve">甲方：                                 乙方： </w:t>
      </w:r>
    </w:p>
    <w:p>
      <w:pPr>
        <w:adjustRightInd w:val="0"/>
        <w:snapToGrid w:val="0"/>
        <w:spacing w:line="560" w:lineRule="exact"/>
        <w:ind w:left="2057" w:leftChars="513" w:right="11" w:hanging="980" w:hangingChars="350"/>
        <w:rPr>
          <w:rFonts w:ascii="宋体" w:hAnsi="宋体"/>
          <w:color w:val="auto"/>
          <w:sz w:val="28"/>
          <w:szCs w:val="28"/>
          <w:highlight w:val="none"/>
        </w:rPr>
      </w:pPr>
      <w:r>
        <w:rPr>
          <w:rFonts w:hint="eastAsia" w:ascii="宋体" w:hAnsi="宋体"/>
          <w:color w:val="auto"/>
          <w:sz w:val="28"/>
          <w:szCs w:val="28"/>
          <w:highlight w:val="none"/>
        </w:rPr>
        <w:t xml:space="preserve">                          </w:t>
      </w:r>
    </w:p>
    <w:p>
      <w:pPr>
        <w:adjustRightInd w:val="0"/>
        <w:snapToGrid w:val="0"/>
        <w:spacing w:line="560" w:lineRule="exact"/>
        <w:ind w:right="11"/>
        <w:rPr>
          <w:rFonts w:ascii="宋体" w:hAnsi="宋体"/>
          <w:color w:val="auto"/>
          <w:sz w:val="28"/>
          <w:szCs w:val="28"/>
          <w:highlight w:val="none"/>
        </w:rPr>
      </w:pPr>
      <w:r>
        <w:rPr>
          <w:rFonts w:hint="eastAsia" w:ascii="宋体" w:hAnsi="宋体"/>
          <w:color w:val="auto"/>
          <w:sz w:val="28"/>
          <w:szCs w:val="28"/>
          <w:highlight w:val="none"/>
        </w:rPr>
        <w:t>法定代表人：                           法定代表人：</w:t>
      </w:r>
    </w:p>
    <w:p>
      <w:pPr>
        <w:adjustRightInd w:val="0"/>
        <w:snapToGrid w:val="0"/>
        <w:spacing w:line="560" w:lineRule="exact"/>
        <w:ind w:left="-2" w:leftChars="-1" w:right="11"/>
        <w:rPr>
          <w:rFonts w:ascii="宋体" w:hAnsi="宋体"/>
          <w:color w:val="auto"/>
          <w:sz w:val="28"/>
          <w:szCs w:val="28"/>
          <w:highlight w:val="none"/>
        </w:rPr>
      </w:pPr>
      <w:r>
        <w:rPr>
          <w:rFonts w:ascii="宋体" w:hAnsi="宋体"/>
          <w:color w:val="auto"/>
          <w:sz w:val="28"/>
          <w:szCs w:val="28"/>
          <w:highlight w:val="none"/>
        </w:rPr>
        <w:t xml:space="preserve"> </w:t>
      </w:r>
    </w:p>
    <w:p>
      <w:pPr>
        <w:adjustRightInd w:val="0"/>
        <w:snapToGrid w:val="0"/>
        <w:spacing w:line="560" w:lineRule="exact"/>
        <w:ind w:left="-2" w:leftChars="-1" w:right="11"/>
        <w:rPr>
          <w:rFonts w:ascii="宋体" w:hAnsi="宋体"/>
          <w:color w:val="auto"/>
          <w:sz w:val="28"/>
          <w:szCs w:val="28"/>
          <w:highlight w:val="none"/>
        </w:rPr>
      </w:pPr>
      <w:r>
        <w:rPr>
          <w:rFonts w:hint="eastAsia" w:ascii="宋体" w:hAnsi="宋体"/>
          <w:color w:val="auto"/>
          <w:sz w:val="28"/>
          <w:szCs w:val="28"/>
          <w:highlight w:val="none"/>
        </w:rPr>
        <w:t>委托代理人：                           委托代理人：</w:t>
      </w:r>
    </w:p>
    <w:p>
      <w:pPr>
        <w:adjustRightInd w:val="0"/>
        <w:snapToGrid w:val="0"/>
        <w:spacing w:line="560" w:lineRule="exact"/>
        <w:ind w:left="-2" w:leftChars="-1" w:right="11"/>
        <w:rPr>
          <w:rFonts w:ascii="宋体" w:hAnsi="宋体"/>
          <w:color w:val="auto"/>
          <w:sz w:val="28"/>
          <w:szCs w:val="28"/>
          <w:highlight w:val="none"/>
        </w:rPr>
      </w:pPr>
      <w:r>
        <w:rPr>
          <w:rFonts w:ascii="宋体" w:hAnsi="宋体"/>
          <w:color w:val="auto"/>
          <w:sz w:val="28"/>
          <w:szCs w:val="28"/>
          <w:highlight w:val="none"/>
        </w:rPr>
        <w:t xml:space="preserve"> </w:t>
      </w:r>
    </w:p>
    <w:p>
      <w:pPr>
        <w:adjustRightInd w:val="0"/>
        <w:snapToGrid w:val="0"/>
        <w:spacing w:line="560" w:lineRule="exact"/>
        <w:ind w:left="-2" w:leftChars="-1" w:right="11"/>
        <w:rPr>
          <w:rFonts w:ascii="宋体" w:hAnsi="宋体"/>
          <w:color w:val="auto"/>
          <w:sz w:val="28"/>
          <w:szCs w:val="28"/>
          <w:highlight w:val="none"/>
        </w:rPr>
      </w:pPr>
      <w:r>
        <w:rPr>
          <w:rFonts w:hint="eastAsia" w:ascii="宋体" w:hAnsi="宋体"/>
          <w:color w:val="auto"/>
          <w:sz w:val="28"/>
          <w:szCs w:val="28"/>
          <w:highlight w:val="none"/>
        </w:rPr>
        <w:t>签约日期：</w:t>
      </w:r>
      <w:r>
        <w:rPr>
          <w:rFonts w:hint="eastAsia" w:ascii="宋体" w:hAnsi="宋体"/>
          <w:color w:val="auto"/>
          <w:sz w:val="28"/>
          <w:szCs w:val="28"/>
          <w:highlight w:val="none"/>
          <w:u w:val="single"/>
        </w:rPr>
        <w:t>202</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p>
    <w:p>
      <w:pPr>
        <w:spacing w:line="560" w:lineRule="exact"/>
        <w:rPr>
          <w:rFonts w:ascii="宋体" w:hAnsi="宋体"/>
          <w:color w:val="auto"/>
          <w:sz w:val="28"/>
          <w:szCs w:val="28"/>
          <w:highlight w:val="none"/>
        </w:rPr>
      </w:pPr>
      <w:r>
        <w:rPr>
          <w:rFonts w:hint="eastAsia" w:ascii="宋体" w:hAnsi="宋体"/>
          <w:color w:val="auto"/>
          <w:sz w:val="28"/>
          <w:szCs w:val="28"/>
          <w:highlight w:val="none"/>
        </w:rPr>
        <w:t>签约地点：广东省广州市黄埔区。</w:t>
      </w:r>
    </w:p>
    <w:p>
      <w:pPr>
        <w:spacing w:line="560" w:lineRule="exact"/>
        <w:rPr>
          <w:rFonts w:ascii="宋体" w:hAnsi="宋体"/>
          <w:color w:val="auto"/>
          <w:szCs w:val="21"/>
          <w:highlight w:val="none"/>
        </w:rPr>
      </w:pPr>
      <w:r>
        <w:rPr>
          <w:rFonts w:ascii="宋体" w:hAnsi="宋体"/>
          <w:color w:val="auto"/>
          <w:highlight w:val="none"/>
        </w:rPr>
        <w:t xml:space="preserve"> </w:t>
      </w:r>
    </w:p>
    <w:p>
      <w:pPr>
        <w:rPr>
          <w:rFonts w:ascii="宋体" w:hAnsi="宋体"/>
          <w:color w:val="auto"/>
          <w:highlight w:val="none"/>
        </w:rPr>
      </w:pPr>
    </w:p>
    <w:p>
      <w:pPr>
        <w:spacing w:line="560" w:lineRule="exact"/>
        <w:rPr>
          <w:rFonts w:ascii="宋体" w:hAnsi="宋体"/>
          <w:color w:val="auto"/>
          <w:sz w:val="28"/>
          <w:szCs w:val="28"/>
          <w:highlight w:val="none"/>
        </w:rPr>
      </w:pPr>
    </w:p>
    <w:p>
      <w:pPr>
        <w:snapToGrid w:val="0"/>
        <w:spacing w:line="580" w:lineRule="exact"/>
        <w:ind w:left="420" w:firstLine="480" w:firstLineChars="200"/>
        <w:rPr>
          <w:rFonts w:ascii="宋体" w:hAnsi="宋体" w:cs="宋体"/>
          <w:snapToGrid w:val="0"/>
          <w:color w:val="auto"/>
          <w:kern w:val="0"/>
          <w:sz w:val="24"/>
          <w:szCs w:val="24"/>
          <w:highlight w:val="none"/>
        </w:rPr>
      </w:pPr>
    </w:p>
    <w:p>
      <w:pPr>
        <w:snapToGrid w:val="0"/>
        <w:spacing w:line="360" w:lineRule="auto"/>
        <w:rPr>
          <w:rFonts w:ascii="宋体" w:hAnsi="宋体"/>
          <w:color w:val="auto"/>
          <w:highlight w:val="none"/>
        </w:rPr>
      </w:pPr>
    </w:p>
    <w:p>
      <w:pPr>
        <w:spacing w:line="360" w:lineRule="auto"/>
        <w:rPr>
          <w:rFonts w:ascii="宋体" w:hAnsi="宋体"/>
          <w:color w:val="auto"/>
          <w:sz w:val="28"/>
          <w:szCs w:val="28"/>
          <w:highlight w:val="none"/>
        </w:rPr>
      </w:pPr>
    </w:p>
    <w:p>
      <w:pPr>
        <w:snapToGrid w:val="0"/>
        <w:spacing w:line="360" w:lineRule="auto"/>
        <w:ind w:right="-97" w:rightChars="-46"/>
        <w:rPr>
          <w:rFonts w:ascii="宋体" w:hAnsi="宋体"/>
          <w:color w:val="auto"/>
          <w:sz w:val="24"/>
          <w:szCs w:val="18"/>
          <w:highlight w:val="none"/>
        </w:rPr>
      </w:pPr>
    </w:p>
    <w:p>
      <w:pPr>
        <w:pStyle w:val="5"/>
        <w:rPr>
          <w:color w:val="auto"/>
          <w:highlight w:val="none"/>
        </w:rPr>
      </w:pPr>
      <w:bookmarkStart w:id="156" w:name="_Toc533357324"/>
      <w:r>
        <w:rPr>
          <w:rFonts w:hint="eastAsia"/>
          <w:color w:val="auto"/>
          <w:highlight w:val="none"/>
        </w:rPr>
        <w:br w:type="page"/>
      </w:r>
      <w:bookmarkStart w:id="157" w:name="_Toc4479"/>
      <w:bookmarkStart w:id="158" w:name="_Toc30019"/>
      <w:r>
        <w:rPr>
          <w:rFonts w:hint="eastAsia"/>
          <w:color w:val="auto"/>
          <w:highlight w:val="none"/>
        </w:rPr>
        <w:t>第二卷</w:t>
      </w:r>
      <w:bookmarkEnd w:id="157"/>
      <w:bookmarkEnd w:id="158"/>
    </w:p>
    <w:p>
      <w:pPr>
        <w:pStyle w:val="5"/>
        <w:numPr>
          <w:ilvl w:val="0"/>
          <w:numId w:val="1"/>
        </w:numPr>
        <w:rPr>
          <w:color w:val="auto"/>
          <w:sz w:val="40"/>
          <w:szCs w:val="18"/>
          <w:highlight w:val="none"/>
        </w:rPr>
      </w:pPr>
      <w:r>
        <w:rPr>
          <w:rFonts w:hint="eastAsia"/>
          <w:color w:val="auto"/>
          <w:sz w:val="40"/>
          <w:szCs w:val="18"/>
          <w:highlight w:val="none"/>
        </w:rPr>
        <w:t xml:space="preserve"> </w:t>
      </w:r>
      <w:bookmarkStart w:id="159" w:name="_Toc6203"/>
      <w:bookmarkStart w:id="160" w:name="_Toc8825"/>
      <w:r>
        <w:rPr>
          <w:rFonts w:hint="eastAsia"/>
          <w:color w:val="auto"/>
          <w:sz w:val="40"/>
          <w:szCs w:val="18"/>
          <w:highlight w:val="none"/>
        </w:rPr>
        <w:t>委托人要求</w:t>
      </w:r>
      <w:bookmarkEnd w:id="159"/>
      <w:bookmarkEnd w:id="160"/>
    </w:p>
    <w:p>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1. 项目概况：</w:t>
      </w:r>
    </w:p>
    <w:p>
      <w:pPr>
        <w:spacing w:line="276" w:lineRule="auto"/>
        <w:ind w:firstLine="424" w:firstLineChars="177"/>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1.1项目名称：</w:t>
      </w:r>
      <w:r>
        <w:rPr>
          <w:rFonts w:hint="eastAsia" w:ascii="宋体" w:hAnsi="宋体" w:cs="宋体"/>
          <w:color w:val="auto"/>
          <w:sz w:val="24"/>
          <w:szCs w:val="24"/>
          <w:highlight w:val="none"/>
          <w:u w:val="single"/>
          <w:lang w:eastAsia="zh-CN"/>
        </w:rPr>
        <w:t>黄埔区开放大道北二期建设工程第三方检测服务</w:t>
      </w:r>
    </w:p>
    <w:p>
      <w:pPr>
        <w:tabs>
          <w:tab w:val="left" w:pos="7513"/>
        </w:tabs>
        <w:spacing w:line="360" w:lineRule="auto"/>
        <w:ind w:firstLine="424" w:firstLineChars="177"/>
        <w:rPr>
          <w:rFonts w:ascii="宋体" w:hAnsi="宋体" w:cs="宋体"/>
          <w:color w:val="auto"/>
          <w:sz w:val="24"/>
          <w:szCs w:val="24"/>
          <w:highlight w:val="none"/>
          <w:u w:val="single"/>
        </w:rPr>
      </w:pPr>
      <w:r>
        <w:rPr>
          <w:rFonts w:hint="eastAsia" w:ascii="宋体" w:hAnsi="宋体"/>
          <w:color w:val="auto"/>
          <w:sz w:val="24"/>
          <w:szCs w:val="24"/>
          <w:highlight w:val="none"/>
        </w:rPr>
        <w:t>1.2建设规模：</w:t>
      </w:r>
      <w:r>
        <w:rPr>
          <w:rFonts w:hint="eastAsia" w:cs="宋体" w:asciiTheme="minorEastAsia" w:hAnsiTheme="minorEastAsia" w:eastAsiaTheme="minorEastAsia"/>
          <w:color w:val="auto"/>
          <w:sz w:val="24"/>
          <w:highlight w:val="none"/>
          <w:u w:val="single"/>
        </w:rPr>
        <w:t>本项目南起于广惠高速桥底，北至兴龙大道，自南往北串联起永和大道—永安立交—永龙隧道—永龙大道等多条现状道路。道路总长度约10.51km，红线宽度60m，主线双向八车道，设计速度60km/h，路段中央绿化带预留有轨电车建设条件。另外为配合有轨电车5号线实施及周边地块建设开发，华峰路（长度约660米）及永华路段（长度约1.2千米）道路的改造将同步纳入本工程实施。具体由8部分组成，分别为：（1）新建田园路立交：永和大道南北向设置隧道下穿田园路；（2）永顺大道节点改造：在节点西侧新建三车道跨线桥；（3）新建九岭路立交：永和大道南北向设置隧道下穿九岭路；（4）永和大道（禾丰路至永安立交段）改造，由双向6车道拓宽为双向8车道；（5）永龙大道段改造；（6）新建兴龙大道立交：永龙大道南北向设置双向六车道跨线桥上跨兴龙大道；（7）华峰路改造，长度约660m，双向2车道拓宽为双向4车道；（8）永华路改造，长度约1.2km。建设内容包括道路工程、桥梁工程、隧道工程、给水工程、排水工程、交通工程、照明工程、电力管沟工程等。</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1.3建设地点：</w:t>
      </w:r>
      <w:r>
        <w:rPr>
          <w:rFonts w:hint="eastAsia" w:ascii="宋体" w:hAnsi="宋体" w:cs="宋体"/>
          <w:color w:val="auto"/>
          <w:sz w:val="24"/>
          <w:highlight w:val="none"/>
          <w:u w:val="single"/>
        </w:rPr>
        <w:t>广州市黄埔区。</w:t>
      </w:r>
    </w:p>
    <w:p>
      <w:pPr>
        <w:tabs>
          <w:tab w:val="left" w:pos="7513"/>
        </w:tabs>
        <w:spacing w:line="360" w:lineRule="auto"/>
        <w:ind w:firstLine="424" w:firstLineChars="177"/>
        <w:rPr>
          <w:rFonts w:ascii="宋体" w:hAnsi="宋体" w:cs="宋体"/>
          <w:color w:val="auto"/>
          <w:sz w:val="24"/>
          <w:highlight w:val="none"/>
          <w:u w:val="single"/>
        </w:rPr>
      </w:pPr>
      <w:r>
        <w:rPr>
          <w:rFonts w:hint="eastAsia" w:ascii="宋体" w:hAnsi="宋体"/>
          <w:color w:val="auto"/>
          <w:sz w:val="24"/>
          <w:szCs w:val="24"/>
          <w:highlight w:val="none"/>
        </w:rPr>
        <w:t>1.4工程投资：</w:t>
      </w:r>
      <w:r>
        <w:rPr>
          <w:rFonts w:hint="eastAsia" w:asciiTheme="minorEastAsia" w:hAnsiTheme="minorEastAsia" w:eastAsiaTheme="minorEastAsia"/>
          <w:color w:val="auto"/>
          <w:sz w:val="24"/>
          <w:highlight w:val="none"/>
          <w:u w:val="single"/>
        </w:rPr>
        <w:t>项目总投资为183996.00万元，其中工程费162915万元。</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1.5本次招标服务期：</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从中标单位进场至所有服务项目完成，服务周期必须满足实际施工要求。进场日期以发包人通知时间为准。</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1.6工程质量标准：合格。</w:t>
      </w:r>
    </w:p>
    <w:p>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2.检测范围及内容：</w:t>
      </w:r>
    </w:p>
    <w:p>
      <w:pPr>
        <w:spacing w:line="360" w:lineRule="auto"/>
        <w:ind w:firstLine="424" w:firstLineChars="177"/>
        <w:rPr>
          <w:rFonts w:hint="eastAsia"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u w:val="single"/>
        </w:rPr>
        <w:t>依据施工图及相关规范要求，开展工程第三方检测工作，具体以施工图纸、检测规范及主管部门要求为准。施工及验收阶段相关的第三方检测包括但不限于：道路工程、桥梁工程、路基路面工程、隧道工程、CCTV检测、地基与基础、主体结构、材料等按规范和验收要求必须检测的项目。具体根据图纸、工程量清单及项目现场实际情况确定。</w:t>
      </w:r>
    </w:p>
    <w:p>
      <w:pPr>
        <w:spacing w:line="360" w:lineRule="auto"/>
        <w:ind w:firstLine="424" w:firstLineChars="177"/>
        <w:rPr>
          <w:rFonts w:ascii="宋体" w:hAnsi="宋体"/>
          <w:color w:val="auto"/>
          <w:sz w:val="24"/>
          <w:szCs w:val="24"/>
          <w:highlight w:val="none"/>
          <w:u w:val="single"/>
        </w:rPr>
      </w:pPr>
      <w:r>
        <w:rPr>
          <w:rFonts w:hint="eastAsia" w:ascii="宋体" w:hAnsi="宋体"/>
          <w:color w:val="auto"/>
          <w:sz w:val="24"/>
          <w:szCs w:val="24"/>
          <w:highlight w:val="none"/>
          <w:u w:val="single"/>
        </w:rPr>
        <w:t>服务范围除以上工作外，还包括但不限于以下内容：</w:t>
      </w:r>
    </w:p>
    <w:p>
      <w:pPr>
        <w:spacing w:line="360" w:lineRule="auto"/>
        <w:ind w:firstLine="424" w:firstLineChars="177"/>
        <w:rPr>
          <w:rFonts w:ascii="宋体" w:hAnsi="宋体"/>
          <w:color w:val="auto"/>
          <w:sz w:val="24"/>
          <w:szCs w:val="24"/>
          <w:highlight w:val="none"/>
          <w:u w:val="single"/>
        </w:rPr>
      </w:pPr>
      <w:r>
        <w:rPr>
          <w:rFonts w:hint="eastAsia" w:ascii="宋体" w:hAnsi="宋体"/>
          <w:color w:val="auto"/>
          <w:sz w:val="24"/>
          <w:szCs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pPr>
        <w:spacing w:line="360" w:lineRule="auto"/>
        <w:ind w:firstLine="424" w:firstLineChars="177"/>
        <w:rPr>
          <w:rFonts w:ascii="宋体" w:hAnsi="宋体"/>
          <w:color w:val="auto"/>
          <w:sz w:val="24"/>
          <w:szCs w:val="24"/>
          <w:highlight w:val="none"/>
          <w:u w:val="single"/>
        </w:rPr>
      </w:pPr>
      <w:r>
        <w:rPr>
          <w:rFonts w:hint="eastAsia" w:ascii="宋体" w:hAnsi="宋体"/>
          <w:color w:val="auto"/>
          <w:sz w:val="24"/>
          <w:szCs w:val="24"/>
          <w:highlight w:val="none"/>
          <w:u w:val="single"/>
        </w:rPr>
        <w:t>②在进行检测任务的过程中与该工程相关的施工单位、监理单位、设计单位、咨询单位、建设主管部门等相关单位的协调工作。</w:t>
      </w:r>
    </w:p>
    <w:p>
      <w:pPr>
        <w:pStyle w:val="2"/>
        <w:spacing w:after="0" w:line="360" w:lineRule="auto"/>
        <w:ind w:left="0" w:leftChars="0" w:firstLine="424" w:firstLineChars="177"/>
        <w:rPr>
          <w:rFonts w:ascii="宋体" w:hAnsi="宋体" w:cs="宋体"/>
          <w:color w:val="auto"/>
          <w:sz w:val="24"/>
          <w:highlight w:val="none"/>
          <w:u w:val="single"/>
        </w:rPr>
      </w:pPr>
      <w:r>
        <w:rPr>
          <w:rFonts w:hint="eastAsia" w:ascii="宋体" w:hAnsi="宋体" w:cs="宋体"/>
          <w:color w:val="auto"/>
          <w:sz w:val="24"/>
          <w:highlight w:val="none"/>
          <w:u w:val="single"/>
        </w:rPr>
        <w:t>③所有的检测项目包含设计变更或施工组织变化引起的检测频率改变等因素。</w:t>
      </w:r>
    </w:p>
    <w:p>
      <w:pPr>
        <w:pStyle w:val="2"/>
        <w:spacing w:after="0" w:line="360" w:lineRule="auto"/>
        <w:ind w:left="0" w:leftChars="0" w:firstLine="424" w:firstLineChars="177"/>
        <w:rPr>
          <w:rFonts w:ascii="宋体" w:hAnsi="宋体"/>
          <w:color w:val="auto"/>
          <w:highlight w:val="none"/>
          <w:u w:val="single"/>
        </w:rPr>
      </w:pPr>
      <w:r>
        <w:rPr>
          <w:rFonts w:hint="eastAsia" w:ascii="宋体" w:hAnsi="宋体" w:cs="宋体"/>
          <w:color w:val="auto"/>
          <w:sz w:val="24"/>
          <w:highlight w:val="none"/>
          <w:u w:val="single"/>
        </w:rPr>
        <w:t>④检测数据的有关信息通过连接系统进行传输报送。</w:t>
      </w:r>
    </w:p>
    <w:p>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3.检测标准：</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市政类：</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1）《公路工程质量检验评定标准》（JTGF80/1-2017）</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2）《公路路基路面现场测试规程》（JTG3450-2019</w:t>
      </w:r>
      <w:r>
        <w:rPr>
          <w:rFonts w:ascii="宋体" w:hAnsi="宋体"/>
          <w:color w:val="auto"/>
          <w:sz w:val="24"/>
          <w:szCs w:val="24"/>
          <w:highlight w:val="none"/>
        </w:rPr>
        <w:t>）</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3）《土工试验方法》（GB/T50123-2019）</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4）《公路工程无机结合料稳定材料试验规程》（JTGE51-2009）</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5）《城镇道路工程施工与质量验收规范》（CJJ1-2008）</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 xml:space="preserve">6）国家和广东省、广州市、黄埔区、开发区其他有关检测的法律、法规、规章、规范及标准。 </w:t>
      </w:r>
    </w:p>
    <w:p>
      <w:pPr>
        <w:spacing w:line="360" w:lineRule="auto"/>
        <w:ind w:firstLine="426" w:firstLineChars="177"/>
        <w:rPr>
          <w:rFonts w:ascii="宋体" w:hAnsi="宋体"/>
          <w:color w:val="auto"/>
          <w:sz w:val="24"/>
          <w:szCs w:val="24"/>
          <w:highlight w:val="none"/>
        </w:rPr>
      </w:pPr>
      <w:r>
        <w:rPr>
          <w:rFonts w:hint="eastAsia" w:ascii="宋体" w:hAnsi="宋体"/>
          <w:b/>
          <w:color w:val="auto"/>
          <w:sz w:val="24"/>
          <w:szCs w:val="24"/>
          <w:highlight w:val="none"/>
        </w:rPr>
        <w:t>4.服务要求：</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（1）符合法律、行政法规及部门规章；</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（2）符合本工程有关的规范、标准、规程。</w:t>
      </w:r>
    </w:p>
    <w:p>
      <w:pPr>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3）按照《中华人民共和国建筑法》、《建设工程质量检测管理办法》中华人民共和国行业标准及其它相关等规范进行检测和判定，出具完整检测报告。检测报告应经检测人员签字、检测机构法定代表人或者其授权的签字人签署，并加盖检测机构公章或者检测专用章。</w:t>
      </w:r>
    </w:p>
    <w:p>
      <w:pPr>
        <w:spacing w:line="360" w:lineRule="auto"/>
        <w:ind w:firstLine="426" w:firstLineChars="177"/>
        <w:rPr>
          <w:rFonts w:ascii="宋体" w:hAnsi="宋体"/>
          <w:b/>
          <w:color w:val="auto"/>
          <w:sz w:val="24"/>
          <w:szCs w:val="24"/>
          <w:highlight w:val="none"/>
        </w:rPr>
      </w:pPr>
      <w:bookmarkStart w:id="161" w:name="_Toc9843"/>
      <w:bookmarkStart w:id="162" w:name="_Toc511557119"/>
      <w:bookmarkStart w:id="163" w:name="_Toc24882"/>
      <w:r>
        <w:rPr>
          <w:rFonts w:hint="eastAsia" w:ascii="宋体" w:hAnsi="宋体"/>
          <w:b/>
          <w:color w:val="auto"/>
          <w:sz w:val="24"/>
          <w:szCs w:val="24"/>
          <w:highlight w:val="none"/>
        </w:rPr>
        <w:t>5.委托人的其他要求</w:t>
      </w:r>
      <w:bookmarkEnd w:id="161"/>
      <w:bookmarkEnd w:id="162"/>
      <w:bookmarkEnd w:id="163"/>
      <w:r>
        <w:rPr>
          <w:rFonts w:hint="eastAsia" w:ascii="宋体" w:hAnsi="宋体"/>
          <w:b/>
          <w:color w:val="auto"/>
          <w:sz w:val="24"/>
          <w:szCs w:val="24"/>
          <w:highlight w:val="none"/>
        </w:rPr>
        <w:t>：</w:t>
      </w:r>
    </w:p>
    <w:p>
      <w:pPr>
        <w:pStyle w:val="2"/>
        <w:spacing w:line="360" w:lineRule="auto"/>
        <w:ind w:firstLine="480"/>
        <w:rPr>
          <w:rFonts w:ascii="宋体" w:hAnsi="宋体"/>
          <w:color w:val="auto"/>
          <w:sz w:val="24"/>
          <w:highlight w:val="none"/>
        </w:rPr>
      </w:pPr>
      <w:r>
        <w:rPr>
          <w:rFonts w:hint="eastAsia" w:ascii="宋体" w:hAnsi="宋体"/>
          <w:color w:val="auto"/>
          <w:sz w:val="24"/>
          <w:highlight w:val="none"/>
        </w:rPr>
        <w:t>1.本项目实施期间，如果因本项目施工质量抽查监督及验收需要，按规范和经批准的检测方案，经招标人确认需增加检测项目，且投标人也具备相应资质，则投标人不得以任何原因拒绝为招标人提供检测，并按要求出具符合验收要求的检测报告。投标人检测资质不能涵盖的项目报招标人批准后，由投标人委托具有相应资质的第三方实施，投标人应对该第三方出具的结果负责，并取得相应管理部门的确认。</w:t>
      </w:r>
    </w:p>
    <w:p>
      <w:pPr>
        <w:pStyle w:val="2"/>
        <w:spacing w:line="360" w:lineRule="auto"/>
        <w:ind w:firstLine="480"/>
        <w:rPr>
          <w:rFonts w:ascii="宋体" w:hAnsi="宋体"/>
          <w:color w:val="auto"/>
          <w:sz w:val="24"/>
          <w:highlight w:val="none"/>
        </w:rPr>
      </w:pPr>
      <w:r>
        <w:rPr>
          <w:rFonts w:hint="eastAsia" w:ascii="宋体" w:hAnsi="宋体"/>
          <w:color w:val="auto"/>
          <w:sz w:val="24"/>
          <w:highlight w:val="none"/>
        </w:rPr>
        <w:t>2.检测方案及工作量：在施工过程中，检测服务单位依据施工图及相关检测验收规范，编制检测方案和工程量清单，以满足施工质量抽查监督、各单项竣工验收、竣工验收备案及区质检站等政府职能部门要求为前提，合理编制，不可擅自虚增检测项目和工作量，否则不予结算。检测方案需报施工单位、监理单位、设计单位、勘察单位、代建单位（如有）和建设业主审核确认后方可实施，检测项目及工作量按实结算。</w:t>
      </w:r>
    </w:p>
    <w:p>
      <w:pPr>
        <w:pStyle w:val="2"/>
        <w:spacing w:line="360" w:lineRule="auto"/>
        <w:ind w:firstLine="480"/>
        <w:rPr>
          <w:rFonts w:ascii="宋体" w:hAnsi="宋体"/>
          <w:color w:val="auto"/>
          <w:sz w:val="24"/>
          <w:highlight w:val="none"/>
        </w:rPr>
      </w:pPr>
      <w:r>
        <w:rPr>
          <w:rFonts w:hint="eastAsia" w:ascii="宋体" w:hAnsi="宋体"/>
          <w:color w:val="auto"/>
          <w:sz w:val="24"/>
          <w:highlight w:val="none"/>
        </w:rPr>
        <w:t>3.其他详见本招标文件的第一章投标人须知和本工程委托检测合同的相关约定。</w:t>
      </w:r>
    </w:p>
    <w:p>
      <w:pPr>
        <w:pStyle w:val="5"/>
        <w:rPr>
          <w:color w:val="auto"/>
          <w:highlight w:val="none"/>
        </w:rPr>
      </w:pPr>
      <w:r>
        <w:rPr>
          <w:color w:val="auto"/>
          <w:highlight w:val="none"/>
        </w:rPr>
        <w:br w:type="page"/>
      </w:r>
      <w:bookmarkStart w:id="164" w:name="_Toc6825"/>
      <w:bookmarkStart w:id="165" w:name="_Toc4636"/>
      <w:r>
        <w:rPr>
          <w:rFonts w:hint="eastAsia"/>
          <w:color w:val="auto"/>
          <w:highlight w:val="none"/>
        </w:rPr>
        <w:t>第三卷</w:t>
      </w:r>
      <w:bookmarkEnd w:id="156"/>
      <w:bookmarkEnd w:id="164"/>
      <w:bookmarkEnd w:id="165"/>
    </w:p>
    <w:p>
      <w:pPr>
        <w:pStyle w:val="5"/>
        <w:rPr>
          <w:color w:val="auto"/>
          <w:highlight w:val="none"/>
        </w:rPr>
      </w:pPr>
      <w:bookmarkStart w:id="166" w:name="_Toc533357327"/>
      <w:bookmarkStart w:id="167" w:name="_Toc2572"/>
      <w:bookmarkStart w:id="168" w:name="_Toc18473"/>
      <w:r>
        <w:rPr>
          <w:rFonts w:hint="eastAsia"/>
          <w:color w:val="auto"/>
          <w:highlight w:val="none"/>
        </w:rPr>
        <w:t>第六章  投标文件格式</w:t>
      </w:r>
      <w:bookmarkEnd w:id="166"/>
      <w:bookmarkEnd w:id="167"/>
      <w:bookmarkEnd w:id="168"/>
    </w:p>
    <w:p>
      <w:pPr>
        <w:rPr>
          <w:rFonts w:ascii="宋体" w:hAnsi="宋体"/>
          <w:color w:val="auto"/>
          <w:highlight w:val="none"/>
        </w:rPr>
      </w:pPr>
    </w:p>
    <w:p>
      <w:pPr>
        <w:pStyle w:val="2"/>
        <w:rPr>
          <w:rFonts w:ascii="宋体" w:hAnsi="宋体"/>
          <w:color w:val="auto"/>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28"/>
        <w:tabs>
          <w:tab w:val="left" w:pos="960"/>
        </w:tabs>
        <w:spacing w:line="440" w:lineRule="exact"/>
        <w:ind w:left="960"/>
        <w:rPr>
          <w:rFonts w:ascii="宋体" w:hAnsi="宋体"/>
          <w:color w:val="auto"/>
          <w:sz w:val="24"/>
          <w:highlight w:val="none"/>
        </w:rPr>
      </w:pPr>
      <w:bookmarkStart w:id="169" w:name="_Toc390704763"/>
      <w:bookmarkStart w:id="170" w:name="_Toc266373528"/>
      <w:r>
        <w:rPr>
          <w:rFonts w:hint="eastAsia" w:ascii="宋体" w:hAnsi="宋体"/>
          <w:color w:val="auto"/>
          <w:sz w:val="24"/>
          <w:highlight w:val="none"/>
        </w:rPr>
        <w:t>一、投标函及其附表</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二、法定代表人证明书及授权委托书</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三、投标保证金</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四、投标报价书</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五、资格审查资料</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六、类似项目情况表</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七、拟投入本项目的检测人员一览表</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八、拟投入本项目的检测人员简历表</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九、拟投入本项目的主要仪器设备一览表</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十、检测方案</w:t>
      </w:r>
    </w:p>
    <w:p>
      <w:pPr>
        <w:pStyle w:val="28"/>
        <w:tabs>
          <w:tab w:val="left" w:pos="960"/>
        </w:tabs>
        <w:spacing w:line="440" w:lineRule="exact"/>
        <w:ind w:left="960"/>
        <w:rPr>
          <w:rFonts w:ascii="宋体" w:hAnsi="宋体"/>
          <w:color w:val="auto"/>
          <w:sz w:val="24"/>
          <w:highlight w:val="none"/>
        </w:rPr>
      </w:pPr>
      <w:r>
        <w:rPr>
          <w:rFonts w:hint="eastAsia" w:ascii="宋体" w:hAnsi="宋体"/>
          <w:color w:val="auto"/>
          <w:sz w:val="24"/>
          <w:highlight w:val="none"/>
        </w:rPr>
        <w:t>十一、其他资料</w:t>
      </w:r>
    </w:p>
    <w:p>
      <w:pPr>
        <w:pStyle w:val="28"/>
        <w:tabs>
          <w:tab w:val="left" w:pos="960"/>
        </w:tabs>
        <w:spacing w:line="440" w:lineRule="exact"/>
        <w:ind w:left="960"/>
        <w:rPr>
          <w:rFonts w:ascii="宋体" w:hAnsi="宋体"/>
          <w:color w:val="auto"/>
          <w:sz w:val="24"/>
          <w:highlight w:val="none"/>
        </w:rPr>
      </w:pPr>
    </w:p>
    <w:p>
      <w:pPr>
        <w:pStyle w:val="28"/>
        <w:tabs>
          <w:tab w:val="left" w:pos="960"/>
        </w:tabs>
        <w:spacing w:line="440" w:lineRule="exact"/>
        <w:ind w:left="960"/>
        <w:rPr>
          <w:rFonts w:ascii="宋体" w:hAnsi="宋体"/>
          <w:color w:val="auto"/>
          <w:sz w:val="24"/>
          <w:highlight w:val="none"/>
        </w:rPr>
      </w:pPr>
    </w:p>
    <w:p>
      <w:pPr>
        <w:pStyle w:val="28"/>
        <w:tabs>
          <w:tab w:val="left" w:pos="960"/>
        </w:tabs>
        <w:spacing w:line="440" w:lineRule="exact"/>
        <w:ind w:left="960"/>
        <w:rPr>
          <w:rFonts w:ascii="宋体" w:hAnsi="宋体"/>
          <w:color w:val="auto"/>
          <w:sz w:val="24"/>
          <w:highlight w:val="none"/>
        </w:rPr>
      </w:pPr>
    </w:p>
    <w:p>
      <w:pPr>
        <w:pStyle w:val="28"/>
        <w:tabs>
          <w:tab w:val="left" w:pos="960"/>
        </w:tabs>
        <w:spacing w:line="440" w:lineRule="exact"/>
        <w:ind w:left="960"/>
        <w:rPr>
          <w:rFonts w:ascii="宋体" w:hAnsi="宋体"/>
          <w:color w:val="auto"/>
          <w:kern w:val="0"/>
          <w:sz w:val="18"/>
          <w:highlight w:val="none"/>
        </w:rPr>
      </w:pPr>
      <w:r>
        <w:rPr>
          <w:rFonts w:hint="eastAsia" w:ascii="宋体" w:hAnsi="宋体"/>
          <w:color w:val="auto"/>
          <w:sz w:val="24"/>
          <w:highlight w:val="none"/>
        </w:rPr>
        <w:t>注：目录仅供投标人投标时参考使用。</w:t>
      </w:r>
      <w:r>
        <w:rPr>
          <w:rFonts w:ascii="宋体" w:hAnsi="宋体"/>
          <w:color w:val="auto"/>
          <w:sz w:val="24"/>
          <w:highlight w:val="none"/>
        </w:rPr>
        <w:br w:type="page"/>
      </w:r>
      <w:bookmarkEnd w:id="169"/>
    </w:p>
    <w:p>
      <w:pPr>
        <w:pStyle w:val="7"/>
        <w:ind w:firstLine="3534"/>
        <w:rPr>
          <w:color w:val="auto"/>
          <w:highlight w:val="none"/>
        </w:rPr>
      </w:pPr>
      <w:bookmarkStart w:id="171" w:name="_Toc4369"/>
      <w:bookmarkStart w:id="172" w:name="_Toc28109"/>
      <w:bookmarkStart w:id="173" w:name="_Toc533334219"/>
      <w:bookmarkStart w:id="174" w:name="_Toc533357328"/>
      <w:bookmarkStart w:id="175" w:name="_Toc390704764"/>
      <w:bookmarkStart w:id="176" w:name="_Toc11434"/>
      <w:r>
        <w:rPr>
          <w:rFonts w:hint="eastAsia"/>
          <w:color w:val="auto"/>
          <w:highlight w:val="none"/>
        </w:rPr>
        <w:t>一、</w:t>
      </w:r>
      <w:bookmarkStart w:id="177" w:name="_Toc369531692"/>
      <w:bookmarkStart w:id="178" w:name="_Toc6931"/>
      <w:bookmarkStart w:id="179" w:name="_Toc352691656"/>
      <w:r>
        <w:rPr>
          <w:rFonts w:hint="eastAsia"/>
          <w:color w:val="auto"/>
          <w:highlight w:val="none"/>
        </w:rPr>
        <w:t>投标函及其附表</w:t>
      </w:r>
      <w:bookmarkEnd w:id="171"/>
      <w:bookmarkEnd w:id="172"/>
      <w:bookmarkEnd w:id="173"/>
    </w:p>
    <w:bookmarkEnd w:id="177"/>
    <w:bookmarkEnd w:id="178"/>
    <w:bookmarkEnd w:id="179"/>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ascii="宋体" w:hAnsi="宋体"/>
          <w:b/>
          <w:bCs/>
          <w:color w:val="auto"/>
          <w:sz w:val="24"/>
          <w:szCs w:val="24"/>
          <w:highlight w:val="none"/>
          <w:u w:val="single"/>
        </w:rPr>
        <w:t xml:space="preserve"> </w:t>
      </w:r>
      <w:r>
        <w:rPr>
          <w:rFonts w:hint="eastAsia" w:ascii="宋体" w:hAnsi="宋体"/>
          <w:color w:val="auto"/>
          <w:sz w:val="24"/>
          <w:szCs w:val="24"/>
          <w:highlight w:val="none"/>
          <w:u w:val="single"/>
        </w:rPr>
        <w:t>（招标人）</w:t>
      </w:r>
      <w:r>
        <w:rPr>
          <w:rFonts w:ascii="宋体" w:hAnsi="宋体"/>
          <w:color w:val="auto"/>
          <w:sz w:val="24"/>
          <w:szCs w:val="24"/>
          <w:highlight w:val="none"/>
          <w:u w:val="single"/>
        </w:rPr>
        <w:t xml:space="preserve">          </w:t>
      </w:r>
    </w:p>
    <w:p>
      <w:pPr>
        <w:pStyle w:val="16"/>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 </w:t>
      </w:r>
      <w:r>
        <w:rPr>
          <w:rFonts w:hint="eastAsia" w:ascii="宋体" w:hAnsi="宋体"/>
          <w:color w:val="auto"/>
          <w:sz w:val="24"/>
          <w:szCs w:val="24"/>
          <w:highlight w:val="none"/>
        </w:rPr>
        <w:t>在仔细分析研究了贵单位提供的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招标文件后，我方愿意以总价为人民币（大写）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rPr>
        <w:t>（小写</w:t>
      </w:r>
      <w:r>
        <w:rPr>
          <w:rFonts w:hint="eastAsia" w:ascii="宋体" w:hAnsi="宋体"/>
          <w:color w:val="auto"/>
          <w:sz w:val="24"/>
          <w:szCs w:val="24"/>
          <w:highlight w:val="none"/>
          <w:u w:val="single"/>
        </w:rPr>
        <w:t>　　　　　</w:t>
      </w:r>
      <w:r>
        <w:rPr>
          <w:rFonts w:hint="eastAsia" w:ascii="宋体" w:hAnsi="宋体"/>
          <w:color w:val="auto"/>
          <w:sz w:val="24"/>
          <w:szCs w:val="24"/>
          <w:highlight w:val="none"/>
        </w:rPr>
        <w:t>）作为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服务费的总价，并遵照招标文件的有关规定要求，承担全部服务任务工作。</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我方确认的</w:t>
      </w:r>
      <w:r>
        <w:rPr>
          <w:rFonts w:hint="eastAsia" w:ascii="宋体" w:hAnsi="宋体"/>
          <w:b/>
          <w:bCs/>
          <w:color w:val="auto"/>
          <w:sz w:val="24"/>
          <w:szCs w:val="24"/>
          <w:highlight w:val="none"/>
        </w:rPr>
        <w:t>投标函</w:t>
      </w:r>
      <w:r>
        <w:rPr>
          <w:rFonts w:hint="eastAsia" w:ascii="宋体" w:hAnsi="宋体"/>
          <w:color w:val="auto"/>
          <w:sz w:val="24"/>
          <w:szCs w:val="24"/>
          <w:highlight w:val="none"/>
        </w:rPr>
        <w:t>是我单位投标文件的组成部分。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如果贵单位接受我方的投标，我方保证按合同规定的期限内开始本工程的检测工作并按投标书中规定的期限内完成合同规定的全部任务。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我方同意在从规定的</w:t>
      </w:r>
      <w:r>
        <w:rPr>
          <w:rFonts w:hint="eastAsia" w:ascii="宋体" w:hAnsi="宋体"/>
          <w:b/>
          <w:bCs/>
          <w:color w:val="auto"/>
          <w:sz w:val="24"/>
          <w:szCs w:val="24"/>
          <w:highlight w:val="none"/>
        </w:rPr>
        <w:t>递交投标文件截止之日起</w:t>
      </w:r>
      <w:r>
        <w:rPr>
          <w:rFonts w:ascii="宋体" w:hAnsi="宋体"/>
          <w:b/>
          <w:bCs/>
          <w:color w:val="auto"/>
          <w:sz w:val="24"/>
          <w:szCs w:val="24"/>
          <w:highlight w:val="none"/>
        </w:rPr>
        <w:t>90</w:t>
      </w:r>
      <w:r>
        <w:rPr>
          <w:rFonts w:hint="eastAsia" w:ascii="宋体" w:hAnsi="宋体"/>
          <w:b/>
          <w:bCs/>
          <w:color w:val="auto"/>
          <w:sz w:val="24"/>
          <w:szCs w:val="24"/>
          <w:highlight w:val="none"/>
        </w:rPr>
        <w:t>天</w:t>
      </w:r>
      <w:r>
        <w:rPr>
          <w:rFonts w:hint="eastAsia" w:ascii="宋体" w:hAnsi="宋体"/>
          <w:color w:val="auto"/>
          <w:sz w:val="24"/>
          <w:szCs w:val="24"/>
          <w:highlight w:val="none"/>
        </w:rPr>
        <w:t>内遵守本投标文件。在此期限届满之前，本投标文件始终将对我们具有约束力并随时接受中标。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在合同协议制定和签署之前，本投标书连同贵单位的中标通知书、双方签认的补充、修正或澄清文件及其他文件和附件应成为约束贵、我双方的合同文件。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我们理解，贵单位不一定接受最低标价的投标文件或可能接受其他任何投标文件，同时也理解，贵单位不负担我们的任何投标费用。</w:t>
      </w:r>
    </w:p>
    <w:p>
      <w:pPr>
        <w:rPr>
          <w:rFonts w:ascii="宋体" w:hAnsi="宋体"/>
          <w:color w:val="auto"/>
          <w:highlight w:val="none"/>
        </w:rPr>
      </w:pPr>
    </w:p>
    <w:p>
      <w:pPr>
        <w:spacing w:line="440" w:lineRule="exact"/>
        <w:ind w:firstLine="2520" w:firstLineChars="1200"/>
        <w:jc w:val="left"/>
        <w:rPr>
          <w:rFonts w:ascii="宋体" w:hAnsi="宋体"/>
          <w:color w:val="auto"/>
          <w:szCs w:val="21"/>
          <w:highlight w:val="none"/>
        </w:rPr>
      </w:pPr>
    </w:p>
    <w:p>
      <w:pPr>
        <w:pStyle w:val="16"/>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pPr>
        <w:spacing w:before="13"/>
        <w:rPr>
          <w:rFonts w:ascii="宋体" w:hAnsi="宋体" w:cs="宋体"/>
          <w:color w:val="auto"/>
          <w:sz w:val="24"/>
          <w:szCs w:val="24"/>
          <w:highlight w:val="none"/>
        </w:rPr>
      </w:pPr>
    </w:p>
    <w:p>
      <w:pPr>
        <w:pStyle w:val="16"/>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pPr>
        <w:spacing w:before="10"/>
        <w:rPr>
          <w:rFonts w:ascii="宋体" w:hAnsi="宋体" w:cs="宋体"/>
          <w:color w:val="auto"/>
          <w:sz w:val="24"/>
          <w:szCs w:val="24"/>
          <w:highlight w:val="none"/>
        </w:rPr>
      </w:pPr>
    </w:p>
    <w:p>
      <w:pPr>
        <w:spacing w:line="440" w:lineRule="exact"/>
        <w:ind w:firstLine="5400" w:firstLineChars="2250"/>
        <w:jc w:val="center"/>
        <w:rPr>
          <w:rFonts w:ascii="宋体" w:hAnsi="宋体"/>
          <w:color w:val="auto"/>
          <w:sz w:val="24"/>
          <w:szCs w:val="24"/>
          <w:highlight w:val="none"/>
        </w:rPr>
      </w:pP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pPr>
        <w:spacing w:line="360" w:lineRule="auto"/>
        <w:ind w:firstLine="422" w:firstLineChars="200"/>
        <w:jc w:val="center"/>
        <w:rPr>
          <w:rFonts w:ascii="宋体" w:hAnsi="宋体"/>
          <w:b/>
          <w:bCs/>
          <w:color w:val="auto"/>
          <w:sz w:val="24"/>
          <w:szCs w:val="24"/>
          <w:highlight w:val="none"/>
        </w:rPr>
      </w:pPr>
      <w:bookmarkStart w:id="180" w:name="_Toc533334220"/>
      <w:bookmarkStart w:id="181" w:name="_Toc359594236"/>
      <w:bookmarkStart w:id="182" w:name="_Toc13516"/>
      <w:bookmarkStart w:id="183" w:name="_Toc385943066"/>
      <w:bookmarkStart w:id="184" w:name="_Toc391394112"/>
      <w:bookmarkStart w:id="185" w:name="_Toc528170356"/>
      <w:bookmarkStart w:id="186" w:name="_Toc482188652"/>
      <w:bookmarkStart w:id="187" w:name="_Toc532390635"/>
      <w:bookmarkStart w:id="188" w:name="_Toc370676427"/>
      <w:r>
        <w:rPr>
          <w:rFonts w:ascii="宋体" w:hAnsi="宋体"/>
          <w:b/>
          <w:color w:val="auto"/>
          <w:szCs w:val="21"/>
          <w:highlight w:val="none"/>
        </w:rPr>
        <w:br w:type="page"/>
      </w:r>
      <w:r>
        <w:rPr>
          <w:rFonts w:hint="eastAsia" w:ascii="宋体" w:hAnsi="宋体"/>
          <w:b/>
          <w:bCs/>
          <w:color w:val="auto"/>
          <w:sz w:val="24"/>
          <w:szCs w:val="24"/>
          <w:highlight w:val="none"/>
        </w:rPr>
        <w:t>（二）投标函附</w:t>
      </w:r>
      <w:bookmarkEnd w:id="180"/>
      <w:bookmarkEnd w:id="181"/>
      <w:bookmarkEnd w:id="182"/>
      <w:bookmarkEnd w:id="183"/>
      <w:bookmarkEnd w:id="184"/>
      <w:bookmarkEnd w:id="185"/>
      <w:bookmarkEnd w:id="186"/>
      <w:bookmarkEnd w:id="187"/>
      <w:bookmarkEnd w:id="188"/>
      <w:r>
        <w:rPr>
          <w:rFonts w:hint="eastAsia" w:ascii="宋体" w:hAnsi="宋体"/>
          <w:b/>
          <w:bCs/>
          <w:color w:val="auto"/>
          <w:sz w:val="24"/>
          <w:szCs w:val="24"/>
          <w:highlight w:val="none"/>
        </w:rPr>
        <w:t>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9"/>
        <w:gridCol w:w="412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8"/>
                <w:highlight w:val="none"/>
              </w:rPr>
            </w:pPr>
            <w:r>
              <w:rPr>
                <w:rFonts w:hint="eastAsia" w:ascii="宋体" w:hAnsi="宋体"/>
                <w:b/>
                <w:color w:val="auto"/>
                <w:sz w:val="24"/>
                <w:szCs w:val="28"/>
                <w:highlight w:val="none"/>
              </w:rPr>
              <w:t>序号</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8"/>
                <w:highlight w:val="none"/>
              </w:rPr>
            </w:pPr>
            <w:r>
              <w:rPr>
                <w:rFonts w:hint="eastAsia" w:ascii="宋体" w:hAnsi="宋体"/>
                <w:b/>
                <w:color w:val="auto"/>
                <w:sz w:val="24"/>
                <w:szCs w:val="28"/>
                <w:highlight w:val="none"/>
              </w:rPr>
              <w:t>条款名称</w:t>
            </w:r>
          </w:p>
        </w:tc>
        <w:tc>
          <w:tcPr>
            <w:tcW w:w="4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8"/>
                <w:highlight w:val="none"/>
              </w:rPr>
            </w:pPr>
            <w:r>
              <w:rPr>
                <w:rFonts w:hint="eastAsia" w:ascii="宋体" w:hAnsi="宋体"/>
                <w:b/>
                <w:color w:val="auto"/>
                <w:sz w:val="24"/>
                <w:szCs w:val="28"/>
                <w:highlight w:val="none"/>
              </w:rPr>
              <w:t>约定内容</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szCs w:val="28"/>
                <w:highlight w:val="none"/>
              </w:rPr>
            </w:pPr>
            <w:r>
              <w:rPr>
                <w:rFonts w:hint="eastAsia" w:ascii="宋体" w:hAnsi="宋体"/>
                <w:b/>
                <w:color w:val="auto"/>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姓    名：</w:t>
            </w:r>
            <w:r>
              <w:rPr>
                <w:rFonts w:hint="eastAsia" w:ascii="宋体" w:hAnsi="宋体" w:cs="宋体"/>
                <w:bCs/>
                <w:color w:val="auto"/>
                <w:sz w:val="24"/>
                <w:szCs w:val="24"/>
                <w:highlight w:val="none"/>
                <w:u w:val="single"/>
              </w:rPr>
              <w:t xml:space="preserve">           </w:t>
            </w:r>
          </w:p>
          <w:p>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技术职称：</w:t>
            </w:r>
            <w:r>
              <w:rPr>
                <w:rFonts w:hint="eastAsia" w:ascii="宋体" w:hAnsi="宋体" w:cs="宋体"/>
                <w:bCs/>
                <w:color w:val="auto"/>
                <w:sz w:val="24"/>
                <w:szCs w:val="24"/>
                <w:highlight w:val="none"/>
                <w:u w:val="single"/>
              </w:rPr>
              <w:t xml:space="preserve">           </w:t>
            </w:r>
          </w:p>
          <w:p>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专    业：</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合同价款</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确定方式</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 xml:space="preserve">大写： </w:t>
            </w:r>
            <w:r>
              <w:rPr>
                <w:rFonts w:hint="eastAsia" w:ascii="宋体" w:hAnsi="宋体" w:cs="宋体"/>
                <w:bCs/>
                <w:color w:val="auto"/>
                <w:sz w:val="24"/>
                <w:szCs w:val="24"/>
                <w:highlight w:val="none"/>
                <w:u w:val="single"/>
              </w:rPr>
              <w:t xml:space="preserve">        </w:t>
            </w:r>
          </w:p>
          <w:p>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小写： </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以“元”为单位，精确到小数点后2位。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szCs w:val="24"/>
                <w:highlight w:val="none"/>
              </w:rPr>
            </w:pP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投标下浮率：</w:t>
            </w:r>
            <w:r>
              <w:rPr>
                <w:rFonts w:hint="eastAsia" w:ascii="宋体" w:hAnsi="宋体" w:cs="宋体"/>
                <w:bCs/>
                <w:color w:val="auto"/>
                <w:sz w:val="24"/>
                <w:szCs w:val="24"/>
                <w:highlight w:val="none"/>
                <w:u w:val="singl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highlight w:val="none"/>
              </w:rPr>
            </w:pPr>
            <w:r>
              <w:rPr>
                <w:rFonts w:hint="eastAsia" w:ascii="宋体" w:hAnsi="宋体"/>
                <w:b/>
                <w:color w:val="auto"/>
                <w:szCs w:val="21"/>
                <w:highlight w:val="none"/>
              </w:rPr>
              <w:t>（1-投标报价/暂定金额）*100%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1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color w:val="auto"/>
                <w:sz w:val="24"/>
                <w:szCs w:val="24"/>
                <w:highlight w:val="none"/>
              </w:rPr>
            </w:pPr>
            <w:r>
              <w:rPr>
                <w:rFonts w:hint="eastAsia" w:ascii="宋体" w:hAnsi="宋体" w:cs="宋体"/>
                <w:bCs/>
                <w:color w:val="auto"/>
                <w:sz w:val="24"/>
                <w:highlight w:val="none"/>
              </w:rPr>
              <w:t xml:space="preserve"> </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highlight w:val="none"/>
              </w:rPr>
            </w:pPr>
          </w:p>
        </w:tc>
      </w:tr>
    </w:tbl>
    <w:p>
      <w:pPr>
        <w:spacing w:line="440" w:lineRule="exact"/>
        <w:ind w:firstLine="2520" w:firstLineChars="1200"/>
        <w:jc w:val="left"/>
        <w:rPr>
          <w:rFonts w:ascii="宋体" w:hAnsi="宋体"/>
          <w:color w:val="auto"/>
          <w:szCs w:val="21"/>
          <w:highlight w:val="none"/>
        </w:rPr>
      </w:pPr>
    </w:p>
    <w:p>
      <w:pPr>
        <w:pStyle w:val="16"/>
        <w:tabs>
          <w:tab w:val="left" w:pos="7321"/>
        </w:tabs>
        <w:spacing w:before="36"/>
        <w:ind w:left="2701"/>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pPr>
        <w:spacing w:before="13"/>
        <w:rPr>
          <w:rFonts w:ascii="宋体" w:hAnsi="宋体" w:cs="宋体"/>
          <w:color w:val="auto"/>
          <w:sz w:val="24"/>
          <w:szCs w:val="24"/>
          <w:highlight w:val="none"/>
        </w:rPr>
      </w:pPr>
    </w:p>
    <w:p>
      <w:pPr>
        <w:pStyle w:val="16"/>
        <w:tabs>
          <w:tab w:val="left" w:pos="6481"/>
        </w:tabs>
        <w:spacing w:before="36"/>
        <w:ind w:left="2701"/>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pPr>
        <w:spacing w:before="10"/>
        <w:rPr>
          <w:rFonts w:ascii="宋体" w:hAnsi="宋体" w:cs="宋体"/>
          <w:color w:val="auto"/>
          <w:sz w:val="24"/>
          <w:szCs w:val="24"/>
          <w:highlight w:val="none"/>
        </w:rPr>
      </w:pPr>
    </w:p>
    <w:p>
      <w:pPr>
        <w:spacing w:line="440" w:lineRule="exact"/>
        <w:ind w:firstLine="5280" w:firstLineChars="2200"/>
        <w:rPr>
          <w:rFonts w:ascii="宋体" w:hAnsi="宋体"/>
          <w:color w:val="auto"/>
          <w:sz w:val="24"/>
          <w:szCs w:val="24"/>
          <w:highlight w:val="none"/>
        </w:rPr>
      </w:pP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hint="eastAsia" w:ascii="宋体" w:hAnsi="宋体"/>
          <w:color w:val="auto"/>
          <w:sz w:val="24"/>
          <w:szCs w:val="24"/>
          <w:highlight w:val="none"/>
        </w:rPr>
        <w:t>年</w:t>
      </w:r>
      <w:r>
        <w:rPr>
          <w:rFonts w:ascii="宋体" w:hAnsi="宋体"/>
          <w:color w:val="auto"/>
          <w:sz w:val="24"/>
          <w:szCs w:val="24"/>
          <w:highlight w:val="none"/>
          <w:u w:val="single" w:color="000000"/>
        </w:rPr>
        <w:tab/>
      </w:r>
      <w:r>
        <w:rPr>
          <w:rFonts w:hint="eastAsia" w:ascii="宋体" w:hAnsi="宋体"/>
          <w:color w:val="auto"/>
          <w:sz w:val="24"/>
          <w:szCs w:val="24"/>
          <w:highlight w:val="none"/>
          <w:u w:val="single" w:color="000000"/>
        </w:rPr>
        <w:t xml:space="preserve"> </w:t>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color="000000"/>
        </w:rPr>
        <w:tab/>
      </w:r>
      <w:r>
        <w:rPr>
          <w:rFonts w:ascii="宋体" w:hAnsi="宋体"/>
          <w:color w:val="auto"/>
          <w:sz w:val="24"/>
          <w:szCs w:val="24"/>
          <w:highlight w:val="none"/>
          <w:u w:val="single" w:color="000000"/>
        </w:rPr>
        <w:t xml:space="preserve">  </w:t>
      </w:r>
      <w:r>
        <w:rPr>
          <w:rFonts w:hint="eastAsia" w:ascii="宋体" w:hAnsi="宋体"/>
          <w:color w:val="auto"/>
          <w:sz w:val="24"/>
          <w:szCs w:val="24"/>
          <w:highlight w:val="none"/>
        </w:rPr>
        <w:t>日</w:t>
      </w:r>
    </w:p>
    <w:p>
      <w:pPr>
        <w:spacing w:line="440" w:lineRule="exact"/>
        <w:ind w:firstLine="4620" w:firstLineChars="2200"/>
        <w:rPr>
          <w:rFonts w:ascii="宋体" w:hAnsi="宋体"/>
          <w:color w:val="auto"/>
          <w:highlight w:val="none"/>
        </w:rPr>
      </w:pPr>
    </w:p>
    <w:p>
      <w:pPr>
        <w:spacing w:line="440" w:lineRule="exact"/>
        <w:rPr>
          <w:rFonts w:ascii="宋体" w:hAnsi="宋体"/>
          <w:color w:val="auto"/>
          <w:highlight w:val="none"/>
        </w:rPr>
      </w:pPr>
      <w:r>
        <w:rPr>
          <w:rFonts w:hint="eastAsia" w:ascii="宋体" w:hAnsi="宋体"/>
          <w:color w:val="auto"/>
          <w:highlight w:val="none"/>
        </w:rPr>
        <w:t>注：1、“服务期限”、“合同价款确认方式”、“投标有效期”、“质量标准”可填写“按招标文件要求”，或投标人自行填写。</w:t>
      </w:r>
    </w:p>
    <w:p>
      <w:pPr>
        <w:spacing w:line="440" w:lineRule="exact"/>
        <w:ind w:firstLine="420" w:firstLineChars="200"/>
        <w:rPr>
          <w:rFonts w:ascii="宋体" w:hAnsi="宋体"/>
          <w:color w:val="auto"/>
          <w:sz w:val="24"/>
          <w:highlight w:val="none"/>
        </w:rPr>
      </w:pPr>
      <w:r>
        <w:rPr>
          <w:rFonts w:hint="eastAsia" w:ascii="宋体" w:hAnsi="宋体"/>
          <w:color w:val="auto"/>
          <w:highlight w:val="none"/>
        </w:rPr>
        <w:t>2、联合体投标的，本表由联合体主办方出具，并由联合体主办方签字或盖章即可。</w:t>
      </w:r>
      <w:r>
        <w:rPr>
          <w:rFonts w:ascii="宋体" w:hAnsi="宋体"/>
          <w:color w:val="auto"/>
          <w:highlight w:val="none"/>
        </w:rPr>
        <w:br w:type="page"/>
      </w:r>
      <w:bookmarkEnd w:id="174"/>
      <w:bookmarkEnd w:id="175"/>
      <w:bookmarkEnd w:id="176"/>
      <w:bookmarkStart w:id="189" w:name="_Toc533357330"/>
      <w:bookmarkStart w:id="190" w:name="_Toc374536213"/>
      <w:bookmarkStart w:id="191" w:name="_Toc21863"/>
      <w:bookmarkStart w:id="192" w:name="_Toc390704765"/>
      <w:bookmarkStart w:id="193" w:name="_Toc333829918"/>
    </w:p>
    <w:bookmarkEnd w:id="170"/>
    <w:bookmarkEnd w:id="189"/>
    <w:bookmarkEnd w:id="190"/>
    <w:bookmarkEnd w:id="191"/>
    <w:bookmarkEnd w:id="192"/>
    <w:bookmarkEnd w:id="193"/>
    <w:p>
      <w:pPr>
        <w:pStyle w:val="7"/>
        <w:rPr>
          <w:color w:val="auto"/>
          <w:highlight w:val="none"/>
        </w:rPr>
      </w:pPr>
      <w:bookmarkStart w:id="194" w:name="_Toc11005"/>
      <w:bookmarkStart w:id="195" w:name="_Toc18269"/>
      <w:r>
        <w:rPr>
          <w:rFonts w:hint="eastAsia"/>
          <w:color w:val="auto"/>
          <w:highlight w:val="none"/>
        </w:rPr>
        <w:t>二、法定代表人证明书及授权委托书</w:t>
      </w:r>
      <w:bookmarkEnd w:id="194"/>
      <w:bookmarkEnd w:id="195"/>
    </w:p>
    <w:p>
      <w:pPr>
        <w:spacing w:before="156" w:beforeLines="50"/>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法定代表人证明书</w:t>
      </w:r>
    </w:p>
    <w:p>
      <w:pPr>
        <w:spacing w:line="360" w:lineRule="auto"/>
        <w:jc w:val="center"/>
        <w:rPr>
          <w:rFonts w:ascii="宋体" w:hAnsi="宋体"/>
          <w:color w:val="auto"/>
          <w:sz w:val="30"/>
          <w:szCs w:val="30"/>
          <w:highlight w:val="none"/>
        </w:rPr>
      </w:pPr>
      <w:r>
        <w:rPr>
          <w:rFonts w:ascii="宋体" w:hAnsi="宋体"/>
          <w:color w:val="auto"/>
          <w:sz w:val="30"/>
          <w:szCs w:val="30"/>
          <w:highlight w:val="none"/>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800725" cy="2639060"/>
                <wp:effectExtent l="9525" t="9525" r="9525" b="8890"/>
                <wp:wrapNone/>
                <wp:docPr id="5" name="组合 5"/>
                <wp:cNvGraphicFramePr/>
                <a:graphic xmlns:a="http://schemas.openxmlformats.org/drawingml/2006/main">
                  <a:graphicData uri="http://schemas.microsoft.com/office/word/2010/wordprocessingGroup">
                    <wpg:wgp>
                      <wpg:cNvGrpSpPr/>
                      <wpg:grpSpPr>
                        <a:xfrm>
                          <a:off x="0" y="0"/>
                          <a:ext cx="5800725" cy="2639060"/>
                          <a:chOff x="0" y="0"/>
                          <a:chExt cx="7140" cy="3468"/>
                        </a:xfrm>
                      </wpg:grpSpPr>
                      <wps:wsp>
                        <wps:cNvPr id="6" name="图片 4"/>
                        <wps:cNvSpPr>
                          <a:spLocks noChangeAspect="1" noChangeArrowheads="1" noTextEdit="1"/>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7" name="文本框 5"/>
                        <wps:cNvSpPr txBox="1">
                          <a:spLocks noChangeArrowheads="1"/>
                        </wps:cNvSpPr>
                        <wps:spPr bwMode="auto">
                          <a:xfrm>
                            <a:off x="0" y="0"/>
                            <a:ext cx="7140" cy="3468"/>
                          </a:xfrm>
                          <a:prstGeom prst="rect">
                            <a:avLst/>
                          </a:prstGeom>
                          <a:solidFill>
                            <a:srgbClr val="FFFFFF"/>
                          </a:solidFill>
                          <a:ln w="9525" cmpd="sng">
                            <a:solidFill>
                              <a:srgbClr val="000000"/>
                            </a:solidFill>
                            <a:miter lim="800000"/>
                          </a:ln>
                        </wps:spPr>
                        <wps:txbx>
                          <w:txbxContent>
                            <w:p>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480" w:lineRule="atLeast"/>
                                <w:rPr>
                                  <w:sz w:val="24"/>
                                  <w:szCs w:val="24"/>
                                </w:rPr>
                              </w:pPr>
                              <w:r>
                                <w:rPr>
                                  <w:rFonts w:hint="eastAsia" w:cs="宋体"/>
                                  <w:sz w:val="24"/>
                                  <w:szCs w:val="24"/>
                                </w:rPr>
                                <w:t>特此证明。</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207.8pt;width:456.75pt;mso-position-horizontal-relative:char;mso-position-vertical-relative:line;z-index:251659264;mso-width-relative:page;mso-height-relative:page;" coordsize="7140,3468" o:gfxdata="UEsDBAoAAAAAAIdO4kAAAAAAAAAAAAAAAAAEAAAAZHJzL1BLAwQUAAAACACHTuJAzCVt8N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zCVt8NcAAAAFAQAADwAAAAAAAAABACAAAAAi&#10;AAAAZHJzL2Rvd25yZXYueG1sUEsBAhQAFAAAAAgAh07iQKe95fXvAgAA9AcAAA4AAAAAAAAAAQAg&#10;AAAAJgEAAGRycy9lMm9Eb2MueG1sUEsFBgAAAAAGAAYAWQEAAIcGAAAAAA==&#10;">
                <o:lock v:ext="edit" aspectratio="f"/>
                <v:rect id="图片 4" o:spid="_x0000_s1026" o:spt="1" style="position:absolute;left:0;top:0;height:3468;width:7140;"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shape id="文本框 5" o:spid="_x0000_s1026" o:spt="202" type="#_x0000_t202" style="position:absolute;left:0;top:0;height:3468;width:714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before="156" w:beforeLines="50"/>
                          <w:rPr>
                            <w:sz w:val="24"/>
                            <w:szCs w:val="24"/>
                          </w:rPr>
                        </w:pPr>
                        <w:r>
                          <w:rPr>
                            <w:rFonts w:hint="eastAsia" w:cs="宋体"/>
                            <w:sz w:val="28"/>
                            <w:szCs w:val="28"/>
                          </w:rPr>
                          <w:t>　</w:t>
                        </w:r>
                        <w:r>
                          <w:rPr>
                            <w:rFonts w:hint="eastAsia" w:cs="宋体"/>
                            <w:sz w:val="24"/>
                            <w:szCs w:val="24"/>
                          </w:rPr>
                          <w:t>　</w:t>
                        </w:r>
                        <w:r>
                          <w:rPr>
                            <w:rFonts w:hint="eastAsia" w:cs="宋体"/>
                            <w:sz w:val="24"/>
                            <w:szCs w:val="24"/>
                            <w:u w:val="single"/>
                          </w:rPr>
                          <w:t>　　　　　　</w:t>
                        </w:r>
                        <w:r>
                          <w:rPr>
                            <w:rFonts w:hint="eastAsia" w:cs="宋体"/>
                            <w:sz w:val="24"/>
                            <w:szCs w:val="24"/>
                          </w:rPr>
                          <w:t>现任我单位</w:t>
                        </w:r>
                        <w:r>
                          <w:rPr>
                            <w:rFonts w:hint="eastAsia" w:cs="宋体"/>
                            <w:sz w:val="24"/>
                            <w:szCs w:val="24"/>
                            <w:u w:val="single"/>
                          </w:rPr>
                          <w:t>　　　　　</w:t>
                        </w:r>
                        <w:r>
                          <w:rPr>
                            <w:rFonts w:hint="eastAsia" w:cs="宋体"/>
                            <w:sz w:val="24"/>
                            <w:szCs w:val="24"/>
                          </w:rPr>
                          <w:t>职务，为法定代表人（负责人），</w:t>
                        </w:r>
                      </w:p>
                      <w:p>
                        <w:pPr>
                          <w:snapToGrid w:val="0"/>
                          <w:spacing w:line="480" w:lineRule="atLeast"/>
                          <w:rPr>
                            <w:sz w:val="24"/>
                            <w:szCs w:val="24"/>
                          </w:rPr>
                        </w:pPr>
                        <w:r>
                          <w:rPr>
                            <w:rFonts w:hint="eastAsia" w:cs="宋体"/>
                            <w:sz w:val="24"/>
                            <w:szCs w:val="24"/>
                          </w:rPr>
                          <w:t>特此证明。</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r>
                          <w:rPr>
                            <w:sz w:val="24"/>
                            <w:szCs w:val="24"/>
                          </w:rPr>
                          <w:t xml:space="preserve">  </w:t>
                        </w:r>
                      </w:p>
                      <w:p>
                        <w:pPr>
                          <w:snapToGrid w:val="0"/>
                          <w:spacing w:line="480" w:lineRule="atLeast"/>
                          <w:rPr>
                            <w:sz w:val="24"/>
                            <w:szCs w:val="24"/>
                            <w:u w:val="single"/>
                          </w:rPr>
                        </w:pPr>
                        <w:r>
                          <w:rPr>
                            <w:rFonts w:hint="eastAsia" w:cs="宋体"/>
                            <w:sz w:val="24"/>
                            <w:szCs w:val="24"/>
                          </w:rPr>
                          <w:t>附：法定代表人（负责人）性别：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firstLine="570"/>
                          <w:rPr>
                            <w:sz w:val="24"/>
                            <w:szCs w:val="24"/>
                            <w:u w:val="single"/>
                          </w:rPr>
                        </w:pPr>
                        <w:r>
                          <w:rPr>
                            <w:rFonts w:hint="eastAsia" w:cs="宋体"/>
                            <w:sz w:val="24"/>
                            <w:szCs w:val="24"/>
                          </w:rPr>
                          <w:t>经营范围：</w:t>
                        </w:r>
                        <w:r>
                          <w:rPr>
                            <w:sz w:val="24"/>
                            <w:szCs w:val="24"/>
                            <w:u w:val="single"/>
                          </w:rPr>
                          <w:t xml:space="preserve">                                                           </w:t>
                        </w:r>
                      </w:p>
                      <w:p>
                        <w:pPr>
                          <w:snapToGrid w:val="0"/>
                          <w:spacing w:line="480" w:lineRule="atLeast"/>
                          <w:ind w:firstLine="570"/>
                          <w:rPr>
                            <w:sz w:val="24"/>
                            <w:szCs w:val="24"/>
                          </w:rPr>
                        </w:pPr>
                        <w:r>
                          <w:rPr>
                            <w:rFonts w:hint="eastAsia" w:cs="宋体"/>
                            <w:sz w:val="24"/>
                            <w:szCs w:val="24"/>
                            <w:u w:val="single"/>
                          </w:rPr>
                          <w:t>　　　　　　　　　　　　　　　　</w:t>
                        </w:r>
                        <w:r>
                          <w:rPr>
                            <w:sz w:val="24"/>
                            <w:szCs w:val="24"/>
                          </w:rPr>
                          <w:t xml:space="preserve">      </w:t>
                        </w:r>
                        <w:r>
                          <w:rPr>
                            <w:rFonts w:hint="eastAsia" w:cs="宋体"/>
                            <w:sz w:val="24"/>
                            <w:szCs w:val="24"/>
                          </w:rPr>
                          <w:t>单位：　　　（盖章）</w:t>
                        </w:r>
                      </w:p>
                      <w:p>
                        <w:pPr>
                          <w:snapToGrid w:val="0"/>
                          <w:spacing w:after="100" w:afterAutospacing="1" w:line="480" w:lineRule="atLeast"/>
                          <w:ind w:firstLine="4528" w:firstLineChars="1887"/>
                          <w:rPr>
                            <w:sz w:val="24"/>
                            <w:szCs w:val="24"/>
                          </w:rPr>
                        </w:pPr>
                        <w:r>
                          <w:rPr>
                            <w:rFonts w:hint="eastAsia" w:cs="宋体"/>
                            <w:sz w:val="24"/>
                            <w:szCs w:val="24"/>
                          </w:rPr>
                          <w:t>　　　　　</w:t>
                        </w:r>
                        <w:r>
                          <w:rPr>
                            <w:sz w:val="24"/>
                            <w:szCs w:val="24"/>
                          </w:rPr>
                          <w:t xml:space="preserve">    </w:t>
                        </w:r>
                        <w:r>
                          <w:rPr>
                            <w:rFonts w:hint="eastAsia" w:cs="宋体"/>
                            <w:sz w:val="24"/>
                            <w:szCs w:val="24"/>
                          </w:rPr>
                          <w:t>年　月　　日</w:t>
                        </w:r>
                      </w:p>
                    </w:txbxContent>
                  </v:textbox>
                </v:shape>
              </v:group>
            </w:pict>
          </mc:Fallback>
        </mc:AlternateContent>
      </w:r>
      <w:r>
        <w:rPr>
          <w:rFonts w:ascii="宋体" w:hAnsi="宋体"/>
          <w:color w:val="auto"/>
          <w:sz w:val="30"/>
          <w:szCs w:val="30"/>
          <w:highlight w:val="none"/>
        </w:rPr>
        <mc:AlternateContent>
          <mc:Choice Requires="wps">
            <w:drawing>
              <wp:inline distT="0" distB="0" distL="0" distR="0">
                <wp:extent cx="5795010" cy="263652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5010" cy="263652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07.6pt;width:456.3pt;" filled="f" stroked="f" coordsize="21600,21600" o:gfxdata="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rtnQPXAAAABQEAAA8AAAAA&#10;AAAAAQAgAAAAIgAAAGRycy9kb3ducmV2LnhtbFBLAQIUABQAAAAIAIdO4kAtUubOFQIAABwEAAAO&#10;AAAAAAAAAAEAIAAAACYBAABkcnMvZTJvRG9jLnhtbFBLBQYAAAAABgAGAFkBAACtBQAAAAA=&#10;">
                <v:fill on="f" focussize="0,0"/>
                <v:stroke on="f"/>
                <v:imagedata o:title=""/>
                <o:lock v:ext="edit" aspectratio="t"/>
                <v:textbox>
                  <w:txbxContent>
                    <w:p>
                      <w:pPr>
                        <w:jc w:val="center"/>
                      </w:pPr>
                    </w:p>
                  </w:txbxContent>
                </v:textbox>
                <w10:wrap type="none"/>
                <w10:anchorlock/>
              </v:rect>
            </w:pict>
          </mc:Fallback>
        </mc:AlternateContent>
      </w:r>
    </w:p>
    <w:p>
      <w:pPr>
        <w:spacing w:line="360" w:lineRule="auto"/>
        <w:rPr>
          <w:rFonts w:ascii="宋体" w:hAnsi="宋体"/>
          <w:color w:val="auto"/>
          <w:sz w:val="24"/>
          <w:szCs w:val="24"/>
          <w:highlight w:val="none"/>
        </w:rPr>
      </w:pPr>
      <w:r>
        <w:rPr>
          <w:rFonts w:hint="eastAsia" w:ascii="宋体" w:hAnsi="宋体" w:cs="宋体"/>
          <w:color w:val="auto"/>
          <w:sz w:val="24"/>
          <w:szCs w:val="24"/>
          <w:highlight w:val="none"/>
        </w:rPr>
        <w:t>注：按提供的该表格格式填写，或使用工商管理部门的格式填写。</w:t>
      </w:r>
    </w:p>
    <w:p>
      <w:pPr>
        <w:spacing w:before="156" w:beforeLines="50"/>
        <w:ind w:firstLine="482" w:firstLineChars="200"/>
        <w:jc w:val="center"/>
        <w:rPr>
          <w:rFonts w:ascii="宋体" w:hAnsi="宋体" w:cs="宋体"/>
          <w:b/>
          <w:color w:val="auto"/>
          <w:sz w:val="24"/>
          <w:szCs w:val="24"/>
          <w:highlight w:val="none"/>
        </w:rPr>
      </w:pPr>
    </w:p>
    <w:p>
      <w:pPr>
        <w:spacing w:before="156" w:beforeLines="50"/>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授权委托书</w:t>
      </w:r>
      <w:bookmarkEnd w:id="0"/>
      <w:bookmarkEnd w:id="1"/>
      <w:bookmarkEnd w:id="2"/>
    </w:p>
    <w:p>
      <w:pPr>
        <w:widowControl/>
        <w:spacing w:before="260" w:after="260"/>
        <w:ind w:right="1542"/>
        <w:jc w:val="center"/>
        <w:rPr>
          <w:rFonts w:ascii="宋体" w:hAnsi="宋体" w:cs="宋体"/>
          <w:b/>
          <w:bCs/>
          <w:color w:val="auto"/>
          <w:kern w:val="0"/>
          <w:sz w:val="32"/>
          <w:szCs w:val="32"/>
          <w:highlight w:val="none"/>
        </w:rPr>
      </w:pPr>
      <w:r>
        <w:rPr>
          <w:rFonts w:ascii="宋体" w:hAnsi="宋体" w:cs="宋体"/>
          <w:b/>
          <w:bCs/>
          <w:color w:val="auto"/>
          <w:kern w:val="0"/>
          <w:sz w:val="32"/>
          <w:szCs w:val="32"/>
          <w:highlight w:val="none"/>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6129020" cy="2946400"/>
                <wp:effectExtent l="9525" t="9525" r="5080" b="635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129020" cy="2946400"/>
                        </a:xfrm>
                        <a:prstGeom prst="rect">
                          <a:avLst/>
                        </a:prstGeom>
                        <a:solidFill>
                          <a:srgbClr val="FFFFFF"/>
                        </a:solidFill>
                        <a:ln w="9525" cmpd="sng">
                          <a:solidFill>
                            <a:srgbClr val="000000"/>
                          </a:solidFill>
                          <a:miter lim="800000"/>
                        </a:ln>
                      </wps:spPr>
                      <wps:txbx>
                        <w:txbxContent>
                          <w:p>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pt;height:232pt;width:482.6pt;mso-position-horizontal-relative:char;mso-position-vertical-relative:line;z-index:251660288;mso-width-relative:page;mso-height-relative:page;" fillcolor="#FFFFFF" filled="t" stroked="t" coordsize="21600,21600" o:gfxdata="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fRdcAAAAFAQAADwAAAAAAAAABACAA&#10;AAAiAAAAZHJzL2Rvd25yZXYueG1sUEsBAhQAFAAAAAgAh07iQOk58upHAgAAkwQAAA4AAAAAAAAA&#10;AQAgAAAAJgEAAGRycy9lMm9Eb2MueG1sUEsFBgAAAAAGAAYAWQEAAN8FAAAAAA==&#10;">
                <v:fill on="t" focussize="0,0"/>
                <v:stroke color="#000000" miterlimit="8" joinstyle="miter"/>
                <v:imagedata o:title=""/>
                <o:lock v:ext="edit" aspectratio="f"/>
                <v:textbox>
                  <w:txbxContent>
                    <w:p>
                      <w:pPr>
                        <w:spacing w:before="156" w:beforeLines="50"/>
                        <w:ind w:firstLine="480" w:firstLineChars="200"/>
                        <w:rPr>
                          <w:sz w:val="24"/>
                          <w:szCs w:val="24"/>
                        </w:rPr>
                      </w:pPr>
                      <w:r>
                        <w:rPr>
                          <w:rFonts w:hint="eastAsia" w:cs="宋体"/>
                          <w:sz w:val="24"/>
                          <w:szCs w:val="24"/>
                        </w:rPr>
                        <w:t>兹授权</w:t>
                      </w:r>
                      <w:r>
                        <w:rPr>
                          <w:rFonts w:hint="eastAsia" w:cs="宋体"/>
                          <w:sz w:val="24"/>
                          <w:szCs w:val="24"/>
                          <w:u w:val="single"/>
                        </w:rPr>
                        <w:t>　　　　　</w:t>
                      </w:r>
                      <w:r>
                        <w:rPr>
                          <w:rFonts w:hint="eastAsia" w:cs="宋体"/>
                          <w:sz w:val="24"/>
                          <w:szCs w:val="24"/>
                        </w:rPr>
                        <w:t>为我方委托代理人，其权限是：</w:t>
                      </w:r>
                      <w:r>
                        <w:rPr>
                          <w:sz w:val="24"/>
                          <w:szCs w:val="24"/>
                          <w:u w:val="single"/>
                        </w:rPr>
                        <w:t xml:space="preserve">                        </w:t>
                      </w:r>
                    </w:p>
                    <w:p>
                      <w:pPr>
                        <w:snapToGrid w:val="0"/>
                        <w:spacing w:line="480" w:lineRule="atLeast"/>
                        <w:rPr>
                          <w:sz w:val="24"/>
                          <w:szCs w:val="24"/>
                          <w:u w:val="single"/>
                        </w:rPr>
                      </w:pPr>
                      <w:r>
                        <w:rPr>
                          <w:sz w:val="24"/>
                          <w:szCs w:val="24"/>
                          <w:u w:val="single"/>
                        </w:rPr>
                        <w:t xml:space="preserve">                                                                        </w:t>
                      </w:r>
                    </w:p>
                    <w:p>
                      <w:pPr>
                        <w:snapToGrid w:val="0"/>
                        <w:spacing w:line="480" w:lineRule="atLeast"/>
                        <w:rPr>
                          <w:sz w:val="24"/>
                          <w:szCs w:val="24"/>
                          <w:u w:val="single"/>
                        </w:rPr>
                      </w:pPr>
                      <w:r>
                        <w:rPr>
                          <w:rFonts w:hint="eastAsia" w:cs="宋体"/>
                          <w:sz w:val="24"/>
                          <w:szCs w:val="24"/>
                        </w:rPr>
                        <w:t>有效期限：</w:t>
                      </w:r>
                      <w:r>
                        <w:rPr>
                          <w:sz w:val="24"/>
                          <w:szCs w:val="24"/>
                          <w:u w:val="single"/>
                        </w:rPr>
                        <w:t xml:space="preserve">                                                              </w:t>
                      </w:r>
                    </w:p>
                    <w:p>
                      <w:pPr>
                        <w:snapToGrid w:val="0"/>
                        <w:spacing w:line="480" w:lineRule="atLeast"/>
                        <w:rPr>
                          <w:sz w:val="24"/>
                          <w:szCs w:val="24"/>
                        </w:rPr>
                      </w:pPr>
                      <w:r>
                        <w:rPr>
                          <w:rFonts w:hint="eastAsia" w:cs="宋体"/>
                          <w:sz w:val="24"/>
                          <w:szCs w:val="24"/>
                        </w:rPr>
                        <w:t>附：代理人性别：</w:t>
                      </w:r>
                      <w:r>
                        <w:rPr>
                          <w:rFonts w:hint="eastAsia" w:cs="宋体"/>
                          <w:sz w:val="24"/>
                          <w:szCs w:val="24"/>
                          <w:u w:val="single"/>
                        </w:rPr>
                        <w:t>　　</w:t>
                      </w:r>
                      <w:r>
                        <w:rPr>
                          <w:rFonts w:hint="eastAsia" w:cs="宋体"/>
                          <w:sz w:val="24"/>
                          <w:szCs w:val="24"/>
                        </w:rPr>
                        <w:t>年龄：</w:t>
                      </w:r>
                      <w:r>
                        <w:rPr>
                          <w:rFonts w:hint="eastAsia" w:cs="宋体"/>
                          <w:sz w:val="24"/>
                          <w:szCs w:val="24"/>
                          <w:u w:val="single"/>
                        </w:rPr>
                        <w:t>　　　</w:t>
                      </w:r>
                      <w:r>
                        <w:rPr>
                          <w:rFonts w:hint="eastAsia" w:cs="宋体"/>
                          <w:sz w:val="24"/>
                          <w:szCs w:val="24"/>
                        </w:rPr>
                        <w:t>身份证号码：</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注册号码：</w:t>
                      </w:r>
                      <w:r>
                        <w:rPr>
                          <w:rFonts w:hint="eastAsia" w:cs="宋体"/>
                          <w:sz w:val="24"/>
                          <w:szCs w:val="24"/>
                          <w:u w:val="single"/>
                        </w:rPr>
                        <w:t>　　　　　　　　　</w:t>
                      </w:r>
                      <w:r>
                        <w:rPr>
                          <w:rFonts w:hint="eastAsia" w:cs="宋体"/>
                          <w:sz w:val="24"/>
                          <w:szCs w:val="24"/>
                        </w:rPr>
                        <w:t>企业类型：</w:t>
                      </w:r>
                      <w:r>
                        <w:rPr>
                          <w:sz w:val="24"/>
                          <w:szCs w:val="24"/>
                          <w:u w:val="single"/>
                        </w:rPr>
                        <w:t xml:space="preserve">                               </w:t>
                      </w:r>
                    </w:p>
                    <w:p>
                      <w:pPr>
                        <w:snapToGrid w:val="0"/>
                        <w:spacing w:line="480" w:lineRule="atLeast"/>
                        <w:ind w:hanging="105"/>
                        <w:rPr>
                          <w:sz w:val="24"/>
                          <w:szCs w:val="24"/>
                          <w:u w:val="single"/>
                        </w:rPr>
                      </w:pPr>
                      <w:r>
                        <w:rPr>
                          <w:rFonts w:hint="eastAsia" w:cs="宋体"/>
                          <w:sz w:val="24"/>
                          <w:szCs w:val="24"/>
                        </w:rPr>
                        <w:t>　　经营范围：</w:t>
                      </w:r>
                      <w:r>
                        <w:rPr>
                          <w:sz w:val="24"/>
                          <w:szCs w:val="24"/>
                          <w:u w:val="single"/>
                        </w:rPr>
                        <w:t xml:space="preserve">                                                           </w:t>
                      </w:r>
                    </w:p>
                    <w:p>
                      <w:pPr>
                        <w:snapToGrid w:val="0"/>
                        <w:spacing w:line="480" w:lineRule="atLeast"/>
                        <w:ind w:hanging="105"/>
                        <w:rPr>
                          <w:sz w:val="24"/>
                          <w:szCs w:val="24"/>
                        </w:rPr>
                      </w:pPr>
                      <w:r>
                        <w:rPr>
                          <w:rFonts w:hint="eastAsia" w:cs="宋体"/>
                          <w:sz w:val="24"/>
                          <w:szCs w:val="24"/>
                        </w:rPr>
                        <w:t>　　法定代表人（负责人）：</w:t>
                      </w:r>
                      <w:r>
                        <w:rPr>
                          <w:rFonts w:hint="eastAsia" w:cs="宋体"/>
                          <w:sz w:val="24"/>
                          <w:szCs w:val="24"/>
                          <w:u w:val="single"/>
                        </w:rPr>
                        <w:t>　　　</w:t>
                      </w:r>
                      <w:r>
                        <w:rPr>
                          <w:sz w:val="24"/>
                          <w:szCs w:val="24"/>
                          <w:u w:val="single"/>
                        </w:rPr>
                        <w:t xml:space="preserve">          </w:t>
                      </w:r>
                      <w:r>
                        <w:rPr>
                          <w:rFonts w:hint="eastAsia" w:cs="宋体"/>
                          <w:sz w:val="24"/>
                          <w:szCs w:val="24"/>
                        </w:rPr>
                        <w:t>（签名）</w:t>
                      </w:r>
                    </w:p>
                    <w:p>
                      <w:pPr>
                        <w:snapToGrid w:val="0"/>
                        <w:spacing w:line="480" w:lineRule="atLeast"/>
                        <w:ind w:hanging="105"/>
                        <w:rPr>
                          <w:sz w:val="24"/>
                          <w:szCs w:val="24"/>
                        </w:rPr>
                      </w:pPr>
                      <w:r>
                        <w:rPr>
                          <w:rFonts w:hint="eastAsia" w:cs="宋体"/>
                          <w:sz w:val="24"/>
                          <w:szCs w:val="24"/>
                        </w:rPr>
                        <w:t>　　授权单位：（盖章）</w:t>
                      </w:r>
                      <w:r>
                        <w:rPr>
                          <w:sz w:val="24"/>
                          <w:szCs w:val="24"/>
                          <w:u w:val="single"/>
                        </w:rPr>
                        <w:t xml:space="preserve">                     </w:t>
                      </w:r>
                      <w:r>
                        <w:rPr>
                          <w:rFonts w:hint="eastAsia" w:cs="宋体"/>
                          <w:sz w:val="24"/>
                          <w:szCs w:val="24"/>
                        </w:rPr>
                        <w:t>　　　</w:t>
                      </w:r>
                    </w:p>
                    <w:p>
                      <w:pPr>
                        <w:snapToGrid w:val="0"/>
                        <w:spacing w:line="480" w:lineRule="atLeast"/>
                        <w:ind w:firstLine="570"/>
                        <w:rPr>
                          <w:sz w:val="24"/>
                          <w:szCs w:val="24"/>
                        </w:rPr>
                      </w:pPr>
                      <w:r>
                        <w:rPr>
                          <w:rFonts w:hint="eastAsia" w:cs="宋体"/>
                          <w:sz w:val="24"/>
                          <w:szCs w:val="24"/>
                        </w:rPr>
                        <w:t>　　　　　　　　　　　　　　　　　　　　　</w:t>
                      </w:r>
                      <w:r>
                        <w:rPr>
                          <w:sz w:val="24"/>
                          <w:szCs w:val="24"/>
                        </w:rPr>
                        <w:t xml:space="preserve">      </w:t>
                      </w:r>
                      <w:r>
                        <w:rPr>
                          <w:rFonts w:hint="eastAsia" w:cs="宋体"/>
                          <w:sz w:val="24"/>
                          <w:szCs w:val="24"/>
                        </w:rPr>
                        <w:t>年　</w:t>
                      </w:r>
                      <w:r>
                        <w:rPr>
                          <w:sz w:val="24"/>
                          <w:szCs w:val="24"/>
                        </w:rPr>
                        <w:t xml:space="preserve"> </w:t>
                      </w:r>
                      <w:r>
                        <w:rPr>
                          <w:rFonts w:hint="eastAsia" w:cs="宋体"/>
                          <w:sz w:val="24"/>
                          <w:szCs w:val="24"/>
                        </w:rPr>
                        <w:t>月　</w:t>
                      </w:r>
                      <w:r>
                        <w:rPr>
                          <w:sz w:val="24"/>
                          <w:szCs w:val="24"/>
                        </w:rPr>
                        <w:t xml:space="preserve"> </w:t>
                      </w:r>
                      <w:r>
                        <w:rPr>
                          <w:rFonts w:hint="eastAsia" w:cs="宋体"/>
                          <w:sz w:val="24"/>
                          <w:szCs w:val="24"/>
                        </w:rPr>
                        <w:t>日</w:t>
                      </w:r>
                    </w:p>
                  </w:txbxContent>
                </v:textbox>
              </v:shape>
            </w:pict>
          </mc:Fallback>
        </mc:AlternateContent>
      </w:r>
      <w:r>
        <w:rPr>
          <w:rFonts w:ascii="宋体" w:hAnsi="宋体" w:cs="宋体"/>
          <w:b/>
          <w:bCs/>
          <w:color w:val="auto"/>
          <w:kern w:val="0"/>
          <w:sz w:val="32"/>
          <w:szCs w:val="32"/>
          <w:highlight w:val="none"/>
        </w:rPr>
        <mc:AlternateContent>
          <mc:Choice Requires="wps">
            <w:drawing>
              <wp:inline distT="0" distB="0" distL="0" distR="0">
                <wp:extent cx="6127750" cy="294513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7750" cy="294513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31.9pt;width:482.5pt;" filled="f" stroked="f" coordsize="21600,21600" o:gfxdata="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7TR1wAAAAUBAAAPAAAAAAAA&#10;AAEAIAAAACIAAABkcnMvZG93bnJldi54bWxQSwECFAAUAAAACACHTuJAO4UmVRMCAAAcBAAADgAA&#10;AAAAAAABACAAAAAmAQAAZHJzL2Uyb0RvYy54bWxQSwUGAAAAAAYABgBZAQAAqwUAAAAA&#10;">
                <v:fill on="f" focussize="0,0"/>
                <v:stroke on="f"/>
                <v:imagedata o:title=""/>
                <o:lock v:ext="edit" aspectratio="t"/>
                <v:textbox>
                  <w:txbxContent>
                    <w:p>
                      <w:pPr>
                        <w:jc w:val="center"/>
                      </w:pPr>
                    </w:p>
                  </w:txbxContent>
                </v:textbox>
                <w10:wrap type="none"/>
                <w10:anchorlock/>
              </v:rect>
            </w:pict>
          </mc:Fallback>
        </mc:AlternateConten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注：1、按提供的该表格格式填写，或使用工商管理部门的格式填写。</w:t>
      </w:r>
    </w:p>
    <w:p>
      <w:pPr>
        <w:numPr>
          <w:ilvl w:val="0"/>
          <w:numId w:val="2"/>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联合体投标的，本授权书由联合体主办方出具，并由联合体主办方签字或盖章即可。</w:t>
      </w:r>
    </w:p>
    <w:p>
      <w:pPr>
        <w:spacing w:line="360" w:lineRule="auto"/>
        <w:rPr>
          <w:rFonts w:ascii="宋体" w:hAnsi="宋体"/>
          <w:color w:val="auto"/>
          <w:highlight w:val="none"/>
        </w:rPr>
      </w:pPr>
    </w:p>
    <w:p>
      <w:pPr>
        <w:spacing w:line="360" w:lineRule="auto"/>
        <w:rPr>
          <w:rFonts w:ascii="宋体" w:hAnsi="宋体"/>
          <w:color w:val="auto"/>
          <w:sz w:val="24"/>
          <w:highlight w:val="none"/>
        </w:rPr>
      </w:pPr>
      <w:bookmarkStart w:id="196" w:name="_Toc533334223"/>
    </w:p>
    <w:p>
      <w:pPr>
        <w:pStyle w:val="7"/>
        <w:rPr>
          <w:color w:val="auto"/>
          <w:highlight w:val="none"/>
        </w:rPr>
      </w:pPr>
      <w:bookmarkStart w:id="197" w:name="_Toc32645"/>
      <w:r>
        <w:rPr>
          <w:rFonts w:hint="eastAsia"/>
          <w:color w:val="auto"/>
          <w:highlight w:val="none"/>
        </w:rPr>
        <w:t>三、</w:t>
      </w:r>
      <w:bookmarkStart w:id="198" w:name="_Toc152045792"/>
      <w:bookmarkStart w:id="199" w:name="_Toc152042581"/>
      <w:bookmarkStart w:id="200" w:name="_Toc144974861"/>
      <w:bookmarkStart w:id="201" w:name="_Toc352691666"/>
      <w:bookmarkStart w:id="202" w:name="_Toc384308381"/>
      <w:bookmarkStart w:id="203" w:name="_Toc247527832"/>
      <w:bookmarkStart w:id="204" w:name="_Toc361508757"/>
      <w:bookmarkStart w:id="205" w:name="_Toc13469"/>
      <w:bookmarkStart w:id="206" w:name="_Toc300835214"/>
      <w:bookmarkStart w:id="207" w:name="_Toc369531702"/>
      <w:bookmarkStart w:id="208" w:name="_Toc247514284"/>
      <w:r>
        <w:rPr>
          <w:rFonts w:hint="eastAsia"/>
          <w:color w:val="auto"/>
          <w:highlight w:val="none"/>
        </w:rPr>
        <w:t>投标保证金凭证</w:t>
      </w:r>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ind w:firstLine="420" w:firstLineChars="200"/>
        <w:rPr>
          <w:rFonts w:ascii="宋体" w:hAnsi="宋体"/>
          <w:color w:val="auto"/>
          <w:highlight w:val="none"/>
        </w:rPr>
      </w:pPr>
      <w:r>
        <w:rPr>
          <w:rFonts w:hint="eastAsia" w:ascii="宋体" w:hAnsi="宋体"/>
          <w:color w:val="auto"/>
          <w:highlight w:val="none"/>
        </w:rPr>
        <w:t>如采用现金或者支票方式提交的由广州公共资源交易中心代收的，在此提供经广州公共资源交易中心确认的投标保证金回执；</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如采用投标保函、投标保证保险形式提交投标保证金的，投标保函或投标保证保险须开具给招标人（保险受益人须为招标人）。开标前可不提交纸质原件，但投标人应在投标文件中提交投标保函或投标保险的</w:t>
      </w:r>
      <w:r>
        <w:rPr>
          <w:rFonts w:hint="eastAsia" w:ascii="宋体" w:hAnsi="宋体" w:cs="宋体"/>
          <w:color w:val="auto"/>
          <w:szCs w:val="21"/>
          <w:highlight w:val="none"/>
        </w:rPr>
        <w:t>原件</w:t>
      </w:r>
      <w:r>
        <w:rPr>
          <w:rFonts w:ascii="宋体" w:hAnsi="宋体" w:cs="宋体"/>
          <w:color w:val="auto"/>
          <w:szCs w:val="21"/>
          <w:highlight w:val="none"/>
        </w:rPr>
        <w:t>扫描件并加盖投标人电子印章。如投标人选择在开标前提交纸质原件的，可在投标截止时间前单独密封递交至开标室。若以交易系统支持的电子保函或电子投标保证保险递交的，到账情况以开标时广州公共资源交易中心数据库查询信息为准。</w:t>
      </w:r>
    </w:p>
    <w:p>
      <w:pPr>
        <w:spacing w:line="360" w:lineRule="auto"/>
        <w:ind w:firstLine="420" w:firstLineChars="200"/>
        <w:outlineLvl w:val="2"/>
        <w:rPr>
          <w:rFonts w:ascii="宋体" w:hAnsi="宋体"/>
          <w:color w:val="auto"/>
          <w:highlight w:val="none"/>
        </w:rPr>
      </w:pPr>
      <w:r>
        <w:rPr>
          <w:rFonts w:ascii="宋体" w:hAnsi="宋体"/>
          <w:color w:val="auto"/>
          <w:highlight w:val="none"/>
        </w:rPr>
        <w:br w:type="page"/>
      </w:r>
      <w:bookmarkStart w:id="209" w:name="_Toc390704766"/>
      <w:bookmarkStart w:id="210" w:name="_Toc374536214"/>
      <w:bookmarkStart w:id="211" w:name="_Toc533357333"/>
      <w:bookmarkStart w:id="212" w:name="_Toc11199"/>
      <w:bookmarkStart w:id="213" w:name="_Toc19796"/>
      <w:r>
        <w:rPr>
          <w:rFonts w:hint="eastAsia" w:ascii="宋体" w:hAnsi="宋体" w:eastAsia="宋体" w:cs="Times New Roman"/>
          <w:b/>
          <w:color w:val="auto"/>
          <w:kern w:val="2"/>
          <w:sz w:val="28"/>
          <w:szCs w:val="28"/>
          <w:highlight w:val="none"/>
          <w:lang w:val="en-US" w:eastAsia="zh-CN" w:bidi="ar-SA"/>
        </w:rPr>
        <w:t>四</w:t>
      </w:r>
      <w:bookmarkEnd w:id="209"/>
      <w:bookmarkEnd w:id="210"/>
      <w:r>
        <w:rPr>
          <w:rFonts w:hint="eastAsia" w:ascii="宋体" w:hAnsi="宋体" w:eastAsia="宋体" w:cs="Times New Roman"/>
          <w:b/>
          <w:color w:val="auto"/>
          <w:kern w:val="2"/>
          <w:sz w:val="28"/>
          <w:szCs w:val="28"/>
          <w:highlight w:val="none"/>
          <w:lang w:val="en-US" w:eastAsia="zh-CN" w:bidi="ar-SA"/>
        </w:rPr>
        <w:t>、投标报价书</w:t>
      </w:r>
      <w:bookmarkEnd w:id="211"/>
      <w:bookmarkEnd w:id="212"/>
      <w:bookmarkEnd w:id="213"/>
    </w:p>
    <w:p>
      <w:pPr>
        <w:spacing w:line="500" w:lineRule="exact"/>
        <w:jc w:val="center"/>
        <w:rPr>
          <w:rFonts w:ascii="宋体" w:hAnsi="宋体"/>
          <w:b/>
          <w:bCs/>
          <w:color w:val="auto"/>
          <w:sz w:val="30"/>
          <w:highlight w:val="none"/>
        </w:rPr>
      </w:pPr>
      <w:r>
        <w:rPr>
          <w:rFonts w:hint="eastAsia" w:ascii="宋体" w:hAnsi="宋体"/>
          <w:b/>
          <w:bCs/>
          <w:color w:val="auto"/>
          <w:sz w:val="30"/>
          <w:highlight w:val="none"/>
        </w:rPr>
        <w:t xml:space="preserve"> </w:t>
      </w:r>
    </w:p>
    <w:p>
      <w:pPr>
        <w:jc w:val="center"/>
        <w:rPr>
          <w:rFonts w:ascii="宋体" w:hAnsi="宋体"/>
          <w:b/>
          <w:bCs/>
          <w:color w:val="auto"/>
          <w:sz w:val="52"/>
          <w:highlight w:val="none"/>
        </w:rPr>
      </w:pPr>
    </w:p>
    <w:p>
      <w:pPr>
        <w:jc w:val="center"/>
        <w:rPr>
          <w:rFonts w:ascii="宋体" w:hAnsi="宋体"/>
          <w:b/>
          <w:bCs/>
          <w:color w:val="auto"/>
          <w:sz w:val="52"/>
          <w:highlight w:val="none"/>
        </w:rPr>
      </w:pPr>
      <w:r>
        <w:rPr>
          <w:rFonts w:hint="eastAsia" w:ascii="宋体" w:hAnsi="宋体"/>
          <w:b/>
          <w:bCs/>
          <w:color w:val="auto"/>
          <w:sz w:val="52"/>
          <w:highlight w:val="none"/>
        </w:rPr>
        <w:t>第三方检测</w:t>
      </w:r>
    </w:p>
    <w:p>
      <w:pPr>
        <w:spacing w:line="500" w:lineRule="exact"/>
        <w:jc w:val="center"/>
        <w:rPr>
          <w:rFonts w:ascii="宋体" w:hAnsi="宋体"/>
          <w:b/>
          <w:bCs/>
          <w:color w:val="auto"/>
          <w:sz w:val="52"/>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600" w:lineRule="exact"/>
        <w:jc w:val="center"/>
        <w:rPr>
          <w:rFonts w:ascii="宋体" w:hAnsi="宋体"/>
          <w:b/>
          <w:bCs/>
          <w:color w:val="auto"/>
          <w:sz w:val="52"/>
          <w:highlight w:val="none"/>
        </w:rPr>
      </w:pPr>
      <w:r>
        <w:rPr>
          <w:rFonts w:hint="eastAsia" w:ascii="宋体" w:hAnsi="宋体"/>
          <w:b/>
          <w:bCs/>
          <w:color w:val="auto"/>
          <w:sz w:val="52"/>
          <w:highlight w:val="none"/>
        </w:rPr>
        <w:t>报</w:t>
      </w:r>
      <w:r>
        <w:rPr>
          <w:rFonts w:ascii="宋体" w:hAnsi="宋体"/>
          <w:b/>
          <w:bCs/>
          <w:color w:val="auto"/>
          <w:sz w:val="52"/>
          <w:highlight w:val="none"/>
        </w:rPr>
        <w:t xml:space="preserve">  </w:t>
      </w:r>
      <w:r>
        <w:rPr>
          <w:rFonts w:hint="eastAsia" w:ascii="宋体" w:hAnsi="宋体"/>
          <w:b/>
          <w:bCs/>
          <w:color w:val="auto"/>
          <w:sz w:val="52"/>
          <w:highlight w:val="none"/>
        </w:rPr>
        <w:t>价</w:t>
      </w:r>
      <w:r>
        <w:rPr>
          <w:rFonts w:ascii="宋体" w:hAnsi="宋体"/>
          <w:b/>
          <w:bCs/>
          <w:color w:val="auto"/>
          <w:sz w:val="52"/>
          <w:highlight w:val="none"/>
        </w:rPr>
        <w:t xml:space="preserve">  </w:t>
      </w:r>
      <w:r>
        <w:rPr>
          <w:rFonts w:hint="eastAsia" w:ascii="宋体" w:hAnsi="宋体"/>
          <w:b/>
          <w:bCs/>
          <w:color w:val="auto"/>
          <w:sz w:val="52"/>
          <w:highlight w:val="none"/>
        </w:rPr>
        <w:t>书</w:t>
      </w: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spacing w:line="500" w:lineRule="exact"/>
        <w:rPr>
          <w:rFonts w:ascii="宋体" w:hAnsi="宋体"/>
          <w:b/>
          <w:bCs/>
          <w:color w:val="auto"/>
          <w:sz w:val="30"/>
          <w:highlight w:val="none"/>
        </w:rPr>
      </w:pPr>
    </w:p>
    <w:p>
      <w:pPr>
        <w:spacing w:line="500" w:lineRule="exact"/>
        <w:ind w:firstLine="2125" w:firstLineChars="756"/>
        <w:rPr>
          <w:rFonts w:ascii="宋体" w:hAnsi="宋体"/>
          <w:b/>
          <w:bCs/>
          <w:color w:val="auto"/>
          <w:sz w:val="28"/>
          <w:highlight w:val="none"/>
        </w:rPr>
      </w:pPr>
      <w:r>
        <w:rPr>
          <w:rFonts w:hint="eastAsia" w:ascii="宋体" w:hAnsi="宋体"/>
          <w:b/>
          <w:bCs/>
          <w:color w:val="auto"/>
          <w:sz w:val="28"/>
          <w:highlight w:val="none"/>
        </w:rPr>
        <w:t>投标人：</w:t>
      </w:r>
      <w:r>
        <w:rPr>
          <w:rFonts w:hint="eastAsia" w:ascii="宋体" w:hAnsi="宋体"/>
          <w:b/>
          <w:bCs/>
          <w:color w:val="auto"/>
          <w:sz w:val="28"/>
          <w:highlight w:val="none"/>
          <w:u w:val="single"/>
        </w:rPr>
        <w:t xml:space="preserve">                  </w:t>
      </w:r>
      <w:r>
        <w:rPr>
          <w:rFonts w:hint="eastAsia" w:ascii="宋体" w:hAnsi="宋体"/>
          <w:b/>
          <w:bCs/>
          <w:color w:val="auto"/>
          <w:sz w:val="28"/>
          <w:highlight w:val="none"/>
        </w:rPr>
        <w:t>（公章）</w:t>
      </w:r>
      <w:r>
        <w:rPr>
          <w:rFonts w:ascii="宋体" w:hAnsi="宋体"/>
          <w:b/>
          <w:bCs/>
          <w:color w:val="auto"/>
          <w:sz w:val="28"/>
          <w:highlight w:val="none"/>
        </w:rPr>
        <w:t xml:space="preserve"> </w:t>
      </w:r>
    </w:p>
    <w:p>
      <w:pPr>
        <w:spacing w:line="500" w:lineRule="exact"/>
        <w:ind w:firstLine="2125" w:firstLineChars="756"/>
        <w:jc w:val="left"/>
        <w:rPr>
          <w:rFonts w:ascii="宋体" w:hAnsi="宋体"/>
          <w:b/>
          <w:bCs/>
          <w:color w:val="auto"/>
          <w:sz w:val="28"/>
          <w:highlight w:val="none"/>
        </w:rPr>
      </w:pPr>
      <w:r>
        <w:rPr>
          <w:rFonts w:hint="eastAsia" w:ascii="宋体" w:hAnsi="宋体"/>
          <w:b/>
          <w:bCs/>
          <w:color w:val="auto"/>
          <w:sz w:val="28"/>
          <w:highlight w:val="none"/>
        </w:rPr>
        <w:t>法定代表人：</w:t>
      </w:r>
      <w:r>
        <w:rPr>
          <w:rFonts w:hint="eastAsia" w:ascii="宋体" w:hAnsi="宋体"/>
          <w:b/>
          <w:bCs/>
          <w:color w:val="auto"/>
          <w:sz w:val="28"/>
          <w:highlight w:val="none"/>
          <w:u w:val="single"/>
        </w:rPr>
        <w:t xml:space="preserve">               </w:t>
      </w:r>
      <w:r>
        <w:rPr>
          <w:rFonts w:hint="eastAsia" w:ascii="宋体" w:hAnsi="宋体"/>
          <w:b/>
          <w:bCs/>
          <w:color w:val="auto"/>
          <w:sz w:val="28"/>
          <w:highlight w:val="none"/>
        </w:rPr>
        <w:t>(签字或盖章)</w:t>
      </w:r>
    </w:p>
    <w:p>
      <w:pPr>
        <w:spacing w:line="500" w:lineRule="exact"/>
        <w:jc w:val="center"/>
        <w:rPr>
          <w:rFonts w:ascii="宋体" w:hAnsi="宋体"/>
          <w:b/>
          <w:bCs/>
          <w:color w:val="auto"/>
          <w:sz w:val="28"/>
          <w:highlight w:val="none"/>
        </w:rPr>
      </w:pPr>
      <w:r>
        <w:rPr>
          <w:rFonts w:hint="eastAsia" w:ascii="宋体" w:hAnsi="宋体"/>
          <w:b/>
          <w:bCs/>
          <w:color w:val="auto"/>
          <w:sz w:val="28"/>
          <w:highlight w:val="none"/>
        </w:rPr>
        <w:t>年</w:t>
      </w:r>
      <w:r>
        <w:rPr>
          <w:rFonts w:ascii="宋体" w:hAnsi="宋体"/>
          <w:b/>
          <w:bCs/>
          <w:color w:val="auto"/>
          <w:sz w:val="28"/>
          <w:highlight w:val="none"/>
        </w:rPr>
        <w:t xml:space="preserve">   </w:t>
      </w:r>
      <w:r>
        <w:rPr>
          <w:rFonts w:hint="eastAsia" w:ascii="宋体" w:hAnsi="宋体"/>
          <w:b/>
          <w:bCs/>
          <w:color w:val="auto"/>
          <w:sz w:val="28"/>
          <w:highlight w:val="none"/>
        </w:rPr>
        <w:t>月</w:t>
      </w:r>
      <w:r>
        <w:rPr>
          <w:rFonts w:ascii="宋体" w:hAnsi="宋体"/>
          <w:b/>
          <w:bCs/>
          <w:color w:val="auto"/>
          <w:sz w:val="28"/>
          <w:highlight w:val="none"/>
        </w:rPr>
        <w:t xml:space="preserve">   </w:t>
      </w:r>
      <w:r>
        <w:rPr>
          <w:rFonts w:hint="eastAsia" w:ascii="宋体" w:hAnsi="宋体"/>
          <w:b/>
          <w:bCs/>
          <w:color w:val="auto"/>
          <w:sz w:val="28"/>
          <w:highlight w:val="none"/>
        </w:rPr>
        <w:t>日</w:t>
      </w:r>
    </w:p>
    <w:p>
      <w:pPr>
        <w:spacing w:line="500" w:lineRule="exact"/>
        <w:jc w:val="center"/>
        <w:rPr>
          <w:rFonts w:ascii="宋体" w:hAnsi="宋体"/>
          <w:b/>
          <w:bCs/>
          <w:color w:val="auto"/>
          <w:sz w:val="30"/>
          <w:highlight w:val="none"/>
        </w:rPr>
      </w:pPr>
    </w:p>
    <w:p>
      <w:pPr>
        <w:spacing w:line="500" w:lineRule="exact"/>
        <w:jc w:val="center"/>
        <w:rPr>
          <w:rFonts w:ascii="宋体" w:hAnsi="宋体"/>
          <w:b/>
          <w:bCs/>
          <w:color w:val="auto"/>
          <w:sz w:val="30"/>
          <w:highlight w:val="none"/>
        </w:rPr>
      </w:pPr>
    </w:p>
    <w:p>
      <w:pPr>
        <w:pStyle w:val="2"/>
        <w:rPr>
          <w:rFonts w:ascii="宋体" w:hAnsi="宋体"/>
          <w:color w:val="auto"/>
          <w:highlight w:val="none"/>
        </w:rPr>
      </w:pPr>
      <w:r>
        <w:rPr>
          <w:rFonts w:hint="eastAsia" w:ascii="宋体" w:hAnsi="宋体"/>
          <w:color w:val="auto"/>
          <w:highlight w:val="none"/>
        </w:rPr>
        <w:t>注：联合体投标的，本表由联合体主办方出具，“投标人”填写联合体各方名称，由联合体主办方签字或盖章即可。</w:t>
      </w:r>
    </w:p>
    <w:p>
      <w:pPr>
        <w:spacing w:line="500" w:lineRule="exact"/>
        <w:rPr>
          <w:rFonts w:ascii="宋体" w:hAnsi="宋体"/>
          <w:color w:val="auto"/>
          <w:szCs w:val="21"/>
          <w:highlight w:val="none"/>
        </w:rPr>
        <w:sectPr>
          <w:pgSz w:w="11906" w:h="16838"/>
          <w:pgMar w:top="1440" w:right="1080" w:bottom="1440" w:left="1080" w:header="851" w:footer="1021" w:gutter="0"/>
          <w:cols w:space="720" w:num="1"/>
          <w:docGrid w:type="lines" w:linePitch="312" w:charSpace="0"/>
        </w:sectPr>
      </w:pPr>
    </w:p>
    <w:p>
      <w:pPr>
        <w:tabs>
          <w:tab w:val="left" w:pos="5560"/>
          <w:tab w:val="left" w:pos="6940"/>
        </w:tabs>
        <w:spacing w:line="480" w:lineRule="auto"/>
        <w:ind w:right="85" w:firstLine="3213" w:firstLineChars="1000"/>
        <w:jc w:val="left"/>
        <w:rPr>
          <w:rFonts w:ascii="宋体" w:hAnsi="宋体"/>
          <w:b/>
          <w:color w:val="auto"/>
          <w:sz w:val="32"/>
          <w:szCs w:val="28"/>
          <w:highlight w:val="none"/>
        </w:rPr>
      </w:pPr>
      <w:r>
        <w:rPr>
          <w:rFonts w:hint="eastAsia" w:ascii="宋体" w:hAnsi="宋体"/>
          <w:b/>
          <w:color w:val="auto"/>
          <w:sz w:val="32"/>
          <w:szCs w:val="28"/>
          <w:highlight w:val="none"/>
        </w:rPr>
        <w:t>投标报价汇总表</w:t>
      </w:r>
    </w:p>
    <w:p>
      <w:pPr>
        <w:pStyle w:val="2"/>
        <w:rPr>
          <w:rFonts w:ascii="宋体" w:hAnsi="宋体"/>
          <w:color w:val="auto"/>
          <w:highlight w:val="none"/>
        </w:rPr>
      </w:pPr>
    </w:p>
    <w:p>
      <w:pPr>
        <w:pStyle w:val="28"/>
        <w:ind w:firstLine="0"/>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s="宋体"/>
          <w:color w:val="auto"/>
          <w:sz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5"/>
        <w:gridCol w:w="269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565" w:type="dxa"/>
            <w:vAlign w:val="center"/>
          </w:tcPr>
          <w:p>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标段名称</w:t>
            </w:r>
          </w:p>
        </w:tc>
        <w:tc>
          <w:tcPr>
            <w:tcW w:w="2693" w:type="dxa"/>
            <w:vAlign w:val="center"/>
          </w:tcPr>
          <w:p>
            <w:pPr>
              <w:jc w:val="center"/>
              <w:rPr>
                <w:rFonts w:ascii="宋体" w:hAnsi="宋体" w:cs="华文楷体"/>
                <w:bCs/>
                <w:color w:val="auto"/>
                <w:kern w:val="0"/>
                <w:sz w:val="24"/>
                <w:szCs w:val="24"/>
                <w:highlight w:val="none"/>
                <w:lang w:bidi="ar"/>
              </w:rPr>
            </w:pPr>
            <w:r>
              <w:rPr>
                <w:rFonts w:hint="eastAsia" w:ascii="宋体" w:hAnsi="宋体" w:cs="华文楷体"/>
                <w:b/>
                <w:color w:val="auto"/>
                <w:kern w:val="0"/>
                <w:sz w:val="24"/>
                <w:szCs w:val="24"/>
                <w:highlight w:val="none"/>
                <w:lang w:bidi="ar"/>
              </w:rPr>
              <w:t>投标报价（元）</w:t>
            </w:r>
          </w:p>
        </w:tc>
        <w:tc>
          <w:tcPr>
            <w:tcW w:w="2261" w:type="dxa"/>
            <w:vAlign w:val="center"/>
          </w:tcPr>
          <w:p>
            <w:pPr>
              <w:jc w:val="center"/>
              <w:rPr>
                <w:rFonts w:ascii="宋体" w:hAnsi="宋体" w:cs="华文楷体"/>
                <w:b/>
                <w:color w:val="auto"/>
                <w:kern w:val="0"/>
                <w:sz w:val="24"/>
                <w:szCs w:val="24"/>
                <w:highlight w:val="none"/>
                <w:lang w:bidi="ar"/>
              </w:rPr>
            </w:pPr>
            <w:r>
              <w:rPr>
                <w:rFonts w:hint="eastAsia" w:ascii="宋体" w:hAnsi="宋体" w:cs="华文楷体"/>
                <w:b/>
                <w:color w:val="auto"/>
                <w:kern w:val="0"/>
                <w:sz w:val="24"/>
                <w:szCs w:val="24"/>
                <w:highlight w:val="none"/>
                <w:lang w:bidi="ar"/>
              </w:rPr>
              <w:t>投标下浮率（%）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565" w:type="dxa"/>
            <w:vAlign w:val="center"/>
          </w:tcPr>
          <w:p>
            <w:pPr>
              <w:jc w:val="center"/>
              <w:rPr>
                <w:rFonts w:hint="eastAsia" w:ascii="宋体" w:hAnsi="宋体" w:eastAsia="宋体" w:cs="华文楷体"/>
                <w:bCs/>
                <w:color w:val="auto"/>
                <w:kern w:val="0"/>
                <w:sz w:val="24"/>
                <w:szCs w:val="24"/>
                <w:highlight w:val="none"/>
                <w:lang w:eastAsia="zh-CN" w:bidi="ar"/>
              </w:rPr>
            </w:pPr>
            <w:r>
              <w:rPr>
                <w:rFonts w:hint="eastAsia" w:ascii="宋体" w:hAnsi="宋体" w:cs="宋体"/>
                <w:color w:val="auto"/>
                <w:sz w:val="24"/>
                <w:szCs w:val="24"/>
                <w:highlight w:val="none"/>
                <w:u w:val="single"/>
                <w:lang w:eastAsia="zh-CN"/>
              </w:rPr>
              <w:t>黄埔区开放大道北二期建设工程第三方检测服务</w:t>
            </w:r>
          </w:p>
        </w:tc>
        <w:tc>
          <w:tcPr>
            <w:tcW w:w="2693" w:type="dxa"/>
            <w:vAlign w:val="center"/>
          </w:tcPr>
          <w:p>
            <w:pPr>
              <w:widowControl/>
              <w:jc w:val="center"/>
              <w:textAlignment w:val="center"/>
              <w:rPr>
                <w:rFonts w:ascii="宋体" w:hAnsi="宋体" w:cs="华文楷体"/>
                <w:b/>
                <w:color w:val="auto"/>
                <w:kern w:val="0"/>
                <w:sz w:val="24"/>
                <w:szCs w:val="24"/>
                <w:highlight w:val="none"/>
                <w:lang w:bidi="ar"/>
              </w:rPr>
            </w:pPr>
          </w:p>
        </w:tc>
        <w:tc>
          <w:tcPr>
            <w:tcW w:w="2261" w:type="dxa"/>
            <w:vAlign w:val="center"/>
          </w:tcPr>
          <w:p>
            <w:pPr>
              <w:jc w:val="center"/>
              <w:rPr>
                <w:rFonts w:ascii="宋体" w:hAnsi="宋体" w:cs="华文楷体"/>
                <w:b/>
                <w:color w:val="auto"/>
                <w:kern w:val="0"/>
                <w:sz w:val="24"/>
                <w:szCs w:val="24"/>
                <w:highlight w:val="none"/>
                <w:lang w:bidi="ar"/>
              </w:rPr>
            </w:pPr>
          </w:p>
        </w:tc>
      </w:tr>
    </w:tbl>
    <w:p>
      <w:pPr>
        <w:rPr>
          <w:rFonts w:ascii="宋体" w:hAnsi="宋体"/>
          <w:color w:val="auto"/>
          <w:sz w:val="24"/>
          <w:szCs w:val="24"/>
          <w:highlight w:val="none"/>
        </w:rPr>
      </w:pPr>
      <w:bookmarkStart w:id="214" w:name="_Toc374536218"/>
      <w:bookmarkStart w:id="215" w:name="_Toc333829923"/>
      <w:bookmarkStart w:id="216" w:name="_Toc374610687"/>
      <w:bookmarkStart w:id="217" w:name="_Toc31556"/>
      <w:bookmarkStart w:id="218" w:name="_Toc266373531"/>
      <w:bookmarkStart w:id="219" w:name="_Toc390704770"/>
    </w:p>
    <w:p>
      <w:pPr>
        <w:pStyle w:val="2"/>
        <w:ind w:firstLine="482"/>
        <w:rPr>
          <w:rFonts w:ascii="宋体" w:hAnsi="宋体"/>
          <w:b/>
          <w:color w:val="auto"/>
          <w:sz w:val="24"/>
          <w:highlight w:val="none"/>
          <w:u w:val="single"/>
        </w:rPr>
      </w:pPr>
      <w:r>
        <w:rPr>
          <w:rFonts w:hint="eastAsia" w:ascii="宋体" w:hAnsi="宋体"/>
          <w:b/>
          <w:color w:val="auto"/>
          <w:sz w:val="24"/>
          <w:highlight w:val="none"/>
          <w:u w:val="single"/>
        </w:rPr>
        <w:t>注：</w:t>
      </w:r>
    </w:p>
    <w:p>
      <w:pPr>
        <w:pStyle w:val="2"/>
        <w:numPr>
          <w:ilvl w:val="0"/>
          <w:numId w:val="3"/>
        </w:numPr>
        <w:ind w:firstLine="482"/>
        <w:rPr>
          <w:rFonts w:ascii="宋体" w:hAnsi="宋体"/>
          <w:b/>
          <w:color w:val="auto"/>
          <w:sz w:val="24"/>
          <w:highlight w:val="none"/>
          <w:u w:val="single"/>
        </w:rPr>
      </w:pPr>
      <w:r>
        <w:rPr>
          <w:rFonts w:hint="eastAsia" w:ascii="宋体" w:hAnsi="宋体"/>
          <w:b/>
          <w:color w:val="auto"/>
          <w:sz w:val="24"/>
          <w:highlight w:val="none"/>
          <w:u w:val="single"/>
        </w:rPr>
        <w:t>投标下浮率=（1-投标报价/暂定金额）*100%。</w:t>
      </w:r>
    </w:p>
    <w:p>
      <w:pPr>
        <w:pStyle w:val="2"/>
        <w:ind w:firstLine="482"/>
        <w:rPr>
          <w:rFonts w:ascii="宋体" w:hAnsi="宋体"/>
          <w:b/>
          <w:color w:val="auto"/>
          <w:sz w:val="24"/>
          <w:highlight w:val="none"/>
          <w:u w:val="single"/>
        </w:rPr>
      </w:pPr>
      <w:r>
        <w:rPr>
          <w:rFonts w:hint="eastAsia" w:ascii="宋体" w:hAnsi="宋体"/>
          <w:b/>
          <w:color w:val="auto"/>
          <w:sz w:val="24"/>
          <w:highlight w:val="none"/>
          <w:u w:val="single"/>
        </w:rPr>
        <w:t>2、投标报价=暂定金额*（1-投标下浮率）</w:t>
      </w:r>
    </w:p>
    <w:p>
      <w:pPr>
        <w:pStyle w:val="2"/>
        <w:ind w:left="0" w:leftChars="0" w:firstLine="964" w:firstLineChars="400"/>
        <w:rPr>
          <w:rFonts w:ascii="宋体" w:hAnsi="宋体"/>
          <w:b/>
          <w:color w:val="auto"/>
          <w:sz w:val="24"/>
          <w:highlight w:val="none"/>
          <w:u w:val="single"/>
        </w:rPr>
      </w:pPr>
      <w:r>
        <w:rPr>
          <w:rFonts w:hint="eastAsia" w:ascii="宋体" w:hAnsi="宋体"/>
          <w:b/>
          <w:color w:val="auto"/>
          <w:sz w:val="24"/>
          <w:highlight w:val="none"/>
          <w:u w:val="single"/>
        </w:rPr>
        <w:t>3、最高投标限价：人民币 2321.54</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u w:val="single"/>
        </w:rPr>
        <w:t>万元（最高投标限价为暂定金额下浮5%）</w:t>
      </w:r>
    </w:p>
    <w:p>
      <w:pPr>
        <w:pStyle w:val="2"/>
        <w:ind w:firstLine="482"/>
        <w:rPr>
          <w:rFonts w:ascii="宋体" w:hAnsi="宋体"/>
          <w:b/>
          <w:color w:val="auto"/>
          <w:sz w:val="24"/>
          <w:highlight w:val="none"/>
          <w:u w:val="single"/>
        </w:rPr>
      </w:pPr>
      <w:r>
        <w:rPr>
          <w:rFonts w:hint="eastAsia" w:ascii="宋体" w:hAnsi="宋体"/>
          <w:b/>
          <w:color w:val="auto"/>
          <w:sz w:val="24"/>
          <w:highlight w:val="none"/>
          <w:u w:val="single"/>
        </w:rPr>
        <w:t>4、精确到小数点后2位。</w:t>
      </w:r>
    </w:p>
    <w:p>
      <w:pPr>
        <w:pStyle w:val="2"/>
        <w:ind w:firstLine="482"/>
        <w:rPr>
          <w:rFonts w:ascii="宋体" w:hAnsi="宋体"/>
          <w:b/>
          <w:color w:val="auto"/>
          <w:sz w:val="24"/>
          <w:highlight w:val="none"/>
          <w:u w:val="single"/>
        </w:rPr>
      </w:pPr>
    </w:p>
    <w:p>
      <w:pPr>
        <w:pStyle w:val="2"/>
        <w:ind w:firstLine="480"/>
        <w:rPr>
          <w:rFonts w:ascii="宋体" w:hAnsi="宋体"/>
          <w:color w:val="auto"/>
          <w:sz w:val="24"/>
          <w:highlight w:val="none"/>
        </w:rPr>
      </w:pPr>
    </w:p>
    <w:p>
      <w:pPr>
        <w:pStyle w:val="2"/>
        <w:ind w:firstLine="480"/>
        <w:rPr>
          <w:rFonts w:ascii="宋体" w:hAnsi="宋体"/>
          <w:color w:val="auto"/>
          <w:sz w:val="24"/>
          <w:highlight w:val="none"/>
        </w:rPr>
      </w:pPr>
    </w:p>
    <w:p>
      <w:pPr>
        <w:pStyle w:val="2"/>
        <w:ind w:firstLine="480"/>
        <w:rPr>
          <w:rFonts w:ascii="宋体" w:hAnsi="宋体"/>
          <w:color w:val="auto"/>
          <w:sz w:val="24"/>
          <w:highlight w:val="none"/>
        </w:rPr>
      </w:pPr>
    </w:p>
    <w:p>
      <w:pPr>
        <w:pStyle w:val="16"/>
        <w:tabs>
          <w:tab w:val="left" w:pos="7321"/>
        </w:tabs>
        <w:spacing w:before="36"/>
        <w:ind w:left="2701"/>
        <w:jc w:val="right"/>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u w:val="single" w:color="000000"/>
        </w:rPr>
        <w:tab/>
      </w:r>
      <w:r>
        <w:rPr>
          <w:rFonts w:hint="eastAsia" w:ascii="宋体" w:hAnsi="宋体"/>
          <w:color w:val="auto"/>
          <w:sz w:val="24"/>
          <w:szCs w:val="24"/>
          <w:highlight w:val="none"/>
        </w:rPr>
        <w:t>（盖单位章）</w:t>
      </w:r>
    </w:p>
    <w:p>
      <w:pPr>
        <w:spacing w:before="13"/>
        <w:jc w:val="right"/>
        <w:rPr>
          <w:rFonts w:ascii="宋体" w:hAnsi="宋体" w:cs="宋体"/>
          <w:color w:val="auto"/>
          <w:sz w:val="24"/>
          <w:szCs w:val="24"/>
          <w:highlight w:val="none"/>
        </w:rPr>
      </w:pPr>
    </w:p>
    <w:p>
      <w:pPr>
        <w:pStyle w:val="16"/>
        <w:tabs>
          <w:tab w:val="left" w:pos="6481"/>
        </w:tabs>
        <w:spacing w:before="36"/>
        <w:ind w:left="2701"/>
        <w:jc w:val="right"/>
        <w:rPr>
          <w:rFonts w:ascii="宋体" w:hAnsi="宋体"/>
          <w:color w:val="auto"/>
          <w:sz w:val="24"/>
          <w:szCs w:val="24"/>
          <w:highlight w:val="none"/>
        </w:rPr>
      </w:pPr>
      <w:r>
        <w:rPr>
          <w:rFonts w:hint="eastAsia" w:ascii="宋体" w:hAnsi="宋体"/>
          <w:color w:val="auto"/>
          <w:spacing w:val="-2"/>
          <w:sz w:val="24"/>
          <w:szCs w:val="24"/>
          <w:highlight w:val="none"/>
        </w:rPr>
        <w:t>法定代表人或其委托代理人：</w:t>
      </w:r>
      <w:r>
        <w:rPr>
          <w:rFonts w:ascii="宋体" w:hAnsi="宋体"/>
          <w:color w:val="auto"/>
          <w:spacing w:val="-2"/>
          <w:sz w:val="24"/>
          <w:szCs w:val="24"/>
          <w:highlight w:val="none"/>
          <w:u w:val="single" w:color="000000"/>
        </w:rPr>
        <w:tab/>
      </w:r>
      <w:r>
        <w:rPr>
          <w:rFonts w:hint="eastAsia" w:ascii="宋体" w:hAnsi="宋体"/>
          <w:color w:val="auto"/>
          <w:spacing w:val="-1"/>
          <w:sz w:val="24"/>
          <w:szCs w:val="24"/>
          <w:highlight w:val="none"/>
        </w:rPr>
        <w:t>（签字或盖章）</w:t>
      </w:r>
    </w:p>
    <w:p>
      <w:pPr>
        <w:spacing w:before="10"/>
        <w:jc w:val="right"/>
        <w:rPr>
          <w:rFonts w:ascii="宋体" w:hAnsi="宋体" w:cs="宋体"/>
          <w:color w:val="auto"/>
          <w:sz w:val="24"/>
          <w:szCs w:val="24"/>
          <w:highlight w:val="none"/>
        </w:rPr>
      </w:pPr>
    </w:p>
    <w:p>
      <w:pPr>
        <w:pStyle w:val="2"/>
        <w:ind w:firstLine="480"/>
        <w:jc w:val="right"/>
        <w:rPr>
          <w:rFonts w:ascii="宋体" w:hAnsi="宋体"/>
          <w:color w:val="auto"/>
          <w:highlight w:val="none"/>
        </w:rPr>
      </w:pPr>
      <w:r>
        <w:rPr>
          <w:rFonts w:ascii="宋体" w:hAnsi="宋体"/>
          <w:color w:val="auto"/>
          <w:sz w:val="24"/>
          <w:highlight w:val="none"/>
          <w:u w:val="single" w:color="000000"/>
        </w:rPr>
        <w:tab/>
      </w:r>
      <w:r>
        <w:rPr>
          <w:rFonts w:hint="eastAsia" w:ascii="宋体" w:hAnsi="宋体"/>
          <w:color w:val="auto"/>
          <w:sz w:val="24"/>
          <w:highlight w:val="none"/>
          <w:u w:val="single" w:color="000000"/>
        </w:rPr>
        <w:t xml:space="preserve">  </w:t>
      </w:r>
      <w:r>
        <w:rPr>
          <w:rFonts w:hint="eastAsia" w:ascii="宋体" w:hAnsi="宋体"/>
          <w:color w:val="auto"/>
          <w:sz w:val="24"/>
          <w:highlight w:val="none"/>
        </w:rPr>
        <w:t>年</w:t>
      </w:r>
      <w:r>
        <w:rPr>
          <w:rFonts w:ascii="宋体" w:hAnsi="宋体"/>
          <w:color w:val="auto"/>
          <w:sz w:val="24"/>
          <w:highlight w:val="none"/>
          <w:u w:val="single" w:color="000000"/>
        </w:rPr>
        <w:tab/>
      </w:r>
      <w:r>
        <w:rPr>
          <w:rFonts w:ascii="宋体" w:hAnsi="宋体"/>
          <w:color w:val="auto"/>
          <w:sz w:val="24"/>
          <w:highlight w:val="none"/>
          <w:u w:val="single" w:color="000000"/>
        </w:rPr>
        <w:t xml:space="preserve"> </w:t>
      </w:r>
      <w:r>
        <w:rPr>
          <w:rFonts w:hint="eastAsia" w:ascii="宋体" w:hAnsi="宋体"/>
          <w:color w:val="auto"/>
          <w:sz w:val="24"/>
          <w:highlight w:val="none"/>
        </w:rPr>
        <w:t>月</w:t>
      </w:r>
      <w:r>
        <w:rPr>
          <w:rFonts w:ascii="宋体" w:hAnsi="宋体"/>
          <w:color w:val="auto"/>
          <w:sz w:val="24"/>
          <w:highlight w:val="none"/>
          <w:u w:val="single" w:color="000000"/>
        </w:rPr>
        <w:tab/>
      </w:r>
      <w:r>
        <w:rPr>
          <w:rFonts w:ascii="宋体" w:hAnsi="宋体"/>
          <w:color w:val="auto"/>
          <w:sz w:val="24"/>
          <w:highlight w:val="none"/>
          <w:u w:val="single" w:color="000000"/>
        </w:rPr>
        <w:t xml:space="preserve">  </w:t>
      </w:r>
      <w:r>
        <w:rPr>
          <w:rFonts w:hint="eastAsia" w:ascii="宋体" w:hAnsi="宋体"/>
          <w:color w:val="auto"/>
          <w:sz w:val="24"/>
          <w:highlight w:val="none"/>
        </w:rPr>
        <w:t>日</w:t>
      </w:r>
    </w:p>
    <w:p>
      <w:pPr>
        <w:rPr>
          <w:rFonts w:ascii="宋体" w:hAnsi="宋体"/>
          <w:bCs/>
          <w:color w:val="auto"/>
          <w:sz w:val="24"/>
          <w:szCs w:val="24"/>
          <w:highlight w:val="none"/>
        </w:rPr>
      </w:pPr>
    </w:p>
    <w:p>
      <w:pPr>
        <w:rPr>
          <w:rFonts w:ascii="宋体" w:hAnsi="宋体"/>
          <w:color w:val="auto"/>
          <w:highlight w:val="none"/>
        </w:rPr>
      </w:pPr>
      <w:bookmarkStart w:id="220" w:name="_Toc15070"/>
      <w:r>
        <w:rPr>
          <w:rFonts w:hint="eastAsia" w:ascii="宋体" w:hAnsi="宋体"/>
          <w:bCs/>
          <w:color w:val="auto"/>
          <w:sz w:val="24"/>
          <w:szCs w:val="24"/>
          <w:highlight w:val="none"/>
        </w:rPr>
        <w:t>注：联合体投标的，本表由联合体主办方出具，“投标人”填写联合体各方名称，由联合体主办方签字或盖章即可。</w:t>
      </w:r>
      <w:r>
        <w:rPr>
          <w:rFonts w:ascii="宋体" w:hAnsi="宋体"/>
          <w:color w:val="auto"/>
          <w:highlight w:val="none"/>
        </w:rPr>
        <w:br w:type="page"/>
      </w:r>
      <w:bookmarkEnd w:id="214"/>
      <w:bookmarkEnd w:id="215"/>
      <w:bookmarkEnd w:id="216"/>
      <w:bookmarkEnd w:id="217"/>
      <w:bookmarkEnd w:id="218"/>
      <w:bookmarkEnd w:id="219"/>
      <w:r>
        <w:rPr>
          <w:rFonts w:hint="eastAsia" w:ascii="宋体" w:hAnsi="宋体" w:eastAsia="宋体" w:cs="Times New Roman"/>
          <w:b/>
          <w:color w:val="auto"/>
          <w:kern w:val="2"/>
          <w:sz w:val="28"/>
          <w:szCs w:val="28"/>
          <w:highlight w:val="none"/>
          <w:lang w:val="en-US" w:eastAsia="zh-CN" w:bidi="ar-SA"/>
        </w:rPr>
        <w:t>五、资格审查资料</w:t>
      </w:r>
      <w:bookmarkEnd w:id="220"/>
    </w:p>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（一）投标人基本情况表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投标人名称</w:t>
            </w:r>
          </w:p>
        </w:tc>
        <w:tc>
          <w:tcPr>
            <w:tcW w:w="6840" w:type="dxa"/>
            <w:gridSpan w:val="8"/>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邮政编码</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r>
              <w:rPr>
                <w:rFonts w:hint="eastAsia" w:ascii="宋体" w:hAnsi="宋体"/>
                <w:color w:val="auto"/>
                <w:highlight w:val="none"/>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传真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网址</w:t>
            </w:r>
          </w:p>
        </w:tc>
        <w:tc>
          <w:tcPr>
            <w:tcW w:w="2342"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r>
              <w:rPr>
                <w:rFonts w:hint="eastAsia" w:ascii="宋体" w:hAnsi="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电话</w:t>
            </w:r>
          </w:p>
        </w:tc>
        <w:tc>
          <w:tcPr>
            <w:tcW w:w="1230" w:type="dxa"/>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企业资质证书</w:t>
            </w:r>
          </w:p>
        </w:tc>
        <w:tc>
          <w:tcPr>
            <w:tcW w:w="6840" w:type="dxa"/>
            <w:gridSpan w:val="8"/>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质量管理体系证书（如有）</w:t>
            </w:r>
          </w:p>
        </w:tc>
        <w:tc>
          <w:tcPr>
            <w:tcW w:w="6840" w:type="dxa"/>
            <w:gridSpan w:val="8"/>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ind w:firstLine="105" w:firstLineChars="50"/>
              <w:jc w:val="center"/>
              <w:rPr>
                <w:rFonts w:ascii="宋体" w:hAnsi="宋体"/>
                <w:color w:val="auto"/>
                <w:highlight w:val="none"/>
              </w:rPr>
            </w:pPr>
            <w:r>
              <w:rPr>
                <w:rFonts w:hint="eastAsia" w:ascii="宋体" w:hAnsi="宋体"/>
                <w:color w:val="auto"/>
                <w:highlight w:val="none"/>
              </w:rPr>
              <w:t>类型：等级：证书号：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3629" w:type="dxa"/>
            <w:gridSpan w:val="5"/>
            <w:tcBorders>
              <w:top w:val="single" w:color="auto" w:sz="4" w:space="0"/>
              <w:left w:val="single" w:color="auto" w:sz="4" w:space="0"/>
              <w:bottom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高级职称人员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中级职称人员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技术人员数量</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highlight w:val="none"/>
              </w:rPr>
            </w:pPr>
          </w:p>
        </w:tc>
        <w:tc>
          <w:tcPr>
            <w:tcW w:w="414" w:type="dxa"/>
            <w:vMerge w:val="continue"/>
            <w:tcBorders>
              <w:left w:val="single" w:color="auto" w:sz="4" w:space="0"/>
              <w:right w:val="single" w:color="auto" w:sz="4" w:space="0"/>
            </w:tcBorders>
            <w:vAlign w:val="center"/>
          </w:tcPr>
          <w:p>
            <w:pPr>
              <w:jc w:val="center"/>
              <w:rPr>
                <w:rFonts w:ascii="宋体" w:hAnsi="宋体"/>
                <w:color w:val="auto"/>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各类注册人员</w:t>
            </w:r>
          </w:p>
        </w:tc>
        <w:tc>
          <w:tcPr>
            <w:tcW w:w="15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宋体" w:hAnsi="宋体"/>
                <w:color w:val="auto"/>
                <w:highlight w:val="none"/>
              </w:rPr>
            </w:pPr>
            <w:r>
              <w:rPr>
                <w:rFonts w:hint="eastAsia" w:ascii="宋体" w:hAnsi="宋体"/>
                <w:color w:val="auto"/>
                <w:highlight w:val="none"/>
              </w:rPr>
              <w:t>经营范围</w:t>
            </w:r>
          </w:p>
        </w:tc>
        <w:tc>
          <w:tcPr>
            <w:tcW w:w="6840" w:type="dxa"/>
            <w:gridSpan w:val="8"/>
            <w:tcBorders>
              <w:top w:val="single" w:color="auto" w:sz="4" w:space="0"/>
              <w:left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pPr>
              <w:topLinePunct/>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olor w:val="auto"/>
                <w:highlight w:val="none"/>
              </w:rPr>
            </w:pPr>
            <w:r>
              <w:rPr>
                <w:rFonts w:hint="eastAsia" w:ascii="宋体" w:hAnsi="宋体"/>
                <w:color w:val="auto"/>
                <w:highlight w:val="none"/>
              </w:rPr>
              <w:t>备注</w:t>
            </w:r>
          </w:p>
        </w:tc>
        <w:tc>
          <w:tcPr>
            <w:tcW w:w="6840" w:type="dxa"/>
            <w:gridSpan w:val="8"/>
            <w:tcBorders>
              <w:top w:val="single" w:color="auto" w:sz="4" w:space="0"/>
              <w:left w:val="single" w:color="auto" w:sz="4" w:space="0"/>
              <w:bottom w:val="single" w:color="auto" w:sz="4" w:space="0"/>
            </w:tcBorders>
            <w:vAlign w:val="center"/>
          </w:tcPr>
          <w:p>
            <w:pPr>
              <w:topLinePunct/>
              <w:spacing w:line="440" w:lineRule="exact"/>
              <w:jc w:val="center"/>
              <w:rPr>
                <w:rFonts w:ascii="宋体" w:hAnsi="宋体"/>
                <w:color w:val="auto"/>
                <w:highlight w:val="none"/>
              </w:rPr>
            </w:pPr>
          </w:p>
        </w:tc>
      </w:tr>
    </w:tbl>
    <w:p>
      <w:pPr>
        <w:snapToGrid w:val="0"/>
        <w:rPr>
          <w:rFonts w:ascii="宋体" w:hAnsi="宋体"/>
          <w:color w:val="auto"/>
          <w:spacing w:val="-5"/>
          <w:szCs w:val="21"/>
          <w:highlight w:val="none"/>
        </w:rPr>
      </w:pPr>
    </w:p>
    <w:p>
      <w:pPr>
        <w:snapToGrid w:val="0"/>
        <w:ind w:firstLine="400" w:firstLineChars="200"/>
        <w:jc w:val="left"/>
        <w:rPr>
          <w:rFonts w:ascii="宋体" w:hAnsi="宋体"/>
          <w:color w:val="auto"/>
          <w:spacing w:val="-5"/>
          <w:szCs w:val="21"/>
          <w:highlight w:val="none"/>
        </w:rPr>
      </w:pPr>
      <w:r>
        <w:rPr>
          <w:rFonts w:hint="eastAsia" w:ascii="宋体" w:hAnsi="宋体"/>
          <w:color w:val="auto"/>
          <w:spacing w:val="-5"/>
          <w:szCs w:val="21"/>
          <w:highlight w:val="none"/>
        </w:rPr>
        <w:t>注：</w:t>
      </w:r>
      <w:r>
        <w:rPr>
          <w:rFonts w:ascii="宋体" w:hAnsi="宋体"/>
          <w:color w:val="auto"/>
          <w:spacing w:val="-5"/>
          <w:szCs w:val="21"/>
          <w:highlight w:val="none"/>
        </w:rPr>
        <w:t>1.</w:t>
      </w:r>
      <w:r>
        <w:rPr>
          <w:rFonts w:hint="eastAsia" w:ascii="宋体" w:hAnsi="宋体"/>
          <w:color w:val="auto"/>
          <w:spacing w:val="-5"/>
          <w:szCs w:val="21"/>
          <w:highlight w:val="none"/>
        </w:rPr>
        <w:t>联系人栏应填写两个人的联系方式以便于联系。</w:t>
      </w:r>
    </w:p>
    <w:p>
      <w:pPr>
        <w:numPr>
          <w:ilvl w:val="0"/>
          <w:numId w:val="3"/>
        </w:numPr>
        <w:snapToGrid w:val="0"/>
        <w:ind w:left="420" w:leftChars="200" w:firstLine="420" w:firstLineChars="200"/>
        <w:jc w:val="left"/>
        <w:rPr>
          <w:rFonts w:ascii="宋体" w:hAnsi="宋体"/>
          <w:color w:val="auto"/>
          <w:position w:val="-30"/>
          <w:szCs w:val="21"/>
          <w:highlight w:val="none"/>
        </w:rPr>
      </w:pPr>
      <w:r>
        <w:rPr>
          <w:rFonts w:hint="eastAsia" w:ascii="宋体" w:hAnsi="宋体"/>
          <w:color w:val="auto"/>
          <w:position w:val="-30"/>
          <w:szCs w:val="21"/>
          <w:highlight w:val="none"/>
        </w:rPr>
        <w:t>本表后须附检测投标单位的营业执照副本或事业单位法人证书副本、建设行政主管部门颁发的建设工程质量检测机构资质证书、</w:t>
      </w:r>
      <w:r>
        <w:rPr>
          <w:rFonts w:ascii="宋体" w:hAnsi="宋体"/>
          <w:color w:val="auto"/>
          <w:position w:val="-30"/>
          <w:szCs w:val="21"/>
          <w:highlight w:val="none"/>
        </w:rPr>
        <w:t>CMA</w:t>
      </w:r>
      <w:r>
        <w:rPr>
          <w:rFonts w:hint="eastAsia" w:ascii="宋体" w:hAnsi="宋体"/>
          <w:color w:val="auto"/>
          <w:position w:val="-30"/>
          <w:szCs w:val="21"/>
          <w:highlight w:val="none"/>
        </w:rPr>
        <w:t>计量认证合格证书以及其他相关证明材料。</w:t>
      </w:r>
    </w:p>
    <w:p>
      <w:pPr>
        <w:widowControl/>
        <w:jc w:val="center"/>
        <w:rPr>
          <w:rFonts w:ascii="宋体" w:hAnsi="宋体" w:cs="宋体"/>
          <w:b/>
          <w:bCs/>
          <w:color w:val="auto"/>
          <w:kern w:val="0"/>
          <w:sz w:val="28"/>
          <w:szCs w:val="28"/>
          <w:highlight w:val="none"/>
        </w:rPr>
      </w:pPr>
      <w:r>
        <w:rPr>
          <w:rFonts w:hint="eastAsia" w:ascii="宋体" w:hAnsi="宋体"/>
          <w:color w:val="auto"/>
          <w:position w:val="-30"/>
          <w:sz w:val="22"/>
          <w:highlight w:val="none"/>
        </w:rPr>
        <w:t>3、联合体投标的，本表由联合体主办方出具，并由联合体主办方签字或盖章即可。</w:t>
      </w:r>
      <w:r>
        <w:rPr>
          <w:rFonts w:ascii="宋体" w:hAnsi="宋体"/>
          <w:color w:val="auto"/>
          <w:position w:val="-30"/>
          <w:sz w:val="22"/>
          <w:highlight w:val="none"/>
        </w:rPr>
        <w:br w:type="page"/>
      </w:r>
      <w:r>
        <w:rPr>
          <w:rFonts w:hint="eastAsia" w:ascii="宋体" w:hAnsi="宋体" w:cs="宋体"/>
          <w:b/>
          <w:bCs/>
          <w:color w:val="auto"/>
          <w:kern w:val="0"/>
          <w:sz w:val="28"/>
          <w:szCs w:val="28"/>
          <w:highlight w:val="none"/>
        </w:rPr>
        <w:t>（二）投标申请人声明</w:t>
      </w:r>
    </w:p>
    <w:p>
      <w:pPr>
        <w:keepNext w:val="0"/>
        <w:keepLines w:val="0"/>
        <w:pageBreakBefore w:val="0"/>
        <w:kinsoku/>
        <w:wordWrap/>
        <w:overflowPunct/>
        <w:topLinePunct w:val="0"/>
        <w:autoSpaceDE/>
        <w:autoSpaceDN/>
        <w:bidi w:val="0"/>
        <w:spacing w:line="360" w:lineRule="auto"/>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本招标项目招标人及招标监管机构：</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二、本公司保证在本项目投标中不与其他单位围标、串标，不出让投标资格，不向招标人或评标委员会成员行贿。</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本公司未被纳入联合惩戒范围；本公司近二年（从</w:t>
      </w:r>
      <w:r>
        <w:rPr>
          <w:rFonts w:hint="eastAsia" w:ascii="宋体" w:hAnsi="宋体"/>
          <w:color w:val="auto"/>
          <w:sz w:val="24"/>
          <w:szCs w:val="24"/>
          <w:highlight w:val="none"/>
          <w:lang w:val="en-US" w:eastAsia="zh-CN"/>
        </w:rPr>
        <w:t>2020</w:t>
      </w:r>
      <w:r>
        <w:rPr>
          <w:rFonts w:hint="eastAsia" w:ascii="宋体" w:hAnsi="宋体"/>
          <w:color w:val="auto"/>
          <w:sz w:val="24"/>
          <w:szCs w:val="24"/>
          <w:highlight w:val="none"/>
        </w:rPr>
        <w:t>年1月1日起至投标截止时间止）未因以往检测工作中存在伪造检测数据、出具虚假检测报告的行为被各级建设行政主管部门或市场监督管理部门行政处罚或通报的。</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四、本公司不存在招标文件第二章投标人须知第1.4.3项所规定的任何一种情形。</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六、与本公司单位负责人为同一人或者与本公司存在控股、管理关系的其他单位包括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。（注：本条由投标人如实填写，如有，应列出全部满足招标公告资质要求的相关单位的名称；如无，则填写“无”。）</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七、本公司承诺，中标后严格执行安全生产相关管理规定。</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九、本单位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w:t>
      </w:r>
    </w:p>
    <w:p>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十、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sz w:val="24"/>
          <w:szCs w:val="24"/>
          <w:highlight w:val="none"/>
        </w:rPr>
      </w:pPr>
      <w:r>
        <w:rPr>
          <w:rFonts w:hint="eastAsia" w:ascii="宋体" w:hAnsi="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keepNext w:val="0"/>
        <w:keepLines w:val="0"/>
        <w:pageBreakBefore w:val="0"/>
        <w:kinsoku/>
        <w:wordWrap/>
        <w:overflowPunct/>
        <w:topLinePunct w:val="0"/>
        <w:autoSpaceDE/>
        <w:autoSpaceDN/>
        <w:bidi w:val="0"/>
        <w:spacing w:line="360" w:lineRule="auto"/>
        <w:ind w:firstLine="484" w:firstLineChars="202"/>
        <w:textAlignment w:val="auto"/>
        <w:rPr>
          <w:rFonts w:ascii="宋体" w:hAnsi="宋体"/>
          <w:color w:val="auto"/>
          <w:highlight w:val="none"/>
        </w:rPr>
      </w:pPr>
      <w:r>
        <w:rPr>
          <w:rFonts w:hint="eastAsia" w:ascii="宋体" w:hAnsi="宋体"/>
          <w:color w:val="auto"/>
          <w:sz w:val="24"/>
          <w:szCs w:val="24"/>
          <w:highlight w:val="none"/>
        </w:rPr>
        <w:t>特此声明。</w:t>
      </w:r>
    </w:p>
    <w:p>
      <w:pPr>
        <w:pStyle w:val="62"/>
        <w:keepNext w:val="0"/>
        <w:keepLines w:val="0"/>
        <w:pageBreakBefore w:val="0"/>
        <w:kinsoku/>
        <w:wordWrap/>
        <w:overflowPunct/>
        <w:topLinePunct w:val="0"/>
        <w:autoSpaceDE/>
        <w:autoSpaceDN/>
        <w:bidi w:val="0"/>
        <w:adjustRightInd w:val="0"/>
        <w:snapToGrid w:val="0"/>
        <w:spacing w:line="360" w:lineRule="auto"/>
        <w:ind w:firstLine="0"/>
        <w:textAlignment w:val="auto"/>
        <w:rPr>
          <w:rFonts w:ascii="宋体" w:hAnsi="宋体" w:eastAsia="宋体"/>
          <w:color w:val="auto"/>
          <w:sz w:val="24"/>
          <w:szCs w:val="24"/>
          <w:highlight w:val="none"/>
        </w:rPr>
      </w:pPr>
    </w:p>
    <w:p>
      <w:pPr>
        <w:pStyle w:val="62"/>
        <w:keepNext w:val="0"/>
        <w:keepLines w:val="0"/>
        <w:pageBreakBefore w:val="0"/>
        <w:kinsoku/>
        <w:wordWrap/>
        <w:overflowPunct/>
        <w:topLinePunct w:val="0"/>
        <w:autoSpaceDE/>
        <w:autoSpaceDN/>
        <w:bidi w:val="0"/>
        <w:adjustRightInd w:val="0"/>
        <w:snapToGrid w:val="0"/>
        <w:spacing w:line="360" w:lineRule="auto"/>
        <w:ind w:firstLine="0"/>
        <w:textAlignment w:val="auto"/>
        <w:rPr>
          <w:rFonts w:ascii="宋体" w:hAnsi="宋体" w:eastAsia="宋体"/>
          <w:color w:val="auto"/>
          <w:sz w:val="24"/>
          <w:szCs w:val="24"/>
          <w:highlight w:val="none"/>
        </w:rPr>
      </w:pPr>
    </w:p>
    <w:p>
      <w:pPr>
        <w:pStyle w:val="62"/>
        <w:keepNext w:val="0"/>
        <w:keepLines w:val="0"/>
        <w:pageBreakBefore w:val="0"/>
        <w:kinsoku/>
        <w:wordWrap/>
        <w:overflowPunct/>
        <w:topLinePunct w:val="0"/>
        <w:autoSpaceDE/>
        <w:autoSpaceDN/>
        <w:bidi w:val="0"/>
        <w:adjustRightInd w:val="0"/>
        <w:snapToGrid w:val="0"/>
        <w:spacing w:line="360" w:lineRule="auto"/>
        <w:ind w:firstLine="0"/>
        <w:textAlignment w:val="auto"/>
        <w:rPr>
          <w:rFonts w:ascii="宋体" w:hAnsi="宋体" w:eastAsia="宋体"/>
          <w:color w:val="auto"/>
          <w:sz w:val="24"/>
          <w:szCs w:val="24"/>
          <w:highlight w:val="none"/>
        </w:rPr>
      </w:pPr>
    </w:p>
    <w:p>
      <w:pPr>
        <w:pStyle w:val="62"/>
        <w:keepNext w:val="0"/>
        <w:keepLines w:val="0"/>
        <w:pageBreakBefore w:val="0"/>
        <w:kinsoku/>
        <w:wordWrap/>
        <w:overflowPunct/>
        <w:topLinePunct w:val="0"/>
        <w:autoSpaceDE/>
        <w:autoSpaceDN/>
        <w:bidi w:val="0"/>
        <w:adjustRightInd w:val="0"/>
        <w:snapToGrid w:val="0"/>
        <w:spacing w:line="360" w:lineRule="auto"/>
        <w:ind w:right="-35" w:firstLine="4819" w:firstLineChars="2008"/>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pPr>
        <w:pStyle w:val="62"/>
        <w:keepNext w:val="0"/>
        <w:keepLines w:val="0"/>
        <w:pageBreakBefore w:val="0"/>
        <w:kinsoku/>
        <w:wordWrap/>
        <w:overflowPunct/>
        <w:topLinePunct w:val="0"/>
        <w:autoSpaceDE/>
        <w:autoSpaceDN/>
        <w:bidi w:val="0"/>
        <w:adjustRightInd w:val="0"/>
        <w:snapToGrid w:val="0"/>
        <w:spacing w:line="360" w:lineRule="auto"/>
        <w:ind w:right="-35" w:firstLine="4819" w:firstLineChars="2008"/>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宋体"/>
          <w:b/>
          <w:bCs/>
          <w:color w:val="auto"/>
          <w:kern w:val="0"/>
          <w:szCs w:val="21"/>
          <w:highlight w:val="none"/>
        </w:rPr>
      </w:pPr>
      <w:r>
        <w:rPr>
          <w:rFonts w:hint="eastAsia" w:ascii="宋体" w:hAnsi="宋体"/>
          <w:color w:val="auto"/>
          <w:sz w:val="24"/>
          <w:szCs w:val="24"/>
          <w:highlight w:val="none"/>
        </w:rPr>
        <w:t xml:space="preserve">                       日  期：    年   月   日</w:t>
      </w:r>
    </w:p>
    <w:p>
      <w:pPr>
        <w:widowControl/>
        <w:jc w:val="center"/>
        <w:rPr>
          <w:rFonts w:ascii="宋体" w:hAnsi="宋体" w:cs="宋体"/>
          <w:b/>
          <w:bCs/>
          <w:color w:val="auto"/>
          <w:kern w:val="0"/>
          <w:szCs w:val="21"/>
          <w:highlight w:val="none"/>
        </w:rPr>
      </w:pPr>
    </w:p>
    <w:p>
      <w:pPr>
        <w:widowControl/>
        <w:rPr>
          <w:rFonts w:ascii="宋体" w:hAnsi="宋体" w:cs="宋体"/>
          <w:b/>
          <w:bCs/>
          <w:color w:val="auto"/>
          <w:kern w:val="0"/>
          <w:szCs w:val="21"/>
          <w:highlight w:val="none"/>
        </w:rPr>
      </w:pPr>
    </w:p>
    <w:p>
      <w:pPr>
        <w:widowControl/>
        <w:jc w:val="center"/>
        <w:rPr>
          <w:rFonts w:ascii="宋体" w:hAnsi="宋体"/>
          <w:color w:val="auto"/>
          <w:highlight w:val="none"/>
        </w:rPr>
      </w:pPr>
    </w:p>
    <w:p>
      <w:pPr>
        <w:widowControl/>
        <w:jc w:val="center"/>
        <w:rPr>
          <w:rFonts w:ascii="宋体" w:hAnsi="宋体"/>
          <w:color w:val="auto"/>
          <w:highlight w:val="none"/>
        </w:rPr>
      </w:pPr>
    </w:p>
    <w:p>
      <w:pPr>
        <w:widowControl/>
        <w:jc w:val="center"/>
        <w:rPr>
          <w:rFonts w:ascii="宋体" w:hAnsi="宋体"/>
          <w:color w:val="auto"/>
          <w:highlight w:val="none"/>
        </w:rPr>
      </w:pPr>
    </w:p>
    <w:p>
      <w:pPr>
        <w:widowControl/>
        <w:jc w:val="left"/>
        <w:rPr>
          <w:rFonts w:ascii="宋体" w:hAnsi="宋体" w:cs="宋体"/>
          <w:b/>
          <w:bCs/>
          <w:color w:val="auto"/>
          <w:kern w:val="0"/>
          <w:sz w:val="28"/>
          <w:szCs w:val="28"/>
          <w:highlight w:val="none"/>
        </w:rPr>
      </w:pPr>
      <w:r>
        <w:rPr>
          <w:rFonts w:hint="eastAsia" w:ascii="宋体" w:hAnsi="宋体"/>
          <w:color w:val="auto"/>
          <w:highlight w:val="none"/>
        </w:rPr>
        <w:t>注：联合体投标的，本表由联合体主办方出具，“投标单位”填写联合体各方名称，并由联合体主办方签字或盖章即可。</w:t>
      </w:r>
      <w:r>
        <w:rPr>
          <w:rFonts w:ascii="宋体" w:hAnsi="宋体"/>
          <w:color w:val="auto"/>
          <w:highlight w:val="none"/>
        </w:rPr>
        <w:br w:type="page"/>
      </w:r>
      <w:r>
        <w:rPr>
          <w:rFonts w:hint="eastAsia" w:ascii="宋体" w:hAnsi="宋体" w:cs="宋体"/>
          <w:b/>
          <w:bCs/>
          <w:color w:val="auto"/>
          <w:kern w:val="0"/>
          <w:sz w:val="28"/>
          <w:szCs w:val="28"/>
          <w:highlight w:val="none"/>
        </w:rPr>
        <w:t>（三）联合体协议书</w:t>
      </w:r>
    </w:p>
    <w:p>
      <w:pPr>
        <w:pStyle w:val="2"/>
        <w:ind w:firstLine="562"/>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联合体协议书</w:t>
      </w:r>
    </w:p>
    <w:p>
      <w:pPr>
        <w:pStyle w:val="2"/>
        <w:ind w:firstLine="562"/>
        <w:jc w:val="center"/>
        <w:rPr>
          <w:rFonts w:ascii="宋体" w:hAnsi="宋体" w:cs="宋体"/>
          <w:b/>
          <w:bCs/>
          <w:color w:val="auto"/>
          <w:kern w:val="0"/>
          <w:sz w:val="28"/>
          <w:szCs w:val="28"/>
          <w:highlight w:val="none"/>
        </w:rPr>
      </w:pPr>
    </w:p>
    <w:p>
      <w:pPr>
        <w:tabs>
          <w:tab w:val="left" w:pos="2200"/>
          <w:tab w:val="left" w:pos="6000"/>
        </w:tabs>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（所</w:t>
      </w:r>
      <w:r>
        <w:rPr>
          <w:rFonts w:hint="eastAsia" w:ascii="宋体" w:hAnsi="宋体" w:cs="华文楷体"/>
          <w:color w:val="auto"/>
          <w:spacing w:val="-2"/>
          <w:position w:val="-4"/>
          <w:sz w:val="24"/>
          <w:szCs w:val="24"/>
          <w:highlight w:val="none"/>
        </w:rPr>
        <w:t>有</w:t>
      </w:r>
      <w:r>
        <w:rPr>
          <w:rFonts w:hint="eastAsia" w:ascii="宋体" w:hAnsi="宋体" w:cs="华文楷体"/>
          <w:color w:val="auto"/>
          <w:position w:val="-4"/>
          <w:sz w:val="24"/>
          <w:szCs w:val="24"/>
          <w:highlight w:val="none"/>
        </w:rPr>
        <w:t>成员单位名称）自愿组</w:t>
      </w:r>
      <w:r>
        <w:rPr>
          <w:rFonts w:hint="eastAsia" w:ascii="宋体" w:hAnsi="宋体" w:cs="华文楷体"/>
          <w:color w:val="auto"/>
          <w:spacing w:val="1"/>
          <w:position w:val="-4"/>
          <w:sz w:val="24"/>
          <w:szCs w:val="24"/>
          <w:highlight w:val="none"/>
        </w:rPr>
        <w:t>成</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（联合体名称）联合体，共同</w:t>
      </w:r>
      <w:r>
        <w:rPr>
          <w:rFonts w:hint="eastAsia" w:ascii="宋体" w:hAnsi="宋体" w:cs="华文楷体"/>
          <w:color w:val="auto"/>
          <w:position w:val="-2"/>
          <w:sz w:val="24"/>
          <w:szCs w:val="24"/>
          <w:highlight w:val="none"/>
        </w:rPr>
        <w:t>参加</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项目</w:t>
      </w:r>
      <w:r>
        <w:rPr>
          <w:rFonts w:hint="eastAsia" w:ascii="宋体" w:hAnsi="宋体" w:cs="华文楷体"/>
          <w:color w:val="auto"/>
          <w:spacing w:val="-2"/>
          <w:position w:val="-2"/>
          <w:sz w:val="24"/>
          <w:szCs w:val="24"/>
          <w:highlight w:val="none"/>
        </w:rPr>
        <w:t>名</w:t>
      </w:r>
      <w:r>
        <w:rPr>
          <w:rFonts w:hint="eastAsia" w:ascii="宋体" w:hAnsi="宋体" w:cs="华文楷体"/>
          <w:color w:val="auto"/>
          <w:position w:val="-2"/>
          <w:sz w:val="24"/>
          <w:szCs w:val="24"/>
          <w:highlight w:val="none"/>
        </w:rPr>
        <w:t>称</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招</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项</w:t>
      </w:r>
      <w:r>
        <w:rPr>
          <w:rFonts w:hint="eastAsia" w:ascii="宋体" w:hAnsi="宋体" w:cs="华文楷体"/>
          <w:color w:val="auto"/>
          <w:spacing w:val="-2"/>
          <w:position w:val="-2"/>
          <w:sz w:val="24"/>
          <w:szCs w:val="24"/>
          <w:highlight w:val="none"/>
        </w:rPr>
        <w:t>目</w:t>
      </w:r>
      <w:r>
        <w:rPr>
          <w:rFonts w:hint="eastAsia" w:ascii="宋体" w:hAnsi="宋体" w:cs="华文楷体"/>
          <w:color w:val="auto"/>
          <w:position w:val="-2"/>
          <w:sz w:val="24"/>
          <w:szCs w:val="24"/>
          <w:highlight w:val="none"/>
        </w:rPr>
        <w:t>投标</w:t>
      </w:r>
      <w:r>
        <w:rPr>
          <w:rFonts w:hint="eastAsia" w:ascii="宋体" w:hAnsi="宋体" w:cs="华文楷体"/>
          <w:color w:val="auto"/>
          <w:spacing w:val="-2"/>
          <w:position w:val="-2"/>
          <w:sz w:val="24"/>
          <w:szCs w:val="24"/>
          <w:highlight w:val="none"/>
        </w:rPr>
        <w:t>。</w:t>
      </w:r>
      <w:r>
        <w:rPr>
          <w:rFonts w:hint="eastAsia" w:ascii="宋体" w:hAnsi="宋体" w:cs="华文楷体"/>
          <w:color w:val="auto"/>
          <w:position w:val="-2"/>
          <w:sz w:val="24"/>
          <w:szCs w:val="24"/>
          <w:highlight w:val="none"/>
        </w:rPr>
        <w:t>现</w:t>
      </w:r>
      <w:r>
        <w:rPr>
          <w:rFonts w:hint="eastAsia" w:ascii="宋体" w:hAnsi="宋体" w:cs="华文楷体"/>
          <w:color w:val="auto"/>
          <w:spacing w:val="-2"/>
          <w:position w:val="-2"/>
          <w:sz w:val="24"/>
          <w:szCs w:val="24"/>
          <w:highlight w:val="none"/>
        </w:rPr>
        <w:t>就</w:t>
      </w:r>
      <w:r>
        <w:rPr>
          <w:rFonts w:hint="eastAsia" w:ascii="宋体" w:hAnsi="宋体" w:cs="华文楷体"/>
          <w:color w:val="auto"/>
          <w:position w:val="-2"/>
          <w:sz w:val="24"/>
          <w:szCs w:val="24"/>
          <w:highlight w:val="none"/>
        </w:rPr>
        <w:t>联</w:t>
      </w:r>
      <w:r>
        <w:rPr>
          <w:rFonts w:hint="eastAsia" w:ascii="宋体" w:hAnsi="宋体" w:cs="华文楷体"/>
          <w:color w:val="auto"/>
          <w:spacing w:val="-2"/>
          <w:position w:val="-2"/>
          <w:sz w:val="24"/>
          <w:szCs w:val="24"/>
          <w:highlight w:val="none"/>
        </w:rPr>
        <w:t>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投</w:t>
      </w:r>
      <w:r>
        <w:rPr>
          <w:rFonts w:hint="eastAsia" w:ascii="宋体" w:hAnsi="宋体" w:cs="华文楷体"/>
          <w:color w:val="auto"/>
          <w:spacing w:val="2"/>
          <w:position w:val="-2"/>
          <w:sz w:val="24"/>
          <w:szCs w:val="24"/>
          <w:highlight w:val="none"/>
        </w:rPr>
        <w:t>标</w:t>
      </w:r>
      <w:r>
        <w:rPr>
          <w:rFonts w:hint="eastAsia" w:ascii="宋体" w:hAnsi="宋体" w:cs="华文楷体"/>
          <w:color w:val="auto"/>
          <w:position w:val="-2"/>
          <w:sz w:val="24"/>
          <w:szCs w:val="24"/>
          <w:highlight w:val="none"/>
        </w:rPr>
        <w:t>事</w:t>
      </w:r>
      <w:r>
        <w:rPr>
          <w:rFonts w:hint="eastAsia" w:ascii="宋体" w:hAnsi="宋体" w:cs="华文楷体"/>
          <w:color w:val="auto"/>
          <w:spacing w:val="2"/>
          <w:position w:val="-2"/>
          <w:sz w:val="24"/>
          <w:szCs w:val="24"/>
          <w:highlight w:val="none"/>
        </w:rPr>
        <w:t>宜订</w:t>
      </w:r>
      <w:r>
        <w:rPr>
          <w:rFonts w:hint="eastAsia" w:ascii="宋体" w:hAnsi="宋体" w:cs="华文楷体"/>
          <w:color w:val="auto"/>
          <w:position w:val="-2"/>
          <w:sz w:val="24"/>
          <w:szCs w:val="24"/>
          <w:highlight w:val="none"/>
        </w:rPr>
        <w:t>立</w:t>
      </w:r>
      <w:r>
        <w:rPr>
          <w:rFonts w:hint="eastAsia" w:ascii="宋体" w:hAnsi="宋体" w:cs="华文楷体"/>
          <w:color w:val="auto"/>
          <w:spacing w:val="2"/>
          <w:position w:val="-2"/>
          <w:sz w:val="24"/>
          <w:szCs w:val="24"/>
          <w:highlight w:val="none"/>
        </w:rPr>
        <w:t>如</w:t>
      </w:r>
      <w:r>
        <w:rPr>
          <w:rFonts w:hint="eastAsia" w:ascii="宋体" w:hAnsi="宋体" w:cs="华文楷体"/>
          <w:color w:val="auto"/>
          <w:position w:val="-2"/>
          <w:sz w:val="24"/>
          <w:szCs w:val="24"/>
          <w:highlight w:val="none"/>
        </w:rPr>
        <w:t>下</w:t>
      </w:r>
      <w:r>
        <w:rPr>
          <w:rFonts w:hint="eastAsia" w:ascii="宋体" w:hAnsi="宋体" w:cs="华文楷体"/>
          <w:color w:val="auto"/>
          <w:spacing w:val="2"/>
          <w:position w:val="-2"/>
          <w:sz w:val="24"/>
          <w:szCs w:val="24"/>
          <w:highlight w:val="none"/>
        </w:rPr>
        <w:t>协</w:t>
      </w:r>
      <w:r>
        <w:rPr>
          <w:rFonts w:hint="eastAsia" w:ascii="宋体" w:hAnsi="宋体" w:cs="华文楷体"/>
          <w:color w:val="auto"/>
          <w:position w:val="-2"/>
          <w:sz w:val="24"/>
          <w:szCs w:val="24"/>
          <w:highlight w:val="none"/>
        </w:rPr>
        <w:t>议。</w:t>
      </w:r>
    </w:p>
    <w:p>
      <w:pPr>
        <w:tabs>
          <w:tab w:val="left" w:pos="2660"/>
          <w:tab w:val="left" w:pos="5600"/>
        </w:tabs>
        <w:spacing w:line="360" w:lineRule="auto"/>
        <w:ind w:right="-23"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1.</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某成</w:t>
      </w:r>
      <w:r>
        <w:rPr>
          <w:rFonts w:hint="eastAsia" w:ascii="宋体" w:hAnsi="宋体" w:cs="华文楷体"/>
          <w:color w:val="auto"/>
          <w:spacing w:val="-2"/>
          <w:position w:val="-1"/>
          <w:sz w:val="24"/>
          <w:szCs w:val="24"/>
          <w:highlight w:val="none"/>
        </w:rPr>
        <w:t>员</w:t>
      </w:r>
      <w:r>
        <w:rPr>
          <w:rFonts w:hint="eastAsia" w:ascii="宋体" w:hAnsi="宋体" w:cs="华文楷体"/>
          <w:color w:val="auto"/>
          <w:position w:val="-1"/>
          <w:sz w:val="24"/>
          <w:szCs w:val="24"/>
          <w:highlight w:val="none"/>
        </w:rPr>
        <w:t>单</w:t>
      </w:r>
      <w:r>
        <w:rPr>
          <w:rFonts w:hint="eastAsia" w:ascii="宋体" w:hAnsi="宋体" w:cs="华文楷体"/>
          <w:color w:val="auto"/>
          <w:spacing w:val="-2"/>
          <w:position w:val="-1"/>
          <w:sz w:val="24"/>
          <w:szCs w:val="24"/>
          <w:highlight w:val="none"/>
        </w:rPr>
        <w:t>位</w:t>
      </w:r>
      <w:r>
        <w:rPr>
          <w:rFonts w:hint="eastAsia" w:ascii="宋体" w:hAnsi="宋体" w:cs="华文楷体"/>
          <w:color w:val="auto"/>
          <w:position w:val="-1"/>
          <w:sz w:val="24"/>
          <w:szCs w:val="24"/>
          <w:highlight w:val="none"/>
        </w:rPr>
        <w:t>名</w:t>
      </w:r>
      <w:r>
        <w:rPr>
          <w:rFonts w:hint="eastAsia" w:ascii="宋体" w:hAnsi="宋体" w:cs="华文楷体"/>
          <w:color w:val="auto"/>
          <w:spacing w:val="-2"/>
          <w:position w:val="-1"/>
          <w:sz w:val="24"/>
          <w:szCs w:val="24"/>
          <w:highlight w:val="none"/>
        </w:rPr>
        <w:t>称</w:t>
      </w:r>
      <w:r>
        <w:rPr>
          <w:rFonts w:hint="eastAsia" w:ascii="宋体" w:hAnsi="宋体" w:cs="华文楷体"/>
          <w:color w:val="auto"/>
          <w:position w:val="-1"/>
          <w:sz w:val="24"/>
          <w:szCs w:val="24"/>
          <w:highlight w:val="none"/>
        </w:rPr>
        <w:t>）</w:t>
      </w:r>
      <w:r>
        <w:rPr>
          <w:rFonts w:hint="eastAsia" w:ascii="宋体" w:hAnsi="宋体" w:cs="华文楷体"/>
          <w:color w:val="auto"/>
          <w:spacing w:val="-3"/>
          <w:position w:val="-1"/>
          <w:sz w:val="24"/>
          <w:szCs w:val="24"/>
          <w:highlight w:val="none"/>
        </w:rPr>
        <w:t>为</w:t>
      </w:r>
      <w:r>
        <w:rPr>
          <w:rFonts w:hint="eastAsia" w:ascii="宋体" w:hAnsi="宋体" w:cs="华文楷体"/>
          <w:color w:val="auto"/>
          <w:position w:val="-1"/>
          <w:sz w:val="24"/>
          <w:szCs w:val="24"/>
          <w:highlight w:val="none"/>
          <w:u w:val="single"/>
        </w:rPr>
        <w:tab/>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联</w:t>
      </w:r>
      <w:r>
        <w:rPr>
          <w:rFonts w:hint="eastAsia" w:ascii="宋体" w:hAnsi="宋体" w:cs="华文楷体"/>
          <w:color w:val="auto"/>
          <w:spacing w:val="-2"/>
          <w:position w:val="-1"/>
          <w:sz w:val="24"/>
          <w:szCs w:val="24"/>
          <w:highlight w:val="none"/>
        </w:rPr>
        <w:t>合</w:t>
      </w:r>
      <w:r>
        <w:rPr>
          <w:rFonts w:hint="eastAsia" w:ascii="宋体" w:hAnsi="宋体" w:cs="华文楷体"/>
          <w:color w:val="auto"/>
          <w:position w:val="-1"/>
          <w:sz w:val="24"/>
          <w:szCs w:val="24"/>
          <w:highlight w:val="none"/>
        </w:rPr>
        <w:t>体</w:t>
      </w:r>
      <w:r>
        <w:rPr>
          <w:rFonts w:hint="eastAsia" w:ascii="宋体" w:hAnsi="宋体" w:cs="华文楷体"/>
          <w:color w:val="auto"/>
          <w:spacing w:val="-2"/>
          <w:position w:val="-1"/>
          <w:sz w:val="24"/>
          <w:szCs w:val="24"/>
          <w:highlight w:val="none"/>
        </w:rPr>
        <w:t>名</w:t>
      </w:r>
      <w:r>
        <w:rPr>
          <w:rFonts w:hint="eastAsia" w:ascii="宋体" w:hAnsi="宋体" w:cs="华文楷体"/>
          <w:color w:val="auto"/>
          <w:position w:val="-1"/>
          <w:sz w:val="24"/>
          <w:szCs w:val="24"/>
          <w:highlight w:val="none"/>
        </w:rPr>
        <w:t>称</w:t>
      </w:r>
      <w:r>
        <w:rPr>
          <w:rFonts w:hint="eastAsia" w:ascii="宋体" w:hAnsi="宋体" w:cs="华文楷体"/>
          <w:color w:val="auto"/>
          <w:spacing w:val="-2"/>
          <w:position w:val="-1"/>
          <w:sz w:val="24"/>
          <w:szCs w:val="24"/>
          <w:highlight w:val="none"/>
        </w:rPr>
        <w:t>）</w:t>
      </w:r>
      <w:r>
        <w:rPr>
          <w:rFonts w:hint="eastAsia" w:ascii="宋体" w:hAnsi="宋体" w:cs="华文楷体"/>
          <w:color w:val="auto"/>
          <w:position w:val="-1"/>
          <w:sz w:val="24"/>
          <w:szCs w:val="24"/>
          <w:highlight w:val="none"/>
        </w:rPr>
        <w:t>牵</w:t>
      </w:r>
      <w:r>
        <w:rPr>
          <w:rFonts w:hint="eastAsia" w:ascii="宋体" w:hAnsi="宋体" w:cs="华文楷体"/>
          <w:color w:val="auto"/>
          <w:spacing w:val="-2"/>
          <w:position w:val="-1"/>
          <w:sz w:val="24"/>
          <w:szCs w:val="24"/>
          <w:highlight w:val="none"/>
        </w:rPr>
        <w:t>头人</w:t>
      </w:r>
      <w:r>
        <w:rPr>
          <w:rFonts w:hint="eastAsia" w:ascii="宋体" w:hAnsi="宋体" w:cs="华文楷体"/>
          <w:color w:val="auto"/>
          <w:position w:val="-1"/>
          <w:sz w:val="24"/>
          <w:szCs w:val="24"/>
          <w:highlight w:val="none"/>
        </w:rPr>
        <w:t>。</w:t>
      </w:r>
    </w:p>
    <w:p>
      <w:pPr>
        <w:spacing w:before="78"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2.</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授</w:t>
      </w:r>
      <w:r>
        <w:rPr>
          <w:rFonts w:hint="eastAsia" w:ascii="宋体" w:hAnsi="宋体" w:cs="华文楷体"/>
          <w:color w:val="auto"/>
          <w:sz w:val="24"/>
          <w:szCs w:val="24"/>
          <w:highlight w:val="none"/>
        </w:rPr>
        <w:t>权</w:t>
      </w:r>
      <w:r>
        <w:rPr>
          <w:rFonts w:hint="eastAsia" w:ascii="宋体" w:hAnsi="宋体" w:cs="华文楷体"/>
          <w:color w:val="auto"/>
          <w:spacing w:val="-2"/>
          <w:sz w:val="24"/>
          <w:szCs w:val="24"/>
          <w:highlight w:val="none"/>
        </w:rPr>
        <w:t>牵头</w:t>
      </w:r>
      <w:r>
        <w:rPr>
          <w:rFonts w:hint="eastAsia" w:ascii="宋体" w:hAnsi="宋体" w:cs="华文楷体"/>
          <w:color w:val="auto"/>
          <w:sz w:val="24"/>
          <w:szCs w:val="24"/>
          <w:highlight w:val="none"/>
        </w:rPr>
        <w:t>人代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参</w:t>
      </w:r>
      <w:r>
        <w:rPr>
          <w:rFonts w:hint="eastAsia" w:ascii="宋体" w:hAnsi="宋体" w:cs="华文楷体"/>
          <w:color w:val="auto"/>
          <w:sz w:val="24"/>
          <w:szCs w:val="24"/>
          <w:highlight w:val="none"/>
        </w:rPr>
        <w:t>加</w:t>
      </w:r>
      <w:r>
        <w:rPr>
          <w:rFonts w:hint="eastAsia" w:ascii="宋体" w:hAnsi="宋体" w:cs="华文楷体"/>
          <w:color w:val="auto"/>
          <w:spacing w:val="-2"/>
          <w:sz w:val="24"/>
          <w:szCs w:val="24"/>
          <w:highlight w:val="none"/>
        </w:rPr>
        <w:t>投</w:t>
      </w:r>
      <w:r>
        <w:rPr>
          <w:rFonts w:hint="eastAsia" w:ascii="宋体" w:hAnsi="宋体" w:cs="华文楷体"/>
          <w:color w:val="auto"/>
          <w:sz w:val="24"/>
          <w:szCs w:val="24"/>
          <w:highlight w:val="none"/>
        </w:rPr>
        <w:t>标</w:t>
      </w:r>
      <w:r>
        <w:rPr>
          <w:rFonts w:hint="eastAsia" w:ascii="宋体" w:hAnsi="宋体" w:cs="华文楷体"/>
          <w:color w:val="auto"/>
          <w:spacing w:val="-2"/>
          <w:sz w:val="24"/>
          <w:szCs w:val="24"/>
          <w:highlight w:val="none"/>
        </w:rPr>
        <w:t>活</w:t>
      </w:r>
      <w:r>
        <w:rPr>
          <w:rFonts w:hint="eastAsia" w:ascii="宋体" w:hAnsi="宋体" w:cs="华文楷体"/>
          <w:color w:val="auto"/>
          <w:sz w:val="24"/>
          <w:szCs w:val="24"/>
          <w:highlight w:val="none"/>
        </w:rPr>
        <w:t>动</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署</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65"/>
          <w:sz w:val="24"/>
          <w:szCs w:val="24"/>
          <w:highlight w:val="none"/>
        </w:rPr>
        <w:t>，</w:t>
      </w:r>
      <w:r>
        <w:rPr>
          <w:rFonts w:hint="eastAsia" w:ascii="宋体" w:hAnsi="宋体" w:cs="华文楷体"/>
          <w:color w:val="auto"/>
          <w:spacing w:val="-2"/>
          <w:sz w:val="24"/>
          <w:szCs w:val="24"/>
          <w:highlight w:val="none"/>
        </w:rPr>
        <w:t>提</w:t>
      </w:r>
      <w:r>
        <w:rPr>
          <w:rFonts w:hint="eastAsia" w:ascii="宋体" w:hAnsi="宋体" w:cs="华文楷体"/>
          <w:color w:val="auto"/>
          <w:sz w:val="24"/>
          <w:szCs w:val="24"/>
          <w:highlight w:val="none"/>
        </w:rPr>
        <w:t>交</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接</w:t>
      </w:r>
      <w:r>
        <w:rPr>
          <w:rFonts w:hint="eastAsia" w:ascii="宋体" w:hAnsi="宋体" w:cs="华文楷体"/>
          <w:color w:val="auto"/>
          <w:spacing w:val="-2"/>
          <w:sz w:val="24"/>
          <w:szCs w:val="24"/>
          <w:highlight w:val="none"/>
        </w:rPr>
        <w:t>收</w:t>
      </w:r>
      <w:r>
        <w:rPr>
          <w:rFonts w:hint="eastAsia" w:ascii="宋体" w:hAnsi="宋体" w:cs="华文楷体"/>
          <w:color w:val="auto"/>
          <w:sz w:val="24"/>
          <w:szCs w:val="24"/>
          <w:highlight w:val="none"/>
        </w:rPr>
        <w:t>相关</w:t>
      </w:r>
      <w:r>
        <w:rPr>
          <w:rFonts w:hint="eastAsia" w:ascii="宋体" w:hAnsi="宋体" w:cs="华文楷体"/>
          <w:color w:val="auto"/>
          <w:spacing w:val="-2"/>
          <w:sz w:val="24"/>
          <w:szCs w:val="24"/>
          <w:highlight w:val="none"/>
        </w:rPr>
        <w:t>的</w:t>
      </w:r>
      <w:r>
        <w:rPr>
          <w:rFonts w:hint="eastAsia" w:ascii="宋体" w:hAnsi="宋体" w:cs="华文楷体"/>
          <w:color w:val="auto"/>
          <w:sz w:val="24"/>
          <w:szCs w:val="24"/>
          <w:highlight w:val="none"/>
        </w:rPr>
        <w:t>资</w:t>
      </w:r>
      <w:r>
        <w:rPr>
          <w:rFonts w:hint="eastAsia" w:ascii="宋体" w:hAnsi="宋体" w:cs="华文楷体"/>
          <w:color w:val="auto"/>
          <w:spacing w:val="-2"/>
          <w:sz w:val="24"/>
          <w:szCs w:val="24"/>
          <w:highlight w:val="none"/>
        </w:rPr>
        <w:t>料</w:t>
      </w:r>
      <w:r>
        <w:rPr>
          <w:rFonts w:hint="eastAsia" w:ascii="宋体" w:hAnsi="宋体" w:cs="华文楷体"/>
          <w:color w:val="auto"/>
          <w:sz w:val="24"/>
          <w:szCs w:val="24"/>
          <w:highlight w:val="none"/>
        </w:rPr>
        <w:t>、信息及指示，进</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合同</w:t>
      </w:r>
      <w:r>
        <w:rPr>
          <w:rFonts w:hint="eastAsia" w:ascii="宋体" w:hAnsi="宋体" w:cs="华文楷体"/>
          <w:color w:val="auto"/>
          <w:spacing w:val="-2"/>
          <w:sz w:val="24"/>
          <w:szCs w:val="24"/>
          <w:highlight w:val="none"/>
        </w:rPr>
        <w:t>谈</w:t>
      </w:r>
      <w:r>
        <w:rPr>
          <w:rFonts w:hint="eastAsia" w:ascii="宋体" w:hAnsi="宋体" w:cs="华文楷体"/>
          <w:color w:val="auto"/>
          <w:sz w:val="24"/>
          <w:szCs w:val="24"/>
          <w:highlight w:val="none"/>
        </w:rPr>
        <w:t>判活动，负责合</w:t>
      </w:r>
      <w:r>
        <w:rPr>
          <w:rFonts w:hint="eastAsia" w:ascii="宋体" w:hAnsi="宋体" w:cs="华文楷体"/>
          <w:color w:val="auto"/>
          <w:spacing w:val="-2"/>
          <w:sz w:val="24"/>
          <w:szCs w:val="24"/>
          <w:highlight w:val="none"/>
        </w:rPr>
        <w:t>同</w:t>
      </w:r>
      <w:r>
        <w:rPr>
          <w:rFonts w:hint="eastAsia" w:ascii="宋体" w:hAnsi="宋体" w:cs="华文楷体"/>
          <w:color w:val="auto"/>
          <w:sz w:val="24"/>
          <w:szCs w:val="24"/>
          <w:highlight w:val="none"/>
        </w:rPr>
        <w:t>实施</w:t>
      </w:r>
      <w:r>
        <w:rPr>
          <w:rFonts w:hint="eastAsia" w:ascii="宋体" w:hAnsi="宋体" w:cs="华文楷体"/>
          <w:color w:val="auto"/>
          <w:spacing w:val="-2"/>
          <w:sz w:val="24"/>
          <w:szCs w:val="24"/>
          <w:highlight w:val="none"/>
        </w:rPr>
        <w:t>阶</w:t>
      </w:r>
      <w:r>
        <w:rPr>
          <w:rFonts w:hint="eastAsia" w:ascii="宋体" w:hAnsi="宋体" w:cs="华文楷体"/>
          <w:color w:val="auto"/>
          <w:sz w:val="24"/>
          <w:szCs w:val="24"/>
          <w:highlight w:val="none"/>
        </w:rPr>
        <w:t>段的组织和协调</w:t>
      </w:r>
      <w:r>
        <w:rPr>
          <w:rFonts w:hint="eastAsia" w:ascii="宋体" w:hAnsi="宋体" w:cs="华文楷体"/>
          <w:color w:val="auto"/>
          <w:spacing w:val="-2"/>
          <w:sz w:val="24"/>
          <w:szCs w:val="24"/>
          <w:highlight w:val="none"/>
        </w:rPr>
        <w:t>工</w:t>
      </w:r>
      <w:r>
        <w:rPr>
          <w:rFonts w:hint="eastAsia" w:ascii="宋体" w:hAnsi="宋体" w:cs="华文楷体"/>
          <w:color w:val="auto"/>
          <w:sz w:val="24"/>
          <w:szCs w:val="24"/>
          <w:highlight w:val="none"/>
        </w:rPr>
        <w:t>作，</w:t>
      </w:r>
      <w:r>
        <w:rPr>
          <w:rFonts w:hint="eastAsia" w:ascii="宋体" w:hAnsi="宋体" w:cs="华文楷体"/>
          <w:color w:val="auto"/>
          <w:spacing w:val="-2"/>
          <w:sz w:val="24"/>
          <w:szCs w:val="24"/>
          <w:highlight w:val="none"/>
        </w:rPr>
        <w:t>以</w:t>
      </w:r>
      <w:r>
        <w:rPr>
          <w:rFonts w:hint="eastAsia" w:ascii="宋体" w:hAnsi="宋体" w:cs="华文楷体"/>
          <w:color w:val="auto"/>
          <w:sz w:val="24"/>
          <w:szCs w:val="24"/>
          <w:highlight w:val="none"/>
        </w:rPr>
        <w:t>及处理与本招</w:t>
      </w:r>
      <w:r>
        <w:rPr>
          <w:rFonts w:hint="eastAsia" w:ascii="宋体" w:hAnsi="宋体" w:cs="华文楷体"/>
          <w:color w:val="auto"/>
          <w:spacing w:val="-2"/>
          <w:sz w:val="24"/>
          <w:szCs w:val="24"/>
          <w:highlight w:val="none"/>
        </w:rPr>
        <w:t>标</w:t>
      </w:r>
      <w:r>
        <w:rPr>
          <w:rFonts w:hint="eastAsia" w:ascii="宋体" w:hAnsi="宋体" w:cs="华文楷体"/>
          <w:color w:val="auto"/>
          <w:sz w:val="24"/>
          <w:szCs w:val="24"/>
          <w:highlight w:val="none"/>
        </w:rPr>
        <w:t>项目有</w:t>
      </w:r>
      <w:r>
        <w:rPr>
          <w:rFonts w:hint="eastAsia" w:ascii="宋体" w:hAnsi="宋体" w:cs="华文楷体"/>
          <w:color w:val="auto"/>
          <w:spacing w:val="-2"/>
          <w:sz w:val="24"/>
          <w:szCs w:val="24"/>
          <w:highlight w:val="none"/>
        </w:rPr>
        <w:t>关</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事</w:t>
      </w:r>
      <w:r>
        <w:rPr>
          <w:rFonts w:hint="eastAsia" w:ascii="宋体" w:hAnsi="宋体" w:cs="华文楷体"/>
          <w:color w:val="auto"/>
          <w:sz w:val="24"/>
          <w:szCs w:val="24"/>
          <w:highlight w:val="none"/>
        </w:rPr>
        <w:t>宜。</w:t>
      </w:r>
    </w:p>
    <w:p>
      <w:pPr>
        <w:spacing w:before="16"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3.</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牵</w:t>
      </w:r>
      <w:r>
        <w:rPr>
          <w:rFonts w:hint="eastAsia" w:ascii="宋体" w:hAnsi="宋体" w:cs="华文楷体"/>
          <w:color w:val="auto"/>
          <w:spacing w:val="-2"/>
          <w:sz w:val="24"/>
          <w:szCs w:val="24"/>
          <w:highlight w:val="none"/>
        </w:rPr>
        <w:t>头</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在</w:t>
      </w:r>
      <w:r>
        <w:rPr>
          <w:rFonts w:hint="eastAsia" w:ascii="宋体" w:hAnsi="宋体" w:cs="华文楷体"/>
          <w:color w:val="auto"/>
          <w:sz w:val="24"/>
          <w:szCs w:val="24"/>
          <w:highlight w:val="none"/>
        </w:rPr>
        <w:t>本</w:t>
      </w:r>
      <w:r>
        <w:rPr>
          <w:rFonts w:hint="eastAsia" w:ascii="宋体" w:hAnsi="宋体" w:cs="华文楷体"/>
          <w:color w:val="auto"/>
          <w:spacing w:val="-2"/>
          <w:sz w:val="24"/>
          <w:szCs w:val="24"/>
          <w:highlight w:val="none"/>
        </w:rPr>
        <w:t>项目</w:t>
      </w:r>
      <w:r>
        <w:rPr>
          <w:rFonts w:hint="eastAsia" w:ascii="宋体" w:hAnsi="宋体" w:cs="华文楷体"/>
          <w:color w:val="auto"/>
          <w:sz w:val="24"/>
          <w:szCs w:val="24"/>
          <w:highlight w:val="none"/>
        </w:rPr>
        <w:t>中签</w:t>
      </w:r>
      <w:r>
        <w:rPr>
          <w:rFonts w:hint="eastAsia" w:ascii="宋体" w:hAnsi="宋体" w:cs="华文楷体"/>
          <w:color w:val="auto"/>
          <w:spacing w:val="-2"/>
          <w:sz w:val="24"/>
          <w:szCs w:val="24"/>
          <w:highlight w:val="none"/>
        </w:rPr>
        <w:t>署</w:t>
      </w:r>
      <w:r>
        <w:rPr>
          <w:rFonts w:hint="eastAsia" w:ascii="宋体" w:hAnsi="宋体" w:cs="华文楷体"/>
          <w:color w:val="auto"/>
          <w:sz w:val="24"/>
          <w:szCs w:val="24"/>
          <w:highlight w:val="none"/>
        </w:rPr>
        <w:t>的</w:t>
      </w:r>
      <w:r>
        <w:rPr>
          <w:rFonts w:hint="eastAsia" w:ascii="宋体" w:hAnsi="宋体" w:cs="华文楷体"/>
          <w:color w:val="auto"/>
          <w:spacing w:val="-2"/>
          <w:sz w:val="24"/>
          <w:szCs w:val="24"/>
          <w:highlight w:val="none"/>
        </w:rPr>
        <w:t>一</w:t>
      </w:r>
      <w:r>
        <w:rPr>
          <w:rFonts w:hint="eastAsia" w:ascii="宋体" w:hAnsi="宋体" w:cs="华文楷体"/>
          <w:color w:val="auto"/>
          <w:sz w:val="24"/>
          <w:szCs w:val="24"/>
          <w:highlight w:val="none"/>
        </w:rPr>
        <w:t>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w:t>
      </w:r>
      <w:r>
        <w:rPr>
          <w:rFonts w:hint="eastAsia" w:ascii="宋体" w:hAnsi="宋体" w:cs="华文楷体"/>
          <w:color w:val="auto"/>
          <w:spacing w:val="-2"/>
          <w:sz w:val="24"/>
          <w:szCs w:val="24"/>
          <w:highlight w:val="none"/>
        </w:rPr>
        <w:t>和</w:t>
      </w:r>
      <w:r>
        <w:rPr>
          <w:rFonts w:hint="eastAsia" w:ascii="宋体" w:hAnsi="宋体" w:cs="华文楷体"/>
          <w:color w:val="auto"/>
          <w:sz w:val="24"/>
          <w:szCs w:val="24"/>
          <w:highlight w:val="none"/>
        </w:rPr>
        <w:t>处</w:t>
      </w:r>
      <w:r>
        <w:rPr>
          <w:rFonts w:hint="eastAsia" w:ascii="宋体" w:hAnsi="宋体" w:cs="华文楷体"/>
          <w:color w:val="auto"/>
          <w:spacing w:val="-2"/>
          <w:sz w:val="24"/>
          <w:szCs w:val="24"/>
          <w:highlight w:val="none"/>
        </w:rPr>
        <w:t>理</w:t>
      </w:r>
      <w:r>
        <w:rPr>
          <w:rFonts w:hint="eastAsia" w:ascii="宋体" w:hAnsi="宋体" w:cs="华文楷体"/>
          <w:color w:val="auto"/>
          <w:sz w:val="24"/>
          <w:szCs w:val="24"/>
          <w:highlight w:val="none"/>
        </w:rPr>
        <w:t>的一</w:t>
      </w:r>
      <w:r>
        <w:rPr>
          <w:rFonts w:hint="eastAsia" w:ascii="宋体" w:hAnsi="宋体" w:cs="华文楷体"/>
          <w:color w:val="auto"/>
          <w:spacing w:val="-2"/>
          <w:sz w:val="24"/>
          <w:szCs w:val="24"/>
          <w:highlight w:val="none"/>
        </w:rPr>
        <w:t>切</w:t>
      </w:r>
      <w:r>
        <w:rPr>
          <w:rFonts w:hint="eastAsia" w:ascii="宋体" w:hAnsi="宋体" w:cs="华文楷体"/>
          <w:color w:val="auto"/>
          <w:sz w:val="24"/>
          <w:szCs w:val="24"/>
          <w:highlight w:val="none"/>
        </w:rPr>
        <w:t>事</w:t>
      </w:r>
      <w:r>
        <w:rPr>
          <w:rFonts w:hint="eastAsia" w:ascii="宋体" w:hAnsi="宋体" w:cs="华文楷体"/>
          <w:color w:val="auto"/>
          <w:spacing w:val="-2"/>
          <w:sz w:val="24"/>
          <w:szCs w:val="24"/>
          <w:highlight w:val="none"/>
        </w:rPr>
        <w:t>宜</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联</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体</w:t>
      </w:r>
      <w:r>
        <w:rPr>
          <w:rFonts w:hint="eastAsia" w:ascii="宋体" w:hAnsi="宋体" w:cs="华文楷体"/>
          <w:color w:val="auto"/>
          <w:spacing w:val="-2"/>
          <w:sz w:val="24"/>
          <w:szCs w:val="24"/>
          <w:highlight w:val="none"/>
        </w:rPr>
        <w:t>各成</w:t>
      </w:r>
      <w:r>
        <w:rPr>
          <w:rFonts w:hint="eastAsia" w:ascii="宋体" w:hAnsi="宋体" w:cs="华文楷体"/>
          <w:color w:val="auto"/>
          <w:sz w:val="24"/>
          <w:szCs w:val="24"/>
          <w:highlight w:val="none"/>
        </w:rPr>
        <w:t>员均</w:t>
      </w:r>
      <w:r>
        <w:rPr>
          <w:rFonts w:hint="eastAsia" w:ascii="宋体" w:hAnsi="宋体" w:cs="华文楷体"/>
          <w:color w:val="auto"/>
          <w:spacing w:val="-2"/>
          <w:sz w:val="24"/>
          <w:szCs w:val="24"/>
          <w:highlight w:val="none"/>
        </w:rPr>
        <w:t>予</w:t>
      </w:r>
      <w:r>
        <w:rPr>
          <w:rFonts w:hint="eastAsia" w:ascii="宋体" w:hAnsi="宋体" w:cs="华文楷体"/>
          <w:color w:val="auto"/>
          <w:sz w:val="24"/>
          <w:szCs w:val="24"/>
          <w:highlight w:val="none"/>
        </w:rPr>
        <w:t>以</w:t>
      </w:r>
      <w:r>
        <w:rPr>
          <w:rFonts w:hint="eastAsia" w:ascii="宋体" w:hAnsi="宋体" w:cs="华文楷体"/>
          <w:color w:val="auto"/>
          <w:spacing w:val="-2"/>
          <w:sz w:val="24"/>
          <w:szCs w:val="24"/>
          <w:highlight w:val="none"/>
        </w:rPr>
        <w:t>承</w:t>
      </w:r>
      <w:r>
        <w:rPr>
          <w:rFonts w:hint="eastAsia" w:ascii="宋体" w:hAnsi="宋体" w:cs="华文楷体"/>
          <w:color w:val="auto"/>
          <w:sz w:val="24"/>
          <w:szCs w:val="24"/>
          <w:highlight w:val="none"/>
        </w:rPr>
        <w:t>认。 联合体各成员将</w:t>
      </w:r>
      <w:r>
        <w:rPr>
          <w:rFonts w:hint="eastAsia" w:ascii="宋体" w:hAnsi="宋体" w:cs="华文楷体"/>
          <w:color w:val="auto"/>
          <w:spacing w:val="-2"/>
          <w:sz w:val="24"/>
          <w:szCs w:val="24"/>
          <w:highlight w:val="none"/>
        </w:rPr>
        <w:t>严</w:t>
      </w:r>
      <w:r>
        <w:rPr>
          <w:rFonts w:hint="eastAsia" w:ascii="宋体" w:hAnsi="宋体" w:cs="华文楷体"/>
          <w:color w:val="auto"/>
          <w:sz w:val="24"/>
          <w:szCs w:val="24"/>
          <w:highlight w:val="none"/>
        </w:rPr>
        <w:t>格按</w:t>
      </w:r>
      <w:r>
        <w:rPr>
          <w:rFonts w:hint="eastAsia" w:ascii="宋体" w:hAnsi="宋体" w:cs="华文楷体"/>
          <w:color w:val="auto"/>
          <w:spacing w:val="-2"/>
          <w:sz w:val="24"/>
          <w:szCs w:val="24"/>
          <w:highlight w:val="none"/>
        </w:rPr>
        <w:t>照</w:t>
      </w:r>
      <w:r>
        <w:rPr>
          <w:rFonts w:hint="eastAsia" w:ascii="宋体" w:hAnsi="宋体" w:cs="华文楷体"/>
          <w:color w:val="auto"/>
          <w:sz w:val="24"/>
          <w:szCs w:val="24"/>
          <w:highlight w:val="none"/>
        </w:rPr>
        <w:t>招标文件、投标</w:t>
      </w:r>
      <w:r>
        <w:rPr>
          <w:rFonts w:hint="eastAsia" w:ascii="宋体" w:hAnsi="宋体" w:cs="华文楷体"/>
          <w:color w:val="auto"/>
          <w:spacing w:val="-2"/>
          <w:sz w:val="24"/>
          <w:szCs w:val="24"/>
          <w:highlight w:val="none"/>
        </w:rPr>
        <w:t>文</w:t>
      </w:r>
      <w:r>
        <w:rPr>
          <w:rFonts w:hint="eastAsia" w:ascii="宋体" w:hAnsi="宋体" w:cs="华文楷体"/>
          <w:color w:val="auto"/>
          <w:sz w:val="24"/>
          <w:szCs w:val="24"/>
          <w:highlight w:val="none"/>
        </w:rPr>
        <w:t>件和</w:t>
      </w:r>
      <w:r>
        <w:rPr>
          <w:rFonts w:hint="eastAsia" w:ascii="宋体" w:hAnsi="宋体" w:cs="华文楷体"/>
          <w:color w:val="auto"/>
          <w:spacing w:val="-2"/>
          <w:sz w:val="24"/>
          <w:szCs w:val="24"/>
          <w:highlight w:val="none"/>
        </w:rPr>
        <w:t>合</w:t>
      </w:r>
      <w:r>
        <w:rPr>
          <w:rFonts w:hint="eastAsia" w:ascii="宋体" w:hAnsi="宋体" w:cs="华文楷体"/>
          <w:color w:val="auto"/>
          <w:sz w:val="24"/>
          <w:szCs w:val="24"/>
          <w:highlight w:val="none"/>
        </w:rPr>
        <w:t>同的要求全面履</w:t>
      </w:r>
      <w:r>
        <w:rPr>
          <w:rFonts w:hint="eastAsia" w:ascii="宋体" w:hAnsi="宋体" w:cs="华文楷体"/>
          <w:color w:val="auto"/>
          <w:spacing w:val="-2"/>
          <w:sz w:val="24"/>
          <w:szCs w:val="24"/>
          <w:highlight w:val="none"/>
        </w:rPr>
        <w:t>行</w:t>
      </w:r>
      <w:r>
        <w:rPr>
          <w:rFonts w:hint="eastAsia" w:ascii="宋体" w:hAnsi="宋体" w:cs="华文楷体"/>
          <w:color w:val="auto"/>
          <w:sz w:val="24"/>
          <w:szCs w:val="24"/>
          <w:highlight w:val="none"/>
        </w:rPr>
        <w:t>义务</w:t>
      </w:r>
      <w:r>
        <w:rPr>
          <w:rFonts w:hint="eastAsia" w:ascii="宋体" w:hAnsi="宋体" w:cs="华文楷体"/>
          <w:color w:val="auto"/>
          <w:spacing w:val="-2"/>
          <w:sz w:val="24"/>
          <w:szCs w:val="24"/>
          <w:highlight w:val="none"/>
        </w:rPr>
        <w:t>，</w:t>
      </w:r>
      <w:r>
        <w:rPr>
          <w:rFonts w:hint="eastAsia" w:ascii="宋体" w:hAnsi="宋体" w:cs="华文楷体"/>
          <w:color w:val="auto"/>
          <w:sz w:val="24"/>
          <w:szCs w:val="24"/>
          <w:highlight w:val="none"/>
        </w:rPr>
        <w:t>并向招标人承</w:t>
      </w:r>
      <w:r>
        <w:rPr>
          <w:rFonts w:hint="eastAsia" w:ascii="宋体" w:hAnsi="宋体" w:cs="华文楷体"/>
          <w:color w:val="auto"/>
          <w:spacing w:val="-2"/>
          <w:sz w:val="24"/>
          <w:szCs w:val="24"/>
          <w:highlight w:val="none"/>
        </w:rPr>
        <w:t>担</w:t>
      </w:r>
      <w:r>
        <w:rPr>
          <w:rFonts w:hint="eastAsia" w:ascii="宋体" w:hAnsi="宋体" w:cs="华文楷体"/>
          <w:color w:val="auto"/>
          <w:sz w:val="24"/>
          <w:szCs w:val="24"/>
          <w:highlight w:val="none"/>
        </w:rPr>
        <w:t>连带责</w:t>
      </w:r>
      <w:r>
        <w:rPr>
          <w:rFonts w:hint="eastAsia" w:ascii="宋体" w:hAnsi="宋体" w:cs="华文楷体"/>
          <w:color w:val="auto"/>
          <w:spacing w:val="-2"/>
          <w:sz w:val="24"/>
          <w:szCs w:val="24"/>
          <w:highlight w:val="none"/>
        </w:rPr>
        <w:t>任</w:t>
      </w:r>
      <w:r>
        <w:rPr>
          <w:rFonts w:hint="eastAsia" w:ascii="宋体" w:hAnsi="宋体" w:cs="华文楷体"/>
          <w:color w:val="auto"/>
          <w:sz w:val="24"/>
          <w:szCs w:val="24"/>
          <w:highlight w:val="none"/>
        </w:rPr>
        <w:t>。</w:t>
      </w:r>
    </w:p>
    <w:p>
      <w:pPr>
        <w:tabs>
          <w:tab w:val="left" w:pos="8740"/>
        </w:tabs>
        <w:spacing w:before="17"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4.</w:t>
      </w:r>
      <w:r>
        <w:rPr>
          <w:rFonts w:hint="eastAsia" w:ascii="宋体" w:hAnsi="宋体" w:cs="华文楷体"/>
          <w:color w:val="auto"/>
          <w:spacing w:val="-2"/>
          <w:sz w:val="24"/>
          <w:szCs w:val="24"/>
          <w:highlight w:val="none"/>
        </w:rPr>
        <w:t>联</w:t>
      </w:r>
      <w:r>
        <w:rPr>
          <w:rFonts w:hint="eastAsia" w:ascii="宋体" w:hAnsi="宋体" w:cs="华文楷体"/>
          <w:color w:val="auto"/>
          <w:sz w:val="24"/>
          <w:szCs w:val="24"/>
          <w:highlight w:val="none"/>
        </w:rPr>
        <w:t>合</w:t>
      </w:r>
      <w:r>
        <w:rPr>
          <w:rFonts w:hint="eastAsia" w:ascii="宋体" w:hAnsi="宋体" w:cs="华文楷体"/>
          <w:color w:val="auto"/>
          <w:spacing w:val="-2"/>
          <w:sz w:val="24"/>
          <w:szCs w:val="24"/>
          <w:highlight w:val="none"/>
        </w:rPr>
        <w:t>体</w:t>
      </w:r>
      <w:r>
        <w:rPr>
          <w:rFonts w:hint="eastAsia" w:ascii="宋体" w:hAnsi="宋体" w:cs="华文楷体"/>
          <w:color w:val="auto"/>
          <w:sz w:val="24"/>
          <w:szCs w:val="24"/>
          <w:highlight w:val="none"/>
        </w:rPr>
        <w:t>各</w:t>
      </w:r>
      <w:r>
        <w:rPr>
          <w:rFonts w:hint="eastAsia" w:ascii="宋体" w:hAnsi="宋体" w:cs="华文楷体"/>
          <w:color w:val="auto"/>
          <w:spacing w:val="-2"/>
          <w:sz w:val="24"/>
          <w:szCs w:val="24"/>
          <w:highlight w:val="none"/>
        </w:rPr>
        <w:t>成</w:t>
      </w:r>
      <w:r>
        <w:rPr>
          <w:rFonts w:hint="eastAsia" w:ascii="宋体" w:hAnsi="宋体" w:cs="华文楷体"/>
          <w:color w:val="auto"/>
          <w:sz w:val="24"/>
          <w:szCs w:val="24"/>
          <w:highlight w:val="none"/>
        </w:rPr>
        <w:t>员</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内部</w:t>
      </w:r>
      <w:r>
        <w:rPr>
          <w:rFonts w:hint="eastAsia" w:ascii="宋体" w:hAnsi="宋体" w:cs="华文楷体"/>
          <w:color w:val="auto"/>
          <w:sz w:val="24"/>
          <w:szCs w:val="24"/>
          <w:highlight w:val="none"/>
        </w:rPr>
        <w:t>的职</w:t>
      </w:r>
      <w:r>
        <w:rPr>
          <w:rFonts w:hint="eastAsia" w:ascii="宋体" w:hAnsi="宋体" w:cs="华文楷体"/>
          <w:color w:val="auto"/>
          <w:spacing w:val="-2"/>
          <w:sz w:val="24"/>
          <w:szCs w:val="24"/>
          <w:highlight w:val="none"/>
        </w:rPr>
        <w:t>责</w:t>
      </w:r>
      <w:r>
        <w:rPr>
          <w:rFonts w:hint="eastAsia" w:ascii="宋体" w:hAnsi="宋体" w:cs="华文楷体"/>
          <w:color w:val="auto"/>
          <w:sz w:val="24"/>
          <w:szCs w:val="24"/>
          <w:highlight w:val="none"/>
        </w:rPr>
        <w:t>分</w:t>
      </w:r>
      <w:r>
        <w:rPr>
          <w:rFonts w:hint="eastAsia" w:ascii="宋体" w:hAnsi="宋体" w:cs="华文楷体"/>
          <w:color w:val="auto"/>
          <w:spacing w:val="-2"/>
          <w:sz w:val="24"/>
          <w:szCs w:val="24"/>
          <w:highlight w:val="none"/>
        </w:rPr>
        <w:t>工</w:t>
      </w:r>
      <w:r>
        <w:rPr>
          <w:rFonts w:hint="eastAsia" w:ascii="宋体" w:hAnsi="宋体" w:cs="华文楷体"/>
          <w:color w:val="auto"/>
          <w:sz w:val="24"/>
          <w:szCs w:val="24"/>
          <w:highlight w:val="none"/>
        </w:rPr>
        <w:t>如</w:t>
      </w:r>
      <w:r>
        <w:rPr>
          <w:rFonts w:hint="eastAsia" w:ascii="宋体" w:hAnsi="宋体" w:cs="华文楷体"/>
          <w:color w:val="auto"/>
          <w:spacing w:val="-2"/>
          <w:sz w:val="24"/>
          <w:szCs w:val="24"/>
          <w:highlight w:val="none"/>
        </w:rPr>
        <w:t>下</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u w:val="single"/>
        </w:rPr>
        <w:tab/>
      </w:r>
      <w:r>
        <w:rPr>
          <w:rFonts w:hint="eastAsia" w:ascii="宋体" w:hAnsi="宋体" w:cs="华文楷体"/>
          <w:color w:val="auto"/>
          <w:sz w:val="24"/>
          <w:szCs w:val="24"/>
          <w:highlight w:val="none"/>
        </w:rPr>
        <w:t>。</w:t>
      </w:r>
    </w:p>
    <w:p>
      <w:pPr>
        <w:spacing w:before="80"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sz w:val="24"/>
          <w:szCs w:val="24"/>
          <w:highlight w:val="none"/>
        </w:rPr>
        <w:t>5.</w:t>
      </w:r>
      <w:r>
        <w:rPr>
          <w:rFonts w:hint="eastAsia" w:ascii="宋体" w:hAnsi="宋体" w:cs="华文楷体"/>
          <w:color w:val="auto"/>
          <w:spacing w:val="-2"/>
          <w:sz w:val="24"/>
          <w:szCs w:val="24"/>
          <w:highlight w:val="none"/>
        </w:rPr>
        <w:t>本</w:t>
      </w:r>
      <w:r>
        <w:rPr>
          <w:rFonts w:hint="eastAsia" w:ascii="宋体" w:hAnsi="宋体" w:cs="华文楷体"/>
          <w:color w:val="auto"/>
          <w:sz w:val="24"/>
          <w:szCs w:val="24"/>
          <w:highlight w:val="none"/>
        </w:rPr>
        <w:t>协</w:t>
      </w:r>
      <w:r>
        <w:rPr>
          <w:rFonts w:hint="eastAsia" w:ascii="宋体" w:hAnsi="宋体" w:cs="华文楷体"/>
          <w:color w:val="auto"/>
          <w:spacing w:val="-2"/>
          <w:sz w:val="24"/>
          <w:szCs w:val="24"/>
          <w:highlight w:val="none"/>
        </w:rPr>
        <w:t>议</w:t>
      </w:r>
      <w:r>
        <w:rPr>
          <w:rFonts w:hint="eastAsia" w:ascii="宋体" w:hAnsi="宋体" w:cs="华文楷体"/>
          <w:color w:val="auto"/>
          <w:sz w:val="24"/>
          <w:szCs w:val="24"/>
          <w:highlight w:val="none"/>
        </w:rPr>
        <w:t>书</w:t>
      </w:r>
      <w:r>
        <w:rPr>
          <w:rFonts w:hint="eastAsia" w:ascii="宋体" w:hAnsi="宋体" w:cs="华文楷体"/>
          <w:color w:val="auto"/>
          <w:spacing w:val="-2"/>
          <w:sz w:val="24"/>
          <w:szCs w:val="24"/>
          <w:highlight w:val="none"/>
        </w:rPr>
        <w:t>自</w:t>
      </w:r>
      <w:r>
        <w:rPr>
          <w:rFonts w:hint="eastAsia" w:ascii="宋体" w:hAnsi="宋体" w:cs="华文楷体"/>
          <w:color w:val="auto"/>
          <w:sz w:val="24"/>
          <w:szCs w:val="24"/>
          <w:highlight w:val="none"/>
        </w:rPr>
        <w:t>所</w:t>
      </w:r>
      <w:r>
        <w:rPr>
          <w:rFonts w:hint="eastAsia" w:ascii="宋体" w:hAnsi="宋体" w:cs="华文楷体"/>
          <w:color w:val="auto"/>
          <w:spacing w:val="-2"/>
          <w:sz w:val="24"/>
          <w:szCs w:val="24"/>
          <w:highlight w:val="none"/>
        </w:rPr>
        <w:t>有</w:t>
      </w:r>
      <w:r>
        <w:rPr>
          <w:rFonts w:hint="eastAsia" w:ascii="宋体" w:hAnsi="宋体" w:cs="华文楷体"/>
          <w:color w:val="auto"/>
          <w:sz w:val="24"/>
          <w:szCs w:val="24"/>
          <w:highlight w:val="none"/>
        </w:rPr>
        <w:t>成</w:t>
      </w:r>
      <w:r>
        <w:rPr>
          <w:rFonts w:hint="eastAsia" w:ascii="宋体" w:hAnsi="宋体" w:cs="华文楷体"/>
          <w:color w:val="auto"/>
          <w:spacing w:val="-2"/>
          <w:sz w:val="24"/>
          <w:szCs w:val="24"/>
          <w:highlight w:val="none"/>
        </w:rPr>
        <w:t>员单</w:t>
      </w:r>
      <w:r>
        <w:rPr>
          <w:rFonts w:hint="eastAsia" w:ascii="宋体" w:hAnsi="宋体" w:cs="华文楷体"/>
          <w:color w:val="auto"/>
          <w:sz w:val="24"/>
          <w:szCs w:val="24"/>
          <w:highlight w:val="none"/>
        </w:rPr>
        <w:t>位法</w:t>
      </w:r>
      <w:r>
        <w:rPr>
          <w:rFonts w:hint="eastAsia" w:ascii="宋体" w:hAnsi="宋体" w:cs="华文楷体"/>
          <w:color w:val="auto"/>
          <w:spacing w:val="-2"/>
          <w:sz w:val="24"/>
          <w:szCs w:val="24"/>
          <w:highlight w:val="none"/>
        </w:rPr>
        <w:t>定</w:t>
      </w:r>
      <w:r>
        <w:rPr>
          <w:rFonts w:hint="eastAsia" w:ascii="宋体" w:hAnsi="宋体" w:cs="华文楷体"/>
          <w:color w:val="auto"/>
          <w:sz w:val="24"/>
          <w:szCs w:val="24"/>
          <w:highlight w:val="none"/>
        </w:rPr>
        <w:t>代</w:t>
      </w:r>
      <w:r>
        <w:rPr>
          <w:rFonts w:hint="eastAsia" w:ascii="宋体" w:hAnsi="宋体" w:cs="华文楷体"/>
          <w:color w:val="auto"/>
          <w:spacing w:val="-2"/>
          <w:sz w:val="24"/>
          <w:szCs w:val="24"/>
          <w:highlight w:val="none"/>
        </w:rPr>
        <w:t>表</w:t>
      </w:r>
      <w:r>
        <w:rPr>
          <w:rFonts w:hint="eastAsia" w:ascii="宋体" w:hAnsi="宋体" w:cs="华文楷体"/>
          <w:color w:val="auto"/>
          <w:sz w:val="24"/>
          <w:szCs w:val="24"/>
          <w:highlight w:val="none"/>
        </w:rPr>
        <w:t>人</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其</w:t>
      </w:r>
      <w:r>
        <w:rPr>
          <w:rFonts w:hint="eastAsia" w:ascii="宋体" w:hAnsi="宋体" w:cs="华文楷体"/>
          <w:color w:val="auto"/>
          <w:spacing w:val="-2"/>
          <w:sz w:val="24"/>
          <w:szCs w:val="24"/>
          <w:highlight w:val="none"/>
        </w:rPr>
        <w:t>委</w:t>
      </w:r>
      <w:r>
        <w:rPr>
          <w:rFonts w:hint="eastAsia" w:ascii="宋体" w:hAnsi="宋体" w:cs="华文楷体"/>
          <w:color w:val="auto"/>
          <w:sz w:val="24"/>
          <w:szCs w:val="24"/>
          <w:highlight w:val="none"/>
        </w:rPr>
        <w:t>托</w:t>
      </w:r>
      <w:r>
        <w:rPr>
          <w:rFonts w:hint="eastAsia" w:ascii="宋体" w:hAnsi="宋体" w:cs="华文楷体"/>
          <w:color w:val="auto"/>
          <w:spacing w:val="-2"/>
          <w:sz w:val="24"/>
          <w:szCs w:val="24"/>
          <w:highlight w:val="none"/>
        </w:rPr>
        <w:t>代</w:t>
      </w:r>
      <w:r>
        <w:rPr>
          <w:rFonts w:hint="eastAsia" w:ascii="宋体" w:hAnsi="宋体" w:cs="华文楷体"/>
          <w:color w:val="auto"/>
          <w:sz w:val="24"/>
          <w:szCs w:val="24"/>
          <w:highlight w:val="none"/>
        </w:rPr>
        <w:t>理人</w:t>
      </w:r>
      <w:r>
        <w:rPr>
          <w:rFonts w:hint="eastAsia" w:ascii="宋体" w:hAnsi="宋体" w:cs="华文楷体"/>
          <w:color w:val="auto"/>
          <w:spacing w:val="-2"/>
          <w:sz w:val="24"/>
          <w:szCs w:val="24"/>
          <w:highlight w:val="none"/>
        </w:rPr>
        <w:t>签</w:t>
      </w:r>
      <w:r>
        <w:rPr>
          <w:rFonts w:hint="eastAsia" w:ascii="宋体" w:hAnsi="宋体" w:cs="华文楷体"/>
          <w:color w:val="auto"/>
          <w:sz w:val="24"/>
          <w:szCs w:val="24"/>
          <w:highlight w:val="none"/>
        </w:rPr>
        <w:t>字</w:t>
      </w:r>
      <w:r>
        <w:rPr>
          <w:rFonts w:hint="eastAsia" w:ascii="宋体" w:hAnsi="宋体" w:cs="华文楷体"/>
          <w:color w:val="auto"/>
          <w:spacing w:val="-2"/>
          <w:sz w:val="24"/>
          <w:szCs w:val="24"/>
          <w:highlight w:val="none"/>
        </w:rPr>
        <w:t>或</w:t>
      </w:r>
      <w:r>
        <w:rPr>
          <w:rFonts w:hint="eastAsia" w:ascii="宋体" w:hAnsi="宋体" w:cs="华文楷体"/>
          <w:color w:val="auto"/>
          <w:sz w:val="24"/>
          <w:szCs w:val="24"/>
          <w:highlight w:val="none"/>
        </w:rPr>
        <w:t>盖</w:t>
      </w:r>
      <w:r>
        <w:rPr>
          <w:rFonts w:hint="eastAsia" w:ascii="宋体" w:hAnsi="宋体" w:cs="华文楷体"/>
          <w:color w:val="auto"/>
          <w:spacing w:val="-2"/>
          <w:sz w:val="24"/>
          <w:szCs w:val="24"/>
          <w:highlight w:val="none"/>
        </w:rPr>
        <w:t>单</w:t>
      </w:r>
      <w:r>
        <w:rPr>
          <w:rFonts w:hint="eastAsia" w:ascii="宋体" w:hAnsi="宋体" w:cs="华文楷体"/>
          <w:color w:val="auto"/>
          <w:sz w:val="24"/>
          <w:szCs w:val="24"/>
          <w:highlight w:val="none"/>
        </w:rPr>
        <w:t>位</w:t>
      </w:r>
      <w:r>
        <w:rPr>
          <w:rFonts w:hint="eastAsia" w:ascii="宋体" w:hAnsi="宋体" w:cs="华文楷体"/>
          <w:color w:val="auto"/>
          <w:spacing w:val="-2"/>
          <w:sz w:val="24"/>
          <w:szCs w:val="24"/>
          <w:highlight w:val="none"/>
        </w:rPr>
        <w:t>章</w:t>
      </w:r>
      <w:r>
        <w:rPr>
          <w:rFonts w:hint="eastAsia" w:ascii="宋体" w:hAnsi="宋体" w:cs="华文楷体"/>
          <w:color w:val="auto"/>
          <w:sz w:val="24"/>
          <w:szCs w:val="24"/>
          <w:highlight w:val="none"/>
        </w:rPr>
        <w:t>之</w:t>
      </w:r>
      <w:r>
        <w:rPr>
          <w:rFonts w:hint="eastAsia" w:ascii="宋体" w:hAnsi="宋体" w:cs="华文楷体"/>
          <w:color w:val="auto"/>
          <w:spacing w:val="-2"/>
          <w:sz w:val="24"/>
          <w:szCs w:val="24"/>
          <w:highlight w:val="none"/>
        </w:rPr>
        <w:t>日</w:t>
      </w:r>
      <w:r>
        <w:rPr>
          <w:rFonts w:hint="eastAsia" w:ascii="宋体" w:hAnsi="宋体" w:cs="华文楷体"/>
          <w:color w:val="auto"/>
          <w:sz w:val="24"/>
          <w:szCs w:val="24"/>
          <w:highlight w:val="none"/>
        </w:rPr>
        <w:t>起生</w:t>
      </w:r>
      <w:r>
        <w:rPr>
          <w:rFonts w:hint="eastAsia" w:ascii="宋体" w:hAnsi="宋体" w:cs="华文楷体"/>
          <w:color w:val="auto"/>
          <w:spacing w:val="-2"/>
          <w:sz w:val="24"/>
          <w:szCs w:val="24"/>
          <w:highlight w:val="none"/>
        </w:rPr>
        <w:t>效</w:t>
      </w:r>
      <w:r>
        <w:rPr>
          <w:rFonts w:hint="eastAsia" w:ascii="宋体" w:hAnsi="宋体" w:cs="华文楷体"/>
          <w:color w:val="auto"/>
          <w:spacing w:val="-24"/>
          <w:sz w:val="24"/>
          <w:szCs w:val="24"/>
          <w:highlight w:val="none"/>
        </w:rPr>
        <w:t>，</w:t>
      </w:r>
      <w:r>
        <w:rPr>
          <w:rFonts w:hint="eastAsia" w:ascii="宋体" w:hAnsi="宋体" w:cs="华文楷体"/>
          <w:color w:val="auto"/>
          <w:sz w:val="24"/>
          <w:szCs w:val="24"/>
          <w:highlight w:val="none"/>
        </w:rPr>
        <w:t>合同 履行</w:t>
      </w:r>
      <w:r>
        <w:rPr>
          <w:rFonts w:hint="eastAsia" w:ascii="宋体" w:hAnsi="宋体" w:cs="华文楷体"/>
          <w:color w:val="auto"/>
          <w:spacing w:val="-2"/>
          <w:sz w:val="24"/>
          <w:szCs w:val="24"/>
          <w:highlight w:val="none"/>
        </w:rPr>
        <w:t>完</w:t>
      </w:r>
      <w:r>
        <w:rPr>
          <w:rFonts w:hint="eastAsia" w:ascii="宋体" w:hAnsi="宋体" w:cs="华文楷体"/>
          <w:color w:val="auto"/>
          <w:sz w:val="24"/>
          <w:szCs w:val="24"/>
          <w:highlight w:val="none"/>
        </w:rPr>
        <w:t>毕</w:t>
      </w:r>
      <w:r>
        <w:rPr>
          <w:rFonts w:hint="eastAsia" w:ascii="宋体" w:hAnsi="宋体" w:cs="华文楷体"/>
          <w:color w:val="auto"/>
          <w:spacing w:val="-2"/>
          <w:sz w:val="24"/>
          <w:szCs w:val="24"/>
          <w:highlight w:val="none"/>
        </w:rPr>
        <w:t>后</w:t>
      </w:r>
      <w:r>
        <w:rPr>
          <w:rFonts w:hint="eastAsia" w:ascii="宋体" w:hAnsi="宋体" w:cs="华文楷体"/>
          <w:color w:val="auto"/>
          <w:sz w:val="24"/>
          <w:szCs w:val="24"/>
          <w:highlight w:val="none"/>
        </w:rPr>
        <w:t>自</w:t>
      </w:r>
      <w:r>
        <w:rPr>
          <w:rFonts w:hint="eastAsia" w:ascii="宋体" w:hAnsi="宋体" w:cs="华文楷体"/>
          <w:color w:val="auto"/>
          <w:spacing w:val="-2"/>
          <w:sz w:val="24"/>
          <w:szCs w:val="24"/>
          <w:highlight w:val="none"/>
        </w:rPr>
        <w:t>动</w:t>
      </w:r>
      <w:r>
        <w:rPr>
          <w:rFonts w:hint="eastAsia" w:ascii="宋体" w:hAnsi="宋体" w:cs="华文楷体"/>
          <w:color w:val="auto"/>
          <w:sz w:val="24"/>
          <w:szCs w:val="24"/>
          <w:highlight w:val="none"/>
        </w:rPr>
        <w:t>失</w:t>
      </w:r>
      <w:r>
        <w:rPr>
          <w:rFonts w:hint="eastAsia" w:ascii="宋体" w:hAnsi="宋体" w:cs="华文楷体"/>
          <w:color w:val="auto"/>
          <w:spacing w:val="-3"/>
          <w:sz w:val="24"/>
          <w:szCs w:val="24"/>
          <w:highlight w:val="none"/>
        </w:rPr>
        <w:t>效</w:t>
      </w:r>
      <w:r>
        <w:rPr>
          <w:rFonts w:hint="eastAsia" w:ascii="宋体" w:hAnsi="宋体" w:cs="华文楷体"/>
          <w:color w:val="auto"/>
          <w:sz w:val="24"/>
          <w:szCs w:val="24"/>
          <w:highlight w:val="none"/>
        </w:rPr>
        <w:t>。</w:t>
      </w:r>
    </w:p>
    <w:p>
      <w:pPr>
        <w:spacing w:line="360" w:lineRule="auto"/>
        <w:ind w:firstLine="480" w:firstLineChars="200"/>
        <w:jc w:val="left"/>
        <w:rPr>
          <w:rFonts w:ascii="宋体" w:hAnsi="宋体" w:cs="华文楷体"/>
          <w:color w:val="auto"/>
          <w:sz w:val="24"/>
          <w:szCs w:val="24"/>
          <w:highlight w:val="none"/>
        </w:rPr>
      </w:pPr>
      <w:r>
        <w:rPr>
          <w:rFonts w:hint="eastAsia" w:ascii="宋体" w:hAnsi="宋体" w:cs="华文楷体"/>
          <w:color w:val="auto"/>
          <w:position w:val="-1"/>
          <w:sz w:val="24"/>
          <w:szCs w:val="24"/>
          <w:highlight w:val="none"/>
        </w:rPr>
        <w:t>注：本协议书由法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人签字的，应附法</w:t>
      </w:r>
      <w:r>
        <w:rPr>
          <w:rFonts w:hint="eastAsia" w:ascii="宋体" w:hAnsi="宋体" w:cs="华文楷体"/>
          <w:color w:val="auto"/>
          <w:spacing w:val="-2"/>
          <w:position w:val="-1"/>
          <w:sz w:val="24"/>
          <w:szCs w:val="24"/>
          <w:highlight w:val="none"/>
        </w:rPr>
        <w:t>定</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表</w:t>
      </w:r>
      <w:r>
        <w:rPr>
          <w:rFonts w:hint="eastAsia" w:ascii="宋体" w:hAnsi="宋体" w:cs="华文楷体"/>
          <w:color w:val="auto"/>
          <w:position w:val="-1"/>
          <w:sz w:val="24"/>
          <w:szCs w:val="24"/>
          <w:highlight w:val="none"/>
        </w:rPr>
        <w:t>人身份证明；由委</w:t>
      </w:r>
      <w:r>
        <w:rPr>
          <w:rFonts w:hint="eastAsia" w:ascii="宋体" w:hAnsi="宋体" w:cs="华文楷体"/>
          <w:color w:val="auto"/>
          <w:spacing w:val="-2"/>
          <w:position w:val="-1"/>
          <w:sz w:val="24"/>
          <w:szCs w:val="24"/>
          <w:highlight w:val="none"/>
        </w:rPr>
        <w:t>托</w:t>
      </w:r>
      <w:r>
        <w:rPr>
          <w:rFonts w:hint="eastAsia" w:ascii="宋体" w:hAnsi="宋体" w:cs="华文楷体"/>
          <w:color w:val="auto"/>
          <w:position w:val="-1"/>
          <w:sz w:val="24"/>
          <w:szCs w:val="24"/>
          <w:highlight w:val="none"/>
        </w:rPr>
        <w:t>代</w:t>
      </w:r>
      <w:r>
        <w:rPr>
          <w:rFonts w:hint="eastAsia" w:ascii="宋体" w:hAnsi="宋体" w:cs="华文楷体"/>
          <w:color w:val="auto"/>
          <w:spacing w:val="-2"/>
          <w:position w:val="-1"/>
          <w:sz w:val="24"/>
          <w:szCs w:val="24"/>
          <w:highlight w:val="none"/>
        </w:rPr>
        <w:t>理</w:t>
      </w:r>
      <w:r>
        <w:rPr>
          <w:rFonts w:hint="eastAsia" w:ascii="宋体" w:hAnsi="宋体" w:cs="华文楷体"/>
          <w:color w:val="auto"/>
          <w:position w:val="-1"/>
          <w:sz w:val="24"/>
          <w:szCs w:val="24"/>
          <w:highlight w:val="none"/>
        </w:rPr>
        <w:t>人签字的，应</w:t>
      </w:r>
      <w:r>
        <w:rPr>
          <w:rFonts w:hint="eastAsia" w:ascii="宋体" w:hAnsi="宋体" w:cs="华文楷体"/>
          <w:color w:val="auto"/>
          <w:sz w:val="24"/>
          <w:szCs w:val="24"/>
          <w:highlight w:val="none"/>
        </w:rPr>
        <w:t>附授</w:t>
      </w:r>
      <w:r>
        <w:rPr>
          <w:rFonts w:hint="eastAsia" w:ascii="宋体" w:hAnsi="宋体" w:cs="华文楷体"/>
          <w:color w:val="auto"/>
          <w:spacing w:val="-2"/>
          <w:sz w:val="24"/>
          <w:szCs w:val="24"/>
          <w:highlight w:val="none"/>
        </w:rPr>
        <w:t>权</w:t>
      </w:r>
      <w:r>
        <w:rPr>
          <w:rFonts w:hint="eastAsia" w:ascii="宋体" w:hAnsi="宋体" w:cs="华文楷体"/>
          <w:color w:val="auto"/>
          <w:sz w:val="24"/>
          <w:szCs w:val="24"/>
          <w:highlight w:val="none"/>
        </w:rPr>
        <w:t>委</w:t>
      </w:r>
      <w:r>
        <w:rPr>
          <w:rFonts w:hint="eastAsia" w:ascii="宋体" w:hAnsi="宋体" w:cs="华文楷体"/>
          <w:color w:val="auto"/>
          <w:spacing w:val="-2"/>
          <w:sz w:val="24"/>
          <w:szCs w:val="24"/>
          <w:highlight w:val="none"/>
        </w:rPr>
        <w:t>托</w:t>
      </w:r>
      <w:r>
        <w:rPr>
          <w:rFonts w:hint="eastAsia" w:ascii="宋体" w:hAnsi="宋体" w:cs="华文楷体"/>
          <w:color w:val="auto"/>
          <w:sz w:val="24"/>
          <w:szCs w:val="24"/>
          <w:highlight w:val="none"/>
        </w:rPr>
        <w:t>书。</w:t>
      </w:r>
    </w:p>
    <w:p>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4"/>
          <w:sz w:val="24"/>
          <w:szCs w:val="24"/>
          <w:highlight w:val="none"/>
        </w:rPr>
        <w:t>联合</w:t>
      </w:r>
      <w:r>
        <w:rPr>
          <w:rFonts w:hint="eastAsia" w:ascii="宋体" w:hAnsi="宋体" w:cs="华文楷体"/>
          <w:color w:val="auto"/>
          <w:spacing w:val="-2"/>
          <w:position w:val="-4"/>
          <w:sz w:val="24"/>
          <w:szCs w:val="24"/>
          <w:highlight w:val="none"/>
        </w:rPr>
        <w:t>体</w:t>
      </w:r>
      <w:r>
        <w:rPr>
          <w:rFonts w:hint="eastAsia" w:ascii="宋体" w:hAnsi="宋体" w:cs="华文楷体"/>
          <w:color w:val="auto"/>
          <w:position w:val="-4"/>
          <w:sz w:val="24"/>
          <w:szCs w:val="24"/>
          <w:highlight w:val="none"/>
        </w:rPr>
        <w:t>牵</w:t>
      </w:r>
      <w:r>
        <w:rPr>
          <w:rFonts w:hint="eastAsia" w:ascii="宋体" w:hAnsi="宋体" w:cs="华文楷体"/>
          <w:color w:val="auto"/>
          <w:spacing w:val="-2"/>
          <w:position w:val="-4"/>
          <w:sz w:val="24"/>
          <w:szCs w:val="24"/>
          <w:highlight w:val="none"/>
        </w:rPr>
        <w:t>头</w:t>
      </w:r>
      <w:r>
        <w:rPr>
          <w:rFonts w:hint="eastAsia" w:ascii="宋体" w:hAnsi="宋体" w:cs="华文楷体"/>
          <w:color w:val="auto"/>
          <w:position w:val="-4"/>
          <w:sz w:val="24"/>
          <w:szCs w:val="24"/>
          <w:highlight w:val="none"/>
        </w:rPr>
        <w:t>人</w:t>
      </w:r>
      <w:r>
        <w:rPr>
          <w:rFonts w:hint="eastAsia" w:ascii="宋体" w:hAnsi="宋体" w:cs="华文楷体"/>
          <w:color w:val="auto"/>
          <w:spacing w:val="-2"/>
          <w:position w:val="-4"/>
          <w:sz w:val="24"/>
          <w:szCs w:val="24"/>
          <w:highlight w:val="none"/>
        </w:rPr>
        <w:t>名</w:t>
      </w:r>
      <w:r>
        <w:rPr>
          <w:rFonts w:hint="eastAsia" w:ascii="宋体" w:hAnsi="宋体" w:cs="华文楷体"/>
          <w:color w:val="auto"/>
          <w:position w:val="-4"/>
          <w:sz w:val="24"/>
          <w:szCs w:val="24"/>
          <w:highlight w:val="none"/>
        </w:rPr>
        <w:t>称</w:t>
      </w:r>
      <w:r>
        <w:rPr>
          <w:rFonts w:hint="eastAsia" w:ascii="宋体" w:hAnsi="宋体" w:cs="华文楷体"/>
          <w:color w:val="auto"/>
          <w:spacing w:val="-3"/>
          <w:position w:val="-4"/>
          <w:sz w:val="24"/>
          <w:szCs w:val="24"/>
          <w:highlight w:val="none"/>
        </w:rPr>
        <w:t>：</w:t>
      </w:r>
      <w:r>
        <w:rPr>
          <w:rFonts w:hint="eastAsia" w:ascii="宋体" w:hAnsi="宋体" w:cs="华文楷体"/>
          <w:color w:val="auto"/>
          <w:position w:val="-4"/>
          <w:sz w:val="24"/>
          <w:szCs w:val="24"/>
          <w:highlight w:val="none"/>
          <w:u w:val="single"/>
        </w:rPr>
        <w:t xml:space="preserve"> </w:t>
      </w:r>
      <w:r>
        <w:rPr>
          <w:rFonts w:hint="eastAsia" w:ascii="宋体" w:hAnsi="宋体" w:cs="华文楷体"/>
          <w:color w:val="auto"/>
          <w:spacing w:val="1"/>
          <w:position w:val="-4"/>
          <w:sz w:val="24"/>
          <w:szCs w:val="24"/>
          <w:highlight w:val="none"/>
          <w:u w:val="single"/>
        </w:rPr>
        <w:t xml:space="preserve"> </w:t>
      </w:r>
      <w:r>
        <w:rPr>
          <w:rFonts w:hint="eastAsia" w:ascii="宋体" w:hAnsi="宋体" w:cs="华文楷体"/>
          <w:color w:val="auto"/>
          <w:position w:val="-4"/>
          <w:sz w:val="24"/>
          <w:szCs w:val="24"/>
          <w:highlight w:val="none"/>
          <w:u w:val="single"/>
        </w:rPr>
        <w:tab/>
      </w:r>
      <w:r>
        <w:rPr>
          <w:rFonts w:hint="eastAsia" w:ascii="宋体" w:hAnsi="宋体" w:cs="华文楷体"/>
          <w:color w:val="auto"/>
          <w:position w:val="-4"/>
          <w:sz w:val="24"/>
          <w:szCs w:val="24"/>
          <w:highlight w:val="none"/>
        </w:rPr>
        <w:t>（盖</w:t>
      </w:r>
      <w:r>
        <w:rPr>
          <w:rFonts w:hint="eastAsia" w:ascii="宋体" w:hAnsi="宋体" w:cs="华文楷体"/>
          <w:color w:val="auto"/>
          <w:spacing w:val="-2"/>
          <w:position w:val="-4"/>
          <w:sz w:val="24"/>
          <w:szCs w:val="24"/>
          <w:highlight w:val="none"/>
        </w:rPr>
        <w:t>单</w:t>
      </w:r>
      <w:r>
        <w:rPr>
          <w:rFonts w:hint="eastAsia" w:ascii="宋体" w:hAnsi="宋体" w:cs="华文楷体"/>
          <w:color w:val="auto"/>
          <w:position w:val="-4"/>
          <w:sz w:val="24"/>
          <w:szCs w:val="24"/>
          <w:highlight w:val="none"/>
        </w:rPr>
        <w:t>位</w:t>
      </w:r>
      <w:r>
        <w:rPr>
          <w:rFonts w:hint="eastAsia" w:ascii="宋体" w:hAnsi="宋体" w:cs="华文楷体"/>
          <w:color w:val="auto"/>
          <w:spacing w:val="-2"/>
          <w:position w:val="-4"/>
          <w:sz w:val="24"/>
          <w:szCs w:val="24"/>
          <w:highlight w:val="none"/>
        </w:rPr>
        <w:t>章</w:t>
      </w:r>
      <w:r>
        <w:rPr>
          <w:rFonts w:hint="eastAsia" w:ascii="宋体" w:hAnsi="宋体" w:cs="华文楷体"/>
          <w:color w:val="auto"/>
          <w:position w:val="-4"/>
          <w:sz w:val="24"/>
          <w:szCs w:val="24"/>
          <w:highlight w:val="none"/>
        </w:rPr>
        <w:t>）</w:t>
      </w:r>
    </w:p>
    <w:p>
      <w:pPr>
        <w:tabs>
          <w:tab w:val="left" w:pos="6645"/>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（签</w:t>
      </w:r>
      <w:r>
        <w:rPr>
          <w:rFonts w:hint="eastAsia" w:ascii="宋体" w:hAnsi="宋体" w:cs="华文楷体"/>
          <w:color w:val="auto"/>
          <w:spacing w:val="-2"/>
          <w:position w:val="-2"/>
          <w:sz w:val="24"/>
          <w:szCs w:val="24"/>
          <w:highlight w:val="none"/>
        </w:rPr>
        <w:t>字或盖章</w:t>
      </w:r>
      <w:r>
        <w:rPr>
          <w:rFonts w:hint="eastAsia" w:ascii="宋体" w:hAnsi="宋体" w:cs="华文楷体"/>
          <w:color w:val="auto"/>
          <w:position w:val="-2"/>
          <w:sz w:val="24"/>
          <w:szCs w:val="24"/>
          <w:highlight w:val="none"/>
        </w:rPr>
        <w:t>）</w:t>
      </w:r>
    </w:p>
    <w:p>
      <w:pPr>
        <w:tabs>
          <w:tab w:val="left" w:pos="7240"/>
        </w:tabs>
        <w:spacing w:line="360" w:lineRule="auto"/>
        <w:ind w:left="2511" w:right="-20"/>
        <w:jc w:val="left"/>
        <w:rPr>
          <w:rFonts w:ascii="宋体" w:hAnsi="宋体" w:cs="华文楷体"/>
          <w:color w:val="auto"/>
          <w:sz w:val="24"/>
          <w:szCs w:val="24"/>
          <w:highlight w:val="none"/>
        </w:rPr>
      </w:pPr>
      <w:r>
        <w:rPr>
          <w:rFonts w:hint="eastAsia" w:ascii="宋体" w:hAnsi="宋体" w:cs="华文楷体"/>
          <w:color w:val="auto"/>
          <w:position w:val="-2"/>
          <w:sz w:val="24"/>
          <w:szCs w:val="24"/>
          <w:highlight w:val="none"/>
        </w:rPr>
        <w:t>联合</w:t>
      </w:r>
      <w:r>
        <w:rPr>
          <w:rFonts w:hint="eastAsia" w:ascii="宋体" w:hAnsi="宋体" w:cs="华文楷体"/>
          <w:color w:val="auto"/>
          <w:spacing w:val="-2"/>
          <w:position w:val="-2"/>
          <w:sz w:val="24"/>
          <w:szCs w:val="24"/>
          <w:highlight w:val="none"/>
        </w:rPr>
        <w:t>体</w:t>
      </w:r>
      <w:r>
        <w:rPr>
          <w:rFonts w:hint="eastAsia" w:ascii="宋体" w:hAnsi="宋体" w:cs="华文楷体"/>
          <w:color w:val="auto"/>
          <w:position w:val="-2"/>
          <w:sz w:val="24"/>
          <w:szCs w:val="24"/>
          <w:highlight w:val="none"/>
        </w:rPr>
        <w:t>成</w:t>
      </w:r>
      <w:r>
        <w:rPr>
          <w:rFonts w:hint="eastAsia" w:ascii="宋体" w:hAnsi="宋体" w:cs="华文楷体"/>
          <w:color w:val="auto"/>
          <w:spacing w:val="-2"/>
          <w:position w:val="-2"/>
          <w:sz w:val="24"/>
          <w:szCs w:val="24"/>
          <w:highlight w:val="none"/>
        </w:rPr>
        <w:t>员</w:t>
      </w:r>
      <w:r>
        <w:rPr>
          <w:rFonts w:hint="eastAsia" w:ascii="宋体" w:hAnsi="宋体" w:cs="华文楷体"/>
          <w:color w:val="auto"/>
          <w:position w:val="-2"/>
          <w:sz w:val="24"/>
          <w:szCs w:val="24"/>
          <w:highlight w:val="none"/>
        </w:rPr>
        <w:t>名</w:t>
      </w:r>
      <w:r>
        <w:rPr>
          <w:rFonts w:hint="eastAsia" w:ascii="宋体" w:hAnsi="宋体" w:cs="华文楷体"/>
          <w:color w:val="auto"/>
          <w:spacing w:val="-2"/>
          <w:position w:val="-2"/>
          <w:sz w:val="24"/>
          <w:szCs w:val="24"/>
          <w:highlight w:val="none"/>
        </w:rPr>
        <w:t>称</w:t>
      </w:r>
      <w:r>
        <w:rPr>
          <w:rFonts w:hint="eastAsia" w:ascii="宋体" w:hAnsi="宋体" w:cs="华文楷体"/>
          <w:color w:val="auto"/>
          <w:position w:val="-2"/>
          <w:sz w:val="24"/>
          <w:szCs w:val="24"/>
          <w:highlight w:val="none"/>
        </w:rPr>
        <w:t>：</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（盖</w:t>
      </w:r>
      <w:r>
        <w:rPr>
          <w:rFonts w:hint="eastAsia" w:ascii="宋体" w:hAnsi="宋体" w:cs="华文楷体"/>
          <w:color w:val="auto"/>
          <w:spacing w:val="-2"/>
          <w:position w:val="-2"/>
          <w:sz w:val="24"/>
          <w:szCs w:val="24"/>
          <w:highlight w:val="none"/>
        </w:rPr>
        <w:t>单</w:t>
      </w:r>
      <w:r>
        <w:rPr>
          <w:rFonts w:hint="eastAsia" w:ascii="宋体" w:hAnsi="宋体" w:cs="华文楷体"/>
          <w:color w:val="auto"/>
          <w:position w:val="-2"/>
          <w:sz w:val="24"/>
          <w:szCs w:val="24"/>
          <w:highlight w:val="none"/>
        </w:rPr>
        <w:t>位</w:t>
      </w:r>
      <w:r>
        <w:rPr>
          <w:rFonts w:hint="eastAsia" w:ascii="宋体" w:hAnsi="宋体" w:cs="华文楷体"/>
          <w:color w:val="auto"/>
          <w:spacing w:val="-2"/>
          <w:position w:val="-2"/>
          <w:sz w:val="24"/>
          <w:szCs w:val="24"/>
          <w:highlight w:val="none"/>
        </w:rPr>
        <w:t>章</w:t>
      </w:r>
      <w:r>
        <w:rPr>
          <w:rFonts w:hint="eastAsia" w:ascii="宋体" w:hAnsi="宋体" w:cs="华文楷体"/>
          <w:color w:val="auto"/>
          <w:position w:val="-2"/>
          <w:sz w:val="24"/>
          <w:szCs w:val="24"/>
          <w:highlight w:val="none"/>
        </w:rPr>
        <w:t>）</w:t>
      </w:r>
    </w:p>
    <w:p>
      <w:pPr>
        <w:tabs>
          <w:tab w:val="left" w:pos="6180"/>
        </w:tabs>
        <w:spacing w:line="360" w:lineRule="auto"/>
        <w:ind w:left="2511" w:right="-20"/>
        <w:jc w:val="left"/>
        <w:rPr>
          <w:rFonts w:ascii="宋体" w:hAnsi="宋体" w:cs="华文楷体"/>
          <w:color w:val="auto"/>
          <w:position w:val="-2"/>
          <w:sz w:val="24"/>
          <w:szCs w:val="24"/>
          <w:highlight w:val="none"/>
        </w:rPr>
      </w:pPr>
      <w:r>
        <w:rPr>
          <w:rFonts w:hint="eastAsia" w:ascii="宋体" w:hAnsi="宋体" w:cs="华文楷体"/>
          <w:color w:val="auto"/>
          <w:position w:val="-2"/>
          <w:sz w:val="24"/>
          <w:szCs w:val="24"/>
          <w:highlight w:val="none"/>
        </w:rPr>
        <w:t>法定</w:t>
      </w:r>
      <w:r>
        <w:rPr>
          <w:rFonts w:hint="eastAsia" w:ascii="宋体" w:hAnsi="宋体" w:cs="华文楷体"/>
          <w:color w:val="auto"/>
          <w:spacing w:val="-2"/>
          <w:position w:val="-2"/>
          <w:sz w:val="24"/>
          <w:szCs w:val="24"/>
          <w:highlight w:val="none"/>
        </w:rPr>
        <w:t>代</w:t>
      </w:r>
      <w:r>
        <w:rPr>
          <w:rFonts w:hint="eastAsia" w:ascii="宋体" w:hAnsi="宋体" w:cs="华文楷体"/>
          <w:color w:val="auto"/>
          <w:position w:val="-2"/>
          <w:sz w:val="24"/>
          <w:szCs w:val="24"/>
          <w:highlight w:val="none"/>
        </w:rPr>
        <w:t>表</w:t>
      </w:r>
      <w:r>
        <w:rPr>
          <w:rFonts w:hint="eastAsia" w:ascii="宋体" w:hAnsi="宋体" w:cs="华文楷体"/>
          <w:color w:val="auto"/>
          <w:spacing w:val="-2"/>
          <w:position w:val="-2"/>
          <w:sz w:val="24"/>
          <w:szCs w:val="24"/>
          <w:highlight w:val="none"/>
        </w:rPr>
        <w:t>人</w:t>
      </w:r>
      <w:r>
        <w:rPr>
          <w:rFonts w:hint="eastAsia" w:ascii="宋体" w:hAnsi="宋体" w:cs="华文楷体"/>
          <w:color w:val="auto"/>
          <w:position w:val="-2"/>
          <w:sz w:val="24"/>
          <w:szCs w:val="24"/>
          <w:highlight w:val="none"/>
        </w:rPr>
        <w:t>或</w:t>
      </w:r>
      <w:r>
        <w:rPr>
          <w:rFonts w:hint="eastAsia" w:ascii="宋体" w:hAnsi="宋体" w:cs="华文楷体"/>
          <w:color w:val="auto"/>
          <w:spacing w:val="-2"/>
          <w:position w:val="-2"/>
          <w:sz w:val="24"/>
          <w:szCs w:val="24"/>
          <w:highlight w:val="none"/>
        </w:rPr>
        <w:t>其</w:t>
      </w:r>
      <w:r>
        <w:rPr>
          <w:rFonts w:hint="eastAsia" w:ascii="宋体" w:hAnsi="宋体" w:cs="华文楷体"/>
          <w:color w:val="auto"/>
          <w:position w:val="-2"/>
          <w:sz w:val="24"/>
          <w:szCs w:val="24"/>
          <w:highlight w:val="none"/>
        </w:rPr>
        <w:t>委</w:t>
      </w:r>
      <w:r>
        <w:rPr>
          <w:rFonts w:hint="eastAsia" w:ascii="宋体" w:hAnsi="宋体" w:cs="华文楷体"/>
          <w:color w:val="auto"/>
          <w:spacing w:val="-2"/>
          <w:position w:val="-2"/>
          <w:sz w:val="24"/>
          <w:szCs w:val="24"/>
          <w:highlight w:val="none"/>
        </w:rPr>
        <w:t>托</w:t>
      </w:r>
      <w:r>
        <w:rPr>
          <w:rFonts w:hint="eastAsia" w:ascii="宋体" w:hAnsi="宋体" w:cs="华文楷体"/>
          <w:color w:val="auto"/>
          <w:position w:val="-2"/>
          <w:sz w:val="24"/>
          <w:szCs w:val="24"/>
          <w:highlight w:val="none"/>
        </w:rPr>
        <w:t>代</w:t>
      </w:r>
      <w:r>
        <w:rPr>
          <w:rFonts w:hint="eastAsia" w:ascii="宋体" w:hAnsi="宋体" w:cs="华文楷体"/>
          <w:color w:val="auto"/>
          <w:spacing w:val="-2"/>
          <w:position w:val="-2"/>
          <w:sz w:val="24"/>
          <w:szCs w:val="24"/>
          <w:highlight w:val="none"/>
        </w:rPr>
        <w:t>理</w:t>
      </w:r>
      <w:r>
        <w:rPr>
          <w:rFonts w:hint="eastAsia" w:ascii="宋体" w:hAnsi="宋体" w:cs="华文楷体"/>
          <w:color w:val="auto"/>
          <w:position w:val="-2"/>
          <w:sz w:val="24"/>
          <w:szCs w:val="24"/>
          <w:highlight w:val="none"/>
        </w:rPr>
        <w:t>人：</w:t>
      </w:r>
      <w:r>
        <w:rPr>
          <w:rFonts w:hint="eastAsia" w:ascii="宋体" w:hAnsi="宋体" w:cs="华文楷体"/>
          <w:color w:val="auto"/>
          <w:position w:val="-2"/>
          <w:sz w:val="24"/>
          <w:szCs w:val="24"/>
          <w:highlight w:val="none"/>
          <w:u w:val="single"/>
        </w:rPr>
        <w:t xml:space="preserve"> </w:t>
      </w:r>
      <w:r>
        <w:rPr>
          <w:rFonts w:hint="eastAsia" w:ascii="宋体" w:hAnsi="宋体" w:cs="华文楷体"/>
          <w:color w:val="auto"/>
          <w:spacing w:val="1"/>
          <w:position w:val="-2"/>
          <w:sz w:val="24"/>
          <w:szCs w:val="24"/>
          <w:highlight w:val="none"/>
          <w:u w:val="single"/>
        </w:rPr>
        <w:t xml:space="preserve">     </w:t>
      </w:r>
      <w:r>
        <w:rPr>
          <w:rFonts w:hint="eastAsia" w:ascii="宋体" w:hAnsi="宋体" w:cs="华文楷体"/>
          <w:color w:val="auto"/>
          <w:position w:val="-2"/>
          <w:sz w:val="24"/>
          <w:szCs w:val="24"/>
          <w:highlight w:val="none"/>
          <w:u w:val="single"/>
        </w:rPr>
        <w:tab/>
      </w:r>
      <w:r>
        <w:rPr>
          <w:rFonts w:hint="eastAsia" w:ascii="宋体" w:hAnsi="宋体" w:cs="华文楷体"/>
          <w:color w:val="auto"/>
          <w:position w:val="-2"/>
          <w:sz w:val="24"/>
          <w:szCs w:val="24"/>
          <w:highlight w:val="none"/>
        </w:rPr>
        <w:t>（</w:t>
      </w:r>
      <w:r>
        <w:rPr>
          <w:rFonts w:hint="eastAsia" w:ascii="宋体" w:hAnsi="宋体" w:cs="华文楷体"/>
          <w:color w:val="auto"/>
          <w:spacing w:val="-2"/>
          <w:position w:val="-2"/>
          <w:sz w:val="24"/>
          <w:szCs w:val="24"/>
          <w:highlight w:val="none"/>
        </w:rPr>
        <w:t>签</w:t>
      </w:r>
      <w:r>
        <w:rPr>
          <w:rFonts w:hint="eastAsia" w:ascii="宋体" w:hAnsi="宋体" w:cs="华文楷体"/>
          <w:color w:val="auto"/>
          <w:position w:val="-2"/>
          <w:sz w:val="24"/>
          <w:szCs w:val="24"/>
          <w:highlight w:val="none"/>
        </w:rPr>
        <w:t>字或盖章）</w:t>
      </w:r>
    </w:p>
    <w:p>
      <w:pPr>
        <w:pStyle w:val="28"/>
        <w:spacing w:line="360" w:lineRule="auto"/>
        <w:ind w:firstLine="3600" w:firstLineChars="1500"/>
        <w:rPr>
          <w:rFonts w:ascii="宋体" w:hAnsi="宋体" w:cs="华文楷体"/>
          <w:color w:val="auto"/>
          <w:sz w:val="24"/>
          <w:highlight w:val="none"/>
        </w:rPr>
      </w:pPr>
      <w:r>
        <w:rPr>
          <w:rFonts w:hint="eastAsia" w:ascii="宋体" w:hAnsi="宋体" w:cs="华文楷体"/>
          <w:color w:val="auto"/>
          <w:kern w:val="44"/>
          <w:sz w:val="24"/>
          <w:highlight w:val="none"/>
        </w:rPr>
        <w:t>（如有，投标人自行添加）</w:t>
      </w:r>
    </w:p>
    <w:p>
      <w:pPr>
        <w:widowControl/>
        <w:spacing w:line="360" w:lineRule="auto"/>
        <w:jc w:val="center"/>
        <w:rPr>
          <w:rFonts w:ascii="宋体" w:hAnsi="宋体" w:cs="宋体"/>
          <w:b/>
          <w:bCs/>
          <w:color w:val="auto"/>
          <w:kern w:val="0"/>
          <w:szCs w:val="21"/>
          <w:highlight w:val="none"/>
        </w:rPr>
      </w:pPr>
      <w:r>
        <w:rPr>
          <w:rFonts w:hint="eastAsia" w:ascii="宋体" w:hAnsi="宋体" w:cs="华文楷体"/>
          <w:color w:val="auto"/>
          <w:sz w:val="24"/>
          <w:szCs w:val="24"/>
          <w:highlight w:val="none"/>
        </w:rPr>
        <w:tab/>
      </w:r>
      <w:r>
        <w:rPr>
          <w:rFonts w:hint="eastAsia" w:ascii="宋体" w:hAnsi="宋体" w:cs="华文楷体"/>
          <w:color w:val="auto"/>
          <w:sz w:val="24"/>
          <w:szCs w:val="24"/>
          <w:highlight w:val="none"/>
        </w:rPr>
        <w:t>日期：</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年</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月</w:t>
      </w:r>
      <w:r>
        <w:rPr>
          <w:rFonts w:hint="eastAsia" w:ascii="宋体" w:hAnsi="宋体" w:cs="华文楷体"/>
          <w:color w:val="auto"/>
          <w:sz w:val="24"/>
          <w:szCs w:val="24"/>
          <w:highlight w:val="none"/>
          <w:u w:val="single"/>
        </w:rPr>
        <w:t xml:space="preserve">    </w:t>
      </w:r>
      <w:r>
        <w:rPr>
          <w:rFonts w:hint="eastAsia" w:ascii="宋体" w:hAnsi="宋体" w:cs="华文楷体"/>
          <w:color w:val="auto"/>
          <w:sz w:val="24"/>
          <w:szCs w:val="24"/>
          <w:highlight w:val="none"/>
        </w:rPr>
        <w:t>日</w:t>
      </w:r>
    </w:p>
    <w:p>
      <w:pPr>
        <w:pStyle w:val="2"/>
        <w:ind w:left="0" w:leftChars="0" w:firstLine="0" w:firstLineChars="0"/>
        <w:jc w:val="center"/>
        <w:rPr>
          <w:rFonts w:ascii="宋体" w:hAnsi="宋体" w:cs="宋体"/>
          <w:b/>
          <w:bCs/>
          <w:color w:val="auto"/>
          <w:kern w:val="0"/>
          <w:sz w:val="28"/>
          <w:szCs w:val="28"/>
          <w:highlight w:val="none"/>
        </w:rPr>
      </w:pPr>
      <w:r>
        <w:rPr>
          <w:rFonts w:ascii="宋体" w:hAnsi="宋体"/>
          <w:color w:val="auto"/>
          <w:highlight w:val="none"/>
        </w:rPr>
        <w:br w:type="page"/>
      </w:r>
      <w:r>
        <w:rPr>
          <w:rFonts w:hint="eastAsia" w:ascii="宋体" w:hAnsi="宋体" w:cs="宋体"/>
          <w:b/>
          <w:bCs/>
          <w:color w:val="auto"/>
          <w:kern w:val="0"/>
          <w:sz w:val="28"/>
          <w:szCs w:val="28"/>
          <w:highlight w:val="none"/>
        </w:rPr>
        <w:t>（四）其他符合第二章第1.4.1条款规定的证明</w:t>
      </w:r>
    </w:p>
    <w:p>
      <w:pPr>
        <w:pStyle w:val="2"/>
        <w:ind w:left="0" w:leftChars="0" w:firstLine="0" w:firstLineChars="0"/>
        <w:jc w:val="center"/>
        <w:rPr>
          <w:rFonts w:ascii="宋体" w:hAnsi="宋体" w:cs="宋体"/>
          <w:b/>
          <w:bCs/>
          <w:color w:val="auto"/>
          <w:kern w:val="0"/>
          <w:szCs w:val="21"/>
          <w:highlight w:val="none"/>
        </w:rPr>
      </w:pPr>
    </w:p>
    <w:p>
      <w:pPr>
        <w:pStyle w:val="2"/>
        <w:ind w:left="0" w:leftChars="0" w:firstLine="0" w:firstLineChars="0"/>
        <w:jc w:val="center"/>
        <w:rPr>
          <w:rFonts w:ascii="宋体" w:hAnsi="宋体" w:cs="宋体"/>
          <w:b/>
          <w:bCs/>
          <w:color w:val="auto"/>
          <w:kern w:val="0"/>
          <w:szCs w:val="21"/>
          <w:highlight w:val="none"/>
        </w:rPr>
      </w:pPr>
    </w:p>
    <w:p>
      <w:pPr>
        <w:pStyle w:val="2"/>
        <w:ind w:left="0" w:leftChars="0" w:firstLine="0" w:firstLineChars="0"/>
        <w:jc w:val="center"/>
        <w:rPr>
          <w:rFonts w:ascii="宋体" w:hAnsi="宋体" w:cs="宋体"/>
          <w:b/>
          <w:bCs/>
          <w:color w:val="auto"/>
          <w:kern w:val="0"/>
          <w:szCs w:val="21"/>
          <w:highlight w:val="none"/>
        </w:rPr>
      </w:pPr>
    </w:p>
    <w:p>
      <w:pPr>
        <w:pStyle w:val="7"/>
        <w:rPr>
          <w:color w:val="auto"/>
          <w:highlight w:val="none"/>
        </w:rPr>
      </w:pPr>
      <w:r>
        <w:rPr>
          <w:color w:val="auto"/>
          <w:highlight w:val="none"/>
        </w:rPr>
        <w:br w:type="page"/>
      </w:r>
      <w:bookmarkStart w:id="221" w:name="_Toc220"/>
      <w:bookmarkStart w:id="222" w:name="_Toc29346"/>
      <w:bookmarkStart w:id="223" w:name="_Toc20625"/>
      <w:bookmarkStart w:id="224" w:name="_Toc533357334"/>
      <w:r>
        <w:rPr>
          <w:rFonts w:hint="eastAsia"/>
          <w:color w:val="auto"/>
          <w:highlight w:val="none"/>
        </w:rPr>
        <w:t>六、类似项目业绩表</w:t>
      </w:r>
      <w:bookmarkEnd w:id="221"/>
      <w:bookmarkEnd w:id="222"/>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57"/>
        <w:gridCol w:w="1225"/>
        <w:gridCol w:w="1269"/>
        <w:gridCol w:w="932"/>
        <w:gridCol w:w="182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855"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1657"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工程名称</w:t>
            </w:r>
          </w:p>
        </w:tc>
        <w:tc>
          <w:tcPr>
            <w:tcW w:w="1225"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建设单位</w:t>
            </w:r>
          </w:p>
        </w:tc>
        <w:tc>
          <w:tcPr>
            <w:tcW w:w="1269"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合同价（万元）</w:t>
            </w:r>
          </w:p>
        </w:tc>
        <w:tc>
          <w:tcPr>
            <w:tcW w:w="932"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起止时间</w:t>
            </w:r>
          </w:p>
        </w:tc>
        <w:tc>
          <w:tcPr>
            <w:tcW w:w="1827"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工程所在地址</w:t>
            </w:r>
          </w:p>
        </w:tc>
        <w:tc>
          <w:tcPr>
            <w:tcW w:w="870"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5" w:type="dxa"/>
            <w:vAlign w:val="center"/>
          </w:tcPr>
          <w:p>
            <w:pPr>
              <w:spacing w:line="240" w:lineRule="atLeast"/>
              <w:jc w:val="center"/>
              <w:rPr>
                <w:rFonts w:ascii="宋体" w:hAnsi="宋体"/>
                <w:color w:val="auto"/>
                <w:sz w:val="24"/>
                <w:highlight w:val="none"/>
              </w:rPr>
            </w:pPr>
          </w:p>
        </w:tc>
        <w:tc>
          <w:tcPr>
            <w:tcW w:w="1657" w:type="dxa"/>
            <w:vAlign w:val="center"/>
          </w:tcPr>
          <w:p>
            <w:pPr>
              <w:spacing w:line="240" w:lineRule="atLeast"/>
              <w:jc w:val="center"/>
              <w:rPr>
                <w:rFonts w:ascii="宋体" w:hAnsi="宋体"/>
                <w:color w:val="auto"/>
                <w:sz w:val="24"/>
                <w:highlight w:val="none"/>
              </w:rPr>
            </w:pPr>
          </w:p>
        </w:tc>
        <w:tc>
          <w:tcPr>
            <w:tcW w:w="1225" w:type="dxa"/>
            <w:vAlign w:val="center"/>
          </w:tcPr>
          <w:p>
            <w:pPr>
              <w:spacing w:line="240" w:lineRule="atLeast"/>
              <w:jc w:val="center"/>
              <w:rPr>
                <w:rFonts w:ascii="宋体" w:hAnsi="宋体"/>
                <w:color w:val="auto"/>
                <w:sz w:val="24"/>
                <w:highlight w:val="none"/>
              </w:rPr>
            </w:pPr>
          </w:p>
        </w:tc>
        <w:tc>
          <w:tcPr>
            <w:tcW w:w="1269" w:type="dxa"/>
            <w:vAlign w:val="center"/>
          </w:tcPr>
          <w:p>
            <w:pPr>
              <w:spacing w:line="240" w:lineRule="atLeast"/>
              <w:jc w:val="center"/>
              <w:rPr>
                <w:rFonts w:ascii="宋体" w:hAnsi="宋体"/>
                <w:color w:val="auto"/>
                <w:sz w:val="24"/>
                <w:highlight w:val="none"/>
              </w:rPr>
            </w:pPr>
          </w:p>
        </w:tc>
        <w:tc>
          <w:tcPr>
            <w:tcW w:w="932" w:type="dxa"/>
            <w:vAlign w:val="center"/>
          </w:tcPr>
          <w:p>
            <w:pPr>
              <w:spacing w:line="240" w:lineRule="atLeast"/>
              <w:jc w:val="center"/>
              <w:rPr>
                <w:rFonts w:ascii="宋体" w:hAnsi="宋体"/>
                <w:color w:val="auto"/>
                <w:sz w:val="24"/>
                <w:highlight w:val="none"/>
              </w:rPr>
            </w:pPr>
          </w:p>
        </w:tc>
        <w:tc>
          <w:tcPr>
            <w:tcW w:w="1827" w:type="dxa"/>
            <w:vAlign w:val="center"/>
          </w:tcPr>
          <w:p>
            <w:pPr>
              <w:spacing w:line="240" w:lineRule="atLeast"/>
              <w:jc w:val="center"/>
              <w:rPr>
                <w:rFonts w:ascii="宋体" w:hAnsi="宋体"/>
                <w:color w:val="auto"/>
                <w:sz w:val="24"/>
                <w:highlight w:val="none"/>
              </w:rPr>
            </w:pPr>
          </w:p>
        </w:tc>
        <w:tc>
          <w:tcPr>
            <w:tcW w:w="870" w:type="dxa"/>
            <w:vAlign w:val="center"/>
          </w:tcPr>
          <w:p>
            <w:pPr>
              <w:spacing w:line="240" w:lineRule="atLeast"/>
              <w:jc w:val="center"/>
              <w:rPr>
                <w:rFonts w:ascii="宋体" w:hAnsi="宋体"/>
                <w:color w:val="auto"/>
                <w:sz w:val="24"/>
                <w:highlight w:val="none"/>
              </w:rPr>
            </w:pPr>
          </w:p>
        </w:tc>
      </w:tr>
    </w:tbl>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p>
    <w:p>
      <w:pPr>
        <w:pStyle w:val="28"/>
        <w:ind w:firstLine="0"/>
        <w:rPr>
          <w:rFonts w:ascii="宋体" w:hAnsi="宋体" w:cs="宋体"/>
          <w:b/>
          <w:bCs/>
          <w:color w:val="auto"/>
          <w:kern w:val="0"/>
          <w:szCs w:val="21"/>
          <w:highlight w:val="none"/>
        </w:rPr>
      </w:pPr>
    </w:p>
    <w:bookmarkEnd w:id="223"/>
    <w:bookmarkEnd w:id="224"/>
    <w:p>
      <w:pPr>
        <w:rPr>
          <w:rFonts w:ascii="宋体" w:hAnsi="宋体"/>
          <w:color w:val="auto"/>
          <w:sz w:val="24"/>
          <w:highlight w:val="none"/>
        </w:rPr>
        <w:sectPr>
          <w:headerReference r:id="rId6" w:type="default"/>
          <w:pgSz w:w="11906" w:h="16838"/>
          <w:pgMar w:top="1440" w:right="1080" w:bottom="1440" w:left="1080" w:header="851" w:footer="1021" w:gutter="0"/>
          <w:cols w:space="720" w:num="1"/>
          <w:docGrid w:type="lines" w:linePitch="312" w:charSpace="0"/>
        </w:sectPr>
      </w:pPr>
    </w:p>
    <w:p>
      <w:pPr>
        <w:pStyle w:val="7"/>
        <w:rPr>
          <w:color w:val="auto"/>
          <w:highlight w:val="none"/>
        </w:rPr>
      </w:pPr>
      <w:bookmarkStart w:id="225" w:name="_Toc17338"/>
      <w:bookmarkStart w:id="226" w:name="_Toc25168"/>
      <w:r>
        <w:rPr>
          <w:rFonts w:hint="eastAsia"/>
          <w:color w:val="auto"/>
          <w:highlight w:val="none"/>
        </w:rPr>
        <w:t>七、拟投入本项目的检测人员一览表</w:t>
      </w:r>
      <w:bookmarkEnd w:id="225"/>
      <w:bookmarkEnd w:id="22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9"/>
        <w:gridCol w:w="904"/>
        <w:gridCol w:w="1484"/>
        <w:gridCol w:w="1885"/>
        <w:gridCol w:w="88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17"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序号</w:t>
            </w:r>
          </w:p>
        </w:tc>
        <w:tc>
          <w:tcPr>
            <w:tcW w:w="939"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姓名</w:t>
            </w:r>
          </w:p>
        </w:tc>
        <w:tc>
          <w:tcPr>
            <w:tcW w:w="904"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年龄</w:t>
            </w:r>
          </w:p>
        </w:tc>
        <w:tc>
          <w:tcPr>
            <w:tcW w:w="1484"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拟在本项目任职职位</w:t>
            </w:r>
          </w:p>
        </w:tc>
        <w:tc>
          <w:tcPr>
            <w:tcW w:w="1885"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毕业学校</w:t>
            </w:r>
            <w:r>
              <w:rPr>
                <w:rFonts w:ascii="宋体" w:hAnsi="宋体"/>
                <w:color w:val="auto"/>
                <w:sz w:val="24"/>
                <w:highlight w:val="none"/>
              </w:rPr>
              <w:t>/</w:t>
            </w:r>
            <w:r>
              <w:rPr>
                <w:rFonts w:hint="eastAsia" w:ascii="宋体" w:hAnsi="宋体"/>
                <w:color w:val="auto"/>
                <w:sz w:val="24"/>
                <w:highlight w:val="none"/>
              </w:rPr>
              <w:t>专业</w:t>
            </w:r>
          </w:p>
        </w:tc>
        <w:tc>
          <w:tcPr>
            <w:tcW w:w="883"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学历</w:t>
            </w:r>
          </w:p>
        </w:tc>
        <w:tc>
          <w:tcPr>
            <w:tcW w:w="992"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职称及专业</w:t>
            </w:r>
          </w:p>
        </w:tc>
        <w:tc>
          <w:tcPr>
            <w:tcW w:w="1276" w:type="dxa"/>
            <w:vAlign w:val="center"/>
          </w:tcPr>
          <w:p>
            <w:pPr>
              <w:snapToGrid w:val="0"/>
              <w:spacing w:line="240" w:lineRule="atLeast"/>
              <w:jc w:val="center"/>
              <w:rPr>
                <w:rFonts w:ascii="宋体" w:hAnsi="宋体"/>
                <w:color w:val="auto"/>
                <w:sz w:val="24"/>
                <w:highlight w:val="none"/>
              </w:rPr>
            </w:pPr>
            <w:r>
              <w:rPr>
                <w:rFonts w:hint="eastAsia" w:ascii="宋体" w:hAnsi="宋体"/>
                <w:color w:val="auto"/>
                <w:sz w:val="24"/>
                <w:highlight w:val="none"/>
              </w:rPr>
              <w:t>从事检测工作年限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7" w:type="dxa"/>
            <w:vAlign w:val="center"/>
          </w:tcPr>
          <w:p>
            <w:pPr>
              <w:jc w:val="center"/>
              <w:rPr>
                <w:rFonts w:ascii="宋体" w:hAnsi="宋体"/>
                <w:color w:val="auto"/>
                <w:sz w:val="22"/>
                <w:highlight w:val="none"/>
              </w:rPr>
            </w:pPr>
          </w:p>
        </w:tc>
        <w:tc>
          <w:tcPr>
            <w:tcW w:w="939" w:type="dxa"/>
            <w:vAlign w:val="center"/>
          </w:tcPr>
          <w:p>
            <w:pPr>
              <w:jc w:val="center"/>
              <w:rPr>
                <w:rFonts w:ascii="宋体" w:hAnsi="宋体"/>
                <w:color w:val="auto"/>
                <w:sz w:val="22"/>
                <w:highlight w:val="none"/>
              </w:rPr>
            </w:pPr>
          </w:p>
        </w:tc>
        <w:tc>
          <w:tcPr>
            <w:tcW w:w="904" w:type="dxa"/>
            <w:vAlign w:val="center"/>
          </w:tcPr>
          <w:p>
            <w:pPr>
              <w:jc w:val="center"/>
              <w:rPr>
                <w:rFonts w:ascii="宋体" w:hAnsi="宋体"/>
                <w:color w:val="auto"/>
                <w:sz w:val="22"/>
                <w:highlight w:val="none"/>
              </w:rPr>
            </w:pPr>
          </w:p>
        </w:tc>
        <w:tc>
          <w:tcPr>
            <w:tcW w:w="1484" w:type="dxa"/>
            <w:vAlign w:val="center"/>
          </w:tcPr>
          <w:p>
            <w:pPr>
              <w:jc w:val="center"/>
              <w:rPr>
                <w:rFonts w:ascii="宋体" w:hAnsi="宋体"/>
                <w:color w:val="auto"/>
                <w:sz w:val="22"/>
                <w:highlight w:val="none"/>
              </w:rPr>
            </w:pPr>
          </w:p>
        </w:tc>
        <w:tc>
          <w:tcPr>
            <w:tcW w:w="1885" w:type="dxa"/>
            <w:vAlign w:val="center"/>
          </w:tcPr>
          <w:p>
            <w:pPr>
              <w:jc w:val="center"/>
              <w:rPr>
                <w:rFonts w:ascii="宋体" w:hAnsi="宋体"/>
                <w:color w:val="auto"/>
                <w:sz w:val="22"/>
                <w:highlight w:val="none"/>
              </w:rPr>
            </w:pPr>
          </w:p>
        </w:tc>
        <w:tc>
          <w:tcPr>
            <w:tcW w:w="883" w:type="dxa"/>
            <w:vAlign w:val="center"/>
          </w:tcPr>
          <w:p>
            <w:pPr>
              <w:jc w:val="center"/>
              <w:rPr>
                <w:rFonts w:ascii="宋体" w:hAnsi="宋体"/>
                <w:color w:val="auto"/>
                <w:sz w:val="22"/>
                <w:highlight w:val="none"/>
              </w:rPr>
            </w:pPr>
          </w:p>
        </w:tc>
        <w:tc>
          <w:tcPr>
            <w:tcW w:w="992" w:type="dxa"/>
            <w:vAlign w:val="center"/>
          </w:tcPr>
          <w:p>
            <w:pPr>
              <w:jc w:val="center"/>
              <w:rPr>
                <w:rFonts w:ascii="宋体" w:hAnsi="宋体"/>
                <w:color w:val="auto"/>
                <w:sz w:val="22"/>
                <w:highlight w:val="none"/>
              </w:rPr>
            </w:pPr>
          </w:p>
        </w:tc>
        <w:tc>
          <w:tcPr>
            <w:tcW w:w="1276" w:type="dxa"/>
            <w:vAlign w:val="center"/>
          </w:tcPr>
          <w:p>
            <w:pPr>
              <w:jc w:val="center"/>
              <w:rPr>
                <w:rFonts w:ascii="宋体" w:hAnsi="宋体"/>
                <w:color w:val="auto"/>
                <w:sz w:val="22"/>
                <w:highlight w:val="none"/>
              </w:rPr>
            </w:pPr>
          </w:p>
        </w:tc>
      </w:tr>
    </w:tbl>
    <w:p>
      <w:pPr>
        <w:ind w:firstLine="480" w:firstLineChars="200"/>
        <w:rPr>
          <w:rFonts w:ascii="宋体" w:hAnsi="宋体"/>
          <w:color w:val="auto"/>
          <w:sz w:val="24"/>
          <w:highlight w:val="none"/>
        </w:rPr>
      </w:pPr>
    </w:p>
    <w:p>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pPr>
        <w:spacing w:line="440" w:lineRule="exact"/>
        <w:jc w:val="left"/>
        <w:rPr>
          <w:rFonts w:ascii="宋体" w:hAnsi="宋体"/>
          <w:color w:val="auto"/>
          <w:highlight w:val="none"/>
        </w:rPr>
      </w:pPr>
    </w:p>
    <w:p>
      <w:pPr>
        <w:rPr>
          <w:rFonts w:ascii="宋体" w:hAnsi="宋体"/>
          <w:color w:val="auto"/>
          <w:highlight w:val="none"/>
        </w:rPr>
      </w:pPr>
      <w:r>
        <w:rPr>
          <w:rFonts w:ascii="宋体" w:hAnsi="宋体"/>
          <w:color w:val="auto"/>
          <w:sz w:val="24"/>
          <w:highlight w:val="none"/>
        </w:rPr>
        <w:br w:type="page"/>
      </w:r>
    </w:p>
    <w:p>
      <w:pPr>
        <w:pStyle w:val="7"/>
        <w:rPr>
          <w:color w:val="auto"/>
          <w:highlight w:val="none"/>
        </w:rPr>
      </w:pPr>
      <w:bookmarkStart w:id="227" w:name="_Toc9432"/>
      <w:bookmarkStart w:id="228" w:name="_Toc1495"/>
      <w:r>
        <w:rPr>
          <w:rFonts w:hint="eastAsia"/>
          <w:color w:val="auto"/>
          <w:highlight w:val="none"/>
        </w:rPr>
        <w:t>八、拟投入本项目的检测人员简历表</w:t>
      </w:r>
      <w:bookmarkEnd w:id="227"/>
      <w:bookmarkEnd w:id="228"/>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180"/>
        <w:gridCol w:w="1295"/>
        <w:gridCol w:w="281"/>
        <w:gridCol w:w="763"/>
        <w:gridCol w:w="957"/>
        <w:gridCol w:w="407"/>
        <w:gridCol w:w="1200"/>
        <w:gridCol w:w="630"/>
        <w:gridCol w:w="20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jc w:val="center"/>
        </w:trPr>
        <w:tc>
          <w:tcPr>
            <w:tcW w:w="1367"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姓名</w:t>
            </w:r>
          </w:p>
        </w:tc>
        <w:tc>
          <w:tcPr>
            <w:tcW w:w="1295" w:type="dxa"/>
            <w:vAlign w:val="center"/>
          </w:tcPr>
          <w:p>
            <w:pPr>
              <w:snapToGrid w:val="0"/>
              <w:spacing w:line="0" w:lineRule="atLeast"/>
              <w:jc w:val="center"/>
              <w:rPr>
                <w:rFonts w:ascii="宋体" w:hAnsi="宋体"/>
                <w:color w:val="auto"/>
                <w:sz w:val="24"/>
                <w:highlight w:val="none"/>
              </w:rPr>
            </w:pPr>
          </w:p>
        </w:tc>
        <w:tc>
          <w:tcPr>
            <w:tcW w:w="1044"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年龄</w:t>
            </w:r>
          </w:p>
        </w:tc>
        <w:tc>
          <w:tcPr>
            <w:tcW w:w="1364" w:type="dxa"/>
            <w:gridSpan w:val="2"/>
            <w:vAlign w:val="center"/>
          </w:tcPr>
          <w:p>
            <w:pPr>
              <w:snapToGrid w:val="0"/>
              <w:spacing w:line="0" w:lineRule="atLeast"/>
              <w:jc w:val="center"/>
              <w:rPr>
                <w:rFonts w:ascii="宋体" w:hAnsi="宋体"/>
                <w:color w:val="auto"/>
                <w:sz w:val="24"/>
                <w:highlight w:val="none"/>
              </w:rPr>
            </w:pPr>
          </w:p>
        </w:tc>
        <w:tc>
          <w:tcPr>
            <w:tcW w:w="1830"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学历</w:t>
            </w:r>
          </w:p>
        </w:tc>
        <w:tc>
          <w:tcPr>
            <w:tcW w:w="2027" w:type="dxa"/>
          </w:tcPr>
          <w:p>
            <w:pPr>
              <w:snapToGrid w:val="0"/>
              <w:spacing w:line="0" w:lineRule="atLeas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1367"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技术职称</w:t>
            </w:r>
          </w:p>
        </w:tc>
        <w:tc>
          <w:tcPr>
            <w:tcW w:w="1295" w:type="dxa"/>
            <w:vAlign w:val="center"/>
          </w:tcPr>
          <w:p>
            <w:pPr>
              <w:snapToGrid w:val="0"/>
              <w:spacing w:line="0" w:lineRule="atLeast"/>
              <w:jc w:val="center"/>
              <w:rPr>
                <w:rFonts w:ascii="宋体" w:hAnsi="宋体"/>
                <w:color w:val="auto"/>
                <w:sz w:val="24"/>
                <w:highlight w:val="none"/>
              </w:rPr>
            </w:pPr>
          </w:p>
        </w:tc>
        <w:tc>
          <w:tcPr>
            <w:tcW w:w="1044"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职务</w:t>
            </w:r>
          </w:p>
        </w:tc>
        <w:tc>
          <w:tcPr>
            <w:tcW w:w="1364" w:type="dxa"/>
            <w:gridSpan w:val="2"/>
            <w:vAlign w:val="center"/>
          </w:tcPr>
          <w:p>
            <w:pPr>
              <w:snapToGrid w:val="0"/>
              <w:spacing w:line="0" w:lineRule="atLeast"/>
              <w:jc w:val="center"/>
              <w:rPr>
                <w:rFonts w:ascii="宋体" w:hAnsi="宋体"/>
                <w:color w:val="auto"/>
                <w:sz w:val="24"/>
                <w:highlight w:val="none"/>
              </w:rPr>
            </w:pPr>
          </w:p>
        </w:tc>
        <w:tc>
          <w:tcPr>
            <w:tcW w:w="1830"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在本项目担任职务</w:t>
            </w:r>
          </w:p>
        </w:tc>
        <w:tc>
          <w:tcPr>
            <w:tcW w:w="2027" w:type="dxa"/>
          </w:tcPr>
          <w:p>
            <w:pPr>
              <w:snapToGrid w:val="0"/>
              <w:spacing w:line="0" w:lineRule="atLeas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1367"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毕业学校</w:t>
            </w:r>
          </w:p>
        </w:tc>
        <w:tc>
          <w:tcPr>
            <w:tcW w:w="3703" w:type="dxa"/>
            <w:gridSpan w:val="5"/>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毕业于      学校     专业</w:t>
            </w:r>
          </w:p>
        </w:tc>
        <w:tc>
          <w:tcPr>
            <w:tcW w:w="1830" w:type="dxa"/>
            <w:gridSpan w:val="2"/>
            <w:vAlign w:val="center"/>
          </w:tcPr>
          <w:p>
            <w:pPr>
              <w:snapToGrid w:val="0"/>
              <w:spacing w:line="0" w:lineRule="atLeast"/>
              <w:jc w:val="center"/>
              <w:rPr>
                <w:rFonts w:ascii="宋体" w:hAnsi="宋体"/>
                <w:color w:val="auto"/>
                <w:sz w:val="24"/>
                <w:highlight w:val="none"/>
              </w:rPr>
            </w:pPr>
            <w:r>
              <w:rPr>
                <w:rFonts w:hint="eastAsia" w:ascii="宋体" w:hAnsi="宋体"/>
                <w:color w:val="auto"/>
                <w:position w:val="-30"/>
                <w:sz w:val="24"/>
                <w:highlight w:val="none"/>
              </w:rPr>
              <w:t>从事检测工作年限</w:t>
            </w:r>
          </w:p>
        </w:tc>
        <w:tc>
          <w:tcPr>
            <w:tcW w:w="2027" w:type="dxa"/>
          </w:tcPr>
          <w:p>
            <w:pPr>
              <w:snapToGrid w:val="0"/>
              <w:spacing w:line="0" w:lineRule="atLeas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943" w:type="dxa"/>
            <w:gridSpan w:val="4"/>
            <w:vAlign w:val="center"/>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执业资格证号或注册证号</w:t>
            </w:r>
          </w:p>
        </w:tc>
        <w:tc>
          <w:tcPr>
            <w:tcW w:w="5984" w:type="dxa"/>
            <w:gridSpan w:val="6"/>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927" w:type="dxa"/>
            <w:gridSpan w:val="10"/>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主要业绩经历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187" w:type="dxa"/>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时间</w:t>
            </w:r>
          </w:p>
        </w:tc>
        <w:tc>
          <w:tcPr>
            <w:tcW w:w="3476" w:type="dxa"/>
            <w:gridSpan w:val="5"/>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参加过的主要工作</w:t>
            </w:r>
          </w:p>
        </w:tc>
        <w:tc>
          <w:tcPr>
            <w:tcW w:w="1607" w:type="dxa"/>
            <w:gridSpan w:val="2"/>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担任何职</w:t>
            </w:r>
          </w:p>
        </w:tc>
        <w:tc>
          <w:tcPr>
            <w:tcW w:w="2657" w:type="dxa"/>
            <w:gridSpan w:val="2"/>
          </w:tcPr>
          <w:p>
            <w:pPr>
              <w:snapToGrid w:val="0"/>
              <w:spacing w:line="0" w:lineRule="atLeast"/>
              <w:jc w:val="center"/>
              <w:rPr>
                <w:rFonts w:ascii="宋体" w:hAnsi="宋体"/>
                <w:color w:val="auto"/>
                <w:sz w:val="24"/>
                <w:highlight w:val="none"/>
              </w:rPr>
            </w:pPr>
            <w:r>
              <w:rPr>
                <w:rFonts w:hint="eastAsia" w:ascii="宋体" w:hAnsi="宋体"/>
                <w:color w:val="auto"/>
                <w:sz w:val="24"/>
                <w:highlight w:val="none"/>
              </w:rPr>
              <w:t>获得的奖励情况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187" w:type="dxa"/>
          </w:tcPr>
          <w:p>
            <w:pPr>
              <w:snapToGrid w:val="0"/>
              <w:spacing w:line="0" w:lineRule="atLeast"/>
              <w:rPr>
                <w:rFonts w:ascii="宋体" w:hAnsi="宋体"/>
                <w:color w:val="auto"/>
                <w:sz w:val="24"/>
                <w:highlight w:val="none"/>
              </w:rPr>
            </w:pPr>
          </w:p>
        </w:tc>
        <w:tc>
          <w:tcPr>
            <w:tcW w:w="3476" w:type="dxa"/>
            <w:gridSpan w:val="5"/>
          </w:tcPr>
          <w:p>
            <w:pPr>
              <w:snapToGrid w:val="0"/>
              <w:spacing w:line="0" w:lineRule="atLeast"/>
              <w:rPr>
                <w:rFonts w:ascii="宋体" w:hAnsi="宋体"/>
                <w:color w:val="auto"/>
                <w:sz w:val="24"/>
                <w:highlight w:val="none"/>
              </w:rPr>
            </w:pPr>
          </w:p>
        </w:tc>
        <w:tc>
          <w:tcPr>
            <w:tcW w:w="1607" w:type="dxa"/>
            <w:gridSpan w:val="2"/>
          </w:tcPr>
          <w:p>
            <w:pPr>
              <w:snapToGrid w:val="0"/>
              <w:spacing w:line="0" w:lineRule="atLeast"/>
              <w:rPr>
                <w:rFonts w:ascii="宋体" w:hAnsi="宋体"/>
                <w:color w:val="auto"/>
                <w:sz w:val="24"/>
                <w:highlight w:val="none"/>
              </w:rPr>
            </w:pPr>
          </w:p>
        </w:tc>
        <w:tc>
          <w:tcPr>
            <w:tcW w:w="2657" w:type="dxa"/>
            <w:gridSpan w:val="2"/>
          </w:tcPr>
          <w:p>
            <w:pPr>
              <w:snapToGrid w:val="0"/>
              <w:spacing w:line="0" w:lineRule="atLeast"/>
              <w:rPr>
                <w:rFonts w:ascii="宋体" w:hAnsi="宋体"/>
                <w:color w:val="auto"/>
                <w:sz w:val="24"/>
                <w:highlight w:val="none"/>
              </w:rPr>
            </w:pPr>
          </w:p>
        </w:tc>
      </w:tr>
    </w:tbl>
    <w:p>
      <w:pPr>
        <w:widowControl/>
        <w:jc w:val="left"/>
        <w:rPr>
          <w:rFonts w:ascii="宋体" w:hAnsi="宋体"/>
          <w:color w:val="auto"/>
          <w:sz w:val="24"/>
          <w:highlight w:val="none"/>
        </w:rPr>
      </w:pPr>
    </w:p>
    <w:p>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pPr>
        <w:rPr>
          <w:rFonts w:ascii="宋体" w:hAnsi="宋体"/>
          <w:color w:val="auto"/>
          <w:sz w:val="24"/>
          <w:highlight w:val="none"/>
        </w:rPr>
      </w:pPr>
    </w:p>
    <w:p>
      <w:pPr>
        <w:pStyle w:val="7"/>
        <w:rPr>
          <w:color w:val="auto"/>
          <w:highlight w:val="none"/>
        </w:rPr>
      </w:pPr>
      <w:r>
        <w:rPr>
          <w:color w:val="auto"/>
          <w:sz w:val="24"/>
          <w:highlight w:val="none"/>
        </w:rPr>
        <w:br w:type="page"/>
      </w:r>
      <w:bookmarkStart w:id="229" w:name="_Toc25861"/>
      <w:bookmarkStart w:id="230" w:name="_Toc30207"/>
      <w:r>
        <w:rPr>
          <w:rFonts w:hint="eastAsia"/>
          <w:color w:val="auto"/>
          <w:highlight w:val="none"/>
        </w:rPr>
        <w:t>九、拟投入本项目的主要检测仪器设备一览表</w:t>
      </w:r>
      <w:bookmarkEnd w:id="229"/>
      <w:bookmarkEnd w:id="23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93"/>
        <w:gridCol w:w="900"/>
        <w:gridCol w:w="992"/>
        <w:gridCol w:w="1785"/>
        <w:gridCol w:w="1116"/>
        <w:gridCol w:w="134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36"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793"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900"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本项目</w:t>
            </w:r>
          </w:p>
          <w:p>
            <w:pPr>
              <w:jc w:val="center"/>
              <w:rPr>
                <w:rFonts w:ascii="宋体" w:hAnsi="宋体"/>
                <w:color w:val="auto"/>
                <w:szCs w:val="21"/>
                <w:highlight w:val="none"/>
              </w:rPr>
            </w:pPr>
            <w:r>
              <w:rPr>
                <w:rFonts w:hint="eastAsia" w:ascii="宋体" w:hAnsi="宋体"/>
                <w:color w:val="auto"/>
                <w:szCs w:val="21"/>
                <w:highlight w:val="none"/>
              </w:rPr>
              <w:t>数量基本要求</w:t>
            </w:r>
          </w:p>
        </w:tc>
        <w:tc>
          <w:tcPr>
            <w:tcW w:w="6314"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6" w:type="dxa"/>
            <w:vMerge w:val="continue"/>
            <w:vAlign w:val="center"/>
          </w:tcPr>
          <w:p>
            <w:pPr>
              <w:jc w:val="center"/>
              <w:rPr>
                <w:rFonts w:ascii="宋体" w:hAnsi="宋体"/>
                <w:color w:val="auto"/>
                <w:szCs w:val="21"/>
                <w:highlight w:val="none"/>
              </w:rPr>
            </w:pPr>
          </w:p>
        </w:tc>
        <w:tc>
          <w:tcPr>
            <w:tcW w:w="1793" w:type="dxa"/>
            <w:vMerge w:val="continue"/>
            <w:vAlign w:val="center"/>
          </w:tcPr>
          <w:p>
            <w:pPr>
              <w:jc w:val="center"/>
              <w:rPr>
                <w:rFonts w:ascii="宋体" w:hAnsi="宋体"/>
                <w:color w:val="auto"/>
                <w:szCs w:val="21"/>
                <w:highlight w:val="none"/>
              </w:rPr>
            </w:pPr>
          </w:p>
        </w:tc>
        <w:tc>
          <w:tcPr>
            <w:tcW w:w="900" w:type="dxa"/>
            <w:vMerge w:val="continue"/>
            <w:vAlign w:val="center"/>
          </w:tcPr>
          <w:p>
            <w:pPr>
              <w:jc w:val="center"/>
              <w:rPr>
                <w:rFonts w:ascii="宋体" w:hAnsi="宋体"/>
                <w:color w:val="auto"/>
                <w:szCs w:val="21"/>
                <w:highlight w:val="none"/>
              </w:rPr>
            </w:pPr>
          </w:p>
        </w:tc>
        <w:tc>
          <w:tcPr>
            <w:tcW w:w="992"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1785" w:type="dxa"/>
            <w:vAlign w:val="center"/>
          </w:tcPr>
          <w:p>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校准机构</w:t>
            </w:r>
          </w:p>
        </w:tc>
        <w:tc>
          <w:tcPr>
            <w:tcW w:w="1116" w:type="dxa"/>
            <w:vAlign w:val="center"/>
          </w:tcPr>
          <w:p>
            <w:pPr>
              <w:jc w:val="center"/>
              <w:rPr>
                <w:rFonts w:ascii="宋体" w:hAnsi="宋体"/>
                <w:color w:val="auto"/>
                <w:szCs w:val="21"/>
                <w:highlight w:val="none"/>
              </w:rPr>
            </w:pPr>
            <w:r>
              <w:rPr>
                <w:rFonts w:hint="eastAsia" w:ascii="宋体" w:hAnsi="宋体"/>
                <w:color w:val="auto"/>
                <w:szCs w:val="21"/>
                <w:highlight w:val="none"/>
              </w:rPr>
              <w:t>有效期</w:t>
            </w:r>
          </w:p>
        </w:tc>
        <w:tc>
          <w:tcPr>
            <w:tcW w:w="1341" w:type="dxa"/>
            <w:vAlign w:val="center"/>
          </w:tcPr>
          <w:p>
            <w:pPr>
              <w:jc w:val="center"/>
              <w:rPr>
                <w:rFonts w:ascii="宋体" w:hAnsi="宋体"/>
                <w:color w:val="auto"/>
                <w:szCs w:val="21"/>
                <w:highlight w:val="none"/>
              </w:rPr>
            </w:pPr>
            <w:r>
              <w:rPr>
                <w:rFonts w:hint="eastAsia" w:ascii="宋体" w:hAnsi="宋体"/>
                <w:color w:val="auto"/>
                <w:szCs w:val="21"/>
                <w:highlight w:val="none"/>
              </w:rPr>
              <w:t>检定</w:t>
            </w:r>
            <w:r>
              <w:rPr>
                <w:rFonts w:ascii="宋体" w:hAnsi="宋体"/>
                <w:color w:val="auto"/>
                <w:szCs w:val="21"/>
                <w:highlight w:val="none"/>
              </w:rPr>
              <w:t>/</w:t>
            </w:r>
            <w:r>
              <w:rPr>
                <w:rFonts w:hint="eastAsia" w:ascii="宋体" w:hAnsi="宋体"/>
                <w:color w:val="auto"/>
                <w:szCs w:val="21"/>
                <w:highlight w:val="none"/>
              </w:rPr>
              <w:t>校准周期</w:t>
            </w:r>
          </w:p>
        </w:tc>
        <w:tc>
          <w:tcPr>
            <w:tcW w:w="108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1</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spacing w:line="240" w:lineRule="exact"/>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2</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3</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4</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5</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6</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7</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8</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9</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 w:type="dxa"/>
            <w:vAlign w:val="center"/>
          </w:tcPr>
          <w:p>
            <w:pPr>
              <w:spacing w:line="240" w:lineRule="exact"/>
              <w:jc w:val="center"/>
              <w:rPr>
                <w:rFonts w:ascii="宋体" w:hAnsi="宋体"/>
                <w:color w:val="auto"/>
                <w:szCs w:val="21"/>
                <w:highlight w:val="none"/>
              </w:rPr>
            </w:pPr>
            <w:r>
              <w:rPr>
                <w:rFonts w:ascii="宋体" w:hAnsi="宋体"/>
                <w:color w:val="auto"/>
                <w:szCs w:val="21"/>
                <w:highlight w:val="none"/>
              </w:rPr>
              <w:t>10</w:t>
            </w:r>
          </w:p>
        </w:tc>
        <w:tc>
          <w:tcPr>
            <w:tcW w:w="1793" w:type="dxa"/>
            <w:vAlign w:val="center"/>
          </w:tcPr>
          <w:p>
            <w:pPr>
              <w:spacing w:line="240" w:lineRule="exact"/>
              <w:jc w:val="center"/>
              <w:rPr>
                <w:rFonts w:ascii="宋体" w:hAnsi="宋体"/>
                <w:color w:val="auto"/>
                <w:szCs w:val="21"/>
                <w:highlight w:val="none"/>
              </w:rPr>
            </w:pPr>
          </w:p>
        </w:tc>
        <w:tc>
          <w:tcPr>
            <w:tcW w:w="900" w:type="dxa"/>
            <w:vAlign w:val="center"/>
          </w:tcPr>
          <w:p>
            <w:pPr>
              <w:jc w:val="center"/>
              <w:rPr>
                <w:rFonts w:ascii="宋体" w:hAnsi="宋体"/>
                <w:color w:val="auto"/>
                <w:szCs w:val="21"/>
                <w:highlight w:val="none"/>
              </w:rPr>
            </w:pPr>
          </w:p>
        </w:tc>
        <w:tc>
          <w:tcPr>
            <w:tcW w:w="992" w:type="dxa"/>
            <w:vAlign w:val="center"/>
          </w:tcPr>
          <w:p>
            <w:pPr>
              <w:spacing w:line="240" w:lineRule="exact"/>
              <w:jc w:val="center"/>
              <w:rPr>
                <w:rFonts w:ascii="宋体" w:hAnsi="宋体"/>
                <w:color w:val="auto"/>
                <w:szCs w:val="21"/>
                <w:highlight w:val="none"/>
              </w:rPr>
            </w:pPr>
          </w:p>
        </w:tc>
        <w:tc>
          <w:tcPr>
            <w:tcW w:w="1785" w:type="dxa"/>
            <w:vAlign w:val="center"/>
          </w:tcPr>
          <w:p>
            <w:pPr>
              <w:spacing w:line="240" w:lineRule="exact"/>
              <w:jc w:val="center"/>
              <w:rPr>
                <w:rFonts w:ascii="宋体" w:hAnsi="宋体"/>
                <w:color w:val="auto"/>
                <w:szCs w:val="21"/>
                <w:highlight w:val="none"/>
              </w:rPr>
            </w:pPr>
          </w:p>
        </w:tc>
        <w:tc>
          <w:tcPr>
            <w:tcW w:w="1116" w:type="dxa"/>
            <w:vAlign w:val="center"/>
          </w:tcPr>
          <w:p>
            <w:pPr>
              <w:spacing w:line="240" w:lineRule="exact"/>
              <w:jc w:val="center"/>
              <w:rPr>
                <w:rFonts w:ascii="宋体" w:hAnsi="宋体"/>
                <w:color w:val="auto"/>
                <w:szCs w:val="21"/>
                <w:highlight w:val="none"/>
              </w:rPr>
            </w:pPr>
          </w:p>
        </w:tc>
        <w:tc>
          <w:tcPr>
            <w:tcW w:w="1341" w:type="dxa"/>
            <w:vAlign w:val="center"/>
          </w:tcPr>
          <w:p>
            <w:pPr>
              <w:spacing w:line="240" w:lineRule="exact"/>
              <w:jc w:val="center"/>
              <w:rPr>
                <w:rFonts w:ascii="宋体" w:hAnsi="宋体"/>
                <w:color w:val="auto"/>
                <w:szCs w:val="21"/>
                <w:highlight w:val="none"/>
              </w:rPr>
            </w:pPr>
          </w:p>
        </w:tc>
        <w:tc>
          <w:tcPr>
            <w:tcW w:w="1080" w:type="dxa"/>
            <w:vAlign w:val="center"/>
          </w:tcPr>
          <w:p>
            <w:pPr>
              <w:spacing w:line="240" w:lineRule="exact"/>
              <w:jc w:val="center"/>
              <w:rPr>
                <w:rFonts w:ascii="宋体" w:hAnsi="宋体"/>
                <w:color w:val="auto"/>
                <w:szCs w:val="21"/>
                <w:highlight w:val="none"/>
              </w:rPr>
            </w:pPr>
          </w:p>
        </w:tc>
      </w:tr>
    </w:tbl>
    <w:p>
      <w:pPr>
        <w:spacing w:line="440" w:lineRule="exact"/>
        <w:rPr>
          <w:rFonts w:ascii="宋体" w:hAnsi="宋体"/>
          <w:color w:val="auto"/>
          <w:highlight w:val="none"/>
        </w:rPr>
      </w:pPr>
      <w:r>
        <w:rPr>
          <w:rFonts w:hint="eastAsia" w:ascii="宋体" w:hAnsi="宋体"/>
          <w:color w:val="auto"/>
          <w:highlight w:val="none"/>
        </w:rPr>
        <w:t>注：本项不作为资格审查内容，但（如有）需提供，仅作为投标人的评标（综合评分）后附相关证明材料。表格格式可以根据实际情况调整。</w:t>
      </w:r>
    </w:p>
    <w:p>
      <w:pPr>
        <w:snapToGrid w:val="0"/>
        <w:spacing w:line="360" w:lineRule="auto"/>
        <w:ind w:right="-97" w:rightChars="-46"/>
        <w:rPr>
          <w:rFonts w:ascii="宋体" w:hAnsi="宋体"/>
          <w:color w:val="auto"/>
          <w:sz w:val="24"/>
          <w:highlight w:val="none"/>
        </w:rPr>
      </w:pPr>
    </w:p>
    <w:p>
      <w:pPr>
        <w:pStyle w:val="7"/>
        <w:rPr>
          <w:color w:val="auto"/>
          <w:highlight w:val="none"/>
        </w:rPr>
      </w:pPr>
      <w:r>
        <w:rPr>
          <w:color w:val="auto"/>
          <w:highlight w:val="none"/>
        </w:rPr>
        <w:br w:type="page"/>
      </w:r>
      <w:bookmarkStart w:id="231" w:name="_Toc533334237"/>
      <w:bookmarkStart w:id="232" w:name="_Toc528170367"/>
      <w:bookmarkStart w:id="233" w:name="_Toc20161"/>
      <w:bookmarkStart w:id="234" w:name="_Toc532390645"/>
      <w:bookmarkStart w:id="235" w:name="_Toc6117"/>
      <w:bookmarkStart w:id="236" w:name="_Toc15868"/>
      <w:r>
        <w:rPr>
          <w:rFonts w:hint="eastAsia"/>
          <w:color w:val="auto"/>
          <w:highlight w:val="none"/>
        </w:rPr>
        <w:t>十、</w:t>
      </w:r>
      <w:bookmarkEnd w:id="231"/>
      <w:bookmarkEnd w:id="232"/>
      <w:bookmarkEnd w:id="233"/>
      <w:bookmarkEnd w:id="234"/>
      <w:r>
        <w:rPr>
          <w:rFonts w:hint="eastAsia"/>
          <w:color w:val="auto"/>
          <w:highlight w:val="none"/>
        </w:rPr>
        <w:t>检测方案</w:t>
      </w:r>
      <w:bookmarkEnd w:id="235"/>
      <w:bookmarkEnd w:id="236"/>
    </w:p>
    <w:p>
      <w:pPr>
        <w:spacing w:line="360" w:lineRule="auto"/>
        <w:rPr>
          <w:rFonts w:ascii="宋体" w:hAnsi="宋体"/>
          <w:color w:val="auto"/>
          <w:sz w:val="24"/>
          <w:szCs w:val="24"/>
          <w:highlight w:val="none"/>
        </w:rPr>
      </w:pPr>
      <w:r>
        <w:rPr>
          <w:rFonts w:hint="eastAsia" w:ascii="宋体" w:hAnsi="宋体"/>
          <w:color w:val="auto"/>
          <w:sz w:val="24"/>
          <w:szCs w:val="24"/>
          <w:highlight w:val="none"/>
        </w:rPr>
        <w:t>检测方案应包括（但不限于）下列内容：</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一、检测工程概况；</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二、检测范围、检测内容；</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三、检测依据、检测工作目标；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四、检测机构设置（框图）、岗位职责；</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五、检测工作程序、方法和制度、检测措施；</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六、项目管理；</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七、拟投入的检测人员、试验检测仪器设备；</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八、对本工程检测的合理化建议。</w:t>
      </w:r>
    </w:p>
    <w:p>
      <w:pPr>
        <w:pStyle w:val="7"/>
        <w:rPr>
          <w:color w:val="auto"/>
          <w:highlight w:val="none"/>
        </w:rPr>
      </w:pPr>
      <w:bookmarkStart w:id="237" w:name="_Toc533334238"/>
      <w:r>
        <w:rPr>
          <w:color w:val="auto"/>
          <w:highlight w:val="none"/>
        </w:rPr>
        <w:br w:type="page"/>
      </w:r>
      <w:bookmarkStart w:id="238" w:name="_Toc10454"/>
      <w:bookmarkStart w:id="239" w:name="_Toc17662"/>
      <w:r>
        <w:rPr>
          <w:rFonts w:hint="eastAsia"/>
          <w:color w:val="auto"/>
          <w:highlight w:val="none"/>
        </w:rPr>
        <w:t>十一、其他资料</w:t>
      </w:r>
      <w:bookmarkEnd w:id="237"/>
      <w:bookmarkEnd w:id="238"/>
      <w:bookmarkEnd w:id="239"/>
    </w:p>
    <w:p>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highlight w:val="none"/>
        </w:rPr>
        <w:t>投标人须知前附表规定的其他资料，</w:t>
      </w:r>
      <w:r>
        <w:rPr>
          <w:rFonts w:hint="eastAsia" w:ascii="宋体" w:hAnsi="宋体"/>
          <w:color w:val="auto"/>
          <w:sz w:val="24"/>
          <w:szCs w:val="24"/>
          <w:highlight w:val="none"/>
        </w:rPr>
        <w:t>投标人认为有必要提交的其他资料，格式自定。</w:t>
      </w:r>
    </w:p>
    <w:p>
      <w:pPr>
        <w:snapToGrid w:val="0"/>
        <w:spacing w:line="360" w:lineRule="auto"/>
        <w:ind w:right="-97" w:rightChars="-46"/>
        <w:rPr>
          <w:rFonts w:ascii="宋体" w:hAnsi="宋体"/>
          <w:color w:val="auto"/>
          <w:sz w:val="24"/>
          <w:szCs w:val="18"/>
          <w:highlight w:val="none"/>
        </w:rPr>
      </w:pPr>
    </w:p>
    <w:p>
      <w:pPr>
        <w:rPr>
          <w:rFonts w:ascii="宋体" w:hAnsi="宋体"/>
          <w:color w:val="auto"/>
          <w:highlight w:val="none"/>
        </w:rPr>
      </w:pPr>
    </w:p>
    <w:bookmarkEnd w:id="240"/>
    <w:sectPr>
      <w:pgSz w:w="11906" w:h="16838"/>
      <w:pgMar w:top="1440" w:right="1080" w:bottom="1440" w:left="1080" w:header="851"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2"/>
      <w:rPr>
        <w:rStyle w:val="31"/>
      </w:rPr>
    </w:pPr>
    <w:r>
      <w:fldChar w:fldCharType="begin"/>
    </w:r>
    <w:r>
      <w:rPr>
        <w:rStyle w:val="31"/>
      </w:rPr>
      <w:instrText xml:space="preserve">PAGE  </w:instrText>
    </w:r>
    <w:r>
      <w:fldChar w:fldCharType="separate"/>
    </w:r>
    <w:r>
      <w:rPr>
        <w:rStyle w:val="31"/>
      </w:rPr>
      <w:t>42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163738"/>
      <w:docPartObj>
        <w:docPartGallery w:val="autotext"/>
      </w:docPartObj>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5643CC"/>
    <w:multiLevelType w:val="singleLevel"/>
    <w:tmpl w:val="F75643CC"/>
    <w:lvl w:ilvl="0" w:tentative="0">
      <w:start w:val="2"/>
      <w:numFmt w:val="decimal"/>
      <w:suff w:val="nothing"/>
      <w:lvlText w:val="%1、"/>
      <w:lvlJc w:val="left"/>
    </w:lvl>
  </w:abstractNum>
  <w:abstractNum w:abstractNumId="1">
    <w:nsid w:val="0000000A"/>
    <w:multiLevelType w:val="singleLevel"/>
    <w:tmpl w:val="0000000A"/>
    <w:lvl w:ilvl="0" w:tentative="0">
      <w:start w:val="5"/>
      <w:numFmt w:val="chineseCounting"/>
      <w:suff w:val="space"/>
      <w:lvlText w:val="第%1章"/>
      <w:lvlJc w:val="left"/>
      <w:rPr>
        <w:rFonts w:hint="eastAsia"/>
      </w:rPr>
    </w:lvl>
  </w:abstractNum>
  <w:abstractNum w:abstractNumId="2">
    <w:nsid w:val="04C61107"/>
    <w:multiLevelType w:val="singleLevel"/>
    <w:tmpl w:val="04C6110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E6"/>
    <w:rsid w:val="000A68FD"/>
    <w:rsid w:val="000C3D9B"/>
    <w:rsid w:val="00105DC5"/>
    <w:rsid w:val="00117CAA"/>
    <w:rsid w:val="00130559"/>
    <w:rsid w:val="001A01B8"/>
    <w:rsid w:val="001C2DDE"/>
    <w:rsid w:val="00367FB0"/>
    <w:rsid w:val="00374F14"/>
    <w:rsid w:val="003E42AC"/>
    <w:rsid w:val="004B2B7B"/>
    <w:rsid w:val="004D1C3C"/>
    <w:rsid w:val="004F471E"/>
    <w:rsid w:val="005746A3"/>
    <w:rsid w:val="0059141B"/>
    <w:rsid w:val="006B6BAA"/>
    <w:rsid w:val="00717803"/>
    <w:rsid w:val="00780234"/>
    <w:rsid w:val="007B02E6"/>
    <w:rsid w:val="007D053D"/>
    <w:rsid w:val="00872AB0"/>
    <w:rsid w:val="00893324"/>
    <w:rsid w:val="008A1B0F"/>
    <w:rsid w:val="008E6AC0"/>
    <w:rsid w:val="00954099"/>
    <w:rsid w:val="009A21F7"/>
    <w:rsid w:val="009A467C"/>
    <w:rsid w:val="00A43419"/>
    <w:rsid w:val="00B06962"/>
    <w:rsid w:val="00C002DD"/>
    <w:rsid w:val="00C01923"/>
    <w:rsid w:val="00C635B1"/>
    <w:rsid w:val="00CA034E"/>
    <w:rsid w:val="00CA2D23"/>
    <w:rsid w:val="00D242B3"/>
    <w:rsid w:val="00DC188E"/>
    <w:rsid w:val="00DF21BB"/>
    <w:rsid w:val="00EF3EE4"/>
    <w:rsid w:val="00F271AE"/>
    <w:rsid w:val="00F5631B"/>
    <w:rsid w:val="00F71459"/>
    <w:rsid w:val="00F7750B"/>
    <w:rsid w:val="07422887"/>
    <w:rsid w:val="0A73426F"/>
    <w:rsid w:val="0CE70219"/>
    <w:rsid w:val="0FBC48DA"/>
    <w:rsid w:val="3DEC48DA"/>
    <w:rsid w:val="46F8007D"/>
    <w:rsid w:val="48A211DD"/>
    <w:rsid w:val="5B7C00EA"/>
    <w:rsid w:val="5D8C59DD"/>
    <w:rsid w:val="719C7591"/>
    <w:rsid w:val="7BE4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8"/>
    <w:qFormat/>
    <w:uiPriority w:val="0"/>
    <w:pPr>
      <w:keepNext/>
      <w:keepLines/>
      <w:spacing w:line="576" w:lineRule="auto"/>
      <w:jc w:val="center"/>
      <w:outlineLvl w:val="0"/>
    </w:pPr>
    <w:rPr>
      <w:rFonts w:ascii="宋体" w:hAnsi="宋体"/>
      <w:b/>
      <w:kern w:val="44"/>
      <w:sz w:val="44"/>
      <w:szCs w:val="20"/>
    </w:rPr>
  </w:style>
  <w:style w:type="paragraph" w:styleId="6">
    <w:name w:val="heading 2"/>
    <w:basedOn w:val="1"/>
    <w:next w:val="1"/>
    <w:link w:val="39"/>
    <w:qFormat/>
    <w:uiPriority w:val="0"/>
    <w:pPr>
      <w:keepNext/>
      <w:keepLines/>
      <w:spacing w:line="412" w:lineRule="auto"/>
      <w:jc w:val="center"/>
      <w:outlineLvl w:val="1"/>
    </w:pPr>
    <w:rPr>
      <w:rFonts w:ascii="Arial" w:hAnsi="Arial"/>
      <w:b/>
      <w:sz w:val="24"/>
      <w:szCs w:val="20"/>
    </w:rPr>
  </w:style>
  <w:style w:type="paragraph" w:styleId="7">
    <w:name w:val="heading 3"/>
    <w:basedOn w:val="1"/>
    <w:next w:val="1"/>
    <w:link w:val="40"/>
    <w:qFormat/>
    <w:uiPriority w:val="0"/>
    <w:pPr>
      <w:keepNext/>
      <w:keepLines/>
      <w:spacing w:line="360" w:lineRule="auto"/>
      <w:jc w:val="left"/>
      <w:outlineLvl w:val="2"/>
    </w:pPr>
    <w:rPr>
      <w:rFonts w:ascii="宋体" w:hAnsi="宋体"/>
      <w:b/>
      <w:sz w:val="28"/>
      <w:szCs w:val="28"/>
    </w:rPr>
  </w:style>
  <w:style w:type="paragraph" w:styleId="8">
    <w:name w:val="heading 4"/>
    <w:basedOn w:val="1"/>
    <w:next w:val="1"/>
    <w:link w:val="41"/>
    <w:qFormat/>
    <w:uiPriority w:val="0"/>
    <w:pPr>
      <w:keepNext/>
      <w:keepLines/>
      <w:jc w:val="center"/>
      <w:outlineLvl w:val="3"/>
    </w:pPr>
    <w:rPr>
      <w:rFonts w:ascii="Cambria" w:hAnsi="Cambria"/>
      <w:b/>
      <w:bCs/>
      <w:sz w:val="28"/>
      <w:szCs w:val="28"/>
    </w:rPr>
  </w:style>
  <w:style w:type="paragraph" w:styleId="9">
    <w:name w:val="heading 5"/>
    <w:basedOn w:val="1"/>
    <w:next w:val="1"/>
    <w:link w:val="42"/>
    <w:qFormat/>
    <w:uiPriority w:val="0"/>
    <w:pPr>
      <w:keepNext/>
      <w:keepLines/>
      <w:spacing w:line="376" w:lineRule="auto"/>
      <w:outlineLvl w:val="4"/>
    </w:pPr>
    <w:rPr>
      <w:b/>
      <w:bCs/>
      <w:sz w:val="24"/>
      <w:szCs w:val="24"/>
    </w:rPr>
  </w:style>
  <w:style w:type="paragraph" w:styleId="10">
    <w:name w:val="heading 7"/>
    <w:basedOn w:val="1"/>
    <w:next w:val="11"/>
    <w:link w:val="43"/>
    <w:qFormat/>
    <w:uiPriority w:val="0"/>
    <w:pPr>
      <w:keepNext/>
      <w:keepLines/>
      <w:spacing w:before="240" w:after="64" w:line="320" w:lineRule="auto"/>
      <w:outlineLvl w:val="6"/>
    </w:pPr>
    <w:rPr>
      <w:b/>
      <w:kern w:val="0"/>
      <w:sz w:val="24"/>
      <w:szCs w:val="20"/>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5"/>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paragraph" w:styleId="3">
    <w:name w:val="Body Text Indent"/>
    <w:basedOn w:val="1"/>
    <w:next w:val="4"/>
    <w:link w:val="48"/>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4">
    <w:name w:val="envelope return"/>
    <w:basedOn w:val="1"/>
    <w:qFormat/>
    <w:uiPriority w:val="0"/>
    <w:pPr>
      <w:snapToGrid w:val="0"/>
    </w:pPr>
    <w:rPr>
      <w:rFonts w:ascii="Arial" w:hAnsi="Arial" w:cs="Arial"/>
    </w:rPr>
  </w:style>
  <w:style w:type="paragraph" w:styleId="11">
    <w:name w:val="Normal Indent"/>
    <w:basedOn w:val="1"/>
    <w:qFormat/>
    <w:uiPriority w:val="0"/>
    <w:pPr>
      <w:ind w:firstLine="420"/>
    </w:pPr>
    <w:rPr>
      <w:rFonts w:ascii="Calibri" w:hAnsi="Calibri"/>
    </w:rPr>
  </w:style>
  <w:style w:type="paragraph" w:styleId="12">
    <w:name w:val="index 8"/>
    <w:basedOn w:val="1"/>
    <w:next w:val="1"/>
    <w:unhideWhenUsed/>
    <w:qFormat/>
    <w:uiPriority w:val="99"/>
    <w:pPr>
      <w:ind w:left="1400" w:leftChars="1400"/>
    </w:pPr>
  </w:style>
  <w:style w:type="paragraph" w:styleId="13">
    <w:name w:val="Document Map"/>
    <w:basedOn w:val="1"/>
    <w:link w:val="44"/>
    <w:qFormat/>
    <w:uiPriority w:val="0"/>
    <w:rPr>
      <w:rFonts w:ascii="宋体" w:hAnsi="Calibri"/>
      <w:sz w:val="18"/>
      <w:szCs w:val="18"/>
    </w:rPr>
  </w:style>
  <w:style w:type="paragraph" w:styleId="14">
    <w:name w:val="annotation text"/>
    <w:basedOn w:val="1"/>
    <w:link w:val="45"/>
    <w:qFormat/>
    <w:uiPriority w:val="0"/>
    <w:pPr>
      <w:jc w:val="left"/>
    </w:pPr>
    <w:rPr>
      <w:rFonts w:ascii="Calibri" w:hAnsi="Calibri"/>
    </w:rPr>
  </w:style>
  <w:style w:type="paragraph" w:styleId="15">
    <w:name w:val="Body Text 3"/>
    <w:basedOn w:val="1"/>
    <w:link w:val="46"/>
    <w:qFormat/>
    <w:uiPriority w:val="0"/>
    <w:rPr>
      <w:rFonts w:ascii="宋体" w:hAnsi="Calibri"/>
      <w:sz w:val="24"/>
      <w:szCs w:val="20"/>
    </w:rPr>
  </w:style>
  <w:style w:type="paragraph" w:styleId="16">
    <w:name w:val="Body Text"/>
    <w:basedOn w:val="1"/>
    <w:next w:val="1"/>
    <w:link w:val="47"/>
    <w:qFormat/>
    <w:uiPriority w:val="0"/>
    <w:rPr>
      <w:szCs w:val="20"/>
    </w:rPr>
  </w:style>
  <w:style w:type="paragraph" w:styleId="17">
    <w:name w:val="toc 3"/>
    <w:basedOn w:val="1"/>
    <w:next w:val="1"/>
    <w:qFormat/>
    <w:uiPriority w:val="39"/>
    <w:pPr>
      <w:ind w:left="840" w:leftChars="400"/>
    </w:pPr>
    <w:rPr>
      <w:rFonts w:ascii="Calibri" w:hAnsi="Calibri"/>
    </w:rPr>
  </w:style>
  <w:style w:type="paragraph" w:styleId="18">
    <w:name w:val="Plain Text"/>
    <w:basedOn w:val="1"/>
    <w:link w:val="49"/>
    <w:qFormat/>
    <w:uiPriority w:val="99"/>
    <w:rPr>
      <w:rFonts w:ascii="宋体" w:hAnsi="Calibri"/>
      <w:sz w:val="22"/>
      <w:szCs w:val="20"/>
    </w:rPr>
  </w:style>
  <w:style w:type="paragraph" w:styleId="19">
    <w:name w:val="Date"/>
    <w:basedOn w:val="1"/>
    <w:next w:val="1"/>
    <w:link w:val="50"/>
    <w:qFormat/>
    <w:uiPriority w:val="0"/>
    <w:pPr>
      <w:ind w:left="100" w:leftChars="2500"/>
    </w:pPr>
    <w:rPr>
      <w:rFonts w:ascii="Calibri" w:hAnsi="Calibri"/>
    </w:rPr>
  </w:style>
  <w:style w:type="paragraph" w:styleId="20">
    <w:name w:val="Body Text Indent 2"/>
    <w:basedOn w:val="1"/>
    <w:link w:val="51"/>
    <w:qFormat/>
    <w:uiPriority w:val="0"/>
    <w:pPr>
      <w:spacing w:line="480" w:lineRule="auto"/>
      <w:ind w:left="420" w:leftChars="200"/>
    </w:pPr>
    <w:rPr>
      <w:szCs w:val="24"/>
    </w:rPr>
  </w:style>
  <w:style w:type="paragraph" w:styleId="21">
    <w:name w:val="Balloon Text"/>
    <w:basedOn w:val="1"/>
    <w:link w:val="52"/>
    <w:qFormat/>
    <w:uiPriority w:val="0"/>
    <w:rPr>
      <w:rFonts w:ascii="Calibri" w:hAnsi="Calibri"/>
      <w:sz w:val="18"/>
      <w:szCs w:val="18"/>
    </w:rPr>
  </w:style>
  <w:style w:type="paragraph" w:styleId="22">
    <w:name w:val="footer"/>
    <w:basedOn w:val="1"/>
    <w:link w:val="37"/>
    <w:unhideWhenUsed/>
    <w:qFormat/>
    <w:uiPriority w:val="99"/>
    <w:pPr>
      <w:tabs>
        <w:tab w:val="center" w:pos="4153"/>
        <w:tab w:val="right" w:pos="8306"/>
      </w:tabs>
      <w:snapToGrid w:val="0"/>
      <w:jc w:val="left"/>
    </w:pPr>
    <w:rPr>
      <w:sz w:val="18"/>
      <w:szCs w:val="18"/>
    </w:rPr>
  </w:style>
  <w:style w:type="paragraph" w:styleId="2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Calibri" w:hAnsi="Calibri"/>
    </w:rPr>
  </w:style>
  <w:style w:type="paragraph" w:styleId="25">
    <w:name w:val="toc 2"/>
    <w:basedOn w:val="1"/>
    <w:next w:val="1"/>
    <w:qFormat/>
    <w:uiPriority w:val="39"/>
    <w:pPr>
      <w:ind w:left="420" w:leftChars="200"/>
    </w:pPr>
    <w:rPr>
      <w:rFonts w:ascii="Calibri" w:hAnsi="Calibri"/>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annotation subject"/>
    <w:basedOn w:val="14"/>
    <w:next w:val="14"/>
    <w:link w:val="53"/>
    <w:qFormat/>
    <w:uiPriority w:val="0"/>
    <w:rPr>
      <w:b/>
      <w:bCs/>
    </w:rPr>
  </w:style>
  <w:style w:type="paragraph" w:styleId="28">
    <w:name w:val="Body Text First Indent"/>
    <w:basedOn w:val="16"/>
    <w:link w:val="54"/>
    <w:qFormat/>
    <w:uiPriority w:val="0"/>
    <w:pPr>
      <w:spacing w:line="312" w:lineRule="auto"/>
      <w:ind w:firstLine="420"/>
    </w:pPr>
    <w:rPr>
      <w:rFonts w:ascii="Calibri" w:hAnsi="Calibri"/>
      <w:szCs w:val="24"/>
    </w:rPr>
  </w:style>
  <w:style w:type="character" w:styleId="31">
    <w:name w:val="page number"/>
    <w:qFormat/>
    <w:uiPriority w:val="0"/>
    <w:rPr>
      <w:rFonts w:ascii="Calibri" w:hAnsi="Calibri" w:eastAsia="宋体" w:cs="Times New Roman"/>
    </w:rPr>
  </w:style>
  <w:style w:type="character" w:styleId="32">
    <w:name w:val="FollowedHyperlink"/>
    <w:qFormat/>
    <w:uiPriority w:val="0"/>
    <w:rPr>
      <w:rFonts w:ascii="Times New Roman" w:hAnsi="Times New Roman" w:eastAsia="楷体_GB2312" w:cs="Times New Roman"/>
      <w:color w:val="000000"/>
      <w:u w:val="none"/>
    </w:rPr>
  </w:style>
  <w:style w:type="character" w:styleId="33">
    <w:name w:val="Emphasis"/>
    <w:qFormat/>
    <w:uiPriority w:val="0"/>
    <w:rPr>
      <w:rFonts w:ascii="Calibri" w:hAnsi="Calibri" w:eastAsia="宋体" w:cs="Times New Roman"/>
      <w:i/>
    </w:rPr>
  </w:style>
  <w:style w:type="character" w:styleId="34">
    <w:name w:val="Hyperlink"/>
    <w:qFormat/>
    <w:uiPriority w:val="99"/>
    <w:rPr>
      <w:rFonts w:ascii="Calibri" w:hAnsi="Calibri" w:eastAsia="宋体" w:cs="Times New Roman"/>
      <w:color w:val="0000FF"/>
      <w:u w:val="single"/>
    </w:rPr>
  </w:style>
  <w:style w:type="character" w:styleId="35">
    <w:name w:val="annotation reference"/>
    <w:qFormat/>
    <w:uiPriority w:val="0"/>
    <w:rPr>
      <w:rFonts w:ascii="Calibri" w:hAnsi="Calibri" w:eastAsia="宋体" w:cs="Times New Roman"/>
      <w:sz w:val="21"/>
      <w:szCs w:val="21"/>
    </w:rPr>
  </w:style>
  <w:style w:type="character" w:customStyle="1" w:styleId="36">
    <w:name w:val="页眉 字符"/>
    <w:basedOn w:val="30"/>
    <w:link w:val="23"/>
    <w:qFormat/>
    <w:uiPriority w:val="99"/>
    <w:rPr>
      <w:sz w:val="18"/>
      <w:szCs w:val="18"/>
    </w:rPr>
  </w:style>
  <w:style w:type="character" w:customStyle="1" w:styleId="37">
    <w:name w:val="页脚 字符"/>
    <w:basedOn w:val="30"/>
    <w:link w:val="22"/>
    <w:qFormat/>
    <w:uiPriority w:val="99"/>
    <w:rPr>
      <w:sz w:val="18"/>
      <w:szCs w:val="18"/>
    </w:rPr>
  </w:style>
  <w:style w:type="character" w:customStyle="1" w:styleId="38">
    <w:name w:val="标题 1 字符"/>
    <w:basedOn w:val="30"/>
    <w:link w:val="5"/>
    <w:qFormat/>
    <w:uiPriority w:val="0"/>
    <w:rPr>
      <w:rFonts w:ascii="宋体" w:hAnsi="宋体" w:eastAsia="宋体" w:cs="Times New Roman"/>
      <w:b/>
      <w:kern w:val="44"/>
      <w:sz w:val="44"/>
      <w:szCs w:val="20"/>
    </w:rPr>
  </w:style>
  <w:style w:type="character" w:customStyle="1" w:styleId="39">
    <w:name w:val="标题 2 字符"/>
    <w:basedOn w:val="30"/>
    <w:link w:val="6"/>
    <w:qFormat/>
    <w:uiPriority w:val="0"/>
    <w:rPr>
      <w:rFonts w:ascii="Arial" w:hAnsi="Arial" w:eastAsia="宋体" w:cs="Times New Roman"/>
      <w:b/>
      <w:sz w:val="24"/>
      <w:szCs w:val="20"/>
    </w:rPr>
  </w:style>
  <w:style w:type="character" w:customStyle="1" w:styleId="40">
    <w:name w:val="标题 3 字符"/>
    <w:basedOn w:val="30"/>
    <w:link w:val="7"/>
    <w:qFormat/>
    <w:uiPriority w:val="0"/>
    <w:rPr>
      <w:rFonts w:ascii="宋体" w:hAnsi="宋体" w:eastAsia="宋体" w:cs="Times New Roman"/>
      <w:b/>
      <w:sz w:val="28"/>
      <w:szCs w:val="28"/>
    </w:rPr>
  </w:style>
  <w:style w:type="character" w:customStyle="1" w:styleId="41">
    <w:name w:val="标题 4 字符"/>
    <w:basedOn w:val="30"/>
    <w:link w:val="8"/>
    <w:qFormat/>
    <w:uiPriority w:val="0"/>
    <w:rPr>
      <w:rFonts w:ascii="Cambria" w:hAnsi="Cambria" w:eastAsia="宋体" w:cs="Times New Roman"/>
      <w:b/>
      <w:bCs/>
      <w:sz w:val="28"/>
      <w:szCs w:val="28"/>
    </w:rPr>
  </w:style>
  <w:style w:type="character" w:customStyle="1" w:styleId="42">
    <w:name w:val="标题 5 字符"/>
    <w:basedOn w:val="30"/>
    <w:link w:val="9"/>
    <w:qFormat/>
    <w:uiPriority w:val="0"/>
    <w:rPr>
      <w:rFonts w:ascii="Times New Roman" w:hAnsi="Times New Roman" w:eastAsia="宋体" w:cs="Times New Roman"/>
      <w:b/>
      <w:bCs/>
      <w:sz w:val="24"/>
      <w:szCs w:val="24"/>
    </w:rPr>
  </w:style>
  <w:style w:type="character" w:customStyle="1" w:styleId="43">
    <w:name w:val="标题 7 字符"/>
    <w:basedOn w:val="30"/>
    <w:link w:val="10"/>
    <w:qFormat/>
    <w:uiPriority w:val="0"/>
    <w:rPr>
      <w:rFonts w:ascii="Times New Roman" w:hAnsi="Times New Roman" w:eastAsia="宋体" w:cs="Times New Roman"/>
      <w:b/>
      <w:kern w:val="0"/>
      <w:sz w:val="24"/>
      <w:szCs w:val="20"/>
    </w:rPr>
  </w:style>
  <w:style w:type="character" w:customStyle="1" w:styleId="44">
    <w:name w:val="文档结构图 字符"/>
    <w:basedOn w:val="30"/>
    <w:link w:val="13"/>
    <w:qFormat/>
    <w:uiPriority w:val="0"/>
    <w:rPr>
      <w:rFonts w:ascii="宋体" w:hAnsi="Calibri" w:eastAsia="宋体" w:cs="Times New Roman"/>
      <w:sz w:val="18"/>
      <w:szCs w:val="18"/>
    </w:rPr>
  </w:style>
  <w:style w:type="character" w:customStyle="1" w:styleId="45">
    <w:name w:val="批注文字 字符"/>
    <w:basedOn w:val="30"/>
    <w:link w:val="14"/>
    <w:qFormat/>
    <w:uiPriority w:val="0"/>
    <w:rPr>
      <w:rFonts w:ascii="Calibri" w:hAnsi="Calibri" w:eastAsia="宋体" w:cs="Times New Roman"/>
    </w:rPr>
  </w:style>
  <w:style w:type="character" w:customStyle="1" w:styleId="46">
    <w:name w:val="正文文本 3 字符"/>
    <w:basedOn w:val="30"/>
    <w:link w:val="15"/>
    <w:qFormat/>
    <w:uiPriority w:val="0"/>
    <w:rPr>
      <w:rFonts w:ascii="宋体" w:hAnsi="Calibri" w:eastAsia="宋体" w:cs="Times New Roman"/>
      <w:sz w:val="24"/>
      <w:szCs w:val="20"/>
    </w:rPr>
  </w:style>
  <w:style w:type="character" w:customStyle="1" w:styleId="47">
    <w:name w:val="正文文本 字符"/>
    <w:basedOn w:val="30"/>
    <w:link w:val="16"/>
    <w:qFormat/>
    <w:uiPriority w:val="0"/>
    <w:rPr>
      <w:rFonts w:ascii="Times New Roman" w:hAnsi="Times New Roman" w:eastAsia="宋体" w:cs="Times New Roman"/>
      <w:szCs w:val="20"/>
    </w:rPr>
  </w:style>
  <w:style w:type="character" w:customStyle="1" w:styleId="48">
    <w:name w:val="正文文本缩进 字符"/>
    <w:basedOn w:val="30"/>
    <w:link w:val="3"/>
    <w:qFormat/>
    <w:uiPriority w:val="0"/>
    <w:rPr>
      <w:rFonts w:ascii="宋体" w:hAnsi="宋体" w:eastAsia="宋体" w:cs="Times New Roman"/>
      <w:color w:val="000000"/>
      <w:kern w:val="0"/>
      <w:sz w:val="20"/>
      <w:szCs w:val="24"/>
    </w:rPr>
  </w:style>
  <w:style w:type="character" w:customStyle="1" w:styleId="49">
    <w:name w:val="纯文本 字符"/>
    <w:basedOn w:val="30"/>
    <w:link w:val="18"/>
    <w:qFormat/>
    <w:uiPriority w:val="99"/>
    <w:rPr>
      <w:rFonts w:ascii="宋体" w:hAnsi="Calibri" w:eastAsia="宋体" w:cs="Times New Roman"/>
      <w:sz w:val="22"/>
      <w:szCs w:val="20"/>
    </w:rPr>
  </w:style>
  <w:style w:type="character" w:customStyle="1" w:styleId="50">
    <w:name w:val="日期 字符"/>
    <w:basedOn w:val="30"/>
    <w:link w:val="19"/>
    <w:qFormat/>
    <w:uiPriority w:val="0"/>
    <w:rPr>
      <w:rFonts w:ascii="Calibri" w:hAnsi="Calibri" w:eastAsia="宋体" w:cs="Times New Roman"/>
    </w:rPr>
  </w:style>
  <w:style w:type="character" w:customStyle="1" w:styleId="51">
    <w:name w:val="正文文本缩进 2 字符"/>
    <w:basedOn w:val="30"/>
    <w:link w:val="20"/>
    <w:qFormat/>
    <w:uiPriority w:val="0"/>
    <w:rPr>
      <w:rFonts w:ascii="Times New Roman" w:hAnsi="Times New Roman" w:eastAsia="宋体" w:cs="Times New Roman"/>
      <w:szCs w:val="24"/>
    </w:rPr>
  </w:style>
  <w:style w:type="character" w:customStyle="1" w:styleId="52">
    <w:name w:val="批注框文本 字符"/>
    <w:basedOn w:val="30"/>
    <w:link w:val="21"/>
    <w:qFormat/>
    <w:uiPriority w:val="0"/>
    <w:rPr>
      <w:rFonts w:ascii="Calibri" w:hAnsi="Calibri" w:eastAsia="宋体" w:cs="Times New Roman"/>
      <w:sz w:val="18"/>
      <w:szCs w:val="18"/>
    </w:rPr>
  </w:style>
  <w:style w:type="character" w:customStyle="1" w:styleId="53">
    <w:name w:val="批注主题 字符"/>
    <w:basedOn w:val="45"/>
    <w:link w:val="27"/>
    <w:qFormat/>
    <w:uiPriority w:val="0"/>
    <w:rPr>
      <w:rFonts w:ascii="Calibri" w:hAnsi="Calibri" w:eastAsia="宋体" w:cs="Times New Roman"/>
      <w:b/>
      <w:bCs/>
    </w:rPr>
  </w:style>
  <w:style w:type="character" w:customStyle="1" w:styleId="54">
    <w:name w:val="正文文本首行缩进 字符"/>
    <w:basedOn w:val="47"/>
    <w:link w:val="28"/>
    <w:qFormat/>
    <w:uiPriority w:val="0"/>
    <w:rPr>
      <w:rFonts w:ascii="Calibri" w:hAnsi="Calibri" w:eastAsia="宋体" w:cs="Times New Roman"/>
      <w:szCs w:val="24"/>
    </w:rPr>
  </w:style>
  <w:style w:type="character" w:customStyle="1" w:styleId="55">
    <w:name w:val="正文文本首行缩进 2 字符"/>
    <w:basedOn w:val="48"/>
    <w:link w:val="2"/>
    <w:qFormat/>
    <w:uiPriority w:val="0"/>
    <w:rPr>
      <w:rFonts w:ascii="Times New Roman" w:hAnsi="Times New Roman" w:eastAsia="宋体" w:cs="Times New Roman"/>
      <w:color w:val="000000"/>
      <w:kern w:val="0"/>
      <w:sz w:val="20"/>
      <w:szCs w:val="24"/>
    </w:rPr>
  </w:style>
  <w:style w:type="character" w:customStyle="1" w:styleId="56">
    <w:name w:val="datagrid-sort-icon3"/>
    <w:qFormat/>
    <w:uiPriority w:val="0"/>
  </w:style>
  <w:style w:type="paragraph" w:customStyle="1" w:styleId="57">
    <w:name w:val="Revision"/>
    <w:qFormat/>
    <w:uiPriority w:val="0"/>
    <w:rPr>
      <w:rFonts w:ascii="Times New Roman" w:hAnsi="Times New Roman" w:eastAsia="宋体" w:cs="Times New Roman"/>
      <w:kern w:val="2"/>
      <w:sz w:val="21"/>
      <w:szCs w:val="22"/>
      <w:lang w:val="en-US" w:eastAsia="zh-CN" w:bidi="ar-SA"/>
    </w:rPr>
  </w:style>
  <w:style w:type="paragraph" w:customStyle="1" w:styleId="58">
    <w:name w:val="列表段落1"/>
    <w:basedOn w:val="1"/>
    <w:qFormat/>
    <w:uiPriority w:val="0"/>
    <w:pPr>
      <w:ind w:firstLine="420" w:firstLineChars="200"/>
    </w:pPr>
    <w:rPr>
      <w:szCs w:val="24"/>
    </w:rPr>
  </w:style>
  <w:style w:type="paragraph" w:customStyle="1" w:styleId="5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_Style 3"/>
    <w:basedOn w:val="1"/>
    <w:qFormat/>
    <w:uiPriority w:val="0"/>
    <w:pPr>
      <w:spacing w:line="360" w:lineRule="auto"/>
      <w:jc w:val="center"/>
    </w:pPr>
    <w:rPr>
      <w:szCs w:val="20"/>
    </w:rPr>
  </w:style>
  <w:style w:type="paragraph" w:customStyle="1" w:styleId="61">
    <w:name w:val="Heading2"/>
    <w:basedOn w:val="1"/>
    <w:next w:val="1"/>
    <w:qFormat/>
    <w:uiPriority w:val="0"/>
    <w:pPr>
      <w:keepNext/>
      <w:keepLines/>
      <w:spacing w:before="260" w:after="260" w:line="415" w:lineRule="auto"/>
    </w:pPr>
    <w:rPr>
      <w:rFonts w:ascii="Arial" w:hAnsi="Arial" w:eastAsia="黑体"/>
      <w:b/>
      <w:bCs/>
      <w:sz w:val="32"/>
      <w:szCs w:val="32"/>
    </w:rPr>
  </w:style>
  <w:style w:type="paragraph" w:customStyle="1" w:styleId="6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63">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6184</Words>
  <Characters>35251</Characters>
  <Lines>293</Lines>
  <Paragraphs>82</Paragraphs>
  <TotalTime>9</TotalTime>
  <ScaleCrop>false</ScaleCrop>
  <LinksUpToDate>false</LinksUpToDate>
  <CharactersWithSpaces>41353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2021-11-19T06:45:00Z</dcterms:created>
  <dc:creator>1</dc:creator>
  <cp:lastModifiedBy>Administrator</cp:lastModifiedBy>
  <dcterms:modified xsi:type="dcterms:W3CDTF">2022-01-25T08:54:23Z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