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b w:val="0"/>
          <w:bCs/>
          <w:color w:val="auto"/>
          <w:sz w:val="36"/>
          <w:highlight w:val="none"/>
        </w:rPr>
      </w:pPr>
      <w:bookmarkStart w:id="0" w:name="_Toc6586"/>
      <w:bookmarkStart w:id="1" w:name="_Toc67169536"/>
      <w:r>
        <w:rPr>
          <w:rFonts w:hint="eastAsia" w:ascii="宋体" w:hAnsi="宋体"/>
          <w:b w:val="0"/>
          <w:bCs/>
          <w:color w:val="auto"/>
          <w:spacing w:val="60"/>
          <w:w w:val="45"/>
          <w:sz w:val="72"/>
          <w:szCs w:val="72"/>
          <w:highlight w:val="none"/>
        </w:rPr>
        <w:t>建设工程监理合同</w:t>
      </w:r>
      <w:bookmarkEnd w:id="0"/>
      <w:bookmarkEnd w:id="1"/>
    </w:p>
    <w:p>
      <w:pPr>
        <w:pStyle w:val="99"/>
        <w:tabs>
          <w:tab w:val="left" w:pos="8600"/>
        </w:tabs>
        <w:autoSpaceDE w:val="0"/>
        <w:autoSpaceDN w:val="0"/>
        <w:adjustRightInd w:val="0"/>
        <w:spacing w:line="330" w:lineRule="exact"/>
        <w:jc w:val="center"/>
        <w:rPr>
          <w:rFonts w:ascii="宋体" w:cs="宋体"/>
          <w:color w:val="auto"/>
          <w:kern w:val="0"/>
          <w:sz w:val="28"/>
          <w:szCs w:val="28"/>
          <w:highlight w:val="none"/>
        </w:rPr>
      </w:pPr>
      <w:r>
        <w:rPr>
          <w:rFonts w:hint="eastAsia" w:ascii="宋体" w:hAnsi="宋体"/>
          <w:bCs/>
          <w:color w:val="auto"/>
          <w:sz w:val="28"/>
          <w:szCs w:val="28"/>
          <w:highlight w:val="none"/>
        </w:rPr>
        <w:t>合同编号</w:t>
      </w:r>
      <w:r>
        <w:rPr>
          <w:rFonts w:hint="eastAsia" w:eastAsia="仿宋_GB2312"/>
          <w:color w:val="auto"/>
          <w:sz w:val="28"/>
          <w:szCs w:val="28"/>
          <w:highlight w:val="none"/>
        </w:rPr>
        <w:t>：</w:t>
      </w:r>
    </w:p>
    <w:p>
      <w:pPr>
        <w:pStyle w:val="99"/>
        <w:tabs>
          <w:tab w:val="left" w:pos="8600"/>
        </w:tabs>
        <w:autoSpaceDE w:val="0"/>
        <w:autoSpaceDN w:val="0"/>
        <w:adjustRightInd w:val="0"/>
        <w:spacing w:line="330" w:lineRule="exact"/>
        <w:jc w:val="left"/>
        <w:rPr>
          <w:color w:val="auto"/>
          <w:highlight w:val="none"/>
        </w:rPr>
      </w:pPr>
    </w:p>
    <w:p>
      <w:pPr>
        <w:jc w:val="center"/>
        <w:rPr>
          <w:rFonts w:ascii="宋体" w:hAnsi="宋体"/>
          <w:b/>
          <w:bCs/>
          <w:color w:val="auto"/>
          <w:sz w:val="36"/>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color w:val="auto"/>
          <w:highlight w:val="none"/>
        </w:rPr>
      </w:pPr>
    </w:p>
    <w:p>
      <w:pPr>
        <w:rPr>
          <w:color w:val="auto"/>
          <w:highlight w:val="none"/>
        </w:rPr>
      </w:pPr>
    </w:p>
    <w:p>
      <w:pPr>
        <w:rPr>
          <w:color w:val="auto"/>
          <w:highlight w:val="none"/>
        </w:rPr>
      </w:pPr>
    </w:p>
    <w:p>
      <w:pPr>
        <w:rPr>
          <w:color w:val="auto"/>
          <w:sz w:val="28"/>
          <w:szCs w:val="28"/>
          <w:highlight w:val="none"/>
        </w:rPr>
      </w:pPr>
    </w:p>
    <w:p>
      <w:pPr>
        <w:spacing w:line="600" w:lineRule="auto"/>
        <w:rPr>
          <w:color w:val="auto"/>
          <w:sz w:val="30"/>
          <w:szCs w:val="30"/>
          <w:highlight w:val="none"/>
          <w:u w:val="single"/>
        </w:rPr>
      </w:pPr>
      <w:r>
        <w:rPr>
          <w:rFonts w:hint="eastAsia" w:ascii="宋体" w:hAnsi="宋体"/>
          <w:color w:val="auto"/>
          <w:sz w:val="30"/>
          <w:szCs w:val="30"/>
          <w:highlight w:val="none"/>
        </w:rPr>
        <w:t xml:space="preserve">      工程名称：</w:t>
      </w:r>
      <w:r>
        <w:rPr>
          <w:rFonts w:hint="eastAsia"/>
          <w:color w:val="auto"/>
          <w:sz w:val="30"/>
          <w:szCs w:val="30"/>
          <w:highlight w:val="none"/>
          <w:u w:val="single"/>
        </w:rPr>
        <w:t xml:space="preserve"> ****监理服务项目 </w:t>
      </w:r>
    </w:p>
    <w:p>
      <w:pPr>
        <w:spacing w:line="600" w:lineRule="auto"/>
        <w:rPr>
          <w:rFonts w:ascii="宋体" w:hAnsi="宋体"/>
          <w:color w:val="auto"/>
          <w:sz w:val="30"/>
          <w:szCs w:val="30"/>
          <w:highlight w:val="none"/>
        </w:rPr>
      </w:pPr>
      <w:r>
        <w:rPr>
          <w:rFonts w:hint="eastAsia" w:ascii="宋体" w:hAnsi="宋体"/>
          <w:color w:val="auto"/>
          <w:sz w:val="30"/>
          <w:szCs w:val="30"/>
          <w:highlight w:val="none"/>
        </w:rPr>
        <w:t xml:space="preserve">      委 托 人：</w:t>
      </w:r>
      <w:r>
        <w:rPr>
          <w:rFonts w:hint="eastAsia" w:ascii="宋体" w:hAnsi="宋体"/>
          <w:color w:val="auto"/>
          <w:sz w:val="30"/>
          <w:szCs w:val="30"/>
          <w:highlight w:val="none"/>
          <w:u w:val="single"/>
        </w:rPr>
        <w:t xml:space="preserve"> 清远市广州后花园有限公司</w:t>
      </w:r>
      <w:r>
        <w:rPr>
          <w:rFonts w:hint="eastAsia"/>
          <w:color w:val="auto"/>
          <w:sz w:val="30"/>
          <w:szCs w:val="30"/>
          <w:highlight w:val="none"/>
          <w:u w:val="single"/>
        </w:rPr>
        <w:t xml:space="preserve"> </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600" w:lineRule="auto"/>
        <w:rPr>
          <w:rFonts w:ascii="宋体" w:hAnsi="宋体"/>
          <w:color w:val="auto"/>
          <w:sz w:val="30"/>
          <w:szCs w:val="30"/>
          <w:highlight w:val="none"/>
        </w:rPr>
      </w:pPr>
      <w:r>
        <w:rPr>
          <w:rFonts w:hint="eastAsia" w:ascii="宋体" w:hAnsi="宋体"/>
          <w:color w:val="auto"/>
          <w:sz w:val="30"/>
          <w:szCs w:val="30"/>
          <w:highlight w:val="none"/>
        </w:rPr>
        <w:t xml:space="preserve">      监 理 人：</w:t>
      </w:r>
      <w:r>
        <w:rPr>
          <w:rFonts w:hint="eastAsia" w:ascii="宋体" w:hAnsi="宋体"/>
          <w:color w:val="auto"/>
          <w:sz w:val="30"/>
          <w:szCs w:val="30"/>
          <w:highlight w:val="none"/>
          <w:u w:val="single"/>
        </w:rPr>
        <w:t>****有限公司</w:t>
      </w:r>
    </w:p>
    <w:p>
      <w:pPr>
        <w:spacing w:line="480" w:lineRule="auto"/>
        <w:ind w:firstLine="900" w:firstLineChars="300"/>
        <w:rPr>
          <w:rFonts w:ascii="宋体" w:hAnsi="宋体"/>
          <w:color w:val="auto"/>
          <w:sz w:val="30"/>
          <w:szCs w:val="30"/>
          <w:highlight w:val="none"/>
        </w:rPr>
      </w:pPr>
      <w:r>
        <w:rPr>
          <w:rFonts w:hint="eastAsia" w:ascii="宋体" w:hAnsi="宋体"/>
          <w:color w:val="auto"/>
          <w:sz w:val="30"/>
          <w:szCs w:val="30"/>
          <w:highlight w:val="none"/>
        </w:rPr>
        <w:t xml:space="preserve">签订日期：   年   月   日  </w:t>
      </w:r>
    </w:p>
    <w:p>
      <w:pPr>
        <w:spacing w:line="600" w:lineRule="auto"/>
        <w:rPr>
          <w:rFonts w:ascii="黑体" w:hAnsi="宋体" w:eastAsia="黑体"/>
          <w:b/>
          <w:color w:val="auto"/>
          <w:sz w:val="32"/>
          <w:szCs w:val="32"/>
          <w:highlight w:val="none"/>
        </w:rPr>
        <w:sectPr>
          <w:footerReference r:id="rId5" w:type="default"/>
          <w:footerReference r:id="rId6" w:type="even"/>
          <w:endnotePr>
            <w:numFmt w:val="decimal"/>
          </w:endnotePr>
          <w:pgSz w:w="11906" w:h="16838"/>
          <w:pgMar w:top="1418"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p>
    <w:p>
      <w:pPr>
        <w:spacing w:after="312" w:afterLines="100"/>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pStyle w:val="26"/>
        <w:tabs>
          <w:tab w:val="right" w:leader="dot" w:pos="9070"/>
          <w:tab w:val="clear" w:pos="9180"/>
        </w:tabs>
        <w:rPr>
          <w:color w:val="auto"/>
          <w:highlight w:val="none"/>
        </w:rPr>
      </w:pPr>
      <w:r>
        <w:rPr>
          <w:color w:val="auto"/>
          <w:kern w:val="0"/>
          <w:highlight w:val="none"/>
        </w:rPr>
        <w:fldChar w:fldCharType="begin"/>
      </w:r>
      <w:r>
        <w:rPr>
          <w:color w:val="auto"/>
          <w:kern w:val="0"/>
          <w:highlight w:val="none"/>
        </w:rPr>
        <w:instrText xml:space="preserve"> TOC \o "1-3" \h \z \u </w:instrText>
      </w:r>
      <w:r>
        <w:rPr>
          <w:color w:val="auto"/>
          <w:kern w:val="0"/>
          <w:highlight w:val="none"/>
        </w:rPr>
        <w:fldChar w:fldCharType="separate"/>
      </w:r>
      <w:r>
        <w:rPr>
          <w:color w:val="auto"/>
          <w:highlight w:val="none"/>
        </w:rPr>
        <w:fldChar w:fldCharType="begin"/>
      </w:r>
      <w:r>
        <w:rPr>
          <w:color w:val="auto"/>
          <w:highlight w:val="none"/>
        </w:rPr>
        <w:instrText xml:space="preserve"> HYPERLINK \l "_Toc6586" </w:instrText>
      </w:r>
      <w:r>
        <w:rPr>
          <w:color w:val="auto"/>
          <w:highlight w:val="none"/>
        </w:rPr>
        <w:fldChar w:fldCharType="separate"/>
      </w:r>
      <w:r>
        <w:rPr>
          <w:rFonts w:hint="eastAsia" w:ascii="宋体" w:hAnsi="宋体"/>
          <w:color w:val="auto"/>
          <w:spacing w:val="60"/>
          <w:w w:val="45"/>
          <w:szCs w:val="72"/>
          <w:highlight w:val="none"/>
        </w:rPr>
        <w:t>建设工程监理合同</w:t>
      </w:r>
      <w:r>
        <w:rPr>
          <w:color w:val="auto"/>
          <w:highlight w:val="none"/>
        </w:rPr>
        <w:tab/>
      </w:r>
      <w:r>
        <w:rPr>
          <w:color w:val="auto"/>
          <w:highlight w:val="none"/>
        </w:rPr>
        <w:fldChar w:fldCharType="begin"/>
      </w:r>
      <w:r>
        <w:rPr>
          <w:color w:val="auto"/>
          <w:highlight w:val="none"/>
        </w:rPr>
        <w:instrText xml:space="preserve"> PAGEREF _Toc6586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6"/>
        <w:tabs>
          <w:tab w:val="right" w:leader="dot" w:pos="9070"/>
          <w:tab w:val="clear" w:pos="9180"/>
        </w:tabs>
        <w:rPr>
          <w:color w:val="auto"/>
          <w:highlight w:val="none"/>
        </w:rPr>
      </w:pPr>
      <w:r>
        <w:rPr>
          <w:color w:val="auto"/>
          <w:highlight w:val="none"/>
        </w:rPr>
        <w:fldChar w:fldCharType="begin"/>
      </w:r>
      <w:r>
        <w:rPr>
          <w:color w:val="auto"/>
          <w:highlight w:val="none"/>
        </w:rPr>
        <w:instrText xml:space="preserve"> HYPERLINK \l "_Toc1199" </w:instrText>
      </w:r>
      <w:r>
        <w:rPr>
          <w:color w:val="auto"/>
          <w:highlight w:val="none"/>
        </w:rPr>
        <w:fldChar w:fldCharType="separate"/>
      </w:r>
      <w:r>
        <w:rPr>
          <w:rFonts w:hint="eastAsia"/>
          <w:color w:val="auto"/>
          <w:highlight w:val="none"/>
        </w:rPr>
        <w:t>第一部分  合同</w:t>
      </w:r>
      <w:r>
        <w:rPr>
          <w:color w:val="auto"/>
          <w:highlight w:val="none"/>
        </w:rPr>
        <w:tab/>
      </w:r>
      <w:r>
        <w:rPr>
          <w:color w:val="auto"/>
          <w:highlight w:val="none"/>
        </w:rPr>
        <w:fldChar w:fldCharType="begin"/>
      </w:r>
      <w:r>
        <w:rPr>
          <w:color w:val="auto"/>
          <w:highlight w:val="none"/>
        </w:rPr>
        <w:instrText xml:space="preserve"> PAGEREF _Toc1199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6"/>
        <w:tabs>
          <w:tab w:val="right" w:leader="dot" w:pos="9070"/>
          <w:tab w:val="clear" w:pos="9180"/>
        </w:tabs>
        <w:rPr>
          <w:color w:val="auto"/>
          <w:highlight w:val="none"/>
        </w:rPr>
      </w:pPr>
      <w:r>
        <w:rPr>
          <w:color w:val="auto"/>
          <w:highlight w:val="none"/>
        </w:rPr>
        <w:fldChar w:fldCharType="begin"/>
      </w:r>
      <w:r>
        <w:rPr>
          <w:color w:val="auto"/>
          <w:highlight w:val="none"/>
        </w:rPr>
        <w:instrText xml:space="preserve"> HYPERLINK \l "_Toc12197" </w:instrText>
      </w:r>
      <w:r>
        <w:rPr>
          <w:color w:val="auto"/>
          <w:highlight w:val="none"/>
        </w:rPr>
        <w:fldChar w:fldCharType="separate"/>
      </w:r>
      <w:r>
        <w:rPr>
          <w:rFonts w:hint="eastAsia"/>
          <w:color w:val="auto"/>
          <w:highlight w:val="none"/>
        </w:rPr>
        <w:t>协议书</w:t>
      </w:r>
      <w:r>
        <w:rPr>
          <w:color w:val="auto"/>
          <w:highlight w:val="none"/>
        </w:rPr>
        <w:tab/>
      </w:r>
      <w:r>
        <w:rPr>
          <w:color w:val="auto"/>
          <w:highlight w:val="none"/>
        </w:rPr>
        <w:fldChar w:fldCharType="begin"/>
      </w:r>
      <w:r>
        <w:rPr>
          <w:color w:val="auto"/>
          <w:highlight w:val="none"/>
        </w:rPr>
        <w:instrText xml:space="preserve"> PAGEREF _Toc12197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6"/>
        <w:tabs>
          <w:tab w:val="right" w:leader="dot" w:pos="9070"/>
          <w:tab w:val="clear" w:pos="9180"/>
        </w:tabs>
        <w:rPr>
          <w:color w:val="auto"/>
          <w:highlight w:val="none"/>
        </w:rPr>
      </w:pPr>
      <w:r>
        <w:rPr>
          <w:color w:val="auto"/>
          <w:highlight w:val="none"/>
        </w:rPr>
        <w:fldChar w:fldCharType="begin"/>
      </w:r>
      <w:r>
        <w:rPr>
          <w:color w:val="auto"/>
          <w:highlight w:val="none"/>
        </w:rPr>
        <w:instrText xml:space="preserve"> HYPERLINK \l "_Toc1142" </w:instrText>
      </w:r>
      <w:r>
        <w:rPr>
          <w:color w:val="auto"/>
          <w:highlight w:val="none"/>
        </w:rPr>
        <w:fldChar w:fldCharType="separate"/>
      </w:r>
      <w:r>
        <w:rPr>
          <w:rFonts w:hint="eastAsia"/>
          <w:color w:val="auto"/>
          <w:highlight w:val="none"/>
        </w:rPr>
        <w:t>第二部分  通用条款</w:t>
      </w:r>
      <w:r>
        <w:rPr>
          <w:color w:val="auto"/>
          <w:highlight w:val="none"/>
        </w:rPr>
        <w:tab/>
      </w:r>
      <w:r>
        <w:rPr>
          <w:color w:val="auto"/>
          <w:highlight w:val="none"/>
        </w:rPr>
        <w:fldChar w:fldCharType="begin"/>
      </w:r>
      <w:r>
        <w:rPr>
          <w:color w:val="auto"/>
          <w:highlight w:val="none"/>
        </w:rPr>
        <w:instrText xml:space="preserve"> PAGEREF _Toc1142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"_Toc31067" </w:instrText>
      </w:r>
      <w:r>
        <w:rPr>
          <w:color w:val="auto"/>
          <w:highlight w:val="none"/>
        </w:rPr>
        <w:fldChar w:fldCharType="separate"/>
      </w:r>
      <w:r>
        <w:rPr>
          <w:rFonts w:hint="eastAsia"/>
          <w:color w:val="auto"/>
          <w:highlight w:val="none"/>
        </w:rPr>
        <w:t>词语定义、适用范围和法规</w:t>
      </w:r>
      <w:r>
        <w:rPr>
          <w:color w:val="auto"/>
          <w:highlight w:val="none"/>
        </w:rPr>
        <w:tab/>
      </w:r>
      <w:r>
        <w:rPr>
          <w:color w:val="auto"/>
          <w:highlight w:val="none"/>
        </w:rPr>
        <w:fldChar w:fldCharType="begin"/>
      </w:r>
      <w:r>
        <w:rPr>
          <w:color w:val="auto"/>
          <w:highlight w:val="none"/>
        </w:rPr>
        <w:instrText xml:space="preserve"> PAGEREF _Toc31067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"_Toc9041" </w:instrText>
      </w:r>
      <w:r>
        <w:rPr>
          <w:color w:val="auto"/>
          <w:highlight w:val="none"/>
        </w:rPr>
        <w:fldChar w:fldCharType="separate"/>
      </w:r>
      <w:r>
        <w:rPr>
          <w:rFonts w:hint="eastAsia"/>
          <w:color w:val="auto"/>
          <w:highlight w:val="none"/>
        </w:rPr>
        <w:t>监理人义务</w:t>
      </w:r>
      <w:r>
        <w:rPr>
          <w:color w:val="auto"/>
          <w:highlight w:val="none"/>
        </w:rPr>
        <w:tab/>
      </w:r>
      <w:r>
        <w:rPr>
          <w:color w:val="auto"/>
          <w:highlight w:val="none"/>
        </w:rPr>
        <w:fldChar w:fldCharType="begin"/>
      </w:r>
      <w:r>
        <w:rPr>
          <w:color w:val="auto"/>
          <w:highlight w:val="none"/>
        </w:rPr>
        <w:instrText xml:space="preserve"> PAGEREF _Toc9041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"_Toc9071" </w:instrText>
      </w:r>
      <w:r>
        <w:rPr>
          <w:color w:val="auto"/>
          <w:highlight w:val="none"/>
        </w:rPr>
        <w:fldChar w:fldCharType="separate"/>
      </w:r>
      <w:r>
        <w:rPr>
          <w:rFonts w:hint="eastAsia"/>
          <w:color w:val="auto"/>
          <w:highlight w:val="none"/>
        </w:rPr>
        <w:t>委托人义务</w:t>
      </w:r>
      <w:r>
        <w:rPr>
          <w:color w:val="auto"/>
          <w:highlight w:val="none"/>
        </w:rPr>
        <w:tab/>
      </w:r>
      <w:r>
        <w:rPr>
          <w:color w:val="auto"/>
          <w:highlight w:val="none"/>
        </w:rPr>
        <w:fldChar w:fldCharType="begin"/>
      </w:r>
      <w:r>
        <w:rPr>
          <w:color w:val="auto"/>
          <w:highlight w:val="none"/>
        </w:rPr>
        <w:instrText xml:space="preserve"> PAGEREF _Toc9071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"_Toc8516" </w:instrText>
      </w:r>
      <w:r>
        <w:rPr>
          <w:color w:val="auto"/>
          <w:highlight w:val="none"/>
        </w:rPr>
        <w:fldChar w:fldCharType="separate"/>
      </w:r>
      <w:r>
        <w:rPr>
          <w:rFonts w:hint="eastAsia"/>
          <w:color w:val="auto"/>
          <w:highlight w:val="none"/>
        </w:rPr>
        <w:t>监理人权利</w:t>
      </w:r>
      <w:r>
        <w:rPr>
          <w:color w:val="auto"/>
          <w:highlight w:val="none"/>
        </w:rPr>
        <w:tab/>
      </w:r>
      <w:r>
        <w:rPr>
          <w:color w:val="auto"/>
          <w:highlight w:val="none"/>
        </w:rPr>
        <w:fldChar w:fldCharType="begin"/>
      </w:r>
      <w:r>
        <w:rPr>
          <w:color w:val="auto"/>
          <w:highlight w:val="none"/>
        </w:rPr>
        <w:instrText xml:space="preserve"> PAGEREF _Toc8516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"_Toc1193" </w:instrText>
      </w:r>
      <w:r>
        <w:rPr>
          <w:color w:val="auto"/>
          <w:highlight w:val="none"/>
        </w:rPr>
        <w:fldChar w:fldCharType="separate"/>
      </w:r>
      <w:r>
        <w:rPr>
          <w:rFonts w:hint="eastAsia"/>
          <w:color w:val="auto"/>
          <w:highlight w:val="none"/>
        </w:rPr>
        <w:t>委托人权利</w:t>
      </w:r>
      <w:r>
        <w:rPr>
          <w:color w:val="auto"/>
          <w:highlight w:val="none"/>
        </w:rPr>
        <w:tab/>
      </w:r>
      <w:r>
        <w:rPr>
          <w:color w:val="auto"/>
          <w:highlight w:val="none"/>
        </w:rPr>
        <w:fldChar w:fldCharType="begin"/>
      </w:r>
      <w:r>
        <w:rPr>
          <w:color w:val="auto"/>
          <w:highlight w:val="none"/>
        </w:rPr>
        <w:instrText xml:space="preserve"> PAGEREF _Toc1193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"_Toc32130" </w:instrText>
      </w:r>
      <w:r>
        <w:rPr>
          <w:color w:val="auto"/>
          <w:highlight w:val="none"/>
        </w:rPr>
        <w:fldChar w:fldCharType="separate"/>
      </w:r>
      <w:r>
        <w:rPr>
          <w:rFonts w:hint="eastAsia"/>
          <w:color w:val="auto"/>
          <w:highlight w:val="none"/>
        </w:rPr>
        <w:t>监理人责任</w:t>
      </w:r>
      <w:r>
        <w:rPr>
          <w:color w:val="auto"/>
          <w:highlight w:val="none"/>
        </w:rPr>
        <w:tab/>
      </w:r>
      <w:r>
        <w:rPr>
          <w:color w:val="auto"/>
          <w:highlight w:val="none"/>
        </w:rPr>
        <w:fldChar w:fldCharType="begin"/>
      </w:r>
      <w:r>
        <w:rPr>
          <w:color w:val="auto"/>
          <w:highlight w:val="none"/>
        </w:rPr>
        <w:instrText xml:space="preserve"> PAGEREF _Toc32130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"_Toc15565" </w:instrText>
      </w:r>
      <w:r>
        <w:rPr>
          <w:color w:val="auto"/>
          <w:highlight w:val="none"/>
        </w:rPr>
        <w:fldChar w:fldCharType="separate"/>
      </w:r>
      <w:r>
        <w:rPr>
          <w:rFonts w:hint="eastAsia"/>
          <w:color w:val="auto"/>
          <w:highlight w:val="none"/>
        </w:rPr>
        <w:t>委托人责任</w:t>
      </w:r>
      <w:r>
        <w:rPr>
          <w:color w:val="auto"/>
          <w:highlight w:val="none"/>
        </w:rPr>
        <w:tab/>
      </w:r>
      <w:r>
        <w:rPr>
          <w:color w:val="auto"/>
          <w:highlight w:val="none"/>
        </w:rPr>
        <w:fldChar w:fldCharType="begin"/>
      </w:r>
      <w:r>
        <w:rPr>
          <w:color w:val="auto"/>
          <w:highlight w:val="none"/>
        </w:rPr>
        <w:instrText xml:space="preserve"> PAGEREF _Toc15565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"_Toc2196" </w:instrText>
      </w:r>
      <w:r>
        <w:rPr>
          <w:color w:val="auto"/>
          <w:highlight w:val="none"/>
        </w:rPr>
        <w:fldChar w:fldCharType="separate"/>
      </w:r>
      <w:r>
        <w:rPr>
          <w:rFonts w:hint="eastAsia"/>
          <w:color w:val="auto"/>
          <w:highlight w:val="none"/>
        </w:rPr>
        <w:t>合同生效、变更与终止</w:t>
      </w:r>
      <w:r>
        <w:rPr>
          <w:color w:val="auto"/>
          <w:highlight w:val="none"/>
        </w:rPr>
        <w:tab/>
      </w:r>
      <w:r>
        <w:rPr>
          <w:color w:val="auto"/>
          <w:highlight w:val="none"/>
        </w:rPr>
        <w:fldChar w:fldCharType="begin"/>
      </w:r>
      <w:r>
        <w:rPr>
          <w:color w:val="auto"/>
          <w:highlight w:val="none"/>
        </w:rPr>
        <w:instrText xml:space="preserve"> PAGEREF _Toc2196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"_Toc12985" </w:instrText>
      </w:r>
      <w:r>
        <w:rPr>
          <w:color w:val="auto"/>
          <w:highlight w:val="none"/>
        </w:rPr>
        <w:fldChar w:fldCharType="separate"/>
      </w:r>
      <w:r>
        <w:rPr>
          <w:rFonts w:hint="eastAsia"/>
          <w:color w:val="auto"/>
          <w:highlight w:val="none"/>
        </w:rPr>
        <w:t>监理报酬</w:t>
      </w:r>
      <w:r>
        <w:rPr>
          <w:color w:val="auto"/>
          <w:highlight w:val="none"/>
        </w:rPr>
        <w:tab/>
      </w:r>
      <w:r>
        <w:rPr>
          <w:color w:val="auto"/>
          <w:highlight w:val="none"/>
        </w:rPr>
        <w:fldChar w:fldCharType="begin"/>
      </w:r>
      <w:r>
        <w:rPr>
          <w:color w:val="auto"/>
          <w:highlight w:val="none"/>
        </w:rPr>
        <w:instrText xml:space="preserve"> PAGEREF _Toc12985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"_Toc19599" </w:instrText>
      </w:r>
      <w:r>
        <w:rPr>
          <w:color w:val="auto"/>
          <w:highlight w:val="none"/>
        </w:rPr>
        <w:fldChar w:fldCharType="separate"/>
      </w:r>
      <w:r>
        <w:rPr>
          <w:rFonts w:hint="eastAsia"/>
          <w:color w:val="auto"/>
          <w:highlight w:val="none"/>
        </w:rPr>
        <w:t>其它</w:t>
      </w:r>
      <w:r>
        <w:rPr>
          <w:color w:val="auto"/>
          <w:highlight w:val="none"/>
        </w:rPr>
        <w:tab/>
      </w:r>
      <w:r>
        <w:rPr>
          <w:color w:val="auto"/>
          <w:highlight w:val="none"/>
        </w:rPr>
        <w:fldChar w:fldCharType="begin"/>
      </w:r>
      <w:r>
        <w:rPr>
          <w:color w:val="auto"/>
          <w:highlight w:val="none"/>
        </w:rPr>
        <w:instrText xml:space="preserve"> PAGEREF _Toc19599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"_Toc13353" </w:instrText>
      </w:r>
      <w:r>
        <w:rPr>
          <w:color w:val="auto"/>
          <w:highlight w:val="none"/>
        </w:rPr>
        <w:fldChar w:fldCharType="separate"/>
      </w:r>
      <w:r>
        <w:rPr>
          <w:rFonts w:hint="eastAsia"/>
          <w:color w:val="auto"/>
          <w:highlight w:val="none"/>
        </w:rPr>
        <w:t>争议的解决</w:t>
      </w:r>
      <w:r>
        <w:rPr>
          <w:color w:val="auto"/>
          <w:highlight w:val="none"/>
        </w:rPr>
        <w:tab/>
      </w:r>
      <w:r>
        <w:rPr>
          <w:color w:val="auto"/>
          <w:highlight w:val="none"/>
        </w:rPr>
        <w:fldChar w:fldCharType="begin"/>
      </w:r>
      <w:r>
        <w:rPr>
          <w:color w:val="auto"/>
          <w:highlight w:val="none"/>
        </w:rPr>
        <w:instrText xml:space="preserve"> PAGEREF _Toc13353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6"/>
        <w:tabs>
          <w:tab w:val="right" w:leader="dot" w:pos="9070"/>
          <w:tab w:val="clear" w:pos="9180"/>
        </w:tabs>
        <w:rPr>
          <w:color w:val="auto"/>
          <w:highlight w:val="none"/>
        </w:rPr>
      </w:pPr>
      <w:r>
        <w:rPr>
          <w:color w:val="auto"/>
          <w:highlight w:val="none"/>
        </w:rPr>
        <w:fldChar w:fldCharType="begin"/>
      </w:r>
      <w:r>
        <w:rPr>
          <w:color w:val="auto"/>
          <w:highlight w:val="none"/>
        </w:rPr>
        <w:instrText xml:space="preserve"> HYPERLINK \l "_Toc9273" </w:instrText>
      </w:r>
      <w:r>
        <w:rPr>
          <w:color w:val="auto"/>
          <w:highlight w:val="none"/>
        </w:rPr>
        <w:fldChar w:fldCharType="separate"/>
      </w:r>
      <w:r>
        <w:rPr>
          <w:rFonts w:hint="eastAsia"/>
          <w:color w:val="auto"/>
          <w:highlight w:val="none"/>
        </w:rPr>
        <w:t>第三部分 专用条款</w:t>
      </w:r>
      <w:r>
        <w:rPr>
          <w:color w:val="auto"/>
          <w:highlight w:val="none"/>
        </w:rPr>
        <w:tab/>
      </w:r>
      <w:r>
        <w:rPr>
          <w:color w:val="auto"/>
          <w:highlight w:val="none"/>
        </w:rPr>
        <w:fldChar w:fldCharType="begin"/>
      </w:r>
      <w:r>
        <w:rPr>
          <w:color w:val="auto"/>
          <w:highlight w:val="none"/>
        </w:rPr>
        <w:instrText xml:space="preserve"> PAGEREF _Toc9273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"_Toc19682" </w:instrText>
      </w:r>
      <w:r>
        <w:rPr>
          <w:color w:val="auto"/>
          <w:highlight w:val="none"/>
        </w:rPr>
        <w:fldChar w:fldCharType="separate"/>
      </w:r>
      <w:r>
        <w:rPr>
          <w:rFonts w:hint="eastAsia"/>
          <w:color w:val="auto"/>
          <w:highlight w:val="none"/>
        </w:rPr>
        <w:t>词语定义、适用范围和法规</w:t>
      </w:r>
      <w:r>
        <w:rPr>
          <w:color w:val="auto"/>
          <w:highlight w:val="none"/>
        </w:rPr>
        <w:tab/>
      </w:r>
      <w:r>
        <w:rPr>
          <w:color w:val="auto"/>
          <w:highlight w:val="none"/>
        </w:rPr>
        <w:fldChar w:fldCharType="begin"/>
      </w:r>
      <w:r>
        <w:rPr>
          <w:color w:val="auto"/>
          <w:highlight w:val="none"/>
        </w:rPr>
        <w:instrText xml:space="preserve"> PAGEREF _Toc19682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"_Toc24583" </w:instrText>
      </w:r>
      <w:r>
        <w:rPr>
          <w:color w:val="auto"/>
          <w:highlight w:val="none"/>
        </w:rPr>
        <w:fldChar w:fldCharType="separate"/>
      </w:r>
      <w:r>
        <w:rPr>
          <w:rFonts w:hint="eastAsia"/>
          <w:color w:val="auto"/>
          <w:highlight w:val="none"/>
        </w:rPr>
        <w:t>监理人义务</w:t>
      </w:r>
      <w:r>
        <w:rPr>
          <w:color w:val="auto"/>
          <w:highlight w:val="none"/>
        </w:rPr>
        <w:tab/>
      </w:r>
      <w:r>
        <w:rPr>
          <w:color w:val="auto"/>
          <w:highlight w:val="none"/>
        </w:rPr>
        <w:fldChar w:fldCharType="begin"/>
      </w:r>
      <w:r>
        <w:rPr>
          <w:color w:val="auto"/>
          <w:highlight w:val="none"/>
        </w:rPr>
        <w:instrText xml:space="preserve"> PAGEREF _Toc24583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"_Toc22564" </w:instrText>
      </w:r>
      <w:r>
        <w:rPr>
          <w:color w:val="auto"/>
          <w:highlight w:val="none"/>
        </w:rPr>
        <w:fldChar w:fldCharType="separate"/>
      </w:r>
      <w:r>
        <w:rPr>
          <w:rFonts w:hint="eastAsia"/>
          <w:color w:val="auto"/>
          <w:highlight w:val="none"/>
        </w:rPr>
        <w:t>委托人义务</w:t>
      </w:r>
      <w:r>
        <w:rPr>
          <w:color w:val="auto"/>
          <w:highlight w:val="none"/>
        </w:rPr>
        <w:tab/>
      </w:r>
      <w:r>
        <w:rPr>
          <w:color w:val="auto"/>
          <w:highlight w:val="none"/>
        </w:rPr>
        <w:fldChar w:fldCharType="begin"/>
      </w:r>
      <w:r>
        <w:rPr>
          <w:color w:val="auto"/>
          <w:highlight w:val="none"/>
        </w:rPr>
        <w:instrText xml:space="preserve"> PAGEREF _Toc22564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"_Toc4187" </w:instrText>
      </w:r>
      <w:r>
        <w:rPr>
          <w:color w:val="auto"/>
          <w:highlight w:val="none"/>
        </w:rPr>
        <w:fldChar w:fldCharType="separate"/>
      </w:r>
      <w:r>
        <w:rPr>
          <w:rFonts w:hint="eastAsia"/>
          <w:color w:val="auto"/>
          <w:highlight w:val="none"/>
        </w:rPr>
        <w:t>监理人权利</w:t>
      </w:r>
      <w:r>
        <w:rPr>
          <w:color w:val="auto"/>
          <w:highlight w:val="none"/>
        </w:rPr>
        <w:tab/>
      </w:r>
      <w:r>
        <w:rPr>
          <w:color w:val="auto"/>
          <w:highlight w:val="none"/>
        </w:rPr>
        <w:fldChar w:fldCharType="begin"/>
      </w:r>
      <w:r>
        <w:rPr>
          <w:color w:val="auto"/>
          <w:highlight w:val="none"/>
        </w:rPr>
        <w:instrText xml:space="preserve"> PAGEREF _Toc4187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"_Toc9853" </w:instrText>
      </w:r>
      <w:r>
        <w:rPr>
          <w:color w:val="auto"/>
          <w:highlight w:val="none"/>
        </w:rPr>
        <w:fldChar w:fldCharType="separate"/>
      </w:r>
      <w:r>
        <w:rPr>
          <w:rFonts w:hint="eastAsia"/>
          <w:color w:val="auto"/>
          <w:highlight w:val="none"/>
        </w:rPr>
        <w:t>监理人责任</w:t>
      </w:r>
      <w:r>
        <w:rPr>
          <w:color w:val="auto"/>
          <w:highlight w:val="none"/>
        </w:rPr>
        <w:tab/>
      </w:r>
      <w:r>
        <w:rPr>
          <w:color w:val="auto"/>
          <w:highlight w:val="none"/>
        </w:rPr>
        <w:fldChar w:fldCharType="begin"/>
      </w:r>
      <w:r>
        <w:rPr>
          <w:color w:val="auto"/>
          <w:highlight w:val="none"/>
        </w:rPr>
        <w:instrText xml:space="preserve"> PAGEREF _Toc9853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"_Toc1648" </w:instrText>
      </w:r>
      <w:r>
        <w:rPr>
          <w:color w:val="auto"/>
          <w:highlight w:val="none"/>
        </w:rPr>
        <w:fldChar w:fldCharType="separate"/>
      </w:r>
      <w:r>
        <w:rPr>
          <w:rFonts w:hint="eastAsia"/>
          <w:color w:val="auto"/>
          <w:highlight w:val="none"/>
        </w:rPr>
        <w:t>委托人责任</w:t>
      </w:r>
      <w:r>
        <w:rPr>
          <w:color w:val="auto"/>
          <w:highlight w:val="none"/>
        </w:rPr>
        <w:tab/>
      </w:r>
      <w:r>
        <w:rPr>
          <w:color w:val="auto"/>
          <w:highlight w:val="none"/>
        </w:rPr>
        <w:fldChar w:fldCharType="begin"/>
      </w:r>
      <w:r>
        <w:rPr>
          <w:color w:val="auto"/>
          <w:highlight w:val="none"/>
        </w:rPr>
        <w:instrText xml:space="preserve"> PAGEREF _Toc1648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"_Toc9087" </w:instrText>
      </w:r>
      <w:r>
        <w:rPr>
          <w:color w:val="auto"/>
          <w:highlight w:val="none"/>
        </w:rPr>
        <w:fldChar w:fldCharType="separate"/>
      </w:r>
      <w:r>
        <w:rPr>
          <w:rFonts w:hint="eastAsia"/>
          <w:color w:val="auto"/>
          <w:highlight w:val="none"/>
        </w:rPr>
        <w:t>合同生效、变更与终止</w:t>
      </w:r>
      <w:r>
        <w:rPr>
          <w:color w:val="auto"/>
          <w:highlight w:val="none"/>
        </w:rPr>
        <w:tab/>
      </w:r>
      <w:r>
        <w:rPr>
          <w:color w:val="auto"/>
          <w:highlight w:val="none"/>
        </w:rPr>
        <w:fldChar w:fldCharType="begin"/>
      </w:r>
      <w:r>
        <w:rPr>
          <w:color w:val="auto"/>
          <w:highlight w:val="none"/>
        </w:rPr>
        <w:instrText xml:space="preserve"> PAGEREF _Toc9087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"_Toc27083" </w:instrText>
      </w:r>
      <w:r>
        <w:rPr>
          <w:color w:val="auto"/>
          <w:highlight w:val="none"/>
        </w:rPr>
        <w:fldChar w:fldCharType="separate"/>
      </w:r>
      <w:r>
        <w:rPr>
          <w:rFonts w:hint="eastAsia"/>
          <w:color w:val="auto"/>
          <w:highlight w:val="none"/>
        </w:rPr>
        <w:t>监理报酬</w:t>
      </w:r>
      <w:r>
        <w:rPr>
          <w:color w:val="auto"/>
          <w:highlight w:val="none"/>
        </w:rPr>
        <w:tab/>
      </w:r>
      <w:r>
        <w:rPr>
          <w:color w:val="auto"/>
          <w:highlight w:val="none"/>
        </w:rPr>
        <w:fldChar w:fldCharType="begin"/>
      </w:r>
      <w:r>
        <w:rPr>
          <w:color w:val="auto"/>
          <w:highlight w:val="none"/>
        </w:rPr>
        <w:instrText xml:space="preserve"> PAGEREF _Toc27083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0"/>
        <w:tabs>
          <w:tab w:val="right" w:leader="dot" w:pos="9070"/>
          <w:tab w:val="clear" w:pos="9180"/>
        </w:tabs>
        <w:ind w:left="480"/>
        <w:rPr>
          <w:color w:val="auto"/>
          <w:highlight w:val="none"/>
        </w:rPr>
      </w:pPr>
      <w:r>
        <w:rPr>
          <w:color w:val="auto"/>
          <w:highlight w:val="none"/>
        </w:rPr>
        <w:fldChar w:fldCharType="begin"/>
      </w:r>
      <w:r>
        <w:rPr>
          <w:color w:val="auto"/>
          <w:highlight w:val="none"/>
        </w:rPr>
        <w:instrText xml:space="preserve"> HYPERLINK \l "_Toc490" </w:instrText>
      </w:r>
      <w:r>
        <w:rPr>
          <w:color w:val="auto"/>
          <w:highlight w:val="none"/>
        </w:rPr>
        <w:fldChar w:fldCharType="separate"/>
      </w:r>
      <w:r>
        <w:rPr>
          <w:rFonts w:hint="eastAsia"/>
          <w:color w:val="auto"/>
          <w:highlight w:val="none"/>
        </w:rPr>
        <w:t>其它</w:t>
      </w:r>
      <w:r>
        <w:rPr>
          <w:color w:val="auto"/>
          <w:highlight w:val="none"/>
        </w:rPr>
        <w:tab/>
      </w:r>
      <w:r>
        <w:rPr>
          <w:color w:val="auto"/>
          <w:highlight w:val="none"/>
        </w:rPr>
        <w:fldChar w:fldCharType="begin"/>
      </w:r>
      <w:r>
        <w:rPr>
          <w:color w:val="auto"/>
          <w:highlight w:val="none"/>
        </w:rPr>
        <w:instrText xml:space="preserve"> PAGEREF _Toc490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6"/>
        <w:tabs>
          <w:tab w:val="right" w:leader="dot" w:pos="9070"/>
          <w:tab w:val="clear" w:pos="9180"/>
        </w:tabs>
        <w:rPr>
          <w:color w:val="auto"/>
          <w:highlight w:val="none"/>
        </w:rPr>
      </w:pPr>
      <w:r>
        <w:rPr>
          <w:color w:val="auto"/>
          <w:highlight w:val="none"/>
        </w:rPr>
        <w:fldChar w:fldCharType="begin"/>
      </w:r>
      <w:r>
        <w:rPr>
          <w:color w:val="auto"/>
          <w:highlight w:val="none"/>
        </w:rPr>
        <w:instrText xml:space="preserve"> HYPERLINK \l "_Toc28216" </w:instrText>
      </w:r>
      <w:r>
        <w:rPr>
          <w:color w:val="auto"/>
          <w:highlight w:val="none"/>
        </w:rPr>
        <w:fldChar w:fldCharType="separate"/>
      </w:r>
      <w:r>
        <w:rPr>
          <w:rFonts w:hint="eastAsia"/>
          <w:color w:val="auto"/>
          <w:highlight w:val="none"/>
        </w:rPr>
        <w:t>第四部分  附件</w:t>
      </w:r>
      <w:r>
        <w:rPr>
          <w:color w:val="auto"/>
          <w:highlight w:val="none"/>
        </w:rPr>
        <w:tab/>
      </w:r>
      <w:r>
        <w:rPr>
          <w:color w:val="auto"/>
          <w:highlight w:val="none"/>
        </w:rPr>
        <w:fldChar w:fldCharType="begin"/>
      </w:r>
      <w:r>
        <w:rPr>
          <w:color w:val="auto"/>
          <w:highlight w:val="none"/>
        </w:rPr>
        <w:instrText xml:space="preserve"> PAGEREF _Toc28216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jc w:val="distribute"/>
        <w:rPr>
          <w:rFonts w:ascii="宋体" w:hAnsi="宋体"/>
          <w:b/>
          <w:bCs/>
          <w:color w:val="auto"/>
          <w:sz w:val="36"/>
          <w:highlight w:val="none"/>
        </w:rPr>
      </w:pPr>
      <w:r>
        <w:rPr>
          <w:rFonts w:ascii="宋体" w:hAnsi="宋体"/>
          <w:bCs/>
          <w:caps/>
          <w:color w:val="auto"/>
          <w:kern w:val="0"/>
          <w:highlight w:val="none"/>
        </w:rPr>
        <w:fldChar w:fldCharType="end"/>
      </w:r>
    </w:p>
    <w:p>
      <w:pPr>
        <w:jc w:val="center"/>
        <w:rPr>
          <w:rFonts w:ascii="宋体" w:hAnsi="宋体"/>
          <w:b/>
          <w:bCs/>
          <w:color w:val="auto"/>
          <w:sz w:val="36"/>
          <w:highlight w:val="none"/>
        </w:rPr>
        <w:sectPr>
          <w:footerReference r:id="rId7" w:type="default"/>
          <w:footerReference r:id="rId8" w:type="even"/>
          <w:endnotePr>
            <w:numFmt w:val="decimal"/>
          </w:endnotePr>
          <w:pgSz w:w="11906" w:h="16838"/>
          <w:pgMar w:top="1418"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p>
    <w:p>
      <w:pPr>
        <w:pStyle w:val="3"/>
        <w:spacing w:before="468" w:beforeLines="150" w:after="468" w:afterLines="150"/>
        <w:rPr>
          <w:color w:val="auto"/>
          <w:highlight w:val="none"/>
        </w:rPr>
      </w:pPr>
      <w:bookmarkStart w:id="2" w:name="_Toc1199"/>
      <w:bookmarkStart w:id="3" w:name="_Toc67169537"/>
      <w:bookmarkStart w:id="4" w:name="_Toc480642874"/>
      <w:bookmarkStart w:id="5" w:name="_Toc299140203"/>
      <w:r>
        <w:rPr>
          <w:rFonts w:hint="eastAsia"/>
          <w:color w:val="auto"/>
          <w:highlight w:val="none"/>
        </w:rPr>
        <w:t>第一部分  合同</w:t>
      </w:r>
      <w:bookmarkEnd w:id="2"/>
      <w:bookmarkEnd w:id="3"/>
    </w:p>
    <w:p>
      <w:pPr>
        <w:pStyle w:val="3"/>
        <w:spacing w:before="468" w:beforeLines="150" w:after="468" w:afterLines="150"/>
        <w:rPr>
          <w:color w:val="auto"/>
          <w:highlight w:val="none"/>
        </w:rPr>
      </w:pPr>
      <w:bookmarkStart w:id="6" w:name="_Toc67169538"/>
      <w:bookmarkStart w:id="7" w:name="_Toc12197"/>
      <w:r>
        <w:rPr>
          <w:rFonts w:hint="eastAsia"/>
          <w:color w:val="auto"/>
          <w:highlight w:val="none"/>
        </w:rPr>
        <w:t>协议书</w:t>
      </w:r>
      <w:bookmarkEnd w:id="4"/>
      <w:bookmarkEnd w:id="5"/>
      <w:bookmarkEnd w:id="6"/>
      <w:bookmarkEnd w:id="7"/>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委托人</w:t>
      </w:r>
      <w:r>
        <w:rPr>
          <w:rFonts w:hint="eastAsia"/>
          <w:color w:val="auto"/>
          <w:highlight w:val="none"/>
          <w:u w:val="single"/>
        </w:rPr>
        <w:t xml:space="preserve"> 清远市广州后花园有限公司 </w:t>
      </w:r>
      <w:r>
        <w:rPr>
          <w:rFonts w:hint="eastAsia" w:eastAsia="仿宋_GB2312"/>
          <w:color w:val="auto"/>
          <w:highlight w:val="none"/>
          <w:u w:val="single"/>
        </w:rPr>
        <w:t xml:space="preserve"> </w:t>
      </w:r>
      <w:r>
        <w:rPr>
          <w:rFonts w:hint="eastAsia"/>
          <w:color w:val="auto"/>
          <w:highlight w:val="none"/>
        </w:rPr>
        <w:t>与监理人</w:t>
      </w:r>
      <w:r>
        <w:rPr>
          <w:rFonts w:hint="eastAsia"/>
          <w:color w:val="auto"/>
          <w:highlight w:val="none"/>
          <w:u w:val="single"/>
        </w:rPr>
        <w:t xml:space="preserve"> ****有限公司  </w:t>
      </w:r>
      <w:r>
        <w:rPr>
          <w:rFonts w:hint="eastAsia"/>
          <w:color w:val="auto"/>
          <w:highlight w:val="none"/>
        </w:rPr>
        <w:t>经双方协商一致，签订本合同。</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一、委托人委托监理人监理的工程（以下筒称“本工程”）概况如下：</w:t>
      </w:r>
    </w:p>
    <w:p>
      <w:pPr>
        <w:pStyle w:val="33"/>
        <w:widowControl w:val="0"/>
        <w:kinsoku w:val="0"/>
        <w:overflowPunct w:val="0"/>
        <w:autoSpaceDE w:val="0"/>
        <w:autoSpaceDN w:val="0"/>
        <w:adjustRightInd w:val="0"/>
        <w:snapToGrid w:val="0"/>
        <w:spacing w:before="0" w:beforeAutospacing="0" w:after="0" w:afterAutospacing="0"/>
        <w:ind w:right="720" w:firstLine="960" w:firstLineChars="400"/>
        <w:rPr>
          <w:rFonts w:ascii="楷体_GB2312"/>
          <w:color w:val="auto"/>
          <w:highlight w:val="none"/>
          <w:u w:val="single"/>
        </w:rPr>
      </w:pPr>
      <w:r>
        <w:rPr>
          <w:rFonts w:hint="eastAsia"/>
          <w:color w:val="auto"/>
          <w:highlight w:val="none"/>
        </w:rPr>
        <w:t>工程名称：</w:t>
      </w:r>
      <w:r>
        <w:rPr>
          <w:rFonts w:hint="eastAsia" w:ascii="楷体_GB2312"/>
          <w:color w:val="auto"/>
          <w:highlight w:val="none"/>
          <w:u w:val="single"/>
        </w:rPr>
        <w:t xml:space="preserve"> ****监理服务项目  </w:t>
      </w:r>
    </w:p>
    <w:p>
      <w:pPr>
        <w:rPr>
          <w:rFonts w:ascii="楷体_GB2312" w:hAnsi="宋体"/>
          <w:color w:val="auto"/>
          <w:kern w:val="0"/>
          <w:highlight w:val="none"/>
        </w:rPr>
      </w:pPr>
      <w:r>
        <w:rPr>
          <w:rFonts w:hint="eastAsia" w:ascii="楷体_GB2312" w:hAnsi="宋体"/>
          <w:color w:val="auto"/>
          <w:kern w:val="0"/>
          <w:highlight w:val="none"/>
        </w:rPr>
        <w:t>　      工程地点：</w:t>
      </w:r>
      <w:r>
        <w:rPr>
          <w:rFonts w:hint="eastAsia" w:ascii="楷体_GB2312" w:hAnsi="宋体"/>
          <w:color w:val="auto"/>
          <w:kern w:val="0"/>
          <w:highlight w:val="none"/>
          <w:u w:val="single"/>
        </w:rPr>
        <w:t xml:space="preserve"> 广东清远市清城区石角镇美林湖     </w:t>
      </w:r>
    </w:p>
    <w:p>
      <w:pPr>
        <w:ind w:firstLine="960" w:firstLineChars="400"/>
        <w:rPr>
          <w:rFonts w:ascii="楷体_GB2312"/>
          <w:color w:val="auto"/>
          <w:highlight w:val="none"/>
          <w:u w:val="single"/>
        </w:rPr>
      </w:pPr>
      <w:r>
        <w:rPr>
          <w:rFonts w:hint="eastAsia"/>
          <w:color w:val="auto"/>
          <w:highlight w:val="none"/>
        </w:rPr>
        <w:t>工程规模：</w:t>
      </w:r>
      <w:r>
        <w:rPr>
          <w:rFonts w:hint="eastAsia"/>
          <w:snapToGrid w:val="0"/>
          <w:color w:val="auto"/>
          <w:spacing w:val="4"/>
          <w:highlight w:val="none"/>
          <w:u w:val="single"/>
        </w:rPr>
        <w:t xml:space="preserve">                               </w:t>
      </w:r>
    </w:p>
    <w:p>
      <w:pPr>
        <w:ind w:firstLine="960" w:firstLineChars="400"/>
        <w:rPr>
          <w:rFonts w:ascii="楷体_GB2312"/>
          <w:color w:val="auto"/>
          <w:highlight w:val="none"/>
          <w:u w:val="single"/>
        </w:rPr>
      </w:pPr>
      <w:r>
        <w:rPr>
          <w:rFonts w:hint="eastAsia" w:ascii="楷体_GB2312"/>
          <w:color w:val="auto"/>
          <w:highlight w:val="none"/>
        </w:rPr>
        <w:t>监理服务期：</w:t>
      </w:r>
      <w:r>
        <w:rPr>
          <w:rFonts w:hint="eastAsia" w:ascii="楷体_GB2312"/>
          <w:color w:val="auto"/>
          <w:highlight w:val="none"/>
          <w:u w:val="single"/>
        </w:rPr>
        <w:t xml:space="preserve">     </w:t>
      </w:r>
      <w:r>
        <w:rPr>
          <w:rFonts w:hint="eastAsia" w:ascii="楷体_GB2312"/>
          <w:color w:val="auto"/>
          <w:highlight w:val="none"/>
        </w:rPr>
        <w:t>个月（暂定），项目分期及每期开工时间、工期以甲方最终确定为准。每期由于项目开发计划调整，如发生开发中止，监理服务相应暂停，由此造成的服务期限相应延长（中止时间不计算服务费），重新进场时间以委托人正式书面进场通知为准。</w:t>
      </w:r>
    </w:p>
    <w:p>
      <w:pPr>
        <w:pStyle w:val="33"/>
        <w:widowControl w:val="0"/>
        <w:kinsoku w:val="0"/>
        <w:overflowPunct w:val="0"/>
        <w:autoSpaceDE w:val="0"/>
        <w:autoSpaceDN w:val="0"/>
        <w:adjustRightInd w:val="0"/>
        <w:snapToGrid w:val="0"/>
        <w:spacing w:before="0" w:beforeAutospacing="0" w:after="0" w:afterAutospacing="0"/>
        <w:ind w:left="720" w:right="720"/>
        <w:rPr>
          <w:color w:val="auto"/>
          <w:highlight w:val="none"/>
        </w:rPr>
      </w:pPr>
      <w:r>
        <w:rPr>
          <w:rFonts w:hint="eastAsia"/>
          <w:color w:val="auto"/>
          <w:highlight w:val="none"/>
        </w:rPr>
        <w:t>　</w:t>
      </w:r>
    </w:p>
    <w:p>
      <w:pPr>
        <w:pStyle w:val="33"/>
        <w:widowControl w:val="0"/>
        <w:numPr>
          <w:ilvl w:val="0"/>
          <w:numId w:val="3"/>
        </w:numPr>
        <w:tabs>
          <w:tab w:val="left" w:pos="420"/>
        </w:tabs>
        <w:kinsoku w:val="0"/>
        <w:overflowPunct w:val="0"/>
        <w:autoSpaceDE w:val="0"/>
        <w:autoSpaceDN w:val="0"/>
        <w:adjustRightInd w:val="0"/>
        <w:snapToGrid w:val="0"/>
        <w:spacing w:before="0" w:beforeAutospacing="0" w:after="0" w:afterAutospacing="0"/>
        <w:ind w:firstLine="480"/>
        <w:rPr>
          <w:color w:val="auto"/>
          <w:highlight w:val="none"/>
          <w:u w:val="single"/>
        </w:rPr>
      </w:pPr>
      <w:r>
        <w:rPr>
          <w:rFonts w:hint="eastAsia"/>
          <w:color w:val="auto"/>
          <w:highlight w:val="none"/>
        </w:rPr>
        <w:t>本工程项目的签约合同价暂定为</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920"/>
        <w:gridCol w:w="1550"/>
        <w:gridCol w:w="1334"/>
        <w:gridCol w:w="185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6" w:type="dxa"/>
            <w:shd w:val="clear" w:color="auto" w:fill="auto"/>
          </w:tcPr>
          <w:p>
            <w:pPr>
              <w:pStyle w:val="206"/>
              <w:numPr>
                <w:ilvl w:val="255"/>
                <w:numId w:val="0"/>
              </w:numPr>
              <w:kinsoku w:val="0"/>
              <w:overflowPunct w:val="0"/>
              <w:autoSpaceDE w:val="0"/>
              <w:autoSpaceDN w:val="0"/>
              <w:adjustRightInd w:val="0"/>
              <w:snapToGrid w:val="0"/>
              <w:jc w:val="center"/>
              <w:rPr>
                <w:color w:val="auto"/>
                <w:sz w:val="24"/>
                <w:szCs w:val="22"/>
                <w:highlight w:val="none"/>
              </w:rPr>
            </w:pPr>
            <w:r>
              <w:rPr>
                <w:rFonts w:hint="eastAsia"/>
                <w:color w:val="auto"/>
                <w:sz w:val="24"/>
                <w:szCs w:val="22"/>
                <w:highlight w:val="none"/>
              </w:rPr>
              <w:t>序号</w:t>
            </w:r>
          </w:p>
        </w:tc>
        <w:tc>
          <w:tcPr>
            <w:tcW w:w="2920" w:type="dxa"/>
            <w:shd w:val="clear" w:color="auto" w:fill="auto"/>
          </w:tcPr>
          <w:p>
            <w:pPr>
              <w:pStyle w:val="206"/>
              <w:numPr>
                <w:ilvl w:val="255"/>
                <w:numId w:val="0"/>
              </w:numPr>
              <w:kinsoku w:val="0"/>
              <w:overflowPunct w:val="0"/>
              <w:autoSpaceDE w:val="0"/>
              <w:autoSpaceDN w:val="0"/>
              <w:adjustRightInd w:val="0"/>
              <w:snapToGrid w:val="0"/>
              <w:jc w:val="center"/>
              <w:rPr>
                <w:color w:val="auto"/>
                <w:sz w:val="24"/>
                <w:szCs w:val="22"/>
                <w:highlight w:val="none"/>
              </w:rPr>
            </w:pPr>
            <w:r>
              <w:rPr>
                <w:rFonts w:hint="eastAsia"/>
                <w:color w:val="auto"/>
                <w:sz w:val="24"/>
                <w:szCs w:val="22"/>
                <w:highlight w:val="none"/>
              </w:rPr>
              <w:t>项目名称</w:t>
            </w:r>
          </w:p>
        </w:tc>
        <w:tc>
          <w:tcPr>
            <w:tcW w:w="1550" w:type="dxa"/>
            <w:shd w:val="clear" w:color="auto" w:fill="auto"/>
          </w:tcPr>
          <w:p>
            <w:pPr>
              <w:pStyle w:val="206"/>
              <w:numPr>
                <w:ilvl w:val="255"/>
                <w:numId w:val="0"/>
              </w:numPr>
              <w:kinsoku w:val="0"/>
              <w:overflowPunct w:val="0"/>
              <w:autoSpaceDE w:val="0"/>
              <w:autoSpaceDN w:val="0"/>
              <w:adjustRightInd w:val="0"/>
              <w:snapToGrid w:val="0"/>
              <w:jc w:val="center"/>
              <w:rPr>
                <w:color w:val="auto"/>
                <w:sz w:val="24"/>
                <w:szCs w:val="22"/>
                <w:highlight w:val="none"/>
              </w:rPr>
            </w:pPr>
            <w:r>
              <w:rPr>
                <w:rFonts w:hint="eastAsia"/>
                <w:color w:val="auto"/>
                <w:sz w:val="24"/>
                <w:szCs w:val="22"/>
                <w:highlight w:val="none"/>
              </w:rPr>
              <w:t>不含税金额（元）</w:t>
            </w:r>
          </w:p>
        </w:tc>
        <w:tc>
          <w:tcPr>
            <w:tcW w:w="1334" w:type="dxa"/>
            <w:shd w:val="clear" w:color="auto" w:fill="auto"/>
          </w:tcPr>
          <w:p>
            <w:pPr>
              <w:pStyle w:val="206"/>
              <w:jc w:val="center"/>
              <w:rPr>
                <w:color w:val="auto"/>
                <w:sz w:val="24"/>
                <w:szCs w:val="22"/>
                <w:highlight w:val="none"/>
              </w:rPr>
            </w:pPr>
            <w:r>
              <w:rPr>
                <w:rFonts w:hint="eastAsia"/>
                <w:color w:val="auto"/>
                <w:sz w:val="24"/>
                <w:szCs w:val="22"/>
                <w:highlight w:val="none"/>
              </w:rPr>
              <w:t>税金</w:t>
            </w:r>
          </w:p>
          <w:p>
            <w:pPr>
              <w:pStyle w:val="206"/>
              <w:jc w:val="center"/>
              <w:rPr>
                <w:color w:val="auto"/>
                <w:sz w:val="24"/>
                <w:szCs w:val="22"/>
                <w:highlight w:val="none"/>
              </w:rPr>
            </w:pPr>
            <w:r>
              <w:rPr>
                <w:rFonts w:hint="eastAsia"/>
                <w:color w:val="auto"/>
                <w:sz w:val="24"/>
                <w:szCs w:val="22"/>
                <w:highlight w:val="none"/>
              </w:rPr>
              <w:t>（元）</w:t>
            </w:r>
          </w:p>
        </w:tc>
        <w:tc>
          <w:tcPr>
            <w:tcW w:w="1850" w:type="dxa"/>
            <w:shd w:val="clear" w:color="auto" w:fill="auto"/>
          </w:tcPr>
          <w:p>
            <w:pPr>
              <w:pStyle w:val="206"/>
              <w:jc w:val="center"/>
              <w:rPr>
                <w:color w:val="auto"/>
                <w:sz w:val="24"/>
                <w:szCs w:val="22"/>
                <w:highlight w:val="none"/>
              </w:rPr>
            </w:pPr>
            <w:r>
              <w:rPr>
                <w:rFonts w:hint="eastAsia"/>
                <w:color w:val="auto"/>
                <w:sz w:val="24"/>
                <w:szCs w:val="22"/>
                <w:highlight w:val="none"/>
              </w:rPr>
              <w:t>含税金额（元）</w:t>
            </w:r>
          </w:p>
        </w:tc>
        <w:tc>
          <w:tcPr>
            <w:tcW w:w="1033" w:type="dxa"/>
            <w:shd w:val="clear" w:color="auto" w:fill="auto"/>
          </w:tcPr>
          <w:p>
            <w:pPr>
              <w:pStyle w:val="206"/>
              <w:numPr>
                <w:ilvl w:val="255"/>
                <w:numId w:val="0"/>
              </w:numPr>
              <w:kinsoku w:val="0"/>
              <w:overflowPunct w:val="0"/>
              <w:autoSpaceDE w:val="0"/>
              <w:autoSpaceDN w:val="0"/>
              <w:adjustRightInd w:val="0"/>
              <w:snapToGrid w:val="0"/>
              <w:jc w:val="center"/>
              <w:rPr>
                <w:color w:val="auto"/>
                <w:sz w:val="24"/>
                <w:szCs w:val="22"/>
                <w:highlight w:val="none"/>
              </w:rPr>
            </w:pPr>
            <w:r>
              <w:rPr>
                <w:rFonts w:hint="eastAsia"/>
                <w:color w:val="auto"/>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56" w:type="dxa"/>
            <w:shd w:val="clear" w:color="auto" w:fill="auto"/>
          </w:tcPr>
          <w:p>
            <w:pPr>
              <w:pStyle w:val="206"/>
              <w:numPr>
                <w:ilvl w:val="255"/>
                <w:numId w:val="0"/>
              </w:numPr>
              <w:kinsoku w:val="0"/>
              <w:overflowPunct w:val="0"/>
              <w:autoSpaceDE w:val="0"/>
              <w:autoSpaceDN w:val="0"/>
              <w:adjustRightInd w:val="0"/>
              <w:snapToGrid w:val="0"/>
              <w:jc w:val="center"/>
              <w:rPr>
                <w:color w:val="auto"/>
                <w:sz w:val="24"/>
                <w:szCs w:val="22"/>
                <w:highlight w:val="none"/>
              </w:rPr>
            </w:pPr>
            <w:r>
              <w:rPr>
                <w:rFonts w:hint="eastAsia"/>
                <w:color w:val="auto"/>
                <w:sz w:val="24"/>
                <w:szCs w:val="22"/>
                <w:highlight w:val="none"/>
              </w:rPr>
              <w:t>一</w:t>
            </w:r>
          </w:p>
        </w:tc>
        <w:tc>
          <w:tcPr>
            <w:tcW w:w="2920" w:type="dxa"/>
            <w:shd w:val="clear" w:color="auto" w:fill="auto"/>
          </w:tcPr>
          <w:p>
            <w:pPr>
              <w:pStyle w:val="206"/>
              <w:numPr>
                <w:ilvl w:val="255"/>
                <w:numId w:val="0"/>
              </w:numPr>
              <w:kinsoku w:val="0"/>
              <w:overflowPunct w:val="0"/>
              <w:autoSpaceDE w:val="0"/>
              <w:autoSpaceDN w:val="0"/>
              <w:adjustRightInd w:val="0"/>
              <w:snapToGrid w:val="0"/>
              <w:jc w:val="center"/>
              <w:rPr>
                <w:color w:val="auto"/>
                <w:sz w:val="24"/>
                <w:szCs w:val="22"/>
                <w:highlight w:val="none"/>
              </w:rPr>
            </w:pPr>
            <w:r>
              <w:rPr>
                <w:rFonts w:hint="eastAsia"/>
                <w:color w:val="auto"/>
                <w:sz w:val="24"/>
                <w:szCs w:val="22"/>
                <w:highlight w:val="none"/>
              </w:rPr>
              <w:t>****监理服务</w:t>
            </w:r>
          </w:p>
        </w:tc>
        <w:tc>
          <w:tcPr>
            <w:tcW w:w="1550" w:type="dxa"/>
            <w:shd w:val="clear" w:color="auto" w:fill="auto"/>
          </w:tcPr>
          <w:p>
            <w:pPr>
              <w:pStyle w:val="206"/>
              <w:numPr>
                <w:ilvl w:val="255"/>
                <w:numId w:val="0"/>
              </w:numPr>
              <w:kinsoku w:val="0"/>
              <w:wordWrap w:val="0"/>
              <w:overflowPunct w:val="0"/>
              <w:autoSpaceDE w:val="0"/>
              <w:autoSpaceDN w:val="0"/>
              <w:adjustRightInd w:val="0"/>
              <w:snapToGrid w:val="0"/>
              <w:jc w:val="right"/>
              <w:rPr>
                <w:color w:val="auto"/>
                <w:sz w:val="24"/>
                <w:szCs w:val="22"/>
                <w:highlight w:val="none"/>
              </w:rPr>
            </w:pPr>
            <w:r>
              <w:rPr>
                <w:rFonts w:hint="eastAsia"/>
                <w:color w:val="auto"/>
                <w:sz w:val="24"/>
                <w:szCs w:val="22"/>
                <w:highlight w:val="none"/>
              </w:rPr>
              <w:t xml:space="preserve"> </w:t>
            </w:r>
          </w:p>
        </w:tc>
        <w:tc>
          <w:tcPr>
            <w:tcW w:w="1334" w:type="dxa"/>
            <w:shd w:val="clear" w:color="auto" w:fill="auto"/>
          </w:tcPr>
          <w:p>
            <w:pPr>
              <w:pStyle w:val="206"/>
              <w:wordWrap w:val="0"/>
              <w:jc w:val="right"/>
              <w:rPr>
                <w:color w:val="auto"/>
                <w:sz w:val="24"/>
                <w:szCs w:val="22"/>
                <w:highlight w:val="none"/>
              </w:rPr>
            </w:pPr>
            <w:r>
              <w:rPr>
                <w:rFonts w:hint="eastAsia"/>
                <w:color w:val="auto"/>
                <w:sz w:val="24"/>
                <w:szCs w:val="22"/>
                <w:highlight w:val="none"/>
              </w:rPr>
              <w:t xml:space="preserve"> </w:t>
            </w:r>
          </w:p>
        </w:tc>
        <w:tc>
          <w:tcPr>
            <w:tcW w:w="1850" w:type="dxa"/>
            <w:shd w:val="clear" w:color="auto" w:fill="auto"/>
          </w:tcPr>
          <w:p>
            <w:pPr>
              <w:pStyle w:val="206"/>
              <w:wordWrap w:val="0"/>
              <w:jc w:val="right"/>
              <w:rPr>
                <w:color w:val="auto"/>
                <w:sz w:val="24"/>
                <w:szCs w:val="22"/>
                <w:highlight w:val="none"/>
              </w:rPr>
            </w:pPr>
            <w:r>
              <w:rPr>
                <w:rFonts w:hint="eastAsia"/>
                <w:color w:val="auto"/>
                <w:sz w:val="24"/>
                <w:szCs w:val="22"/>
                <w:highlight w:val="none"/>
              </w:rPr>
              <w:t xml:space="preserve"> </w:t>
            </w:r>
          </w:p>
        </w:tc>
        <w:tc>
          <w:tcPr>
            <w:tcW w:w="1033" w:type="dxa"/>
            <w:vMerge w:val="restart"/>
            <w:shd w:val="clear" w:color="auto" w:fill="auto"/>
          </w:tcPr>
          <w:p>
            <w:pPr>
              <w:pStyle w:val="206"/>
              <w:jc w:val="center"/>
              <w:rPr>
                <w:color w:val="auto"/>
                <w:sz w:val="24"/>
                <w:szCs w:val="22"/>
                <w:highlight w:val="none"/>
              </w:rPr>
            </w:pPr>
          </w:p>
          <w:p>
            <w:pPr>
              <w:pStyle w:val="206"/>
              <w:jc w:val="center"/>
              <w:rPr>
                <w:color w:val="auto"/>
                <w:sz w:val="24"/>
                <w:szCs w:val="22"/>
                <w:highlight w:val="none"/>
              </w:rPr>
            </w:pPr>
          </w:p>
          <w:p>
            <w:pPr>
              <w:pStyle w:val="206"/>
              <w:jc w:val="center"/>
              <w:rPr>
                <w:color w:val="auto"/>
                <w:sz w:val="24"/>
                <w:szCs w:val="22"/>
                <w:highlight w:val="none"/>
              </w:rPr>
            </w:pPr>
            <w:r>
              <w:rPr>
                <w:rFonts w:hint="eastAsia"/>
                <w:color w:val="auto"/>
                <w:sz w:val="24"/>
                <w:szCs w:val="22"/>
                <w:highlight w:val="none"/>
              </w:rPr>
              <w:t>税率为6%</w:t>
            </w:r>
          </w:p>
          <w:p>
            <w:pPr>
              <w:pStyle w:val="206"/>
              <w:numPr>
                <w:ilvl w:val="255"/>
                <w:numId w:val="0"/>
              </w:numPr>
              <w:kinsoku w:val="0"/>
              <w:overflowPunct w:val="0"/>
              <w:autoSpaceDE w:val="0"/>
              <w:autoSpaceDN w:val="0"/>
              <w:adjustRightInd w:val="0"/>
              <w:snapToGrid w:val="0"/>
              <w:jc w:val="center"/>
              <w:rPr>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56" w:type="dxa"/>
            <w:vMerge w:val="restart"/>
            <w:shd w:val="clear" w:color="auto" w:fill="auto"/>
          </w:tcPr>
          <w:p>
            <w:pPr>
              <w:pStyle w:val="206"/>
              <w:numPr>
                <w:ilvl w:val="255"/>
                <w:numId w:val="0"/>
              </w:numPr>
              <w:kinsoku w:val="0"/>
              <w:overflowPunct w:val="0"/>
              <w:autoSpaceDE w:val="0"/>
              <w:autoSpaceDN w:val="0"/>
              <w:adjustRightInd w:val="0"/>
              <w:snapToGrid w:val="0"/>
              <w:jc w:val="center"/>
              <w:rPr>
                <w:color w:val="auto"/>
                <w:sz w:val="24"/>
                <w:szCs w:val="22"/>
                <w:highlight w:val="none"/>
              </w:rPr>
            </w:pPr>
            <w:r>
              <w:rPr>
                <w:rFonts w:hint="eastAsia"/>
                <w:color w:val="auto"/>
                <w:sz w:val="24"/>
                <w:szCs w:val="22"/>
                <w:highlight w:val="none"/>
              </w:rPr>
              <w:t>二</w:t>
            </w:r>
          </w:p>
        </w:tc>
        <w:tc>
          <w:tcPr>
            <w:tcW w:w="2920" w:type="dxa"/>
            <w:shd w:val="clear" w:color="auto" w:fill="auto"/>
          </w:tcPr>
          <w:p>
            <w:pPr>
              <w:pStyle w:val="206"/>
              <w:numPr>
                <w:ilvl w:val="255"/>
                <w:numId w:val="0"/>
              </w:numPr>
              <w:kinsoku w:val="0"/>
              <w:overflowPunct w:val="0"/>
              <w:autoSpaceDE w:val="0"/>
              <w:autoSpaceDN w:val="0"/>
              <w:adjustRightInd w:val="0"/>
              <w:snapToGrid w:val="0"/>
              <w:rPr>
                <w:color w:val="auto"/>
                <w:sz w:val="24"/>
                <w:szCs w:val="22"/>
                <w:highlight w:val="none"/>
              </w:rPr>
            </w:pPr>
            <w:r>
              <w:rPr>
                <w:rFonts w:hint="eastAsia"/>
                <w:color w:val="auto"/>
                <w:sz w:val="24"/>
                <w:szCs w:val="22"/>
                <w:highlight w:val="none"/>
              </w:rPr>
              <w:t>合计小写：</w:t>
            </w:r>
          </w:p>
        </w:tc>
        <w:tc>
          <w:tcPr>
            <w:tcW w:w="4734" w:type="dxa"/>
            <w:gridSpan w:val="3"/>
            <w:shd w:val="clear" w:color="auto" w:fill="auto"/>
          </w:tcPr>
          <w:p>
            <w:pPr>
              <w:pStyle w:val="206"/>
              <w:wordWrap w:val="0"/>
              <w:jc w:val="right"/>
              <w:rPr>
                <w:color w:val="auto"/>
                <w:sz w:val="24"/>
                <w:szCs w:val="22"/>
                <w:highlight w:val="none"/>
              </w:rPr>
            </w:pPr>
            <w:r>
              <w:rPr>
                <w:rFonts w:hint="eastAsia"/>
                <w:color w:val="auto"/>
                <w:sz w:val="24"/>
                <w:szCs w:val="22"/>
                <w:highlight w:val="none"/>
              </w:rPr>
              <w:t xml:space="preserve"> </w:t>
            </w:r>
          </w:p>
        </w:tc>
        <w:tc>
          <w:tcPr>
            <w:tcW w:w="1033" w:type="dxa"/>
            <w:vMerge w:val="continue"/>
            <w:shd w:val="clear" w:color="auto" w:fill="auto"/>
          </w:tcPr>
          <w:p>
            <w:pPr>
              <w:pStyle w:val="206"/>
              <w:numPr>
                <w:ilvl w:val="255"/>
                <w:numId w:val="0"/>
              </w:numPr>
              <w:kinsoku w:val="0"/>
              <w:overflowPunct w:val="0"/>
              <w:autoSpaceDE w:val="0"/>
              <w:autoSpaceDN w:val="0"/>
              <w:adjustRightInd w:val="0"/>
              <w:snapToGrid w:val="0"/>
              <w:rPr>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56" w:type="dxa"/>
            <w:vMerge w:val="continue"/>
            <w:shd w:val="clear" w:color="auto" w:fill="auto"/>
          </w:tcPr>
          <w:p>
            <w:pPr>
              <w:pStyle w:val="206"/>
              <w:numPr>
                <w:ilvl w:val="255"/>
                <w:numId w:val="0"/>
              </w:numPr>
              <w:kinsoku w:val="0"/>
              <w:overflowPunct w:val="0"/>
              <w:autoSpaceDE w:val="0"/>
              <w:autoSpaceDN w:val="0"/>
              <w:adjustRightInd w:val="0"/>
              <w:snapToGrid w:val="0"/>
              <w:rPr>
                <w:color w:val="auto"/>
                <w:sz w:val="24"/>
                <w:szCs w:val="22"/>
                <w:highlight w:val="none"/>
              </w:rPr>
            </w:pPr>
          </w:p>
        </w:tc>
        <w:tc>
          <w:tcPr>
            <w:tcW w:w="2920" w:type="dxa"/>
            <w:shd w:val="clear" w:color="auto" w:fill="auto"/>
          </w:tcPr>
          <w:p>
            <w:pPr>
              <w:pStyle w:val="206"/>
              <w:numPr>
                <w:ilvl w:val="255"/>
                <w:numId w:val="0"/>
              </w:numPr>
              <w:kinsoku w:val="0"/>
              <w:overflowPunct w:val="0"/>
              <w:autoSpaceDE w:val="0"/>
              <w:autoSpaceDN w:val="0"/>
              <w:adjustRightInd w:val="0"/>
              <w:snapToGrid w:val="0"/>
              <w:rPr>
                <w:color w:val="auto"/>
                <w:sz w:val="24"/>
                <w:szCs w:val="22"/>
                <w:highlight w:val="none"/>
              </w:rPr>
            </w:pPr>
            <w:r>
              <w:rPr>
                <w:rFonts w:hint="eastAsia"/>
                <w:color w:val="auto"/>
                <w:sz w:val="24"/>
                <w:szCs w:val="22"/>
                <w:highlight w:val="none"/>
              </w:rPr>
              <w:t>合计大写：</w:t>
            </w:r>
          </w:p>
        </w:tc>
        <w:tc>
          <w:tcPr>
            <w:tcW w:w="4734" w:type="dxa"/>
            <w:gridSpan w:val="3"/>
            <w:shd w:val="clear" w:color="auto" w:fill="auto"/>
          </w:tcPr>
          <w:p>
            <w:pPr>
              <w:pStyle w:val="206"/>
              <w:wordWrap w:val="0"/>
              <w:jc w:val="right"/>
              <w:rPr>
                <w:color w:val="auto"/>
                <w:sz w:val="24"/>
                <w:szCs w:val="22"/>
                <w:highlight w:val="none"/>
              </w:rPr>
            </w:pPr>
            <w:r>
              <w:rPr>
                <w:rFonts w:hint="eastAsia"/>
                <w:color w:val="auto"/>
                <w:sz w:val="24"/>
                <w:szCs w:val="22"/>
                <w:highlight w:val="none"/>
              </w:rPr>
              <w:t xml:space="preserve"> </w:t>
            </w:r>
          </w:p>
        </w:tc>
        <w:tc>
          <w:tcPr>
            <w:tcW w:w="1033" w:type="dxa"/>
            <w:vMerge w:val="continue"/>
            <w:shd w:val="clear" w:color="auto" w:fill="auto"/>
          </w:tcPr>
          <w:p>
            <w:pPr>
              <w:pStyle w:val="206"/>
              <w:numPr>
                <w:ilvl w:val="255"/>
                <w:numId w:val="0"/>
              </w:numPr>
              <w:kinsoku w:val="0"/>
              <w:overflowPunct w:val="0"/>
              <w:autoSpaceDE w:val="0"/>
              <w:autoSpaceDN w:val="0"/>
              <w:adjustRightInd w:val="0"/>
              <w:snapToGrid w:val="0"/>
              <w:rPr>
                <w:color w:val="auto"/>
                <w:sz w:val="24"/>
                <w:szCs w:val="22"/>
                <w:highlight w:val="none"/>
              </w:rPr>
            </w:pPr>
          </w:p>
        </w:tc>
      </w:tr>
    </w:tbl>
    <w:p>
      <w:pPr>
        <w:numPr>
          <w:ilvl w:val="0"/>
          <w:numId w:val="4"/>
        </w:numPr>
        <w:spacing w:line="440" w:lineRule="exact"/>
        <w:ind w:firstLine="480" w:firstLineChars="200"/>
        <w:rPr>
          <w:rFonts w:ascii="宋体" w:hAnsi="宋体"/>
          <w:color w:val="auto"/>
          <w:kern w:val="0"/>
          <w:highlight w:val="none"/>
        </w:rPr>
      </w:pPr>
      <w:r>
        <w:rPr>
          <w:rFonts w:hint="eastAsia" w:ascii="宋体" w:hAnsi="宋体"/>
          <w:color w:val="auto"/>
          <w:kern w:val="0"/>
          <w:highlight w:val="none"/>
        </w:rPr>
        <w:t>监理报酬的支付方式</w:t>
      </w:r>
    </w:p>
    <w:tbl>
      <w:tblPr>
        <w:tblStyle w:val="37"/>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70"/>
        <w:gridCol w:w="1800"/>
        <w:gridCol w:w="1995"/>
        <w:gridCol w:w="2231"/>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pStyle w:val="206"/>
              <w:numPr>
                <w:ilvl w:val="255"/>
                <w:numId w:val="0"/>
              </w:numPr>
              <w:spacing w:line="240" w:lineRule="auto"/>
              <w:rPr>
                <w:color w:val="auto"/>
                <w:highlight w:val="none"/>
              </w:rPr>
            </w:pPr>
            <w:r>
              <w:rPr>
                <w:rFonts w:hint="eastAsia"/>
                <w:color w:val="auto"/>
                <w:highlight w:val="none"/>
              </w:rPr>
              <w:t>序号</w:t>
            </w:r>
          </w:p>
        </w:tc>
        <w:tc>
          <w:tcPr>
            <w:tcW w:w="970" w:type="dxa"/>
            <w:shd w:val="clear" w:color="auto" w:fill="auto"/>
          </w:tcPr>
          <w:p>
            <w:pPr>
              <w:pStyle w:val="206"/>
              <w:numPr>
                <w:ilvl w:val="255"/>
                <w:numId w:val="0"/>
              </w:numPr>
              <w:spacing w:line="240" w:lineRule="auto"/>
              <w:rPr>
                <w:color w:val="auto"/>
                <w:highlight w:val="none"/>
              </w:rPr>
            </w:pPr>
            <w:r>
              <w:rPr>
                <w:rFonts w:hint="eastAsia"/>
                <w:color w:val="auto"/>
                <w:highlight w:val="none"/>
              </w:rPr>
              <w:t>款项名称</w:t>
            </w:r>
          </w:p>
        </w:tc>
        <w:tc>
          <w:tcPr>
            <w:tcW w:w="1800" w:type="dxa"/>
            <w:shd w:val="clear" w:color="auto" w:fill="auto"/>
          </w:tcPr>
          <w:p>
            <w:pPr>
              <w:pStyle w:val="206"/>
              <w:numPr>
                <w:ilvl w:val="255"/>
                <w:numId w:val="0"/>
              </w:numPr>
              <w:spacing w:line="240" w:lineRule="auto"/>
              <w:rPr>
                <w:color w:val="auto"/>
                <w:highlight w:val="none"/>
              </w:rPr>
            </w:pPr>
            <w:r>
              <w:rPr>
                <w:rFonts w:hint="eastAsia"/>
                <w:color w:val="auto"/>
                <w:highlight w:val="none"/>
              </w:rPr>
              <w:t>支付条件</w:t>
            </w:r>
          </w:p>
        </w:tc>
        <w:tc>
          <w:tcPr>
            <w:tcW w:w="1995" w:type="dxa"/>
            <w:shd w:val="clear" w:color="auto" w:fill="auto"/>
          </w:tcPr>
          <w:p>
            <w:pPr>
              <w:pStyle w:val="206"/>
              <w:numPr>
                <w:ilvl w:val="255"/>
                <w:numId w:val="0"/>
              </w:numPr>
              <w:spacing w:line="240" w:lineRule="auto"/>
              <w:rPr>
                <w:color w:val="auto"/>
                <w:highlight w:val="none"/>
              </w:rPr>
            </w:pPr>
            <w:r>
              <w:rPr>
                <w:rFonts w:hint="eastAsia"/>
                <w:color w:val="auto"/>
                <w:highlight w:val="none"/>
              </w:rPr>
              <w:t>计算基数</w:t>
            </w:r>
          </w:p>
        </w:tc>
        <w:tc>
          <w:tcPr>
            <w:tcW w:w="2231" w:type="dxa"/>
            <w:shd w:val="clear" w:color="auto" w:fill="auto"/>
          </w:tcPr>
          <w:p>
            <w:pPr>
              <w:pStyle w:val="206"/>
              <w:numPr>
                <w:ilvl w:val="255"/>
                <w:numId w:val="0"/>
              </w:numPr>
              <w:spacing w:line="240" w:lineRule="auto"/>
              <w:rPr>
                <w:color w:val="auto"/>
                <w:highlight w:val="none"/>
              </w:rPr>
            </w:pPr>
            <w:r>
              <w:rPr>
                <w:color w:val="auto"/>
                <w:highlight w:val="none"/>
              </w:rPr>
              <w:t>付款比例</w:t>
            </w:r>
          </w:p>
        </w:tc>
        <w:tc>
          <w:tcPr>
            <w:tcW w:w="2383" w:type="dxa"/>
            <w:shd w:val="clear" w:color="auto" w:fill="auto"/>
          </w:tcPr>
          <w:p>
            <w:pPr>
              <w:pStyle w:val="206"/>
              <w:numPr>
                <w:ilvl w:val="255"/>
                <w:numId w:val="0"/>
              </w:numPr>
              <w:spacing w:line="240" w:lineRule="auto"/>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26" w:type="dxa"/>
            <w:shd w:val="clear" w:color="auto" w:fill="auto"/>
          </w:tcPr>
          <w:p>
            <w:pPr>
              <w:pStyle w:val="206"/>
              <w:numPr>
                <w:ilvl w:val="255"/>
                <w:numId w:val="0"/>
              </w:numPr>
              <w:spacing w:line="240" w:lineRule="auto"/>
              <w:rPr>
                <w:color w:val="auto"/>
                <w:highlight w:val="none"/>
              </w:rPr>
            </w:pPr>
            <w:r>
              <w:rPr>
                <w:rFonts w:hint="eastAsia"/>
                <w:color w:val="auto"/>
                <w:highlight w:val="none"/>
              </w:rPr>
              <w:t>1</w:t>
            </w:r>
          </w:p>
        </w:tc>
        <w:tc>
          <w:tcPr>
            <w:tcW w:w="970" w:type="dxa"/>
            <w:shd w:val="clear" w:color="auto" w:fill="auto"/>
          </w:tcPr>
          <w:p>
            <w:pPr>
              <w:pStyle w:val="206"/>
              <w:numPr>
                <w:ilvl w:val="255"/>
                <w:numId w:val="0"/>
              </w:numPr>
              <w:spacing w:line="240" w:lineRule="auto"/>
              <w:rPr>
                <w:color w:val="auto"/>
                <w:highlight w:val="none"/>
              </w:rPr>
            </w:pPr>
            <w:r>
              <w:rPr>
                <w:rFonts w:hint="eastAsia"/>
                <w:color w:val="auto"/>
                <w:highlight w:val="none"/>
              </w:rPr>
              <w:t>预付款</w:t>
            </w:r>
          </w:p>
        </w:tc>
        <w:tc>
          <w:tcPr>
            <w:tcW w:w="1800" w:type="dxa"/>
            <w:shd w:val="clear" w:color="auto" w:fill="auto"/>
          </w:tcPr>
          <w:p>
            <w:pPr>
              <w:pStyle w:val="206"/>
              <w:numPr>
                <w:ilvl w:val="255"/>
                <w:numId w:val="0"/>
              </w:numPr>
              <w:spacing w:line="240" w:lineRule="auto"/>
              <w:rPr>
                <w:color w:val="auto"/>
                <w:highlight w:val="none"/>
              </w:rPr>
            </w:pPr>
            <w:r>
              <w:rPr>
                <w:rFonts w:hint="eastAsia"/>
                <w:color w:val="auto"/>
                <w:highlight w:val="none"/>
              </w:rPr>
              <w:t>合同签订后15个工作日内</w:t>
            </w:r>
          </w:p>
        </w:tc>
        <w:tc>
          <w:tcPr>
            <w:tcW w:w="1995" w:type="dxa"/>
            <w:shd w:val="clear" w:color="auto" w:fill="auto"/>
          </w:tcPr>
          <w:p>
            <w:pPr>
              <w:pStyle w:val="206"/>
              <w:numPr>
                <w:ilvl w:val="255"/>
                <w:numId w:val="0"/>
              </w:numPr>
              <w:spacing w:line="240" w:lineRule="auto"/>
              <w:rPr>
                <w:color w:val="auto"/>
                <w:highlight w:val="none"/>
              </w:rPr>
            </w:pPr>
            <w:r>
              <w:rPr>
                <w:rFonts w:hint="eastAsia"/>
                <w:color w:val="auto"/>
                <w:highlight w:val="none"/>
              </w:rPr>
              <w:t>合同总金额</w:t>
            </w:r>
          </w:p>
        </w:tc>
        <w:tc>
          <w:tcPr>
            <w:tcW w:w="2231" w:type="dxa"/>
            <w:shd w:val="clear" w:color="auto" w:fill="auto"/>
          </w:tcPr>
          <w:p>
            <w:pPr>
              <w:pStyle w:val="206"/>
              <w:numPr>
                <w:ilvl w:val="255"/>
                <w:numId w:val="0"/>
              </w:numPr>
              <w:spacing w:line="240" w:lineRule="auto"/>
              <w:rPr>
                <w:color w:val="auto"/>
                <w:highlight w:val="none"/>
              </w:rPr>
            </w:pPr>
            <w:r>
              <w:rPr>
                <w:rFonts w:hint="eastAsia"/>
                <w:color w:val="auto"/>
                <w:highlight w:val="none"/>
              </w:rPr>
              <w:t>1、无预付款。</w:t>
            </w:r>
          </w:p>
          <w:p>
            <w:pPr>
              <w:pStyle w:val="206"/>
              <w:numPr>
                <w:ilvl w:val="255"/>
                <w:numId w:val="0"/>
              </w:numPr>
              <w:spacing w:line="240" w:lineRule="auto"/>
              <w:rPr>
                <w:color w:val="auto"/>
                <w:highlight w:val="none"/>
              </w:rPr>
            </w:pPr>
            <w:r>
              <w:rPr>
                <w:rFonts w:hint="eastAsia"/>
                <w:color w:val="auto"/>
                <w:highlight w:val="none"/>
              </w:rPr>
              <w:t>2、乙方无需提供履约保函或履约保证金。</w:t>
            </w:r>
          </w:p>
        </w:tc>
        <w:tc>
          <w:tcPr>
            <w:tcW w:w="2383" w:type="dxa"/>
            <w:shd w:val="clear" w:color="auto" w:fill="auto"/>
          </w:tcPr>
          <w:p>
            <w:pPr>
              <w:pStyle w:val="206"/>
              <w:numPr>
                <w:ilvl w:val="255"/>
                <w:numId w:val="0"/>
              </w:numPr>
              <w:spacing w:line="24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26" w:type="dxa"/>
            <w:shd w:val="clear" w:color="auto" w:fill="auto"/>
          </w:tcPr>
          <w:p>
            <w:pPr>
              <w:pStyle w:val="206"/>
              <w:numPr>
                <w:ilvl w:val="255"/>
                <w:numId w:val="0"/>
              </w:numPr>
              <w:spacing w:line="240" w:lineRule="auto"/>
              <w:rPr>
                <w:color w:val="auto"/>
                <w:highlight w:val="none"/>
              </w:rPr>
            </w:pPr>
            <w:r>
              <w:rPr>
                <w:rFonts w:hint="eastAsia"/>
                <w:color w:val="auto"/>
                <w:highlight w:val="none"/>
              </w:rPr>
              <w:t>2</w:t>
            </w:r>
          </w:p>
        </w:tc>
        <w:tc>
          <w:tcPr>
            <w:tcW w:w="970" w:type="dxa"/>
            <w:shd w:val="clear" w:color="auto" w:fill="auto"/>
          </w:tcPr>
          <w:p>
            <w:pPr>
              <w:pStyle w:val="206"/>
              <w:numPr>
                <w:ilvl w:val="255"/>
                <w:numId w:val="0"/>
              </w:numPr>
              <w:spacing w:line="240" w:lineRule="auto"/>
              <w:rPr>
                <w:color w:val="auto"/>
                <w:highlight w:val="none"/>
              </w:rPr>
            </w:pPr>
            <w:r>
              <w:rPr>
                <w:rFonts w:hint="eastAsia"/>
                <w:color w:val="auto"/>
                <w:highlight w:val="none"/>
              </w:rPr>
              <w:t>进度款</w:t>
            </w:r>
          </w:p>
        </w:tc>
        <w:tc>
          <w:tcPr>
            <w:tcW w:w="1800" w:type="dxa"/>
            <w:shd w:val="clear" w:color="auto" w:fill="auto"/>
          </w:tcPr>
          <w:p>
            <w:pPr>
              <w:pStyle w:val="206"/>
              <w:numPr>
                <w:ilvl w:val="255"/>
                <w:numId w:val="0"/>
              </w:numPr>
              <w:spacing w:line="240" w:lineRule="auto"/>
              <w:rPr>
                <w:color w:val="auto"/>
                <w:highlight w:val="none"/>
              </w:rPr>
            </w:pPr>
            <w:r>
              <w:rPr>
                <w:rFonts w:hint="eastAsia"/>
                <w:color w:val="auto"/>
                <w:highlight w:val="none"/>
              </w:rPr>
              <w:t>基础至±0.0</w:t>
            </w:r>
            <w:r>
              <w:rPr>
                <w:color w:val="auto"/>
                <w:highlight w:val="none"/>
              </w:rPr>
              <w:t>0</w:t>
            </w:r>
            <w:r>
              <w:rPr>
                <w:rFonts w:hint="eastAsia"/>
                <w:color w:val="auto"/>
                <w:highlight w:val="none"/>
              </w:rPr>
              <w:t>完成</w:t>
            </w:r>
          </w:p>
        </w:tc>
        <w:tc>
          <w:tcPr>
            <w:tcW w:w="1995" w:type="dxa"/>
            <w:shd w:val="clear" w:color="auto" w:fill="auto"/>
          </w:tcPr>
          <w:p>
            <w:pPr>
              <w:pStyle w:val="206"/>
              <w:numPr>
                <w:ilvl w:val="255"/>
                <w:numId w:val="0"/>
              </w:numPr>
              <w:spacing w:line="240" w:lineRule="auto"/>
              <w:rPr>
                <w:color w:val="auto"/>
                <w:highlight w:val="none"/>
              </w:rPr>
            </w:pPr>
            <w:r>
              <w:rPr>
                <w:rFonts w:hint="eastAsia"/>
                <w:color w:val="auto"/>
                <w:highlight w:val="none"/>
              </w:rPr>
              <w:t>合同总金额</w:t>
            </w:r>
          </w:p>
        </w:tc>
        <w:tc>
          <w:tcPr>
            <w:tcW w:w="2231" w:type="dxa"/>
            <w:shd w:val="clear" w:color="auto" w:fill="auto"/>
          </w:tcPr>
          <w:p>
            <w:pPr>
              <w:pStyle w:val="206"/>
              <w:numPr>
                <w:ilvl w:val="255"/>
                <w:numId w:val="0"/>
              </w:numPr>
              <w:spacing w:line="240" w:lineRule="auto"/>
              <w:jc w:val="center"/>
              <w:rPr>
                <w:color w:val="auto"/>
                <w:highlight w:val="none"/>
              </w:rPr>
            </w:pPr>
            <w:r>
              <w:rPr>
                <w:rFonts w:hint="eastAsia"/>
                <w:color w:val="auto"/>
                <w:highlight w:val="none"/>
              </w:rPr>
              <w:t>15%</w:t>
            </w:r>
          </w:p>
        </w:tc>
        <w:tc>
          <w:tcPr>
            <w:tcW w:w="2383" w:type="dxa"/>
            <w:vMerge w:val="restart"/>
            <w:shd w:val="clear" w:color="auto" w:fill="auto"/>
          </w:tcPr>
          <w:p>
            <w:pPr>
              <w:pStyle w:val="206"/>
              <w:numPr>
                <w:ilvl w:val="255"/>
                <w:numId w:val="0"/>
              </w:numPr>
              <w:spacing w:line="240" w:lineRule="auto"/>
              <w:rPr>
                <w:color w:val="auto"/>
                <w:highlight w:val="none"/>
              </w:rPr>
            </w:pPr>
          </w:p>
          <w:p>
            <w:pPr>
              <w:pStyle w:val="206"/>
              <w:numPr>
                <w:ilvl w:val="255"/>
                <w:numId w:val="0"/>
              </w:numPr>
              <w:spacing w:line="440" w:lineRule="exact"/>
              <w:rPr>
                <w:color w:val="auto"/>
                <w:highlight w:val="none"/>
              </w:rPr>
            </w:pPr>
            <w:r>
              <w:rPr>
                <w:rFonts w:hint="eastAsia"/>
                <w:color w:val="auto"/>
                <w:highlight w:val="none"/>
              </w:rPr>
              <w:t>绩效考核得分及支付比例</w:t>
            </w:r>
            <w:r>
              <w:rPr>
                <w:rFonts w:hint="eastAsia" w:ascii="宋体" w:hAnsi="宋体"/>
                <w:color w:val="auto"/>
                <w:szCs w:val="21"/>
                <w:highlight w:val="none"/>
              </w:rPr>
              <w:t>见附件六。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26" w:type="dxa"/>
            <w:shd w:val="clear" w:color="auto" w:fill="auto"/>
          </w:tcPr>
          <w:p>
            <w:pPr>
              <w:pStyle w:val="206"/>
              <w:numPr>
                <w:ilvl w:val="255"/>
                <w:numId w:val="0"/>
              </w:numPr>
              <w:spacing w:line="240" w:lineRule="auto"/>
              <w:rPr>
                <w:color w:val="auto"/>
                <w:highlight w:val="none"/>
              </w:rPr>
            </w:pPr>
            <w:r>
              <w:rPr>
                <w:rFonts w:hint="eastAsia"/>
                <w:color w:val="auto"/>
                <w:highlight w:val="none"/>
              </w:rPr>
              <w:t>3</w:t>
            </w:r>
          </w:p>
        </w:tc>
        <w:tc>
          <w:tcPr>
            <w:tcW w:w="970" w:type="dxa"/>
            <w:shd w:val="clear" w:color="auto" w:fill="auto"/>
          </w:tcPr>
          <w:p>
            <w:pPr>
              <w:pStyle w:val="206"/>
              <w:numPr>
                <w:ilvl w:val="255"/>
                <w:numId w:val="0"/>
              </w:numPr>
              <w:spacing w:line="240" w:lineRule="auto"/>
              <w:rPr>
                <w:color w:val="auto"/>
                <w:highlight w:val="none"/>
              </w:rPr>
            </w:pPr>
            <w:r>
              <w:rPr>
                <w:rFonts w:hint="eastAsia"/>
                <w:color w:val="auto"/>
                <w:highlight w:val="none"/>
              </w:rPr>
              <w:t>进度款</w:t>
            </w:r>
          </w:p>
        </w:tc>
        <w:tc>
          <w:tcPr>
            <w:tcW w:w="1800" w:type="dxa"/>
            <w:shd w:val="clear" w:color="auto" w:fill="auto"/>
          </w:tcPr>
          <w:p>
            <w:pPr>
              <w:pStyle w:val="206"/>
              <w:numPr>
                <w:ilvl w:val="255"/>
                <w:numId w:val="0"/>
              </w:numPr>
              <w:spacing w:line="240" w:lineRule="auto"/>
              <w:rPr>
                <w:color w:val="auto"/>
                <w:highlight w:val="none"/>
              </w:rPr>
            </w:pPr>
            <w:r>
              <w:rPr>
                <w:color w:val="auto"/>
                <w:highlight w:val="none"/>
              </w:rPr>
              <w:t>主体结构封顶</w:t>
            </w:r>
          </w:p>
        </w:tc>
        <w:tc>
          <w:tcPr>
            <w:tcW w:w="1995" w:type="dxa"/>
            <w:shd w:val="clear" w:color="auto" w:fill="auto"/>
          </w:tcPr>
          <w:p>
            <w:pPr>
              <w:pStyle w:val="206"/>
              <w:numPr>
                <w:ilvl w:val="255"/>
                <w:numId w:val="0"/>
              </w:numPr>
              <w:spacing w:line="240" w:lineRule="auto"/>
              <w:rPr>
                <w:color w:val="auto"/>
                <w:highlight w:val="none"/>
              </w:rPr>
            </w:pPr>
            <w:r>
              <w:rPr>
                <w:rFonts w:hint="eastAsia"/>
                <w:color w:val="auto"/>
                <w:highlight w:val="none"/>
              </w:rPr>
              <w:t>合同总金额</w:t>
            </w:r>
          </w:p>
        </w:tc>
        <w:tc>
          <w:tcPr>
            <w:tcW w:w="2231" w:type="dxa"/>
            <w:shd w:val="clear" w:color="auto" w:fill="auto"/>
          </w:tcPr>
          <w:p>
            <w:pPr>
              <w:pStyle w:val="206"/>
              <w:numPr>
                <w:ilvl w:val="255"/>
                <w:numId w:val="0"/>
              </w:numPr>
              <w:spacing w:line="240" w:lineRule="auto"/>
              <w:jc w:val="center"/>
              <w:rPr>
                <w:color w:val="auto"/>
                <w:highlight w:val="none"/>
              </w:rPr>
            </w:pPr>
            <w:r>
              <w:rPr>
                <w:rFonts w:hint="eastAsia"/>
                <w:color w:val="auto"/>
                <w:highlight w:val="none"/>
              </w:rPr>
              <w:t>25%</w:t>
            </w:r>
          </w:p>
        </w:tc>
        <w:tc>
          <w:tcPr>
            <w:tcW w:w="2383" w:type="dxa"/>
            <w:vMerge w:val="continue"/>
            <w:shd w:val="clear" w:color="auto" w:fill="auto"/>
          </w:tcPr>
          <w:p>
            <w:pPr>
              <w:pStyle w:val="206"/>
              <w:numPr>
                <w:ilvl w:val="255"/>
                <w:numId w:val="0"/>
              </w:numPr>
              <w:spacing w:line="24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26" w:type="dxa"/>
            <w:shd w:val="clear" w:color="auto" w:fill="auto"/>
          </w:tcPr>
          <w:p>
            <w:pPr>
              <w:pStyle w:val="206"/>
              <w:numPr>
                <w:ilvl w:val="255"/>
                <w:numId w:val="0"/>
              </w:numPr>
              <w:spacing w:line="240" w:lineRule="auto"/>
              <w:rPr>
                <w:color w:val="auto"/>
                <w:highlight w:val="none"/>
              </w:rPr>
            </w:pPr>
            <w:r>
              <w:rPr>
                <w:rFonts w:hint="eastAsia"/>
                <w:color w:val="auto"/>
                <w:highlight w:val="none"/>
              </w:rPr>
              <w:t>4</w:t>
            </w:r>
          </w:p>
        </w:tc>
        <w:tc>
          <w:tcPr>
            <w:tcW w:w="970" w:type="dxa"/>
            <w:shd w:val="clear" w:color="auto" w:fill="auto"/>
          </w:tcPr>
          <w:p>
            <w:pPr>
              <w:pStyle w:val="206"/>
              <w:numPr>
                <w:ilvl w:val="255"/>
                <w:numId w:val="0"/>
              </w:numPr>
              <w:spacing w:line="240" w:lineRule="auto"/>
              <w:rPr>
                <w:color w:val="auto"/>
                <w:highlight w:val="none"/>
              </w:rPr>
            </w:pPr>
            <w:r>
              <w:rPr>
                <w:rFonts w:hint="eastAsia"/>
                <w:color w:val="auto"/>
                <w:highlight w:val="none"/>
              </w:rPr>
              <w:t>进度款</w:t>
            </w:r>
          </w:p>
        </w:tc>
        <w:tc>
          <w:tcPr>
            <w:tcW w:w="1800" w:type="dxa"/>
            <w:shd w:val="clear" w:color="auto" w:fill="auto"/>
          </w:tcPr>
          <w:p>
            <w:pPr>
              <w:pStyle w:val="206"/>
              <w:numPr>
                <w:ilvl w:val="255"/>
                <w:numId w:val="0"/>
              </w:numPr>
              <w:spacing w:line="240" w:lineRule="auto"/>
              <w:rPr>
                <w:color w:val="auto"/>
                <w:highlight w:val="none"/>
              </w:rPr>
            </w:pPr>
            <w:r>
              <w:rPr>
                <w:color w:val="auto"/>
                <w:highlight w:val="none"/>
              </w:rPr>
              <w:t>装修</w:t>
            </w:r>
            <w:r>
              <w:rPr>
                <w:rFonts w:hint="eastAsia"/>
                <w:color w:val="auto"/>
                <w:highlight w:val="none"/>
              </w:rPr>
              <w:t>、</w:t>
            </w:r>
            <w:r>
              <w:rPr>
                <w:color w:val="auto"/>
                <w:highlight w:val="none"/>
              </w:rPr>
              <w:t>机电安装</w:t>
            </w:r>
            <w:r>
              <w:rPr>
                <w:rFonts w:hint="eastAsia"/>
                <w:color w:val="auto"/>
                <w:highlight w:val="none"/>
              </w:rPr>
              <w:t>完成</w:t>
            </w:r>
          </w:p>
        </w:tc>
        <w:tc>
          <w:tcPr>
            <w:tcW w:w="1995" w:type="dxa"/>
            <w:shd w:val="clear" w:color="auto" w:fill="auto"/>
          </w:tcPr>
          <w:p>
            <w:pPr>
              <w:pStyle w:val="206"/>
              <w:numPr>
                <w:ilvl w:val="255"/>
                <w:numId w:val="0"/>
              </w:numPr>
              <w:spacing w:line="240" w:lineRule="auto"/>
              <w:rPr>
                <w:color w:val="auto"/>
                <w:highlight w:val="none"/>
              </w:rPr>
            </w:pPr>
            <w:r>
              <w:rPr>
                <w:rFonts w:hint="eastAsia"/>
                <w:color w:val="auto"/>
                <w:highlight w:val="none"/>
              </w:rPr>
              <w:t>合同总金额</w:t>
            </w:r>
          </w:p>
        </w:tc>
        <w:tc>
          <w:tcPr>
            <w:tcW w:w="2231" w:type="dxa"/>
            <w:shd w:val="clear" w:color="auto" w:fill="auto"/>
          </w:tcPr>
          <w:p>
            <w:pPr>
              <w:pStyle w:val="206"/>
              <w:numPr>
                <w:ilvl w:val="255"/>
                <w:numId w:val="0"/>
              </w:numPr>
              <w:spacing w:line="240" w:lineRule="auto"/>
              <w:jc w:val="center"/>
              <w:rPr>
                <w:color w:val="auto"/>
                <w:highlight w:val="none"/>
              </w:rPr>
            </w:pPr>
            <w:r>
              <w:rPr>
                <w:rFonts w:hint="eastAsia"/>
                <w:color w:val="auto"/>
                <w:highlight w:val="none"/>
              </w:rPr>
              <w:t>20%</w:t>
            </w:r>
          </w:p>
        </w:tc>
        <w:tc>
          <w:tcPr>
            <w:tcW w:w="2383" w:type="dxa"/>
            <w:vMerge w:val="continue"/>
            <w:shd w:val="clear" w:color="auto" w:fill="auto"/>
          </w:tcPr>
          <w:p>
            <w:pPr>
              <w:pStyle w:val="206"/>
              <w:numPr>
                <w:ilvl w:val="255"/>
                <w:numId w:val="0"/>
              </w:numPr>
              <w:spacing w:line="24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shd w:val="clear" w:color="auto" w:fill="auto"/>
          </w:tcPr>
          <w:p>
            <w:pPr>
              <w:pStyle w:val="206"/>
              <w:numPr>
                <w:ilvl w:val="255"/>
                <w:numId w:val="0"/>
              </w:numPr>
              <w:spacing w:line="240" w:lineRule="auto"/>
              <w:rPr>
                <w:color w:val="auto"/>
                <w:highlight w:val="none"/>
              </w:rPr>
            </w:pPr>
            <w:r>
              <w:rPr>
                <w:rFonts w:hint="eastAsia"/>
                <w:color w:val="auto"/>
                <w:highlight w:val="none"/>
              </w:rPr>
              <w:t>5</w:t>
            </w:r>
          </w:p>
        </w:tc>
        <w:tc>
          <w:tcPr>
            <w:tcW w:w="970" w:type="dxa"/>
            <w:shd w:val="clear" w:color="auto" w:fill="auto"/>
          </w:tcPr>
          <w:p>
            <w:pPr>
              <w:pStyle w:val="206"/>
              <w:numPr>
                <w:ilvl w:val="255"/>
                <w:numId w:val="0"/>
              </w:numPr>
              <w:spacing w:line="240" w:lineRule="auto"/>
              <w:rPr>
                <w:color w:val="auto"/>
                <w:highlight w:val="none"/>
              </w:rPr>
            </w:pPr>
            <w:r>
              <w:rPr>
                <w:rFonts w:hint="eastAsia"/>
                <w:color w:val="auto"/>
                <w:highlight w:val="none"/>
              </w:rPr>
              <w:t>进度款</w:t>
            </w:r>
          </w:p>
        </w:tc>
        <w:tc>
          <w:tcPr>
            <w:tcW w:w="1800" w:type="dxa"/>
            <w:shd w:val="clear" w:color="auto" w:fill="auto"/>
          </w:tcPr>
          <w:p>
            <w:pPr>
              <w:pStyle w:val="206"/>
              <w:numPr>
                <w:ilvl w:val="255"/>
                <w:numId w:val="0"/>
              </w:numPr>
              <w:spacing w:line="240" w:lineRule="auto"/>
              <w:rPr>
                <w:color w:val="auto"/>
                <w:highlight w:val="none"/>
              </w:rPr>
            </w:pPr>
            <w:r>
              <w:rPr>
                <w:color w:val="auto"/>
                <w:highlight w:val="none"/>
              </w:rPr>
              <w:t>室外园林绿化及市政</w:t>
            </w:r>
            <w:r>
              <w:rPr>
                <w:rFonts w:hint="eastAsia"/>
                <w:color w:val="auto"/>
                <w:highlight w:val="none"/>
              </w:rPr>
              <w:t>完成</w:t>
            </w:r>
          </w:p>
        </w:tc>
        <w:tc>
          <w:tcPr>
            <w:tcW w:w="1995" w:type="dxa"/>
            <w:shd w:val="clear" w:color="auto" w:fill="auto"/>
          </w:tcPr>
          <w:p>
            <w:pPr>
              <w:pStyle w:val="206"/>
              <w:numPr>
                <w:ilvl w:val="255"/>
                <w:numId w:val="0"/>
              </w:numPr>
              <w:spacing w:line="240" w:lineRule="auto"/>
              <w:rPr>
                <w:color w:val="auto"/>
                <w:highlight w:val="none"/>
              </w:rPr>
            </w:pPr>
            <w:r>
              <w:rPr>
                <w:rFonts w:hint="eastAsia"/>
                <w:color w:val="auto"/>
                <w:highlight w:val="none"/>
              </w:rPr>
              <w:t>合同总金额</w:t>
            </w:r>
          </w:p>
        </w:tc>
        <w:tc>
          <w:tcPr>
            <w:tcW w:w="2231" w:type="dxa"/>
            <w:shd w:val="clear" w:color="auto" w:fill="auto"/>
          </w:tcPr>
          <w:p>
            <w:pPr>
              <w:pStyle w:val="206"/>
              <w:numPr>
                <w:ilvl w:val="255"/>
                <w:numId w:val="0"/>
              </w:numPr>
              <w:spacing w:line="240" w:lineRule="auto"/>
              <w:jc w:val="center"/>
              <w:rPr>
                <w:color w:val="auto"/>
                <w:highlight w:val="none"/>
              </w:rPr>
            </w:pPr>
            <w:r>
              <w:rPr>
                <w:rFonts w:hint="eastAsia"/>
                <w:color w:val="auto"/>
                <w:highlight w:val="none"/>
              </w:rPr>
              <w:t>15%</w:t>
            </w:r>
          </w:p>
        </w:tc>
        <w:tc>
          <w:tcPr>
            <w:tcW w:w="2383" w:type="dxa"/>
            <w:vMerge w:val="continue"/>
            <w:shd w:val="clear" w:color="auto" w:fill="auto"/>
          </w:tcPr>
          <w:p>
            <w:pPr>
              <w:pStyle w:val="206"/>
              <w:numPr>
                <w:ilvl w:val="255"/>
                <w:numId w:val="0"/>
              </w:numPr>
              <w:spacing w:line="24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pStyle w:val="206"/>
              <w:numPr>
                <w:ilvl w:val="255"/>
                <w:numId w:val="0"/>
              </w:numPr>
              <w:spacing w:line="240" w:lineRule="auto"/>
              <w:rPr>
                <w:color w:val="auto"/>
                <w:highlight w:val="none"/>
              </w:rPr>
            </w:pPr>
            <w:r>
              <w:rPr>
                <w:rFonts w:hint="eastAsia"/>
                <w:color w:val="auto"/>
                <w:highlight w:val="none"/>
              </w:rPr>
              <w:t>6</w:t>
            </w:r>
          </w:p>
        </w:tc>
        <w:tc>
          <w:tcPr>
            <w:tcW w:w="970" w:type="dxa"/>
            <w:shd w:val="clear" w:color="auto" w:fill="auto"/>
          </w:tcPr>
          <w:p>
            <w:pPr>
              <w:pStyle w:val="206"/>
              <w:numPr>
                <w:ilvl w:val="255"/>
                <w:numId w:val="0"/>
              </w:numPr>
              <w:spacing w:line="240" w:lineRule="auto"/>
              <w:rPr>
                <w:color w:val="auto"/>
                <w:highlight w:val="none"/>
              </w:rPr>
            </w:pPr>
            <w:r>
              <w:rPr>
                <w:rFonts w:hint="eastAsia"/>
                <w:color w:val="auto"/>
                <w:highlight w:val="none"/>
              </w:rPr>
              <w:t>进度款</w:t>
            </w:r>
          </w:p>
        </w:tc>
        <w:tc>
          <w:tcPr>
            <w:tcW w:w="1800" w:type="dxa"/>
            <w:shd w:val="clear" w:color="auto" w:fill="auto"/>
          </w:tcPr>
          <w:p>
            <w:pPr>
              <w:pStyle w:val="206"/>
              <w:numPr>
                <w:ilvl w:val="255"/>
                <w:numId w:val="0"/>
              </w:numPr>
              <w:spacing w:line="240" w:lineRule="auto"/>
              <w:rPr>
                <w:color w:val="auto"/>
                <w:highlight w:val="none"/>
              </w:rPr>
            </w:pPr>
            <w:r>
              <w:rPr>
                <w:rFonts w:hint="eastAsia"/>
                <w:color w:val="auto"/>
                <w:highlight w:val="none"/>
              </w:rPr>
              <w:t>工程完工，交楼完成后60天内</w:t>
            </w:r>
          </w:p>
        </w:tc>
        <w:tc>
          <w:tcPr>
            <w:tcW w:w="1995" w:type="dxa"/>
            <w:shd w:val="clear" w:color="auto" w:fill="auto"/>
          </w:tcPr>
          <w:p>
            <w:pPr>
              <w:pStyle w:val="206"/>
              <w:numPr>
                <w:ilvl w:val="255"/>
                <w:numId w:val="0"/>
              </w:numPr>
              <w:spacing w:line="240" w:lineRule="auto"/>
              <w:rPr>
                <w:color w:val="auto"/>
                <w:highlight w:val="none"/>
              </w:rPr>
            </w:pPr>
            <w:r>
              <w:rPr>
                <w:rFonts w:hint="eastAsia"/>
                <w:color w:val="auto"/>
                <w:highlight w:val="none"/>
              </w:rPr>
              <w:t>合同总金额</w:t>
            </w:r>
          </w:p>
        </w:tc>
        <w:tc>
          <w:tcPr>
            <w:tcW w:w="2231" w:type="dxa"/>
            <w:shd w:val="clear" w:color="auto" w:fill="auto"/>
          </w:tcPr>
          <w:p>
            <w:pPr>
              <w:pStyle w:val="206"/>
              <w:numPr>
                <w:ilvl w:val="255"/>
                <w:numId w:val="0"/>
              </w:numPr>
              <w:spacing w:line="240" w:lineRule="auto"/>
              <w:jc w:val="center"/>
              <w:rPr>
                <w:color w:val="auto"/>
                <w:highlight w:val="none"/>
              </w:rPr>
            </w:pPr>
            <w:r>
              <w:rPr>
                <w:rFonts w:hint="eastAsia"/>
                <w:color w:val="auto"/>
                <w:highlight w:val="none"/>
              </w:rPr>
              <w:t>15%</w:t>
            </w:r>
          </w:p>
        </w:tc>
        <w:tc>
          <w:tcPr>
            <w:tcW w:w="2383" w:type="dxa"/>
            <w:vMerge w:val="continue"/>
            <w:shd w:val="clear" w:color="auto" w:fill="auto"/>
          </w:tcPr>
          <w:p>
            <w:pPr>
              <w:pStyle w:val="206"/>
              <w:numPr>
                <w:ilvl w:val="255"/>
                <w:numId w:val="0"/>
              </w:numPr>
              <w:spacing w:line="24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pStyle w:val="206"/>
              <w:numPr>
                <w:ilvl w:val="255"/>
                <w:numId w:val="0"/>
              </w:numPr>
              <w:spacing w:line="240" w:lineRule="auto"/>
              <w:rPr>
                <w:color w:val="auto"/>
                <w:highlight w:val="none"/>
              </w:rPr>
            </w:pPr>
            <w:r>
              <w:rPr>
                <w:rFonts w:hint="eastAsia"/>
                <w:color w:val="auto"/>
                <w:highlight w:val="none"/>
              </w:rPr>
              <w:t>7</w:t>
            </w:r>
          </w:p>
        </w:tc>
        <w:tc>
          <w:tcPr>
            <w:tcW w:w="970" w:type="dxa"/>
            <w:shd w:val="clear" w:color="auto" w:fill="auto"/>
          </w:tcPr>
          <w:p>
            <w:pPr>
              <w:pStyle w:val="206"/>
              <w:numPr>
                <w:ilvl w:val="255"/>
                <w:numId w:val="0"/>
              </w:numPr>
              <w:spacing w:line="240" w:lineRule="auto"/>
              <w:rPr>
                <w:color w:val="auto"/>
                <w:highlight w:val="none"/>
              </w:rPr>
            </w:pPr>
            <w:r>
              <w:rPr>
                <w:rFonts w:hint="eastAsia"/>
                <w:color w:val="auto"/>
                <w:highlight w:val="none"/>
              </w:rPr>
              <w:t>结算款</w:t>
            </w:r>
          </w:p>
        </w:tc>
        <w:tc>
          <w:tcPr>
            <w:tcW w:w="1800" w:type="dxa"/>
            <w:shd w:val="clear" w:color="auto" w:fill="auto"/>
          </w:tcPr>
          <w:p>
            <w:pPr>
              <w:pStyle w:val="206"/>
              <w:numPr>
                <w:ilvl w:val="255"/>
                <w:numId w:val="0"/>
              </w:numPr>
              <w:spacing w:line="240" w:lineRule="auto"/>
              <w:rPr>
                <w:color w:val="auto"/>
                <w:highlight w:val="none"/>
              </w:rPr>
            </w:pPr>
            <w:r>
              <w:rPr>
                <w:rFonts w:hint="eastAsia"/>
                <w:color w:val="auto"/>
                <w:highlight w:val="none"/>
              </w:rPr>
              <w:t>监理结算经审核后60天内</w:t>
            </w:r>
          </w:p>
        </w:tc>
        <w:tc>
          <w:tcPr>
            <w:tcW w:w="1995" w:type="dxa"/>
            <w:shd w:val="clear" w:color="auto" w:fill="auto"/>
          </w:tcPr>
          <w:p>
            <w:pPr>
              <w:pStyle w:val="206"/>
              <w:numPr>
                <w:ilvl w:val="255"/>
                <w:numId w:val="0"/>
              </w:numPr>
              <w:spacing w:line="240" w:lineRule="auto"/>
              <w:rPr>
                <w:color w:val="auto"/>
                <w:highlight w:val="none"/>
              </w:rPr>
            </w:pPr>
            <w:r>
              <w:rPr>
                <w:rFonts w:hint="eastAsia"/>
                <w:color w:val="auto"/>
                <w:highlight w:val="none"/>
              </w:rPr>
              <w:t>终审结算价</w:t>
            </w:r>
          </w:p>
        </w:tc>
        <w:tc>
          <w:tcPr>
            <w:tcW w:w="2231" w:type="dxa"/>
            <w:shd w:val="clear" w:color="auto" w:fill="auto"/>
          </w:tcPr>
          <w:p>
            <w:pPr>
              <w:pStyle w:val="206"/>
              <w:numPr>
                <w:ilvl w:val="255"/>
                <w:numId w:val="0"/>
              </w:numPr>
              <w:spacing w:line="240" w:lineRule="auto"/>
              <w:jc w:val="center"/>
              <w:rPr>
                <w:color w:val="auto"/>
                <w:highlight w:val="none"/>
              </w:rPr>
            </w:pPr>
            <w:r>
              <w:rPr>
                <w:rFonts w:hint="eastAsia"/>
                <w:color w:val="auto"/>
                <w:highlight w:val="none"/>
              </w:rPr>
              <w:t>支付至终审结算价的97%</w:t>
            </w:r>
          </w:p>
        </w:tc>
        <w:tc>
          <w:tcPr>
            <w:tcW w:w="2383" w:type="dxa"/>
            <w:shd w:val="clear" w:color="auto" w:fill="auto"/>
          </w:tcPr>
          <w:p>
            <w:pPr>
              <w:pStyle w:val="206"/>
              <w:numPr>
                <w:ilvl w:val="255"/>
                <w:numId w:val="0"/>
              </w:numPr>
              <w:spacing w:line="24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shd w:val="clear" w:color="auto" w:fill="auto"/>
          </w:tcPr>
          <w:p>
            <w:pPr>
              <w:pStyle w:val="206"/>
              <w:numPr>
                <w:ilvl w:val="255"/>
                <w:numId w:val="0"/>
              </w:numPr>
              <w:spacing w:line="240" w:lineRule="auto"/>
              <w:rPr>
                <w:color w:val="auto"/>
                <w:highlight w:val="none"/>
              </w:rPr>
            </w:pPr>
            <w:r>
              <w:rPr>
                <w:rFonts w:hint="eastAsia"/>
                <w:color w:val="auto"/>
                <w:highlight w:val="none"/>
              </w:rPr>
              <w:t>8</w:t>
            </w:r>
          </w:p>
        </w:tc>
        <w:tc>
          <w:tcPr>
            <w:tcW w:w="970" w:type="dxa"/>
            <w:shd w:val="clear" w:color="auto" w:fill="auto"/>
          </w:tcPr>
          <w:p>
            <w:pPr>
              <w:pStyle w:val="206"/>
              <w:numPr>
                <w:ilvl w:val="255"/>
                <w:numId w:val="0"/>
              </w:numPr>
              <w:spacing w:line="240" w:lineRule="auto"/>
              <w:rPr>
                <w:color w:val="auto"/>
                <w:highlight w:val="none"/>
              </w:rPr>
            </w:pPr>
            <w:r>
              <w:rPr>
                <w:rFonts w:hint="eastAsia"/>
                <w:color w:val="auto"/>
                <w:highlight w:val="none"/>
              </w:rPr>
              <w:t>质保金</w:t>
            </w:r>
          </w:p>
        </w:tc>
        <w:tc>
          <w:tcPr>
            <w:tcW w:w="1800" w:type="dxa"/>
            <w:shd w:val="clear" w:color="auto" w:fill="auto"/>
          </w:tcPr>
          <w:p>
            <w:pPr>
              <w:pStyle w:val="206"/>
              <w:numPr>
                <w:ilvl w:val="255"/>
                <w:numId w:val="0"/>
              </w:numPr>
              <w:spacing w:line="240" w:lineRule="auto"/>
              <w:rPr>
                <w:color w:val="auto"/>
                <w:highlight w:val="none"/>
              </w:rPr>
            </w:pPr>
            <w:r>
              <w:rPr>
                <w:rFonts w:hint="eastAsia"/>
                <w:color w:val="auto"/>
                <w:highlight w:val="none"/>
              </w:rPr>
              <w:t>工程保修期满后25天内</w:t>
            </w:r>
          </w:p>
        </w:tc>
        <w:tc>
          <w:tcPr>
            <w:tcW w:w="1995" w:type="dxa"/>
            <w:shd w:val="clear" w:color="auto" w:fill="auto"/>
          </w:tcPr>
          <w:p>
            <w:pPr>
              <w:pStyle w:val="206"/>
              <w:numPr>
                <w:ilvl w:val="255"/>
                <w:numId w:val="0"/>
              </w:numPr>
              <w:spacing w:line="240" w:lineRule="auto"/>
              <w:rPr>
                <w:color w:val="auto"/>
                <w:highlight w:val="none"/>
              </w:rPr>
            </w:pPr>
            <w:r>
              <w:rPr>
                <w:rFonts w:hint="eastAsia"/>
                <w:color w:val="auto"/>
                <w:highlight w:val="none"/>
              </w:rPr>
              <w:t>终审结算价</w:t>
            </w:r>
          </w:p>
        </w:tc>
        <w:tc>
          <w:tcPr>
            <w:tcW w:w="2231" w:type="dxa"/>
            <w:shd w:val="clear" w:color="auto" w:fill="auto"/>
          </w:tcPr>
          <w:p>
            <w:pPr>
              <w:pStyle w:val="206"/>
              <w:numPr>
                <w:ilvl w:val="255"/>
                <w:numId w:val="0"/>
              </w:numPr>
              <w:spacing w:line="240" w:lineRule="auto"/>
              <w:jc w:val="center"/>
              <w:rPr>
                <w:color w:val="auto"/>
                <w:highlight w:val="none"/>
              </w:rPr>
            </w:pPr>
            <w:r>
              <w:rPr>
                <w:rFonts w:hint="eastAsia"/>
                <w:color w:val="auto"/>
                <w:highlight w:val="none"/>
              </w:rPr>
              <w:t>3%</w:t>
            </w:r>
          </w:p>
        </w:tc>
        <w:tc>
          <w:tcPr>
            <w:tcW w:w="2383" w:type="dxa"/>
            <w:shd w:val="clear" w:color="auto" w:fill="auto"/>
          </w:tcPr>
          <w:p>
            <w:pPr>
              <w:pStyle w:val="206"/>
              <w:numPr>
                <w:ilvl w:val="255"/>
                <w:numId w:val="0"/>
              </w:numPr>
              <w:spacing w:line="240" w:lineRule="auto"/>
              <w:rPr>
                <w:color w:val="auto"/>
                <w:highlight w:val="none"/>
              </w:rPr>
            </w:pPr>
            <w:r>
              <w:rPr>
                <w:rFonts w:hint="eastAsia"/>
                <w:color w:val="auto"/>
                <w:highlight w:val="none"/>
              </w:rPr>
              <w:t>无息支付质保金</w:t>
            </w:r>
          </w:p>
        </w:tc>
      </w:tr>
    </w:tbl>
    <w:p>
      <w:pPr>
        <w:pStyle w:val="2"/>
        <w:rPr>
          <w:rFonts w:hint="eastAsia"/>
          <w:color w:val="auto"/>
          <w:highlight w:val="none"/>
        </w:rPr>
      </w:pPr>
    </w:p>
    <w:p>
      <w:pPr>
        <w:spacing w:line="440" w:lineRule="exact"/>
        <w:ind w:firstLine="480" w:firstLineChars="200"/>
        <w:rPr>
          <w:color w:val="auto"/>
          <w:highlight w:val="none"/>
        </w:rPr>
      </w:pPr>
      <w:r>
        <w:rPr>
          <w:rFonts w:hint="eastAsia"/>
          <w:color w:val="auto"/>
          <w:highlight w:val="none"/>
        </w:rPr>
        <w:t>三、本合同中的有关词语含义与本合同第二部分《通用条款》中赋予它们的定义相同。</w:t>
      </w:r>
    </w:p>
    <w:p>
      <w:pPr>
        <w:pStyle w:val="33"/>
        <w:widowControl w:val="0"/>
        <w:kinsoku w:val="0"/>
        <w:overflowPunct w:val="0"/>
        <w:autoSpaceDE w:val="0"/>
        <w:autoSpaceDN w:val="0"/>
        <w:adjustRightInd w:val="0"/>
        <w:snapToGrid w:val="0"/>
        <w:spacing w:before="0" w:beforeAutospacing="0" w:after="0" w:afterAutospacing="0"/>
        <w:ind w:firstLine="480"/>
        <w:rPr>
          <w:color w:val="auto"/>
          <w:highlight w:val="none"/>
        </w:rPr>
      </w:pPr>
      <w:r>
        <w:rPr>
          <w:rFonts w:hint="eastAsia"/>
          <w:color w:val="auto"/>
          <w:highlight w:val="none"/>
        </w:rPr>
        <w:t>四、</w:t>
      </w:r>
      <w:r>
        <w:rPr>
          <w:color w:val="auto"/>
          <w:highlight w:val="none"/>
        </w:rPr>
        <w:t>下列文件均为本合同的组成部分</w:t>
      </w:r>
      <w:r>
        <w:rPr>
          <w:rFonts w:hint="eastAsia"/>
          <w:color w:val="auto"/>
          <w:highlight w:val="none"/>
        </w:rPr>
        <w:t>，并互为补充和解释的，如下述各部分存在不一致之处，以先后排列次序为优先：</w:t>
      </w:r>
    </w:p>
    <w:p>
      <w:pPr>
        <w:numPr>
          <w:ilvl w:val="0"/>
          <w:numId w:val="5"/>
        </w:numPr>
        <w:rPr>
          <w:rFonts w:ascii="宋体" w:hAnsi="宋体" w:cs="宋体"/>
          <w:color w:val="auto"/>
          <w:highlight w:val="none"/>
        </w:rPr>
      </w:pPr>
      <w:r>
        <w:rPr>
          <w:rFonts w:ascii="宋体" w:hAnsi="宋体" w:cs="宋体"/>
          <w:color w:val="auto"/>
          <w:highlight w:val="none"/>
        </w:rPr>
        <w:t>在实施过程中双</w:t>
      </w:r>
      <w:r>
        <w:rPr>
          <w:rFonts w:hint="eastAsia" w:ascii="宋体" w:hAnsi="宋体" w:cs="宋体"/>
          <w:color w:val="auto"/>
          <w:highlight w:val="none"/>
        </w:rPr>
        <w:t>方</w:t>
      </w:r>
      <w:r>
        <w:rPr>
          <w:rFonts w:ascii="宋体" w:hAnsi="宋体" w:cs="宋体"/>
          <w:color w:val="auto"/>
          <w:highlight w:val="none"/>
        </w:rPr>
        <w:t>签署的补充与修正文件</w:t>
      </w:r>
    </w:p>
    <w:p>
      <w:pPr>
        <w:numPr>
          <w:ilvl w:val="0"/>
          <w:numId w:val="5"/>
        </w:numPr>
        <w:rPr>
          <w:rFonts w:ascii="宋体" w:hAnsi="宋体"/>
          <w:color w:val="auto"/>
          <w:highlight w:val="none"/>
        </w:rPr>
      </w:pPr>
      <w:r>
        <w:rPr>
          <w:rFonts w:hint="eastAsia" w:ascii="宋体" w:hAnsi="宋体"/>
          <w:color w:val="auto"/>
          <w:highlight w:val="none"/>
        </w:rPr>
        <w:t>本合同协议书</w:t>
      </w:r>
    </w:p>
    <w:p>
      <w:pPr>
        <w:numPr>
          <w:ilvl w:val="0"/>
          <w:numId w:val="5"/>
        </w:numPr>
        <w:rPr>
          <w:rFonts w:ascii="宋体" w:hAnsi="宋体"/>
          <w:color w:val="auto"/>
          <w:highlight w:val="none"/>
        </w:rPr>
      </w:pPr>
      <w:r>
        <w:rPr>
          <w:rFonts w:hint="eastAsia" w:ascii="宋体" w:hAnsi="宋体"/>
          <w:color w:val="auto"/>
          <w:highlight w:val="none"/>
        </w:rPr>
        <w:t>中标通知书或委托函</w:t>
      </w:r>
    </w:p>
    <w:p>
      <w:pPr>
        <w:numPr>
          <w:ilvl w:val="0"/>
          <w:numId w:val="5"/>
        </w:numPr>
        <w:rPr>
          <w:rFonts w:ascii="宋体" w:hAnsi="宋体"/>
          <w:color w:val="auto"/>
          <w:highlight w:val="none"/>
        </w:rPr>
      </w:pPr>
      <w:r>
        <w:rPr>
          <w:rFonts w:hint="eastAsia" w:ascii="宋体" w:hAnsi="宋体"/>
          <w:color w:val="auto"/>
          <w:highlight w:val="none"/>
        </w:rPr>
        <w:t>投标文件及其附件</w:t>
      </w:r>
    </w:p>
    <w:p>
      <w:pPr>
        <w:numPr>
          <w:ilvl w:val="0"/>
          <w:numId w:val="5"/>
        </w:numPr>
        <w:rPr>
          <w:rFonts w:ascii="宋体" w:hAnsi="宋体"/>
          <w:color w:val="auto"/>
          <w:highlight w:val="none"/>
        </w:rPr>
      </w:pPr>
      <w:r>
        <w:rPr>
          <w:rFonts w:hint="eastAsia" w:ascii="宋体" w:hAnsi="宋体"/>
          <w:color w:val="auto"/>
          <w:highlight w:val="none"/>
        </w:rPr>
        <w:t>本合同专用条款</w:t>
      </w:r>
    </w:p>
    <w:p>
      <w:pPr>
        <w:numPr>
          <w:ilvl w:val="0"/>
          <w:numId w:val="5"/>
        </w:numPr>
        <w:rPr>
          <w:rFonts w:ascii="宋体" w:hAnsi="宋体"/>
          <w:color w:val="auto"/>
          <w:highlight w:val="none"/>
        </w:rPr>
      </w:pPr>
      <w:r>
        <w:rPr>
          <w:rFonts w:hint="eastAsia" w:ascii="宋体" w:hAnsi="宋体"/>
          <w:color w:val="auto"/>
          <w:highlight w:val="none"/>
        </w:rPr>
        <w:t>本合同通用条款</w:t>
      </w:r>
    </w:p>
    <w:p>
      <w:pPr>
        <w:numPr>
          <w:ilvl w:val="0"/>
          <w:numId w:val="5"/>
        </w:numPr>
        <w:rPr>
          <w:rFonts w:ascii="宋体" w:hAnsi="宋体"/>
          <w:color w:val="auto"/>
          <w:highlight w:val="none"/>
        </w:rPr>
      </w:pPr>
      <w:r>
        <w:rPr>
          <w:rFonts w:hint="eastAsia" w:ascii="宋体" w:hAnsi="宋体"/>
          <w:color w:val="auto"/>
          <w:highlight w:val="none"/>
        </w:rPr>
        <w:t>标准、规范及有关技术文件、图纸</w:t>
      </w:r>
    </w:p>
    <w:p>
      <w:pPr>
        <w:numPr>
          <w:ilvl w:val="0"/>
          <w:numId w:val="5"/>
        </w:numPr>
        <w:rPr>
          <w:rFonts w:ascii="宋体" w:hAnsi="宋体"/>
          <w:color w:val="auto"/>
          <w:highlight w:val="none"/>
        </w:rPr>
      </w:pPr>
      <w:r>
        <w:rPr>
          <w:rFonts w:hint="eastAsia" w:ascii="宋体" w:hAnsi="宋体"/>
          <w:color w:val="auto"/>
          <w:highlight w:val="none"/>
        </w:rPr>
        <w:t>招标文件（包括补充、修改、澄清文件、答疑纪要等）</w:t>
      </w:r>
    </w:p>
    <w:p>
      <w:pPr>
        <w:numPr>
          <w:ilvl w:val="0"/>
          <w:numId w:val="5"/>
        </w:numPr>
        <w:rPr>
          <w:rFonts w:ascii="宋体" w:hAnsi="宋体"/>
          <w:color w:val="auto"/>
          <w:highlight w:val="none"/>
        </w:rPr>
      </w:pPr>
      <w:r>
        <w:rPr>
          <w:rFonts w:hint="eastAsia" w:ascii="宋体" w:hAnsi="宋体"/>
          <w:color w:val="auto"/>
          <w:highlight w:val="none"/>
        </w:rPr>
        <w:t>其它合同附件</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五、监理人向委托人承诺，按照本合同的规定，承担本合同专用条款中议定范围内的监理业务。</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六、委托人向监理人承诺按照本合同注明的期限、方式、币种，向监理人支付报酬。　</w:t>
      </w:r>
    </w:p>
    <w:p>
      <w:pPr>
        <w:pStyle w:val="33"/>
        <w:widowControl w:val="0"/>
        <w:kinsoku w:val="0"/>
        <w:overflowPunct w:val="0"/>
        <w:autoSpaceDE w:val="0"/>
        <w:autoSpaceDN w:val="0"/>
        <w:adjustRightInd w:val="0"/>
        <w:snapToGrid w:val="0"/>
        <w:spacing w:before="0" w:beforeAutospacing="0" w:after="0" w:afterAutospacing="0"/>
        <w:jc w:val="both"/>
        <w:rPr>
          <w:color w:val="auto"/>
          <w:highlight w:val="none"/>
        </w:rPr>
      </w:pPr>
      <w:r>
        <w:rPr>
          <w:rFonts w:hint="eastAsia"/>
          <w:color w:val="auto"/>
          <w:highlight w:val="none"/>
        </w:rPr>
        <w:t>　  七、本合同自委托人、监理人双方盖章，且法定代表人（或其授权代理人）签字或者盖章后生效。以下三个条件均满足后，双方终止本合同的执行：</w:t>
      </w:r>
    </w:p>
    <w:p>
      <w:pPr>
        <w:pStyle w:val="33"/>
        <w:widowControl w:val="0"/>
        <w:kinsoku w:val="0"/>
        <w:overflowPunct w:val="0"/>
        <w:autoSpaceDE w:val="0"/>
        <w:autoSpaceDN w:val="0"/>
        <w:adjustRightInd w:val="0"/>
        <w:snapToGrid w:val="0"/>
        <w:spacing w:before="0" w:beforeAutospacing="0" w:after="0" w:afterAutospacing="0"/>
        <w:ind w:firstLine="523" w:firstLineChars="218"/>
        <w:rPr>
          <w:color w:val="auto"/>
          <w:highlight w:val="none"/>
        </w:rPr>
      </w:pPr>
      <w:r>
        <w:rPr>
          <w:color w:val="auto"/>
          <w:highlight w:val="none"/>
        </w:rPr>
        <w:t>（1）</w:t>
      </w:r>
      <w:r>
        <w:rPr>
          <w:rFonts w:hint="eastAsia"/>
          <w:color w:val="auto"/>
          <w:highlight w:val="none"/>
        </w:rPr>
        <w:t>本合同工程质量保修期届满；</w:t>
      </w:r>
    </w:p>
    <w:p>
      <w:pPr>
        <w:pStyle w:val="33"/>
        <w:widowControl w:val="0"/>
        <w:kinsoku w:val="0"/>
        <w:overflowPunct w:val="0"/>
        <w:autoSpaceDE w:val="0"/>
        <w:autoSpaceDN w:val="0"/>
        <w:adjustRightInd w:val="0"/>
        <w:snapToGrid w:val="0"/>
        <w:spacing w:before="0" w:beforeAutospacing="0" w:after="0" w:afterAutospacing="0"/>
        <w:ind w:firstLine="523" w:firstLineChars="218"/>
        <w:rPr>
          <w:color w:val="auto"/>
          <w:highlight w:val="none"/>
        </w:rPr>
      </w:pPr>
      <w:r>
        <w:rPr>
          <w:color w:val="auto"/>
          <w:highlight w:val="none"/>
        </w:rPr>
        <w:t>（2）</w:t>
      </w:r>
      <w:r>
        <w:rPr>
          <w:rFonts w:hint="eastAsia"/>
          <w:color w:val="auto"/>
          <w:highlight w:val="none"/>
        </w:rPr>
        <w:t>本合同工程竣工结算经政府终审部门审定之日起届满60日；</w:t>
      </w:r>
    </w:p>
    <w:p>
      <w:pPr>
        <w:pStyle w:val="33"/>
        <w:widowControl w:val="0"/>
        <w:kinsoku w:val="0"/>
        <w:overflowPunct w:val="0"/>
        <w:autoSpaceDE w:val="0"/>
        <w:autoSpaceDN w:val="0"/>
        <w:adjustRightInd w:val="0"/>
        <w:snapToGrid w:val="0"/>
        <w:spacing w:before="0" w:beforeAutospacing="0" w:after="0" w:afterAutospacing="0"/>
        <w:ind w:firstLine="523" w:firstLineChars="218"/>
        <w:rPr>
          <w:color w:val="auto"/>
          <w:highlight w:val="none"/>
        </w:rPr>
      </w:pPr>
      <w:r>
        <w:rPr>
          <w:color w:val="auto"/>
          <w:highlight w:val="none"/>
        </w:rPr>
        <w:t>（3）</w:t>
      </w:r>
      <w:r>
        <w:rPr>
          <w:rFonts w:hint="eastAsia"/>
          <w:color w:val="auto"/>
          <w:highlight w:val="none"/>
        </w:rPr>
        <w:t>双方在本合同项下的责任承担、义务履行均告完毕。</w:t>
      </w:r>
    </w:p>
    <w:p>
      <w:pPr>
        <w:pStyle w:val="33"/>
        <w:widowControl w:val="0"/>
        <w:kinsoku w:val="0"/>
        <w:overflowPunct w:val="0"/>
        <w:autoSpaceDE w:val="0"/>
        <w:autoSpaceDN w:val="0"/>
        <w:adjustRightInd w:val="0"/>
        <w:snapToGrid w:val="0"/>
        <w:spacing w:before="0" w:beforeAutospacing="0" w:after="0" w:afterAutospacing="0"/>
        <w:ind w:firstLine="480" w:firstLineChars="200"/>
        <w:jc w:val="both"/>
        <w:rPr>
          <w:color w:val="auto"/>
          <w:highlight w:val="none"/>
        </w:rPr>
      </w:pPr>
      <w:r>
        <w:rPr>
          <w:rFonts w:hint="eastAsia"/>
          <w:color w:val="auto"/>
          <w:highlight w:val="none"/>
        </w:rPr>
        <w:t>八、 本合同一式</w:t>
      </w:r>
      <w:r>
        <w:rPr>
          <w:rFonts w:hint="eastAsia"/>
          <w:color w:val="auto"/>
          <w:highlight w:val="none"/>
          <w:u w:val="single"/>
        </w:rPr>
        <w:t xml:space="preserve"> 十六  </w:t>
      </w:r>
      <w:r>
        <w:rPr>
          <w:rFonts w:hint="eastAsia"/>
          <w:color w:val="auto"/>
          <w:highlight w:val="none"/>
        </w:rPr>
        <w:t>份，委托人执</w:t>
      </w:r>
      <w:r>
        <w:rPr>
          <w:rFonts w:hint="eastAsia"/>
          <w:color w:val="auto"/>
          <w:highlight w:val="none"/>
          <w:u w:val="single"/>
        </w:rPr>
        <w:t xml:space="preserve"> 八 </w:t>
      </w:r>
      <w:r>
        <w:rPr>
          <w:rFonts w:hint="eastAsia"/>
          <w:color w:val="auto"/>
          <w:highlight w:val="none"/>
        </w:rPr>
        <w:t>份，监理人执</w:t>
      </w:r>
      <w:r>
        <w:rPr>
          <w:rFonts w:hint="eastAsia"/>
          <w:color w:val="auto"/>
          <w:highlight w:val="none"/>
          <w:u w:val="single"/>
        </w:rPr>
        <w:t xml:space="preserve"> 八 </w:t>
      </w:r>
      <w:r>
        <w:rPr>
          <w:rFonts w:hint="eastAsia"/>
          <w:color w:val="auto"/>
          <w:highlight w:val="none"/>
        </w:rPr>
        <w:t>份（</w:t>
      </w:r>
      <w:r>
        <w:rPr>
          <w:rFonts w:hint="eastAsia"/>
          <w:color w:val="auto"/>
          <w:szCs w:val="21"/>
          <w:highlight w:val="none"/>
        </w:rPr>
        <w:t>结算时须提供合同原件）</w:t>
      </w:r>
      <w:r>
        <w:rPr>
          <w:rFonts w:hint="eastAsia"/>
          <w:color w:val="auto"/>
          <w:highlight w:val="none"/>
        </w:rPr>
        <w:t>，均具有同等法律效力。</w:t>
      </w:r>
    </w:p>
    <w:p>
      <w:pPr>
        <w:pStyle w:val="33"/>
        <w:widowControl w:val="0"/>
        <w:kinsoku w:val="0"/>
        <w:overflowPunct w:val="0"/>
        <w:autoSpaceDE w:val="0"/>
        <w:autoSpaceDN w:val="0"/>
        <w:adjustRightInd w:val="0"/>
        <w:snapToGrid w:val="0"/>
        <w:spacing w:before="0" w:beforeAutospacing="0" w:after="0" w:afterAutospacing="0"/>
        <w:ind w:firstLine="480" w:firstLineChars="200"/>
        <w:jc w:val="both"/>
        <w:rPr>
          <w:color w:val="auto"/>
          <w:highlight w:val="none"/>
        </w:rPr>
      </w:pPr>
    </w:p>
    <w:tbl>
      <w:tblPr>
        <w:tblStyle w:val="37"/>
        <w:tblW w:w="0" w:type="auto"/>
        <w:tblCellSpacing w:w="15" w:type="dxa"/>
        <w:tblInd w:w="0" w:type="dxa"/>
        <w:tblLayout w:type="fixed"/>
        <w:tblCellMar>
          <w:top w:w="105" w:type="dxa"/>
          <w:left w:w="105" w:type="dxa"/>
          <w:bottom w:w="105" w:type="dxa"/>
          <w:right w:w="105" w:type="dxa"/>
        </w:tblCellMar>
      </w:tblPr>
      <w:tblGrid>
        <w:gridCol w:w="4670"/>
        <w:gridCol w:w="4670"/>
      </w:tblGrid>
      <w:tr>
        <w:tblPrEx>
          <w:tblCellMar>
            <w:top w:w="105" w:type="dxa"/>
            <w:left w:w="105" w:type="dxa"/>
            <w:bottom w:w="105" w:type="dxa"/>
            <w:right w:w="105" w:type="dxa"/>
          </w:tblCellMar>
        </w:tblPrEx>
        <w:trPr>
          <w:tblCellSpacing w:w="15" w:type="dxa"/>
        </w:trPr>
        <w:tc>
          <w:tcPr>
            <w:tcW w:w="4625" w:type="dxa"/>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委托人：</w:t>
            </w:r>
            <w:r>
              <w:rPr>
                <w:rFonts w:hint="eastAsia" w:ascii="宋体" w:hAnsi="宋体"/>
                <w:color w:val="auto"/>
                <w:highlight w:val="none"/>
              </w:rPr>
              <w:t>清远市广州后花园有限公司</w:t>
            </w:r>
          </w:p>
        </w:tc>
        <w:tc>
          <w:tcPr>
            <w:tcW w:w="4625" w:type="dxa"/>
            <w:shd w:val="clear" w:color="auto" w:fill="auto"/>
            <w:vAlign w:val="center"/>
          </w:tcPr>
          <w:p>
            <w:pPr>
              <w:kinsoku w:val="0"/>
              <w:overflowPunct w:val="0"/>
              <w:autoSpaceDE w:val="0"/>
              <w:autoSpaceDN w:val="0"/>
              <w:adjustRightInd w:val="0"/>
              <w:snapToGrid w:val="0"/>
              <w:ind w:left="996" w:leftChars="15" w:hanging="960" w:hangingChars="400"/>
              <w:jc w:val="left"/>
              <w:rPr>
                <w:rFonts w:ascii="宋体" w:hAnsi="宋体"/>
                <w:color w:val="auto"/>
                <w:highlight w:val="none"/>
              </w:rPr>
            </w:pPr>
            <w:r>
              <w:rPr>
                <w:rFonts w:ascii="宋体" w:hAnsi="宋体"/>
                <w:color w:val="auto"/>
                <w:highlight w:val="none"/>
              </w:rPr>
              <w:t>监理人：</w:t>
            </w:r>
            <w:r>
              <w:rPr>
                <w:rFonts w:hint="eastAsia" w:ascii="宋体" w:hAnsi="宋体"/>
                <w:color w:val="auto"/>
                <w:highlight w:val="none"/>
              </w:rPr>
              <w:t>****有限公司</w:t>
            </w:r>
          </w:p>
        </w:tc>
      </w:tr>
      <w:tr>
        <w:tblPrEx>
          <w:tblCellMar>
            <w:top w:w="105" w:type="dxa"/>
            <w:left w:w="105" w:type="dxa"/>
            <w:bottom w:w="105" w:type="dxa"/>
            <w:right w:w="105" w:type="dxa"/>
          </w:tblCellMar>
        </w:tblPrEx>
        <w:trPr>
          <w:trHeight w:val="515" w:hRule="atLeast"/>
          <w:tblCellSpacing w:w="15" w:type="dxa"/>
        </w:trPr>
        <w:tc>
          <w:tcPr>
            <w:tcW w:w="4625" w:type="dxa"/>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住所：</w:t>
            </w:r>
            <w:r>
              <w:rPr>
                <w:rFonts w:hint="eastAsia" w:ascii="宋体" w:hAnsi="宋体" w:cs="宋体"/>
                <w:color w:val="auto"/>
                <w:kern w:val="0"/>
                <w:highlight w:val="none"/>
              </w:rPr>
              <w:t xml:space="preserve"> </w:t>
            </w:r>
          </w:p>
        </w:tc>
        <w:tc>
          <w:tcPr>
            <w:tcW w:w="4625" w:type="dxa"/>
            <w:shd w:val="clear" w:color="auto" w:fill="auto"/>
          </w:tcPr>
          <w:p>
            <w:pPr>
              <w:rPr>
                <w:rFonts w:ascii="宋体" w:hAnsi="宋体" w:cs="宋体"/>
                <w:color w:val="auto"/>
                <w:kern w:val="0"/>
                <w:highlight w:val="none"/>
              </w:rPr>
            </w:pPr>
            <w:r>
              <w:rPr>
                <w:rFonts w:ascii="宋体" w:hAnsi="宋体"/>
                <w:color w:val="auto"/>
                <w:highlight w:val="none"/>
              </w:rPr>
              <w:t>住所：</w:t>
            </w:r>
            <w:r>
              <w:rPr>
                <w:rFonts w:hint="eastAsia" w:ascii="宋体" w:hAnsi="宋体"/>
                <w:color w:val="auto"/>
                <w:highlight w:val="none"/>
              </w:rPr>
              <w:t xml:space="preserve"> </w:t>
            </w:r>
            <w:r>
              <w:rPr>
                <w:rFonts w:hint="eastAsia" w:ascii="宋体" w:hAnsi="宋体" w:cs="宋体"/>
                <w:color w:val="auto"/>
                <w:kern w:val="0"/>
                <w:highlight w:val="none"/>
              </w:rPr>
              <w:t xml:space="preserve"> </w:t>
            </w:r>
            <w:r>
              <w:rPr>
                <w:rFonts w:ascii="宋体" w:hAnsi="宋体" w:cs="宋体"/>
                <w:color w:val="auto"/>
                <w:kern w:val="0"/>
                <w:highlight w:val="none"/>
              </w:rPr>
              <w:t xml:space="preserve"> </w:t>
            </w:r>
          </w:p>
        </w:tc>
      </w:tr>
      <w:tr>
        <w:tblPrEx>
          <w:tblCellMar>
            <w:top w:w="105" w:type="dxa"/>
            <w:left w:w="105" w:type="dxa"/>
            <w:bottom w:w="105" w:type="dxa"/>
            <w:right w:w="105" w:type="dxa"/>
          </w:tblCellMar>
        </w:tblPrEx>
        <w:trPr>
          <w:tblCellSpacing w:w="15" w:type="dxa"/>
        </w:trPr>
        <w:tc>
          <w:tcPr>
            <w:tcW w:w="4625" w:type="dxa"/>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法定代表人</w:t>
            </w:r>
            <w:r>
              <w:rPr>
                <w:rFonts w:hint="eastAsia" w:ascii="宋体" w:hAnsi="宋体"/>
                <w:color w:val="auto"/>
                <w:highlight w:val="none"/>
              </w:rPr>
              <w:t>或授权代理人</w:t>
            </w:r>
            <w:r>
              <w:rPr>
                <w:rFonts w:ascii="宋体" w:hAnsi="宋体"/>
                <w:color w:val="auto"/>
                <w:highlight w:val="none"/>
              </w:rPr>
              <w:t>：</w:t>
            </w:r>
          </w:p>
        </w:tc>
        <w:tc>
          <w:tcPr>
            <w:tcW w:w="4625" w:type="dxa"/>
            <w:shd w:val="clear" w:color="auto" w:fill="auto"/>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法定代表人</w:t>
            </w:r>
            <w:r>
              <w:rPr>
                <w:rFonts w:hint="eastAsia" w:ascii="宋体" w:hAnsi="宋体"/>
                <w:color w:val="auto"/>
                <w:highlight w:val="none"/>
              </w:rPr>
              <w:t>或授权代理人</w:t>
            </w:r>
            <w:r>
              <w:rPr>
                <w:rFonts w:ascii="宋体" w:hAnsi="宋体"/>
                <w:color w:val="auto"/>
                <w:highlight w:val="none"/>
              </w:rPr>
              <w:t>：</w:t>
            </w:r>
            <w:r>
              <w:rPr>
                <w:rFonts w:hint="eastAsia" w:ascii="宋体" w:hAnsi="宋体"/>
                <w:color w:val="auto"/>
                <w:highlight w:val="none"/>
              </w:rPr>
              <w:t xml:space="preserve"> </w:t>
            </w:r>
          </w:p>
        </w:tc>
      </w:tr>
      <w:tr>
        <w:tblPrEx>
          <w:tblCellMar>
            <w:top w:w="105" w:type="dxa"/>
            <w:left w:w="105" w:type="dxa"/>
            <w:bottom w:w="105" w:type="dxa"/>
            <w:right w:w="105" w:type="dxa"/>
          </w:tblCellMar>
        </w:tblPrEx>
        <w:trPr>
          <w:tblCellSpacing w:w="15" w:type="dxa"/>
        </w:trPr>
        <w:tc>
          <w:tcPr>
            <w:tcW w:w="4625" w:type="dxa"/>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开户银行：</w:t>
            </w:r>
          </w:p>
        </w:tc>
        <w:tc>
          <w:tcPr>
            <w:tcW w:w="4625" w:type="dxa"/>
            <w:shd w:val="clear" w:color="auto" w:fill="auto"/>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开户银行：</w:t>
            </w:r>
            <w:r>
              <w:rPr>
                <w:rFonts w:hint="eastAsia" w:ascii="宋体" w:hAnsi="宋体"/>
                <w:color w:val="auto"/>
                <w:highlight w:val="none"/>
              </w:rPr>
              <w:t xml:space="preserve"> </w:t>
            </w:r>
          </w:p>
        </w:tc>
      </w:tr>
      <w:tr>
        <w:tblPrEx>
          <w:tblCellMar>
            <w:top w:w="105" w:type="dxa"/>
            <w:left w:w="105" w:type="dxa"/>
            <w:bottom w:w="105" w:type="dxa"/>
            <w:right w:w="105" w:type="dxa"/>
          </w:tblCellMar>
        </w:tblPrEx>
        <w:trPr>
          <w:tblCellSpacing w:w="15" w:type="dxa"/>
        </w:trPr>
        <w:tc>
          <w:tcPr>
            <w:tcW w:w="4625" w:type="dxa"/>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账号：</w:t>
            </w:r>
          </w:p>
        </w:tc>
        <w:tc>
          <w:tcPr>
            <w:tcW w:w="4625" w:type="dxa"/>
            <w:shd w:val="clear" w:color="auto" w:fill="auto"/>
          </w:tcPr>
          <w:p>
            <w:pPr>
              <w:rPr>
                <w:rFonts w:ascii="宋体" w:hAnsi="宋体" w:cs="宋体"/>
                <w:color w:val="auto"/>
                <w:kern w:val="0"/>
                <w:highlight w:val="none"/>
              </w:rPr>
            </w:pPr>
            <w:r>
              <w:rPr>
                <w:rFonts w:hint="eastAsia" w:ascii="宋体" w:hAnsi="宋体" w:cs="宋体"/>
                <w:color w:val="auto"/>
                <w:kern w:val="0"/>
                <w:highlight w:val="none"/>
              </w:rPr>
              <w:t>账号</w:t>
            </w:r>
            <w:r>
              <w:rPr>
                <w:rFonts w:hint="eastAsia" w:ascii="宋体" w:hAnsi="宋体"/>
                <w:color w:val="auto"/>
                <w:highlight w:val="none"/>
              </w:rPr>
              <w:t xml:space="preserve">： </w:t>
            </w:r>
          </w:p>
        </w:tc>
      </w:tr>
      <w:tr>
        <w:tblPrEx>
          <w:tblCellMar>
            <w:top w:w="105" w:type="dxa"/>
            <w:left w:w="105" w:type="dxa"/>
            <w:bottom w:w="105" w:type="dxa"/>
            <w:right w:w="105" w:type="dxa"/>
          </w:tblCellMar>
        </w:tblPrEx>
        <w:trPr>
          <w:tblCellSpacing w:w="15" w:type="dxa"/>
        </w:trPr>
        <w:tc>
          <w:tcPr>
            <w:tcW w:w="4625" w:type="dxa"/>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邮编：</w:t>
            </w:r>
            <w:r>
              <w:rPr>
                <w:rFonts w:hint="eastAsia" w:ascii="宋体" w:hAnsi="宋体"/>
                <w:color w:val="auto"/>
                <w:highlight w:val="none"/>
              </w:rPr>
              <w:t xml:space="preserve"> </w:t>
            </w:r>
          </w:p>
        </w:tc>
        <w:tc>
          <w:tcPr>
            <w:tcW w:w="4625" w:type="dxa"/>
            <w:shd w:val="clear" w:color="auto" w:fill="auto"/>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邮编：</w:t>
            </w:r>
            <w:r>
              <w:rPr>
                <w:rFonts w:hint="eastAsia" w:ascii="宋体" w:hAnsi="宋体"/>
                <w:color w:val="auto"/>
                <w:highlight w:val="none"/>
              </w:rPr>
              <w:t xml:space="preserve"> </w:t>
            </w:r>
          </w:p>
        </w:tc>
      </w:tr>
      <w:tr>
        <w:tblPrEx>
          <w:tblCellMar>
            <w:top w:w="105" w:type="dxa"/>
            <w:left w:w="105" w:type="dxa"/>
            <w:bottom w:w="105" w:type="dxa"/>
            <w:right w:w="105" w:type="dxa"/>
          </w:tblCellMar>
        </w:tblPrEx>
        <w:trPr>
          <w:tblCellSpacing w:w="15" w:type="dxa"/>
        </w:trPr>
        <w:tc>
          <w:tcPr>
            <w:tcW w:w="4625" w:type="dxa"/>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电话：</w:t>
            </w:r>
            <w:r>
              <w:rPr>
                <w:rFonts w:hint="eastAsia" w:ascii="宋体" w:hAnsi="宋体"/>
                <w:color w:val="auto"/>
                <w:highlight w:val="none"/>
              </w:rPr>
              <w:t xml:space="preserve"> </w:t>
            </w:r>
          </w:p>
        </w:tc>
        <w:tc>
          <w:tcPr>
            <w:tcW w:w="4625" w:type="dxa"/>
            <w:shd w:val="clear" w:color="auto" w:fill="auto"/>
          </w:tcPr>
          <w:p>
            <w:pPr>
              <w:kinsoku w:val="0"/>
              <w:overflowPunct w:val="0"/>
              <w:autoSpaceDE w:val="0"/>
              <w:autoSpaceDN w:val="0"/>
              <w:adjustRightInd w:val="0"/>
              <w:snapToGrid w:val="0"/>
              <w:rPr>
                <w:rFonts w:ascii="宋体" w:hAnsi="宋体"/>
                <w:color w:val="auto"/>
                <w:highlight w:val="none"/>
              </w:rPr>
            </w:pPr>
            <w:r>
              <w:rPr>
                <w:rFonts w:ascii="宋体" w:hAnsi="宋体"/>
                <w:color w:val="auto"/>
                <w:highlight w:val="none"/>
              </w:rPr>
              <w:t>电话：</w:t>
            </w:r>
            <w:r>
              <w:rPr>
                <w:rFonts w:hint="eastAsia" w:ascii="宋体" w:hAnsi="宋体"/>
                <w:color w:val="auto"/>
                <w:highlight w:val="none"/>
              </w:rPr>
              <w:t xml:space="preserve"> </w:t>
            </w:r>
          </w:p>
        </w:tc>
      </w:tr>
      <w:tr>
        <w:tblPrEx>
          <w:tblCellMar>
            <w:top w:w="105" w:type="dxa"/>
            <w:left w:w="105" w:type="dxa"/>
            <w:bottom w:w="105" w:type="dxa"/>
            <w:right w:w="105" w:type="dxa"/>
          </w:tblCellMar>
        </w:tblPrEx>
        <w:trPr>
          <w:tblCellSpacing w:w="15" w:type="dxa"/>
        </w:trPr>
        <w:tc>
          <w:tcPr>
            <w:tcW w:w="4625" w:type="dxa"/>
          </w:tcPr>
          <w:p>
            <w:pPr>
              <w:kinsoku w:val="0"/>
              <w:overflowPunct w:val="0"/>
              <w:autoSpaceDE w:val="0"/>
              <w:autoSpaceDN w:val="0"/>
              <w:adjustRightInd w:val="0"/>
              <w:snapToGrid w:val="0"/>
              <w:rPr>
                <w:rFonts w:ascii="宋体" w:hAnsi="宋体"/>
                <w:color w:val="auto"/>
                <w:highlight w:val="none"/>
              </w:rPr>
            </w:pPr>
            <w:r>
              <w:rPr>
                <w:rFonts w:hint="eastAsia" w:ascii="宋体" w:hAnsi="宋体"/>
                <w:color w:val="auto"/>
                <w:highlight w:val="none"/>
              </w:rPr>
              <w:t xml:space="preserve">经办人： </w:t>
            </w:r>
          </w:p>
        </w:tc>
        <w:tc>
          <w:tcPr>
            <w:tcW w:w="4625" w:type="dxa"/>
            <w:shd w:val="clear" w:color="auto" w:fill="auto"/>
          </w:tcPr>
          <w:p>
            <w:pPr>
              <w:kinsoku w:val="0"/>
              <w:overflowPunct w:val="0"/>
              <w:autoSpaceDE w:val="0"/>
              <w:autoSpaceDN w:val="0"/>
              <w:adjustRightInd w:val="0"/>
              <w:snapToGrid w:val="0"/>
              <w:rPr>
                <w:rFonts w:ascii="宋体" w:hAnsi="宋体"/>
                <w:color w:val="auto"/>
                <w:highlight w:val="none"/>
              </w:rPr>
            </w:pPr>
            <w:r>
              <w:rPr>
                <w:rFonts w:hint="eastAsia" w:ascii="宋体" w:hAnsi="宋体"/>
                <w:color w:val="auto"/>
                <w:highlight w:val="none"/>
              </w:rPr>
              <w:t xml:space="preserve">经办人： </w:t>
            </w:r>
          </w:p>
        </w:tc>
      </w:tr>
      <w:tr>
        <w:tblPrEx>
          <w:tblCellMar>
            <w:top w:w="105" w:type="dxa"/>
            <w:left w:w="105" w:type="dxa"/>
            <w:bottom w:w="105" w:type="dxa"/>
            <w:right w:w="105" w:type="dxa"/>
          </w:tblCellMar>
        </w:tblPrEx>
        <w:trPr>
          <w:tblCellSpacing w:w="15" w:type="dxa"/>
        </w:trPr>
        <w:tc>
          <w:tcPr>
            <w:tcW w:w="4625" w:type="dxa"/>
          </w:tcPr>
          <w:p>
            <w:pPr>
              <w:kinsoku w:val="0"/>
              <w:overflowPunct w:val="0"/>
              <w:autoSpaceDE w:val="0"/>
              <w:autoSpaceDN w:val="0"/>
              <w:adjustRightInd w:val="0"/>
              <w:snapToGrid w:val="0"/>
              <w:rPr>
                <w:rFonts w:ascii="宋体" w:hAnsi="宋体"/>
                <w:color w:val="auto"/>
                <w:highlight w:val="none"/>
              </w:rPr>
            </w:pPr>
            <w:r>
              <w:rPr>
                <w:rFonts w:hint="eastAsia" w:ascii="宋体" w:hAnsi="宋体"/>
                <w:color w:val="auto"/>
                <w:highlight w:val="none"/>
              </w:rPr>
              <w:t xml:space="preserve">签约日期： </w:t>
            </w:r>
          </w:p>
        </w:tc>
        <w:tc>
          <w:tcPr>
            <w:tcW w:w="4625" w:type="dxa"/>
            <w:shd w:val="clear" w:color="auto" w:fill="auto"/>
          </w:tcPr>
          <w:p>
            <w:pPr>
              <w:kinsoku w:val="0"/>
              <w:overflowPunct w:val="0"/>
              <w:autoSpaceDE w:val="0"/>
              <w:autoSpaceDN w:val="0"/>
              <w:adjustRightInd w:val="0"/>
              <w:snapToGrid w:val="0"/>
              <w:rPr>
                <w:rFonts w:ascii="宋体" w:hAnsi="宋体"/>
                <w:color w:val="auto"/>
                <w:highlight w:val="none"/>
              </w:rPr>
            </w:pPr>
            <w:r>
              <w:rPr>
                <w:rFonts w:hint="eastAsia" w:ascii="宋体" w:hAnsi="宋体"/>
                <w:color w:val="auto"/>
                <w:highlight w:val="none"/>
              </w:rPr>
              <w:t xml:space="preserve">签约日期： </w:t>
            </w:r>
          </w:p>
        </w:tc>
      </w:tr>
    </w:tbl>
    <w:p>
      <w:pPr>
        <w:pStyle w:val="33"/>
        <w:widowControl w:val="0"/>
        <w:kinsoku w:val="0"/>
        <w:overflowPunct w:val="0"/>
        <w:autoSpaceDE w:val="0"/>
        <w:autoSpaceDN w:val="0"/>
        <w:adjustRightInd w:val="0"/>
        <w:snapToGrid w:val="0"/>
        <w:spacing w:before="0" w:beforeAutospacing="0" w:after="0" w:afterAutospacing="0"/>
        <w:rPr>
          <w:color w:val="auto"/>
          <w:highlight w:val="none"/>
        </w:rPr>
        <w:sectPr>
          <w:footerReference r:id="rId9" w:type="default"/>
          <w:endnotePr>
            <w:numFmt w:val="decimal"/>
          </w:endnotePr>
          <w:pgSz w:w="11906" w:h="16838"/>
          <w:pgMar w:top="1418"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r>
        <w:rPr>
          <w:rFonts w:hint="eastAsia"/>
          <w:color w:val="auto"/>
          <w:highlight w:val="none"/>
        </w:rPr>
        <w:t xml:space="preserve">签约地点：清远市清城区石角镇 </w:t>
      </w:r>
    </w:p>
    <w:p>
      <w:pPr>
        <w:pStyle w:val="3"/>
        <w:spacing w:before="468" w:beforeLines="150" w:after="468" w:afterLines="150"/>
        <w:rPr>
          <w:color w:val="auto"/>
          <w:highlight w:val="none"/>
        </w:rPr>
      </w:pPr>
      <w:bookmarkStart w:id="8" w:name="_Toc299140204"/>
      <w:bookmarkStart w:id="9" w:name="_Toc1142"/>
      <w:bookmarkStart w:id="10" w:name="_Toc67169539"/>
      <w:bookmarkStart w:id="11" w:name="_Toc480642875"/>
      <w:r>
        <w:rPr>
          <w:rFonts w:hint="eastAsia"/>
          <w:color w:val="auto"/>
          <w:highlight w:val="none"/>
        </w:rPr>
        <w:t>第二部分  通用条款</w:t>
      </w:r>
      <w:bookmarkEnd w:id="8"/>
      <w:bookmarkEnd w:id="9"/>
      <w:bookmarkEnd w:id="10"/>
      <w:bookmarkEnd w:id="11"/>
    </w:p>
    <w:p>
      <w:pPr>
        <w:pStyle w:val="4"/>
        <w:spacing w:before="624" w:beforeLines="200" w:after="312" w:afterLines="100"/>
        <w:rPr>
          <w:color w:val="auto"/>
          <w:highlight w:val="none"/>
        </w:rPr>
      </w:pPr>
      <w:bookmarkStart w:id="12" w:name="_Toc480642876"/>
      <w:bookmarkStart w:id="13" w:name="_Toc299140205"/>
      <w:bookmarkStart w:id="14" w:name="_Toc31067"/>
      <w:bookmarkStart w:id="15" w:name="_Toc67169540"/>
      <w:bookmarkStart w:id="16" w:name="_Toc480633056"/>
      <w:r>
        <w:rPr>
          <w:rFonts w:hint="eastAsia"/>
          <w:color w:val="auto"/>
          <w:highlight w:val="none"/>
        </w:rPr>
        <w:t>词语定义、适用范围和法规</w:t>
      </w:r>
      <w:bookmarkEnd w:id="12"/>
      <w:bookmarkEnd w:id="13"/>
      <w:bookmarkEnd w:id="14"/>
      <w:bookmarkEnd w:id="15"/>
      <w:bookmarkEnd w:id="16"/>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第一条</w:t>
      </w:r>
      <w:r>
        <w:rPr>
          <w:rFonts w:hint="eastAsia"/>
          <w:color w:val="auto"/>
          <w:highlight w:val="none"/>
        </w:rPr>
        <w:t>　下列名词和用语，除上下文另有规定外，有如下含义：</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1.“工程”是指委托人委托实施监理的工程。</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2.“委托人”是指承担直接投资责任和委托监理业务的一方以及其合法继承人。</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3.“监理人”是指承担监理业务和监理责任的一方，以及其合法继承人。</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4.“监理机构”是指监理人派驻本工程现场实施监理业务的组织。</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5.“总监理工程师”是指经委托人同意，监理人派到监理机构全面履行本合同的全权负责人。</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6.“承包人”是</w:t>
      </w:r>
      <w:r>
        <w:rPr>
          <w:rFonts w:hint="eastAsia"/>
          <w:color w:val="auto"/>
          <w:szCs w:val="21"/>
          <w:highlight w:val="none"/>
        </w:rPr>
        <w:t>指除监理人以外，与委托人就工程建设有关事宜签订承包工程建设合同的当事人</w:t>
      </w:r>
      <w:r>
        <w:rPr>
          <w:rFonts w:hint="eastAsia"/>
          <w:color w:val="auto"/>
          <w:highlight w:val="none"/>
        </w:rPr>
        <w:t>。</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7.“工程监理的正常工作”是指双方在专用条款中约定，委托人委托的监理工作范围和内容。</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8.“工程监理的附加工作”是指：①委托人委托监理范围以外，通过双方书面协议另外增加的工作内容；②由于委托人或承包人原因，使监理工作受到阻碍或延误，因增加工作量或持续时间而增加的工作。</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9.“工程监理的额外工作”是指正常工作和附加工作以外，根据第三十八条规定监理人必须完成的工作，或非监理人自己的原因而暂停或终止监理业务，其善后工作及恢复监理业务的工作。</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10.“日”是指任何一天零时至第二天零时的时间段。</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11.“月”是指根据公历从一个月份中任何一天开始到下一个月相应日期的前一天的时间段。</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第二条</w:t>
      </w:r>
      <w:r>
        <w:rPr>
          <w:rFonts w:hint="eastAsia"/>
          <w:color w:val="auto"/>
          <w:highlight w:val="none"/>
        </w:rPr>
        <w:t>　建设工程委托监理合同适用的法律是指国家的法律、行政法规，以及专用条款中议定的部门规章或工程所在地的地方法规、地方规章。</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第三条</w:t>
      </w:r>
      <w:r>
        <w:rPr>
          <w:rFonts w:hint="eastAsia"/>
          <w:color w:val="auto"/>
          <w:highlight w:val="none"/>
        </w:rPr>
        <w:t>　本合同文件使用汉语语言文字书写、解释和说明。如专用条款约定使用两种以上（含两种）语言文字时，汉语应为解释和说明本合同的标准语言文字。</w:t>
      </w:r>
    </w:p>
    <w:p>
      <w:pPr>
        <w:pStyle w:val="4"/>
        <w:spacing w:before="624" w:beforeLines="200" w:after="312" w:afterLines="100"/>
        <w:rPr>
          <w:color w:val="auto"/>
          <w:highlight w:val="none"/>
        </w:rPr>
      </w:pPr>
      <w:bookmarkStart w:id="17" w:name="_Toc299140206"/>
      <w:bookmarkStart w:id="18" w:name="_Toc480642877"/>
      <w:bookmarkStart w:id="19" w:name="_Toc67169541"/>
      <w:bookmarkStart w:id="20" w:name="_Toc480633057"/>
      <w:bookmarkStart w:id="21" w:name="_Toc9041"/>
      <w:r>
        <w:rPr>
          <w:rFonts w:hint="eastAsia"/>
          <w:color w:val="auto"/>
          <w:highlight w:val="none"/>
        </w:rPr>
        <w:t>监理人义务</w:t>
      </w:r>
      <w:bookmarkEnd w:id="17"/>
      <w:bookmarkEnd w:id="18"/>
      <w:bookmarkEnd w:id="19"/>
      <w:bookmarkEnd w:id="20"/>
      <w:bookmarkEnd w:id="21"/>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第四条</w:t>
      </w:r>
      <w:r>
        <w:rPr>
          <w:rFonts w:hint="eastAsia"/>
          <w:color w:val="auto"/>
          <w:highlight w:val="none"/>
        </w:rPr>
        <w:t>　监理人按合同约定派出监理工作需要的监理机构及监理人员，向委托人报送委派的总监理工程师及其监理机构主要成员名单、监理规划，完成监理合同专用条款中约定的监理工程范围内的监理业务。在履行合同义务期间，应按合同约定定期向委托人报告监理工作。</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第五条</w:t>
      </w:r>
      <w:r>
        <w:rPr>
          <w:rFonts w:hint="eastAsia"/>
          <w:color w:val="auto"/>
          <w:highlight w:val="none"/>
        </w:rPr>
        <w:t>　监理人在履行本合同的义务期间，应认真、勤奋地工作，为委托人提供与其水平相适应的咨询意见，公正维护各方面的合法权益。</w:t>
      </w:r>
    </w:p>
    <w:p>
      <w:pPr>
        <w:pStyle w:val="33"/>
        <w:widowControl w:val="0"/>
        <w:kinsoku w:val="0"/>
        <w:overflowPunct w:val="0"/>
        <w:autoSpaceDE w:val="0"/>
        <w:autoSpaceDN w:val="0"/>
        <w:adjustRightInd w:val="0"/>
        <w:snapToGrid w:val="0"/>
        <w:spacing w:before="312" w:beforeLines="100" w:beforeAutospacing="0" w:after="0" w:afterAutospacing="0"/>
        <w:rPr>
          <w:color w:val="auto"/>
          <w:spacing w:val="-4"/>
          <w:highlight w:val="none"/>
        </w:rPr>
      </w:pPr>
      <w:r>
        <w:rPr>
          <w:rFonts w:hint="eastAsia"/>
          <w:color w:val="auto"/>
          <w:highlight w:val="none"/>
        </w:rPr>
        <w:t>　　</w:t>
      </w:r>
      <w:r>
        <w:rPr>
          <w:rFonts w:hint="eastAsia"/>
          <w:b/>
          <w:bCs/>
          <w:color w:val="auto"/>
          <w:highlight w:val="none"/>
        </w:rPr>
        <w:t>第六条</w:t>
      </w:r>
      <w:r>
        <w:rPr>
          <w:rFonts w:hint="eastAsia"/>
          <w:color w:val="auto"/>
          <w:highlight w:val="none"/>
        </w:rPr>
        <w:t>　</w:t>
      </w:r>
      <w:r>
        <w:rPr>
          <w:rFonts w:hint="eastAsia"/>
          <w:color w:val="auto"/>
          <w:spacing w:val="-4"/>
          <w:highlight w:val="none"/>
        </w:rPr>
        <w:t>监理人使用委托人提供的设施和物品属委托人的财产。在监理工作完成或中止时，应将其设施和剩余的物品按合同约定的时间和方式移交给委托人。</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第七条</w:t>
      </w:r>
      <w:r>
        <w:rPr>
          <w:rFonts w:hint="eastAsia"/>
          <w:color w:val="auto"/>
          <w:highlight w:val="none"/>
        </w:rPr>
        <w:t>　在合同期内或合同终止后，未征得有关方同意，不得泄露与本工程、本合同业务有关的保密资料。</w:t>
      </w:r>
    </w:p>
    <w:p>
      <w:pPr>
        <w:pStyle w:val="4"/>
        <w:spacing w:before="624" w:beforeLines="200" w:after="312" w:afterLines="100"/>
        <w:rPr>
          <w:color w:val="auto"/>
          <w:highlight w:val="none"/>
        </w:rPr>
      </w:pPr>
      <w:bookmarkStart w:id="22" w:name="_Toc480642878"/>
      <w:bookmarkStart w:id="23" w:name="_Toc9071"/>
      <w:bookmarkStart w:id="24" w:name="_Toc480633058"/>
      <w:bookmarkStart w:id="25" w:name="_Toc67169542"/>
      <w:bookmarkStart w:id="26" w:name="_Toc299140207"/>
      <w:r>
        <w:rPr>
          <w:rFonts w:hint="eastAsia"/>
          <w:color w:val="auto"/>
          <w:highlight w:val="none"/>
        </w:rPr>
        <w:t>委托人义务</w:t>
      </w:r>
      <w:bookmarkEnd w:id="22"/>
      <w:bookmarkEnd w:id="23"/>
      <w:bookmarkEnd w:id="24"/>
      <w:bookmarkEnd w:id="25"/>
      <w:bookmarkEnd w:id="26"/>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第八条</w:t>
      </w:r>
      <w:r>
        <w:rPr>
          <w:rFonts w:hint="eastAsia"/>
          <w:color w:val="auto"/>
          <w:highlight w:val="none"/>
        </w:rPr>
        <w:t>　委托人在监理人开展监理业务之前应向监理人支付预付款。</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第九条</w:t>
      </w:r>
      <w:r>
        <w:rPr>
          <w:rFonts w:hint="eastAsia"/>
          <w:color w:val="auto"/>
          <w:highlight w:val="none"/>
        </w:rPr>
        <w:t>　委托人应当负责工程建设的所有外部关系的协调，为监理工作提供外部条件。根据需要，如将部分或全部协调工作委托监理人承担，则应在专用条款中明确委托的工作和相应的报酬。</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第十条</w:t>
      </w:r>
      <w:r>
        <w:rPr>
          <w:rFonts w:hint="eastAsia"/>
          <w:color w:val="auto"/>
          <w:highlight w:val="none"/>
        </w:rPr>
        <w:t>　委托人应当在双方约定的时间内免费向监理人提供与工程有关的为监理工作所需要的工程资料。</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第十一条</w:t>
      </w:r>
      <w:r>
        <w:rPr>
          <w:rFonts w:hint="eastAsia"/>
          <w:color w:val="auto"/>
          <w:highlight w:val="none"/>
        </w:rPr>
        <w:t>　委托人应当在专用条款约定的时间内就监理人书面提交并要求做出决定的一切事宜做出书面决定。</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第十二条</w:t>
      </w:r>
      <w:r>
        <w:rPr>
          <w:rFonts w:hint="eastAsia"/>
          <w:color w:val="auto"/>
          <w:highlight w:val="none"/>
        </w:rPr>
        <w:t>　委托人应当授权一名熟悉工程情况、能在规定时间内做出决定的常驻代表（在专用条款中约定），负责与监理人联系。更换常驻代表，要提前通知监理人。</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第十三条</w:t>
      </w:r>
      <w:r>
        <w:rPr>
          <w:rFonts w:hint="eastAsia"/>
          <w:color w:val="auto"/>
          <w:highlight w:val="none"/>
        </w:rPr>
        <w:t>　委托人应当将授予监理人的监理权利，以及监理人主要成员的职能分工、监理权限及时书面通知已选定的承包合同的承包人，并在与第三人签订的合同中予以明确。</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第十四条</w:t>
      </w:r>
      <w:r>
        <w:rPr>
          <w:rFonts w:hint="eastAsia"/>
          <w:color w:val="auto"/>
          <w:highlight w:val="none"/>
        </w:rPr>
        <w:t>　</w:t>
      </w:r>
      <w:r>
        <w:rPr>
          <w:rFonts w:hint="eastAsia"/>
          <w:color w:val="auto"/>
          <w:spacing w:val="-4"/>
          <w:highlight w:val="none"/>
        </w:rPr>
        <w:t>委托人应在不影响监理人开展监理工作的时间内提供如下资料：</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1.与本工程合作的原材料、构配件、机械设备等生产厂家名录。</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2.提供与本工程有关的协作单位、配合单位的名录。</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第十五条</w:t>
      </w:r>
      <w:r>
        <w:rPr>
          <w:rFonts w:hint="eastAsia"/>
          <w:color w:val="auto"/>
          <w:highlight w:val="none"/>
        </w:rPr>
        <w:t>　委托人应免费向监理人提供办公用房、通讯设施、监理人员工地住房及合同专用条款约定的设施，对监理人自备的设施给予合理的经济补偿（补偿金额=设施在工程使用时间占折旧年限的比例╳设施原值十管理费）。</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第十六条</w:t>
      </w:r>
      <w:r>
        <w:rPr>
          <w:rFonts w:hint="eastAsia"/>
          <w:color w:val="auto"/>
          <w:highlight w:val="none"/>
        </w:rPr>
        <w:t>　根据情况需要，如果双方约定，由委托人免费向监理人提供其他人员，应在监理合同专用条款中予以明确。</w:t>
      </w:r>
    </w:p>
    <w:p>
      <w:pPr>
        <w:pStyle w:val="4"/>
        <w:spacing w:before="624" w:beforeLines="200" w:after="312" w:afterLines="100"/>
        <w:rPr>
          <w:color w:val="auto"/>
          <w:highlight w:val="none"/>
        </w:rPr>
      </w:pPr>
      <w:bookmarkStart w:id="27" w:name="_Toc480633059"/>
      <w:bookmarkStart w:id="28" w:name="_Toc480642879"/>
      <w:bookmarkStart w:id="29" w:name="_Toc67169543"/>
      <w:bookmarkStart w:id="30" w:name="_Toc299140208"/>
      <w:bookmarkStart w:id="31" w:name="_Toc8516"/>
      <w:r>
        <w:rPr>
          <w:rFonts w:hint="eastAsia"/>
          <w:color w:val="auto"/>
          <w:highlight w:val="none"/>
        </w:rPr>
        <w:t>监理人权利</w:t>
      </w:r>
      <w:bookmarkEnd w:id="27"/>
      <w:bookmarkEnd w:id="28"/>
      <w:bookmarkEnd w:id="29"/>
      <w:bookmarkEnd w:id="30"/>
      <w:bookmarkEnd w:id="31"/>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第十七条</w:t>
      </w:r>
      <w:r>
        <w:rPr>
          <w:rFonts w:hint="eastAsia"/>
          <w:color w:val="auto"/>
          <w:highlight w:val="none"/>
        </w:rPr>
        <w:t>　监理人在委托人委托的工程范围内，享有以下权利：</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1.选择工程设计单位和工程总承包人的建议权。</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2.选择工程分包设计单位工程分包人的认可权。</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3.对工程建设有关事项包括工程规模、设计标准、规划设计、生产工艺设计和使用功能要求，向委托人的建议权。</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5.审批工程施工组织设计和技术方案，按照保质量、保工期和降低成本的原则，向承包人提出建议，并向委托人提出书面报告；如果由于拟提出的建议会提高工程造价、延长工期，应当事先取得委托人的同意。</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6.主持工程建设有关协作单位的组织协调，重要协调事项应当事先向委托人报告。</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7.征得委托人同意，监理人有权发布开工令、停工令、复工令，但应当事先向委托人报告。如在紧急情况下未能事先报告时，则应在24小时内向委托人做出书面报告。</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9.工程施工进度的检查、监督权，以及工程实际竣工日期提前或超过工程施工合同规定的竣工期限的签认权。</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10.在工程施工合同约定的工程价格范围内，工程款支付的审核和签认权，以及工程结算的复核确认权与否决权。未经总监理工程师签字确认，委托人不支付工程款。</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第十八条</w:t>
      </w:r>
      <w:r>
        <w:rPr>
          <w:rFonts w:hint="eastAsia"/>
          <w:color w:val="auto"/>
          <w:highlight w:val="none"/>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第十九条</w:t>
      </w:r>
      <w:r>
        <w:rPr>
          <w:rFonts w:hint="eastAsia"/>
          <w:color w:val="auto"/>
          <w:highlight w:val="none"/>
        </w:rP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pStyle w:val="4"/>
        <w:spacing w:before="624" w:beforeLines="200" w:after="312" w:afterLines="100"/>
        <w:rPr>
          <w:color w:val="auto"/>
          <w:highlight w:val="none"/>
        </w:rPr>
      </w:pPr>
      <w:bookmarkStart w:id="32" w:name="_Toc480642880"/>
      <w:bookmarkStart w:id="33" w:name="_Toc1193"/>
      <w:bookmarkStart w:id="34" w:name="_Toc299140209"/>
      <w:bookmarkStart w:id="35" w:name="_Toc67169544"/>
      <w:bookmarkStart w:id="36" w:name="_Toc480633060"/>
      <w:r>
        <w:rPr>
          <w:rFonts w:hint="eastAsia"/>
          <w:color w:val="auto"/>
          <w:highlight w:val="none"/>
        </w:rPr>
        <w:t>委托人权利</w:t>
      </w:r>
      <w:bookmarkEnd w:id="32"/>
      <w:bookmarkEnd w:id="33"/>
      <w:bookmarkEnd w:id="34"/>
      <w:bookmarkEnd w:id="35"/>
      <w:bookmarkEnd w:id="36"/>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第二十条</w:t>
      </w:r>
      <w:r>
        <w:rPr>
          <w:rFonts w:hint="eastAsia"/>
          <w:color w:val="auto"/>
          <w:highlight w:val="none"/>
        </w:rPr>
        <w:t>　委托人有选定工程总设计单位和工程总承包人，以及与其订立合同的权利。</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第二十一条</w:t>
      </w:r>
      <w:r>
        <w:rPr>
          <w:rFonts w:hint="eastAsia"/>
          <w:color w:val="auto"/>
          <w:highlight w:val="none"/>
        </w:rPr>
        <w:t>　委托人有对工程规模、设计标准、规划设计、生产工艺设计和设计使用功能要求的认定权，以及对工程设计变更的审批权。</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第二十二条</w:t>
      </w:r>
      <w:r>
        <w:rPr>
          <w:rFonts w:hint="eastAsia"/>
          <w:color w:val="auto"/>
          <w:highlight w:val="none"/>
        </w:rPr>
        <w:t>　监理人调换总监理工程师须事先经委托人同意。</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第二十三条</w:t>
      </w:r>
      <w:r>
        <w:rPr>
          <w:rFonts w:hint="eastAsia"/>
          <w:color w:val="auto"/>
          <w:highlight w:val="none"/>
        </w:rPr>
        <w:t>　委托人有权要求监理人提交监理工作月报及监理业务范围内的专项报告。</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第二十四条</w:t>
      </w:r>
      <w:r>
        <w:rPr>
          <w:rFonts w:hint="eastAsia"/>
          <w:color w:val="auto"/>
          <w:highlight w:val="none"/>
        </w:rPr>
        <w:t>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4"/>
        <w:spacing w:before="624" w:beforeLines="200" w:after="312" w:afterLines="100"/>
        <w:rPr>
          <w:color w:val="auto"/>
          <w:highlight w:val="none"/>
        </w:rPr>
      </w:pPr>
      <w:bookmarkStart w:id="37" w:name="_Toc299140210"/>
      <w:bookmarkStart w:id="38" w:name="_Toc480633061"/>
      <w:bookmarkStart w:id="39" w:name="_Toc67169545"/>
      <w:bookmarkStart w:id="40" w:name="_Toc32130"/>
      <w:bookmarkStart w:id="41" w:name="_Toc480642881"/>
      <w:r>
        <w:rPr>
          <w:rFonts w:hint="eastAsia"/>
          <w:color w:val="auto"/>
          <w:highlight w:val="none"/>
        </w:rPr>
        <w:t>监理人责任</w:t>
      </w:r>
      <w:bookmarkEnd w:id="37"/>
      <w:bookmarkEnd w:id="38"/>
      <w:bookmarkEnd w:id="39"/>
      <w:bookmarkEnd w:id="40"/>
      <w:bookmarkEnd w:id="41"/>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第二十五条</w:t>
      </w:r>
      <w:r>
        <w:rPr>
          <w:rFonts w:hint="eastAsia"/>
          <w:color w:val="auto"/>
          <w:highlight w:val="none"/>
        </w:rPr>
        <w:t>　监理人的责任期即委托监理合同有效期。在监理过程中，如果因工程建设进度的推迟或延误而超过书面约定的日期，双方应进一步约定相应延长的合同期。</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第二十六条</w:t>
      </w:r>
      <w:r>
        <w:rPr>
          <w:rFonts w:hint="eastAsia"/>
          <w:color w:val="auto"/>
          <w:highlight w:val="none"/>
        </w:rPr>
        <w:t>　监理人在责任期内，应当履行约定的义务，如果因监理人原因而造成了委托人的经济损失，应当向委托人赔偿。</w:t>
      </w:r>
    </w:p>
    <w:p>
      <w:pPr>
        <w:pStyle w:val="33"/>
        <w:widowControl w:val="0"/>
        <w:kinsoku w:val="0"/>
        <w:overflowPunct w:val="0"/>
        <w:autoSpaceDE w:val="0"/>
        <w:autoSpaceDN w:val="0"/>
        <w:adjustRightInd w:val="0"/>
        <w:snapToGrid w:val="0"/>
        <w:spacing w:before="156" w:beforeLines="50" w:beforeAutospacing="0" w:after="0" w:afterAutospacing="0"/>
        <w:rPr>
          <w:color w:val="auto"/>
          <w:highlight w:val="none"/>
        </w:rPr>
      </w:pPr>
      <w:r>
        <w:rPr>
          <w:rFonts w:hint="eastAsia"/>
          <w:color w:val="auto"/>
          <w:highlight w:val="none"/>
        </w:rPr>
        <w:t>　　</w:t>
      </w:r>
      <w:r>
        <w:rPr>
          <w:rFonts w:hint="eastAsia"/>
          <w:b/>
          <w:bCs/>
          <w:color w:val="auto"/>
          <w:highlight w:val="none"/>
        </w:rPr>
        <w:t>第二十七条</w:t>
      </w:r>
      <w:r>
        <w:rPr>
          <w:rFonts w:hint="eastAsia"/>
          <w:color w:val="auto"/>
          <w:highlight w:val="none"/>
        </w:rPr>
        <w:t>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第二十八条</w:t>
      </w:r>
      <w:r>
        <w:rPr>
          <w:rFonts w:hint="eastAsia"/>
          <w:color w:val="auto"/>
          <w:highlight w:val="none"/>
        </w:rPr>
        <w:t>　监理人向委托人提出赔偿要求不能成立时，监理人应当补偿由于该索赔所导致委托人的各种费用支出。</w:t>
      </w:r>
    </w:p>
    <w:p>
      <w:pPr>
        <w:pStyle w:val="4"/>
        <w:spacing w:before="624" w:beforeLines="200" w:after="312" w:afterLines="100"/>
        <w:rPr>
          <w:color w:val="auto"/>
          <w:highlight w:val="none"/>
        </w:rPr>
      </w:pPr>
      <w:bookmarkStart w:id="42" w:name="_Toc480633062"/>
      <w:bookmarkStart w:id="43" w:name="_Toc67169546"/>
      <w:bookmarkStart w:id="44" w:name="_Toc299140211"/>
      <w:bookmarkStart w:id="45" w:name="_Toc480642882"/>
      <w:bookmarkStart w:id="46" w:name="_Toc15565"/>
      <w:r>
        <w:rPr>
          <w:rFonts w:hint="eastAsia"/>
          <w:color w:val="auto"/>
          <w:highlight w:val="none"/>
        </w:rPr>
        <w:t>委托人责任</w:t>
      </w:r>
      <w:bookmarkEnd w:id="42"/>
      <w:bookmarkEnd w:id="43"/>
      <w:bookmarkEnd w:id="44"/>
      <w:bookmarkEnd w:id="45"/>
      <w:bookmarkEnd w:id="46"/>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第二十九条</w:t>
      </w:r>
      <w:r>
        <w:rPr>
          <w:rFonts w:hint="eastAsia"/>
          <w:color w:val="auto"/>
          <w:highlight w:val="none"/>
        </w:rPr>
        <w:t>　委托人应当履行委托监理合同约定的义务，如有违反则应当承担违约责任，赔偿给监理人造成的经济损失。</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监理人处理委托业务时，因非监理人原因的事由受到损失的，可以向委托人要求补偿损失。</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第三十条</w:t>
      </w:r>
      <w:r>
        <w:rPr>
          <w:rFonts w:hint="eastAsia"/>
          <w:color w:val="auto"/>
          <w:highlight w:val="none"/>
        </w:rPr>
        <w:t>　委托人如果向监理人提出赔偿的要求不能成立，则应当补偿由该索赔所引起的监理人的各种费用支出。</w:t>
      </w:r>
    </w:p>
    <w:p>
      <w:pPr>
        <w:pStyle w:val="4"/>
        <w:spacing w:before="624" w:beforeLines="200" w:after="312" w:afterLines="100"/>
        <w:rPr>
          <w:color w:val="auto"/>
          <w:highlight w:val="none"/>
        </w:rPr>
      </w:pPr>
      <w:bookmarkStart w:id="47" w:name="_Toc480633063"/>
      <w:bookmarkStart w:id="48" w:name="_Toc299140212"/>
      <w:bookmarkStart w:id="49" w:name="_Toc67169547"/>
      <w:bookmarkStart w:id="50" w:name="_Toc480642883"/>
      <w:bookmarkStart w:id="51" w:name="_Toc2196"/>
      <w:r>
        <w:rPr>
          <w:rFonts w:hint="eastAsia"/>
          <w:color w:val="auto"/>
          <w:highlight w:val="none"/>
        </w:rPr>
        <w:t>合同生效、变更与终止</w:t>
      </w:r>
      <w:bookmarkEnd w:id="47"/>
      <w:bookmarkEnd w:id="48"/>
      <w:bookmarkEnd w:id="49"/>
      <w:bookmarkEnd w:id="50"/>
      <w:bookmarkEnd w:id="51"/>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第三十一条</w:t>
      </w:r>
      <w:r>
        <w:rPr>
          <w:rFonts w:hint="eastAsia"/>
          <w:color w:val="auto"/>
          <w:highlight w:val="none"/>
        </w:rPr>
        <w:t>　若委托人或承包人无故阻碍或延误监理工作，以致发生了附加工作或延长了持续时间，则监理人应当将此情况与可能产生的影响及时通知委托人。完成监理业务的时间相应延长，并得到附加工作的报酬。</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第三十二条</w:t>
      </w:r>
      <w:r>
        <w:rPr>
          <w:rFonts w:hint="eastAsia"/>
          <w:color w:val="auto"/>
          <w:highlight w:val="none"/>
        </w:rPr>
        <w:t>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第三十三条</w:t>
      </w:r>
      <w:r>
        <w:rPr>
          <w:rFonts w:hint="eastAsia"/>
          <w:color w:val="auto"/>
          <w:highlight w:val="none"/>
        </w:rPr>
        <w:t>　监理人向委托人办理完竣工验收或工程移交手续，承包人和委托人已签订工程保修责任书，监理人收到监理报酬尾款，本合同即终止。保修期间的责任，双方在专用条款中约定。</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第三十四条</w:t>
      </w:r>
      <w:r>
        <w:rPr>
          <w:rFonts w:hint="eastAsia"/>
          <w:color w:val="auto"/>
          <w:highlight w:val="none"/>
        </w:rPr>
        <w:t>　</w:t>
      </w:r>
      <w:r>
        <w:rPr>
          <w:rFonts w:hint="eastAsia"/>
          <w:color w:val="auto"/>
          <w:spacing w:val="-4"/>
          <w:highlight w:val="none"/>
        </w:rPr>
        <w:t>当事人一方要求变更或解除合同时，应当在42日前通知对方，因解除合同使一方遭受损失的，除依法可以免除责任的外，应由责任方负责赔偿。</w:t>
      </w:r>
    </w:p>
    <w:p>
      <w:pPr>
        <w:pStyle w:val="33"/>
        <w:widowControl w:val="0"/>
        <w:tabs>
          <w:tab w:val="left" w:pos="315"/>
          <w:tab w:val="left" w:pos="525"/>
        </w:tabs>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变更或解除合同的通知或协议必须采取书面形式，协议未达成之前，原合同仍然有效。</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第三十五条</w:t>
      </w:r>
      <w:r>
        <w:rPr>
          <w:rFonts w:hint="eastAsia"/>
          <w:color w:val="auto"/>
          <w:highlight w:val="none"/>
        </w:rPr>
        <w:t>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第三十六条</w:t>
      </w:r>
      <w:r>
        <w:rPr>
          <w:rFonts w:hint="eastAsia"/>
          <w:color w:val="auto"/>
          <w:highlight w:val="none"/>
        </w:rPr>
        <w:t>　监理人由于非自己的原因而暂停或终止执行监理业务，其善后工作以及恢复执行监理业务的工作，应当视为额外工作，有权得到额外的报酬。</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第三十七条</w:t>
      </w:r>
      <w:r>
        <w:rPr>
          <w:rFonts w:hint="eastAsia"/>
          <w:color w:val="auto"/>
          <w:highlight w:val="none"/>
        </w:rPr>
        <w:t>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第三十八条</w:t>
      </w:r>
      <w:r>
        <w:rPr>
          <w:rFonts w:hint="eastAsia"/>
          <w:color w:val="auto"/>
          <w:highlight w:val="none"/>
        </w:rPr>
        <w:t>　</w:t>
      </w:r>
      <w:r>
        <w:rPr>
          <w:rFonts w:hint="eastAsia"/>
          <w:color w:val="auto"/>
          <w:spacing w:val="-4"/>
          <w:highlight w:val="none"/>
        </w:rPr>
        <w:t>合同协议的终止并不影响各方应有的权利和应当承担的责任。</w:t>
      </w:r>
    </w:p>
    <w:p>
      <w:pPr>
        <w:pStyle w:val="4"/>
        <w:spacing w:before="624" w:beforeLines="200" w:after="312" w:afterLines="100"/>
        <w:rPr>
          <w:color w:val="auto"/>
          <w:highlight w:val="none"/>
        </w:rPr>
      </w:pPr>
      <w:bookmarkStart w:id="52" w:name="_Toc480642884"/>
      <w:bookmarkStart w:id="53" w:name="_Toc12985"/>
      <w:bookmarkStart w:id="54" w:name="_Toc480633064"/>
      <w:bookmarkStart w:id="55" w:name="_Toc299140213"/>
      <w:bookmarkStart w:id="56" w:name="_Toc67169548"/>
      <w:r>
        <w:rPr>
          <w:rFonts w:hint="eastAsia"/>
          <w:color w:val="auto"/>
          <w:highlight w:val="none"/>
        </w:rPr>
        <w:t>监理报酬</w:t>
      </w:r>
      <w:bookmarkEnd w:id="52"/>
      <w:bookmarkEnd w:id="53"/>
      <w:bookmarkEnd w:id="54"/>
      <w:bookmarkEnd w:id="55"/>
      <w:bookmarkEnd w:id="56"/>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第三十九条</w:t>
      </w:r>
      <w:r>
        <w:rPr>
          <w:rFonts w:hint="eastAsia"/>
          <w:color w:val="auto"/>
          <w:highlight w:val="none"/>
        </w:rPr>
        <w:t>　正常的监理工作、附加工作和额外工作的报酬，按照监理合同专用条款中第三十九条的方法计算，并按约定的时间和数额支付。</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第四十条</w:t>
      </w:r>
      <w:r>
        <w:rPr>
          <w:rFonts w:hint="eastAsia"/>
          <w:color w:val="auto"/>
          <w:highlight w:val="none"/>
        </w:rPr>
        <w:t>　如果委托人在规定的支付期限内未支付监理报酬，自规定之日起，还应向监理人支付滞纳金。滞纳金从规定支付期限最后一日起计算。</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第四十一条</w:t>
      </w:r>
      <w:r>
        <w:rPr>
          <w:rFonts w:hint="eastAsia"/>
          <w:color w:val="auto"/>
          <w:highlight w:val="none"/>
        </w:rPr>
        <w:t>　</w:t>
      </w:r>
      <w:r>
        <w:rPr>
          <w:rFonts w:hint="eastAsia"/>
          <w:color w:val="auto"/>
          <w:spacing w:val="-4"/>
          <w:highlight w:val="none"/>
        </w:rPr>
        <w:t>支付监理报酬所采取的货币币种、汇率由合同专用条款约定。</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第四十二条</w:t>
      </w:r>
      <w:r>
        <w:rPr>
          <w:rFonts w:hint="eastAsia"/>
          <w:color w:val="auto"/>
          <w:highlight w:val="none"/>
        </w:rPr>
        <w:t>　如果委托人对监理人提交的支付通知中报酬或部分报酬项目提出异议，应当在收到支付通知书24小时内向监理人发出表示异议的通知，但委托人不得拖延其他无异议报酬项目的支付。</w:t>
      </w:r>
    </w:p>
    <w:p>
      <w:pPr>
        <w:pStyle w:val="4"/>
        <w:spacing w:before="624" w:beforeLines="200" w:after="312" w:afterLines="100"/>
        <w:rPr>
          <w:color w:val="auto"/>
          <w:highlight w:val="none"/>
        </w:rPr>
      </w:pPr>
      <w:bookmarkStart w:id="57" w:name="_Toc480642885"/>
      <w:bookmarkStart w:id="58" w:name="_Toc19599"/>
      <w:bookmarkStart w:id="59" w:name="_Toc299140214"/>
      <w:bookmarkStart w:id="60" w:name="_Toc67169549"/>
      <w:bookmarkStart w:id="61" w:name="_Toc480633065"/>
      <w:r>
        <w:rPr>
          <w:rFonts w:hint="eastAsia"/>
          <w:color w:val="auto"/>
          <w:highlight w:val="none"/>
        </w:rPr>
        <w:t>其它</w:t>
      </w:r>
      <w:bookmarkEnd w:id="57"/>
      <w:bookmarkEnd w:id="58"/>
      <w:bookmarkEnd w:id="59"/>
      <w:bookmarkEnd w:id="60"/>
      <w:bookmarkEnd w:id="61"/>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第四十三条</w:t>
      </w:r>
      <w:r>
        <w:rPr>
          <w:rFonts w:hint="eastAsia"/>
          <w:color w:val="auto"/>
          <w:highlight w:val="none"/>
        </w:rPr>
        <w:t>　委托的建设工程监理所必要的监理人员出外考察、材料设备复试，其费用支出经委托人同意的，在预算范围内向委托人实报实销。</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第四十四条</w:t>
      </w:r>
      <w:r>
        <w:rPr>
          <w:rFonts w:hint="eastAsia"/>
          <w:color w:val="auto"/>
          <w:highlight w:val="none"/>
        </w:rPr>
        <w:t>　在监理业务范围内，如需聘用专家咨询或协助，由监理人聘用的，其费用由监理人承担；由委托人聘用的，其费用由委托人承担。</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第四十五条</w:t>
      </w:r>
      <w:r>
        <w:rPr>
          <w:rFonts w:hint="eastAsia"/>
          <w:color w:val="auto"/>
          <w:highlight w:val="none"/>
        </w:rPr>
        <w:t>　监理人在监理工作过程中提出的合理化建议，使委托人得到了经济效益，委托人应按专用条款中的约定给予经济奖励。</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第四十六条</w:t>
      </w:r>
      <w:r>
        <w:rPr>
          <w:rFonts w:hint="eastAsia"/>
          <w:color w:val="auto"/>
          <w:highlight w:val="none"/>
        </w:rPr>
        <w:t>　监理人驻地监理机构及其职员不得接受监理工程项目施工承包人的任何报酬或者经济利益。</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　　监理人不得参与可能与合同规定的与委托人的利益相冲突的任何活动。</w:t>
      </w:r>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第四十七条</w:t>
      </w:r>
      <w:r>
        <w:rPr>
          <w:rFonts w:hint="eastAsia"/>
          <w:color w:val="auto"/>
          <w:highlight w:val="none"/>
        </w:rPr>
        <w:t>　监理人在监理过程中，不得泄露委托人申明的保密信息，监理人亦不得泄露设计人、承包人等提供并申明的保密信息。</w:t>
      </w:r>
    </w:p>
    <w:p>
      <w:pPr>
        <w:pStyle w:val="33"/>
        <w:widowControl w:val="0"/>
        <w:kinsoku w:val="0"/>
        <w:overflowPunct w:val="0"/>
        <w:autoSpaceDE w:val="0"/>
        <w:autoSpaceDN w:val="0"/>
        <w:adjustRightInd w:val="0"/>
        <w:snapToGrid w:val="0"/>
        <w:spacing w:before="312" w:beforeLines="100" w:beforeAutospacing="0" w:after="156" w:afterLines="50" w:afterAutospacing="0"/>
        <w:rPr>
          <w:color w:val="auto"/>
          <w:highlight w:val="none"/>
        </w:rPr>
      </w:pPr>
      <w:r>
        <w:rPr>
          <w:rFonts w:hint="eastAsia"/>
          <w:color w:val="auto"/>
          <w:highlight w:val="none"/>
        </w:rPr>
        <w:t>　　</w:t>
      </w:r>
      <w:r>
        <w:rPr>
          <w:rFonts w:hint="eastAsia"/>
          <w:b/>
          <w:bCs/>
          <w:color w:val="auto"/>
          <w:highlight w:val="none"/>
        </w:rPr>
        <w:t>第四十八条</w:t>
      </w:r>
      <w:r>
        <w:rPr>
          <w:rFonts w:hint="eastAsia"/>
          <w:color w:val="auto"/>
          <w:highlight w:val="none"/>
        </w:rPr>
        <w:t>　监理人对于由其编制的所有文件拥有版权，委托人仅有权在本工程使用或复制此类文件。</w:t>
      </w:r>
    </w:p>
    <w:p>
      <w:pPr>
        <w:pStyle w:val="4"/>
        <w:spacing w:before="624" w:beforeLines="200" w:after="312" w:afterLines="100"/>
        <w:rPr>
          <w:color w:val="auto"/>
          <w:highlight w:val="none"/>
        </w:rPr>
      </w:pPr>
      <w:bookmarkStart w:id="62" w:name="_Toc13353"/>
      <w:bookmarkStart w:id="63" w:name="_Toc480642886"/>
      <w:bookmarkStart w:id="64" w:name="_Toc67169550"/>
      <w:bookmarkStart w:id="65" w:name="_Toc299140215"/>
      <w:bookmarkStart w:id="66" w:name="_Toc480633066"/>
      <w:r>
        <w:rPr>
          <w:rFonts w:hint="eastAsia"/>
          <w:color w:val="auto"/>
          <w:highlight w:val="none"/>
        </w:rPr>
        <w:t>争议的解决</w:t>
      </w:r>
      <w:bookmarkEnd w:id="62"/>
      <w:bookmarkEnd w:id="63"/>
      <w:bookmarkEnd w:id="64"/>
      <w:bookmarkEnd w:id="65"/>
      <w:bookmarkEnd w:id="66"/>
    </w:p>
    <w:p>
      <w:pPr>
        <w:pStyle w:val="33"/>
        <w:widowControl w:val="0"/>
        <w:kinsoku w:val="0"/>
        <w:overflowPunct w:val="0"/>
        <w:autoSpaceDE w:val="0"/>
        <w:autoSpaceDN w:val="0"/>
        <w:adjustRightInd w:val="0"/>
        <w:snapToGrid w:val="0"/>
        <w:spacing w:before="312" w:beforeLines="100" w:beforeAutospacing="0" w:after="0" w:afterAutospacing="0"/>
        <w:rPr>
          <w:color w:val="auto"/>
          <w:highlight w:val="none"/>
        </w:rPr>
      </w:pPr>
      <w:r>
        <w:rPr>
          <w:rFonts w:hint="eastAsia"/>
          <w:color w:val="auto"/>
          <w:highlight w:val="none"/>
        </w:rPr>
        <w:t>　　</w:t>
      </w:r>
      <w:r>
        <w:rPr>
          <w:rFonts w:hint="eastAsia"/>
          <w:b/>
          <w:bCs/>
          <w:color w:val="auto"/>
          <w:highlight w:val="none"/>
        </w:rPr>
        <w:t>第四十九条</w:t>
      </w:r>
      <w:r>
        <w:rPr>
          <w:rFonts w:hint="eastAsia"/>
          <w:color w:val="auto"/>
          <w:highlight w:val="none"/>
        </w:rPr>
        <w:t>　因违反或终止合同而引起的对对方损失和损害的赔偿，双方应当协商解决，如未能达成一致，可提交主管部门协调，如仍未能达成一致时，根据双方约定提交仲裁机关仲裁，或向人民法院起诉。</w:t>
      </w:r>
    </w:p>
    <w:p>
      <w:pPr>
        <w:pStyle w:val="33"/>
        <w:widowControl w:val="0"/>
        <w:kinsoku w:val="0"/>
        <w:overflowPunct w:val="0"/>
        <w:autoSpaceDE w:val="0"/>
        <w:autoSpaceDN w:val="0"/>
        <w:adjustRightInd w:val="0"/>
        <w:snapToGrid w:val="0"/>
        <w:spacing w:before="0" w:beforeAutospacing="0" w:after="0" w:afterAutospacing="0"/>
        <w:rPr>
          <w:color w:val="auto"/>
          <w:highlight w:val="none"/>
        </w:rPr>
        <w:sectPr>
          <w:footerReference r:id="rId10" w:type="default"/>
          <w:endnotePr>
            <w:numFmt w:val="decimal"/>
          </w:endnotePr>
          <w:pgSz w:w="11906" w:h="16838"/>
          <w:pgMar w:top="1418"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p>
    <w:p>
      <w:pPr>
        <w:pStyle w:val="3"/>
        <w:spacing w:before="468" w:beforeLines="150" w:after="468" w:afterLines="150"/>
        <w:rPr>
          <w:color w:val="auto"/>
          <w:highlight w:val="none"/>
        </w:rPr>
      </w:pPr>
      <w:bookmarkStart w:id="67" w:name="_Toc9273"/>
      <w:bookmarkStart w:id="68" w:name="_Toc299140216"/>
      <w:bookmarkStart w:id="69" w:name="_Toc480642887"/>
      <w:bookmarkStart w:id="70" w:name="_Toc67169551"/>
      <w:r>
        <w:rPr>
          <w:rFonts w:hint="eastAsia"/>
          <w:color w:val="auto"/>
          <w:highlight w:val="none"/>
        </w:rPr>
        <w:t>第三部分 专用条款</w:t>
      </w:r>
      <w:bookmarkEnd w:id="67"/>
      <w:bookmarkEnd w:id="68"/>
      <w:bookmarkEnd w:id="69"/>
      <w:bookmarkEnd w:id="70"/>
    </w:p>
    <w:p>
      <w:pPr>
        <w:pStyle w:val="33"/>
        <w:spacing w:before="0" w:beforeAutospacing="0" w:after="0" w:afterAutospacing="0"/>
        <w:ind w:firstLine="480" w:firstLineChars="200"/>
        <w:rPr>
          <w:color w:val="auto"/>
          <w:kern w:val="2"/>
          <w:highlight w:val="none"/>
        </w:rPr>
      </w:pPr>
      <w:r>
        <w:rPr>
          <w:rFonts w:hint="eastAsia"/>
          <w:color w:val="auto"/>
          <w:szCs w:val="21"/>
          <w:highlight w:val="none"/>
        </w:rPr>
        <w:t>本专用条款对本合同通用条款中有需要进行定义、解释或具体约定的条款内容进行补充、删除或修改，其条款序号与通用条款中的一一对应，并且专用条款较通用条款具有优先解释权。专用条款中缺号的条款表示按通用条款中对应的条款执行。</w:t>
      </w:r>
    </w:p>
    <w:p>
      <w:pPr>
        <w:pStyle w:val="4"/>
        <w:spacing w:before="624" w:beforeLines="200" w:after="312" w:afterLines="100"/>
        <w:rPr>
          <w:color w:val="auto"/>
          <w:highlight w:val="none"/>
        </w:rPr>
      </w:pPr>
      <w:bookmarkStart w:id="71" w:name="_Toc299140217"/>
      <w:bookmarkStart w:id="72" w:name="_Toc480642888"/>
      <w:bookmarkStart w:id="73" w:name="_Toc19682"/>
      <w:bookmarkStart w:id="74" w:name="_Toc480633068"/>
      <w:bookmarkStart w:id="75" w:name="_Toc67169552"/>
      <w:r>
        <w:rPr>
          <w:rFonts w:hint="eastAsia"/>
          <w:color w:val="auto"/>
          <w:highlight w:val="none"/>
        </w:rPr>
        <w:t>词语定义、适用范围和法规</w:t>
      </w:r>
      <w:bookmarkEnd w:id="71"/>
      <w:bookmarkEnd w:id="72"/>
      <w:bookmarkEnd w:id="73"/>
      <w:bookmarkEnd w:id="74"/>
      <w:bookmarkEnd w:id="75"/>
    </w:p>
    <w:p>
      <w:pPr>
        <w:pStyle w:val="33"/>
        <w:spacing w:before="312" w:beforeLines="100" w:beforeAutospacing="0" w:after="0" w:afterAutospacing="0"/>
        <w:ind w:left="505"/>
        <w:rPr>
          <w:color w:val="auto"/>
          <w:kern w:val="2"/>
          <w:highlight w:val="none"/>
        </w:rPr>
      </w:pPr>
      <w:r>
        <w:rPr>
          <w:rFonts w:hint="eastAsia"/>
          <w:b/>
          <w:color w:val="auto"/>
          <w:kern w:val="2"/>
          <w:highlight w:val="none"/>
        </w:rPr>
        <w:t>第一条</w:t>
      </w:r>
      <w:r>
        <w:rPr>
          <w:rFonts w:hint="eastAsia"/>
          <w:color w:val="auto"/>
          <w:kern w:val="2"/>
          <w:highlight w:val="none"/>
        </w:rPr>
        <w:t xml:space="preserve">  下列名词和用语，除上下文另有规定外，有如下含义。</w:t>
      </w:r>
    </w:p>
    <w:p>
      <w:pPr>
        <w:pStyle w:val="33"/>
        <w:widowControl w:val="0"/>
        <w:kinsoku w:val="0"/>
        <w:overflowPunct w:val="0"/>
        <w:autoSpaceDE w:val="0"/>
        <w:autoSpaceDN w:val="0"/>
        <w:adjustRightInd w:val="0"/>
        <w:snapToGrid w:val="0"/>
        <w:spacing w:before="0" w:beforeAutospacing="0" w:after="0" w:afterAutospacing="0"/>
        <w:ind w:firstLine="554" w:firstLineChars="231"/>
        <w:rPr>
          <w:rFonts w:cs="宋体"/>
          <w:color w:val="auto"/>
          <w:highlight w:val="none"/>
        </w:rPr>
      </w:pPr>
      <w:r>
        <w:rPr>
          <w:rFonts w:hint="eastAsia"/>
          <w:color w:val="auto"/>
          <w:kern w:val="2"/>
          <w:highlight w:val="none"/>
        </w:rPr>
        <w:t>1.1.“缺陷</w:t>
      </w:r>
      <w:r>
        <w:rPr>
          <w:color w:val="auto"/>
          <w:kern w:val="2"/>
          <w:highlight w:val="none"/>
        </w:rPr>
        <w:t>”</w:t>
      </w:r>
      <w:r>
        <w:rPr>
          <w:rFonts w:cs="宋体"/>
          <w:color w:val="auto"/>
          <w:highlight w:val="none"/>
        </w:rPr>
        <w:t>是指建设工程质量不符合工程建设强制性标准、设计文件，以及承包合同的约定。</w:t>
      </w:r>
    </w:p>
    <w:p>
      <w:pPr>
        <w:pStyle w:val="33"/>
        <w:widowControl w:val="0"/>
        <w:kinsoku w:val="0"/>
        <w:overflowPunct w:val="0"/>
        <w:autoSpaceDE w:val="0"/>
        <w:autoSpaceDN w:val="0"/>
        <w:adjustRightInd w:val="0"/>
        <w:snapToGrid w:val="0"/>
        <w:spacing w:before="0" w:beforeAutospacing="0" w:after="0" w:afterAutospacing="0"/>
        <w:ind w:firstLine="554" w:firstLineChars="231"/>
        <w:rPr>
          <w:color w:val="auto"/>
          <w:kern w:val="2"/>
          <w:highlight w:val="none"/>
        </w:rPr>
      </w:pPr>
      <w:r>
        <w:rPr>
          <w:rFonts w:hint="eastAsia"/>
          <w:color w:val="auto"/>
          <w:kern w:val="2"/>
          <w:highlight w:val="none"/>
        </w:rPr>
        <w:t>1.2.“缺陷责任期</w:t>
      </w:r>
      <w:r>
        <w:rPr>
          <w:color w:val="auto"/>
          <w:kern w:val="2"/>
          <w:highlight w:val="none"/>
        </w:rPr>
        <w:t>”</w:t>
      </w:r>
      <w:r>
        <w:rPr>
          <w:rFonts w:cs="宋体"/>
          <w:color w:val="auto"/>
          <w:highlight w:val="none"/>
        </w:rPr>
        <w:t>从工程通过竣工验收之日起计</w:t>
      </w:r>
      <w:r>
        <w:rPr>
          <w:rFonts w:hint="eastAsia" w:cs="宋体"/>
          <w:color w:val="auto"/>
          <w:highlight w:val="none"/>
          <w:u w:val="single"/>
        </w:rPr>
        <w:t xml:space="preserve"> 2 </w:t>
      </w:r>
      <w:r>
        <w:rPr>
          <w:rFonts w:hint="eastAsia" w:cs="宋体"/>
          <w:color w:val="auto"/>
          <w:highlight w:val="none"/>
        </w:rPr>
        <w:t>年。</w:t>
      </w:r>
    </w:p>
    <w:p>
      <w:pPr>
        <w:pStyle w:val="33"/>
        <w:spacing w:before="312" w:beforeLines="100" w:beforeAutospacing="0" w:after="0" w:afterAutospacing="0"/>
        <w:ind w:left="505"/>
        <w:rPr>
          <w:color w:val="auto"/>
          <w:kern w:val="2"/>
          <w:highlight w:val="none"/>
        </w:rPr>
      </w:pPr>
      <w:r>
        <w:rPr>
          <w:rFonts w:hint="eastAsia"/>
          <w:b/>
          <w:color w:val="auto"/>
          <w:kern w:val="2"/>
          <w:highlight w:val="none"/>
        </w:rPr>
        <w:t>第二条</w:t>
      </w:r>
      <w:r>
        <w:rPr>
          <w:rFonts w:hint="eastAsia"/>
          <w:color w:val="auto"/>
          <w:kern w:val="2"/>
          <w:highlight w:val="none"/>
        </w:rPr>
        <w:t xml:space="preserve">  本合同适用的法规及监理依据</w:t>
      </w:r>
    </w:p>
    <w:p>
      <w:pPr>
        <w:pStyle w:val="33"/>
        <w:spacing w:before="0" w:beforeAutospacing="0" w:after="0" w:afterAutospacing="0"/>
        <w:ind w:firstLine="480" w:firstLineChars="200"/>
        <w:rPr>
          <w:color w:val="auto"/>
          <w:kern w:val="2"/>
          <w:highlight w:val="none"/>
        </w:rPr>
      </w:pPr>
      <w:r>
        <w:rPr>
          <w:rFonts w:hint="eastAsia"/>
          <w:color w:val="auto"/>
          <w:kern w:val="2"/>
          <w:highlight w:val="none"/>
        </w:rPr>
        <w:t>一、适用法规</w:t>
      </w:r>
    </w:p>
    <w:p>
      <w:pPr>
        <w:pStyle w:val="33"/>
        <w:spacing w:before="0" w:beforeAutospacing="0" w:after="0" w:afterAutospacing="0"/>
        <w:ind w:firstLine="480" w:firstLineChars="200"/>
        <w:rPr>
          <w:color w:val="auto"/>
          <w:kern w:val="2"/>
          <w:highlight w:val="none"/>
        </w:rPr>
      </w:pPr>
      <w:r>
        <w:rPr>
          <w:rFonts w:hint="eastAsia"/>
          <w:color w:val="auto"/>
          <w:kern w:val="2"/>
          <w:highlight w:val="none"/>
        </w:rPr>
        <w:t>1、《中华人民共和国民法典》、《中华人民共和国建筑法》；</w:t>
      </w:r>
    </w:p>
    <w:p>
      <w:pPr>
        <w:pStyle w:val="33"/>
        <w:spacing w:before="0" w:beforeAutospacing="0" w:after="0" w:afterAutospacing="0"/>
        <w:ind w:firstLine="480" w:firstLineChars="200"/>
        <w:rPr>
          <w:color w:val="auto"/>
          <w:kern w:val="2"/>
          <w:highlight w:val="none"/>
        </w:rPr>
      </w:pPr>
      <w:r>
        <w:rPr>
          <w:rFonts w:hint="eastAsia"/>
          <w:color w:val="auto"/>
          <w:kern w:val="2"/>
          <w:highlight w:val="none"/>
        </w:rPr>
        <w:t>2、《建设工程质量管理条例》及其它有关的法规、条例；</w:t>
      </w:r>
    </w:p>
    <w:p>
      <w:pPr>
        <w:pStyle w:val="33"/>
        <w:spacing w:before="0" w:beforeAutospacing="0" w:after="0" w:afterAutospacing="0"/>
        <w:ind w:firstLine="480" w:firstLineChars="200"/>
        <w:rPr>
          <w:color w:val="auto"/>
          <w:kern w:val="2"/>
          <w:highlight w:val="none"/>
        </w:rPr>
      </w:pPr>
      <w:r>
        <w:rPr>
          <w:rFonts w:hint="eastAsia"/>
          <w:color w:val="auto"/>
          <w:kern w:val="2"/>
          <w:highlight w:val="none"/>
        </w:rPr>
        <w:t>3、广东省、清远市有关工程建设管理方面的规定和办法。</w:t>
      </w:r>
    </w:p>
    <w:p>
      <w:pPr>
        <w:pStyle w:val="33"/>
        <w:spacing w:before="0" w:beforeAutospacing="0" w:after="0" w:afterAutospacing="0"/>
        <w:ind w:firstLine="480" w:firstLineChars="200"/>
        <w:rPr>
          <w:color w:val="auto"/>
          <w:kern w:val="2"/>
          <w:highlight w:val="none"/>
        </w:rPr>
      </w:pPr>
      <w:r>
        <w:rPr>
          <w:rFonts w:hint="eastAsia"/>
          <w:color w:val="auto"/>
          <w:kern w:val="2"/>
          <w:highlight w:val="none"/>
        </w:rPr>
        <w:t>二、监理依据</w:t>
      </w:r>
    </w:p>
    <w:p>
      <w:pPr>
        <w:pStyle w:val="33"/>
        <w:spacing w:before="0" w:beforeAutospacing="0" w:after="0" w:afterAutospacing="0"/>
        <w:ind w:firstLine="480" w:firstLineChars="200"/>
        <w:rPr>
          <w:color w:val="auto"/>
          <w:kern w:val="2"/>
          <w:highlight w:val="none"/>
        </w:rPr>
      </w:pPr>
      <w:r>
        <w:rPr>
          <w:rFonts w:hint="eastAsia"/>
          <w:color w:val="auto"/>
          <w:kern w:val="2"/>
          <w:highlight w:val="none"/>
        </w:rPr>
        <w:t>1、本委托监理合同；</w:t>
      </w:r>
    </w:p>
    <w:p>
      <w:pPr>
        <w:pStyle w:val="33"/>
        <w:spacing w:before="0" w:beforeAutospacing="0" w:after="0" w:afterAutospacing="0"/>
        <w:ind w:firstLine="480" w:firstLineChars="200"/>
        <w:rPr>
          <w:color w:val="auto"/>
          <w:kern w:val="2"/>
          <w:highlight w:val="none"/>
        </w:rPr>
      </w:pPr>
      <w:r>
        <w:rPr>
          <w:rFonts w:hint="eastAsia"/>
          <w:color w:val="auto"/>
          <w:kern w:val="2"/>
          <w:highlight w:val="none"/>
        </w:rPr>
        <w:t>2、委托人和承包人签订的合同及补充协议或备忘录；</w:t>
      </w:r>
    </w:p>
    <w:p>
      <w:pPr>
        <w:pStyle w:val="33"/>
        <w:spacing w:before="0" w:beforeAutospacing="0" w:after="0" w:afterAutospacing="0"/>
        <w:ind w:firstLine="480" w:firstLineChars="200"/>
        <w:rPr>
          <w:rFonts w:hint="eastAsia"/>
          <w:color w:val="auto"/>
          <w:kern w:val="2"/>
          <w:highlight w:val="none"/>
        </w:rPr>
      </w:pPr>
      <w:r>
        <w:rPr>
          <w:rFonts w:hint="eastAsia"/>
          <w:color w:val="auto"/>
          <w:kern w:val="2"/>
          <w:highlight w:val="none"/>
        </w:rPr>
        <w:t>3、经委托人审查认可的本工程正式的工程地质勘察报告、施工图纸、说明以及会审记录、有关工程洽商的技术、施工洽商记录、设计修改和变更文件；</w:t>
      </w:r>
    </w:p>
    <w:p>
      <w:pPr>
        <w:pStyle w:val="33"/>
        <w:spacing w:before="0" w:beforeAutospacing="0" w:after="0" w:afterAutospacing="0"/>
        <w:ind w:firstLine="480" w:firstLineChars="200"/>
        <w:rPr>
          <w:rFonts w:hint="eastAsia"/>
          <w:color w:val="auto"/>
          <w:kern w:val="2"/>
          <w:highlight w:val="none"/>
        </w:rPr>
      </w:pPr>
      <w:r>
        <w:rPr>
          <w:rFonts w:hint="eastAsia"/>
          <w:color w:val="auto"/>
          <w:kern w:val="2"/>
          <w:highlight w:val="none"/>
        </w:rPr>
        <w:t>4、</w:t>
      </w:r>
      <w:r>
        <w:rPr>
          <w:rFonts w:hint="eastAsia"/>
          <w:color w:val="auto"/>
          <w:kern w:val="2"/>
          <w:highlight w:val="none"/>
        </w:rPr>
        <w:t>清远</w:t>
      </w:r>
      <w:r>
        <w:rPr>
          <w:rFonts w:hint="eastAsia"/>
          <w:color w:val="auto"/>
          <w:kern w:val="2"/>
          <w:highlight w:val="none"/>
        </w:rPr>
        <w:t>地区现行的有关工程预结算定额和文件；</w:t>
      </w:r>
    </w:p>
    <w:p>
      <w:pPr>
        <w:pStyle w:val="33"/>
        <w:spacing w:before="0" w:beforeAutospacing="0" w:after="0" w:afterAutospacing="0"/>
        <w:ind w:firstLine="480" w:firstLineChars="200"/>
        <w:rPr>
          <w:color w:val="auto"/>
          <w:kern w:val="2"/>
          <w:highlight w:val="none"/>
        </w:rPr>
      </w:pPr>
      <w:r>
        <w:rPr>
          <w:rFonts w:hint="eastAsia"/>
          <w:color w:val="auto"/>
          <w:kern w:val="2"/>
          <w:highlight w:val="none"/>
        </w:rPr>
        <w:t>5、国家和清远地区现行的设计规范（规程）、建筑工程质量检验评定标准、施工和验收规范；</w:t>
      </w:r>
    </w:p>
    <w:p>
      <w:pPr>
        <w:pStyle w:val="33"/>
        <w:spacing w:before="0" w:beforeAutospacing="0" w:after="0" w:afterAutospacing="0"/>
        <w:ind w:firstLine="480" w:firstLineChars="200"/>
        <w:rPr>
          <w:color w:val="auto"/>
          <w:kern w:val="2"/>
          <w:highlight w:val="none"/>
        </w:rPr>
      </w:pPr>
      <w:r>
        <w:rPr>
          <w:rFonts w:hint="eastAsia"/>
          <w:color w:val="auto"/>
          <w:kern w:val="2"/>
          <w:highlight w:val="none"/>
        </w:rPr>
        <w:t>6、经委托人审批认可，由监理人编制的监理大纲、监理规划、监理实施细则；</w:t>
      </w:r>
    </w:p>
    <w:p>
      <w:pPr>
        <w:pStyle w:val="33"/>
        <w:spacing w:before="0" w:beforeAutospacing="0" w:after="0" w:afterAutospacing="0"/>
        <w:ind w:firstLine="480" w:firstLineChars="200"/>
        <w:rPr>
          <w:color w:val="auto"/>
          <w:kern w:val="2"/>
          <w:highlight w:val="none"/>
        </w:rPr>
      </w:pPr>
      <w:r>
        <w:rPr>
          <w:rFonts w:hint="eastAsia"/>
          <w:color w:val="auto"/>
          <w:kern w:val="2"/>
          <w:highlight w:val="none"/>
        </w:rPr>
        <w:t>7、委托人发出的指令。</w:t>
      </w:r>
    </w:p>
    <w:p>
      <w:pPr>
        <w:pStyle w:val="4"/>
        <w:spacing w:before="624" w:beforeLines="200" w:after="312" w:afterLines="100"/>
        <w:rPr>
          <w:color w:val="auto"/>
          <w:highlight w:val="none"/>
        </w:rPr>
      </w:pPr>
      <w:bookmarkStart w:id="76" w:name="_Toc480633069"/>
      <w:bookmarkStart w:id="77" w:name="_Toc480642889"/>
      <w:bookmarkStart w:id="78" w:name="_Toc299140218"/>
      <w:bookmarkStart w:id="79" w:name="_Toc67169553"/>
      <w:bookmarkStart w:id="80" w:name="_Toc24583"/>
      <w:r>
        <w:rPr>
          <w:rFonts w:hint="eastAsia"/>
          <w:color w:val="auto"/>
          <w:highlight w:val="none"/>
        </w:rPr>
        <w:t>监理人义务</w:t>
      </w:r>
      <w:bookmarkEnd w:id="76"/>
      <w:bookmarkEnd w:id="77"/>
      <w:bookmarkEnd w:id="78"/>
      <w:bookmarkEnd w:id="79"/>
      <w:bookmarkEnd w:id="80"/>
    </w:p>
    <w:p>
      <w:pPr>
        <w:pStyle w:val="33"/>
        <w:spacing w:before="312" w:beforeLines="100" w:beforeAutospacing="0" w:after="0" w:afterAutospacing="0"/>
        <w:ind w:firstLine="480" w:firstLineChars="200"/>
        <w:rPr>
          <w:color w:val="auto"/>
          <w:kern w:val="2"/>
          <w:highlight w:val="none"/>
        </w:rPr>
      </w:pPr>
      <w:r>
        <w:rPr>
          <w:rFonts w:hint="eastAsia"/>
          <w:b/>
          <w:color w:val="auto"/>
          <w:kern w:val="2"/>
          <w:highlight w:val="none"/>
        </w:rPr>
        <w:t>第四条</w:t>
      </w:r>
      <w:r>
        <w:rPr>
          <w:rFonts w:hint="eastAsia"/>
          <w:color w:val="auto"/>
          <w:kern w:val="2"/>
          <w:highlight w:val="none"/>
        </w:rPr>
        <w:t xml:space="preserve">  监理人员、监理范围、监理业务内容</w:t>
      </w:r>
    </w:p>
    <w:p>
      <w:pPr>
        <w:pStyle w:val="33"/>
        <w:spacing w:before="0" w:beforeAutospacing="0" w:after="0" w:afterAutospacing="0"/>
        <w:ind w:firstLine="523" w:firstLineChars="218"/>
        <w:rPr>
          <w:color w:val="auto"/>
          <w:kern w:val="2"/>
          <w:highlight w:val="none"/>
        </w:rPr>
      </w:pPr>
      <w:r>
        <w:rPr>
          <w:rFonts w:hint="eastAsia"/>
          <w:color w:val="auto"/>
          <w:kern w:val="2"/>
          <w:highlight w:val="none"/>
        </w:rPr>
        <w:t>4.1、监理人员：</w:t>
      </w:r>
    </w:p>
    <w:p>
      <w:pPr>
        <w:pStyle w:val="94"/>
        <w:ind w:firstLine="496"/>
        <w:rPr>
          <w:rFonts w:ascii="宋体" w:hAnsi="宋体"/>
          <w:color w:val="auto"/>
          <w:highlight w:val="none"/>
        </w:rPr>
      </w:pPr>
      <w:r>
        <w:rPr>
          <w:rFonts w:hint="eastAsia" w:ascii="宋体" w:hAnsi="宋体"/>
          <w:color w:val="auto"/>
          <w:highlight w:val="none"/>
        </w:rPr>
        <w:t>（</w:t>
      </w:r>
      <w:r>
        <w:rPr>
          <w:color w:val="auto"/>
          <w:highlight w:val="none"/>
        </w:rPr>
        <w:t>1</w:t>
      </w:r>
      <w:r>
        <w:rPr>
          <w:rFonts w:hint="eastAsia" w:ascii="宋体" w:hAnsi="宋体"/>
          <w:color w:val="auto"/>
          <w:highlight w:val="none"/>
        </w:rPr>
        <w:t>）监理人必须在施工现场建立项目监理机构。项目监理机构在完成委托监理合同约定的监理工作后可撤离施工现场。项目监理机构的监理人员应专业配套、数量满足工程项目监理工作的需要，保证足够的监理人员从事要求的施工准备期至工程收尾、工程竣工、工程移交、工程结算、工程竣工备案、</w:t>
      </w:r>
      <w:r>
        <w:rPr>
          <w:rFonts w:hint="eastAsia" w:ascii="宋体" w:hAnsi="宋体"/>
          <w:color w:val="auto"/>
          <w:spacing w:val="6"/>
          <w:highlight w:val="none"/>
        </w:rPr>
        <w:t>工程质量保修期的监理工作。</w:t>
      </w:r>
    </w:p>
    <w:p>
      <w:pPr>
        <w:pStyle w:val="94"/>
        <w:ind w:firstLine="496"/>
        <w:rPr>
          <w:rFonts w:ascii="宋体" w:hAnsi="宋体"/>
          <w:color w:val="auto"/>
          <w:highlight w:val="none"/>
        </w:rPr>
      </w:pPr>
      <w:r>
        <w:rPr>
          <w:rFonts w:hint="eastAsia" w:ascii="宋体" w:hAnsi="宋体"/>
          <w:color w:val="auto"/>
          <w:highlight w:val="none"/>
        </w:rPr>
        <w:t>（</w:t>
      </w:r>
      <w:r>
        <w:rPr>
          <w:color w:val="auto"/>
          <w:highlight w:val="none"/>
        </w:rPr>
        <w:t>2</w:t>
      </w:r>
      <w:r>
        <w:rPr>
          <w:rFonts w:hint="eastAsia" w:ascii="宋体" w:hAnsi="宋体"/>
          <w:color w:val="auto"/>
          <w:highlight w:val="none"/>
        </w:rPr>
        <w:t>）监理人必须在委托人发出进场通知后，按委托人具体的要求进场，并立即开始履行本合同约定的服务。监理人必须按照其投标文件和监理规划的承诺，足额、按时派驻监理人员（见</w:t>
      </w:r>
      <w:r>
        <w:rPr>
          <w:rFonts w:hint="eastAsia" w:ascii="宋体" w:hAnsi="宋体"/>
          <w:color w:val="auto"/>
          <w:highlight w:val="none"/>
          <w:u w:val="wave"/>
        </w:rPr>
        <w:t>合同附</w:t>
      </w:r>
      <w:r>
        <w:rPr>
          <w:rFonts w:hint="eastAsia" w:ascii="宋体" w:hAnsi="宋体"/>
          <w:color w:val="auto"/>
          <w:highlight w:val="none"/>
        </w:rPr>
        <w:t>件二</w:t>
      </w:r>
      <w:r>
        <w:rPr>
          <w:rFonts w:hint="eastAsia" w:ascii="宋体" w:hAnsi="宋体"/>
          <w:color w:val="auto"/>
          <w:highlight w:val="none"/>
        </w:rPr>
        <w:t>）。</w:t>
      </w:r>
    </w:p>
    <w:p>
      <w:pPr>
        <w:pStyle w:val="94"/>
        <w:ind w:firstLine="496"/>
        <w:rPr>
          <w:rFonts w:ascii="宋体" w:hAnsi="宋体"/>
          <w:color w:val="auto"/>
          <w:highlight w:val="none"/>
        </w:rPr>
      </w:pPr>
      <w:r>
        <w:rPr>
          <w:rFonts w:hint="eastAsia" w:ascii="宋体" w:hAnsi="宋体"/>
          <w:color w:val="auto"/>
          <w:highlight w:val="none"/>
        </w:rPr>
        <w:t>（</w:t>
      </w:r>
      <w:r>
        <w:rPr>
          <w:color w:val="auto"/>
          <w:highlight w:val="none"/>
        </w:rPr>
        <w:t>3</w:t>
      </w:r>
      <w:r>
        <w:rPr>
          <w:rFonts w:hint="eastAsia" w:ascii="宋体" w:hAnsi="宋体"/>
          <w:color w:val="auto"/>
          <w:highlight w:val="none"/>
        </w:rPr>
        <w:t>）监理人员应包括总监理工程师、专业监理工程师和监理员，必要时可配备总监理工程师代表。监理项目实行总监工程师负责制，由总监理工程师或总监理工程师代表负责与委托人进行正常工作联系。</w:t>
      </w:r>
    </w:p>
    <w:p>
      <w:pPr>
        <w:pStyle w:val="94"/>
        <w:ind w:firstLine="0" w:firstLineChars="0"/>
        <w:rPr>
          <w:rFonts w:ascii="宋体" w:hAnsi="宋体"/>
          <w:color w:val="auto"/>
          <w:highlight w:val="none"/>
        </w:rPr>
      </w:pPr>
      <w:r>
        <w:rPr>
          <w:rFonts w:hint="eastAsia" w:ascii="宋体" w:hAnsi="宋体"/>
          <w:color w:val="auto"/>
          <w:highlight w:val="none"/>
        </w:rPr>
        <w:t xml:space="preserve">    （</w:t>
      </w:r>
      <w:r>
        <w:rPr>
          <w:color w:val="auto"/>
          <w:highlight w:val="none"/>
        </w:rPr>
        <w:t>4</w:t>
      </w:r>
      <w:r>
        <w:rPr>
          <w:rFonts w:hint="eastAsia" w:ascii="宋体" w:hAnsi="宋体"/>
          <w:color w:val="auto"/>
          <w:highlight w:val="none"/>
        </w:rPr>
        <w:t>）监理人派驻到项目所在地履行监理服务的监理人员</w:t>
      </w:r>
      <w:r>
        <w:rPr>
          <w:rFonts w:ascii="宋体" w:hAnsi="宋体"/>
          <w:color w:val="auto"/>
          <w:highlight w:val="none"/>
        </w:rPr>
        <w:t>，</w:t>
      </w:r>
      <w:r>
        <w:rPr>
          <w:rFonts w:hint="eastAsia" w:ascii="宋体" w:hAnsi="宋体"/>
          <w:color w:val="auto"/>
          <w:highlight w:val="none"/>
        </w:rPr>
        <w:t>必须常驻现场，监理人按照甲方要求投入现场监理人员（监理人员的素质要求详合同附件七</w:t>
      </w:r>
      <w:r>
        <w:rPr>
          <w:rFonts w:hint="eastAsia" w:ascii="宋体" w:hAnsi="宋体"/>
          <w:color w:val="auto"/>
          <w:highlight w:val="none"/>
        </w:rPr>
        <w:t>）各驻场监理均采用指纹打卡考勤。</w:t>
      </w:r>
    </w:p>
    <w:p>
      <w:pPr>
        <w:pStyle w:val="94"/>
        <w:ind w:firstLine="496"/>
        <w:rPr>
          <w:rFonts w:ascii="宋体" w:hAnsi="宋体"/>
          <w:color w:val="auto"/>
          <w:highlight w:val="none"/>
        </w:rPr>
      </w:pPr>
      <w:r>
        <w:rPr>
          <w:rFonts w:hint="eastAsia" w:ascii="宋体" w:hAnsi="宋体"/>
          <w:color w:val="auto"/>
          <w:highlight w:val="none"/>
        </w:rPr>
        <w:t>（</w:t>
      </w:r>
      <w:r>
        <w:rPr>
          <w:color w:val="auto"/>
          <w:highlight w:val="none"/>
        </w:rPr>
        <w:t>5</w:t>
      </w:r>
      <w:r>
        <w:rPr>
          <w:rFonts w:hint="eastAsia" w:ascii="宋体" w:hAnsi="宋体"/>
          <w:color w:val="auto"/>
          <w:highlight w:val="none"/>
        </w:rPr>
        <w:t>）监理人必须保证参与本项目监理人员的稳定性，未征得委托人同意不可撤换，否则必须承担相应责任。监理人因工作安排或其他原因</w:t>
      </w:r>
      <w:r>
        <w:rPr>
          <w:rFonts w:ascii="宋体" w:hAnsi="宋体"/>
          <w:color w:val="auto"/>
          <w:highlight w:val="none"/>
        </w:rPr>
        <w:t>，</w:t>
      </w:r>
      <w:r>
        <w:rPr>
          <w:rFonts w:hint="eastAsia" w:ascii="宋体" w:hAnsi="宋体"/>
          <w:color w:val="auto"/>
          <w:highlight w:val="none"/>
        </w:rPr>
        <w:t>需要更换派驻到项目所在地履行监理服务的主要监理人员的</w:t>
      </w:r>
      <w:r>
        <w:rPr>
          <w:rFonts w:ascii="宋体" w:hAnsi="宋体"/>
          <w:color w:val="auto"/>
          <w:highlight w:val="none"/>
        </w:rPr>
        <w:t>，</w:t>
      </w:r>
      <w:r>
        <w:rPr>
          <w:rFonts w:hint="eastAsia" w:ascii="宋体" w:hAnsi="宋体"/>
          <w:color w:val="auto"/>
          <w:highlight w:val="none"/>
        </w:rPr>
        <w:t>监理人应7天内向委托人</w:t>
      </w:r>
      <w:r>
        <w:rPr>
          <w:rFonts w:ascii="宋体" w:hAnsi="宋体"/>
          <w:color w:val="auto"/>
          <w:highlight w:val="none"/>
        </w:rPr>
        <w:t>书面</w:t>
      </w:r>
      <w:r>
        <w:rPr>
          <w:rFonts w:hint="eastAsia" w:ascii="宋体" w:hAnsi="宋体"/>
          <w:color w:val="auto"/>
          <w:highlight w:val="none"/>
        </w:rPr>
        <w:t>提出并得到委托人的同意。未经委托人同意，不得随意更换监理人员，否则，委托人可以向监理人终止合同。</w:t>
      </w:r>
    </w:p>
    <w:p>
      <w:pPr>
        <w:pStyle w:val="94"/>
        <w:ind w:firstLine="0" w:firstLineChars="0"/>
        <w:rPr>
          <w:rFonts w:ascii="宋体" w:hAnsi="宋体"/>
          <w:color w:val="auto"/>
          <w:highlight w:val="none"/>
        </w:rPr>
      </w:pPr>
      <w:r>
        <w:rPr>
          <w:rFonts w:hint="eastAsia" w:ascii="宋体" w:hAnsi="宋体"/>
          <w:color w:val="auto"/>
          <w:highlight w:val="none"/>
        </w:rPr>
        <w:t xml:space="preserve">    （</w:t>
      </w:r>
      <w:r>
        <w:rPr>
          <w:rFonts w:hint="eastAsia"/>
          <w:color w:val="auto"/>
          <w:highlight w:val="none"/>
        </w:rPr>
        <w:t>6</w:t>
      </w:r>
      <w:r>
        <w:rPr>
          <w:rFonts w:hint="eastAsia" w:ascii="宋体" w:hAnsi="宋体"/>
          <w:color w:val="auto"/>
          <w:highlight w:val="none"/>
        </w:rPr>
        <w:t>）委托人有权以书面形式要求监理人更换不能按照本合同约定履行监理服务的派驻监理人员。</w:t>
      </w:r>
    </w:p>
    <w:p>
      <w:pPr>
        <w:pStyle w:val="94"/>
        <w:ind w:firstLine="0" w:firstLineChars="0"/>
        <w:rPr>
          <w:rFonts w:ascii="宋体" w:hAnsi="宋体"/>
          <w:color w:val="auto"/>
          <w:highlight w:val="none"/>
        </w:rPr>
      </w:pPr>
      <w:r>
        <w:rPr>
          <w:rFonts w:hint="eastAsia" w:ascii="宋体" w:hAnsi="宋体"/>
          <w:color w:val="auto"/>
          <w:highlight w:val="none"/>
        </w:rPr>
        <w:t xml:space="preserve">    （</w:t>
      </w:r>
      <w:r>
        <w:rPr>
          <w:rFonts w:hint="eastAsia"/>
          <w:color w:val="auto"/>
          <w:highlight w:val="none"/>
        </w:rPr>
        <w:t>7</w:t>
      </w:r>
      <w:r>
        <w:rPr>
          <w:rFonts w:hint="eastAsia" w:ascii="宋体" w:hAnsi="宋体"/>
          <w:color w:val="auto"/>
          <w:highlight w:val="none"/>
        </w:rPr>
        <w:t>）即使是委托人要求或同意更换的监理人员</w:t>
      </w:r>
      <w:r>
        <w:rPr>
          <w:rFonts w:ascii="宋体" w:hAnsi="宋体"/>
          <w:color w:val="auto"/>
          <w:highlight w:val="none"/>
        </w:rPr>
        <w:t>，</w:t>
      </w:r>
      <w:r>
        <w:rPr>
          <w:rFonts w:hint="eastAsia" w:ascii="宋体" w:hAnsi="宋体"/>
          <w:color w:val="auto"/>
          <w:highlight w:val="none"/>
        </w:rPr>
        <w:t>其替代人员的资质仍应得到委托人的认可。由于更换人员引起的费用由监理人承担。</w:t>
      </w:r>
    </w:p>
    <w:p>
      <w:pPr>
        <w:pStyle w:val="94"/>
        <w:ind w:firstLine="0" w:firstLineChars="0"/>
        <w:rPr>
          <w:rFonts w:ascii="宋体" w:hAnsi="宋体"/>
          <w:color w:val="auto"/>
          <w:highlight w:val="none"/>
        </w:rPr>
      </w:pPr>
      <w:r>
        <w:rPr>
          <w:rFonts w:hint="eastAsia" w:ascii="宋体" w:hAnsi="宋体"/>
          <w:color w:val="auto"/>
          <w:highlight w:val="none"/>
        </w:rPr>
        <w:t xml:space="preserve">    （8）监理人员在本监理合同授权范围内行使合同规定的权利，履行相应的职责。当委托人发现监理人员不按监理合同履行监理职责，或与承包人串通给委托人或工程造成损失的，委托人有权要求监理人更换监理人员，直到终止合同并要求监理人承担相当的赔偿责任或连带赔偿责任。</w:t>
      </w:r>
    </w:p>
    <w:p>
      <w:pPr>
        <w:pStyle w:val="94"/>
        <w:ind w:firstLine="496"/>
        <w:rPr>
          <w:rFonts w:ascii="宋体" w:hAnsi="宋体"/>
          <w:color w:val="auto"/>
          <w:highlight w:val="none"/>
        </w:rPr>
      </w:pPr>
      <w:r>
        <w:rPr>
          <w:rFonts w:hint="eastAsia" w:ascii="宋体" w:hAnsi="宋体"/>
          <w:color w:val="auto"/>
          <w:highlight w:val="none"/>
        </w:rPr>
        <w:t>（</w:t>
      </w:r>
      <w:r>
        <w:rPr>
          <w:rFonts w:hint="eastAsia"/>
          <w:color w:val="auto"/>
          <w:highlight w:val="none"/>
        </w:rPr>
        <w:t>9</w:t>
      </w:r>
      <w:r>
        <w:rPr>
          <w:rFonts w:hint="eastAsia" w:ascii="宋体" w:hAnsi="宋体"/>
          <w:color w:val="auto"/>
          <w:highlight w:val="none"/>
        </w:rPr>
        <w:t>）如委托人认为监理人员的数量、监理人员的业务水平、监理人员的专业配置不能满足监理工作所需时，委托人有权另行聘请符合工作需要的监理人员；所聘请监理人员的工资已包括在本合同监理酬金内，此费用由监理人向所聘监理人员支付。必要时委托人有权从本合同监理酬金中直接支付。</w:t>
      </w:r>
    </w:p>
    <w:p>
      <w:pPr>
        <w:pStyle w:val="94"/>
        <w:ind w:firstLine="496"/>
        <w:rPr>
          <w:rFonts w:ascii="宋体" w:hAnsi="宋体"/>
          <w:color w:val="auto"/>
          <w:highlight w:val="none"/>
        </w:rPr>
      </w:pPr>
      <w:r>
        <w:rPr>
          <w:rFonts w:hint="eastAsia" w:ascii="宋体" w:hAnsi="宋体"/>
          <w:color w:val="auto"/>
          <w:highlight w:val="none"/>
        </w:rPr>
        <w:t>（</w:t>
      </w:r>
      <w:r>
        <w:rPr>
          <w:rFonts w:hint="eastAsia"/>
          <w:color w:val="auto"/>
          <w:highlight w:val="none"/>
        </w:rPr>
        <w:t>10</w:t>
      </w:r>
      <w:r>
        <w:rPr>
          <w:rFonts w:hint="eastAsia" w:ascii="宋体" w:hAnsi="宋体"/>
          <w:color w:val="auto"/>
          <w:highlight w:val="none"/>
        </w:rPr>
        <w:t>）监理人应对其驻地监理人员的人身安全承担责任。</w:t>
      </w:r>
    </w:p>
    <w:p>
      <w:pPr>
        <w:pStyle w:val="94"/>
        <w:ind w:firstLine="496"/>
        <w:rPr>
          <w:rFonts w:ascii="宋体" w:hAnsi="宋体"/>
          <w:color w:val="auto"/>
          <w:highlight w:val="none"/>
        </w:rPr>
      </w:pPr>
      <w:r>
        <w:rPr>
          <w:rFonts w:hint="eastAsia" w:ascii="宋体" w:hAnsi="宋体"/>
          <w:color w:val="auto"/>
          <w:highlight w:val="none"/>
        </w:rPr>
        <w:t>（</w:t>
      </w:r>
      <w:r>
        <w:rPr>
          <w:rFonts w:hint="eastAsia"/>
          <w:color w:val="auto"/>
          <w:highlight w:val="none"/>
        </w:rPr>
        <w:t>11</w:t>
      </w:r>
      <w:r>
        <w:rPr>
          <w:rFonts w:hint="eastAsia" w:ascii="宋体" w:hAnsi="宋体"/>
          <w:color w:val="auto"/>
          <w:highlight w:val="none"/>
        </w:rPr>
        <w:t>）监理人应按照项目所在地建委的要求为监理人员办理平安卡。</w:t>
      </w:r>
    </w:p>
    <w:p>
      <w:pPr>
        <w:pStyle w:val="94"/>
        <w:ind w:firstLine="496"/>
        <w:rPr>
          <w:rFonts w:ascii="宋体" w:hAnsi="宋体"/>
          <w:color w:val="auto"/>
          <w:highlight w:val="none"/>
        </w:rPr>
      </w:pPr>
      <w:r>
        <w:rPr>
          <w:rFonts w:hint="eastAsia" w:ascii="宋体" w:hAnsi="宋体"/>
          <w:color w:val="auto"/>
          <w:highlight w:val="none"/>
        </w:rPr>
        <w:t>（</w:t>
      </w:r>
      <w:r>
        <w:rPr>
          <w:rFonts w:hint="eastAsia"/>
          <w:color w:val="auto"/>
          <w:highlight w:val="none"/>
        </w:rPr>
        <w:t>12</w:t>
      </w:r>
      <w:r>
        <w:rPr>
          <w:rFonts w:hint="eastAsia" w:ascii="宋体" w:hAnsi="宋体"/>
          <w:color w:val="auto"/>
          <w:highlight w:val="none"/>
        </w:rPr>
        <w:t>）对监理人员的其他要求：</w:t>
      </w:r>
      <w:r>
        <w:rPr>
          <w:rFonts w:hint="eastAsia" w:ascii="宋体" w:hAnsi="宋体"/>
          <w:color w:val="auto"/>
          <w:highlight w:val="none"/>
          <w:u w:val="single"/>
        </w:rPr>
        <w:t xml:space="preserve"> 遵守国家相关法律法规和监理职业操守。</w:t>
      </w:r>
    </w:p>
    <w:p>
      <w:pPr>
        <w:pStyle w:val="33"/>
        <w:spacing w:before="0" w:beforeAutospacing="0" w:after="0" w:afterAutospacing="0"/>
        <w:ind w:firstLine="523" w:firstLineChars="218"/>
        <w:rPr>
          <w:color w:val="auto"/>
          <w:kern w:val="2"/>
          <w:highlight w:val="none"/>
        </w:rPr>
      </w:pPr>
      <w:r>
        <w:rPr>
          <w:rFonts w:hint="eastAsia"/>
          <w:color w:val="auto"/>
          <w:kern w:val="2"/>
          <w:highlight w:val="none"/>
        </w:rPr>
        <w:t>4.2、监理范围：</w:t>
      </w:r>
    </w:p>
    <w:p>
      <w:pPr>
        <w:tabs>
          <w:tab w:val="left" w:pos="1080"/>
        </w:tabs>
        <w:autoSpaceDE w:val="0"/>
        <w:autoSpaceDN w:val="0"/>
        <w:adjustRightInd w:val="0"/>
        <w:rPr>
          <w:rFonts w:ascii="宋体" w:hAnsi="宋体"/>
          <w:snapToGrid w:val="0"/>
          <w:color w:val="auto"/>
          <w:spacing w:val="4"/>
          <w:kern w:val="0"/>
          <w:highlight w:val="none"/>
          <w:u w:val="single"/>
        </w:rPr>
      </w:pPr>
      <w:r>
        <w:rPr>
          <w:rFonts w:hint="eastAsia" w:ascii="宋体" w:hAnsi="宋体"/>
          <w:color w:val="auto"/>
          <w:highlight w:val="none"/>
        </w:rPr>
        <w:t xml:space="preserve">    （1）监理工程范围：</w:t>
      </w:r>
      <w:r>
        <w:rPr>
          <w:rFonts w:hint="eastAsia" w:ascii="宋体" w:hAnsi="宋体"/>
          <w:color w:val="auto"/>
          <w:highlight w:val="none"/>
          <w:u w:val="single"/>
        </w:rPr>
        <w:t>施工准备期、施工期、竣工验收备案、工程移交及缺陷责任期全过程监理服务及协调等相关工作</w:t>
      </w:r>
      <w:r>
        <w:rPr>
          <w:rFonts w:hint="eastAsia" w:ascii="宋体" w:hAnsi="宋体"/>
          <w:snapToGrid w:val="0"/>
          <w:color w:val="auto"/>
          <w:spacing w:val="4"/>
          <w:kern w:val="0"/>
          <w:highlight w:val="none"/>
          <w:u w:val="single"/>
        </w:rPr>
        <w:t xml:space="preserve">。具体工作内容以招标人提供的施工图纸及工程量清单为准。 </w:t>
      </w:r>
    </w:p>
    <w:p>
      <w:pPr>
        <w:snapToGrid w:val="0"/>
        <w:ind w:firstLine="480" w:firstLineChars="200"/>
        <w:rPr>
          <w:rFonts w:ascii="宋体" w:hAnsi="宋体"/>
          <w:color w:val="auto"/>
          <w:spacing w:val="2"/>
          <w:position w:val="2"/>
          <w:highlight w:val="none"/>
        </w:rPr>
      </w:pPr>
      <w:r>
        <w:rPr>
          <w:rFonts w:hint="eastAsia" w:ascii="宋体" w:hAnsi="宋体"/>
          <w:color w:val="auto"/>
          <w:highlight w:val="none"/>
        </w:rPr>
        <w:t>（2）监理工作范围：包括《建设工程监理规范》（GB/T50319—2013）规定的隶属于本工程</w:t>
      </w:r>
      <w:r>
        <w:rPr>
          <w:rFonts w:hint="eastAsia" w:ascii="宋体" w:hAnsi="宋体"/>
          <w:color w:val="auto"/>
          <w:spacing w:val="2"/>
          <w:position w:val="2"/>
          <w:highlight w:val="none"/>
        </w:rPr>
        <w:t>的施工准备期、施工期、工程质量保修期阶段的质量控制、投资控制、进度控制、组织协调、合同管理、安全文明及环保监理、结算管理等施工监理工作；并</w:t>
      </w:r>
      <w:r>
        <w:rPr>
          <w:rFonts w:hint="eastAsia" w:ascii="宋体" w:hAnsi="宋体"/>
          <w:color w:val="auto"/>
          <w:highlight w:val="none"/>
        </w:rPr>
        <w:t>协助委托人做好招标管理、拆迁管理、施工期间有关设计管理等工作。</w:t>
      </w:r>
    </w:p>
    <w:p>
      <w:pPr>
        <w:snapToGrid w:val="0"/>
        <w:ind w:firstLine="488" w:firstLineChars="200"/>
        <w:rPr>
          <w:rFonts w:ascii="宋体" w:hAnsi="宋体"/>
          <w:color w:val="auto"/>
          <w:spacing w:val="2"/>
          <w:position w:val="2"/>
          <w:highlight w:val="none"/>
        </w:rPr>
      </w:pPr>
      <w:r>
        <w:rPr>
          <w:rFonts w:hint="eastAsia" w:ascii="宋体" w:hAnsi="宋体"/>
          <w:color w:val="auto"/>
          <w:spacing w:val="2"/>
          <w:position w:val="2"/>
          <w:highlight w:val="none"/>
        </w:rPr>
        <w:t xml:space="preserve">（3）其他工作： </w:t>
      </w:r>
      <w:r>
        <w:rPr>
          <w:rFonts w:hint="eastAsia" w:ascii="宋体" w:hAnsi="宋体"/>
          <w:color w:val="auto"/>
          <w:spacing w:val="2"/>
          <w:position w:val="2"/>
          <w:highlight w:val="none"/>
          <w:u w:val="single"/>
        </w:rPr>
        <w:t xml:space="preserve">                   /                              </w:t>
      </w:r>
    </w:p>
    <w:p>
      <w:pPr>
        <w:pStyle w:val="33"/>
        <w:spacing w:before="0" w:beforeAutospacing="0" w:after="0" w:afterAutospacing="0"/>
        <w:ind w:firstLine="629" w:firstLineChars="258"/>
        <w:rPr>
          <w:color w:val="auto"/>
          <w:spacing w:val="2"/>
          <w:kern w:val="2"/>
          <w:position w:val="2"/>
          <w:highlight w:val="none"/>
        </w:rPr>
      </w:pPr>
      <w:r>
        <w:rPr>
          <w:rFonts w:hint="eastAsia"/>
          <w:color w:val="auto"/>
          <w:spacing w:val="2"/>
          <w:kern w:val="2"/>
          <w:position w:val="2"/>
          <w:highlight w:val="none"/>
        </w:rPr>
        <w:t>4.3、监理工作内容：</w:t>
      </w:r>
    </w:p>
    <w:p>
      <w:pPr>
        <w:pStyle w:val="33"/>
        <w:spacing w:before="0" w:beforeAutospacing="0" w:after="0" w:afterAutospacing="0"/>
        <w:ind w:firstLine="488" w:firstLineChars="200"/>
        <w:rPr>
          <w:color w:val="auto"/>
          <w:spacing w:val="2"/>
          <w:kern w:val="2"/>
          <w:position w:val="2"/>
          <w:highlight w:val="none"/>
        </w:rPr>
      </w:pPr>
      <w:r>
        <w:rPr>
          <w:rFonts w:hint="eastAsia"/>
          <w:color w:val="auto"/>
          <w:spacing w:val="2"/>
          <w:kern w:val="2"/>
          <w:position w:val="2"/>
          <w:highlight w:val="none"/>
        </w:rPr>
        <w:t>（1）监理人作为委托人的顾问，应在受委托的监理业务范围内向委托人负责，在执行和遵守国家有关建设法规的前提下，维护委托人的正当权益。</w:t>
      </w:r>
    </w:p>
    <w:p>
      <w:pPr>
        <w:pStyle w:val="33"/>
        <w:spacing w:before="0" w:beforeAutospacing="0" w:after="0" w:afterAutospacing="0"/>
        <w:ind w:firstLine="488" w:firstLineChars="200"/>
        <w:rPr>
          <w:color w:val="auto"/>
          <w:spacing w:val="2"/>
          <w:kern w:val="2"/>
          <w:position w:val="2"/>
          <w:highlight w:val="none"/>
        </w:rPr>
      </w:pPr>
      <w:r>
        <w:rPr>
          <w:rFonts w:hint="eastAsia"/>
          <w:color w:val="auto"/>
          <w:spacing w:val="2"/>
          <w:kern w:val="2"/>
          <w:position w:val="2"/>
          <w:highlight w:val="none"/>
        </w:rPr>
        <w:t>（2）编制监理大纲、监理规划及监理实施细则、制定监理工作程序。</w:t>
      </w:r>
    </w:p>
    <w:p>
      <w:pPr>
        <w:pStyle w:val="33"/>
        <w:spacing w:before="0" w:beforeAutospacing="0" w:after="0" w:afterAutospacing="0"/>
        <w:ind w:firstLine="488" w:firstLineChars="200"/>
        <w:rPr>
          <w:color w:val="auto"/>
          <w:spacing w:val="2"/>
          <w:kern w:val="2"/>
          <w:position w:val="2"/>
          <w:highlight w:val="none"/>
        </w:rPr>
      </w:pPr>
      <w:r>
        <w:rPr>
          <w:rFonts w:hint="eastAsia"/>
          <w:color w:val="auto"/>
          <w:spacing w:val="2"/>
          <w:kern w:val="2"/>
          <w:position w:val="2"/>
          <w:highlight w:val="none"/>
        </w:rPr>
        <w:t>（3）熟悉设计文件，并对图纸中存在的问题通过建设单位向设计单位提出书面意见和建议，参加设计技术交底会，并对会议纪要进行签认。</w:t>
      </w:r>
    </w:p>
    <w:p>
      <w:pPr>
        <w:pStyle w:val="33"/>
        <w:spacing w:before="0" w:beforeAutospacing="0" w:after="0" w:afterAutospacing="0"/>
        <w:ind w:firstLine="488" w:firstLineChars="200"/>
        <w:rPr>
          <w:color w:val="auto"/>
          <w:spacing w:val="2"/>
          <w:kern w:val="2"/>
          <w:position w:val="2"/>
          <w:highlight w:val="none"/>
        </w:rPr>
      </w:pPr>
      <w:r>
        <w:rPr>
          <w:rFonts w:hint="eastAsia"/>
          <w:color w:val="auto"/>
          <w:spacing w:val="2"/>
          <w:kern w:val="2"/>
          <w:position w:val="2"/>
          <w:highlight w:val="none"/>
        </w:rPr>
        <w:t>（4）在施工招标管理阶段，协助委托人对招标涉及的主要材料、构配件和主要设备的厂家、型号、规格、单价等进行咨询以及摸查，以便对招标限价提出好的建议以及后续的施工管理。</w:t>
      </w:r>
    </w:p>
    <w:p>
      <w:pPr>
        <w:pStyle w:val="33"/>
        <w:spacing w:before="0" w:beforeAutospacing="0" w:after="0" w:afterAutospacing="0"/>
        <w:ind w:firstLine="488" w:firstLineChars="200"/>
        <w:rPr>
          <w:color w:val="auto"/>
          <w:spacing w:val="2"/>
          <w:kern w:val="2"/>
          <w:position w:val="2"/>
          <w:highlight w:val="none"/>
        </w:rPr>
      </w:pPr>
      <w:r>
        <w:rPr>
          <w:rFonts w:hint="eastAsia"/>
          <w:color w:val="auto"/>
          <w:spacing w:val="2"/>
          <w:kern w:val="2"/>
          <w:position w:val="2"/>
          <w:highlight w:val="none"/>
        </w:rPr>
        <w:t>（5）审查承包单位报送的施工组织设计、施工方案，审查承包人现场项目管理机构，提出审查意见，并监督实施及检查；审查各单项工程开工报告。签发工程开工令、停工令及复工令。</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（6）审查承包人选择的分包人。</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（7）检查承包人报送的测量放线控制成果及保护措施，对符合要求的施工测量成果予以签认。</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（8）项目开工前，参加由委托人主持召开的第一次工地会议，在施工过程中定期主持召开工地例会，负责组织和协调各承包人的配合安排。</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（9）审查承包人报送的拟进场工程材料、构配件和设备的报审表及其质量证明资料。</w:t>
      </w:r>
      <w:r>
        <w:rPr>
          <w:rFonts w:hint="eastAsia" w:cs="Courier New"/>
          <w:color w:val="auto"/>
          <w:highlight w:val="none"/>
        </w:rPr>
        <w:t>检查本工程采用的主要设备及关键材料是否符合设计文件或标书所规定的厂家、型号、规格、数量以及质量标准，在承包人或委托人订货前，视乎需要并经委托人同意可对生产厂家进行了解考察，但所发生的差旅费用由采购方负担。</w:t>
      </w:r>
      <w:r>
        <w:rPr>
          <w:rFonts w:hint="eastAsia"/>
          <w:color w:val="auto"/>
          <w:spacing w:val="2"/>
          <w:kern w:val="2"/>
          <w:position w:val="2"/>
          <w:highlight w:val="none"/>
        </w:rPr>
        <w:t>并对进场的材料、构配件和设备按照委托监理合同、建设工程施工承包合同的约定及有关工程质量管理文件规定的比例采用平行检验或见证取样方式进行抽检。</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10）对施工过程进行巡视和检查，督促承包人严格执行合同和严格按照国家技术规范、标准、地方建筑安装规程以及设计图纸文件的要求进行施工，并检查其实施情况；核查施工过程中的主要部位、环节以及隐蔽工程的施工验收签证，对隐蔽工程的隐蔽过程、下道工序施工完成后难以检查的重点部位序进行全过程旁站管理，控制工程质量。</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11）监督检查工程的文明施工及安全防护措施，组织对承包单位进行月度考评工作，配合委托方进行月度考核，严格按照国家法律法规文件，并遵循委托方的相关安全管理办法开展工作；若发生安全事故时，迅速采取措施，减少事故对工程的影响，并及时上报，事后配合有关部门查明事故原因，协助、主持、审理安全事故的处理，恢复施工生产。</w:t>
      </w:r>
    </w:p>
    <w:p>
      <w:pPr>
        <w:pStyle w:val="33"/>
        <w:spacing w:before="0" w:beforeAutospacing="0" w:after="0" w:afterAutospacing="0"/>
        <w:ind w:firstLine="480"/>
        <w:rPr>
          <w:color w:val="auto"/>
          <w:spacing w:val="2"/>
          <w:kern w:val="2"/>
          <w:position w:val="2"/>
          <w:highlight w:val="none"/>
        </w:rPr>
      </w:pPr>
      <w:r>
        <w:rPr>
          <w:rFonts w:hint="eastAsia"/>
          <w:color w:val="auto"/>
          <w:szCs w:val="21"/>
          <w:highlight w:val="none"/>
        </w:rPr>
        <w:t>（12）加强施工现场管理。工程现场监理人员必须穿着工装、佩戴工号牌，使用文明用语，并切实履行职责。督促承包人按照</w:t>
      </w:r>
      <w:r>
        <w:rPr>
          <w:rFonts w:hint="eastAsia" w:cs="Courier New"/>
          <w:color w:val="auto"/>
          <w:szCs w:val="21"/>
          <w:highlight w:val="none"/>
        </w:rPr>
        <w:t>《建设工程施工合同》</w:t>
      </w:r>
      <w:r>
        <w:rPr>
          <w:rFonts w:hint="eastAsia"/>
          <w:color w:val="auto"/>
          <w:szCs w:val="21"/>
          <w:highlight w:val="none"/>
        </w:rPr>
        <w:t>进行施工，采取有效措施最大限度地减少施工对周边环境的影响。要重点加强对工程的施工规范、文明施工、工程验收、安全防护等方面的监管，发现问题及时提出整改意见。如承包人不予采纳和整改的，按照层级负责的原则做好资料记录和情况汇报。</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（13）审查由委托人或承包单位提出的工程变更，审查同意后，由委托人转交原设计单位编制设计变更文件，并按规定经有关部门审定。</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（14）进行现场计量，按施工合同的约定审核工程量。</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（15）</w:t>
      </w:r>
      <w:r>
        <w:rPr>
          <w:rFonts w:hint="eastAsia"/>
          <w:color w:val="auto"/>
          <w:szCs w:val="21"/>
          <w:highlight w:val="none"/>
        </w:rPr>
        <w:t>督促承包人根据施工合同中人材机调价条款计算合同调整价格（涨落均需计算），并负责审核相关调价支持材料，具体按委托人或出资人在工程实施阶段适用的相关规定执行。</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（16）审查承包人的预结算和修改、变更工程的预结算。</w:t>
      </w:r>
    </w:p>
    <w:p>
      <w:pPr>
        <w:pStyle w:val="33"/>
        <w:spacing w:before="0" w:beforeAutospacing="0" w:after="0" w:afterAutospacing="0"/>
        <w:rPr>
          <w:color w:val="auto"/>
          <w:spacing w:val="2"/>
          <w:kern w:val="2"/>
          <w:position w:val="2"/>
          <w:highlight w:val="none"/>
        </w:rPr>
      </w:pPr>
      <w:r>
        <w:rPr>
          <w:rFonts w:hint="eastAsia"/>
          <w:color w:val="auto"/>
          <w:spacing w:val="2"/>
          <w:kern w:val="2"/>
          <w:position w:val="2"/>
          <w:highlight w:val="none"/>
        </w:rPr>
        <w:t xml:space="preserve">    （17）根据合同的规定并经批准的承包人所作的工程进度计划，签收并检查承包人填报的旬、月、季等报表，及时提出监理意见，控制工程进度。</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（18）依据国家有关的法律、法规和工程项目所在地的地方法规；本工程的施工合同文件；国家、部门和地方有关的标准、规范和定额；施工合同履行过程中与索赔事件有关的凭证，协商处理工程索赔。</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（19）调解委托人和承包人之间的合同争议，签发合同争议处理意见。</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20）依据有关法律、法规、工程建设强制性标准、设计文件及施工合同，对承包人报送的竣工资料进行审查，并对工程质量进行竣工预验收。对存在的问题，及时要求承包人整改。签署竣工报验单，提出工程质量评估报告。参加委托人组织的竣工验收，会同参加验收的各方签署竣工验收报告。</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（21）在质量保修期内，对工程状况进行检查和记录，对工程质量缺陷原因进行调查分析，确定责任归属，督促承包人进行保修。</w:t>
      </w:r>
      <w:r>
        <w:rPr>
          <w:rFonts w:hint="eastAsia"/>
          <w:color w:val="auto"/>
          <w:szCs w:val="21"/>
          <w:highlight w:val="none"/>
        </w:rPr>
        <w:t>定期编制监理业务报告（季度、半年与年度）。</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（23）根据施工合同及有关文件规定，督促检查承包人及时完成各阶段施工资料的整理及竣工资料的编制，并按时交委托人归档。</w:t>
      </w:r>
    </w:p>
    <w:p>
      <w:pPr>
        <w:pStyle w:val="33"/>
        <w:spacing w:before="0" w:beforeAutospacing="0" w:after="0" w:afterAutospacing="0"/>
        <w:ind w:firstLine="482"/>
        <w:rPr>
          <w:color w:val="auto"/>
          <w:spacing w:val="2"/>
          <w:kern w:val="2"/>
          <w:position w:val="2"/>
          <w:highlight w:val="none"/>
        </w:rPr>
      </w:pPr>
      <w:r>
        <w:rPr>
          <w:rFonts w:hint="eastAsia"/>
          <w:color w:val="auto"/>
          <w:spacing w:val="2"/>
          <w:kern w:val="2"/>
          <w:position w:val="2"/>
          <w:highlight w:val="none"/>
        </w:rPr>
        <w:t>（24）根据有关文件规定，向委托人提交工程竣工备案的监理资料。</w:t>
      </w:r>
    </w:p>
    <w:p>
      <w:pPr>
        <w:pStyle w:val="33"/>
        <w:spacing w:before="0" w:beforeAutospacing="0" w:after="0" w:afterAutospacing="0"/>
        <w:ind w:firstLine="482"/>
        <w:rPr>
          <w:color w:val="auto"/>
          <w:spacing w:val="2"/>
          <w:kern w:val="2"/>
          <w:position w:val="2"/>
          <w:highlight w:val="none"/>
        </w:rPr>
      </w:pPr>
      <w:r>
        <w:rPr>
          <w:rFonts w:hint="eastAsia"/>
          <w:color w:val="auto"/>
          <w:spacing w:val="2"/>
          <w:kern w:val="2"/>
          <w:position w:val="2"/>
          <w:highlight w:val="none"/>
        </w:rPr>
        <w:t>（25）其他工作内容：</w:t>
      </w:r>
      <w:r>
        <w:rPr>
          <w:rFonts w:hint="eastAsia"/>
          <w:color w:val="auto"/>
          <w:spacing w:val="2"/>
          <w:kern w:val="2"/>
          <w:position w:val="2"/>
          <w:highlight w:val="none"/>
          <w:u w:val="single"/>
        </w:rPr>
        <w:t xml:space="preserve">                   /                          </w:t>
      </w:r>
    </w:p>
    <w:p>
      <w:pPr>
        <w:pStyle w:val="4"/>
        <w:spacing w:before="624" w:beforeLines="200" w:after="312" w:afterLines="100"/>
        <w:rPr>
          <w:color w:val="auto"/>
          <w:highlight w:val="none"/>
        </w:rPr>
      </w:pPr>
      <w:bookmarkStart w:id="81" w:name="_Toc480642890"/>
      <w:bookmarkStart w:id="82" w:name="_Toc480633070"/>
      <w:bookmarkStart w:id="83" w:name="_Toc67169554"/>
      <w:bookmarkStart w:id="84" w:name="_Toc22564"/>
      <w:bookmarkStart w:id="85" w:name="_Toc299140219"/>
      <w:r>
        <w:rPr>
          <w:rFonts w:hint="eastAsia"/>
          <w:color w:val="auto"/>
          <w:highlight w:val="none"/>
        </w:rPr>
        <w:t>委托人义务</w:t>
      </w:r>
      <w:bookmarkEnd w:id="81"/>
      <w:bookmarkEnd w:id="82"/>
      <w:bookmarkEnd w:id="83"/>
      <w:bookmarkEnd w:id="84"/>
      <w:bookmarkEnd w:id="85"/>
    </w:p>
    <w:p>
      <w:pPr>
        <w:pStyle w:val="33"/>
        <w:spacing w:before="312" w:beforeLines="100" w:beforeAutospacing="0" w:after="0" w:afterAutospacing="0"/>
        <w:ind w:firstLine="527"/>
        <w:rPr>
          <w:color w:val="auto"/>
          <w:spacing w:val="2"/>
          <w:kern w:val="2"/>
          <w:position w:val="2"/>
          <w:highlight w:val="none"/>
        </w:rPr>
      </w:pPr>
      <w:r>
        <w:rPr>
          <w:rFonts w:hint="eastAsia"/>
          <w:b/>
          <w:color w:val="auto"/>
          <w:spacing w:val="2"/>
          <w:kern w:val="2"/>
          <w:position w:val="2"/>
          <w:highlight w:val="none"/>
        </w:rPr>
        <w:t>第九条</w:t>
      </w:r>
      <w:r>
        <w:rPr>
          <w:rFonts w:hint="eastAsia"/>
          <w:color w:val="auto"/>
          <w:spacing w:val="2"/>
          <w:kern w:val="2"/>
          <w:position w:val="2"/>
          <w:highlight w:val="none"/>
        </w:rPr>
        <w:t>　外部条件包括：</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9.1、由委托人负责完善工程开工的前期条件，获得政府有关部门的批准文件，支付有关费用。具体内容如下(有关资料和副本提供给监理人)：</w:t>
      </w:r>
    </w:p>
    <w:p>
      <w:pPr>
        <w:pStyle w:val="33"/>
        <w:spacing w:before="0" w:beforeAutospacing="0" w:after="0" w:afterAutospacing="0"/>
        <w:ind w:firstLine="482"/>
        <w:rPr>
          <w:color w:val="auto"/>
          <w:spacing w:val="2"/>
          <w:kern w:val="2"/>
          <w:position w:val="2"/>
          <w:highlight w:val="none"/>
        </w:rPr>
      </w:pPr>
      <w:r>
        <w:rPr>
          <w:rFonts w:hint="eastAsia"/>
          <w:color w:val="auto"/>
          <w:spacing w:val="2"/>
          <w:kern w:val="2"/>
          <w:position w:val="2"/>
          <w:highlight w:val="none"/>
        </w:rPr>
        <w:t>（1）设计条件：具有工程地质勘探资料及工程设计施工图纸及施工图审查证明文件；</w:t>
      </w:r>
    </w:p>
    <w:p>
      <w:pPr>
        <w:pStyle w:val="33"/>
        <w:spacing w:before="0" w:beforeAutospacing="0" w:after="0" w:afterAutospacing="0"/>
        <w:ind w:firstLine="482"/>
        <w:rPr>
          <w:color w:val="auto"/>
          <w:spacing w:val="2"/>
          <w:kern w:val="2"/>
          <w:position w:val="2"/>
          <w:highlight w:val="none"/>
        </w:rPr>
      </w:pPr>
      <w:r>
        <w:rPr>
          <w:rFonts w:hint="eastAsia"/>
          <w:color w:val="auto"/>
          <w:spacing w:val="2"/>
          <w:kern w:val="2"/>
          <w:position w:val="2"/>
          <w:highlight w:val="none"/>
        </w:rPr>
        <w:t>（2）规划报建资料：应具有项目所在地规划局出具的《建设用地规划许可证》、《建设工程规划许可证》、《报建审核书》和《建设工程放线、验线册》、项目所在地国土资源和房屋管理局的《土地使用证》和四至红线图、立项部门出具的立项批文以及其它有关资料，这些资料应能满足办理工程招投标手续、施工许可证及施工标牌的需要；</w:t>
      </w:r>
    </w:p>
    <w:p>
      <w:pPr>
        <w:pStyle w:val="33"/>
        <w:spacing w:before="0" w:beforeAutospacing="0" w:after="0" w:afterAutospacing="0"/>
        <w:ind w:firstLine="482"/>
        <w:rPr>
          <w:color w:val="auto"/>
          <w:spacing w:val="2"/>
          <w:kern w:val="2"/>
          <w:position w:val="2"/>
          <w:highlight w:val="none"/>
        </w:rPr>
      </w:pPr>
      <w:r>
        <w:rPr>
          <w:rFonts w:hint="eastAsia"/>
          <w:color w:val="auto"/>
          <w:spacing w:val="2"/>
          <w:kern w:val="2"/>
          <w:position w:val="2"/>
          <w:highlight w:val="none"/>
        </w:rPr>
        <w:t>（3）向有关部门缴纳施工报建中规定由委托人承担的费用；</w:t>
      </w:r>
    </w:p>
    <w:p>
      <w:pPr>
        <w:pStyle w:val="33"/>
        <w:spacing w:before="0" w:beforeAutospacing="0" w:after="0" w:afterAutospacing="0"/>
        <w:ind w:firstLine="482"/>
        <w:rPr>
          <w:color w:val="auto"/>
          <w:spacing w:val="2"/>
          <w:kern w:val="2"/>
          <w:position w:val="2"/>
          <w:highlight w:val="none"/>
        </w:rPr>
      </w:pPr>
      <w:r>
        <w:rPr>
          <w:rFonts w:hint="eastAsia"/>
          <w:color w:val="auto"/>
          <w:spacing w:val="2"/>
          <w:kern w:val="2"/>
          <w:position w:val="2"/>
          <w:highlight w:val="none"/>
        </w:rPr>
        <w:t>（4）场地条件：场地三通一平，满足工程开工条件。</w:t>
      </w:r>
    </w:p>
    <w:p>
      <w:pPr>
        <w:pStyle w:val="33"/>
        <w:spacing w:before="0" w:beforeAutospacing="0" w:after="0" w:afterAutospacing="0"/>
        <w:ind w:firstLine="482"/>
        <w:rPr>
          <w:color w:val="auto"/>
          <w:spacing w:val="2"/>
          <w:kern w:val="2"/>
          <w:position w:val="2"/>
          <w:highlight w:val="none"/>
        </w:rPr>
      </w:pPr>
      <w:r>
        <w:rPr>
          <w:rFonts w:hint="eastAsia"/>
          <w:color w:val="auto"/>
          <w:spacing w:val="2"/>
          <w:kern w:val="2"/>
          <w:position w:val="2"/>
          <w:highlight w:val="none"/>
        </w:rPr>
        <w:t>9.2、施工阶段委托人应完成以下工作，并及时将有关资料和副本提供给监理人：</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（1）选择总承包人或各专业工程承包人，并签订工程施工合同；</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（2）用书面形式通知有关外部关系各方，明确监理人在工程建设监理过程中的责权；</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（3）组织工程竣工验收和工程移交；</w:t>
      </w:r>
    </w:p>
    <w:p>
      <w:pPr>
        <w:pStyle w:val="33"/>
        <w:spacing w:before="0" w:beforeAutospacing="0" w:after="0" w:afterAutospacing="0"/>
        <w:ind w:firstLine="480"/>
        <w:rPr>
          <w:color w:val="auto"/>
          <w:spacing w:val="2"/>
          <w:kern w:val="2"/>
          <w:position w:val="2"/>
          <w:highlight w:val="none"/>
          <w:u w:val="single"/>
        </w:rPr>
      </w:pPr>
      <w:r>
        <w:rPr>
          <w:rFonts w:hint="eastAsia"/>
          <w:color w:val="auto"/>
          <w:spacing w:val="2"/>
          <w:kern w:val="2"/>
          <w:position w:val="2"/>
          <w:highlight w:val="none"/>
        </w:rPr>
        <w:t>（4）其他：</w:t>
      </w:r>
      <w:r>
        <w:rPr>
          <w:rFonts w:hint="eastAsia"/>
          <w:color w:val="auto"/>
          <w:spacing w:val="2"/>
          <w:kern w:val="2"/>
          <w:position w:val="2"/>
          <w:highlight w:val="none"/>
          <w:u w:val="single"/>
        </w:rPr>
        <w:t xml:space="preserve">                      /                             。 </w:t>
      </w:r>
    </w:p>
    <w:p>
      <w:pPr>
        <w:pStyle w:val="33"/>
        <w:spacing w:before="0" w:beforeAutospacing="0" w:after="0" w:afterAutospacing="0"/>
        <w:ind w:firstLine="480"/>
        <w:rPr>
          <w:color w:val="auto"/>
          <w:spacing w:val="2"/>
          <w:kern w:val="2"/>
          <w:position w:val="2"/>
          <w:highlight w:val="none"/>
        </w:rPr>
      </w:pPr>
      <w:r>
        <w:rPr>
          <w:rFonts w:hint="eastAsia"/>
          <w:color w:val="auto"/>
          <w:spacing w:val="2"/>
          <w:kern w:val="2"/>
          <w:position w:val="2"/>
          <w:highlight w:val="none"/>
        </w:rPr>
        <w:t>9.3、</w:t>
      </w:r>
      <w:r>
        <w:rPr>
          <w:rFonts w:hint="eastAsia"/>
          <w:color w:val="auto"/>
          <w:highlight w:val="none"/>
        </w:rPr>
        <w:t>委托人有权根据需要指示监理人协助或协调部分外部关系，委托人对此无需支付任何酬金。</w:t>
      </w:r>
    </w:p>
    <w:p>
      <w:pPr>
        <w:pStyle w:val="33"/>
        <w:spacing w:before="312" w:beforeLines="100" w:beforeAutospacing="0" w:after="0" w:afterAutospacing="0"/>
        <w:ind w:firstLine="482"/>
        <w:rPr>
          <w:color w:val="auto"/>
          <w:spacing w:val="2"/>
          <w:kern w:val="2"/>
          <w:position w:val="2"/>
          <w:highlight w:val="none"/>
        </w:rPr>
      </w:pPr>
      <w:r>
        <w:rPr>
          <w:rFonts w:hint="eastAsia"/>
          <w:b/>
          <w:color w:val="auto"/>
          <w:spacing w:val="2"/>
          <w:kern w:val="2"/>
          <w:position w:val="2"/>
          <w:highlight w:val="none"/>
        </w:rPr>
        <w:t>第十条</w:t>
      </w:r>
      <w:r>
        <w:rPr>
          <w:rFonts w:hint="eastAsia"/>
          <w:color w:val="auto"/>
          <w:spacing w:val="2"/>
          <w:kern w:val="2"/>
          <w:position w:val="2"/>
          <w:highlight w:val="none"/>
        </w:rPr>
        <w:t xml:space="preserve">  </w:t>
      </w:r>
      <w:r>
        <w:rPr>
          <w:rFonts w:hint="eastAsia"/>
          <w:color w:val="auto"/>
          <w:highlight w:val="none"/>
        </w:rPr>
        <w:t>委托人应提供的工程资料及提供时间：工程实际需要前</w:t>
      </w:r>
      <w:r>
        <w:rPr>
          <w:rFonts w:hint="eastAsia"/>
          <w:color w:val="auto"/>
          <w:highlight w:val="none"/>
          <w:u w:val="single"/>
        </w:rPr>
        <w:t>7</w:t>
      </w:r>
      <w:r>
        <w:rPr>
          <w:rFonts w:hint="eastAsia"/>
          <w:color w:val="auto"/>
          <w:highlight w:val="none"/>
        </w:rPr>
        <w:t>天内。</w:t>
      </w:r>
    </w:p>
    <w:p>
      <w:pPr>
        <w:pStyle w:val="33"/>
        <w:spacing w:before="312" w:beforeLines="100" w:beforeAutospacing="0" w:after="0" w:afterAutospacing="0"/>
        <w:ind w:firstLine="488" w:firstLineChars="200"/>
        <w:rPr>
          <w:color w:val="auto"/>
          <w:spacing w:val="2"/>
          <w:kern w:val="2"/>
          <w:position w:val="2"/>
          <w:highlight w:val="none"/>
        </w:rPr>
      </w:pPr>
      <w:r>
        <w:rPr>
          <w:rFonts w:hint="eastAsia"/>
          <w:b/>
          <w:color w:val="auto"/>
          <w:spacing w:val="2"/>
          <w:kern w:val="2"/>
          <w:position w:val="2"/>
          <w:highlight w:val="none"/>
        </w:rPr>
        <w:t>第十一条</w:t>
      </w:r>
      <w:r>
        <w:rPr>
          <w:rFonts w:hint="eastAsia"/>
          <w:color w:val="auto"/>
          <w:spacing w:val="2"/>
          <w:kern w:val="2"/>
          <w:position w:val="2"/>
          <w:highlight w:val="none"/>
        </w:rPr>
        <w:t>　委托人原则上应在</w:t>
      </w:r>
      <w:r>
        <w:rPr>
          <w:rFonts w:hint="eastAsia"/>
          <w:color w:val="auto"/>
          <w:spacing w:val="2"/>
          <w:kern w:val="2"/>
          <w:position w:val="2"/>
          <w:highlight w:val="none"/>
          <w:u w:val="single"/>
        </w:rPr>
        <w:t xml:space="preserve"> 5 </w:t>
      </w:r>
      <w:r>
        <w:rPr>
          <w:rFonts w:hint="eastAsia"/>
          <w:color w:val="auto"/>
          <w:spacing w:val="2"/>
          <w:kern w:val="2"/>
          <w:position w:val="2"/>
          <w:highlight w:val="none"/>
        </w:rPr>
        <w:t>天内对监理人书面提交并要求作出决定的事宜作出书面答复，重大事件回复时间可以适当延长。若在特殊情况下，委托人应根据情况按监理人要求的时限内及时答复。</w:t>
      </w:r>
    </w:p>
    <w:p>
      <w:pPr>
        <w:pStyle w:val="33"/>
        <w:spacing w:before="312" w:beforeLines="100" w:beforeAutospacing="0" w:after="0" w:afterAutospacing="0"/>
        <w:ind w:firstLine="531" w:firstLineChars="218"/>
        <w:rPr>
          <w:color w:val="auto"/>
          <w:spacing w:val="2"/>
          <w:kern w:val="2"/>
          <w:position w:val="2"/>
          <w:highlight w:val="none"/>
          <w:u w:val="single"/>
        </w:rPr>
      </w:pPr>
      <w:r>
        <w:rPr>
          <w:rFonts w:hint="eastAsia"/>
          <w:b/>
          <w:color w:val="auto"/>
          <w:spacing w:val="2"/>
          <w:kern w:val="2"/>
          <w:position w:val="2"/>
          <w:highlight w:val="none"/>
        </w:rPr>
        <w:t>第十二条</w:t>
      </w:r>
      <w:r>
        <w:rPr>
          <w:rFonts w:hint="eastAsia"/>
          <w:color w:val="auto"/>
          <w:spacing w:val="2"/>
          <w:kern w:val="2"/>
          <w:position w:val="2"/>
          <w:highlight w:val="none"/>
        </w:rPr>
        <w:t>　委托人的常驻代表为：</w:t>
      </w:r>
      <w:r>
        <w:rPr>
          <w:rFonts w:hint="eastAsia"/>
          <w:color w:val="auto"/>
          <w:spacing w:val="2"/>
          <w:kern w:val="2"/>
          <w:position w:val="2"/>
          <w:highlight w:val="none"/>
          <w:u w:val="single"/>
        </w:rPr>
        <w:t xml:space="preserve">        </w:t>
      </w:r>
    </w:p>
    <w:p>
      <w:pPr>
        <w:pStyle w:val="33"/>
        <w:spacing w:before="312" w:beforeLines="100" w:beforeAutospacing="0" w:after="0" w:afterAutospacing="0"/>
        <w:ind w:firstLine="523" w:firstLineChars="218"/>
        <w:rPr>
          <w:color w:val="auto"/>
          <w:highlight w:val="none"/>
        </w:rPr>
      </w:pPr>
      <w:r>
        <w:rPr>
          <w:rFonts w:hint="eastAsia"/>
          <w:b/>
          <w:bCs/>
          <w:color w:val="auto"/>
          <w:highlight w:val="none"/>
        </w:rPr>
        <w:t xml:space="preserve">第十三条 </w:t>
      </w:r>
      <w:r>
        <w:rPr>
          <w:rFonts w:hint="eastAsia"/>
          <w:color w:val="auto"/>
          <w:highlight w:val="none"/>
        </w:rPr>
        <w:t>双方一致同意不适用本合同</w:t>
      </w:r>
      <w:r>
        <w:rPr>
          <w:rFonts w:hint="eastAsia"/>
          <w:color w:val="auto"/>
          <w:highlight w:val="none"/>
          <w:u w:val="wave"/>
        </w:rPr>
        <w:t>通用条款第十三条</w:t>
      </w:r>
      <w:r>
        <w:rPr>
          <w:rFonts w:hint="eastAsia"/>
          <w:color w:val="auto"/>
          <w:highlight w:val="none"/>
        </w:rPr>
        <w:t>的约定。</w:t>
      </w:r>
    </w:p>
    <w:p>
      <w:pPr>
        <w:pStyle w:val="33"/>
        <w:spacing w:before="312" w:beforeLines="100" w:beforeAutospacing="0" w:after="0" w:afterAutospacing="0"/>
        <w:ind w:firstLine="523" w:firstLineChars="218"/>
        <w:rPr>
          <w:color w:val="auto"/>
          <w:spacing w:val="2"/>
          <w:kern w:val="2"/>
          <w:position w:val="2"/>
          <w:highlight w:val="none"/>
          <w:u w:val="single"/>
        </w:rPr>
      </w:pPr>
      <w:r>
        <w:rPr>
          <w:rFonts w:hint="eastAsia"/>
          <w:b/>
          <w:bCs/>
          <w:color w:val="auto"/>
          <w:highlight w:val="none"/>
        </w:rPr>
        <w:t xml:space="preserve">第十四条 </w:t>
      </w:r>
      <w:r>
        <w:rPr>
          <w:rFonts w:hint="eastAsia"/>
          <w:color w:val="auto"/>
          <w:highlight w:val="none"/>
        </w:rPr>
        <w:t>双方一致同意不适用本合同</w:t>
      </w:r>
      <w:r>
        <w:rPr>
          <w:rFonts w:hint="eastAsia"/>
          <w:color w:val="auto"/>
          <w:highlight w:val="none"/>
          <w:u w:val="wave"/>
        </w:rPr>
        <w:t>通用条款第十四条</w:t>
      </w:r>
      <w:r>
        <w:rPr>
          <w:rFonts w:hint="eastAsia"/>
          <w:color w:val="auto"/>
          <w:highlight w:val="none"/>
        </w:rPr>
        <w:t>的约定。</w:t>
      </w:r>
    </w:p>
    <w:p>
      <w:pPr>
        <w:pStyle w:val="33"/>
        <w:spacing w:before="312" w:beforeLines="100" w:beforeAutospacing="0" w:after="0" w:afterAutospacing="0"/>
        <w:ind w:firstLine="531" w:firstLineChars="218"/>
        <w:rPr>
          <w:b/>
          <w:bCs/>
          <w:color w:val="auto"/>
          <w:spacing w:val="2"/>
          <w:kern w:val="2"/>
          <w:position w:val="2"/>
          <w:highlight w:val="none"/>
        </w:rPr>
      </w:pPr>
      <w:r>
        <w:rPr>
          <w:rFonts w:hint="eastAsia"/>
          <w:b/>
          <w:color w:val="auto"/>
          <w:spacing w:val="2"/>
          <w:kern w:val="2"/>
          <w:position w:val="2"/>
          <w:highlight w:val="none"/>
        </w:rPr>
        <w:t>第十五条　</w:t>
      </w:r>
      <w:r>
        <w:rPr>
          <w:rFonts w:hint="eastAsia"/>
          <w:color w:val="auto"/>
          <w:spacing w:val="2"/>
          <w:kern w:val="2"/>
          <w:position w:val="2"/>
          <w:highlight w:val="none"/>
        </w:rPr>
        <w:t>委托人免费向监理人提供如下设施：</w:t>
      </w:r>
      <w:r>
        <w:rPr>
          <w:rFonts w:hint="eastAsia"/>
          <w:b/>
          <w:bCs/>
          <w:color w:val="auto"/>
          <w:spacing w:val="2"/>
          <w:kern w:val="2"/>
          <w:position w:val="2"/>
          <w:highlight w:val="none"/>
        </w:rPr>
        <w:t>监理人办公场所由委托人提供。现场办公费、办公资产购置、通讯费、交通、差旅、住宿费等费用由监理人自行考虑在清单报价中。委托人不提供住宿场所，监理人自行解决。其它委托人免费向监理人提供的设施或经济补偿均无。</w:t>
      </w:r>
    </w:p>
    <w:p>
      <w:pPr>
        <w:pStyle w:val="33"/>
        <w:spacing w:before="0" w:beforeAutospacing="0" w:after="0" w:afterAutospacing="0"/>
        <w:ind w:firstLine="531" w:firstLineChars="218"/>
        <w:rPr>
          <w:b/>
          <w:color w:val="auto"/>
          <w:spacing w:val="2"/>
          <w:kern w:val="2"/>
          <w:position w:val="2"/>
          <w:highlight w:val="none"/>
        </w:rPr>
      </w:pPr>
      <w:r>
        <w:rPr>
          <w:rFonts w:hint="eastAsia"/>
          <w:color w:val="auto"/>
          <w:spacing w:val="2"/>
          <w:kern w:val="2"/>
          <w:position w:val="2"/>
          <w:highlight w:val="none"/>
        </w:rPr>
        <w:t>15.1、监理设施：工程监理所需的办公、交通（</w:t>
      </w:r>
      <w:r>
        <w:rPr>
          <w:rFonts w:hint="eastAsia"/>
          <w:color w:val="auto"/>
          <w:szCs w:val="21"/>
          <w:highlight w:val="none"/>
        </w:rPr>
        <w:t>为保证监理人员能迅速及时到施工现场处理相关问题，监理人应配备一台专用的车辆开展监理工作。）</w:t>
      </w:r>
      <w:r>
        <w:rPr>
          <w:rFonts w:hint="eastAsia"/>
          <w:color w:val="auto"/>
          <w:spacing w:val="2"/>
          <w:kern w:val="2"/>
          <w:position w:val="2"/>
          <w:highlight w:val="none"/>
        </w:rPr>
        <w:t>、通讯、生活等设施均由监理人自费解决，所需费用已包含在合同监理报酬中，委托人不单独支付经济补偿。</w:t>
      </w:r>
    </w:p>
    <w:p>
      <w:pPr>
        <w:pStyle w:val="33"/>
        <w:spacing w:before="312" w:beforeLines="100" w:beforeAutospacing="0" w:after="0" w:afterAutospacing="0"/>
        <w:ind w:firstLine="531" w:firstLineChars="218"/>
        <w:rPr>
          <w:color w:val="auto"/>
          <w:highlight w:val="none"/>
        </w:rPr>
      </w:pPr>
      <w:r>
        <w:rPr>
          <w:rFonts w:hint="eastAsia"/>
          <w:b/>
          <w:color w:val="auto"/>
          <w:spacing w:val="2"/>
          <w:kern w:val="2"/>
          <w:position w:val="2"/>
          <w:highlight w:val="none"/>
        </w:rPr>
        <w:t xml:space="preserve">第十六条  </w:t>
      </w:r>
      <w:r>
        <w:rPr>
          <w:rFonts w:hint="eastAsia"/>
          <w:color w:val="auto"/>
          <w:highlight w:val="none"/>
        </w:rPr>
        <w:t>委托人免费向监理人提供其他人员：在监理服务期间，委托人不免费向监理人提供工作人员和服务人员。</w:t>
      </w:r>
    </w:p>
    <w:p>
      <w:pPr>
        <w:pStyle w:val="4"/>
        <w:spacing w:before="624" w:beforeLines="200" w:after="312" w:afterLines="100"/>
        <w:rPr>
          <w:color w:val="auto"/>
          <w:highlight w:val="none"/>
        </w:rPr>
      </w:pPr>
      <w:bookmarkStart w:id="86" w:name="_Toc299140220"/>
      <w:bookmarkStart w:id="87" w:name="_Toc480642891"/>
      <w:bookmarkStart w:id="88" w:name="_Toc480633071"/>
      <w:bookmarkStart w:id="89" w:name="_Toc67169555"/>
      <w:bookmarkStart w:id="90" w:name="_Toc4187"/>
      <w:r>
        <w:rPr>
          <w:rFonts w:hint="eastAsia"/>
          <w:color w:val="auto"/>
          <w:highlight w:val="none"/>
        </w:rPr>
        <w:t>监理人权利</w:t>
      </w:r>
      <w:bookmarkEnd w:id="86"/>
      <w:bookmarkEnd w:id="87"/>
      <w:bookmarkEnd w:id="88"/>
      <w:bookmarkEnd w:id="89"/>
      <w:bookmarkEnd w:id="90"/>
    </w:p>
    <w:p>
      <w:pPr>
        <w:pStyle w:val="33"/>
        <w:spacing w:before="312" w:beforeLines="100" w:beforeAutospacing="0" w:after="0" w:afterAutospacing="0"/>
        <w:ind w:firstLine="531" w:firstLineChars="218"/>
        <w:rPr>
          <w:color w:val="auto"/>
          <w:highlight w:val="none"/>
        </w:rPr>
      </w:pPr>
      <w:r>
        <w:rPr>
          <w:rFonts w:hint="eastAsia"/>
          <w:b/>
          <w:color w:val="auto"/>
          <w:spacing w:val="2"/>
          <w:kern w:val="2"/>
          <w:position w:val="2"/>
          <w:highlight w:val="none"/>
        </w:rPr>
        <w:t xml:space="preserve">第十七条  </w:t>
      </w:r>
      <w:r>
        <w:rPr>
          <w:rFonts w:hint="eastAsia"/>
          <w:color w:val="auto"/>
          <w:highlight w:val="none"/>
        </w:rPr>
        <w:t>监理人在委托人委托的工程范围内，享有以下权利：</w:t>
      </w:r>
    </w:p>
    <w:p>
      <w:pPr>
        <w:pStyle w:val="33"/>
        <w:spacing w:before="0" w:beforeAutospacing="0" w:after="0" w:afterAutospacing="0"/>
        <w:ind w:firstLine="523" w:firstLineChars="218"/>
        <w:rPr>
          <w:color w:val="auto"/>
          <w:highlight w:val="none"/>
        </w:rPr>
      </w:pPr>
      <w:r>
        <w:rPr>
          <w:rFonts w:hint="eastAsia"/>
          <w:color w:val="auto"/>
          <w:highlight w:val="none"/>
        </w:rPr>
        <w:t>17.1、除选择工程分包人的认可权须由委托人最终确认外，监理人可以行使本合同</w:t>
      </w:r>
      <w:r>
        <w:rPr>
          <w:rFonts w:hint="eastAsia"/>
          <w:color w:val="auto"/>
          <w:highlight w:val="none"/>
          <w:u w:val="wave"/>
        </w:rPr>
        <w:t>通用条款第十七条</w:t>
      </w:r>
      <w:r>
        <w:rPr>
          <w:rFonts w:hint="eastAsia"/>
          <w:color w:val="auto"/>
          <w:highlight w:val="none"/>
        </w:rPr>
        <w:t>约定的权利。</w:t>
      </w:r>
    </w:p>
    <w:p>
      <w:pPr>
        <w:pStyle w:val="33"/>
        <w:spacing w:before="0" w:beforeAutospacing="0" w:after="0" w:afterAutospacing="0"/>
        <w:ind w:firstLine="523" w:firstLineChars="218"/>
        <w:rPr>
          <w:color w:val="auto"/>
          <w:highlight w:val="none"/>
        </w:rPr>
      </w:pPr>
      <w:r>
        <w:rPr>
          <w:rFonts w:hint="eastAsia"/>
          <w:color w:val="auto"/>
          <w:highlight w:val="none"/>
        </w:rPr>
        <w:t>17.2、委托人授予监理人的其他权利：</w:t>
      </w:r>
      <w:r>
        <w:rPr>
          <w:rFonts w:hint="eastAsia"/>
          <w:color w:val="auto"/>
          <w:highlight w:val="none"/>
          <w:u w:val="single"/>
        </w:rPr>
        <w:t>在工程承包合同中约定或另行书面授予的权利</w:t>
      </w:r>
      <w:r>
        <w:rPr>
          <w:rFonts w:hint="eastAsia"/>
          <w:color w:val="auto"/>
          <w:highlight w:val="none"/>
        </w:rPr>
        <w:t>。</w:t>
      </w:r>
    </w:p>
    <w:p>
      <w:pPr>
        <w:pStyle w:val="4"/>
        <w:spacing w:before="624" w:beforeLines="200" w:after="312" w:afterLines="100"/>
        <w:rPr>
          <w:color w:val="auto"/>
          <w:highlight w:val="none"/>
        </w:rPr>
      </w:pPr>
      <w:bookmarkStart w:id="91" w:name="_Toc299140221"/>
      <w:bookmarkStart w:id="92" w:name="_Toc480642892"/>
      <w:bookmarkStart w:id="93" w:name="_Toc67169556"/>
      <w:bookmarkStart w:id="94" w:name="_Toc480633072"/>
      <w:bookmarkStart w:id="95" w:name="_Toc9853"/>
      <w:r>
        <w:rPr>
          <w:rFonts w:hint="eastAsia"/>
          <w:color w:val="auto"/>
          <w:highlight w:val="none"/>
        </w:rPr>
        <w:t>监理人责任</w:t>
      </w:r>
      <w:bookmarkEnd w:id="91"/>
      <w:bookmarkEnd w:id="92"/>
      <w:bookmarkEnd w:id="93"/>
      <w:bookmarkEnd w:id="94"/>
      <w:bookmarkEnd w:id="95"/>
    </w:p>
    <w:p>
      <w:pPr>
        <w:pStyle w:val="33"/>
        <w:spacing w:before="312" w:beforeLines="100" w:beforeAutospacing="0" w:after="0" w:afterAutospacing="0"/>
        <w:ind w:firstLine="531" w:firstLineChars="218"/>
        <w:rPr>
          <w:color w:val="auto"/>
          <w:highlight w:val="none"/>
        </w:rPr>
      </w:pPr>
      <w:r>
        <w:rPr>
          <w:rFonts w:hint="eastAsia"/>
          <w:b/>
          <w:color w:val="auto"/>
          <w:spacing w:val="2"/>
          <w:kern w:val="2"/>
          <w:position w:val="2"/>
          <w:highlight w:val="none"/>
        </w:rPr>
        <w:t>第二十六条</w:t>
      </w:r>
      <w:r>
        <w:rPr>
          <w:rFonts w:hint="eastAsia"/>
          <w:color w:val="auto"/>
          <w:spacing w:val="2"/>
          <w:kern w:val="2"/>
          <w:position w:val="2"/>
          <w:highlight w:val="none"/>
        </w:rPr>
        <w:t xml:space="preserve">  </w:t>
      </w:r>
      <w:r>
        <w:rPr>
          <w:rFonts w:hint="eastAsia"/>
          <w:color w:val="auto"/>
          <w:highlight w:val="none"/>
        </w:rPr>
        <w:t>监理人在责任期内，应当履行约定的义务，如果因监理人未正确或完全履行约定的义务，需承担违约责任并向委托人支付违约金；如果因监理人原因而造成了委托人的经济损失，应当向委托人赔偿。</w:t>
      </w:r>
    </w:p>
    <w:p>
      <w:pPr>
        <w:pStyle w:val="33"/>
        <w:spacing w:before="0" w:beforeAutospacing="0" w:after="0" w:afterAutospacing="0"/>
        <w:ind w:firstLine="523" w:firstLineChars="218"/>
        <w:rPr>
          <w:color w:val="auto"/>
          <w:highlight w:val="none"/>
        </w:rPr>
      </w:pPr>
      <w:r>
        <w:rPr>
          <w:rFonts w:hint="eastAsia"/>
          <w:color w:val="auto"/>
          <w:highlight w:val="none"/>
        </w:rPr>
        <w:t>26.1、监理人违约责任及违约金额标准：</w:t>
      </w:r>
    </w:p>
    <w:p>
      <w:pPr>
        <w:pStyle w:val="33"/>
        <w:spacing w:before="0" w:beforeAutospacing="0" w:after="0" w:afterAutospacing="0"/>
        <w:ind w:firstLine="523" w:firstLineChars="218"/>
        <w:rPr>
          <w:color w:val="auto"/>
          <w:highlight w:val="none"/>
        </w:rPr>
      </w:pPr>
      <w:r>
        <w:rPr>
          <w:rFonts w:hint="eastAsia"/>
          <w:color w:val="auto"/>
          <w:highlight w:val="none"/>
        </w:rPr>
        <w:t>26.1.1监理人承担违约责任的方式及违约金额标准：</w:t>
      </w:r>
    </w:p>
    <w:p>
      <w:pPr>
        <w:pStyle w:val="33"/>
        <w:spacing w:before="0" w:beforeAutospacing="0" w:after="0" w:afterAutospacing="0"/>
        <w:ind w:firstLine="523" w:firstLineChars="218"/>
        <w:rPr>
          <w:color w:val="auto"/>
          <w:highlight w:val="none"/>
        </w:rPr>
      </w:pPr>
      <w:r>
        <w:rPr>
          <w:rFonts w:hint="eastAsia"/>
          <w:color w:val="auto"/>
          <w:highlight w:val="none"/>
        </w:rPr>
        <w:t>监理人违反本合同的约定，应当按约定向委托人承担相应的违约责任，承担违约责任方式包括但不限于：</w:t>
      </w:r>
    </w:p>
    <w:p>
      <w:pPr>
        <w:pStyle w:val="94"/>
        <w:ind w:firstLine="496"/>
        <w:rPr>
          <w:rFonts w:ascii="宋体" w:hAnsi="宋体"/>
          <w:bCs/>
          <w:color w:val="auto"/>
          <w:highlight w:val="none"/>
        </w:rPr>
      </w:pPr>
      <w:r>
        <w:rPr>
          <w:rFonts w:hint="eastAsia" w:ascii="宋体" w:hAnsi="宋体"/>
          <w:bCs/>
          <w:color w:val="auto"/>
          <w:highlight w:val="none"/>
        </w:rPr>
        <w:t>（</w:t>
      </w:r>
      <w:r>
        <w:rPr>
          <w:bCs/>
          <w:color w:val="auto"/>
          <w:highlight w:val="none"/>
        </w:rPr>
        <w:t>1</w:t>
      </w:r>
      <w:r>
        <w:rPr>
          <w:rFonts w:hint="eastAsia" w:ascii="宋体" w:hAnsi="宋体"/>
          <w:bCs/>
          <w:color w:val="auto"/>
          <w:highlight w:val="none"/>
        </w:rPr>
        <w:t>）限期改正。</w:t>
      </w:r>
      <w:r>
        <w:rPr>
          <w:rFonts w:hint="eastAsia"/>
          <w:bCs/>
          <w:color w:val="auto"/>
          <w:highlight w:val="none"/>
        </w:rPr>
        <w:t>监理人未履行或未按时履行或未按质履行义务时，委托人有权提出书面警告，监理人必须在委托人限定的时间内履行义务。每一次书面警告必须向委托人交纳违约金</w:t>
      </w:r>
      <w:r>
        <w:rPr>
          <w:rFonts w:hint="eastAsia"/>
          <w:bCs/>
          <w:color w:val="auto"/>
          <w:highlight w:val="none"/>
          <w:u w:val="single"/>
        </w:rPr>
        <w:t xml:space="preserve">  /   </w:t>
      </w:r>
      <w:r>
        <w:rPr>
          <w:rFonts w:hint="eastAsia"/>
          <w:bCs/>
          <w:color w:val="auto"/>
          <w:highlight w:val="none"/>
        </w:rPr>
        <w:t>元。</w:t>
      </w:r>
    </w:p>
    <w:p>
      <w:pPr>
        <w:pStyle w:val="94"/>
        <w:ind w:firstLine="496"/>
        <w:rPr>
          <w:rFonts w:ascii="宋体" w:hAnsi="宋体"/>
          <w:bCs/>
          <w:color w:val="auto"/>
          <w:highlight w:val="none"/>
        </w:rPr>
      </w:pPr>
      <w:r>
        <w:rPr>
          <w:rFonts w:hint="eastAsia" w:ascii="宋体" w:hAnsi="宋体"/>
          <w:bCs/>
          <w:color w:val="auto"/>
          <w:highlight w:val="none"/>
        </w:rPr>
        <w:t>（</w:t>
      </w:r>
      <w:r>
        <w:rPr>
          <w:bCs/>
          <w:color w:val="auto"/>
          <w:highlight w:val="none"/>
        </w:rPr>
        <w:t>2</w:t>
      </w:r>
      <w:r>
        <w:rPr>
          <w:rFonts w:hint="eastAsia" w:ascii="宋体" w:hAnsi="宋体"/>
          <w:bCs/>
          <w:color w:val="auto"/>
          <w:highlight w:val="none"/>
        </w:rPr>
        <w:t>）</w:t>
      </w:r>
      <w:r>
        <w:rPr>
          <w:rFonts w:hint="eastAsia"/>
          <w:bCs/>
          <w:color w:val="auto"/>
          <w:highlight w:val="none"/>
        </w:rPr>
        <w:t>一般违约责任。监理人按本合同约定应当承担一般违约责任时，必须向委托人交纳违约金人民币</w:t>
      </w:r>
      <w:r>
        <w:rPr>
          <w:rFonts w:hint="eastAsia"/>
          <w:bCs/>
          <w:color w:val="auto"/>
          <w:highlight w:val="none"/>
          <w:u w:val="single"/>
        </w:rPr>
        <w:t xml:space="preserve"> 5000 </w:t>
      </w:r>
      <w:r>
        <w:rPr>
          <w:rFonts w:hint="eastAsia"/>
          <w:bCs/>
          <w:color w:val="auto"/>
          <w:highlight w:val="none"/>
        </w:rPr>
        <w:t xml:space="preserve">元/次或监理费的 </w:t>
      </w:r>
      <w:r>
        <w:rPr>
          <w:rFonts w:hint="eastAsia"/>
          <w:bCs/>
          <w:color w:val="auto"/>
          <w:highlight w:val="none"/>
          <w:u w:val="single"/>
        </w:rPr>
        <w:t xml:space="preserve">1% </w:t>
      </w:r>
      <w:r>
        <w:rPr>
          <w:rFonts w:hint="eastAsia"/>
          <w:bCs/>
          <w:color w:val="auto"/>
          <w:highlight w:val="none"/>
        </w:rPr>
        <w:t>每次（二者取大值）。</w:t>
      </w:r>
    </w:p>
    <w:p>
      <w:pPr>
        <w:pStyle w:val="94"/>
        <w:ind w:firstLine="496"/>
        <w:rPr>
          <w:rFonts w:ascii="宋体" w:hAnsi="宋体"/>
          <w:bCs/>
          <w:color w:val="auto"/>
          <w:highlight w:val="none"/>
        </w:rPr>
      </w:pPr>
      <w:r>
        <w:rPr>
          <w:rFonts w:hint="eastAsia" w:ascii="宋体" w:hAnsi="宋体"/>
          <w:bCs/>
          <w:color w:val="auto"/>
          <w:highlight w:val="none"/>
        </w:rPr>
        <w:t>（</w:t>
      </w:r>
      <w:r>
        <w:rPr>
          <w:bCs/>
          <w:color w:val="auto"/>
          <w:highlight w:val="none"/>
        </w:rPr>
        <w:t>3</w:t>
      </w:r>
      <w:r>
        <w:rPr>
          <w:rFonts w:hint="eastAsia" w:ascii="宋体" w:hAnsi="宋体"/>
          <w:bCs/>
          <w:color w:val="auto"/>
          <w:highlight w:val="none"/>
        </w:rPr>
        <w:t>）</w:t>
      </w:r>
      <w:r>
        <w:rPr>
          <w:rFonts w:hint="eastAsia"/>
          <w:bCs/>
          <w:color w:val="auto"/>
          <w:highlight w:val="none"/>
        </w:rPr>
        <w:t xml:space="preserve">严重违约责任。监理人按本合同约定应当承担严重违约责任时，必须每次按监理费的 </w:t>
      </w:r>
      <w:r>
        <w:rPr>
          <w:rFonts w:hint="eastAsia"/>
          <w:bCs/>
          <w:color w:val="auto"/>
          <w:highlight w:val="none"/>
          <w:u w:val="single"/>
        </w:rPr>
        <w:t>5%</w:t>
      </w:r>
      <w:r>
        <w:rPr>
          <w:rFonts w:hint="eastAsia"/>
          <w:bCs/>
          <w:color w:val="auto"/>
          <w:highlight w:val="none"/>
        </w:rPr>
        <w:t>向委托人交纳违约金。</w:t>
      </w:r>
    </w:p>
    <w:p>
      <w:pPr>
        <w:pStyle w:val="94"/>
        <w:ind w:firstLine="496"/>
        <w:rPr>
          <w:rFonts w:ascii="宋体" w:hAnsi="宋体"/>
          <w:bCs/>
          <w:color w:val="auto"/>
          <w:highlight w:val="none"/>
        </w:rPr>
      </w:pPr>
      <w:r>
        <w:rPr>
          <w:rFonts w:hAnsi="宋体"/>
          <w:bCs/>
          <w:color w:val="auto"/>
          <w:highlight w:val="none"/>
        </w:rPr>
        <w:t>（</w:t>
      </w:r>
      <w:r>
        <w:rPr>
          <w:bCs/>
          <w:color w:val="auto"/>
          <w:highlight w:val="none"/>
        </w:rPr>
        <w:t>4</w:t>
      </w:r>
      <w:r>
        <w:rPr>
          <w:rFonts w:hint="eastAsia" w:ascii="宋体" w:hAnsi="宋体"/>
          <w:bCs/>
          <w:color w:val="auto"/>
          <w:highlight w:val="none"/>
        </w:rPr>
        <w:t>）</w:t>
      </w:r>
      <w:r>
        <w:rPr>
          <w:rFonts w:hint="eastAsia"/>
          <w:bCs/>
          <w:color w:val="auto"/>
          <w:highlight w:val="none"/>
        </w:rPr>
        <w:t>部分解除合同。委托人向监理人发出部分解除合同通知后，本合同部分解除即生效，监理人必须在7日内停止被解除部分的工作，14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并且，委托人有权视情况全部解除合同；因监理人拒交或延误交接现场工作和有关资料而引致委托人工期延误及其它方面的损失，委托人有权要求监理人赔偿有关损失。委托人在发出部分解除合同的通知后，委托人即可委托新的监理人承接该部分工程。同时，监理人不得影响或阻碍新的监理人办理进场手续和相关工作。</w:t>
      </w:r>
    </w:p>
    <w:p>
      <w:pPr>
        <w:pStyle w:val="94"/>
        <w:ind w:firstLine="496"/>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解除合同。委托人向监理人发出解除合同通知后，本合同即解除，监理人必须在7日内停止全部工作，14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同时，监理人不得影响或阻碍新的监理人办理进场手续和相关工作。</w:t>
      </w:r>
    </w:p>
    <w:p>
      <w:pPr>
        <w:pStyle w:val="94"/>
        <w:ind w:firstLine="496"/>
        <w:rPr>
          <w:rFonts w:hAnsi="宋体"/>
          <w:bCs/>
          <w:color w:val="auto"/>
          <w:highlight w:val="none"/>
        </w:rPr>
      </w:pPr>
      <w:r>
        <w:rPr>
          <w:rFonts w:hAnsi="宋体"/>
          <w:bCs/>
          <w:color w:val="auto"/>
          <w:highlight w:val="none"/>
        </w:rPr>
        <w:t>（6</w:t>
      </w:r>
      <w:r>
        <w:rPr>
          <w:rFonts w:hint="eastAsia" w:hAnsi="宋体"/>
          <w:bCs/>
          <w:color w:val="auto"/>
          <w:highlight w:val="none"/>
        </w:rPr>
        <w:t>）赔偿损失。因监理人违约或工作失误给委托人造成损失的，监理人应向委托人全额赔偿损失。</w:t>
      </w:r>
    </w:p>
    <w:p>
      <w:pPr>
        <w:pStyle w:val="94"/>
        <w:ind w:firstLine="496"/>
        <w:rPr>
          <w:rFonts w:hAnsi="宋体"/>
          <w:bCs/>
          <w:color w:val="auto"/>
          <w:highlight w:val="none"/>
        </w:rPr>
      </w:pPr>
      <w:r>
        <w:rPr>
          <w:rFonts w:hint="eastAsia" w:hAnsi="宋体"/>
          <w:bCs/>
          <w:color w:val="auto"/>
          <w:highlight w:val="none"/>
        </w:rPr>
        <w:t>（7）五次限期改正责任相当于一次一般违约责任，五次一般违约责任相当于一次严重违约责任，累计五次严重违约责任，委托人有权单方部分或全部解除合同。</w:t>
      </w:r>
    </w:p>
    <w:p>
      <w:pPr>
        <w:pStyle w:val="94"/>
        <w:ind w:firstLine="496"/>
        <w:rPr>
          <w:rFonts w:hAnsi="宋体"/>
          <w:bCs/>
          <w:color w:val="auto"/>
          <w:highlight w:val="none"/>
        </w:rPr>
      </w:pPr>
      <w:r>
        <w:rPr>
          <w:rFonts w:hint="eastAsia" w:hAnsi="宋体"/>
          <w:bCs/>
          <w:color w:val="auto"/>
          <w:highlight w:val="none"/>
        </w:rPr>
        <w:t>26.1.2、监理人违约责任：</w:t>
      </w:r>
    </w:p>
    <w:p>
      <w:pPr>
        <w:pStyle w:val="94"/>
        <w:ind w:firstLine="496"/>
        <w:rPr>
          <w:rFonts w:hAnsi="宋体"/>
          <w:bCs/>
          <w:color w:val="auto"/>
          <w:highlight w:val="none"/>
        </w:rPr>
      </w:pPr>
      <w:r>
        <w:rPr>
          <w:rFonts w:hint="eastAsia" w:hAnsi="宋体"/>
          <w:bCs/>
          <w:color w:val="auto"/>
          <w:highlight w:val="none"/>
        </w:rPr>
        <w:t>26.1.2.1、监理组织管理方面的违约责任：</w:t>
      </w:r>
    </w:p>
    <w:p>
      <w:pPr>
        <w:pStyle w:val="94"/>
        <w:ind w:firstLine="496"/>
        <w:rPr>
          <w:rFonts w:hAnsi="宋体"/>
          <w:bCs/>
          <w:color w:val="auto"/>
          <w:highlight w:val="none"/>
        </w:rPr>
      </w:pPr>
      <w:r>
        <w:rPr>
          <w:rFonts w:hint="eastAsia"/>
          <w:bCs/>
          <w:color w:val="auto"/>
          <w:highlight w:val="none"/>
        </w:rPr>
        <w:t>监理人未按承诺建立组织架构、派驻监理人员的、监理人应按下述约定承担违约责任，情况严重的，委托人有权单方面解除合同，给委托人造成损失的，监理人承担赔偿责任。</w:t>
      </w:r>
    </w:p>
    <w:p>
      <w:pPr>
        <w:pStyle w:val="94"/>
        <w:ind w:firstLine="496"/>
        <w:rPr>
          <w:rFonts w:hAnsi="宋体"/>
          <w:bCs/>
          <w:color w:val="auto"/>
          <w:highlight w:val="none"/>
        </w:rPr>
      </w:pPr>
      <w:r>
        <w:rPr>
          <w:rFonts w:hint="eastAsia" w:hAnsi="宋体"/>
          <w:bCs/>
          <w:color w:val="auto"/>
          <w:highlight w:val="none"/>
        </w:rPr>
        <w:t>（1）在委托人书面通知监理人进场后5日内，监理人承诺的总监理工程师不到位，或到位后又离开，造成该岗位空缺，委托人一旦发现，将要求监理人做出书面解释并保证人员限期到位，监理人承担限期改正违约责任1次；如果监理人拒不配合，未在委托人提出限期改正的期限内进行整改的，监理人应承担一般违约责任1次，且委托人</w:t>
      </w:r>
      <w:r>
        <w:rPr>
          <w:rFonts w:hint="eastAsia"/>
          <w:bCs/>
          <w:color w:val="auto"/>
          <w:highlight w:val="none"/>
        </w:rPr>
        <w:t>有权单方面解除合同并要求监理人赔偿损失。</w:t>
      </w:r>
    </w:p>
    <w:p>
      <w:pPr>
        <w:pStyle w:val="94"/>
        <w:ind w:firstLine="496"/>
        <w:rPr>
          <w:rFonts w:hAnsi="宋体"/>
          <w:bCs/>
          <w:color w:val="auto"/>
          <w:highlight w:val="none"/>
        </w:rPr>
      </w:pPr>
      <w:r>
        <w:rPr>
          <w:rFonts w:hint="eastAsia" w:hAnsi="宋体"/>
          <w:bCs/>
          <w:color w:val="auto"/>
          <w:highlight w:val="none"/>
        </w:rPr>
        <w:t>（2）依据经委托人批准的监理人员进场计划，监理人承诺的主要监理人员在应进场后7日内尚未进场的，委托人一旦发现将要求监理人做出书面解释并保证人员限期到位，监理人承担限期改正违约责任1次；如果监理人拒不配合，未在委托人提出限期改正的期限内进行整改的，监理人应承担一般违约责任1次，且委托人</w:t>
      </w:r>
      <w:r>
        <w:rPr>
          <w:rFonts w:hint="eastAsia"/>
          <w:bCs/>
          <w:color w:val="auto"/>
          <w:highlight w:val="none"/>
        </w:rPr>
        <w:t>有权单方面解除合同并要求监理人赔偿损失。</w:t>
      </w:r>
    </w:p>
    <w:p>
      <w:pPr>
        <w:pStyle w:val="94"/>
        <w:ind w:firstLine="496"/>
        <w:rPr>
          <w:rFonts w:hAnsi="宋体"/>
          <w:bCs/>
          <w:color w:val="auto"/>
          <w:highlight w:val="none"/>
        </w:rPr>
      </w:pPr>
      <w:r>
        <w:rPr>
          <w:rFonts w:hint="eastAsia" w:hAnsi="宋体"/>
          <w:bCs/>
          <w:color w:val="auto"/>
          <w:highlight w:val="none"/>
        </w:rPr>
        <w:t>（3）监理人如需要调换总监理工程师及主要监理人员，必须事先征得、委托人书面同意。如监理人未经委托人书面同意，擅自调换总监理工程师且不能限期改正的，承担严重违约责任1次；如能够限期改正的，承担一般违约责任1次，监理人承担违约责任不免除监理人限期更换合格人员的责任；擅自调换主要监理人员且不能限期改正的，承担一般违约责任1人.次，监理人承担违约责任不免除监理人限期更换合格人员的责任；如能够限期改正的，承担限期改正违约责任1人.次。</w:t>
      </w:r>
    </w:p>
    <w:p>
      <w:pPr>
        <w:pStyle w:val="94"/>
        <w:ind w:firstLine="496"/>
        <w:rPr>
          <w:rFonts w:hAnsi="宋体"/>
          <w:bCs/>
          <w:color w:val="auto"/>
          <w:highlight w:val="none"/>
        </w:rPr>
      </w:pPr>
      <w:r>
        <w:rPr>
          <w:rFonts w:hint="eastAsia" w:hAnsi="宋体"/>
          <w:bCs/>
          <w:color w:val="auto"/>
          <w:highlight w:val="none"/>
        </w:rPr>
        <w:t>（4）如果委托人要求监理人更换不称职监理人员，监理人未在规定时限内更换合格的监理人员的，视为岗位空缺，按上述第（1）或第（2）条承担违约责任。</w:t>
      </w:r>
    </w:p>
    <w:p>
      <w:pPr>
        <w:pStyle w:val="94"/>
        <w:ind w:firstLine="496"/>
        <w:rPr>
          <w:rFonts w:ascii="宋体" w:hAnsi="宋体"/>
          <w:bCs/>
          <w:color w:val="auto"/>
          <w:highlight w:val="none"/>
        </w:rPr>
      </w:pPr>
      <w:r>
        <w:rPr>
          <w:rFonts w:hint="eastAsia" w:hAnsi="宋体"/>
          <w:bCs/>
          <w:color w:val="auto"/>
          <w:highlight w:val="none"/>
        </w:rPr>
        <w:t>（5）总监理工程师离开现场1天以上，其他监理人员离开现场3天以上的，</w:t>
      </w:r>
      <w:r>
        <w:rPr>
          <w:rFonts w:hint="eastAsia" w:ascii="宋体" w:hAnsi="宋体"/>
          <w:bCs/>
          <w:color w:val="auto"/>
          <w:highlight w:val="none"/>
        </w:rPr>
        <w:t>需报委托人批准，在其请假离开的时间段内应书面委托其他监理工程师（需具有相应资质和能力）全权代表其行使职权；否则视为违约，每违约一次，监理人承担一般违约责任1次。</w:t>
      </w:r>
    </w:p>
    <w:p>
      <w:pPr>
        <w:pStyle w:val="94"/>
        <w:ind w:firstLine="496"/>
        <w:rPr>
          <w:rFonts w:hAnsi="宋体"/>
          <w:bCs/>
          <w:color w:val="auto"/>
          <w:highlight w:val="none"/>
        </w:rPr>
      </w:pPr>
      <w:r>
        <w:rPr>
          <w:rFonts w:hint="eastAsia" w:hAnsi="宋体"/>
          <w:bCs/>
          <w:color w:val="auto"/>
          <w:highlight w:val="none"/>
        </w:rPr>
        <w:t>（6）委托人要求总监理工程师必须参加的会议，总监理工程师必须到会，未经委托人同意不到会者，监理人应当承担限期改正责任1次。</w:t>
      </w:r>
    </w:p>
    <w:p>
      <w:pPr>
        <w:pStyle w:val="94"/>
        <w:ind w:firstLine="496"/>
        <w:rPr>
          <w:rFonts w:ascii="宋体" w:hAnsi="宋体"/>
          <w:bCs/>
          <w:color w:val="auto"/>
          <w:highlight w:val="none"/>
        </w:rPr>
      </w:pPr>
      <w:r>
        <w:rPr>
          <w:rFonts w:hint="eastAsia" w:ascii="宋体" w:hAnsi="宋体"/>
          <w:bCs/>
          <w:color w:val="auto"/>
          <w:highlight w:val="none"/>
        </w:rPr>
        <w:t>（</w:t>
      </w:r>
      <w:r>
        <w:rPr>
          <w:rFonts w:hint="eastAsia"/>
          <w:bCs/>
          <w:color w:val="auto"/>
          <w:highlight w:val="none"/>
        </w:rPr>
        <w:t>7</w:t>
      </w:r>
      <w:r>
        <w:rPr>
          <w:rFonts w:hint="eastAsia" w:ascii="宋体" w:hAnsi="宋体"/>
          <w:bCs/>
          <w:color w:val="auto"/>
          <w:highlight w:val="none"/>
        </w:rPr>
        <w:t>）监理人在自己职责范围内对应当作出决定的事项故意拖延或者不作出明确的处理意见，监理人必须限期改正并承担限期改正违约责任1次。</w:t>
      </w:r>
    </w:p>
    <w:p>
      <w:pPr>
        <w:pStyle w:val="94"/>
        <w:ind w:firstLine="496"/>
        <w:rPr>
          <w:rFonts w:ascii="宋体" w:hAnsi="宋体"/>
          <w:bCs/>
          <w:color w:val="auto"/>
          <w:highlight w:val="none"/>
        </w:rPr>
      </w:pPr>
      <w:r>
        <w:rPr>
          <w:rFonts w:hint="eastAsia" w:ascii="宋体" w:hAnsi="宋体"/>
          <w:bCs/>
          <w:color w:val="auto"/>
          <w:highlight w:val="none"/>
        </w:rPr>
        <w:t>（</w:t>
      </w:r>
      <w:r>
        <w:rPr>
          <w:rFonts w:hint="eastAsia"/>
          <w:bCs/>
          <w:color w:val="auto"/>
          <w:highlight w:val="none"/>
        </w:rPr>
        <w:t>8</w:t>
      </w:r>
      <w:r>
        <w:rPr>
          <w:rFonts w:hint="eastAsia" w:ascii="宋体" w:hAnsi="宋体"/>
          <w:bCs/>
          <w:color w:val="auto"/>
          <w:highlight w:val="none"/>
        </w:rPr>
        <w:t>）监理人在编制监理实施细则中，应按监理规范列明需监理人旁站的工序，并应得到委托人的批准。工程施工过程中，需要监理人进行旁站监督的，监理人没有到场，或者到场后没有进行监督，或发现质量问题后没有及时处理，且没有向委托人报告，监理人承担一般违约责任1次。</w:t>
      </w:r>
    </w:p>
    <w:p>
      <w:pPr>
        <w:pStyle w:val="94"/>
        <w:ind w:firstLine="496"/>
        <w:rPr>
          <w:rFonts w:hAnsi="宋体"/>
          <w:bCs/>
          <w:color w:val="auto"/>
          <w:highlight w:val="none"/>
        </w:rPr>
      </w:pPr>
      <w:r>
        <w:rPr>
          <w:rFonts w:hint="eastAsia" w:hAnsi="宋体"/>
          <w:bCs/>
          <w:color w:val="auto"/>
          <w:highlight w:val="none"/>
        </w:rPr>
        <w:t>26.1.2.2、</w:t>
      </w:r>
      <w:r>
        <w:rPr>
          <w:rFonts w:hint="eastAsia" w:ascii="宋体" w:hAnsi="宋体"/>
          <w:bCs/>
          <w:color w:val="auto"/>
          <w:highlight w:val="none"/>
        </w:rPr>
        <w:t>质量控制方面的违约责任</w:t>
      </w:r>
      <w:r>
        <w:rPr>
          <w:rFonts w:hint="eastAsia" w:hAnsi="宋体"/>
          <w:bCs/>
          <w:color w:val="auto"/>
          <w:highlight w:val="none"/>
        </w:rPr>
        <w:t>：</w:t>
      </w:r>
    </w:p>
    <w:p>
      <w:pPr>
        <w:pStyle w:val="94"/>
        <w:ind w:firstLine="496"/>
        <w:rPr>
          <w:bCs/>
          <w:color w:val="auto"/>
          <w:highlight w:val="none"/>
        </w:rPr>
      </w:pPr>
      <w:r>
        <w:rPr>
          <w:rFonts w:hint="eastAsia"/>
          <w:bCs/>
          <w:color w:val="auto"/>
          <w:highlight w:val="none"/>
        </w:rPr>
        <w:t>监理人未正确或未完全履行合同约定的质量控制监理职责的，监理人应按下述约定承担违约责任，情况严重的，委托人有权单方面解除合同，给委托人造成损失的，监理人承担赔偿责任。</w:t>
      </w:r>
    </w:p>
    <w:p>
      <w:pPr>
        <w:pStyle w:val="94"/>
        <w:ind w:firstLine="496"/>
        <w:rPr>
          <w:bCs/>
          <w:color w:val="auto"/>
          <w:highlight w:val="none"/>
        </w:rPr>
      </w:pPr>
      <w:r>
        <w:rPr>
          <w:rFonts w:hint="eastAsia"/>
          <w:bCs/>
          <w:color w:val="auto"/>
          <w:highlight w:val="none"/>
        </w:rPr>
        <w:t>（1）监理人对于承包人未提交合理的专项施工方案、或者未按照方案进行施工、未提交相关的结构计算书，而允许施工单位进行施工的，监理人承担一般违约责任1次。因此而导致的重大质量安全事故的，委托人有权视情况的严重程度部分或者全部解除合同，并要求监理人赔偿损失。</w:t>
      </w:r>
    </w:p>
    <w:p>
      <w:pPr>
        <w:pStyle w:val="94"/>
        <w:ind w:firstLine="496"/>
        <w:rPr>
          <w:rFonts w:ascii="宋体" w:hAnsi="宋体"/>
          <w:bCs/>
          <w:color w:val="auto"/>
          <w:highlight w:val="none"/>
        </w:rPr>
      </w:pPr>
      <w:r>
        <w:rPr>
          <w:rFonts w:hint="eastAsia" w:ascii="宋体" w:hAnsi="宋体"/>
          <w:bCs/>
          <w:color w:val="auto"/>
          <w:highlight w:val="none"/>
        </w:rPr>
        <w:t>（2）监理人对于承包人每次进场材料不进行检查和登记，或者对已进场的材料不按有关规定及时进行抽查、送检的，监理人必须限期改正并承担限期改正违约责任1次；如因此出现不合格材料使用于工程建设并造成质量缺陷的，监理人承担一般违约责任1次；如因此出现质量事故或经济损失达10万元/次以上的，监理人承担严重违约责任1次；如因此造成重大质量安全事故（按国家规定界定）的，监理人委托人有权视情况的严重程度部分解除合同或解除合同</w:t>
      </w:r>
      <w:r>
        <w:rPr>
          <w:rFonts w:hint="eastAsia"/>
          <w:bCs/>
          <w:color w:val="auto"/>
          <w:highlight w:val="none"/>
        </w:rPr>
        <w:t>并要求监理人赔偿损失</w:t>
      </w:r>
      <w:r>
        <w:rPr>
          <w:rFonts w:hint="eastAsia" w:ascii="宋体" w:hAnsi="宋体"/>
          <w:bCs/>
          <w:color w:val="auto"/>
          <w:highlight w:val="none"/>
        </w:rPr>
        <w:t>，同时，委托人保留追究监理人的其他法律责任的权利。</w:t>
      </w:r>
    </w:p>
    <w:p>
      <w:pPr>
        <w:pStyle w:val="94"/>
        <w:ind w:firstLine="496"/>
        <w:rPr>
          <w:rFonts w:ascii="宋体" w:hAnsi="宋体"/>
          <w:bCs/>
          <w:color w:val="auto"/>
          <w:highlight w:val="none"/>
        </w:rPr>
      </w:pPr>
      <w:r>
        <w:rPr>
          <w:rFonts w:hint="eastAsia" w:ascii="宋体" w:hAnsi="宋体"/>
          <w:bCs/>
          <w:color w:val="auto"/>
          <w:highlight w:val="none"/>
        </w:rPr>
        <w:t>（3）承包人的施工质量经监理人检验为合格，但经委托人或工程质量监督机构抽查，发现存在质量不合格或未按设计要求和有关规范进行施工情形的，监理人承担一般违约1次；情节严重的，监理人承担严重违约责任1次。</w:t>
      </w:r>
    </w:p>
    <w:p>
      <w:pPr>
        <w:pStyle w:val="94"/>
        <w:ind w:firstLine="496"/>
        <w:rPr>
          <w:bCs/>
          <w:color w:val="auto"/>
          <w:highlight w:val="none"/>
        </w:rPr>
      </w:pPr>
      <w:r>
        <w:rPr>
          <w:rFonts w:hint="eastAsia" w:ascii="宋体" w:hAnsi="宋体"/>
          <w:bCs/>
          <w:color w:val="auto"/>
          <w:highlight w:val="none"/>
        </w:rPr>
        <w:t>（4）监理人发出错误指令或自身失误或失职等</w:t>
      </w:r>
      <w:r>
        <w:rPr>
          <w:rFonts w:hint="eastAsia"/>
          <w:bCs/>
          <w:color w:val="auto"/>
          <w:highlight w:val="none"/>
        </w:rPr>
        <w:t xml:space="preserve">因监理人责任造成质量事故，需要返工的，监理人应承担严重违约责任，扣减该部分的监理报酬。 </w:t>
      </w:r>
    </w:p>
    <w:p>
      <w:pPr>
        <w:pStyle w:val="94"/>
        <w:ind w:firstLine="496"/>
        <w:rPr>
          <w:rFonts w:ascii="宋体" w:hAnsi="宋体"/>
          <w:bCs/>
          <w:color w:val="auto"/>
          <w:highlight w:val="none"/>
        </w:rPr>
      </w:pPr>
      <w:r>
        <w:rPr>
          <w:rFonts w:hint="eastAsia" w:ascii="宋体" w:hAnsi="宋体"/>
          <w:bCs/>
          <w:color w:val="auto"/>
          <w:highlight w:val="none"/>
        </w:rPr>
        <w:t>（5）监理人发出错误指令或自身失误或失职等</w:t>
      </w:r>
      <w:r>
        <w:rPr>
          <w:rFonts w:hint="eastAsia"/>
          <w:bCs/>
          <w:color w:val="auto"/>
          <w:highlight w:val="none"/>
        </w:rPr>
        <w:t>因监理人责任所导致工程（各分部、单位及整体工程）质量一次性验收不符合质量目标时，监理人应承担严重违约责任，按相应工程造价占总工程造价的比例扣除监理人监理报酬。</w:t>
      </w:r>
    </w:p>
    <w:p>
      <w:pPr>
        <w:pStyle w:val="94"/>
        <w:ind w:firstLine="496"/>
        <w:rPr>
          <w:rFonts w:ascii="宋体" w:hAnsi="宋体"/>
          <w:bCs/>
          <w:color w:val="auto"/>
          <w:highlight w:val="none"/>
        </w:rPr>
      </w:pPr>
      <w:r>
        <w:rPr>
          <w:rFonts w:hint="eastAsia" w:hAnsi="宋体"/>
          <w:bCs/>
          <w:color w:val="auto"/>
          <w:highlight w:val="none"/>
        </w:rPr>
        <w:t>26.1.2.3、</w:t>
      </w:r>
      <w:r>
        <w:rPr>
          <w:rFonts w:hint="eastAsia" w:ascii="宋体" w:hAnsi="宋体"/>
          <w:bCs/>
          <w:color w:val="auto"/>
          <w:highlight w:val="none"/>
        </w:rPr>
        <w:t>投资控制方面的违约责任：</w:t>
      </w:r>
    </w:p>
    <w:p>
      <w:pPr>
        <w:pStyle w:val="94"/>
        <w:ind w:firstLine="496"/>
        <w:rPr>
          <w:bCs/>
          <w:color w:val="auto"/>
          <w:highlight w:val="none"/>
        </w:rPr>
      </w:pPr>
      <w:r>
        <w:rPr>
          <w:rFonts w:hint="eastAsia"/>
          <w:bCs/>
          <w:color w:val="auto"/>
          <w:highlight w:val="none"/>
        </w:rPr>
        <w:t>监理人未正确或未完全履行合同约定的投资控制监理职责的，监理人应按下述约定承担违约责任，情况严重的，委托人有权单方面解除合同，给委托人造成损失的，监理人承担赔偿责任。</w:t>
      </w:r>
    </w:p>
    <w:p>
      <w:pPr>
        <w:pStyle w:val="94"/>
        <w:ind w:firstLine="496"/>
        <w:rPr>
          <w:bCs/>
          <w:color w:val="auto"/>
          <w:highlight w:val="none"/>
        </w:rPr>
      </w:pPr>
      <w:r>
        <w:rPr>
          <w:rFonts w:hint="eastAsia"/>
          <w:bCs/>
          <w:color w:val="auto"/>
          <w:highlight w:val="none"/>
        </w:rPr>
        <w:t>（1）对于承包人提交的现场签证资料，监理人未有准确、真实的现场原始记录或不进行现场复核就给予签认，经委托人检查，发现签认的文件有误的，除必须立即改正外，监理人必须承担一般违约责任1次；对签证错误有可能给委托人造成直接经济损失50万元（含50万元）以上的按严重违约1次处理。</w:t>
      </w:r>
    </w:p>
    <w:p>
      <w:pPr>
        <w:pStyle w:val="94"/>
        <w:ind w:firstLine="496"/>
        <w:rPr>
          <w:rFonts w:ascii="宋体" w:hAnsi="宋体"/>
          <w:bCs/>
          <w:color w:val="auto"/>
          <w:highlight w:val="none"/>
        </w:rPr>
      </w:pPr>
      <w:r>
        <w:rPr>
          <w:rFonts w:hint="eastAsia" w:ascii="宋体" w:hAnsi="宋体"/>
          <w:bCs/>
          <w:color w:val="auto"/>
          <w:highlight w:val="none"/>
        </w:rPr>
        <w:t>（2）监理人对承包人提交的施工方案、设计变更等技术文件中明显不符合现场实际，会引起委托人投资增加，不进行认真审核、不进行优化就给予同意的，应限期改正，并承担一般违约责任1次；情节严重的，承担严重违约责任1次。</w:t>
      </w:r>
    </w:p>
    <w:p>
      <w:pPr>
        <w:pStyle w:val="94"/>
        <w:ind w:firstLine="496"/>
        <w:rPr>
          <w:rFonts w:ascii="宋体" w:hAnsi="宋体"/>
          <w:bCs/>
          <w:color w:val="auto"/>
          <w:highlight w:val="none"/>
        </w:rPr>
      </w:pPr>
      <w:r>
        <w:rPr>
          <w:rFonts w:hint="eastAsia" w:ascii="宋体" w:hAnsi="宋体"/>
          <w:bCs/>
          <w:color w:val="auto"/>
          <w:highlight w:val="none"/>
        </w:rPr>
        <w:t>（3）监理人对于承包人提交的请款报告，不按实际完成的工作量进行审核，或对不合格工程却同意计量支付，或者计量数量严重不实、资料不齐全却同意计量支付、或不按本合同要求签署拨款意见的，应限期改正并承担限期改正违约责任1次；如果已支付从而造成委托人超形象进度、超合同支付工程款达10万元（含10万元）以上，或监理人审核的当期支付金额与经过委托人复核的实际应付金额存在正负10％以上误差的，承担一般违约责任1次，情节严重的，承担严重违约责任1次。</w:t>
      </w:r>
    </w:p>
    <w:p>
      <w:pPr>
        <w:pStyle w:val="94"/>
        <w:ind w:firstLine="496"/>
        <w:rPr>
          <w:rFonts w:ascii="宋体" w:hAnsi="宋体"/>
          <w:bCs/>
          <w:color w:val="auto"/>
          <w:highlight w:val="none"/>
        </w:rPr>
      </w:pPr>
      <w:r>
        <w:rPr>
          <w:rFonts w:hint="eastAsia" w:ascii="宋体" w:hAnsi="宋体"/>
          <w:bCs/>
          <w:color w:val="auto"/>
          <w:highlight w:val="none"/>
        </w:rPr>
        <w:t>（4）对于工程施工过程中出现的工程变更，如当月由委托人确定的工程变更的单价较监理人审定的单价的差值大于正负10%以上的情况累计出现8宗以上，或由委托人确定的工程变更的总价较监理人审定的总价的差值大于正负10%以上的情况累计出现3宗以上，监理人承担一般违约责任1次。</w:t>
      </w:r>
    </w:p>
    <w:p>
      <w:pPr>
        <w:pStyle w:val="94"/>
        <w:ind w:firstLine="496"/>
        <w:rPr>
          <w:rFonts w:ascii="宋体" w:hAnsi="宋体"/>
          <w:bCs/>
          <w:color w:val="auto"/>
          <w:highlight w:val="none"/>
        </w:rPr>
      </w:pPr>
      <w:r>
        <w:rPr>
          <w:rFonts w:hint="eastAsia" w:ascii="宋体" w:hAnsi="宋体"/>
          <w:bCs/>
          <w:color w:val="auto"/>
          <w:highlight w:val="none"/>
        </w:rPr>
        <w:t>26.1.2.4</w:t>
      </w:r>
      <w:r>
        <w:rPr>
          <w:rFonts w:hint="eastAsia" w:hAnsi="宋体"/>
          <w:bCs/>
          <w:color w:val="auto"/>
          <w:highlight w:val="none"/>
        </w:rPr>
        <w:t>、</w:t>
      </w:r>
      <w:r>
        <w:rPr>
          <w:rFonts w:hint="eastAsia" w:ascii="宋体" w:hAnsi="宋体"/>
          <w:bCs/>
          <w:color w:val="auto"/>
          <w:highlight w:val="none"/>
        </w:rPr>
        <w:t>进度控制方面的违约责任：</w:t>
      </w:r>
    </w:p>
    <w:p>
      <w:pPr>
        <w:pStyle w:val="94"/>
        <w:ind w:firstLine="496"/>
        <w:rPr>
          <w:bCs/>
          <w:color w:val="auto"/>
          <w:highlight w:val="none"/>
        </w:rPr>
      </w:pPr>
      <w:r>
        <w:rPr>
          <w:rFonts w:hint="eastAsia"/>
          <w:bCs/>
          <w:color w:val="auto"/>
          <w:highlight w:val="none"/>
        </w:rPr>
        <w:t>监理人未正确或未完全履行合同约定的进度控制监理职责的，监理人应按下述约定承担违约责任，情况严重的，委托人有权单方面解除合同，给委托人造成损失的，监理人承担赔偿责任。</w:t>
      </w:r>
    </w:p>
    <w:p>
      <w:pPr>
        <w:pStyle w:val="94"/>
        <w:ind w:firstLine="496"/>
        <w:rPr>
          <w:bCs/>
          <w:color w:val="auto"/>
          <w:highlight w:val="none"/>
        </w:rPr>
      </w:pPr>
      <w:r>
        <w:rPr>
          <w:rFonts w:hint="eastAsia"/>
          <w:bCs/>
          <w:color w:val="auto"/>
          <w:highlight w:val="none"/>
        </w:rPr>
        <w:t>（1）工程施工的关键线路工期因承包人原因比计划滞后7日以上（包括7日），监理人未及时预见、未及时提出整改措施，未及时监督承包人整改，未及时向委托人报告，对整个工程的按期完工不能起到监管作用，监理人必须承担一般违约责任1次。由此出现关键工期滞后14天以上（含14天），监理人必须承担严重违约责任1次。由此出现关键线路工期滞后21天以上（含21天）并确实表明监理人在进度控制上作用失效，委托人有权部分或全部解除合同。</w:t>
      </w:r>
    </w:p>
    <w:p>
      <w:pPr>
        <w:pStyle w:val="94"/>
        <w:ind w:firstLine="496"/>
        <w:rPr>
          <w:bCs/>
          <w:color w:val="auto"/>
          <w:highlight w:val="none"/>
        </w:rPr>
      </w:pPr>
      <w:r>
        <w:rPr>
          <w:rFonts w:hint="eastAsia" w:ascii="宋体" w:hAnsi="宋体"/>
          <w:bCs/>
          <w:color w:val="auto"/>
          <w:highlight w:val="none"/>
        </w:rPr>
        <w:t>（2）发出错误指令或自身失误或失职等</w:t>
      </w:r>
      <w:r>
        <w:rPr>
          <w:rFonts w:hint="eastAsia"/>
          <w:bCs/>
          <w:color w:val="auto"/>
          <w:highlight w:val="none"/>
        </w:rPr>
        <w:t>因监理人责任导致工程竣工拖延的，依据拖延的日数，监理人应每日按监理报酬总额的</w:t>
      </w:r>
      <w:r>
        <w:rPr>
          <w:rFonts w:hint="eastAsia"/>
          <w:bCs/>
          <w:color w:val="auto"/>
          <w:highlight w:val="none"/>
          <w:u w:val="single"/>
        </w:rPr>
        <w:t xml:space="preserve"> 1 </w:t>
      </w:r>
      <w:r>
        <w:rPr>
          <w:rFonts w:hint="eastAsia"/>
          <w:bCs/>
          <w:color w:val="auto"/>
          <w:highlight w:val="none"/>
        </w:rPr>
        <w:t xml:space="preserve"> %向委托人支付违约金。</w:t>
      </w:r>
    </w:p>
    <w:p>
      <w:pPr>
        <w:pStyle w:val="94"/>
        <w:ind w:firstLine="496"/>
        <w:rPr>
          <w:rFonts w:ascii="宋体" w:hAnsi="宋体"/>
          <w:bCs/>
          <w:color w:val="auto"/>
          <w:highlight w:val="none"/>
        </w:rPr>
      </w:pPr>
      <w:r>
        <w:rPr>
          <w:rFonts w:hint="eastAsia" w:ascii="宋体" w:hAnsi="宋体"/>
          <w:bCs/>
          <w:color w:val="auto"/>
          <w:highlight w:val="none"/>
        </w:rPr>
        <w:t>26.1.2.5</w:t>
      </w:r>
      <w:r>
        <w:rPr>
          <w:rFonts w:hint="eastAsia" w:hAnsi="宋体"/>
          <w:bCs/>
          <w:color w:val="auto"/>
          <w:highlight w:val="none"/>
        </w:rPr>
        <w:t>、</w:t>
      </w:r>
      <w:r>
        <w:rPr>
          <w:rFonts w:hint="eastAsia"/>
          <w:bCs/>
          <w:color w:val="auto"/>
          <w:highlight w:val="none"/>
        </w:rPr>
        <w:t>合同管理方面的违约责任</w:t>
      </w:r>
      <w:r>
        <w:rPr>
          <w:rFonts w:hint="eastAsia" w:ascii="宋体" w:hAnsi="宋体"/>
          <w:bCs/>
          <w:color w:val="auto"/>
          <w:highlight w:val="none"/>
        </w:rPr>
        <w:t>：</w:t>
      </w:r>
    </w:p>
    <w:p>
      <w:pPr>
        <w:pStyle w:val="94"/>
        <w:ind w:firstLine="496"/>
        <w:rPr>
          <w:bCs/>
          <w:color w:val="auto"/>
          <w:highlight w:val="none"/>
        </w:rPr>
      </w:pPr>
      <w:r>
        <w:rPr>
          <w:rFonts w:hint="eastAsia"/>
          <w:bCs/>
          <w:color w:val="auto"/>
          <w:highlight w:val="none"/>
        </w:rPr>
        <w:t>监理人未正确或未完全履行合同约定的合同管理监理职责的，监理人应按下述约定承担违约责任，情况严重的，委托人有权单方面解除合同，给委托人造成损失的，监理人承担赔偿责任。</w:t>
      </w:r>
    </w:p>
    <w:p>
      <w:pPr>
        <w:pStyle w:val="94"/>
        <w:ind w:firstLine="496"/>
        <w:rPr>
          <w:rFonts w:ascii="宋体" w:hAnsi="宋体"/>
          <w:bCs/>
          <w:color w:val="auto"/>
          <w:highlight w:val="none"/>
        </w:rPr>
      </w:pPr>
      <w:r>
        <w:rPr>
          <w:rFonts w:hint="eastAsia" w:ascii="宋体" w:hAnsi="宋体"/>
          <w:bCs/>
          <w:color w:val="auto"/>
          <w:highlight w:val="none"/>
        </w:rPr>
        <w:t>（1）监理人对于承包人现场的管理机构人员不到位、擅自离场，管理人员工作能力存在严重不足等存在的问题不进行有效检查、督促、处理，且不向委托人报告的，监理人必须限期改正并承担限期改正违约责任1次。</w:t>
      </w:r>
    </w:p>
    <w:p>
      <w:pPr>
        <w:pStyle w:val="94"/>
        <w:ind w:firstLine="496"/>
        <w:rPr>
          <w:bCs/>
          <w:color w:val="auto"/>
          <w:highlight w:val="none"/>
        </w:rPr>
      </w:pPr>
      <w:r>
        <w:rPr>
          <w:rFonts w:hint="eastAsia" w:ascii="宋体" w:hAnsi="宋体"/>
          <w:bCs/>
          <w:color w:val="auto"/>
          <w:highlight w:val="none"/>
        </w:rPr>
        <w:t>（2）监理人对于承包人未按承诺投入机械、设备、材料等存在的问题不进行有效检查、督促、处理，且不向委托人报告的，监理人必须限期改正并承担限期改正违约责任1次。</w:t>
      </w:r>
    </w:p>
    <w:p>
      <w:pPr>
        <w:pStyle w:val="94"/>
        <w:ind w:firstLine="496"/>
        <w:rPr>
          <w:rFonts w:ascii="宋体" w:hAnsi="宋体"/>
          <w:bCs/>
          <w:color w:val="auto"/>
          <w:highlight w:val="none"/>
        </w:rPr>
      </w:pPr>
      <w:r>
        <w:rPr>
          <w:rFonts w:hint="eastAsia" w:ascii="宋体" w:hAnsi="宋体"/>
          <w:bCs/>
          <w:color w:val="auto"/>
          <w:highlight w:val="none"/>
        </w:rPr>
        <w:t>26.1.2.6</w:t>
      </w:r>
      <w:r>
        <w:rPr>
          <w:rFonts w:hint="eastAsia" w:hAnsi="宋体"/>
          <w:bCs/>
          <w:color w:val="auto"/>
          <w:highlight w:val="none"/>
        </w:rPr>
        <w:t>、</w:t>
      </w:r>
      <w:r>
        <w:rPr>
          <w:rFonts w:hint="eastAsia" w:ascii="宋体" w:hAnsi="宋体"/>
          <w:bCs/>
          <w:color w:val="auto"/>
          <w:highlight w:val="none"/>
        </w:rPr>
        <w:t>安全文明施工管理方面的违约责任：</w:t>
      </w:r>
    </w:p>
    <w:p>
      <w:pPr>
        <w:pStyle w:val="94"/>
        <w:ind w:firstLine="496"/>
        <w:rPr>
          <w:bCs/>
          <w:color w:val="auto"/>
          <w:highlight w:val="none"/>
        </w:rPr>
      </w:pPr>
      <w:r>
        <w:rPr>
          <w:rFonts w:hint="eastAsia" w:ascii="宋体" w:hAnsi="宋体"/>
          <w:bCs/>
          <w:color w:val="auto"/>
          <w:highlight w:val="none"/>
        </w:rPr>
        <w:t>监理人未正确或未完全履行合同约定的安全文明施工管理监理职责的，监理人应按下述约定承担违约责任，情况严重的，委托人有权单方面解除合同，</w:t>
      </w:r>
      <w:r>
        <w:rPr>
          <w:rFonts w:hint="eastAsia"/>
          <w:bCs/>
          <w:color w:val="auto"/>
          <w:highlight w:val="none"/>
        </w:rPr>
        <w:t>给委托人造成损失的，监理人承担赔偿责任。</w:t>
      </w:r>
    </w:p>
    <w:p>
      <w:pPr>
        <w:pStyle w:val="94"/>
        <w:ind w:firstLine="496"/>
        <w:rPr>
          <w:bCs/>
          <w:color w:val="auto"/>
          <w:highlight w:val="none"/>
        </w:rPr>
      </w:pPr>
      <w:r>
        <w:rPr>
          <w:rFonts w:hint="eastAsia"/>
          <w:bCs/>
          <w:color w:val="auto"/>
          <w:highlight w:val="none"/>
        </w:rPr>
        <w:t>（1）工程施工承包人没有做好文明施工措施，没有按有关规定做到安全生产，监理人未及时发现、不督促承包人进行整改，不作及时处理，不及时向、委托人报告，被委托人发现后，监理人除必须限期改正外，每发生一次，监理人必须承担限期改正责任1次。由此而发生安全生产事故，或被上级主管部门通报批评、被新闻媒体曝光的，监理人应承担严重违约责任1次。</w:t>
      </w:r>
    </w:p>
    <w:p>
      <w:pPr>
        <w:pStyle w:val="94"/>
        <w:ind w:firstLine="496"/>
        <w:rPr>
          <w:rFonts w:hint="eastAsia"/>
          <w:bCs/>
          <w:color w:val="auto"/>
          <w:highlight w:val="none"/>
        </w:rPr>
      </w:pPr>
      <w:r>
        <w:rPr>
          <w:rFonts w:hint="eastAsia"/>
          <w:bCs/>
          <w:color w:val="auto"/>
          <w:highlight w:val="none"/>
        </w:rPr>
        <w:t>（2）监理单位未按照委托方相关安全生产管理办法进行考评的，监理人除必须限期改正外，每发生一次，监理人必须承担限期改正责任1次。</w:t>
      </w:r>
    </w:p>
    <w:p>
      <w:pPr>
        <w:pStyle w:val="94"/>
        <w:ind w:firstLine="496"/>
        <w:rPr>
          <w:rFonts w:hint="eastAsia"/>
          <w:bCs/>
          <w:color w:val="auto"/>
          <w:highlight w:val="none"/>
        </w:rPr>
      </w:pPr>
      <w:r>
        <w:rPr>
          <w:rFonts w:hint="eastAsia"/>
          <w:bCs/>
          <w:color w:val="auto"/>
          <w:highlight w:val="none"/>
        </w:rPr>
        <w:t>（3）委托方工程管理部组织监理单位对施工单位进行安全月度考评，以委托方建设项目安全生产管理办法的检查表进行检查，每月度进行评分考评，评分结果按下述原则进行处罚：</w:t>
      </w:r>
    </w:p>
    <w:p>
      <w:pPr>
        <w:pStyle w:val="94"/>
        <w:ind w:firstLine="496"/>
        <w:rPr>
          <w:rFonts w:hint="eastAsia"/>
          <w:bCs/>
          <w:color w:val="auto"/>
          <w:highlight w:val="none"/>
        </w:rPr>
      </w:pPr>
      <w:r>
        <w:rPr>
          <w:rFonts w:hint="eastAsia"/>
          <w:bCs/>
          <w:color w:val="auto"/>
          <w:highlight w:val="none"/>
        </w:rPr>
        <w:t>1）低于75分扣除施工单位本月安全文明措施费，扣除监理单位20000元；</w:t>
      </w:r>
    </w:p>
    <w:p>
      <w:pPr>
        <w:pStyle w:val="94"/>
        <w:ind w:firstLine="496"/>
        <w:rPr>
          <w:rFonts w:hint="eastAsia"/>
          <w:bCs/>
          <w:color w:val="auto"/>
          <w:highlight w:val="none"/>
        </w:rPr>
      </w:pPr>
      <w:r>
        <w:rPr>
          <w:rFonts w:hint="eastAsia"/>
          <w:bCs/>
          <w:color w:val="auto"/>
          <w:highlight w:val="none"/>
        </w:rPr>
        <w:t>2）76至80分扣除本月50%安全文明措施费；扣除监理单位10000元；</w:t>
      </w:r>
    </w:p>
    <w:p>
      <w:pPr>
        <w:pStyle w:val="94"/>
        <w:ind w:firstLine="496"/>
        <w:rPr>
          <w:rFonts w:hint="eastAsia"/>
          <w:bCs/>
          <w:color w:val="auto"/>
          <w:highlight w:val="none"/>
        </w:rPr>
      </w:pPr>
      <w:r>
        <w:rPr>
          <w:rFonts w:hint="eastAsia"/>
          <w:bCs/>
          <w:color w:val="auto"/>
          <w:highlight w:val="none"/>
        </w:rPr>
        <w:t>3）81分至85分扣除本月25%安全文明施工措施费；扣除监理单位5000元；</w:t>
      </w:r>
    </w:p>
    <w:p>
      <w:pPr>
        <w:pStyle w:val="94"/>
        <w:ind w:firstLine="496"/>
        <w:rPr>
          <w:rFonts w:hint="eastAsia"/>
          <w:bCs/>
          <w:color w:val="auto"/>
          <w:highlight w:val="none"/>
        </w:rPr>
      </w:pPr>
      <w:r>
        <w:rPr>
          <w:rFonts w:hint="eastAsia"/>
          <w:bCs/>
          <w:color w:val="auto"/>
          <w:highlight w:val="none"/>
        </w:rPr>
        <w:t>4）86分以上支付本月度全额安全文明施工措施费及监理服务费；两次月度安全考评在80分以下的，约谈单位负责人。</w:t>
      </w:r>
    </w:p>
    <w:p>
      <w:pPr>
        <w:pStyle w:val="94"/>
        <w:ind w:firstLine="496"/>
        <w:rPr>
          <w:rFonts w:hint="eastAsia"/>
          <w:bCs/>
          <w:color w:val="auto"/>
          <w:highlight w:val="none"/>
        </w:rPr>
      </w:pPr>
      <w:r>
        <w:rPr>
          <w:rFonts w:hint="eastAsia"/>
          <w:bCs/>
          <w:color w:val="auto"/>
          <w:highlight w:val="none"/>
        </w:rPr>
        <w:t>三次及以上月度安全考评在80分以下，将采取更换负责人及安全员措施，必要时清退更换班组人员或清退施工单位，并列入公司黑名单。</w:t>
      </w:r>
    </w:p>
    <w:p>
      <w:pPr>
        <w:pStyle w:val="94"/>
        <w:ind w:firstLine="496"/>
        <w:rPr>
          <w:bCs/>
          <w:color w:val="auto"/>
          <w:highlight w:val="none"/>
        </w:rPr>
      </w:pPr>
    </w:p>
    <w:p>
      <w:pPr>
        <w:pStyle w:val="94"/>
        <w:ind w:firstLine="496"/>
        <w:rPr>
          <w:rFonts w:hAnsi="宋体"/>
          <w:bCs/>
          <w:color w:val="auto"/>
          <w:highlight w:val="none"/>
        </w:rPr>
      </w:pPr>
      <w:r>
        <w:rPr>
          <w:rFonts w:hint="eastAsia" w:ascii="宋体" w:hAnsi="宋体"/>
          <w:bCs/>
          <w:color w:val="auto"/>
          <w:highlight w:val="none"/>
        </w:rPr>
        <w:t>26.1.2.7</w:t>
      </w:r>
      <w:r>
        <w:rPr>
          <w:rFonts w:hint="eastAsia" w:hAnsi="宋体"/>
          <w:bCs/>
          <w:color w:val="auto"/>
          <w:highlight w:val="none"/>
        </w:rPr>
        <w:t>、监理职业操守方面的违约责任：</w:t>
      </w:r>
    </w:p>
    <w:p>
      <w:pPr>
        <w:pStyle w:val="94"/>
        <w:ind w:firstLine="496"/>
        <w:rPr>
          <w:rFonts w:hAnsi="宋体"/>
          <w:bCs/>
          <w:color w:val="auto"/>
          <w:highlight w:val="none"/>
        </w:rPr>
      </w:pPr>
      <w:r>
        <w:rPr>
          <w:rFonts w:hint="eastAsia" w:hAnsi="宋体"/>
          <w:bCs/>
          <w:color w:val="auto"/>
          <w:highlight w:val="none"/>
        </w:rPr>
        <w:t>监理人必须加强监理人员职业操守的教育，本项目监理人员需共同遵守监理人员职业道德守则，并严格遵守以下规定：</w:t>
      </w:r>
    </w:p>
    <w:p>
      <w:pPr>
        <w:pStyle w:val="94"/>
        <w:ind w:firstLine="496"/>
        <w:rPr>
          <w:rFonts w:hAnsi="宋体"/>
          <w:bCs/>
          <w:color w:val="auto"/>
          <w:highlight w:val="none"/>
        </w:rPr>
      </w:pPr>
      <w:r>
        <w:rPr>
          <w:rFonts w:hint="eastAsia" w:ascii="宋体" w:hAnsi="宋体"/>
          <w:bCs/>
          <w:color w:val="auto"/>
          <w:highlight w:val="none"/>
        </w:rPr>
        <w:t>（1）</w:t>
      </w:r>
      <w:r>
        <w:rPr>
          <w:rFonts w:hint="eastAsia" w:hAnsi="宋体"/>
          <w:bCs/>
          <w:color w:val="auto"/>
          <w:highlight w:val="none"/>
        </w:rPr>
        <w:t>禁止向委托人及承包人推销材料、设备，或以倾向性、排他性变相推销；</w:t>
      </w:r>
    </w:p>
    <w:p>
      <w:pPr>
        <w:pStyle w:val="94"/>
        <w:ind w:firstLine="496"/>
        <w:rPr>
          <w:rFonts w:hAnsi="宋体"/>
          <w:bCs/>
          <w:color w:val="auto"/>
          <w:highlight w:val="none"/>
        </w:rPr>
      </w:pPr>
      <w:r>
        <w:rPr>
          <w:rFonts w:hint="eastAsia" w:ascii="宋体" w:hAnsi="宋体"/>
          <w:bCs/>
          <w:color w:val="auto"/>
          <w:highlight w:val="none"/>
        </w:rPr>
        <w:t>（2）</w:t>
      </w:r>
      <w:r>
        <w:rPr>
          <w:rFonts w:hint="eastAsia" w:hAnsi="宋体"/>
          <w:bCs/>
          <w:color w:val="auto"/>
          <w:highlight w:val="none"/>
        </w:rPr>
        <w:t>禁止与承包人串通，对不合格材料、产品、工程进行包庇及验收；</w:t>
      </w:r>
    </w:p>
    <w:p>
      <w:pPr>
        <w:pStyle w:val="94"/>
        <w:ind w:firstLine="496"/>
        <w:rPr>
          <w:rFonts w:hAnsi="宋体"/>
          <w:bCs/>
          <w:color w:val="auto"/>
          <w:highlight w:val="none"/>
        </w:rPr>
      </w:pPr>
      <w:r>
        <w:rPr>
          <w:rFonts w:hint="eastAsia" w:ascii="宋体" w:hAnsi="宋体"/>
          <w:bCs/>
          <w:color w:val="auto"/>
          <w:highlight w:val="none"/>
        </w:rPr>
        <w:t>（3）</w:t>
      </w:r>
      <w:r>
        <w:rPr>
          <w:rFonts w:hint="eastAsia" w:hAnsi="宋体"/>
          <w:bCs/>
          <w:color w:val="auto"/>
          <w:highlight w:val="none"/>
        </w:rPr>
        <w:t>禁止与承包人串通，对材料用量、工程量进行虚假签认；</w:t>
      </w:r>
    </w:p>
    <w:p>
      <w:pPr>
        <w:pStyle w:val="94"/>
        <w:ind w:firstLine="0" w:firstLineChars="0"/>
        <w:rPr>
          <w:rFonts w:hAnsi="宋体"/>
          <w:bCs/>
          <w:color w:val="auto"/>
          <w:highlight w:val="none"/>
        </w:rPr>
      </w:pPr>
      <w:r>
        <w:rPr>
          <w:rFonts w:hint="eastAsia" w:ascii="宋体" w:hAnsi="宋体"/>
          <w:bCs/>
          <w:color w:val="auto"/>
          <w:highlight w:val="none"/>
        </w:rPr>
        <w:t xml:space="preserve">   （4）</w:t>
      </w:r>
      <w:r>
        <w:rPr>
          <w:rFonts w:hint="eastAsia" w:hAnsi="宋体"/>
          <w:bCs/>
          <w:color w:val="auto"/>
          <w:highlight w:val="none"/>
        </w:rPr>
        <w:t>禁止与承包人串通，不合理提高施工难度及增加材料用量，以增大施工费用，获取不正当收益；</w:t>
      </w:r>
    </w:p>
    <w:p>
      <w:pPr>
        <w:pStyle w:val="94"/>
        <w:ind w:firstLine="496"/>
        <w:rPr>
          <w:rFonts w:hAnsi="宋体"/>
          <w:bCs/>
          <w:color w:val="auto"/>
          <w:highlight w:val="none"/>
        </w:rPr>
      </w:pPr>
      <w:r>
        <w:rPr>
          <w:rFonts w:hint="eastAsia" w:ascii="宋体" w:hAnsi="宋体"/>
          <w:bCs/>
          <w:color w:val="auto"/>
          <w:highlight w:val="none"/>
        </w:rPr>
        <w:t>（5）</w:t>
      </w:r>
      <w:r>
        <w:rPr>
          <w:rFonts w:hint="eastAsia" w:hAnsi="宋体"/>
          <w:bCs/>
          <w:color w:val="auto"/>
          <w:highlight w:val="none"/>
        </w:rPr>
        <w:t>禁止接受承包人的请吃送礼，或变相受礼；</w:t>
      </w:r>
    </w:p>
    <w:p>
      <w:pPr>
        <w:pStyle w:val="94"/>
        <w:ind w:firstLine="496"/>
        <w:rPr>
          <w:rFonts w:hAnsi="宋体"/>
          <w:bCs/>
          <w:color w:val="auto"/>
          <w:highlight w:val="none"/>
        </w:rPr>
      </w:pPr>
      <w:r>
        <w:rPr>
          <w:rFonts w:hint="eastAsia" w:ascii="宋体" w:hAnsi="宋体"/>
          <w:bCs/>
          <w:color w:val="auto"/>
          <w:highlight w:val="none"/>
        </w:rPr>
        <w:t>（6）</w:t>
      </w:r>
      <w:r>
        <w:rPr>
          <w:rFonts w:hint="eastAsia" w:hAnsi="宋体"/>
          <w:bCs/>
          <w:color w:val="auto"/>
          <w:highlight w:val="none"/>
        </w:rPr>
        <w:t>禁止故意刁难承包人以谋取私利，损害委托人的合法利益。</w:t>
      </w:r>
    </w:p>
    <w:p>
      <w:pPr>
        <w:pStyle w:val="94"/>
        <w:ind w:firstLine="496"/>
        <w:rPr>
          <w:rFonts w:hAnsi="宋体"/>
          <w:bCs/>
          <w:color w:val="auto"/>
          <w:highlight w:val="none"/>
        </w:rPr>
      </w:pPr>
      <w:r>
        <w:rPr>
          <w:rFonts w:hint="eastAsia" w:hAnsi="宋体"/>
          <w:bCs/>
          <w:color w:val="auto"/>
          <w:highlight w:val="none"/>
        </w:rPr>
        <w:t>凡违反以上任一规定者，一经查实，按一次一般违约处理，情节严重的，监理人必须承担严重违约责任1次，并且有权向有关部门反映情况，追究监理人及有关责任人相关责任，要求赔偿相应损失，并将上述违反职业道德的行为通过新闻媒体公诸于众，情节严重者移交司法机关追究法律责任。</w:t>
      </w:r>
    </w:p>
    <w:p>
      <w:pPr>
        <w:pStyle w:val="94"/>
        <w:ind w:firstLine="496"/>
        <w:rPr>
          <w:rFonts w:ascii="宋体" w:hAnsi="宋体"/>
          <w:bCs/>
          <w:color w:val="auto"/>
          <w:highlight w:val="none"/>
        </w:rPr>
      </w:pPr>
      <w:r>
        <w:rPr>
          <w:rFonts w:ascii="宋体" w:hAnsi="宋体"/>
          <w:bCs/>
          <w:color w:val="auto"/>
          <w:highlight w:val="none"/>
        </w:rPr>
        <w:t>26.</w:t>
      </w:r>
      <w:r>
        <w:rPr>
          <w:rFonts w:hint="eastAsia" w:ascii="宋体" w:hAnsi="宋体"/>
          <w:bCs/>
          <w:color w:val="auto"/>
          <w:highlight w:val="none"/>
        </w:rPr>
        <w:t>1.3、监理人违约责任的认定方式及送达程序</w:t>
      </w:r>
    </w:p>
    <w:p>
      <w:pPr>
        <w:pStyle w:val="94"/>
        <w:ind w:firstLine="0" w:firstLineChars="0"/>
        <w:rPr>
          <w:color w:val="auto"/>
          <w:highlight w:val="none"/>
        </w:rPr>
      </w:pPr>
      <w:r>
        <w:rPr>
          <w:rFonts w:hint="eastAsia"/>
          <w:color w:val="auto"/>
          <w:highlight w:val="none"/>
        </w:rPr>
        <w:t xml:space="preserve">    （1）认定方式：以委托人发出的通知、通报、会议纪要等书面文件确定的内容为准。</w:t>
      </w:r>
    </w:p>
    <w:p>
      <w:pPr>
        <w:pStyle w:val="94"/>
        <w:ind w:firstLine="0" w:firstLineChars="0"/>
        <w:rPr>
          <w:color w:val="auto"/>
          <w:highlight w:val="none"/>
        </w:rPr>
      </w:pPr>
      <w:r>
        <w:rPr>
          <w:rFonts w:hint="eastAsia"/>
          <w:color w:val="auto"/>
          <w:highlight w:val="none"/>
        </w:rPr>
        <w:t xml:space="preserve">    （2）送达程序：委托人通过下列方式之一将书面违约处理决定送达监理人：</w:t>
      </w:r>
    </w:p>
    <w:p>
      <w:pPr>
        <w:pStyle w:val="94"/>
        <w:ind w:firstLine="496"/>
        <w:rPr>
          <w:color w:val="auto"/>
          <w:highlight w:val="none"/>
        </w:rPr>
      </w:pPr>
      <w:r>
        <w:rPr>
          <w:rFonts w:hint="eastAsia"/>
          <w:color w:val="auto"/>
          <w:highlight w:val="none"/>
        </w:rPr>
        <w:t>a监理人现场管理机构工作人员签收；</w:t>
      </w:r>
    </w:p>
    <w:p>
      <w:pPr>
        <w:pStyle w:val="94"/>
        <w:ind w:firstLine="496"/>
        <w:rPr>
          <w:color w:val="auto"/>
          <w:highlight w:val="none"/>
        </w:rPr>
      </w:pPr>
      <w:r>
        <w:rPr>
          <w:rFonts w:hint="eastAsia"/>
          <w:color w:val="auto"/>
          <w:highlight w:val="none"/>
        </w:rPr>
        <w:t>b监理人其他工作人员签收；</w:t>
      </w:r>
    </w:p>
    <w:p>
      <w:pPr>
        <w:pStyle w:val="94"/>
        <w:ind w:firstLine="496"/>
        <w:rPr>
          <w:color w:val="auto"/>
          <w:highlight w:val="none"/>
        </w:rPr>
      </w:pPr>
      <w:r>
        <w:rPr>
          <w:rFonts w:hint="eastAsia"/>
          <w:color w:val="auto"/>
          <w:highlight w:val="none"/>
        </w:rPr>
        <w:t>c委托人邮寄送达。</w:t>
      </w:r>
    </w:p>
    <w:p>
      <w:pPr>
        <w:pStyle w:val="94"/>
        <w:ind w:firstLine="496"/>
        <w:rPr>
          <w:color w:val="auto"/>
          <w:highlight w:val="none"/>
        </w:rPr>
      </w:pPr>
      <w:r>
        <w:rPr>
          <w:rFonts w:hint="eastAsia"/>
          <w:color w:val="auto"/>
          <w:highlight w:val="none"/>
        </w:rPr>
        <w:t>（3）委托人以书面形式作出的违约处理决定一经送达监理人立即生效。监理人如有足够证据证明不应由其承担违约责任的，应在收到违约处理决定后3天内以书面形式向委托人提出异议并附上有关证据。委托人在收到监理人的异议后15天内审核完毕，作出书面决定并通知监理人。</w:t>
      </w:r>
    </w:p>
    <w:p>
      <w:pPr>
        <w:pStyle w:val="94"/>
        <w:ind w:firstLine="496"/>
        <w:rPr>
          <w:color w:val="auto"/>
          <w:highlight w:val="none"/>
        </w:rPr>
      </w:pPr>
      <w:r>
        <w:rPr>
          <w:rFonts w:hint="eastAsia"/>
          <w:color w:val="auto"/>
          <w:highlight w:val="none"/>
        </w:rPr>
        <w:t>26.1.4、监理人支付违约金的方式：</w:t>
      </w:r>
    </w:p>
    <w:p>
      <w:pPr>
        <w:pStyle w:val="94"/>
        <w:ind w:firstLine="496"/>
        <w:rPr>
          <w:rFonts w:hAnsi="宋体"/>
          <w:bCs/>
          <w:color w:val="auto"/>
          <w:highlight w:val="none"/>
        </w:rPr>
      </w:pPr>
      <w:r>
        <w:rPr>
          <w:rFonts w:hint="eastAsia"/>
          <w:color w:val="auto"/>
          <w:highlight w:val="none"/>
        </w:rPr>
        <w:t>（1）</w:t>
      </w:r>
      <w:r>
        <w:rPr>
          <w:rFonts w:hint="eastAsia" w:hAnsi="宋体"/>
          <w:bCs/>
          <w:color w:val="auto"/>
          <w:highlight w:val="none"/>
        </w:rPr>
        <w:t>监理人违约需向委托人支付违约金时，委托人有权首先从当期应支付监理人的监理报酬中直接抵扣。</w:t>
      </w:r>
    </w:p>
    <w:p>
      <w:pPr>
        <w:pStyle w:val="94"/>
        <w:ind w:firstLine="496"/>
        <w:rPr>
          <w:rFonts w:hAnsi="宋体"/>
          <w:bCs/>
          <w:color w:val="auto"/>
          <w:highlight w:val="none"/>
        </w:rPr>
      </w:pPr>
      <w:r>
        <w:rPr>
          <w:rFonts w:hint="eastAsia" w:hAnsi="宋体"/>
          <w:bCs/>
          <w:color w:val="auto"/>
          <w:highlight w:val="none"/>
        </w:rPr>
        <w:t>（2）如果当期应支付监理人的监理报酬不足以抵扣违约金时，委托人有权从下一期的监理报酬中抵扣违约金。</w:t>
      </w:r>
    </w:p>
    <w:p>
      <w:pPr>
        <w:pStyle w:val="94"/>
        <w:ind w:firstLine="496"/>
        <w:rPr>
          <w:color w:val="auto"/>
          <w:highlight w:val="none"/>
        </w:rPr>
      </w:pPr>
      <w:r>
        <w:rPr>
          <w:rFonts w:hint="eastAsia" w:ascii="宋体" w:hAnsi="宋体"/>
          <w:bCs/>
          <w:color w:val="auto"/>
          <w:highlight w:val="none"/>
        </w:rPr>
        <w:t>26.2.5、监理人承诺严格按照合同规定履行义务，并同意委托人有权将其执行国家强</w:t>
      </w:r>
      <w:r>
        <w:rPr>
          <w:rFonts w:hint="eastAsia"/>
          <w:color w:val="auto"/>
          <w:highlight w:val="none"/>
        </w:rPr>
        <w:t>制性规范、标准和履行合同义务的情况在委托人网站和建设项目</w:t>
      </w:r>
      <w:r>
        <w:rPr>
          <w:rFonts w:hint="eastAsia" w:hAnsi="宋体"/>
          <w:color w:val="auto"/>
          <w:highlight w:val="none"/>
        </w:rPr>
        <w:t>合法继承人</w:t>
      </w:r>
      <w:r>
        <w:rPr>
          <w:rFonts w:hint="eastAsia"/>
          <w:color w:val="auto"/>
          <w:highlight w:val="none"/>
        </w:rPr>
        <w:t>网站及其他媒体上公开披露。</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b/>
          <w:bCs/>
          <w:color w:val="auto"/>
          <w:highlight w:val="none"/>
        </w:rPr>
        <w:t xml:space="preserve">第二十七条 </w:t>
      </w:r>
      <w:r>
        <w:rPr>
          <w:rFonts w:hint="eastAsia" w:ascii="宋体" w:hAnsi="宋体"/>
          <w:color w:val="auto"/>
          <w:highlight w:val="none"/>
        </w:rPr>
        <w:t>双方一致同意不适用本合同</w:t>
      </w:r>
      <w:r>
        <w:rPr>
          <w:rFonts w:hint="eastAsia" w:ascii="宋体" w:hAnsi="宋体"/>
          <w:color w:val="auto"/>
          <w:highlight w:val="none"/>
          <w:u w:val="wave"/>
        </w:rPr>
        <w:t>通用条款第</w:t>
      </w:r>
      <w:r>
        <w:rPr>
          <w:rFonts w:hint="eastAsia"/>
          <w:color w:val="auto"/>
          <w:highlight w:val="none"/>
          <w:u w:val="wave"/>
        </w:rPr>
        <w:t>二十七</w:t>
      </w:r>
      <w:r>
        <w:rPr>
          <w:rFonts w:hint="eastAsia" w:ascii="宋体" w:hAnsi="宋体"/>
          <w:color w:val="auto"/>
          <w:highlight w:val="none"/>
          <w:u w:val="wave"/>
        </w:rPr>
        <w:t>条</w:t>
      </w:r>
      <w:r>
        <w:rPr>
          <w:rFonts w:hint="eastAsia" w:ascii="宋体" w:hAnsi="宋体"/>
          <w:color w:val="auto"/>
          <w:highlight w:val="none"/>
        </w:rPr>
        <w:t>的约定，另行约定为：监理人对承包人违反合同约定的质量、安全、文明施工等方面的要求时，监理人应按照本合同</w:t>
      </w:r>
      <w:r>
        <w:rPr>
          <w:rFonts w:hint="eastAsia" w:ascii="宋体" w:hAnsi="宋体"/>
          <w:color w:val="auto"/>
          <w:highlight w:val="none"/>
          <w:u w:val="wave"/>
        </w:rPr>
        <w:t>专用条款第</w:t>
      </w:r>
      <w:r>
        <w:rPr>
          <w:color w:val="auto"/>
          <w:highlight w:val="none"/>
          <w:u w:val="wave"/>
        </w:rPr>
        <w:t>26.</w:t>
      </w:r>
      <w:r>
        <w:rPr>
          <w:rFonts w:hint="eastAsia"/>
          <w:color w:val="auto"/>
          <w:highlight w:val="none"/>
          <w:u w:val="wave"/>
        </w:rPr>
        <w:t>1</w:t>
      </w:r>
      <w:r>
        <w:rPr>
          <w:rFonts w:hint="eastAsia" w:ascii="宋体" w:hAnsi="宋体"/>
          <w:color w:val="auto"/>
          <w:highlight w:val="none"/>
          <w:u w:val="wave"/>
        </w:rPr>
        <w:t>款</w:t>
      </w:r>
      <w:r>
        <w:rPr>
          <w:rFonts w:hint="eastAsia" w:ascii="宋体" w:hAnsi="宋体"/>
          <w:color w:val="auto"/>
          <w:highlight w:val="none"/>
        </w:rPr>
        <w:t>的有关约定承担违约责任，除非有充分的证据证明监理人严格履行了本合同的责任和义务且上述问题的发生仅为承包人自身原因所致。</w:t>
      </w:r>
      <w:r>
        <w:rPr>
          <w:rFonts w:ascii="宋体" w:hAnsi="宋体"/>
          <w:color w:val="auto"/>
          <w:highlight w:val="none"/>
        </w:rPr>
        <w:t xml:space="preserve">   </w:t>
      </w:r>
      <w:r>
        <w:rPr>
          <w:rFonts w:hint="eastAsia" w:ascii="宋体" w:hAnsi="宋体"/>
          <w:color w:val="auto"/>
          <w:highlight w:val="none"/>
        </w:rPr>
        <w:tab/>
      </w:r>
      <w:r>
        <w:rPr>
          <w:rFonts w:ascii="宋体" w:hAnsi="宋体"/>
          <w:color w:val="auto"/>
          <w:highlight w:val="none"/>
        </w:rPr>
        <w:t xml:space="preserve">    </w:t>
      </w:r>
      <w:r>
        <w:rPr>
          <w:rFonts w:hint="eastAsia" w:ascii="宋体" w:hAnsi="宋体"/>
          <w:color w:val="auto"/>
          <w:highlight w:val="none"/>
        </w:rPr>
        <w:t>监理履行的权利与义务除满足监理规范要求外，还需根据委托方正式发布的相关工程方面的管理制度进行监理服务。</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27.1、监理单位在工程相关各类合同支付过程中的职责：</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27.1.1、审核施工（包括材料设备供应）合同及服务合同的计量支付。</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27.1.2、监理单位必须根据现场实际进度按合同和本指引规定，在规定的时限内审核签认施工（包括材料设备供应）单位报送的形象进度表（详见附件八）及其他计量支付资料。</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27.1.3、对计量支付资料的真实性、完整性、准确性负责，若施工（包括材料设备供应）单位提供的资料不真实、不完整、不准确和不详细，应直接在计量支付资料上签署可以指导计量的具体意见，对达不到计量支付要求的工程量不得计量，如报送资料不齐全，应要求施工（包括材料设备供应）单位限期补充和完善。</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27.1.4、监督施工（包括材料设备供应）单位严格执行合同及本指引的相关规定，防止出现超验、超计，并对审核的形象进度准确性负责。</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27.1.5、监理单位未能切实履行上述职责，公司将依据监理合同对监理单位进行违约处罚。</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27.1.6、监理单位应建立计量支付、工程签证、新增（更换）材料品牌台账。</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27.1.7、负责新增（更换）材料品牌的审核。</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27.1.8、负责工程质量管理和隐蔽工程验收管理，对计量支付申请时相应资料真实性审核。</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27.1.9、负责建立罚款台账并登记是否已在进度款中扣除。（详见附件九）</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27.1.10、对计量支付申请资料的完整性、准确性和真实性进行确认。</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27.1.11、每月对设计变更及工程签证台账进行核对和确认，确保台账各项资料的及时、完整和准确以及互相一致。</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27.2、监理单位</w:t>
      </w:r>
      <w:r>
        <w:rPr>
          <w:rFonts w:hint="eastAsia" w:ascii="宋体" w:hAnsi="宋体"/>
          <w:color w:val="auto"/>
          <w:highlight w:val="none"/>
        </w:rPr>
        <w:t>在工程相关各类合同变更、结算过程中的职责：</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27.2.1、满足委托人《合同变更管理规定》的要求（另详）。</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27.2.2、在施工过程中，根据结算审核需要会同业主单位、施工单位等对工程实物完成状况进行现场勘察、拍照、记录，提高结算审核准确度；协助组织结算工作交底会议；对结算竣工图纸进行严格把关审核；对结算送审资料的完整性和真实性进行审核，严把第一关；负责配合和协调处理结算审核工作中出现争议问题</w:t>
      </w:r>
      <w:r>
        <w:rPr>
          <w:rFonts w:hint="eastAsia" w:ascii="宋体" w:hAnsi="宋体"/>
          <w:color w:val="auto"/>
          <w:highlight w:val="none"/>
        </w:rPr>
        <w:t>。</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27.2.3、监理单位对工程相关各类合同结算初审工作流程：</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27.2.3.1、在接到施工单位递交的结算依据资料及结算书后，应立即组织结算依据资料的审查。资料不完善，不具备审核条件的应出具《审核意见通知单》（附件十一），要求送审单位根据审查意见备齐资料、完善手续。资料完善具备审查条件的需填写《结算依据资料送审移交表》（附件十）一式两份。</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27.2.3.2、为了提高结算审核的准确度，减少工作失误，监理单位应根据结算审核需要会同业主单位、施工单位对工程的实物完成状况进行现场勘察、拍照、记录；对结算竣工图纸进行严格把关审核；对结算送审资料的完整性和真实性进行审核，严把第一关；</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27.2.3.3、在监理单位对施工单位提交的结算资料过程中，有下列情况应报业主单位协调解决，监理单位不能私自解决：</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（1）承包范围或施工界面不明确的；</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（2）不符合业主单位变更管理规定的变更单；</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（3）结算竣工图与现场不相符的；</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（4）资料不齐全的；</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（5）竣工资料与现场材料、设备不一致。</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27.2.3.4、监理单位按规定时间完成结算资料审核后，应及时将有关资料整理好并移交造价咨询单位，填写《结算依据资料送审移交表》（附件十）一式两份。</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27.2.4、监理单位对工程相关各类合同结算审核的要求及罚则：</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27.2.4.1、监理单位收到施工单位的资料未及时审核，也未对施工单位申报的不满足结算要求资料出具《审核意见通知单》（附件十一）的，甲方有权对监理单位进行处罚，标准按附表1。</w:t>
      </w:r>
    </w:p>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hint="eastAsia" w:ascii="宋体" w:hAnsi="宋体"/>
          <w:color w:val="auto"/>
          <w:highlight w:val="none"/>
        </w:rPr>
      </w:pPr>
      <w:r>
        <w:rPr>
          <w:rFonts w:hint="eastAsia" w:ascii="宋体" w:hAnsi="宋体"/>
          <w:color w:val="auto"/>
          <w:highlight w:val="none"/>
        </w:rPr>
        <w:t>27.2.4.2、监理单位未按要求对竣工图及其他资料认真审核，发现竣工图与现场不符时，甲方有权对监理单位进行处罚，标准按附表1。</w:t>
      </w:r>
    </w:p>
    <w:tbl>
      <w:tblPr>
        <w:tblStyle w:val="37"/>
        <w:tblW w:w="9429" w:type="dxa"/>
        <w:tblInd w:w="-284" w:type="dxa"/>
        <w:shd w:val="clear" w:color="auto" w:fill="FFFFFF" w:themeFill="background1"/>
        <w:tblLayout w:type="autofit"/>
        <w:tblCellMar>
          <w:top w:w="0" w:type="dxa"/>
          <w:left w:w="108" w:type="dxa"/>
          <w:bottom w:w="0" w:type="dxa"/>
          <w:right w:w="108" w:type="dxa"/>
        </w:tblCellMar>
      </w:tblPr>
      <w:tblGrid>
        <w:gridCol w:w="710"/>
        <w:gridCol w:w="2835"/>
        <w:gridCol w:w="2126"/>
        <w:gridCol w:w="1258"/>
        <w:gridCol w:w="1400"/>
        <w:gridCol w:w="1100"/>
      </w:tblGrid>
      <w:tr>
        <w:tblPrEx>
          <w:tblCellMar>
            <w:top w:w="0" w:type="dxa"/>
            <w:left w:w="108" w:type="dxa"/>
            <w:bottom w:w="0" w:type="dxa"/>
            <w:right w:w="108" w:type="dxa"/>
          </w:tblCellMar>
        </w:tblPrEx>
        <w:trPr>
          <w:trHeight w:val="510" w:hRule="atLeast"/>
        </w:trPr>
        <w:tc>
          <w:tcPr>
            <w:tcW w:w="9429" w:type="dxa"/>
            <w:gridSpan w:val="6"/>
            <w:tcBorders>
              <w:top w:val="nil"/>
              <w:left w:val="nil"/>
              <w:bottom w:val="nil"/>
              <w:right w:val="nil"/>
            </w:tcBorders>
            <w:shd w:val="clear" w:color="auto" w:fill="FFFFFF" w:themeFill="background1"/>
            <w:vAlign w:val="center"/>
          </w:tcPr>
          <w:p>
            <w:pPr>
              <w:pStyle w:val="206"/>
              <w:rPr>
                <w:color w:val="auto"/>
                <w:highlight w:val="none"/>
              </w:rPr>
            </w:pPr>
            <w:r>
              <w:rPr>
                <w:rFonts w:hint="eastAsia"/>
                <w:color w:val="auto"/>
                <w:highlight w:val="none"/>
              </w:rPr>
              <w:t xml:space="preserve">附表1： </w:t>
            </w:r>
            <w:r>
              <w:rPr>
                <w:color w:val="auto"/>
                <w:highlight w:val="none"/>
              </w:rPr>
              <w:t xml:space="preserve">                           </w:t>
            </w:r>
            <w:r>
              <w:rPr>
                <w:rFonts w:hint="eastAsia"/>
                <w:color w:val="auto"/>
                <w:highlight w:val="none"/>
              </w:rPr>
              <w:t>监理结算违约金</w:t>
            </w:r>
          </w:p>
        </w:tc>
      </w:tr>
      <w:tr>
        <w:tblPrEx>
          <w:shd w:val="clear" w:color="auto" w:fill="FFFFFF" w:themeFill="background1"/>
          <w:tblCellMar>
            <w:top w:w="0" w:type="dxa"/>
            <w:left w:w="108" w:type="dxa"/>
            <w:bottom w:w="0" w:type="dxa"/>
            <w:right w:w="108" w:type="dxa"/>
          </w:tblCellMar>
        </w:tblPrEx>
        <w:trPr>
          <w:trHeight w:val="604" w:hRule="atLeast"/>
        </w:trPr>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序号</w:t>
            </w:r>
          </w:p>
        </w:tc>
        <w:tc>
          <w:tcPr>
            <w:tcW w:w="2835" w:type="dxa"/>
            <w:tcBorders>
              <w:top w:val="single" w:color="auto" w:sz="4" w:space="0"/>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事项</w:t>
            </w:r>
          </w:p>
        </w:tc>
        <w:tc>
          <w:tcPr>
            <w:tcW w:w="2126" w:type="dxa"/>
            <w:tcBorders>
              <w:top w:val="single" w:color="auto" w:sz="4" w:space="0"/>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涉及金额（A)</w:t>
            </w:r>
          </w:p>
        </w:tc>
        <w:tc>
          <w:tcPr>
            <w:tcW w:w="1258" w:type="dxa"/>
            <w:tcBorders>
              <w:top w:val="single" w:color="auto" w:sz="4" w:space="0"/>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判断区间（万元）</w:t>
            </w:r>
          </w:p>
        </w:tc>
        <w:tc>
          <w:tcPr>
            <w:tcW w:w="1400" w:type="dxa"/>
            <w:tcBorders>
              <w:top w:val="single" w:color="auto" w:sz="4" w:space="0"/>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违约金（B）</w:t>
            </w:r>
          </w:p>
        </w:tc>
        <w:tc>
          <w:tcPr>
            <w:tcW w:w="1100" w:type="dxa"/>
            <w:tcBorders>
              <w:top w:val="single" w:color="auto" w:sz="4" w:space="0"/>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备注</w:t>
            </w:r>
          </w:p>
        </w:tc>
      </w:tr>
      <w:tr>
        <w:tblPrEx>
          <w:shd w:val="clear" w:color="auto" w:fill="FFFFFF" w:themeFill="background1"/>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1</w:t>
            </w:r>
          </w:p>
        </w:tc>
        <w:tc>
          <w:tcPr>
            <w:tcW w:w="2835"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1、资料未及时审核</w:t>
            </w:r>
            <w:r>
              <w:rPr>
                <w:rFonts w:hint="eastAsia"/>
                <w:color w:val="auto"/>
                <w:highlight w:val="none"/>
              </w:rPr>
              <w:br w:type="textWrapping"/>
            </w:r>
            <w:r>
              <w:rPr>
                <w:rFonts w:hint="eastAsia"/>
                <w:color w:val="auto"/>
                <w:highlight w:val="none"/>
              </w:rPr>
              <w:t>2、资料有问题未出具《审核意见通知单》</w:t>
            </w:r>
          </w:p>
        </w:tc>
        <w:tc>
          <w:tcPr>
            <w:tcW w:w="2126"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　</w:t>
            </w:r>
          </w:p>
        </w:tc>
        <w:tc>
          <w:tcPr>
            <w:tcW w:w="1258"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　</w:t>
            </w:r>
          </w:p>
        </w:tc>
        <w:tc>
          <w:tcPr>
            <w:tcW w:w="1400"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2000元/次</w:t>
            </w:r>
          </w:p>
        </w:tc>
        <w:tc>
          <w:tcPr>
            <w:tcW w:w="1100"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按每份合同计算</w:t>
            </w:r>
          </w:p>
        </w:tc>
      </w:tr>
      <w:tr>
        <w:tblPrEx>
          <w:shd w:val="clear" w:color="auto" w:fill="FFFFFF" w:themeFill="background1"/>
          <w:tblCellMar>
            <w:top w:w="0" w:type="dxa"/>
            <w:left w:w="108" w:type="dxa"/>
            <w:bottom w:w="0" w:type="dxa"/>
            <w:right w:w="108" w:type="dxa"/>
          </w:tblCellMar>
        </w:tblPrEx>
        <w:trPr>
          <w:trHeight w:val="390" w:hRule="atLeast"/>
        </w:trPr>
        <w:tc>
          <w:tcPr>
            <w:tcW w:w="710"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2</w:t>
            </w:r>
          </w:p>
        </w:tc>
        <w:tc>
          <w:tcPr>
            <w:tcW w:w="2835"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竣工图与现场不符</w:t>
            </w:r>
          </w:p>
        </w:tc>
        <w:tc>
          <w:tcPr>
            <w:tcW w:w="2126"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以咨询公司审定的金额为准，监理公司对审定金额不得有异议</w:t>
            </w:r>
          </w:p>
        </w:tc>
        <w:tc>
          <w:tcPr>
            <w:tcW w:w="1258"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A&lt;10</w:t>
            </w:r>
          </w:p>
        </w:tc>
        <w:tc>
          <w:tcPr>
            <w:tcW w:w="1400"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2000元/次</w:t>
            </w:r>
          </w:p>
        </w:tc>
        <w:tc>
          <w:tcPr>
            <w:tcW w:w="1100"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p>
        </w:tc>
      </w:tr>
      <w:tr>
        <w:tblPrEx>
          <w:tblCellMar>
            <w:top w:w="0" w:type="dxa"/>
            <w:left w:w="108" w:type="dxa"/>
            <w:bottom w:w="0" w:type="dxa"/>
            <w:right w:w="108" w:type="dxa"/>
          </w:tblCellMar>
        </w:tblPrEx>
        <w:trPr>
          <w:trHeight w:val="345" w:hRule="atLeast"/>
        </w:trPr>
        <w:tc>
          <w:tcPr>
            <w:tcW w:w="710"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pStyle w:val="206"/>
              <w:rPr>
                <w:color w:val="auto"/>
                <w:highlight w:val="none"/>
              </w:rPr>
            </w:pPr>
          </w:p>
        </w:tc>
        <w:tc>
          <w:tcPr>
            <w:tcW w:w="2835"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pStyle w:val="206"/>
              <w:rPr>
                <w:color w:val="auto"/>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pStyle w:val="206"/>
              <w:rPr>
                <w:color w:val="auto"/>
                <w:highlight w:val="none"/>
              </w:rPr>
            </w:pPr>
          </w:p>
        </w:tc>
        <w:tc>
          <w:tcPr>
            <w:tcW w:w="1258"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10≤A≤30</w:t>
            </w:r>
          </w:p>
        </w:tc>
        <w:tc>
          <w:tcPr>
            <w:tcW w:w="1400"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B=A*2%</w:t>
            </w:r>
          </w:p>
        </w:tc>
        <w:tc>
          <w:tcPr>
            <w:tcW w:w="1100"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　</w:t>
            </w:r>
          </w:p>
        </w:tc>
      </w:tr>
      <w:tr>
        <w:tblPrEx>
          <w:tblCellMar>
            <w:top w:w="0" w:type="dxa"/>
            <w:left w:w="108" w:type="dxa"/>
            <w:bottom w:w="0" w:type="dxa"/>
            <w:right w:w="108" w:type="dxa"/>
          </w:tblCellMar>
        </w:tblPrEx>
        <w:trPr>
          <w:trHeight w:val="322" w:hRule="atLeast"/>
        </w:trPr>
        <w:tc>
          <w:tcPr>
            <w:tcW w:w="710"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pStyle w:val="206"/>
              <w:rPr>
                <w:color w:val="auto"/>
                <w:highlight w:val="none"/>
              </w:rPr>
            </w:pPr>
          </w:p>
        </w:tc>
        <w:tc>
          <w:tcPr>
            <w:tcW w:w="2835"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pStyle w:val="206"/>
              <w:rPr>
                <w:color w:val="auto"/>
                <w:highlight w:val="none"/>
              </w:rPr>
            </w:pPr>
          </w:p>
        </w:tc>
        <w:tc>
          <w:tcPr>
            <w:tcW w:w="2126"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pStyle w:val="206"/>
              <w:rPr>
                <w:color w:val="auto"/>
                <w:highlight w:val="none"/>
              </w:rPr>
            </w:pPr>
          </w:p>
        </w:tc>
        <w:tc>
          <w:tcPr>
            <w:tcW w:w="1258"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A&gt;30</w:t>
            </w:r>
          </w:p>
        </w:tc>
        <w:tc>
          <w:tcPr>
            <w:tcW w:w="1400"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B=A*3%</w:t>
            </w:r>
          </w:p>
        </w:tc>
        <w:tc>
          <w:tcPr>
            <w:tcW w:w="1100" w:type="dxa"/>
            <w:tcBorders>
              <w:top w:val="nil"/>
              <w:left w:val="nil"/>
              <w:bottom w:val="single" w:color="auto" w:sz="4" w:space="0"/>
              <w:right w:val="single" w:color="auto" w:sz="4" w:space="0"/>
            </w:tcBorders>
            <w:shd w:val="clear" w:color="auto" w:fill="FFFFFF" w:themeFill="background1"/>
            <w:vAlign w:val="center"/>
          </w:tcPr>
          <w:p>
            <w:pPr>
              <w:pStyle w:val="206"/>
              <w:rPr>
                <w:color w:val="auto"/>
                <w:highlight w:val="none"/>
              </w:rPr>
            </w:pPr>
            <w:r>
              <w:rPr>
                <w:rFonts w:hint="eastAsia"/>
                <w:color w:val="auto"/>
                <w:highlight w:val="none"/>
              </w:rPr>
              <w:t>　</w:t>
            </w:r>
          </w:p>
        </w:tc>
      </w:tr>
    </w:tbl>
    <w:p>
      <w:pPr>
        <w:pStyle w:val="94"/>
        <w:keepNext w:val="0"/>
        <w:keepLines w:val="0"/>
        <w:pageBreakBefore w:val="0"/>
        <w:widowControl w:val="0"/>
        <w:kinsoku/>
        <w:wordWrap/>
        <w:overflowPunct/>
        <w:topLinePunct/>
        <w:autoSpaceDE/>
        <w:autoSpaceDN/>
        <w:bidi w:val="0"/>
        <w:adjustRightInd w:val="0"/>
        <w:snapToGrid w:val="0"/>
        <w:spacing w:before="312" w:beforeLines="100" w:line="240" w:lineRule="auto"/>
        <w:ind w:firstLine="498"/>
        <w:textAlignment w:val="auto"/>
        <w:rPr>
          <w:rFonts w:ascii="宋体" w:hAnsi="宋体"/>
          <w:color w:val="auto"/>
          <w:highlight w:val="none"/>
        </w:rPr>
      </w:pPr>
    </w:p>
    <w:p>
      <w:pPr>
        <w:pStyle w:val="4"/>
        <w:spacing w:before="624" w:beforeLines="200" w:after="312" w:afterLines="100"/>
        <w:rPr>
          <w:color w:val="auto"/>
          <w:highlight w:val="none"/>
        </w:rPr>
      </w:pPr>
      <w:bookmarkStart w:id="96" w:name="_Toc480633073"/>
      <w:bookmarkStart w:id="97" w:name="_Toc67169557"/>
      <w:bookmarkStart w:id="98" w:name="_Toc299140222"/>
      <w:bookmarkStart w:id="99" w:name="_Toc1648"/>
      <w:bookmarkStart w:id="100" w:name="_Toc480642893"/>
      <w:r>
        <w:rPr>
          <w:rFonts w:hint="eastAsia"/>
          <w:color w:val="auto"/>
          <w:highlight w:val="none"/>
        </w:rPr>
        <w:t>委托人责任</w:t>
      </w:r>
      <w:bookmarkEnd w:id="96"/>
      <w:bookmarkEnd w:id="97"/>
      <w:bookmarkEnd w:id="98"/>
      <w:bookmarkEnd w:id="99"/>
      <w:bookmarkEnd w:id="100"/>
    </w:p>
    <w:p>
      <w:pPr>
        <w:pStyle w:val="33"/>
        <w:spacing w:before="312" w:beforeLines="100" w:beforeAutospacing="0" w:after="0" w:afterAutospacing="0"/>
        <w:ind w:firstLine="488" w:firstLineChars="200"/>
        <w:rPr>
          <w:color w:val="auto"/>
          <w:highlight w:val="none"/>
        </w:rPr>
      </w:pPr>
      <w:r>
        <w:rPr>
          <w:rFonts w:hint="eastAsia"/>
          <w:b/>
          <w:color w:val="auto"/>
          <w:spacing w:val="2"/>
          <w:kern w:val="2"/>
          <w:position w:val="2"/>
          <w:highlight w:val="none"/>
        </w:rPr>
        <w:t>第二十九条</w:t>
      </w:r>
      <w:r>
        <w:rPr>
          <w:rFonts w:hint="eastAsia"/>
          <w:color w:val="auto"/>
          <w:spacing w:val="2"/>
          <w:kern w:val="2"/>
          <w:position w:val="2"/>
          <w:highlight w:val="none"/>
        </w:rPr>
        <w:t xml:space="preserve">  </w:t>
      </w:r>
      <w:r>
        <w:rPr>
          <w:rFonts w:hint="eastAsia"/>
          <w:color w:val="auto"/>
          <w:highlight w:val="none"/>
        </w:rPr>
        <w:t>委托人应当履行委托监理合同约定的义务，如有违反则应当承担违约责任，赔偿给监理人造成的经济损失。具体约定为：</w:t>
      </w:r>
    </w:p>
    <w:p>
      <w:pPr>
        <w:pStyle w:val="94"/>
        <w:ind w:firstLine="496"/>
        <w:rPr>
          <w:rFonts w:ascii="宋体" w:hAnsi="宋体"/>
          <w:bCs/>
          <w:color w:val="auto"/>
          <w:highlight w:val="none"/>
        </w:rPr>
      </w:pPr>
      <w:r>
        <w:rPr>
          <w:rFonts w:ascii="宋体" w:hAnsi="宋体"/>
          <w:bCs/>
          <w:color w:val="auto"/>
          <w:highlight w:val="none"/>
        </w:rPr>
        <w:t>29.</w:t>
      </w:r>
      <w:r>
        <w:rPr>
          <w:rFonts w:hint="eastAsia" w:ascii="宋体" w:hAnsi="宋体"/>
          <w:bCs/>
          <w:color w:val="auto"/>
          <w:highlight w:val="none"/>
        </w:rPr>
        <w:t>1、因委托人原因给监理人造成损失的，在监理人能够提交足够证据并经查证属实的情况下，委托人应赔偿其直接经济损失。</w:t>
      </w:r>
    </w:p>
    <w:p>
      <w:pPr>
        <w:pStyle w:val="4"/>
        <w:spacing w:before="624" w:beforeLines="200" w:after="312" w:afterLines="100"/>
        <w:rPr>
          <w:color w:val="auto"/>
          <w:highlight w:val="none"/>
        </w:rPr>
      </w:pPr>
      <w:bookmarkStart w:id="101" w:name="_Toc9087"/>
      <w:bookmarkStart w:id="102" w:name="_Toc480633074"/>
      <w:bookmarkStart w:id="103" w:name="_Toc299140223"/>
      <w:bookmarkStart w:id="104" w:name="_Toc67169558"/>
      <w:bookmarkStart w:id="105" w:name="_Toc480642894"/>
      <w:r>
        <w:rPr>
          <w:rFonts w:hint="eastAsia"/>
          <w:color w:val="auto"/>
          <w:highlight w:val="none"/>
        </w:rPr>
        <w:t>合同生效、变更与终止</w:t>
      </w:r>
      <w:bookmarkEnd w:id="101"/>
      <w:bookmarkEnd w:id="102"/>
      <w:bookmarkEnd w:id="103"/>
      <w:bookmarkEnd w:id="104"/>
      <w:bookmarkEnd w:id="105"/>
    </w:p>
    <w:p>
      <w:pPr>
        <w:pStyle w:val="33"/>
        <w:spacing w:before="312" w:beforeLines="100" w:beforeAutospacing="0" w:after="0" w:afterAutospacing="0"/>
        <w:ind w:firstLine="488" w:firstLineChars="200"/>
        <w:rPr>
          <w:color w:val="auto"/>
          <w:highlight w:val="none"/>
        </w:rPr>
      </w:pPr>
      <w:r>
        <w:rPr>
          <w:rFonts w:hint="eastAsia"/>
          <w:b/>
          <w:color w:val="auto"/>
          <w:spacing w:val="2"/>
          <w:kern w:val="2"/>
          <w:position w:val="2"/>
          <w:highlight w:val="none"/>
        </w:rPr>
        <w:t>第三十一条</w:t>
      </w:r>
      <w:r>
        <w:rPr>
          <w:rFonts w:hint="eastAsia"/>
          <w:color w:val="auto"/>
          <w:spacing w:val="2"/>
          <w:kern w:val="2"/>
          <w:position w:val="2"/>
          <w:highlight w:val="none"/>
        </w:rPr>
        <w:t xml:space="preserve">  </w:t>
      </w:r>
      <w:r>
        <w:rPr>
          <w:rFonts w:hint="eastAsia"/>
          <w:color w:val="auto"/>
          <w:highlight w:val="none"/>
        </w:rPr>
        <w:t>双方一致同意不适用本合同</w:t>
      </w:r>
      <w:r>
        <w:rPr>
          <w:rFonts w:hint="eastAsia"/>
          <w:color w:val="auto"/>
          <w:highlight w:val="none"/>
          <w:u w:val="wave"/>
        </w:rPr>
        <w:t>通用条款第三十一条</w:t>
      </w:r>
      <w:r>
        <w:rPr>
          <w:rFonts w:hint="eastAsia"/>
          <w:color w:val="auto"/>
          <w:highlight w:val="none"/>
        </w:rPr>
        <w:t>的约定，另行约定为：</w:t>
      </w:r>
    </w:p>
    <w:p>
      <w:pPr>
        <w:pStyle w:val="33"/>
        <w:spacing w:before="0" w:beforeAutospacing="0" w:after="0" w:afterAutospacing="0"/>
        <w:ind w:firstLine="480" w:firstLineChars="200"/>
        <w:rPr>
          <w:color w:val="auto"/>
          <w:highlight w:val="none"/>
        </w:rPr>
      </w:pPr>
      <w:r>
        <w:rPr>
          <w:rFonts w:hint="eastAsia"/>
          <w:color w:val="auto"/>
          <w:highlight w:val="none"/>
        </w:rPr>
        <w:t>31.1、监理人应采取一切合理的方法督促承包人按期完工，由于承包人的原因使监理工作受到阻碍或延误，完成监理业务的时间相应延长，监理人的酬金不变，且监理人应证明其已完全、正确的履行关于进度控制的监理义务，否则委托人还有权要求监理人承担相应的违约责任。</w:t>
      </w:r>
    </w:p>
    <w:p>
      <w:pPr>
        <w:pStyle w:val="33"/>
        <w:spacing w:before="0" w:beforeAutospacing="0" w:after="0" w:afterAutospacing="0"/>
        <w:ind w:firstLine="480" w:firstLineChars="200"/>
        <w:rPr>
          <w:b/>
          <w:color w:val="auto"/>
          <w:spacing w:val="2"/>
          <w:kern w:val="2"/>
          <w:position w:val="2"/>
          <w:highlight w:val="none"/>
        </w:rPr>
      </w:pPr>
      <w:r>
        <w:rPr>
          <w:rFonts w:hint="eastAsia"/>
          <w:color w:val="auto"/>
          <w:highlight w:val="none"/>
        </w:rPr>
        <w:t>31.2、由于委托人的原因使监理工作受到阻碍或延误，以致发生了附加工作或延长了持续时间，则监理人应当将此情况与可能产生的影响及时通知委托人。完成监理业务的时间相应延长，监理人可得到人工费、办公费或二次进场费等直接经济补偿作为附加工作的费用。</w:t>
      </w:r>
    </w:p>
    <w:p>
      <w:pPr>
        <w:pStyle w:val="94"/>
        <w:spacing w:before="312" w:beforeLines="100"/>
        <w:ind w:firstLine="498"/>
        <w:rPr>
          <w:color w:val="auto"/>
          <w:highlight w:val="none"/>
        </w:rPr>
      </w:pPr>
      <w:r>
        <w:rPr>
          <w:rFonts w:hint="eastAsia"/>
          <w:b/>
          <w:bCs/>
          <w:color w:val="auto"/>
          <w:highlight w:val="none"/>
        </w:rPr>
        <w:t xml:space="preserve">第三十二条  </w:t>
      </w:r>
      <w:r>
        <w:rPr>
          <w:rFonts w:hint="eastAsia"/>
          <w:color w:val="auto"/>
          <w:highlight w:val="none"/>
        </w:rPr>
        <w:t>双方一致同意不适用本合同“</w:t>
      </w:r>
      <w:r>
        <w:rPr>
          <w:rFonts w:hint="eastAsia"/>
          <w:color w:val="auto"/>
          <w:highlight w:val="none"/>
          <w:u w:val="wave"/>
        </w:rPr>
        <w:t>通用条款”第二十九条第二款及第三十二条</w:t>
      </w:r>
      <w:r>
        <w:rPr>
          <w:rFonts w:hint="eastAsia"/>
          <w:color w:val="auto"/>
          <w:highlight w:val="none"/>
        </w:rPr>
        <w:t>的约定。另行约定为：在委托监理合同签订后，</w:t>
      </w:r>
      <w:r>
        <w:rPr>
          <w:rFonts w:hint="eastAsia" w:ascii="宋体" w:hAnsi="宋体"/>
          <w:bCs/>
          <w:color w:val="auto"/>
          <w:highlight w:val="none"/>
        </w:rPr>
        <w:t>国家政策变化、政府对本合同工程的计划调整或不可抗力等非委托人主观原因</w:t>
      </w:r>
      <w:r>
        <w:rPr>
          <w:rFonts w:hint="eastAsia"/>
          <w:color w:val="auto"/>
          <w:highlight w:val="none"/>
        </w:rPr>
        <w:t>，使得监理人不能全部或部分执行监理业务时，委托人按实际监理工作内容及工作量清算监理报酬，监理人不要求额外的监理报酬，且双方各自承担因此造成的损失或损害。</w:t>
      </w:r>
    </w:p>
    <w:p>
      <w:pPr>
        <w:pStyle w:val="33"/>
        <w:spacing w:before="312" w:beforeLines="100" w:beforeAutospacing="0" w:after="0" w:afterAutospacing="0"/>
        <w:ind w:firstLine="488" w:firstLineChars="200"/>
        <w:rPr>
          <w:b/>
          <w:bCs/>
          <w:color w:val="auto"/>
          <w:highlight w:val="none"/>
        </w:rPr>
      </w:pPr>
      <w:r>
        <w:rPr>
          <w:rFonts w:hint="eastAsia"/>
          <w:b/>
          <w:color w:val="auto"/>
          <w:spacing w:val="2"/>
          <w:kern w:val="2"/>
          <w:position w:val="2"/>
          <w:highlight w:val="none"/>
        </w:rPr>
        <w:t>第三十三条</w:t>
      </w:r>
      <w:r>
        <w:rPr>
          <w:rFonts w:hint="eastAsia"/>
          <w:color w:val="auto"/>
          <w:spacing w:val="2"/>
          <w:kern w:val="2"/>
          <w:position w:val="2"/>
          <w:highlight w:val="none"/>
        </w:rPr>
        <w:t xml:space="preserve">  </w:t>
      </w:r>
      <w:r>
        <w:rPr>
          <w:rFonts w:hint="eastAsia"/>
          <w:bCs/>
          <w:color w:val="auto"/>
          <w:highlight w:val="none"/>
        </w:rPr>
        <w:t>工程保修期间的监理责任</w:t>
      </w:r>
    </w:p>
    <w:p>
      <w:pPr>
        <w:pStyle w:val="94"/>
        <w:ind w:firstLine="496"/>
        <w:rPr>
          <w:rFonts w:ascii="宋体" w:hAnsi="宋体"/>
          <w:bCs/>
          <w:color w:val="auto"/>
          <w:highlight w:val="none"/>
        </w:rPr>
      </w:pPr>
      <w:r>
        <w:rPr>
          <w:rFonts w:hint="eastAsia" w:ascii="宋体" w:hAnsi="宋体"/>
          <w:bCs/>
          <w:color w:val="auto"/>
          <w:highlight w:val="none"/>
        </w:rPr>
        <w:t>工程保修期间的监理责任见本合同专用条款第4.3款约定。</w:t>
      </w:r>
    </w:p>
    <w:p>
      <w:pPr>
        <w:pStyle w:val="94"/>
        <w:spacing w:before="312" w:beforeLines="100"/>
        <w:ind w:firstLine="498"/>
        <w:rPr>
          <w:color w:val="auto"/>
          <w:highlight w:val="none"/>
        </w:rPr>
      </w:pPr>
      <w:r>
        <w:rPr>
          <w:rFonts w:hint="eastAsia" w:ascii="宋体" w:hAnsi="宋体"/>
          <w:b/>
          <w:bCs/>
          <w:color w:val="auto"/>
          <w:highlight w:val="none"/>
        </w:rPr>
        <w:t xml:space="preserve">第三十六条  </w:t>
      </w:r>
      <w:r>
        <w:rPr>
          <w:rFonts w:hint="eastAsia" w:ascii="宋体" w:hAnsi="宋体"/>
          <w:color w:val="auto"/>
          <w:highlight w:val="none"/>
        </w:rPr>
        <w:t>双方一致同意不适用本合同</w:t>
      </w:r>
      <w:r>
        <w:rPr>
          <w:rFonts w:hint="eastAsia" w:ascii="宋体" w:hAnsi="宋体"/>
          <w:color w:val="auto"/>
          <w:highlight w:val="none"/>
          <w:u w:val="wave"/>
        </w:rPr>
        <w:t>通用条款第三十六条</w:t>
      </w:r>
      <w:r>
        <w:rPr>
          <w:rFonts w:hint="eastAsia" w:ascii="宋体" w:hAnsi="宋体"/>
          <w:color w:val="auto"/>
          <w:highlight w:val="none"/>
        </w:rPr>
        <w:t>的约定，另行约定为：</w:t>
      </w:r>
      <w:r>
        <w:rPr>
          <w:rFonts w:hint="eastAsia" w:ascii="宋体" w:hAnsi="宋体"/>
          <w:bCs/>
          <w:color w:val="auto"/>
          <w:highlight w:val="none"/>
        </w:rPr>
        <w:t>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报酬，监理人不要求</w:t>
      </w:r>
      <w:r>
        <w:rPr>
          <w:rFonts w:hint="eastAsia"/>
          <w:color w:val="auto"/>
          <w:highlight w:val="none"/>
        </w:rPr>
        <w:t>额外工作报酬。</w:t>
      </w:r>
    </w:p>
    <w:p>
      <w:pPr>
        <w:pStyle w:val="4"/>
        <w:spacing w:before="624" w:beforeLines="200" w:after="312" w:afterLines="100"/>
        <w:rPr>
          <w:color w:val="auto"/>
          <w:highlight w:val="none"/>
        </w:rPr>
      </w:pPr>
      <w:bookmarkStart w:id="106" w:name="_Toc480633075"/>
      <w:bookmarkStart w:id="107" w:name="_Toc480642895"/>
      <w:bookmarkStart w:id="108" w:name="_Toc67169559"/>
      <w:bookmarkStart w:id="109" w:name="_Toc27083"/>
      <w:bookmarkStart w:id="110" w:name="_Toc299140224"/>
      <w:r>
        <w:rPr>
          <w:rFonts w:hint="eastAsia"/>
          <w:color w:val="auto"/>
          <w:highlight w:val="none"/>
        </w:rPr>
        <w:t>监理报酬</w:t>
      </w:r>
      <w:bookmarkEnd w:id="106"/>
      <w:bookmarkEnd w:id="107"/>
      <w:bookmarkEnd w:id="108"/>
      <w:bookmarkEnd w:id="109"/>
      <w:bookmarkEnd w:id="110"/>
    </w:p>
    <w:p>
      <w:pPr>
        <w:pStyle w:val="33"/>
        <w:spacing w:before="312" w:beforeLines="100" w:beforeAutospacing="0" w:after="0" w:afterAutospacing="0"/>
        <w:ind w:firstLine="531" w:firstLineChars="218"/>
        <w:rPr>
          <w:color w:val="auto"/>
          <w:spacing w:val="2"/>
          <w:kern w:val="2"/>
          <w:position w:val="2"/>
          <w:highlight w:val="none"/>
        </w:rPr>
      </w:pPr>
      <w:r>
        <w:rPr>
          <w:rFonts w:hint="eastAsia"/>
          <w:b/>
          <w:color w:val="auto"/>
          <w:spacing w:val="2"/>
          <w:kern w:val="2"/>
          <w:position w:val="2"/>
          <w:highlight w:val="none"/>
        </w:rPr>
        <w:t>第三十九条</w:t>
      </w:r>
      <w:r>
        <w:rPr>
          <w:rFonts w:hint="eastAsia"/>
          <w:color w:val="auto"/>
          <w:spacing w:val="2"/>
          <w:kern w:val="2"/>
          <w:position w:val="2"/>
          <w:highlight w:val="none"/>
        </w:rPr>
        <w:t>　委托人同意按以下的计算方法，时间与金额，支付监理人的报酬：</w:t>
      </w:r>
    </w:p>
    <w:p>
      <w:pPr>
        <w:pStyle w:val="94"/>
        <w:ind w:firstLine="496"/>
        <w:rPr>
          <w:rFonts w:ascii="宋体" w:hAnsi="宋体"/>
          <w:bCs/>
          <w:color w:val="auto"/>
          <w:highlight w:val="none"/>
        </w:rPr>
      </w:pPr>
      <w:r>
        <w:rPr>
          <w:rFonts w:hint="eastAsia" w:ascii="宋体" w:hAnsi="宋体"/>
          <w:bCs/>
          <w:color w:val="auto"/>
          <w:highlight w:val="none"/>
        </w:rPr>
        <w:t>39.1、正常监理报酬：</w:t>
      </w:r>
    </w:p>
    <w:p>
      <w:pPr>
        <w:pStyle w:val="94"/>
        <w:ind w:firstLine="496"/>
        <w:rPr>
          <w:rFonts w:ascii="宋体" w:hAnsi="宋体"/>
          <w:bCs/>
          <w:color w:val="auto"/>
          <w:highlight w:val="none"/>
        </w:rPr>
      </w:pPr>
      <w:r>
        <w:rPr>
          <w:rFonts w:hint="eastAsia" w:ascii="宋体" w:hAnsi="宋体"/>
          <w:bCs/>
          <w:color w:val="auto"/>
          <w:highlight w:val="none"/>
        </w:rPr>
        <w:t>39.1.1正常监理报酬签约合同价：</w:t>
      </w:r>
    </w:p>
    <w:p>
      <w:pPr>
        <w:pStyle w:val="94"/>
        <w:ind w:firstLine="496"/>
        <w:rPr>
          <w:color w:val="auto"/>
          <w:highlight w:val="none"/>
        </w:rPr>
      </w:pPr>
      <w:r>
        <w:rPr>
          <w:rFonts w:hint="eastAsia"/>
          <w:color w:val="auto"/>
          <w:highlight w:val="none"/>
        </w:rPr>
        <w:t xml:space="preserve">本合同工程暂定正常监理费为 </w:t>
      </w:r>
      <w:r>
        <w:rPr>
          <w:rFonts w:hint="eastAsia"/>
          <w:color w:val="auto"/>
          <w:highlight w:val="none"/>
          <w:u w:val="single"/>
        </w:rPr>
        <w:t xml:space="preserve">             </w:t>
      </w:r>
      <w:r>
        <w:rPr>
          <w:rFonts w:hint="eastAsia"/>
          <w:color w:val="auto"/>
          <w:highlight w:val="none"/>
        </w:rPr>
        <w:t>元；</w:t>
      </w:r>
    </w:p>
    <w:p>
      <w:pPr>
        <w:pStyle w:val="94"/>
        <w:ind w:firstLine="496"/>
        <w:rPr>
          <w:rFonts w:ascii="宋体" w:hAnsi="宋体"/>
          <w:bCs/>
          <w:color w:val="auto"/>
          <w:highlight w:val="none"/>
        </w:rPr>
      </w:pPr>
      <w:r>
        <w:rPr>
          <w:rFonts w:hint="eastAsia" w:ascii="宋体" w:hAnsi="宋体"/>
          <w:bCs/>
          <w:color w:val="auto"/>
          <w:highlight w:val="none"/>
        </w:rPr>
        <w:t>39.1.2正常监理报酬的支付方式</w:t>
      </w:r>
    </w:p>
    <w:p>
      <w:pPr>
        <w:numPr>
          <w:ilvl w:val="255"/>
          <w:numId w:val="0"/>
        </w:numPr>
        <w:spacing w:line="440" w:lineRule="exact"/>
        <w:ind w:firstLine="496" w:firstLineChars="200"/>
        <w:rPr>
          <w:rFonts w:ascii="宋体" w:hAnsi="宋体"/>
          <w:bCs/>
          <w:color w:val="auto"/>
          <w:highlight w:val="none"/>
        </w:rPr>
      </w:pPr>
      <w:r>
        <w:rPr>
          <w:rFonts w:hint="eastAsia" w:ascii="宋体" w:hAnsi="宋体"/>
          <w:snapToGrid w:val="0"/>
          <w:color w:val="auto"/>
          <w:spacing w:val="4"/>
          <w:kern w:val="0"/>
          <w:highlight w:val="none"/>
        </w:rPr>
        <w:t>1、</w:t>
      </w:r>
      <w:bookmarkStart w:id="111" w:name="_Hlk4918533"/>
      <w:r>
        <w:rPr>
          <w:rFonts w:hint="eastAsia" w:ascii="宋体" w:hAnsi="宋体"/>
          <w:bCs/>
          <w:color w:val="auto"/>
          <w:highlight w:val="none"/>
        </w:rPr>
        <w:t>监理报酬的支付方式：（详见合同第一部分第二条第1点。）</w:t>
      </w:r>
    </w:p>
    <w:bookmarkEnd w:id="111"/>
    <w:p>
      <w:pPr>
        <w:numPr>
          <w:ilvl w:val="255"/>
          <w:numId w:val="0"/>
        </w:numPr>
        <w:spacing w:line="440" w:lineRule="exact"/>
        <w:ind w:firstLine="496" w:firstLineChars="200"/>
        <w:rPr>
          <w:rFonts w:hint="eastAsia" w:ascii="宋体" w:hAnsi="宋体"/>
          <w:snapToGrid w:val="0"/>
          <w:color w:val="auto"/>
          <w:spacing w:val="4"/>
          <w:kern w:val="0"/>
          <w:szCs w:val="22"/>
          <w:highlight w:val="none"/>
        </w:rPr>
      </w:pPr>
      <w:r>
        <w:rPr>
          <w:rFonts w:hint="eastAsia" w:ascii="宋体" w:hAnsi="宋体"/>
          <w:snapToGrid w:val="0"/>
          <w:color w:val="auto"/>
          <w:spacing w:val="4"/>
          <w:kern w:val="0"/>
          <w:szCs w:val="22"/>
          <w:highlight w:val="none"/>
        </w:rPr>
        <w:t>2、监理人在每阶段完成后25天内将完整的请款资料（含合法有效的发票）上报委托人，委托人在收到请款资料后30天内按资金拨付程序支付。</w:t>
      </w:r>
    </w:p>
    <w:p>
      <w:pPr>
        <w:numPr>
          <w:ilvl w:val="255"/>
          <w:numId w:val="0"/>
        </w:numPr>
        <w:spacing w:line="440" w:lineRule="exact"/>
        <w:ind w:firstLine="496" w:firstLineChars="200"/>
        <w:rPr>
          <w:rFonts w:hint="eastAsia" w:ascii="宋体" w:hAnsi="宋体"/>
          <w:snapToGrid w:val="0"/>
          <w:color w:val="auto"/>
          <w:spacing w:val="4"/>
          <w:kern w:val="0"/>
          <w:szCs w:val="22"/>
          <w:highlight w:val="none"/>
        </w:rPr>
      </w:pPr>
      <w:r>
        <w:rPr>
          <w:rFonts w:hint="eastAsia" w:ascii="宋体" w:hAnsi="宋体"/>
          <w:snapToGrid w:val="0"/>
          <w:color w:val="auto"/>
          <w:spacing w:val="4"/>
          <w:kern w:val="0"/>
          <w:szCs w:val="22"/>
          <w:highlight w:val="none"/>
        </w:rPr>
        <w:t>3、若出现非监理方责任的工程延期，延期费用计算方式为:①若监理服务期在合同约定总工期以内或超期3个月以内，不增加监理延期费用。②若监理服务期超过合同约定总工期3个月以上，超3个月以上的部分（即从第4个月开始）：总监及总监代表按2.5万元/（月*人）、专业监理工程师按1.8万元/（月*人）、监理员及资料员按1.2万元/（月*人）计算延期费用，以上费用均为含税费用。从第一期开工开始算起五年内（含五年）超期人员补偿工资不作调整，超过五年时人员补偿工资上浮10%。具体人数以委托人确认人数为准。</w:t>
      </w:r>
    </w:p>
    <w:p>
      <w:pPr>
        <w:pStyle w:val="94"/>
        <w:ind w:firstLine="496"/>
        <w:rPr>
          <w:rFonts w:ascii="宋体" w:hAnsi="宋体"/>
          <w:bCs/>
          <w:color w:val="auto"/>
          <w:spacing w:val="2"/>
          <w:position w:val="2"/>
          <w:highlight w:val="none"/>
        </w:rPr>
      </w:pPr>
      <w:r>
        <w:rPr>
          <w:rFonts w:hint="eastAsia" w:ascii="宋体" w:hAnsi="宋体"/>
          <w:snapToGrid w:val="0"/>
          <w:color w:val="auto"/>
          <w:highlight w:val="none"/>
        </w:rPr>
        <w:t>4</w:t>
      </w:r>
      <w:r>
        <w:rPr>
          <w:rFonts w:hint="eastAsia" w:ascii="宋体"/>
          <w:color w:val="auto"/>
          <w:highlight w:val="none"/>
        </w:rPr>
        <w:t>、</w:t>
      </w:r>
      <w:r>
        <w:rPr>
          <w:rFonts w:hint="eastAsia" w:ascii="宋体" w:hAnsi="宋体"/>
          <w:bCs/>
          <w:color w:val="auto"/>
          <w:spacing w:val="2"/>
          <w:position w:val="2"/>
          <w:highlight w:val="none"/>
        </w:rPr>
        <w:t>监理范围内所有工程的缺陷责任期（缺陷责任期为：</w:t>
      </w:r>
      <w:r>
        <w:rPr>
          <w:rFonts w:hint="eastAsia" w:ascii="宋体" w:hAnsi="宋体"/>
          <w:bCs/>
          <w:color w:val="auto"/>
          <w:spacing w:val="2"/>
          <w:position w:val="2"/>
          <w:highlight w:val="none"/>
          <w:u w:val="single"/>
        </w:rPr>
        <w:t xml:space="preserve"> 2 </w:t>
      </w:r>
      <w:r>
        <w:rPr>
          <w:rFonts w:hint="eastAsia" w:ascii="宋体" w:hAnsi="宋体"/>
          <w:bCs/>
          <w:color w:val="auto"/>
          <w:spacing w:val="2"/>
          <w:position w:val="2"/>
          <w:highlight w:val="none"/>
        </w:rPr>
        <w:t>年）均结束，且承包人均与委托人签订保修协议书后，结清</w:t>
      </w:r>
      <w:r>
        <w:rPr>
          <w:rFonts w:hint="eastAsia"/>
          <w:color w:val="auto"/>
          <w:spacing w:val="2"/>
          <w:kern w:val="2"/>
          <w:position w:val="2"/>
          <w:highlight w:val="none"/>
        </w:rPr>
        <w:t>正常监理报酬尾款。委托人</w:t>
      </w:r>
      <w:r>
        <w:rPr>
          <w:rFonts w:hint="eastAsia" w:ascii="宋体" w:hAnsi="宋体"/>
          <w:bCs/>
          <w:color w:val="auto"/>
          <w:spacing w:val="2"/>
          <w:position w:val="2"/>
          <w:highlight w:val="none"/>
        </w:rPr>
        <w:t>结清</w:t>
      </w:r>
      <w:r>
        <w:rPr>
          <w:rFonts w:hint="eastAsia"/>
          <w:color w:val="auto"/>
          <w:spacing w:val="2"/>
          <w:kern w:val="2"/>
          <w:position w:val="2"/>
          <w:highlight w:val="none"/>
        </w:rPr>
        <w:t>正常监理报酬尾款</w:t>
      </w:r>
      <w:r>
        <w:rPr>
          <w:rFonts w:ascii="宋体" w:hAnsi="宋体"/>
          <w:color w:val="auto"/>
          <w:highlight w:val="none"/>
        </w:rPr>
        <w:t>，并不能免除</w:t>
      </w:r>
      <w:r>
        <w:rPr>
          <w:rFonts w:hint="eastAsia" w:ascii="宋体" w:hAnsi="宋体"/>
          <w:color w:val="auto"/>
          <w:highlight w:val="none"/>
        </w:rPr>
        <w:t>监理人</w:t>
      </w:r>
      <w:r>
        <w:rPr>
          <w:rFonts w:ascii="宋体" w:hAnsi="宋体"/>
          <w:color w:val="auto"/>
          <w:highlight w:val="none"/>
        </w:rPr>
        <w:t>按照合同约定应承担的</w:t>
      </w:r>
      <w:r>
        <w:rPr>
          <w:rFonts w:hint="eastAsia" w:ascii="宋体" w:hAnsi="宋体"/>
          <w:color w:val="auto"/>
          <w:highlight w:val="none"/>
        </w:rPr>
        <w:t>工程</w:t>
      </w:r>
      <w:r>
        <w:rPr>
          <w:rFonts w:ascii="宋体" w:hAnsi="宋体"/>
          <w:color w:val="auto"/>
          <w:highlight w:val="none"/>
        </w:rPr>
        <w:t>质量保修责任</w:t>
      </w:r>
      <w:r>
        <w:rPr>
          <w:rFonts w:hint="eastAsia" w:ascii="宋体" w:hAnsi="宋体"/>
          <w:color w:val="auto"/>
          <w:highlight w:val="none"/>
        </w:rPr>
        <w:t>期</w:t>
      </w:r>
      <w:r>
        <w:rPr>
          <w:rFonts w:ascii="宋体" w:hAnsi="宋体"/>
          <w:color w:val="auto"/>
          <w:highlight w:val="none"/>
        </w:rPr>
        <w:t>应履行的</w:t>
      </w:r>
      <w:r>
        <w:rPr>
          <w:rFonts w:hint="eastAsia" w:ascii="宋体" w:hAnsi="宋体"/>
          <w:color w:val="auto"/>
          <w:highlight w:val="none"/>
        </w:rPr>
        <w:t>监理责任和</w:t>
      </w:r>
      <w:r>
        <w:rPr>
          <w:rFonts w:ascii="宋体" w:hAnsi="宋体"/>
          <w:color w:val="auto"/>
          <w:highlight w:val="none"/>
        </w:rPr>
        <w:t>义务。</w:t>
      </w:r>
      <w:r>
        <w:rPr>
          <w:rFonts w:hint="eastAsia" w:ascii="宋体" w:hAnsi="宋体"/>
          <w:bCs/>
          <w:color w:val="auto"/>
          <w:spacing w:val="2"/>
          <w:position w:val="2"/>
          <w:highlight w:val="none"/>
        </w:rPr>
        <w:t>结算审定后，委托人发现监理报酬(含预付款等)超付，则监理人必须在十四日内无条件退还委托人，若监理人迟延退还监理报酬，除向委托人退还超付监理报酬，还应向委托人支付该超付监理报酬的滞纳金，该滞纳金按应退还超付监理报酬总额的每日千分之一计算。</w:t>
      </w:r>
    </w:p>
    <w:p>
      <w:pPr>
        <w:pStyle w:val="94"/>
        <w:ind w:firstLine="488"/>
        <w:rPr>
          <w:rFonts w:ascii="宋体"/>
          <w:color w:val="auto"/>
          <w:highlight w:val="none"/>
        </w:rPr>
      </w:pPr>
      <w:r>
        <w:rPr>
          <w:rFonts w:hint="eastAsia" w:ascii="宋体" w:hAnsi="宋体"/>
          <w:bCs/>
          <w:color w:val="auto"/>
          <w:spacing w:val="2"/>
          <w:position w:val="2"/>
          <w:highlight w:val="none"/>
        </w:rPr>
        <w:t>5、监</w:t>
      </w:r>
      <w:r>
        <w:rPr>
          <w:rFonts w:hint="eastAsia" w:ascii="宋体" w:hAnsi="宋体"/>
          <w:color w:val="auto"/>
          <w:highlight w:val="none"/>
        </w:rPr>
        <w:t>理</w:t>
      </w:r>
      <w:r>
        <w:rPr>
          <w:rFonts w:hint="eastAsia" w:ascii="宋体" w:hAnsi="宋体"/>
          <w:bCs/>
          <w:color w:val="auto"/>
          <w:spacing w:val="2"/>
          <w:position w:val="2"/>
          <w:highlight w:val="none"/>
        </w:rPr>
        <w:t>人在每月申请进度款时须提供等额合法有效增值税专用发票，如因监</w:t>
      </w:r>
      <w:r>
        <w:rPr>
          <w:rFonts w:hint="eastAsia" w:ascii="宋体" w:hAnsi="宋体"/>
          <w:color w:val="auto"/>
          <w:highlight w:val="none"/>
        </w:rPr>
        <w:t>理</w:t>
      </w:r>
      <w:r>
        <w:rPr>
          <w:rFonts w:hint="eastAsia" w:ascii="宋体" w:hAnsi="宋体"/>
          <w:bCs/>
          <w:color w:val="auto"/>
          <w:spacing w:val="2"/>
          <w:position w:val="2"/>
          <w:highlight w:val="none"/>
        </w:rPr>
        <w:t>人提供的进度支付资料不合格或不及时，造成支付延迟，由监</w:t>
      </w:r>
      <w:r>
        <w:rPr>
          <w:rFonts w:hint="eastAsia" w:ascii="宋体" w:hAnsi="宋体"/>
          <w:color w:val="auto"/>
          <w:highlight w:val="none"/>
        </w:rPr>
        <w:t>理</w:t>
      </w:r>
      <w:r>
        <w:rPr>
          <w:rFonts w:hint="eastAsia" w:ascii="宋体" w:hAnsi="宋体"/>
          <w:bCs/>
          <w:color w:val="auto"/>
          <w:spacing w:val="2"/>
          <w:position w:val="2"/>
          <w:highlight w:val="none"/>
        </w:rPr>
        <w:t>人承担相应的责任；如监</w:t>
      </w:r>
      <w:r>
        <w:rPr>
          <w:rFonts w:hint="eastAsia" w:ascii="宋体" w:hAnsi="宋体"/>
          <w:color w:val="auto"/>
          <w:highlight w:val="none"/>
        </w:rPr>
        <w:t>理</w:t>
      </w:r>
      <w:r>
        <w:rPr>
          <w:rFonts w:hint="eastAsia" w:ascii="宋体" w:hAnsi="宋体"/>
          <w:bCs/>
          <w:color w:val="auto"/>
          <w:spacing w:val="2"/>
          <w:position w:val="2"/>
          <w:highlight w:val="none"/>
        </w:rPr>
        <w:t>人开具发票的抬头发生变化，以后续签订的补充协议为准。</w:t>
      </w:r>
      <w:r>
        <w:rPr>
          <w:rFonts w:hint="eastAsia" w:ascii="宋体"/>
          <w:color w:val="auto"/>
          <w:highlight w:val="none"/>
        </w:rPr>
        <w:t xml:space="preserve"> </w:t>
      </w:r>
    </w:p>
    <w:p>
      <w:pPr>
        <w:pStyle w:val="94"/>
        <w:ind w:firstLine="496"/>
        <w:rPr>
          <w:rFonts w:ascii="宋体" w:hAnsi="宋体"/>
          <w:bCs/>
          <w:color w:val="auto"/>
          <w:highlight w:val="none"/>
        </w:rPr>
      </w:pPr>
      <w:r>
        <w:rPr>
          <w:rFonts w:hint="eastAsia" w:ascii="宋体" w:hAnsi="宋体"/>
          <w:bCs/>
          <w:color w:val="auto"/>
          <w:highlight w:val="none"/>
        </w:rPr>
        <w:t>39.2、</w:t>
      </w:r>
      <w:r>
        <w:rPr>
          <w:rFonts w:hint="eastAsia"/>
          <w:color w:val="auto"/>
          <w:highlight w:val="none"/>
        </w:rPr>
        <w:t>工程监理的附加工作</w:t>
      </w:r>
      <w:r>
        <w:rPr>
          <w:rFonts w:hint="eastAsia" w:ascii="宋体" w:hAnsi="宋体"/>
          <w:bCs/>
          <w:color w:val="auto"/>
          <w:highlight w:val="none"/>
        </w:rPr>
        <w:t>报酬：</w:t>
      </w:r>
    </w:p>
    <w:p>
      <w:pPr>
        <w:pStyle w:val="94"/>
        <w:ind w:firstLine="488"/>
        <w:rPr>
          <w:rFonts w:ascii="宋体"/>
          <w:color w:val="auto"/>
          <w:highlight w:val="none"/>
        </w:rPr>
      </w:pPr>
      <w:r>
        <w:rPr>
          <w:rFonts w:hint="eastAsia" w:ascii="宋体" w:hAnsi="宋体"/>
          <w:bCs/>
          <w:color w:val="auto"/>
          <w:spacing w:val="2"/>
          <w:position w:val="2"/>
          <w:highlight w:val="none"/>
        </w:rPr>
        <w:t>委托人委托监理范围以外，通过双方书面协议另外增加的工作内容（包括但不限于</w:t>
      </w:r>
      <w:r>
        <w:rPr>
          <w:rFonts w:hint="eastAsia"/>
          <w:color w:val="auto"/>
          <w:highlight w:val="none"/>
        </w:rPr>
        <w:t>合同外的咨询、鉴定等）</w:t>
      </w:r>
      <w:r>
        <w:rPr>
          <w:rFonts w:hint="eastAsia" w:ascii="宋体" w:hAnsi="宋体"/>
          <w:bCs/>
          <w:color w:val="auto"/>
          <w:spacing w:val="2"/>
          <w:position w:val="2"/>
          <w:highlight w:val="none"/>
        </w:rPr>
        <w:t>所需费用，双方</w:t>
      </w:r>
      <w:r>
        <w:rPr>
          <w:rFonts w:hint="eastAsia" w:ascii="宋体" w:hAnsi="宋体" w:cs="Courier New"/>
          <w:color w:val="auto"/>
          <w:szCs w:val="21"/>
          <w:highlight w:val="none"/>
        </w:rPr>
        <w:t>按附加工作的特点和本合同的标准</w:t>
      </w:r>
      <w:r>
        <w:rPr>
          <w:rFonts w:hint="eastAsia" w:ascii="宋体" w:hAnsi="宋体"/>
          <w:bCs/>
          <w:color w:val="auto"/>
          <w:spacing w:val="2"/>
          <w:position w:val="2"/>
          <w:highlight w:val="none"/>
        </w:rPr>
        <w:t>另行协商确定。</w:t>
      </w:r>
    </w:p>
    <w:p>
      <w:pPr>
        <w:pStyle w:val="94"/>
        <w:ind w:firstLine="496"/>
        <w:rPr>
          <w:color w:val="auto"/>
          <w:highlight w:val="none"/>
        </w:rPr>
      </w:pPr>
      <w:r>
        <w:rPr>
          <w:rFonts w:hint="eastAsia" w:ascii="宋体"/>
          <w:color w:val="auto"/>
          <w:highlight w:val="none"/>
        </w:rPr>
        <w:t>39.3、</w:t>
      </w:r>
      <w:r>
        <w:rPr>
          <w:rFonts w:hint="eastAsia"/>
          <w:color w:val="auto"/>
          <w:highlight w:val="none"/>
        </w:rPr>
        <w:t>工程监理的额外工作报酬</w:t>
      </w:r>
    </w:p>
    <w:p>
      <w:pPr>
        <w:pStyle w:val="94"/>
        <w:ind w:firstLine="488"/>
        <w:rPr>
          <w:rFonts w:ascii="宋体" w:hAnsi="宋体"/>
          <w:bCs/>
          <w:color w:val="auto"/>
          <w:spacing w:val="2"/>
          <w:position w:val="2"/>
          <w:highlight w:val="none"/>
        </w:rPr>
      </w:pPr>
      <w:r>
        <w:rPr>
          <w:rFonts w:hint="eastAsia" w:ascii="宋体" w:hAnsi="宋体"/>
          <w:bCs/>
          <w:color w:val="auto"/>
          <w:spacing w:val="2"/>
          <w:position w:val="2"/>
          <w:highlight w:val="none"/>
        </w:rPr>
        <w:t>本合同双方一致同意，工程监理的额外工作报酬另行协商解决</w:t>
      </w:r>
      <w:r>
        <w:rPr>
          <w:rFonts w:hint="eastAsia"/>
          <w:color w:val="auto"/>
          <w:highlight w:val="none"/>
        </w:rPr>
        <w:t>。</w:t>
      </w:r>
    </w:p>
    <w:p>
      <w:pPr>
        <w:pStyle w:val="33"/>
        <w:spacing w:before="312" w:beforeLines="100" w:beforeAutospacing="0" w:after="0" w:afterAutospacing="0"/>
        <w:ind w:firstLine="527"/>
        <w:rPr>
          <w:color w:val="auto"/>
          <w:spacing w:val="2"/>
          <w:kern w:val="2"/>
          <w:position w:val="2"/>
          <w:highlight w:val="none"/>
        </w:rPr>
      </w:pPr>
      <w:r>
        <w:rPr>
          <w:rFonts w:hint="eastAsia"/>
          <w:b/>
          <w:color w:val="auto"/>
          <w:spacing w:val="2"/>
          <w:kern w:val="2"/>
          <w:position w:val="2"/>
          <w:highlight w:val="none"/>
        </w:rPr>
        <w:t>第四十一条</w:t>
      </w:r>
      <w:r>
        <w:rPr>
          <w:rFonts w:hint="eastAsia"/>
          <w:color w:val="auto"/>
          <w:spacing w:val="2"/>
          <w:kern w:val="2"/>
          <w:position w:val="2"/>
          <w:highlight w:val="none"/>
        </w:rPr>
        <w:t>　双方同意用</w:t>
      </w:r>
      <w:r>
        <w:rPr>
          <w:rFonts w:hint="eastAsia"/>
          <w:color w:val="auto"/>
          <w:spacing w:val="2"/>
          <w:kern w:val="2"/>
          <w:position w:val="2"/>
          <w:highlight w:val="none"/>
          <w:u w:val="single"/>
        </w:rPr>
        <w:t>人民币</w:t>
      </w:r>
      <w:r>
        <w:rPr>
          <w:rFonts w:hint="eastAsia"/>
          <w:color w:val="auto"/>
          <w:spacing w:val="2"/>
          <w:kern w:val="2"/>
          <w:position w:val="2"/>
          <w:highlight w:val="none"/>
        </w:rPr>
        <w:t>支付监理酬金。</w:t>
      </w:r>
    </w:p>
    <w:p>
      <w:pPr>
        <w:pStyle w:val="4"/>
        <w:spacing w:before="624" w:beforeLines="200" w:after="312" w:afterLines="100"/>
        <w:rPr>
          <w:color w:val="auto"/>
          <w:highlight w:val="none"/>
        </w:rPr>
      </w:pPr>
      <w:bookmarkStart w:id="112" w:name="_Toc480642896"/>
      <w:bookmarkStart w:id="113" w:name="_Toc67169560"/>
      <w:bookmarkStart w:id="114" w:name="_Toc490"/>
      <w:bookmarkStart w:id="115" w:name="_Toc299140225"/>
      <w:bookmarkStart w:id="116" w:name="_Toc480633076"/>
      <w:r>
        <w:rPr>
          <w:rFonts w:hint="eastAsia"/>
          <w:color w:val="auto"/>
          <w:highlight w:val="none"/>
        </w:rPr>
        <w:t>其它</w:t>
      </w:r>
      <w:bookmarkEnd w:id="112"/>
      <w:bookmarkEnd w:id="113"/>
      <w:bookmarkEnd w:id="114"/>
      <w:bookmarkEnd w:id="115"/>
      <w:bookmarkEnd w:id="116"/>
    </w:p>
    <w:p>
      <w:pPr>
        <w:pStyle w:val="33"/>
        <w:spacing w:before="312" w:beforeLines="100" w:beforeAutospacing="0" w:after="0" w:afterAutospacing="0"/>
        <w:ind w:firstLine="527"/>
        <w:rPr>
          <w:color w:val="auto"/>
          <w:highlight w:val="none"/>
        </w:rPr>
      </w:pPr>
      <w:r>
        <w:rPr>
          <w:rFonts w:hint="eastAsia"/>
          <w:bCs/>
          <w:color w:val="auto"/>
          <w:highlight w:val="none"/>
        </w:rPr>
        <w:t>第四十二条  监理费奖励条款</w:t>
      </w:r>
      <w:bookmarkStart w:id="117" w:name="_Toc480642897"/>
      <w:bookmarkStart w:id="118" w:name="_Toc299140226"/>
      <w:bookmarkStart w:id="119" w:name="_Toc480633077"/>
      <w:r>
        <w:rPr>
          <w:rFonts w:hint="eastAsia"/>
          <w:bCs/>
          <w:color w:val="auto"/>
          <w:highlight w:val="none"/>
        </w:rPr>
        <w:t>，结算综合单价中含30%的绩效考核费用（其中的30%作为驻场团队奖励），绩效按阶段考核，标准为不合格、合格、良好、优秀四个等级，对应的绩效考核占比为0、50%、80%、100%，最终绩效考核收费依据甲方的评定等级收费。标准为不合格（70分以下）、合格（70分至80分）、良好（80分至90分）、优秀（90分以上）四个等级，甲方依据各阶段绩效考核的评定等级</w:t>
      </w:r>
      <w:bookmarkEnd w:id="117"/>
      <w:bookmarkEnd w:id="118"/>
      <w:bookmarkEnd w:id="119"/>
      <w:r>
        <w:rPr>
          <w:rFonts w:hint="eastAsia"/>
          <w:bCs/>
          <w:color w:val="auto"/>
          <w:highlight w:val="none"/>
        </w:rPr>
        <w:t>来确定是否支付该阶段的绩效考核费用（考核办法详附件六）</w:t>
      </w:r>
      <w:r>
        <w:rPr>
          <w:rFonts w:hint="eastAsia"/>
          <w:color w:val="auto"/>
          <w:highlight w:val="none"/>
        </w:rPr>
        <w:t>。</w:t>
      </w:r>
    </w:p>
    <w:p>
      <w:pPr>
        <w:pStyle w:val="33"/>
        <w:widowControl w:val="0"/>
        <w:kinsoku w:val="0"/>
        <w:overflowPunct w:val="0"/>
        <w:autoSpaceDE w:val="0"/>
        <w:autoSpaceDN w:val="0"/>
        <w:adjustRightInd w:val="0"/>
        <w:snapToGrid w:val="0"/>
        <w:spacing w:before="312" w:beforeLines="100" w:beforeAutospacing="0" w:after="0" w:afterAutospacing="0"/>
        <w:ind w:firstLine="556"/>
        <w:rPr>
          <w:color w:val="auto"/>
          <w:highlight w:val="none"/>
        </w:rPr>
      </w:pPr>
      <w:r>
        <w:rPr>
          <w:rFonts w:hint="eastAsia"/>
          <w:b/>
          <w:color w:val="auto"/>
          <w:spacing w:val="2"/>
          <w:position w:val="2"/>
          <w:highlight w:val="none"/>
        </w:rPr>
        <w:t>第四十三条</w:t>
      </w:r>
      <w:r>
        <w:rPr>
          <w:rFonts w:hint="eastAsia"/>
          <w:color w:val="auto"/>
          <w:spacing w:val="2"/>
          <w:position w:val="2"/>
          <w:highlight w:val="none"/>
        </w:rPr>
        <w:t xml:space="preserve">  </w:t>
      </w:r>
      <w:r>
        <w:rPr>
          <w:rFonts w:hint="eastAsia"/>
          <w:color w:val="auto"/>
          <w:highlight w:val="none"/>
        </w:rPr>
        <w:t>本合同在履行过程中发生争议时，当事人双方应及时协商解决。协商不成的按下列第</w:t>
      </w:r>
      <w:r>
        <w:rPr>
          <w:rFonts w:hint="eastAsia"/>
          <w:b/>
          <w:bCs/>
          <w:color w:val="auto"/>
          <w:highlight w:val="none"/>
          <w:u w:val="single"/>
        </w:rPr>
        <w:t xml:space="preserve"> （一） </w:t>
      </w:r>
      <w:r>
        <w:rPr>
          <w:rFonts w:hint="eastAsia"/>
          <w:color w:val="auto"/>
          <w:highlight w:val="none"/>
        </w:rPr>
        <w:t>种方式解决：</w:t>
      </w:r>
    </w:p>
    <w:p>
      <w:pPr>
        <w:pStyle w:val="33"/>
        <w:widowControl w:val="0"/>
        <w:kinsoku w:val="0"/>
        <w:overflowPunct w:val="0"/>
        <w:autoSpaceDE w:val="0"/>
        <w:autoSpaceDN w:val="0"/>
        <w:adjustRightInd w:val="0"/>
        <w:snapToGrid w:val="0"/>
        <w:spacing w:before="0" w:beforeAutospacing="0" w:after="0" w:afterAutospacing="0"/>
        <w:ind w:left="555"/>
        <w:rPr>
          <w:color w:val="auto"/>
          <w:highlight w:val="none"/>
        </w:rPr>
      </w:pPr>
      <w:r>
        <w:rPr>
          <w:rFonts w:hint="eastAsia"/>
          <w:color w:val="auto"/>
          <w:highlight w:val="none"/>
        </w:rPr>
        <w:t>（一）提交</w:t>
      </w:r>
      <w:r>
        <w:rPr>
          <w:rFonts w:hint="eastAsia"/>
          <w:b/>
          <w:bCs/>
          <w:color w:val="auto"/>
          <w:highlight w:val="none"/>
          <w:u w:val="single"/>
        </w:rPr>
        <w:t xml:space="preserve"> 项目所在地 </w:t>
      </w:r>
      <w:r>
        <w:rPr>
          <w:rFonts w:hint="eastAsia"/>
          <w:color w:val="auto"/>
          <w:highlight w:val="none"/>
        </w:rPr>
        <w:t>仲裁委员会仲裁；</w:t>
      </w:r>
    </w:p>
    <w:p>
      <w:pPr>
        <w:pStyle w:val="33"/>
        <w:widowControl w:val="0"/>
        <w:kinsoku w:val="0"/>
        <w:overflowPunct w:val="0"/>
        <w:autoSpaceDE w:val="0"/>
        <w:autoSpaceDN w:val="0"/>
        <w:adjustRightInd w:val="0"/>
        <w:snapToGrid w:val="0"/>
        <w:spacing w:before="0" w:beforeAutospacing="0" w:after="0" w:afterAutospacing="0"/>
        <w:ind w:left="555"/>
        <w:rPr>
          <w:color w:val="auto"/>
          <w:kern w:val="2"/>
          <w:highlight w:val="none"/>
        </w:rPr>
      </w:pPr>
      <w:r>
        <w:rPr>
          <w:rFonts w:hint="eastAsia"/>
          <w:color w:val="auto"/>
          <w:highlight w:val="none"/>
        </w:rPr>
        <w:t>（二）依法向工程所在地人民法院起诉。</w:t>
      </w:r>
    </w:p>
    <w:p>
      <w:pPr>
        <w:snapToGrid w:val="0"/>
        <w:rPr>
          <w:color w:val="auto"/>
          <w:highlight w:val="none"/>
        </w:rPr>
      </w:pPr>
    </w:p>
    <w:p>
      <w:pPr>
        <w:snapToGrid w:val="0"/>
        <w:rPr>
          <w:color w:val="auto"/>
          <w:highlight w:val="none"/>
        </w:rPr>
      </w:pPr>
      <w:r>
        <w:rPr>
          <w:rFonts w:hint="eastAsia"/>
          <w:color w:val="auto"/>
          <w:highlight w:val="none"/>
        </w:rPr>
        <w:t>附件列表</w:t>
      </w:r>
    </w:p>
    <w:p>
      <w:pPr>
        <w:snapToGrid w:val="0"/>
        <w:rPr>
          <w:rFonts w:ascii="宋体" w:hAnsi="宋体" w:cs="宋体"/>
          <w:color w:val="auto"/>
          <w:highlight w:val="none"/>
        </w:rPr>
      </w:pPr>
      <w:r>
        <w:rPr>
          <w:rFonts w:hint="eastAsia"/>
          <w:color w:val="auto"/>
          <w:highlight w:val="none"/>
        </w:rPr>
        <w:t>附件一：</w:t>
      </w:r>
      <w:r>
        <w:rPr>
          <w:rFonts w:hint="eastAsia" w:ascii="宋体" w:hAnsi="宋体" w:cs="宋体"/>
          <w:color w:val="auto"/>
          <w:highlight w:val="none"/>
        </w:rPr>
        <w:t>监理月报格式（按统表）</w:t>
      </w:r>
    </w:p>
    <w:p>
      <w:pPr>
        <w:snapToGrid w:val="0"/>
        <w:rPr>
          <w:rFonts w:ascii="宋体" w:hAnsi="宋体" w:cs="宋体"/>
          <w:color w:val="auto"/>
          <w:highlight w:val="none"/>
        </w:rPr>
      </w:pPr>
      <w:r>
        <w:rPr>
          <w:rFonts w:hint="eastAsia" w:ascii="宋体" w:hAnsi="宋体" w:cs="宋体"/>
          <w:color w:val="auto"/>
          <w:highlight w:val="none"/>
        </w:rPr>
        <w:t>附件二：监理组织机构及监理人员一览表</w:t>
      </w:r>
    </w:p>
    <w:p>
      <w:pPr>
        <w:snapToGrid w:val="0"/>
        <w:rPr>
          <w:rFonts w:ascii="宋体" w:hAnsi="宋体" w:cs="宋体"/>
          <w:color w:val="auto"/>
          <w:highlight w:val="none"/>
        </w:rPr>
      </w:pPr>
      <w:r>
        <w:rPr>
          <w:rFonts w:hint="eastAsia" w:ascii="宋体" w:hAnsi="宋体" w:cs="宋体"/>
          <w:color w:val="auto"/>
          <w:highlight w:val="none"/>
        </w:rPr>
        <w:t>附件三：监理服务设施、设备一览表</w:t>
      </w:r>
    </w:p>
    <w:p>
      <w:pPr>
        <w:snapToGrid w:val="0"/>
        <w:rPr>
          <w:rFonts w:ascii="宋体" w:hAnsi="宋体" w:cs="宋体"/>
          <w:color w:val="auto"/>
          <w:highlight w:val="none"/>
        </w:rPr>
      </w:pPr>
      <w:r>
        <w:rPr>
          <w:rFonts w:hint="eastAsia" w:ascii="宋体" w:hAnsi="宋体" w:cs="宋体"/>
          <w:color w:val="auto"/>
          <w:highlight w:val="none"/>
        </w:rPr>
        <w:t>附件四：廉政协议书</w:t>
      </w:r>
    </w:p>
    <w:p>
      <w:pPr>
        <w:snapToGrid w:val="0"/>
        <w:rPr>
          <w:rFonts w:ascii="宋体" w:hAnsi="宋体" w:cs="宋体"/>
          <w:color w:val="auto"/>
          <w:highlight w:val="none"/>
        </w:rPr>
      </w:pPr>
      <w:r>
        <w:rPr>
          <w:rFonts w:hint="eastAsia" w:ascii="宋体" w:hAnsi="宋体" w:cs="宋体"/>
          <w:color w:val="auto"/>
          <w:highlight w:val="none"/>
        </w:rPr>
        <w:t>附件五：安全生产文明施工协议</w:t>
      </w:r>
    </w:p>
    <w:p>
      <w:pPr>
        <w:snapToGrid w:val="0"/>
        <w:rPr>
          <w:rFonts w:ascii="宋体" w:hAnsi="宋体" w:cs="宋体"/>
          <w:color w:val="auto"/>
          <w:highlight w:val="none"/>
        </w:rPr>
      </w:pPr>
      <w:r>
        <w:rPr>
          <w:rFonts w:hint="eastAsia" w:ascii="宋体" w:hAnsi="宋体" w:cs="宋体"/>
          <w:color w:val="auto"/>
          <w:highlight w:val="none"/>
        </w:rPr>
        <w:t>附件六：监理单位季度综合考评检查表一（质量控制）</w:t>
      </w:r>
    </w:p>
    <w:p>
      <w:pPr>
        <w:snapToGrid w:val="0"/>
        <w:rPr>
          <w:rFonts w:ascii="宋体" w:hAnsi="宋体" w:cs="宋体"/>
          <w:color w:val="auto"/>
          <w:highlight w:val="none"/>
        </w:rPr>
      </w:pPr>
      <w:r>
        <w:rPr>
          <w:rFonts w:hint="eastAsia" w:ascii="宋体" w:hAnsi="宋体" w:cs="宋体"/>
          <w:color w:val="auto"/>
          <w:highlight w:val="none"/>
        </w:rPr>
        <w:t>附件七：监理人员素质要求各岗位要求一览表</w:t>
      </w:r>
    </w:p>
    <w:p>
      <w:pPr>
        <w:snapToGrid w:val="0"/>
        <w:rPr>
          <w:color w:val="auto"/>
          <w:highlight w:val="none"/>
        </w:rPr>
      </w:pPr>
      <w:r>
        <w:rPr>
          <w:rFonts w:hint="eastAsia"/>
          <w:color w:val="auto"/>
          <w:highlight w:val="none"/>
        </w:rPr>
        <w:t>附件八：形象进度说明</w:t>
      </w:r>
    </w:p>
    <w:p>
      <w:pPr>
        <w:snapToGrid w:val="0"/>
        <w:rPr>
          <w:color w:val="auto"/>
          <w:highlight w:val="none"/>
        </w:rPr>
      </w:pPr>
      <w:r>
        <w:rPr>
          <w:rFonts w:hint="eastAsia"/>
          <w:color w:val="auto"/>
          <w:highlight w:val="none"/>
        </w:rPr>
        <w:t>附件九：罚款台账</w:t>
      </w:r>
    </w:p>
    <w:p>
      <w:pPr>
        <w:snapToGrid w:val="0"/>
        <w:rPr>
          <w:color w:val="auto"/>
          <w:highlight w:val="none"/>
        </w:rPr>
      </w:pPr>
      <w:r>
        <w:rPr>
          <w:rFonts w:hint="eastAsia"/>
          <w:color w:val="auto"/>
          <w:highlight w:val="none"/>
        </w:rPr>
        <w:t>附件十：</w:t>
      </w:r>
      <w:r>
        <w:rPr>
          <w:color w:val="auto"/>
          <w:highlight w:val="none"/>
        </w:rPr>
        <w:t>结算依据资料送审移交表</w:t>
      </w:r>
    </w:p>
    <w:p>
      <w:pPr>
        <w:snapToGrid w:val="0"/>
        <w:rPr>
          <w:color w:val="auto"/>
          <w:highlight w:val="none"/>
        </w:rPr>
        <w:sectPr>
          <w:endnotePr>
            <w:numFmt w:val="decimal"/>
          </w:endnotePr>
          <w:pgSz w:w="11906" w:h="16838"/>
          <w:pgMar w:top="1418"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r>
        <w:rPr>
          <w:rFonts w:hint="eastAsia"/>
          <w:color w:val="auto"/>
          <w:highlight w:val="none"/>
        </w:rPr>
        <w:t>附件十一：</w:t>
      </w:r>
      <w:r>
        <w:rPr>
          <w:color w:val="auto"/>
          <w:highlight w:val="none"/>
        </w:rPr>
        <w:t>审核意见通知单</w:t>
      </w:r>
    </w:p>
    <w:p>
      <w:pPr>
        <w:pStyle w:val="3"/>
        <w:spacing w:before="468" w:beforeLines="150" w:after="468" w:afterLines="150"/>
        <w:rPr>
          <w:color w:val="auto"/>
          <w:highlight w:val="none"/>
        </w:rPr>
      </w:pPr>
      <w:bookmarkStart w:id="120" w:name="_Toc28216"/>
      <w:bookmarkStart w:id="121" w:name="_Toc299140227"/>
      <w:bookmarkStart w:id="122" w:name="_Toc67169561"/>
      <w:bookmarkStart w:id="123" w:name="_Toc480642898"/>
      <w:r>
        <w:rPr>
          <w:rFonts w:hint="eastAsia"/>
          <w:color w:val="auto"/>
          <w:highlight w:val="none"/>
        </w:rPr>
        <w:t>第四部分  附件</w:t>
      </w:r>
      <w:bookmarkEnd w:id="120"/>
      <w:bookmarkEnd w:id="121"/>
      <w:bookmarkEnd w:id="122"/>
      <w:bookmarkEnd w:id="123"/>
    </w:p>
    <w:p>
      <w:pPr>
        <w:snapToGrid w:val="0"/>
        <w:rPr>
          <w:color w:val="auto"/>
          <w:highlight w:val="none"/>
        </w:rPr>
      </w:pPr>
      <w:r>
        <w:rPr>
          <w:rFonts w:hint="eastAsia"/>
          <w:color w:val="auto"/>
          <w:highlight w:val="none"/>
        </w:rPr>
        <w:t>附件一：</w:t>
      </w:r>
      <w:r>
        <w:rPr>
          <w:rFonts w:hint="eastAsia" w:ascii="宋体" w:hAnsi="宋体" w:cs="宋体"/>
          <w:color w:val="auto"/>
          <w:highlight w:val="none"/>
        </w:rPr>
        <w:t>监理月报格式（按统表）</w:t>
      </w:r>
    </w:p>
    <w:p>
      <w:pPr>
        <w:snapToGrid w:val="0"/>
        <w:jc w:val="center"/>
        <w:rPr>
          <w:b/>
          <w:color w:val="auto"/>
          <w:sz w:val="28"/>
          <w:szCs w:val="28"/>
          <w:highlight w:val="none"/>
        </w:rPr>
      </w:pPr>
    </w:p>
    <w:p>
      <w:pPr>
        <w:snapToGrid w:val="0"/>
        <w:jc w:val="center"/>
        <w:rPr>
          <w:b/>
          <w:color w:val="auto"/>
          <w:sz w:val="28"/>
          <w:szCs w:val="28"/>
          <w:highlight w:val="none"/>
        </w:rPr>
      </w:pPr>
    </w:p>
    <w:p>
      <w:pPr>
        <w:snapToGrid w:val="0"/>
        <w:ind w:firstLine="480"/>
        <w:jc w:val="center"/>
        <w:rPr>
          <w:color w:val="auto"/>
          <w:highlight w:val="none"/>
        </w:rPr>
      </w:pPr>
    </w:p>
    <w:p>
      <w:pPr>
        <w:snapToGrid w:val="0"/>
        <w:ind w:firstLine="480"/>
        <w:rPr>
          <w:color w:val="auto"/>
          <w:highlight w:val="none"/>
        </w:rPr>
        <w:sectPr>
          <w:endnotePr>
            <w:numFmt w:val="decimal"/>
          </w:endnotePr>
          <w:pgSz w:w="11906" w:h="16838"/>
          <w:pgMar w:top="1418"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p>
    <w:p>
      <w:pPr>
        <w:pStyle w:val="94"/>
        <w:ind w:firstLine="0" w:firstLineChars="0"/>
        <w:rPr>
          <w:rFonts w:ascii="宋体" w:hAnsi="宋体"/>
          <w:color w:val="auto"/>
          <w:highlight w:val="none"/>
        </w:rPr>
      </w:pPr>
      <w:r>
        <w:rPr>
          <w:rFonts w:hint="eastAsia" w:ascii="宋体" w:hAnsi="宋体"/>
          <w:color w:val="auto"/>
          <w:highlight w:val="none"/>
        </w:rPr>
        <w:t>附件二：</w:t>
      </w:r>
      <w:r>
        <w:rPr>
          <w:rFonts w:hint="eastAsia"/>
          <w:b/>
          <w:bCs/>
          <w:color w:val="auto"/>
          <w:sz w:val="28"/>
          <w:szCs w:val="28"/>
          <w:highlight w:val="none"/>
        </w:rPr>
        <w:t>监理组织机构及监理人员一览表</w:t>
      </w:r>
    </w:p>
    <w:p>
      <w:pPr>
        <w:pStyle w:val="33"/>
        <w:widowControl w:val="0"/>
        <w:kinsoku w:val="0"/>
        <w:overflowPunct w:val="0"/>
        <w:autoSpaceDE w:val="0"/>
        <w:autoSpaceDN w:val="0"/>
        <w:adjustRightInd w:val="0"/>
        <w:snapToGrid w:val="0"/>
        <w:spacing w:before="0" w:beforeAutospacing="0" w:after="0" w:afterAutospacing="0"/>
        <w:jc w:val="center"/>
        <w:rPr>
          <w:b/>
          <w:color w:val="auto"/>
          <w:highlight w:val="none"/>
        </w:rPr>
      </w:pPr>
      <w:r>
        <w:rPr>
          <w:rFonts w:hint="eastAsia"/>
          <w:b/>
          <w:color w:val="auto"/>
          <w:highlight w:val="none"/>
        </w:rPr>
        <w:t>拟投入本项目的主要监理人员汇总表（详竞投文件）</w:t>
      </w: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p>
    <w:p>
      <w:pPr>
        <w:pStyle w:val="33"/>
        <w:widowControl w:val="0"/>
        <w:kinsoku w:val="0"/>
        <w:overflowPunct w:val="0"/>
        <w:autoSpaceDE w:val="0"/>
        <w:autoSpaceDN w:val="0"/>
        <w:adjustRightInd w:val="0"/>
        <w:snapToGrid w:val="0"/>
        <w:spacing w:before="0" w:beforeAutospacing="0" w:after="0" w:afterAutospacing="0"/>
        <w:rPr>
          <w:b/>
          <w:bCs/>
          <w:color w:val="auto"/>
          <w:sz w:val="28"/>
          <w:szCs w:val="28"/>
          <w:highlight w:val="none"/>
        </w:rPr>
      </w:pPr>
      <w:r>
        <w:rPr>
          <w:rFonts w:hint="eastAsia"/>
          <w:color w:val="auto"/>
          <w:highlight w:val="none"/>
        </w:rPr>
        <w:t>附件三：监理服务设施、设备一览表</w:t>
      </w:r>
    </w:p>
    <w:p>
      <w:pPr>
        <w:pStyle w:val="94"/>
        <w:ind w:firstLine="0" w:firstLineChars="0"/>
        <w:rPr>
          <w:rFonts w:ascii="宋体" w:hAnsi="宋体"/>
          <w:color w:val="auto"/>
          <w:highlight w:val="none"/>
        </w:rPr>
      </w:pPr>
    </w:p>
    <w:p>
      <w:pPr>
        <w:tabs>
          <w:tab w:val="left" w:pos="0"/>
        </w:tabs>
        <w:autoSpaceDE w:val="0"/>
        <w:autoSpaceDN w:val="0"/>
        <w:spacing w:line="336" w:lineRule="auto"/>
        <w:jc w:val="center"/>
        <w:rPr>
          <w:rFonts w:ascii="宋体" w:hAnsi="宋体"/>
          <w:b/>
          <w:color w:val="auto"/>
          <w:spacing w:val="20"/>
          <w:highlight w:val="none"/>
        </w:rPr>
      </w:pPr>
      <w:r>
        <w:rPr>
          <w:rFonts w:hint="eastAsia" w:ascii="宋体" w:hAnsi="宋体"/>
          <w:b/>
          <w:color w:val="auto"/>
          <w:spacing w:val="20"/>
          <w:highlight w:val="none"/>
        </w:rPr>
        <w:t>拟投入本项目的通讯、办公、检测设备和交通工具清单</w:t>
      </w:r>
    </w:p>
    <w:p>
      <w:pPr>
        <w:tabs>
          <w:tab w:val="left" w:pos="0"/>
        </w:tabs>
        <w:autoSpaceDE w:val="0"/>
        <w:autoSpaceDN w:val="0"/>
        <w:spacing w:line="336" w:lineRule="auto"/>
        <w:jc w:val="center"/>
        <w:rPr>
          <w:rFonts w:ascii="宋体" w:hAnsi="宋体"/>
          <w:b/>
          <w:color w:val="auto"/>
          <w:spacing w:val="20"/>
          <w:highlight w:val="none"/>
        </w:rPr>
      </w:pPr>
      <w:r>
        <w:rPr>
          <w:rFonts w:hint="eastAsia"/>
          <w:b/>
          <w:color w:val="auto"/>
          <w:highlight w:val="none"/>
        </w:rPr>
        <w:t>（无）</w:t>
      </w:r>
    </w:p>
    <w:p>
      <w:pPr>
        <w:tabs>
          <w:tab w:val="left" w:pos="0"/>
        </w:tabs>
        <w:autoSpaceDE w:val="0"/>
        <w:autoSpaceDN w:val="0"/>
        <w:spacing w:line="336" w:lineRule="auto"/>
        <w:jc w:val="center"/>
        <w:rPr>
          <w:rFonts w:ascii="宋体" w:hAnsi="宋体"/>
          <w:b/>
          <w:color w:val="auto"/>
          <w:spacing w:val="20"/>
          <w:highlight w:val="none"/>
        </w:rPr>
      </w:pPr>
    </w:p>
    <w:p>
      <w:pPr>
        <w:pStyle w:val="94"/>
        <w:ind w:firstLine="0" w:firstLineChars="0"/>
        <w:rPr>
          <w:rFonts w:ascii="宋体" w:hAnsi="宋体"/>
          <w:color w:val="auto"/>
          <w:highlight w:val="none"/>
        </w:rPr>
      </w:pPr>
      <w:r>
        <w:rPr>
          <w:rFonts w:hint="eastAsia" w:ascii="宋体" w:hAnsi="宋体"/>
          <w:color w:val="auto"/>
          <w:highlight w:val="none"/>
        </w:rPr>
        <w:br w:type="page"/>
      </w:r>
      <w:r>
        <w:rPr>
          <w:rFonts w:hint="eastAsia" w:ascii="宋体" w:hAnsi="宋体"/>
          <w:color w:val="auto"/>
          <w:highlight w:val="none"/>
        </w:rPr>
        <w:t>附件四：</w:t>
      </w:r>
    </w:p>
    <w:p>
      <w:pPr>
        <w:ind w:firstLine="162" w:firstLineChars="58"/>
        <w:jc w:val="center"/>
        <w:rPr>
          <w:rFonts w:ascii="宋体" w:hAnsi="宋体"/>
          <w:color w:val="auto"/>
          <w:sz w:val="28"/>
          <w:szCs w:val="28"/>
          <w:highlight w:val="none"/>
          <w:u w:val="single"/>
        </w:rPr>
      </w:pPr>
      <w:r>
        <w:rPr>
          <w:rFonts w:hint="eastAsia" w:ascii="宋体" w:hAnsi="宋体"/>
          <w:b/>
          <w:bCs/>
          <w:color w:val="auto"/>
          <w:kern w:val="0"/>
          <w:sz w:val="28"/>
          <w:szCs w:val="28"/>
          <w:highlight w:val="none"/>
        </w:rPr>
        <w:t>廉政协议书</w:t>
      </w:r>
    </w:p>
    <w:p>
      <w:pPr>
        <w:spacing w:line="288" w:lineRule="auto"/>
        <w:ind w:firstLine="480" w:firstLineChars="200"/>
        <w:rPr>
          <w:rFonts w:ascii="宋体" w:hAnsi="宋体"/>
          <w:color w:val="auto"/>
          <w:kern w:val="0"/>
          <w:szCs w:val="21"/>
          <w:highlight w:val="none"/>
        </w:rPr>
      </w:pPr>
    </w:p>
    <w:p>
      <w:pPr>
        <w:ind w:firstLine="595" w:firstLineChars="240"/>
        <w:rPr>
          <w:rFonts w:ascii="宋体" w:hAnsi="宋体"/>
          <w:b/>
          <w:bCs/>
          <w:color w:val="auto"/>
          <w:kern w:val="0"/>
          <w:highlight w:val="none"/>
        </w:rPr>
      </w:pPr>
      <w:r>
        <w:rPr>
          <w:rFonts w:hint="eastAsia" w:ascii="宋体" w:hAnsi="宋体"/>
          <w:color w:val="auto"/>
          <w:spacing w:val="4"/>
          <w:kern w:val="0"/>
          <w:highlight w:val="none"/>
        </w:rPr>
        <w:t>根据有关工程建设、廉政建设的条规，为做好工程建设中的党风廉政建设，保证工程建设高效优质，保证建设资金的安全和有效使用以及投资效益，建设工程的项目管理单位</w:t>
      </w:r>
      <w:r>
        <w:rPr>
          <w:rFonts w:hint="eastAsia" w:ascii="宋体" w:hAnsi="宋体"/>
          <w:color w:val="auto"/>
          <w:spacing w:val="4"/>
          <w:kern w:val="0"/>
          <w:highlight w:val="none"/>
          <w:u w:val="single"/>
        </w:rPr>
        <w:t>清远市广州后花园有限公司</w:t>
      </w:r>
      <w:r>
        <w:rPr>
          <w:rFonts w:hint="eastAsia" w:ascii="宋体" w:hAnsi="宋体"/>
          <w:color w:val="auto"/>
          <w:spacing w:val="4"/>
          <w:kern w:val="0"/>
          <w:highlight w:val="none"/>
        </w:rPr>
        <w:t>（以下简称“委托单位”）与监理单位</w:t>
      </w:r>
      <w:r>
        <w:rPr>
          <w:rFonts w:hint="eastAsia" w:ascii="宋体" w:hAnsi="宋体"/>
          <w:color w:val="auto"/>
          <w:spacing w:val="4"/>
          <w:kern w:val="0"/>
          <w:highlight w:val="none"/>
          <w:u w:val="single"/>
        </w:rPr>
        <w:t xml:space="preserve">  ****有限公司</w:t>
      </w:r>
      <w:r>
        <w:rPr>
          <w:rFonts w:hint="eastAsia" w:ascii="宋体" w:hAnsi="宋体"/>
          <w:color w:val="auto"/>
          <w:spacing w:val="4"/>
          <w:kern w:val="0"/>
          <w:highlight w:val="none"/>
        </w:rPr>
        <w:t>（以下称“监理单位”）就</w:t>
      </w:r>
      <w:r>
        <w:rPr>
          <w:rFonts w:hint="eastAsia" w:eastAsia="仿宋_GB2312"/>
          <w:color w:val="auto"/>
          <w:highlight w:val="none"/>
          <w:u w:val="single"/>
        </w:rPr>
        <w:t xml:space="preserve"> </w:t>
      </w:r>
      <w:r>
        <w:rPr>
          <w:rFonts w:hint="eastAsia" w:ascii="宋体" w:hAnsi="宋体" w:cs="宋体"/>
          <w:color w:val="auto"/>
          <w:highlight w:val="none"/>
          <w:u w:val="single"/>
        </w:rPr>
        <w:t xml:space="preserve">****监理服务 </w:t>
      </w:r>
      <w:r>
        <w:rPr>
          <w:rFonts w:hint="eastAsia" w:ascii="宋体" w:hAnsi="宋体"/>
          <w:color w:val="auto"/>
          <w:spacing w:val="4"/>
          <w:kern w:val="0"/>
          <w:highlight w:val="none"/>
        </w:rPr>
        <w:t>项目特订立如下廉政协议书：</w:t>
      </w:r>
    </w:p>
    <w:p>
      <w:pPr>
        <w:ind w:left="-90" w:firstLine="578" w:firstLineChars="241"/>
        <w:rPr>
          <w:rFonts w:ascii="宋体" w:hAnsi="宋体"/>
          <w:color w:val="auto"/>
          <w:kern w:val="0"/>
          <w:highlight w:val="none"/>
        </w:rPr>
      </w:pPr>
      <w:r>
        <w:rPr>
          <w:rFonts w:hint="eastAsia" w:ascii="宋体" w:hAnsi="宋体"/>
          <w:b/>
          <w:bCs/>
          <w:color w:val="auto"/>
          <w:kern w:val="0"/>
          <w:highlight w:val="none"/>
        </w:rPr>
        <w:t>一、双方的权利和义务</w:t>
      </w:r>
    </w:p>
    <w:p>
      <w:pPr>
        <w:ind w:left="-90" w:firstLine="580" w:firstLineChars="242"/>
        <w:rPr>
          <w:rFonts w:ascii="宋体" w:hAnsi="宋体"/>
          <w:color w:val="auto"/>
          <w:kern w:val="0"/>
          <w:highlight w:val="none"/>
        </w:rPr>
      </w:pPr>
      <w:r>
        <w:rPr>
          <w:rFonts w:hint="eastAsia" w:ascii="宋体" w:hAnsi="宋体"/>
          <w:color w:val="auto"/>
          <w:kern w:val="0"/>
          <w:highlight w:val="none"/>
        </w:rPr>
        <w:t>（一）严格遵守党的政策规定和国家有关法律法规的有关规定。</w:t>
      </w:r>
    </w:p>
    <w:p>
      <w:pPr>
        <w:ind w:left="-90" w:firstLine="580" w:firstLineChars="242"/>
        <w:rPr>
          <w:rFonts w:ascii="宋体" w:hAnsi="宋体"/>
          <w:color w:val="auto"/>
          <w:kern w:val="0"/>
          <w:highlight w:val="none"/>
        </w:rPr>
      </w:pPr>
      <w:r>
        <w:rPr>
          <w:rFonts w:hint="eastAsia" w:ascii="宋体" w:hAnsi="宋体"/>
          <w:color w:val="auto"/>
          <w:kern w:val="0"/>
          <w:highlight w:val="none"/>
        </w:rPr>
        <w:t>（二）严格执行本项目的合同文件，自觉按合同办事。</w:t>
      </w:r>
    </w:p>
    <w:p>
      <w:pPr>
        <w:ind w:left="-90" w:firstLine="580" w:firstLineChars="242"/>
        <w:rPr>
          <w:rFonts w:ascii="宋体" w:hAnsi="宋体"/>
          <w:color w:val="auto"/>
          <w:kern w:val="0"/>
          <w:highlight w:val="none"/>
        </w:rPr>
      </w:pPr>
      <w:r>
        <w:rPr>
          <w:rFonts w:hint="eastAsia" w:ascii="宋体" w:hAnsi="宋体"/>
          <w:color w:val="auto"/>
          <w:kern w:val="0"/>
          <w:highlight w:val="none"/>
        </w:rPr>
        <w:t>（三）双方的业务活动坚持公开、公正、诚信、透明的原则（法律认定的商业秘密和合同文件另有规定除外），不得损害国家和集体利益，违反监理工作管理规章制度。</w:t>
      </w:r>
    </w:p>
    <w:p>
      <w:pPr>
        <w:ind w:left="-90" w:firstLine="580" w:firstLineChars="242"/>
        <w:rPr>
          <w:rFonts w:ascii="宋体" w:hAnsi="宋体"/>
          <w:color w:val="auto"/>
          <w:kern w:val="0"/>
          <w:highlight w:val="none"/>
        </w:rPr>
      </w:pPr>
      <w:r>
        <w:rPr>
          <w:rFonts w:hint="eastAsia" w:ascii="宋体" w:hAnsi="宋体"/>
          <w:color w:val="auto"/>
          <w:kern w:val="0"/>
          <w:highlight w:val="none"/>
        </w:rPr>
        <w:t>（四）建立健全廉政制度，开展廉政教育，设立廉政告示牌，公布举报电话，监督并认真查处违法违纪行为。</w:t>
      </w:r>
    </w:p>
    <w:p>
      <w:pPr>
        <w:ind w:left="-90" w:firstLine="580" w:firstLineChars="242"/>
        <w:rPr>
          <w:rFonts w:ascii="宋体" w:hAnsi="宋体"/>
          <w:color w:val="auto"/>
          <w:kern w:val="0"/>
          <w:highlight w:val="none"/>
        </w:rPr>
      </w:pPr>
      <w:r>
        <w:rPr>
          <w:rFonts w:hint="eastAsia" w:ascii="宋体" w:hAnsi="宋体"/>
          <w:color w:val="auto"/>
          <w:kern w:val="0"/>
          <w:highlight w:val="none"/>
        </w:rPr>
        <w:t>（五）发现对方在业务活动中有违反廉政规定的行为，有及时提醒对方纠正的权利和义务。</w:t>
      </w:r>
    </w:p>
    <w:p>
      <w:pPr>
        <w:ind w:left="-90" w:firstLine="580" w:firstLineChars="242"/>
        <w:rPr>
          <w:rFonts w:ascii="宋体" w:hAnsi="宋体"/>
          <w:bCs/>
          <w:color w:val="auto"/>
          <w:kern w:val="0"/>
          <w:highlight w:val="none"/>
        </w:rPr>
      </w:pPr>
      <w:r>
        <w:rPr>
          <w:rFonts w:hint="eastAsia" w:ascii="宋体" w:hAnsi="宋体"/>
          <w:color w:val="auto"/>
          <w:kern w:val="0"/>
          <w:highlight w:val="none"/>
        </w:rPr>
        <w:t>（六）发现对方严重违反本合同义务条款的行为，有向其上级有关部门举报、建议给予处理并要求告知处理结果的权利。</w:t>
      </w:r>
    </w:p>
    <w:p>
      <w:pPr>
        <w:ind w:left="-90" w:firstLine="580" w:firstLineChars="242"/>
        <w:rPr>
          <w:rFonts w:ascii="宋体" w:hAnsi="宋体"/>
          <w:color w:val="auto"/>
          <w:kern w:val="0"/>
          <w:highlight w:val="none"/>
        </w:rPr>
      </w:pPr>
      <w:r>
        <w:rPr>
          <w:rFonts w:hint="eastAsia" w:ascii="宋体" w:hAnsi="宋体"/>
          <w:b/>
          <w:bCs/>
          <w:color w:val="auto"/>
          <w:kern w:val="0"/>
          <w:highlight w:val="none"/>
        </w:rPr>
        <w:t>二、委托单位的义务</w:t>
      </w:r>
    </w:p>
    <w:p>
      <w:pPr>
        <w:ind w:left="-90" w:firstLine="580" w:firstLineChars="242"/>
        <w:rPr>
          <w:rFonts w:ascii="宋体" w:hAnsi="宋体"/>
          <w:color w:val="auto"/>
          <w:kern w:val="0"/>
          <w:highlight w:val="none"/>
        </w:rPr>
      </w:pPr>
      <w:r>
        <w:rPr>
          <w:rFonts w:hint="eastAsia" w:ascii="宋体" w:hAnsi="宋体"/>
          <w:color w:val="auto"/>
          <w:kern w:val="0"/>
          <w:highlight w:val="none"/>
        </w:rPr>
        <w:t>（一）委托单位及其工作人员不得索要或接受监理单位的礼金、有价证券和贵重物品，不得在监理单位报销任何应由委托单位或委托单位工作人员个人支付的费用等。</w:t>
      </w:r>
    </w:p>
    <w:p>
      <w:pPr>
        <w:ind w:left="-90" w:firstLine="580" w:firstLineChars="242"/>
        <w:rPr>
          <w:rFonts w:ascii="宋体" w:hAnsi="宋体"/>
          <w:color w:val="auto"/>
          <w:kern w:val="0"/>
          <w:highlight w:val="none"/>
        </w:rPr>
      </w:pPr>
      <w:r>
        <w:rPr>
          <w:rFonts w:hint="eastAsia" w:ascii="宋体" w:hAnsi="宋体"/>
          <w:color w:val="auto"/>
          <w:kern w:val="0"/>
          <w:highlight w:val="none"/>
        </w:rPr>
        <w:t>（二）委托单位工作人员不得参加监理单位安排的超标准宴请和娱乐活动；不得接受监理单位提供的通讯工具、交通工具和高档办公用品等。</w:t>
      </w:r>
    </w:p>
    <w:p>
      <w:pPr>
        <w:ind w:left="-90" w:firstLine="580" w:firstLineChars="242"/>
        <w:rPr>
          <w:rFonts w:ascii="宋体" w:hAnsi="宋体"/>
          <w:color w:val="auto"/>
          <w:kern w:val="0"/>
          <w:highlight w:val="none"/>
        </w:rPr>
      </w:pPr>
      <w:r>
        <w:rPr>
          <w:rFonts w:hint="eastAsia" w:ascii="宋体" w:hAnsi="宋体"/>
          <w:color w:val="auto"/>
          <w:kern w:val="0"/>
          <w:highlight w:val="none"/>
        </w:rPr>
        <w:t>（三）委托单位及其工作人员不得要求或者接受监理单位为其住房装修、婚丧嫁娶活动、配偶子女的工作安排以及出国出境、旅游等提供方便等。</w:t>
      </w:r>
    </w:p>
    <w:p>
      <w:pPr>
        <w:ind w:left="-90" w:firstLine="580" w:firstLineChars="242"/>
        <w:rPr>
          <w:rFonts w:ascii="宋体" w:hAnsi="宋体"/>
          <w:color w:val="auto"/>
          <w:kern w:val="0"/>
          <w:highlight w:val="none"/>
        </w:rPr>
      </w:pPr>
      <w:r>
        <w:rPr>
          <w:rFonts w:hint="eastAsia" w:ascii="宋体" w:hAnsi="宋体"/>
          <w:color w:val="auto"/>
          <w:kern w:val="0"/>
          <w:highlight w:val="none"/>
        </w:rPr>
        <w:t>（四）委托单位工作人员的配偶、子女不得从事与委托单位工程有关的材料设备供应、工程分包、劳务等经济活动。</w:t>
      </w:r>
    </w:p>
    <w:p>
      <w:pPr>
        <w:ind w:left="-90" w:firstLine="580" w:firstLineChars="242"/>
        <w:rPr>
          <w:rFonts w:ascii="宋体" w:hAnsi="宋体"/>
          <w:color w:val="auto"/>
          <w:kern w:val="0"/>
          <w:highlight w:val="none"/>
        </w:rPr>
      </w:pPr>
      <w:r>
        <w:rPr>
          <w:rFonts w:hint="eastAsia" w:ascii="宋体" w:hAnsi="宋体"/>
          <w:color w:val="auto"/>
          <w:kern w:val="0"/>
          <w:highlight w:val="none"/>
        </w:rPr>
        <w:t>（五）委托单位及其工作人员不得以任何理由向监理单位推荐分包单位或推销材料，不得要求监理单位购买合同规定外的材料和设备。</w:t>
      </w:r>
    </w:p>
    <w:p>
      <w:pPr>
        <w:ind w:left="-90" w:firstLine="580" w:firstLineChars="242"/>
        <w:rPr>
          <w:rFonts w:ascii="宋体" w:hAnsi="宋体"/>
          <w:bCs/>
          <w:color w:val="auto"/>
          <w:kern w:val="0"/>
          <w:highlight w:val="none"/>
        </w:rPr>
      </w:pPr>
      <w:r>
        <w:rPr>
          <w:rFonts w:hint="eastAsia" w:ascii="宋体" w:hAnsi="宋体"/>
          <w:color w:val="auto"/>
          <w:kern w:val="0"/>
          <w:highlight w:val="none"/>
        </w:rPr>
        <w:t>（六）委托单位工作人员要秉公办事，不准徇私舞弊，不准利用职权从事各种个人有偿中介活动和安排个人施工队伍。</w:t>
      </w:r>
    </w:p>
    <w:p>
      <w:pPr>
        <w:ind w:left="-90" w:firstLine="580" w:firstLineChars="242"/>
        <w:rPr>
          <w:rFonts w:ascii="宋体" w:hAnsi="宋体"/>
          <w:color w:val="auto"/>
          <w:kern w:val="0"/>
          <w:highlight w:val="none"/>
        </w:rPr>
      </w:pPr>
      <w:r>
        <w:rPr>
          <w:rFonts w:hint="eastAsia" w:ascii="宋体" w:hAnsi="宋体"/>
          <w:b/>
          <w:bCs/>
          <w:color w:val="auto"/>
          <w:kern w:val="0"/>
          <w:highlight w:val="none"/>
        </w:rPr>
        <w:t>三、监理单位义务</w:t>
      </w:r>
    </w:p>
    <w:p>
      <w:pPr>
        <w:ind w:left="-90" w:firstLine="580" w:firstLineChars="242"/>
        <w:rPr>
          <w:rFonts w:ascii="宋体" w:hAnsi="宋体"/>
          <w:color w:val="auto"/>
          <w:kern w:val="0"/>
          <w:highlight w:val="none"/>
        </w:rPr>
      </w:pPr>
      <w:r>
        <w:rPr>
          <w:rFonts w:hint="eastAsia" w:ascii="宋体" w:hAnsi="宋体"/>
          <w:color w:val="auto"/>
          <w:kern w:val="0"/>
          <w:highlight w:val="none"/>
        </w:rPr>
        <w:t>（一）监理单位不得以任何理由向委托单位及其工作人员行贿或馈赠礼金、有价证券、贵重物品。</w:t>
      </w:r>
    </w:p>
    <w:p>
      <w:pPr>
        <w:ind w:left="-90" w:firstLine="580" w:firstLineChars="242"/>
        <w:rPr>
          <w:rFonts w:ascii="宋体" w:hAnsi="宋体"/>
          <w:color w:val="auto"/>
          <w:kern w:val="0"/>
          <w:highlight w:val="none"/>
        </w:rPr>
      </w:pPr>
      <w:r>
        <w:rPr>
          <w:rFonts w:hint="eastAsia" w:ascii="宋体" w:hAnsi="宋体"/>
          <w:color w:val="auto"/>
          <w:kern w:val="0"/>
          <w:highlight w:val="none"/>
        </w:rPr>
        <w:t>（二）监理单位不得以任何名义为委托单位及其工作人员报销应由委托单位单位或个人支付的任何费用。</w:t>
      </w:r>
    </w:p>
    <w:p>
      <w:pPr>
        <w:ind w:left="-90" w:firstLine="580" w:firstLineChars="242"/>
        <w:rPr>
          <w:rFonts w:ascii="宋体" w:hAnsi="宋体"/>
          <w:bCs/>
          <w:color w:val="auto"/>
          <w:kern w:val="0"/>
          <w:highlight w:val="none"/>
        </w:rPr>
      </w:pPr>
      <w:r>
        <w:rPr>
          <w:rFonts w:hint="eastAsia" w:ascii="宋体" w:hAnsi="宋体"/>
          <w:color w:val="auto"/>
          <w:kern w:val="0"/>
          <w:highlight w:val="none"/>
        </w:rPr>
        <w:t>（三）监理单位不得以任何理由安排委托单位工作人员参加超标准宴请及娱乐活动。</w:t>
      </w:r>
    </w:p>
    <w:p>
      <w:pPr>
        <w:ind w:left="-90" w:firstLine="580" w:firstLineChars="242"/>
        <w:rPr>
          <w:rFonts w:ascii="宋体" w:hAnsi="宋体"/>
          <w:bCs/>
          <w:color w:val="auto"/>
          <w:kern w:val="0"/>
          <w:highlight w:val="none"/>
        </w:rPr>
      </w:pPr>
      <w:r>
        <w:rPr>
          <w:rFonts w:hint="eastAsia" w:ascii="宋体" w:hAnsi="宋体"/>
          <w:bCs/>
          <w:color w:val="auto"/>
          <w:kern w:val="0"/>
          <w:highlight w:val="none"/>
        </w:rPr>
        <w:t>（四）监理单位不得为委托单位和个人购置或提供通讯工具、交通工具和高档办公用品等。</w:t>
      </w:r>
    </w:p>
    <w:p>
      <w:pPr>
        <w:ind w:left="-90" w:firstLine="580" w:firstLineChars="242"/>
        <w:rPr>
          <w:rFonts w:ascii="宋体" w:hAnsi="宋体"/>
          <w:color w:val="auto"/>
          <w:kern w:val="0"/>
          <w:highlight w:val="none"/>
        </w:rPr>
      </w:pPr>
      <w:r>
        <w:rPr>
          <w:rFonts w:hint="eastAsia" w:ascii="宋体" w:hAnsi="宋体"/>
          <w:b/>
          <w:bCs/>
          <w:color w:val="auto"/>
          <w:kern w:val="0"/>
          <w:highlight w:val="none"/>
        </w:rPr>
        <w:t>四、违约责任</w:t>
      </w:r>
    </w:p>
    <w:p>
      <w:pPr>
        <w:ind w:left="-90" w:firstLine="580" w:firstLineChars="242"/>
        <w:rPr>
          <w:rFonts w:ascii="宋体" w:hAnsi="宋体"/>
          <w:color w:val="auto"/>
          <w:kern w:val="0"/>
          <w:highlight w:val="none"/>
        </w:rPr>
      </w:pPr>
      <w:r>
        <w:rPr>
          <w:rFonts w:hint="eastAsia" w:ascii="宋体" w:hAnsi="宋体"/>
          <w:color w:val="auto"/>
          <w:kern w:val="0"/>
          <w:highlight w:val="none"/>
        </w:rPr>
        <w:t>（一）委托单位及其工作人员违反本合同第一、二条，按管理权限，依据有关规定给予党纪、政纪或组织处理；涉嫌犯罪的，移交司法机关追究刑事责任；给监理单位单位造成经济损失的，应予以赔偿。</w:t>
      </w:r>
    </w:p>
    <w:p>
      <w:pPr>
        <w:ind w:left="-90" w:firstLine="580" w:firstLineChars="242"/>
        <w:rPr>
          <w:rFonts w:ascii="宋体" w:hAnsi="宋体"/>
          <w:color w:val="auto"/>
          <w:kern w:val="10"/>
          <w:highlight w:val="none"/>
        </w:rPr>
      </w:pPr>
      <w:r>
        <w:rPr>
          <w:rFonts w:hint="eastAsia" w:ascii="宋体" w:hAnsi="宋体"/>
          <w:color w:val="auto"/>
          <w:kern w:val="0"/>
          <w:highlight w:val="none"/>
        </w:rPr>
        <w:t>（二）监理单位及其工作人员违反本合同第一、三条，按管理权限，依据有关规定给予党纪、政纪或组织处理；给委托单位单位造成经济损失的，应予以赔偿；情节严重的，委托单位建议工程建设主管部门给予监理单位一至三年内不得进入其主管的工程建设市场的处罚。</w:t>
      </w:r>
    </w:p>
    <w:p>
      <w:pPr>
        <w:ind w:left="-90" w:firstLine="580" w:firstLineChars="242"/>
        <w:rPr>
          <w:rFonts w:ascii="宋体" w:hAnsi="宋体"/>
          <w:b/>
          <w:color w:val="auto"/>
          <w:kern w:val="10"/>
          <w:highlight w:val="none"/>
        </w:rPr>
      </w:pPr>
      <w:r>
        <w:rPr>
          <w:rFonts w:hint="eastAsia" w:ascii="宋体" w:hAnsi="宋体"/>
          <w:b/>
          <w:color w:val="auto"/>
          <w:kern w:val="10"/>
          <w:highlight w:val="none"/>
        </w:rPr>
        <w:t>五、双方约定：</w:t>
      </w:r>
    </w:p>
    <w:p>
      <w:pPr>
        <w:ind w:firstLine="480" w:firstLineChars="200"/>
        <w:rPr>
          <w:rFonts w:ascii="宋体" w:hAnsi="宋体"/>
          <w:color w:val="auto"/>
          <w:kern w:val="10"/>
          <w:highlight w:val="none"/>
        </w:rPr>
      </w:pPr>
      <w:r>
        <w:rPr>
          <w:rFonts w:hint="eastAsia" w:ascii="宋体" w:hAnsi="宋体"/>
          <w:color w:val="auto"/>
          <w:kern w:val="0"/>
          <w:highlight w:val="none"/>
        </w:rPr>
        <w:t>本合同由双方或双方上级单位的纪检监察机关负责监督执行。由委托单位或委托单位上级单位的纪检监察机关约请监理单位或监理单位上级单位纪检监察机关对本合同执行情况进行检查，提出在本合同规定范围内的裁定意见。</w:t>
      </w:r>
    </w:p>
    <w:p>
      <w:pPr>
        <w:ind w:firstLine="480" w:firstLineChars="200"/>
        <w:rPr>
          <w:rFonts w:ascii="宋体" w:hAnsi="宋体"/>
          <w:color w:val="auto"/>
          <w:kern w:val="10"/>
          <w:highlight w:val="none"/>
        </w:rPr>
      </w:pPr>
      <w:r>
        <w:rPr>
          <w:rFonts w:hint="eastAsia" w:ascii="宋体" w:hAnsi="宋体"/>
          <w:b/>
          <w:color w:val="auto"/>
          <w:kern w:val="10"/>
          <w:highlight w:val="none"/>
        </w:rPr>
        <w:t>六、</w:t>
      </w:r>
      <w:r>
        <w:rPr>
          <w:rFonts w:hint="eastAsia" w:ascii="宋体" w:hAnsi="宋体"/>
          <w:color w:val="auto"/>
          <w:kern w:val="10"/>
          <w:highlight w:val="none"/>
        </w:rPr>
        <w:t>本合同有效期为双方签署之日起至该工程项目竣工验收后止。</w:t>
      </w:r>
    </w:p>
    <w:p>
      <w:pPr>
        <w:ind w:firstLine="480" w:firstLineChars="200"/>
        <w:rPr>
          <w:rFonts w:ascii="宋体" w:hAnsi="宋体"/>
          <w:color w:val="auto"/>
          <w:kern w:val="10"/>
          <w:highlight w:val="none"/>
        </w:rPr>
      </w:pPr>
      <w:r>
        <w:rPr>
          <w:rFonts w:hint="eastAsia" w:ascii="宋体" w:hAnsi="宋体"/>
          <w:b/>
          <w:color w:val="auto"/>
          <w:kern w:val="10"/>
          <w:highlight w:val="none"/>
        </w:rPr>
        <w:t>七、</w:t>
      </w:r>
      <w:r>
        <w:rPr>
          <w:rFonts w:hint="eastAsia" w:ascii="宋体" w:hAnsi="宋体"/>
          <w:color w:val="auto"/>
          <w:kern w:val="10"/>
          <w:highlight w:val="none"/>
        </w:rPr>
        <w:t>本合同作为本项目监理合同的附件，与主合同具有同等的法律效力，经合同双方签署立即生效。</w:t>
      </w:r>
    </w:p>
    <w:p>
      <w:pPr>
        <w:ind w:firstLine="480" w:firstLineChars="200"/>
        <w:rPr>
          <w:rFonts w:ascii="宋体" w:hAnsi="宋体"/>
          <w:color w:val="auto"/>
          <w:kern w:val="10"/>
          <w:highlight w:val="none"/>
        </w:rPr>
      </w:pPr>
      <w:r>
        <w:rPr>
          <w:rFonts w:hint="eastAsia" w:ascii="宋体" w:hAnsi="宋体"/>
          <w:b/>
          <w:color w:val="auto"/>
          <w:kern w:val="10"/>
          <w:highlight w:val="none"/>
        </w:rPr>
        <w:t>八、</w:t>
      </w:r>
      <w:r>
        <w:rPr>
          <w:rFonts w:hint="eastAsia" w:ascii="宋体" w:hAnsi="宋体"/>
          <w:color w:val="auto"/>
          <w:kern w:val="10"/>
          <w:highlight w:val="none"/>
        </w:rPr>
        <w:t>由双方法定代表人或其授权的代理人签署与加盖公章后生效，全部工程竣工验收后失效。</w:t>
      </w:r>
    </w:p>
    <w:p>
      <w:pPr>
        <w:tabs>
          <w:tab w:val="left" w:pos="540"/>
        </w:tabs>
        <w:rPr>
          <w:rFonts w:ascii="宋体" w:hAnsi="宋体"/>
          <w:color w:val="auto"/>
          <w:kern w:val="10"/>
          <w:highlight w:val="none"/>
        </w:rPr>
      </w:pPr>
    </w:p>
    <w:p>
      <w:pPr>
        <w:tabs>
          <w:tab w:val="left" w:pos="540"/>
        </w:tabs>
        <w:rPr>
          <w:rFonts w:ascii="宋体" w:hAnsi="宋体"/>
          <w:color w:val="auto"/>
          <w:kern w:val="10"/>
          <w:highlight w:val="none"/>
        </w:rPr>
      </w:pPr>
    </w:p>
    <w:p>
      <w:pPr>
        <w:tabs>
          <w:tab w:val="left" w:pos="540"/>
        </w:tabs>
        <w:rPr>
          <w:rFonts w:ascii="宋体" w:hAnsi="宋体"/>
          <w:color w:val="auto"/>
          <w:kern w:val="10"/>
          <w:highlight w:val="none"/>
        </w:rPr>
      </w:pPr>
    </w:p>
    <w:p>
      <w:pPr>
        <w:ind w:left="1320" w:hanging="1320" w:hangingChars="550"/>
        <w:rPr>
          <w:rFonts w:ascii="宋体" w:hAnsi="宋体"/>
          <w:color w:val="auto"/>
          <w:highlight w:val="none"/>
        </w:rPr>
      </w:pPr>
      <w:r>
        <w:rPr>
          <w:rFonts w:hint="eastAsia" w:ascii="宋体" w:hAnsi="宋体"/>
          <w:color w:val="auto"/>
          <w:highlight w:val="none"/>
        </w:rPr>
        <w:t>委托单位：（盖章）                      监理单位：（盖章）</w:t>
      </w:r>
      <w:r>
        <w:rPr>
          <w:rFonts w:hint="eastAsia" w:ascii="宋体" w:hAnsi="宋体" w:cs="宋体"/>
          <w:color w:val="auto"/>
          <w:kern w:val="0"/>
          <w:sz w:val="28"/>
          <w:szCs w:val="28"/>
          <w:highlight w:val="none"/>
        </w:rPr>
        <w:t xml:space="preserve">                                </w:t>
      </w:r>
    </w:p>
    <w:p>
      <w:pPr>
        <w:rPr>
          <w:rFonts w:ascii="宋体" w:hAnsi="宋体" w:cs="宋体"/>
          <w:color w:val="auto"/>
          <w:kern w:val="0"/>
          <w:sz w:val="28"/>
          <w:szCs w:val="28"/>
          <w:highlight w:val="none"/>
          <w:u w:val="single"/>
        </w:rPr>
      </w:pPr>
    </w:p>
    <w:p>
      <w:pPr>
        <w:rPr>
          <w:rFonts w:ascii="宋体" w:hAnsi="宋体"/>
          <w:color w:val="auto"/>
          <w:highlight w:val="none"/>
        </w:rPr>
      </w:pPr>
      <w:r>
        <w:rPr>
          <w:rFonts w:hint="eastAsia" w:ascii="宋体" w:hAnsi="宋体" w:cs="宋体"/>
          <w:color w:val="auto"/>
          <w:kern w:val="0"/>
          <w:sz w:val="28"/>
          <w:szCs w:val="28"/>
          <w:highlight w:val="none"/>
          <w:u w:val="single"/>
        </w:rPr>
        <w:t>清远市广州后花园有限公司</w:t>
      </w:r>
      <w:r>
        <w:rPr>
          <w:rFonts w:hint="eastAsia" w:ascii="宋体" w:hAnsi="宋体" w:cs="宋体"/>
          <w:color w:val="auto"/>
          <w:kern w:val="0"/>
          <w:sz w:val="28"/>
          <w:szCs w:val="28"/>
          <w:highlight w:val="none"/>
        </w:rPr>
        <w:t xml:space="preserve">     </w:t>
      </w:r>
      <w:r>
        <w:rPr>
          <w:rFonts w:ascii="宋体" w:hAnsi="宋体" w:cs="宋体"/>
          <w:color w:val="auto"/>
          <w:kern w:val="0"/>
          <w:sz w:val="28"/>
          <w:szCs w:val="28"/>
          <w:highlight w:val="none"/>
        </w:rPr>
        <w:t xml:space="preserve">    </w:t>
      </w:r>
      <w:r>
        <w:rPr>
          <w:rFonts w:hint="eastAsia" w:ascii="宋体" w:hAnsi="宋体" w:cs="宋体"/>
          <w:color w:val="auto"/>
          <w:kern w:val="0"/>
          <w:sz w:val="28"/>
          <w:szCs w:val="28"/>
          <w:highlight w:val="none"/>
          <w:u w:val="single"/>
        </w:rPr>
        <w:t>****有限公司</w:t>
      </w:r>
      <w:r>
        <w:rPr>
          <w:rFonts w:ascii="宋体" w:hAnsi="宋体" w:cs="宋体"/>
          <w:color w:val="auto"/>
          <w:kern w:val="0"/>
          <w:sz w:val="28"/>
          <w:szCs w:val="28"/>
          <w:highlight w:val="none"/>
          <w:u w:val="single"/>
        </w:rPr>
        <w:t xml:space="preserve"> </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r>
        <w:rPr>
          <w:rFonts w:hint="eastAsia" w:ascii="宋体" w:hAnsi="宋体"/>
          <w:color w:val="auto"/>
          <w:highlight w:val="none"/>
        </w:rPr>
        <w:t>法定代表人（签章）：                    法定代表人（签章）：</w:t>
      </w: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pPr>
    </w:p>
    <w:p>
      <w:pPr>
        <w:rPr>
          <w:rFonts w:ascii="宋体" w:hAnsi="宋体"/>
          <w:color w:val="auto"/>
          <w:sz w:val="28"/>
          <w:szCs w:val="28"/>
          <w:highlight w:val="none"/>
        </w:rPr>
        <w:sectPr>
          <w:endnotePr>
            <w:numFmt w:val="decimal"/>
          </w:endnotePr>
          <w:pgSz w:w="11906" w:h="16838"/>
          <w:pgMar w:top="1418" w:right="1418" w:bottom="1418" w:left="1418" w:header="851" w:footer="851" w:gutter="0"/>
          <w:pgBorders>
            <w:top w:val="none" w:sz="0" w:space="0"/>
            <w:left w:val="none" w:sz="0" w:space="0"/>
            <w:bottom w:val="none" w:sz="0" w:space="0"/>
            <w:right w:val="none" w:sz="0" w:space="0"/>
          </w:pgBorders>
          <w:cols w:space="720" w:num="1"/>
          <w:docGrid w:type="linesAndChars" w:linePitch="312" w:charSpace="0"/>
        </w:sectPr>
      </w:pPr>
    </w:p>
    <w:p>
      <w:pPr>
        <w:pStyle w:val="33"/>
        <w:widowControl w:val="0"/>
        <w:kinsoku w:val="0"/>
        <w:overflowPunct w:val="0"/>
        <w:autoSpaceDE w:val="0"/>
        <w:autoSpaceDN w:val="0"/>
        <w:adjustRightInd w:val="0"/>
        <w:snapToGrid w:val="0"/>
        <w:spacing w:before="0" w:beforeAutospacing="0" w:after="0" w:afterAutospacing="0"/>
        <w:rPr>
          <w:color w:val="auto"/>
          <w:highlight w:val="none"/>
        </w:rPr>
      </w:pPr>
      <w:r>
        <w:rPr>
          <w:rFonts w:hint="eastAsia"/>
          <w:color w:val="auto"/>
          <w:highlight w:val="none"/>
        </w:rPr>
        <w:t>附件五：</w:t>
      </w:r>
    </w:p>
    <w:p>
      <w:pPr>
        <w:jc w:val="center"/>
        <w:rPr>
          <w:rFonts w:ascii="宋体" w:hAnsi="宋体"/>
          <w:color w:val="auto"/>
          <w:sz w:val="30"/>
          <w:szCs w:val="30"/>
          <w:highlight w:val="none"/>
        </w:rPr>
      </w:pPr>
      <w:r>
        <w:rPr>
          <w:rFonts w:hint="eastAsia" w:ascii="宋体" w:hAnsi="宋体"/>
          <w:b/>
          <w:color w:val="auto"/>
          <w:sz w:val="28"/>
          <w:szCs w:val="28"/>
          <w:highlight w:val="none"/>
        </w:rPr>
        <w:t>安全生产文明施工协议</w:t>
      </w:r>
    </w:p>
    <w:p>
      <w:pPr>
        <w:ind w:firstLine="525"/>
        <w:jc w:val="left"/>
        <w:rPr>
          <w:rFonts w:ascii="宋体" w:hAnsi="宋体"/>
          <w:color w:val="auto"/>
          <w:highlight w:val="none"/>
        </w:rPr>
      </w:pPr>
      <w:r>
        <w:rPr>
          <w:rFonts w:hint="eastAsia" w:ascii="宋体" w:hAnsi="宋体"/>
          <w:color w:val="auto"/>
          <w:highlight w:val="none"/>
        </w:rPr>
        <w:t>为贯彻“安全第一，预防为主”的方针，根据《中华人民共和国安全生产法》、《广东省安全生产条例》等有关法律、法规的规定，结合本工程项目实际情况，按规定签订如下协议。</w:t>
      </w:r>
    </w:p>
    <w:p>
      <w:pPr>
        <w:tabs>
          <w:tab w:val="left" w:pos="0"/>
          <w:tab w:val="left" w:pos="1320"/>
        </w:tabs>
        <w:ind w:firstLine="525"/>
        <w:jc w:val="left"/>
        <w:rPr>
          <w:rFonts w:ascii="宋体" w:hAnsi="宋体"/>
          <w:color w:val="auto"/>
          <w:highlight w:val="none"/>
        </w:rPr>
      </w:pPr>
      <w:r>
        <w:rPr>
          <w:rFonts w:hint="eastAsia" w:ascii="宋体" w:hAnsi="宋体"/>
          <w:color w:val="auto"/>
          <w:highlight w:val="none"/>
        </w:rPr>
        <w:t>一、委托人的权利与义务</w:t>
      </w:r>
    </w:p>
    <w:p>
      <w:pPr>
        <w:tabs>
          <w:tab w:val="left" w:pos="0"/>
          <w:tab w:val="left" w:pos="1320"/>
        </w:tabs>
        <w:ind w:firstLine="525"/>
        <w:jc w:val="left"/>
        <w:rPr>
          <w:rFonts w:ascii="宋体" w:hAnsi="宋体"/>
          <w:color w:val="auto"/>
          <w:highlight w:val="none"/>
        </w:rPr>
      </w:pPr>
      <w:r>
        <w:rPr>
          <w:rFonts w:hint="eastAsia" w:ascii="宋体" w:hAnsi="宋体"/>
          <w:color w:val="auto"/>
          <w:highlight w:val="none"/>
        </w:rPr>
        <w:t>1、遵守国家、省、市有关安全生产文明施工的法律、法规及有关规定，加强安全生产管理，建立、健全安全生产责任制度，完善安全生产条件，确保安全生产。</w:t>
      </w:r>
    </w:p>
    <w:p>
      <w:pPr>
        <w:tabs>
          <w:tab w:val="left" w:pos="0"/>
          <w:tab w:val="left" w:pos="1320"/>
        </w:tabs>
        <w:ind w:firstLine="525"/>
        <w:jc w:val="left"/>
        <w:rPr>
          <w:rFonts w:ascii="宋体" w:hAnsi="宋体"/>
          <w:color w:val="auto"/>
          <w:highlight w:val="none"/>
        </w:rPr>
      </w:pPr>
      <w:r>
        <w:rPr>
          <w:rFonts w:hint="eastAsia" w:ascii="宋体" w:hAnsi="宋体"/>
          <w:color w:val="auto"/>
          <w:highlight w:val="none"/>
        </w:rPr>
        <w:t>2、按国家有关规定保证安全生产所必需的资金投入。</w:t>
      </w:r>
    </w:p>
    <w:p>
      <w:pPr>
        <w:tabs>
          <w:tab w:val="left" w:pos="0"/>
          <w:tab w:val="left" w:pos="1320"/>
        </w:tabs>
        <w:ind w:firstLine="525"/>
        <w:jc w:val="left"/>
        <w:rPr>
          <w:rFonts w:ascii="宋体" w:hAnsi="宋体"/>
          <w:color w:val="auto"/>
          <w:highlight w:val="none"/>
        </w:rPr>
      </w:pPr>
      <w:r>
        <w:rPr>
          <w:rFonts w:hint="eastAsia" w:ascii="宋体" w:hAnsi="宋体"/>
          <w:color w:val="auto"/>
          <w:highlight w:val="none"/>
        </w:rPr>
        <w:t>3、保证不将工程项目发包（分包）给不具备安全生产条件或者不具备相应资质的单位或个人。</w:t>
      </w:r>
    </w:p>
    <w:p>
      <w:pPr>
        <w:tabs>
          <w:tab w:val="left" w:pos="0"/>
          <w:tab w:val="left" w:pos="1320"/>
        </w:tabs>
        <w:ind w:firstLine="525"/>
        <w:jc w:val="left"/>
        <w:rPr>
          <w:rFonts w:ascii="宋体" w:hAnsi="宋体"/>
          <w:color w:val="auto"/>
          <w:highlight w:val="none"/>
        </w:rPr>
      </w:pPr>
      <w:r>
        <w:rPr>
          <w:rFonts w:hint="eastAsia" w:ascii="宋体" w:hAnsi="宋体"/>
          <w:color w:val="auto"/>
          <w:highlight w:val="none"/>
        </w:rPr>
        <w:t>4、对监理人在监理过程中依照合同或依法采取的有效监控措施，如停工、停用等给予支持；对监理人以公司文件书面形式提交并要求做出决定的事宜在规定时限内做出书面决定。</w:t>
      </w:r>
    </w:p>
    <w:p>
      <w:pPr>
        <w:tabs>
          <w:tab w:val="left" w:pos="0"/>
          <w:tab w:val="left" w:pos="1320"/>
        </w:tabs>
        <w:ind w:firstLine="525"/>
        <w:jc w:val="left"/>
        <w:rPr>
          <w:rFonts w:ascii="宋体" w:hAnsi="宋体"/>
          <w:color w:val="auto"/>
          <w:highlight w:val="none"/>
        </w:rPr>
      </w:pPr>
      <w:r>
        <w:rPr>
          <w:rFonts w:hint="eastAsia" w:ascii="宋体" w:hAnsi="宋体"/>
          <w:color w:val="auto"/>
          <w:highlight w:val="none"/>
        </w:rPr>
        <w:t>5、授权工地常驻代表负责与监理人联系安全生产、文明施工的事宜，如需更换此人时提前通知监理人。</w:t>
      </w:r>
    </w:p>
    <w:p>
      <w:pPr>
        <w:tabs>
          <w:tab w:val="left" w:pos="0"/>
          <w:tab w:val="left" w:pos="1320"/>
        </w:tabs>
        <w:ind w:firstLine="525"/>
        <w:jc w:val="left"/>
        <w:rPr>
          <w:rFonts w:ascii="宋体" w:hAnsi="宋体"/>
          <w:color w:val="auto"/>
          <w:highlight w:val="none"/>
        </w:rPr>
      </w:pPr>
      <w:r>
        <w:rPr>
          <w:rFonts w:hint="eastAsia" w:ascii="宋体" w:hAnsi="宋体"/>
          <w:color w:val="auto"/>
          <w:highlight w:val="none"/>
        </w:rPr>
        <w:t>二、监理人的权利与义务</w:t>
      </w:r>
    </w:p>
    <w:p>
      <w:pPr>
        <w:tabs>
          <w:tab w:val="left" w:pos="0"/>
          <w:tab w:val="left" w:pos="1320"/>
        </w:tabs>
        <w:ind w:firstLine="525"/>
        <w:jc w:val="left"/>
        <w:rPr>
          <w:rFonts w:ascii="宋体" w:hAnsi="宋体"/>
          <w:color w:val="auto"/>
          <w:highlight w:val="none"/>
        </w:rPr>
      </w:pPr>
      <w:r>
        <w:rPr>
          <w:rFonts w:hint="eastAsia" w:ascii="宋体" w:hAnsi="宋体"/>
          <w:color w:val="auto"/>
          <w:highlight w:val="none"/>
        </w:rPr>
        <w:t>1、遵守国家、省、市有关安全生产文明施工的法律、法规及有关规定，加强工程建设安全的监理，建立、健全安全监理责任制度，保证工程建设的安全。</w:t>
      </w:r>
    </w:p>
    <w:p>
      <w:pPr>
        <w:tabs>
          <w:tab w:val="left" w:pos="894"/>
        </w:tabs>
        <w:rPr>
          <w:rFonts w:ascii="宋体" w:hAnsi="宋体"/>
          <w:color w:val="auto"/>
          <w:highlight w:val="none"/>
        </w:rPr>
      </w:pPr>
      <w:r>
        <w:rPr>
          <w:rFonts w:hint="eastAsia" w:ascii="宋体" w:hAnsi="宋体"/>
          <w:color w:val="auto"/>
          <w:highlight w:val="none"/>
        </w:rPr>
        <w:t>建立、健全安全生产文明施工监理的组织、明确安全监理人员的职责。</w:t>
      </w:r>
    </w:p>
    <w:p>
      <w:pPr>
        <w:tabs>
          <w:tab w:val="left" w:pos="894"/>
        </w:tabs>
        <w:ind w:firstLine="523" w:firstLineChars="218"/>
        <w:rPr>
          <w:rFonts w:ascii="宋体" w:hAnsi="宋体"/>
          <w:color w:val="auto"/>
          <w:highlight w:val="none"/>
        </w:rPr>
      </w:pPr>
      <w:r>
        <w:rPr>
          <w:rFonts w:hint="eastAsia" w:ascii="宋体" w:hAnsi="宋体"/>
          <w:color w:val="auto"/>
          <w:highlight w:val="none"/>
        </w:rPr>
        <w:t>2、建立安全生产文明施工的专项监理制度或方案。</w:t>
      </w:r>
    </w:p>
    <w:p>
      <w:pPr>
        <w:tabs>
          <w:tab w:val="left" w:pos="894"/>
        </w:tabs>
        <w:ind w:firstLine="523" w:firstLineChars="218"/>
        <w:rPr>
          <w:rFonts w:ascii="宋体" w:hAnsi="宋体"/>
          <w:color w:val="auto"/>
          <w:highlight w:val="none"/>
        </w:rPr>
      </w:pPr>
      <w:r>
        <w:rPr>
          <w:rFonts w:hint="eastAsia" w:ascii="宋体" w:hAnsi="宋体"/>
          <w:color w:val="auto"/>
          <w:highlight w:val="none"/>
        </w:rPr>
        <w:t>3、对施工单位的资质进行审查，对无资质单位或不具备安全生产条件单位会同委托人不准进入。</w:t>
      </w:r>
    </w:p>
    <w:p>
      <w:pPr>
        <w:tabs>
          <w:tab w:val="left" w:pos="894"/>
        </w:tabs>
        <w:ind w:firstLine="523" w:firstLineChars="218"/>
        <w:rPr>
          <w:rFonts w:ascii="宋体" w:hAnsi="宋体"/>
          <w:color w:val="auto"/>
          <w:highlight w:val="none"/>
        </w:rPr>
      </w:pPr>
      <w:r>
        <w:rPr>
          <w:rFonts w:hint="eastAsia" w:ascii="宋体" w:hAnsi="宋体"/>
          <w:color w:val="auto"/>
          <w:highlight w:val="none"/>
        </w:rPr>
        <w:t>4、对施工单位提供的安全施工组织设计及专项安全技术方案进行审核。</w:t>
      </w:r>
    </w:p>
    <w:p>
      <w:pPr>
        <w:tabs>
          <w:tab w:val="left" w:pos="894"/>
        </w:tabs>
        <w:ind w:firstLine="523" w:firstLineChars="218"/>
        <w:rPr>
          <w:rFonts w:ascii="宋体" w:hAnsi="宋体"/>
          <w:color w:val="auto"/>
          <w:highlight w:val="none"/>
        </w:rPr>
      </w:pPr>
      <w:r>
        <w:rPr>
          <w:rFonts w:hint="eastAsia" w:ascii="宋体" w:hAnsi="宋体"/>
          <w:color w:val="auto"/>
          <w:highlight w:val="none"/>
        </w:rPr>
        <w:t>5、对施工人员、材料、主要设备的使用和运行状况进行检查并记录。</w:t>
      </w:r>
    </w:p>
    <w:p>
      <w:pPr>
        <w:tabs>
          <w:tab w:val="left" w:pos="894"/>
        </w:tabs>
        <w:ind w:firstLine="523" w:firstLineChars="218"/>
        <w:rPr>
          <w:rFonts w:ascii="宋体" w:hAnsi="宋体"/>
          <w:color w:val="auto"/>
          <w:highlight w:val="none"/>
        </w:rPr>
      </w:pPr>
      <w:r>
        <w:rPr>
          <w:rFonts w:hint="eastAsia" w:ascii="宋体" w:hAnsi="宋体"/>
          <w:color w:val="auto"/>
          <w:highlight w:val="none"/>
        </w:rPr>
        <w:t>6、对重要施工环节和安全事故易发工序实施旁站或巡检。</w:t>
      </w:r>
    </w:p>
    <w:p>
      <w:pPr>
        <w:tabs>
          <w:tab w:val="left" w:pos="894"/>
        </w:tabs>
        <w:ind w:firstLine="523" w:firstLineChars="218"/>
        <w:rPr>
          <w:rFonts w:ascii="宋体" w:hAnsi="宋体"/>
          <w:color w:val="auto"/>
          <w:highlight w:val="none"/>
        </w:rPr>
      </w:pPr>
      <w:r>
        <w:rPr>
          <w:rFonts w:hint="eastAsia" w:ascii="宋体" w:hAnsi="宋体"/>
          <w:color w:val="auto"/>
          <w:highlight w:val="none"/>
        </w:rPr>
        <w:t>7、按规定对安全措施费用的列支和使用实施有效监控。</w:t>
      </w:r>
    </w:p>
    <w:p>
      <w:pPr>
        <w:tabs>
          <w:tab w:val="left" w:pos="894"/>
        </w:tabs>
        <w:ind w:firstLine="523" w:firstLineChars="218"/>
        <w:rPr>
          <w:rFonts w:ascii="宋体" w:hAnsi="宋体"/>
          <w:color w:val="auto"/>
          <w:highlight w:val="none"/>
        </w:rPr>
      </w:pPr>
      <w:r>
        <w:rPr>
          <w:rFonts w:hint="eastAsia" w:ascii="宋体" w:hAnsi="宋体"/>
          <w:color w:val="auto"/>
          <w:highlight w:val="none"/>
        </w:rPr>
        <w:t>8、及时制止施工单位明显违章指挥和操作的行为。</w:t>
      </w:r>
    </w:p>
    <w:p>
      <w:pPr>
        <w:tabs>
          <w:tab w:val="left" w:pos="894"/>
        </w:tabs>
        <w:ind w:firstLine="523" w:firstLineChars="218"/>
        <w:rPr>
          <w:rFonts w:ascii="宋体" w:hAnsi="宋体"/>
          <w:color w:val="auto"/>
          <w:highlight w:val="none"/>
        </w:rPr>
      </w:pPr>
      <w:r>
        <w:rPr>
          <w:rFonts w:hint="eastAsia" w:ascii="宋体" w:hAnsi="宋体"/>
          <w:color w:val="auto"/>
          <w:highlight w:val="none"/>
        </w:rPr>
        <w:t>9、对危及工程和人员安全的施工及设备的使用，及时下达停工（停用）指令，坚决予以纠正。</w:t>
      </w:r>
    </w:p>
    <w:p>
      <w:pPr>
        <w:tabs>
          <w:tab w:val="left" w:pos="894"/>
        </w:tabs>
        <w:ind w:firstLine="523" w:firstLineChars="218"/>
        <w:rPr>
          <w:rFonts w:ascii="宋体" w:hAnsi="宋体"/>
          <w:color w:val="auto"/>
          <w:highlight w:val="none"/>
        </w:rPr>
      </w:pPr>
      <w:r>
        <w:rPr>
          <w:rFonts w:hint="eastAsia" w:ascii="宋体" w:hAnsi="宋体"/>
          <w:color w:val="auto"/>
          <w:highlight w:val="none"/>
        </w:rPr>
        <w:t>10、对施工现场存在的安全隐患及时发出整改通知并向安监机构报告。</w:t>
      </w:r>
    </w:p>
    <w:p>
      <w:pPr>
        <w:tabs>
          <w:tab w:val="left" w:pos="894"/>
        </w:tabs>
        <w:ind w:firstLine="523" w:firstLineChars="218"/>
        <w:rPr>
          <w:rFonts w:ascii="宋体" w:hAnsi="宋体"/>
          <w:color w:val="auto"/>
          <w:highlight w:val="none"/>
        </w:rPr>
      </w:pPr>
      <w:r>
        <w:rPr>
          <w:rFonts w:hint="eastAsia" w:ascii="宋体" w:hAnsi="宋体"/>
          <w:color w:val="auto"/>
          <w:highlight w:val="none"/>
        </w:rPr>
        <w:t>11、对因安全原因被建设行政主管部门和监督机构责令停工整改的，要积极主动抓好督促落实并及时反馈情况。</w:t>
      </w:r>
    </w:p>
    <w:p>
      <w:pPr>
        <w:tabs>
          <w:tab w:val="left" w:pos="894"/>
        </w:tabs>
        <w:ind w:firstLine="523" w:firstLineChars="218"/>
        <w:rPr>
          <w:rFonts w:ascii="宋体" w:hAnsi="宋体"/>
          <w:color w:val="auto"/>
          <w:highlight w:val="none"/>
        </w:rPr>
      </w:pPr>
      <w:r>
        <w:rPr>
          <w:rFonts w:hint="eastAsia" w:ascii="宋体" w:hAnsi="宋体"/>
          <w:color w:val="auto"/>
          <w:highlight w:val="none"/>
        </w:rPr>
        <w:t>12、督促施工单位按规定购买施工意外保险和搞好文明施工管理。</w:t>
      </w:r>
    </w:p>
    <w:p>
      <w:pPr>
        <w:tabs>
          <w:tab w:val="left" w:pos="894"/>
        </w:tabs>
        <w:ind w:firstLine="523" w:firstLineChars="218"/>
        <w:rPr>
          <w:rFonts w:ascii="宋体" w:hAnsi="宋体"/>
          <w:color w:val="auto"/>
          <w:highlight w:val="none"/>
        </w:rPr>
      </w:pPr>
      <w:r>
        <w:rPr>
          <w:rFonts w:hint="eastAsia" w:ascii="宋体" w:hAnsi="宋体"/>
          <w:color w:val="auto"/>
          <w:highlight w:val="none"/>
        </w:rPr>
        <w:t>13、参与安全事故的调查处理。</w:t>
      </w:r>
    </w:p>
    <w:p>
      <w:pPr>
        <w:tabs>
          <w:tab w:val="left" w:pos="894"/>
        </w:tabs>
        <w:ind w:firstLine="523" w:firstLineChars="218"/>
        <w:rPr>
          <w:rFonts w:ascii="宋体" w:hAnsi="宋体"/>
          <w:color w:val="auto"/>
          <w:highlight w:val="none"/>
        </w:rPr>
      </w:pPr>
      <w:r>
        <w:rPr>
          <w:rFonts w:hint="eastAsia" w:ascii="宋体" w:hAnsi="宋体"/>
          <w:color w:val="auto"/>
          <w:highlight w:val="none"/>
        </w:rPr>
        <w:t>14、参与事故应急救援预案的公布和演练。</w:t>
      </w:r>
    </w:p>
    <w:p>
      <w:pPr>
        <w:tabs>
          <w:tab w:val="left" w:pos="894"/>
        </w:tabs>
        <w:ind w:firstLine="523" w:firstLineChars="218"/>
        <w:rPr>
          <w:rFonts w:ascii="宋体" w:hAnsi="宋体"/>
          <w:color w:val="auto"/>
          <w:highlight w:val="none"/>
        </w:rPr>
      </w:pPr>
      <w:r>
        <w:rPr>
          <w:rFonts w:hint="eastAsia" w:ascii="宋体" w:hAnsi="宋体"/>
          <w:color w:val="auto"/>
          <w:highlight w:val="none"/>
        </w:rPr>
        <w:t>15、做好安全施工监理记录，日记和监理月报等资料整理，并督促承包单位及时整理现场安全管理文件资料。</w:t>
      </w:r>
    </w:p>
    <w:p>
      <w:pPr>
        <w:snapToGrid w:val="0"/>
        <w:ind w:firstLine="480"/>
        <w:rPr>
          <w:rFonts w:ascii="宋体" w:hAnsi="宋体"/>
          <w:color w:val="auto"/>
          <w:highlight w:val="none"/>
        </w:rPr>
      </w:pPr>
    </w:p>
    <w:p>
      <w:pPr>
        <w:snapToGrid w:val="0"/>
        <w:ind w:firstLine="480"/>
        <w:rPr>
          <w:rFonts w:ascii="宋体" w:hAnsi="宋体"/>
          <w:color w:val="auto"/>
          <w:highlight w:val="none"/>
        </w:rPr>
      </w:pPr>
    </w:p>
    <w:p>
      <w:pPr>
        <w:rPr>
          <w:color w:val="auto"/>
          <w:highlight w:val="none"/>
        </w:rPr>
      </w:pPr>
      <w:r>
        <w:rPr>
          <w:rFonts w:hint="eastAsia"/>
          <w:color w:val="auto"/>
          <w:highlight w:val="none"/>
        </w:rPr>
        <w:t>委托人(盖章)：                          监理人：（盖章）</w:t>
      </w:r>
    </w:p>
    <w:p>
      <w:pPr>
        <w:rPr>
          <w:rFonts w:ascii="宋体" w:hAnsi="宋体"/>
          <w:color w:val="auto"/>
          <w:highlight w:val="none"/>
        </w:rPr>
      </w:pPr>
      <w:r>
        <w:rPr>
          <w:rFonts w:hint="eastAsia" w:ascii="宋体" w:hAnsi="宋体" w:cs="宋体"/>
          <w:color w:val="auto"/>
          <w:kern w:val="0"/>
          <w:sz w:val="28"/>
          <w:szCs w:val="28"/>
          <w:highlight w:val="none"/>
          <w:u w:val="single"/>
        </w:rPr>
        <w:t>清远市广州后花园有限公司</w:t>
      </w:r>
      <w:r>
        <w:rPr>
          <w:rFonts w:hint="eastAsia" w:ascii="宋体" w:hAnsi="宋体" w:cs="宋体"/>
          <w:color w:val="auto"/>
          <w:kern w:val="0"/>
          <w:sz w:val="28"/>
          <w:szCs w:val="28"/>
          <w:highlight w:val="none"/>
        </w:rPr>
        <w:t xml:space="preserve">     </w:t>
      </w:r>
      <w:r>
        <w:rPr>
          <w:rFonts w:ascii="宋体" w:hAnsi="宋体" w:cs="宋体"/>
          <w:color w:val="auto"/>
          <w:kern w:val="0"/>
          <w:sz w:val="28"/>
          <w:szCs w:val="28"/>
          <w:highlight w:val="none"/>
        </w:rPr>
        <w:t xml:space="preserve">    </w:t>
      </w:r>
      <w:r>
        <w:rPr>
          <w:rFonts w:hint="eastAsia" w:ascii="宋体" w:hAnsi="宋体"/>
          <w:color w:val="auto"/>
          <w:sz w:val="30"/>
          <w:szCs w:val="30"/>
          <w:highlight w:val="none"/>
          <w:u w:val="single"/>
        </w:rPr>
        <w:t>****有限公司</w:t>
      </w:r>
      <w:r>
        <w:rPr>
          <w:rFonts w:ascii="宋体" w:hAnsi="宋体" w:cs="宋体"/>
          <w:color w:val="auto"/>
          <w:kern w:val="0"/>
          <w:sz w:val="28"/>
          <w:szCs w:val="28"/>
          <w:highlight w:val="none"/>
          <w:u w:val="single"/>
        </w:rPr>
        <w:t xml:space="preserve"> </w:t>
      </w:r>
    </w:p>
    <w:p>
      <w:pPr>
        <w:rPr>
          <w:color w:val="auto"/>
          <w:highlight w:val="none"/>
        </w:rPr>
      </w:pPr>
    </w:p>
    <w:p>
      <w:pPr>
        <w:rPr>
          <w:color w:val="auto"/>
          <w:highlight w:val="none"/>
        </w:rPr>
      </w:pPr>
      <w:r>
        <w:rPr>
          <w:rFonts w:hint="eastAsia"/>
          <w:color w:val="auto"/>
          <w:highlight w:val="none"/>
        </w:rPr>
        <w:t xml:space="preserve">                                        </w:t>
      </w:r>
    </w:p>
    <w:p>
      <w:pPr>
        <w:rPr>
          <w:color w:val="auto"/>
          <w:highlight w:val="none"/>
        </w:rPr>
      </w:pPr>
    </w:p>
    <w:p>
      <w:pPr>
        <w:rPr>
          <w:color w:val="auto"/>
          <w:highlight w:val="none"/>
        </w:rPr>
      </w:pPr>
      <w:r>
        <w:rPr>
          <w:rFonts w:hint="eastAsia"/>
          <w:color w:val="auto"/>
          <w:highlight w:val="none"/>
        </w:rPr>
        <w:t>法定代表人：                            法定代表人：</w:t>
      </w:r>
    </w:p>
    <w:p>
      <w:pPr>
        <w:snapToGrid w:val="0"/>
        <w:ind w:firstLine="480"/>
        <w:rPr>
          <w:color w:val="auto"/>
          <w:szCs w:val="21"/>
          <w:highlight w:val="none"/>
        </w:rPr>
      </w:pPr>
    </w:p>
    <w:p>
      <w:pPr>
        <w:jc w:val="left"/>
        <w:rPr>
          <w:color w:val="auto"/>
          <w:highlight w:val="none"/>
        </w:rPr>
      </w:pPr>
      <w:r>
        <w:rPr>
          <w:color w:val="auto"/>
          <w:highlight w:val="none"/>
        </w:rPr>
        <w:br w:type="page"/>
      </w:r>
      <w:r>
        <w:rPr>
          <w:rFonts w:hint="eastAsia"/>
          <w:color w:val="auto"/>
          <w:highlight w:val="none"/>
        </w:rPr>
        <w:t>附件六</w:t>
      </w:r>
    </w:p>
    <w:p>
      <w:pPr>
        <w:jc w:val="center"/>
        <w:rPr>
          <w:rFonts w:ascii="宋体" w:hAnsi="宋体"/>
          <w:color w:val="auto"/>
          <w:szCs w:val="21"/>
          <w:highlight w:val="none"/>
        </w:rPr>
      </w:pPr>
      <w:r>
        <w:rPr>
          <w:rFonts w:hint="eastAsia" w:ascii="宋体" w:hAnsi="宋体"/>
          <w:color w:val="auto"/>
          <w:szCs w:val="21"/>
          <w:highlight w:val="none"/>
        </w:rPr>
        <w:t>监理单位季度综合考评检查表一（质量控制）</w:t>
      </w:r>
    </w:p>
    <w:p>
      <w:pPr>
        <w:ind w:left="-410" w:leftChars="-171" w:firstLine="720" w:firstLineChars="300"/>
        <w:rPr>
          <w:rFonts w:ascii="宋体" w:hAnsi="宋体"/>
          <w:color w:val="auto"/>
          <w:szCs w:val="21"/>
          <w:highlight w:val="none"/>
        </w:rPr>
      </w:pPr>
      <w:r>
        <w:rPr>
          <w:rFonts w:hint="eastAsia" w:ascii="宋体" w:hAnsi="宋体"/>
          <w:color w:val="auto"/>
          <w:szCs w:val="21"/>
          <w:highlight w:val="none"/>
        </w:rPr>
        <w:t>工程名称：                  监理单位：             检查季度：</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第    </w:t>
      </w:r>
      <w:r>
        <w:rPr>
          <w:rFonts w:hint="eastAsia" w:ascii="宋体" w:hAnsi="宋体"/>
          <w:color w:val="auto"/>
          <w:szCs w:val="21"/>
          <w:highlight w:val="none"/>
        </w:rPr>
        <w:t>季</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2698"/>
        <w:gridCol w:w="808"/>
        <w:gridCol w:w="3845"/>
        <w:gridCol w:w="733"/>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80"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69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项  目</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标准</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分值</w:t>
            </w:r>
          </w:p>
        </w:tc>
        <w:tc>
          <w:tcPr>
            <w:tcW w:w="384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评分标准</w:t>
            </w:r>
          </w:p>
        </w:tc>
        <w:tc>
          <w:tcPr>
            <w:tcW w:w="733" w:type="dxa"/>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实际得分</w:t>
            </w:r>
          </w:p>
        </w:tc>
        <w:tc>
          <w:tcPr>
            <w:tcW w:w="100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bCs/>
                <w:snapToGrid w:val="0"/>
                <w:color w:val="auto"/>
                <w:kern w:val="0"/>
                <w:sz w:val="21"/>
                <w:szCs w:val="21"/>
                <w:highlight w:val="none"/>
              </w:rPr>
              <w:t>监理规划、细则等依据文件编制、报审</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不按时提交或修改，构成合同违约责任处罚规定的，扣5分；规划或细则执行不力的各扣2分，无细则编制计划的扣1分，其它情况酌情扣分，扣完为止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施工组织设计、</w:t>
            </w:r>
          </w:p>
          <w:p>
            <w:pPr>
              <w:spacing w:line="240" w:lineRule="auto"/>
              <w:rPr>
                <w:rFonts w:ascii="宋体" w:hAnsi="宋体"/>
                <w:color w:val="auto"/>
                <w:sz w:val="21"/>
                <w:szCs w:val="21"/>
                <w:highlight w:val="none"/>
              </w:rPr>
            </w:pPr>
            <w:r>
              <w:rPr>
                <w:rFonts w:hint="eastAsia" w:ascii="宋体" w:hAnsi="宋体"/>
                <w:color w:val="auto"/>
                <w:sz w:val="21"/>
                <w:szCs w:val="21"/>
                <w:highlight w:val="none"/>
              </w:rPr>
              <w:t>方案的审批、执行</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未审批即施工的扣5分，审批不及时影响施工的扣3分，审查未发现质量、安全隐患的扣3分，未检查实施情况或不按方案实施的每项扣2分，审查不严等其它情况酌情扣分，扣完为止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对承包商质量保证体系、分包单位、材料供应商、检测单位资质的检查和控制</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未审查承包商资质及相关技术人员资格的，每次扣1分，未审查分包单位、材料供应商、检测单位等单位资质的，每项扣1分，其它情况酌情扣分，扣完为止；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原材料、半成品、构配件、设备进场报验、见证取样送检</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构成合同违约责任处罚规定的扣5分；不按程序审批或见证取样送检，每项扣1分，其它情况酌情扣分，扣完为止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测量仪器的校准、施工测量的复核</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未审查施工单位的仪器是否合格、标定是否有效的扣5分，未按相关要求进行复核测量的每次扣1分，其它情况酌情扣分，扣完为止，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对重要部位、重要工艺、关键工序、隐蔽工程的检查和控制</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配备的规范不满足监理工作需求扣2分；工艺不清楚的、控制不到位的每道工序扣2分，其它情况酌情扣分，扣完为止；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旁站监理</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构成合同违约责任处罚规定的扣10分；未按规定进行旁站，每项扣3分；到场旁站未能有效监督，发现质量问题未能及时处理的每次扣3分；旁站记录不及时、不真实、内容不全的每次扣2分，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巡视和平行检验等监理活动</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未按规定及时抽检的每次扣1分，其它情况酌情扣分，扣完为止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检验批、分项（子分项）、分部（子分部）、单位（子单位）工程质量验收</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 xml:space="preserve">构成合同违约责任处罚规定的扣10分；资料不齐、手续不齐等，每项扣2分；未按程序及时进行验收，事后补的，每次扣2分，其它情况酌情扣分，扣完为止； </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对存在质量问题、遗留问题及质监站提出整改意见的跟踪检查和整改落实情况</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未及时督促或监督承包商按要求落实整改的，每次扣2分，属监理需整改而未及时整改的，每次扣3分；其它情况酌情扣分，扣完为止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工程质量隐患或事故</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发现质量隐患或质量事故，不报告或不下发通知的每次扣5分，问题处理迟缓的每次扣3分，其它情况酌情扣分，扣完为止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80" w:type="dxa"/>
            <w:vAlign w:val="center"/>
          </w:tcPr>
          <w:p>
            <w:pPr>
              <w:numPr>
                <w:ilvl w:val="0"/>
                <w:numId w:val="6"/>
              </w:numPr>
              <w:spacing w:line="240" w:lineRule="auto"/>
              <w:jc w:val="center"/>
              <w:rPr>
                <w:rFonts w:ascii="宋体" w:hAnsi="宋体"/>
                <w:color w:val="auto"/>
                <w:sz w:val="21"/>
                <w:szCs w:val="21"/>
                <w:highlight w:val="none"/>
              </w:rPr>
            </w:pPr>
          </w:p>
        </w:tc>
        <w:tc>
          <w:tcPr>
            <w:tcW w:w="269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现场实体质量的检查</w:t>
            </w:r>
          </w:p>
        </w:tc>
        <w:tc>
          <w:tcPr>
            <w:tcW w:w="80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20</w:t>
            </w:r>
          </w:p>
        </w:tc>
        <w:tc>
          <w:tcPr>
            <w:tcW w:w="3845"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由检查组对正在施工的实体工程进行全面检查。不按设计图纸施工的，每处扣5分；不按规范规程施工的，每处扣5分；不按施工方案施工的，每处扣3分；违规施工监理未制止的，每次扣3分；其它情况酌情扣分，扣完为止</w:t>
            </w:r>
          </w:p>
        </w:tc>
        <w:tc>
          <w:tcPr>
            <w:tcW w:w="733" w:type="dxa"/>
          </w:tcPr>
          <w:p>
            <w:pPr>
              <w:spacing w:line="240" w:lineRule="auto"/>
              <w:rPr>
                <w:rFonts w:ascii="宋体" w:hAnsi="宋体"/>
                <w:color w:val="auto"/>
                <w:sz w:val="21"/>
                <w:szCs w:val="21"/>
                <w:highlight w:val="none"/>
              </w:rPr>
            </w:pPr>
          </w:p>
        </w:tc>
        <w:tc>
          <w:tcPr>
            <w:tcW w:w="1001"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80" w:type="dxa"/>
            <w:tcBorders>
              <w:bottom w:val="single" w:color="auto" w:sz="4" w:space="0"/>
            </w:tcBorders>
            <w:vAlign w:val="center"/>
          </w:tcPr>
          <w:p>
            <w:pPr>
              <w:spacing w:line="240" w:lineRule="auto"/>
              <w:jc w:val="center"/>
              <w:rPr>
                <w:rFonts w:ascii="宋体" w:hAnsi="宋体"/>
                <w:color w:val="auto"/>
                <w:sz w:val="21"/>
                <w:szCs w:val="21"/>
                <w:highlight w:val="none"/>
              </w:rPr>
            </w:pPr>
          </w:p>
        </w:tc>
        <w:tc>
          <w:tcPr>
            <w:tcW w:w="2698" w:type="dxa"/>
            <w:tcBorders>
              <w:bottom w:val="single" w:color="auto" w:sz="4" w:space="0"/>
            </w:tcBorders>
            <w:vAlign w:val="center"/>
          </w:tcPr>
          <w:p>
            <w:pPr>
              <w:spacing w:line="240" w:lineRule="auto"/>
              <w:ind w:firstLine="1995" w:firstLineChars="950"/>
              <w:rPr>
                <w:rFonts w:ascii="宋体" w:hAnsi="宋体"/>
                <w:color w:val="auto"/>
                <w:sz w:val="21"/>
                <w:szCs w:val="21"/>
                <w:highlight w:val="none"/>
              </w:rPr>
            </w:pPr>
            <w:r>
              <w:rPr>
                <w:rFonts w:hint="eastAsia" w:ascii="宋体" w:hAnsi="宋体"/>
                <w:color w:val="auto"/>
                <w:sz w:val="21"/>
                <w:szCs w:val="21"/>
                <w:highlight w:val="none"/>
              </w:rPr>
              <w:t>合计</w:t>
            </w:r>
          </w:p>
        </w:tc>
        <w:tc>
          <w:tcPr>
            <w:tcW w:w="808" w:type="dxa"/>
            <w:tcBorders>
              <w:bottom w:val="single" w:color="auto" w:sz="4" w:space="0"/>
            </w:tcBorders>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100</w:t>
            </w:r>
          </w:p>
        </w:tc>
        <w:tc>
          <w:tcPr>
            <w:tcW w:w="3845" w:type="dxa"/>
            <w:tcBorders>
              <w:bottom w:val="single" w:color="auto" w:sz="4" w:space="0"/>
            </w:tcBorders>
            <w:vAlign w:val="center"/>
          </w:tcPr>
          <w:p>
            <w:pPr>
              <w:spacing w:line="240" w:lineRule="auto"/>
              <w:ind w:firstLine="3045" w:firstLineChars="1450"/>
              <w:rPr>
                <w:rFonts w:ascii="宋体" w:hAnsi="宋体"/>
                <w:color w:val="auto"/>
                <w:sz w:val="21"/>
                <w:szCs w:val="21"/>
                <w:highlight w:val="none"/>
              </w:rPr>
            </w:pPr>
            <w:r>
              <w:rPr>
                <w:rFonts w:hint="eastAsia" w:ascii="宋体" w:hAnsi="宋体"/>
                <w:color w:val="auto"/>
                <w:sz w:val="21"/>
                <w:szCs w:val="21"/>
                <w:highlight w:val="none"/>
              </w:rPr>
              <w:t>合计</w:t>
            </w:r>
          </w:p>
        </w:tc>
        <w:tc>
          <w:tcPr>
            <w:tcW w:w="733" w:type="dxa"/>
            <w:tcBorders>
              <w:bottom w:val="single" w:color="auto" w:sz="4" w:space="0"/>
            </w:tcBorders>
          </w:tcPr>
          <w:p>
            <w:pPr>
              <w:spacing w:line="240" w:lineRule="auto"/>
              <w:rPr>
                <w:rFonts w:ascii="宋体" w:hAnsi="宋体"/>
                <w:color w:val="auto"/>
                <w:sz w:val="21"/>
                <w:szCs w:val="21"/>
                <w:highlight w:val="none"/>
              </w:rPr>
            </w:pPr>
          </w:p>
        </w:tc>
        <w:tc>
          <w:tcPr>
            <w:tcW w:w="1001" w:type="dxa"/>
            <w:tcBorders>
              <w:bottom w:val="single" w:color="auto" w:sz="4" w:space="0"/>
            </w:tcBorders>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80" w:type="dxa"/>
            <w:vAlign w:val="center"/>
          </w:tcPr>
          <w:p>
            <w:pPr>
              <w:spacing w:line="240" w:lineRule="auto"/>
              <w:jc w:val="center"/>
              <w:rPr>
                <w:rFonts w:ascii="宋体" w:hAnsi="宋体"/>
                <w:color w:val="auto"/>
                <w:sz w:val="21"/>
                <w:szCs w:val="21"/>
                <w:highlight w:val="none"/>
              </w:rPr>
            </w:pPr>
          </w:p>
        </w:tc>
        <w:tc>
          <w:tcPr>
            <w:tcW w:w="9085" w:type="dxa"/>
            <w:gridSpan w:val="5"/>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注：①未发生项目不参加检查评分，应得分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 实得分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，得分率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w:t>
            </w:r>
          </w:p>
          <w:p>
            <w:pPr>
              <w:spacing w:line="240" w:lineRule="auto"/>
              <w:ind w:firstLine="420"/>
              <w:rPr>
                <w:rFonts w:ascii="宋体" w:hAnsi="宋体"/>
                <w:color w:val="auto"/>
                <w:sz w:val="21"/>
                <w:szCs w:val="21"/>
                <w:highlight w:val="none"/>
              </w:rPr>
            </w:pPr>
            <w:r>
              <w:rPr>
                <w:rFonts w:hint="eastAsia" w:ascii="宋体" w:hAnsi="宋体"/>
                <w:color w:val="auto"/>
                <w:sz w:val="21"/>
                <w:szCs w:val="21"/>
                <w:highlight w:val="none"/>
              </w:rPr>
              <w:t>②其它情况说明：</w:t>
            </w:r>
          </w:p>
          <w:p>
            <w:pPr>
              <w:spacing w:line="240" w:lineRule="auto"/>
              <w:ind w:firstLine="420"/>
              <w:rPr>
                <w:rFonts w:ascii="宋体" w:hAnsi="宋体"/>
                <w:color w:val="auto"/>
                <w:sz w:val="21"/>
                <w:szCs w:val="21"/>
                <w:highlight w:val="none"/>
              </w:rPr>
            </w:pPr>
          </w:p>
        </w:tc>
      </w:tr>
    </w:tbl>
    <w:p>
      <w:pPr>
        <w:ind w:left="-410" w:leftChars="-171" w:firstLine="720" w:firstLineChars="300"/>
        <w:rPr>
          <w:rFonts w:ascii="宋体" w:hAnsi="宋体"/>
          <w:color w:val="auto"/>
          <w:szCs w:val="21"/>
          <w:highlight w:val="none"/>
        </w:rPr>
      </w:pPr>
    </w:p>
    <w:p>
      <w:pPr>
        <w:ind w:firstLine="240" w:firstLineChars="100"/>
        <w:rPr>
          <w:rFonts w:ascii="宋体" w:hAnsi="宋体"/>
          <w:color w:val="auto"/>
          <w:szCs w:val="21"/>
          <w:highlight w:val="none"/>
        </w:rPr>
      </w:pPr>
      <w:r>
        <w:rPr>
          <w:rFonts w:hint="eastAsia" w:ascii="宋体" w:hAnsi="宋体"/>
          <w:color w:val="auto"/>
          <w:szCs w:val="21"/>
          <w:highlight w:val="none"/>
        </w:rPr>
        <w:t>检查人：              复核人：              日期：     年   月    日</w:t>
      </w: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 w:val="28"/>
          <w:szCs w:val="28"/>
          <w:highlight w:val="none"/>
        </w:rPr>
      </w:pPr>
    </w:p>
    <w:p>
      <w:pPr>
        <w:jc w:val="center"/>
        <w:rPr>
          <w:rFonts w:ascii="宋体" w:hAnsi="宋体"/>
          <w:color w:val="auto"/>
          <w:szCs w:val="21"/>
          <w:highlight w:val="none"/>
        </w:rPr>
      </w:pPr>
      <w:r>
        <w:rPr>
          <w:rFonts w:hint="eastAsia" w:ascii="宋体" w:hAnsi="宋体"/>
          <w:color w:val="auto"/>
          <w:szCs w:val="21"/>
          <w:highlight w:val="none"/>
        </w:rPr>
        <w:t>监理单位季度综合考评检查表二（进度控制）</w:t>
      </w:r>
    </w:p>
    <w:p>
      <w:pPr>
        <w:rPr>
          <w:rFonts w:ascii="宋体" w:hAnsi="宋体"/>
          <w:color w:val="auto"/>
          <w:szCs w:val="21"/>
          <w:highlight w:val="none"/>
        </w:rPr>
      </w:pPr>
      <w:r>
        <w:rPr>
          <w:rFonts w:hint="eastAsia" w:ascii="宋体" w:hAnsi="宋体"/>
          <w:color w:val="auto"/>
          <w:szCs w:val="21"/>
          <w:highlight w:val="none"/>
        </w:rPr>
        <w:t>工程名称：                   监理单位：              检查季度：</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第   </w:t>
      </w:r>
      <w:r>
        <w:rPr>
          <w:rFonts w:hint="eastAsia" w:ascii="宋体" w:hAnsi="宋体"/>
          <w:color w:val="auto"/>
          <w:szCs w:val="21"/>
          <w:highlight w:val="none"/>
        </w:rPr>
        <w:t>季</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09"/>
        <w:gridCol w:w="774"/>
        <w:gridCol w:w="6321"/>
        <w:gridCol w:w="701"/>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509"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项目</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标准</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分值</w:t>
            </w:r>
          </w:p>
        </w:tc>
        <w:tc>
          <w:tcPr>
            <w:tcW w:w="63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评分标准</w:t>
            </w:r>
          </w:p>
        </w:tc>
        <w:tc>
          <w:tcPr>
            <w:tcW w:w="70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实际</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得分</w:t>
            </w:r>
          </w:p>
        </w:tc>
        <w:tc>
          <w:tcPr>
            <w:tcW w:w="52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509"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审批开工报告</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6321"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未及时审查每次扣5分；未及时督促施工单位完善相关资料的扣2分；其他情况酌情扣分，扣完为止。</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509"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施工总进度计划的审批和检查</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321"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未及时进行审批扣5分；对明显不合理的计划不纠正、不提出合理性建议的扣5分；对计划的动态偏差调整没有采取措施的扣2分；其他情况酌情扣分，扣完为止。</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509"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单项工程进度计划的审批和检查</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321"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未及时进行审批扣5分；对明显不合理的计划不纠正、不提出合理性建议的扣3分；对计划的动态偏差调整没有采取措施的扣2分；其他情况酌情扣分，扣完为止。</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509"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施工月进度计划的审批和检查</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321"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未及时进行审批扣5分；对明显不合理的计划不纠正、不提出合理性建议的扣3分；每月未进行检查复核的扣2分；其他情况酌情扣分，扣完为止。</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509"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施工周进度计划的审批和检查</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6321"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未定期进行检查复核的扣2分，周计划不准确而监理未提出的每次扣1分；其他情况酌情扣分，扣完为止。</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1509"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对承包商人员投入的管理</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321" w:type="dxa"/>
            <w:vAlign w:val="center"/>
          </w:tcPr>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构成合同违约责任处罚规定的扣10分；承包商人员投入不满足施工要求，监理不检查、不采取措施的，扣5分；对采取的措施不跟踪落实的扣2分；其他情况酌情扣分，扣完为止。</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1509"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对承包商资源投入的管理</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321" w:type="dxa"/>
            <w:vAlign w:val="center"/>
          </w:tcPr>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构成合同违约责任处罚规定的扣10分；承包商不按投标承诺投入机械、设备、材料，监理不检查、不采取措施的，扣5分；对采取的措施不跟踪落实的扣2分；其他情况酌情扣分，扣完为止。</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1509"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对工期进度的监管</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20</w:t>
            </w:r>
          </w:p>
        </w:tc>
        <w:tc>
          <w:tcPr>
            <w:tcW w:w="6321" w:type="dxa"/>
            <w:vAlign w:val="center"/>
          </w:tcPr>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构成合同违约责任处罚规定的扣20分；进度出现偏差不及时提醒业主的扣5分；进度出现偏差不及时提出有效整改措施的扣3分；进度出现偏差不及时下达整改通知并督促落实的扣3分；监理月报中未对进度进行分析及评价的每次扣5分；其他情况酌情扣分，扣完为止。</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1509" w:type="dxa"/>
            <w:vAlign w:val="center"/>
          </w:tcPr>
          <w:p>
            <w:pPr>
              <w:spacing w:line="240" w:lineRule="auto"/>
              <w:ind w:firstLine="21" w:firstLineChars="10"/>
              <w:rPr>
                <w:rFonts w:ascii="宋体" w:hAnsi="宋体"/>
                <w:color w:val="auto"/>
                <w:sz w:val="21"/>
                <w:szCs w:val="21"/>
                <w:highlight w:val="none"/>
              </w:rPr>
            </w:pPr>
            <w:r>
              <w:rPr>
                <w:rFonts w:hint="eastAsia" w:ascii="宋体" w:hAnsi="宋体"/>
                <w:color w:val="auto"/>
                <w:sz w:val="21"/>
                <w:szCs w:val="21"/>
                <w:highlight w:val="none"/>
              </w:rPr>
              <w:t>节点工期控制</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321"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没明确节点工期扣10分；对节点工期没有检查的扣5分；其他情况酌情扣分，扣完为止。</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4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1509"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主持和召开进度专题会议</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321"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在计划出现比较严重滞后未组织进度专题分析会，每次扣5分；对会议纪要中明确要落实的重大事项未落实的，每次扣3分；其他情况酌情扣分，扣完为止。</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74" w:type="dxa"/>
            <w:vAlign w:val="center"/>
          </w:tcPr>
          <w:p>
            <w:pPr>
              <w:spacing w:line="240" w:lineRule="auto"/>
              <w:jc w:val="center"/>
              <w:rPr>
                <w:rFonts w:ascii="宋体" w:hAnsi="宋体"/>
                <w:color w:val="auto"/>
                <w:sz w:val="21"/>
                <w:szCs w:val="21"/>
                <w:highlight w:val="none"/>
              </w:rPr>
            </w:pPr>
          </w:p>
        </w:tc>
        <w:tc>
          <w:tcPr>
            <w:tcW w:w="1509"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 xml:space="preserve">     合计</w:t>
            </w:r>
          </w:p>
        </w:tc>
        <w:tc>
          <w:tcPr>
            <w:tcW w:w="77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100</w:t>
            </w:r>
          </w:p>
        </w:tc>
        <w:tc>
          <w:tcPr>
            <w:tcW w:w="6321" w:type="dxa"/>
            <w:vAlign w:val="center"/>
          </w:tcPr>
          <w:p>
            <w:pPr>
              <w:adjustRightInd w:val="0"/>
              <w:snapToGrid w:val="0"/>
              <w:spacing w:line="240" w:lineRule="auto"/>
              <w:ind w:firstLine="420" w:firstLineChars="200"/>
              <w:jc w:val="center"/>
              <w:rPr>
                <w:rFonts w:ascii="宋体" w:hAnsi="宋体"/>
                <w:color w:val="auto"/>
                <w:sz w:val="21"/>
                <w:szCs w:val="21"/>
                <w:highlight w:val="none"/>
              </w:rPr>
            </w:pPr>
            <w:r>
              <w:rPr>
                <w:rFonts w:hint="eastAsia" w:ascii="宋体" w:hAnsi="宋体"/>
                <w:color w:val="auto"/>
                <w:sz w:val="21"/>
                <w:szCs w:val="21"/>
                <w:highlight w:val="none"/>
              </w:rPr>
              <w:t xml:space="preserve">                                               合计</w:t>
            </w:r>
          </w:p>
        </w:tc>
        <w:tc>
          <w:tcPr>
            <w:tcW w:w="701" w:type="dxa"/>
            <w:vAlign w:val="center"/>
          </w:tcPr>
          <w:p>
            <w:pPr>
              <w:spacing w:line="240" w:lineRule="auto"/>
              <w:jc w:val="center"/>
              <w:rPr>
                <w:rFonts w:ascii="宋体" w:hAnsi="宋体"/>
                <w:color w:val="auto"/>
                <w:sz w:val="21"/>
                <w:szCs w:val="21"/>
                <w:highlight w:val="none"/>
              </w:rPr>
            </w:pPr>
          </w:p>
        </w:tc>
        <w:tc>
          <w:tcPr>
            <w:tcW w:w="523"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74" w:type="dxa"/>
            <w:vAlign w:val="center"/>
          </w:tcPr>
          <w:p>
            <w:pPr>
              <w:spacing w:line="240" w:lineRule="auto"/>
              <w:jc w:val="center"/>
              <w:rPr>
                <w:rFonts w:ascii="宋体" w:hAnsi="宋体"/>
                <w:color w:val="auto"/>
                <w:sz w:val="21"/>
                <w:szCs w:val="21"/>
                <w:highlight w:val="none"/>
              </w:rPr>
            </w:pPr>
          </w:p>
        </w:tc>
        <w:tc>
          <w:tcPr>
            <w:tcW w:w="9828" w:type="dxa"/>
            <w:gridSpan w:val="5"/>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注：①未发生项目不参加检查评分，应得分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 实得分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，得分率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w:t>
            </w:r>
          </w:p>
          <w:p>
            <w:pPr>
              <w:spacing w:line="240" w:lineRule="auto"/>
              <w:ind w:firstLine="420"/>
              <w:rPr>
                <w:rFonts w:ascii="宋体" w:hAnsi="宋体"/>
                <w:color w:val="auto"/>
                <w:sz w:val="21"/>
                <w:szCs w:val="21"/>
                <w:highlight w:val="none"/>
              </w:rPr>
            </w:pPr>
            <w:r>
              <w:rPr>
                <w:rFonts w:hint="eastAsia" w:ascii="宋体" w:hAnsi="宋体"/>
                <w:color w:val="auto"/>
                <w:sz w:val="21"/>
                <w:szCs w:val="21"/>
                <w:highlight w:val="none"/>
              </w:rPr>
              <w:t>②其它情况说明：</w:t>
            </w:r>
          </w:p>
          <w:p>
            <w:pPr>
              <w:spacing w:line="240" w:lineRule="auto"/>
              <w:ind w:firstLine="420"/>
              <w:rPr>
                <w:rFonts w:ascii="宋体" w:hAnsi="宋体"/>
                <w:color w:val="auto"/>
                <w:sz w:val="21"/>
                <w:szCs w:val="21"/>
                <w:highlight w:val="none"/>
              </w:rPr>
            </w:pPr>
          </w:p>
        </w:tc>
      </w:tr>
    </w:tbl>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检查人：            复核人：          日期：     年     月      日</w:t>
      </w:r>
    </w:p>
    <w:p>
      <w:pPr>
        <w:jc w:val="center"/>
        <w:rPr>
          <w:rFonts w:ascii="宋体" w:hAnsi="宋体"/>
          <w:color w:val="auto"/>
          <w:szCs w:val="21"/>
          <w:highlight w:val="none"/>
        </w:rPr>
      </w:pPr>
      <w:r>
        <w:rPr>
          <w:rFonts w:hint="eastAsia" w:ascii="宋体" w:hAnsi="宋体"/>
          <w:color w:val="auto"/>
          <w:szCs w:val="21"/>
          <w:highlight w:val="none"/>
        </w:rPr>
        <w:t>监理单位季度综合考评检查表三（投资控制）</w:t>
      </w:r>
    </w:p>
    <w:p>
      <w:pPr>
        <w:rPr>
          <w:rFonts w:ascii="宋体" w:hAnsi="宋体"/>
          <w:color w:val="auto"/>
          <w:szCs w:val="21"/>
          <w:highlight w:val="none"/>
        </w:rPr>
      </w:pPr>
      <w:r>
        <w:rPr>
          <w:rFonts w:hint="eastAsia" w:ascii="宋体" w:hAnsi="宋体"/>
          <w:color w:val="auto"/>
          <w:szCs w:val="21"/>
          <w:highlight w:val="none"/>
        </w:rPr>
        <w:t>工程名称：                      监理单位：            检查季度：</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第   </w:t>
      </w:r>
      <w:r>
        <w:rPr>
          <w:rFonts w:hint="eastAsia" w:ascii="宋体" w:hAnsi="宋体"/>
          <w:color w:val="auto"/>
          <w:szCs w:val="21"/>
          <w:highlight w:val="none"/>
        </w:rPr>
        <w:t>季</w:t>
      </w:r>
    </w:p>
    <w:tbl>
      <w:tblPr>
        <w:tblStyle w:val="37"/>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43"/>
        <w:gridCol w:w="742"/>
        <w:gridCol w:w="5736"/>
        <w:gridCol w:w="646"/>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53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9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项  目</w:t>
            </w:r>
          </w:p>
        </w:tc>
        <w:tc>
          <w:tcPr>
            <w:tcW w:w="742"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标准</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分值</w:t>
            </w:r>
          </w:p>
        </w:tc>
        <w:tc>
          <w:tcPr>
            <w:tcW w:w="573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评分标准</w:t>
            </w:r>
          </w:p>
        </w:tc>
        <w:tc>
          <w:tcPr>
            <w:tcW w:w="64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实际</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得分</w:t>
            </w:r>
          </w:p>
        </w:tc>
        <w:tc>
          <w:tcPr>
            <w:tcW w:w="6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3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94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制订投资控制内容</w:t>
            </w:r>
          </w:p>
        </w:tc>
        <w:tc>
          <w:tcPr>
            <w:tcW w:w="742"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736" w:type="dxa"/>
            <w:vAlign w:val="center"/>
          </w:tcPr>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监理规划中没有投资控制内容的扣10分；措施不具体的扣5分；没有按方案执行的，每次扣3分；其他情况酌情扣分，扣完为止。</w:t>
            </w:r>
          </w:p>
        </w:tc>
        <w:tc>
          <w:tcPr>
            <w:tcW w:w="646" w:type="dxa"/>
          </w:tcPr>
          <w:p>
            <w:pPr>
              <w:spacing w:line="240" w:lineRule="auto"/>
              <w:rPr>
                <w:rFonts w:ascii="宋体" w:hAnsi="宋体"/>
                <w:color w:val="auto"/>
                <w:sz w:val="21"/>
                <w:szCs w:val="21"/>
                <w:highlight w:val="none"/>
              </w:rPr>
            </w:pPr>
          </w:p>
        </w:tc>
        <w:tc>
          <w:tcPr>
            <w:tcW w:w="64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53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94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施工组织方案审查经济合理性分析</w:t>
            </w:r>
          </w:p>
        </w:tc>
        <w:tc>
          <w:tcPr>
            <w:tcW w:w="742"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736" w:type="dxa"/>
            <w:vAlign w:val="center"/>
          </w:tcPr>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构成合同违约责任处罚规定的，扣10分；未对施工组织方案进行经济指标分析或分析不准确的，扣5分；</w:t>
            </w:r>
            <w:r>
              <w:rPr>
                <w:rFonts w:hint="eastAsia" w:ascii="宋体" w:hAnsi="宋体"/>
                <w:bCs/>
                <w:snapToGrid w:val="0"/>
                <w:color w:val="auto"/>
                <w:kern w:val="0"/>
                <w:sz w:val="21"/>
                <w:szCs w:val="21"/>
                <w:highlight w:val="none"/>
              </w:rPr>
              <w:t>对方案中明显不合理，或者与招投标文件不符、会引起投资增加的部分，不进行认真审核的，扣5分；</w:t>
            </w:r>
            <w:r>
              <w:rPr>
                <w:rFonts w:hint="eastAsia" w:ascii="宋体" w:hAnsi="宋体"/>
                <w:color w:val="auto"/>
                <w:sz w:val="21"/>
                <w:szCs w:val="21"/>
                <w:highlight w:val="none"/>
              </w:rPr>
              <w:t>其他情况酌情扣分，扣完为止。</w:t>
            </w:r>
          </w:p>
        </w:tc>
        <w:tc>
          <w:tcPr>
            <w:tcW w:w="646" w:type="dxa"/>
          </w:tcPr>
          <w:p>
            <w:pPr>
              <w:spacing w:line="240" w:lineRule="auto"/>
              <w:rPr>
                <w:rFonts w:ascii="宋体" w:hAnsi="宋体"/>
                <w:color w:val="auto"/>
                <w:sz w:val="21"/>
                <w:szCs w:val="21"/>
                <w:highlight w:val="none"/>
              </w:rPr>
            </w:pPr>
          </w:p>
        </w:tc>
        <w:tc>
          <w:tcPr>
            <w:tcW w:w="64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53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94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工程变更管理</w:t>
            </w:r>
          </w:p>
        </w:tc>
        <w:tc>
          <w:tcPr>
            <w:tcW w:w="742"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30</w:t>
            </w:r>
          </w:p>
        </w:tc>
        <w:tc>
          <w:tcPr>
            <w:tcW w:w="5736" w:type="dxa"/>
            <w:vAlign w:val="center"/>
          </w:tcPr>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构成合同违约责任处罚规定的，扣30分；</w:t>
            </w:r>
            <w:r>
              <w:rPr>
                <w:rFonts w:hint="eastAsia" w:ascii="宋体" w:hAnsi="宋体"/>
                <w:bCs/>
                <w:snapToGrid w:val="0"/>
                <w:color w:val="auto"/>
                <w:kern w:val="0"/>
                <w:sz w:val="21"/>
                <w:szCs w:val="21"/>
                <w:highlight w:val="none"/>
              </w:rPr>
              <w:t>未按程序办理、审批各项变更的，每次扣10分；</w:t>
            </w:r>
            <w:r>
              <w:rPr>
                <w:rFonts w:hint="eastAsia" w:ascii="宋体" w:hAnsi="宋体"/>
                <w:color w:val="auto"/>
                <w:sz w:val="21"/>
                <w:szCs w:val="21"/>
                <w:highlight w:val="none"/>
              </w:rPr>
              <w:t>对变更审核记录不及时、不准确、不完整的，每次扣5分，其他情况酌情扣分，扣完为止。</w:t>
            </w:r>
          </w:p>
        </w:tc>
        <w:tc>
          <w:tcPr>
            <w:tcW w:w="646" w:type="dxa"/>
          </w:tcPr>
          <w:p>
            <w:pPr>
              <w:spacing w:line="240" w:lineRule="auto"/>
              <w:rPr>
                <w:rFonts w:ascii="宋体" w:hAnsi="宋体"/>
                <w:color w:val="auto"/>
                <w:sz w:val="21"/>
                <w:szCs w:val="21"/>
                <w:highlight w:val="none"/>
              </w:rPr>
            </w:pPr>
          </w:p>
        </w:tc>
        <w:tc>
          <w:tcPr>
            <w:tcW w:w="64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53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94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现场签证管理</w:t>
            </w:r>
          </w:p>
        </w:tc>
        <w:tc>
          <w:tcPr>
            <w:tcW w:w="742"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20</w:t>
            </w:r>
          </w:p>
        </w:tc>
        <w:tc>
          <w:tcPr>
            <w:tcW w:w="5736" w:type="dxa"/>
            <w:vAlign w:val="center"/>
          </w:tcPr>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构成合同违约责任处罚规定的，扣20分；</w:t>
            </w:r>
            <w:r>
              <w:rPr>
                <w:rFonts w:hint="eastAsia" w:ascii="宋体" w:hAnsi="宋体"/>
                <w:bCs/>
                <w:snapToGrid w:val="0"/>
                <w:color w:val="auto"/>
                <w:kern w:val="0"/>
                <w:sz w:val="21"/>
                <w:szCs w:val="21"/>
                <w:highlight w:val="none"/>
              </w:rPr>
              <w:t>现场签证未经工程师审核的，每次扣5分；现场签证未及时上报的，每次扣3分；</w:t>
            </w:r>
            <w:r>
              <w:rPr>
                <w:rFonts w:hint="eastAsia" w:ascii="宋体" w:hAnsi="宋体"/>
                <w:color w:val="auto"/>
                <w:sz w:val="21"/>
                <w:szCs w:val="21"/>
                <w:highlight w:val="none"/>
              </w:rPr>
              <w:t xml:space="preserve">签证的资料不齐全或不真实的，每次扣3-5分；其他情况酌情扣分，扣完为止。 </w:t>
            </w:r>
          </w:p>
        </w:tc>
        <w:tc>
          <w:tcPr>
            <w:tcW w:w="646" w:type="dxa"/>
          </w:tcPr>
          <w:p>
            <w:pPr>
              <w:spacing w:line="240" w:lineRule="auto"/>
              <w:rPr>
                <w:rFonts w:ascii="宋体" w:hAnsi="宋体"/>
                <w:color w:val="auto"/>
                <w:sz w:val="21"/>
                <w:szCs w:val="21"/>
                <w:highlight w:val="none"/>
              </w:rPr>
            </w:pPr>
          </w:p>
        </w:tc>
        <w:tc>
          <w:tcPr>
            <w:tcW w:w="64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53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94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计量支付管理</w:t>
            </w:r>
          </w:p>
        </w:tc>
        <w:tc>
          <w:tcPr>
            <w:tcW w:w="742"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30</w:t>
            </w:r>
          </w:p>
        </w:tc>
        <w:tc>
          <w:tcPr>
            <w:tcW w:w="5736" w:type="dxa"/>
            <w:vAlign w:val="center"/>
          </w:tcPr>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构成合同违约责任处罚规定的，扣30分；不按实计量，出现超计量，超支付或不按照合同规定审核批准支付的，每次扣15分；</w:t>
            </w:r>
            <w:r>
              <w:rPr>
                <w:rFonts w:hint="eastAsia" w:ascii="宋体" w:hAnsi="宋体"/>
                <w:bCs/>
                <w:snapToGrid w:val="0"/>
                <w:color w:val="auto"/>
                <w:kern w:val="0"/>
                <w:sz w:val="21"/>
                <w:szCs w:val="21"/>
                <w:highlight w:val="none"/>
              </w:rPr>
              <w:t>未在规定的时间内审批进度款的，每次扣5分；未建立计量支付台账的，扣5分；台账不完整</w:t>
            </w:r>
            <w:r>
              <w:rPr>
                <w:rFonts w:hint="eastAsia" w:ascii="宋体" w:hAnsi="宋体"/>
                <w:color w:val="auto"/>
                <w:sz w:val="21"/>
                <w:szCs w:val="21"/>
                <w:highlight w:val="none"/>
              </w:rPr>
              <w:t>、不及时、不准确的，每次扣5分；其他情况酌情扣分，扣完为止。</w:t>
            </w:r>
          </w:p>
        </w:tc>
        <w:tc>
          <w:tcPr>
            <w:tcW w:w="646" w:type="dxa"/>
          </w:tcPr>
          <w:p>
            <w:pPr>
              <w:spacing w:line="240" w:lineRule="auto"/>
              <w:rPr>
                <w:rFonts w:ascii="宋体" w:hAnsi="宋体"/>
                <w:color w:val="auto"/>
                <w:sz w:val="21"/>
                <w:szCs w:val="21"/>
                <w:highlight w:val="none"/>
              </w:rPr>
            </w:pPr>
          </w:p>
        </w:tc>
        <w:tc>
          <w:tcPr>
            <w:tcW w:w="64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34" w:type="dxa"/>
            <w:vAlign w:val="center"/>
          </w:tcPr>
          <w:p>
            <w:pPr>
              <w:spacing w:line="240" w:lineRule="auto"/>
              <w:jc w:val="center"/>
              <w:rPr>
                <w:rFonts w:ascii="宋体" w:hAnsi="宋体"/>
                <w:color w:val="auto"/>
                <w:sz w:val="21"/>
                <w:szCs w:val="21"/>
                <w:highlight w:val="none"/>
              </w:rPr>
            </w:pPr>
          </w:p>
        </w:tc>
        <w:tc>
          <w:tcPr>
            <w:tcW w:w="194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合  计</w:t>
            </w:r>
          </w:p>
        </w:tc>
        <w:tc>
          <w:tcPr>
            <w:tcW w:w="742"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100</w:t>
            </w:r>
          </w:p>
        </w:tc>
        <w:tc>
          <w:tcPr>
            <w:tcW w:w="5736" w:type="dxa"/>
            <w:vAlign w:val="center"/>
          </w:tcPr>
          <w:p>
            <w:pPr>
              <w:spacing w:line="240" w:lineRule="auto"/>
              <w:ind w:firstLine="4830" w:firstLineChars="2300"/>
              <w:jc w:val="left"/>
              <w:rPr>
                <w:rFonts w:ascii="宋体" w:hAnsi="宋体"/>
                <w:color w:val="auto"/>
                <w:sz w:val="21"/>
                <w:szCs w:val="21"/>
                <w:highlight w:val="none"/>
              </w:rPr>
            </w:pPr>
            <w:r>
              <w:rPr>
                <w:rFonts w:hint="eastAsia" w:ascii="宋体" w:hAnsi="宋体"/>
                <w:color w:val="auto"/>
                <w:sz w:val="21"/>
                <w:szCs w:val="21"/>
                <w:highlight w:val="none"/>
              </w:rPr>
              <w:t xml:space="preserve">合 </w:t>
            </w:r>
          </w:p>
        </w:tc>
        <w:tc>
          <w:tcPr>
            <w:tcW w:w="646" w:type="dxa"/>
          </w:tcPr>
          <w:p>
            <w:pPr>
              <w:spacing w:line="240" w:lineRule="auto"/>
              <w:rPr>
                <w:rFonts w:ascii="宋体" w:hAnsi="宋体"/>
                <w:color w:val="auto"/>
                <w:sz w:val="21"/>
                <w:szCs w:val="21"/>
                <w:highlight w:val="none"/>
              </w:rPr>
            </w:pPr>
          </w:p>
        </w:tc>
        <w:tc>
          <w:tcPr>
            <w:tcW w:w="643"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34" w:type="dxa"/>
            <w:vAlign w:val="center"/>
          </w:tcPr>
          <w:p>
            <w:pPr>
              <w:spacing w:line="240" w:lineRule="auto"/>
              <w:jc w:val="center"/>
              <w:rPr>
                <w:rFonts w:ascii="宋体" w:hAnsi="宋体"/>
                <w:color w:val="auto"/>
                <w:sz w:val="21"/>
                <w:szCs w:val="21"/>
                <w:highlight w:val="none"/>
              </w:rPr>
            </w:pPr>
          </w:p>
        </w:tc>
        <w:tc>
          <w:tcPr>
            <w:tcW w:w="9710" w:type="dxa"/>
            <w:gridSpan w:val="5"/>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注：①未发生项目不参加检查评分，应得分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 实得分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，得分率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w:t>
            </w:r>
          </w:p>
          <w:p>
            <w:pPr>
              <w:spacing w:line="24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②其它情况说明：</w:t>
            </w:r>
          </w:p>
        </w:tc>
      </w:tr>
    </w:tbl>
    <w:p>
      <w:pPr>
        <w:rPr>
          <w:rFonts w:ascii="宋体" w:hAnsi="宋体"/>
          <w:color w:val="auto"/>
          <w:szCs w:val="21"/>
          <w:highlight w:val="none"/>
        </w:rPr>
      </w:pPr>
    </w:p>
    <w:p>
      <w:pPr>
        <w:rPr>
          <w:rFonts w:ascii="宋体" w:hAnsi="宋体"/>
          <w:color w:val="auto"/>
          <w:sz w:val="28"/>
          <w:szCs w:val="28"/>
          <w:highlight w:val="none"/>
        </w:rPr>
      </w:pPr>
      <w:r>
        <w:rPr>
          <w:rFonts w:hint="eastAsia" w:ascii="宋体" w:hAnsi="宋体"/>
          <w:color w:val="auto"/>
          <w:szCs w:val="21"/>
          <w:highlight w:val="none"/>
        </w:rPr>
        <w:t>检查人：                  复核人：       日期：     年     月      日</w:t>
      </w:r>
    </w:p>
    <w:p>
      <w:pPr>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监理单位季度综合考评检查表四（合同履约管理）</w:t>
      </w:r>
    </w:p>
    <w:p>
      <w:pPr>
        <w:ind w:firstLine="120" w:firstLineChars="50"/>
        <w:rPr>
          <w:rFonts w:ascii="宋体" w:hAnsi="宋体"/>
          <w:color w:val="auto"/>
          <w:szCs w:val="21"/>
          <w:highlight w:val="none"/>
        </w:rPr>
      </w:pPr>
      <w:r>
        <w:rPr>
          <w:rFonts w:hint="eastAsia" w:ascii="宋体" w:hAnsi="宋体"/>
          <w:color w:val="auto"/>
          <w:szCs w:val="21"/>
          <w:highlight w:val="none"/>
        </w:rPr>
        <w:t>工程名称：                     监理单位：            检查季度：</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第   </w:t>
      </w:r>
      <w:r>
        <w:rPr>
          <w:rFonts w:hint="eastAsia" w:ascii="宋体" w:hAnsi="宋体"/>
          <w:color w:val="auto"/>
          <w:szCs w:val="21"/>
          <w:highlight w:val="none"/>
        </w:rPr>
        <w:t>季</w:t>
      </w:r>
    </w:p>
    <w:tbl>
      <w:tblPr>
        <w:tblStyle w:val="37"/>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313"/>
        <w:gridCol w:w="757"/>
        <w:gridCol w:w="6264"/>
        <w:gridCol w:w="651"/>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6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31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项  目</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标准</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分值</w:t>
            </w:r>
          </w:p>
        </w:tc>
        <w:tc>
          <w:tcPr>
            <w:tcW w:w="626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评分标准</w:t>
            </w:r>
          </w:p>
        </w:tc>
        <w:tc>
          <w:tcPr>
            <w:tcW w:w="65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实际</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得分</w:t>
            </w:r>
          </w:p>
        </w:tc>
        <w:tc>
          <w:tcPr>
            <w:tcW w:w="5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6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313" w:type="dxa"/>
            <w:vAlign w:val="center"/>
          </w:tcPr>
          <w:p>
            <w:pPr>
              <w:spacing w:line="240" w:lineRule="auto"/>
              <w:ind w:left="2"/>
              <w:rPr>
                <w:rFonts w:ascii="宋体" w:hAnsi="宋体"/>
                <w:color w:val="auto"/>
                <w:sz w:val="21"/>
                <w:szCs w:val="21"/>
                <w:highlight w:val="none"/>
              </w:rPr>
            </w:pPr>
            <w:r>
              <w:rPr>
                <w:rFonts w:hint="eastAsia" w:ascii="宋体" w:hAnsi="宋体"/>
                <w:color w:val="auto"/>
                <w:sz w:val="21"/>
                <w:szCs w:val="21"/>
                <w:highlight w:val="none"/>
              </w:rPr>
              <w:t>制定合同管理方案</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26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监理规划中没有合同管理内容的扣10分；方案内容明显不齐全，扣5分；其它情况酌情扣分，扣完为止</w:t>
            </w:r>
          </w:p>
        </w:tc>
        <w:tc>
          <w:tcPr>
            <w:tcW w:w="651" w:type="dxa"/>
            <w:vAlign w:val="center"/>
          </w:tcPr>
          <w:p>
            <w:pPr>
              <w:spacing w:line="240" w:lineRule="auto"/>
              <w:rPr>
                <w:rFonts w:ascii="宋体" w:hAnsi="宋体"/>
                <w:color w:val="auto"/>
                <w:sz w:val="21"/>
                <w:szCs w:val="21"/>
                <w:highlight w:val="none"/>
              </w:rPr>
            </w:pPr>
          </w:p>
        </w:tc>
        <w:tc>
          <w:tcPr>
            <w:tcW w:w="505"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46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313" w:type="dxa"/>
            <w:vAlign w:val="center"/>
          </w:tcPr>
          <w:p>
            <w:pPr>
              <w:spacing w:line="240" w:lineRule="auto"/>
              <w:ind w:left="2"/>
              <w:rPr>
                <w:rFonts w:ascii="宋体" w:hAnsi="宋体"/>
                <w:color w:val="auto"/>
                <w:sz w:val="21"/>
                <w:szCs w:val="21"/>
                <w:highlight w:val="none"/>
              </w:rPr>
            </w:pPr>
            <w:r>
              <w:rPr>
                <w:rFonts w:hint="eastAsia" w:ascii="宋体" w:hAnsi="宋体"/>
                <w:color w:val="auto"/>
                <w:sz w:val="21"/>
                <w:szCs w:val="21"/>
                <w:highlight w:val="none"/>
              </w:rPr>
              <w:t>监理机构、人员到位、人员更换的违约情况</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26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构成合同违约责任处罚规定的扣10分；总监代表不到位扣5分；对监理人员擅自离场导致工作失误的，每次扣2分；其它情况酌情扣分，扣完为止</w:t>
            </w:r>
          </w:p>
        </w:tc>
        <w:tc>
          <w:tcPr>
            <w:tcW w:w="651" w:type="dxa"/>
            <w:vAlign w:val="center"/>
          </w:tcPr>
          <w:p>
            <w:pPr>
              <w:spacing w:line="240" w:lineRule="auto"/>
              <w:rPr>
                <w:rFonts w:ascii="宋体" w:hAnsi="宋体"/>
                <w:color w:val="auto"/>
                <w:sz w:val="21"/>
                <w:szCs w:val="21"/>
                <w:highlight w:val="none"/>
              </w:rPr>
            </w:pPr>
          </w:p>
        </w:tc>
        <w:tc>
          <w:tcPr>
            <w:tcW w:w="505"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6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31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监理人员素质和能力</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264" w:type="dxa"/>
            <w:vAlign w:val="center"/>
          </w:tcPr>
          <w:p>
            <w:pPr>
              <w:spacing w:line="240" w:lineRule="auto"/>
              <w:ind w:left="-13" w:leftChars="-39" w:hanging="81" w:hangingChars="39"/>
              <w:rPr>
                <w:rFonts w:ascii="宋体" w:hAnsi="宋体"/>
                <w:color w:val="auto"/>
                <w:sz w:val="21"/>
                <w:szCs w:val="21"/>
                <w:highlight w:val="none"/>
              </w:rPr>
            </w:pPr>
            <w:r>
              <w:rPr>
                <w:rFonts w:hint="eastAsia" w:ascii="宋体" w:hAnsi="宋体"/>
                <w:color w:val="auto"/>
                <w:sz w:val="21"/>
                <w:szCs w:val="21"/>
                <w:highlight w:val="none"/>
              </w:rPr>
              <w:t>对图纸不熟悉、工艺不清楚，每人次扣3分；对规范、技术标准不熟悉，每人次扣3分；对现场不了解、对工期目标不熟悉，每人次扣3分；对现场突发事件未能进行有效控制的扣5分；其它情况酌情扣分，扣完为止</w:t>
            </w:r>
          </w:p>
        </w:tc>
        <w:tc>
          <w:tcPr>
            <w:tcW w:w="651" w:type="dxa"/>
            <w:vAlign w:val="center"/>
          </w:tcPr>
          <w:p>
            <w:pPr>
              <w:spacing w:line="240" w:lineRule="auto"/>
              <w:rPr>
                <w:rFonts w:ascii="宋体" w:hAnsi="宋体"/>
                <w:color w:val="auto"/>
                <w:sz w:val="21"/>
                <w:szCs w:val="21"/>
                <w:highlight w:val="none"/>
              </w:rPr>
            </w:pPr>
          </w:p>
        </w:tc>
        <w:tc>
          <w:tcPr>
            <w:tcW w:w="505"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46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31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对承包商和分包单位的监督和控制情况</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20</w:t>
            </w:r>
          </w:p>
        </w:tc>
        <w:tc>
          <w:tcPr>
            <w:tcW w:w="626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未督促承包商按合同人员到位的每次扣5分，未督促承包商设备、材料到位的扣5分；未督促和检查总包单位对分包单位的监督与控制的扣2分；其它情况酌情扣分，扣完为止</w:t>
            </w:r>
          </w:p>
        </w:tc>
        <w:tc>
          <w:tcPr>
            <w:tcW w:w="651" w:type="dxa"/>
            <w:vAlign w:val="center"/>
          </w:tcPr>
          <w:p>
            <w:pPr>
              <w:spacing w:line="240" w:lineRule="auto"/>
              <w:rPr>
                <w:rFonts w:ascii="宋体" w:hAnsi="宋体"/>
                <w:color w:val="auto"/>
                <w:sz w:val="21"/>
                <w:szCs w:val="21"/>
                <w:highlight w:val="none"/>
              </w:rPr>
            </w:pPr>
          </w:p>
        </w:tc>
        <w:tc>
          <w:tcPr>
            <w:tcW w:w="505"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6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31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监理设备的配备情况</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26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通信、办公设备，扣3分；法律、法规、规范、图集资料不齐全，每项扣3分；其它情况酌情扣分，扣完为止</w:t>
            </w:r>
          </w:p>
        </w:tc>
        <w:tc>
          <w:tcPr>
            <w:tcW w:w="651" w:type="dxa"/>
            <w:vAlign w:val="center"/>
          </w:tcPr>
          <w:p>
            <w:pPr>
              <w:spacing w:line="240" w:lineRule="auto"/>
              <w:rPr>
                <w:rFonts w:ascii="宋体" w:hAnsi="宋体"/>
                <w:color w:val="auto"/>
                <w:sz w:val="21"/>
                <w:szCs w:val="21"/>
                <w:highlight w:val="none"/>
              </w:rPr>
            </w:pPr>
          </w:p>
        </w:tc>
        <w:tc>
          <w:tcPr>
            <w:tcW w:w="505"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6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131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监理工作流程和程序的执行情况</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26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对监理工作流程不熟悉，每人次扣3分；没有按照监理工作流程进行监理，每次扣3分；其它情况酌情扣分，扣完为止</w:t>
            </w:r>
          </w:p>
        </w:tc>
        <w:tc>
          <w:tcPr>
            <w:tcW w:w="651" w:type="dxa"/>
            <w:vAlign w:val="center"/>
          </w:tcPr>
          <w:p>
            <w:pPr>
              <w:spacing w:line="240" w:lineRule="auto"/>
              <w:rPr>
                <w:rFonts w:ascii="宋体" w:hAnsi="宋体"/>
                <w:color w:val="auto"/>
                <w:sz w:val="21"/>
                <w:szCs w:val="21"/>
                <w:highlight w:val="none"/>
              </w:rPr>
            </w:pPr>
          </w:p>
        </w:tc>
        <w:tc>
          <w:tcPr>
            <w:tcW w:w="505"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6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131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监理工作规章制度的执行情况</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26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对监理工作规章制度不熟悉，每人次扣3分；未执行监理工作制度或执行不力的，每次扣3分；其它情况酌情扣分，扣完为止</w:t>
            </w:r>
          </w:p>
        </w:tc>
        <w:tc>
          <w:tcPr>
            <w:tcW w:w="651" w:type="dxa"/>
            <w:vAlign w:val="center"/>
          </w:tcPr>
          <w:p>
            <w:pPr>
              <w:spacing w:line="240" w:lineRule="auto"/>
              <w:rPr>
                <w:rFonts w:ascii="宋体" w:hAnsi="宋体"/>
                <w:color w:val="auto"/>
                <w:sz w:val="21"/>
                <w:szCs w:val="21"/>
                <w:highlight w:val="none"/>
              </w:rPr>
            </w:pPr>
          </w:p>
        </w:tc>
        <w:tc>
          <w:tcPr>
            <w:tcW w:w="505"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6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131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对施工合同的管理</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26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未建立合同台账的扣2分；不熟悉施工合同条款的扣3分；承包商不执行合同条款，监理不检查、督促、处理的每次扣3分；对承包商违约行为不发整改通知、不报告的每次扣3分；其它情况酌情扣分，扣完为止</w:t>
            </w:r>
          </w:p>
        </w:tc>
        <w:tc>
          <w:tcPr>
            <w:tcW w:w="651" w:type="dxa"/>
            <w:vAlign w:val="center"/>
          </w:tcPr>
          <w:p>
            <w:pPr>
              <w:spacing w:line="240" w:lineRule="auto"/>
              <w:rPr>
                <w:rFonts w:ascii="宋体" w:hAnsi="宋体"/>
                <w:color w:val="auto"/>
                <w:sz w:val="21"/>
                <w:szCs w:val="21"/>
                <w:highlight w:val="none"/>
              </w:rPr>
            </w:pPr>
          </w:p>
        </w:tc>
        <w:tc>
          <w:tcPr>
            <w:tcW w:w="505"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6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131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廉政情况</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626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有违反相关廉政制度的，酌情扣分，扣完为止</w:t>
            </w:r>
          </w:p>
        </w:tc>
        <w:tc>
          <w:tcPr>
            <w:tcW w:w="651" w:type="dxa"/>
            <w:vAlign w:val="center"/>
          </w:tcPr>
          <w:p>
            <w:pPr>
              <w:spacing w:line="240" w:lineRule="auto"/>
              <w:rPr>
                <w:rFonts w:ascii="宋体" w:hAnsi="宋体"/>
                <w:color w:val="auto"/>
                <w:sz w:val="21"/>
                <w:szCs w:val="21"/>
                <w:highlight w:val="none"/>
              </w:rPr>
            </w:pPr>
          </w:p>
        </w:tc>
        <w:tc>
          <w:tcPr>
            <w:tcW w:w="505"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66" w:type="dxa"/>
            <w:vAlign w:val="center"/>
          </w:tcPr>
          <w:p>
            <w:pPr>
              <w:spacing w:line="240" w:lineRule="auto"/>
              <w:jc w:val="center"/>
              <w:rPr>
                <w:rFonts w:ascii="宋体" w:hAnsi="宋体"/>
                <w:color w:val="auto"/>
                <w:sz w:val="21"/>
                <w:szCs w:val="21"/>
                <w:highlight w:val="none"/>
              </w:rPr>
            </w:pPr>
          </w:p>
        </w:tc>
        <w:tc>
          <w:tcPr>
            <w:tcW w:w="1313" w:type="dxa"/>
            <w:vAlign w:val="center"/>
          </w:tcPr>
          <w:p>
            <w:pPr>
              <w:spacing w:line="24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合  计</w:t>
            </w:r>
          </w:p>
        </w:tc>
        <w:tc>
          <w:tcPr>
            <w:tcW w:w="757"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100</w:t>
            </w:r>
          </w:p>
        </w:tc>
        <w:tc>
          <w:tcPr>
            <w:tcW w:w="6264" w:type="dxa"/>
            <w:vAlign w:val="center"/>
          </w:tcPr>
          <w:p>
            <w:pPr>
              <w:spacing w:line="240" w:lineRule="auto"/>
              <w:jc w:val="right"/>
              <w:rPr>
                <w:rFonts w:ascii="宋体" w:hAnsi="宋体"/>
                <w:color w:val="auto"/>
                <w:sz w:val="21"/>
                <w:szCs w:val="21"/>
                <w:highlight w:val="none"/>
              </w:rPr>
            </w:pPr>
            <w:r>
              <w:rPr>
                <w:rFonts w:hint="eastAsia" w:ascii="宋体" w:hAnsi="宋体"/>
                <w:color w:val="auto"/>
                <w:sz w:val="21"/>
                <w:szCs w:val="21"/>
                <w:highlight w:val="none"/>
              </w:rPr>
              <w:t>合 计</w:t>
            </w:r>
          </w:p>
        </w:tc>
        <w:tc>
          <w:tcPr>
            <w:tcW w:w="651" w:type="dxa"/>
            <w:vAlign w:val="center"/>
          </w:tcPr>
          <w:p>
            <w:pPr>
              <w:spacing w:line="240" w:lineRule="auto"/>
              <w:rPr>
                <w:rFonts w:ascii="宋体" w:hAnsi="宋体"/>
                <w:color w:val="auto"/>
                <w:sz w:val="21"/>
                <w:szCs w:val="21"/>
                <w:highlight w:val="none"/>
              </w:rPr>
            </w:pPr>
          </w:p>
        </w:tc>
        <w:tc>
          <w:tcPr>
            <w:tcW w:w="505"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66" w:type="dxa"/>
            <w:vAlign w:val="center"/>
          </w:tcPr>
          <w:p>
            <w:pPr>
              <w:spacing w:line="240" w:lineRule="auto"/>
              <w:jc w:val="center"/>
              <w:rPr>
                <w:rFonts w:ascii="宋体" w:hAnsi="宋体"/>
                <w:color w:val="auto"/>
                <w:sz w:val="21"/>
                <w:szCs w:val="21"/>
                <w:highlight w:val="none"/>
              </w:rPr>
            </w:pPr>
          </w:p>
        </w:tc>
        <w:tc>
          <w:tcPr>
            <w:tcW w:w="9490" w:type="dxa"/>
            <w:gridSpan w:val="5"/>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注：①未发生项目不参加检查评分，应得分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 实得分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，得分率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w:t>
            </w:r>
          </w:p>
          <w:p>
            <w:pPr>
              <w:spacing w:line="24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②其它情况说明：</w:t>
            </w:r>
          </w:p>
        </w:tc>
      </w:tr>
    </w:tbl>
    <w:p>
      <w:pPr>
        <w:rPr>
          <w:rFonts w:ascii="宋体" w:hAnsi="宋体"/>
          <w:color w:val="auto"/>
          <w:sz w:val="28"/>
          <w:szCs w:val="28"/>
          <w:highlight w:val="none"/>
        </w:rPr>
      </w:pPr>
      <w:r>
        <w:rPr>
          <w:rFonts w:hint="eastAsia" w:ascii="宋体" w:hAnsi="宋体"/>
          <w:color w:val="auto"/>
          <w:szCs w:val="21"/>
          <w:highlight w:val="none"/>
        </w:rPr>
        <w:t>检查人：                复核人：         日期：     年     月      日</w:t>
      </w:r>
    </w:p>
    <w:p>
      <w:pPr>
        <w:jc w:val="center"/>
        <w:rPr>
          <w:rFonts w:ascii="宋体" w:hAnsi="宋体"/>
          <w:color w:val="auto"/>
          <w:szCs w:val="21"/>
          <w:highlight w:val="none"/>
        </w:rPr>
      </w:pPr>
      <w:r>
        <w:rPr>
          <w:rFonts w:hint="eastAsia" w:ascii="宋体" w:hAnsi="宋体"/>
          <w:color w:val="auto"/>
          <w:szCs w:val="21"/>
          <w:highlight w:val="none"/>
        </w:rPr>
        <w:t>监理单位季度综合考评检查表五（组织协调）</w:t>
      </w:r>
    </w:p>
    <w:p>
      <w:pPr>
        <w:rPr>
          <w:rFonts w:ascii="宋体" w:hAnsi="宋体"/>
          <w:color w:val="auto"/>
          <w:szCs w:val="21"/>
          <w:highlight w:val="none"/>
        </w:rPr>
      </w:pPr>
      <w:r>
        <w:rPr>
          <w:rFonts w:hint="eastAsia" w:ascii="宋体" w:hAnsi="宋体"/>
          <w:color w:val="auto"/>
          <w:szCs w:val="21"/>
          <w:highlight w:val="none"/>
        </w:rPr>
        <w:t>工程名称：                  监理单位：                检查季度：</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第二 </w:t>
      </w:r>
      <w:r>
        <w:rPr>
          <w:rFonts w:hint="eastAsia" w:ascii="宋体" w:hAnsi="宋体"/>
          <w:color w:val="auto"/>
          <w:szCs w:val="21"/>
          <w:highlight w:val="none"/>
        </w:rPr>
        <w:t>季</w:t>
      </w:r>
    </w:p>
    <w:tbl>
      <w:tblPr>
        <w:tblStyle w:val="37"/>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603"/>
        <w:gridCol w:w="768"/>
        <w:gridCol w:w="5594"/>
        <w:gridCol w:w="72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60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项目</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标准</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分值</w:t>
            </w:r>
          </w:p>
        </w:tc>
        <w:tc>
          <w:tcPr>
            <w:tcW w:w="559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评分标准</w:t>
            </w:r>
          </w:p>
        </w:tc>
        <w:tc>
          <w:tcPr>
            <w:tcW w:w="720"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实际得分</w:t>
            </w:r>
          </w:p>
        </w:tc>
        <w:tc>
          <w:tcPr>
            <w:tcW w:w="95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60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监理机构的组建、内部分工</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59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监理机构组建不合理，扣5分，不按合同要求派驻现场，每缺1人扣2分，内部分工不明确，扣3分；其它情况酌情扣分，扣完为止</w:t>
            </w:r>
          </w:p>
        </w:tc>
        <w:tc>
          <w:tcPr>
            <w:tcW w:w="720" w:type="dxa"/>
            <w:vAlign w:val="center"/>
          </w:tcPr>
          <w:p>
            <w:pPr>
              <w:spacing w:line="240" w:lineRule="auto"/>
              <w:jc w:val="center"/>
              <w:rPr>
                <w:rFonts w:ascii="宋体" w:hAnsi="宋体"/>
                <w:color w:val="auto"/>
                <w:sz w:val="21"/>
                <w:szCs w:val="21"/>
                <w:highlight w:val="none"/>
              </w:rPr>
            </w:pPr>
          </w:p>
        </w:tc>
        <w:tc>
          <w:tcPr>
            <w:tcW w:w="951"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60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督促检查施工单位的组织机构、人员配备</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情况</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15</w:t>
            </w:r>
          </w:p>
        </w:tc>
        <w:tc>
          <w:tcPr>
            <w:tcW w:w="559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未督促检查施工单位组织机构，扣10分，对施工单位专业人员不配套，未督促要求落实到位，扣5分；其它情况酌情扣分，扣完为止</w:t>
            </w:r>
          </w:p>
        </w:tc>
        <w:tc>
          <w:tcPr>
            <w:tcW w:w="720" w:type="dxa"/>
            <w:vAlign w:val="center"/>
          </w:tcPr>
          <w:p>
            <w:pPr>
              <w:spacing w:line="240" w:lineRule="auto"/>
              <w:jc w:val="center"/>
              <w:rPr>
                <w:rFonts w:ascii="宋体" w:hAnsi="宋体"/>
                <w:color w:val="auto"/>
                <w:sz w:val="21"/>
                <w:szCs w:val="21"/>
                <w:highlight w:val="none"/>
              </w:rPr>
            </w:pPr>
          </w:p>
        </w:tc>
        <w:tc>
          <w:tcPr>
            <w:tcW w:w="951"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4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60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监理例会、专题会议的组织，会议纪要编制和签发</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59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总监未组织监理例会或专题会议，每次扣3分；监理例会未组织要求相关单位人员定期召开监理例会，每次扣3分；编制的会议纪要未经负责人审核发出，扣3分；会议纪要不准时发出，扣3分；其它情况酌情扣分，扣完为止</w:t>
            </w:r>
          </w:p>
        </w:tc>
        <w:tc>
          <w:tcPr>
            <w:tcW w:w="720" w:type="dxa"/>
            <w:vAlign w:val="center"/>
          </w:tcPr>
          <w:p>
            <w:pPr>
              <w:spacing w:line="240" w:lineRule="auto"/>
              <w:jc w:val="center"/>
              <w:rPr>
                <w:rFonts w:ascii="宋体" w:hAnsi="宋体"/>
                <w:color w:val="auto"/>
                <w:sz w:val="21"/>
                <w:szCs w:val="21"/>
                <w:highlight w:val="none"/>
              </w:rPr>
            </w:pPr>
          </w:p>
        </w:tc>
        <w:tc>
          <w:tcPr>
            <w:tcW w:w="951"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60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监理内部会议组织与沟通</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59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未制定监理内部会议制度，扣5分，季度内未召开内部会议，每次扣2分；内部未进行交底，扣2分；其它情况酌情扣分，扣完为止</w:t>
            </w:r>
          </w:p>
        </w:tc>
        <w:tc>
          <w:tcPr>
            <w:tcW w:w="720" w:type="dxa"/>
            <w:vAlign w:val="center"/>
          </w:tcPr>
          <w:p>
            <w:pPr>
              <w:spacing w:line="240" w:lineRule="auto"/>
              <w:jc w:val="center"/>
              <w:rPr>
                <w:rFonts w:ascii="宋体" w:hAnsi="宋体"/>
                <w:color w:val="auto"/>
                <w:sz w:val="21"/>
                <w:szCs w:val="21"/>
                <w:highlight w:val="none"/>
              </w:rPr>
            </w:pPr>
          </w:p>
        </w:tc>
        <w:tc>
          <w:tcPr>
            <w:tcW w:w="951"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60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与业主、业主代表沟通、协调</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15</w:t>
            </w:r>
          </w:p>
        </w:tc>
        <w:tc>
          <w:tcPr>
            <w:tcW w:w="5594" w:type="dxa"/>
            <w:vAlign w:val="center"/>
          </w:tcPr>
          <w:p>
            <w:pPr>
              <w:spacing w:line="240" w:lineRule="auto"/>
              <w:jc w:val="left"/>
              <w:rPr>
                <w:rFonts w:ascii="宋体" w:hAnsi="宋体"/>
                <w:color w:val="auto"/>
                <w:sz w:val="21"/>
                <w:szCs w:val="21"/>
                <w:highlight w:val="none"/>
              </w:rPr>
            </w:pPr>
            <w:r>
              <w:rPr>
                <w:rFonts w:hint="eastAsia" w:ascii="宋体" w:hAnsi="宋体"/>
                <w:color w:val="auto"/>
                <w:sz w:val="21"/>
                <w:szCs w:val="21"/>
                <w:highlight w:val="none"/>
              </w:rPr>
              <w:t>对业主的指令和书面通知拒不执行又无正当理由的，扣10分；对业主的指令和书面通知未及时执行或反馈，每次扣5分；监理工作不主动，每人次扣3分；受到业主批评或投诉，每次扣3分；其它情况酌情扣分，扣完为止</w:t>
            </w:r>
          </w:p>
        </w:tc>
        <w:tc>
          <w:tcPr>
            <w:tcW w:w="720" w:type="dxa"/>
            <w:vAlign w:val="center"/>
          </w:tcPr>
          <w:p>
            <w:pPr>
              <w:spacing w:line="240" w:lineRule="auto"/>
              <w:jc w:val="center"/>
              <w:rPr>
                <w:rFonts w:ascii="宋体" w:hAnsi="宋体"/>
                <w:color w:val="auto"/>
                <w:sz w:val="21"/>
                <w:szCs w:val="21"/>
                <w:highlight w:val="none"/>
              </w:rPr>
            </w:pPr>
          </w:p>
        </w:tc>
        <w:tc>
          <w:tcPr>
            <w:tcW w:w="951"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160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与监督站</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沟通、协调</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59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未按照监督站要求提交相关资料，每次扣5分，监督站检查提出整改要求，未及时落实整改和回复，每次扣5分；监理工作不主动，每人次扣3分；受到监督站批评或通报，每次扣3分；其它情况酌情扣分，扣完为止</w:t>
            </w:r>
          </w:p>
        </w:tc>
        <w:tc>
          <w:tcPr>
            <w:tcW w:w="720" w:type="dxa"/>
            <w:vAlign w:val="center"/>
          </w:tcPr>
          <w:p>
            <w:pPr>
              <w:spacing w:line="240" w:lineRule="auto"/>
              <w:jc w:val="center"/>
              <w:rPr>
                <w:rFonts w:ascii="宋体" w:hAnsi="宋体"/>
                <w:color w:val="auto"/>
                <w:sz w:val="21"/>
                <w:szCs w:val="21"/>
                <w:highlight w:val="none"/>
              </w:rPr>
            </w:pPr>
          </w:p>
        </w:tc>
        <w:tc>
          <w:tcPr>
            <w:tcW w:w="951"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4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160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与施工单位</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沟通、协调</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59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施工单位提出的问题未主动协调，每次扣3分，对存在的问题未及时告知业主，每次扣3分，对施工单位发出的文件或指令，未跟踪落实办理情况，每次扣3分；施工单位投诉经核实，每次扣3分；其它情况酌情扣分，扣完为止</w:t>
            </w:r>
          </w:p>
        </w:tc>
        <w:tc>
          <w:tcPr>
            <w:tcW w:w="720" w:type="dxa"/>
            <w:vAlign w:val="center"/>
          </w:tcPr>
          <w:p>
            <w:pPr>
              <w:spacing w:line="240" w:lineRule="auto"/>
              <w:jc w:val="center"/>
              <w:rPr>
                <w:rFonts w:ascii="宋体" w:hAnsi="宋体"/>
                <w:color w:val="auto"/>
                <w:sz w:val="21"/>
                <w:szCs w:val="21"/>
                <w:highlight w:val="none"/>
              </w:rPr>
            </w:pPr>
          </w:p>
        </w:tc>
        <w:tc>
          <w:tcPr>
            <w:tcW w:w="951"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160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内部信息</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传达与协调</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59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未建立文件传阅制度的扣5分，业主、监督机构等下达的文件或指令未传阅传达的，每次扣2分；未指定专人跟踪落实办理情况，每次扣3分；其它情况酌情扣分，扣完为止</w:t>
            </w:r>
          </w:p>
        </w:tc>
        <w:tc>
          <w:tcPr>
            <w:tcW w:w="720" w:type="dxa"/>
            <w:vAlign w:val="center"/>
          </w:tcPr>
          <w:p>
            <w:pPr>
              <w:spacing w:line="240" w:lineRule="auto"/>
              <w:jc w:val="center"/>
              <w:rPr>
                <w:rFonts w:ascii="宋体" w:hAnsi="宋体"/>
                <w:color w:val="auto"/>
                <w:sz w:val="21"/>
                <w:szCs w:val="21"/>
                <w:highlight w:val="none"/>
              </w:rPr>
            </w:pPr>
          </w:p>
        </w:tc>
        <w:tc>
          <w:tcPr>
            <w:tcW w:w="951"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43"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1603"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监理工作计划</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559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未制定月度监理工作计划，每次扣3分；监理工作计划不落实、不跟踪，每次扣3分；计划内容未能反映监理真实工作，每项扣2分，其它情况酌情扣分，扣完为止</w:t>
            </w:r>
          </w:p>
        </w:tc>
        <w:tc>
          <w:tcPr>
            <w:tcW w:w="720" w:type="dxa"/>
            <w:vAlign w:val="center"/>
          </w:tcPr>
          <w:p>
            <w:pPr>
              <w:spacing w:line="240" w:lineRule="auto"/>
              <w:jc w:val="center"/>
              <w:rPr>
                <w:rFonts w:ascii="宋体" w:hAnsi="宋体"/>
                <w:color w:val="auto"/>
                <w:sz w:val="21"/>
                <w:szCs w:val="21"/>
                <w:highlight w:val="none"/>
              </w:rPr>
            </w:pPr>
          </w:p>
        </w:tc>
        <w:tc>
          <w:tcPr>
            <w:tcW w:w="951"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3" w:type="dxa"/>
            <w:vAlign w:val="center"/>
          </w:tcPr>
          <w:p>
            <w:pPr>
              <w:spacing w:line="240" w:lineRule="auto"/>
              <w:jc w:val="center"/>
              <w:rPr>
                <w:rFonts w:ascii="宋体" w:hAnsi="宋体"/>
                <w:color w:val="auto"/>
                <w:sz w:val="21"/>
                <w:szCs w:val="21"/>
                <w:highlight w:val="none"/>
              </w:rPr>
            </w:pPr>
          </w:p>
        </w:tc>
        <w:tc>
          <w:tcPr>
            <w:tcW w:w="1603" w:type="dxa"/>
            <w:vAlign w:val="center"/>
          </w:tcPr>
          <w:p>
            <w:pPr>
              <w:spacing w:line="240" w:lineRule="auto"/>
              <w:jc w:val="right"/>
              <w:rPr>
                <w:rFonts w:ascii="宋体" w:hAnsi="宋体"/>
                <w:color w:val="auto"/>
                <w:sz w:val="21"/>
                <w:szCs w:val="21"/>
                <w:highlight w:val="none"/>
              </w:rPr>
            </w:pPr>
            <w:r>
              <w:rPr>
                <w:rFonts w:hint="eastAsia" w:ascii="宋体" w:hAnsi="宋体"/>
                <w:color w:val="auto"/>
                <w:sz w:val="21"/>
                <w:szCs w:val="21"/>
                <w:highlight w:val="none"/>
              </w:rPr>
              <w:t>合计</w:t>
            </w:r>
          </w:p>
        </w:tc>
        <w:tc>
          <w:tcPr>
            <w:tcW w:w="76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100</w:t>
            </w:r>
          </w:p>
        </w:tc>
        <w:tc>
          <w:tcPr>
            <w:tcW w:w="5594" w:type="dxa"/>
            <w:vAlign w:val="center"/>
          </w:tcPr>
          <w:p>
            <w:pPr>
              <w:spacing w:line="240" w:lineRule="auto"/>
              <w:jc w:val="right"/>
              <w:rPr>
                <w:rFonts w:ascii="宋体" w:hAnsi="宋体"/>
                <w:color w:val="auto"/>
                <w:sz w:val="21"/>
                <w:szCs w:val="21"/>
                <w:highlight w:val="none"/>
              </w:rPr>
            </w:pPr>
            <w:r>
              <w:rPr>
                <w:rFonts w:hint="eastAsia" w:ascii="宋体" w:hAnsi="宋体"/>
                <w:color w:val="auto"/>
                <w:sz w:val="21"/>
                <w:szCs w:val="21"/>
                <w:highlight w:val="none"/>
              </w:rPr>
              <w:t>合计</w:t>
            </w:r>
          </w:p>
        </w:tc>
        <w:tc>
          <w:tcPr>
            <w:tcW w:w="720" w:type="dxa"/>
            <w:vAlign w:val="center"/>
          </w:tcPr>
          <w:p>
            <w:pPr>
              <w:spacing w:line="240" w:lineRule="auto"/>
              <w:jc w:val="center"/>
              <w:rPr>
                <w:rFonts w:ascii="宋体" w:hAnsi="宋体"/>
                <w:color w:val="auto"/>
                <w:sz w:val="21"/>
                <w:szCs w:val="21"/>
                <w:highlight w:val="none"/>
              </w:rPr>
            </w:pPr>
          </w:p>
        </w:tc>
        <w:tc>
          <w:tcPr>
            <w:tcW w:w="951"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43" w:type="dxa"/>
            <w:vAlign w:val="center"/>
          </w:tcPr>
          <w:p>
            <w:pPr>
              <w:spacing w:line="240" w:lineRule="auto"/>
              <w:jc w:val="center"/>
              <w:rPr>
                <w:rFonts w:ascii="宋体" w:hAnsi="宋体"/>
                <w:color w:val="auto"/>
                <w:sz w:val="21"/>
                <w:szCs w:val="21"/>
                <w:highlight w:val="none"/>
              </w:rPr>
            </w:pPr>
          </w:p>
        </w:tc>
        <w:tc>
          <w:tcPr>
            <w:tcW w:w="9636" w:type="dxa"/>
            <w:gridSpan w:val="5"/>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注：①未发生项目不参加检查评分，应得分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 实得分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，得分率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w:t>
            </w:r>
          </w:p>
          <w:p>
            <w:pPr>
              <w:spacing w:line="24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②其它情况说明：</w:t>
            </w:r>
          </w:p>
        </w:tc>
      </w:tr>
    </w:tbl>
    <w:p>
      <w:pPr>
        <w:rPr>
          <w:rFonts w:ascii="宋体" w:hAnsi="宋体"/>
          <w:color w:val="auto"/>
          <w:sz w:val="28"/>
          <w:szCs w:val="28"/>
          <w:highlight w:val="none"/>
        </w:rPr>
      </w:pPr>
      <w:r>
        <w:rPr>
          <w:rFonts w:hint="eastAsia" w:ascii="宋体" w:hAnsi="宋体"/>
          <w:color w:val="auto"/>
          <w:szCs w:val="21"/>
          <w:highlight w:val="none"/>
        </w:rPr>
        <w:t>检查人：                        复核人：               日期：     年     月      日</w:t>
      </w:r>
    </w:p>
    <w:p>
      <w:pPr>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监理单位季度综合考评检查表六（安全文明监理）</w:t>
      </w:r>
    </w:p>
    <w:p>
      <w:pPr>
        <w:rPr>
          <w:rFonts w:ascii="宋体" w:hAnsi="宋体"/>
          <w:color w:val="auto"/>
          <w:szCs w:val="21"/>
          <w:highlight w:val="none"/>
        </w:rPr>
      </w:pPr>
      <w:r>
        <w:rPr>
          <w:rFonts w:hint="eastAsia" w:ascii="宋体" w:hAnsi="宋体"/>
          <w:color w:val="auto"/>
          <w:szCs w:val="21"/>
          <w:highlight w:val="none"/>
        </w:rPr>
        <w:t>工程名称：                        监理单位：             检查季度：</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第   </w:t>
      </w:r>
      <w:r>
        <w:rPr>
          <w:rFonts w:hint="eastAsia" w:ascii="宋体" w:hAnsi="宋体"/>
          <w:color w:val="auto"/>
          <w:szCs w:val="21"/>
          <w:highlight w:val="none"/>
        </w:rPr>
        <w:t>季</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78"/>
        <w:gridCol w:w="721"/>
        <w:gridCol w:w="4034"/>
        <w:gridCol w:w="686"/>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878"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项  目</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标准</w:t>
            </w:r>
          </w:p>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分值</w:t>
            </w:r>
          </w:p>
        </w:tc>
        <w:tc>
          <w:tcPr>
            <w:tcW w:w="4034"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评分标准</w:t>
            </w:r>
          </w:p>
        </w:tc>
        <w:tc>
          <w:tcPr>
            <w:tcW w:w="68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实际得分</w:t>
            </w:r>
          </w:p>
        </w:tc>
        <w:tc>
          <w:tcPr>
            <w:tcW w:w="686"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监理机构安全管理制度的建立和执行情况</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无安全责任制扣5分，内容不全、无针对性扣3~5分，执行不力扣3分，其它情况酌情扣分,扣完为止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安全监理方案、安全文明监理细则</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无扣5分，内容不全、无针对性扣2分，执行不力扣3分，其它情况酌情扣分，扣完为止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对承包商安全生产保障体系的建立和执行情况的检查控制</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未审查承包商安全管理制度、安全生产许可证、专职安全员和特种作业人员资质及配备情况的扣5分，审查不严的每项扣2分，其它情况酌情扣分，扣完为止；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jc w:val="center"/>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对施工组织设计中的安全技术措施和安全专项方案的审查和控制</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未审查方案的扣5分，审查不严的每项扣3分，未按规定进行安全验收的每项扣3分，其它情况酌情扣分，扣完为止；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安全巡视和每月安全文明施工检查的执行情况</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未每天巡视检查的一次扣2分，每月未及时组织安全检查的一次扣5分，每次检查安全监理员缺勤一次扣3分，检查记录不齐全或不上报的，一次扣3分，其它情况酌情扣分，扣完为止；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6</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对关键、高危作业、易发生事故的薄弱环节的安全监理</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未制定专项安全监理方案的扣5分，没做安全监理交底的扣5分，应旁站而未旁站的扣5分，其它情况酌情扣分，扣完为止；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7</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对存在安全隐患、文明施工问题及安监站提出的整改意见的跟踪检查和整改落实情况</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20</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构成合同违约责任处罚规定的扣20分；</w:t>
            </w:r>
            <w:r>
              <w:rPr>
                <w:rFonts w:hint="eastAsia" w:ascii="宋体" w:hAnsi="宋体"/>
                <w:bCs/>
                <w:snapToGrid w:val="0"/>
                <w:color w:val="auto"/>
                <w:kern w:val="0"/>
                <w:sz w:val="21"/>
                <w:szCs w:val="21"/>
                <w:highlight w:val="none"/>
              </w:rPr>
              <w:t>未及时发现存在安全隐患、不督促承包商进行整改的</w:t>
            </w:r>
            <w:r>
              <w:rPr>
                <w:rFonts w:hint="eastAsia" w:ascii="宋体" w:hAnsi="宋体"/>
                <w:color w:val="auto"/>
                <w:sz w:val="21"/>
                <w:szCs w:val="21"/>
                <w:highlight w:val="none"/>
              </w:rPr>
              <w:t>一次扣5分</w:t>
            </w:r>
            <w:r>
              <w:rPr>
                <w:rFonts w:hint="eastAsia" w:ascii="宋体" w:hAnsi="宋体"/>
                <w:bCs/>
                <w:snapToGrid w:val="0"/>
                <w:color w:val="auto"/>
                <w:kern w:val="0"/>
                <w:sz w:val="21"/>
                <w:szCs w:val="21"/>
                <w:highlight w:val="none"/>
              </w:rPr>
              <w:t>，</w:t>
            </w:r>
            <w:r>
              <w:rPr>
                <w:rFonts w:hint="eastAsia" w:ascii="宋体" w:hAnsi="宋体"/>
                <w:color w:val="auto"/>
                <w:sz w:val="21"/>
                <w:szCs w:val="21"/>
                <w:highlight w:val="none"/>
              </w:rPr>
              <w:t>未跟踪落实整改的一次扣5分，</w:t>
            </w:r>
            <w:r>
              <w:rPr>
                <w:rFonts w:hint="eastAsia" w:ascii="宋体" w:hAnsi="宋体"/>
                <w:bCs/>
                <w:snapToGrid w:val="0"/>
                <w:color w:val="auto"/>
                <w:kern w:val="0"/>
                <w:sz w:val="21"/>
                <w:szCs w:val="21"/>
                <w:highlight w:val="none"/>
              </w:rPr>
              <w:t>不作及时处理，不及时报告的</w:t>
            </w:r>
            <w:r>
              <w:rPr>
                <w:rFonts w:hint="eastAsia" w:ascii="宋体" w:hAnsi="宋体"/>
                <w:color w:val="auto"/>
                <w:sz w:val="21"/>
                <w:szCs w:val="21"/>
                <w:highlight w:val="none"/>
              </w:rPr>
              <w:t>一次扣5分</w:t>
            </w:r>
            <w:r>
              <w:rPr>
                <w:rFonts w:hint="eastAsia" w:ascii="宋体" w:hAnsi="宋体"/>
                <w:bCs/>
                <w:snapToGrid w:val="0"/>
                <w:color w:val="auto"/>
                <w:kern w:val="0"/>
                <w:sz w:val="21"/>
                <w:szCs w:val="21"/>
                <w:highlight w:val="none"/>
              </w:rPr>
              <w:t>，被上级主管部门通报批评或被新闻媒体曝光的</w:t>
            </w:r>
            <w:r>
              <w:rPr>
                <w:rFonts w:hint="eastAsia" w:ascii="宋体" w:hAnsi="宋体"/>
                <w:color w:val="auto"/>
                <w:sz w:val="21"/>
                <w:szCs w:val="21"/>
                <w:highlight w:val="none"/>
              </w:rPr>
              <w:t>扣20分，导致发生安全事故的扣20分，其它情况酌情扣分，扣完为止；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8</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安全监理资料的综合管理</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未按规定使用省安全统表或资料严重缺失的扣5分，资料不齐全、未分类、归档凌乱的扣1-3分，安全监理周报等报表上报不及时的每次扣2分，其它情况酌情扣分，扣完为止；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9</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安全文明施工处罚细则的执行情况</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不执行扣5分，执行不力扣1-3分，其它情况酌情扣分，扣完为止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对安全措施费的审核和签认</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5</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未审核签认或不真实的扣5分，其它情况酌情扣分，扣完为止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5"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11</w:t>
            </w:r>
          </w:p>
        </w:tc>
        <w:tc>
          <w:tcPr>
            <w:tcW w:w="2878"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现场安全文明施工实地检查</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20</w:t>
            </w:r>
          </w:p>
        </w:tc>
        <w:tc>
          <w:tcPr>
            <w:tcW w:w="4034" w:type="dxa"/>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检查组进行实地检查。现场存在安全隐患或违章作业的每项扣5分，不符合文明施工相关规定的每项扣3分，其它情况酌情扣分，扣完为止</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5" w:type="dxa"/>
            <w:vAlign w:val="center"/>
          </w:tcPr>
          <w:p>
            <w:pPr>
              <w:spacing w:line="240" w:lineRule="auto"/>
              <w:jc w:val="center"/>
              <w:rPr>
                <w:rFonts w:ascii="宋体" w:hAnsi="宋体"/>
                <w:color w:val="auto"/>
                <w:sz w:val="21"/>
                <w:szCs w:val="21"/>
                <w:highlight w:val="none"/>
              </w:rPr>
            </w:pPr>
          </w:p>
        </w:tc>
        <w:tc>
          <w:tcPr>
            <w:tcW w:w="2878" w:type="dxa"/>
            <w:vAlign w:val="center"/>
          </w:tcPr>
          <w:p>
            <w:pPr>
              <w:spacing w:line="240" w:lineRule="auto"/>
              <w:ind w:firstLine="1890" w:firstLineChars="900"/>
              <w:rPr>
                <w:rFonts w:ascii="宋体" w:hAnsi="宋体"/>
                <w:color w:val="auto"/>
                <w:sz w:val="21"/>
                <w:szCs w:val="21"/>
                <w:highlight w:val="none"/>
              </w:rPr>
            </w:pPr>
            <w:r>
              <w:rPr>
                <w:rFonts w:hint="eastAsia" w:ascii="宋体" w:hAnsi="宋体"/>
                <w:color w:val="auto"/>
                <w:sz w:val="21"/>
                <w:szCs w:val="21"/>
                <w:highlight w:val="none"/>
              </w:rPr>
              <w:t>合计</w:t>
            </w:r>
          </w:p>
        </w:tc>
        <w:tc>
          <w:tcPr>
            <w:tcW w:w="721" w:type="dxa"/>
            <w:vAlign w:val="center"/>
          </w:tcPr>
          <w:p>
            <w:pPr>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100</w:t>
            </w:r>
          </w:p>
        </w:tc>
        <w:tc>
          <w:tcPr>
            <w:tcW w:w="4034" w:type="dxa"/>
            <w:vAlign w:val="center"/>
          </w:tcPr>
          <w:p>
            <w:pPr>
              <w:spacing w:line="240" w:lineRule="auto"/>
              <w:ind w:firstLine="2625" w:firstLineChars="1250"/>
              <w:rPr>
                <w:rFonts w:ascii="宋体" w:hAnsi="宋体"/>
                <w:color w:val="auto"/>
                <w:sz w:val="21"/>
                <w:szCs w:val="21"/>
                <w:highlight w:val="none"/>
              </w:rPr>
            </w:pPr>
            <w:r>
              <w:rPr>
                <w:rFonts w:hint="eastAsia" w:ascii="宋体" w:hAnsi="宋体"/>
                <w:color w:val="auto"/>
                <w:sz w:val="21"/>
                <w:szCs w:val="21"/>
                <w:highlight w:val="none"/>
              </w:rPr>
              <w:t>合计</w:t>
            </w:r>
          </w:p>
        </w:tc>
        <w:tc>
          <w:tcPr>
            <w:tcW w:w="686" w:type="dxa"/>
            <w:vAlign w:val="center"/>
          </w:tcPr>
          <w:p>
            <w:pPr>
              <w:spacing w:line="240" w:lineRule="auto"/>
              <w:rPr>
                <w:rFonts w:ascii="宋体" w:hAnsi="宋体"/>
                <w:color w:val="auto"/>
                <w:sz w:val="21"/>
                <w:szCs w:val="21"/>
                <w:highlight w:val="none"/>
              </w:rPr>
            </w:pPr>
          </w:p>
        </w:tc>
        <w:tc>
          <w:tcPr>
            <w:tcW w:w="686" w:type="dxa"/>
            <w:vAlign w:val="center"/>
          </w:tcPr>
          <w:p>
            <w:pPr>
              <w:spacing w:line="240" w:lineRule="auto"/>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5" w:type="dxa"/>
            <w:vAlign w:val="center"/>
          </w:tcPr>
          <w:p>
            <w:pPr>
              <w:spacing w:line="240" w:lineRule="auto"/>
              <w:jc w:val="center"/>
              <w:rPr>
                <w:rFonts w:ascii="宋体" w:hAnsi="宋体"/>
                <w:color w:val="auto"/>
                <w:sz w:val="21"/>
                <w:szCs w:val="21"/>
                <w:highlight w:val="none"/>
              </w:rPr>
            </w:pPr>
          </w:p>
        </w:tc>
        <w:tc>
          <w:tcPr>
            <w:tcW w:w="9005" w:type="dxa"/>
            <w:gridSpan w:val="5"/>
            <w:vAlign w:val="center"/>
          </w:tcPr>
          <w:p>
            <w:pPr>
              <w:spacing w:line="240" w:lineRule="auto"/>
              <w:rPr>
                <w:rFonts w:ascii="宋体" w:hAnsi="宋体"/>
                <w:color w:val="auto"/>
                <w:sz w:val="21"/>
                <w:szCs w:val="21"/>
                <w:highlight w:val="none"/>
              </w:rPr>
            </w:pPr>
            <w:r>
              <w:rPr>
                <w:rFonts w:hint="eastAsia" w:ascii="宋体" w:hAnsi="宋体"/>
                <w:color w:val="auto"/>
                <w:sz w:val="21"/>
                <w:szCs w:val="21"/>
                <w:highlight w:val="none"/>
              </w:rPr>
              <w:t>注：①未发生项目不参加检查评分，应得分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 实得分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，得分率</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w:t>
            </w:r>
          </w:p>
          <w:p>
            <w:pPr>
              <w:spacing w:line="24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②其它情况说明：</w:t>
            </w:r>
          </w:p>
        </w:tc>
      </w:tr>
    </w:tbl>
    <w:p>
      <w:pPr>
        <w:ind w:firstLine="360" w:firstLineChars="150"/>
        <w:rPr>
          <w:rFonts w:ascii="宋体" w:hAnsi="宋体"/>
          <w:color w:val="auto"/>
          <w:szCs w:val="21"/>
          <w:highlight w:val="none"/>
        </w:rPr>
      </w:pPr>
    </w:p>
    <w:p>
      <w:pPr>
        <w:ind w:firstLine="360" w:firstLineChars="150"/>
        <w:rPr>
          <w:rFonts w:ascii="宋体" w:hAnsi="宋体"/>
          <w:color w:val="auto"/>
          <w:szCs w:val="21"/>
          <w:highlight w:val="none"/>
        </w:rPr>
      </w:pPr>
      <w:r>
        <w:rPr>
          <w:rFonts w:hint="eastAsia" w:ascii="宋体" w:hAnsi="宋体"/>
          <w:color w:val="auto"/>
          <w:szCs w:val="21"/>
          <w:highlight w:val="none"/>
        </w:rPr>
        <w:t>检查人：                   复核人：             日期：     年     月      日</w:t>
      </w: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监理单位季度综合考评检查表七（汇总表）</w:t>
      </w:r>
    </w:p>
    <w:p>
      <w:pPr>
        <w:jc w:val="center"/>
        <w:rPr>
          <w:rFonts w:ascii="宋体" w:hAnsi="宋体"/>
          <w:color w:val="auto"/>
          <w:szCs w:val="21"/>
          <w:highlight w:val="none"/>
        </w:rPr>
      </w:pPr>
      <w:r>
        <w:rPr>
          <w:rFonts w:hint="eastAsia" w:ascii="宋体" w:hAnsi="宋体"/>
          <w:color w:val="auto"/>
          <w:szCs w:val="21"/>
          <w:highlight w:val="none"/>
        </w:rPr>
        <w:t>工程名称：              监理单位：            检查季度：</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第    </w:t>
      </w:r>
      <w:r>
        <w:rPr>
          <w:rFonts w:hint="eastAsia" w:ascii="宋体" w:hAnsi="宋体"/>
          <w:color w:val="auto"/>
          <w:szCs w:val="21"/>
          <w:highlight w:val="none"/>
        </w:rPr>
        <w:t>季</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360"/>
        <w:gridCol w:w="1440"/>
        <w:gridCol w:w="162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jc w:val="center"/>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号</w:t>
            </w:r>
          </w:p>
        </w:tc>
        <w:tc>
          <w:tcPr>
            <w:tcW w:w="19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项  目</w:t>
            </w:r>
          </w:p>
        </w:tc>
        <w:tc>
          <w:tcPr>
            <w:tcW w:w="1440" w:type="dxa"/>
            <w:vAlign w:val="center"/>
          </w:tcPr>
          <w:p>
            <w:pPr>
              <w:jc w:val="center"/>
              <w:rPr>
                <w:rFonts w:ascii="宋体" w:hAnsi="宋体"/>
                <w:color w:val="auto"/>
                <w:szCs w:val="21"/>
                <w:highlight w:val="none"/>
              </w:rPr>
            </w:pPr>
            <w:r>
              <w:rPr>
                <w:rFonts w:hint="eastAsia" w:ascii="宋体" w:hAnsi="宋体"/>
                <w:color w:val="auto"/>
                <w:szCs w:val="21"/>
                <w:highlight w:val="none"/>
              </w:rPr>
              <w:t>应得分</w:t>
            </w:r>
          </w:p>
        </w:tc>
        <w:tc>
          <w:tcPr>
            <w:tcW w:w="1620" w:type="dxa"/>
            <w:vAlign w:val="center"/>
          </w:tcPr>
          <w:p>
            <w:pPr>
              <w:jc w:val="center"/>
              <w:rPr>
                <w:rFonts w:ascii="宋体" w:hAnsi="宋体"/>
                <w:color w:val="auto"/>
                <w:szCs w:val="21"/>
                <w:highlight w:val="none"/>
              </w:rPr>
            </w:pPr>
            <w:r>
              <w:rPr>
                <w:rFonts w:hint="eastAsia" w:ascii="宋体" w:hAnsi="宋体"/>
                <w:color w:val="auto"/>
                <w:szCs w:val="21"/>
                <w:highlight w:val="none"/>
              </w:rPr>
              <w:t>实际得分合计</w:t>
            </w:r>
          </w:p>
        </w:tc>
        <w:tc>
          <w:tcPr>
            <w:tcW w:w="1440" w:type="dxa"/>
            <w:vAlign w:val="center"/>
          </w:tcPr>
          <w:p>
            <w:pPr>
              <w:jc w:val="center"/>
              <w:rPr>
                <w:rFonts w:ascii="宋体" w:hAnsi="宋体"/>
                <w:color w:val="auto"/>
                <w:szCs w:val="21"/>
                <w:highlight w:val="none"/>
              </w:rPr>
            </w:pPr>
            <w:r>
              <w:rPr>
                <w:rFonts w:hint="eastAsia" w:ascii="宋体" w:hAnsi="宋体"/>
                <w:color w:val="auto"/>
                <w:szCs w:val="21"/>
                <w:highlight w:val="none"/>
              </w:rPr>
              <w:t>权重系数</w:t>
            </w:r>
          </w:p>
        </w:tc>
        <w:tc>
          <w:tcPr>
            <w:tcW w:w="1980" w:type="dxa"/>
            <w:vAlign w:val="center"/>
          </w:tcPr>
          <w:p>
            <w:pPr>
              <w:jc w:val="center"/>
              <w:rPr>
                <w:rFonts w:ascii="宋体" w:hAnsi="宋体"/>
                <w:color w:val="auto"/>
                <w:szCs w:val="21"/>
                <w:highlight w:val="none"/>
              </w:rPr>
            </w:pPr>
            <w:r>
              <w:rPr>
                <w:rFonts w:hint="eastAsia" w:ascii="宋体" w:hAnsi="宋体"/>
                <w:color w:val="auto"/>
                <w:szCs w:val="21"/>
                <w:highlight w:val="none"/>
              </w:rPr>
              <w:t>最终评分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980" w:type="dxa"/>
            <w:gridSpan w:val="2"/>
            <w:vAlign w:val="center"/>
          </w:tcPr>
          <w:p>
            <w:pPr>
              <w:rPr>
                <w:rFonts w:ascii="宋体" w:hAnsi="宋体"/>
                <w:color w:val="auto"/>
                <w:szCs w:val="21"/>
                <w:highlight w:val="none"/>
              </w:rPr>
            </w:pPr>
            <w:r>
              <w:rPr>
                <w:rFonts w:hint="eastAsia" w:ascii="宋体" w:hAnsi="宋体"/>
                <w:color w:val="auto"/>
                <w:szCs w:val="21"/>
                <w:highlight w:val="none"/>
              </w:rPr>
              <w:t>质量控制</w:t>
            </w:r>
          </w:p>
        </w:tc>
        <w:tc>
          <w:tcPr>
            <w:tcW w:w="1440"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440" w:type="dxa"/>
            <w:vAlign w:val="center"/>
          </w:tcPr>
          <w:p>
            <w:pPr>
              <w:jc w:val="center"/>
              <w:rPr>
                <w:rFonts w:ascii="宋体" w:hAnsi="宋体"/>
                <w:color w:val="auto"/>
                <w:szCs w:val="21"/>
                <w:highlight w:val="none"/>
              </w:rPr>
            </w:pPr>
            <w:r>
              <w:rPr>
                <w:rFonts w:hint="eastAsia" w:ascii="宋体" w:hAnsi="宋体"/>
                <w:color w:val="auto"/>
                <w:szCs w:val="21"/>
                <w:highlight w:val="none"/>
              </w:rPr>
              <w:t>0.20</w:t>
            </w:r>
          </w:p>
        </w:tc>
        <w:tc>
          <w:tcPr>
            <w:tcW w:w="19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980" w:type="dxa"/>
            <w:gridSpan w:val="2"/>
            <w:vAlign w:val="center"/>
          </w:tcPr>
          <w:p>
            <w:pPr>
              <w:rPr>
                <w:rFonts w:ascii="宋体" w:hAnsi="宋体"/>
                <w:color w:val="auto"/>
                <w:szCs w:val="21"/>
                <w:highlight w:val="none"/>
              </w:rPr>
            </w:pPr>
            <w:r>
              <w:rPr>
                <w:rFonts w:hint="eastAsia" w:ascii="宋体" w:hAnsi="宋体"/>
                <w:color w:val="auto"/>
                <w:szCs w:val="21"/>
                <w:highlight w:val="none"/>
              </w:rPr>
              <w:t>进度控制</w:t>
            </w:r>
          </w:p>
        </w:tc>
        <w:tc>
          <w:tcPr>
            <w:tcW w:w="1440"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440" w:type="dxa"/>
            <w:vAlign w:val="center"/>
          </w:tcPr>
          <w:p>
            <w:pPr>
              <w:jc w:val="center"/>
              <w:rPr>
                <w:rFonts w:ascii="宋体" w:hAnsi="宋体"/>
                <w:color w:val="auto"/>
                <w:szCs w:val="21"/>
                <w:highlight w:val="none"/>
              </w:rPr>
            </w:pPr>
            <w:r>
              <w:rPr>
                <w:rFonts w:hint="eastAsia" w:ascii="宋体" w:hAnsi="宋体"/>
                <w:color w:val="auto"/>
                <w:szCs w:val="21"/>
                <w:highlight w:val="none"/>
              </w:rPr>
              <w:t>0.20</w:t>
            </w:r>
          </w:p>
        </w:tc>
        <w:tc>
          <w:tcPr>
            <w:tcW w:w="19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980" w:type="dxa"/>
            <w:gridSpan w:val="2"/>
            <w:vAlign w:val="center"/>
          </w:tcPr>
          <w:p>
            <w:pPr>
              <w:rPr>
                <w:rFonts w:ascii="宋体" w:hAnsi="宋体"/>
                <w:color w:val="auto"/>
                <w:szCs w:val="21"/>
                <w:highlight w:val="none"/>
              </w:rPr>
            </w:pPr>
            <w:r>
              <w:rPr>
                <w:rFonts w:hint="eastAsia" w:ascii="宋体" w:hAnsi="宋体"/>
                <w:color w:val="auto"/>
                <w:szCs w:val="21"/>
                <w:highlight w:val="none"/>
              </w:rPr>
              <w:t>投资控制</w:t>
            </w:r>
          </w:p>
        </w:tc>
        <w:tc>
          <w:tcPr>
            <w:tcW w:w="1440"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440" w:type="dxa"/>
            <w:vAlign w:val="center"/>
          </w:tcPr>
          <w:p>
            <w:pPr>
              <w:jc w:val="center"/>
              <w:rPr>
                <w:rFonts w:ascii="宋体" w:hAnsi="宋体"/>
                <w:color w:val="auto"/>
                <w:szCs w:val="21"/>
                <w:highlight w:val="none"/>
              </w:rPr>
            </w:pPr>
            <w:r>
              <w:rPr>
                <w:rFonts w:hint="eastAsia" w:ascii="宋体" w:hAnsi="宋体"/>
                <w:color w:val="auto"/>
                <w:szCs w:val="21"/>
                <w:highlight w:val="none"/>
              </w:rPr>
              <w:t>0.20</w:t>
            </w:r>
          </w:p>
        </w:tc>
        <w:tc>
          <w:tcPr>
            <w:tcW w:w="19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980" w:type="dxa"/>
            <w:gridSpan w:val="2"/>
            <w:vAlign w:val="center"/>
          </w:tcPr>
          <w:p>
            <w:pPr>
              <w:rPr>
                <w:rFonts w:ascii="宋体" w:hAnsi="宋体"/>
                <w:color w:val="auto"/>
                <w:szCs w:val="21"/>
                <w:highlight w:val="none"/>
              </w:rPr>
            </w:pPr>
            <w:r>
              <w:rPr>
                <w:rFonts w:hint="eastAsia" w:ascii="宋体" w:hAnsi="宋体"/>
                <w:color w:val="auto"/>
                <w:szCs w:val="21"/>
                <w:highlight w:val="none"/>
              </w:rPr>
              <w:t>合同履约管理</w:t>
            </w:r>
          </w:p>
        </w:tc>
        <w:tc>
          <w:tcPr>
            <w:tcW w:w="1440"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440" w:type="dxa"/>
            <w:vAlign w:val="center"/>
          </w:tcPr>
          <w:p>
            <w:pPr>
              <w:jc w:val="center"/>
              <w:rPr>
                <w:rFonts w:ascii="宋体" w:hAnsi="宋体"/>
                <w:color w:val="auto"/>
                <w:szCs w:val="21"/>
                <w:highlight w:val="none"/>
              </w:rPr>
            </w:pPr>
            <w:r>
              <w:rPr>
                <w:rFonts w:hint="eastAsia" w:ascii="宋体" w:hAnsi="宋体"/>
                <w:color w:val="auto"/>
                <w:szCs w:val="21"/>
                <w:highlight w:val="none"/>
              </w:rPr>
              <w:t>0.10</w:t>
            </w:r>
          </w:p>
        </w:tc>
        <w:tc>
          <w:tcPr>
            <w:tcW w:w="19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1980" w:type="dxa"/>
            <w:gridSpan w:val="2"/>
            <w:vAlign w:val="center"/>
          </w:tcPr>
          <w:p>
            <w:pPr>
              <w:rPr>
                <w:rFonts w:ascii="宋体" w:hAnsi="宋体"/>
                <w:color w:val="auto"/>
                <w:szCs w:val="21"/>
                <w:highlight w:val="none"/>
              </w:rPr>
            </w:pPr>
            <w:r>
              <w:rPr>
                <w:rFonts w:hint="eastAsia" w:ascii="宋体" w:hAnsi="宋体"/>
                <w:color w:val="auto"/>
                <w:szCs w:val="21"/>
                <w:highlight w:val="none"/>
              </w:rPr>
              <w:t>组织协调</w:t>
            </w:r>
          </w:p>
        </w:tc>
        <w:tc>
          <w:tcPr>
            <w:tcW w:w="1440"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440" w:type="dxa"/>
            <w:vAlign w:val="center"/>
          </w:tcPr>
          <w:p>
            <w:pPr>
              <w:jc w:val="center"/>
              <w:rPr>
                <w:rFonts w:ascii="宋体" w:hAnsi="宋体"/>
                <w:color w:val="auto"/>
                <w:szCs w:val="21"/>
                <w:highlight w:val="none"/>
              </w:rPr>
            </w:pPr>
            <w:r>
              <w:rPr>
                <w:rFonts w:hint="eastAsia" w:ascii="宋体" w:hAnsi="宋体"/>
                <w:color w:val="auto"/>
                <w:szCs w:val="21"/>
                <w:highlight w:val="none"/>
              </w:rPr>
              <w:t>0.10</w:t>
            </w:r>
          </w:p>
        </w:tc>
        <w:tc>
          <w:tcPr>
            <w:tcW w:w="19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1980" w:type="dxa"/>
            <w:gridSpan w:val="2"/>
            <w:vAlign w:val="center"/>
          </w:tcPr>
          <w:p>
            <w:pPr>
              <w:rPr>
                <w:rFonts w:ascii="宋体" w:hAnsi="宋体"/>
                <w:color w:val="auto"/>
                <w:szCs w:val="21"/>
                <w:highlight w:val="none"/>
              </w:rPr>
            </w:pPr>
            <w:r>
              <w:rPr>
                <w:rFonts w:hint="eastAsia" w:ascii="宋体" w:hAnsi="宋体"/>
                <w:color w:val="auto"/>
                <w:szCs w:val="21"/>
                <w:highlight w:val="none"/>
              </w:rPr>
              <w:t>安全文明监理</w:t>
            </w:r>
          </w:p>
        </w:tc>
        <w:tc>
          <w:tcPr>
            <w:tcW w:w="1440"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440" w:type="dxa"/>
            <w:vAlign w:val="center"/>
          </w:tcPr>
          <w:p>
            <w:pPr>
              <w:jc w:val="center"/>
              <w:rPr>
                <w:rFonts w:ascii="宋体" w:hAnsi="宋体"/>
                <w:color w:val="auto"/>
                <w:szCs w:val="21"/>
                <w:highlight w:val="none"/>
              </w:rPr>
            </w:pPr>
            <w:r>
              <w:rPr>
                <w:rFonts w:hint="eastAsia" w:ascii="宋体" w:hAnsi="宋体"/>
                <w:color w:val="auto"/>
                <w:szCs w:val="21"/>
                <w:highlight w:val="none"/>
              </w:rPr>
              <w:t>0.20</w:t>
            </w:r>
          </w:p>
        </w:tc>
        <w:tc>
          <w:tcPr>
            <w:tcW w:w="19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628" w:type="dxa"/>
            <w:gridSpan w:val="3"/>
            <w:vAlign w:val="center"/>
          </w:tcPr>
          <w:p>
            <w:pPr>
              <w:rPr>
                <w:rFonts w:ascii="宋体" w:hAnsi="宋体"/>
                <w:color w:val="auto"/>
                <w:szCs w:val="21"/>
                <w:highlight w:val="none"/>
              </w:rPr>
            </w:pPr>
            <w:r>
              <w:rPr>
                <w:rFonts w:hint="eastAsia" w:ascii="宋体" w:hAnsi="宋体"/>
                <w:color w:val="auto"/>
                <w:szCs w:val="21"/>
                <w:highlight w:val="none"/>
              </w:rPr>
              <w:t>合  计</w:t>
            </w:r>
          </w:p>
        </w:tc>
        <w:tc>
          <w:tcPr>
            <w:tcW w:w="1440" w:type="dxa"/>
            <w:vAlign w:val="center"/>
          </w:tcPr>
          <w:p>
            <w:pPr>
              <w:jc w:val="center"/>
              <w:rPr>
                <w:rFonts w:ascii="宋体" w:hAnsi="宋体"/>
                <w:color w:val="auto"/>
                <w:szCs w:val="21"/>
                <w:highlight w:val="none"/>
              </w:rPr>
            </w:pPr>
          </w:p>
        </w:tc>
        <w:tc>
          <w:tcPr>
            <w:tcW w:w="1620" w:type="dxa"/>
            <w:vAlign w:val="center"/>
          </w:tcPr>
          <w:p>
            <w:pPr>
              <w:jc w:val="center"/>
              <w:rPr>
                <w:rFonts w:ascii="宋体" w:hAnsi="宋体"/>
                <w:color w:val="auto"/>
                <w:szCs w:val="21"/>
                <w:highlight w:val="none"/>
              </w:rPr>
            </w:pPr>
          </w:p>
        </w:tc>
        <w:tc>
          <w:tcPr>
            <w:tcW w:w="1440"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9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9108" w:type="dxa"/>
            <w:gridSpan w:val="7"/>
            <w:vAlign w:val="center"/>
          </w:tcPr>
          <w:p>
            <w:pPr>
              <w:rPr>
                <w:rFonts w:ascii="宋体" w:hAnsi="宋体"/>
                <w:color w:val="auto"/>
                <w:szCs w:val="21"/>
                <w:highlight w:val="none"/>
              </w:rPr>
            </w:pPr>
            <w:r>
              <w:rPr>
                <w:rFonts w:hint="eastAsia" w:ascii="宋体" w:hAnsi="宋体"/>
                <w:color w:val="auto"/>
                <w:szCs w:val="21"/>
                <w:highlight w:val="none"/>
              </w:rPr>
              <w:t>考评结果及处理办法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68" w:type="dxa"/>
            <w:gridSpan w:val="2"/>
            <w:vAlign w:val="center"/>
          </w:tcPr>
          <w:p>
            <w:pPr>
              <w:rPr>
                <w:rFonts w:ascii="宋体" w:hAnsi="宋体"/>
                <w:color w:val="auto"/>
                <w:szCs w:val="21"/>
                <w:highlight w:val="none"/>
              </w:rPr>
            </w:pPr>
            <w:r>
              <w:rPr>
                <w:rFonts w:hint="eastAsia" w:ascii="宋体" w:hAnsi="宋体"/>
                <w:color w:val="auto"/>
                <w:szCs w:val="21"/>
                <w:highlight w:val="none"/>
              </w:rPr>
              <w:t>季度得分</w:t>
            </w:r>
          </w:p>
        </w:tc>
        <w:tc>
          <w:tcPr>
            <w:tcW w:w="6840" w:type="dxa"/>
            <w:gridSpan w:val="5"/>
            <w:vAlign w:val="center"/>
          </w:tcPr>
          <w:p>
            <w:pPr>
              <w:rPr>
                <w:rFonts w:ascii="宋体" w:hAnsi="宋体"/>
                <w:color w:val="auto"/>
                <w:szCs w:val="21"/>
                <w:highlight w:val="none"/>
              </w:rPr>
            </w:pPr>
            <w:r>
              <w:rPr>
                <w:rFonts w:hint="eastAsia" w:ascii="宋体" w:hAnsi="宋体"/>
                <w:color w:val="auto"/>
                <w:szCs w:val="21"/>
                <w:highlight w:val="none"/>
              </w:rPr>
              <w:t>奖罚处理及绩效考核办法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68" w:type="dxa"/>
            <w:gridSpan w:val="2"/>
            <w:vAlign w:val="center"/>
          </w:tcPr>
          <w:p>
            <w:pPr>
              <w:rPr>
                <w:rFonts w:ascii="宋体" w:hAnsi="宋体"/>
                <w:color w:val="auto"/>
                <w:szCs w:val="21"/>
                <w:highlight w:val="none"/>
              </w:rPr>
            </w:pPr>
            <w:r>
              <w:rPr>
                <w:rFonts w:hint="eastAsia" w:ascii="宋体" w:hAnsi="宋体"/>
                <w:color w:val="auto"/>
                <w:szCs w:val="21"/>
                <w:highlight w:val="none"/>
              </w:rPr>
              <w:t>70分以下</w:t>
            </w:r>
          </w:p>
        </w:tc>
        <w:tc>
          <w:tcPr>
            <w:tcW w:w="6840" w:type="dxa"/>
            <w:gridSpan w:val="5"/>
            <w:vAlign w:val="center"/>
          </w:tcPr>
          <w:p>
            <w:pPr>
              <w:rPr>
                <w:rFonts w:ascii="宋体" w:hAnsi="宋体"/>
                <w:color w:val="auto"/>
                <w:szCs w:val="21"/>
                <w:highlight w:val="none"/>
              </w:rPr>
            </w:pPr>
            <w:r>
              <w:rPr>
                <w:rFonts w:hint="eastAsia" w:ascii="宋体" w:hAnsi="宋体"/>
                <w:color w:val="auto"/>
                <w:szCs w:val="21"/>
                <w:highlight w:val="none"/>
              </w:rPr>
              <w:t>责令监理单位整改或更换不称职人员，记严重违约责任二次，绩效考核</w:t>
            </w:r>
            <w:r>
              <w:rPr>
                <w:rFonts w:hint="eastAsia"/>
                <w:b/>
                <w:bCs/>
                <w:color w:val="auto"/>
                <w:szCs w:val="24"/>
                <w:highlight w:val="none"/>
              </w:rPr>
              <w:t>支付占比为0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68" w:type="dxa"/>
            <w:gridSpan w:val="2"/>
            <w:vAlign w:val="center"/>
          </w:tcPr>
          <w:p>
            <w:pPr>
              <w:rPr>
                <w:rFonts w:ascii="宋体" w:hAnsi="宋体"/>
                <w:color w:val="auto"/>
                <w:szCs w:val="21"/>
                <w:highlight w:val="none"/>
              </w:rPr>
            </w:pPr>
            <w:r>
              <w:rPr>
                <w:rFonts w:hint="eastAsia" w:ascii="宋体" w:hAnsi="宋体"/>
                <w:color w:val="auto"/>
                <w:szCs w:val="21"/>
                <w:highlight w:val="none"/>
              </w:rPr>
              <w:t>70分～80分</w:t>
            </w:r>
          </w:p>
        </w:tc>
        <w:tc>
          <w:tcPr>
            <w:tcW w:w="6840" w:type="dxa"/>
            <w:gridSpan w:val="5"/>
            <w:vAlign w:val="center"/>
          </w:tcPr>
          <w:p>
            <w:pPr>
              <w:rPr>
                <w:rFonts w:ascii="宋体" w:hAnsi="宋体"/>
                <w:color w:val="auto"/>
                <w:szCs w:val="21"/>
                <w:highlight w:val="none"/>
              </w:rPr>
            </w:pPr>
            <w:r>
              <w:rPr>
                <w:rFonts w:hint="eastAsia" w:ascii="宋体" w:hAnsi="宋体"/>
                <w:color w:val="auto"/>
                <w:szCs w:val="21"/>
                <w:highlight w:val="none"/>
              </w:rPr>
              <w:t>提出通报批评警告，并有权要求监理单位更换不称职人员，记严重违约责任一次。绩效考核</w:t>
            </w:r>
            <w:r>
              <w:rPr>
                <w:rFonts w:hint="eastAsia"/>
                <w:b/>
                <w:bCs/>
                <w:color w:val="auto"/>
                <w:szCs w:val="24"/>
                <w:highlight w:val="none"/>
              </w:rPr>
              <w:t>支付占比为50%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68" w:type="dxa"/>
            <w:gridSpan w:val="2"/>
            <w:vAlign w:val="center"/>
          </w:tcPr>
          <w:p>
            <w:pPr>
              <w:rPr>
                <w:rFonts w:ascii="宋体" w:hAnsi="宋体"/>
                <w:color w:val="auto"/>
                <w:szCs w:val="21"/>
                <w:highlight w:val="none"/>
              </w:rPr>
            </w:pPr>
            <w:r>
              <w:rPr>
                <w:rFonts w:hint="eastAsia" w:ascii="宋体" w:hAnsi="宋体"/>
                <w:color w:val="auto"/>
                <w:szCs w:val="21"/>
                <w:highlight w:val="none"/>
              </w:rPr>
              <w:t>80分～90分</w:t>
            </w:r>
          </w:p>
        </w:tc>
        <w:tc>
          <w:tcPr>
            <w:tcW w:w="6840" w:type="dxa"/>
            <w:gridSpan w:val="5"/>
            <w:vAlign w:val="center"/>
          </w:tcPr>
          <w:p>
            <w:pPr>
              <w:rPr>
                <w:rFonts w:ascii="宋体" w:hAnsi="宋体"/>
                <w:color w:val="auto"/>
                <w:szCs w:val="21"/>
                <w:highlight w:val="none"/>
              </w:rPr>
            </w:pPr>
            <w:r>
              <w:rPr>
                <w:rFonts w:hint="eastAsia" w:ascii="宋体" w:hAnsi="宋体"/>
                <w:color w:val="auto"/>
                <w:szCs w:val="21"/>
                <w:highlight w:val="none"/>
              </w:rPr>
              <w:t>要求监理单位对薄弱环节进行整改。绩效考核</w:t>
            </w:r>
            <w:r>
              <w:rPr>
                <w:rFonts w:hint="eastAsia"/>
                <w:b/>
                <w:bCs/>
                <w:color w:val="auto"/>
                <w:szCs w:val="24"/>
                <w:highlight w:val="none"/>
              </w:rPr>
              <w:t>支付占比为80%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68" w:type="dxa"/>
            <w:gridSpan w:val="2"/>
            <w:vAlign w:val="center"/>
          </w:tcPr>
          <w:p>
            <w:pPr>
              <w:rPr>
                <w:rFonts w:ascii="宋体" w:hAnsi="宋体"/>
                <w:color w:val="auto"/>
                <w:szCs w:val="21"/>
                <w:highlight w:val="none"/>
              </w:rPr>
            </w:pPr>
            <w:r>
              <w:rPr>
                <w:rFonts w:hint="eastAsia" w:ascii="宋体" w:hAnsi="宋体"/>
                <w:color w:val="auto"/>
                <w:szCs w:val="21"/>
                <w:highlight w:val="none"/>
              </w:rPr>
              <w:t>90分以上</w:t>
            </w:r>
          </w:p>
        </w:tc>
        <w:tc>
          <w:tcPr>
            <w:tcW w:w="6840" w:type="dxa"/>
            <w:gridSpan w:val="5"/>
            <w:vAlign w:val="center"/>
          </w:tcPr>
          <w:p>
            <w:pPr>
              <w:rPr>
                <w:rFonts w:ascii="宋体" w:hAnsi="宋体"/>
                <w:color w:val="auto"/>
                <w:szCs w:val="21"/>
                <w:highlight w:val="none"/>
              </w:rPr>
            </w:pPr>
            <w:r>
              <w:rPr>
                <w:rFonts w:hint="eastAsia" w:ascii="宋体" w:hAnsi="宋体"/>
                <w:color w:val="auto"/>
                <w:szCs w:val="21"/>
                <w:highlight w:val="none"/>
              </w:rPr>
              <w:t>通报表扬，绩效考核</w:t>
            </w:r>
            <w:r>
              <w:rPr>
                <w:rFonts w:hint="eastAsia"/>
                <w:b/>
                <w:bCs/>
                <w:color w:val="auto"/>
                <w:szCs w:val="24"/>
                <w:highlight w:val="none"/>
              </w:rPr>
              <w:t>支付占比为100%</w:t>
            </w:r>
            <w:r>
              <w:rPr>
                <w:rFonts w:hint="eastAsia" w:ascii="宋体" w:hAnsi="宋体"/>
                <w:color w:val="auto"/>
                <w:szCs w:val="21"/>
                <w:highlight w:val="none"/>
              </w:rPr>
              <w:t>。</w:t>
            </w:r>
          </w:p>
        </w:tc>
      </w:tr>
    </w:tbl>
    <w:p>
      <w:pPr>
        <w:rPr>
          <w:color w:val="auto"/>
          <w:highlight w:val="none"/>
        </w:rPr>
      </w:pPr>
      <w:r>
        <w:rPr>
          <w:rFonts w:hint="eastAsia"/>
          <w:color w:val="auto"/>
          <w:highlight w:val="none"/>
        </w:rPr>
        <w:t>注：</w:t>
      </w:r>
      <w:r>
        <w:rPr>
          <w:rFonts w:hint="eastAsia" w:ascii="宋体" w:hAnsi="宋体"/>
          <w:color w:val="auto"/>
          <w:szCs w:val="21"/>
          <w:highlight w:val="none"/>
        </w:rPr>
        <w:t>最终评分=实际得分/应得分*100*权重系数</w:t>
      </w:r>
    </w:p>
    <w:p>
      <w:pPr>
        <w:ind w:firstLine="480" w:firstLineChars="200"/>
        <w:rPr>
          <w:color w:val="auto"/>
          <w:highlight w:val="none"/>
        </w:rPr>
      </w:pPr>
      <w:r>
        <w:rPr>
          <w:rFonts w:hint="eastAsia"/>
          <w:color w:val="auto"/>
          <w:highlight w:val="none"/>
        </w:rPr>
        <w:t xml:space="preserve">季度得分=最终评分合计 </w:t>
      </w:r>
    </w:p>
    <w:p>
      <w:pPr>
        <w:rPr>
          <w:color w:val="auto"/>
          <w:highlight w:val="none"/>
        </w:rPr>
      </w:pPr>
    </w:p>
    <w:p>
      <w:pPr>
        <w:rPr>
          <w:rFonts w:ascii="宋体" w:hAnsi="宋体"/>
          <w:color w:val="auto"/>
          <w:szCs w:val="21"/>
          <w:highlight w:val="none"/>
        </w:rPr>
      </w:pPr>
      <w:r>
        <w:rPr>
          <w:rFonts w:hint="eastAsia" w:ascii="宋体" w:hAnsi="宋体"/>
          <w:color w:val="auto"/>
          <w:szCs w:val="21"/>
          <w:highlight w:val="none"/>
        </w:rPr>
        <w:t>检查人：                复核人：              日期：     年     月    日</w:t>
      </w:r>
    </w:p>
    <w:p>
      <w:pPr>
        <w:tabs>
          <w:tab w:val="left" w:pos="1530"/>
        </w:tabs>
        <w:snapToGrid w:val="0"/>
        <w:rPr>
          <w:color w:val="auto"/>
          <w:sz w:val="28"/>
          <w:szCs w:val="28"/>
          <w:highlight w:val="none"/>
        </w:rPr>
      </w:pPr>
      <w:r>
        <w:rPr>
          <w:color w:val="auto"/>
          <w:sz w:val="28"/>
          <w:szCs w:val="28"/>
          <w:highlight w:val="none"/>
        </w:rPr>
        <w:br w:type="page"/>
      </w:r>
    </w:p>
    <w:p>
      <w:pPr>
        <w:rPr>
          <w:color w:val="auto"/>
          <w:highlight w:val="none"/>
        </w:rPr>
      </w:pPr>
      <w:r>
        <w:rPr>
          <w:rFonts w:hint="eastAsia"/>
          <w:color w:val="auto"/>
          <w:highlight w:val="none"/>
        </w:rPr>
        <w:t>附件七：</w:t>
      </w:r>
    </w:p>
    <w:p>
      <w:pPr>
        <w:jc w:val="center"/>
        <w:rPr>
          <w:rFonts w:ascii="宋体" w:hAnsi="宋体"/>
          <w:color w:val="auto"/>
          <w:sz w:val="28"/>
          <w:szCs w:val="28"/>
          <w:highlight w:val="none"/>
        </w:rPr>
      </w:pPr>
      <w:r>
        <w:rPr>
          <w:rFonts w:hint="eastAsia"/>
          <w:color w:val="auto"/>
          <w:sz w:val="28"/>
          <w:szCs w:val="28"/>
          <w:highlight w:val="none"/>
        </w:rPr>
        <w:t>监理人员素质要求</w:t>
      </w:r>
      <w:r>
        <w:rPr>
          <w:rFonts w:hint="eastAsia" w:ascii="宋体" w:hAnsi="宋体"/>
          <w:color w:val="auto"/>
          <w:sz w:val="28"/>
          <w:szCs w:val="28"/>
          <w:highlight w:val="none"/>
        </w:rPr>
        <w:t>各岗位要求一览表</w:t>
      </w:r>
    </w:p>
    <w:p>
      <w:pPr>
        <w:pStyle w:val="2"/>
        <w:rPr>
          <w:color w:val="auto"/>
          <w:highlight w:val="none"/>
        </w:rPr>
      </w:pPr>
    </w:p>
    <w:p>
      <w:pPr>
        <w:pStyle w:val="2"/>
        <w:rPr>
          <w:color w:val="auto"/>
          <w:highlight w:val="none"/>
        </w:rPr>
      </w:pPr>
      <w:r>
        <w:rPr>
          <w:rFonts w:hint="eastAsia"/>
          <w:color w:val="auto"/>
          <w:highlight w:val="none"/>
        </w:rPr>
        <w:t>具体见招标文件第五章招标人要求第一点</w:t>
      </w:r>
    </w:p>
    <w:p>
      <w:pPr>
        <w:pStyle w:val="99"/>
        <w:tabs>
          <w:tab w:val="left" w:pos="8600"/>
        </w:tabs>
        <w:autoSpaceDE w:val="0"/>
        <w:autoSpaceDN w:val="0"/>
        <w:adjustRightInd w:val="0"/>
        <w:spacing w:line="330" w:lineRule="exact"/>
        <w:ind w:right="630"/>
        <w:jc w:val="right"/>
        <w:rPr>
          <w:color w:val="auto"/>
          <w:highlight w:val="none"/>
        </w:rPr>
      </w:pPr>
    </w:p>
    <w:p>
      <w:pPr>
        <w:pStyle w:val="99"/>
        <w:tabs>
          <w:tab w:val="left" w:pos="8600"/>
        </w:tabs>
        <w:autoSpaceDE w:val="0"/>
        <w:autoSpaceDN w:val="0"/>
        <w:adjustRightInd w:val="0"/>
        <w:spacing w:line="330" w:lineRule="exact"/>
        <w:ind w:right="630"/>
        <w:jc w:val="right"/>
        <w:rPr>
          <w:color w:val="auto"/>
          <w:highlight w:val="none"/>
        </w:rPr>
      </w:pPr>
    </w:p>
    <w:p>
      <w:pPr>
        <w:pStyle w:val="99"/>
        <w:tabs>
          <w:tab w:val="left" w:pos="8600"/>
        </w:tabs>
        <w:autoSpaceDE w:val="0"/>
        <w:autoSpaceDN w:val="0"/>
        <w:adjustRightInd w:val="0"/>
        <w:spacing w:line="330" w:lineRule="exact"/>
        <w:ind w:right="630"/>
        <w:rPr>
          <w:color w:val="auto"/>
          <w:highlight w:val="none"/>
        </w:rPr>
        <w:sectPr>
          <w:footerReference r:id="rId11" w:type="default"/>
          <w:endnotePr>
            <w:numFmt w:val="decimal"/>
          </w:endnotePr>
          <w:pgSz w:w="11906" w:h="16838"/>
          <w:pgMar w:top="1361" w:right="885" w:bottom="1134" w:left="1361" w:header="851" w:footer="851" w:gutter="0"/>
          <w:pgBorders>
            <w:top w:val="none" w:sz="0" w:space="0"/>
            <w:left w:val="none" w:sz="0" w:space="0"/>
            <w:bottom w:val="none" w:sz="0" w:space="0"/>
            <w:right w:val="none" w:sz="0" w:space="0"/>
          </w:pgBorders>
          <w:cols w:space="720" w:num="1"/>
          <w:docGrid w:type="lines" w:linePitch="312" w:charSpace="0"/>
        </w:sectPr>
      </w:pPr>
    </w:p>
    <w:tbl>
      <w:tblPr>
        <w:tblStyle w:val="37"/>
        <w:tblW w:w="14742" w:type="dxa"/>
        <w:tblInd w:w="108" w:type="dxa"/>
        <w:tblLayout w:type="autofit"/>
        <w:tblCellMar>
          <w:top w:w="0" w:type="dxa"/>
          <w:left w:w="108" w:type="dxa"/>
          <w:bottom w:w="0" w:type="dxa"/>
          <w:right w:w="108" w:type="dxa"/>
        </w:tblCellMar>
      </w:tblPr>
      <w:tblGrid>
        <w:gridCol w:w="457"/>
        <w:gridCol w:w="1811"/>
        <w:gridCol w:w="2127"/>
        <w:gridCol w:w="3118"/>
        <w:gridCol w:w="2126"/>
        <w:gridCol w:w="2835"/>
        <w:gridCol w:w="2268"/>
      </w:tblGrid>
      <w:tr>
        <w:tblPrEx>
          <w:tblCellMar>
            <w:top w:w="0" w:type="dxa"/>
            <w:left w:w="108" w:type="dxa"/>
            <w:bottom w:w="0" w:type="dxa"/>
            <w:right w:w="108" w:type="dxa"/>
          </w:tblCellMar>
        </w:tblPrEx>
        <w:trPr>
          <w:trHeight w:val="166" w:hRule="atLeast"/>
        </w:trPr>
        <w:tc>
          <w:tcPr>
            <w:tcW w:w="14742" w:type="dxa"/>
            <w:gridSpan w:val="7"/>
            <w:tcBorders>
              <w:top w:val="nil"/>
              <w:left w:val="nil"/>
              <w:bottom w:val="nil"/>
              <w:right w:val="nil"/>
            </w:tcBorders>
            <w:shd w:val="clear" w:color="000000" w:fill="FFFFFF"/>
            <w:noWrap/>
            <w:vAlign w:val="center"/>
          </w:tcPr>
          <w:p>
            <w:pPr>
              <w:widowControl/>
              <w:rPr>
                <w:rFonts w:ascii="黑体" w:hAnsi="黑体" w:eastAsia="黑体" w:cs="宋体"/>
                <w:b/>
                <w:bCs/>
                <w:color w:val="auto"/>
                <w:kern w:val="0"/>
                <w:sz w:val="28"/>
                <w:szCs w:val="28"/>
                <w:highlight w:val="none"/>
              </w:rPr>
            </w:pPr>
            <w:r>
              <w:rPr>
                <w:rFonts w:hint="eastAsia" w:ascii="黑体" w:hAnsi="黑体" w:eastAsia="黑体" w:cs="宋体"/>
                <w:b/>
                <w:bCs/>
                <w:color w:val="auto"/>
                <w:kern w:val="0"/>
                <w:sz w:val="28"/>
                <w:szCs w:val="28"/>
                <w:highlight w:val="none"/>
              </w:rPr>
              <w:t>附件八：                                         形象进度说明</w:t>
            </w:r>
          </w:p>
        </w:tc>
      </w:tr>
      <w:tr>
        <w:tblPrEx>
          <w:tblCellMar>
            <w:top w:w="0" w:type="dxa"/>
            <w:left w:w="108" w:type="dxa"/>
            <w:bottom w:w="0" w:type="dxa"/>
            <w:right w:w="108" w:type="dxa"/>
          </w:tblCellMar>
        </w:tblPrEx>
        <w:trPr>
          <w:trHeight w:val="110" w:hRule="atLeast"/>
        </w:trPr>
        <w:tc>
          <w:tcPr>
            <w:tcW w:w="14742" w:type="dxa"/>
            <w:gridSpan w:val="7"/>
            <w:tcBorders>
              <w:top w:val="nil"/>
              <w:left w:val="nil"/>
              <w:bottom w:val="nil"/>
              <w:right w:val="nil"/>
            </w:tcBorders>
            <w:shd w:val="clear" w:color="000000" w:fill="FFFFFF"/>
            <w:noWrap/>
            <w:vAlign w:val="center"/>
          </w:tcPr>
          <w:p>
            <w:pPr>
              <w:widowControl/>
              <w:jc w:val="left"/>
              <w:rPr>
                <w:rFonts w:ascii="宋体" w:hAnsi="宋体" w:cs="宋体"/>
                <w:color w:val="auto"/>
                <w:kern w:val="0"/>
                <w:szCs w:val="24"/>
                <w:highlight w:val="none"/>
              </w:rPr>
            </w:pPr>
            <w:r>
              <w:rPr>
                <w:rFonts w:hint="eastAsia" w:ascii="宋体" w:hAnsi="宋体" w:cs="宋体"/>
                <w:color w:val="auto"/>
                <w:kern w:val="0"/>
                <w:szCs w:val="24"/>
                <w:highlight w:val="none"/>
              </w:rPr>
              <w:t xml:space="preserve">工程名称：                                   </w:t>
            </w:r>
            <w:r>
              <w:rPr>
                <w:rFonts w:hint="eastAsia" w:ascii="宋体" w:hAnsi="宋体" w:cs="宋体"/>
                <w:color w:val="auto"/>
                <w:kern w:val="0"/>
                <w:szCs w:val="21"/>
                <w:highlight w:val="none"/>
              </w:rPr>
              <w:t xml:space="preserve">                                   </w:t>
            </w:r>
            <w:r>
              <w:rPr>
                <w:rFonts w:hint="eastAsia" w:ascii="宋体" w:hAnsi="宋体" w:cs="宋体"/>
                <w:color w:val="auto"/>
                <w:kern w:val="0"/>
                <w:szCs w:val="24"/>
                <w:highlight w:val="none"/>
              </w:rPr>
              <w:t>合同编号：</w:t>
            </w:r>
            <w:r>
              <w:rPr>
                <w:rFonts w:hint="eastAsia" w:ascii="黑体" w:hAnsi="黑体" w:eastAsia="黑体" w:cs="宋体"/>
                <w:b/>
                <w:bCs/>
                <w:color w:val="auto"/>
                <w:kern w:val="0"/>
                <w:sz w:val="28"/>
                <w:szCs w:val="28"/>
                <w:highlight w:val="none"/>
              </w:rPr>
              <w:t xml:space="preserve"> </w:t>
            </w:r>
          </w:p>
        </w:tc>
      </w:tr>
      <w:tr>
        <w:tblPrEx>
          <w:tblCellMar>
            <w:top w:w="0" w:type="dxa"/>
            <w:left w:w="108" w:type="dxa"/>
            <w:bottom w:w="0" w:type="dxa"/>
            <w:right w:w="108" w:type="dxa"/>
          </w:tblCellMar>
        </w:tblPrEx>
        <w:trPr>
          <w:trHeight w:val="660" w:hRule="atLeast"/>
        </w:trPr>
        <w:tc>
          <w:tcPr>
            <w:tcW w:w="4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9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施工单位本次申请说明（图纸轴线范围、楼层、部位）</w:t>
            </w:r>
          </w:p>
        </w:tc>
        <w:tc>
          <w:tcPr>
            <w:tcW w:w="524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监理单位意见及说明</w:t>
            </w:r>
          </w:p>
        </w:tc>
        <w:tc>
          <w:tcPr>
            <w:tcW w:w="510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建设单位意见及说明</w:t>
            </w:r>
          </w:p>
        </w:tc>
      </w:tr>
      <w:tr>
        <w:tblPrEx>
          <w:tblCellMar>
            <w:top w:w="0" w:type="dxa"/>
            <w:left w:w="108" w:type="dxa"/>
            <w:bottom w:w="0" w:type="dxa"/>
            <w:right w:w="108" w:type="dxa"/>
          </w:tblCellMar>
        </w:tblPrEx>
        <w:trPr>
          <w:trHeight w:val="9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524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cs="Courier New"/>
                <w:color w:val="auto"/>
                <w:kern w:val="0"/>
                <w:szCs w:val="24"/>
                <w:highlight w:val="none"/>
              </w:rPr>
            </w:pPr>
            <w:r>
              <w:rPr>
                <w:rFonts w:ascii="Courier New" w:hAnsi="Courier New" w:cs="Courier New"/>
                <w:color w:val="auto"/>
                <w:kern w:val="0"/>
                <w:szCs w:val="24"/>
                <w:highlight w:val="none"/>
              </w:rPr>
              <w:t>　</w:t>
            </w:r>
          </w:p>
        </w:tc>
        <w:tc>
          <w:tcPr>
            <w:tcW w:w="510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9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9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524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cs="Courier New"/>
                <w:color w:val="auto"/>
                <w:kern w:val="0"/>
                <w:szCs w:val="24"/>
                <w:highlight w:val="none"/>
              </w:rPr>
            </w:pPr>
            <w:r>
              <w:rPr>
                <w:rFonts w:ascii="Courier New" w:hAnsi="Courier New" w:cs="Courier New"/>
                <w:color w:val="auto"/>
                <w:kern w:val="0"/>
                <w:szCs w:val="24"/>
                <w:highlight w:val="none"/>
              </w:rPr>
              <w:t>　</w:t>
            </w:r>
          </w:p>
        </w:tc>
        <w:tc>
          <w:tcPr>
            <w:tcW w:w="510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9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9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524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Courier New" w:hAnsi="Courier New" w:cs="Courier New"/>
                <w:color w:val="auto"/>
                <w:kern w:val="0"/>
                <w:szCs w:val="24"/>
                <w:highlight w:val="none"/>
              </w:rPr>
            </w:pPr>
            <w:r>
              <w:rPr>
                <w:rFonts w:ascii="Courier New" w:hAnsi="Courier New" w:cs="Courier New"/>
                <w:color w:val="auto"/>
                <w:kern w:val="0"/>
                <w:szCs w:val="24"/>
                <w:highlight w:val="none"/>
              </w:rPr>
              <w:t>　</w:t>
            </w:r>
          </w:p>
        </w:tc>
        <w:tc>
          <w:tcPr>
            <w:tcW w:w="510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9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9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24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10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9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9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24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10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CellMar>
            <w:top w:w="0" w:type="dxa"/>
            <w:left w:w="108" w:type="dxa"/>
            <w:bottom w:w="0" w:type="dxa"/>
            <w:right w:w="108" w:type="dxa"/>
          </w:tblCellMar>
        </w:tblPrEx>
        <w:trPr>
          <w:trHeight w:val="90" w:hRule="atLeast"/>
        </w:trPr>
        <w:tc>
          <w:tcPr>
            <w:tcW w:w="22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经办人：</w:t>
            </w:r>
          </w:p>
        </w:tc>
        <w:tc>
          <w:tcPr>
            <w:tcW w:w="21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施工单位（盖章）：</w:t>
            </w:r>
          </w:p>
        </w:tc>
        <w:tc>
          <w:tcPr>
            <w:tcW w:w="3118"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监理工程师：</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监理单位（盖章）：</w:t>
            </w:r>
          </w:p>
        </w:tc>
        <w:tc>
          <w:tcPr>
            <w:tcW w:w="283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复核人：</w:t>
            </w:r>
          </w:p>
        </w:tc>
        <w:tc>
          <w:tcPr>
            <w:tcW w:w="226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建设单位（盖章）：</w:t>
            </w:r>
          </w:p>
        </w:tc>
      </w:tr>
      <w:tr>
        <w:tblPrEx>
          <w:tblCellMar>
            <w:top w:w="0" w:type="dxa"/>
            <w:left w:w="108" w:type="dxa"/>
            <w:bottom w:w="0" w:type="dxa"/>
            <w:right w:w="108" w:type="dxa"/>
          </w:tblCellMar>
        </w:tblPrEx>
        <w:trPr>
          <w:trHeight w:val="499" w:hRule="atLeast"/>
        </w:trPr>
        <w:tc>
          <w:tcPr>
            <w:tcW w:w="2268"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项目经理：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w:t>
            </w:r>
          </w:p>
          <w:p>
            <w:pPr>
              <w:widowControl/>
              <w:jc w:val="left"/>
              <w:rPr>
                <w:rFonts w:ascii="宋体" w:hAnsi="宋体" w:cs="宋体"/>
                <w:color w:val="auto"/>
                <w:kern w:val="0"/>
                <w:szCs w:val="21"/>
                <w:highlight w:val="none"/>
              </w:rPr>
            </w:pPr>
          </w:p>
          <w:p>
            <w:pPr>
              <w:pStyle w:val="2"/>
              <w:rPr>
                <w:color w:val="auto"/>
                <w:highlight w:val="none"/>
              </w:rPr>
            </w:pPr>
          </w:p>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31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总监理工程师： </w:t>
            </w:r>
            <w:r>
              <w:rPr>
                <w:rFonts w:hint="eastAsia" w:ascii="宋体" w:hAnsi="宋体" w:cs="宋体"/>
                <w:color w:val="auto"/>
                <w:kern w:val="0"/>
                <w:szCs w:val="21"/>
                <w:highlight w:val="none"/>
              </w:rPr>
              <w:br w:type="textWrapping"/>
            </w:r>
          </w:p>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年   月   日</w:t>
            </w: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283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工程管理部总监：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w:t>
            </w:r>
          </w:p>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60" w:hRule="atLeast"/>
        </w:trPr>
        <w:tc>
          <w:tcPr>
            <w:tcW w:w="226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31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99" w:hRule="atLeast"/>
        </w:trPr>
        <w:tc>
          <w:tcPr>
            <w:tcW w:w="226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31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99" w:hRule="atLeast"/>
        </w:trPr>
        <w:tc>
          <w:tcPr>
            <w:tcW w:w="226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31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43" w:hRule="atLeast"/>
        </w:trPr>
        <w:tc>
          <w:tcPr>
            <w:tcW w:w="226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Cs w:val="21"/>
                <w:highlight w:val="none"/>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31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Cs w:val="21"/>
                <w:highlight w:val="none"/>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r>
    </w:tbl>
    <w:p>
      <w:pPr>
        <w:pStyle w:val="2"/>
        <w:rPr>
          <w:color w:val="auto"/>
          <w:highlight w:val="none"/>
        </w:rPr>
        <w:sectPr>
          <w:endnotePr>
            <w:numFmt w:val="decimal"/>
          </w:endnotePr>
          <w:pgSz w:w="16838" w:h="11906" w:orient="landscape"/>
          <w:pgMar w:top="1361" w:right="1361" w:bottom="884" w:left="1134" w:header="851" w:footer="850" w:gutter="0"/>
          <w:pgBorders>
            <w:top w:val="none" w:sz="0" w:space="0"/>
            <w:left w:val="none" w:sz="0" w:space="0"/>
            <w:bottom w:val="none" w:sz="0" w:space="0"/>
            <w:right w:val="none" w:sz="0" w:space="0"/>
          </w:pgBorders>
          <w:cols w:space="0" w:num="1"/>
          <w:docGrid w:type="lines" w:linePitch="333" w:charSpace="0"/>
        </w:sectPr>
      </w:pPr>
    </w:p>
    <w:p>
      <w:pPr>
        <w:pStyle w:val="2"/>
        <w:rPr>
          <w:b/>
          <w:color w:val="auto"/>
          <w:sz w:val="32"/>
          <w:highlight w:val="none"/>
        </w:rPr>
      </w:pPr>
      <w:r>
        <w:rPr>
          <w:rFonts w:hint="eastAsia"/>
          <w:b/>
          <w:bCs/>
          <w:color w:val="auto"/>
          <w:sz w:val="22"/>
          <w:szCs w:val="22"/>
          <w:highlight w:val="none"/>
        </w:rPr>
        <w:t xml:space="preserve">附件九： </w:t>
      </w:r>
      <w:r>
        <w:rPr>
          <w:b/>
          <w:bCs/>
          <w:color w:val="auto"/>
          <w:sz w:val="22"/>
          <w:szCs w:val="22"/>
          <w:highlight w:val="none"/>
        </w:rPr>
        <w:t xml:space="preserve">  </w:t>
      </w:r>
      <w:r>
        <w:rPr>
          <w:color w:val="auto"/>
          <w:highlight w:val="none"/>
        </w:rPr>
        <w:t xml:space="preserve">                       </w:t>
      </w:r>
      <w:r>
        <w:rPr>
          <w:rFonts w:hint="eastAsia"/>
          <w:b/>
          <w:color w:val="auto"/>
          <w:sz w:val="32"/>
          <w:highlight w:val="none"/>
        </w:rPr>
        <w:t>***项目的罚款台账</w:t>
      </w:r>
    </w:p>
    <w:p>
      <w:pPr>
        <w:pStyle w:val="99"/>
        <w:tabs>
          <w:tab w:val="left" w:pos="8600"/>
        </w:tabs>
        <w:autoSpaceDE w:val="0"/>
        <w:autoSpaceDN w:val="0"/>
        <w:adjustRightInd w:val="0"/>
        <w:spacing w:line="330" w:lineRule="exact"/>
        <w:ind w:right="630"/>
        <w:rPr>
          <w:color w:val="auto"/>
          <w:highlight w:val="none"/>
        </w:rPr>
      </w:pPr>
    </w:p>
    <w:tbl>
      <w:tblPr>
        <w:tblStyle w:val="37"/>
        <w:tblW w:w="9661" w:type="dxa"/>
        <w:tblInd w:w="108" w:type="dxa"/>
        <w:tblLayout w:type="autofit"/>
        <w:tblCellMar>
          <w:top w:w="0" w:type="dxa"/>
          <w:left w:w="108" w:type="dxa"/>
          <w:bottom w:w="0" w:type="dxa"/>
          <w:right w:w="108" w:type="dxa"/>
        </w:tblCellMar>
      </w:tblPr>
      <w:tblGrid>
        <w:gridCol w:w="709"/>
        <w:gridCol w:w="1180"/>
        <w:gridCol w:w="1372"/>
        <w:gridCol w:w="1283"/>
        <w:gridCol w:w="1883"/>
        <w:gridCol w:w="1150"/>
        <w:gridCol w:w="1084"/>
        <w:gridCol w:w="1000"/>
      </w:tblGrid>
      <w:tr>
        <w:tblPrEx>
          <w:tblCellMar>
            <w:top w:w="0" w:type="dxa"/>
            <w:left w:w="108" w:type="dxa"/>
            <w:bottom w:w="0" w:type="dxa"/>
            <w:right w:w="108" w:type="dxa"/>
          </w:tblCellMar>
        </w:tblPrEx>
        <w:trPr>
          <w:trHeight w:val="64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序号</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罚款单号</w:t>
            </w:r>
          </w:p>
        </w:tc>
        <w:tc>
          <w:tcPr>
            <w:tcW w:w="13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罚款内容</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处罚单发出单位</w:t>
            </w:r>
          </w:p>
        </w:tc>
        <w:tc>
          <w:tcPr>
            <w:tcW w:w="18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涉及合同</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罚款金额（元）</w:t>
            </w:r>
          </w:p>
        </w:tc>
        <w:tc>
          <w:tcPr>
            <w:tcW w:w="10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进度是否扣除</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备注</w:t>
            </w:r>
          </w:p>
        </w:tc>
      </w:tr>
      <w:tr>
        <w:tblPrEx>
          <w:tblCellMar>
            <w:top w:w="0" w:type="dxa"/>
            <w:left w:w="108" w:type="dxa"/>
            <w:bottom w:w="0" w:type="dxa"/>
            <w:right w:w="108" w:type="dxa"/>
          </w:tblCellMar>
        </w:tblPrEx>
        <w:trPr>
          <w:trHeight w:val="63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例</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001</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未戴安全帽</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监理单位</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***机电安装施工合同</w:t>
            </w:r>
          </w:p>
        </w:tc>
        <w:tc>
          <w:tcPr>
            <w:tcW w:w="1150" w:type="dxa"/>
            <w:tcBorders>
              <w:top w:val="nil"/>
              <w:left w:val="nil"/>
              <w:bottom w:val="single" w:color="auto" w:sz="4" w:space="0"/>
              <w:right w:val="single" w:color="auto" w:sz="4" w:space="0"/>
            </w:tcBorders>
            <w:shd w:val="clear" w:color="auto" w:fill="auto"/>
            <w:vAlign w:val="center"/>
          </w:tcPr>
          <w:p>
            <w:pPr>
              <w:widowControl/>
              <w:jc w:val="righ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500</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是</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在第*期进度款中扣除</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372"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883"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15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8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c>
          <w:tcPr>
            <w:tcW w:w="10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　</w:t>
            </w:r>
          </w:p>
        </w:tc>
      </w:tr>
    </w:tbl>
    <w:p>
      <w:pPr>
        <w:pStyle w:val="99"/>
        <w:tabs>
          <w:tab w:val="left" w:pos="8600"/>
        </w:tabs>
        <w:autoSpaceDE w:val="0"/>
        <w:autoSpaceDN w:val="0"/>
        <w:adjustRightInd w:val="0"/>
        <w:spacing w:line="330" w:lineRule="exact"/>
        <w:ind w:right="630"/>
        <w:rPr>
          <w:color w:val="auto"/>
          <w:highlight w:val="none"/>
        </w:rPr>
        <w:sectPr>
          <w:endnotePr>
            <w:numFmt w:val="decimal"/>
          </w:endnotePr>
          <w:pgSz w:w="11906" w:h="16838"/>
          <w:pgMar w:top="1361" w:right="884" w:bottom="1134" w:left="1361" w:header="851" w:footer="850" w:gutter="0"/>
          <w:pgBorders>
            <w:top w:val="none" w:sz="0" w:space="0"/>
            <w:left w:val="none" w:sz="0" w:space="0"/>
            <w:bottom w:val="none" w:sz="0" w:space="0"/>
            <w:right w:val="none" w:sz="0" w:space="0"/>
          </w:pgBorders>
          <w:cols w:space="0" w:num="1"/>
          <w:docGrid w:type="lines" w:linePitch="333" w:charSpace="0"/>
        </w:sectPr>
      </w:pPr>
    </w:p>
    <w:p>
      <w:pPr>
        <w:pStyle w:val="99"/>
        <w:tabs>
          <w:tab w:val="left" w:pos="8600"/>
        </w:tabs>
        <w:autoSpaceDE w:val="0"/>
        <w:autoSpaceDN w:val="0"/>
        <w:adjustRightInd w:val="0"/>
        <w:spacing w:line="330" w:lineRule="exact"/>
        <w:ind w:right="630"/>
        <w:rPr>
          <w:color w:val="auto"/>
          <w:highlight w:val="none"/>
        </w:rPr>
      </w:pPr>
      <w:r>
        <w:rPr>
          <w:rFonts w:hint="eastAsia"/>
          <w:color w:val="auto"/>
          <w:highlight w:val="none"/>
        </w:rPr>
        <w:t>附件十：</w:t>
      </w:r>
    </w:p>
    <w:tbl>
      <w:tblPr>
        <w:tblStyle w:val="37"/>
        <w:tblW w:w="5063" w:type="pct"/>
        <w:tblInd w:w="0" w:type="dxa"/>
        <w:tblLayout w:type="autofit"/>
        <w:tblCellMar>
          <w:top w:w="0" w:type="dxa"/>
          <w:left w:w="108" w:type="dxa"/>
          <w:bottom w:w="0" w:type="dxa"/>
          <w:right w:w="108" w:type="dxa"/>
        </w:tblCellMar>
      </w:tblPr>
      <w:tblGrid>
        <w:gridCol w:w="437"/>
        <w:gridCol w:w="718"/>
        <w:gridCol w:w="1476"/>
        <w:gridCol w:w="398"/>
        <w:gridCol w:w="1476"/>
        <w:gridCol w:w="4988"/>
        <w:gridCol w:w="920"/>
        <w:gridCol w:w="1052"/>
        <w:gridCol w:w="1052"/>
        <w:gridCol w:w="1049"/>
        <w:gridCol w:w="1176"/>
      </w:tblGrid>
      <w:tr>
        <w:trPr>
          <w:trHeight w:val="110" w:hRule="atLeast"/>
        </w:trPr>
        <w:tc>
          <w:tcPr>
            <w:tcW w:w="5000" w:type="pct"/>
            <w:gridSpan w:val="11"/>
            <w:tcBorders>
              <w:top w:val="nil"/>
              <w:left w:val="nil"/>
              <w:bottom w:val="nil"/>
              <w:right w:val="nil"/>
            </w:tcBorders>
            <w:shd w:val="clear" w:color="auto" w:fill="auto"/>
            <w:noWrap/>
            <w:vAlign w:val="center"/>
          </w:tcPr>
          <w:p>
            <w:pPr>
              <w:widowControl/>
              <w:spacing w:line="24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结算依据资料送审移交表</w:t>
            </w:r>
          </w:p>
        </w:tc>
      </w:tr>
      <w:tr>
        <w:tblPrEx>
          <w:tblCellMar>
            <w:top w:w="0" w:type="dxa"/>
            <w:left w:w="108" w:type="dxa"/>
            <w:bottom w:w="0" w:type="dxa"/>
            <w:right w:w="108" w:type="dxa"/>
          </w:tblCellMar>
        </w:tblPrEx>
        <w:trPr>
          <w:trHeight w:val="99" w:hRule="atLeast"/>
        </w:trPr>
        <w:tc>
          <w:tcPr>
            <w:tcW w:w="878" w:type="pct"/>
            <w:gridSpan w:val="3"/>
            <w:tcBorders>
              <w:top w:val="nil"/>
              <w:left w:val="nil"/>
              <w:bottom w:val="single" w:color="auto" w:sz="4" w:space="0"/>
              <w:right w:val="nil"/>
            </w:tcBorders>
            <w:shd w:val="clear" w:color="auto" w:fill="auto"/>
            <w:noWrap/>
            <w:vAlign w:val="center"/>
          </w:tcPr>
          <w:p>
            <w:pPr>
              <w:widowControl/>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工程名称:</w:t>
            </w:r>
          </w:p>
        </w:tc>
        <w:tc>
          <w:tcPr>
            <w:tcW w:w="139" w:type="pct"/>
            <w:tcBorders>
              <w:top w:val="nil"/>
              <w:left w:val="nil"/>
              <w:bottom w:val="nil"/>
              <w:right w:val="nil"/>
            </w:tcBorders>
            <w:shd w:val="clear" w:color="auto" w:fill="auto"/>
            <w:noWrap/>
            <w:vAlign w:val="center"/>
          </w:tcPr>
          <w:p>
            <w:pPr>
              <w:widowControl/>
              <w:spacing w:line="240" w:lineRule="auto"/>
              <w:jc w:val="center"/>
              <w:rPr>
                <w:rFonts w:ascii="宋体" w:hAnsi="宋体" w:cs="宋体"/>
                <w:b/>
                <w:bCs/>
                <w:color w:val="auto"/>
                <w:kern w:val="0"/>
                <w:sz w:val="22"/>
                <w:highlight w:val="none"/>
              </w:rPr>
            </w:pPr>
          </w:p>
        </w:tc>
        <w:tc>
          <w:tcPr>
            <w:tcW w:w="486" w:type="pct"/>
            <w:tcBorders>
              <w:top w:val="nil"/>
              <w:left w:val="nil"/>
              <w:bottom w:val="nil"/>
              <w:right w:val="nil"/>
            </w:tcBorders>
            <w:shd w:val="clear" w:color="auto" w:fill="auto"/>
            <w:noWrap/>
            <w:vAlign w:val="center"/>
          </w:tcPr>
          <w:p>
            <w:pPr>
              <w:widowControl/>
              <w:spacing w:line="240" w:lineRule="auto"/>
              <w:jc w:val="left"/>
              <w:rPr>
                <w:rFonts w:eastAsia="Times New Roman"/>
                <w:color w:val="auto"/>
                <w:kern w:val="0"/>
                <w:sz w:val="20"/>
                <w:highlight w:val="none"/>
              </w:rPr>
            </w:pPr>
          </w:p>
        </w:tc>
        <w:tc>
          <w:tcPr>
            <w:tcW w:w="1696" w:type="pct"/>
            <w:tcBorders>
              <w:top w:val="nil"/>
              <w:left w:val="nil"/>
              <w:bottom w:val="nil"/>
              <w:right w:val="nil"/>
            </w:tcBorders>
            <w:shd w:val="clear" w:color="auto" w:fill="auto"/>
            <w:noWrap/>
            <w:vAlign w:val="center"/>
          </w:tcPr>
          <w:p>
            <w:pPr>
              <w:widowControl/>
              <w:spacing w:line="240" w:lineRule="auto"/>
              <w:jc w:val="left"/>
              <w:rPr>
                <w:rFonts w:eastAsia="Times New Roman"/>
                <w:color w:val="auto"/>
                <w:kern w:val="0"/>
                <w:sz w:val="20"/>
                <w:highlight w:val="none"/>
              </w:rPr>
            </w:pPr>
          </w:p>
        </w:tc>
        <w:tc>
          <w:tcPr>
            <w:tcW w:w="316" w:type="pct"/>
            <w:tcBorders>
              <w:top w:val="nil"/>
              <w:left w:val="nil"/>
              <w:bottom w:val="nil"/>
              <w:right w:val="nil"/>
            </w:tcBorders>
            <w:shd w:val="clear" w:color="auto" w:fill="auto"/>
            <w:noWrap/>
            <w:vAlign w:val="center"/>
          </w:tcPr>
          <w:p>
            <w:pPr>
              <w:widowControl/>
              <w:spacing w:line="240" w:lineRule="auto"/>
              <w:jc w:val="left"/>
              <w:rPr>
                <w:rFonts w:eastAsia="Times New Roman"/>
                <w:color w:val="auto"/>
                <w:kern w:val="0"/>
                <w:sz w:val="20"/>
                <w:highlight w:val="none"/>
              </w:rPr>
            </w:pPr>
          </w:p>
        </w:tc>
        <w:tc>
          <w:tcPr>
            <w:tcW w:w="361" w:type="pct"/>
            <w:tcBorders>
              <w:top w:val="nil"/>
              <w:left w:val="nil"/>
              <w:bottom w:val="nil"/>
              <w:right w:val="nil"/>
            </w:tcBorders>
            <w:shd w:val="clear" w:color="auto" w:fill="auto"/>
            <w:noWrap/>
            <w:vAlign w:val="center"/>
          </w:tcPr>
          <w:p>
            <w:pPr>
              <w:widowControl/>
              <w:spacing w:line="240" w:lineRule="auto"/>
              <w:jc w:val="left"/>
              <w:rPr>
                <w:rFonts w:eastAsia="Times New Roman"/>
                <w:color w:val="auto"/>
                <w:kern w:val="0"/>
                <w:sz w:val="20"/>
                <w:highlight w:val="none"/>
              </w:rPr>
            </w:pPr>
          </w:p>
        </w:tc>
        <w:tc>
          <w:tcPr>
            <w:tcW w:w="361" w:type="pct"/>
            <w:tcBorders>
              <w:top w:val="nil"/>
              <w:left w:val="nil"/>
              <w:bottom w:val="nil"/>
              <w:right w:val="nil"/>
            </w:tcBorders>
            <w:shd w:val="clear" w:color="auto" w:fill="auto"/>
            <w:noWrap/>
            <w:vAlign w:val="center"/>
          </w:tcPr>
          <w:p>
            <w:pPr>
              <w:widowControl/>
              <w:spacing w:line="240" w:lineRule="auto"/>
              <w:jc w:val="left"/>
              <w:rPr>
                <w:rFonts w:eastAsia="Times New Roman"/>
                <w:color w:val="auto"/>
                <w:kern w:val="0"/>
                <w:sz w:val="20"/>
                <w:highlight w:val="none"/>
              </w:rPr>
            </w:pPr>
          </w:p>
        </w:tc>
        <w:tc>
          <w:tcPr>
            <w:tcW w:w="360" w:type="pct"/>
            <w:tcBorders>
              <w:top w:val="nil"/>
              <w:left w:val="nil"/>
              <w:bottom w:val="nil"/>
              <w:right w:val="nil"/>
            </w:tcBorders>
            <w:shd w:val="clear" w:color="auto" w:fill="auto"/>
            <w:noWrap/>
            <w:vAlign w:val="center"/>
          </w:tcPr>
          <w:p>
            <w:pPr>
              <w:widowControl/>
              <w:spacing w:line="240" w:lineRule="auto"/>
              <w:jc w:val="left"/>
              <w:rPr>
                <w:rFonts w:eastAsia="Times New Roman"/>
                <w:color w:val="auto"/>
                <w:kern w:val="0"/>
                <w:sz w:val="20"/>
                <w:highlight w:val="none"/>
              </w:rPr>
            </w:pPr>
          </w:p>
        </w:tc>
        <w:tc>
          <w:tcPr>
            <w:tcW w:w="405" w:type="pct"/>
            <w:tcBorders>
              <w:top w:val="nil"/>
              <w:left w:val="nil"/>
              <w:bottom w:val="nil"/>
              <w:right w:val="nil"/>
            </w:tcBorders>
            <w:shd w:val="clear" w:color="auto" w:fill="auto"/>
            <w:noWrap/>
            <w:vAlign w:val="center"/>
          </w:tcPr>
          <w:p>
            <w:pPr>
              <w:widowControl/>
              <w:spacing w:line="240" w:lineRule="auto"/>
              <w:jc w:val="left"/>
              <w:rPr>
                <w:rFonts w:eastAsia="Times New Roman"/>
                <w:color w:val="auto"/>
                <w:kern w:val="0"/>
                <w:sz w:val="20"/>
                <w:highlight w:val="none"/>
              </w:rPr>
            </w:pPr>
          </w:p>
        </w:tc>
      </w:tr>
      <w:tr>
        <w:tblPrEx>
          <w:tblCellMar>
            <w:top w:w="0" w:type="dxa"/>
            <w:left w:w="108" w:type="dxa"/>
            <w:bottom w:w="0" w:type="dxa"/>
            <w:right w:w="108" w:type="dxa"/>
          </w:tblCellMar>
        </w:tblPrEx>
        <w:trPr>
          <w:trHeight w:val="660" w:hRule="atLeast"/>
        </w:trPr>
        <w:tc>
          <w:tcPr>
            <w:tcW w:w="144"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24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打√为提交资料</w:t>
            </w:r>
          </w:p>
        </w:tc>
        <w:tc>
          <w:tcPr>
            <w:tcW w:w="1110"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资料名称</w:t>
            </w:r>
          </w:p>
        </w:tc>
        <w:tc>
          <w:tcPr>
            <w:tcW w:w="16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资料基本要求</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提交数量</w:t>
            </w:r>
          </w:p>
        </w:tc>
        <w:tc>
          <w:tcPr>
            <w:tcW w:w="1486"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接收单位审查资料是否真实、完整。</w:t>
            </w:r>
          </w:p>
        </w:tc>
      </w:tr>
      <w:tr>
        <w:tblPrEx>
          <w:tblCellMar>
            <w:top w:w="0" w:type="dxa"/>
            <w:left w:w="108" w:type="dxa"/>
            <w:bottom w:w="0" w:type="dxa"/>
            <w:right w:w="108" w:type="dxa"/>
          </w:tblCellMar>
        </w:tblPrEx>
        <w:trPr>
          <w:trHeight w:val="695" w:hRule="atLeast"/>
        </w:trPr>
        <w:tc>
          <w:tcPr>
            <w:tcW w:w="144"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bCs/>
                <w:color w:val="auto"/>
                <w:kern w:val="0"/>
                <w:sz w:val="22"/>
                <w:highlight w:val="none"/>
              </w:rPr>
            </w:pPr>
          </w:p>
        </w:tc>
        <w:tc>
          <w:tcPr>
            <w:tcW w:w="248"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bCs/>
                <w:color w:val="auto"/>
                <w:kern w:val="0"/>
                <w:sz w:val="18"/>
                <w:szCs w:val="18"/>
                <w:highlight w:val="none"/>
              </w:rPr>
            </w:pPr>
          </w:p>
        </w:tc>
        <w:tc>
          <w:tcPr>
            <w:tcW w:w="111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bCs/>
                <w:color w:val="auto"/>
                <w:kern w:val="0"/>
                <w:sz w:val="22"/>
                <w:highlight w:val="none"/>
              </w:rPr>
            </w:pPr>
          </w:p>
        </w:tc>
        <w:tc>
          <w:tcPr>
            <w:tcW w:w="169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bCs/>
                <w:color w:val="auto"/>
                <w:kern w:val="0"/>
                <w:sz w:val="22"/>
                <w:highlight w:val="none"/>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b/>
                <w:bCs/>
                <w:color w:val="auto"/>
                <w:kern w:val="0"/>
                <w:sz w:val="22"/>
                <w:highlight w:val="none"/>
              </w:rPr>
            </w:pP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监理</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工程</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咨询</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成本</w:t>
            </w:r>
          </w:p>
        </w:tc>
      </w:tr>
      <w:tr>
        <w:tblPrEx>
          <w:tblCellMar>
            <w:top w:w="0" w:type="dxa"/>
            <w:left w:w="108" w:type="dxa"/>
            <w:bottom w:w="0" w:type="dxa"/>
            <w:right w:w="108" w:type="dxa"/>
          </w:tblCellMar>
        </w:tblPrEx>
        <w:trPr>
          <w:trHeight w:val="90" w:hRule="atLeast"/>
        </w:trPr>
        <w:tc>
          <w:tcPr>
            <w:tcW w:w="150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一、竣工图</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40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color w:val="auto"/>
                <w:kern w:val="0"/>
                <w:szCs w:val="24"/>
                <w:highlight w:val="none"/>
              </w:rPr>
            </w:pPr>
            <w:r>
              <w:rPr>
                <w:rFonts w:hint="eastAsia" w:ascii="宋体" w:hAnsi="宋体" w:cs="宋体"/>
                <w:color w:val="auto"/>
                <w:kern w:val="0"/>
                <w:szCs w:val="24"/>
                <w:highlight w:val="none"/>
              </w:rPr>
              <w:t>　</w:t>
            </w: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空调竣工图</w:t>
            </w:r>
          </w:p>
        </w:tc>
        <w:tc>
          <w:tcPr>
            <w:tcW w:w="169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1、用于结算的竣工图必须有承包人竣工图专用章及其相关人员签字，有监理单位和发包人的审核人签字和单位盖章确认。                                                                                                               2、竣工图是工程项目完工后实物状况的反映，经发包人、设计、监理等单位确认的图纸会审记录、设计变更、工程洽商记录、监理工程师通知或发包人施工指令等内容均应如实反映在相应的竣工图上。对未在竣工图上反映的图纸会审记录、设计变更和工程洽商记录等内容其费用的增减，在结算审核中不予考虑。                                                                                     </w:t>
            </w:r>
          </w:p>
        </w:tc>
        <w:tc>
          <w:tcPr>
            <w:tcW w:w="31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结构竣工图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燃气竣工图</w:t>
            </w:r>
          </w:p>
        </w:tc>
        <w:tc>
          <w:tcPr>
            <w:tcW w:w="16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4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钢结构竣工图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电梯竣工图</w:t>
            </w:r>
          </w:p>
        </w:tc>
        <w:tc>
          <w:tcPr>
            <w:tcW w:w="16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4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幕墙竣工图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室外给水竣工图</w:t>
            </w:r>
          </w:p>
        </w:tc>
        <w:tc>
          <w:tcPr>
            <w:tcW w:w="16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4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二次装修竣工图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室外排水竣工图</w:t>
            </w:r>
          </w:p>
        </w:tc>
        <w:tc>
          <w:tcPr>
            <w:tcW w:w="16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4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人防竣工图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室外电力竣工图</w:t>
            </w:r>
          </w:p>
        </w:tc>
        <w:tc>
          <w:tcPr>
            <w:tcW w:w="16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4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给排水竣工图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室外电讯竣工图</w:t>
            </w:r>
          </w:p>
        </w:tc>
        <w:tc>
          <w:tcPr>
            <w:tcW w:w="16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4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电气竣工图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室外燃气竣工图</w:t>
            </w:r>
          </w:p>
        </w:tc>
        <w:tc>
          <w:tcPr>
            <w:tcW w:w="16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4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消防竣工图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室外道路竣工图</w:t>
            </w:r>
          </w:p>
        </w:tc>
        <w:tc>
          <w:tcPr>
            <w:tcW w:w="16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4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智能化竣工图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室外绿化竣工图</w:t>
            </w:r>
          </w:p>
        </w:tc>
        <w:tc>
          <w:tcPr>
            <w:tcW w:w="16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4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4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通风竣工图</w:t>
            </w:r>
          </w:p>
        </w:tc>
        <w:tc>
          <w:tcPr>
            <w:tcW w:w="139"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486" w:type="pct"/>
            <w:tcBorders>
              <w:top w:val="nil"/>
              <w:left w:val="nil"/>
              <w:bottom w:val="single" w:color="auto" w:sz="4" w:space="0"/>
              <w:right w:val="single" w:color="auto" w:sz="4" w:space="0"/>
            </w:tcBorders>
            <w:shd w:val="clear" w:color="auto" w:fill="auto"/>
            <w:noWrap/>
            <w:vAlign w:val="center"/>
          </w:tcPr>
          <w:p>
            <w:pPr>
              <w:widowControl/>
              <w:spacing w:line="240" w:lineRule="auto"/>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其他专业图纸</w:t>
            </w:r>
          </w:p>
        </w:tc>
        <w:tc>
          <w:tcPr>
            <w:tcW w:w="169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16"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1"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360"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c>
          <w:tcPr>
            <w:tcW w:w="4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496" w:hRule="atLeast"/>
        </w:trPr>
        <w:tc>
          <w:tcPr>
            <w:tcW w:w="150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二、招标图纸</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采用总价包干合同的招标工程，要提供业主盖章确认的原始招标图纸</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u w:val="single"/>
              </w:rPr>
            </w:pP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285" w:hRule="atLeast"/>
        </w:trPr>
        <w:tc>
          <w:tcPr>
            <w:tcW w:w="150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三、A类结算资料</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rPr>
                <w:rFonts w:ascii="宋体" w:hAnsi="宋体" w:cs="宋体"/>
                <w:color w:val="auto"/>
                <w:kern w:val="0"/>
                <w:sz w:val="15"/>
                <w:szCs w:val="15"/>
                <w:highlight w:val="none"/>
              </w:rPr>
            </w:pPr>
            <w:r>
              <w:rPr>
                <w:rFonts w:hint="eastAsia" w:ascii="宋体" w:hAnsi="宋体" w:cs="宋体"/>
                <w:color w:val="auto"/>
                <w:kern w:val="0"/>
                <w:sz w:val="15"/>
                <w:szCs w:val="15"/>
                <w:highlight w:val="none"/>
              </w:rPr>
              <w:t>　</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　</w:t>
            </w:r>
          </w:p>
        </w:tc>
        <w:tc>
          <w:tcPr>
            <w:tcW w:w="36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361"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360"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color w:val="auto"/>
                <w:kern w:val="0"/>
                <w:szCs w:val="24"/>
                <w:highlight w:val="none"/>
              </w:rPr>
            </w:pPr>
            <w:r>
              <w:rPr>
                <w:rFonts w:hint="eastAsia" w:ascii="宋体" w:hAnsi="宋体" w:cs="宋体"/>
                <w:color w:val="auto"/>
                <w:kern w:val="0"/>
                <w:szCs w:val="24"/>
                <w:highlight w:val="none"/>
              </w:rPr>
              <w:t>　</w:t>
            </w:r>
          </w:p>
        </w:tc>
        <w:tc>
          <w:tcPr>
            <w:tcW w:w="40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color w:val="auto"/>
                <w:kern w:val="0"/>
                <w:szCs w:val="24"/>
                <w:highlight w:val="none"/>
              </w:rPr>
            </w:pPr>
            <w:r>
              <w:rPr>
                <w:rFonts w:hint="eastAsia" w:ascii="宋体" w:hAnsi="宋体" w:cs="宋体"/>
                <w:color w:val="auto"/>
                <w:kern w:val="0"/>
                <w:szCs w:val="24"/>
                <w:highlight w:val="none"/>
              </w:rPr>
              <w:t>　</w:t>
            </w:r>
          </w:p>
        </w:tc>
      </w:tr>
      <w:tr>
        <w:tblPrEx>
          <w:tblCellMar>
            <w:top w:w="0" w:type="dxa"/>
            <w:left w:w="108" w:type="dxa"/>
            <w:bottom w:w="0" w:type="dxa"/>
            <w:right w:w="108" w:type="dxa"/>
          </w:tblCellMar>
        </w:tblPrEx>
        <w:trPr>
          <w:trHeight w:val="524"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承包方送审结算书 （含电子文档）</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按原投标清单内、清单外、现场签证、其他费用签认单等不同的结算项目进行详细分类</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份</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264"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工程量计算稿（含电子文档）</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工程量计算书应由工程量汇总表和详细的工程量计算式组成</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56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钢筋抽料表（含电子文档）</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要求提供详细的抽料表和明细汇总表，详细的抽料表应注明钢筋所在构件名称、施工部位、钢筋编号等。</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285" w:hRule="atLeast"/>
        </w:trPr>
        <w:tc>
          <w:tcPr>
            <w:tcW w:w="150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四、B类结算资料</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466"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招标文件（包含答疑、补充文件、招标最高限价）</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尽量提供原件，没有的可以提供复印件，但复印件必须盖章确认与原件相符</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67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投标文件（包含技术标和经济标）</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尽量提供原件，没有的可以提供复印件，但复印件必须盖章确认与原件相符</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28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中标通知书</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份</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67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施工合同（含补充合同、协议书）</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尽量提供原件，没有的可以提供复印件，但复印件必须经业主盖章确认与原件相符</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份</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28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开工报告</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份</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356"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验收报告</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根据结算内容提供竣工验收报告或分部（子分部）质量验收报告</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份</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285" w:hRule="atLeast"/>
        </w:trPr>
        <w:tc>
          <w:tcPr>
            <w:tcW w:w="150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五、C类结算资料</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1350"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施工方案（含分部（子分部）及专项施工方案）</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经监理、业主审批盖章确认的最终实施方案。要求编制汇总目录，以及按时间先后顺序及编号整理装订成册，然后在每一页的下方统一编号便于查找。</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28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地质勘察资料</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450"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原地面标高测量记录</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要求必须要有监理、业主人员签字及单位盖章确认。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份</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883"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地基与基础工程施工及验收记录</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要求编制汇总目录，以及按时间先后顺序及编号整理装订成册，然后在每一页的下方统一编号便于查找。要求必须要有验收单位人员签字及单位盖章确认。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份</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656"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图纸会审（开工到竣工全部）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要求编制汇总目录，以及按时间先后顺序整理装订成册。图纸会审记录须有各单位参加会审人员签字及会审单位盖章确认。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1119"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设计变更（开工到竣工全部）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安装工程要分专业）装订成册，然后在每一页的下方统一编号便于查找。设计变更单要求有设计人员的签名及设计单位的盖章，要求有发包人同意按相关的设计变更进行施工的签认意见和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976"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现场签证</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现场签证必须明确签证出现的原因、详细描述签证实施的过程、明确签证的内容、数量、单位、部位、日期并提供详尽的计算过程和签证的支持依据，并有监理单位和发包人相关人员签字和单位盖章确认。要求编制汇总目录，以及按时间先后顺序及编号整理装订成册，然后在每一页的下方统一编号便于查找。</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692"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工程联系单（开工到竣工全部）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要求编制汇总目录，以及按时间先后顺序及编号整理装订成册，然后在每一页的下方统一编号便于查找。要求有监理单位和发包人相关人员的签字和单位盖章确认。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834"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洽商记录（开工到竣工全部）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要求编制汇总目录，以及按时间先后顺序及编号整理装订成册，然后在每一页的下方统一编号便于查找。要求有监理单位和发包人相关人员的签字和单位盖章确认。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879"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结算相关的工程例会纪要及专题会议纪要</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要求编制汇总目录，以及按时间先后顺序及编号整理装订成册，然后在每一页的下方统一编号便于查找。要求有监理单位和发包人相关人员的签字和单位盖章确认。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1063"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监理工程师通知或业主单位施工指令（从开工到竣工全部）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要求编制汇总目录，以及按时间先后顺序及编号整理装订成册，然后在每一页的下方统一编号，以便于查找。每份审核单手续必需完备，要求有监理单位和发包人相关人员的签字和单位盖章确认。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285" w:hRule="atLeast"/>
        </w:trPr>
        <w:tc>
          <w:tcPr>
            <w:tcW w:w="150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六、D类结算资料</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1336"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工程材料/设备看样、选型、定板确认表          （开工到竣工全部）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必须明确选用材料/设备的供货厂商、产地、技术参数、具体型号及规格，并有业主同意使用的具体意见及盖章确认。要求编制汇总目录，以及按时间先后顺序及编号整理装订成册，然后在每一页的下方统一编号，以便于查找。</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409"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工程质量控制资料—主要材料、设备进场报验及监理检查记录（从开工到竣工全部）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要求编制汇总目录，以及按时间先后顺序及编号整理装订成册，然后在每一页的下方统一编号，以便于查找。要求必须要有监理单位签字及盖章确认。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900"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工程质量控制资料—主要材料、设备汇总表及产品质量证明文件（从开工到竣工全部）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要求编制汇总目录，以及按时间先后顺序及编号整理装订成册，然后在每一页的下方统一编号，以便于查找。</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504"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工程质量控制资料—材料、设备进场抽检报告及汇总表（从开工到竣工全部）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要求编制汇总目录，以及按时间先后顺序及编号整理装订成册，然后在每一页的下方统一编号，以便于查找。</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1575"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材料设备单价审核单（从开工到竣工全部）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要求编制汇总目录，以及按时间先后顺序及编号整理装订成册，然后在每一页的下方统一编号，以便于查找。每份审核单手续必需完备，要求有监理单位和发包人相关人员的签字和单位盖章确认。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2014"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综合单价申报/审批表（从开工到竣工全部）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以便于查找。每份审核单手续必需完备，应附有相关的资料或注明相关资料在送审结算资料的哪一部分和哪一页位置上，如材料设备专题会议纪录、设计变更、工程洽商记录、监理工程师通知等，并有监理单位和发包人相关人员的签字和单位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1056" w:hRule="atLeast"/>
        </w:trPr>
        <w:tc>
          <w:tcPr>
            <w:tcW w:w="144"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248" w:type="pct"/>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0"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甲供材料收货验收签收单（从开工到竣工全部）</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要求编制汇总目录，以及按时间先后顺序及编号整理装订成册，然后在每一页的下方统一编号，以便于查找。每份审核单手续必需完备，要求有监理单位和发包人相关人员的签字和单位盖章确认。</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套</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c>
          <w:tcPr>
            <w:tcW w:w="405"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□是：□否</w:t>
            </w:r>
          </w:p>
        </w:tc>
      </w:tr>
      <w:tr>
        <w:tblPrEx>
          <w:tblCellMar>
            <w:top w:w="0" w:type="dxa"/>
            <w:left w:w="108" w:type="dxa"/>
            <w:bottom w:w="0" w:type="dxa"/>
            <w:right w:w="108" w:type="dxa"/>
          </w:tblCellMar>
        </w:tblPrEx>
        <w:trPr>
          <w:trHeight w:val="450" w:hRule="atLeast"/>
        </w:trPr>
        <w:tc>
          <w:tcPr>
            <w:tcW w:w="150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七、结算其他补充资料</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凡上述未提及而在结算中需要的资料均需提供</w:t>
            </w: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0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color w:val="auto"/>
                <w:kern w:val="0"/>
                <w:szCs w:val="24"/>
                <w:highlight w:val="none"/>
              </w:rPr>
            </w:pPr>
            <w:r>
              <w:rPr>
                <w:rFonts w:hint="eastAsia" w:ascii="宋体" w:hAnsi="宋体" w:cs="宋体"/>
                <w:color w:val="auto"/>
                <w:kern w:val="0"/>
                <w:szCs w:val="24"/>
                <w:highlight w:val="none"/>
              </w:rPr>
              <w:t>　</w:t>
            </w:r>
          </w:p>
        </w:tc>
      </w:tr>
      <w:tr>
        <w:tblPrEx>
          <w:tblCellMar>
            <w:top w:w="0" w:type="dxa"/>
            <w:left w:w="108" w:type="dxa"/>
            <w:bottom w:w="0" w:type="dxa"/>
            <w:right w:w="108" w:type="dxa"/>
          </w:tblCellMar>
        </w:tblPrEx>
        <w:trPr>
          <w:trHeight w:val="450" w:hRule="atLeast"/>
        </w:trPr>
        <w:tc>
          <w:tcPr>
            <w:tcW w:w="1502"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各单位（部门）签收</w:t>
            </w:r>
          </w:p>
        </w:tc>
        <w:tc>
          <w:tcPr>
            <w:tcW w:w="1696" w:type="pct"/>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color w:val="auto"/>
                <w:kern w:val="0"/>
                <w:sz w:val="18"/>
                <w:szCs w:val="18"/>
                <w:highlight w:val="none"/>
              </w:rPr>
            </w:pPr>
          </w:p>
        </w:tc>
        <w:tc>
          <w:tcPr>
            <w:tcW w:w="316"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p>
        </w:tc>
        <w:tc>
          <w:tcPr>
            <w:tcW w:w="361"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p>
        </w:tc>
        <w:tc>
          <w:tcPr>
            <w:tcW w:w="360" w:type="pct"/>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cs="宋体"/>
                <w:color w:val="auto"/>
                <w:kern w:val="0"/>
                <w:sz w:val="18"/>
                <w:szCs w:val="18"/>
                <w:highlight w:val="none"/>
              </w:rPr>
            </w:pPr>
          </w:p>
        </w:tc>
        <w:tc>
          <w:tcPr>
            <w:tcW w:w="405"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宋体"/>
                <w:color w:val="auto"/>
                <w:kern w:val="0"/>
                <w:szCs w:val="24"/>
                <w:highlight w:val="none"/>
              </w:rPr>
            </w:pPr>
          </w:p>
        </w:tc>
      </w:tr>
      <w:tr>
        <w:trPr>
          <w:trHeight w:val="1200" w:hRule="atLeast"/>
        </w:trPr>
        <w:tc>
          <w:tcPr>
            <w:tcW w:w="5000" w:type="pct"/>
            <w:gridSpan w:val="11"/>
            <w:tcBorders>
              <w:top w:val="nil"/>
              <w:left w:val="nil"/>
              <w:bottom w:val="nil"/>
              <w:right w:val="nil"/>
            </w:tcBorders>
            <w:shd w:val="clear" w:color="auto" w:fill="auto"/>
            <w:vAlign w:val="center"/>
          </w:tcPr>
          <w:p>
            <w:pPr>
              <w:widowControl/>
              <w:spacing w:line="240" w:lineRule="auto"/>
              <w:jc w:val="left"/>
              <w:rPr>
                <w:rFonts w:ascii="宋体" w:hAnsi="宋体" w:cs="宋体"/>
                <w:color w:val="auto"/>
                <w:kern w:val="0"/>
                <w:sz w:val="20"/>
                <w:highlight w:val="none"/>
              </w:rPr>
            </w:pPr>
            <w:r>
              <w:rPr>
                <w:rFonts w:hint="eastAsia" w:ascii="宋体" w:hAnsi="宋体" w:cs="宋体"/>
                <w:color w:val="auto"/>
                <w:kern w:val="0"/>
                <w:sz w:val="20"/>
                <w:highlight w:val="none"/>
              </w:rPr>
              <w:t>注：1、若该表为监理单位接收施工单位上报结算资料时填写，应在施工单位上报结算资料的基础上进行编制整理；若该表为监理单位向业主移交结算资料时填写，结算送审资料应在监理单位审核完毕的竣工资料基础上进行编制整理；若该表为业主向集团成本工程部移交结算资料时填写，结算送审资料应在业主、监理单位、施工单位三方确认的竣工结算资料基础上编制整理。2、本表一式两份，双方各持一份。</w:t>
            </w:r>
          </w:p>
        </w:tc>
      </w:tr>
      <w:tr>
        <w:tblPrEx>
          <w:tblCellMar>
            <w:top w:w="0" w:type="dxa"/>
            <w:left w:w="108" w:type="dxa"/>
            <w:bottom w:w="0" w:type="dxa"/>
            <w:right w:w="108" w:type="dxa"/>
          </w:tblCellMar>
        </w:tblPrEx>
        <w:trPr>
          <w:trHeight w:val="285" w:hRule="atLeast"/>
        </w:trPr>
        <w:tc>
          <w:tcPr>
            <w:tcW w:w="5000" w:type="pct"/>
            <w:gridSpan w:val="11"/>
            <w:tcBorders>
              <w:top w:val="nil"/>
              <w:left w:val="nil"/>
              <w:bottom w:val="nil"/>
              <w:right w:val="nil"/>
            </w:tcBorders>
            <w:shd w:val="clear" w:color="auto" w:fill="auto"/>
            <w:noWrap/>
            <w:vAlign w:val="center"/>
          </w:tcPr>
          <w:p>
            <w:pPr>
              <w:widowControl/>
              <w:spacing w:line="240" w:lineRule="auto"/>
              <w:jc w:val="left"/>
              <w:rPr>
                <w:rFonts w:ascii="宋体" w:hAnsi="宋体" w:cs="宋体"/>
                <w:color w:val="auto"/>
                <w:kern w:val="0"/>
                <w:szCs w:val="24"/>
                <w:highlight w:val="none"/>
              </w:rPr>
            </w:pPr>
            <w:r>
              <w:rPr>
                <w:rFonts w:hint="eastAsia" w:ascii="宋体" w:hAnsi="宋体" w:cs="宋体"/>
                <w:color w:val="auto"/>
                <w:kern w:val="0"/>
                <w:szCs w:val="24"/>
                <w:highlight w:val="none"/>
              </w:rPr>
              <w:t xml:space="preserve">                         送审单位（盖章）：                   移交人：                 日期：          </w:t>
            </w:r>
          </w:p>
        </w:tc>
      </w:tr>
    </w:tbl>
    <w:p>
      <w:pPr>
        <w:pStyle w:val="99"/>
        <w:tabs>
          <w:tab w:val="left" w:pos="8600"/>
        </w:tabs>
        <w:autoSpaceDE w:val="0"/>
        <w:autoSpaceDN w:val="0"/>
        <w:adjustRightInd w:val="0"/>
        <w:spacing w:line="330" w:lineRule="exact"/>
        <w:ind w:right="630"/>
        <w:rPr>
          <w:color w:val="auto"/>
          <w:highlight w:val="none"/>
        </w:rPr>
      </w:pPr>
    </w:p>
    <w:p>
      <w:pPr>
        <w:pStyle w:val="99"/>
        <w:tabs>
          <w:tab w:val="left" w:pos="8600"/>
        </w:tabs>
        <w:autoSpaceDE w:val="0"/>
        <w:autoSpaceDN w:val="0"/>
        <w:adjustRightInd w:val="0"/>
        <w:spacing w:line="330" w:lineRule="exact"/>
        <w:ind w:right="630"/>
        <w:rPr>
          <w:color w:val="auto"/>
          <w:highlight w:val="none"/>
        </w:rPr>
      </w:pPr>
    </w:p>
    <w:p>
      <w:pPr>
        <w:pStyle w:val="99"/>
        <w:tabs>
          <w:tab w:val="left" w:pos="8600"/>
        </w:tabs>
        <w:autoSpaceDE w:val="0"/>
        <w:autoSpaceDN w:val="0"/>
        <w:adjustRightInd w:val="0"/>
        <w:spacing w:line="330" w:lineRule="exact"/>
        <w:ind w:right="630"/>
        <w:rPr>
          <w:color w:val="auto"/>
          <w:highlight w:val="none"/>
        </w:rPr>
        <w:sectPr>
          <w:endnotePr>
            <w:numFmt w:val="decimal"/>
          </w:endnotePr>
          <w:pgSz w:w="16838" w:h="11906" w:orient="landscape"/>
          <w:pgMar w:top="1361" w:right="1361" w:bottom="884" w:left="1134" w:header="851" w:footer="850" w:gutter="0"/>
          <w:pgBorders>
            <w:top w:val="none" w:sz="0" w:space="0"/>
            <w:left w:val="none" w:sz="0" w:space="0"/>
            <w:bottom w:val="none" w:sz="0" w:space="0"/>
            <w:right w:val="none" w:sz="0" w:space="0"/>
          </w:pgBorders>
          <w:cols w:space="0" w:num="1"/>
          <w:docGrid w:type="lines" w:linePitch="333" w:charSpace="0"/>
        </w:sectPr>
      </w:pPr>
    </w:p>
    <w:p>
      <w:pPr>
        <w:jc w:val="left"/>
        <w:rPr>
          <w:color w:val="auto"/>
          <w:highlight w:val="none"/>
        </w:rPr>
      </w:pPr>
      <w:r>
        <w:rPr>
          <w:rFonts w:hint="eastAsia"/>
          <w:color w:val="auto"/>
          <w:highlight w:val="none"/>
        </w:rPr>
        <w:t>附件十一：</w:t>
      </w:r>
    </w:p>
    <w:p>
      <w:pPr>
        <w:jc w:val="center"/>
        <w:rPr>
          <w:rFonts w:ascii="黑体" w:eastAsia="黑体"/>
          <w:b/>
          <w:bCs/>
          <w:color w:val="auto"/>
          <w:sz w:val="32"/>
          <w:highlight w:val="none"/>
        </w:rPr>
      </w:pPr>
      <w:r>
        <w:rPr>
          <w:rFonts w:hint="eastAsia" w:ascii="黑体" w:eastAsia="黑体"/>
          <w:b/>
          <w:bCs/>
          <w:color w:val="auto"/>
          <w:sz w:val="32"/>
          <w:highlight w:val="none"/>
        </w:rPr>
        <w:t>审 核</w:t>
      </w:r>
      <w:r>
        <w:rPr>
          <w:rFonts w:ascii="黑体" w:eastAsia="黑体"/>
          <w:b/>
          <w:bCs/>
          <w:color w:val="auto"/>
          <w:sz w:val="32"/>
          <w:highlight w:val="none"/>
        </w:rPr>
        <w:t xml:space="preserve"> </w:t>
      </w:r>
      <w:r>
        <w:rPr>
          <w:rFonts w:hint="eastAsia" w:ascii="黑体" w:eastAsia="黑体"/>
          <w:b/>
          <w:bCs/>
          <w:color w:val="auto"/>
          <w:sz w:val="32"/>
          <w:highlight w:val="none"/>
        </w:rPr>
        <w:t>意 见</w:t>
      </w:r>
      <w:r>
        <w:rPr>
          <w:rFonts w:ascii="黑体" w:eastAsia="黑体"/>
          <w:b/>
          <w:bCs/>
          <w:color w:val="auto"/>
          <w:sz w:val="32"/>
          <w:highlight w:val="none"/>
        </w:rPr>
        <w:t xml:space="preserve"> </w:t>
      </w:r>
      <w:r>
        <w:rPr>
          <w:rFonts w:hint="eastAsia" w:ascii="黑体" w:eastAsia="黑体"/>
          <w:b/>
          <w:bCs/>
          <w:color w:val="auto"/>
          <w:sz w:val="32"/>
          <w:highlight w:val="none"/>
        </w:rPr>
        <w:t>通</w:t>
      </w:r>
      <w:r>
        <w:rPr>
          <w:rFonts w:ascii="黑体" w:eastAsia="黑体"/>
          <w:b/>
          <w:bCs/>
          <w:color w:val="auto"/>
          <w:sz w:val="32"/>
          <w:highlight w:val="none"/>
        </w:rPr>
        <w:t xml:space="preserve"> </w:t>
      </w:r>
      <w:r>
        <w:rPr>
          <w:rFonts w:hint="eastAsia" w:ascii="黑体" w:eastAsia="黑体"/>
          <w:b/>
          <w:bCs/>
          <w:color w:val="auto"/>
          <w:sz w:val="32"/>
          <w:highlight w:val="none"/>
        </w:rPr>
        <w:t>知 单</w:t>
      </w:r>
    </w:p>
    <w:p>
      <w:pPr>
        <w:spacing w:line="240" w:lineRule="exact"/>
        <w:jc w:val="left"/>
        <w:rPr>
          <w:rFonts w:ascii="黑体" w:eastAsia="黑体"/>
          <w:bCs/>
          <w:color w:val="auto"/>
          <w:sz w:val="18"/>
          <w:highlight w:val="none"/>
        </w:rPr>
      </w:pPr>
    </w:p>
    <w:p>
      <w:pPr>
        <w:pStyle w:val="99"/>
        <w:tabs>
          <w:tab w:val="left" w:pos="8600"/>
        </w:tabs>
        <w:autoSpaceDE w:val="0"/>
        <w:autoSpaceDN w:val="0"/>
        <w:adjustRightInd w:val="0"/>
        <w:spacing w:line="330" w:lineRule="exact"/>
        <w:ind w:right="630"/>
        <w:rPr>
          <w:rFonts w:ascii="宋体"/>
          <w:color w:val="auto"/>
          <w:highlight w:val="none"/>
        </w:rPr>
      </w:pPr>
      <w:r>
        <w:rPr>
          <w:rFonts w:hint="eastAsia" w:ascii="宋体"/>
          <w:color w:val="auto"/>
          <w:highlight w:val="none"/>
        </w:rPr>
        <w:t>日期：                                      编号：</w:t>
      </w:r>
    </w:p>
    <w:tbl>
      <w:tblPr>
        <w:tblStyle w:val="37"/>
        <w:tblW w:w="979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79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9798"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color w:val="auto"/>
                <w:szCs w:val="21"/>
                <w:highlight w:val="none"/>
              </w:rPr>
            </w:pPr>
            <w:r>
              <w:rPr>
                <w:rFonts w:hint="eastAsia" w:ascii="宋体"/>
                <w:color w:val="auto"/>
                <w:szCs w:val="21"/>
                <w:highlight w:val="none"/>
              </w:rPr>
              <w:t>合同名称：</w:t>
            </w:r>
            <w:r>
              <w:rPr>
                <w:rFonts w:ascii="宋体"/>
                <w:color w:val="auto"/>
                <w:szCs w:val="21"/>
                <w:highlight w:val="none"/>
              </w:rPr>
              <w:t xml:space="preserve">          </w:t>
            </w:r>
            <w:r>
              <w:rPr>
                <w:rFonts w:hint="eastAsia" w:ascii="宋体"/>
                <w:color w:val="auto"/>
                <w:szCs w:val="21"/>
                <w:highlight w:val="none"/>
              </w:rPr>
              <w:t xml:space="preserve">        </w:t>
            </w:r>
            <w:r>
              <w:rPr>
                <w:rFonts w:ascii="宋体"/>
                <w:color w:val="auto"/>
                <w:szCs w:val="21"/>
                <w:highlight w:val="none"/>
              </w:rPr>
              <w:t xml:space="preserve">              </w:t>
            </w:r>
            <w:r>
              <w:rPr>
                <w:rFonts w:hint="eastAsia" w:ascii="宋体"/>
                <w:color w:val="auto"/>
                <w:szCs w:val="21"/>
                <w:highlight w:val="none"/>
              </w:rPr>
              <w:t xml:space="preserve">  </w:t>
            </w:r>
            <w:r>
              <w:rPr>
                <w:rFonts w:ascii="宋体"/>
                <w:color w:val="auto"/>
                <w:szCs w:val="21"/>
                <w:highlight w:val="none"/>
              </w:rPr>
              <w:t xml:space="preserve">  </w:t>
            </w:r>
            <w:r>
              <w:rPr>
                <w:rFonts w:hint="eastAsia" w:ascii="宋体"/>
                <w:color w:val="auto"/>
                <w:szCs w:val="21"/>
                <w:highlight w:val="none"/>
              </w:rPr>
              <w:t>合同号（委托单号）：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9876" w:hRule="atLeast"/>
          <w:jc w:val="center"/>
        </w:trPr>
        <w:tc>
          <w:tcPr>
            <w:tcW w:w="9798" w:type="dxa"/>
            <w:tcBorders>
              <w:top w:val="nil"/>
              <w:bottom w:val="single" w:color="auto" w:sz="4" w:space="0"/>
            </w:tcBorders>
          </w:tcPr>
          <w:p>
            <w:pPr>
              <w:spacing w:line="480" w:lineRule="auto"/>
              <w:jc w:val="left"/>
              <w:rPr>
                <w:rFonts w:ascii="宋体"/>
                <w:color w:val="auto"/>
                <w:sz w:val="10"/>
                <w:highlight w:val="none"/>
              </w:rPr>
            </w:pPr>
          </w:p>
          <w:p>
            <w:pPr>
              <w:spacing w:line="480" w:lineRule="auto"/>
              <w:ind w:firstLine="240" w:firstLineChars="100"/>
              <w:jc w:val="left"/>
              <w:rPr>
                <w:rFonts w:ascii="宋体"/>
                <w:color w:val="auto"/>
                <w:highlight w:val="none"/>
              </w:rPr>
            </w:pPr>
            <w:r>
              <w:rPr>
                <w:rFonts w:hint="eastAsia" w:ascii="宋体"/>
                <w:color w:val="auto"/>
                <w:szCs w:val="21"/>
                <w:highlight w:val="none"/>
              </w:rPr>
              <w:t>致</w:t>
            </w:r>
            <w:r>
              <w:rPr>
                <w:rFonts w:ascii="宋体"/>
                <w:color w:val="auto"/>
                <w:highlight w:val="none"/>
                <w:u w:val="single"/>
              </w:rPr>
              <w:t xml:space="preserve">             </w:t>
            </w:r>
            <w:r>
              <w:rPr>
                <w:rFonts w:hint="eastAsia" w:ascii="宋体"/>
                <w:color w:val="auto"/>
                <w:highlight w:val="none"/>
                <w:u w:val="single"/>
              </w:rPr>
              <w:t xml:space="preserve">                </w:t>
            </w:r>
            <w:r>
              <w:rPr>
                <w:rFonts w:hint="eastAsia" w:ascii="宋体"/>
                <w:color w:val="auto"/>
                <w:szCs w:val="21"/>
                <w:highlight w:val="none"/>
              </w:rPr>
              <w:t>：</w:t>
            </w:r>
          </w:p>
          <w:p>
            <w:pPr>
              <w:spacing w:line="480" w:lineRule="auto"/>
              <w:ind w:right="206" w:rightChars="86" w:firstLine="720"/>
              <w:jc w:val="left"/>
              <w:rPr>
                <w:rFonts w:ascii="宋体"/>
                <w:color w:val="auto"/>
                <w:highlight w:val="none"/>
                <w:u w:val="single"/>
              </w:rPr>
            </w:pPr>
            <w:r>
              <w:rPr>
                <w:rFonts w:hint="eastAsia" w:ascii="宋体"/>
                <w:color w:val="auto"/>
                <w:szCs w:val="21"/>
                <w:highlight w:val="none"/>
              </w:rPr>
              <w:t>事 由：</w:t>
            </w:r>
            <w:r>
              <w:rPr>
                <w:rFonts w:hint="eastAsia" w:ascii="宋体"/>
                <w:color w:val="auto"/>
                <w:highlight w:val="none"/>
              </w:rPr>
              <w:t>贵司于</w:t>
            </w:r>
            <w:r>
              <w:rPr>
                <w:rFonts w:hint="eastAsia" w:ascii="宋体"/>
                <w:color w:val="auto"/>
                <w:highlight w:val="none"/>
                <w:u w:val="single"/>
              </w:rPr>
              <w:t xml:space="preserve"> 　　</w:t>
            </w:r>
            <w:r>
              <w:rPr>
                <w:rFonts w:hint="eastAsia" w:ascii="宋体"/>
                <w:color w:val="auto"/>
                <w:highlight w:val="none"/>
              </w:rPr>
              <w:t>年</w:t>
            </w:r>
            <w:r>
              <w:rPr>
                <w:rFonts w:hint="eastAsia" w:ascii="宋体"/>
                <w:color w:val="auto"/>
                <w:highlight w:val="none"/>
                <w:u w:val="single"/>
              </w:rPr>
              <w:t>　　</w:t>
            </w:r>
            <w:r>
              <w:rPr>
                <w:rFonts w:hint="eastAsia" w:ascii="宋体"/>
                <w:color w:val="auto"/>
                <w:highlight w:val="none"/>
              </w:rPr>
              <w:t>月</w:t>
            </w:r>
            <w:r>
              <w:rPr>
                <w:rFonts w:hint="eastAsia" w:ascii="宋体"/>
                <w:color w:val="auto"/>
                <w:highlight w:val="none"/>
                <w:u w:val="single"/>
              </w:rPr>
              <w:t>　　</w:t>
            </w:r>
            <w:r>
              <w:rPr>
                <w:rFonts w:hint="eastAsia" w:ascii="宋体"/>
                <w:color w:val="auto"/>
                <w:highlight w:val="none"/>
              </w:rPr>
              <w:t>日送审的</w:t>
            </w:r>
            <w:r>
              <w:rPr>
                <w:rFonts w:hint="eastAsia" w:ascii="宋体"/>
                <w:color w:val="auto"/>
                <w:highlight w:val="none"/>
                <w:u w:val="single"/>
              </w:rPr>
              <w:t>　　　　　　　</w:t>
            </w:r>
            <w:r>
              <w:rPr>
                <w:rFonts w:hint="eastAsia" w:ascii="宋体"/>
                <w:color w:val="auto"/>
                <w:highlight w:val="none"/>
              </w:rPr>
              <w:t>工程结算资料，送审结算金额为￥</w:t>
            </w:r>
            <w:r>
              <w:rPr>
                <w:rFonts w:hint="eastAsia" w:ascii="宋体"/>
                <w:color w:val="auto"/>
                <w:highlight w:val="none"/>
                <w:u w:val="single"/>
              </w:rPr>
              <w:t>　　　　</w:t>
            </w:r>
            <w:r>
              <w:rPr>
                <w:rFonts w:hint="eastAsia" w:ascii="宋体"/>
                <w:color w:val="auto"/>
                <w:highlight w:val="none"/>
              </w:rPr>
              <w:t>元，经查核，尚欠缺以下资料，请于</w:t>
            </w:r>
            <w:r>
              <w:rPr>
                <w:rFonts w:hint="eastAsia" w:ascii="宋体"/>
                <w:color w:val="auto"/>
                <w:highlight w:val="none"/>
                <w:u w:val="single"/>
              </w:rPr>
              <w:t xml:space="preserve">  </w:t>
            </w:r>
            <w:r>
              <w:rPr>
                <w:rFonts w:hint="eastAsia" w:ascii="宋体"/>
                <w:color w:val="auto"/>
                <w:highlight w:val="none"/>
              </w:rPr>
              <w:t>年</w:t>
            </w:r>
            <w:r>
              <w:rPr>
                <w:rFonts w:hint="eastAsia" w:ascii="宋体"/>
                <w:color w:val="auto"/>
                <w:highlight w:val="none"/>
                <w:u w:val="single"/>
              </w:rPr>
              <w:t xml:space="preserve">  </w:t>
            </w:r>
            <w:r>
              <w:rPr>
                <w:rFonts w:hint="eastAsia" w:ascii="宋体"/>
                <w:color w:val="auto"/>
                <w:highlight w:val="none"/>
              </w:rPr>
              <w:t>月</w:t>
            </w:r>
            <w:r>
              <w:rPr>
                <w:rFonts w:hint="eastAsia" w:ascii="宋体"/>
                <w:color w:val="auto"/>
                <w:highlight w:val="none"/>
                <w:u w:val="single"/>
              </w:rPr>
              <w:t xml:space="preserve">   </w:t>
            </w:r>
            <w:r>
              <w:rPr>
                <w:rFonts w:hint="eastAsia" w:ascii="宋体"/>
                <w:color w:val="auto"/>
                <w:highlight w:val="none"/>
              </w:rPr>
              <w:t>日补充完善资料：</w:t>
            </w:r>
          </w:p>
          <w:p>
            <w:pPr>
              <w:ind w:firstLine="720" w:firstLineChars="300"/>
              <w:jc w:val="left"/>
              <w:rPr>
                <w:rFonts w:ascii="宋体"/>
                <w:color w:val="auto"/>
                <w:highlight w:val="none"/>
              </w:rPr>
            </w:pPr>
            <w:r>
              <w:rPr>
                <w:rFonts w:hint="eastAsia" w:ascii="宋体"/>
                <w:color w:val="auto"/>
                <w:szCs w:val="21"/>
                <w:highlight w:val="none"/>
              </w:rPr>
              <w:t>内 容：</w:t>
            </w:r>
            <w:bookmarkStart w:id="124" w:name="_GoBack"/>
            <w:bookmarkEnd w:id="124"/>
          </w:p>
          <w:p>
            <w:pPr>
              <w:spacing w:line="480" w:lineRule="auto"/>
              <w:ind w:firstLine="480" w:firstLineChars="200"/>
              <w:jc w:val="left"/>
              <w:rPr>
                <w:rFonts w:ascii="宋体"/>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1459865</wp:posOffset>
                      </wp:positionH>
                      <wp:positionV relativeFrom="paragraph">
                        <wp:posOffset>306070</wp:posOffset>
                      </wp:positionV>
                      <wp:extent cx="4261485" cy="1987550"/>
                      <wp:effectExtent l="299720" t="438785" r="10795" b="12065"/>
                      <wp:wrapNone/>
                      <wp:docPr id="10" name="对话气泡: 圆角矩形 10"/>
                      <wp:cNvGraphicFramePr/>
                      <a:graphic xmlns:a="http://schemas.openxmlformats.org/drawingml/2006/main">
                        <a:graphicData uri="http://schemas.microsoft.com/office/word/2010/wordprocessingShape">
                          <wps:wsp>
                            <wps:cNvSpPr>
                              <a:spLocks noChangeArrowheads="1"/>
                            </wps:cNvSpPr>
                            <wps:spPr bwMode="auto">
                              <a:xfrm>
                                <a:off x="0" y="0"/>
                                <a:ext cx="4261485" cy="1987550"/>
                              </a:xfrm>
                              <a:prstGeom prst="wedgeRoundRectCallout">
                                <a:avLst>
                                  <a:gd name="adj1" fmla="val -56168"/>
                                  <a:gd name="adj2" fmla="val -71454"/>
                                  <a:gd name="adj3" fmla="val 16667"/>
                                </a:avLst>
                              </a:prstGeom>
                              <a:solidFill>
                                <a:srgbClr val="FFFFFF"/>
                              </a:solidFill>
                              <a:ln w="9525">
                                <a:solidFill>
                                  <a:srgbClr val="000000"/>
                                </a:solidFill>
                                <a:miter lim="800000"/>
                              </a:ln>
                            </wps:spPr>
                            <wps:txbx>
                              <w:txbxContent>
                                <w:p>
                                  <w:pPr>
                                    <w:numPr>
                                      <w:ilvl w:val="0"/>
                                      <w:numId w:val="7"/>
                                    </w:numPr>
                                    <w:rPr>
                                      <w:color w:val="auto"/>
                                      <w:sz w:val="21"/>
                                      <w:szCs w:val="16"/>
                                    </w:rPr>
                                  </w:pPr>
                                  <w:r>
                                    <w:rPr>
                                      <w:rFonts w:hint="eastAsia"/>
                                      <w:color w:val="auto"/>
                                      <w:sz w:val="21"/>
                                      <w:szCs w:val="16"/>
                                    </w:rPr>
                                    <w:t>使用范围：提交资料存在问题，对对数成果一直不确认，对数怠慢等情况都需要发审核通知单，通知单内容根据具体问题进行调整</w:t>
                                  </w:r>
                                </w:p>
                                <w:p>
                                  <w:pPr>
                                    <w:numPr>
                                      <w:ilvl w:val="0"/>
                                      <w:numId w:val="7"/>
                                    </w:numPr>
                                    <w:rPr>
                                      <w:color w:val="auto"/>
                                      <w:sz w:val="21"/>
                                      <w:szCs w:val="16"/>
                                    </w:rPr>
                                  </w:pPr>
                                  <w:r>
                                    <w:rPr>
                                      <w:rFonts w:hint="eastAsia"/>
                                      <w:color w:val="auto"/>
                                      <w:sz w:val="21"/>
                                      <w:szCs w:val="16"/>
                                    </w:rPr>
                                    <w:t>编号要根据各个合同进行编号，不得断号，编号规则为QGH-***（指项目名称首字母缩写）-***（指合同编号首字母缩写）JSTZ-001，如水镇T区土建总包结算通知单为QGH-T-TJJSTZ-001</w:t>
                                  </w:r>
                                </w:p>
                              </w:txbxContent>
                            </wps:txbx>
                            <wps:bodyPr rot="0" vert="horz" wrap="square" lIns="91440" tIns="45720" rIns="91440" bIns="45720" anchor="t" anchorCtr="0" upright="1">
                              <a:noAutofit/>
                            </wps:bodyPr>
                          </wps:wsp>
                        </a:graphicData>
                      </a:graphic>
                    </wp:anchor>
                  </w:drawing>
                </mc:Choice>
                <mc:Fallback>
                  <w:pict>
                    <v:shape id="对话气泡: 圆角矩形 10" o:spid="_x0000_s1026" o:spt="62" type="#_x0000_t62" style="position:absolute;left:0pt;margin-left:114.95pt;margin-top:24.1pt;height:156.5pt;width:335.55pt;z-index:251663360;mso-width-relative:page;mso-height-relative:page;" fillcolor="#FFFFFF" filled="t" stroked="t" coordsize="21600,21600" o:gfxdata="UEsDBAoAAAAAAIdO4kAAAAAAAAAAAAAAAAAEAAAAZHJzL1BLAwQUAAAACACHTuJAifS/ndoAAAAK&#10;AQAADwAAAGRycy9kb3ducmV2LnhtbE2Py07DMBBF90j8gzVI7KidFFVJyKSLikpsuqBQiaVrD0na&#10;eBxi98HfY1awHM3RvefWy6sbxJmm0HtGyGYKBLHxtucW4f1t/VCACFGz1YNnQvimAMvm9qbWlfUX&#10;fqXzNrYihXCoNEIX41hJGUxHToeZH4nT79NPTsd0Tq20k76kcDfIXKmFdLrn1NDpkVYdmeP25BCK&#10;lTtuXj7m1my+yrU5xN2zP+wQ7+8y9QQi0jX+wfCrn9ShSU57f2IbxICQ52WZUITHIgeRgFJladwe&#10;Yb7IcpBNLf9PaH4AUEsDBBQAAAAIAIdO4kBt25ULkwIAABkFAAAOAAAAZHJzL2Uyb0RvYy54bWyt&#10;VM1u1DAQviPxDpbvbTZLkt1GzVbVVkVIBaoWHsAbO4nBP8H2brY8AA+AOIIQXBCnInHiwOO09DGY&#10;OGnJUg49kEM0k5n55pu/7O6tpUArZizXKsPh9ggjpnJNuSoz/PzZ4dYUI+uIokRoxTJ8xizem92/&#10;t9vUKRvrSgvKDAIQZdOmznDlXJ0Ggc0rJond1jVTYCy0kcSBasqAGtIAuhTBeDRKgkYbWhudM2vh&#10;60FnxD2iuQugLgqeswOdLyVTrkM1TBAHJdmK1xbPPNuiYLl7WhSWOSQyDJU6/4YkIC/adzDbJWlp&#10;SF3xvKdA7kLhr5ok4QqS3kAdEEfQ0vBbUJLnRltduO1cy6ArxHcEqghHf/XmtCI187VAq21903T7&#10;/2DzJ6tjgziFTYCWKCJh4hfnP67OP1x+e3f5/VOKLt6/ufry9tfHrxc/PyNwgo41tU0h8LQ+Nm3N&#10;tj7S+UuLlJ5XRJVs3xjdVIxQ4Bm2/sFGQKtYCEWL5rGmkI8snfbNWxdGtoDQFrT2Mzq7mRFbO5TD&#10;x2ichNE0xigHW7gzncSx5xSQ9Dq8NtY9ZFqiVshww2jJTvRS0RNYhzkRQi+dz0dWR9b5qdG+dEJf&#10;hBgVUsASrIhAW3ESJtN+SwZO4w2nSRjF0W2nB0OnMEmSiW8GSfu8QPmaqm+jFpweciG8YsrFXBgE&#10;JDJ86J8+2A7dhEJNhnficewL2rDZIcTIP/+CkNzBPQsuMzwdOgnVD66dVTdzt16s+/EvND2DERrd&#10;XRT8T0CotHmNUQPXlGH7akkMw0g8UrAGO2EUtefnlSiejEExQ8tiaCEqB6gMO4w6ce66k13WhpcV&#10;ZAp9uUrvw+oU3F3vWMeq5w0XA9LGSQ517/Xnjzb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n0&#10;v53aAAAACgEAAA8AAAAAAAAAAQAgAAAAIgAAAGRycy9kb3ducmV2LnhtbFBLAQIUABQAAAAIAIdO&#10;4kBt25ULkwIAABkFAAAOAAAAAAAAAAEAIAAAACkBAABkcnMvZTJvRG9jLnhtbFBLBQYAAAAABgAG&#10;AFkBAAAuBgAAAAA=&#10;" adj="-1332,-4634,14400">
                      <v:fill on="t" focussize="0,0"/>
                      <v:stroke color="#000000" miterlimit="8" joinstyle="miter"/>
                      <v:imagedata o:title=""/>
                      <o:lock v:ext="edit" aspectratio="f"/>
                      <v:textbox>
                        <w:txbxContent>
                          <w:p>
                            <w:pPr>
                              <w:numPr>
                                <w:ilvl w:val="0"/>
                                <w:numId w:val="7"/>
                              </w:numPr>
                              <w:rPr>
                                <w:color w:val="auto"/>
                                <w:sz w:val="21"/>
                                <w:szCs w:val="16"/>
                              </w:rPr>
                            </w:pPr>
                            <w:r>
                              <w:rPr>
                                <w:rFonts w:hint="eastAsia"/>
                                <w:color w:val="auto"/>
                                <w:sz w:val="21"/>
                                <w:szCs w:val="16"/>
                              </w:rPr>
                              <w:t>使用范围：提交资料存在问题，对对数成果一直不确认，对数怠慢等情况都需要发审核通知单，通知单内容根据具体问题进行调整</w:t>
                            </w:r>
                          </w:p>
                          <w:p>
                            <w:pPr>
                              <w:numPr>
                                <w:ilvl w:val="0"/>
                                <w:numId w:val="7"/>
                              </w:numPr>
                              <w:rPr>
                                <w:color w:val="auto"/>
                                <w:sz w:val="21"/>
                                <w:szCs w:val="16"/>
                              </w:rPr>
                            </w:pPr>
                            <w:r>
                              <w:rPr>
                                <w:rFonts w:hint="eastAsia"/>
                                <w:color w:val="auto"/>
                                <w:sz w:val="21"/>
                                <w:szCs w:val="16"/>
                              </w:rPr>
                              <w:t>编号要根据各个合同进行编号，不得断号，编号规则为QGH-***（指项目名称首字母缩写）-***（指合同编号首字母缩写）JSTZ-001，如水镇T区土建总包结算通知单为QGH-T-TJJSTZ-001</w:t>
                            </w:r>
                          </w:p>
                        </w:txbxContent>
                      </v:textbox>
                    </v:shape>
                  </w:pict>
                </mc:Fallback>
              </mc:AlternateContent>
            </w:r>
          </w:p>
          <w:p>
            <w:pPr>
              <w:spacing w:line="480" w:lineRule="auto"/>
              <w:ind w:firstLine="480" w:firstLineChars="200"/>
              <w:jc w:val="left"/>
              <w:rPr>
                <w:rFonts w:ascii="宋体"/>
                <w:color w:val="auto"/>
                <w:highlight w:val="none"/>
              </w:rPr>
            </w:pPr>
          </w:p>
          <w:p>
            <w:pPr>
              <w:spacing w:line="480" w:lineRule="auto"/>
              <w:ind w:firstLine="480" w:firstLineChars="200"/>
              <w:jc w:val="left"/>
              <w:rPr>
                <w:rFonts w:ascii="宋体"/>
                <w:color w:val="auto"/>
                <w:highlight w:val="none"/>
              </w:rPr>
            </w:pPr>
          </w:p>
          <w:p>
            <w:pPr>
              <w:spacing w:line="480" w:lineRule="auto"/>
              <w:ind w:firstLine="480" w:firstLineChars="200"/>
              <w:jc w:val="left"/>
              <w:rPr>
                <w:rFonts w:ascii="宋体"/>
                <w:color w:val="auto"/>
                <w:highlight w:val="none"/>
              </w:rPr>
            </w:pPr>
          </w:p>
          <w:p>
            <w:pPr>
              <w:spacing w:line="480" w:lineRule="auto"/>
              <w:ind w:firstLine="480" w:firstLineChars="200"/>
              <w:jc w:val="left"/>
              <w:rPr>
                <w:rFonts w:ascii="宋体"/>
                <w:color w:val="auto"/>
                <w:highlight w:val="none"/>
              </w:rPr>
            </w:pPr>
          </w:p>
          <w:p>
            <w:pPr>
              <w:spacing w:line="480" w:lineRule="auto"/>
              <w:ind w:firstLine="480" w:firstLineChars="200"/>
              <w:jc w:val="left"/>
              <w:rPr>
                <w:rFonts w:ascii="宋体"/>
                <w:color w:val="auto"/>
                <w:highlight w:val="none"/>
              </w:rPr>
            </w:pPr>
          </w:p>
          <w:p>
            <w:pPr>
              <w:spacing w:line="480" w:lineRule="auto"/>
              <w:jc w:val="left"/>
              <w:rPr>
                <w:rFonts w:ascii="宋体"/>
                <w:color w:val="auto"/>
                <w:highlight w:val="none"/>
              </w:rPr>
            </w:pPr>
          </w:p>
          <w:p>
            <w:pPr>
              <w:ind w:firstLine="480" w:firstLineChars="200"/>
              <w:jc w:val="left"/>
              <w:rPr>
                <w:rFonts w:ascii="宋体"/>
                <w:color w:val="auto"/>
                <w:szCs w:val="21"/>
                <w:highlight w:val="none"/>
              </w:rPr>
            </w:pPr>
            <w:r>
              <w:rPr>
                <w:rFonts w:hint="eastAsia" w:ascii="宋体"/>
                <w:color w:val="auto"/>
                <w:szCs w:val="21"/>
                <w:highlight w:val="none"/>
              </w:rPr>
              <w:t>审核单位（章）    经办人：</w:t>
            </w:r>
            <w:r>
              <w:rPr>
                <w:rFonts w:ascii="宋体"/>
                <w:color w:val="auto"/>
                <w:szCs w:val="21"/>
                <w:highlight w:val="none"/>
                <w:u w:val="single"/>
              </w:rPr>
              <w:t xml:space="preserve">   </w:t>
            </w:r>
            <w:r>
              <w:rPr>
                <w:rFonts w:hint="eastAsia" w:ascii="宋体"/>
                <w:color w:val="auto"/>
                <w:szCs w:val="21"/>
                <w:highlight w:val="none"/>
                <w:u w:val="single"/>
              </w:rPr>
              <w:t>　</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hint="eastAsia" w:ascii="宋体"/>
                <w:color w:val="auto"/>
                <w:szCs w:val="21"/>
                <w:highlight w:val="none"/>
              </w:rPr>
              <w:t>日期：</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rPr>
              <w:t>日</w:t>
            </w:r>
          </w:p>
          <w:p>
            <w:pPr>
              <w:ind w:firstLine="600" w:firstLineChars="250"/>
              <w:jc w:val="left"/>
              <w:rPr>
                <w:rFonts w:ascii="宋体"/>
                <w:color w:val="auto"/>
                <w:szCs w:val="21"/>
                <w:highlight w:val="none"/>
              </w:rPr>
            </w:pPr>
          </w:p>
          <w:p>
            <w:pPr>
              <w:ind w:firstLine="2640" w:firstLineChars="1100"/>
              <w:jc w:val="left"/>
              <w:rPr>
                <w:rFonts w:ascii="宋体"/>
                <w:color w:val="auto"/>
                <w:szCs w:val="21"/>
                <w:highlight w:val="none"/>
              </w:rPr>
            </w:pPr>
            <w:r>
              <w:rPr>
                <w:rFonts w:hint="eastAsia" w:ascii="宋体"/>
                <w:color w:val="auto"/>
                <w:szCs w:val="21"/>
                <w:highlight w:val="none"/>
              </w:rPr>
              <w:t>复核人：</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hint="eastAsia" w:ascii="宋体"/>
                <w:color w:val="auto"/>
                <w:szCs w:val="21"/>
                <w:highlight w:val="none"/>
              </w:rPr>
              <w:t>日期：</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rPr>
              <w:t>日</w:t>
            </w:r>
          </w:p>
          <w:p>
            <w:pPr>
              <w:jc w:val="left"/>
              <w:rPr>
                <w:rFonts w:ascii="宋体"/>
                <w:color w:val="auto"/>
                <w:szCs w:val="21"/>
                <w:highlight w:val="none"/>
                <w:u w:val="single"/>
              </w:rPr>
            </w:pPr>
          </w:p>
          <w:p>
            <w:pPr>
              <w:ind w:firstLine="2160" w:firstLineChars="900"/>
              <w:jc w:val="left"/>
              <w:rPr>
                <w:rFonts w:ascii="宋体"/>
                <w:color w:val="auto"/>
                <w:szCs w:val="21"/>
                <w:highlight w:val="none"/>
              </w:rPr>
            </w:pPr>
            <w:r>
              <w:rPr>
                <w:rFonts w:hint="eastAsia" w:ascii="宋体"/>
                <w:color w:val="auto"/>
                <w:szCs w:val="21"/>
                <w:highlight w:val="none"/>
              </w:rPr>
              <w:t>部门负责人：</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hint="eastAsia" w:ascii="宋体"/>
                <w:color w:val="auto"/>
                <w:szCs w:val="21"/>
                <w:highlight w:val="none"/>
              </w:rPr>
              <w:t>日期：</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rPr>
              <w:t>日</w:t>
            </w:r>
          </w:p>
          <w:p>
            <w:pPr>
              <w:jc w:val="left"/>
              <w:rPr>
                <w:rFonts w:asci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941" w:hRule="atLeast"/>
          <w:jc w:val="center"/>
        </w:trPr>
        <w:tc>
          <w:tcPr>
            <w:tcW w:w="9798" w:type="dxa"/>
            <w:tcBorders>
              <w:top w:val="single" w:color="auto" w:sz="4" w:space="0"/>
            </w:tcBorders>
          </w:tcPr>
          <w:p>
            <w:pPr>
              <w:spacing w:line="460" w:lineRule="atLeast"/>
              <w:ind w:firstLine="240" w:firstLineChars="100"/>
              <w:jc w:val="left"/>
              <w:rPr>
                <w:rFonts w:ascii="宋体"/>
                <w:color w:val="auto"/>
                <w:szCs w:val="21"/>
                <w:highlight w:val="none"/>
              </w:rPr>
            </w:pPr>
            <w:r>
              <w:rPr>
                <w:rFonts w:hint="eastAsia" w:ascii="宋体"/>
                <w:color w:val="auto"/>
                <w:szCs w:val="21"/>
                <w:highlight w:val="none"/>
              </w:rPr>
              <w:t>抄送单位：</w:t>
            </w:r>
          </w:p>
          <w:p>
            <w:pPr>
              <w:spacing w:line="460" w:lineRule="atLeast"/>
              <w:ind w:firstLine="240" w:firstLineChars="100"/>
              <w:jc w:val="left"/>
              <w:rPr>
                <w:rFonts w:ascii="宋体"/>
                <w:color w:val="auto"/>
                <w:szCs w:val="21"/>
                <w:highlight w:val="none"/>
              </w:rPr>
            </w:pPr>
          </w:p>
        </w:tc>
      </w:tr>
    </w:tbl>
    <w:p>
      <w:pPr>
        <w:pStyle w:val="99"/>
        <w:tabs>
          <w:tab w:val="left" w:pos="8600"/>
        </w:tabs>
        <w:autoSpaceDE w:val="0"/>
        <w:autoSpaceDN w:val="0"/>
        <w:adjustRightInd w:val="0"/>
        <w:spacing w:line="330" w:lineRule="exact"/>
        <w:ind w:right="630"/>
        <w:rPr>
          <w:rFonts w:ascii="宋体"/>
          <w:color w:val="auto"/>
          <w:highlight w:val="none"/>
        </w:rPr>
      </w:pPr>
    </w:p>
    <w:sectPr>
      <w:endnotePr>
        <w:numFmt w:val="decimal"/>
      </w:endnotePr>
      <w:pgSz w:w="11906" w:h="16838"/>
      <w:pgMar w:top="1361" w:right="884" w:bottom="1134" w:left="1361" w:header="851" w:footer="850" w:gutter="0"/>
      <w:pgBorders>
        <w:top w:val="none" w:sz="0" w:space="0"/>
        <w:left w:val="none" w:sz="0" w:space="0"/>
        <w:bottom w:val="none" w:sz="0" w:space="0"/>
        <w:right w:val="none" w:sz="0" w:space="0"/>
      </w:pgBorders>
      <w:cols w:space="0" w:num="1"/>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535"/>
        <w:tab w:val="clear" w:pos="4153"/>
      </w:tabs>
      <w:ind w:right="360"/>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53035" cy="296545"/>
              <wp:effectExtent l="0" t="0" r="1270" b="635"/>
              <wp:wrapNone/>
              <wp:docPr id="5"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53035" cy="296545"/>
                      </a:xfrm>
                      <a:prstGeom prst="rect">
                        <a:avLst/>
                      </a:prstGeom>
                      <a:noFill/>
                      <a:ln>
                        <a:noFill/>
                      </a:ln>
                    </wps:spPr>
                    <wps:txbx>
                      <w:txbxContent>
                        <w:p>
                          <w:pPr>
                            <w:snapToGrid w:val="0"/>
                            <w:rPr>
                              <w:rFonts w:ascii="宋体" w:hAnsi="宋体"/>
                              <w:szCs w:val="24"/>
                            </w:rPr>
                          </w:pPr>
                          <w:r>
                            <w:rPr>
                              <w:rFonts w:hint="eastAsia" w:ascii="宋体" w:hAnsi="宋体"/>
                              <w:szCs w:val="24"/>
                            </w:rPr>
                            <w:fldChar w:fldCharType="begin"/>
                          </w:r>
                          <w:r>
                            <w:rPr>
                              <w:rFonts w:hint="eastAsia" w:ascii="宋体" w:hAnsi="宋体"/>
                              <w:szCs w:val="24"/>
                            </w:rPr>
                            <w:instrText xml:space="preserve"> PAGE  \* MERGEFORMAT </w:instrText>
                          </w:r>
                          <w:r>
                            <w:rPr>
                              <w:rFonts w:hint="eastAsia" w:ascii="宋体" w:hAnsi="宋体"/>
                              <w:szCs w:val="24"/>
                            </w:rPr>
                            <w:fldChar w:fldCharType="separate"/>
                          </w:r>
                          <w:r>
                            <w:rPr>
                              <w:rFonts w:ascii="宋体" w:hAnsi="宋体"/>
                              <w:szCs w:val="24"/>
                            </w:rPr>
                            <w:t>1</w:t>
                          </w:r>
                          <w:r>
                            <w:rPr>
                              <w:rFonts w:hint="eastAsia" w:ascii="宋体" w:hAnsi="宋体"/>
                              <w:szCs w:val="24"/>
                            </w:rPr>
                            <w:fldChar w:fldCharType="end"/>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23.35pt;width:12.05pt;mso-position-horizontal:center;mso-position-horizontal-relative:margin;mso-wrap-style:none;z-index:251662336;mso-width-relative:page;mso-height-relative:page;" filled="f" stroked="f" coordsize="21600,21600" o:gfxdata="UEsDBAoAAAAAAIdO4kAAAAAAAAAAAAAAAAAEAAAAZHJzL1BLAwQUAAAACACHTuJAoAoQldEAAAAD&#10;AQAADwAAAGRycy9kb3ducmV2LnhtbE2PwWrDMBBE74X8g9hCb43sEJLgWM4hkEtvTUuht421sUyl&#10;lZEUx/77qr20l4Vhhpm39WFyVowUYu9ZQbksQBC3XvfcKXh/Oz3vQMSErNF6JgUzRTg0i4caK+3v&#10;/ErjOXUil3CsUIFJaaikjK0hh3HpB+LsXX1wmLIMndQB77ncWbkqio102HNeMDjQ0VD7db45Bdvp&#10;w9MQ6Uif17ENpp939mVW6umxLPYgEk3pLww/+Bkdmsx08TfWUVgF+ZH0e7O3WpcgLgrWmy3Ippb/&#10;2ZtvUEsDBBQAAAAIAIdO4kB/e6qaCwIAAAMEAAAOAAAAZHJzL2Uyb0RvYy54bWytU0uOEzEQ3SNx&#10;B8t70vmQEbTSGQ0TBSENH2mGAzhud9qi7bLKTrrDAeAGrNiw51w5x5Td6TAMm1mwscp2+dV7r8qL&#10;y840bK/Qa7AFn4zGnCkrodR2W/DPd+sXrzjzQdhSNGBVwQ/K88vl82eL1uVqCjU0pUJGINbnrSt4&#10;HYLLs8zLWhnhR+CUpcsK0IhAW9xmJYqW0E2TTcfji6wFLB2CVN7T6aq/5CdEfAogVJWWagVyZ5QN&#10;PSqqRgSS5GvtPF8mtlWlZPhYVV4F1hSclIa0UhGKN3HNlguRb1G4WssTBfEUCo80GaEtFT1DrUQQ&#10;bIf6HyijJYKHKowkmKwXkhwhFZPxI29ua+FU0kJWe3c23f8/WPlh/wmZLgs+58wKQw0//vh+/Pn7&#10;+Osbm8yiP63zOaXdOkoM3RvoaGqSVu9uQH7xzMJ1LexWXSFCWytREr9JfJk9eNrj+Aiyad9DSYXE&#10;LkAC6io00TyygxE69eZw7o3qApOx5Hw2nhFHSVfT1xfzl/NUQeTDY4c+vFVgWAwKjtT6BC72Nz5E&#10;MiIfUmItC2vdNKn9jf3rgBLjSSIf+fbMQ7fpTmZsoDyQDIR+mugvUVADfuWspUkquKWPw1nzzpIR&#10;ceiGAIdgMwTCSnpY8MBZH16Hfjh3DvW2JtzB6isya62TkOhqz+HEkmYj6TvNcRy+h/uU9efvLu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AoQldEAAAADAQAADwAAAAAAAAABACAAAAAiAAAAZHJz&#10;L2Rvd25yZXYueG1sUEsBAhQAFAAAAAgAh07iQH97qpoLAgAAAwQAAA4AAAAAAAAAAQAgAAAAIAEA&#10;AGRycy9lMm9Eb2MueG1sUEsFBgAAAAAGAAYAWQEAAJ0FAAAAAA==&#10;">
              <v:fill on="f" focussize="0,0"/>
              <v:stroke on="f"/>
              <v:imagedata o:title=""/>
              <o:lock v:ext="edit" aspectratio="f"/>
              <v:textbox inset="0mm,0mm,0mm,0mm" style="mso-fit-shape-to-text:t;">
                <w:txbxContent>
                  <w:p>
                    <w:pPr>
                      <w:snapToGrid w:val="0"/>
                      <w:rPr>
                        <w:rFonts w:ascii="宋体" w:hAnsi="宋体"/>
                        <w:szCs w:val="24"/>
                      </w:rPr>
                    </w:pPr>
                    <w:r>
                      <w:rPr>
                        <w:rFonts w:hint="eastAsia" w:ascii="宋体" w:hAnsi="宋体"/>
                        <w:szCs w:val="24"/>
                      </w:rPr>
                      <w:fldChar w:fldCharType="begin"/>
                    </w:r>
                    <w:r>
                      <w:rPr>
                        <w:rFonts w:hint="eastAsia" w:ascii="宋体" w:hAnsi="宋体"/>
                        <w:szCs w:val="24"/>
                      </w:rPr>
                      <w:instrText xml:space="preserve"> PAGE  \* MERGEFORMAT </w:instrText>
                    </w:r>
                    <w:r>
                      <w:rPr>
                        <w:rFonts w:hint="eastAsia" w:ascii="宋体" w:hAnsi="宋体"/>
                        <w:szCs w:val="24"/>
                      </w:rPr>
                      <w:fldChar w:fldCharType="separate"/>
                    </w:r>
                    <w:r>
                      <w:rPr>
                        <w:rFonts w:ascii="宋体" w:hAnsi="宋体"/>
                        <w:szCs w:val="24"/>
                      </w:rPr>
                      <w:t>1</w:t>
                    </w:r>
                    <w:r>
                      <w:rPr>
                        <w:rFonts w:hint="eastAsia" w:ascii="宋体" w:hAnsi="宋体"/>
                        <w:szCs w:val="24"/>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1"/>
      </w:rPr>
    </w:pPr>
    <w:r>
      <w:fldChar w:fldCharType="begin"/>
    </w:r>
    <w:r>
      <w:rPr>
        <w:rStyle w:val="41"/>
      </w:rPr>
      <w:instrText xml:space="preserve">PAGE  </w:instrText>
    </w:r>
    <w:r>
      <w:fldChar w:fldCharType="separate"/>
    </w:r>
    <w:r>
      <w:rPr>
        <w:rStyle w:val="41"/>
      </w:rPr>
      <w:t>35</w:t>
    </w:r>
    <w: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21"/>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262890"/>
              <wp:effectExtent l="0" t="0" r="1270"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3035" cy="262890"/>
                      </a:xfrm>
                      <a:prstGeom prst="rect">
                        <a:avLst/>
                      </a:prstGeom>
                      <a:noFill/>
                      <a:ln>
                        <a:noFill/>
                      </a:ln>
                    </wps:spPr>
                    <wps:txbx>
                      <w:txbxContent>
                        <w:p>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20.7pt;width:12.05pt;mso-position-horizontal:center;mso-position-horizontal-relative:margin;mso-wrap-style:none;z-index:251660288;mso-width-relative:page;mso-height-relative:page;" filled="f" stroked="f" coordsize="21600,21600" o:gfxdata="UEsDBAoAAAAAAIdO4kAAAAAAAAAAAAAAAAAEAAAAZHJzL1BLAwQUAAAACACHTuJAmioC19EAAAAD&#10;AQAADwAAAGRycy9kb3ducmV2LnhtbE2PwWrDMBBE74X8g9hCb43sYNrgWM4hkEtvTUuht421sUyl&#10;lZEUx/77qr20l4Vhhpm3zX52VkwU4uBZQbkuQBB3Xg/cK3h/Oz5uQcSErNF6JgULRdi3q7sGa+1v&#10;/ErTKfUil3CsUYFJaayljJ0hh3HtR+LsXXxwmLIMvdQBb7ncWbkpiifpcOC8YHCkg6Hu63R1Cp7n&#10;D09jpAN9XqYumGHZ2pdFqYf7stiBSDSnvzD84Gd0aDPT2V9ZR2EV5EfS783epipBnBVUZQWybeR/&#10;9vYbUEsDBBQAAAAIAIdO4kDpDYXUCwIAAAIEAAAOAAAAZHJzL2Uyb0RvYy54bWytU0tu2zAQ3Rfo&#10;HQjua8lOE6SC5SCN4aJA+gHSHoCmKIuoyCGGtCX3AO0Nusqm+57L5+iQstw03WTRDTEkh2/eezOc&#10;X/WmZTuFXoMt+XSSc6ashErbTck/f1q9uOTMB2Er0YJVJd8rz68Wz5/NO1eoGTTQVgoZgVhfdK7k&#10;TQiuyDIvG2WEn4BTli5rQCMCbXGTVSg6QjdtNsvzi6wDrByCVN7T6XK45EdEfAog1LWWaglya5QN&#10;AyqqVgSS5BvtPF8ktnWtZPhQ114F1paclIa0UhGK13HNFnNRbFC4RssjBfEUCo80GaEtFT1BLUUQ&#10;bIv6HyijJYKHOkwkmGwQkhwhFdP8kTd3jXAqaSGrvTuZ7v8frHy/+4hMVyV/yZkVhhp++PH9cP/r&#10;8PMbm0V7OucLyrpzlBf619DT0CSp3t2C/OKZhZtG2I26RoSuUaIietP4MnvwdMDxEWTdvYOK6oht&#10;gATU12iid+QGI3Rqzf7UGtUHJmPJ87P87JwzSVezi9nlq9S6TBTjY4c+vFFgWAxKjtT5BC52tz5E&#10;MqIYU2ItCyvdtqn7rf3rgBLjSSIf+Q7MQ7/uj2asodqTDIRhmOgrUdAAfuWso0EquaV/w1n71pIR&#10;cebGAMdgPQbCSnpY8sDZEN6EYTa3DvWmIdzR6msya6WTkOjqwOHIkkYj6TuOcZy9h/uU9efr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ioC19EAAAADAQAADwAAAAAAAAABACAAAAAiAAAAZHJz&#10;L2Rvd25yZXYueG1sUEsBAhQAFAAAAAgAh07iQOkNhdQLAgAAAgQAAA4AAAAAAAAAAQAgAAAAIAEA&#10;AGRycy9lMm9Eb2MueG1sUEsFBgAAAAAGAAYAWQEAAJ0FAAAAAA==&#10;">
              <v:fill on="f" focussize="0,0"/>
              <v:stroke on="f"/>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1"/>
      </w:rPr>
    </w:pPr>
    <w:r>
      <w:fldChar w:fldCharType="begin"/>
    </w:r>
    <w:r>
      <w:rPr>
        <w:rStyle w:val="41"/>
      </w:rPr>
      <w:instrText xml:space="preserve">PAGE  </w:instrText>
    </w:r>
    <w:r>
      <w:fldChar w:fldCharType="separate"/>
    </w:r>
    <w:r>
      <w:rPr>
        <w:rStyle w:val="41"/>
      </w:rPr>
      <w:t>35</w:t>
    </w:r>
    <w:r>
      <w:fldChar w:fldCharType="end"/>
    </w:r>
  </w:p>
  <w:p>
    <w:pPr>
      <w:pStyle w:val="2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21"/>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3035" cy="262890"/>
              <wp:effectExtent l="0" t="0" r="1270" b="0"/>
              <wp:wrapNone/>
              <wp:docPr id="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53035" cy="262890"/>
                      </a:xfrm>
                      <a:prstGeom prst="rect">
                        <a:avLst/>
                      </a:prstGeom>
                      <a:noFill/>
                      <a:ln>
                        <a:noFill/>
                      </a:ln>
                    </wps:spPr>
                    <wps:txbx>
                      <w:txbxContent>
                        <w:p>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20.7pt;width:12.05pt;mso-position-horizontal:center;mso-position-horizontal-relative:margin;mso-wrap-style:none;z-index:251661312;mso-width-relative:page;mso-height-relative:page;" filled="f" stroked="f" coordsize="21600,21600" o:gfxdata="UEsDBAoAAAAAAIdO4kAAAAAAAAAAAAAAAAAEAAAAZHJzL1BLAwQUAAAACACHTuJAmioC19EAAAAD&#10;AQAADwAAAGRycy9kb3ducmV2LnhtbE2PwWrDMBBE74X8g9hCb43sYNrgWM4hkEtvTUuht421sUyl&#10;lZEUx/77qr20l4Vhhpm3zX52VkwU4uBZQbkuQBB3Xg/cK3h/Oz5uQcSErNF6JgULRdi3q7sGa+1v&#10;/ErTKfUil3CsUYFJaayljJ0hh3HtR+LsXXxwmLIMvdQBb7ncWbkpiifpcOC8YHCkg6Hu63R1Cp7n&#10;D09jpAN9XqYumGHZ2pdFqYf7stiBSDSnvzD84Gd0aDPT2V9ZR2EV5EfS783epipBnBVUZQWybeR/&#10;9vYbUEsDBBQAAAAIAIdO4kCWx/B2CwIAAAIEAAAOAAAAZHJzL2Uyb0RvYy54bWytU0tu2zAQ3Rfo&#10;HQjua/nTBIlgOUhjuCiQfoC0B6ApyiIqcoghbck9QHuDrrLpvufyOTKkLDdNN1l0QwzJ4Zv33gzn&#10;V51p2E6h12ALPhmNOVNWQqntpuBfPq9eXXDmg7ClaMCqgu+V51eLly/mrcvVFGpoSoWMQKzPW1fw&#10;OgSXZ5mXtTLCj8ApS5cVoBGBtrjJShQtoZsmm47H51kLWDoEqbyn02V/yY+I+BxAqCot1RLk1igb&#10;elRUjQgkydfaeb5IbKtKyfCxqrwKrCk4KQ1ppSIUr+OaLeYi36BwtZZHCuI5FJ5oMkJbKnqCWoog&#10;2Bb1P1BGSwQPVRhJMFkvJDlCKibjJ97c1cKppIWs9u5kuv9/sPLD7hMyXRZ8xpkVhhp++PnjcP/7&#10;8Os7ex3taZ3PKevOUV7o3kBHQ5OkencL8qtnFm5qYTfqGhHaWomS6E3iy+zR0x7HR5B1+x5KqiO2&#10;ARJQV6GJ3pEbjNCpNftTa1QXmIwlz2bj2Rlnkq6m59OLy9S6TOTDY4c+vFVgWAwKjtT5BC52tz5E&#10;MiIfUmItCyvdNKn7jf3rgBLjSSIf+fbMQ7fujmasodyTDIR+mOgrUVADfuOspUEquKV/w1nzzpIR&#10;ceaGAIdgPQTCSnpY8MBZH96Efja3DvWmJtzB6msya6WTkOhqz+HIkkYj6TuOcZy9x/uU9efrLh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ioC19EAAAADAQAADwAAAAAAAAABACAAAAAiAAAAZHJz&#10;L2Rvd25yZXYueG1sUEsBAhQAFAAAAAgAh07iQJbH8HYLAgAAAgQAAA4AAAAAAAAAAQAgAAAAIAEA&#10;AGRycy9lMm9Eb2MueG1sUEsFBgAAAAAGAAYAWQEAAJ0FAAAAAA==&#10;">
              <v:fill on="f" focussize="0,0"/>
              <v:stroke on="f"/>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21"/>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9235" cy="262890"/>
              <wp:effectExtent l="0" t="0" r="1270" b="0"/>
              <wp:wrapNone/>
              <wp:docPr id="2" name="Text Box 22"/>
              <wp:cNvGraphicFramePr/>
              <a:graphic xmlns:a="http://schemas.openxmlformats.org/drawingml/2006/main">
                <a:graphicData uri="http://schemas.microsoft.com/office/word/2010/wordprocessingShape">
                  <wps:wsp>
                    <wps:cNvSpPr txBox="1">
                      <a:spLocks noChangeArrowheads="1"/>
                    </wps:cNvSpPr>
                    <wps:spPr bwMode="auto">
                      <a:xfrm>
                        <a:off x="0" y="0"/>
                        <a:ext cx="229235" cy="262890"/>
                      </a:xfrm>
                      <a:prstGeom prst="rect">
                        <a:avLst/>
                      </a:prstGeom>
                      <a:noFill/>
                      <a:ln>
                        <a:noFill/>
                      </a:ln>
                    </wps:spPr>
                    <wps:txbx>
                      <w:txbxContent>
                        <w:p>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20.7pt;width:18.05pt;mso-position-horizontal:center;mso-position-horizontal-relative:margin;mso-wrap-style:none;z-index:251661312;mso-width-relative:page;mso-height-relative:page;" filled="f" stroked="f" coordsize="21600,21600" o:gfxdata="UEsDBAoAAAAAAIdO4kAAAAAAAAAAAAAAAAAEAAAAZHJzL1BLAwQUAAAACACHTuJAhAlut9IAAAAD&#10;AQAADwAAAGRycy9kb3ducmV2LnhtbE2PwU7DMBBE70j8g7VI3KiTUpUqxOmhUi/cKAiJmxtv4wh7&#10;Hdlumvx9t1zgstJoRjNv6+3knRgxpj6QgnJRgEBqg+mpU/D5sX/agEhZk9EuECqYMcG2ub+rdWXC&#10;hd5xPOROcAmlSiuwOQ+VlKm16HVahAGJvVOIXmeWsZMm6guXeyeXRbGWXvfEC1YPuLPY/hzOXsHL&#10;9BVwSLjD79PYRtvPG/c2K/X4UBavIDJO+S8MN3xGh4aZjuFMJgmngB/Jv5e953UJ4qhgVa5ANrX8&#10;z95cAVBLAwQUAAAACACHTuJAkAxZVvsBAAACBAAADgAAAGRycy9lMm9Eb2MueG1srVPLbtswELwX&#10;6D8QvNeyVTRIBMtBGsNFgfQBJP0AiqIkoiKXWNKW3K/vkpLcNL3k0AuxXC6HM7PL7e1oenZS6DXY&#10;km9Wa86UlVBr25b8x9Ph3TVnPghbix6sKvlZeX67e/tmO7hC5dBBXytkBGJ9MbiSdyG4Isu87JQR&#10;fgVOWTpsAI0ItMU2q1EMhG76LF+vr7IBsHYIUnlP2f10yGdEfA0gNI2Wag/yaJQNEyqqXgSS5Dvt&#10;PN8ltk2jZPjWNF4F1peclIa00iMUV3HNdltRtChcp+VMQbyGwgtNRmhLj16g9iIIdkT9D5TREsFD&#10;E1YSTDYJSY6Qis36hTePnXAqaSGrvbuY7v8frPx6+o5M1yXPObPCUMOf1BjYRxhZnkd7BucLqnp0&#10;VBdGytPQJKnePYD86ZmF+07YVt0hwtApURO9TbyZPbs64fgIUg1foKZ3xDFAAhobNNE7coMROrXm&#10;fGlN5CIpmec3+fsPnEk6yq/y65vUukwUy2WHPnxSYFgMSo7U+QQuTg8+RDKiWEriWxYOuu9T93v7&#10;V4IKYyaRj3wn5mGsxtmMCuozyUCYhom+EgUd4C/OBhqkklv6N5z1ny0ZEWduCXAJqiUQVtLFkgfO&#10;pvA+TLN5dKjbjnAXq+/IrINOQqKrE4eZJY1G0jePcZy95/tU9efr7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Alut9IAAAADAQAADwAAAAAAAAABACAAAAAiAAAAZHJzL2Rvd25yZXYueG1sUEsB&#10;AhQAFAAAAAgAh07iQJAMWVb7AQAAAgQAAA4AAAAAAAAAAQAgAAAAIQEAAGRycy9lMm9Eb2MueG1s&#10;UEsFBgAAAAAGAAYAWQEAAI4FAAAAAA==&#10;">
              <v:fill on="f" focussize="0,0"/>
              <v:stroke on="f"/>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21"/>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9235" cy="262890"/>
              <wp:effectExtent l="0" t="0" r="9525" b="13970"/>
              <wp:wrapNone/>
              <wp:docPr id="1" name="文本框 5"/>
              <wp:cNvGraphicFramePr/>
              <a:graphic xmlns:a="http://schemas.openxmlformats.org/drawingml/2006/main">
                <a:graphicData uri="http://schemas.microsoft.com/office/word/2010/wordprocessingShape">
                  <wps:wsp>
                    <wps:cNvSpPr txBox="1"/>
                    <wps:spPr>
                      <a:xfrm>
                        <a:off x="0" y="0"/>
                        <a:ext cx="229235" cy="262890"/>
                      </a:xfrm>
                      <a:prstGeom prst="rect">
                        <a:avLst/>
                      </a:prstGeom>
                      <a:noFill/>
                      <a:ln w="9525">
                        <a:noFill/>
                      </a:ln>
                    </wps:spPr>
                    <wps:txbx>
                      <w:txbxContent>
                        <w:p>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20.7pt;width:18.05pt;mso-position-horizontal:center;mso-position-horizontal-relative:margin;mso-wrap-style:none;z-index:251659264;mso-width-relative:page;mso-height-relative:page;" filled="f" stroked="f" coordsize="21600,21600" o:gfxdata="UEsDBAoAAAAAAIdO4kAAAAAAAAAAAAAAAAAEAAAAZHJzL1BLAwQUAAAACACHTuJAhAlut9IAAAAD&#10;AQAADwAAAGRycy9kb3ducmV2LnhtbE2PwU7DMBBE70j8g7VI3KiTUpUqxOmhUi/cKAiJmxtv4wh7&#10;Hdlumvx9t1zgstJoRjNv6+3knRgxpj6QgnJRgEBqg+mpU/D5sX/agEhZk9EuECqYMcG2ub+rdWXC&#10;hd5xPOROcAmlSiuwOQ+VlKm16HVahAGJvVOIXmeWsZMm6guXeyeXRbGWXvfEC1YPuLPY/hzOXsHL&#10;9BVwSLjD79PYRtvPG/c2K/X4UBavIDJO+S8MN3xGh4aZjuFMJgmngB/Jv5e953UJ4qhgVa5ANrX8&#10;z95cAVBLAwQUAAAACACHTuJAkUlwyc8BAACUAwAADgAAAGRycy9lMm9Eb2MueG1srVPBbtswDL0P&#10;2D8Iui9OPaRojDhFh6DDgGEb0O0DFFmOBUiiICqx8wPbH+y0y+77rnzHKNlJh+7SQy8yJZKPfI/0&#10;6nawhh1UQA2u5lezOWfKSWi029X829f7NzecYRSuEQacqvlRIb9dv3616n2lSujANCowAnFY9b7m&#10;XYy+KgqUnbICZ+CVI2cLwYpI17ArmiB6QremKOfz66KH0PgAUiHS62Z08gkxPAcQ2lZLtQG5t8rF&#10;ETUoIyJRwk575OvcbdsqGT+3LarITM2JacwnFSF7m85ivRLVLgjfaTm1IJ7TwhNOVmhHRS9QGxEF&#10;2wf9H5TVMgBCG2cSbDESyYoQi6v5E20eOuFV5kJSo7+Iji8HKz8dvgSmG9oEzpywNPDTzx+nX39O&#10;v7+zRZKn91hR1IOnuDi8gyGFTu9Ij4n10AabvsSHkZ/EPV7EVUNkkh7Lclm+XXAmyVVelzfLLH7x&#10;mOwDxvcKLEtGzQPNLksqDh8xUkEKPYekWg7utTF5fsaxvubLRbnICRcPZRhHiYnC2Gqy4rAdpv63&#10;0ByJVk/zr7mjdefMfHAkb1qVsxHOxnYyUnX0d/tIHeTGEuoINRWjYeV+p8VK2/DvPUc9/kz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JbrfSAAAAAwEAAA8AAAAAAAAAAQAgAAAAIgAAAGRycy9k&#10;b3ducmV2LnhtbFBLAQIUABQAAAAIAIdO4kCRSXDJzwEAAJQDAAAOAAAAAAAAAAEAIAAAACEBAABk&#10;cnMvZTJvRG9jLnhtbFBLBQYAAAAABgAGAFkBAABiBQAAAAA=&#10;">
              <v:fill on="f" focussize="0,0"/>
              <v:stroke on="f"/>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7"/>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2">
    <w:nsid w:val="411DD211"/>
    <w:multiLevelType w:val="singleLevel"/>
    <w:tmpl w:val="411DD211"/>
    <w:lvl w:ilvl="0" w:tentative="0">
      <w:start w:val="1"/>
      <w:numFmt w:val="decimal"/>
      <w:suff w:val="nothing"/>
      <w:lvlText w:val="%1、"/>
      <w:lvlJc w:val="left"/>
    </w:lvl>
  </w:abstractNum>
  <w:abstractNum w:abstractNumId="3">
    <w:nsid w:val="44A52298"/>
    <w:multiLevelType w:val="multilevel"/>
    <w:tmpl w:val="44A522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945579"/>
    <w:multiLevelType w:val="singleLevel"/>
    <w:tmpl w:val="4E945579"/>
    <w:lvl w:ilvl="0" w:tentative="0">
      <w:start w:val="2"/>
      <w:numFmt w:val="chineseCounting"/>
      <w:suff w:val="nothing"/>
      <w:lvlText w:val="%1、"/>
      <w:lvlJc w:val="left"/>
    </w:lvl>
  </w:abstractNum>
  <w:abstractNum w:abstractNumId="5">
    <w:nsid w:val="5D0DD845"/>
    <w:multiLevelType w:val="singleLevel"/>
    <w:tmpl w:val="5D0DD845"/>
    <w:lvl w:ilvl="0" w:tentative="0">
      <w:start w:val="1"/>
      <w:numFmt w:val="decimal"/>
      <w:suff w:val="nothing"/>
      <w:lvlText w:val="%1、"/>
      <w:lvlJc w:val="left"/>
    </w:lvl>
  </w:abstractNum>
  <w:abstractNum w:abstractNumId="6">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20"/>
  <w:drawingGridVerticalSpacing w:val="166"/>
  <w:displayVerticalDrawingGridEvery w:val="2"/>
  <w:noPunctuationKerning w:val="1"/>
  <w:characterSpacingControl w:val="compressPunctuation"/>
  <w:doNotValidateAgainstSchema/>
  <w:doNotDemarcateInvalidXml/>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YmNiMTMzOGUzZGUyYjhhMDA0OTc3MWRhZDAxYzEifQ=="/>
  </w:docVars>
  <w:rsids>
    <w:rsidRoot w:val="00172A27"/>
    <w:rsid w:val="00000F7A"/>
    <w:rsid w:val="00003FA3"/>
    <w:rsid w:val="00004C41"/>
    <w:rsid w:val="00005763"/>
    <w:rsid w:val="0000673D"/>
    <w:rsid w:val="00015108"/>
    <w:rsid w:val="00015432"/>
    <w:rsid w:val="00022378"/>
    <w:rsid w:val="00024B7F"/>
    <w:rsid w:val="00025A53"/>
    <w:rsid w:val="000312AC"/>
    <w:rsid w:val="00031B3B"/>
    <w:rsid w:val="000334CE"/>
    <w:rsid w:val="00037E36"/>
    <w:rsid w:val="000409F7"/>
    <w:rsid w:val="00040B48"/>
    <w:rsid w:val="0004104B"/>
    <w:rsid w:val="000446C4"/>
    <w:rsid w:val="00044BF4"/>
    <w:rsid w:val="000451F8"/>
    <w:rsid w:val="0004732A"/>
    <w:rsid w:val="00053596"/>
    <w:rsid w:val="00053728"/>
    <w:rsid w:val="00053E1A"/>
    <w:rsid w:val="00055380"/>
    <w:rsid w:val="00057C6B"/>
    <w:rsid w:val="000623F2"/>
    <w:rsid w:val="000678AF"/>
    <w:rsid w:val="00070E06"/>
    <w:rsid w:val="00072397"/>
    <w:rsid w:val="0007558A"/>
    <w:rsid w:val="00076A8B"/>
    <w:rsid w:val="00076F9A"/>
    <w:rsid w:val="0009118D"/>
    <w:rsid w:val="00091C7E"/>
    <w:rsid w:val="000932D8"/>
    <w:rsid w:val="00093C00"/>
    <w:rsid w:val="00094624"/>
    <w:rsid w:val="000A2232"/>
    <w:rsid w:val="000A2E6E"/>
    <w:rsid w:val="000A4D09"/>
    <w:rsid w:val="000A788B"/>
    <w:rsid w:val="000B0C6D"/>
    <w:rsid w:val="000B63A5"/>
    <w:rsid w:val="000C7AC6"/>
    <w:rsid w:val="000D2D31"/>
    <w:rsid w:val="000D3C50"/>
    <w:rsid w:val="000D4454"/>
    <w:rsid w:val="000E2B9F"/>
    <w:rsid w:val="000E3A0A"/>
    <w:rsid w:val="000E4BC2"/>
    <w:rsid w:val="000E733B"/>
    <w:rsid w:val="000F394C"/>
    <w:rsid w:val="00102F65"/>
    <w:rsid w:val="00104EDF"/>
    <w:rsid w:val="001076E4"/>
    <w:rsid w:val="00110BC6"/>
    <w:rsid w:val="00113AD2"/>
    <w:rsid w:val="00121E33"/>
    <w:rsid w:val="001221D3"/>
    <w:rsid w:val="0012245A"/>
    <w:rsid w:val="00127FF4"/>
    <w:rsid w:val="001305F7"/>
    <w:rsid w:val="00132674"/>
    <w:rsid w:val="00141BCD"/>
    <w:rsid w:val="00142086"/>
    <w:rsid w:val="00146DB8"/>
    <w:rsid w:val="0014791C"/>
    <w:rsid w:val="001522AD"/>
    <w:rsid w:val="00153AA6"/>
    <w:rsid w:val="00154CB5"/>
    <w:rsid w:val="00156B9C"/>
    <w:rsid w:val="00165F82"/>
    <w:rsid w:val="00172A27"/>
    <w:rsid w:val="00176231"/>
    <w:rsid w:val="00176F78"/>
    <w:rsid w:val="00177770"/>
    <w:rsid w:val="00180FB6"/>
    <w:rsid w:val="00182DD1"/>
    <w:rsid w:val="00187379"/>
    <w:rsid w:val="00187588"/>
    <w:rsid w:val="00195711"/>
    <w:rsid w:val="00196C60"/>
    <w:rsid w:val="001A0D0E"/>
    <w:rsid w:val="001A5023"/>
    <w:rsid w:val="001B50D9"/>
    <w:rsid w:val="001B6887"/>
    <w:rsid w:val="001C03CF"/>
    <w:rsid w:val="001D02C9"/>
    <w:rsid w:val="001D02CE"/>
    <w:rsid w:val="001D30E3"/>
    <w:rsid w:val="001D3CE6"/>
    <w:rsid w:val="001D4C30"/>
    <w:rsid w:val="001D6AAA"/>
    <w:rsid w:val="001E3698"/>
    <w:rsid w:val="001E65FF"/>
    <w:rsid w:val="001E69F6"/>
    <w:rsid w:val="001F0220"/>
    <w:rsid w:val="001F28C8"/>
    <w:rsid w:val="001F2907"/>
    <w:rsid w:val="00201C32"/>
    <w:rsid w:val="00202053"/>
    <w:rsid w:val="00204388"/>
    <w:rsid w:val="0020728C"/>
    <w:rsid w:val="0020755C"/>
    <w:rsid w:val="002108EC"/>
    <w:rsid w:val="002160E4"/>
    <w:rsid w:val="002232C4"/>
    <w:rsid w:val="0022487E"/>
    <w:rsid w:val="00225004"/>
    <w:rsid w:val="00231953"/>
    <w:rsid w:val="00231F43"/>
    <w:rsid w:val="00237607"/>
    <w:rsid w:val="00237E3F"/>
    <w:rsid w:val="00242656"/>
    <w:rsid w:val="00243566"/>
    <w:rsid w:val="00244D06"/>
    <w:rsid w:val="00246552"/>
    <w:rsid w:val="00247CDC"/>
    <w:rsid w:val="00250021"/>
    <w:rsid w:val="00252504"/>
    <w:rsid w:val="002549D9"/>
    <w:rsid w:val="00261A07"/>
    <w:rsid w:val="00270268"/>
    <w:rsid w:val="00271D13"/>
    <w:rsid w:val="00274763"/>
    <w:rsid w:val="00275A18"/>
    <w:rsid w:val="00275A59"/>
    <w:rsid w:val="00281DD6"/>
    <w:rsid w:val="00290ED3"/>
    <w:rsid w:val="0029232A"/>
    <w:rsid w:val="0029276B"/>
    <w:rsid w:val="00297AE4"/>
    <w:rsid w:val="002A0217"/>
    <w:rsid w:val="002A03B7"/>
    <w:rsid w:val="002A1C9E"/>
    <w:rsid w:val="002A2EBC"/>
    <w:rsid w:val="002A3A24"/>
    <w:rsid w:val="002A3E24"/>
    <w:rsid w:val="002B064D"/>
    <w:rsid w:val="002B13EC"/>
    <w:rsid w:val="002B21CF"/>
    <w:rsid w:val="002B67CF"/>
    <w:rsid w:val="002C14CD"/>
    <w:rsid w:val="002C4CF4"/>
    <w:rsid w:val="002C53C0"/>
    <w:rsid w:val="002D147A"/>
    <w:rsid w:val="002D14EE"/>
    <w:rsid w:val="002D24D5"/>
    <w:rsid w:val="002D7CDE"/>
    <w:rsid w:val="002E04C2"/>
    <w:rsid w:val="002E1C04"/>
    <w:rsid w:val="002E6AFF"/>
    <w:rsid w:val="002F2F9A"/>
    <w:rsid w:val="002F528D"/>
    <w:rsid w:val="002F5783"/>
    <w:rsid w:val="002F652E"/>
    <w:rsid w:val="002F7E71"/>
    <w:rsid w:val="00304D09"/>
    <w:rsid w:val="00310153"/>
    <w:rsid w:val="00312BA7"/>
    <w:rsid w:val="00312E61"/>
    <w:rsid w:val="003246BD"/>
    <w:rsid w:val="00324870"/>
    <w:rsid w:val="00324FE6"/>
    <w:rsid w:val="003263B1"/>
    <w:rsid w:val="00326BB1"/>
    <w:rsid w:val="00332E8A"/>
    <w:rsid w:val="0033576E"/>
    <w:rsid w:val="00341ED6"/>
    <w:rsid w:val="00342D2D"/>
    <w:rsid w:val="0034562A"/>
    <w:rsid w:val="003547A9"/>
    <w:rsid w:val="0036040F"/>
    <w:rsid w:val="00364DF0"/>
    <w:rsid w:val="00365A2F"/>
    <w:rsid w:val="00366A01"/>
    <w:rsid w:val="003671CA"/>
    <w:rsid w:val="00370B30"/>
    <w:rsid w:val="00372888"/>
    <w:rsid w:val="0037658F"/>
    <w:rsid w:val="00394A13"/>
    <w:rsid w:val="003972D3"/>
    <w:rsid w:val="003977F6"/>
    <w:rsid w:val="003A2764"/>
    <w:rsid w:val="003A787D"/>
    <w:rsid w:val="003B2DF6"/>
    <w:rsid w:val="003C0916"/>
    <w:rsid w:val="003C5082"/>
    <w:rsid w:val="003D0EBE"/>
    <w:rsid w:val="003D1BD7"/>
    <w:rsid w:val="003D2C86"/>
    <w:rsid w:val="003D3810"/>
    <w:rsid w:val="003D3A66"/>
    <w:rsid w:val="003E545D"/>
    <w:rsid w:val="003E7E13"/>
    <w:rsid w:val="003F63EB"/>
    <w:rsid w:val="003F73C9"/>
    <w:rsid w:val="00403864"/>
    <w:rsid w:val="00406D41"/>
    <w:rsid w:val="004134A8"/>
    <w:rsid w:val="00414DDB"/>
    <w:rsid w:val="00416671"/>
    <w:rsid w:val="00416C90"/>
    <w:rsid w:val="00417D50"/>
    <w:rsid w:val="004217E6"/>
    <w:rsid w:val="00421C69"/>
    <w:rsid w:val="00422207"/>
    <w:rsid w:val="00422A47"/>
    <w:rsid w:val="00423D61"/>
    <w:rsid w:val="00424465"/>
    <w:rsid w:val="0043131E"/>
    <w:rsid w:val="0043616C"/>
    <w:rsid w:val="00441F52"/>
    <w:rsid w:val="00451458"/>
    <w:rsid w:val="00453245"/>
    <w:rsid w:val="00453E49"/>
    <w:rsid w:val="0045476F"/>
    <w:rsid w:val="004568B0"/>
    <w:rsid w:val="004569EA"/>
    <w:rsid w:val="0046166A"/>
    <w:rsid w:val="00462507"/>
    <w:rsid w:val="00467C5F"/>
    <w:rsid w:val="004715E8"/>
    <w:rsid w:val="00476B81"/>
    <w:rsid w:val="00482D8C"/>
    <w:rsid w:val="004833A8"/>
    <w:rsid w:val="0048506B"/>
    <w:rsid w:val="004854E5"/>
    <w:rsid w:val="00485801"/>
    <w:rsid w:val="00486B0F"/>
    <w:rsid w:val="00495933"/>
    <w:rsid w:val="004A1808"/>
    <w:rsid w:val="004B1E59"/>
    <w:rsid w:val="004B1EDF"/>
    <w:rsid w:val="004B3334"/>
    <w:rsid w:val="004B3D1B"/>
    <w:rsid w:val="004B630B"/>
    <w:rsid w:val="004B7828"/>
    <w:rsid w:val="004B7E57"/>
    <w:rsid w:val="004C1A32"/>
    <w:rsid w:val="004C6004"/>
    <w:rsid w:val="004D12F5"/>
    <w:rsid w:val="004D1BA3"/>
    <w:rsid w:val="004D417F"/>
    <w:rsid w:val="004E3DB2"/>
    <w:rsid w:val="004F01C8"/>
    <w:rsid w:val="004F0DC7"/>
    <w:rsid w:val="004F1991"/>
    <w:rsid w:val="004F2B57"/>
    <w:rsid w:val="004F7CC6"/>
    <w:rsid w:val="0051449F"/>
    <w:rsid w:val="0052022B"/>
    <w:rsid w:val="00523D46"/>
    <w:rsid w:val="00524CD9"/>
    <w:rsid w:val="00526F0A"/>
    <w:rsid w:val="005304D2"/>
    <w:rsid w:val="0053185E"/>
    <w:rsid w:val="005337EA"/>
    <w:rsid w:val="00533833"/>
    <w:rsid w:val="005400B5"/>
    <w:rsid w:val="0054046D"/>
    <w:rsid w:val="00544D74"/>
    <w:rsid w:val="00547CDC"/>
    <w:rsid w:val="00553486"/>
    <w:rsid w:val="00571DFF"/>
    <w:rsid w:val="0057363D"/>
    <w:rsid w:val="005766B2"/>
    <w:rsid w:val="005821B3"/>
    <w:rsid w:val="00584477"/>
    <w:rsid w:val="005907A9"/>
    <w:rsid w:val="00596C22"/>
    <w:rsid w:val="005A2D14"/>
    <w:rsid w:val="005A2FAA"/>
    <w:rsid w:val="005A6222"/>
    <w:rsid w:val="005A6D93"/>
    <w:rsid w:val="005B0CF2"/>
    <w:rsid w:val="005B2BFC"/>
    <w:rsid w:val="005B549C"/>
    <w:rsid w:val="005B5EE0"/>
    <w:rsid w:val="005C0833"/>
    <w:rsid w:val="005D535B"/>
    <w:rsid w:val="005E462B"/>
    <w:rsid w:val="005E6939"/>
    <w:rsid w:val="005E79C7"/>
    <w:rsid w:val="005F7BBD"/>
    <w:rsid w:val="00602AB4"/>
    <w:rsid w:val="00603E6B"/>
    <w:rsid w:val="00604244"/>
    <w:rsid w:val="00606D42"/>
    <w:rsid w:val="0061147D"/>
    <w:rsid w:val="006129DF"/>
    <w:rsid w:val="006153FD"/>
    <w:rsid w:val="00615711"/>
    <w:rsid w:val="00624530"/>
    <w:rsid w:val="00624BA4"/>
    <w:rsid w:val="00624F17"/>
    <w:rsid w:val="00633226"/>
    <w:rsid w:val="00637083"/>
    <w:rsid w:val="00643EBF"/>
    <w:rsid w:val="006457D7"/>
    <w:rsid w:val="00653070"/>
    <w:rsid w:val="00660C8D"/>
    <w:rsid w:val="006635D6"/>
    <w:rsid w:val="006674FD"/>
    <w:rsid w:val="006676F2"/>
    <w:rsid w:val="00671CBE"/>
    <w:rsid w:val="0067545A"/>
    <w:rsid w:val="00675A55"/>
    <w:rsid w:val="00676729"/>
    <w:rsid w:val="00683EBD"/>
    <w:rsid w:val="00684720"/>
    <w:rsid w:val="006860DE"/>
    <w:rsid w:val="00692061"/>
    <w:rsid w:val="00692BE4"/>
    <w:rsid w:val="006A41BD"/>
    <w:rsid w:val="006A53FF"/>
    <w:rsid w:val="006B1159"/>
    <w:rsid w:val="006B3AE5"/>
    <w:rsid w:val="006C2A70"/>
    <w:rsid w:val="006C77F3"/>
    <w:rsid w:val="006D13B5"/>
    <w:rsid w:val="006D2F82"/>
    <w:rsid w:val="006E0239"/>
    <w:rsid w:val="006E2AEE"/>
    <w:rsid w:val="006E40E1"/>
    <w:rsid w:val="006E5090"/>
    <w:rsid w:val="006E52A6"/>
    <w:rsid w:val="006F4372"/>
    <w:rsid w:val="006F514A"/>
    <w:rsid w:val="0070162A"/>
    <w:rsid w:val="00703B64"/>
    <w:rsid w:val="00706502"/>
    <w:rsid w:val="00710BB2"/>
    <w:rsid w:val="00713AD1"/>
    <w:rsid w:val="00716214"/>
    <w:rsid w:val="00716A10"/>
    <w:rsid w:val="00717D90"/>
    <w:rsid w:val="007241AF"/>
    <w:rsid w:val="007272A6"/>
    <w:rsid w:val="00727CEC"/>
    <w:rsid w:val="00730B27"/>
    <w:rsid w:val="007314B2"/>
    <w:rsid w:val="007402D8"/>
    <w:rsid w:val="00746409"/>
    <w:rsid w:val="00747E57"/>
    <w:rsid w:val="00750856"/>
    <w:rsid w:val="007540E1"/>
    <w:rsid w:val="007601E5"/>
    <w:rsid w:val="007601E8"/>
    <w:rsid w:val="00761BEC"/>
    <w:rsid w:val="00764C56"/>
    <w:rsid w:val="00765632"/>
    <w:rsid w:val="007667C9"/>
    <w:rsid w:val="00766960"/>
    <w:rsid w:val="00766962"/>
    <w:rsid w:val="00766A1F"/>
    <w:rsid w:val="00766F86"/>
    <w:rsid w:val="00770A24"/>
    <w:rsid w:val="0078022A"/>
    <w:rsid w:val="00783ED3"/>
    <w:rsid w:val="00787C43"/>
    <w:rsid w:val="00791787"/>
    <w:rsid w:val="00793B97"/>
    <w:rsid w:val="00796C8C"/>
    <w:rsid w:val="007976F5"/>
    <w:rsid w:val="007A3F72"/>
    <w:rsid w:val="007B2129"/>
    <w:rsid w:val="007B4335"/>
    <w:rsid w:val="007B4578"/>
    <w:rsid w:val="007B6B9C"/>
    <w:rsid w:val="007B719A"/>
    <w:rsid w:val="007C5941"/>
    <w:rsid w:val="007C59F7"/>
    <w:rsid w:val="007C6C3F"/>
    <w:rsid w:val="007C76E4"/>
    <w:rsid w:val="007D32CB"/>
    <w:rsid w:val="007D5952"/>
    <w:rsid w:val="007D6DC5"/>
    <w:rsid w:val="007D7B2B"/>
    <w:rsid w:val="007E1951"/>
    <w:rsid w:val="007E29E9"/>
    <w:rsid w:val="00801164"/>
    <w:rsid w:val="00801CA7"/>
    <w:rsid w:val="008028C0"/>
    <w:rsid w:val="00803AC0"/>
    <w:rsid w:val="008043EC"/>
    <w:rsid w:val="00811ED7"/>
    <w:rsid w:val="0081573A"/>
    <w:rsid w:val="00815751"/>
    <w:rsid w:val="008179B9"/>
    <w:rsid w:val="00822FDD"/>
    <w:rsid w:val="008268C8"/>
    <w:rsid w:val="00827F63"/>
    <w:rsid w:val="00830E09"/>
    <w:rsid w:val="00830FA6"/>
    <w:rsid w:val="00831D35"/>
    <w:rsid w:val="008327CD"/>
    <w:rsid w:val="00832B8C"/>
    <w:rsid w:val="00833A80"/>
    <w:rsid w:val="008409F1"/>
    <w:rsid w:val="0084450F"/>
    <w:rsid w:val="0084532F"/>
    <w:rsid w:val="00846C36"/>
    <w:rsid w:val="00852D21"/>
    <w:rsid w:val="008530CD"/>
    <w:rsid w:val="008712AC"/>
    <w:rsid w:val="0087141A"/>
    <w:rsid w:val="00871BAC"/>
    <w:rsid w:val="00874CD7"/>
    <w:rsid w:val="00875E30"/>
    <w:rsid w:val="00882DE5"/>
    <w:rsid w:val="00883144"/>
    <w:rsid w:val="008838A3"/>
    <w:rsid w:val="008843BC"/>
    <w:rsid w:val="00884F86"/>
    <w:rsid w:val="0088503E"/>
    <w:rsid w:val="00890E41"/>
    <w:rsid w:val="00891B83"/>
    <w:rsid w:val="00892CAB"/>
    <w:rsid w:val="00893425"/>
    <w:rsid w:val="00893797"/>
    <w:rsid w:val="008A3155"/>
    <w:rsid w:val="008A4395"/>
    <w:rsid w:val="008B44C2"/>
    <w:rsid w:val="008B67CB"/>
    <w:rsid w:val="008C1B49"/>
    <w:rsid w:val="008C5039"/>
    <w:rsid w:val="008C754F"/>
    <w:rsid w:val="008D0EF6"/>
    <w:rsid w:val="008D1457"/>
    <w:rsid w:val="008D1FC2"/>
    <w:rsid w:val="008D2E9F"/>
    <w:rsid w:val="008E267B"/>
    <w:rsid w:val="008E2822"/>
    <w:rsid w:val="008E2985"/>
    <w:rsid w:val="008E2B28"/>
    <w:rsid w:val="008E712B"/>
    <w:rsid w:val="008F681A"/>
    <w:rsid w:val="008F7459"/>
    <w:rsid w:val="008F7478"/>
    <w:rsid w:val="009032A1"/>
    <w:rsid w:val="009036C7"/>
    <w:rsid w:val="00911C67"/>
    <w:rsid w:val="009140ED"/>
    <w:rsid w:val="00917714"/>
    <w:rsid w:val="00921641"/>
    <w:rsid w:val="00933F41"/>
    <w:rsid w:val="00936CFA"/>
    <w:rsid w:val="0094062B"/>
    <w:rsid w:val="009459D7"/>
    <w:rsid w:val="00946C35"/>
    <w:rsid w:val="00950BD2"/>
    <w:rsid w:val="00954727"/>
    <w:rsid w:val="0095699B"/>
    <w:rsid w:val="009612BF"/>
    <w:rsid w:val="0096141F"/>
    <w:rsid w:val="00962675"/>
    <w:rsid w:val="00963E5C"/>
    <w:rsid w:val="009703EC"/>
    <w:rsid w:val="00976689"/>
    <w:rsid w:val="00987BED"/>
    <w:rsid w:val="0099624A"/>
    <w:rsid w:val="009A5066"/>
    <w:rsid w:val="009A6F9D"/>
    <w:rsid w:val="009B0860"/>
    <w:rsid w:val="009B1C85"/>
    <w:rsid w:val="009B5439"/>
    <w:rsid w:val="009C2D8C"/>
    <w:rsid w:val="009C3CC9"/>
    <w:rsid w:val="009C46AC"/>
    <w:rsid w:val="009C6E53"/>
    <w:rsid w:val="009C70F9"/>
    <w:rsid w:val="009D0DCC"/>
    <w:rsid w:val="009D1C2D"/>
    <w:rsid w:val="009D5B51"/>
    <w:rsid w:val="009E077F"/>
    <w:rsid w:val="009E5E9A"/>
    <w:rsid w:val="00A03BB8"/>
    <w:rsid w:val="00A053AC"/>
    <w:rsid w:val="00A108FB"/>
    <w:rsid w:val="00A14EE9"/>
    <w:rsid w:val="00A20F8A"/>
    <w:rsid w:val="00A23565"/>
    <w:rsid w:val="00A23789"/>
    <w:rsid w:val="00A273EE"/>
    <w:rsid w:val="00A3098C"/>
    <w:rsid w:val="00A31EE8"/>
    <w:rsid w:val="00A35824"/>
    <w:rsid w:val="00A408EE"/>
    <w:rsid w:val="00A415AC"/>
    <w:rsid w:val="00A45786"/>
    <w:rsid w:val="00A7047E"/>
    <w:rsid w:val="00A707C7"/>
    <w:rsid w:val="00A723CF"/>
    <w:rsid w:val="00A72956"/>
    <w:rsid w:val="00A73871"/>
    <w:rsid w:val="00A82736"/>
    <w:rsid w:val="00A9257D"/>
    <w:rsid w:val="00AA0917"/>
    <w:rsid w:val="00AB4827"/>
    <w:rsid w:val="00AC438A"/>
    <w:rsid w:val="00AC5A2F"/>
    <w:rsid w:val="00AC66AE"/>
    <w:rsid w:val="00AD3E92"/>
    <w:rsid w:val="00AD5569"/>
    <w:rsid w:val="00AD6EE1"/>
    <w:rsid w:val="00AE122F"/>
    <w:rsid w:val="00AE145F"/>
    <w:rsid w:val="00AE3275"/>
    <w:rsid w:val="00AE5ACB"/>
    <w:rsid w:val="00AF1430"/>
    <w:rsid w:val="00AF6F0D"/>
    <w:rsid w:val="00B00633"/>
    <w:rsid w:val="00B019F2"/>
    <w:rsid w:val="00B02AC8"/>
    <w:rsid w:val="00B0751C"/>
    <w:rsid w:val="00B15A46"/>
    <w:rsid w:val="00B22B9D"/>
    <w:rsid w:val="00B23590"/>
    <w:rsid w:val="00B23764"/>
    <w:rsid w:val="00B24600"/>
    <w:rsid w:val="00B32EB1"/>
    <w:rsid w:val="00B4004F"/>
    <w:rsid w:val="00B47D5F"/>
    <w:rsid w:val="00B50B91"/>
    <w:rsid w:val="00B51715"/>
    <w:rsid w:val="00B532B9"/>
    <w:rsid w:val="00B5469A"/>
    <w:rsid w:val="00B56328"/>
    <w:rsid w:val="00B570A1"/>
    <w:rsid w:val="00B66E07"/>
    <w:rsid w:val="00B7303F"/>
    <w:rsid w:val="00B7383E"/>
    <w:rsid w:val="00B73F92"/>
    <w:rsid w:val="00B74596"/>
    <w:rsid w:val="00B7707B"/>
    <w:rsid w:val="00B82D67"/>
    <w:rsid w:val="00B84204"/>
    <w:rsid w:val="00B851DF"/>
    <w:rsid w:val="00B867D5"/>
    <w:rsid w:val="00B869D8"/>
    <w:rsid w:val="00B90E0D"/>
    <w:rsid w:val="00B921FD"/>
    <w:rsid w:val="00B93E5A"/>
    <w:rsid w:val="00B9736A"/>
    <w:rsid w:val="00BA0987"/>
    <w:rsid w:val="00BA10D4"/>
    <w:rsid w:val="00BA30BF"/>
    <w:rsid w:val="00BA7584"/>
    <w:rsid w:val="00BB1B23"/>
    <w:rsid w:val="00BB6A4B"/>
    <w:rsid w:val="00BC4B74"/>
    <w:rsid w:val="00BC4EC0"/>
    <w:rsid w:val="00BE0AC6"/>
    <w:rsid w:val="00BE1647"/>
    <w:rsid w:val="00BE2DCD"/>
    <w:rsid w:val="00BE775E"/>
    <w:rsid w:val="00BF0BCD"/>
    <w:rsid w:val="00BF16FC"/>
    <w:rsid w:val="00BF1899"/>
    <w:rsid w:val="00BF376D"/>
    <w:rsid w:val="00BF705A"/>
    <w:rsid w:val="00BF7A43"/>
    <w:rsid w:val="00C0075B"/>
    <w:rsid w:val="00C05BAB"/>
    <w:rsid w:val="00C1047F"/>
    <w:rsid w:val="00C12CB2"/>
    <w:rsid w:val="00C148F8"/>
    <w:rsid w:val="00C176B4"/>
    <w:rsid w:val="00C20DF0"/>
    <w:rsid w:val="00C25BE4"/>
    <w:rsid w:val="00C2785C"/>
    <w:rsid w:val="00C30A03"/>
    <w:rsid w:val="00C356E1"/>
    <w:rsid w:val="00C37A63"/>
    <w:rsid w:val="00C403D7"/>
    <w:rsid w:val="00C40DE2"/>
    <w:rsid w:val="00C47F34"/>
    <w:rsid w:val="00C50361"/>
    <w:rsid w:val="00C522BF"/>
    <w:rsid w:val="00C52970"/>
    <w:rsid w:val="00C55F53"/>
    <w:rsid w:val="00C61267"/>
    <w:rsid w:val="00C63529"/>
    <w:rsid w:val="00C66919"/>
    <w:rsid w:val="00C6703E"/>
    <w:rsid w:val="00C7108A"/>
    <w:rsid w:val="00C755DA"/>
    <w:rsid w:val="00C845DC"/>
    <w:rsid w:val="00C85423"/>
    <w:rsid w:val="00C85A1E"/>
    <w:rsid w:val="00C92DB1"/>
    <w:rsid w:val="00C93FB5"/>
    <w:rsid w:val="00C9414C"/>
    <w:rsid w:val="00C96973"/>
    <w:rsid w:val="00CA0343"/>
    <w:rsid w:val="00CA1039"/>
    <w:rsid w:val="00CA696D"/>
    <w:rsid w:val="00CB3C3B"/>
    <w:rsid w:val="00CB4877"/>
    <w:rsid w:val="00CC45D1"/>
    <w:rsid w:val="00CC47E5"/>
    <w:rsid w:val="00CC5DFA"/>
    <w:rsid w:val="00CD3629"/>
    <w:rsid w:val="00CD5C7B"/>
    <w:rsid w:val="00CE14A5"/>
    <w:rsid w:val="00CE175B"/>
    <w:rsid w:val="00CE23E4"/>
    <w:rsid w:val="00CE383A"/>
    <w:rsid w:val="00CF0EC4"/>
    <w:rsid w:val="00CF1BD5"/>
    <w:rsid w:val="00CF2D71"/>
    <w:rsid w:val="00CF2F6E"/>
    <w:rsid w:val="00CF3F97"/>
    <w:rsid w:val="00CF4117"/>
    <w:rsid w:val="00D01A04"/>
    <w:rsid w:val="00D01A1A"/>
    <w:rsid w:val="00D03EDC"/>
    <w:rsid w:val="00D04F5D"/>
    <w:rsid w:val="00D061CD"/>
    <w:rsid w:val="00D1745C"/>
    <w:rsid w:val="00D20CD0"/>
    <w:rsid w:val="00D21263"/>
    <w:rsid w:val="00D2229E"/>
    <w:rsid w:val="00D24A40"/>
    <w:rsid w:val="00D27349"/>
    <w:rsid w:val="00D27E14"/>
    <w:rsid w:val="00D32841"/>
    <w:rsid w:val="00D33224"/>
    <w:rsid w:val="00D34621"/>
    <w:rsid w:val="00D4498A"/>
    <w:rsid w:val="00D51C85"/>
    <w:rsid w:val="00D5600F"/>
    <w:rsid w:val="00D576FD"/>
    <w:rsid w:val="00D61B88"/>
    <w:rsid w:val="00D6207D"/>
    <w:rsid w:val="00D64EBF"/>
    <w:rsid w:val="00D66986"/>
    <w:rsid w:val="00D67B93"/>
    <w:rsid w:val="00D703DE"/>
    <w:rsid w:val="00D7639A"/>
    <w:rsid w:val="00D764E6"/>
    <w:rsid w:val="00D80E5D"/>
    <w:rsid w:val="00D820EF"/>
    <w:rsid w:val="00D853D5"/>
    <w:rsid w:val="00D87D43"/>
    <w:rsid w:val="00D9302E"/>
    <w:rsid w:val="00D94E34"/>
    <w:rsid w:val="00D97016"/>
    <w:rsid w:val="00DA31A8"/>
    <w:rsid w:val="00DB4B39"/>
    <w:rsid w:val="00DB7BD0"/>
    <w:rsid w:val="00DC41E6"/>
    <w:rsid w:val="00DD316B"/>
    <w:rsid w:val="00DD68D8"/>
    <w:rsid w:val="00DE0DEE"/>
    <w:rsid w:val="00DE4007"/>
    <w:rsid w:val="00DE4C90"/>
    <w:rsid w:val="00DE6FDF"/>
    <w:rsid w:val="00DF12A7"/>
    <w:rsid w:val="00DF285E"/>
    <w:rsid w:val="00E0076B"/>
    <w:rsid w:val="00E03BE1"/>
    <w:rsid w:val="00E03E58"/>
    <w:rsid w:val="00E10534"/>
    <w:rsid w:val="00E12A64"/>
    <w:rsid w:val="00E1662C"/>
    <w:rsid w:val="00E16D94"/>
    <w:rsid w:val="00E2205C"/>
    <w:rsid w:val="00E22072"/>
    <w:rsid w:val="00E272E9"/>
    <w:rsid w:val="00E30496"/>
    <w:rsid w:val="00E32949"/>
    <w:rsid w:val="00E33A3F"/>
    <w:rsid w:val="00E4142E"/>
    <w:rsid w:val="00E42F1E"/>
    <w:rsid w:val="00E4323E"/>
    <w:rsid w:val="00E432E5"/>
    <w:rsid w:val="00E51746"/>
    <w:rsid w:val="00E51AC0"/>
    <w:rsid w:val="00E523E8"/>
    <w:rsid w:val="00E57972"/>
    <w:rsid w:val="00E57C8B"/>
    <w:rsid w:val="00E606BA"/>
    <w:rsid w:val="00E61CAE"/>
    <w:rsid w:val="00E63626"/>
    <w:rsid w:val="00E63666"/>
    <w:rsid w:val="00E64551"/>
    <w:rsid w:val="00E65376"/>
    <w:rsid w:val="00E66316"/>
    <w:rsid w:val="00E66A4E"/>
    <w:rsid w:val="00E7091B"/>
    <w:rsid w:val="00E74018"/>
    <w:rsid w:val="00E771BB"/>
    <w:rsid w:val="00E80D35"/>
    <w:rsid w:val="00E80D89"/>
    <w:rsid w:val="00E82AA5"/>
    <w:rsid w:val="00E82EDD"/>
    <w:rsid w:val="00E83BDF"/>
    <w:rsid w:val="00E83E5D"/>
    <w:rsid w:val="00E8443C"/>
    <w:rsid w:val="00E84C73"/>
    <w:rsid w:val="00E85EBE"/>
    <w:rsid w:val="00E924E7"/>
    <w:rsid w:val="00E96C41"/>
    <w:rsid w:val="00EA3B05"/>
    <w:rsid w:val="00EA3FD1"/>
    <w:rsid w:val="00EB18D2"/>
    <w:rsid w:val="00EB3CF2"/>
    <w:rsid w:val="00EB5115"/>
    <w:rsid w:val="00EB6519"/>
    <w:rsid w:val="00EB653D"/>
    <w:rsid w:val="00EC0A2D"/>
    <w:rsid w:val="00EC229A"/>
    <w:rsid w:val="00EC6BB4"/>
    <w:rsid w:val="00ED3C1F"/>
    <w:rsid w:val="00EE59EA"/>
    <w:rsid w:val="00EE7E03"/>
    <w:rsid w:val="00EF0368"/>
    <w:rsid w:val="00EF0B0B"/>
    <w:rsid w:val="00EF2733"/>
    <w:rsid w:val="00EF3AAE"/>
    <w:rsid w:val="00EF5107"/>
    <w:rsid w:val="00F03194"/>
    <w:rsid w:val="00F0596B"/>
    <w:rsid w:val="00F0602B"/>
    <w:rsid w:val="00F10DA5"/>
    <w:rsid w:val="00F12C40"/>
    <w:rsid w:val="00F134A5"/>
    <w:rsid w:val="00F1662E"/>
    <w:rsid w:val="00F2065B"/>
    <w:rsid w:val="00F21D01"/>
    <w:rsid w:val="00F271BB"/>
    <w:rsid w:val="00F370FA"/>
    <w:rsid w:val="00F461B6"/>
    <w:rsid w:val="00F5151C"/>
    <w:rsid w:val="00F5211F"/>
    <w:rsid w:val="00F5327B"/>
    <w:rsid w:val="00F53B31"/>
    <w:rsid w:val="00F56AC4"/>
    <w:rsid w:val="00F62D98"/>
    <w:rsid w:val="00F703D8"/>
    <w:rsid w:val="00F72BE2"/>
    <w:rsid w:val="00F74C4C"/>
    <w:rsid w:val="00F807C8"/>
    <w:rsid w:val="00F825D2"/>
    <w:rsid w:val="00F8466E"/>
    <w:rsid w:val="00FA1946"/>
    <w:rsid w:val="00FA58AE"/>
    <w:rsid w:val="00FA5D53"/>
    <w:rsid w:val="00FB022B"/>
    <w:rsid w:val="00FB2AF7"/>
    <w:rsid w:val="00FB2E20"/>
    <w:rsid w:val="00FB3FF1"/>
    <w:rsid w:val="00FB5767"/>
    <w:rsid w:val="00FC42DB"/>
    <w:rsid w:val="00FC5844"/>
    <w:rsid w:val="00FD575A"/>
    <w:rsid w:val="00FE1B31"/>
    <w:rsid w:val="00FE2A6B"/>
    <w:rsid w:val="00FE4E48"/>
    <w:rsid w:val="00FE6897"/>
    <w:rsid w:val="00FE763E"/>
    <w:rsid w:val="00FF02A7"/>
    <w:rsid w:val="00FF3411"/>
    <w:rsid w:val="00FF342A"/>
    <w:rsid w:val="00FF4653"/>
    <w:rsid w:val="00FF60C4"/>
    <w:rsid w:val="00FF6241"/>
    <w:rsid w:val="02600BA9"/>
    <w:rsid w:val="03147F0B"/>
    <w:rsid w:val="04B232AF"/>
    <w:rsid w:val="07245AFC"/>
    <w:rsid w:val="088263F0"/>
    <w:rsid w:val="08932863"/>
    <w:rsid w:val="0B0009AC"/>
    <w:rsid w:val="0C3152C1"/>
    <w:rsid w:val="0E686611"/>
    <w:rsid w:val="0EF97BEC"/>
    <w:rsid w:val="11B85B3D"/>
    <w:rsid w:val="12086AC4"/>
    <w:rsid w:val="1222745A"/>
    <w:rsid w:val="12D11D6F"/>
    <w:rsid w:val="13070B2A"/>
    <w:rsid w:val="14881C4F"/>
    <w:rsid w:val="1714273C"/>
    <w:rsid w:val="17EC2417"/>
    <w:rsid w:val="19503989"/>
    <w:rsid w:val="1B0469F5"/>
    <w:rsid w:val="1B3619DA"/>
    <w:rsid w:val="1D187DD7"/>
    <w:rsid w:val="1F811C64"/>
    <w:rsid w:val="1FB36EF1"/>
    <w:rsid w:val="206C46C2"/>
    <w:rsid w:val="21BF4CC5"/>
    <w:rsid w:val="22CA03DD"/>
    <w:rsid w:val="25BD32CA"/>
    <w:rsid w:val="28907E16"/>
    <w:rsid w:val="2A0F4383"/>
    <w:rsid w:val="2A0F4C05"/>
    <w:rsid w:val="2AB729DE"/>
    <w:rsid w:val="2AC84BEB"/>
    <w:rsid w:val="2CF1119E"/>
    <w:rsid w:val="2E045F3A"/>
    <w:rsid w:val="2E130D21"/>
    <w:rsid w:val="2EFF2BA5"/>
    <w:rsid w:val="2F6649D2"/>
    <w:rsid w:val="30B67293"/>
    <w:rsid w:val="32432DA9"/>
    <w:rsid w:val="327318E0"/>
    <w:rsid w:val="33356390"/>
    <w:rsid w:val="3383514E"/>
    <w:rsid w:val="33965BE2"/>
    <w:rsid w:val="34921560"/>
    <w:rsid w:val="34F12F61"/>
    <w:rsid w:val="35357321"/>
    <w:rsid w:val="36E42DAC"/>
    <w:rsid w:val="39931C87"/>
    <w:rsid w:val="39B529F9"/>
    <w:rsid w:val="3AA20FB4"/>
    <w:rsid w:val="3B253993"/>
    <w:rsid w:val="3BF03FA1"/>
    <w:rsid w:val="3C025A83"/>
    <w:rsid w:val="3D2D6B2F"/>
    <w:rsid w:val="3D697858"/>
    <w:rsid w:val="3F6F7421"/>
    <w:rsid w:val="417644A9"/>
    <w:rsid w:val="425D1C65"/>
    <w:rsid w:val="42F238F2"/>
    <w:rsid w:val="463E08A8"/>
    <w:rsid w:val="476F57AA"/>
    <w:rsid w:val="49451D9A"/>
    <w:rsid w:val="4B085446"/>
    <w:rsid w:val="4B815CB2"/>
    <w:rsid w:val="4DA55F11"/>
    <w:rsid w:val="4E9368D4"/>
    <w:rsid w:val="50355FCF"/>
    <w:rsid w:val="509C1BAA"/>
    <w:rsid w:val="515B7C04"/>
    <w:rsid w:val="5181771E"/>
    <w:rsid w:val="51B460F8"/>
    <w:rsid w:val="51F06651"/>
    <w:rsid w:val="53C115D1"/>
    <w:rsid w:val="556D30E5"/>
    <w:rsid w:val="56FC1939"/>
    <w:rsid w:val="583F6545"/>
    <w:rsid w:val="586B594E"/>
    <w:rsid w:val="58D57A6C"/>
    <w:rsid w:val="59E3084A"/>
    <w:rsid w:val="5CD75E60"/>
    <w:rsid w:val="5D6557AD"/>
    <w:rsid w:val="5DCF1811"/>
    <w:rsid w:val="5FE12FB0"/>
    <w:rsid w:val="5FEB2206"/>
    <w:rsid w:val="63111C65"/>
    <w:rsid w:val="638E7A78"/>
    <w:rsid w:val="63EC0675"/>
    <w:rsid w:val="67BF28F6"/>
    <w:rsid w:val="68BE2BAE"/>
    <w:rsid w:val="69A00505"/>
    <w:rsid w:val="69A134A6"/>
    <w:rsid w:val="6AE0505D"/>
    <w:rsid w:val="6C682943"/>
    <w:rsid w:val="6D8114DD"/>
    <w:rsid w:val="6FA75248"/>
    <w:rsid w:val="7060440B"/>
    <w:rsid w:val="719426FE"/>
    <w:rsid w:val="71F94C57"/>
    <w:rsid w:val="74150225"/>
    <w:rsid w:val="751D2A0A"/>
    <w:rsid w:val="75AA6994"/>
    <w:rsid w:val="75D82AA4"/>
    <w:rsid w:val="76507E17"/>
    <w:rsid w:val="770D3910"/>
    <w:rsid w:val="78986F77"/>
    <w:rsid w:val="793C77B6"/>
    <w:rsid w:val="79F76F61"/>
    <w:rsid w:val="7ACD6BBF"/>
    <w:rsid w:val="7BB54212"/>
    <w:rsid w:val="7C3D3992"/>
    <w:rsid w:val="7E357016"/>
    <w:rsid w:val="7ECB2067"/>
    <w:rsid w:val="7F3A0422"/>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iPriority="99" w:semiHidden="0"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uiPriority="99" w:name="HTML Preformatted" w:locked="1"/>
    <w:lsdException w:qFormat="1" w:uiPriority="99" w:semiHidden="0" w:name="HTML Sample" w:locked="1"/>
    <w:lsdException w:uiPriority="99" w:name="HTML Typewriter" w:locked="1"/>
    <w:lsdException w:qFormat="1" w:uiPriority="99" w:semiHidden="0" w:name="HTML Variable" w:locked="1"/>
    <w:lsdException w:uiPriority="99" w:name="Normal Table"/>
    <w:lsdException w:qFormat="1" w:unhideWhenUsed="0" w:uiPriority="99" w:semiHidden="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1"/>
    <w:next w:val="1"/>
    <w:link w:val="80"/>
    <w:qFormat/>
    <w:uiPriority w:val="99"/>
    <w:pPr>
      <w:keepNext/>
      <w:keepLines/>
      <w:spacing w:after="120"/>
      <w:jc w:val="center"/>
      <w:outlineLvl w:val="0"/>
    </w:pPr>
    <w:rPr>
      <w:rFonts w:ascii="黑体" w:hAnsi="黑体"/>
      <w:b/>
      <w:kern w:val="44"/>
      <w:sz w:val="30"/>
      <w:szCs w:val="30"/>
      <w:lang w:val="zh-CN"/>
    </w:rPr>
  </w:style>
  <w:style w:type="paragraph" w:styleId="4">
    <w:name w:val="heading 2"/>
    <w:basedOn w:val="1"/>
    <w:next w:val="1"/>
    <w:link w:val="60"/>
    <w:qFormat/>
    <w:uiPriority w:val="99"/>
    <w:pPr>
      <w:keepNext/>
      <w:keepLines/>
      <w:spacing w:after="100" w:afterAutospacing="1"/>
      <w:ind w:left="454" w:hanging="454"/>
      <w:jc w:val="center"/>
      <w:outlineLvl w:val="1"/>
    </w:pPr>
    <w:rPr>
      <w:rFonts w:ascii="黑体" w:hAnsi="Arial" w:eastAsia="黑体"/>
      <w:b/>
      <w:bCs/>
      <w:kern w:val="0"/>
      <w:sz w:val="30"/>
      <w:szCs w:val="30"/>
      <w:lang w:val="zh-CN"/>
    </w:rPr>
  </w:style>
  <w:style w:type="paragraph" w:styleId="5">
    <w:name w:val="heading 3"/>
    <w:basedOn w:val="1"/>
    <w:next w:val="6"/>
    <w:link w:val="64"/>
    <w:qFormat/>
    <w:uiPriority w:val="99"/>
    <w:pPr>
      <w:keepNext/>
      <w:keepLines/>
      <w:spacing w:before="156" w:beforeLines="50" w:after="156" w:afterLines="50"/>
      <w:jc w:val="center"/>
      <w:outlineLvl w:val="2"/>
    </w:pPr>
    <w:rPr>
      <w:b/>
      <w:kern w:val="0"/>
      <w:szCs w:val="24"/>
      <w:lang w:val="zh-CN"/>
    </w:rPr>
  </w:style>
  <w:style w:type="paragraph" w:styleId="7">
    <w:name w:val="heading 4"/>
    <w:basedOn w:val="5"/>
    <w:next w:val="6"/>
    <w:link w:val="61"/>
    <w:qFormat/>
    <w:uiPriority w:val="0"/>
    <w:pPr>
      <w:numPr>
        <w:ilvl w:val="3"/>
        <w:numId w:val="1"/>
      </w:numPr>
      <w:outlineLvl w:val="3"/>
    </w:pPr>
    <w:rPr>
      <w:rFonts w:ascii="Arial" w:hAnsi="Arial"/>
      <w:b w:val="0"/>
    </w:rPr>
  </w:style>
  <w:style w:type="paragraph" w:styleId="8">
    <w:name w:val="heading 5"/>
    <w:basedOn w:val="7"/>
    <w:next w:val="6"/>
    <w:link w:val="67"/>
    <w:qFormat/>
    <w:uiPriority w:val="99"/>
    <w:pPr>
      <w:tabs>
        <w:tab w:val="left" w:pos="780"/>
      </w:tabs>
      <w:spacing w:line="240" w:lineRule="exact"/>
      <w:ind w:left="780" w:hanging="360"/>
      <w:outlineLvl w:val="4"/>
    </w:pPr>
  </w:style>
  <w:style w:type="paragraph" w:styleId="9">
    <w:name w:val="heading 6"/>
    <w:basedOn w:val="1"/>
    <w:next w:val="1"/>
    <w:link w:val="59"/>
    <w:qFormat/>
    <w:uiPriority w:val="99"/>
    <w:pPr>
      <w:keepNext/>
      <w:keepLines/>
      <w:numPr>
        <w:ilvl w:val="5"/>
        <w:numId w:val="2"/>
      </w:numPr>
      <w:spacing w:before="240" w:after="64" w:line="320" w:lineRule="auto"/>
      <w:outlineLvl w:val="5"/>
    </w:pPr>
    <w:rPr>
      <w:rFonts w:ascii="Arial" w:hAnsi="Arial" w:eastAsia="黑体"/>
      <w:b/>
      <w:bCs/>
      <w:kern w:val="0"/>
      <w:szCs w:val="24"/>
      <w:lang w:val="zh-CN"/>
    </w:rPr>
  </w:style>
  <w:style w:type="paragraph" w:styleId="10">
    <w:name w:val="heading 7"/>
    <w:basedOn w:val="1"/>
    <w:next w:val="6"/>
    <w:link w:val="77"/>
    <w:qFormat/>
    <w:uiPriority w:val="99"/>
    <w:pPr>
      <w:keepNext/>
      <w:keepLines/>
      <w:numPr>
        <w:ilvl w:val="6"/>
        <w:numId w:val="1"/>
      </w:numPr>
      <w:spacing w:before="240" w:after="64" w:line="320" w:lineRule="auto"/>
      <w:outlineLvl w:val="6"/>
    </w:pPr>
    <w:rPr>
      <w:b/>
      <w:kern w:val="0"/>
      <w:lang w:val="zh-CN"/>
    </w:rPr>
  </w:style>
  <w:style w:type="paragraph" w:styleId="11">
    <w:name w:val="heading 8"/>
    <w:basedOn w:val="1"/>
    <w:next w:val="6"/>
    <w:link w:val="55"/>
    <w:qFormat/>
    <w:uiPriority w:val="99"/>
    <w:pPr>
      <w:keepNext/>
      <w:keepLines/>
      <w:numPr>
        <w:ilvl w:val="7"/>
        <w:numId w:val="1"/>
      </w:numPr>
      <w:spacing w:before="240" w:after="64" w:line="320" w:lineRule="auto"/>
      <w:outlineLvl w:val="7"/>
    </w:pPr>
    <w:rPr>
      <w:rFonts w:ascii="Arial" w:hAnsi="Arial" w:eastAsia="黑体"/>
      <w:kern w:val="0"/>
      <w:lang w:val="zh-CN"/>
    </w:rPr>
  </w:style>
  <w:style w:type="paragraph" w:styleId="12">
    <w:name w:val="heading 9"/>
    <w:basedOn w:val="1"/>
    <w:next w:val="6"/>
    <w:link w:val="68"/>
    <w:qFormat/>
    <w:uiPriority w:val="99"/>
    <w:pPr>
      <w:keepNext/>
      <w:keepLines/>
      <w:numPr>
        <w:ilvl w:val="8"/>
        <w:numId w:val="1"/>
      </w:numPr>
      <w:spacing w:before="240" w:after="64" w:line="320" w:lineRule="auto"/>
      <w:outlineLvl w:val="8"/>
    </w:pPr>
    <w:rPr>
      <w:rFonts w:ascii="Arial" w:hAnsi="Arial" w:eastAsia="黑体"/>
      <w:kern w:val="0"/>
      <w:sz w:val="20"/>
      <w:lang w:val="zh-CN"/>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Plain Text"/>
    <w:basedOn w:val="1"/>
    <w:link w:val="56"/>
    <w:autoRedefine/>
    <w:qFormat/>
    <w:uiPriority w:val="0"/>
    <w:pPr>
      <w:widowControl/>
      <w:jc w:val="left"/>
    </w:pPr>
    <w:rPr>
      <w:rFonts w:ascii="宋体" w:hAnsi="Courier New"/>
      <w:kern w:val="0"/>
      <w:szCs w:val="24"/>
    </w:rPr>
  </w:style>
  <w:style w:type="paragraph" w:styleId="6">
    <w:name w:val="Normal Indent"/>
    <w:basedOn w:val="1"/>
    <w:autoRedefine/>
    <w:qFormat/>
    <w:uiPriority w:val="99"/>
    <w:pPr>
      <w:ind w:firstLine="420"/>
    </w:pPr>
  </w:style>
  <w:style w:type="paragraph" w:styleId="13">
    <w:name w:val="toc 7"/>
    <w:basedOn w:val="1"/>
    <w:next w:val="1"/>
    <w:autoRedefine/>
    <w:unhideWhenUsed/>
    <w:qFormat/>
    <w:uiPriority w:val="39"/>
    <w:pPr>
      <w:ind w:left="2520" w:leftChars="1200"/>
    </w:pPr>
    <w:rPr>
      <w:rFonts w:ascii="Calibri" w:hAnsi="Calibri"/>
      <w:szCs w:val="22"/>
    </w:rPr>
  </w:style>
  <w:style w:type="paragraph" w:styleId="14">
    <w:name w:val="Document Map"/>
    <w:basedOn w:val="1"/>
    <w:link w:val="72"/>
    <w:autoRedefine/>
    <w:unhideWhenUsed/>
    <w:qFormat/>
    <w:locked/>
    <w:uiPriority w:val="99"/>
    <w:rPr>
      <w:rFonts w:ascii="宋体"/>
      <w:kern w:val="0"/>
      <w:sz w:val="18"/>
      <w:szCs w:val="18"/>
      <w:lang w:val="zh-CN"/>
    </w:rPr>
  </w:style>
  <w:style w:type="paragraph" w:styleId="15">
    <w:name w:val="annotation text"/>
    <w:basedOn w:val="1"/>
    <w:link w:val="71"/>
    <w:autoRedefine/>
    <w:qFormat/>
    <w:uiPriority w:val="99"/>
    <w:pPr>
      <w:jc w:val="left"/>
    </w:pPr>
    <w:rPr>
      <w:kern w:val="0"/>
      <w:sz w:val="20"/>
      <w:lang w:val="zh-CN"/>
    </w:rPr>
  </w:style>
  <w:style w:type="paragraph" w:styleId="16">
    <w:name w:val="Body Text"/>
    <w:basedOn w:val="1"/>
    <w:link w:val="63"/>
    <w:autoRedefine/>
    <w:qFormat/>
    <w:uiPriority w:val="99"/>
    <w:pPr>
      <w:spacing w:after="120"/>
    </w:pPr>
    <w:rPr>
      <w:kern w:val="0"/>
      <w:sz w:val="20"/>
      <w:lang w:val="zh-CN"/>
    </w:rPr>
  </w:style>
  <w:style w:type="paragraph" w:styleId="17">
    <w:name w:val="Body Text Indent"/>
    <w:basedOn w:val="1"/>
    <w:link w:val="81"/>
    <w:autoRedefine/>
    <w:unhideWhenUsed/>
    <w:qFormat/>
    <w:locked/>
    <w:uiPriority w:val="99"/>
    <w:pPr>
      <w:spacing w:after="120"/>
      <w:ind w:left="420" w:leftChars="200"/>
    </w:pPr>
    <w:rPr>
      <w:sz w:val="21"/>
      <w:lang w:val="zh-CN"/>
    </w:rPr>
  </w:style>
  <w:style w:type="paragraph" w:styleId="18">
    <w:name w:val="List Bullet 2"/>
    <w:basedOn w:val="1"/>
    <w:autoRedefine/>
    <w:qFormat/>
    <w:uiPriority w:val="99"/>
    <w:pPr>
      <w:widowControl/>
      <w:tabs>
        <w:tab w:val="left" w:pos="720"/>
        <w:tab w:val="left" w:pos="1020"/>
      </w:tabs>
      <w:ind w:left="720" w:hanging="480"/>
      <w:jc w:val="left"/>
    </w:pPr>
    <w:rPr>
      <w:kern w:val="0"/>
      <w:sz w:val="20"/>
    </w:r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ind w:left="840" w:leftChars="400"/>
    </w:pPr>
    <w:rPr>
      <w:rFonts w:ascii="Calibri" w:hAnsi="Calibri"/>
      <w:szCs w:val="22"/>
    </w:rPr>
  </w:style>
  <w:style w:type="paragraph" w:styleId="21">
    <w:name w:val="toc 8"/>
    <w:basedOn w:val="1"/>
    <w:next w:val="1"/>
    <w:unhideWhenUsed/>
    <w:qFormat/>
    <w:uiPriority w:val="39"/>
    <w:pPr>
      <w:ind w:left="2940" w:leftChars="1400"/>
    </w:pPr>
    <w:rPr>
      <w:rFonts w:ascii="Calibri" w:hAnsi="Calibri"/>
      <w:szCs w:val="22"/>
    </w:rPr>
  </w:style>
  <w:style w:type="paragraph" w:styleId="22">
    <w:name w:val="Date"/>
    <w:basedOn w:val="1"/>
    <w:next w:val="1"/>
    <w:link w:val="57"/>
    <w:autoRedefine/>
    <w:qFormat/>
    <w:uiPriority w:val="99"/>
    <w:rPr>
      <w:kern w:val="0"/>
      <w:sz w:val="20"/>
      <w:lang w:val="zh-CN"/>
    </w:rPr>
  </w:style>
  <w:style w:type="paragraph" w:styleId="23">
    <w:name w:val="Balloon Text"/>
    <w:basedOn w:val="1"/>
    <w:link w:val="58"/>
    <w:autoRedefine/>
    <w:qFormat/>
    <w:uiPriority w:val="99"/>
    <w:rPr>
      <w:kern w:val="0"/>
      <w:sz w:val="18"/>
      <w:szCs w:val="18"/>
      <w:lang w:val="zh-CN"/>
    </w:rPr>
  </w:style>
  <w:style w:type="paragraph" w:styleId="24">
    <w:name w:val="footer"/>
    <w:basedOn w:val="1"/>
    <w:link w:val="69"/>
    <w:autoRedefine/>
    <w:qFormat/>
    <w:uiPriority w:val="0"/>
    <w:pPr>
      <w:tabs>
        <w:tab w:val="center" w:pos="4153"/>
        <w:tab w:val="right" w:pos="8306"/>
      </w:tabs>
      <w:snapToGrid w:val="0"/>
      <w:jc w:val="left"/>
    </w:pPr>
    <w:rPr>
      <w:kern w:val="0"/>
      <w:sz w:val="20"/>
      <w:lang w:val="zh-CN"/>
    </w:rPr>
  </w:style>
  <w:style w:type="paragraph" w:styleId="25">
    <w:name w:val="header"/>
    <w:basedOn w:val="1"/>
    <w:link w:val="54"/>
    <w:autoRedefine/>
    <w:qFormat/>
    <w:uiPriority w:val="99"/>
    <w:pPr>
      <w:pBdr>
        <w:bottom w:val="single" w:color="auto" w:sz="6" w:space="1"/>
      </w:pBdr>
      <w:tabs>
        <w:tab w:val="center" w:pos="4153"/>
        <w:tab w:val="right" w:pos="8306"/>
      </w:tabs>
      <w:snapToGrid w:val="0"/>
      <w:jc w:val="center"/>
    </w:pPr>
    <w:rPr>
      <w:kern w:val="0"/>
      <w:sz w:val="20"/>
      <w:lang w:val="zh-CN"/>
    </w:rPr>
  </w:style>
  <w:style w:type="paragraph" w:styleId="26">
    <w:name w:val="toc 1"/>
    <w:basedOn w:val="1"/>
    <w:next w:val="1"/>
    <w:autoRedefine/>
    <w:qFormat/>
    <w:uiPriority w:val="39"/>
    <w:pPr>
      <w:tabs>
        <w:tab w:val="right" w:leader="dot" w:pos="9180"/>
      </w:tabs>
    </w:pPr>
    <w:rPr>
      <w:b/>
      <w:bCs/>
      <w:szCs w:val="24"/>
    </w:rPr>
  </w:style>
  <w:style w:type="paragraph" w:styleId="27">
    <w:name w:val="toc 4"/>
    <w:basedOn w:val="1"/>
    <w:next w:val="1"/>
    <w:autoRedefine/>
    <w:unhideWhenUsed/>
    <w:qFormat/>
    <w:uiPriority w:val="39"/>
    <w:pPr>
      <w:ind w:left="1260" w:leftChars="600"/>
    </w:pPr>
    <w:rPr>
      <w:rFonts w:ascii="Calibri" w:hAnsi="Calibri"/>
      <w:szCs w:val="22"/>
    </w:rPr>
  </w:style>
  <w:style w:type="paragraph" w:styleId="28">
    <w:name w:val="Subtitle"/>
    <w:basedOn w:val="1"/>
    <w:next w:val="1"/>
    <w:link w:val="82"/>
    <w:autoRedefine/>
    <w:qFormat/>
    <w:uiPriority w:val="11"/>
    <w:pPr>
      <w:widowControl/>
      <w:spacing w:before="240" w:after="60" w:line="312" w:lineRule="auto"/>
      <w:jc w:val="center"/>
      <w:outlineLvl w:val="1"/>
    </w:pPr>
    <w:rPr>
      <w:rFonts w:ascii="Calibri Light" w:hAnsi="Calibri Light"/>
      <w:b/>
      <w:bCs/>
      <w:kern w:val="28"/>
      <w:sz w:val="32"/>
      <w:szCs w:val="32"/>
      <w:lang w:val="zh-CN"/>
    </w:rPr>
  </w:style>
  <w:style w:type="paragraph" w:styleId="29">
    <w:name w:val="toc 6"/>
    <w:basedOn w:val="1"/>
    <w:next w:val="1"/>
    <w:autoRedefine/>
    <w:unhideWhenUsed/>
    <w:qFormat/>
    <w:uiPriority w:val="39"/>
    <w:pPr>
      <w:ind w:left="2100" w:leftChars="1000"/>
    </w:pPr>
    <w:rPr>
      <w:rFonts w:ascii="Calibri" w:hAnsi="Calibri"/>
      <w:szCs w:val="22"/>
    </w:rPr>
  </w:style>
  <w:style w:type="paragraph" w:styleId="30">
    <w:name w:val="toc 2"/>
    <w:basedOn w:val="1"/>
    <w:next w:val="1"/>
    <w:autoRedefine/>
    <w:qFormat/>
    <w:uiPriority w:val="39"/>
    <w:pPr>
      <w:tabs>
        <w:tab w:val="right" w:leader="dot" w:pos="9180"/>
      </w:tabs>
      <w:snapToGrid w:val="0"/>
      <w:ind w:left="420" w:leftChars="200"/>
      <w:jc w:val="left"/>
    </w:pPr>
    <w:rPr>
      <w:szCs w:val="24"/>
    </w:rPr>
  </w:style>
  <w:style w:type="paragraph" w:styleId="31">
    <w:name w:val="toc 9"/>
    <w:basedOn w:val="1"/>
    <w:next w:val="1"/>
    <w:autoRedefine/>
    <w:unhideWhenUsed/>
    <w:qFormat/>
    <w:uiPriority w:val="39"/>
    <w:pPr>
      <w:ind w:left="3360" w:leftChars="1600"/>
    </w:pPr>
    <w:rPr>
      <w:rFonts w:ascii="Calibri" w:hAnsi="Calibri"/>
      <w:szCs w:val="22"/>
    </w:rPr>
  </w:style>
  <w:style w:type="paragraph" w:styleId="32">
    <w:name w:val="Body Text 2"/>
    <w:basedOn w:val="1"/>
    <w:link w:val="132"/>
    <w:autoRedefine/>
    <w:qFormat/>
    <w:locked/>
    <w:uiPriority w:val="0"/>
    <w:pPr>
      <w:spacing w:after="120" w:line="480" w:lineRule="auto"/>
    </w:pPr>
    <w:rPr>
      <w:lang w:val="zh-CN"/>
    </w:rPr>
  </w:style>
  <w:style w:type="paragraph" w:styleId="33">
    <w:name w:val="Normal (Web)"/>
    <w:basedOn w:val="1"/>
    <w:autoRedefine/>
    <w:qFormat/>
    <w:uiPriority w:val="99"/>
    <w:pPr>
      <w:widowControl/>
      <w:spacing w:before="100" w:beforeAutospacing="1" w:after="100" w:afterAutospacing="1"/>
      <w:jc w:val="left"/>
    </w:pPr>
    <w:rPr>
      <w:rFonts w:ascii="宋体" w:hAnsi="宋体"/>
      <w:kern w:val="0"/>
      <w:szCs w:val="24"/>
    </w:rPr>
  </w:style>
  <w:style w:type="paragraph" w:styleId="34">
    <w:name w:val="Title"/>
    <w:basedOn w:val="1"/>
    <w:link w:val="78"/>
    <w:autoRedefine/>
    <w:qFormat/>
    <w:uiPriority w:val="10"/>
    <w:pPr>
      <w:spacing w:before="120" w:after="60"/>
      <w:jc w:val="center"/>
    </w:pPr>
    <w:rPr>
      <w:rFonts w:ascii="Arial" w:hAnsi="Arial"/>
      <w:b/>
      <w:kern w:val="0"/>
      <w:sz w:val="20"/>
      <w:lang w:val="zh-CN"/>
    </w:rPr>
  </w:style>
  <w:style w:type="paragraph" w:styleId="35">
    <w:name w:val="annotation subject"/>
    <w:basedOn w:val="15"/>
    <w:next w:val="15"/>
    <w:link w:val="76"/>
    <w:autoRedefine/>
    <w:qFormat/>
    <w:locked/>
    <w:uiPriority w:val="99"/>
    <w:rPr>
      <w:b/>
      <w:bCs/>
    </w:rPr>
  </w:style>
  <w:style w:type="paragraph" w:styleId="36">
    <w:name w:val="Body Text First Indent"/>
    <w:basedOn w:val="16"/>
    <w:link w:val="73"/>
    <w:autoRedefine/>
    <w:qFormat/>
    <w:uiPriority w:val="99"/>
    <w:pPr>
      <w:ind w:firstLine="420"/>
    </w:pPr>
  </w:style>
  <w:style w:type="table" w:styleId="38">
    <w:name w:val="Table Grid"/>
    <w:basedOn w:val="37"/>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rPr>
  </w:style>
  <w:style w:type="character" w:styleId="41">
    <w:name w:val="page number"/>
    <w:autoRedefine/>
    <w:qFormat/>
    <w:uiPriority w:val="99"/>
    <w:rPr>
      <w:rFonts w:cs="Times New Roman"/>
    </w:rPr>
  </w:style>
  <w:style w:type="character" w:styleId="42">
    <w:name w:val="FollowedHyperlink"/>
    <w:autoRedefine/>
    <w:unhideWhenUsed/>
    <w:qFormat/>
    <w:locked/>
    <w:uiPriority w:val="99"/>
    <w:rPr>
      <w:color w:val="800080"/>
      <w:u w:val="single"/>
    </w:rPr>
  </w:style>
  <w:style w:type="character" w:styleId="43">
    <w:name w:val="Emphasis"/>
    <w:autoRedefine/>
    <w:qFormat/>
    <w:uiPriority w:val="0"/>
  </w:style>
  <w:style w:type="character" w:styleId="44">
    <w:name w:val="HTML Definition"/>
    <w:autoRedefine/>
    <w:unhideWhenUsed/>
    <w:qFormat/>
    <w:locked/>
    <w:uiPriority w:val="99"/>
  </w:style>
  <w:style w:type="character" w:styleId="45">
    <w:name w:val="HTML Variable"/>
    <w:autoRedefine/>
    <w:unhideWhenUsed/>
    <w:qFormat/>
    <w:locked/>
    <w:uiPriority w:val="99"/>
  </w:style>
  <w:style w:type="character" w:styleId="46">
    <w:name w:val="Hyperlink"/>
    <w:autoRedefine/>
    <w:qFormat/>
    <w:uiPriority w:val="99"/>
    <w:rPr>
      <w:rFonts w:cs="Times New Roman"/>
      <w:color w:val="0000FF"/>
      <w:u w:val="single"/>
    </w:rPr>
  </w:style>
  <w:style w:type="character" w:styleId="47">
    <w:name w:val="HTML Code"/>
    <w:autoRedefine/>
    <w:unhideWhenUsed/>
    <w:qFormat/>
    <w:locked/>
    <w:uiPriority w:val="99"/>
    <w:rPr>
      <w:rFonts w:hint="default" w:ascii="monospace" w:hAnsi="monospace" w:eastAsia="monospace" w:cs="monospace"/>
      <w:sz w:val="21"/>
      <w:szCs w:val="21"/>
    </w:rPr>
  </w:style>
  <w:style w:type="character" w:styleId="48">
    <w:name w:val="annotation reference"/>
    <w:autoRedefine/>
    <w:qFormat/>
    <w:uiPriority w:val="99"/>
    <w:rPr>
      <w:rFonts w:cs="Times New Roman"/>
      <w:sz w:val="21"/>
    </w:rPr>
  </w:style>
  <w:style w:type="character" w:styleId="49">
    <w:name w:val="HTML Cite"/>
    <w:autoRedefine/>
    <w:unhideWhenUsed/>
    <w:qFormat/>
    <w:locked/>
    <w:uiPriority w:val="99"/>
  </w:style>
  <w:style w:type="character" w:styleId="50">
    <w:name w:val="HTML Keyboard"/>
    <w:autoRedefine/>
    <w:unhideWhenUsed/>
    <w:qFormat/>
    <w:locked/>
    <w:uiPriority w:val="99"/>
    <w:rPr>
      <w:rFonts w:hint="default" w:ascii="monospace" w:hAnsi="monospace" w:eastAsia="monospace" w:cs="monospace"/>
      <w:sz w:val="21"/>
      <w:szCs w:val="21"/>
    </w:rPr>
  </w:style>
  <w:style w:type="character" w:styleId="51">
    <w:name w:val="HTML Sample"/>
    <w:autoRedefine/>
    <w:unhideWhenUsed/>
    <w:qFormat/>
    <w:locked/>
    <w:uiPriority w:val="99"/>
    <w:rPr>
      <w:rFonts w:ascii="monospace" w:hAnsi="monospace" w:eastAsia="monospace" w:cs="monospace"/>
      <w:sz w:val="21"/>
      <w:szCs w:val="21"/>
    </w:rPr>
  </w:style>
  <w:style w:type="character" w:customStyle="1" w:styleId="52">
    <w:name w:val="副标题 Char1"/>
    <w:autoRedefine/>
    <w:qFormat/>
    <w:uiPriority w:val="0"/>
    <w:rPr>
      <w:rFonts w:ascii="Cambria" w:hAnsi="Cambria" w:cs="Times New Roman"/>
      <w:b/>
      <w:bCs/>
      <w:kern w:val="28"/>
      <w:sz w:val="32"/>
      <w:szCs w:val="32"/>
    </w:rPr>
  </w:style>
  <w:style w:type="character" w:customStyle="1" w:styleId="53">
    <w:name w:val="正 文 1 Char1"/>
    <w:autoRedefine/>
    <w:qFormat/>
    <w:uiPriority w:val="99"/>
    <w:rPr>
      <w:rFonts w:ascii="宋体" w:hAnsi="Courier New" w:eastAsia="宋体"/>
      <w:sz w:val="21"/>
      <w:lang w:val="en-US" w:eastAsia="zh-CN"/>
    </w:rPr>
  </w:style>
  <w:style w:type="character" w:customStyle="1" w:styleId="54">
    <w:name w:val="页眉 Char"/>
    <w:link w:val="25"/>
    <w:autoRedefine/>
    <w:qFormat/>
    <w:locked/>
    <w:uiPriority w:val="99"/>
    <w:rPr>
      <w:rFonts w:ascii="Times New Roman" w:hAnsi="Times New Roman" w:eastAsia="宋体" w:cs="Times New Roman"/>
      <w:sz w:val="20"/>
      <w:szCs w:val="20"/>
    </w:rPr>
  </w:style>
  <w:style w:type="character" w:customStyle="1" w:styleId="55">
    <w:name w:val="标题 8 Char"/>
    <w:link w:val="11"/>
    <w:autoRedefine/>
    <w:qFormat/>
    <w:locked/>
    <w:uiPriority w:val="99"/>
    <w:rPr>
      <w:rFonts w:ascii="Arial" w:hAnsi="Arial" w:eastAsia="黑体"/>
      <w:sz w:val="24"/>
      <w:szCs w:val="20"/>
    </w:rPr>
  </w:style>
  <w:style w:type="character" w:customStyle="1" w:styleId="56">
    <w:name w:val="纯文本 Char"/>
    <w:link w:val="2"/>
    <w:autoRedefine/>
    <w:qFormat/>
    <w:locked/>
    <w:uiPriority w:val="0"/>
    <w:rPr>
      <w:rFonts w:ascii="宋体" w:hAnsi="Courier New"/>
      <w:sz w:val="24"/>
      <w:szCs w:val="24"/>
    </w:rPr>
  </w:style>
  <w:style w:type="character" w:customStyle="1" w:styleId="57">
    <w:name w:val="日期 Char"/>
    <w:link w:val="22"/>
    <w:autoRedefine/>
    <w:qFormat/>
    <w:locked/>
    <w:uiPriority w:val="99"/>
    <w:rPr>
      <w:rFonts w:ascii="Times New Roman" w:hAnsi="Times New Roman" w:eastAsia="宋体" w:cs="Times New Roman"/>
      <w:sz w:val="20"/>
      <w:szCs w:val="20"/>
    </w:rPr>
  </w:style>
  <w:style w:type="character" w:customStyle="1" w:styleId="58">
    <w:name w:val="批注框文本 Char"/>
    <w:link w:val="23"/>
    <w:autoRedefine/>
    <w:qFormat/>
    <w:locked/>
    <w:uiPriority w:val="99"/>
    <w:rPr>
      <w:rFonts w:ascii="Times New Roman" w:hAnsi="Times New Roman" w:eastAsia="宋体" w:cs="Times New Roman"/>
      <w:sz w:val="18"/>
      <w:szCs w:val="18"/>
    </w:rPr>
  </w:style>
  <w:style w:type="character" w:customStyle="1" w:styleId="59">
    <w:name w:val="标题 6 Char"/>
    <w:link w:val="9"/>
    <w:autoRedefine/>
    <w:qFormat/>
    <w:locked/>
    <w:uiPriority w:val="99"/>
    <w:rPr>
      <w:rFonts w:ascii="Arial" w:hAnsi="Arial" w:eastAsia="黑体"/>
      <w:b/>
      <w:bCs/>
      <w:sz w:val="24"/>
      <w:szCs w:val="24"/>
    </w:rPr>
  </w:style>
  <w:style w:type="character" w:customStyle="1" w:styleId="60">
    <w:name w:val="标题 2 Char"/>
    <w:link w:val="4"/>
    <w:autoRedefine/>
    <w:qFormat/>
    <w:locked/>
    <w:uiPriority w:val="99"/>
    <w:rPr>
      <w:rFonts w:ascii="黑体" w:hAnsi="Arial" w:eastAsia="黑体" w:cs="Times New Roman"/>
      <w:b/>
      <w:bCs/>
      <w:sz w:val="30"/>
      <w:szCs w:val="30"/>
    </w:rPr>
  </w:style>
  <w:style w:type="character" w:customStyle="1" w:styleId="61">
    <w:name w:val="标题 4 Char"/>
    <w:link w:val="7"/>
    <w:autoRedefine/>
    <w:qFormat/>
    <w:locked/>
    <w:uiPriority w:val="0"/>
    <w:rPr>
      <w:rFonts w:ascii="Arial" w:hAnsi="Arial"/>
      <w:sz w:val="24"/>
      <w:szCs w:val="24"/>
    </w:rPr>
  </w:style>
  <w:style w:type="character" w:customStyle="1" w:styleId="62">
    <w:name w:val="ask-title2"/>
    <w:autoRedefine/>
    <w:qFormat/>
    <w:uiPriority w:val="99"/>
    <w:rPr>
      <w:rFonts w:cs="Times New Roman"/>
    </w:rPr>
  </w:style>
  <w:style w:type="character" w:customStyle="1" w:styleId="63">
    <w:name w:val="正文文本 Char"/>
    <w:link w:val="16"/>
    <w:autoRedefine/>
    <w:qFormat/>
    <w:locked/>
    <w:uiPriority w:val="99"/>
    <w:rPr>
      <w:rFonts w:ascii="Times New Roman" w:hAnsi="Times New Roman" w:eastAsia="宋体" w:cs="Times New Roman"/>
      <w:sz w:val="20"/>
      <w:szCs w:val="20"/>
    </w:rPr>
  </w:style>
  <w:style w:type="character" w:customStyle="1" w:styleId="64">
    <w:name w:val="标题 3 Char"/>
    <w:link w:val="5"/>
    <w:autoRedefine/>
    <w:qFormat/>
    <w:locked/>
    <w:uiPriority w:val="99"/>
    <w:rPr>
      <w:rFonts w:ascii="Times New Roman" w:hAnsi="Times New Roman" w:eastAsia="宋体" w:cs="Times New Roman"/>
      <w:b/>
      <w:sz w:val="24"/>
      <w:szCs w:val="24"/>
    </w:rPr>
  </w:style>
  <w:style w:type="character" w:customStyle="1" w:styleId="65">
    <w:name w:val="fontborder"/>
    <w:autoRedefine/>
    <w:qFormat/>
    <w:uiPriority w:val="0"/>
    <w:rPr>
      <w:bdr w:val="single" w:color="000000" w:sz="6" w:space="0"/>
    </w:rPr>
  </w:style>
  <w:style w:type="character" w:customStyle="1" w:styleId="66">
    <w:name w:val="h2 Char"/>
    <w:autoRedefine/>
    <w:qFormat/>
    <w:uiPriority w:val="99"/>
    <w:rPr>
      <w:rFonts w:ascii="Arial" w:hAnsi="Arial" w:eastAsia="黑体" w:cs="Times New Roman"/>
      <w:b/>
      <w:bCs/>
      <w:kern w:val="2"/>
      <w:sz w:val="32"/>
      <w:szCs w:val="32"/>
    </w:rPr>
  </w:style>
  <w:style w:type="character" w:customStyle="1" w:styleId="67">
    <w:name w:val="标题 5 Char"/>
    <w:link w:val="8"/>
    <w:autoRedefine/>
    <w:qFormat/>
    <w:locked/>
    <w:uiPriority w:val="99"/>
    <w:rPr>
      <w:rFonts w:ascii="Arial" w:hAnsi="Arial"/>
      <w:sz w:val="24"/>
      <w:szCs w:val="24"/>
    </w:rPr>
  </w:style>
  <w:style w:type="character" w:customStyle="1" w:styleId="68">
    <w:name w:val="标题 9 Char"/>
    <w:link w:val="12"/>
    <w:autoRedefine/>
    <w:qFormat/>
    <w:locked/>
    <w:uiPriority w:val="99"/>
    <w:rPr>
      <w:rFonts w:ascii="Arial" w:hAnsi="Arial" w:eastAsia="黑体"/>
      <w:szCs w:val="20"/>
    </w:rPr>
  </w:style>
  <w:style w:type="character" w:customStyle="1" w:styleId="69">
    <w:name w:val="页脚 Char"/>
    <w:link w:val="24"/>
    <w:autoRedefine/>
    <w:qFormat/>
    <w:locked/>
    <w:uiPriority w:val="0"/>
    <w:rPr>
      <w:rFonts w:ascii="Times New Roman" w:hAnsi="Times New Roman" w:eastAsia="宋体" w:cs="Times New Roman"/>
      <w:sz w:val="20"/>
      <w:szCs w:val="20"/>
    </w:rPr>
  </w:style>
  <w:style w:type="character" w:customStyle="1" w:styleId="70">
    <w:name w:val="标题 1 Char"/>
    <w:autoRedefine/>
    <w:qFormat/>
    <w:uiPriority w:val="9"/>
    <w:rPr>
      <w:rFonts w:ascii="Arial" w:hAnsi="Arial" w:eastAsia="宋体"/>
      <w:bCs/>
      <w:kern w:val="44"/>
      <w:sz w:val="36"/>
      <w:szCs w:val="36"/>
      <w:lang w:val="en-US" w:eastAsia="zh-CN" w:bidi="ar-SA"/>
    </w:rPr>
  </w:style>
  <w:style w:type="character" w:customStyle="1" w:styleId="71">
    <w:name w:val="批注文字 Char"/>
    <w:link w:val="15"/>
    <w:autoRedefine/>
    <w:semiHidden/>
    <w:qFormat/>
    <w:locked/>
    <w:uiPriority w:val="99"/>
    <w:rPr>
      <w:rFonts w:ascii="Times New Roman" w:hAnsi="Times New Roman" w:eastAsia="宋体" w:cs="Times New Roman"/>
      <w:sz w:val="20"/>
      <w:szCs w:val="20"/>
    </w:rPr>
  </w:style>
  <w:style w:type="character" w:customStyle="1" w:styleId="72">
    <w:name w:val="文档结构图 Char"/>
    <w:link w:val="14"/>
    <w:autoRedefine/>
    <w:qFormat/>
    <w:uiPriority w:val="99"/>
    <w:rPr>
      <w:rFonts w:ascii="宋体" w:hAnsi="Times New Roman"/>
      <w:sz w:val="18"/>
      <w:szCs w:val="18"/>
    </w:rPr>
  </w:style>
  <w:style w:type="character" w:customStyle="1" w:styleId="73">
    <w:name w:val="正文首行缩进 Char"/>
    <w:link w:val="36"/>
    <w:autoRedefine/>
    <w:qFormat/>
    <w:locked/>
    <w:uiPriority w:val="99"/>
    <w:rPr>
      <w:rFonts w:ascii="Times New Roman" w:hAnsi="Times New Roman" w:eastAsia="宋体" w:cs="Times New Roman"/>
      <w:sz w:val="20"/>
      <w:szCs w:val="20"/>
    </w:rPr>
  </w:style>
  <w:style w:type="character" w:customStyle="1" w:styleId="74">
    <w:name w:val="图表 Char1 Char Char Char"/>
    <w:link w:val="75"/>
    <w:autoRedefine/>
    <w:qFormat/>
    <w:uiPriority w:val="0"/>
    <w:rPr>
      <w:rFonts w:eastAsia="华文中宋"/>
      <w:kern w:val="24"/>
      <w:sz w:val="24"/>
      <w:lang w:val="en-US" w:eastAsia="zh-CN" w:bidi="ar-SA"/>
    </w:rPr>
  </w:style>
  <w:style w:type="paragraph" w:customStyle="1" w:styleId="75">
    <w:name w:val="图表 Char1 Char"/>
    <w:basedOn w:val="1"/>
    <w:link w:val="74"/>
    <w:autoRedefine/>
    <w:qFormat/>
    <w:uiPriority w:val="0"/>
    <w:pPr>
      <w:snapToGrid w:val="0"/>
      <w:ind w:firstLine="200" w:firstLineChars="200"/>
      <w:jc w:val="center"/>
    </w:pPr>
    <w:rPr>
      <w:rFonts w:eastAsia="华文中宋"/>
      <w:kern w:val="24"/>
    </w:rPr>
  </w:style>
  <w:style w:type="character" w:customStyle="1" w:styleId="76">
    <w:name w:val="批注主题 Char"/>
    <w:link w:val="35"/>
    <w:autoRedefine/>
    <w:qFormat/>
    <w:uiPriority w:val="99"/>
    <w:rPr>
      <w:b/>
      <w:bCs/>
    </w:rPr>
  </w:style>
  <w:style w:type="character" w:customStyle="1" w:styleId="77">
    <w:name w:val="标题 7 Char"/>
    <w:link w:val="10"/>
    <w:autoRedefine/>
    <w:qFormat/>
    <w:locked/>
    <w:uiPriority w:val="99"/>
    <w:rPr>
      <w:rFonts w:ascii="Times New Roman" w:hAnsi="Times New Roman"/>
      <w:b/>
      <w:sz w:val="24"/>
      <w:szCs w:val="20"/>
    </w:rPr>
  </w:style>
  <w:style w:type="character" w:customStyle="1" w:styleId="78">
    <w:name w:val="标题 Char"/>
    <w:link w:val="34"/>
    <w:autoRedefine/>
    <w:qFormat/>
    <w:locked/>
    <w:uiPriority w:val="10"/>
    <w:rPr>
      <w:rFonts w:ascii="Arial" w:hAnsi="Arial" w:eastAsia="宋体" w:cs="Times New Roman"/>
      <w:b/>
      <w:sz w:val="20"/>
      <w:szCs w:val="20"/>
    </w:rPr>
  </w:style>
  <w:style w:type="character" w:customStyle="1" w:styleId="79">
    <w:name w:val="15"/>
    <w:autoRedefine/>
    <w:qFormat/>
    <w:uiPriority w:val="0"/>
    <w:rPr>
      <w:rFonts w:hint="default" w:ascii="Times New Roman" w:hAnsi="Times New Roman" w:cs="Times New Roman"/>
      <w:color w:val="464445"/>
      <w:u w:val="none"/>
    </w:rPr>
  </w:style>
  <w:style w:type="character" w:customStyle="1" w:styleId="80">
    <w:name w:val="标题 1 Char1"/>
    <w:link w:val="3"/>
    <w:autoRedefine/>
    <w:qFormat/>
    <w:locked/>
    <w:uiPriority w:val="99"/>
    <w:rPr>
      <w:rFonts w:ascii="黑体" w:hAnsi="黑体" w:eastAsia="宋体"/>
      <w:b/>
      <w:kern w:val="44"/>
      <w:sz w:val="30"/>
      <w:szCs w:val="30"/>
    </w:rPr>
  </w:style>
  <w:style w:type="character" w:customStyle="1" w:styleId="81">
    <w:name w:val="正文文本缩进 Char"/>
    <w:link w:val="17"/>
    <w:autoRedefine/>
    <w:qFormat/>
    <w:uiPriority w:val="99"/>
    <w:rPr>
      <w:rFonts w:ascii="Times New Roman" w:hAnsi="Times New Roman"/>
      <w:kern w:val="2"/>
      <w:sz w:val="21"/>
    </w:rPr>
  </w:style>
  <w:style w:type="character" w:customStyle="1" w:styleId="82">
    <w:name w:val="副标题 Char"/>
    <w:link w:val="28"/>
    <w:autoRedefine/>
    <w:qFormat/>
    <w:uiPriority w:val="11"/>
    <w:rPr>
      <w:rFonts w:ascii="Calibri Light" w:hAnsi="Calibri Light"/>
      <w:b/>
      <w:bCs/>
      <w:kern w:val="28"/>
      <w:sz w:val="32"/>
      <w:szCs w:val="32"/>
    </w:rPr>
  </w:style>
  <w:style w:type="character" w:customStyle="1" w:styleId="83">
    <w:name w:val="fontstrikethrough"/>
    <w:autoRedefine/>
    <w:qFormat/>
    <w:uiPriority w:val="0"/>
    <w:rPr>
      <w:strike/>
    </w:rPr>
  </w:style>
  <w:style w:type="paragraph" w:styleId="84">
    <w:name w:val="No Spacing"/>
    <w:autoRedefine/>
    <w:qFormat/>
    <w:uiPriority w:val="0"/>
    <w:pPr>
      <w:widowControl w:val="0"/>
      <w:ind w:hanging="720"/>
      <w:jc w:val="both"/>
    </w:pPr>
    <w:rPr>
      <w:rFonts w:ascii="Times New Roman" w:hAnsi="Times New Roman" w:eastAsia="宋体" w:cs="Times New Roman"/>
      <w:kern w:val="2"/>
      <w:sz w:val="21"/>
      <w:szCs w:val="22"/>
      <w:lang w:val="en-US" w:eastAsia="zh-CN" w:bidi="ar-SA"/>
    </w:rPr>
  </w:style>
  <w:style w:type="paragraph" w:customStyle="1" w:styleId="85">
    <w:name w:val="文二"/>
    <w:basedOn w:val="1"/>
    <w:autoRedefine/>
    <w:qFormat/>
    <w:uiPriority w:val="0"/>
    <w:pPr>
      <w:jc w:val="left"/>
    </w:pPr>
    <w:rPr>
      <w:rFonts w:ascii="宋体" w:hAnsi="宋体"/>
      <w:szCs w:val="21"/>
    </w:rPr>
  </w:style>
  <w:style w:type="paragraph" w:customStyle="1" w:styleId="86">
    <w:name w:val="图"/>
    <w:basedOn w:val="1"/>
    <w:autoRedefine/>
    <w:qFormat/>
    <w:uiPriority w:val="99"/>
    <w:pPr>
      <w:keepNext/>
      <w:adjustRightInd w:val="0"/>
      <w:spacing w:before="60" w:after="60" w:line="300" w:lineRule="auto"/>
      <w:jc w:val="center"/>
      <w:textAlignment w:val="center"/>
    </w:pPr>
    <w:rPr>
      <w:spacing w:val="20"/>
      <w:kern w:val="0"/>
    </w:rPr>
  </w:style>
  <w:style w:type="paragraph" w:customStyle="1" w:styleId="87">
    <w:name w:val="1"/>
    <w:basedOn w:val="1"/>
    <w:autoRedefine/>
    <w:qFormat/>
    <w:uiPriority w:val="99"/>
    <w:pPr>
      <w:tabs>
        <w:tab w:val="left" w:pos="825"/>
      </w:tabs>
      <w:ind w:left="825" w:hanging="825"/>
    </w:pPr>
    <w:rPr>
      <w:szCs w:val="24"/>
    </w:rPr>
  </w:style>
  <w:style w:type="paragraph" w:customStyle="1" w:styleId="88">
    <w:name w:val="p0"/>
    <w:basedOn w:val="1"/>
    <w:autoRedefine/>
    <w:qFormat/>
    <w:uiPriority w:val="0"/>
    <w:pPr>
      <w:widowControl/>
    </w:pPr>
    <w:rPr>
      <w:kern w:val="0"/>
      <w:szCs w:val="21"/>
    </w:rPr>
  </w:style>
  <w:style w:type="paragraph" w:customStyle="1" w:styleId="89">
    <w:name w:val="标题2"/>
    <w:basedOn w:val="4"/>
    <w:autoRedefine/>
    <w:qFormat/>
    <w:uiPriority w:val="0"/>
    <w:pPr>
      <w:adjustRightInd w:val="0"/>
      <w:snapToGrid w:val="0"/>
      <w:spacing w:before="100" w:after="0" w:afterAutospacing="0"/>
      <w:ind w:left="0" w:firstLine="200" w:firstLineChars="200"/>
      <w:jc w:val="left"/>
    </w:pPr>
    <w:rPr>
      <w:rFonts w:ascii="Cambria" w:hAnsi="Cambria" w:eastAsia="宋体"/>
      <w:kern w:val="2"/>
      <w:sz w:val="24"/>
      <w:szCs w:val="32"/>
      <w:u w:val="single"/>
      <w:lang w:val="en-US"/>
    </w:rPr>
  </w:style>
  <w:style w:type="paragraph" w:customStyle="1" w:styleId="90">
    <w:name w:val="Char Char Char Char"/>
    <w:basedOn w:val="14"/>
    <w:autoRedefine/>
    <w:qFormat/>
    <w:uiPriority w:val="0"/>
    <w:pPr>
      <w:shd w:val="clear" w:color="auto" w:fill="000080"/>
      <w:ind w:left="480" w:leftChars="200" w:firstLine="200" w:firstLineChars="200"/>
    </w:pPr>
    <w:rPr>
      <w:rFonts w:ascii="Times New Roman"/>
      <w:sz w:val="21"/>
      <w:szCs w:val="20"/>
    </w:rPr>
  </w:style>
  <w:style w:type="paragraph" w:customStyle="1" w:styleId="91">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2">
    <w:name w:val="Char1"/>
    <w:basedOn w:val="1"/>
    <w:autoRedefine/>
    <w:qFormat/>
    <w:uiPriority w:val="0"/>
    <w:rPr>
      <w:sz w:val="30"/>
      <w:szCs w:val="24"/>
    </w:rPr>
  </w:style>
  <w:style w:type="paragraph" w:customStyle="1" w:styleId="93">
    <w:name w:val="TOC 标题1"/>
    <w:basedOn w:val="3"/>
    <w:next w:val="1"/>
    <w:autoRedefine/>
    <w:qFormat/>
    <w:uiPriority w:val="0"/>
    <w:pPr>
      <w:spacing w:before="340" w:after="330" w:line="578" w:lineRule="auto"/>
      <w:jc w:val="both"/>
      <w:outlineLvl w:val="9"/>
    </w:pPr>
    <w:rPr>
      <w:rFonts w:ascii="Times New Roman" w:hAnsi="Times New Roman"/>
      <w:bCs/>
      <w:sz w:val="44"/>
      <w:szCs w:val="44"/>
      <w:lang w:val="en-US"/>
    </w:rPr>
  </w:style>
  <w:style w:type="paragraph" w:customStyle="1" w:styleId="94">
    <w:name w:val="文一"/>
    <w:basedOn w:val="1"/>
    <w:autoRedefine/>
    <w:qFormat/>
    <w:uiPriority w:val="0"/>
    <w:pPr>
      <w:topLinePunct/>
      <w:adjustRightInd w:val="0"/>
      <w:snapToGrid w:val="0"/>
      <w:ind w:firstLine="200" w:firstLineChars="200"/>
    </w:pPr>
    <w:rPr>
      <w:spacing w:val="4"/>
      <w:kern w:val="0"/>
      <w:szCs w:val="24"/>
    </w:rPr>
  </w:style>
  <w:style w:type="paragraph" w:customStyle="1" w:styleId="95">
    <w:name w:val="reader-word-layer"/>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96">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97">
    <w:name w:val="Char Char Char Char1"/>
    <w:basedOn w:val="1"/>
    <w:autoRedefine/>
    <w:qFormat/>
    <w:uiPriority w:val="0"/>
    <w:rPr>
      <w:sz w:val="30"/>
      <w:szCs w:val="24"/>
    </w:rPr>
  </w:style>
  <w:style w:type="paragraph" w:customStyle="1" w:styleId="98">
    <w:name w:val="xl24"/>
    <w:basedOn w:val="1"/>
    <w:autoRedefine/>
    <w:qFormat/>
    <w:uiPriority w:val="0"/>
    <w:pPr>
      <w:widowControl/>
      <w:spacing w:before="100" w:after="100"/>
      <w:jc w:val="center"/>
      <w:textAlignment w:val="center"/>
    </w:pPr>
    <w:rPr>
      <w:rFonts w:ascii="宋体" w:hAnsi="宋体"/>
      <w:kern w:val="0"/>
    </w:rPr>
  </w:style>
  <w:style w:type="paragraph" w:customStyle="1" w:styleId="99">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3 Char Char Char Char Char Char Char"/>
    <w:basedOn w:val="1"/>
    <w:autoRedefine/>
    <w:qFormat/>
    <w:uiPriority w:val="0"/>
    <w:pPr>
      <w:adjustRightInd w:val="0"/>
      <w:snapToGrid w:val="0"/>
      <w:spacing w:line="400" w:lineRule="exact"/>
      <w:ind w:firstLine="200" w:firstLineChars="200"/>
    </w:pPr>
  </w:style>
  <w:style w:type="paragraph" w:customStyle="1" w:styleId="101">
    <w:name w:val="正文 New New New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文一1"/>
    <w:basedOn w:val="1"/>
    <w:autoRedefine/>
    <w:qFormat/>
    <w:uiPriority w:val="0"/>
    <w:pPr>
      <w:topLinePunct/>
      <w:adjustRightInd w:val="0"/>
      <w:snapToGrid w:val="0"/>
      <w:ind w:firstLine="200" w:firstLineChars="200"/>
    </w:pPr>
    <w:rPr>
      <w:spacing w:val="4"/>
      <w:kern w:val="0"/>
      <w:szCs w:val="24"/>
    </w:rPr>
  </w:style>
  <w:style w:type="character" w:customStyle="1" w:styleId="103">
    <w:name w:val="页眉 Char1"/>
    <w:autoRedefine/>
    <w:qFormat/>
    <w:uiPriority w:val="0"/>
    <w:rPr>
      <w:kern w:val="2"/>
      <w:sz w:val="18"/>
      <w:szCs w:val="18"/>
    </w:rPr>
  </w:style>
  <w:style w:type="character" w:customStyle="1" w:styleId="104">
    <w:name w:val="标题 4 Char1"/>
    <w:autoRedefine/>
    <w:qFormat/>
    <w:uiPriority w:val="0"/>
    <w:rPr>
      <w:rFonts w:ascii="Arial" w:hAnsi="Arial"/>
      <w:sz w:val="24"/>
      <w:szCs w:val="24"/>
      <w:lang w:val="zh-CN" w:eastAsia="zh-CN"/>
    </w:rPr>
  </w:style>
  <w:style w:type="character" w:customStyle="1" w:styleId="105">
    <w:name w:val="标题 5 Char1"/>
    <w:autoRedefine/>
    <w:qFormat/>
    <w:uiPriority w:val="99"/>
    <w:rPr>
      <w:rFonts w:ascii="Arial" w:hAnsi="Arial"/>
      <w:sz w:val="24"/>
      <w:szCs w:val="24"/>
      <w:lang w:val="zh-CN" w:eastAsia="zh-CN"/>
    </w:rPr>
  </w:style>
  <w:style w:type="character" w:customStyle="1" w:styleId="106">
    <w:name w:val="标题 6 Char1"/>
    <w:autoRedefine/>
    <w:qFormat/>
    <w:uiPriority w:val="99"/>
    <w:rPr>
      <w:rFonts w:ascii="Arial" w:hAnsi="Arial" w:eastAsia="黑体"/>
      <w:b/>
      <w:bCs/>
      <w:sz w:val="24"/>
      <w:szCs w:val="24"/>
      <w:lang w:val="zh-CN" w:eastAsia="zh-CN"/>
    </w:rPr>
  </w:style>
  <w:style w:type="character" w:customStyle="1" w:styleId="107">
    <w:name w:val="标题 7 Char1"/>
    <w:autoRedefine/>
    <w:qFormat/>
    <w:uiPriority w:val="99"/>
    <w:rPr>
      <w:b/>
      <w:sz w:val="24"/>
      <w:lang w:val="zh-CN" w:eastAsia="zh-CN"/>
    </w:rPr>
  </w:style>
  <w:style w:type="character" w:customStyle="1" w:styleId="108">
    <w:name w:val="标题 8 Char1"/>
    <w:autoRedefine/>
    <w:qFormat/>
    <w:uiPriority w:val="99"/>
    <w:rPr>
      <w:rFonts w:ascii="Arial" w:hAnsi="Arial" w:eastAsia="黑体"/>
      <w:sz w:val="24"/>
      <w:lang w:val="zh-CN" w:eastAsia="zh-CN"/>
    </w:rPr>
  </w:style>
  <w:style w:type="character" w:customStyle="1" w:styleId="109">
    <w:name w:val="标题 9 Char1"/>
    <w:autoRedefine/>
    <w:qFormat/>
    <w:uiPriority w:val="99"/>
    <w:rPr>
      <w:rFonts w:ascii="Arial" w:hAnsi="Arial" w:eastAsia="黑体"/>
      <w:lang w:val="zh-CN" w:eastAsia="zh-CN"/>
    </w:rPr>
  </w:style>
  <w:style w:type="character" w:customStyle="1" w:styleId="110">
    <w:name w:val="纯文本 Char1"/>
    <w:autoRedefine/>
    <w:qFormat/>
    <w:locked/>
    <w:uiPriority w:val="0"/>
    <w:rPr>
      <w:rFonts w:ascii="宋体" w:hAnsi="Courier New" w:cs="Courier New"/>
      <w:sz w:val="21"/>
      <w:szCs w:val="21"/>
    </w:rPr>
  </w:style>
  <w:style w:type="character" w:customStyle="1" w:styleId="111">
    <w:name w:val="日期 Char1"/>
    <w:autoRedefine/>
    <w:qFormat/>
    <w:locked/>
    <w:uiPriority w:val="99"/>
  </w:style>
  <w:style w:type="character" w:customStyle="1" w:styleId="112">
    <w:name w:val="批注框文本 Char1"/>
    <w:autoRedefine/>
    <w:qFormat/>
    <w:locked/>
    <w:uiPriority w:val="99"/>
    <w:rPr>
      <w:sz w:val="18"/>
      <w:szCs w:val="18"/>
    </w:rPr>
  </w:style>
  <w:style w:type="character" w:customStyle="1" w:styleId="113">
    <w:name w:val="标题 2 Char1"/>
    <w:autoRedefine/>
    <w:qFormat/>
    <w:locked/>
    <w:uiPriority w:val="0"/>
    <w:rPr>
      <w:rFonts w:ascii="黑体" w:hAnsi="Arial" w:eastAsia="黑体"/>
      <w:b/>
      <w:bCs/>
      <w:sz w:val="30"/>
      <w:szCs w:val="30"/>
    </w:rPr>
  </w:style>
  <w:style w:type="character" w:customStyle="1" w:styleId="114">
    <w:name w:val="正文文本 Char1"/>
    <w:autoRedefine/>
    <w:qFormat/>
    <w:locked/>
    <w:uiPriority w:val="0"/>
    <w:rPr>
      <w:kern w:val="2"/>
      <w:sz w:val="24"/>
      <w:szCs w:val="22"/>
    </w:rPr>
  </w:style>
  <w:style w:type="character" w:customStyle="1" w:styleId="115">
    <w:name w:val="标题 3 Char1"/>
    <w:autoRedefine/>
    <w:qFormat/>
    <w:locked/>
    <w:uiPriority w:val="0"/>
    <w:rPr>
      <w:b/>
      <w:kern w:val="2"/>
      <w:sz w:val="32"/>
      <w:szCs w:val="22"/>
    </w:rPr>
  </w:style>
  <w:style w:type="character" w:customStyle="1" w:styleId="116">
    <w:name w:val="页脚 Char1"/>
    <w:autoRedefine/>
    <w:qFormat/>
    <w:locked/>
    <w:uiPriority w:val="0"/>
    <w:rPr>
      <w:szCs w:val="22"/>
    </w:rPr>
  </w:style>
  <w:style w:type="character" w:customStyle="1" w:styleId="117">
    <w:name w:val="批注文字 Char1"/>
    <w:autoRedefine/>
    <w:qFormat/>
    <w:locked/>
    <w:uiPriority w:val="99"/>
    <w:rPr>
      <w:rFonts w:ascii="Times New Roman" w:hAnsi="Times New Roman" w:eastAsia="宋体" w:cs="Times New Roman"/>
      <w:sz w:val="20"/>
      <w:szCs w:val="20"/>
    </w:rPr>
  </w:style>
  <w:style w:type="character" w:customStyle="1" w:styleId="118">
    <w:name w:val="文档结构图 Char1"/>
    <w:autoRedefine/>
    <w:qFormat/>
    <w:uiPriority w:val="0"/>
    <w:rPr>
      <w:kern w:val="2"/>
      <w:sz w:val="24"/>
      <w:szCs w:val="22"/>
      <w:shd w:val="clear" w:color="auto" w:fill="000080"/>
    </w:rPr>
  </w:style>
  <w:style w:type="character" w:customStyle="1" w:styleId="119">
    <w:name w:val="正文首行缩进 Char1"/>
    <w:autoRedefine/>
    <w:qFormat/>
    <w:locked/>
    <w:uiPriority w:val="0"/>
  </w:style>
  <w:style w:type="character" w:customStyle="1" w:styleId="120">
    <w:name w:val="图表 Char1 Char Char Char1"/>
    <w:autoRedefine/>
    <w:qFormat/>
    <w:uiPriority w:val="0"/>
    <w:rPr>
      <w:rFonts w:eastAsia="华文中宋"/>
      <w:kern w:val="24"/>
      <w:sz w:val="24"/>
    </w:rPr>
  </w:style>
  <w:style w:type="character" w:customStyle="1" w:styleId="121">
    <w:name w:val="批注主题 Char1"/>
    <w:autoRedefine/>
    <w:qFormat/>
    <w:uiPriority w:val="99"/>
    <w:rPr>
      <w:b/>
      <w:bCs/>
    </w:rPr>
  </w:style>
  <w:style w:type="character" w:customStyle="1" w:styleId="122">
    <w:name w:val="标题 Char1"/>
    <w:autoRedefine/>
    <w:qFormat/>
    <w:locked/>
    <w:uiPriority w:val="10"/>
    <w:rPr>
      <w:rFonts w:ascii="Arial" w:hAnsi="Arial"/>
      <w:b/>
    </w:rPr>
  </w:style>
  <w:style w:type="character" w:customStyle="1" w:styleId="123">
    <w:name w:val="标题 1 Char11"/>
    <w:autoRedefine/>
    <w:qFormat/>
    <w:locked/>
    <w:uiPriority w:val="0"/>
    <w:rPr>
      <w:rFonts w:ascii="黑体" w:hAnsi="黑体" w:eastAsia="黑体"/>
      <w:b/>
      <w:color w:val="FF6600"/>
      <w:kern w:val="44"/>
      <w:sz w:val="30"/>
      <w:szCs w:val="30"/>
    </w:rPr>
  </w:style>
  <w:style w:type="character" w:customStyle="1" w:styleId="124">
    <w:name w:val="正文文本缩进 Char1"/>
    <w:autoRedefine/>
    <w:qFormat/>
    <w:uiPriority w:val="99"/>
    <w:rPr>
      <w:kern w:val="2"/>
      <w:sz w:val="21"/>
    </w:rPr>
  </w:style>
  <w:style w:type="character" w:customStyle="1" w:styleId="125">
    <w:name w:val="副标题 Char2"/>
    <w:autoRedefine/>
    <w:qFormat/>
    <w:uiPriority w:val="11"/>
    <w:rPr>
      <w:rFonts w:ascii="Calibri Light" w:hAnsi="Calibri Light"/>
      <w:b/>
      <w:bCs/>
      <w:kern w:val="28"/>
      <w:sz w:val="32"/>
      <w:szCs w:val="32"/>
    </w:rPr>
  </w:style>
  <w:style w:type="character" w:customStyle="1" w:styleId="126">
    <w:name w:val="批注文字 Char11"/>
    <w:autoRedefine/>
    <w:qFormat/>
    <w:uiPriority w:val="0"/>
    <w:rPr>
      <w:kern w:val="2"/>
      <w:sz w:val="24"/>
      <w:szCs w:val="22"/>
    </w:rPr>
  </w:style>
  <w:style w:type="character" w:customStyle="1" w:styleId="127">
    <w:name w:val="批注主题 Char11"/>
    <w:autoRedefine/>
    <w:qFormat/>
    <w:uiPriority w:val="0"/>
    <w:rPr>
      <w:b/>
      <w:bCs/>
      <w:kern w:val="2"/>
      <w:sz w:val="24"/>
      <w:szCs w:val="22"/>
    </w:rPr>
  </w:style>
  <w:style w:type="character" w:customStyle="1" w:styleId="128">
    <w:name w:val="批注框文本 Char11"/>
    <w:autoRedefine/>
    <w:qFormat/>
    <w:uiPriority w:val="0"/>
    <w:rPr>
      <w:kern w:val="2"/>
      <w:sz w:val="18"/>
      <w:szCs w:val="18"/>
    </w:rPr>
  </w:style>
  <w:style w:type="character" w:customStyle="1" w:styleId="129">
    <w:name w:val="日期 Char11"/>
    <w:autoRedefine/>
    <w:qFormat/>
    <w:uiPriority w:val="0"/>
    <w:rPr>
      <w:kern w:val="2"/>
      <w:sz w:val="24"/>
      <w:szCs w:val="22"/>
    </w:rPr>
  </w:style>
  <w:style w:type="character" w:customStyle="1" w:styleId="130">
    <w:name w:val="纯文本 Char11"/>
    <w:autoRedefine/>
    <w:qFormat/>
    <w:uiPriority w:val="0"/>
    <w:rPr>
      <w:rFonts w:ascii="宋体" w:hAnsi="Courier New" w:cs="Courier New"/>
      <w:kern w:val="2"/>
      <w:sz w:val="21"/>
      <w:szCs w:val="21"/>
    </w:rPr>
  </w:style>
  <w:style w:type="character" w:customStyle="1" w:styleId="131">
    <w:name w:val="正文文本缩进 Char11"/>
    <w:autoRedefine/>
    <w:qFormat/>
    <w:uiPriority w:val="0"/>
    <w:rPr>
      <w:kern w:val="2"/>
      <w:sz w:val="24"/>
      <w:szCs w:val="22"/>
    </w:rPr>
  </w:style>
  <w:style w:type="character" w:customStyle="1" w:styleId="132">
    <w:name w:val="正文文本 2 Char"/>
    <w:link w:val="32"/>
    <w:autoRedefine/>
    <w:qFormat/>
    <w:uiPriority w:val="0"/>
    <w:rPr>
      <w:kern w:val="2"/>
      <w:sz w:val="24"/>
    </w:rPr>
  </w:style>
  <w:style w:type="character" w:customStyle="1" w:styleId="133">
    <w:name w:val="副标题 Char21"/>
    <w:autoRedefine/>
    <w:qFormat/>
    <w:uiPriority w:val="0"/>
    <w:rPr>
      <w:rFonts w:ascii="Calibri Light" w:hAnsi="Calibri Light" w:cs="Times New Roman"/>
      <w:b/>
      <w:bCs/>
      <w:kern w:val="28"/>
      <w:sz w:val="32"/>
      <w:szCs w:val="32"/>
    </w:rPr>
  </w:style>
  <w:style w:type="character" w:customStyle="1" w:styleId="134">
    <w:name w:val="标题 Char11"/>
    <w:qFormat/>
    <w:uiPriority w:val="0"/>
    <w:rPr>
      <w:rFonts w:ascii="Calibri Light" w:hAnsi="Calibri Light" w:cs="Times New Roman"/>
      <w:b/>
      <w:bCs/>
      <w:kern w:val="2"/>
      <w:sz w:val="32"/>
      <w:szCs w:val="32"/>
    </w:rPr>
  </w:style>
  <w:style w:type="paragraph" w:customStyle="1" w:styleId="135">
    <w:name w:val="文二1"/>
    <w:basedOn w:val="1"/>
    <w:qFormat/>
    <w:uiPriority w:val="0"/>
    <w:pPr>
      <w:jc w:val="left"/>
    </w:pPr>
    <w:rPr>
      <w:rFonts w:ascii="宋体" w:hAnsi="宋体"/>
      <w:szCs w:val="21"/>
    </w:rPr>
  </w:style>
  <w:style w:type="paragraph" w:customStyle="1" w:styleId="136">
    <w:name w:val="图1"/>
    <w:basedOn w:val="1"/>
    <w:autoRedefine/>
    <w:qFormat/>
    <w:uiPriority w:val="99"/>
    <w:pPr>
      <w:keepNext/>
      <w:adjustRightInd w:val="0"/>
      <w:spacing w:before="60" w:after="60" w:line="300" w:lineRule="auto"/>
      <w:jc w:val="center"/>
      <w:textAlignment w:val="center"/>
    </w:pPr>
    <w:rPr>
      <w:spacing w:val="20"/>
      <w:kern w:val="0"/>
    </w:rPr>
  </w:style>
  <w:style w:type="paragraph" w:customStyle="1" w:styleId="137">
    <w:name w:val="11"/>
    <w:basedOn w:val="1"/>
    <w:autoRedefine/>
    <w:qFormat/>
    <w:uiPriority w:val="99"/>
    <w:pPr>
      <w:tabs>
        <w:tab w:val="left" w:pos="825"/>
      </w:tabs>
      <w:ind w:left="825" w:hanging="825"/>
    </w:pPr>
    <w:rPr>
      <w:szCs w:val="24"/>
    </w:rPr>
  </w:style>
  <w:style w:type="paragraph" w:customStyle="1" w:styleId="138">
    <w:name w:val="p01"/>
    <w:basedOn w:val="1"/>
    <w:autoRedefine/>
    <w:qFormat/>
    <w:uiPriority w:val="0"/>
    <w:pPr>
      <w:widowControl/>
    </w:pPr>
    <w:rPr>
      <w:kern w:val="0"/>
      <w:szCs w:val="21"/>
    </w:rPr>
  </w:style>
  <w:style w:type="paragraph" w:customStyle="1" w:styleId="139">
    <w:name w:val="图表 Char1 Char1"/>
    <w:basedOn w:val="1"/>
    <w:autoRedefine/>
    <w:qFormat/>
    <w:uiPriority w:val="0"/>
    <w:pPr>
      <w:snapToGrid w:val="0"/>
      <w:ind w:firstLine="200" w:firstLineChars="200"/>
      <w:jc w:val="center"/>
    </w:pPr>
    <w:rPr>
      <w:rFonts w:eastAsia="华文中宋"/>
      <w:kern w:val="24"/>
    </w:rPr>
  </w:style>
  <w:style w:type="paragraph" w:customStyle="1" w:styleId="140">
    <w:name w:val="标题21"/>
    <w:basedOn w:val="4"/>
    <w:autoRedefine/>
    <w:qFormat/>
    <w:uiPriority w:val="0"/>
    <w:pPr>
      <w:adjustRightInd w:val="0"/>
      <w:snapToGrid w:val="0"/>
      <w:spacing w:before="100" w:after="0" w:afterAutospacing="0"/>
      <w:ind w:left="0" w:firstLine="200" w:firstLineChars="200"/>
      <w:jc w:val="left"/>
    </w:pPr>
    <w:rPr>
      <w:rFonts w:ascii="Cambria" w:hAnsi="Cambria" w:eastAsia="宋体"/>
      <w:kern w:val="2"/>
      <w:sz w:val="24"/>
      <w:szCs w:val="32"/>
      <w:u w:val="single"/>
      <w:lang w:val="en-US"/>
    </w:rPr>
  </w:style>
  <w:style w:type="paragraph" w:customStyle="1" w:styleId="141">
    <w:name w:val="Char Char Char Char2"/>
    <w:basedOn w:val="14"/>
    <w:autoRedefine/>
    <w:qFormat/>
    <w:uiPriority w:val="0"/>
    <w:pPr>
      <w:shd w:val="clear" w:color="auto" w:fill="000080"/>
      <w:ind w:left="480" w:leftChars="200" w:firstLine="200" w:firstLineChars="200"/>
    </w:pPr>
    <w:rPr>
      <w:rFonts w:ascii="Times New Roman"/>
      <w:sz w:val="21"/>
      <w:szCs w:val="20"/>
    </w:rPr>
  </w:style>
  <w:style w:type="paragraph" w:customStyle="1" w:styleId="142">
    <w:name w:val="公文正文1"/>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3">
    <w:name w:val="Char11"/>
    <w:basedOn w:val="1"/>
    <w:autoRedefine/>
    <w:qFormat/>
    <w:uiPriority w:val="0"/>
    <w:rPr>
      <w:sz w:val="30"/>
      <w:szCs w:val="24"/>
    </w:rPr>
  </w:style>
  <w:style w:type="paragraph" w:customStyle="1" w:styleId="144">
    <w:name w:val="reader-word-layer1"/>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145">
    <w:name w:val="Char Char Char Char11"/>
    <w:basedOn w:val="1"/>
    <w:autoRedefine/>
    <w:qFormat/>
    <w:uiPriority w:val="0"/>
    <w:rPr>
      <w:sz w:val="30"/>
      <w:szCs w:val="24"/>
    </w:rPr>
  </w:style>
  <w:style w:type="paragraph" w:customStyle="1" w:styleId="146">
    <w:name w:val="xl241"/>
    <w:basedOn w:val="1"/>
    <w:autoRedefine/>
    <w:qFormat/>
    <w:uiPriority w:val="0"/>
    <w:pPr>
      <w:widowControl/>
      <w:spacing w:before="100" w:after="100"/>
      <w:jc w:val="center"/>
      <w:textAlignment w:val="center"/>
    </w:pPr>
    <w:rPr>
      <w:rFonts w:ascii="宋体" w:hAnsi="宋体"/>
      <w:kern w:val="0"/>
    </w:rPr>
  </w:style>
  <w:style w:type="paragraph" w:customStyle="1" w:styleId="147">
    <w:name w:val="3 Char Char Char Char Char Char Char1"/>
    <w:basedOn w:val="1"/>
    <w:autoRedefine/>
    <w:qFormat/>
    <w:uiPriority w:val="0"/>
    <w:pPr>
      <w:adjustRightInd w:val="0"/>
      <w:snapToGrid w:val="0"/>
      <w:spacing w:line="400" w:lineRule="exact"/>
      <w:ind w:firstLine="200" w:firstLineChars="200"/>
    </w:pPr>
  </w:style>
  <w:style w:type="paragraph" w:customStyle="1" w:styleId="148">
    <w:name w:val="正文 New New New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文一2"/>
    <w:basedOn w:val="1"/>
    <w:autoRedefine/>
    <w:qFormat/>
    <w:uiPriority w:val="0"/>
    <w:pPr>
      <w:topLinePunct/>
      <w:adjustRightInd w:val="0"/>
      <w:snapToGrid w:val="0"/>
      <w:ind w:firstLine="200" w:firstLineChars="200"/>
    </w:pPr>
    <w:rPr>
      <w:spacing w:val="4"/>
      <w:kern w:val="0"/>
      <w:szCs w:val="24"/>
    </w:rPr>
  </w:style>
  <w:style w:type="character" w:customStyle="1" w:styleId="150">
    <w:name w:val="页眉 Char2"/>
    <w:autoRedefine/>
    <w:qFormat/>
    <w:uiPriority w:val="0"/>
    <w:rPr>
      <w:kern w:val="2"/>
      <w:sz w:val="18"/>
      <w:szCs w:val="18"/>
    </w:rPr>
  </w:style>
  <w:style w:type="character" w:customStyle="1" w:styleId="151">
    <w:name w:val="标题 4 Char2"/>
    <w:autoRedefine/>
    <w:qFormat/>
    <w:uiPriority w:val="0"/>
    <w:rPr>
      <w:rFonts w:ascii="Arial" w:hAnsi="Arial"/>
      <w:sz w:val="24"/>
      <w:szCs w:val="24"/>
      <w:lang w:val="zh-CN" w:eastAsia="zh-CN"/>
    </w:rPr>
  </w:style>
  <w:style w:type="character" w:customStyle="1" w:styleId="152">
    <w:name w:val="标题 5 Char2"/>
    <w:autoRedefine/>
    <w:qFormat/>
    <w:uiPriority w:val="99"/>
    <w:rPr>
      <w:rFonts w:ascii="Arial" w:hAnsi="Arial"/>
      <w:sz w:val="24"/>
      <w:szCs w:val="24"/>
      <w:lang w:val="zh-CN" w:eastAsia="zh-CN"/>
    </w:rPr>
  </w:style>
  <w:style w:type="character" w:customStyle="1" w:styleId="153">
    <w:name w:val="标题 6 Char2"/>
    <w:autoRedefine/>
    <w:qFormat/>
    <w:uiPriority w:val="99"/>
    <w:rPr>
      <w:rFonts w:ascii="Arial" w:hAnsi="Arial" w:eastAsia="黑体"/>
      <w:b/>
      <w:bCs/>
      <w:sz w:val="24"/>
      <w:szCs w:val="24"/>
      <w:lang w:val="zh-CN" w:eastAsia="zh-CN"/>
    </w:rPr>
  </w:style>
  <w:style w:type="character" w:customStyle="1" w:styleId="154">
    <w:name w:val="标题 7 Char2"/>
    <w:autoRedefine/>
    <w:qFormat/>
    <w:uiPriority w:val="99"/>
    <w:rPr>
      <w:b/>
      <w:sz w:val="24"/>
      <w:lang w:val="zh-CN" w:eastAsia="zh-CN"/>
    </w:rPr>
  </w:style>
  <w:style w:type="character" w:customStyle="1" w:styleId="155">
    <w:name w:val="标题 8 Char2"/>
    <w:autoRedefine/>
    <w:qFormat/>
    <w:uiPriority w:val="99"/>
    <w:rPr>
      <w:rFonts w:ascii="Arial" w:hAnsi="Arial" w:eastAsia="黑体"/>
      <w:sz w:val="24"/>
      <w:lang w:val="zh-CN" w:eastAsia="zh-CN"/>
    </w:rPr>
  </w:style>
  <w:style w:type="character" w:customStyle="1" w:styleId="156">
    <w:name w:val="标题 9 Char2"/>
    <w:autoRedefine/>
    <w:qFormat/>
    <w:uiPriority w:val="99"/>
    <w:rPr>
      <w:rFonts w:ascii="Arial" w:hAnsi="Arial" w:eastAsia="黑体"/>
      <w:lang w:val="zh-CN" w:eastAsia="zh-CN"/>
    </w:rPr>
  </w:style>
  <w:style w:type="character" w:customStyle="1" w:styleId="157">
    <w:name w:val="纯文本 Char2"/>
    <w:autoRedefine/>
    <w:qFormat/>
    <w:locked/>
    <w:uiPriority w:val="0"/>
    <w:rPr>
      <w:rFonts w:ascii="宋体" w:hAnsi="Courier New" w:cs="Courier New"/>
      <w:sz w:val="21"/>
      <w:szCs w:val="21"/>
    </w:rPr>
  </w:style>
  <w:style w:type="character" w:customStyle="1" w:styleId="158">
    <w:name w:val="日期 Char2"/>
    <w:autoRedefine/>
    <w:qFormat/>
    <w:locked/>
    <w:uiPriority w:val="99"/>
  </w:style>
  <w:style w:type="character" w:customStyle="1" w:styleId="159">
    <w:name w:val="批注框文本 Char2"/>
    <w:autoRedefine/>
    <w:qFormat/>
    <w:locked/>
    <w:uiPriority w:val="99"/>
    <w:rPr>
      <w:sz w:val="18"/>
      <w:szCs w:val="18"/>
    </w:rPr>
  </w:style>
  <w:style w:type="character" w:customStyle="1" w:styleId="160">
    <w:name w:val="标题 2 Char2"/>
    <w:autoRedefine/>
    <w:qFormat/>
    <w:locked/>
    <w:uiPriority w:val="99"/>
    <w:rPr>
      <w:rFonts w:ascii="黑体" w:hAnsi="Arial" w:eastAsia="黑体"/>
      <w:b/>
      <w:bCs/>
      <w:sz w:val="30"/>
      <w:szCs w:val="30"/>
    </w:rPr>
  </w:style>
  <w:style w:type="character" w:customStyle="1" w:styleId="161">
    <w:name w:val="正文文本 Char2"/>
    <w:autoRedefine/>
    <w:qFormat/>
    <w:locked/>
    <w:uiPriority w:val="99"/>
    <w:rPr>
      <w:kern w:val="2"/>
      <w:sz w:val="24"/>
      <w:szCs w:val="22"/>
    </w:rPr>
  </w:style>
  <w:style w:type="character" w:customStyle="1" w:styleId="162">
    <w:name w:val="标题 3 Char2"/>
    <w:autoRedefine/>
    <w:qFormat/>
    <w:locked/>
    <w:uiPriority w:val="99"/>
    <w:rPr>
      <w:b/>
      <w:kern w:val="2"/>
      <w:sz w:val="32"/>
      <w:szCs w:val="22"/>
    </w:rPr>
  </w:style>
  <w:style w:type="character" w:customStyle="1" w:styleId="163">
    <w:name w:val="页脚 Char2"/>
    <w:autoRedefine/>
    <w:qFormat/>
    <w:locked/>
    <w:uiPriority w:val="99"/>
    <w:rPr>
      <w:szCs w:val="22"/>
    </w:rPr>
  </w:style>
  <w:style w:type="character" w:customStyle="1" w:styleId="164">
    <w:name w:val="批注文字 Char2"/>
    <w:autoRedefine/>
    <w:semiHidden/>
    <w:qFormat/>
    <w:locked/>
    <w:uiPriority w:val="99"/>
    <w:rPr>
      <w:rFonts w:ascii="Times New Roman" w:hAnsi="Times New Roman" w:eastAsia="宋体" w:cs="Times New Roman"/>
      <w:sz w:val="20"/>
      <w:szCs w:val="20"/>
    </w:rPr>
  </w:style>
  <w:style w:type="character" w:customStyle="1" w:styleId="165">
    <w:name w:val="文档结构图 Char2"/>
    <w:autoRedefine/>
    <w:qFormat/>
    <w:uiPriority w:val="99"/>
    <w:rPr>
      <w:kern w:val="2"/>
      <w:sz w:val="24"/>
      <w:szCs w:val="22"/>
      <w:shd w:val="clear" w:color="auto" w:fill="000080"/>
    </w:rPr>
  </w:style>
  <w:style w:type="character" w:customStyle="1" w:styleId="166">
    <w:name w:val="正文首行缩进 Char2"/>
    <w:autoRedefine/>
    <w:qFormat/>
    <w:locked/>
    <w:uiPriority w:val="99"/>
  </w:style>
  <w:style w:type="character" w:customStyle="1" w:styleId="167">
    <w:name w:val="图表 Char1 Char Char Char2"/>
    <w:autoRedefine/>
    <w:qFormat/>
    <w:uiPriority w:val="0"/>
    <w:rPr>
      <w:rFonts w:eastAsia="华文中宋"/>
      <w:kern w:val="24"/>
      <w:sz w:val="24"/>
    </w:rPr>
  </w:style>
  <w:style w:type="character" w:customStyle="1" w:styleId="168">
    <w:name w:val="批注主题 Char2"/>
    <w:autoRedefine/>
    <w:qFormat/>
    <w:uiPriority w:val="99"/>
    <w:rPr>
      <w:b/>
      <w:bCs/>
    </w:rPr>
  </w:style>
  <w:style w:type="character" w:customStyle="1" w:styleId="169">
    <w:name w:val="标题 Char2"/>
    <w:autoRedefine/>
    <w:qFormat/>
    <w:locked/>
    <w:uiPriority w:val="10"/>
    <w:rPr>
      <w:rFonts w:ascii="Arial" w:hAnsi="Arial"/>
      <w:b/>
    </w:rPr>
  </w:style>
  <w:style w:type="character" w:customStyle="1" w:styleId="170">
    <w:name w:val="标题 1 Char12"/>
    <w:autoRedefine/>
    <w:qFormat/>
    <w:locked/>
    <w:uiPriority w:val="99"/>
    <w:rPr>
      <w:rFonts w:ascii="黑体" w:hAnsi="黑体" w:eastAsia="黑体"/>
      <w:b/>
      <w:color w:val="FF6600"/>
      <w:kern w:val="44"/>
      <w:sz w:val="30"/>
      <w:szCs w:val="30"/>
    </w:rPr>
  </w:style>
  <w:style w:type="character" w:customStyle="1" w:styleId="171">
    <w:name w:val="正文文本缩进 Char2"/>
    <w:autoRedefine/>
    <w:qFormat/>
    <w:uiPriority w:val="99"/>
    <w:rPr>
      <w:kern w:val="2"/>
      <w:sz w:val="21"/>
    </w:rPr>
  </w:style>
  <w:style w:type="character" w:customStyle="1" w:styleId="172">
    <w:name w:val="副标题 Char3"/>
    <w:autoRedefine/>
    <w:qFormat/>
    <w:uiPriority w:val="11"/>
    <w:rPr>
      <w:rFonts w:ascii="Calibri Light" w:hAnsi="Calibri Light"/>
      <w:b/>
      <w:bCs/>
      <w:kern w:val="28"/>
      <w:sz w:val="32"/>
      <w:szCs w:val="32"/>
    </w:rPr>
  </w:style>
  <w:style w:type="character" w:customStyle="1" w:styleId="173">
    <w:name w:val="批注文字 Char12"/>
    <w:autoRedefine/>
    <w:qFormat/>
    <w:uiPriority w:val="99"/>
    <w:rPr>
      <w:kern w:val="2"/>
      <w:sz w:val="24"/>
      <w:szCs w:val="22"/>
    </w:rPr>
  </w:style>
  <w:style w:type="character" w:customStyle="1" w:styleId="174">
    <w:name w:val="批注主题 Char12"/>
    <w:autoRedefine/>
    <w:qFormat/>
    <w:uiPriority w:val="99"/>
    <w:rPr>
      <w:b/>
      <w:bCs/>
      <w:kern w:val="2"/>
      <w:sz w:val="24"/>
      <w:szCs w:val="22"/>
    </w:rPr>
  </w:style>
  <w:style w:type="character" w:customStyle="1" w:styleId="175">
    <w:name w:val="批注框文本 Char12"/>
    <w:qFormat/>
    <w:uiPriority w:val="99"/>
    <w:rPr>
      <w:kern w:val="2"/>
      <w:sz w:val="18"/>
      <w:szCs w:val="18"/>
    </w:rPr>
  </w:style>
  <w:style w:type="character" w:customStyle="1" w:styleId="176">
    <w:name w:val="日期 Char12"/>
    <w:autoRedefine/>
    <w:qFormat/>
    <w:uiPriority w:val="99"/>
    <w:rPr>
      <w:kern w:val="2"/>
      <w:sz w:val="24"/>
      <w:szCs w:val="22"/>
    </w:rPr>
  </w:style>
  <w:style w:type="character" w:customStyle="1" w:styleId="177">
    <w:name w:val="纯文本 Char12"/>
    <w:autoRedefine/>
    <w:qFormat/>
    <w:uiPriority w:val="0"/>
    <w:rPr>
      <w:rFonts w:ascii="宋体" w:hAnsi="Courier New" w:cs="Courier New"/>
      <w:kern w:val="2"/>
      <w:sz w:val="21"/>
      <w:szCs w:val="21"/>
    </w:rPr>
  </w:style>
  <w:style w:type="character" w:customStyle="1" w:styleId="178">
    <w:name w:val="正文文本缩进 Char12"/>
    <w:autoRedefine/>
    <w:qFormat/>
    <w:uiPriority w:val="99"/>
    <w:rPr>
      <w:kern w:val="2"/>
      <w:sz w:val="24"/>
      <w:szCs w:val="22"/>
    </w:rPr>
  </w:style>
  <w:style w:type="character" w:customStyle="1" w:styleId="179">
    <w:name w:val="正文文本 2 Char1"/>
    <w:autoRedefine/>
    <w:qFormat/>
    <w:uiPriority w:val="0"/>
    <w:rPr>
      <w:kern w:val="2"/>
      <w:sz w:val="24"/>
    </w:rPr>
  </w:style>
  <w:style w:type="character" w:customStyle="1" w:styleId="180">
    <w:name w:val="副标题 Char22"/>
    <w:autoRedefine/>
    <w:qFormat/>
    <w:uiPriority w:val="11"/>
    <w:rPr>
      <w:rFonts w:ascii="Calibri Light" w:hAnsi="Calibri Light" w:cs="Times New Roman"/>
      <w:b/>
      <w:bCs/>
      <w:kern w:val="28"/>
      <w:sz w:val="32"/>
      <w:szCs w:val="32"/>
    </w:rPr>
  </w:style>
  <w:style w:type="character" w:customStyle="1" w:styleId="181">
    <w:name w:val="标题 Char12"/>
    <w:autoRedefine/>
    <w:qFormat/>
    <w:uiPriority w:val="10"/>
    <w:rPr>
      <w:rFonts w:ascii="Calibri Light" w:hAnsi="Calibri Light" w:cs="Times New Roman"/>
      <w:b/>
      <w:bCs/>
      <w:kern w:val="2"/>
      <w:sz w:val="32"/>
      <w:szCs w:val="32"/>
    </w:rPr>
  </w:style>
  <w:style w:type="paragraph" w:customStyle="1" w:styleId="182">
    <w:name w:val="文二2"/>
    <w:basedOn w:val="1"/>
    <w:qFormat/>
    <w:uiPriority w:val="0"/>
    <w:pPr>
      <w:jc w:val="left"/>
    </w:pPr>
    <w:rPr>
      <w:rFonts w:ascii="宋体" w:hAnsi="宋体"/>
      <w:szCs w:val="21"/>
    </w:rPr>
  </w:style>
  <w:style w:type="paragraph" w:customStyle="1" w:styleId="183">
    <w:name w:val="图2"/>
    <w:basedOn w:val="1"/>
    <w:autoRedefine/>
    <w:qFormat/>
    <w:uiPriority w:val="99"/>
    <w:pPr>
      <w:keepNext/>
      <w:adjustRightInd w:val="0"/>
      <w:spacing w:before="60" w:after="60" w:line="300" w:lineRule="auto"/>
      <w:jc w:val="center"/>
      <w:textAlignment w:val="center"/>
    </w:pPr>
    <w:rPr>
      <w:spacing w:val="20"/>
      <w:kern w:val="0"/>
    </w:rPr>
  </w:style>
  <w:style w:type="paragraph" w:customStyle="1" w:styleId="184">
    <w:name w:val="12"/>
    <w:basedOn w:val="1"/>
    <w:autoRedefine/>
    <w:qFormat/>
    <w:uiPriority w:val="99"/>
    <w:pPr>
      <w:tabs>
        <w:tab w:val="left" w:pos="825"/>
      </w:tabs>
      <w:ind w:left="825" w:hanging="825"/>
    </w:pPr>
    <w:rPr>
      <w:szCs w:val="24"/>
    </w:rPr>
  </w:style>
  <w:style w:type="paragraph" w:customStyle="1" w:styleId="185">
    <w:name w:val="p02"/>
    <w:basedOn w:val="1"/>
    <w:autoRedefine/>
    <w:qFormat/>
    <w:uiPriority w:val="0"/>
    <w:pPr>
      <w:widowControl/>
    </w:pPr>
    <w:rPr>
      <w:kern w:val="0"/>
      <w:szCs w:val="21"/>
    </w:rPr>
  </w:style>
  <w:style w:type="paragraph" w:customStyle="1" w:styleId="186">
    <w:name w:val="图表 Char1 Char2"/>
    <w:basedOn w:val="1"/>
    <w:autoRedefine/>
    <w:qFormat/>
    <w:uiPriority w:val="0"/>
    <w:pPr>
      <w:snapToGrid w:val="0"/>
      <w:ind w:firstLine="200" w:firstLineChars="200"/>
      <w:jc w:val="center"/>
    </w:pPr>
    <w:rPr>
      <w:rFonts w:eastAsia="华文中宋"/>
      <w:kern w:val="24"/>
    </w:rPr>
  </w:style>
  <w:style w:type="paragraph" w:customStyle="1" w:styleId="187">
    <w:name w:val="标题22"/>
    <w:basedOn w:val="4"/>
    <w:qFormat/>
    <w:uiPriority w:val="0"/>
    <w:pPr>
      <w:adjustRightInd w:val="0"/>
      <w:snapToGrid w:val="0"/>
      <w:spacing w:before="100" w:after="0" w:afterAutospacing="0"/>
      <w:ind w:left="0" w:firstLine="200" w:firstLineChars="200"/>
      <w:jc w:val="left"/>
    </w:pPr>
    <w:rPr>
      <w:rFonts w:ascii="Cambria" w:hAnsi="Cambria" w:eastAsia="宋体"/>
      <w:kern w:val="2"/>
      <w:sz w:val="24"/>
      <w:szCs w:val="32"/>
      <w:u w:val="single"/>
      <w:lang w:val="en-US"/>
    </w:rPr>
  </w:style>
  <w:style w:type="paragraph" w:customStyle="1" w:styleId="188">
    <w:name w:val="Char Char Char Char3"/>
    <w:basedOn w:val="14"/>
    <w:autoRedefine/>
    <w:qFormat/>
    <w:uiPriority w:val="0"/>
    <w:pPr>
      <w:shd w:val="clear" w:color="auto" w:fill="000080"/>
      <w:ind w:left="480" w:leftChars="200" w:firstLine="200" w:firstLineChars="200"/>
    </w:pPr>
    <w:rPr>
      <w:rFonts w:ascii="Times New Roman"/>
      <w:sz w:val="21"/>
      <w:szCs w:val="20"/>
    </w:rPr>
  </w:style>
  <w:style w:type="paragraph" w:customStyle="1" w:styleId="189">
    <w:name w:val="公文正文2"/>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90">
    <w:name w:val="Char12"/>
    <w:basedOn w:val="1"/>
    <w:autoRedefine/>
    <w:qFormat/>
    <w:uiPriority w:val="0"/>
    <w:rPr>
      <w:sz w:val="30"/>
      <w:szCs w:val="24"/>
    </w:rPr>
  </w:style>
  <w:style w:type="paragraph" w:customStyle="1" w:styleId="191">
    <w:name w:val="reader-word-layer2"/>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192">
    <w:name w:val="Char Char Char Char12"/>
    <w:basedOn w:val="1"/>
    <w:autoRedefine/>
    <w:qFormat/>
    <w:uiPriority w:val="0"/>
    <w:rPr>
      <w:sz w:val="30"/>
      <w:szCs w:val="24"/>
    </w:rPr>
  </w:style>
  <w:style w:type="paragraph" w:customStyle="1" w:styleId="193">
    <w:name w:val="xl242"/>
    <w:basedOn w:val="1"/>
    <w:autoRedefine/>
    <w:qFormat/>
    <w:uiPriority w:val="0"/>
    <w:pPr>
      <w:widowControl/>
      <w:spacing w:before="100" w:after="100"/>
      <w:jc w:val="center"/>
      <w:textAlignment w:val="center"/>
    </w:pPr>
    <w:rPr>
      <w:rFonts w:ascii="宋体" w:hAnsi="宋体"/>
      <w:kern w:val="0"/>
    </w:rPr>
  </w:style>
  <w:style w:type="paragraph" w:customStyle="1" w:styleId="194">
    <w:name w:val="3 Char Char Char Char Char Char Char2"/>
    <w:basedOn w:val="1"/>
    <w:autoRedefine/>
    <w:qFormat/>
    <w:uiPriority w:val="0"/>
    <w:pPr>
      <w:adjustRightInd w:val="0"/>
      <w:snapToGrid w:val="0"/>
      <w:spacing w:line="400" w:lineRule="exact"/>
      <w:ind w:firstLine="200" w:firstLineChars="200"/>
    </w:pPr>
  </w:style>
  <w:style w:type="paragraph" w:customStyle="1" w:styleId="195">
    <w:name w:val="正文 New New New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文一11"/>
    <w:basedOn w:val="1"/>
    <w:autoRedefine/>
    <w:qFormat/>
    <w:uiPriority w:val="0"/>
    <w:pPr>
      <w:topLinePunct/>
      <w:adjustRightInd w:val="0"/>
      <w:snapToGrid w:val="0"/>
      <w:ind w:firstLine="200" w:firstLineChars="200"/>
    </w:pPr>
    <w:rPr>
      <w:spacing w:val="4"/>
      <w:kern w:val="0"/>
      <w:szCs w:val="24"/>
    </w:rPr>
  </w:style>
  <w:style w:type="paragraph" w:customStyle="1" w:styleId="197">
    <w:name w:val="图11"/>
    <w:basedOn w:val="1"/>
    <w:autoRedefine/>
    <w:qFormat/>
    <w:uiPriority w:val="99"/>
    <w:pPr>
      <w:keepNext/>
      <w:adjustRightInd w:val="0"/>
      <w:spacing w:before="60" w:after="60" w:line="300" w:lineRule="auto"/>
      <w:jc w:val="center"/>
      <w:textAlignment w:val="center"/>
    </w:pPr>
    <w:rPr>
      <w:spacing w:val="20"/>
      <w:kern w:val="0"/>
    </w:rPr>
  </w:style>
  <w:style w:type="paragraph" w:customStyle="1" w:styleId="198">
    <w:name w:val="图表 Char1 Char11"/>
    <w:basedOn w:val="1"/>
    <w:autoRedefine/>
    <w:qFormat/>
    <w:uiPriority w:val="0"/>
    <w:pPr>
      <w:snapToGrid w:val="0"/>
      <w:ind w:firstLine="200" w:firstLineChars="200"/>
      <w:jc w:val="center"/>
    </w:pPr>
    <w:rPr>
      <w:rFonts w:eastAsia="华文中宋"/>
      <w:kern w:val="24"/>
    </w:rPr>
  </w:style>
  <w:style w:type="paragraph" w:customStyle="1" w:styleId="199">
    <w:name w:val="标题211"/>
    <w:basedOn w:val="4"/>
    <w:qFormat/>
    <w:uiPriority w:val="0"/>
    <w:pPr>
      <w:adjustRightInd w:val="0"/>
      <w:snapToGrid w:val="0"/>
      <w:spacing w:before="100" w:after="0" w:afterAutospacing="0"/>
      <w:ind w:left="0" w:firstLine="200" w:firstLineChars="200"/>
      <w:jc w:val="left"/>
    </w:pPr>
    <w:rPr>
      <w:rFonts w:ascii="Cambria" w:hAnsi="Cambria" w:eastAsia="宋体"/>
      <w:kern w:val="2"/>
      <w:sz w:val="24"/>
      <w:szCs w:val="32"/>
      <w:u w:val="single"/>
      <w:lang w:val="en-US"/>
    </w:rPr>
  </w:style>
  <w:style w:type="paragraph" w:customStyle="1" w:styleId="200">
    <w:name w:val="Char Char Char Char21"/>
    <w:basedOn w:val="14"/>
    <w:autoRedefine/>
    <w:qFormat/>
    <w:uiPriority w:val="0"/>
    <w:pPr>
      <w:shd w:val="clear" w:color="auto" w:fill="000080"/>
      <w:ind w:left="480" w:leftChars="200" w:firstLine="200" w:firstLineChars="200"/>
    </w:pPr>
    <w:rPr>
      <w:rFonts w:ascii="Times New Roman"/>
      <w:sz w:val="21"/>
      <w:szCs w:val="20"/>
    </w:rPr>
  </w:style>
  <w:style w:type="paragraph" w:customStyle="1" w:styleId="201">
    <w:name w:val="xl2411"/>
    <w:basedOn w:val="1"/>
    <w:autoRedefine/>
    <w:qFormat/>
    <w:uiPriority w:val="0"/>
    <w:pPr>
      <w:widowControl/>
      <w:spacing w:before="100" w:after="100"/>
      <w:jc w:val="center"/>
      <w:textAlignment w:val="center"/>
    </w:pPr>
    <w:rPr>
      <w:rFonts w:ascii="宋体" w:hAnsi="宋体"/>
      <w:kern w:val="0"/>
    </w:rPr>
  </w:style>
  <w:style w:type="paragraph" w:customStyle="1" w:styleId="202">
    <w:name w:val="3 Char Char Char Char Char Char Char11"/>
    <w:basedOn w:val="1"/>
    <w:autoRedefine/>
    <w:qFormat/>
    <w:uiPriority w:val="0"/>
    <w:pPr>
      <w:adjustRightInd w:val="0"/>
      <w:snapToGrid w:val="0"/>
      <w:spacing w:line="400" w:lineRule="exact"/>
      <w:ind w:firstLine="200" w:firstLineChars="200"/>
    </w:pPr>
  </w:style>
  <w:style w:type="paragraph" w:styleId="203">
    <w:name w:val="List Paragraph"/>
    <w:basedOn w:val="1"/>
    <w:autoRedefine/>
    <w:qFormat/>
    <w:uiPriority w:val="34"/>
    <w:pPr>
      <w:ind w:firstLine="420" w:firstLineChars="200"/>
    </w:pPr>
  </w:style>
  <w:style w:type="paragraph" w:customStyle="1" w:styleId="204">
    <w:name w:val="_Style 69"/>
    <w:basedOn w:val="3"/>
    <w:next w:val="1"/>
    <w:autoRedefine/>
    <w:qFormat/>
    <w:uiPriority w:val="0"/>
    <w:pPr>
      <w:spacing w:before="340" w:after="330" w:line="578" w:lineRule="auto"/>
      <w:jc w:val="both"/>
      <w:outlineLvl w:val="9"/>
    </w:pPr>
    <w:rPr>
      <w:rFonts w:ascii="Times New Roman" w:hAnsi="Times New Roman"/>
      <w:bCs/>
      <w:sz w:val="44"/>
      <w:szCs w:val="44"/>
      <w:lang w:val="en-US"/>
    </w:rPr>
  </w:style>
  <w:style w:type="paragraph" w:customStyle="1" w:styleId="205">
    <w:name w:val="_Style 93"/>
    <w:semiHidden/>
    <w:qFormat/>
    <w:uiPriority w:val="99"/>
    <w:rPr>
      <w:rFonts w:ascii="Times New Roman" w:hAnsi="Times New Roman" w:eastAsia="宋体" w:cs="Times New Roman"/>
      <w:kern w:val="2"/>
      <w:sz w:val="21"/>
      <w:lang w:val="en-US" w:eastAsia="zh-CN" w:bidi="ar-SA"/>
    </w:rPr>
  </w:style>
  <w:style w:type="paragraph" w:customStyle="1" w:styleId="206">
    <w:name w:val="表格"/>
    <w:basedOn w:val="1"/>
    <w:autoRedefine/>
    <w:qFormat/>
    <w:uiPriority w:val="0"/>
    <w:pPr>
      <w:spacing w:line="240" w:lineRule="atLeast"/>
      <w:jc w:val="left"/>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C78C0-C457-4B50-8F6B-A904A9A7E6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5867</Words>
  <Characters>33447</Characters>
  <Lines>278</Lines>
  <Paragraphs>78</Paragraphs>
  <TotalTime>97</TotalTime>
  <ScaleCrop>false</ScaleCrop>
  <LinksUpToDate>false</LinksUpToDate>
  <CharactersWithSpaces>39236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2021-03-22T02:40:00Z</dcterms:created>
  <dc:creator>huangzx</dc:creator>
  <cp:lastModifiedBy>谢小萍</cp:lastModifiedBy>
  <cp:lastPrinted>2020-07-28T07:31:00Z</cp:lastPrinted>
  <dcterms:modified xsi:type="dcterms:W3CDTF">2024-04-15T02:51:16Z</dcterms:modified>
  <dc:title>清远美林湖山镇M区和滨湖风情区</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222FBB29CB4344BCA8A951E06285CEC6</vt:lpwstr>
  </property>
</Properties>
</file>