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uto"/>
        <w:ind w:right="102"/>
        <w:jc w:val="left"/>
        <w:rPr>
          <w:rFonts w:ascii="宋体" w:hAnsi="宋体"/>
          <w:szCs w:val="21"/>
          <w:highlight w:val="none"/>
        </w:rPr>
      </w:pPr>
      <w:r>
        <w:rPr>
          <w:rFonts w:hint="eastAsia" w:ascii="宋体" w:hAnsi="宋体"/>
          <w:szCs w:val="21"/>
          <w:highlight w:val="none"/>
        </w:rPr>
        <w:t xml:space="preserve"> </w:t>
      </w:r>
    </w:p>
    <w:p>
      <w:pPr>
        <w:spacing w:line="360" w:lineRule="auto"/>
        <w:ind w:left="359" w:leftChars="171"/>
        <w:jc w:val="left"/>
        <w:rPr>
          <w:rFonts w:ascii="宋体"/>
          <w:b/>
          <w:bCs/>
          <w:spacing w:val="40"/>
          <w:sz w:val="44"/>
          <w:szCs w:val="44"/>
          <w:highlight w:val="none"/>
        </w:rPr>
      </w:pPr>
    </w:p>
    <w:p>
      <w:pPr>
        <w:spacing w:line="360" w:lineRule="auto"/>
        <w:rPr>
          <w:rFonts w:ascii="宋体"/>
          <w:b/>
          <w:bCs/>
          <w:spacing w:val="40"/>
          <w:sz w:val="44"/>
          <w:szCs w:val="44"/>
          <w:highlight w:val="none"/>
        </w:rPr>
      </w:pPr>
    </w:p>
    <w:p>
      <w:pPr>
        <w:adjustRightInd w:val="0"/>
        <w:snapToGrid w:val="0"/>
        <w:jc w:val="center"/>
        <w:rPr>
          <w:rFonts w:ascii="宋体" w:hAnsi="宋体"/>
          <w:b/>
          <w:sz w:val="52"/>
          <w:szCs w:val="52"/>
          <w:highlight w:val="none"/>
        </w:rPr>
      </w:pPr>
      <w:r>
        <w:rPr>
          <w:rFonts w:hint="eastAsia" w:ascii="宋体" w:hAnsi="宋体"/>
          <w:b/>
          <w:sz w:val="52"/>
          <w:szCs w:val="52"/>
          <w:highlight w:val="none"/>
        </w:rPr>
        <w:t>凯得雪松智汇中心项目连廊</w:t>
      </w:r>
    </w:p>
    <w:p>
      <w:pPr>
        <w:adjustRightInd w:val="0"/>
        <w:snapToGrid w:val="0"/>
        <w:jc w:val="center"/>
        <w:rPr>
          <w:rFonts w:ascii="宋体" w:hAnsi="宋体"/>
          <w:b/>
          <w:sz w:val="52"/>
          <w:szCs w:val="52"/>
          <w:highlight w:val="none"/>
        </w:rPr>
      </w:pPr>
      <w:r>
        <w:rPr>
          <w:rFonts w:hint="eastAsia" w:ascii="宋体" w:hAnsi="宋体"/>
          <w:b/>
          <w:sz w:val="52"/>
          <w:szCs w:val="52"/>
          <w:highlight w:val="none"/>
        </w:rPr>
        <w:t>施工总承包工程</w:t>
      </w:r>
    </w:p>
    <w:p>
      <w:pPr>
        <w:spacing w:line="360" w:lineRule="auto"/>
        <w:ind w:left="359" w:leftChars="171"/>
        <w:jc w:val="center"/>
        <w:rPr>
          <w:rFonts w:ascii="宋体"/>
          <w:b/>
          <w:bCs/>
          <w:spacing w:val="40"/>
          <w:sz w:val="44"/>
          <w:szCs w:val="44"/>
          <w:highlight w:val="none"/>
        </w:rPr>
      </w:pPr>
    </w:p>
    <w:p>
      <w:pPr>
        <w:pStyle w:val="2"/>
        <w:rPr>
          <w:highlight w:val="none"/>
        </w:rPr>
      </w:pPr>
    </w:p>
    <w:p>
      <w:pPr>
        <w:spacing w:line="360" w:lineRule="auto"/>
        <w:jc w:val="center"/>
        <w:rPr>
          <w:sz w:val="36"/>
          <w:highlight w:val="none"/>
          <w:u w:val="single"/>
        </w:rPr>
      </w:pPr>
    </w:p>
    <w:p>
      <w:pPr>
        <w:spacing w:line="360" w:lineRule="auto"/>
        <w:jc w:val="center"/>
        <w:rPr>
          <w:rFonts w:eastAsia="楷体_GB2312"/>
          <w:b/>
          <w:bCs/>
          <w:spacing w:val="26"/>
          <w:sz w:val="110"/>
          <w:szCs w:val="110"/>
          <w:highlight w:val="none"/>
        </w:rPr>
      </w:pPr>
      <w:r>
        <w:rPr>
          <w:rFonts w:hint="eastAsia" w:eastAsia="楷体_GB2312"/>
          <w:b/>
          <w:bCs/>
          <w:spacing w:val="26"/>
          <w:sz w:val="110"/>
          <w:szCs w:val="110"/>
          <w:highlight w:val="none"/>
        </w:rPr>
        <w:t>招标文件</w:t>
      </w:r>
    </w:p>
    <w:p>
      <w:pPr>
        <w:spacing w:line="360" w:lineRule="auto"/>
        <w:jc w:val="center"/>
        <w:rPr>
          <w:sz w:val="32"/>
          <w:highlight w:val="none"/>
        </w:rPr>
      </w:pPr>
    </w:p>
    <w:p>
      <w:pPr>
        <w:spacing w:line="360" w:lineRule="auto"/>
        <w:ind w:firstLine="2560" w:firstLineChars="800"/>
        <w:rPr>
          <w:sz w:val="32"/>
          <w:highlight w:val="none"/>
        </w:rPr>
      </w:pPr>
    </w:p>
    <w:p>
      <w:pPr>
        <w:spacing w:line="360" w:lineRule="auto"/>
        <w:rPr>
          <w:sz w:val="52"/>
          <w:highlight w:val="none"/>
        </w:rPr>
      </w:pPr>
    </w:p>
    <w:p>
      <w:pPr>
        <w:spacing w:line="360" w:lineRule="auto"/>
        <w:rPr>
          <w:sz w:val="52"/>
          <w:highlight w:val="none"/>
        </w:rPr>
      </w:pPr>
    </w:p>
    <w:p>
      <w:pPr>
        <w:pStyle w:val="2"/>
        <w:rPr>
          <w:highlight w:val="none"/>
        </w:rPr>
      </w:pPr>
    </w:p>
    <w:p>
      <w:pPr>
        <w:adjustRightInd w:val="0"/>
        <w:snapToGrid w:val="0"/>
        <w:spacing w:line="360" w:lineRule="auto"/>
        <w:ind w:firstLine="1807" w:firstLineChars="600"/>
        <w:rPr>
          <w:rFonts w:ascii="宋体" w:hAnsi="宋体" w:cs="宋体"/>
          <w:b/>
          <w:bCs/>
          <w:sz w:val="30"/>
          <w:szCs w:val="30"/>
          <w:highlight w:val="none"/>
          <w:u w:val="single"/>
        </w:rPr>
      </w:pPr>
      <w:r>
        <w:rPr>
          <w:rFonts w:hint="eastAsia" w:ascii="宋体" w:hAnsi="宋体" w:cs="宋体"/>
          <w:b/>
          <w:bCs/>
          <w:sz w:val="30"/>
          <w:szCs w:val="30"/>
          <w:highlight w:val="none"/>
        </w:rPr>
        <w:t>招  标 单 位：</w:t>
      </w:r>
      <w:r>
        <w:rPr>
          <w:rFonts w:hint="eastAsia" w:ascii="宋体" w:hAnsi="宋体" w:cs="宋体"/>
          <w:b/>
          <w:bCs/>
          <w:kern w:val="0"/>
          <w:sz w:val="30"/>
          <w:szCs w:val="30"/>
          <w:highlight w:val="none"/>
          <w:u w:val="single"/>
        </w:rPr>
        <w:t>广州松瓴企业管理有限公司</w:t>
      </w:r>
    </w:p>
    <w:p>
      <w:pPr>
        <w:adjustRightInd w:val="0"/>
        <w:snapToGrid w:val="0"/>
        <w:spacing w:line="360" w:lineRule="auto"/>
        <w:ind w:firstLine="1807" w:firstLineChars="600"/>
        <w:jc w:val="left"/>
        <w:rPr>
          <w:rFonts w:ascii="宋体" w:hAnsi="宋体" w:cs="宋体"/>
          <w:b/>
          <w:bCs/>
          <w:sz w:val="30"/>
          <w:szCs w:val="30"/>
          <w:highlight w:val="none"/>
          <w:u w:val="single"/>
        </w:rPr>
      </w:pPr>
      <w:r>
        <w:rPr>
          <w:rFonts w:hint="eastAsia" w:ascii="宋体" w:hAnsi="宋体" w:cs="宋体"/>
          <w:b/>
          <w:bCs/>
          <w:sz w:val="30"/>
          <w:szCs w:val="30"/>
          <w:highlight w:val="none"/>
        </w:rPr>
        <w:t>招标代理单位：</w:t>
      </w:r>
      <w:r>
        <w:rPr>
          <w:rFonts w:hint="eastAsia" w:ascii="宋体" w:hAnsi="宋体" w:cs="宋体"/>
          <w:b/>
          <w:bCs/>
          <w:kern w:val="0"/>
          <w:sz w:val="30"/>
          <w:szCs w:val="30"/>
          <w:highlight w:val="none"/>
          <w:u w:val="single"/>
        </w:rPr>
        <w:t>广州宏达工程顾问集团有限公司</w:t>
      </w:r>
    </w:p>
    <w:p>
      <w:pPr>
        <w:pStyle w:val="31"/>
        <w:adjustRightInd w:val="0"/>
        <w:snapToGrid w:val="0"/>
        <w:spacing w:line="360" w:lineRule="auto"/>
        <w:ind w:firstLine="1807" w:firstLineChars="600"/>
        <w:rPr>
          <w:rFonts w:cs="宋体"/>
          <w:b/>
          <w:bCs/>
          <w:sz w:val="30"/>
          <w:szCs w:val="30"/>
          <w:highlight w:val="none"/>
        </w:rPr>
      </w:pPr>
      <w:r>
        <w:rPr>
          <w:rFonts w:hint="eastAsia" w:cs="宋体"/>
          <w:b/>
          <w:bCs/>
          <w:sz w:val="30"/>
          <w:szCs w:val="30"/>
          <w:highlight w:val="none"/>
          <w:u w:val="none"/>
        </w:rPr>
        <w:t>日        期：</w:t>
      </w:r>
      <w:r>
        <w:rPr>
          <w:rFonts w:hint="eastAsia" w:cs="宋体"/>
          <w:b/>
          <w:bCs/>
          <w:sz w:val="30"/>
          <w:szCs w:val="30"/>
          <w:highlight w:val="none"/>
        </w:rPr>
        <w:t>2024年4月</w:t>
      </w:r>
    </w:p>
    <w:p>
      <w:pPr>
        <w:spacing w:line="360" w:lineRule="auto"/>
        <w:ind w:firstLine="945"/>
        <w:rPr>
          <w:sz w:val="32"/>
          <w:highlight w:val="none"/>
        </w:rPr>
      </w:pPr>
    </w:p>
    <w:p>
      <w:pPr>
        <w:jc w:val="center"/>
        <w:rPr>
          <w:rFonts w:ascii="宋体" w:hAnsi="宋体"/>
          <w:b/>
          <w:caps/>
          <w:kern w:val="0"/>
          <w:highlight w:val="none"/>
        </w:rPr>
      </w:pPr>
      <w:r>
        <w:rPr>
          <w:rStyle w:val="45"/>
          <w:b/>
          <w:bCs/>
          <w:highlight w:val="none"/>
        </w:rPr>
        <w:br w:type="page"/>
      </w:r>
      <w:r>
        <w:rPr>
          <w:rStyle w:val="45"/>
          <w:rFonts w:hint="eastAsia"/>
          <w:b/>
          <w:bCs/>
          <w:color w:val="000000" w:themeColor="text1"/>
          <w:sz w:val="28"/>
          <w:szCs w:val="28"/>
          <w:highlight w:val="none"/>
          <w14:textFill>
            <w14:solidFill>
              <w14:schemeClr w14:val="tx1"/>
            </w14:solidFill>
          </w14:textFill>
        </w:rPr>
        <w:t>目录</w:t>
      </w:r>
    </w:p>
    <w:p>
      <w:pPr>
        <w:pStyle w:val="26"/>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"_Toc21525489" </w:instrText>
      </w:r>
      <w:r>
        <w:rPr>
          <w:highlight w:val="none"/>
        </w:rPr>
        <w:fldChar w:fldCharType="separate"/>
      </w:r>
      <w:r>
        <w:rPr>
          <w:rStyle w:val="45"/>
          <w:highlight w:val="none"/>
        </w:rPr>
        <w:t>第一章  投标须知</w:t>
      </w:r>
      <w:r>
        <w:rPr>
          <w:highlight w:val="none"/>
        </w:rPr>
        <w:tab/>
      </w:r>
      <w:r>
        <w:rPr>
          <w:highlight w:val="none"/>
        </w:rPr>
        <w:fldChar w:fldCharType="begin"/>
      </w:r>
      <w:r>
        <w:rPr>
          <w:highlight w:val="none"/>
        </w:rPr>
        <w:instrText xml:space="preserve"> PAGEREF _Toc21525489 \h </w:instrText>
      </w:r>
      <w:r>
        <w:rPr>
          <w:highlight w:val="none"/>
        </w:rPr>
        <w:fldChar w:fldCharType="separate"/>
      </w:r>
      <w:r>
        <w:rPr>
          <w:highlight w:val="none"/>
        </w:rPr>
        <w:t>3</w:t>
      </w:r>
      <w:r>
        <w:rPr>
          <w:highlight w:val="none"/>
        </w:rPr>
        <w:fldChar w:fldCharType="end"/>
      </w:r>
      <w:r>
        <w:rPr>
          <w:highlight w:val="none"/>
        </w:rPr>
        <w:fldChar w:fldCharType="end"/>
      </w:r>
    </w:p>
    <w:p>
      <w:pPr>
        <w:pStyle w:val="3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"_Toc21525490" </w:instrText>
      </w:r>
      <w:r>
        <w:rPr>
          <w:highlight w:val="none"/>
        </w:rPr>
        <w:fldChar w:fldCharType="separate"/>
      </w:r>
      <w:r>
        <w:rPr>
          <w:rStyle w:val="45"/>
          <w:highlight w:val="none"/>
        </w:rPr>
        <w:t>一、投标须知前附表</w:t>
      </w:r>
      <w:r>
        <w:rPr>
          <w:highlight w:val="none"/>
        </w:rPr>
        <w:tab/>
      </w:r>
      <w:r>
        <w:rPr>
          <w:highlight w:val="none"/>
        </w:rPr>
        <w:fldChar w:fldCharType="begin"/>
      </w:r>
      <w:r>
        <w:rPr>
          <w:highlight w:val="none"/>
        </w:rPr>
        <w:instrText xml:space="preserve"> PAGEREF _Toc21525490 \h </w:instrText>
      </w:r>
      <w:r>
        <w:rPr>
          <w:highlight w:val="none"/>
        </w:rPr>
        <w:fldChar w:fldCharType="separate"/>
      </w:r>
      <w:r>
        <w:rPr>
          <w:highlight w:val="none"/>
        </w:rPr>
        <w:t>3</w:t>
      </w:r>
      <w:r>
        <w:rPr>
          <w:highlight w:val="none"/>
        </w:rPr>
        <w:fldChar w:fldCharType="end"/>
      </w:r>
      <w:r>
        <w:rPr>
          <w:highlight w:val="none"/>
        </w:rPr>
        <w:fldChar w:fldCharType="end"/>
      </w:r>
    </w:p>
    <w:p>
      <w:pPr>
        <w:pStyle w:val="3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"_Toc21525491" </w:instrText>
      </w:r>
      <w:r>
        <w:rPr>
          <w:highlight w:val="none"/>
        </w:rPr>
        <w:fldChar w:fldCharType="separate"/>
      </w:r>
      <w:r>
        <w:rPr>
          <w:rStyle w:val="45"/>
          <w:highlight w:val="none"/>
        </w:rPr>
        <w:t>二、投标须知修改表</w:t>
      </w:r>
      <w:r>
        <w:rPr>
          <w:highlight w:val="none"/>
        </w:rPr>
        <w:tab/>
      </w:r>
      <w:r>
        <w:rPr>
          <w:highlight w:val="none"/>
        </w:rPr>
        <w:fldChar w:fldCharType="begin"/>
      </w:r>
      <w:r>
        <w:rPr>
          <w:highlight w:val="none"/>
        </w:rPr>
        <w:instrText xml:space="preserve"> PAGEREF _Toc21525491 \h </w:instrText>
      </w:r>
      <w:r>
        <w:rPr>
          <w:highlight w:val="none"/>
        </w:rPr>
        <w:fldChar w:fldCharType="separate"/>
      </w:r>
      <w:r>
        <w:rPr>
          <w:highlight w:val="none"/>
        </w:rPr>
        <w:t>8</w:t>
      </w:r>
      <w:r>
        <w:rPr>
          <w:highlight w:val="none"/>
        </w:rPr>
        <w:fldChar w:fldCharType="end"/>
      </w:r>
      <w:r>
        <w:rPr>
          <w:highlight w:val="none"/>
        </w:rPr>
        <w:fldChar w:fldCharType="end"/>
      </w:r>
    </w:p>
    <w:p>
      <w:pPr>
        <w:pStyle w:val="3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"_Toc21525492" </w:instrText>
      </w:r>
      <w:r>
        <w:rPr>
          <w:highlight w:val="none"/>
        </w:rPr>
        <w:fldChar w:fldCharType="separate"/>
      </w:r>
      <w:r>
        <w:rPr>
          <w:rStyle w:val="45"/>
          <w:highlight w:val="none"/>
        </w:rPr>
        <w:t>三、投标须知通用条款</w:t>
      </w:r>
      <w:r>
        <w:rPr>
          <w:highlight w:val="none"/>
        </w:rPr>
        <w:tab/>
      </w:r>
      <w:r>
        <w:rPr>
          <w:highlight w:val="none"/>
        </w:rPr>
        <w:fldChar w:fldCharType="begin"/>
      </w:r>
      <w:r>
        <w:rPr>
          <w:highlight w:val="none"/>
        </w:rPr>
        <w:instrText xml:space="preserve"> PAGEREF _Toc21525492 \h </w:instrText>
      </w:r>
      <w:r>
        <w:rPr>
          <w:highlight w:val="none"/>
        </w:rPr>
        <w:fldChar w:fldCharType="separate"/>
      </w:r>
      <w:r>
        <w:rPr>
          <w:highlight w:val="none"/>
        </w:rPr>
        <w:t>19</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"_Toc21525493" </w:instrText>
      </w:r>
      <w:r>
        <w:rPr>
          <w:highlight w:val="none"/>
        </w:rPr>
        <w:fldChar w:fldCharType="separate"/>
      </w:r>
      <w:r>
        <w:rPr>
          <w:rStyle w:val="45"/>
          <w:highlight w:val="none"/>
        </w:rPr>
        <w:t>（一）总则</w:t>
      </w:r>
      <w:r>
        <w:rPr>
          <w:highlight w:val="none"/>
        </w:rPr>
        <w:tab/>
      </w:r>
      <w:r>
        <w:rPr>
          <w:highlight w:val="none"/>
        </w:rPr>
        <w:fldChar w:fldCharType="begin"/>
      </w:r>
      <w:r>
        <w:rPr>
          <w:highlight w:val="none"/>
        </w:rPr>
        <w:instrText xml:space="preserve"> PAGEREF _Toc21525493 \h </w:instrText>
      </w:r>
      <w:r>
        <w:rPr>
          <w:highlight w:val="none"/>
        </w:rPr>
        <w:fldChar w:fldCharType="separate"/>
      </w:r>
      <w:r>
        <w:rPr>
          <w:highlight w:val="none"/>
        </w:rPr>
        <w:t>19</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"_Toc21525494" </w:instrText>
      </w:r>
      <w:r>
        <w:rPr>
          <w:highlight w:val="none"/>
        </w:rPr>
        <w:fldChar w:fldCharType="separate"/>
      </w:r>
      <w:r>
        <w:rPr>
          <w:rStyle w:val="45"/>
          <w:highlight w:val="none"/>
        </w:rPr>
        <w:t>（二）招标文件</w:t>
      </w:r>
      <w:r>
        <w:rPr>
          <w:highlight w:val="none"/>
        </w:rPr>
        <w:tab/>
      </w:r>
      <w:r>
        <w:rPr>
          <w:highlight w:val="none"/>
        </w:rPr>
        <w:fldChar w:fldCharType="begin"/>
      </w:r>
      <w:r>
        <w:rPr>
          <w:highlight w:val="none"/>
        </w:rPr>
        <w:instrText xml:space="preserve"> PAGEREF _Toc21525494 \h </w:instrText>
      </w:r>
      <w:r>
        <w:rPr>
          <w:highlight w:val="none"/>
        </w:rPr>
        <w:fldChar w:fldCharType="separate"/>
      </w:r>
      <w:r>
        <w:rPr>
          <w:highlight w:val="none"/>
        </w:rPr>
        <w:t>20</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"_Toc21525495" </w:instrText>
      </w:r>
      <w:r>
        <w:rPr>
          <w:highlight w:val="none"/>
        </w:rPr>
        <w:fldChar w:fldCharType="separate"/>
      </w:r>
      <w:r>
        <w:rPr>
          <w:rStyle w:val="45"/>
          <w:highlight w:val="none"/>
        </w:rPr>
        <w:t>（三）投标文件的编制</w:t>
      </w:r>
      <w:r>
        <w:rPr>
          <w:highlight w:val="none"/>
        </w:rPr>
        <w:tab/>
      </w:r>
      <w:r>
        <w:rPr>
          <w:highlight w:val="none"/>
        </w:rPr>
        <w:fldChar w:fldCharType="begin"/>
      </w:r>
      <w:r>
        <w:rPr>
          <w:highlight w:val="none"/>
        </w:rPr>
        <w:instrText xml:space="preserve"> PAGEREF _Toc21525495 \h </w:instrText>
      </w:r>
      <w:r>
        <w:rPr>
          <w:highlight w:val="none"/>
        </w:rPr>
        <w:fldChar w:fldCharType="separate"/>
      </w:r>
      <w:r>
        <w:rPr>
          <w:highlight w:val="none"/>
        </w:rPr>
        <w:t>21</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"_Toc21525496" </w:instrText>
      </w:r>
      <w:r>
        <w:rPr>
          <w:highlight w:val="none"/>
        </w:rPr>
        <w:fldChar w:fldCharType="separate"/>
      </w:r>
      <w:r>
        <w:rPr>
          <w:rStyle w:val="45"/>
          <w:highlight w:val="none"/>
        </w:rPr>
        <w:t>（四）投标文件的提交</w:t>
      </w:r>
      <w:r>
        <w:rPr>
          <w:highlight w:val="none"/>
        </w:rPr>
        <w:tab/>
      </w:r>
      <w:r>
        <w:rPr>
          <w:highlight w:val="none"/>
        </w:rPr>
        <w:fldChar w:fldCharType="begin"/>
      </w:r>
      <w:r>
        <w:rPr>
          <w:highlight w:val="none"/>
        </w:rPr>
        <w:instrText xml:space="preserve"> PAGEREF _Toc21525496 \h </w:instrText>
      </w:r>
      <w:r>
        <w:rPr>
          <w:highlight w:val="none"/>
        </w:rPr>
        <w:fldChar w:fldCharType="separate"/>
      </w:r>
      <w:r>
        <w:rPr>
          <w:highlight w:val="none"/>
        </w:rPr>
        <w:t>28</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"_Toc21525497" </w:instrText>
      </w:r>
      <w:r>
        <w:rPr>
          <w:highlight w:val="none"/>
        </w:rPr>
        <w:fldChar w:fldCharType="separate"/>
      </w:r>
      <w:r>
        <w:rPr>
          <w:rStyle w:val="45"/>
          <w:highlight w:val="none"/>
        </w:rPr>
        <w:t>（五）开标、评标、定标及合同签定</w:t>
      </w:r>
      <w:r>
        <w:rPr>
          <w:highlight w:val="none"/>
        </w:rPr>
        <w:tab/>
      </w:r>
      <w:r>
        <w:rPr>
          <w:highlight w:val="none"/>
        </w:rPr>
        <w:fldChar w:fldCharType="begin"/>
      </w:r>
      <w:r>
        <w:rPr>
          <w:highlight w:val="none"/>
        </w:rPr>
        <w:instrText xml:space="preserve"> PAGEREF _Toc21525497 \h </w:instrText>
      </w:r>
      <w:r>
        <w:rPr>
          <w:highlight w:val="none"/>
        </w:rPr>
        <w:fldChar w:fldCharType="separate"/>
      </w:r>
      <w:r>
        <w:rPr>
          <w:highlight w:val="none"/>
        </w:rPr>
        <w:t>29</w:t>
      </w:r>
      <w:r>
        <w:rPr>
          <w:highlight w:val="none"/>
        </w:rPr>
        <w:fldChar w:fldCharType="end"/>
      </w:r>
      <w:r>
        <w:rPr>
          <w:highlight w:val="none"/>
        </w:rPr>
        <w:fldChar w:fldCharType="end"/>
      </w:r>
    </w:p>
    <w:p>
      <w:pPr>
        <w:pStyle w:val="26"/>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"_Toc21525498" </w:instrText>
      </w:r>
      <w:r>
        <w:rPr>
          <w:highlight w:val="none"/>
        </w:rPr>
        <w:fldChar w:fldCharType="separate"/>
      </w:r>
      <w:r>
        <w:rPr>
          <w:rStyle w:val="45"/>
          <w:highlight w:val="none"/>
        </w:rPr>
        <w:t>第二章  开标、评标及定标办法</w:t>
      </w:r>
      <w:r>
        <w:rPr>
          <w:highlight w:val="none"/>
        </w:rPr>
        <w:tab/>
      </w:r>
      <w:r>
        <w:rPr>
          <w:highlight w:val="none"/>
        </w:rPr>
        <w:fldChar w:fldCharType="begin"/>
      </w:r>
      <w:r>
        <w:rPr>
          <w:highlight w:val="none"/>
        </w:rPr>
        <w:instrText xml:space="preserve"> PAGEREF _Toc21525498 \h </w:instrText>
      </w:r>
      <w:r>
        <w:rPr>
          <w:highlight w:val="none"/>
        </w:rPr>
        <w:fldChar w:fldCharType="separate"/>
      </w:r>
      <w:r>
        <w:rPr>
          <w:highlight w:val="none"/>
        </w:rPr>
        <w:t>32</w:t>
      </w:r>
      <w:r>
        <w:rPr>
          <w:highlight w:val="none"/>
        </w:rPr>
        <w:fldChar w:fldCharType="end"/>
      </w:r>
      <w:r>
        <w:rPr>
          <w:highlight w:val="none"/>
        </w:rPr>
        <w:fldChar w:fldCharType="end"/>
      </w:r>
    </w:p>
    <w:p>
      <w:pPr>
        <w:pStyle w:val="3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"_Toc21525499" </w:instrText>
      </w:r>
      <w:r>
        <w:rPr>
          <w:highlight w:val="none"/>
        </w:rPr>
        <w:fldChar w:fldCharType="separate"/>
      </w:r>
      <w:r>
        <w:rPr>
          <w:rStyle w:val="45"/>
          <w:highlight w:val="none"/>
        </w:rPr>
        <w:t>一、开标、评标及定标办法修改表</w:t>
      </w:r>
      <w:r>
        <w:rPr>
          <w:highlight w:val="none"/>
        </w:rPr>
        <w:tab/>
      </w:r>
      <w:r>
        <w:rPr>
          <w:highlight w:val="none"/>
        </w:rPr>
        <w:fldChar w:fldCharType="begin"/>
      </w:r>
      <w:r>
        <w:rPr>
          <w:highlight w:val="none"/>
        </w:rPr>
        <w:instrText xml:space="preserve"> PAGEREF _Toc21525499 \h </w:instrText>
      </w:r>
      <w:r>
        <w:rPr>
          <w:highlight w:val="none"/>
        </w:rPr>
        <w:fldChar w:fldCharType="separate"/>
      </w:r>
      <w:r>
        <w:rPr>
          <w:highlight w:val="none"/>
        </w:rPr>
        <w:t>32</w:t>
      </w:r>
      <w:r>
        <w:rPr>
          <w:highlight w:val="none"/>
        </w:rPr>
        <w:fldChar w:fldCharType="end"/>
      </w:r>
      <w:r>
        <w:rPr>
          <w:highlight w:val="none"/>
        </w:rPr>
        <w:fldChar w:fldCharType="end"/>
      </w:r>
    </w:p>
    <w:p>
      <w:pPr>
        <w:pStyle w:val="3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"_Toc21525500" </w:instrText>
      </w:r>
      <w:r>
        <w:rPr>
          <w:highlight w:val="none"/>
        </w:rPr>
        <w:fldChar w:fldCharType="separate"/>
      </w:r>
      <w:r>
        <w:rPr>
          <w:rStyle w:val="45"/>
          <w:highlight w:val="none"/>
        </w:rPr>
        <w:t>二、开标、评标及定标办法通用条款</w:t>
      </w:r>
      <w:r>
        <w:rPr>
          <w:highlight w:val="none"/>
        </w:rPr>
        <w:tab/>
      </w:r>
      <w:r>
        <w:rPr>
          <w:highlight w:val="none"/>
        </w:rPr>
        <w:fldChar w:fldCharType="begin"/>
      </w:r>
      <w:r>
        <w:rPr>
          <w:highlight w:val="none"/>
        </w:rPr>
        <w:instrText xml:space="preserve"> PAGEREF _Toc21525500 \h </w:instrText>
      </w:r>
      <w:r>
        <w:rPr>
          <w:highlight w:val="none"/>
        </w:rPr>
        <w:fldChar w:fldCharType="separate"/>
      </w:r>
      <w:r>
        <w:rPr>
          <w:highlight w:val="none"/>
        </w:rPr>
        <w:t>38</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"_Toc21525501" </w:instrText>
      </w:r>
      <w:r>
        <w:rPr>
          <w:highlight w:val="none"/>
        </w:rPr>
        <w:fldChar w:fldCharType="separate"/>
      </w:r>
      <w:r>
        <w:rPr>
          <w:rStyle w:val="45"/>
          <w:highlight w:val="none"/>
        </w:rPr>
        <w:t>（一）总则</w:t>
      </w:r>
      <w:r>
        <w:rPr>
          <w:highlight w:val="none"/>
        </w:rPr>
        <w:tab/>
      </w:r>
      <w:r>
        <w:rPr>
          <w:highlight w:val="none"/>
        </w:rPr>
        <w:fldChar w:fldCharType="begin"/>
      </w:r>
      <w:r>
        <w:rPr>
          <w:highlight w:val="none"/>
        </w:rPr>
        <w:instrText xml:space="preserve"> PAGEREF _Toc21525501 \h </w:instrText>
      </w:r>
      <w:r>
        <w:rPr>
          <w:highlight w:val="none"/>
        </w:rPr>
        <w:fldChar w:fldCharType="separate"/>
      </w:r>
      <w:r>
        <w:rPr>
          <w:highlight w:val="none"/>
        </w:rPr>
        <w:t>38</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"_Toc21525502" </w:instrText>
      </w:r>
      <w:r>
        <w:rPr>
          <w:highlight w:val="none"/>
        </w:rPr>
        <w:fldChar w:fldCharType="separate"/>
      </w:r>
      <w:r>
        <w:rPr>
          <w:rStyle w:val="45"/>
          <w:highlight w:val="none"/>
        </w:rPr>
        <w:t>（二）开标评标办法程序和细则</w:t>
      </w:r>
      <w:r>
        <w:rPr>
          <w:highlight w:val="none"/>
        </w:rPr>
        <w:tab/>
      </w:r>
      <w:r>
        <w:rPr>
          <w:highlight w:val="none"/>
        </w:rPr>
        <w:fldChar w:fldCharType="begin"/>
      </w:r>
      <w:r>
        <w:rPr>
          <w:highlight w:val="none"/>
        </w:rPr>
        <w:instrText xml:space="preserve"> PAGEREF _Toc21525502 \h </w:instrText>
      </w:r>
      <w:r>
        <w:rPr>
          <w:highlight w:val="none"/>
        </w:rPr>
        <w:fldChar w:fldCharType="separate"/>
      </w:r>
      <w:r>
        <w:rPr>
          <w:highlight w:val="none"/>
        </w:rPr>
        <w:t>40</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"_Toc21525503" </w:instrText>
      </w:r>
      <w:r>
        <w:rPr>
          <w:highlight w:val="none"/>
        </w:rPr>
        <w:fldChar w:fldCharType="separate"/>
      </w:r>
      <w:r>
        <w:rPr>
          <w:rStyle w:val="45"/>
          <w:highlight w:val="none"/>
        </w:rPr>
        <w:t>可选办法一（适合综合评分法一，技术标与经济标先后分别开启）</w:t>
      </w:r>
      <w:r>
        <w:rPr>
          <w:highlight w:val="none"/>
        </w:rPr>
        <w:tab/>
      </w:r>
      <w:r>
        <w:rPr>
          <w:highlight w:val="none"/>
        </w:rPr>
        <w:fldChar w:fldCharType="begin"/>
      </w:r>
      <w:r>
        <w:rPr>
          <w:highlight w:val="none"/>
        </w:rPr>
        <w:instrText xml:space="preserve"> PAGEREF _Toc21525503 \h </w:instrText>
      </w:r>
      <w:r>
        <w:rPr>
          <w:highlight w:val="none"/>
        </w:rPr>
        <w:fldChar w:fldCharType="separate"/>
      </w:r>
      <w:r>
        <w:rPr>
          <w:highlight w:val="none"/>
        </w:rPr>
        <w:t>41</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"_Toc21525504" </w:instrText>
      </w:r>
      <w:r>
        <w:rPr>
          <w:highlight w:val="none"/>
        </w:rPr>
        <w:fldChar w:fldCharType="separate"/>
      </w:r>
      <w:r>
        <w:rPr>
          <w:rStyle w:val="45"/>
          <w:highlight w:val="none"/>
        </w:rPr>
        <w:t>可选办法二（适合综合评分法一，技术标与经济标同时开启）</w:t>
      </w:r>
      <w:r>
        <w:rPr>
          <w:highlight w:val="none"/>
        </w:rPr>
        <w:tab/>
      </w:r>
      <w:r>
        <w:rPr>
          <w:highlight w:val="none"/>
        </w:rPr>
        <w:fldChar w:fldCharType="begin"/>
      </w:r>
      <w:r>
        <w:rPr>
          <w:highlight w:val="none"/>
        </w:rPr>
        <w:instrText xml:space="preserve"> PAGEREF _Toc21525504 \h </w:instrText>
      </w:r>
      <w:r>
        <w:rPr>
          <w:highlight w:val="none"/>
        </w:rPr>
        <w:fldChar w:fldCharType="separate"/>
      </w:r>
      <w:r>
        <w:rPr>
          <w:highlight w:val="none"/>
        </w:rPr>
        <w:t>45</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"_Toc21525505" </w:instrText>
      </w:r>
      <w:r>
        <w:rPr>
          <w:highlight w:val="none"/>
        </w:rPr>
        <w:fldChar w:fldCharType="separate"/>
      </w:r>
      <w:r>
        <w:rPr>
          <w:rStyle w:val="45"/>
          <w:highlight w:val="none"/>
        </w:rPr>
        <w:t>可选办法三（适合综合评分法二，技术标与经济标先后分别开启）</w:t>
      </w:r>
      <w:r>
        <w:rPr>
          <w:highlight w:val="none"/>
        </w:rPr>
        <w:tab/>
      </w:r>
      <w:r>
        <w:rPr>
          <w:highlight w:val="none"/>
        </w:rPr>
        <w:fldChar w:fldCharType="begin"/>
      </w:r>
      <w:r>
        <w:rPr>
          <w:highlight w:val="none"/>
        </w:rPr>
        <w:instrText xml:space="preserve"> PAGEREF _Toc21525505 \h </w:instrText>
      </w:r>
      <w:r>
        <w:rPr>
          <w:highlight w:val="none"/>
        </w:rPr>
        <w:fldChar w:fldCharType="separate"/>
      </w:r>
      <w:r>
        <w:rPr>
          <w:highlight w:val="none"/>
        </w:rPr>
        <w:t>49</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"_Toc21525506" </w:instrText>
      </w:r>
      <w:r>
        <w:rPr>
          <w:highlight w:val="none"/>
        </w:rPr>
        <w:fldChar w:fldCharType="separate"/>
      </w:r>
      <w:r>
        <w:rPr>
          <w:rStyle w:val="45"/>
          <w:highlight w:val="none"/>
        </w:rPr>
        <w:t>可选办法四（适合综合评分法二，技术标与经济标同时开启）</w:t>
      </w:r>
      <w:r>
        <w:rPr>
          <w:highlight w:val="none"/>
        </w:rPr>
        <w:tab/>
      </w:r>
      <w:r>
        <w:rPr>
          <w:highlight w:val="none"/>
        </w:rPr>
        <w:fldChar w:fldCharType="begin"/>
      </w:r>
      <w:r>
        <w:rPr>
          <w:highlight w:val="none"/>
        </w:rPr>
        <w:instrText xml:space="preserve"> PAGEREF _Toc21525506 \h </w:instrText>
      </w:r>
      <w:r>
        <w:rPr>
          <w:highlight w:val="none"/>
        </w:rPr>
        <w:fldChar w:fldCharType="separate"/>
      </w:r>
      <w:r>
        <w:rPr>
          <w:highlight w:val="none"/>
        </w:rPr>
        <w:t>54</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"_Toc21525507" </w:instrText>
      </w:r>
      <w:r>
        <w:rPr>
          <w:highlight w:val="none"/>
        </w:rPr>
        <w:fldChar w:fldCharType="separate"/>
      </w:r>
      <w:r>
        <w:rPr>
          <w:rStyle w:val="45"/>
          <w:highlight w:val="none"/>
        </w:rPr>
        <w:t>可选办法五（适合综合评分法三，技术标与经济标先后分别开启）</w:t>
      </w:r>
      <w:r>
        <w:rPr>
          <w:highlight w:val="none"/>
        </w:rPr>
        <w:tab/>
      </w:r>
      <w:r>
        <w:rPr>
          <w:highlight w:val="none"/>
        </w:rPr>
        <w:fldChar w:fldCharType="begin"/>
      </w:r>
      <w:r>
        <w:rPr>
          <w:highlight w:val="none"/>
        </w:rPr>
        <w:instrText xml:space="preserve"> PAGEREF _Toc21525507 \h </w:instrText>
      </w:r>
      <w:r>
        <w:rPr>
          <w:highlight w:val="none"/>
        </w:rPr>
        <w:fldChar w:fldCharType="separate"/>
      </w:r>
      <w:r>
        <w:rPr>
          <w:highlight w:val="none"/>
        </w:rPr>
        <w:t>59</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"_Toc21525508" </w:instrText>
      </w:r>
      <w:r>
        <w:rPr>
          <w:highlight w:val="none"/>
        </w:rPr>
        <w:fldChar w:fldCharType="separate"/>
      </w:r>
      <w:r>
        <w:rPr>
          <w:rStyle w:val="45"/>
          <w:highlight w:val="none"/>
        </w:rPr>
        <w:t>可选办法六（适合综合评分法三，技术标与经济标同时开启）</w:t>
      </w:r>
      <w:r>
        <w:rPr>
          <w:highlight w:val="none"/>
        </w:rPr>
        <w:tab/>
      </w:r>
      <w:r>
        <w:rPr>
          <w:highlight w:val="none"/>
        </w:rPr>
        <w:fldChar w:fldCharType="begin"/>
      </w:r>
      <w:r>
        <w:rPr>
          <w:highlight w:val="none"/>
        </w:rPr>
        <w:instrText xml:space="preserve"> PAGEREF _Toc21525508 \h </w:instrText>
      </w:r>
      <w:r>
        <w:rPr>
          <w:highlight w:val="none"/>
        </w:rPr>
        <w:fldChar w:fldCharType="separate"/>
      </w:r>
      <w:r>
        <w:rPr>
          <w:highlight w:val="none"/>
        </w:rPr>
        <w:t>64</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"_Toc21525509" </w:instrText>
      </w:r>
      <w:r>
        <w:rPr>
          <w:highlight w:val="none"/>
        </w:rPr>
        <w:fldChar w:fldCharType="separate"/>
      </w:r>
      <w:r>
        <w:rPr>
          <w:rStyle w:val="45"/>
          <w:highlight w:val="none"/>
        </w:rPr>
        <w:t>可选办法七（适合综合评分法四，技术标与经济标同时开启）</w:t>
      </w:r>
      <w:r>
        <w:rPr>
          <w:highlight w:val="none"/>
        </w:rPr>
        <w:tab/>
      </w:r>
      <w:r>
        <w:rPr>
          <w:highlight w:val="none"/>
        </w:rPr>
        <w:fldChar w:fldCharType="begin"/>
      </w:r>
      <w:r>
        <w:rPr>
          <w:highlight w:val="none"/>
        </w:rPr>
        <w:instrText xml:space="preserve"> PAGEREF _Toc21525509 \h </w:instrText>
      </w:r>
      <w:r>
        <w:rPr>
          <w:highlight w:val="none"/>
        </w:rPr>
        <w:fldChar w:fldCharType="separate"/>
      </w:r>
      <w:r>
        <w:rPr>
          <w:highlight w:val="none"/>
        </w:rPr>
        <w:t>69</w:t>
      </w:r>
      <w:r>
        <w:rPr>
          <w:highlight w:val="none"/>
        </w:rPr>
        <w:fldChar w:fldCharType="end"/>
      </w:r>
      <w:r>
        <w:rPr>
          <w:highlight w:val="none"/>
        </w:rPr>
        <w:fldChar w:fldCharType="end"/>
      </w:r>
    </w:p>
    <w:p>
      <w:pPr>
        <w:pStyle w:val="18"/>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"_Toc21525510" </w:instrText>
      </w:r>
      <w:r>
        <w:rPr>
          <w:highlight w:val="none"/>
        </w:rPr>
        <w:fldChar w:fldCharType="separate"/>
      </w:r>
      <w:r>
        <w:rPr>
          <w:rStyle w:val="45"/>
          <w:highlight w:val="none"/>
        </w:rPr>
        <w:t>可选办法八（适合经评审的最低投标价法，技术标与经济标同时开启）</w:t>
      </w:r>
      <w:r>
        <w:rPr>
          <w:highlight w:val="none"/>
        </w:rPr>
        <w:tab/>
      </w:r>
      <w:r>
        <w:rPr>
          <w:highlight w:val="none"/>
        </w:rPr>
        <w:fldChar w:fldCharType="begin"/>
      </w:r>
      <w:r>
        <w:rPr>
          <w:highlight w:val="none"/>
        </w:rPr>
        <w:instrText xml:space="preserve"> PAGEREF _Toc21525510 \h </w:instrText>
      </w:r>
      <w:r>
        <w:rPr>
          <w:highlight w:val="none"/>
        </w:rPr>
        <w:fldChar w:fldCharType="separate"/>
      </w:r>
      <w:r>
        <w:rPr>
          <w:highlight w:val="none"/>
        </w:rPr>
        <w:t>73</w:t>
      </w:r>
      <w:r>
        <w:rPr>
          <w:highlight w:val="none"/>
        </w:rPr>
        <w:fldChar w:fldCharType="end"/>
      </w:r>
      <w:r>
        <w:rPr>
          <w:highlight w:val="none"/>
        </w:rPr>
        <w:fldChar w:fldCharType="end"/>
      </w:r>
    </w:p>
    <w:p>
      <w:pPr>
        <w:pStyle w:val="26"/>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"_Toc21525511" </w:instrText>
      </w:r>
      <w:r>
        <w:rPr>
          <w:highlight w:val="none"/>
        </w:rPr>
        <w:fldChar w:fldCharType="separate"/>
      </w:r>
      <w:r>
        <w:rPr>
          <w:rStyle w:val="45"/>
          <w:highlight w:val="none"/>
        </w:rPr>
        <w:t>第三章  合同条款</w:t>
      </w:r>
      <w:r>
        <w:rPr>
          <w:highlight w:val="none"/>
        </w:rPr>
        <w:tab/>
      </w:r>
      <w:r>
        <w:rPr>
          <w:highlight w:val="none"/>
        </w:rPr>
        <w:fldChar w:fldCharType="begin"/>
      </w:r>
      <w:r>
        <w:rPr>
          <w:highlight w:val="none"/>
        </w:rPr>
        <w:instrText xml:space="preserve"> PAGEREF _Toc21525511 \h </w:instrText>
      </w:r>
      <w:r>
        <w:rPr>
          <w:highlight w:val="none"/>
        </w:rPr>
        <w:fldChar w:fldCharType="separate"/>
      </w:r>
      <w:r>
        <w:rPr>
          <w:highlight w:val="none"/>
        </w:rPr>
        <w:t>93</w:t>
      </w:r>
      <w:r>
        <w:rPr>
          <w:highlight w:val="none"/>
        </w:rPr>
        <w:fldChar w:fldCharType="end"/>
      </w:r>
      <w:r>
        <w:rPr>
          <w:highlight w:val="none"/>
        </w:rPr>
        <w:fldChar w:fldCharType="end"/>
      </w:r>
    </w:p>
    <w:p>
      <w:pPr>
        <w:pStyle w:val="26"/>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"_Toc21525512" </w:instrText>
      </w:r>
      <w:r>
        <w:rPr>
          <w:highlight w:val="none"/>
        </w:rPr>
        <w:fldChar w:fldCharType="separate"/>
      </w:r>
      <w:r>
        <w:rPr>
          <w:rStyle w:val="45"/>
          <w:highlight w:val="none"/>
        </w:rPr>
        <w:t>第四章  投标文件格式</w:t>
      </w:r>
      <w:r>
        <w:rPr>
          <w:highlight w:val="none"/>
        </w:rPr>
        <w:tab/>
      </w:r>
      <w:r>
        <w:rPr>
          <w:highlight w:val="none"/>
        </w:rPr>
        <w:fldChar w:fldCharType="begin"/>
      </w:r>
      <w:r>
        <w:rPr>
          <w:highlight w:val="none"/>
        </w:rPr>
        <w:instrText xml:space="preserve"> PAGEREF _Toc21525512 \h </w:instrText>
      </w:r>
      <w:r>
        <w:rPr>
          <w:highlight w:val="none"/>
        </w:rPr>
        <w:fldChar w:fldCharType="separate"/>
      </w:r>
      <w:r>
        <w:rPr>
          <w:highlight w:val="none"/>
        </w:rPr>
        <w:t>94</w:t>
      </w:r>
      <w:r>
        <w:rPr>
          <w:highlight w:val="none"/>
        </w:rPr>
        <w:fldChar w:fldCharType="end"/>
      </w:r>
      <w:r>
        <w:rPr>
          <w:highlight w:val="none"/>
        </w:rPr>
        <w:fldChar w:fldCharType="end"/>
      </w:r>
    </w:p>
    <w:p>
      <w:pPr>
        <w:pStyle w:val="26"/>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"_Toc21525513" </w:instrText>
      </w:r>
      <w:r>
        <w:rPr>
          <w:highlight w:val="none"/>
        </w:rPr>
        <w:fldChar w:fldCharType="separate"/>
      </w:r>
      <w:r>
        <w:rPr>
          <w:rStyle w:val="45"/>
          <w:highlight w:val="none"/>
        </w:rPr>
        <w:t>第五章  技术条件（工程建设标准）</w:t>
      </w:r>
      <w:r>
        <w:rPr>
          <w:highlight w:val="none"/>
        </w:rPr>
        <w:tab/>
      </w:r>
      <w:r>
        <w:rPr>
          <w:highlight w:val="none"/>
        </w:rPr>
        <w:fldChar w:fldCharType="begin"/>
      </w:r>
      <w:r>
        <w:rPr>
          <w:highlight w:val="none"/>
        </w:rPr>
        <w:instrText xml:space="preserve"> PAGEREF _Toc21525513 \h </w:instrText>
      </w:r>
      <w:r>
        <w:rPr>
          <w:highlight w:val="none"/>
        </w:rPr>
        <w:fldChar w:fldCharType="separate"/>
      </w:r>
      <w:r>
        <w:rPr>
          <w:highlight w:val="none"/>
        </w:rPr>
        <w:t>104</w:t>
      </w:r>
      <w:r>
        <w:rPr>
          <w:highlight w:val="none"/>
        </w:rPr>
        <w:fldChar w:fldCharType="end"/>
      </w:r>
      <w:r>
        <w:rPr>
          <w:highlight w:val="none"/>
        </w:rPr>
        <w:fldChar w:fldCharType="end"/>
      </w:r>
    </w:p>
    <w:p>
      <w:pPr>
        <w:pStyle w:val="26"/>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"_Toc21525514" </w:instrText>
      </w:r>
      <w:r>
        <w:rPr>
          <w:highlight w:val="none"/>
        </w:rPr>
        <w:fldChar w:fldCharType="separate"/>
      </w:r>
      <w:r>
        <w:rPr>
          <w:rStyle w:val="45"/>
          <w:highlight w:val="none"/>
        </w:rPr>
        <w:t>第六章  图纸及勘察资料</w:t>
      </w:r>
      <w:r>
        <w:rPr>
          <w:highlight w:val="none"/>
        </w:rPr>
        <w:tab/>
      </w:r>
      <w:r>
        <w:rPr>
          <w:highlight w:val="none"/>
        </w:rPr>
        <w:fldChar w:fldCharType="begin"/>
      </w:r>
      <w:r>
        <w:rPr>
          <w:highlight w:val="none"/>
        </w:rPr>
        <w:instrText xml:space="preserve"> PAGEREF _Toc21525514 \h </w:instrText>
      </w:r>
      <w:r>
        <w:rPr>
          <w:highlight w:val="none"/>
        </w:rPr>
        <w:fldChar w:fldCharType="separate"/>
      </w:r>
      <w:r>
        <w:rPr>
          <w:highlight w:val="none"/>
        </w:rPr>
        <w:t>105</w:t>
      </w:r>
      <w:r>
        <w:rPr>
          <w:highlight w:val="none"/>
        </w:rPr>
        <w:fldChar w:fldCharType="end"/>
      </w:r>
      <w:r>
        <w:rPr>
          <w:highlight w:val="none"/>
        </w:rPr>
        <w:fldChar w:fldCharType="end"/>
      </w:r>
    </w:p>
    <w:p>
      <w:pPr>
        <w:pStyle w:val="26"/>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"_Toc21525515" </w:instrText>
      </w:r>
      <w:r>
        <w:rPr>
          <w:highlight w:val="none"/>
        </w:rPr>
        <w:fldChar w:fldCharType="separate"/>
      </w:r>
      <w:r>
        <w:rPr>
          <w:rStyle w:val="45"/>
          <w:highlight w:val="none"/>
        </w:rPr>
        <w:t>第七章  工程量清单</w:t>
      </w:r>
      <w:r>
        <w:rPr>
          <w:highlight w:val="none"/>
        </w:rPr>
        <w:tab/>
      </w:r>
      <w:r>
        <w:rPr>
          <w:highlight w:val="none"/>
        </w:rPr>
        <w:fldChar w:fldCharType="begin"/>
      </w:r>
      <w:r>
        <w:rPr>
          <w:highlight w:val="none"/>
        </w:rPr>
        <w:instrText xml:space="preserve"> PAGEREF _Toc21525515 \h </w:instrText>
      </w:r>
      <w:r>
        <w:rPr>
          <w:highlight w:val="none"/>
        </w:rPr>
        <w:fldChar w:fldCharType="separate"/>
      </w:r>
      <w:r>
        <w:rPr>
          <w:highlight w:val="none"/>
        </w:rPr>
        <w:t>106</w:t>
      </w:r>
      <w:r>
        <w:rPr>
          <w:highlight w:val="none"/>
        </w:rPr>
        <w:fldChar w:fldCharType="end"/>
      </w:r>
      <w:r>
        <w:rPr>
          <w:highlight w:val="none"/>
        </w:rPr>
        <w:fldChar w:fldCharType="end"/>
      </w:r>
    </w:p>
    <w:p>
      <w:pPr>
        <w:pStyle w:val="26"/>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"_Toc21525516" </w:instrText>
      </w:r>
      <w:r>
        <w:rPr>
          <w:highlight w:val="none"/>
        </w:rPr>
        <w:fldChar w:fldCharType="separate"/>
      </w:r>
      <w:r>
        <w:rPr>
          <w:rStyle w:val="45"/>
          <w:highlight w:val="none"/>
        </w:rPr>
        <w:t>第八章  最高投标限价</w:t>
      </w:r>
      <w:r>
        <w:rPr>
          <w:highlight w:val="none"/>
        </w:rPr>
        <w:tab/>
      </w:r>
      <w:r>
        <w:rPr>
          <w:highlight w:val="none"/>
        </w:rPr>
        <w:fldChar w:fldCharType="begin"/>
      </w:r>
      <w:r>
        <w:rPr>
          <w:highlight w:val="none"/>
        </w:rPr>
        <w:instrText xml:space="preserve"> PAGEREF _Toc21525516 \h </w:instrText>
      </w:r>
      <w:r>
        <w:rPr>
          <w:highlight w:val="none"/>
        </w:rPr>
        <w:fldChar w:fldCharType="separate"/>
      </w:r>
      <w:r>
        <w:rPr>
          <w:highlight w:val="none"/>
        </w:rPr>
        <w:t>107</w:t>
      </w:r>
      <w:r>
        <w:rPr>
          <w:highlight w:val="none"/>
        </w:rPr>
        <w:fldChar w:fldCharType="end"/>
      </w:r>
      <w:r>
        <w:rPr>
          <w:highlight w:val="none"/>
        </w:rPr>
        <w:fldChar w:fldCharType="end"/>
      </w:r>
    </w:p>
    <w:p>
      <w:pPr>
        <w:pStyle w:val="3"/>
        <w:rPr>
          <w:rFonts w:ascii="宋体" w:hAnsi="宋体" w:cs="宋体"/>
          <w:bCs/>
          <w:sz w:val="32"/>
          <w:szCs w:val="32"/>
          <w:highlight w:val="none"/>
        </w:rPr>
      </w:pPr>
      <w:r>
        <w:rPr>
          <w:highlight w:val="none"/>
        </w:rPr>
        <w:fldChar w:fldCharType="end"/>
      </w:r>
      <w:bookmarkStart w:id="0" w:name="_Toc2272545"/>
      <w:bookmarkStart w:id="1" w:name="_Toc21525489"/>
      <w:r>
        <w:rPr>
          <w:rFonts w:hint="eastAsia" w:ascii="宋体" w:hAnsi="宋体" w:cs="宋体"/>
          <w:bCs/>
          <w:sz w:val="32"/>
          <w:szCs w:val="32"/>
          <w:highlight w:val="none"/>
        </w:rPr>
        <w:t>第一章  投标须知</w:t>
      </w:r>
      <w:bookmarkEnd w:id="0"/>
      <w:bookmarkEnd w:id="1"/>
    </w:p>
    <w:p>
      <w:pPr>
        <w:pStyle w:val="5"/>
        <w:rPr>
          <w:color w:val="auto"/>
          <w:highlight w:val="none"/>
        </w:rPr>
      </w:pPr>
      <w:bookmarkStart w:id="2" w:name="_Toc2272546"/>
      <w:bookmarkStart w:id="3" w:name="_Toc21525490"/>
      <w:r>
        <w:rPr>
          <w:rFonts w:hint="eastAsia"/>
          <w:color w:val="auto"/>
          <w:highlight w:val="none"/>
        </w:rPr>
        <w:t>一、投标须知前附表</w:t>
      </w:r>
      <w:bookmarkEnd w:id="2"/>
      <w:bookmarkEnd w:id="3"/>
    </w:p>
    <w:p>
      <w:pPr>
        <w:pStyle w:val="8"/>
        <w:spacing w:line="360" w:lineRule="auto"/>
        <w:ind w:firstLine="0"/>
        <w:rPr>
          <w:rFonts w:ascii="宋体" w:hAnsi="宋体"/>
          <w:b/>
          <w:sz w:val="24"/>
          <w:szCs w:val="24"/>
          <w:highlight w:val="none"/>
        </w:rPr>
      </w:pPr>
      <w:r>
        <w:rPr>
          <w:rFonts w:hint="eastAsia" w:ascii="宋体" w:hAnsi="宋体"/>
          <w:b/>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8"/>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r>
              <w:rPr>
                <w:rFonts w:hint="eastAsia" w:ascii="宋体" w:hAnsi="宋体"/>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19"/>
              <w:ind w:firstLine="458"/>
              <w:jc w:val="center"/>
              <w:rPr>
                <w:rFonts w:ascii="宋体" w:hAnsi="宋体"/>
                <w:szCs w:val="21"/>
                <w:highlight w:val="none"/>
              </w:rPr>
            </w:pPr>
            <w:r>
              <w:rPr>
                <w:rFonts w:hint="eastAsia" w:ascii="宋体" w:hAnsi="宋体"/>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招标人（即发包人）：</w:t>
            </w:r>
            <w:r>
              <w:rPr>
                <w:rFonts w:hint="eastAsia" w:ascii="宋体" w:hAnsi="宋体"/>
                <w:color w:val="000000"/>
                <w:szCs w:val="21"/>
                <w:highlight w:val="none"/>
                <w:u w:val="single"/>
              </w:rPr>
              <w:t>广州松瓴企业管理有限公司</w:t>
            </w:r>
          </w:p>
          <w:p>
            <w:pPr>
              <w:rPr>
                <w:rFonts w:ascii="宋体" w:hAnsi="宋体"/>
                <w:color w:val="000000"/>
                <w:szCs w:val="21"/>
                <w:highlight w:val="none"/>
              </w:rPr>
            </w:pPr>
            <w:r>
              <w:rPr>
                <w:rFonts w:hint="eastAsia" w:ascii="宋体" w:hAnsi="宋体"/>
                <w:color w:val="000000"/>
                <w:szCs w:val="21"/>
                <w:highlight w:val="none"/>
              </w:rPr>
              <w:t>项目建设管理单位：</w:t>
            </w:r>
            <w:r>
              <w:rPr>
                <w:rFonts w:hint="eastAsia" w:ascii="宋体" w:hAnsi="宋体"/>
                <w:color w:val="000000"/>
                <w:szCs w:val="21"/>
                <w:highlight w:val="none"/>
                <w:u w:val="single"/>
              </w:rPr>
              <w:t>广州协安建设工程有限公司</w:t>
            </w:r>
          </w:p>
          <w:p>
            <w:pPr>
              <w:rPr>
                <w:rFonts w:ascii="宋体" w:hAnsi="宋体"/>
                <w:color w:val="000000"/>
                <w:szCs w:val="21"/>
                <w:highlight w:val="none"/>
              </w:rPr>
            </w:pPr>
            <w:r>
              <w:rPr>
                <w:rFonts w:hint="eastAsia" w:ascii="宋体" w:hAnsi="宋体"/>
                <w:color w:val="000000"/>
                <w:szCs w:val="21"/>
                <w:highlight w:val="none"/>
              </w:rPr>
              <w:t>招标代理：</w:t>
            </w:r>
            <w:r>
              <w:rPr>
                <w:rFonts w:hint="eastAsia" w:ascii="宋体" w:hAnsi="宋体"/>
                <w:color w:val="000000"/>
                <w:szCs w:val="21"/>
                <w:highlight w:val="none"/>
                <w:u w:val="single"/>
              </w:rPr>
              <w:t>广州宏达工程顾问集团有限公司</w:t>
            </w:r>
          </w:p>
          <w:p>
            <w:pPr>
              <w:rPr>
                <w:rFonts w:ascii="宋体" w:hAnsi="宋体"/>
                <w:color w:val="000000"/>
                <w:szCs w:val="21"/>
                <w:highlight w:val="none"/>
              </w:rPr>
            </w:pPr>
            <w:r>
              <w:rPr>
                <w:rFonts w:hint="eastAsia" w:ascii="宋体" w:hAnsi="宋体"/>
                <w:color w:val="000000"/>
                <w:szCs w:val="21"/>
                <w:highlight w:val="none"/>
              </w:rPr>
              <w:t>监理单位：</w:t>
            </w:r>
            <w:r>
              <w:rPr>
                <w:rFonts w:hint="eastAsia" w:ascii="宋体" w:hAnsi="宋体"/>
                <w:color w:val="000000"/>
                <w:szCs w:val="21"/>
                <w:highlight w:val="none"/>
                <w:u w:val="single"/>
              </w:rPr>
              <w:t>广州市市政工程监理有限公司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凯得雪松智汇中心项目连廊施工总承包工程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 xml:space="preserve">科学城开创大道以南，荔红二路之间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cs="宋体"/>
                <w:kern w:val="0"/>
                <w:szCs w:val="21"/>
                <w:highlight w:val="none"/>
                <w:u w:val="single"/>
                <w:lang w:val="zh-CN"/>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包工、包料、包工期、包质量、包安全、包文明施工、包验收、包保修、综合单价包干，措施项目费（除施工围蔽费用外）及其他措施项目费包干，施工围蔽清单综合单价包干，工程量按实计量。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cs="宋体"/>
                <w:szCs w:val="21"/>
                <w:highlight w:val="none"/>
                <w:u w:val="single"/>
              </w:rPr>
              <w:t>工程质量验收以国家现行的质量验收标准或行业现行的质量验收标准为依据，达到合格标准。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cs="宋体"/>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u w:val="single"/>
              </w:rPr>
              <w:t>暂定2024</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5</w:t>
            </w:r>
            <w:r>
              <w:rPr>
                <w:rFonts w:hint="eastAsia" w:ascii="宋体" w:hAnsi="宋体"/>
                <w:szCs w:val="21"/>
                <w:highlight w:val="none"/>
              </w:rPr>
              <w:t>月</w:t>
            </w:r>
            <w:r>
              <w:rPr>
                <w:rFonts w:hint="eastAsia" w:ascii="宋体" w:hAnsi="宋体"/>
                <w:szCs w:val="21"/>
                <w:highlight w:val="none"/>
                <w:u w:val="single"/>
              </w:rPr>
              <w:t>15</w:t>
            </w:r>
            <w:r>
              <w:rPr>
                <w:rFonts w:hint="eastAsia" w:ascii="宋体" w:hAnsi="宋体"/>
                <w:szCs w:val="21"/>
                <w:highlight w:val="none"/>
              </w:rPr>
              <w:t>日开工，暂定2024年11月14日竣工；施工总期：暂定</w:t>
            </w:r>
            <w:r>
              <w:rPr>
                <w:rFonts w:hint="eastAsia" w:ascii="宋体" w:hAnsi="宋体"/>
                <w:szCs w:val="21"/>
                <w:highlight w:val="none"/>
                <w:u w:val="single"/>
              </w:rPr>
              <w:t>180</w:t>
            </w:r>
            <w:r>
              <w:rPr>
                <w:rFonts w:hint="eastAsia" w:ascii="宋体" w:hAnsi="宋体"/>
                <w:szCs w:val="21"/>
                <w:highlight w:val="none"/>
              </w:rPr>
              <w:t>日历天。</w:t>
            </w:r>
            <w:r>
              <w:rPr>
                <w:rFonts w:hint="eastAsia" w:ascii="宋体" w:hAnsi="宋体" w:cs="宋体"/>
                <w:szCs w:val="21"/>
                <w:highlight w:val="none"/>
                <w:u w:val="single"/>
              </w:rPr>
              <w:t>具体开工时间以开工令为准。</w:t>
            </w:r>
            <w:r>
              <w:rPr>
                <w:rFonts w:ascii="宋体" w:hAnsi="宋体"/>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cs="宋体"/>
                <w:szCs w:val="21"/>
                <w:highlight w:val="none"/>
                <w:u w:val="single"/>
              </w:rPr>
              <w:t>企业自筹资金，资金已落实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工程量清单计价</w:t>
            </w:r>
            <w:r>
              <w:rPr>
                <w:rFonts w:hint="eastAsia" w:ascii="宋体" w:hAnsi="宋体"/>
                <w:szCs w:val="21"/>
                <w:highlight w:val="none"/>
                <w:u w:val="single"/>
              </w:rPr>
              <w:t>，按国家、省有关计价规范执行</w:t>
            </w:r>
            <w:r>
              <w:rPr>
                <w:rFonts w:hint="eastAsia" w:ascii="宋体" w:hAnsi="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ascii="宋体" w:hAnsi="宋体"/>
                <w:szCs w:val="21"/>
                <w:highlight w:val="none"/>
                <w:u w:val="single"/>
              </w:rPr>
              <w:t xml:space="preserve"> </w:t>
            </w:r>
            <w:r>
              <w:rPr>
                <w:rFonts w:hint="eastAsia" w:ascii="宋体" w:hAnsi="宋体"/>
                <w:szCs w:val="21"/>
                <w:highlight w:val="none"/>
                <w:u w:val="single"/>
              </w:rPr>
              <w:t>90</w:t>
            </w:r>
            <w:r>
              <w:rPr>
                <w:rFonts w:ascii="宋体" w:hAnsi="宋体"/>
                <w:szCs w:val="21"/>
                <w:highlight w:val="none"/>
                <w:u w:val="single"/>
              </w:rPr>
              <w:t xml:space="preserve"> </w:t>
            </w:r>
            <w:r>
              <w:rPr>
                <w:rFonts w:hint="eastAsia" w:ascii="宋体" w:hAnsi="宋体"/>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eastAsia="宋体" w:cs="宋体"/>
                <w:bCs/>
                <w:color w:val="000000"/>
                <w:kern w:val="0"/>
                <w:sz w:val="21"/>
                <w:szCs w:val="21"/>
                <w:highlight w:val="none"/>
              </w:rPr>
            </w:pPr>
            <w:r>
              <w:rPr>
                <w:rFonts w:hint="eastAsia" w:ascii="宋体" w:hAnsi="宋体" w:eastAsia="宋体" w:cs="宋体"/>
                <w:b/>
                <w:color w:val="000000"/>
                <w:kern w:val="0"/>
                <w:sz w:val="21"/>
                <w:szCs w:val="21"/>
                <w:highlight w:val="none"/>
              </w:rPr>
              <w:t>方式二：本项目收取投标保证金</w:t>
            </w:r>
            <w:r>
              <w:rPr>
                <w:rFonts w:ascii="宋体" w:hAnsi="宋体" w:eastAsia="宋体" w:cs="宋体"/>
                <w:bCs/>
                <w:color w:val="000000"/>
                <w:kern w:val="0"/>
                <w:sz w:val="21"/>
                <w:szCs w:val="21"/>
                <w:highlight w:val="none"/>
                <w:u w:val="single"/>
              </w:rPr>
              <w:t>10</w:t>
            </w:r>
            <w:r>
              <w:rPr>
                <w:rFonts w:hint="eastAsia" w:ascii="宋体" w:hAnsi="宋体" w:eastAsia="宋体" w:cs="宋体"/>
                <w:bCs/>
                <w:color w:val="000000"/>
                <w:kern w:val="0"/>
                <w:sz w:val="21"/>
                <w:szCs w:val="21"/>
                <w:highlight w:val="none"/>
              </w:rPr>
              <w:t>万元人民币，缴纳时间在</w:t>
            </w:r>
            <w:r>
              <w:rPr>
                <w:rFonts w:hint="eastAsia" w:ascii="宋体" w:hAnsi="宋体" w:eastAsia="宋体" w:cs="宋体"/>
                <w:bCs/>
                <w:color w:val="000000"/>
                <w:kern w:val="0"/>
                <w:sz w:val="21"/>
                <w:szCs w:val="21"/>
                <w:highlight w:val="none"/>
                <w:u w:val="single"/>
              </w:rPr>
              <w:t>投标文件截止时间前</w:t>
            </w:r>
            <w:r>
              <w:rPr>
                <w:rFonts w:hint="eastAsia" w:ascii="宋体" w:hAnsi="宋体" w:eastAsia="宋体" w:cs="宋体"/>
                <w:bCs/>
                <w:color w:val="000000"/>
                <w:kern w:val="0"/>
                <w:sz w:val="21"/>
                <w:szCs w:val="21"/>
                <w:highlight w:val="none"/>
              </w:rPr>
              <w:t>。</w:t>
            </w:r>
          </w:p>
          <w:p>
            <w:pPr>
              <w:adjustRightInd w:val="0"/>
              <w:snapToGrid w:val="0"/>
              <w:spacing w:before="50"/>
              <w:rPr>
                <w:rFonts w:ascii="宋体" w:hAnsi="宋体" w:cs="宋体"/>
                <w:highlight w:val="none"/>
              </w:rPr>
            </w:pPr>
            <w:r>
              <w:rPr>
                <w:rFonts w:hint="eastAsia" w:ascii="宋体" w:hAnsi="宋体" w:cs="宋体"/>
                <w:szCs w:val="21"/>
                <w:highlight w:val="none"/>
              </w:rPr>
              <w:t>一、投标保证金的形式：</w:t>
            </w:r>
            <w:r>
              <w:rPr>
                <w:rFonts w:hint="eastAsia" w:ascii="宋体" w:hAnsi="宋体" w:cs="宋体"/>
                <w:highlight w:val="none"/>
              </w:rPr>
              <w:t xml:space="preserve">投标保证金可采用现金、银行保函、保证保险、专业工程担保公司担保等形式。 </w:t>
            </w:r>
          </w:p>
          <w:p>
            <w:pPr>
              <w:rPr>
                <w:rFonts w:ascii="宋体" w:hAnsi="宋体" w:cs="宋体"/>
                <w:szCs w:val="21"/>
                <w:highlight w:val="none"/>
              </w:rPr>
            </w:pPr>
            <w:r>
              <w:rPr>
                <w:rFonts w:hint="eastAsia" w:ascii="宋体" w:hAnsi="宋体" w:cs="宋体"/>
                <w:szCs w:val="21"/>
                <w:highlight w:val="none"/>
              </w:rPr>
              <w:t>二、投标保证金的提交方式：</w:t>
            </w:r>
          </w:p>
          <w:p>
            <w:pPr>
              <w:pStyle w:val="2"/>
              <w:rPr>
                <w:highlight w:val="none"/>
              </w:rPr>
            </w:pPr>
            <w:r>
              <w:rPr>
                <w:rFonts w:hint="eastAsia" w:hAnsi="宋体" w:cs="宋体"/>
                <w:szCs w:val="21"/>
                <w:highlight w:val="none"/>
              </w:rPr>
              <w:t>（1）如采用现金或支票形式提交的，投标保证金从投标人基本账户递交，由广州公共资源交易中心代收。具体操作要求详见广州公共资源交易中心有关指引，递交事宜请自行咨询广州公共资源交易中心(咨询电话：020-28866000)；请各投标人在投标文件递交截止时间前按上述金额递交至广州公共资源交易中心，到账情况以开标时广州公共资源交易中心数据库查询的信息为准。</w:t>
            </w:r>
          </w:p>
          <w:p>
            <w:pPr>
              <w:rPr>
                <w:rFonts w:ascii="宋体" w:hAnsi="宋体" w:cs="宋体"/>
                <w:highlight w:val="none"/>
              </w:rPr>
            </w:pPr>
            <w:r>
              <w:rPr>
                <w:rFonts w:hint="eastAsia" w:ascii="宋体" w:hAnsi="宋体" w:cs="宋体"/>
                <w:szCs w:val="21"/>
                <w:highlight w:val="none"/>
              </w:rPr>
              <w:t>（2）如采用投标保函、投标保证保险形式提交投标保证金的，投标保函或投标保证保险或</w:t>
            </w:r>
            <w:r>
              <w:rPr>
                <w:rFonts w:hint="eastAsia" w:ascii="宋体" w:hAnsi="宋体" w:cs="宋体"/>
                <w:highlight w:val="none"/>
              </w:rPr>
              <w:t>专业工程担保公司</w:t>
            </w:r>
            <w:r>
              <w:rPr>
                <w:rFonts w:hint="eastAsia" w:ascii="宋体" w:hAnsi="宋体" w:cs="宋体"/>
                <w:szCs w:val="21"/>
                <w:highlight w:val="none"/>
              </w:rPr>
              <w:t>须开具给招标人（保险受益人须为招标人）。开标前可不提交纸质原件，但投标人应在投标文件中提交投标保函或投标保险的扫描件并加盖投标人电子印章，完成评标后，由中标候选人在中标候选人公示前向招标代理单位提交纸质原件并在网上公示。如投标人选择在开标前提交纸质原件的，可在投标截止时间前15分钟单独密封递交至开标室。</w:t>
            </w:r>
            <w:r>
              <w:rPr>
                <w:rFonts w:hint="eastAsia" w:ascii="宋体" w:hAnsi="宋体" w:cs="宋体"/>
                <w:highlight w:val="none"/>
              </w:rPr>
              <w:t>若以交易系统支持的电子保函或电子投标保证保险递交的，到账情况以开标时广州公共资源交易中心数据库查询信息为准。</w:t>
            </w:r>
          </w:p>
          <w:p>
            <w:pPr>
              <w:rPr>
                <w:rFonts w:ascii="宋体" w:hAnsi="宋体" w:cs="宋体"/>
                <w:szCs w:val="21"/>
                <w:highlight w:val="none"/>
              </w:rPr>
            </w:pPr>
            <w:r>
              <w:rPr>
                <w:rFonts w:hint="eastAsia" w:ascii="宋体" w:hAnsi="宋体" w:cs="宋体"/>
                <w:szCs w:val="21"/>
                <w:highlight w:val="none"/>
              </w:rPr>
              <w:t>（3）采用电子形式的保函、担保或保证保险提交投标保证金的，具体操作要求详见广州公共资源交易中心有关指引，递交事宜请自行咨询广州公共资源交易中心。</w:t>
            </w:r>
          </w:p>
          <w:p>
            <w:pPr>
              <w:ind w:firstLine="420" w:firstLineChars="200"/>
              <w:rPr>
                <w:highlight w:val="none"/>
              </w:rPr>
            </w:pPr>
            <w:r>
              <w:rPr>
                <w:rFonts w:hint="eastAsia" w:ascii="宋体" w:hAnsi="宋体" w:cs="宋体"/>
                <w:szCs w:val="21"/>
                <w:highlight w:val="none"/>
              </w:rPr>
              <w:t>（4）其他投标保证金相关事宜详见招标文件第16款</w:t>
            </w:r>
            <w:r>
              <w:rPr>
                <w:rStyle w:val="46"/>
                <w:rFonts w:hint="eastAsia" w:ascii="宋体" w:hAnsi="宋体"/>
                <w:kern w:val="0"/>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19"/>
              <w:rPr>
                <w:rFonts w:ascii="宋体" w:hAnsi="宋体"/>
                <w:szCs w:val="21"/>
                <w:highlight w:val="none"/>
                <w:u w:val="single"/>
              </w:rPr>
            </w:pPr>
            <w:r>
              <w:rPr>
                <w:rFonts w:hint="eastAsia" w:ascii="宋体" w:hAnsi="宋体"/>
                <w:szCs w:val="21"/>
                <w:highlight w:val="none"/>
                <w:u w:val="single"/>
              </w:rPr>
              <w:t>时间：自招标公告发布之日起具备现场踏勘条件；</w:t>
            </w:r>
          </w:p>
          <w:p>
            <w:pPr>
              <w:pStyle w:val="19"/>
              <w:rPr>
                <w:rFonts w:ascii="宋体" w:hAnsi="宋体"/>
                <w:szCs w:val="21"/>
                <w:highlight w:val="none"/>
              </w:rPr>
            </w:pPr>
            <w:r>
              <w:rPr>
                <w:rFonts w:hint="eastAsia" w:ascii="宋体" w:hAnsi="宋体"/>
                <w:szCs w:val="21"/>
                <w:highlight w:val="none"/>
                <w:u w:val="single"/>
              </w:rPr>
              <w:t>方式：招标人不集中组织，由投标人自行踏勘；投标人不进行踏勘的，视为已熟知现场条件，自行承担相关风险。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疑问提交时间：</w:t>
            </w:r>
            <w:r>
              <w:rPr>
                <w:rFonts w:hint="eastAsia" w:ascii="宋体" w:hAnsi="宋体" w:cs="宋体"/>
                <w:szCs w:val="21"/>
                <w:highlight w:val="none"/>
                <w:u w:val="single"/>
              </w:rPr>
              <w:t>在递交投标文件截止日期前18日</w:t>
            </w:r>
            <w:r>
              <w:rPr>
                <w:rFonts w:hint="eastAsia" w:ascii="宋体" w:hAnsi="宋体" w:cs="宋体"/>
                <w:szCs w:val="21"/>
                <w:highlight w:val="none"/>
              </w:rPr>
              <w:t>。</w:t>
            </w:r>
          </w:p>
          <w:p>
            <w:pPr>
              <w:rPr>
                <w:rFonts w:ascii="宋体" w:hAnsi="宋体"/>
                <w:color w:val="000000"/>
                <w:szCs w:val="21"/>
                <w:highlight w:val="none"/>
              </w:rPr>
            </w:pPr>
            <w:r>
              <w:rPr>
                <w:rFonts w:hint="eastAsia" w:ascii="宋体" w:hAnsi="宋体"/>
                <w:color w:val="000000"/>
                <w:szCs w:val="21"/>
                <w:highlight w:val="none"/>
              </w:rPr>
              <w:t>形式：投标人的疑问通过</w:t>
            </w:r>
            <w:r>
              <w:rPr>
                <w:rFonts w:hint="eastAsia" w:ascii="宋体" w:hAnsi="宋体"/>
                <w:szCs w:val="21"/>
                <w:highlight w:val="none"/>
                <w:u w:val="single"/>
              </w:rPr>
              <w:t>广州公共资源交易中心</w:t>
            </w:r>
            <w:r>
              <w:rPr>
                <w:rFonts w:hint="eastAsia" w:ascii="宋体" w:hAnsi="宋体"/>
                <w:color w:val="000000"/>
                <w:sz w:val="24"/>
                <w:szCs w:val="24"/>
                <w:highlight w:val="none"/>
              </w:rPr>
              <w:t>交易平台</w:t>
            </w:r>
            <w:r>
              <w:rPr>
                <w:rFonts w:hint="eastAsia" w:ascii="宋体" w:hAnsi="宋体"/>
                <w:color w:val="000000"/>
                <w:szCs w:val="21"/>
                <w:highlight w:val="none"/>
              </w:rPr>
              <w:t>提交。</w:t>
            </w:r>
          </w:p>
          <w:p>
            <w:pPr>
              <w:rPr>
                <w:rFonts w:ascii="宋体" w:hAnsi="宋体"/>
                <w:color w:val="000000"/>
                <w:szCs w:val="21"/>
                <w:highlight w:val="none"/>
              </w:rPr>
            </w:pPr>
            <w:r>
              <w:rPr>
                <w:rFonts w:hint="eastAsia" w:ascii="宋体" w:hAnsi="宋体"/>
                <w:color w:val="000000"/>
                <w:szCs w:val="21"/>
                <w:highlight w:val="none"/>
              </w:rPr>
              <w:t>具体要求：按照交易平台关于全流程电子化项目的相关指南进行操作，详见：</w:t>
            </w:r>
            <w:r>
              <w:rPr>
                <w:rFonts w:hint="eastAsia" w:ascii="宋体" w:hAnsi="宋体"/>
                <w:szCs w:val="21"/>
                <w:highlight w:val="none"/>
                <w:u w:val="single"/>
              </w:rPr>
              <w:t>广州公共资源交易中心网站。</w:t>
            </w:r>
            <w:r>
              <w:rPr>
                <w:rFonts w:hint="eastAsia" w:ascii="宋体" w:hAnsi="宋体"/>
                <w:color w:val="000000"/>
                <w:szCs w:val="21"/>
                <w:highlight w:val="none"/>
              </w:rPr>
              <w:t>提问一律不得署名。</w:t>
            </w:r>
          </w:p>
          <w:p>
            <w:pPr>
              <w:rPr>
                <w:rFonts w:ascii="宋体" w:hAnsi="宋体" w:cs="宋体"/>
                <w:szCs w:val="21"/>
                <w:highlight w:val="none"/>
                <w:u w:val="single"/>
              </w:rPr>
            </w:pPr>
            <w:r>
              <w:rPr>
                <w:rFonts w:hint="eastAsia" w:ascii="宋体" w:hAnsi="宋体" w:cs="宋体"/>
                <w:szCs w:val="21"/>
                <w:highlight w:val="none"/>
              </w:rPr>
              <w:t>网上答疑的操作指南为：</w:t>
            </w:r>
            <w:r>
              <w:rPr>
                <w:rFonts w:hint="eastAsia" w:ascii="宋体" w:hAnsi="宋体" w:cs="宋体"/>
                <w:szCs w:val="21"/>
                <w:highlight w:val="none"/>
                <w:u w:val="single"/>
              </w:rPr>
              <w:t>投标人登录广州公共资源交易中心数字交易平台→进入“我是投标人”页面→进入“招标答疑提问”页面→通过项目编号或名称找到所需的项目→在上述答疑时间内点击“答疑提问”→无记名或匿名提出问题。</w:t>
            </w:r>
          </w:p>
          <w:p>
            <w:pPr>
              <w:pStyle w:val="2"/>
              <w:rPr>
                <w:highlight w:val="none"/>
              </w:rPr>
            </w:pPr>
            <w:r>
              <w:rPr>
                <w:rFonts w:hint="eastAsia" w:hAnsi="宋体" w:cs="宋体"/>
                <w:szCs w:val="21"/>
                <w:highlight w:val="none"/>
              </w:rPr>
              <w:t>招标人澄清、修补或答疑期限：在递交投标文件截止日期前</w:t>
            </w:r>
            <w:r>
              <w:rPr>
                <w:rFonts w:hint="eastAsia" w:hAnsi="宋体" w:cs="宋体"/>
                <w:szCs w:val="21"/>
                <w:highlight w:val="none"/>
                <w:u w:val="single"/>
              </w:rPr>
              <w:t>15</w:t>
            </w:r>
            <w:r>
              <w:rPr>
                <w:rFonts w:hint="eastAsia" w:hAnsi="宋体" w:cs="宋体"/>
                <w:szCs w:val="21"/>
                <w:highlight w:val="none"/>
              </w:rPr>
              <w:t>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r>
              <w:rPr>
                <w:rFonts w:hint="eastAsia" w:ascii="宋体" w:hAnsi="宋体"/>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20</w:t>
            </w:r>
            <w:r>
              <w:rPr>
                <w:rFonts w:ascii="宋体" w:hAnsi="宋体"/>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000000"/>
                <w:szCs w:val="21"/>
                <w:highlight w:val="none"/>
              </w:rPr>
            </w:pP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r>
              <w:rPr>
                <w:rFonts w:ascii="宋体" w:hAnsi="宋体"/>
                <w:color w:val="000000"/>
                <w:szCs w:val="21"/>
                <w:highlight w:val="none"/>
                <w:u w:val="single"/>
              </w:rPr>
              <w:t xml:space="preserve">   </w:t>
            </w:r>
            <w:r>
              <w:rPr>
                <w:rFonts w:hint="eastAsia" w:ascii="宋体" w:hAnsi="宋体"/>
                <w:color w:val="000000"/>
                <w:szCs w:val="21"/>
                <w:highlight w:val="none"/>
              </w:rPr>
              <w:t>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eastAsia="宋体" w:cs="宋体"/>
                <w:bCs/>
                <w:kern w:val="0"/>
                <w:sz w:val="21"/>
                <w:szCs w:val="21"/>
                <w:highlight w:val="none"/>
              </w:rPr>
            </w:pPr>
            <w:r>
              <w:rPr>
                <w:rFonts w:hint="eastAsia" w:ascii="宋体" w:hAnsi="宋体" w:eastAsia="宋体" w:cs="宋体"/>
                <w:bCs/>
                <w:kern w:val="0"/>
                <w:sz w:val="21"/>
                <w:szCs w:val="21"/>
                <w:highlight w:val="none"/>
              </w:rPr>
              <w:t>（技术标和经济标同时开标）</w:t>
            </w:r>
          </w:p>
          <w:p>
            <w:pPr>
              <w:widowControl/>
              <w:spacing w:line="360" w:lineRule="auto"/>
              <w:jc w:val="left"/>
              <w:rPr>
                <w:rFonts w:ascii="宋体" w:hAnsi="宋体" w:eastAsia="宋体" w:cs="宋体"/>
                <w:bCs/>
                <w:kern w:val="0"/>
                <w:sz w:val="21"/>
                <w:szCs w:val="21"/>
                <w:highlight w:val="none"/>
              </w:rPr>
            </w:pPr>
            <w:r>
              <w:rPr>
                <w:rFonts w:ascii="宋体" w:hAnsi="宋体" w:eastAsia="宋体" w:cs="宋体"/>
                <w:bCs/>
                <w:kern w:val="0"/>
                <w:sz w:val="21"/>
                <w:szCs w:val="21"/>
                <w:highlight w:val="none"/>
              </w:rPr>
              <w:t>1、开标开始时间：</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年</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月</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日</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时</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分（与投标截止时间为同一时间），地点：</w:t>
            </w:r>
            <w:r>
              <w:rPr>
                <w:rFonts w:hint="eastAsia" w:ascii="宋体" w:hAnsi="宋体" w:eastAsia="宋体" w:cs="宋体"/>
                <w:bCs/>
                <w:kern w:val="0"/>
                <w:sz w:val="21"/>
                <w:szCs w:val="21"/>
                <w:highlight w:val="none"/>
                <w:u w:val="single"/>
              </w:rPr>
              <w:t>广州公共资源交易中心黄埔交易部</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u w:val="single"/>
              </w:rPr>
              <w:t>开标室</w:t>
            </w:r>
            <w:r>
              <w:rPr>
                <w:rFonts w:hint="eastAsia" w:ascii="宋体" w:hAnsi="宋体" w:eastAsia="宋体" w:cs="宋体"/>
                <w:bCs/>
                <w:kern w:val="0"/>
                <w:sz w:val="21"/>
                <w:szCs w:val="21"/>
                <w:highlight w:val="none"/>
              </w:rPr>
              <w:t>。</w:t>
            </w:r>
            <w:r>
              <w:rPr>
                <w:rFonts w:hint="eastAsia" w:ascii="宋体" w:hAnsi="宋体" w:eastAsia="宋体" w:cs="宋体"/>
                <w:b/>
                <w:bCs/>
                <w:kern w:val="0"/>
                <w:sz w:val="21"/>
                <w:szCs w:val="21"/>
                <w:highlight w:val="none"/>
              </w:rPr>
              <w:t>投标人也可选择参加在线开标，具体按照交易平台相关指南进行操作。详见：</w:t>
            </w:r>
            <w:r>
              <w:rPr>
                <w:rFonts w:hint="eastAsia" w:ascii="宋体" w:hAnsi="宋体" w:cs="宋体"/>
                <w:b/>
                <w:bCs/>
                <w:kern w:val="0"/>
                <w:szCs w:val="21"/>
                <w:highlight w:val="none"/>
                <w:u w:val="single"/>
              </w:rPr>
              <w:t>《房屋建筑和市政基础设施工程全流程电子化项目专章》</w:t>
            </w:r>
            <w:r>
              <w:rPr>
                <w:rFonts w:hint="eastAsia" w:ascii="宋体" w:hAnsi="宋体" w:cs="宋体"/>
                <w:b/>
                <w:bCs/>
                <w:kern w:val="0"/>
                <w:szCs w:val="21"/>
                <w:highlight w:val="none"/>
              </w:rPr>
              <w:t>。</w:t>
            </w:r>
          </w:p>
          <w:p>
            <w:pPr>
              <w:widowControl/>
              <w:jc w:val="left"/>
              <w:rPr>
                <w:rFonts w:ascii="宋体" w:hAnsi="宋体" w:eastAsia="宋体" w:cs="宋体"/>
                <w:bCs/>
                <w:kern w:val="0"/>
                <w:sz w:val="21"/>
                <w:szCs w:val="21"/>
                <w:highlight w:val="none"/>
              </w:rPr>
            </w:pPr>
            <w:r>
              <w:rPr>
                <w:rFonts w:hint="eastAsia" w:ascii="宋体" w:hAnsi="宋体" w:eastAsia="宋体" w:cs="宋体"/>
                <w:bCs/>
                <w:kern w:val="0"/>
                <w:sz w:val="21"/>
                <w:szCs w:val="21"/>
                <w:highlight w:val="none"/>
              </w:rPr>
              <w:t>注：投标文件解密问题。投标人只用执行一次解密，招标人执行解密次数根据招标文件开标次数确定。</w:t>
            </w:r>
          </w:p>
          <w:p>
            <w:pPr>
              <w:widowControl/>
              <w:jc w:val="left"/>
              <w:rPr>
                <w:rFonts w:ascii="宋体" w:hAnsi="宋体" w:eastAsia="宋体" w:cs="宋体"/>
                <w:bCs/>
                <w:kern w:val="0"/>
                <w:sz w:val="21"/>
                <w:szCs w:val="21"/>
                <w:highlight w:val="none"/>
              </w:rPr>
            </w:pPr>
            <w:r>
              <w:rPr>
                <w:rFonts w:ascii="宋体" w:hAnsi="宋体" w:eastAsia="宋体" w:cs="宋体"/>
                <w:bCs/>
                <w:kern w:val="0"/>
                <w:sz w:val="21"/>
                <w:szCs w:val="21"/>
                <w:highlight w:val="none"/>
              </w:rPr>
              <w:t>2、递交投标文件备用光盘时间：</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年</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月</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日</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时</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分至</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年</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月</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日</w:t>
            </w:r>
            <w:r>
              <w:rPr>
                <w:rFonts w:ascii="宋体" w:hAnsi="宋体" w:eastAsia="宋体" w:cs="宋体"/>
                <w:bCs/>
                <w:kern w:val="0"/>
                <w:sz w:val="21"/>
                <w:szCs w:val="21"/>
                <w:highlight w:val="none"/>
              </w:rPr>
              <w:t xml:space="preserve">   </w:t>
            </w:r>
            <w:r>
              <w:rPr>
                <w:rFonts w:hint="eastAsia" w:ascii="宋体" w:hAnsi="宋体" w:eastAsia="宋体" w:cs="宋体"/>
                <w:bCs/>
                <w:kern w:val="0"/>
                <w:sz w:val="21"/>
                <w:szCs w:val="21"/>
                <w:highlight w:val="none"/>
              </w:rPr>
              <w:t>时</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rPr>
              <w:t>分；递交地点：</w:t>
            </w:r>
            <w:r>
              <w:rPr>
                <w:rFonts w:hint="eastAsia" w:ascii="宋体" w:hAnsi="宋体" w:eastAsia="宋体" w:cs="宋体"/>
                <w:bCs/>
                <w:kern w:val="0"/>
                <w:sz w:val="21"/>
                <w:szCs w:val="21"/>
                <w:highlight w:val="none"/>
                <w:u w:val="single"/>
              </w:rPr>
              <w:t>广州公共资源交易中心黄埔交易部</w:t>
            </w:r>
            <w:r>
              <w:rPr>
                <w:rFonts w:ascii="宋体" w:hAnsi="宋体" w:eastAsia="宋体" w:cs="宋体"/>
                <w:bCs/>
                <w:kern w:val="0"/>
                <w:sz w:val="21"/>
                <w:szCs w:val="21"/>
                <w:highlight w:val="none"/>
                <w:u w:val="single"/>
              </w:rPr>
              <w:t xml:space="preserve">   </w:t>
            </w:r>
            <w:r>
              <w:rPr>
                <w:rFonts w:hint="eastAsia" w:ascii="宋体" w:hAnsi="宋体" w:eastAsia="宋体" w:cs="宋体"/>
                <w:bCs/>
                <w:kern w:val="0"/>
                <w:sz w:val="21"/>
                <w:szCs w:val="21"/>
                <w:highlight w:val="none"/>
                <w:u w:val="single"/>
              </w:rPr>
              <w:t>开标室</w:t>
            </w:r>
            <w:r>
              <w:rPr>
                <w:rFonts w:hint="eastAsia" w:ascii="宋体" w:hAnsi="宋体" w:eastAsia="宋体" w:cs="宋体"/>
                <w:bCs/>
                <w:kern w:val="0"/>
                <w:sz w:val="21"/>
                <w:szCs w:val="21"/>
                <w:highlight w:val="none"/>
              </w:rPr>
              <w:t>。</w:t>
            </w:r>
            <w:r>
              <w:rPr>
                <w:rFonts w:ascii="宋体" w:hAnsi="宋体" w:eastAsia="宋体" w:cs="宋体"/>
                <w:bCs/>
                <w:kern w:val="0"/>
                <w:sz w:val="21"/>
                <w:szCs w:val="21"/>
                <w:highlight w:val="none"/>
              </w:rPr>
              <w:t>(建议安排在投标文件截止时间前15分钟至投标文件截止时间）</w:t>
            </w:r>
          </w:p>
          <w:p>
            <w:pPr>
              <w:widowControl/>
              <w:jc w:val="left"/>
              <w:rPr>
                <w:rFonts w:ascii="宋体" w:hAnsi="宋体"/>
                <w:color w:val="000000"/>
                <w:szCs w:val="21"/>
                <w:highlight w:val="none"/>
              </w:rPr>
            </w:pPr>
            <w:r>
              <w:rPr>
                <w:rFonts w:hint="eastAsia" w:ascii="宋体" w:hAnsi="宋体" w:eastAsia="宋体" w:cs="宋体"/>
                <w:bCs/>
                <w:kern w:val="0"/>
                <w:sz w:val="21"/>
                <w:szCs w:val="21"/>
                <w:highlight w:val="none"/>
              </w:rPr>
              <w:t>上述时间及地点是否有改变，请密切留意</w:t>
            </w:r>
            <w:r>
              <w:rPr>
                <w:rFonts w:hint="eastAsia" w:ascii="宋体" w:hAnsi="宋体" w:eastAsia="宋体" w:cs="宋体"/>
                <w:b/>
                <w:kern w:val="0"/>
                <w:sz w:val="21"/>
                <w:szCs w:val="21"/>
                <w:highlight w:val="none"/>
              </w:rPr>
              <w:t>补充公告和</w:t>
            </w:r>
            <w:r>
              <w:rPr>
                <w:rFonts w:hint="eastAsia" w:ascii="宋体" w:hAnsi="宋体" w:eastAsia="宋体" w:cs="宋体"/>
                <w:bCs/>
                <w:kern w:val="0"/>
                <w:sz w:val="21"/>
                <w:szCs w:val="21"/>
                <w:highlight w:val="none"/>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方式一：选取方法</w:t>
            </w:r>
            <w:r>
              <w:rPr>
                <w:rFonts w:hint="eastAsia" w:ascii="宋体" w:hAnsi="宋体"/>
                <w:color w:val="000000"/>
                <w:szCs w:val="21"/>
                <w:highlight w:val="none"/>
                <w:u w:val="single"/>
              </w:rPr>
              <w:t xml:space="preserve">七  </w:t>
            </w:r>
            <w:r>
              <w:rPr>
                <w:rFonts w:hint="eastAsia" w:ascii="宋体" w:hAnsi="宋体"/>
                <w:color w:val="000000"/>
                <w:szCs w:val="21"/>
                <w:highlight w:val="none"/>
              </w:rPr>
              <w:t>；（适合综合评分法四，技术标与经济标同时开启）。</w:t>
            </w:r>
          </w:p>
          <w:p>
            <w:pPr>
              <w:rPr>
                <w:rFonts w:ascii="宋体" w:hAnsi="宋体"/>
                <w:color w:val="000000"/>
                <w:szCs w:val="21"/>
                <w:highlight w:val="none"/>
              </w:rPr>
            </w:pPr>
            <w:r>
              <w:rPr>
                <w:rFonts w:hint="eastAsia" w:ascii="宋体" w:hAnsi="宋体"/>
                <w:color w:val="000000"/>
                <w:szCs w:val="21"/>
                <w:highlight w:val="none"/>
              </w:rPr>
              <w:t>投标人总得分=技术得分(满分20分)＋经济得分（满分100分）×80%（经济权重）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highlight w:val="none"/>
              </w:rPr>
            </w:pPr>
            <w:r>
              <w:rPr>
                <w:rFonts w:hint="eastAsia" w:ascii="宋体" w:hAnsi="宋体"/>
                <w:color w:val="000000"/>
                <w:highlight w:val="none"/>
              </w:rPr>
              <w:t>方式一：中标人提供的履约保证金为中标价款的10%。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numPr>
                <w:ilvl w:val="0"/>
                <w:numId w:val="3"/>
              </w:numPr>
              <w:rPr>
                <w:rFonts w:ascii="宋体" w:hAnsi="宋体"/>
                <w:color w:val="000000"/>
                <w:szCs w:val="21"/>
                <w:highlight w:val="none"/>
              </w:rPr>
            </w:pPr>
            <w:r>
              <w:rPr>
                <w:rFonts w:hint="eastAsia" w:ascii="宋体" w:hAnsi="宋体"/>
                <w:color w:val="000000"/>
                <w:szCs w:val="21"/>
                <w:highlight w:val="none"/>
              </w:rPr>
              <w:t>本项目最高投标限价为人民币</w:t>
            </w:r>
            <w:r>
              <w:rPr>
                <w:rFonts w:ascii="宋体" w:hAnsi="宋体"/>
                <w:color w:val="000000"/>
                <w:szCs w:val="21"/>
                <w:highlight w:val="none"/>
              </w:rPr>
              <w:t>10035473.41</w:t>
            </w:r>
            <w:r>
              <w:rPr>
                <w:rFonts w:hint="eastAsia" w:ascii="宋体" w:hAnsi="宋体"/>
                <w:color w:val="000000"/>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本项目绿色施工安全防护措施费为487329.66元。（未按招标文件规定的金额填写的，由评标委员会按照招标文件规定的金额进行修正）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35"/>
              <w:ind w:firstLine="0"/>
              <w:rPr>
                <w:rFonts w:ascii="宋体" w:hAnsi="宋体"/>
                <w:szCs w:val="21"/>
                <w:highlight w:val="none"/>
              </w:rPr>
            </w:pPr>
            <w:r>
              <w:rPr>
                <w:rFonts w:hint="eastAsia" w:ascii="宋体" w:hAnsi="宋体"/>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工程成本警戒价按招标控制价的90%设置为</w:t>
            </w:r>
            <w:r>
              <w:rPr>
                <w:rFonts w:hint="eastAsia" w:ascii="宋体" w:hAnsi="宋体"/>
                <w:color w:val="000000"/>
                <w:szCs w:val="21"/>
                <w:highlight w:val="none"/>
                <w:u w:val="single"/>
              </w:rPr>
              <w:t>9031926.069</w:t>
            </w:r>
            <w:r>
              <w:rPr>
                <w:rFonts w:hint="eastAsia" w:ascii="宋体" w:hAnsi="宋体"/>
                <w:color w:val="000000"/>
                <w:szCs w:val="21"/>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olor w:val="000000"/>
                <w:szCs w:val="21"/>
                <w:highlight w:val="none"/>
                <w:u w:val="single"/>
              </w:rPr>
            </w:pPr>
            <w:r>
              <w:rPr>
                <w:rFonts w:hint="eastAsia" w:ascii="宋体" w:hAnsi="宋体"/>
                <w:color w:val="000000"/>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r>
              <w:rPr>
                <w:rFonts w:hint="eastAsia" w:ascii="宋体" w:hAnsi="宋体"/>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color w:val="000000"/>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color w:val="000000"/>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color w:val="000000"/>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13.4</w:t>
            </w:r>
            <w:r>
              <w:rPr>
                <w:rFonts w:hint="eastAsia" w:ascii="宋体" w:hAnsi="宋体"/>
                <w:szCs w:val="21"/>
                <w:highlight w:val="none"/>
              </w:rPr>
              <w:t>、</w:t>
            </w:r>
            <w:r>
              <w:rPr>
                <w:rFonts w:ascii="宋体" w:hAnsi="宋体"/>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w:t>
            </w:r>
            <w:r>
              <w:rPr>
                <w:rFonts w:hint="eastAsia" w:ascii="宋体" w:hAnsi="宋体"/>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highlight w:val="none"/>
                <w:lang w:val="zh-CN"/>
              </w:rPr>
            </w:pPr>
            <w:r>
              <w:rPr>
                <w:rFonts w:hint="eastAsia" w:ascii="宋体" w:hAnsi="宋体" w:cs="宋体"/>
                <w:bCs/>
                <w:color w:val="000000"/>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lang w:val="zh-CN"/>
              </w:rPr>
            </w:pPr>
            <w:r>
              <w:rPr>
                <w:rFonts w:hint="eastAsia" w:ascii="宋体" w:hAnsi="宋体"/>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highlight w:val="none"/>
                <w:lang w:val="zh-CN"/>
              </w:rPr>
            </w:pPr>
            <w:r>
              <w:rPr>
                <w:rFonts w:hint="eastAsia" w:ascii="宋体" w:hAnsi="宋体"/>
                <w:kern w:val="0"/>
                <w:szCs w:val="21"/>
                <w:highlight w:val="none"/>
                <w:lang w:val="zh-CN"/>
              </w:rPr>
              <w:t>□不允许；</w:t>
            </w:r>
          </w:p>
          <w:p>
            <w:pPr>
              <w:rPr>
                <w:rFonts w:ascii="宋体" w:hAnsi="宋体"/>
                <w:kern w:val="0"/>
                <w:szCs w:val="21"/>
                <w:highlight w:val="none"/>
                <w:lang w:val="zh-CN"/>
              </w:rPr>
            </w:pPr>
            <w:r>
              <w:rPr>
                <w:rFonts w:hint="eastAsia" w:ascii="宋体" w:hAnsi="宋体" w:cs="宋体"/>
                <w:kern w:val="0"/>
                <w:szCs w:val="21"/>
                <w:highlight w:val="none"/>
              </w:rPr>
              <w:t>■</w:t>
            </w:r>
            <w:r>
              <w:rPr>
                <w:rFonts w:hint="eastAsia" w:ascii="宋体" w:hAnsi="宋体"/>
                <w:kern w:val="0"/>
                <w:szCs w:val="21"/>
                <w:highlight w:val="none"/>
                <w:lang w:val="zh-CN"/>
              </w:rPr>
              <w:t>允许：分包内容要要求：</w:t>
            </w:r>
            <w:r>
              <w:rPr>
                <w:rFonts w:hint="eastAsia"/>
                <w:highlight w:val="none"/>
                <w:u w:val="single"/>
                <w:lang w:val="zh-CN"/>
              </w:rPr>
              <w:t>对于非主体、非关键性工程，需经招标人审核批准后分包给具有相应资质和能力的专业单位实施。</w:t>
            </w:r>
          </w:p>
          <w:p>
            <w:pPr>
              <w:rPr>
                <w:rFonts w:ascii="宋体" w:hAnsi="宋体"/>
                <w:kern w:val="0"/>
                <w:szCs w:val="21"/>
                <w:highlight w:val="none"/>
                <w:lang w:val="zh-CN"/>
              </w:rPr>
            </w:pPr>
            <w:r>
              <w:rPr>
                <w:rFonts w:hint="eastAsia" w:ascii="宋体" w:hAnsi="宋体"/>
                <w:kern w:val="0"/>
                <w:szCs w:val="21"/>
                <w:highlight w:val="none"/>
                <w:lang w:val="zh-CN"/>
              </w:rPr>
              <w:t xml:space="preserve">        分包金额要求：</w:t>
            </w:r>
          </w:p>
          <w:p>
            <w:pPr>
              <w:rPr>
                <w:rFonts w:ascii="宋体" w:hAnsi="宋体"/>
                <w:kern w:val="0"/>
                <w:szCs w:val="21"/>
                <w:highlight w:val="none"/>
                <w:lang w:val="zh-CN"/>
              </w:rPr>
            </w:pPr>
            <w:r>
              <w:rPr>
                <w:rFonts w:hint="eastAsia" w:ascii="宋体" w:hAnsi="宋体"/>
                <w:kern w:val="0"/>
                <w:szCs w:val="21"/>
                <w:highlight w:val="none"/>
                <w:lang w:val="zh-CN"/>
              </w:rPr>
              <w:t xml:space="preserve">        对分包人的资质要求：</w:t>
            </w:r>
          </w:p>
          <w:p>
            <w:pPr>
              <w:rPr>
                <w:rFonts w:ascii="宋体" w:hAnsi="宋体"/>
                <w:kern w:val="0"/>
                <w:szCs w:val="21"/>
                <w:highlight w:val="none"/>
                <w:lang w:val="zh-CN"/>
              </w:rPr>
            </w:pPr>
            <w:r>
              <w:rPr>
                <w:rFonts w:hint="eastAsia" w:ascii="宋体" w:hAnsi="宋体"/>
                <w:kern w:val="0"/>
                <w:szCs w:val="21"/>
                <w:highlight w:val="none"/>
                <w:lang w:val="zh-CN"/>
              </w:rPr>
              <w:t xml:space="preserve">        对分包人的其他要求：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color w:val="000000"/>
                <w:szCs w:val="21"/>
                <w:highlight w:val="none"/>
              </w:rPr>
            </w:pPr>
            <w:r>
              <w:rPr>
                <w:rFonts w:hint="eastAsia" w:ascii="宋体" w:hAnsi="宋体" w:cs="Courier New"/>
                <w:color w:val="000000"/>
                <w:szCs w:val="21"/>
                <w:highlight w:val="none"/>
              </w:rPr>
              <w:t>1、按照交易平台关于全流程电子化项目的相关指南进行操作。详见：</w:t>
            </w:r>
            <w:r>
              <w:rPr>
                <w:rFonts w:hint="eastAsia" w:ascii="宋体" w:hAnsi="宋体" w:cs="仿宋_GB2312"/>
                <w:szCs w:val="21"/>
                <w:highlight w:val="none"/>
                <w:u w:val="single"/>
              </w:rPr>
              <w:t>广州公共资源交易中心网站http://</w:t>
            </w:r>
            <w:r>
              <w:rPr>
                <w:rFonts w:ascii="宋体" w:hAnsi="宋体" w:cs="仿宋_GB2312"/>
                <w:szCs w:val="21"/>
                <w:highlight w:val="none"/>
                <w:u w:val="single"/>
              </w:rPr>
              <w:t xml:space="preserve"> </w:t>
            </w:r>
            <w:r>
              <w:rPr>
                <w:rFonts w:hint="eastAsia" w:ascii="宋体" w:hAnsi="宋体" w:cs="仿宋_GB2312"/>
                <w:szCs w:val="21"/>
                <w:highlight w:val="none"/>
                <w:u w:val="single"/>
              </w:rPr>
              <w:t>www.gzggzy.cn）-服务指南-办事指南-建设工程-【房屋建筑和市政基础设施工程全流程电子化项目专章（适用于投标人）】</w:t>
            </w:r>
            <w:r>
              <w:rPr>
                <w:rFonts w:hint="eastAsia" w:ascii="宋体" w:hAnsi="宋体" w:cs="Courier New"/>
                <w:color w:val="000000"/>
                <w:szCs w:val="21"/>
                <w:highlight w:val="none"/>
              </w:rPr>
              <w:t xml:space="preserve">。  </w:t>
            </w:r>
          </w:p>
          <w:p>
            <w:pPr>
              <w:rPr>
                <w:rFonts w:ascii="宋体" w:hAnsi="宋体" w:cs="Courier New"/>
                <w:color w:val="000000"/>
                <w:szCs w:val="21"/>
                <w:highlight w:val="none"/>
              </w:rPr>
            </w:pPr>
            <w:r>
              <w:rPr>
                <w:rFonts w:hint="eastAsia" w:ascii="宋体" w:hAnsi="宋体" w:cs="Courier New"/>
                <w:color w:val="000000"/>
                <w:szCs w:val="21"/>
                <w:highlight w:val="none"/>
              </w:rPr>
              <w:t>2、提交投标文件光盘备用</w:t>
            </w:r>
          </w:p>
          <w:p>
            <w:pPr>
              <w:rPr>
                <w:rFonts w:ascii="宋体" w:hAnsi="宋体" w:cs="Courier New"/>
                <w:color w:val="000000"/>
                <w:szCs w:val="21"/>
                <w:highlight w:val="none"/>
              </w:rPr>
            </w:pPr>
            <w:r>
              <w:rPr>
                <w:rFonts w:hint="eastAsia" w:ascii="宋体" w:hAnsi="宋体" w:cs="Courier New"/>
                <w:color w:val="000000"/>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Courier New"/>
                <w:color w:val="000000"/>
                <w:szCs w:val="21"/>
                <w:highlight w:val="none"/>
              </w:rPr>
            </w:pPr>
            <w:r>
              <w:rPr>
                <w:rFonts w:hint="eastAsia" w:ascii="宋体" w:hAnsi="宋体" w:cs="Courier New"/>
                <w:color w:val="000000"/>
                <w:szCs w:val="21"/>
                <w:highlight w:val="none"/>
              </w:rPr>
              <w:t xml:space="preserve"> 3、补救方案</w:t>
            </w:r>
          </w:p>
          <w:p>
            <w:pPr>
              <w:rPr>
                <w:rFonts w:ascii="宋体" w:hAnsi="宋体" w:cs="Courier New"/>
                <w:color w:val="000000"/>
                <w:szCs w:val="21"/>
                <w:highlight w:val="none"/>
              </w:rPr>
            </w:pPr>
            <w:r>
              <w:rPr>
                <w:rFonts w:hint="eastAsia" w:ascii="宋体" w:hAnsi="宋体" w:cs="Courier New"/>
                <w:color w:val="000000"/>
                <w:szCs w:val="21"/>
                <w:highlight w:val="none"/>
              </w:rPr>
              <w:t>（1）投标文件解密失败的补救方案：</w:t>
            </w:r>
          </w:p>
          <w:p>
            <w:pPr>
              <w:rPr>
                <w:rFonts w:ascii="宋体" w:hAnsi="宋体" w:cs="Courier New"/>
                <w:color w:val="000000"/>
                <w:szCs w:val="21"/>
                <w:highlight w:val="none"/>
              </w:rPr>
            </w:pPr>
            <w:r>
              <w:rPr>
                <w:rFonts w:hint="eastAsia" w:ascii="宋体" w:hAnsi="宋体" w:cs="Courier New"/>
                <w:color w:val="000000"/>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Courier New"/>
                <w:color w:val="000000"/>
                <w:szCs w:val="21"/>
                <w:highlight w:val="none"/>
              </w:rPr>
            </w:pPr>
            <w:r>
              <w:rPr>
                <w:rFonts w:hint="eastAsia" w:ascii="宋体" w:hAnsi="宋体" w:cs="Courier New"/>
                <w:color w:val="000000"/>
                <w:szCs w:val="21"/>
                <w:highlight w:val="none"/>
              </w:rPr>
              <w:t>（2）评标时突发情况的补救方案</w:t>
            </w:r>
          </w:p>
          <w:p>
            <w:pPr>
              <w:rPr>
                <w:rFonts w:ascii="宋体" w:hAnsi="宋体" w:cs="Courier New"/>
                <w:color w:val="000000"/>
                <w:szCs w:val="21"/>
                <w:highlight w:val="none"/>
              </w:rPr>
            </w:pPr>
            <w:r>
              <w:rPr>
                <w:rFonts w:hint="eastAsia" w:ascii="宋体" w:hAnsi="宋体" w:cs="Courier New"/>
                <w:color w:val="000000"/>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Courier New"/>
                <w:color w:val="000000"/>
                <w:szCs w:val="21"/>
                <w:highlight w:val="none"/>
              </w:rPr>
            </w:pPr>
            <w:r>
              <w:rPr>
                <w:rFonts w:hint="eastAsia" w:ascii="宋体" w:hAnsi="宋体" w:cs="Courier New"/>
                <w:color w:val="000000"/>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27.5</w:t>
            </w: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s="宋体"/>
                <w:highlight w:val="none"/>
              </w:rPr>
              <w:t>纸质版及电子版投标文件份数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highlight w:val="none"/>
                <w:u w:val="single"/>
              </w:rPr>
            </w:pPr>
            <w:r>
              <w:rPr>
                <w:rFonts w:hint="eastAsia" w:ascii="宋体" w:hAnsi="宋体" w:cs="宋体"/>
                <w:szCs w:val="21"/>
                <w:highlight w:val="none"/>
              </w:rPr>
              <w:t>领取中标通知书后，签订合同签前，中标人须向招标人提供独立装订成册的纸质投标文件（含综合单价分析）一式三份，</w:t>
            </w:r>
            <w:r>
              <w:rPr>
                <w:rFonts w:hint="eastAsia" w:ascii="宋体" w:hAnsi="宋体" w:cs="宋体"/>
                <w:szCs w:val="21"/>
                <w:highlight w:val="none"/>
                <w:u w:val="single"/>
              </w:rPr>
              <w:t>投标人加盖公章，</w:t>
            </w:r>
            <w:r>
              <w:rPr>
                <w:rFonts w:hint="eastAsia" w:ascii="宋体" w:hAnsi="宋体" w:cs="宋体"/>
                <w:szCs w:val="21"/>
                <w:highlight w:val="none"/>
              </w:rPr>
              <w:t>纸质投标文件内容须与投标时提交的电子投标文件内容一致，</w:t>
            </w:r>
            <w:r>
              <w:rPr>
                <w:rFonts w:hint="eastAsia" w:ascii="宋体" w:hAnsi="宋体" w:cs="宋体"/>
                <w:szCs w:val="21"/>
                <w:highlight w:val="none"/>
                <w:u w:val="single"/>
              </w:rPr>
              <w:t>相关费用由投标人支付</w:t>
            </w:r>
            <w:r>
              <w:rPr>
                <w:rFonts w:hint="eastAsia" w:ascii="宋体" w:hAnsi="宋体" w:cs="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38</w:t>
            </w:r>
          </w:p>
        </w:tc>
        <w:tc>
          <w:tcPr>
            <w:tcW w:w="981"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olor w:val="000000"/>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pPr>
              <w:spacing w:line="360" w:lineRule="auto"/>
              <w:jc w:val="left"/>
              <w:rPr>
                <w:rFonts w:ascii="宋体" w:hAnsi="宋体"/>
                <w:color w:val="000000"/>
                <w:highlight w:val="none"/>
              </w:rPr>
            </w:pPr>
            <w:r>
              <w:rPr>
                <w:rFonts w:hint="eastAsia" w:ascii="宋体" w:hAnsi="宋体" w:cs="宋体"/>
                <w:b/>
                <w:highlight w:val="none"/>
                <w:u w:val="single"/>
              </w:rPr>
              <w:t>其他费用</w:t>
            </w:r>
          </w:p>
        </w:tc>
        <w:tc>
          <w:tcPr>
            <w:tcW w:w="5857" w:type="dxa"/>
            <w:tcBorders>
              <w:top w:val="single" w:color="auto" w:sz="4" w:space="0"/>
              <w:left w:val="single" w:color="auto" w:sz="4" w:space="0"/>
              <w:bottom w:val="double" w:color="auto" w:sz="4" w:space="0"/>
              <w:right w:val="double" w:color="auto" w:sz="4" w:space="0"/>
            </w:tcBorders>
            <w:vAlign w:val="center"/>
          </w:tcPr>
          <w:p>
            <w:pPr>
              <w:spacing w:line="360" w:lineRule="auto"/>
              <w:rPr>
                <w:rFonts w:ascii="宋体" w:hAnsi="宋体" w:cs="宋体"/>
                <w:szCs w:val="21"/>
                <w:highlight w:val="none"/>
                <w:u w:val="single"/>
              </w:rPr>
            </w:pPr>
            <w:r>
              <w:rPr>
                <w:rFonts w:hint="eastAsia"/>
                <w:highlight w:val="none"/>
              </w:rPr>
              <w:t>中标人代缴公共资源交易服务费，交易中心向中标人开具增值税发票。</w:t>
            </w:r>
          </w:p>
        </w:tc>
      </w:tr>
    </w:tbl>
    <w:p>
      <w:pPr>
        <w:pStyle w:val="5"/>
        <w:rPr>
          <w:color w:val="auto"/>
          <w:highlight w:val="none"/>
        </w:rPr>
      </w:pPr>
      <w:r>
        <w:rPr>
          <w:color w:val="auto"/>
          <w:highlight w:val="none"/>
        </w:rPr>
        <w:br w:type="page"/>
      </w:r>
      <w:bookmarkStart w:id="4" w:name="_Toc21525491"/>
      <w:bookmarkStart w:id="5" w:name="_Toc2272547"/>
      <w:r>
        <w:rPr>
          <w:rFonts w:hint="eastAsia"/>
          <w:color w:val="auto"/>
          <w:highlight w:val="none"/>
        </w:rPr>
        <w:t>二、投标须知修改表</w:t>
      </w:r>
      <w:bookmarkEnd w:id="4"/>
      <w:bookmarkEnd w:id="5"/>
    </w:p>
    <w:p>
      <w:pPr>
        <w:pStyle w:val="35"/>
        <w:spacing w:line="360" w:lineRule="auto"/>
        <w:rPr>
          <w:b/>
          <w:szCs w:val="21"/>
          <w:highlight w:val="none"/>
        </w:rPr>
      </w:pPr>
      <w:r>
        <w:rPr>
          <w:rFonts w:hint="eastAsia"/>
          <w:b/>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pBdr>
          <w:bottom w:val="single" w:color="auto" w:sz="4" w:space="0"/>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条款号：2.5            修改类型：增加</w:t>
      </w:r>
    </w:p>
    <w:p>
      <w:pPr>
        <w:pBdr>
          <w:bottom w:val="single" w:color="auto" w:sz="4" w:space="0"/>
        </w:pBdr>
        <w:spacing w:line="360" w:lineRule="auto"/>
        <w:ind w:firstLine="472" w:firstLineChars="224"/>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bCs/>
          <w:szCs w:val="21"/>
          <w:highlight w:val="none"/>
          <w:u w:val="single"/>
        </w:rPr>
        <w:t>2.5</w:t>
      </w:r>
      <w:r>
        <w:rPr>
          <w:rFonts w:hint="eastAsia" w:ascii="宋体" w:hAnsi="宋体" w:cs="宋体"/>
          <w:szCs w:val="21"/>
          <w:highlight w:val="none"/>
          <w:u w:val="single"/>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cs="宋体"/>
          <w:b/>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tabs>
          <w:tab w:val="left" w:pos="2940"/>
        </w:tabs>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条款号：5.1            修改类型：修改</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 xml:space="preserve">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  </w:t>
      </w:r>
    </w:p>
    <w:p>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szCs w:val="21"/>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bCs/>
          <w:szCs w:val="21"/>
          <w:highlight w:val="none"/>
        </w:rPr>
        <w:t>一旦中标，这种考察即被认为其结果已在中标文件中得到充分反映。考察现场的费用由投标人自己承担。</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条款号：8.1             修改类型：修改</w:t>
      </w:r>
    </w:p>
    <w:p>
      <w:pPr>
        <w:pBdr>
          <w:bottom w:val="single" w:color="auto" w:sz="6" w:space="1"/>
        </w:pBdr>
        <w:spacing w:line="360" w:lineRule="auto"/>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8.1投标人若对招标文件（包括招标图纸）中有疑问，可以书面形式通过</w:t>
      </w:r>
      <w:r>
        <w:rPr>
          <w:rFonts w:hint="eastAsia" w:ascii="宋体" w:hAnsi="宋体" w:cs="宋体"/>
          <w:szCs w:val="21"/>
          <w:highlight w:val="none"/>
          <w:u w:val="single"/>
        </w:rPr>
        <w:t xml:space="preserve">        </w:t>
      </w:r>
      <w:r>
        <w:rPr>
          <w:rFonts w:hint="eastAsia" w:ascii="宋体" w:hAnsi="宋体" w:cs="宋体"/>
          <w:szCs w:val="21"/>
          <w:highlight w:val="none"/>
        </w:rPr>
        <w:t>交易平台提交给招标人或招标代理人，提交形式见本须知前附表第16项。</w:t>
      </w:r>
    </w:p>
    <w:p>
      <w:pPr>
        <w:pBdr>
          <w:bottom w:val="single" w:color="auto" w:sz="6" w:space="1"/>
        </w:pBdr>
        <w:spacing w:line="360" w:lineRule="auto"/>
        <w:ind w:firstLine="472" w:firstLineChars="224"/>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8.1</w:t>
      </w:r>
      <w:r>
        <w:rPr>
          <w:rFonts w:hint="eastAsia" w:ascii="宋体" w:hAnsi="宋体" w:cs="宋体"/>
          <w:szCs w:val="21"/>
          <w:highlight w:val="none"/>
          <w:u w:val="single"/>
        </w:rPr>
        <w:t>投标人若对招标文件（包括招标图纸、清单、招标控制价）中有疑问，可在投标须知前附表16项规定的时间内以网上答疑通过广州公共资源交易中心交易平台进入提问区域将问题提交给招标人或招标代理人，提交问题时一律不得署名。网上答疑的操作指南为：按照交易平台关于全流程电子化项目的相关指南进行操作，详见：广州公共资源交易中心网站。</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条款号：8.2             修改类型：修改</w:t>
      </w:r>
    </w:p>
    <w:p>
      <w:pPr>
        <w:pBdr>
          <w:bottom w:val="single" w:color="auto" w:sz="4" w:space="1"/>
        </w:pBdr>
        <w:spacing w:line="360" w:lineRule="auto"/>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8.2</w:t>
      </w:r>
      <w:r>
        <w:rPr>
          <w:rFonts w:hint="eastAsia" w:ascii="宋体" w:hAnsi="宋体" w:cs="宋体"/>
          <w:szCs w:val="21"/>
          <w:highlight w:val="none"/>
        </w:rPr>
        <w:t>招标答疑会会议纪要将在提交投标文件截止时间15日前在</w:t>
      </w:r>
      <w:r>
        <w:rPr>
          <w:rFonts w:hint="eastAsia" w:ascii="宋体" w:hAnsi="宋体" w:cs="宋体"/>
          <w:szCs w:val="21"/>
          <w:highlight w:val="none"/>
          <w:u w:val="single"/>
        </w:rPr>
        <w:t xml:space="preserve">        </w:t>
      </w:r>
      <w:r>
        <w:rPr>
          <w:rFonts w:hint="eastAsia" w:ascii="宋体" w:hAnsi="宋体" w:cs="宋体"/>
          <w:szCs w:val="21"/>
          <w:highlight w:val="none"/>
        </w:rPr>
        <w:t>交易平台 “项目答疑纪要”专区公开发布。答疑纪要一经在</w:t>
      </w:r>
      <w:r>
        <w:rPr>
          <w:rFonts w:hint="eastAsia" w:ascii="宋体" w:hAnsi="宋体" w:cs="宋体"/>
          <w:szCs w:val="21"/>
          <w:highlight w:val="none"/>
          <w:u w:val="single"/>
        </w:rPr>
        <w:t xml:space="preserve">        </w:t>
      </w:r>
      <w:r>
        <w:rPr>
          <w:rFonts w:hint="eastAsia" w:ascii="宋体" w:hAnsi="宋体" w:cs="宋体"/>
          <w:szCs w:val="21"/>
          <w:highlight w:val="none"/>
        </w:rPr>
        <w:t>交易平台发布，视作已发放给所有投标人。</w:t>
      </w:r>
    </w:p>
    <w:p>
      <w:pPr>
        <w:pBdr>
          <w:bottom w:val="single" w:color="auto" w:sz="4" w:space="1"/>
        </w:pBdr>
        <w:spacing w:line="360" w:lineRule="auto"/>
        <w:ind w:firstLine="472" w:firstLineChars="224"/>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8.2招标答疑会会议纪要将在提交投标文件截止时间15日前在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 “项目答疑纪要”专区公开发布。答疑纪要一经在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交易平台发布，视作已发放给所有投标人。</w:t>
      </w:r>
    </w:p>
    <w:p>
      <w:pPr>
        <w:pBdr>
          <w:bottom w:val="single" w:color="auto" w:sz="6" w:space="1"/>
        </w:pBd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条款号：8.3            修改类型：修改</w:t>
      </w:r>
    </w:p>
    <w:p>
      <w:pPr>
        <w:pBdr>
          <w:bottom w:val="single" w:color="auto" w:sz="6" w:space="1"/>
        </w:pBdr>
        <w:spacing w:line="360" w:lineRule="auto"/>
        <w:ind w:firstLine="472" w:firstLineChars="224"/>
        <w:rPr>
          <w:rFonts w:ascii="宋体" w:hAnsi="宋体" w:cs="宋体"/>
          <w:szCs w:val="21"/>
          <w:highlight w:val="none"/>
        </w:rPr>
      </w:pPr>
      <w:r>
        <w:rPr>
          <w:rFonts w:hint="eastAsia" w:ascii="宋体" w:hAnsi="宋体" w:cs="宋体"/>
          <w:b/>
          <w:bCs/>
          <w:szCs w:val="21"/>
          <w:highlight w:val="none"/>
        </w:rPr>
        <w:t>原文</w:t>
      </w:r>
      <w:r>
        <w:rPr>
          <w:rFonts w:hint="eastAsia" w:ascii="宋体" w:hAnsi="宋体" w:cs="宋体"/>
          <w:szCs w:val="21"/>
          <w:highlight w:val="none"/>
        </w:rPr>
        <w:t>：8.3答疑会会议纪要为招标文件的一部分。</w:t>
      </w:r>
    </w:p>
    <w:p>
      <w:pPr>
        <w:pBdr>
          <w:bottom w:val="single" w:color="auto" w:sz="6" w:space="1"/>
        </w:pBdr>
        <w:spacing w:line="360" w:lineRule="auto"/>
        <w:ind w:firstLine="472" w:firstLineChars="224"/>
        <w:rPr>
          <w:rFonts w:ascii="宋体" w:hAnsi="宋体" w:cs="宋体"/>
          <w:szCs w:val="21"/>
          <w:highlight w:val="none"/>
        </w:rPr>
      </w:pPr>
      <w:r>
        <w:rPr>
          <w:rFonts w:hint="eastAsia" w:ascii="宋体" w:hAnsi="宋体" w:cs="宋体"/>
          <w:b/>
          <w:bCs/>
          <w:szCs w:val="21"/>
          <w:highlight w:val="none"/>
        </w:rPr>
        <w:t>现文</w:t>
      </w:r>
      <w:r>
        <w:rPr>
          <w:rFonts w:hint="eastAsia" w:ascii="宋体" w:hAnsi="宋体" w:cs="宋体"/>
          <w:szCs w:val="21"/>
          <w:highlight w:val="none"/>
        </w:rPr>
        <w:t>：8.3</w:t>
      </w:r>
      <w:r>
        <w:rPr>
          <w:rFonts w:hint="eastAsia" w:ascii="宋体" w:hAnsi="宋体" w:cs="宋体"/>
          <w:szCs w:val="21"/>
          <w:highlight w:val="none"/>
          <w:u w:val="single"/>
        </w:rPr>
        <w:t>答疑纪要</w:t>
      </w:r>
      <w:r>
        <w:rPr>
          <w:rFonts w:hint="eastAsia" w:ascii="宋体" w:hAnsi="宋体" w:cs="宋体"/>
          <w:szCs w:val="21"/>
          <w:highlight w:val="none"/>
        </w:rPr>
        <w:t>为招标文件的一部分。</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条款号：8.4            修改类型：修改</w:t>
      </w:r>
    </w:p>
    <w:p>
      <w:pPr>
        <w:pBdr>
          <w:bottom w:val="single" w:color="auto" w:sz="6" w:space="1"/>
        </w:pBdr>
        <w:spacing w:line="360" w:lineRule="auto"/>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8.4</w:t>
      </w:r>
      <w:r>
        <w:rPr>
          <w:rFonts w:hint="eastAsia" w:ascii="宋体" w:hAnsi="宋体" w:cs="宋体"/>
          <w:szCs w:val="21"/>
          <w:highlight w:val="none"/>
        </w:rPr>
        <w:t>若招标答疑会会议纪要与招标文件有矛盾，以答疑会议纪要最后发出的书面形式的文件为准。</w:t>
      </w:r>
    </w:p>
    <w:p>
      <w:pPr>
        <w:pBdr>
          <w:bottom w:val="single" w:color="auto" w:sz="6" w:space="1"/>
        </w:pBdr>
        <w:spacing w:line="360" w:lineRule="auto"/>
        <w:ind w:firstLine="472" w:firstLineChars="224"/>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bCs/>
          <w:szCs w:val="21"/>
          <w:highlight w:val="none"/>
        </w:rPr>
        <w:t>8.4</w:t>
      </w:r>
      <w:r>
        <w:rPr>
          <w:rFonts w:hint="eastAsia" w:ascii="宋体" w:hAnsi="宋体" w:cs="宋体"/>
          <w:szCs w:val="21"/>
          <w:highlight w:val="none"/>
        </w:rPr>
        <w:t>若招标</w:t>
      </w:r>
      <w:r>
        <w:rPr>
          <w:rFonts w:hint="eastAsia" w:ascii="宋体" w:hAnsi="宋体" w:cs="宋体"/>
          <w:szCs w:val="21"/>
          <w:highlight w:val="none"/>
          <w:u w:val="single"/>
        </w:rPr>
        <w:t>答疑纪要</w:t>
      </w:r>
      <w:r>
        <w:rPr>
          <w:rFonts w:hint="eastAsia" w:ascii="宋体" w:hAnsi="宋体" w:cs="宋体"/>
          <w:szCs w:val="21"/>
          <w:highlight w:val="none"/>
        </w:rPr>
        <w:t>与招标文件有矛盾，以</w:t>
      </w:r>
      <w:r>
        <w:rPr>
          <w:rFonts w:hint="eastAsia" w:ascii="宋体" w:hAnsi="宋体" w:cs="宋体"/>
          <w:szCs w:val="21"/>
          <w:highlight w:val="none"/>
          <w:u w:val="single"/>
        </w:rPr>
        <w:t>广州公共资源交易中心交易平台最后发布的答疑纪要为准。</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条款号：9.2            修改类型：修改</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9.2招标文件的澄清或修改将在</w:t>
      </w:r>
      <w:r>
        <w:rPr>
          <w:rFonts w:hint="eastAsia" w:ascii="宋体" w:hAnsi="宋体" w:cs="宋体"/>
          <w:szCs w:val="21"/>
          <w:highlight w:val="none"/>
          <w:u w:val="single"/>
        </w:rPr>
        <w:t xml:space="preserve">        </w:t>
      </w:r>
      <w:r>
        <w:rPr>
          <w:rFonts w:hint="eastAsia" w:ascii="宋体" w:hAnsi="宋体" w:cs="宋体"/>
          <w:szCs w:val="21"/>
          <w:highlight w:val="none"/>
        </w:rPr>
        <w:t>交易平台“项目答疑纪要”专区公开发布。答疑纪要一经在</w:t>
      </w:r>
      <w:r>
        <w:rPr>
          <w:rFonts w:hint="eastAsia" w:ascii="宋体" w:hAnsi="宋体" w:cs="宋体"/>
          <w:szCs w:val="21"/>
          <w:highlight w:val="none"/>
          <w:u w:val="single"/>
        </w:rPr>
        <w:t xml:space="preserve">        </w:t>
      </w:r>
      <w:r>
        <w:rPr>
          <w:rFonts w:hint="eastAsia" w:ascii="宋体" w:hAnsi="宋体" w:cs="宋体"/>
          <w:szCs w:val="21"/>
          <w:highlight w:val="none"/>
        </w:rPr>
        <w:t>交易平台发布，视作已发放给所有投标人，以</w:t>
      </w:r>
      <w:r>
        <w:rPr>
          <w:rFonts w:hint="eastAsia" w:ascii="宋体" w:hAnsi="宋体" w:cs="宋体"/>
          <w:szCs w:val="21"/>
          <w:highlight w:val="none"/>
          <w:u w:val="single"/>
        </w:rPr>
        <w:t xml:space="preserve">        </w:t>
      </w:r>
      <w:r>
        <w:rPr>
          <w:rFonts w:hint="eastAsia" w:ascii="宋体" w:hAnsi="宋体" w:cs="宋体"/>
          <w:szCs w:val="21"/>
          <w:highlight w:val="none"/>
        </w:rPr>
        <w:t>交易平台上网发布时间作为送达时间。</w:t>
      </w:r>
    </w:p>
    <w:p>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9.2招标文件的澄清或修改将在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交易平台“项目答疑纪要”专区公开发布。答疑纪要一经在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交易平台发布，视作已发放给所有投标人，以</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交易平台上网发布时间作为送达时间。</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条款号：9.4             修改类型：修改</w:t>
      </w:r>
    </w:p>
    <w:p>
      <w:pPr>
        <w:spacing w:line="360" w:lineRule="auto"/>
        <w:ind w:firstLine="472" w:firstLineChars="224"/>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9.4招标文件的澄清或修改均以书面形式明确的内容为准。当招标文件的澄清、修改、补充等在同一内容的表述不一致时，以最后发出的书面文件为准。</w:t>
      </w:r>
    </w:p>
    <w:p>
      <w:pPr>
        <w:pBdr>
          <w:bottom w:val="single" w:color="auto" w:sz="6" w:space="1"/>
        </w:pBdr>
        <w:spacing w:line="360" w:lineRule="auto"/>
        <w:ind w:firstLine="472" w:firstLineChars="224"/>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9.4招标文件的澄清或修改均</w:t>
      </w:r>
      <w:r>
        <w:rPr>
          <w:rFonts w:hint="eastAsia" w:ascii="宋体" w:hAnsi="宋体" w:cs="宋体"/>
          <w:szCs w:val="21"/>
          <w:highlight w:val="none"/>
          <w:u w:val="single"/>
        </w:rPr>
        <w:t>以广州公共资源交易中心网站“招标答疑”专区公开发布</w:t>
      </w:r>
      <w:r>
        <w:rPr>
          <w:rFonts w:hint="eastAsia" w:ascii="宋体" w:hAnsi="宋体" w:cs="宋体"/>
          <w:szCs w:val="21"/>
          <w:highlight w:val="none"/>
        </w:rPr>
        <w:t>的内容为准。当招标文件的澄清、修改、补充等在同一内容的表述不一致时，以</w:t>
      </w:r>
      <w:r>
        <w:rPr>
          <w:rFonts w:hint="eastAsia" w:ascii="宋体" w:hAnsi="宋体" w:cs="宋体"/>
          <w:szCs w:val="21"/>
          <w:highlight w:val="none"/>
          <w:u w:val="single"/>
        </w:rPr>
        <w:t>广州公共资源交易中心网站最后发布的内容为准</w:t>
      </w:r>
      <w:r>
        <w:rPr>
          <w:rFonts w:hint="eastAsia" w:ascii="宋体" w:hAnsi="宋体" w:cs="宋体"/>
          <w:szCs w:val="21"/>
          <w:highlight w:val="none"/>
        </w:rPr>
        <w:t>。</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条款号：11.2            修改类型：修改</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原文：</w:t>
      </w:r>
      <w:r>
        <w:rPr>
          <w:rFonts w:hint="eastAsia" w:ascii="宋体" w:hAnsi="宋体" w:cs="宋体"/>
          <w:szCs w:val="21"/>
          <w:highlight w:val="none"/>
        </w:rPr>
        <w:t>11.2投标文件技术标部分主要包括下列内容: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11.2.1 技术投标文件(按招标文件的要求填写)；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11.2.2 资格审查文件：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（1）投标人声明；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（2）法定代表人证明书、法定代表人签字或盖章的本投标文件授权委托证明书；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（3）企业营业执照（取自平台内上传件）；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（4）企业资质证书（取自平台内上传件）；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（5）建筑施工企业安全生产许可证（取自平台内上传件）；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（6）项目负责人（按网上投标登记时选择拟投标的项目负责人）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（7）专职安全员（按网上投标登记时选择拟投标的专职安全员）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（8）拟委派项目负责人的建造师注册证书或小型项目负责人相关证明（取自平台内上传件）；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（9）项目负责人安全培训考核合格证明或在有效期内的安全考核合格证书（B类）或建筑施工企业项目负责人安全生产考核合格证书（取自平台内上传件）；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（10）专职安全员须具有在有效期内的安全考核合格证书（C类或C3类）或建筑施工企业专职安全生产管理人员安全生产考核合格证书（取自平台内上传件）；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（11）用于资格审查的业绩（设置业绩要求时选择此项，投标人须提供类似工程业绩的项目名称及项目编号，具体格式由招标人自定）；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（13）列明主办单位的联合体工作协议（采用联合体投标时需递交，投标人拟任本工程项目负责人应为联合体主办方信用档案中的在册人员，联合体工作协议应明确约定各方拟承担的工作和责任）；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14）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11.2.3项目管理机构配备。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（1）投标人应列出该项目工程的施工组织机构构成和画出机构框架图及其负责人；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（3）其他辅助说明资料。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11.2.4投标人在广州市可使用适合本工程的机械设备（附：机械设备为自有或租赁的说明；及承诺机械设备如属于租赁的，其租赁是不属于重复租赁）。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11.2.5施工组织设计或施工方案。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11.2.6按照招标文件要求填写的《参与编制技术标投标文件人员名单》。</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现文：</w:t>
      </w:r>
      <w:r>
        <w:rPr>
          <w:rFonts w:hint="eastAsia" w:ascii="宋体" w:hAnsi="宋体" w:cs="宋体"/>
          <w:szCs w:val="21"/>
          <w:highlight w:val="none"/>
        </w:rPr>
        <w:t>11.2投标文件技术标部分主要包括下列内容: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11.2.1 </w:t>
      </w:r>
      <w:r>
        <w:rPr>
          <w:rFonts w:hint="eastAsia" w:ascii="宋体" w:hAnsi="宋体" w:cs="宋体"/>
          <w:szCs w:val="21"/>
          <w:highlight w:val="none"/>
          <w:u w:val="single"/>
        </w:rPr>
        <w:t>广州建设工程施工招标投标书（按招标文件格式填写）。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11.2.2 </w:t>
      </w:r>
      <w:r>
        <w:rPr>
          <w:rFonts w:hint="eastAsia" w:ascii="宋体" w:hAnsi="宋体" w:cs="宋体"/>
          <w:szCs w:val="21"/>
          <w:highlight w:val="none"/>
          <w:u w:val="single"/>
        </w:rPr>
        <w:t>资格审查文件：</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（1）投标人声明（按招标公告附件格式填写，提交原件扫描件）；</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（2）法定代表人证明书、法定代表人签字或盖章的本投标文件授权委托证明书（提交原件扫描件）；</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（3）企业营业执照（原件清晰扫描件）；</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（4）企业资质证书（原件清晰扫描件）；</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（5）建筑施工企业安全生产许可证（原件清晰扫描件）；</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（6）项目负责人（按网上投标登记时选择拟投标的项目负责人）；</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（7）专职安全员（按网上投标登记时选择拟投标的专职安全员）；</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（8）拟委托技术负责人的相关证书、资料（按招标公告要求，原件扫描件）</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（9）拟委派项目负责人的建造师注册证原件清晰扫描件）；</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（10）项目负责人安全生产考核合格证明或在有效期内的安全考核合格证书（B类）或建筑施工企业项目负责人安全生产考核合格证书（原件清晰扫描件）；</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（11）专职安全员须具有在有效期内的安全考核合格证书（C类）或建筑施工企业专职安全生产管理人员安全生产考核合格证书（C3）（原件清晰扫描件）；项目负责人和安全员不为同一人；</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12）投标登记前，投标人须在广州交易集团有限公司（广州公共资源交易中心）企业库办理企业信息登记及拟担任本工程项目负责人、专职安全员须是本企业信息登记中的在册人员。企业信息取自投标截止时间投标人在广州交易集团有限公司（广州公共资源交易中心）企业库内登记的信息，若招标人延长递交投标文件截止时间的，企业信息的评审时点也相应延长。（企业信息登记办理详见《施工类企业信息登记办事指引》，网址：http://www.gzggzy.cn/qyxxd1/945453.jhtml）。</w:t>
      </w:r>
    </w:p>
    <w:p>
      <w:pPr>
        <w:numPr>
          <w:ilvl w:val="0"/>
          <w:numId w:val="4"/>
        </w:numP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其他投标人认为需要提供的资料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11.2.3 响应招标文件所附施工组织设计要点承诺书（格式自拟）。</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11.2.4 按照招标文件要求填写的《参与编制技术标投标文件人员名单》（按招标文件格式填写）。</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11.2.5 投标人廉洁承诺书（按招标文件格式填写）。</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11.2.6 施工技术承诺书（按招标文件格式填写）。</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11.2.7 技术负责人（或其他项目管理机构人员）基本情况及业绩（按招标文件格式填写）</w:t>
      </w:r>
    </w:p>
    <w:p>
      <w:pPr>
        <w:pBdr>
          <w:bottom w:val="single" w:color="auto" w:sz="4" w:space="0"/>
        </w:pBdr>
        <w:ind w:firstLine="420" w:firstLineChars="200"/>
        <w:rPr>
          <w:rFonts w:ascii="宋体" w:hAnsi="宋体" w:cs="宋体"/>
          <w:szCs w:val="21"/>
          <w:highlight w:val="none"/>
          <w:u w:val="single"/>
        </w:rPr>
      </w:pPr>
      <w:r>
        <w:rPr>
          <w:rFonts w:hint="eastAsia" w:ascii="宋体" w:hAnsi="宋体" w:cs="宋体"/>
          <w:szCs w:val="21"/>
          <w:highlight w:val="none"/>
          <w:u w:val="single"/>
        </w:rPr>
        <w:t>11.2.9企业资信等相关资料（格式自拟，按《技术标详细审查评分表》要求提供）。</w:t>
      </w:r>
    </w:p>
    <w:p>
      <w:pPr>
        <w:pBdr>
          <w:bottom w:val="single" w:color="auto" w:sz="4" w:space="0"/>
        </w:pBdr>
        <w:ind w:firstLine="420" w:firstLineChars="200"/>
        <w:rPr>
          <w:rFonts w:ascii="宋体" w:hAnsi="宋体" w:cs="宋体"/>
          <w:szCs w:val="21"/>
          <w:highlight w:val="none"/>
          <w:u w:val="single"/>
        </w:rPr>
      </w:pPr>
      <w:r>
        <w:rPr>
          <w:rFonts w:hint="eastAsia" w:ascii="宋体" w:hAnsi="宋体" w:cs="宋体"/>
          <w:szCs w:val="21"/>
          <w:highlight w:val="none"/>
          <w:u w:val="single"/>
        </w:rPr>
        <w:t>11.2.10项目负责人驻场承诺书（按招标文件格式要求填写）</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条款号：11.3.3</w:t>
      </w:r>
      <w:r>
        <w:rPr>
          <w:rFonts w:hint="eastAsia" w:ascii="宋体" w:hAnsi="宋体" w:cs="宋体"/>
          <w:b/>
          <w:szCs w:val="21"/>
          <w:highlight w:val="none"/>
        </w:rPr>
        <w:t xml:space="preserve">          </w:t>
      </w:r>
      <w:r>
        <w:rPr>
          <w:rFonts w:hint="eastAsia" w:ascii="宋体" w:hAnsi="宋体" w:cs="宋体"/>
          <w:b/>
          <w:bCs/>
          <w:szCs w:val="21"/>
          <w:highlight w:val="none"/>
        </w:rPr>
        <w:t>改类型：增加</w:t>
      </w:r>
    </w:p>
    <w:p>
      <w:pPr>
        <w:pBdr>
          <w:bottom w:val="single" w:color="auto" w:sz="6" w:space="1"/>
        </w:pBdr>
        <w:tabs>
          <w:tab w:val="left" w:pos="6329"/>
        </w:tabs>
        <w:spacing w:line="360" w:lineRule="auto"/>
        <w:ind w:firstLine="422" w:firstLineChars="20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11.3.3按照招标文件要求填写的《参与编制经济标投标文件人员名单》。</w:t>
      </w:r>
    </w:p>
    <w:p>
      <w:pPr>
        <w:pBdr>
          <w:bottom w:val="single" w:color="auto" w:sz="6" w:space="1"/>
        </w:pBdr>
        <w:tabs>
          <w:tab w:val="left" w:pos="6329"/>
        </w:tabs>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现文：</w:t>
      </w:r>
      <w:r>
        <w:rPr>
          <w:rFonts w:hint="eastAsia" w:ascii="宋体" w:hAnsi="宋体" w:cs="宋体"/>
          <w:bCs/>
          <w:szCs w:val="21"/>
          <w:highlight w:val="none"/>
        </w:rPr>
        <w:t>11.3.3按照招标文件要求填写的《参与编制经济标投标文件人员名单》、</w:t>
      </w:r>
      <w:r>
        <w:rPr>
          <w:rFonts w:hint="eastAsia" w:ascii="宋体" w:hAnsi="宋体" w:cs="宋体"/>
          <w:bCs/>
          <w:szCs w:val="21"/>
          <w:highlight w:val="none"/>
          <w:u w:val="single"/>
        </w:rPr>
        <w:t>《对投标文件编制的承诺》。</w:t>
      </w:r>
    </w:p>
    <w:p>
      <w:pPr>
        <w:tabs>
          <w:tab w:val="left" w:pos="2940"/>
        </w:tabs>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条款号：11.3.5          修改类型：增加</w:t>
      </w:r>
    </w:p>
    <w:p>
      <w:pPr>
        <w:pBdr>
          <w:bottom w:val="single" w:color="auto" w:sz="6" w:space="1"/>
        </w:pBdr>
        <w:tabs>
          <w:tab w:val="left" w:pos="6329"/>
        </w:tabs>
        <w:spacing w:line="360" w:lineRule="auto"/>
        <w:ind w:firstLine="422" w:firstLineChars="200"/>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rPr>
        <w:t>11.3.5</w:t>
      </w:r>
      <w:r>
        <w:rPr>
          <w:rFonts w:hint="eastAsia" w:ascii="宋体" w:hAnsi="宋体" w:cs="宋体"/>
          <w:bCs/>
          <w:szCs w:val="21"/>
          <w:highlight w:val="none"/>
          <w:u w:val="single"/>
        </w:rPr>
        <w:t>其他投标人认为需要提供的资料</w:t>
      </w:r>
      <w:r>
        <w:rPr>
          <w:rFonts w:hint="eastAsia" w:ascii="宋体" w:hAnsi="宋体" w:cs="宋体"/>
          <w:bCs/>
          <w:szCs w:val="21"/>
          <w:highlight w:val="none"/>
        </w:rPr>
        <w:t>。</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条款号：12.2           修改类型：修改</w:t>
      </w:r>
    </w:p>
    <w:p>
      <w:pPr>
        <w:spacing w:line="360" w:lineRule="auto"/>
        <w:ind w:firstLine="472" w:firstLineChars="224"/>
        <w:rPr>
          <w:rFonts w:ascii="宋体" w:hAnsi="宋体" w:cs="宋体"/>
          <w:szCs w:val="21"/>
          <w:highlight w:val="none"/>
        </w:rPr>
      </w:pPr>
      <w:r>
        <w:rPr>
          <w:rFonts w:hint="eastAsia" w:ascii="宋体" w:hAnsi="宋体" w:cs="宋体"/>
          <w:b/>
          <w:szCs w:val="21"/>
          <w:highlight w:val="none"/>
        </w:rPr>
        <w:t>原文：</w:t>
      </w:r>
      <w:bookmarkStart w:id="6" w:name="_Hlk3794589"/>
      <w:r>
        <w:rPr>
          <w:rFonts w:hint="eastAsia" w:ascii="宋体" w:hAnsi="宋体" w:cs="宋体"/>
          <w:szCs w:val="21"/>
          <w:highlight w:val="none"/>
        </w:rPr>
        <w:t xml:space="preserve">12.2 </w:t>
      </w:r>
      <w:bookmarkEnd w:id="6"/>
      <w:r>
        <w:rPr>
          <w:rFonts w:hint="eastAsia" w:ascii="宋体" w:hAnsi="宋体" w:cs="宋体"/>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highlight w:val="none"/>
          <w:u w:val="single"/>
        </w:rPr>
        <w:t xml:space="preserve">             </w:t>
      </w:r>
      <w:r>
        <w:rPr>
          <w:rFonts w:hint="eastAsia" w:ascii="宋体" w:hAnsi="宋体" w:cs="宋体"/>
          <w:szCs w:val="21"/>
          <w:highlight w:val="none"/>
        </w:rPr>
        <w:t>。</w:t>
      </w:r>
    </w:p>
    <w:p>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 xml:space="preserve">12.2 </w:t>
      </w:r>
      <w:r>
        <w:rPr>
          <w:rFonts w:hint="eastAsia" w:ascii="宋体" w:hAnsi="宋体" w:cs="宋体"/>
          <w:bCs/>
          <w:kern w:val="0"/>
          <w:szCs w:val="21"/>
          <w:highlight w:val="none"/>
        </w:rPr>
        <w:t>投标文件全部采用电子文档，投标文件</w:t>
      </w:r>
      <w:r>
        <w:rPr>
          <w:rFonts w:hint="eastAsia" w:ascii="宋体" w:hAnsi="宋体" w:cs="宋体"/>
          <w:b/>
          <w:szCs w:val="21"/>
          <w:highlight w:val="none"/>
          <w:u w:val="single"/>
        </w:rPr>
        <w:t>（含资格审查文件）</w:t>
      </w:r>
      <w:r>
        <w:rPr>
          <w:rFonts w:hint="eastAsia" w:ascii="宋体" w:hAnsi="宋体" w:cs="宋体"/>
          <w:bCs/>
          <w:kern w:val="0"/>
          <w:szCs w:val="21"/>
          <w:highlight w:val="none"/>
        </w:rPr>
        <w:t>所附证书证件均为原件扫描件，并采用单位数字证书，按招标文件要求在相应位置加盖电子印章。投标文件</w:t>
      </w:r>
      <w:r>
        <w:rPr>
          <w:rFonts w:hint="eastAsia" w:ascii="宋体" w:hAnsi="宋体" w:cs="宋体"/>
          <w:b/>
          <w:szCs w:val="21"/>
          <w:highlight w:val="none"/>
          <w:u w:val="single"/>
        </w:rPr>
        <w:t>（含资格审查文件）</w:t>
      </w:r>
      <w:r>
        <w:rPr>
          <w:rFonts w:hint="eastAsia" w:ascii="宋体" w:hAnsi="宋体" w:cs="宋体"/>
          <w:bCs/>
          <w:kern w:val="0"/>
          <w:szCs w:val="21"/>
          <w:highlight w:val="none"/>
        </w:rPr>
        <w:t>中需个人签字或盖章的，应加盖个人电子印章或在线下完成后扫描上传。</w:t>
      </w:r>
      <w:r>
        <w:rPr>
          <w:rFonts w:hint="eastAsia" w:ascii="宋体" w:hAnsi="宋体" w:cs="宋体"/>
          <w:szCs w:val="21"/>
          <w:highlight w:val="none"/>
        </w:rPr>
        <w:t>按照</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交易平台关于全流程电子化项目的相关指南进行操作。详见：</w:t>
      </w:r>
      <w:r>
        <w:rPr>
          <w:rFonts w:hint="eastAsia" w:ascii="宋体" w:hAnsi="宋体" w:cs="宋体"/>
          <w:szCs w:val="21"/>
          <w:highlight w:val="none"/>
          <w:u w:val="single"/>
        </w:rPr>
        <w:t>广州公共资源交易中心网站http:// www.gzggzy.cn）-服务指南-办事指南-建设工程-【房屋建筑和市政基础设施工程全流程电子化项目专章（适用于投标人）】。</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条款号：12.3           修改类型：修改</w:t>
      </w:r>
    </w:p>
    <w:p>
      <w:pPr>
        <w:spacing w:line="360" w:lineRule="auto"/>
        <w:ind w:firstLine="472" w:firstLineChars="224"/>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12.3 投标文件应按照</w:t>
      </w:r>
      <w:r>
        <w:rPr>
          <w:rFonts w:hint="eastAsia" w:ascii="宋体" w:hAnsi="宋体" w:cs="宋体"/>
          <w:szCs w:val="21"/>
          <w:highlight w:val="none"/>
          <w:u w:val="single"/>
        </w:rPr>
        <w:t xml:space="preserve">        </w:t>
      </w:r>
      <w:r>
        <w:rPr>
          <w:rFonts w:hint="eastAsia" w:ascii="宋体" w:hAnsi="宋体" w:cs="宋体"/>
          <w:szCs w:val="21"/>
          <w:highlight w:val="none"/>
        </w:rPr>
        <w:t>交易平台关于全流程电子化项目的相关指南进行编制，详见：</w:t>
      </w:r>
      <w:r>
        <w:rPr>
          <w:rFonts w:hint="eastAsia" w:ascii="宋体" w:hAnsi="宋体" w:cs="宋体"/>
          <w:szCs w:val="21"/>
          <w:highlight w:val="none"/>
          <w:u w:val="single"/>
        </w:rPr>
        <w:t xml:space="preserve">     </w:t>
      </w:r>
      <w:r>
        <w:rPr>
          <w:rFonts w:hint="eastAsia" w:ascii="宋体" w:hAnsi="宋体" w:cs="宋体"/>
          <w:szCs w:val="21"/>
          <w:highlight w:val="none"/>
        </w:rPr>
        <w:t>。</w:t>
      </w:r>
    </w:p>
    <w:p>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12.3 投标文件应按照</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交易平台关于全流程电子化项目的相关指南进行编制，详见：</w:t>
      </w:r>
      <w:r>
        <w:rPr>
          <w:rFonts w:hint="eastAsia" w:ascii="宋体" w:hAnsi="宋体" w:cs="宋体"/>
          <w:szCs w:val="21"/>
          <w:highlight w:val="none"/>
          <w:u w:val="single"/>
        </w:rPr>
        <w:t>广州公共资源交易中心网站http:// www.gzggzy.cn）-服务指南-办事指南-建设工程-【房屋建筑和市政基础设施工程全流程电子化项目专章（适用于投标人）】</w:t>
      </w:r>
      <w:r>
        <w:rPr>
          <w:rFonts w:hint="eastAsia" w:ascii="宋体" w:hAnsi="宋体" w:cs="宋体"/>
          <w:szCs w:val="21"/>
          <w:highlight w:val="none"/>
        </w:rPr>
        <w:t>。</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条款号：13.1           修改类型：修改</w:t>
      </w:r>
    </w:p>
    <w:p>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13.1 本工程的投标报价采用投标须知前附表第12项所规定的方式。投标报价（含单价及总价）精确到“分”。</w:t>
      </w:r>
    </w:p>
    <w:p>
      <w:pPr>
        <w:pBdr>
          <w:bottom w:val="single" w:color="auto" w:sz="6" w:space="1"/>
        </w:pBdr>
        <w:spacing w:line="360" w:lineRule="auto"/>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本工程的投标报价采用投标须知前附表</w:t>
      </w:r>
      <w:r>
        <w:rPr>
          <w:rFonts w:hint="eastAsia" w:ascii="宋体" w:hAnsi="宋体" w:cs="宋体"/>
          <w:szCs w:val="21"/>
          <w:highlight w:val="none"/>
          <w:u w:val="single"/>
        </w:rPr>
        <w:t>第12项</w:t>
      </w:r>
      <w:r>
        <w:rPr>
          <w:rFonts w:hint="eastAsia" w:ascii="宋体" w:hAnsi="宋体" w:cs="宋体"/>
          <w:szCs w:val="21"/>
          <w:highlight w:val="none"/>
        </w:rPr>
        <w:t>所规定的方式。</w:t>
      </w:r>
      <w:r>
        <w:rPr>
          <w:rFonts w:hint="eastAsia" w:ascii="宋体" w:hAnsi="宋体" w:cs="宋体"/>
          <w:szCs w:val="21"/>
          <w:highlight w:val="none"/>
          <w:u w:val="single"/>
        </w:rPr>
        <w:t>投标文件中的大写金额和小写金额不一致的，以大写金额为准，</w:t>
      </w:r>
      <w:r>
        <w:rPr>
          <w:rFonts w:hint="eastAsia" w:ascii="宋体" w:hAnsi="宋体" w:cs="宋体"/>
          <w:szCs w:val="21"/>
          <w:highlight w:val="none"/>
        </w:rPr>
        <w:t>投标报价（含单价及总价）精确到“分”。</w:t>
      </w:r>
    </w:p>
    <w:p>
      <w:pPr>
        <w:pBdr>
          <w:bottom w:val="single" w:color="auto" w:sz="4" w:space="0"/>
        </w:pBd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条款号：13.3           修改类型：修改</w:t>
      </w:r>
    </w:p>
    <w:p>
      <w:pPr>
        <w:pBdr>
          <w:bottom w:val="single" w:color="auto" w:sz="4" w:space="0"/>
        </w:pBdr>
        <w:tabs>
          <w:tab w:val="left" w:pos="2940"/>
        </w:tabs>
        <w:spacing w:line="360" w:lineRule="auto"/>
        <w:ind w:firstLine="527" w:firstLineChars="25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13.3</w:t>
      </w:r>
      <w:r>
        <w:rPr>
          <w:rFonts w:hint="eastAsia" w:ascii="宋体" w:hAnsi="宋体" w:cs="宋体"/>
          <w:szCs w:val="21"/>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4" w:space="0"/>
        </w:pBdr>
        <w:spacing w:line="360" w:lineRule="auto"/>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13.3</w:t>
      </w:r>
      <w:r>
        <w:rPr>
          <w:rFonts w:hint="eastAsia" w:ascii="宋体" w:hAnsi="宋体" w:cs="宋体"/>
          <w:szCs w:val="21"/>
          <w:highlight w:val="none"/>
        </w:rPr>
        <w:t>投标人的投标报价，应是按照投标须知前附表第8项的工期要求，在投标须知前附表第3项的建设地点，完成投标须知前附表第7项的招标范围内已由招标人</w:t>
      </w:r>
      <w:r>
        <w:rPr>
          <w:rFonts w:hint="eastAsia" w:ascii="宋体" w:hAnsi="宋体" w:cs="宋体"/>
          <w:szCs w:val="21"/>
          <w:highlight w:val="none"/>
          <w:u w:val="single"/>
        </w:rPr>
        <w:t>提供的招标图纸（包括本项目招标的相关资料）</w:t>
      </w:r>
      <w:r>
        <w:rPr>
          <w:rFonts w:hint="eastAsia" w:ascii="宋体" w:hAnsi="宋体" w:cs="宋体"/>
          <w:szCs w:val="21"/>
          <w:highlight w:val="none"/>
        </w:rPr>
        <w:t>及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bCs/>
          <w:szCs w:val="21"/>
          <w:highlight w:val="none"/>
        </w:rPr>
        <w:t>条款号：13.4          修改类型：修改</w:t>
      </w:r>
    </w:p>
    <w:p>
      <w:pPr>
        <w:pBdr>
          <w:bottom w:val="single" w:color="auto" w:sz="6" w:space="1"/>
        </w:pBdr>
        <w:spacing w:line="360" w:lineRule="auto"/>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原文</w:t>
      </w:r>
      <w:r>
        <w:rPr>
          <w:rFonts w:hint="eastAsia" w:ascii="宋体" w:hAnsi="宋体" w:cs="宋体"/>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rPr>
          <w:rFonts w:ascii="宋体" w:hAnsi="宋体" w:cs="宋体"/>
          <w:szCs w:val="21"/>
          <w:highlight w:val="none"/>
          <w:u w:val="single"/>
        </w:rPr>
      </w:pPr>
      <w:r>
        <w:rPr>
          <w:rFonts w:hint="eastAsia" w:ascii="宋体" w:hAnsi="宋体" w:cs="宋体"/>
          <w:b/>
          <w:szCs w:val="21"/>
          <w:highlight w:val="none"/>
        </w:rPr>
        <w:t xml:space="preserve">    现文：</w:t>
      </w:r>
      <w:r>
        <w:rPr>
          <w:rFonts w:hint="eastAsia" w:ascii="宋体" w:hAnsi="宋体" w:cs="宋体"/>
          <w:bCs/>
          <w:szCs w:val="21"/>
          <w:highlight w:val="none"/>
        </w:rPr>
        <w:t>13.4</w:t>
      </w:r>
      <w:r>
        <w:rPr>
          <w:rFonts w:hint="eastAsia" w:ascii="宋体" w:hAnsi="宋体" w:cs="宋体"/>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szCs w:val="21"/>
          <w:highlight w:val="none"/>
          <w:u w:val="single"/>
        </w:rPr>
        <w:t>按合同条款相关约定调整。</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条款号：16            修改类型：修改</w:t>
      </w:r>
    </w:p>
    <w:p>
      <w:pPr>
        <w:spacing w:line="360" w:lineRule="auto"/>
        <w:ind w:firstLine="527" w:firstLineChars="250"/>
        <w:rPr>
          <w:rFonts w:ascii="宋体" w:hAnsi="宋体" w:cs="宋体"/>
          <w:b/>
          <w:szCs w:val="21"/>
          <w:highlight w:val="none"/>
        </w:rPr>
      </w:pPr>
      <w:r>
        <w:rPr>
          <w:rFonts w:hint="eastAsia" w:ascii="宋体" w:hAnsi="宋体" w:cs="宋体"/>
          <w:b/>
          <w:szCs w:val="21"/>
          <w:highlight w:val="none"/>
        </w:rPr>
        <w:t>原文：16．投标保证金</w:t>
      </w:r>
    </w:p>
    <w:p>
      <w:pPr>
        <w:pBdr>
          <w:bottom w:val="none" w:color="auto" w:sz="0" w:space="1"/>
        </w:pBdr>
        <w:spacing w:line="360" w:lineRule="auto"/>
        <w:ind w:firstLine="525" w:firstLineChars="250"/>
        <w:rPr>
          <w:rFonts w:ascii="宋体" w:hAnsi="宋体" w:cs="宋体"/>
          <w:szCs w:val="21"/>
          <w:highlight w:val="none"/>
        </w:rPr>
      </w:pPr>
      <w:r>
        <w:rPr>
          <w:rFonts w:hint="eastAsia" w:ascii="宋体" w:hAnsi="宋体" w:cs="宋体"/>
          <w:szCs w:val="21"/>
          <w:highlight w:val="none"/>
        </w:rPr>
        <w:t>16.1投标人应按投标须知前附表第14项所述金额和时间递交</w:t>
      </w:r>
      <w:r>
        <w:rPr>
          <w:rFonts w:hint="eastAsia" w:ascii="宋体" w:hAnsi="宋体" w:cs="宋体"/>
          <w:bCs/>
          <w:szCs w:val="21"/>
          <w:highlight w:val="none"/>
        </w:rPr>
        <w:t>投标保证金</w:t>
      </w:r>
      <w:r>
        <w:rPr>
          <w:rFonts w:hint="eastAsia" w:ascii="宋体" w:hAnsi="宋体" w:cs="宋体"/>
          <w:szCs w:val="21"/>
          <w:highlight w:val="none"/>
        </w:rPr>
        <w:t>。投标保证金以现金或者支票形式提交的，必须由投标人的银行基本账户转出。</w:t>
      </w:r>
    </w:p>
    <w:p>
      <w:pPr>
        <w:pBdr>
          <w:bottom w:val="none" w:color="auto" w:sz="0" w:space="1"/>
        </w:pBdr>
        <w:spacing w:line="360" w:lineRule="auto"/>
        <w:ind w:firstLine="525" w:firstLineChars="250"/>
        <w:rPr>
          <w:rFonts w:ascii="宋体" w:hAnsi="宋体" w:cs="宋体"/>
          <w:szCs w:val="21"/>
          <w:highlight w:val="none"/>
        </w:rPr>
      </w:pPr>
      <w:r>
        <w:rPr>
          <w:rFonts w:hint="eastAsia" w:ascii="宋体" w:hAnsi="宋体" w:cs="宋体"/>
          <w:szCs w:val="21"/>
          <w:highlight w:val="none"/>
        </w:rPr>
        <w:t>16.2招标人可委托</w:t>
      </w:r>
      <w:r>
        <w:rPr>
          <w:rFonts w:hint="eastAsia" w:ascii="宋体" w:hAnsi="宋体" w:cs="宋体"/>
          <w:szCs w:val="21"/>
          <w:highlight w:val="none"/>
          <w:u w:val="single"/>
        </w:rPr>
        <w:t xml:space="preserve">      </w:t>
      </w:r>
      <w:r>
        <w:rPr>
          <w:rFonts w:hint="eastAsia" w:ascii="宋体" w:hAnsi="宋体" w:cs="宋体"/>
          <w:szCs w:val="21"/>
          <w:highlight w:val="none"/>
        </w:rPr>
        <w:t>交易平台具体实施保证金的收取和退还工作。通过</w:t>
      </w:r>
      <w:r>
        <w:rPr>
          <w:rFonts w:hint="eastAsia" w:ascii="宋体" w:hAnsi="宋体" w:cs="宋体"/>
          <w:szCs w:val="21"/>
          <w:highlight w:val="none"/>
          <w:u w:val="single"/>
        </w:rPr>
        <w:t xml:space="preserve">   </w:t>
      </w:r>
      <w:r>
        <w:rPr>
          <w:rFonts w:hint="eastAsia" w:ascii="宋体" w:hAnsi="宋体" w:cs="宋体"/>
          <w:szCs w:val="21"/>
          <w:highlight w:val="none"/>
        </w:rPr>
        <w:t>交易平台递交投标保证金的相关事宜，请自行咨询</w:t>
      </w:r>
      <w:r>
        <w:rPr>
          <w:rFonts w:hint="eastAsia" w:ascii="宋体" w:hAnsi="宋体" w:cs="宋体"/>
          <w:szCs w:val="21"/>
          <w:highlight w:val="none"/>
          <w:u w:val="single"/>
        </w:rPr>
        <w:t xml:space="preserve">        </w:t>
      </w:r>
      <w:r>
        <w:rPr>
          <w:rFonts w:hint="eastAsia" w:ascii="宋体" w:hAnsi="宋体" w:cs="宋体"/>
          <w:szCs w:val="21"/>
          <w:highlight w:val="none"/>
        </w:rPr>
        <w:t>交易平台。</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16.3</w:t>
      </w:r>
      <w:r>
        <w:rPr>
          <w:rFonts w:hint="eastAsia" w:ascii="宋体" w:hAnsi="宋体" w:cs="宋体"/>
          <w:szCs w:val="21"/>
          <w:highlight w:val="none"/>
          <w:u w:val="single"/>
        </w:rPr>
        <w:t xml:space="preserve">        </w:t>
      </w:r>
      <w:r>
        <w:rPr>
          <w:rFonts w:hint="eastAsia" w:ascii="宋体" w:hAnsi="宋体" w:cs="宋体"/>
          <w:szCs w:val="21"/>
          <w:highlight w:val="none"/>
        </w:rPr>
        <w:t>交易平台代收投标保证金的，其缴纳情况以</w:t>
      </w:r>
      <w:r>
        <w:rPr>
          <w:rFonts w:hint="eastAsia" w:ascii="宋体" w:hAnsi="宋体" w:cs="宋体"/>
          <w:szCs w:val="21"/>
          <w:highlight w:val="none"/>
          <w:u w:val="single"/>
        </w:rPr>
        <w:t xml:space="preserve">        </w:t>
      </w:r>
      <w:r>
        <w:rPr>
          <w:rFonts w:hint="eastAsia" w:ascii="宋体" w:hAnsi="宋体" w:cs="宋体"/>
          <w:szCs w:val="21"/>
          <w:highlight w:val="none"/>
        </w:rPr>
        <w:t>交易平台数据库记录的信息为准。</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16.4开标时投标人没有按要求提供投标保证金的，其投标文件将被否决。</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16.5中标候选人以外的投标人的投标保证金将尽快退还，最迟不超过中标通知书发出之日起五日内。</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16.6中标人和其他中标候选人的投标保证金，在书面合同订立之日起五日内予以退还。</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16.7如有下列情况之一的，招标人不予退还投标保证金：</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16.7.1因投标人原因造成投标文件未解密的；</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16.7.2投标人在投标有效期内撤回投标文件；</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16.7.3中标人未能在规定期限内按要求提交履约担保；</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16.7.4中标人未能在规定期限内签署合同协议。</w:t>
      </w:r>
    </w:p>
    <w:p>
      <w:pPr>
        <w:spacing w:line="360" w:lineRule="auto"/>
        <w:ind w:firstLine="527" w:firstLineChars="250"/>
        <w:rPr>
          <w:rFonts w:ascii="宋体" w:hAnsi="宋体" w:cs="宋体"/>
          <w:b/>
          <w:szCs w:val="21"/>
          <w:highlight w:val="none"/>
        </w:rPr>
      </w:pPr>
      <w:r>
        <w:rPr>
          <w:rFonts w:hint="eastAsia" w:ascii="宋体" w:hAnsi="宋体" w:cs="宋体"/>
          <w:b/>
          <w:szCs w:val="21"/>
          <w:highlight w:val="none"/>
        </w:rPr>
        <w:t>现文：16．投标保证金</w:t>
      </w:r>
    </w:p>
    <w:p>
      <w:pPr>
        <w:spacing w:line="360" w:lineRule="auto"/>
        <w:ind w:firstLine="525" w:firstLineChars="250"/>
        <w:rPr>
          <w:rFonts w:ascii="宋体" w:hAnsi="宋体" w:cs="宋体"/>
          <w:szCs w:val="21"/>
          <w:highlight w:val="none"/>
          <w:u w:val="single"/>
        </w:rPr>
      </w:pPr>
      <w:r>
        <w:rPr>
          <w:rFonts w:hint="eastAsia" w:ascii="宋体" w:hAnsi="宋体" w:cs="宋体"/>
          <w:szCs w:val="21"/>
          <w:highlight w:val="none"/>
          <w:u w:val="single"/>
        </w:rPr>
        <w:t>16.1投标人应按投标须知前附表第14项所述金额和时间递交投标保证金。</w:t>
      </w:r>
      <w:r>
        <w:rPr>
          <w:rFonts w:hint="eastAsia" w:ascii="宋体" w:hAnsi="宋体" w:cs="宋体"/>
          <w:b/>
          <w:bCs/>
          <w:szCs w:val="21"/>
          <w:highlight w:val="none"/>
          <w:u w:val="single"/>
        </w:rPr>
        <w:t>招标人应当允许投标人自主选择现金、银行保函、保证保险、专业工程担保公司担保等方式缴纳投标保证金。</w:t>
      </w:r>
    </w:p>
    <w:p>
      <w:pPr>
        <w:spacing w:line="360" w:lineRule="auto"/>
        <w:ind w:firstLine="525" w:firstLineChars="250"/>
        <w:rPr>
          <w:rFonts w:ascii="宋体" w:hAnsi="宋体" w:cs="宋体"/>
          <w:szCs w:val="21"/>
          <w:highlight w:val="none"/>
          <w:u w:val="single"/>
        </w:rPr>
      </w:pPr>
      <w:r>
        <w:rPr>
          <w:rFonts w:hint="eastAsia" w:ascii="宋体" w:hAnsi="宋体" w:cs="宋体"/>
          <w:szCs w:val="21"/>
          <w:highlight w:val="none"/>
          <w:u w:val="single"/>
        </w:rPr>
        <w:t>16.1.1 采用现金</w:t>
      </w:r>
      <w:r>
        <w:rPr>
          <w:rFonts w:hint="eastAsia" w:ascii="宋体" w:hAnsi="宋体" w:cs="宋体"/>
          <w:b/>
          <w:bCs/>
          <w:szCs w:val="21"/>
          <w:highlight w:val="none"/>
          <w:u w:val="single"/>
        </w:rPr>
        <w:t>或者支票</w:t>
      </w:r>
      <w:r>
        <w:rPr>
          <w:rFonts w:hint="eastAsia" w:ascii="宋体" w:hAnsi="宋体" w:cs="宋体"/>
          <w:szCs w:val="21"/>
          <w:highlight w:val="none"/>
          <w:u w:val="single"/>
        </w:rPr>
        <w:t>形式提交的，投标保证金须从投标人的银行基本账户转出。</w:t>
      </w:r>
    </w:p>
    <w:p>
      <w:pPr>
        <w:spacing w:line="360" w:lineRule="auto"/>
        <w:ind w:firstLine="525" w:firstLineChars="250"/>
        <w:rPr>
          <w:rFonts w:ascii="宋体" w:hAnsi="宋体" w:cs="宋体"/>
          <w:szCs w:val="21"/>
          <w:highlight w:val="none"/>
          <w:u w:val="single"/>
        </w:rPr>
      </w:pPr>
      <w:r>
        <w:rPr>
          <w:rFonts w:hint="eastAsia" w:ascii="宋体" w:hAnsi="宋体" w:cs="宋体"/>
          <w:szCs w:val="21"/>
          <w:highlight w:val="none"/>
          <w:u w:val="single"/>
        </w:rPr>
        <w:t>16.1.2 依法必须招标的房屋建筑工程如采用非电子形式的</w:t>
      </w:r>
      <w:r>
        <w:rPr>
          <w:rFonts w:hint="eastAsia" w:ascii="宋体" w:hAnsi="宋体" w:cs="宋体"/>
          <w:b/>
          <w:bCs/>
          <w:szCs w:val="21"/>
          <w:highlight w:val="none"/>
          <w:u w:val="single"/>
        </w:rPr>
        <w:t>银行保函、专业工程担保公司担保或保证保险</w:t>
      </w:r>
      <w:r>
        <w:rPr>
          <w:rFonts w:hint="eastAsia" w:ascii="宋体" w:hAnsi="宋体" w:cs="宋体"/>
          <w:szCs w:val="21"/>
          <w:highlight w:val="none"/>
          <w:u w:val="single"/>
        </w:rPr>
        <w:t>提交投标保证金的，在开标前不强制要求投标人提交纸质原件，由中标候选人在中标候选人公示前提交并在网上公示，投标人应在投标文件中提交</w:t>
      </w:r>
      <w:r>
        <w:rPr>
          <w:rFonts w:hint="eastAsia" w:ascii="宋体" w:hAnsi="宋体" w:cs="宋体"/>
          <w:b/>
          <w:bCs/>
          <w:szCs w:val="21"/>
          <w:highlight w:val="none"/>
          <w:u w:val="single"/>
        </w:rPr>
        <w:t>保函、担保或保证保险</w:t>
      </w:r>
      <w:r>
        <w:rPr>
          <w:rFonts w:hint="eastAsia" w:ascii="宋体" w:hAnsi="宋体" w:cs="宋体"/>
          <w:szCs w:val="21"/>
          <w:highlight w:val="none"/>
          <w:u w:val="single"/>
        </w:rPr>
        <w:t>扫描件并加盖投标人电子印章。</w:t>
      </w:r>
      <w:r>
        <w:rPr>
          <w:rFonts w:hint="eastAsia" w:ascii="宋体" w:hAnsi="宋体" w:cs="宋体"/>
          <w:b/>
          <w:bCs/>
          <w:szCs w:val="21"/>
          <w:highlight w:val="none"/>
          <w:u w:val="single"/>
        </w:rPr>
        <w:t>如投标人存在16.4条款所列情形的，应将纸质原件提交给招标人。</w:t>
      </w:r>
    </w:p>
    <w:p>
      <w:pPr>
        <w:spacing w:line="360" w:lineRule="auto"/>
        <w:ind w:firstLine="525" w:firstLineChars="250"/>
        <w:rPr>
          <w:rFonts w:ascii="宋体" w:hAnsi="宋体" w:cs="宋体"/>
          <w:szCs w:val="21"/>
          <w:highlight w:val="none"/>
          <w:u w:val="single"/>
        </w:rPr>
      </w:pPr>
      <w:r>
        <w:rPr>
          <w:rFonts w:hint="eastAsia" w:ascii="宋体" w:hAnsi="宋体" w:cs="宋体"/>
          <w:szCs w:val="21"/>
          <w:highlight w:val="none"/>
          <w:u w:val="single"/>
        </w:rPr>
        <w:t>16.1.3 采用</w:t>
      </w:r>
      <w:r>
        <w:rPr>
          <w:rFonts w:hint="eastAsia" w:ascii="宋体" w:hAnsi="宋体" w:cs="宋体"/>
          <w:b/>
          <w:bCs/>
          <w:szCs w:val="21"/>
          <w:highlight w:val="none"/>
          <w:u w:val="single"/>
        </w:rPr>
        <w:t>电子形式的保函、担保或保证保险</w:t>
      </w:r>
      <w:r>
        <w:rPr>
          <w:rFonts w:hint="eastAsia" w:ascii="宋体" w:hAnsi="宋体" w:cs="宋体"/>
          <w:szCs w:val="21"/>
          <w:highlight w:val="none"/>
          <w:u w:val="single"/>
        </w:rPr>
        <w:t>提交投标保证金的，应在招标文件中明确电子递交途径。</w:t>
      </w:r>
    </w:p>
    <w:p>
      <w:pPr>
        <w:spacing w:line="360" w:lineRule="auto"/>
        <w:ind w:firstLine="525" w:firstLineChars="250"/>
        <w:rPr>
          <w:rFonts w:ascii="宋体" w:hAnsi="宋体" w:cs="宋体"/>
          <w:szCs w:val="21"/>
          <w:highlight w:val="none"/>
          <w:u w:val="single"/>
        </w:rPr>
      </w:pPr>
      <w:r>
        <w:rPr>
          <w:rFonts w:hint="eastAsia" w:ascii="宋体" w:hAnsi="宋体" w:cs="宋体"/>
          <w:szCs w:val="21"/>
          <w:highlight w:val="none"/>
          <w:u w:val="single"/>
        </w:rPr>
        <w:t>16.2开标时投标人没有按要求提供投标保证金的，其投标文件将被否决；</w:t>
      </w:r>
      <w:r>
        <w:rPr>
          <w:rFonts w:hint="eastAsia" w:ascii="宋体" w:hAnsi="宋体" w:cs="宋体"/>
          <w:b/>
          <w:bCs/>
          <w:szCs w:val="21"/>
          <w:highlight w:val="none"/>
          <w:u w:val="single"/>
        </w:rPr>
        <w:t>未按招标文件要求提交符合免予提供投标保证金相关证明材料，且未提交投标保证金的投标人，视为未按要求提供投标保证金</w:t>
      </w:r>
      <w:r>
        <w:rPr>
          <w:rFonts w:hint="eastAsia" w:ascii="宋体" w:hAnsi="宋体" w:cs="宋体"/>
          <w:szCs w:val="21"/>
          <w:highlight w:val="none"/>
          <w:u w:val="single"/>
        </w:rPr>
        <w:t>。</w:t>
      </w:r>
    </w:p>
    <w:p>
      <w:pPr>
        <w:spacing w:line="360" w:lineRule="auto"/>
        <w:ind w:firstLine="525" w:firstLineChars="250"/>
        <w:rPr>
          <w:rFonts w:ascii="宋体" w:hAnsi="宋体" w:cs="宋体"/>
          <w:szCs w:val="21"/>
          <w:highlight w:val="none"/>
          <w:u w:val="single"/>
        </w:rPr>
      </w:pPr>
      <w:r>
        <w:rPr>
          <w:rFonts w:hint="eastAsia" w:ascii="宋体" w:hAnsi="宋体" w:cs="宋体"/>
          <w:szCs w:val="21"/>
          <w:highlight w:val="none"/>
          <w:u w:val="single"/>
        </w:rPr>
        <w:t>16.3投标保证金应依据法律法规的相关规定退还。</w:t>
      </w:r>
    </w:p>
    <w:p>
      <w:pPr>
        <w:spacing w:line="360" w:lineRule="auto"/>
        <w:ind w:firstLine="525" w:firstLineChars="250"/>
        <w:rPr>
          <w:rFonts w:ascii="宋体" w:hAnsi="宋体" w:cs="宋体"/>
          <w:szCs w:val="21"/>
          <w:highlight w:val="none"/>
          <w:u w:val="single"/>
        </w:rPr>
      </w:pPr>
      <w:r>
        <w:rPr>
          <w:rFonts w:hint="eastAsia" w:ascii="宋体" w:hAnsi="宋体" w:cs="宋体"/>
          <w:szCs w:val="21"/>
          <w:highlight w:val="none"/>
          <w:u w:val="single"/>
        </w:rPr>
        <w:t>16.4如有下列情况之一的，招标人可以不予退还投标保证金（是否退还投标保证金由招标人在招标文件中规定）：</w:t>
      </w:r>
    </w:p>
    <w:p>
      <w:pPr>
        <w:spacing w:line="360" w:lineRule="auto"/>
        <w:ind w:firstLine="525" w:firstLineChars="250"/>
        <w:rPr>
          <w:rFonts w:ascii="宋体" w:hAnsi="宋体" w:cs="宋体"/>
          <w:szCs w:val="21"/>
          <w:highlight w:val="none"/>
          <w:u w:val="single"/>
        </w:rPr>
      </w:pPr>
      <w:r>
        <w:rPr>
          <w:rFonts w:hint="eastAsia" w:ascii="宋体" w:hAnsi="宋体" w:cs="宋体"/>
          <w:szCs w:val="21"/>
          <w:highlight w:val="none"/>
          <w:u w:val="single"/>
        </w:rPr>
        <w:t>16.4.1因投标人原因造成投标文件未解密的；</w:t>
      </w:r>
    </w:p>
    <w:p>
      <w:pPr>
        <w:pBdr>
          <w:bottom w:val="none" w:color="auto" w:sz="0" w:space="1"/>
        </w:pBdr>
        <w:spacing w:line="360" w:lineRule="auto"/>
        <w:ind w:firstLine="525" w:firstLineChars="250"/>
        <w:rPr>
          <w:rFonts w:ascii="宋体" w:hAnsi="宋体" w:cs="宋体"/>
          <w:szCs w:val="21"/>
          <w:highlight w:val="none"/>
          <w:u w:val="single"/>
        </w:rPr>
      </w:pPr>
      <w:r>
        <w:rPr>
          <w:rFonts w:hint="eastAsia" w:ascii="宋体" w:hAnsi="宋体" w:cs="宋体"/>
          <w:szCs w:val="21"/>
          <w:highlight w:val="none"/>
          <w:u w:val="single"/>
        </w:rPr>
        <w:t>16.4.2投标人在投标有效期内撤销投标文件；</w:t>
      </w:r>
    </w:p>
    <w:p>
      <w:pPr>
        <w:pBdr>
          <w:bottom w:val="none" w:color="auto" w:sz="0" w:space="1"/>
        </w:pBdr>
        <w:spacing w:line="360" w:lineRule="auto"/>
        <w:ind w:firstLine="525" w:firstLineChars="250"/>
        <w:rPr>
          <w:rFonts w:ascii="宋体" w:hAnsi="宋体" w:cs="宋体"/>
          <w:szCs w:val="21"/>
          <w:highlight w:val="none"/>
          <w:u w:val="single"/>
        </w:rPr>
      </w:pPr>
      <w:r>
        <w:rPr>
          <w:rFonts w:hint="eastAsia" w:ascii="宋体" w:hAnsi="宋体" w:cs="宋体"/>
          <w:szCs w:val="21"/>
          <w:highlight w:val="none"/>
          <w:u w:val="single"/>
        </w:rPr>
        <w:t>16.4.3中标人未能在规定期限内按要求提交履约担保；</w:t>
      </w:r>
    </w:p>
    <w:p>
      <w:pPr>
        <w:pBdr>
          <w:bottom w:val="none" w:color="auto" w:sz="0" w:space="1"/>
        </w:pBdr>
        <w:spacing w:line="360" w:lineRule="auto"/>
        <w:ind w:firstLine="525" w:firstLineChars="250"/>
        <w:rPr>
          <w:rFonts w:ascii="宋体" w:hAnsi="宋体" w:cs="宋体"/>
          <w:szCs w:val="21"/>
          <w:highlight w:val="none"/>
          <w:u w:val="single"/>
        </w:rPr>
      </w:pPr>
      <w:r>
        <w:rPr>
          <w:rFonts w:hint="eastAsia" w:ascii="宋体" w:hAnsi="宋体" w:cs="宋体"/>
          <w:szCs w:val="21"/>
          <w:highlight w:val="none"/>
          <w:u w:val="single"/>
        </w:rPr>
        <w:t>16.4.4中标人未能在规定期限内签署合同协议。</w:t>
      </w:r>
    </w:p>
    <w:p>
      <w:pPr>
        <w:pBdr>
          <w:bottom w:val="none" w:color="auto" w:sz="0" w:space="1"/>
        </w:pBdr>
        <w:spacing w:line="360" w:lineRule="auto"/>
        <w:ind w:firstLine="527" w:firstLineChars="250"/>
        <w:rPr>
          <w:rFonts w:ascii="宋体" w:hAnsi="宋体" w:cs="宋体"/>
          <w:b/>
          <w:bCs/>
          <w:szCs w:val="21"/>
          <w:highlight w:val="none"/>
          <w:u w:val="single"/>
        </w:rPr>
      </w:pPr>
      <w:r>
        <w:rPr>
          <w:rFonts w:hint="eastAsia" w:ascii="宋体" w:hAnsi="宋体" w:cs="宋体"/>
          <w:b/>
          <w:bCs/>
          <w:szCs w:val="21"/>
          <w:highlight w:val="none"/>
          <w:u w:val="single"/>
        </w:rPr>
        <w:t>16.5投标人如存在下列情况之一的，将被拒绝在一定时期内（即一年内）参与招标人后续工程投标（拒绝时限需在招标文件中明确）：</w:t>
      </w:r>
    </w:p>
    <w:p>
      <w:pPr>
        <w:pBdr>
          <w:bottom w:val="single" w:color="auto" w:sz="6" w:space="1"/>
        </w:pBdr>
        <w:spacing w:line="360" w:lineRule="auto"/>
        <w:ind w:firstLine="527" w:firstLineChars="250"/>
        <w:rPr>
          <w:rFonts w:ascii="宋体" w:hAnsi="宋体" w:cs="宋体"/>
          <w:b/>
          <w:bCs/>
          <w:szCs w:val="21"/>
          <w:highlight w:val="none"/>
          <w:u w:val="single"/>
        </w:rPr>
      </w:pPr>
      <w:r>
        <w:rPr>
          <w:rFonts w:hint="eastAsia" w:ascii="宋体" w:hAnsi="宋体" w:cs="宋体"/>
          <w:b/>
          <w:bCs/>
          <w:szCs w:val="21"/>
          <w:highlight w:val="none"/>
          <w:u w:val="single"/>
        </w:rPr>
        <w:t>16.5.1投标人存在16.4条款所列情形且投标人提交的保函、担保或保证保险无法兑付的；</w:t>
      </w:r>
    </w:p>
    <w:p>
      <w:pPr>
        <w:pBdr>
          <w:bottom w:val="single" w:color="auto" w:sz="6" w:space="1"/>
        </w:pBdr>
        <w:spacing w:line="360" w:lineRule="auto"/>
        <w:ind w:firstLine="527" w:firstLineChars="250"/>
        <w:rPr>
          <w:rFonts w:ascii="宋体" w:hAnsi="宋体" w:cs="宋体"/>
          <w:b/>
          <w:bCs/>
          <w:szCs w:val="21"/>
          <w:highlight w:val="none"/>
          <w:u w:val="single"/>
        </w:rPr>
      </w:pPr>
      <w:r>
        <w:rPr>
          <w:rFonts w:hint="eastAsia" w:ascii="宋体" w:hAnsi="宋体" w:cs="宋体"/>
          <w:b/>
          <w:bCs/>
          <w:szCs w:val="21"/>
          <w:highlight w:val="none"/>
          <w:u w:val="single"/>
        </w:rPr>
        <w:t>16.5.2采用非电子形式提交投标保证金的投标人存在16.4条款所列情形，且未按招标人要求补交银行保函、专业工程担保公司担保或保证保险原件的；</w:t>
      </w:r>
    </w:p>
    <w:p>
      <w:pPr>
        <w:pBdr>
          <w:bottom w:val="single" w:color="auto" w:sz="6" w:space="1"/>
        </w:pBdr>
        <w:spacing w:line="360" w:lineRule="auto"/>
        <w:ind w:firstLine="527" w:firstLineChars="250"/>
        <w:rPr>
          <w:rFonts w:ascii="宋体" w:hAnsi="宋体" w:cs="宋体"/>
          <w:szCs w:val="21"/>
          <w:highlight w:val="none"/>
          <w:u w:val="single"/>
        </w:rPr>
      </w:pPr>
      <w:r>
        <w:rPr>
          <w:rFonts w:hint="eastAsia" w:ascii="宋体" w:hAnsi="宋体" w:cs="宋体"/>
          <w:b/>
          <w:bCs/>
          <w:szCs w:val="21"/>
          <w:highlight w:val="none"/>
          <w:u w:val="single"/>
        </w:rPr>
        <w:t>16.5.3按招标文件要求免于提供投标保证金的投标人存在16.4条款所列情形的。</w:t>
      </w:r>
    </w:p>
    <w:p>
      <w:pPr>
        <w:spacing w:line="360" w:lineRule="auto"/>
        <w:rPr>
          <w:rFonts w:ascii="宋体" w:hAnsi="宋体" w:cs="宋体"/>
          <w:b/>
          <w:szCs w:val="21"/>
          <w:highlight w:val="none"/>
        </w:rPr>
      </w:pPr>
      <w:r>
        <w:rPr>
          <w:rFonts w:hint="eastAsia" w:ascii="宋体" w:hAnsi="宋体" w:cs="宋体"/>
          <w:szCs w:val="21"/>
          <w:highlight w:val="none"/>
        </w:rPr>
        <w:t xml:space="preserve">    </w:t>
      </w:r>
      <w:r>
        <w:rPr>
          <w:rFonts w:hint="eastAsia" w:ascii="宋体" w:hAnsi="宋体" w:cs="宋体"/>
          <w:b/>
          <w:szCs w:val="21"/>
          <w:highlight w:val="none"/>
        </w:rPr>
        <w:t>条款号：17.1         修改类型：修改</w:t>
      </w:r>
    </w:p>
    <w:p>
      <w:pPr>
        <w:pBdr>
          <w:bottom w:val="single" w:color="auto" w:sz="4" w:space="0"/>
        </w:pBd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原文：17.1投标人应采用单位数字证书，按招标文件要求在相应位置加盖电子印章。投标文件中需个人签字或盖章的，应加盖个人电子印章或在线下完成后扫描上传。按照交易平台关于全流程电子化项目的相关指南进行操作。详见：             </w:t>
      </w:r>
    </w:p>
    <w:p>
      <w:pPr>
        <w:pBdr>
          <w:bottom w:val="single" w:color="auto" w:sz="4" w:space="0"/>
        </w:pBdr>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17.1投标人应采用单位数字证书，按招标文件（含资格审查文件）要求在相应位置加盖电子印章。投标文件</w:t>
      </w:r>
      <w:r>
        <w:rPr>
          <w:rFonts w:hint="eastAsia" w:ascii="宋体" w:hAnsi="宋体" w:cs="宋体"/>
          <w:b/>
          <w:szCs w:val="21"/>
          <w:highlight w:val="none"/>
          <w:u w:val="single"/>
        </w:rPr>
        <w:t>（含资格审查文件）</w:t>
      </w:r>
      <w:r>
        <w:rPr>
          <w:rFonts w:hint="eastAsia" w:ascii="宋体" w:hAnsi="宋体" w:cs="宋体"/>
          <w:szCs w:val="21"/>
          <w:highlight w:val="none"/>
        </w:rPr>
        <w:t>中需个人签字或盖章的，应加盖个人电子印章或在线下完成后扫描上传。按照交易平台关于全流程电子化项目的相关指南进行操作。详见：</w:t>
      </w:r>
      <w:r>
        <w:rPr>
          <w:rFonts w:hint="eastAsia" w:ascii="宋体" w:hAnsi="宋体" w:cs="宋体"/>
          <w:szCs w:val="21"/>
          <w:highlight w:val="none"/>
          <w:u w:val="single"/>
        </w:rPr>
        <w:t>广州公共资源交易中心网站http:// www.gzggzy.cn）-服务指南-办事指南-建设工程-【房屋建筑和市政基础设施工程全流程电子化项目专章（适用于投标人）】</w:t>
      </w:r>
      <w:r>
        <w:rPr>
          <w:rFonts w:hint="eastAsia" w:ascii="宋体" w:hAnsi="宋体" w:cs="宋体"/>
          <w:szCs w:val="21"/>
          <w:highlight w:val="none"/>
        </w:rPr>
        <w:t>。</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条款号：18           修改类型：修改</w:t>
      </w:r>
    </w:p>
    <w:p>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bCs/>
          <w:szCs w:val="21"/>
          <w:highlight w:val="none"/>
        </w:rPr>
        <w:t>原文</w:t>
      </w:r>
      <w:r>
        <w:rPr>
          <w:rFonts w:hint="eastAsia" w:ascii="宋体" w:hAnsi="宋体" w:cs="宋体"/>
          <w:szCs w:val="21"/>
          <w:highlight w:val="none"/>
        </w:rPr>
        <w:t>：18.1递交的电子投标文件（不含备用光盘）必须进行加密。按照        交易平台关于全流程电子化项目的相关指南进行操作。详见：。</w:t>
      </w:r>
    </w:p>
    <w:p>
      <w:pPr>
        <w:pBdr>
          <w:bottom w:val="single" w:color="auto" w:sz="6" w:space="1"/>
        </w:pBd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18.2 未按要求加密的投标文件，        交易平台将予以拒收。 </w:t>
      </w:r>
    </w:p>
    <w:p>
      <w:pPr>
        <w:pBdr>
          <w:bottom w:val="single" w:color="auto" w:sz="6" w:space="1"/>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bCs/>
          <w:szCs w:val="21"/>
          <w:highlight w:val="none"/>
        </w:rPr>
        <w:t>18.1递交的电子投标文件（不含备用光盘）必须进行加密。按照交易平台关于</w:t>
      </w:r>
      <w:r>
        <w:rPr>
          <w:rFonts w:hint="eastAsia" w:ascii="宋体" w:hAnsi="宋体" w:cs="宋体"/>
          <w:szCs w:val="21"/>
          <w:highlight w:val="none"/>
        </w:rPr>
        <w:t>全流程电子化项目的相关指南进行操作。详见：</w:t>
      </w:r>
      <w:r>
        <w:rPr>
          <w:rFonts w:hint="eastAsia" w:ascii="宋体" w:hAnsi="宋体" w:cs="宋体"/>
          <w:szCs w:val="21"/>
          <w:highlight w:val="none"/>
          <w:u w:val="single"/>
        </w:rPr>
        <w:t>广州公共资源交易中心网站http:// www.gzggzy.cn）-服务指南-办事指南-建设工程-【房屋建筑和市政基础设施工程全流程电子化项目专章（适用于投标人）】</w:t>
      </w:r>
      <w:r>
        <w:rPr>
          <w:rFonts w:hint="eastAsia" w:ascii="宋体" w:hAnsi="宋体" w:cs="宋体"/>
          <w:szCs w:val="21"/>
          <w:highlight w:val="none"/>
        </w:rPr>
        <w:t>。</w:t>
      </w:r>
    </w:p>
    <w:p>
      <w:pPr>
        <w:pBdr>
          <w:bottom w:val="single" w:color="auto" w:sz="6" w:space="1"/>
        </w:pBdr>
        <w:spacing w:line="360" w:lineRule="auto"/>
        <w:ind w:firstLine="525" w:firstLineChars="250"/>
        <w:rPr>
          <w:rFonts w:ascii="宋体" w:hAnsi="宋体" w:cs="宋体"/>
          <w:szCs w:val="21"/>
          <w:highlight w:val="none"/>
          <w:u w:val="single"/>
        </w:rPr>
      </w:pPr>
      <w:r>
        <w:rPr>
          <w:rFonts w:hint="eastAsia" w:ascii="宋体" w:hAnsi="宋体" w:cs="宋体"/>
          <w:szCs w:val="21"/>
          <w:highlight w:val="none"/>
        </w:rPr>
        <w:t>18.2 未按要求加密的投标文件，</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交易平台将予以拒收。</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条款号：19.1         修改类型：修改</w:t>
      </w:r>
    </w:p>
    <w:p>
      <w:pPr>
        <w:pStyle w:val="35"/>
        <w:spacing w:after="0"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19.1投标人通过</w:t>
      </w:r>
      <w:r>
        <w:rPr>
          <w:rFonts w:hint="eastAsia" w:ascii="宋体" w:hAnsi="宋体" w:cs="宋体"/>
          <w:szCs w:val="21"/>
          <w:highlight w:val="none"/>
          <w:u w:val="single"/>
        </w:rPr>
        <w:t xml:space="preserve">        </w:t>
      </w:r>
      <w:r>
        <w:rPr>
          <w:rFonts w:hint="eastAsia" w:ascii="宋体" w:hAnsi="宋体" w:cs="宋体"/>
          <w:szCs w:val="21"/>
          <w:highlight w:val="none"/>
        </w:rPr>
        <w:t xml:space="preserve">交易平台递交电子投标文件。 </w:t>
      </w:r>
    </w:p>
    <w:p>
      <w:pPr>
        <w:pBdr>
          <w:bottom w:val="single" w:color="auto" w:sz="6" w:space="1"/>
        </w:pBdr>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bCs/>
          <w:szCs w:val="21"/>
          <w:highlight w:val="none"/>
        </w:rPr>
        <w:t>19.1投标人通过</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交易平台递交电子投标文件。</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条款号：19.2         修改类型：修改</w:t>
      </w:r>
    </w:p>
    <w:p>
      <w:pPr>
        <w:pStyle w:val="35"/>
        <w:spacing w:after="0"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 xml:space="preserve">19.2投标人完成电子投标文件上传后，        交易平台即时向投标人发出递交回执通知。递交时间以递交回执通知载明的传输完成时间为准。 </w:t>
      </w:r>
    </w:p>
    <w:p>
      <w:pPr>
        <w:pBdr>
          <w:bottom w:val="single" w:color="auto" w:sz="6" w:space="1"/>
        </w:pBdr>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bCs/>
          <w:szCs w:val="21"/>
          <w:highlight w:val="none"/>
        </w:rPr>
        <w:t>19.2投标人完成电子</w:t>
      </w:r>
      <w:r>
        <w:rPr>
          <w:rFonts w:hint="eastAsia" w:ascii="宋体" w:hAnsi="宋体" w:cs="宋体"/>
          <w:szCs w:val="21"/>
          <w:highlight w:val="none"/>
        </w:rPr>
        <w:t>投标文件</w:t>
      </w:r>
      <w:r>
        <w:rPr>
          <w:rFonts w:hint="eastAsia" w:ascii="宋体" w:hAnsi="宋体" w:cs="宋体"/>
          <w:bCs/>
          <w:szCs w:val="21"/>
          <w:highlight w:val="none"/>
        </w:rPr>
        <w:t>上传后，</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交易平台即时向投标人发出递交回执通知。递交时间以递交回执通知载明的传输完成时间为准。</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条款号：19.3         修改类型：修改</w:t>
      </w:r>
    </w:p>
    <w:p>
      <w:pPr>
        <w:pStyle w:val="35"/>
        <w:spacing w:after="0" w:line="360" w:lineRule="auto"/>
        <w:ind w:firstLine="441" w:firstLineChars="209"/>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19.3逾期送达的电子投标文件，</w:t>
      </w:r>
      <w:r>
        <w:rPr>
          <w:rFonts w:hint="eastAsia" w:ascii="宋体" w:hAnsi="宋体" w:cs="宋体"/>
          <w:szCs w:val="21"/>
          <w:highlight w:val="none"/>
          <w:u w:val="single"/>
        </w:rPr>
        <w:t xml:space="preserve">        </w:t>
      </w:r>
      <w:r>
        <w:rPr>
          <w:rFonts w:hint="eastAsia" w:ascii="宋体" w:hAnsi="宋体" w:cs="宋体"/>
          <w:szCs w:val="21"/>
          <w:highlight w:val="none"/>
        </w:rPr>
        <w:t xml:space="preserve">交易平台将予以拒收。 </w:t>
      </w:r>
    </w:p>
    <w:p>
      <w:pPr>
        <w:pBdr>
          <w:bottom w:val="single" w:color="auto" w:sz="6" w:space="1"/>
        </w:pBdr>
        <w:spacing w:line="360" w:lineRule="auto"/>
        <w:ind w:firstLine="441" w:firstLineChars="209"/>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bCs/>
          <w:szCs w:val="21"/>
          <w:highlight w:val="none"/>
        </w:rPr>
        <w:t>19.3逾期送达的电子投标文件，</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交易平台将予以拒收。</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条款号：19.5          修改类型：修改</w:t>
      </w:r>
    </w:p>
    <w:p>
      <w:pP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19.5如技术标和经济标先后分别开启，</w:t>
      </w:r>
      <w:r>
        <w:rPr>
          <w:rFonts w:hint="eastAsia" w:ascii="宋体" w:hAnsi="宋体" w:cs="宋体"/>
          <w:szCs w:val="21"/>
          <w:highlight w:val="none"/>
          <w:u w:val="single"/>
        </w:rPr>
        <w:t xml:space="preserve">        </w:t>
      </w:r>
      <w:r>
        <w:rPr>
          <w:rFonts w:hint="eastAsia" w:ascii="宋体" w:hAnsi="宋体" w:cs="宋体"/>
          <w:szCs w:val="21"/>
          <w:highlight w:val="none"/>
        </w:rPr>
        <w:t>交易平台将按招标文件规定的时间分别开启技术标和经济标。</w:t>
      </w:r>
    </w:p>
    <w:p>
      <w:pPr>
        <w:spacing w:line="360" w:lineRule="auto"/>
        <w:ind w:firstLine="422" w:firstLineChars="200"/>
        <w:rPr>
          <w:highlight w:val="none"/>
        </w:rPr>
      </w:pPr>
      <w:r>
        <w:rPr>
          <w:rFonts w:hint="eastAsia" w:ascii="宋体" w:hAnsi="宋体" w:cs="宋体"/>
          <w:b/>
          <w:szCs w:val="21"/>
          <w:highlight w:val="none"/>
        </w:rPr>
        <w:t>现文：</w:t>
      </w:r>
      <w:r>
        <w:rPr>
          <w:rFonts w:hint="eastAsia" w:ascii="宋体" w:hAnsi="宋体" w:cs="宋体"/>
          <w:bCs/>
          <w:szCs w:val="21"/>
          <w:highlight w:val="none"/>
        </w:rPr>
        <w:t>19.5</w:t>
      </w:r>
      <w:r>
        <w:rPr>
          <w:rFonts w:hint="eastAsia" w:ascii="宋体" w:hAnsi="宋体" w:cs="宋体"/>
          <w:szCs w:val="21"/>
          <w:highlight w:val="none"/>
          <w:u w:val="single"/>
        </w:rPr>
        <w:t>技术标和经济标同时开启，广州公共资源交易中心交易平台将按招标文件规定的时间同时开启技术标和经济标。</w:t>
      </w:r>
    </w:p>
    <w:p>
      <w:pPr>
        <w:pStyle w:val="35"/>
        <w:pBdr>
          <w:top w:val="single" w:color="auto" w:sz="4" w:space="0"/>
        </w:pBdr>
        <w:spacing w:after="0" w:line="360" w:lineRule="auto"/>
        <w:ind w:firstLine="422" w:firstLineChars="200"/>
        <w:rPr>
          <w:rFonts w:ascii="宋体" w:hAnsi="宋体" w:cs="宋体"/>
          <w:szCs w:val="21"/>
          <w:highlight w:val="none"/>
        </w:rPr>
      </w:pPr>
      <w:r>
        <w:rPr>
          <w:rFonts w:hint="eastAsia" w:ascii="宋体" w:hAnsi="宋体" w:cs="宋体"/>
          <w:b/>
          <w:szCs w:val="21"/>
          <w:highlight w:val="none"/>
        </w:rPr>
        <w:t>条款号：</w:t>
      </w:r>
      <w:r>
        <w:rPr>
          <w:rFonts w:hint="eastAsia" w:ascii="宋体" w:hAnsi="宋体" w:cs="宋体"/>
          <w:b/>
          <w:bCs/>
          <w:szCs w:val="21"/>
          <w:highlight w:val="none"/>
        </w:rPr>
        <w:t xml:space="preserve">19.6 </w:t>
      </w:r>
      <w:r>
        <w:rPr>
          <w:rFonts w:hint="eastAsia" w:ascii="宋体" w:hAnsi="宋体" w:cs="宋体"/>
          <w:szCs w:val="21"/>
          <w:highlight w:val="none"/>
        </w:rPr>
        <w:t xml:space="preserve">           </w:t>
      </w:r>
      <w:r>
        <w:rPr>
          <w:rFonts w:hint="eastAsia" w:ascii="宋体" w:hAnsi="宋体" w:cs="宋体"/>
          <w:b/>
          <w:szCs w:val="21"/>
          <w:highlight w:val="none"/>
        </w:rPr>
        <w:t>修改类型：删除</w:t>
      </w:r>
    </w:p>
    <w:p>
      <w:pPr>
        <w:pBdr>
          <w:bottom w:val="single" w:color="auto" w:sz="6" w:space="1"/>
        </w:pBdr>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19.6在规定的时间内，项目负责人须到自助签到。按照</w:t>
      </w:r>
      <w:r>
        <w:rPr>
          <w:rFonts w:hint="eastAsia" w:ascii="宋体" w:hAnsi="宋体" w:cs="宋体"/>
          <w:szCs w:val="21"/>
          <w:highlight w:val="none"/>
          <w:u w:val="single"/>
        </w:rPr>
        <w:t xml:space="preserve">        </w:t>
      </w:r>
      <w:r>
        <w:rPr>
          <w:rFonts w:hint="eastAsia" w:ascii="宋体" w:hAnsi="宋体" w:cs="宋体"/>
          <w:szCs w:val="21"/>
          <w:highlight w:val="none"/>
        </w:rPr>
        <w:t>交易平台有关项目负责人自助签到流程进行操作。项目负责人凡未凭身份证按时到达指定地点签到的，该投标文件将不能参与资格审查和评标（选择性条款）。</w:t>
      </w:r>
    </w:p>
    <w:p>
      <w:pPr>
        <w:pStyle w:val="115"/>
        <w:spacing w:line="400" w:lineRule="exact"/>
        <w:ind w:firstLine="472" w:firstLineChars="224"/>
        <w:rPr>
          <w:rFonts w:ascii="Times New Roman" w:hAnsi="Times New Roman"/>
          <w:b/>
          <w:szCs w:val="21"/>
          <w:highlight w:val="none"/>
        </w:rPr>
      </w:pPr>
      <w:r>
        <w:rPr>
          <w:rFonts w:hint="eastAsia" w:ascii="Times New Roman" w:hAnsi="Times New Roman"/>
          <w:b/>
          <w:szCs w:val="21"/>
          <w:highlight w:val="none"/>
        </w:rPr>
        <w:t>条款号：</w:t>
      </w:r>
      <w:r>
        <w:rPr>
          <w:rFonts w:ascii="Times New Roman" w:hAnsi="Times New Roman"/>
          <w:b/>
          <w:szCs w:val="21"/>
          <w:highlight w:val="none"/>
        </w:rPr>
        <w:t xml:space="preserve">20.3                         </w:t>
      </w:r>
      <w:r>
        <w:rPr>
          <w:rFonts w:hint="eastAsia" w:ascii="Times New Roman" w:hAnsi="Times New Roman"/>
          <w:b/>
          <w:szCs w:val="21"/>
          <w:highlight w:val="none"/>
        </w:rPr>
        <w:t>修改类型：修改</w:t>
      </w:r>
    </w:p>
    <w:p>
      <w:pPr>
        <w:pStyle w:val="115"/>
        <w:spacing w:line="360" w:lineRule="auto"/>
        <w:ind w:firstLine="472" w:firstLineChars="224"/>
        <w:rPr>
          <w:rFonts w:ascii="宋体" w:hAnsi="宋体" w:cs="宋体"/>
          <w:szCs w:val="21"/>
          <w:highlight w:val="none"/>
        </w:rPr>
      </w:pPr>
      <w:r>
        <w:rPr>
          <w:rFonts w:hint="eastAsia" w:ascii="Times New Roman" w:hAnsi="Times New Roman"/>
          <w:b/>
          <w:szCs w:val="21"/>
          <w:highlight w:val="none"/>
        </w:rPr>
        <w:t>原文</w:t>
      </w:r>
      <w:r>
        <w:rPr>
          <w:rFonts w:hint="eastAsia" w:ascii="宋体" w:hAnsi="宋体" w:cs="宋体"/>
          <w:szCs w:val="21"/>
          <w:highlight w:val="none"/>
        </w:rPr>
        <w:t>：到投标截止时间止，招标人收到的投标文件少于3家的，招标人将重新组织招标（当N个标段同时招标且不允许兼中时，若有效投标人不足N+2家，则重新组织招标）。</w:t>
      </w:r>
    </w:p>
    <w:p>
      <w:pPr>
        <w:pStyle w:val="115"/>
        <w:pBdr>
          <w:bottom w:val="single" w:color="auto" w:sz="6" w:space="1"/>
        </w:pBdr>
        <w:spacing w:line="360" w:lineRule="auto"/>
        <w:ind w:firstLine="527" w:firstLineChars="250"/>
        <w:rPr>
          <w:rFonts w:ascii="宋体" w:hAnsi="宋体" w:cs="宋体"/>
          <w:szCs w:val="21"/>
          <w:highlight w:val="none"/>
        </w:rPr>
      </w:pPr>
      <w:r>
        <w:rPr>
          <w:rFonts w:hint="eastAsia" w:ascii="Times New Roman" w:hAnsi="Times New Roman"/>
          <w:b/>
          <w:szCs w:val="21"/>
          <w:highlight w:val="none"/>
        </w:rPr>
        <w:t>现文：</w:t>
      </w:r>
      <w:r>
        <w:rPr>
          <w:rFonts w:hint="eastAsia" w:ascii="宋体" w:hAnsi="宋体" w:cs="宋体"/>
          <w:szCs w:val="21"/>
          <w:highlight w:val="none"/>
        </w:rPr>
        <w:t>到投标截止时间止，招标人收到的投标文件少于3家的，招标人将重新组织招标。</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条款号：21.1          修改类型：修改</w:t>
      </w:r>
    </w:p>
    <w:p>
      <w:pPr>
        <w:pStyle w:val="35"/>
        <w:spacing w:after="0"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21.1 本须知前附表第17项规定的投标截止时间后送达的电子投标文件，</w:t>
      </w:r>
      <w:r>
        <w:rPr>
          <w:rFonts w:hint="eastAsia" w:ascii="宋体" w:hAnsi="宋体" w:cs="宋体"/>
          <w:szCs w:val="21"/>
          <w:highlight w:val="none"/>
          <w:u w:val="single"/>
        </w:rPr>
        <w:t xml:space="preserve">        </w:t>
      </w:r>
      <w:r>
        <w:rPr>
          <w:rFonts w:hint="eastAsia" w:ascii="宋体" w:hAnsi="宋体" w:cs="宋体"/>
          <w:szCs w:val="21"/>
          <w:highlight w:val="none"/>
        </w:rPr>
        <w:t xml:space="preserve">交易平台将予以拒收。 </w:t>
      </w:r>
    </w:p>
    <w:p>
      <w:pPr>
        <w:pBdr>
          <w:bottom w:val="single" w:color="auto" w:sz="6" w:space="1"/>
        </w:pBdr>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21.1 本须知前附表第17项规定的投标截止时间后送达的电子投标文件，</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交易平台将予以拒收。</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条款号：27.1          修改类型：修改</w:t>
      </w:r>
    </w:p>
    <w:p>
      <w:pPr>
        <w:pStyle w:val="35"/>
        <w:spacing w:after="0"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27.1招标人将在</w:t>
      </w:r>
      <w:r>
        <w:rPr>
          <w:rFonts w:hint="eastAsia" w:ascii="宋体" w:hAnsi="宋体" w:cs="宋体"/>
          <w:szCs w:val="21"/>
          <w:highlight w:val="none"/>
          <w:u w:val="single"/>
        </w:rPr>
        <w:t xml:space="preserve">        </w:t>
      </w:r>
      <w:r>
        <w:rPr>
          <w:rFonts w:hint="eastAsia" w:ascii="宋体" w:hAnsi="宋体" w:cs="宋体"/>
          <w:szCs w:val="21"/>
          <w:highlight w:val="none"/>
        </w:rPr>
        <w:t xml:space="preserve">交易平台、广东省招标投标监管网和中国招标投标公共服务平台公示中标候选人，公示期为三天。 </w:t>
      </w:r>
    </w:p>
    <w:p>
      <w:pPr>
        <w:pStyle w:val="35"/>
        <w:pBdr>
          <w:top w:val="none" w:color="auto" w:sz="0" w:space="1"/>
          <w:left w:val="none" w:color="auto" w:sz="0" w:space="4"/>
          <w:bottom w:val="single" w:color="auto" w:sz="4" w:space="1"/>
          <w:right w:val="none" w:color="auto" w:sz="0" w:space="4"/>
        </w:pBdr>
        <w:spacing w:after="0"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27.1招标人将在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交易平台、中国招标投标公共服务平台和广东省招标投标监管网公示中标候选人，公示期为三天</w:t>
      </w:r>
      <w:r>
        <w:rPr>
          <w:rFonts w:hint="eastAsia" w:ascii="宋体" w:hAnsi="宋体" w:cs="宋体"/>
          <w:szCs w:val="21"/>
          <w:highlight w:val="none"/>
          <w:u w:val="single"/>
        </w:rPr>
        <w:t>（最后一天为工作日）</w:t>
      </w:r>
      <w:r>
        <w:rPr>
          <w:rFonts w:hint="eastAsia" w:ascii="宋体" w:hAnsi="宋体" w:cs="宋体"/>
          <w:szCs w:val="21"/>
          <w:highlight w:val="none"/>
        </w:rPr>
        <w:t>。</w:t>
      </w:r>
      <w:r>
        <w:rPr>
          <w:rFonts w:hint="eastAsia" w:ascii="宋体" w:hAnsi="宋体" w:cs="宋体"/>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条款号：27.4         修改类型：修改</w:t>
      </w:r>
    </w:p>
    <w:p>
      <w:pPr>
        <w:pStyle w:val="35"/>
        <w:spacing w:after="0"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 xml:space="preserve"> 27.4在产生中标候选人后，招标人将中标候选人的投标文件商务部分文件的所有内容（包括报价清单、人员、业绩、奖项等资料）在</w:t>
      </w:r>
      <w:r>
        <w:rPr>
          <w:rFonts w:hint="eastAsia" w:ascii="宋体" w:hAnsi="宋体" w:cs="宋体"/>
          <w:szCs w:val="21"/>
          <w:highlight w:val="none"/>
          <w:u w:val="single"/>
        </w:rPr>
        <w:t xml:space="preserve">        </w:t>
      </w:r>
      <w:r>
        <w:rPr>
          <w:rFonts w:hint="eastAsia" w:ascii="宋体" w:hAnsi="宋体" w:cs="宋体"/>
          <w:szCs w:val="21"/>
          <w:highlight w:val="none"/>
        </w:rPr>
        <w:t>交易平台和广东省招标投标监管网公开。</w:t>
      </w:r>
    </w:p>
    <w:p>
      <w:pPr>
        <w:pStyle w:val="35"/>
        <w:pBdr>
          <w:top w:val="none" w:color="auto" w:sz="0" w:space="1"/>
          <w:left w:val="none" w:color="auto" w:sz="0" w:space="4"/>
          <w:bottom w:val="single" w:color="auto" w:sz="4" w:space="1"/>
          <w:right w:val="none" w:color="auto" w:sz="0" w:space="4"/>
        </w:pBdr>
        <w:spacing w:after="0" w:line="360" w:lineRule="auto"/>
        <w:ind w:firstLine="422" w:firstLineChars="200"/>
        <w:rPr>
          <w:rFonts w:ascii="宋体" w:hAnsi="宋体" w:cs="宋体"/>
          <w:szCs w:val="21"/>
          <w:highlight w:val="none"/>
        </w:rPr>
      </w:pPr>
      <w:r>
        <w:rPr>
          <w:rFonts w:hint="eastAsia" w:ascii="宋体" w:hAnsi="宋体" w:cs="宋体"/>
          <w:b/>
          <w:bCs/>
          <w:szCs w:val="21"/>
          <w:highlight w:val="none"/>
        </w:rPr>
        <w:t>现文：</w:t>
      </w:r>
      <w:r>
        <w:rPr>
          <w:rFonts w:hint="eastAsia" w:ascii="宋体" w:hAnsi="宋体" w:cs="宋体"/>
          <w:szCs w:val="21"/>
          <w:highlight w:val="none"/>
        </w:rPr>
        <w:t>27.4在产生中标候选人后，招标人将中标候选人的投标文件商务部分文件的所有内容</w:t>
      </w:r>
      <w:r>
        <w:rPr>
          <w:rFonts w:hint="eastAsia" w:ascii="宋体" w:hAnsi="宋体" w:cs="宋体"/>
          <w:szCs w:val="21"/>
          <w:highlight w:val="none"/>
          <w:u w:val="single"/>
        </w:rPr>
        <w:t>（包括人员、业绩、奖项等资料）</w:t>
      </w:r>
      <w:r>
        <w:rPr>
          <w:rFonts w:hint="eastAsia" w:ascii="宋体" w:hAnsi="宋体" w:cs="宋体"/>
          <w:szCs w:val="21"/>
          <w:highlight w:val="none"/>
        </w:rPr>
        <w:t>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交易平台和广东省招标投标监管网公开。</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条款号：27.5         修改类型：增加</w:t>
      </w:r>
    </w:p>
    <w:p>
      <w:pPr>
        <w:pBdr>
          <w:bottom w:val="single" w:color="auto" w:sz="4" w:space="0"/>
        </w:pBdr>
        <w:spacing w:line="360" w:lineRule="auto"/>
        <w:ind w:firstLine="472" w:firstLineChars="224"/>
        <w:rPr>
          <w:rFonts w:ascii="宋体" w:hAnsi="宋体" w:cs="宋体"/>
          <w:szCs w:val="21"/>
          <w:highlight w:val="none"/>
        </w:rPr>
      </w:pPr>
      <w:r>
        <w:rPr>
          <w:rFonts w:hint="eastAsia" w:ascii="宋体" w:hAnsi="宋体" w:cs="宋体"/>
          <w:b/>
          <w:szCs w:val="21"/>
          <w:highlight w:val="none"/>
        </w:rPr>
        <w:t>现文：27.5</w:t>
      </w:r>
      <w:r>
        <w:rPr>
          <w:rFonts w:hint="eastAsia" w:ascii="宋体" w:hAnsi="宋体" w:cs="宋体"/>
          <w:szCs w:val="21"/>
          <w:highlight w:val="none"/>
          <w:u w:val="single"/>
        </w:rPr>
        <w:t>领取中标通知书后，签订合同签前，中标人须向招标人提供独立装订成册的纸质投标文件（含综合单价分析）一式三份，投标人加盖公章，纸质投标文件内容须与投标时提交的电子投标文件内容一致，相关费用由投标人支付。</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条款号：28.4         修改类型：修改</w:t>
      </w:r>
    </w:p>
    <w:p>
      <w:pPr>
        <w:pBdr>
          <w:bottom w:val="single" w:color="auto" w:sz="4" w:space="0"/>
        </w:pBdr>
        <w:spacing w:line="360" w:lineRule="auto"/>
        <w:ind w:firstLine="422" w:firstLineChars="200"/>
        <w:rPr>
          <w:rFonts w:ascii="宋体" w:hAnsi="宋体" w:cs="宋体"/>
          <w:bCs/>
          <w:kern w:val="0"/>
          <w:szCs w:val="21"/>
          <w:highlight w:val="none"/>
        </w:rPr>
      </w:pPr>
      <w:r>
        <w:rPr>
          <w:rFonts w:hint="eastAsia" w:ascii="宋体" w:hAnsi="宋体" w:cs="宋体"/>
          <w:b/>
          <w:kern w:val="0"/>
          <w:szCs w:val="21"/>
          <w:highlight w:val="none"/>
        </w:rPr>
        <w:t>原文：</w:t>
      </w:r>
      <w:r>
        <w:rPr>
          <w:rFonts w:hint="eastAsia" w:ascii="宋体" w:hAnsi="宋体" w:cs="宋体"/>
          <w:bCs/>
          <w:kern w:val="0"/>
          <w:szCs w:val="21"/>
          <w:highlight w:val="none"/>
        </w:rPr>
        <w:t>28.4招标人支付工程款时，中标人应按规定开具发票。</w:t>
      </w:r>
    </w:p>
    <w:p>
      <w:pPr>
        <w:pBdr>
          <w:bottom w:val="single" w:color="auto" w:sz="4" w:space="0"/>
        </w:pBdr>
        <w:spacing w:line="360" w:lineRule="auto"/>
        <w:ind w:firstLine="422" w:firstLineChars="200"/>
        <w:rPr>
          <w:rFonts w:ascii="宋体" w:hAnsi="宋体" w:cs="宋体"/>
          <w:b/>
          <w:kern w:val="0"/>
          <w:szCs w:val="21"/>
          <w:highlight w:val="none"/>
        </w:rPr>
      </w:pPr>
      <w:r>
        <w:rPr>
          <w:rFonts w:hint="eastAsia" w:ascii="宋体" w:hAnsi="宋体" w:cs="宋体"/>
          <w:b/>
          <w:kern w:val="0"/>
          <w:szCs w:val="21"/>
          <w:highlight w:val="none"/>
        </w:rPr>
        <w:t>现文：</w:t>
      </w:r>
      <w:r>
        <w:rPr>
          <w:rFonts w:hint="eastAsia" w:ascii="宋体" w:hAnsi="宋体" w:cs="宋体"/>
          <w:bCs/>
          <w:kern w:val="0"/>
          <w:szCs w:val="21"/>
          <w:highlight w:val="none"/>
        </w:rPr>
        <w:t>28.4 招标人支付工程款时，</w:t>
      </w:r>
      <w:r>
        <w:rPr>
          <w:rFonts w:hint="eastAsia" w:ascii="宋体" w:hAnsi="宋体" w:cs="宋体"/>
          <w:bCs/>
          <w:szCs w:val="21"/>
          <w:highlight w:val="none"/>
        </w:rPr>
        <w:t>中标人应提供</w:t>
      </w:r>
      <w:r>
        <w:rPr>
          <w:rFonts w:hint="eastAsia" w:ascii="宋体" w:hAnsi="宋体" w:cs="宋体"/>
          <w:bCs/>
          <w:szCs w:val="21"/>
          <w:highlight w:val="none"/>
          <w:u w:val="single"/>
        </w:rPr>
        <w:t>符合国家税务相关部门要求的</w:t>
      </w:r>
      <w:r>
        <w:rPr>
          <w:rFonts w:hint="eastAsia" w:ascii="宋体" w:hAnsi="宋体" w:cs="宋体"/>
          <w:bCs/>
          <w:szCs w:val="21"/>
          <w:highlight w:val="none"/>
        </w:rPr>
        <w:t>发票。</w:t>
      </w:r>
    </w:p>
    <w:p>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条款号：28.5           修改类型：增加</w:t>
      </w:r>
    </w:p>
    <w:p>
      <w:pPr>
        <w:pBdr>
          <w:bottom w:val="single" w:color="auto" w:sz="6" w:space="1"/>
        </w:pBdr>
        <w:spacing w:line="360" w:lineRule="auto"/>
        <w:ind w:firstLine="527" w:firstLineChars="25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u w:val="single"/>
        </w:rPr>
        <w:t>28.5根据</w:t>
      </w:r>
      <w:r>
        <w:rPr>
          <w:rFonts w:hint="eastAsia" w:ascii="宋体" w:hAnsi="宋体" w:cs="宋体"/>
          <w:kern w:val="0"/>
          <w:szCs w:val="21"/>
          <w:highlight w:val="none"/>
          <w:u w:val="single"/>
        </w:rPr>
        <w:t>广东省建设工程领域工人工资支付专用账户管理办法》（粤人社规〔2018〕14号）、</w:t>
      </w:r>
      <w:r>
        <w:rPr>
          <w:rFonts w:hint="eastAsia" w:ascii="宋体" w:hAnsi="宋体" w:cs="宋体"/>
          <w:szCs w:val="21"/>
          <w:highlight w:val="none"/>
          <w:u w:val="single"/>
        </w:rPr>
        <w:t>《广州市住房和城乡建设局、广州市人力资源和社会保障局、广州市交通运输局等关于印发广州市建设领域工人工资支付分账管理实施细则的通知》（穗建规字〔2020〕37号）的相关规定，本工程工人工资支付应当分账管理。</w:t>
      </w:r>
    </w:p>
    <w:p>
      <w:pPr>
        <w:tabs>
          <w:tab w:val="left" w:pos="2940"/>
        </w:tabs>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条款号：29.1           修改类型：修改</w:t>
      </w:r>
    </w:p>
    <w:p>
      <w:pPr>
        <w:pBdr>
          <w:bottom w:val="single" w:color="auto" w:sz="4" w:space="0"/>
        </w:pBdr>
        <w:spacing w:line="360" w:lineRule="auto"/>
        <w:ind w:firstLine="422" w:firstLineChars="200"/>
        <w:rPr>
          <w:rFonts w:ascii="宋体" w:hAnsi="宋体" w:cs="宋体"/>
          <w:szCs w:val="21"/>
          <w:highlight w:val="none"/>
        </w:rPr>
      </w:pPr>
      <w:r>
        <w:rPr>
          <w:rFonts w:hint="eastAsia" w:ascii="宋体" w:hAnsi="宋体" w:cs="宋体"/>
          <w:b/>
          <w:kern w:val="0"/>
          <w:szCs w:val="21"/>
          <w:highlight w:val="none"/>
        </w:rPr>
        <w:t>原文：</w:t>
      </w:r>
      <w:r>
        <w:rPr>
          <w:rFonts w:hint="eastAsia" w:ascii="宋体" w:hAnsi="宋体" w:cs="宋体"/>
          <w:bCs/>
          <w:kern w:val="0"/>
          <w:szCs w:val="21"/>
          <w:highlight w:val="none"/>
        </w:rPr>
        <w:t>29.1 在收到中标通知书后的15日内，中标人应按本须知前附表第20项的规定向招标人提交履约担保；</w:t>
      </w:r>
    </w:p>
    <w:p>
      <w:pPr>
        <w:pBdr>
          <w:bottom w:val="single" w:color="auto" w:sz="4" w:space="0"/>
        </w:pBdr>
        <w:spacing w:line="360" w:lineRule="auto"/>
        <w:ind w:firstLine="413" w:firstLineChars="196"/>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bCs/>
          <w:szCs w:val="21"/>
          <w:highlight w:val="none"/>
        </w:rPr>
        <w:t xml:space="preserve">29.1 </w:t>
      </w:r>
      <w:r>
        <w:rPr>
          <w:rFonts w:hint="eastAsia" w:ascii="宋体" w:hAnsi="宋体" w:cs="宋体"/>
          <w:color w:val="000000"/>
          <w:szCs w:val="21"/>
          <w:highlight w:val="none"/>
          <w:u w:val="single"/>
        </w:rPr>
        <w:t>在合同</w:t>
      </w:r>
      <w:bookmarkStart w:id="78" w:name="_GoBack"/>
      <w:r>
        <w:rPr>
          <w:rFonts w:hint="eastAsia" w:ascii="宋体" w:hAnsi="宋体" w:cs="宋体"/>
          <w:color w:val="000000"/>
          <w:szCs w:val="21"/>
          <w:highlight w:val="none"/>
          <w:u w:val="single"/>
        </w:rPr>
        <w:t>签订</w:t>
      </w:r>
      <w:bookmarkEnd w:id="78"/>
      <w:r>
        <w:rPr>
          <w:rFonts w:hint="eastAsia" w:ascii="宋体" w:hAnsi="宋体" w:cs="宋体"/>
          <w:color w:val="000000"/>
          <w:szCs w:val="21"/>
          <w:highlight w:val="none"/>
          <w:u w:val="single"/>
        </w:rPr>
        <w:t>后30日内</w:t>
      </w:r>
      <w:r>
        <w:rPr>
          <w:rFonts w:hint="eastAsia" w:ascii="宋体" w:hAnsi="宋体" w:cs="宋体"/>
          <w:color w:val="000000"/>
          <w:szCs w:val="21"/>
          <w:highlight w:val="none"/>
          <w:u w:val="single"/>
          <w:lang w:eastAsia="zh-CN"/>
        </w:rPr>
        <w:t>（</w:t>
      </w:r>
      <w:r>
        <w:rPr>
          <w:rFonts w:hint="eastAsia" w:ascii="宋体" w:hAnsi="宋体" w:cs="宋体"/>
          <w:color w:val="000000"/>
          <w:szCs w:val="21"/>
          <w:highlight w:val="none"/>
          <w:u w:val="single"/>
        </w:rPr>
        <w:t>并且在申请预付款之前</w:t>
      </w:r>
      <w:r>
        <w:rPr>
          <w:rFonts w:hint="eastAsia" w:ascii="宋体" w:hAnsi="宋体" w:cs="宋体"/>
          <w:color w:val="000000"/>
          <w:szCs w:val="21"/>
          <w:highlight w:val="none"/>
          <w:u w:val="single"/>
          <w:lang w:eastAsia="zh-CN"/>
        </w:rPr>
        <w:t>），</w:t>
      </w:r>
      <w:r>
        <w:rPr>
          <w:rFonts w:hint="eastAsia" w:ascii="宋体" w:hAnsi="宋体" w:cs="宋体"/>
          <w:bCs/>
          <w:szCs w:val="21"/>
          <w:highlight w:val="none"/>
          <w:u w:val="single"/>
        </w:rPr>
        <w:t>中标人应按本须知前附表第20项的规定向招标人提交履约担保。</w:t>
      </w:r>
    </w:p>
    <w:p>
      <w:pPr>
        <w:tabs>
          <w:tab w:val="left" w:pos="2940"/>
        </w:tabs>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条款号：31.1           修改类型：增加</w:t>
      </w:r>
    </w:p>
    <w:p>
      <w:pPr>
        <w:pBdr>
          <w:bottom w:val="single" w:color="auto" w:sz="6" w:space="1"/>
        </w:pBdr>
        <w:spacing w:line="440" w:lineRule="exact"/>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u w:val="single"/>
        </w:rPr>
        <w:t>中标人缴纳广州公共资源交易中心交易服务费（由广州公共资源交易中心向中标人开具增值税发票）。</w:t>
      </w:r>
    </w:p>
    <w:p>
      <w:pPr>
        <w:tabs>
          <w:tab w:val="left" w:pos="2940"/>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条款号：32.3</w:t>
      </w:r>
      <w:r>
        <w:rPr>
          <w:rFonts w:hint="eastAsia" w:ascii="宋体" w:hAnsi="宋体" w:cs="宋体"/>
          <w:b/>
          <w:szCs w:val="21"/>
          <w:highlight w:val="none"/>
        </w:rPr>
        <w:tab/>
      </w:r>
      <w:r>
        <w:rPr>
          <w:rFonts w:hint="eastAsia" w:ascii="宋体" w:hAnsi="宋体" w:cs="宋体"/>
          <w:b/>
          <w:szCs w:val="21"/>
          <w:highlight w:val="none"/>
        </w:rPr>
        <w:t>修改类型：修改</w:t>
      </w:r>
    </w:p>
    <w:p>
      <w:pPr>
        <w:pBdr>
          <w:bottom w:val="single" w:color="auto" w:sz="6" w:space="1"/>
        </w:pBdr>
        <w:spacing w:line="440" w:lineRule="exact"/>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440" w:lineRule="exact"/>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bCs/>
          <w:szCs w:val="21"/>
          <w:highlight w:val="none"/>
        </w:rPr>
        <w:t>32.3</w:t>
      </w:r>
      <w:r>
        <w:rPr>
          <w:rFonts w:hint="eastAsia" w:ascii="宋体" w:hAnsi="宋体" w:cs="宋体"/>
          <w:bCs/>
          <w:kern w:val="0"/>
          <w:szCs w:val="21"/>
          <w:highlight w:val="none"/>
        </w:rPr>
        <w:t>投标人如在本项目中存在串通投标、弄虚作假</w:t>
      </w:r>
      <w:r>
        <w:rPr>
          <w:rFonts w:hint="eastAsia" w:ascii="宋体" w:hAnsi="宋体" w:cs="宋体"/>
          <w:bCs/>
          <w:kern w:val="0"/>
          <w:szCs w:val="21"/>
          <w:highlight w:val="none"/>
          <w:u w:val="single"/>
        </w:rPr>
        <w:t>骗取中标</w:t>
      </w:r>
      <w:r>
        <w:rPr>
          <w:rFonts w:hint="eastAsia" w:ascii="宋体" w:hAnsi="宋体" w:cs="宋体"/>
          <w:bCs/>
          <w:kern w:val="0"/>
          <w:szCs w:val="21"/>
          <w:highlight w:val="none"/>
        </w:rPr>
        <w:t>、行贿情形的，中标无效，行政监督部门将对其违法行为进行政处罚。该投标人将被招标人列入黑名单并限制其参与招标人后续项目的投标。</w:t>
      </w:r>
    </w:p>
    <w:p>
      <w:pPr>
        <w:tabs>
          <w:tab w:val="left" w:pos="2940"/>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条款号：33</w:t>
      </w:r>
      <w:r>
        <w:rPr>
          <w:rFonts w:hint="eastAsia" w:ascii="宋体" w:hAnsi="宋体" w:cs="宋体"/>
          <w:b/>
          <w:szCs w:val="21"/>
          <w:highlight w:val="none"/>
        </w:rPr>
        <w:tab/>
      </w:r>
      <w:r>
        <w:rPr>
          <w:rFonts w:hint="eastAsia" w:ascii="宋体" w:hAnsi="宋体" w:cs="宋体"/>
          <w:b/>
          <w:szCs w:val="21"/>
          <w:highlight w:val="none"/>
        </w:rPr>
        <w:t>修改类型：删除</w:t>
      </w:r>
    </w:p>
    <w:p>
      <w:pPr>
        <w:pBdr>
          <w:bottom w:val="single" w:color="auto" w:sz="6" w:space="1"/>
        </w:pBd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原文：33. 投标人信誉的要求</w:t>
      </w:r>
    </w:p>
    <w:p>
      <w:pPr>
        <w:pBdr>
          <w:bottom w:val="single" w:color="auto" w:sz="6" w:space="1"/>
        </w:pBd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存在下列情形之一的，招标人可以限制其投标（需在招标文件中明确评定方法）</w:t>
      </w:r>
    </w:p>
    <w:p>
      <w:pPr>
        <w:pBdr>
          <w:bottom w:val="single" w:color="auto" w:sz="6" w:space="1"/>
        </w:pBd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（1）被住房城乡建设行政主管部门在全国建筑市场监管一体化工作平台列入建筑市场主体“黑名单”；</w:t>
      </w:r>
    </w:p>
    <w:p>
      <w:pPr>
        <w:pBdr>
          <w:bottom w:val="single" w:color="auto" w:sz="6" w:space="1"/>
        </w:pBdr>
        <w:spacing w:line="440" w:lineRule="exact"/>
        <w:ind w:firstLine="420" w:firstLineChars="200"/>
        <w:rPr>
          <w:rFonts w:ascii="宋体" w:hAnsi="宋体" w:cs="宋体"/>
          <w:bCs/>
          <w:szCs w:val="21"/>
          <w:highlight w:val="none"/>
          <w:u w:val="single"/>
        </w:rPr>
      </w:pPr>
      <w:r>
        <w:rPr>
          <w:rFonts w:hint="eastAsia" w:ascii="宋体" w:hAnsi="宋体" w:cs="宋体"/>
          <w:bCs/>
          <w:szCs w:val="21"/>
          <w:highlight w:val="none"/>
        </w:rPr>
        <w:t>（2）被发改委、人力资源社会保障、质检总局等有关部门、单位在“信用中国”网站中列入联合惩戒失信黑名单</w:t>
      </w:r>
      <w:r>
        <w:rPr>
          <w:rFonts w:hint="eastAsia" w:ascii="宋体" w:hAnsi="宋体" w:cs="宋体"/>
          <w:bCs/>
          <w:szCs w:val="21"/>
          <w:highlight w:val="none"/>
          <w:u w:val="none"/>
        </w:rPr>
        <w:t>。</w:t>
      </w:r>
    </w:p>
    <w:p>
      <w:pPr>
        <w:spacing w:line="360" w:lineRule="auto"/>
        <w:ind w:firstLine="211" w:firstLineChars="100"/>
        <w:rPr>
          <w:b/>
          <w:szCs w:val="21"/>
          <w:highlight w:val="none"/>
        </w:rPr>
      </w:pPr>
      <w:r>
        <w:rPr>
          <w:rFonts w:hint="eastAsia"/>
          <w:b/>
          <w:szCs w:val="21"/>
          <w:highlight w:val="none"/>
        </w:rPr>
        <w:t>注：以上修改，仅限于本范本中有可供选择条款的情形。</w:t>
      </w:r>
    </w:p>
    <w:p>
      <w:pPr>
        <w:spacing w:line="360" w:lineRule="auto"/>
        <w:rPr>
          <w:highlight w:val="none"/>
        </w:rPr>
      </w:pPr>
      <w:r>
        <w:rPr>
          <w:rFonts w:hint="eastAsia"/>
          <w:b/>
          <w:szCs w:val="21"/>
          <w:highlight w:val="none"/>
        </w:rPr>
        <w:t>（以下无正文）</w:t>
      </w:r>
    </w:p>
    <w:p>
      <w:pPr>
        <w:pStyle w:val="5"/>
        <w:rPr>
          <w:color w:val="auto"/>
          <w:highlight w:val="none"/>
        </w:rPr>
      </w:pPr>
      <w:r>
        <w:rPr>
          <w:color w:val="auto"/>
          <w:highlight w:val="none"/>
        </w:rPr>
        <w:br w:type="page"/>
      </w:r>
      <w:bookmarkStart w:id="7" w:name="_Toc21525492"/>
      <w:bookmarkStart w:id="8" w:name="_Toc2272548"/>
      <w:r>
        <w:rPr>
          <w:rFonts w:hint="eastAsia"/>
          <w:color w:val="auto"/>
          <w:highlight w:val="none"/>
        </w:rPr>
        <w:t>三、投标须知通用条款</w:t>
      </w:r>
      <w:bookmarkEnd w:id="7"/>
      <w:bookmarkEnd w:id="8"/>
    </w:p>
    <w:p>
      <w:pPr>
        <w:pStyle w:val="6"/>
        <w:spacing w:before="156" w:after="156"/>
        <w:rPr>
          <w:highlight w:val="none"/>
        </w:rPr>
      </w:pPr>
      <w:bookmarkStart w:id="9" w:name="_Toc2272549"/>
      <w:bookmarkStart w:id="10" w:name="_Toc21525493"/>
      <w:r>
        <w:rPr>
          <w:rFonts w:hint="eastAsia"/>
          <w:highlight w:val="none"/>
        </w:rPr>
        <w:t>（一）总则</w:t>
      </w:r>
      <w:bookmarkEnd w:id="9"/>
      <w:bookmarkEnd w:id="10"/>
    </w:p>
    <w:p>
      <w:pPr>
        <w:pStyle w:val="35"/>
        <w:spacing w:after="0" w:line="360" w:lineRule="auto"/>
        <w:ind w:firstLine="482" w:firstLineChars="200"/>
        <w:rPr>
          <w:rFonts w:ascii="宋体"/>
          <w:b/>
          <w:bCs/>
          <w:sz w:val="24"/>
          <w:highlight w:val="none"/>
        </w:rPr>
      </w:pPr>
      <w:r>
        <w:rPr>
          <w:rFonts w:ascii="宋体" w:hAnsi="宋体"/>
          <w:b/>
          <w:bCs/>
          <w:sz w:val="24"/>
          <w:highlight w:val="none"/>
        </w:rPr>
        <w:t>1</w:t>
      </w:r>
      <w:r>
        <w:rPr>
          <w:rFonts w:hint="eastAsia" w:ascii="宋体" w:hAnsi="宋体"/>
          <w:b/>
          <w:bCs/>
          <w:sz w:val="24"/>
          <w:highlight w:val="none"/>
        </w:rPr>
        <w:t>、定义</w:t>
      </w:r>
    </w:p>
    <w:p>
      <w:pPr>
        <w:pStyle w:val="35"/>
        <w:spacing w:after="0" w:line="360" w:lineRule="auto"/>
        <w:ind w:firstLine="480" w:firstLineChars="200"/>
        <w:rPr>
          <w:rFonts w:ascii="宋体"/>
          <w:b/>
          <w:bCs/>
          <w:sz w:val="24"/>
          <w:highlight w:val="none"/>
        </w:rPr>
      </w:pPr>
      <w:r>
        <w:rPr>
          <w:rFonts w:hint="eastAsia" w:ascii="宋体" w:hAnsi="宋体"/>
          <w:sz w:val="24"/>
          <w:highlight w:val="none"/>
        </w:rPr>
        <w:t>本招标文件使用的下列词语具有如下规定的意义：</w:t>
      </w:r>
    </w:p>
    <w:p>
      <w:pPr>
        <w:pStyle w:val="35"/>
        <w:spacing w:after="0" w:line="360" w:lineRule="auto"/>
        <w:ind w:firstLine="480" w:firstLineChars="200"/>
        <w:rPr>
          <w:rFonts w:ascii="宋体"/>
          <w:b/>
          <w:bCs/>
          <w:sz w:val="24"/>
          <w:highlight w:val="none"/>
          <w:u w:val="singl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）“招标人”（即发包人）、“项目建设管理单位</w:t>
      </w:r>
      <w:r>
        <w:rPr>
          <w:rFonts w:hint="eastAsia" w:ascii="宋体"/>
          <w:sz w:val="24"/>
          <w:highlight w:val="none"/>
        </w:rPr>
        <w:t>”</w:t>
      </w:r>
      <w:r>
        <w:rPr>
          <w:rFonts w:hint="eastAsia" w:ascii="宋体" w:hAnsi="宋体"/>
          <w:sz w:val="24"/>
          <w:highlight w:val="none"/>
        </w:rPr>
        <w:t>（或称“项目代建单位”）、“招标代理”、“设计单位”、“监理单位”均已在投标须知前附表中列明。</w:t>
      </w:r>
    </w:p>
    <w:p>
      <w:pPr>
        <w:pStyle w:val="35"/>
        <w:spacing w:after="0" w:line="360" w:lineRule="auto"/>
        <w:ind w:firstLine="480" w:firstLineChars="200"/>
        <w:rPr>
          <w:rFonts w:ascii="宋体"/>
          <w:sz w:val="24"/>
          <w:highlight w:val="none"/>
          <w:u w:val="singl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）“投标人”指向招标人提交投标文件的当事人。</w:t>
      </w:r>
      <w:r>
        <w:rPr>
          <w:rFonts w:ascii="宋体" w:hAnsi="宋体"/>
          <w:sz w:val="24"/>
          <w:highlight w:val="none"/>
        </w:rPr>
        <w:t xml:space="preserve">   </w:t>
      </w:r>
    </w:p>
    <w:p>
      <w:pPr>
        <w:pStyle w:val="35"/>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）“承包人”指其投标被招标人接受并与其签订承包合同的当事人。</w:t>
      </w:r>
    </w:p>
    <w:p>
      <w:pPr>
        <w:pStyle w:val="35"/>
        <w:spacing w:after="0" w:line="360" w:lineRule="auto"/>
        <w:ind w:firstLine="480" w:firstLineChars="200"/>
        <w:rPr>
          <w:rFonts w:ascii="宋体"/>
          <w:sz w:val="24"/>
          <w:highlight w:val="none"/>
          <w:u w:val="singl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）“招标文件”指由招标代理发出的本文件（包括全部章节、附件）及招标答疑会会议纪要和</w:t>
      </w:r>
      <w:r>
        <w:rPr>
          <w:rFonts w:hint="eastAsia" w:ascii="宋体" w:hAnsi="宋体"/>
          <w:bCs/>
          <w:sz w:val="24"/>
          <w:highlight w:val="none"/>
        </w:rPr>
        <w:t>招标文件的澄清与修改</w:t>
      </w:r>
      <w:r>
        <w:rPr>
          <w:rFonts w:hint="eastAsia" w:ascii="宋体" w:hAnsi="宋体"/>
          <w:sz w:val="24"/>
          <w:highlight w:val="none"/>
        </w:rPr>
        <w:t>文件。</w:t>
      </w:r>
    </w:p>
    <w:p>
      <w:pPr>
        <w:pStyle w:val="35"/>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）“投标文件”指投标人根据本项目招标文件向招标人提交的全部文件。</w:t>
      </w:r>
    </w:p>
    <w:p>
      <w:pPr>
        <w:pStyle w:val="35"/>
        <w:spacing w:after="0"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6</w:t>
      </w:r>
      <w:r>
        <w:rPr>
          <w:rFonts w:hint="eastAsia" w:ascii="宋体" w:hAnsi="宋体"/>
          <w:color w:val="000000"/>
          <w:sz w:val="24"/>
          <w:highlight w:val="none"/>
        </w:rPr>
        <w:t>）“书面形式”指打字或印刷的文件和数据电文（包括电报、电传、传真、电子数据交换和电子邮件）。</w:t>
      </w:r>
    </w:p>
    <w:p>
      <w:pPr>
        <w:spacing w:line="360" w:lineRule="auto"/>
        <w:ind w:firstLine="482" w:firstLineChars="200"/>
        <w:rPr>
          <w:rFonts w:ascii="宋体"/>
          <w:b/>
          <w:color w:val="000000"/>
          <w:sz w:val="24"/>
          <w:highlight w:val="none"/>
        </w:rPr>
      </w:pPr>
      <w:r>
        <w:rPr>
          <w:rFonts w:ascii="宋体" w:hAnsi="宋体"/>
          <w:b/>
          <w:color w:val="000000"/>
          <w:sz w:val="24"/>
          <w:highlight w:val="none"/>
        </w:rPr>
        <w:t>2</w:t>
      </w:r>
      <w:r>
        <w:rPr>
          <w:rFonts w:hint="eastAsia" w:ascii="宋体" w:hAnsi="宋体"/>
          <w:b/>
          <w:color w:val="000000"/>
          <w:sz w:val="24"/>
          <w:highlight w:val="none"/>
        </w:rPr>
        <w:t>、招标说明</w:t>
      </w:r>
    </w:p>
    <w:p>
      <w:pPr>
        <w:spacing w:line="360" w:lineRule="auto"/>
        <w:ind w:firstLine="480" w:firstLineChars="200"/>
        <w:rPr>
          <w:rFonts w:ascii="宋体"/>
          <w:bCs/>
          <w:sz w:val="24"/>
          <w:highlight w:val="none"/>
        </w:rPr>
      </w:pPr>
      <w:r>
        <w:rPr>
          <w:rFonts w:ascii="宋体" w:hAnsi="宋体"/>
          <w:bCs/>
          <w:sz w:val="24"/>
          <w:highlight w:val="none"/>
        </w:rPr>
        <w:t>2.1</w:t>
      </w:r>
      <w:r>
        <w:rPr>
          <w:rFonts w:hint="eastAsia" w:ascii="宋体" w:hAnsi="宋体"/>
          <w:bCs/>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sz w:val="24"/>
          <w:highlight w:val="none"/>
        </w:rPr>
      </w:pPr>
      <w:r>
        <w:rPr>
          <w:rFonts w:ascii="宋体" w:hAnsi="宋体"/>
          <w:bCs/>
          <w:sz w:val="24"/>
          <w:highlight w:val="none"/>
        </w:rPr>
        <w:t>2.2</w:t>
      </w:r>
      <w:r>
        <w:rPr>
          <w:rFonts w:hint="eastAsia" w:ascii="宋体" w:hAnsi="宋体"/>
          <w:bCs/>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sz w:val="24"/>
          <w:highlight w:val="none"/>
        </w:rPr>
      </w:pPr>
      <w:r>
        <w:rPr>
          <w:rFonts w:ascii="宋体" w:hAnsi="宋体"/>
          <w:bCs/>
          <w:sz w:val="24"/>
          <w:highlight w:val="none"/>
        </w:rPr>
        <w:t>2.3</w:t>
      </w:r>
      <w:r>
        <w:rPr>
          <w:rFonts w:hint="eastAsia" w:ascii="宋体" w:hAnsi="宋体"/>
          <w:bCs/>
          <w:sz w:val="24"/>
          <w:highlight w:val="none"/>
        </w:rPr>
        <w:t>设计说明：详见招标图纸。</w:t>
      </w:r>
    </w:p>
    <w:p>
      <w:pPr>
        <w:spacing w:line="360" w:lineRule="auto"/>
        <w:ind w:firstLine="480" w:firstLineChars="200"/>
        <w:rPr>
          <w:rFonts w:ascii="宋体"/>
          <w:bCs/>
          <w:sz w:val="24"/>
          <w:highlight w:val="none"/>
        </w:rPr>
      </w:pPr>
      <w:r>
        <w:rPr>
          <w:rFonts w:ascii="宋体" w:hAnsi="宋体"/>
          <w:bCs/>
          <w:sz w:val="24"/>
          <w:highlight w:val="none"/>
        </w:rPr>
        <w:t>2.4</w:t>
      </w:r>
      <w:r>
        <w:rPr>
          <w:rFonts w:hint="eastAsia" w:ascii="宋体" w:hAnsi="宋体"/>
          <w:bCs/>
          <w:sz w:val="24"/>
          <w:highlight w:val="none"/>
        </w:rPr>
        <w:t>工程施工特点：详见招标图纸。</w:t>
      </w:r>
    </w:p>
    <w:p>
      <w:pPr>
        <w:tabs>
          <w:tab w:val="left" w:pos="105"/>
        </w:tabs>
        <w:spacing w:line="360" w:lineRule="auto"/>
        <w:ind w:firstLine="482" w:firstLineChars="200"/>
        <w:rPr>
          <w:rFonts w:ascii="宋体"/>
          <w:b/>
          <w:sz w:val="24"/>
          <w:highlight w:val="none"/>
        </w:rPr>
      </w:pPr>
      <w:r>
        <w:rPr>
          <w:rFonts w:ascii="宋体" w:hAnsi="宋体"/>
          <w:b/>
          <w:sz w:val="24"/>
          <w:highlight w:val="none"/>
        </w:rPr>
        <w:t>3</w:t>
      </w:r>
      <w:r>
        <w:rPr>
          <w:rFonts w:hint="eastAsia" w:ascii="宋体" w:hAnsi="宋体"/>
          <w:b/>
          <w:sz w:val="24"/>
          <w:highlight w:val="none"/>
        </w:rPr>
        <w:t>．资金来源</w:t>
      </w:r>
    </w:p>
    <w:p>
      <w:pPr>
        <w:spacing w:line="360" w:lineRule="auto"/>
        <w:ind w:firstLine="480" w:firstLineChars="200"/>
        <w:rPr>
          <w:rFonts w:ascii="宋体"/>
          <w:bCs/>
          <w:sz w:val="24"/>
          <w:highlight w:val="none"/>
        </w:rPr>
      </w:pPr>
      <w:r>
        <w:rPr>
          <w:rFonts w:ascii="宋体" w:hAnsi="宋体"/>
          <w:bCs/>
          <w:sz w:val="24"/>
          <w:highlight w:val="none"/>
        </w:rPr>
        <w:t>3.1</w:t>
      </w:r>
      <w:r>
        <w:rPr>
          <w:rFonts w:hint="eastAsia" w:ascii="宋体" w:hAnsi="宋体"/>
          <w:bCs/>
          <w:sz w:val="24"/>
          <w:highlight w:val="none"/>
        </w:rPr>
        <w:t>本招标工程项目资金来源见投标须知前附表第</w:t>
      </w:r>
      <w:r>
        <w:rPr>
          <w:rFonts w:ascii="宋体" w:hAnsi="宋体"/>
          <w:bCs/>
          <w:sz w:val="24"/>
          <w:highlight w:val="none"/>
        </w:rPr>
        <w:t>9</w:t>
      </w:r>
      <w:r>
        <w:rPr>
          <w:rFonts w:hint="eastAsia" w:ascii="宋体" w:hAnsi="宋体"/>
          <w:bCs/>
          <w:sz w:val="24"/>
          <w:highlight w:val="none"/>
        </w:rPr>
        <w:t>项</w:t>
      </w:r>
    </w:p>
    <w:p>
      <w:pPr>
        <w:tabs>
          <w:tab w:val="left" w:pos="105"/>
        </w:tabs>
        <w:spacing w:line="360" w:lineRule="auto"/>
        <w:ind w:firstLine="482" w:firstLineChars="200"/>
        <w:rPr>
          <w:rFonts w:ascii="宋体"/>
          <w:b/>
          <w:sz w:val="24"/>
          <w:highlight w:val="none"/>
        </w:rPr>
      </w:pPr>
      <w:r>
        <w:rPr>
          <w:rFonts w:ascii="宋体" w:hAnsi="宋体"/>
          <w:b/>
          <w:sz w:val="24"/>
          <w:highlight w:val="none"/>
        </w:rPr>
        <w:t>4</w:t>
      </w:r>
      <w:r>
        <w:rPr>
          <w:rFonts w:hint="eastAsia" w:ascii="宋体" w:hAnsi="宋体"/>
          <w:b/>
          <w:sz w:val="24"/>
          <w:highlight w:val="none"/>
        </w:rPr>
        <w:t>．合格投标人的条件</w:t>
      </w:r>
    </w:p>
    <w:p>
      <w:pPr>
        <w:spacing w:line="360" w:lineRule="auto"/>
        <w:ind w:firstLine="480" w:firstLineChars="200"/>
        <w:rPr>
          <w:rFonts w:ascii="宋体"/>
          <w:bCs/>
          <w:sz w:val="24"/>
          <w:highlight w:val="none"/>
        </w:rPr>
      </w:pPr>
      <w:r>
        <w:rPr>
          <w:rFonts w:ascii="宋体" w:hAnsi="宋体"/>
          <w:bCs/>
          <w:sz w:val="24"/>
          <w:highlight w:val="none"/>
        </w:rPr>
        <w:t>4.1</w:t>
      </w:r>
      <w:r>
        <w:rPr>
          <w:rFonts w:hint="eastAsia" w:ascii="宋体" w:hAnsi="宋体"/>
          <w:bCs/>
          <w:sz w:val="24"/>
          <w:highlight w:val="none"/>
        </w:rPr>
        <w:t>详见本项目招标公告</w:t>
      </w:r>
    </w:p>
    <w:p>
      <w:pPr>
        <w:tabs>
          <w:tab w:val="left" w:pos="105"/>
        </w:tabs>
        <w:spacing w:line="360" w:lineRule="auto"/>
        <w:ind w:firstLine="482" w:firstLineChars="200"/>
        <w:rPr>
          <w:rFonts w:ascii="宋体"/>
          <w:b/>
          <w:sz w:val="24"/>
          <w:highlight w:val="none"/>
        </w:rPr>
      </w:pPr>
      <w:r>
        <w:rPr>
          <w:rFonts w:ascii="宋体" w:hAnsi="宋体"/>
          <w:b/>
          <w:sz w:val="24"/>
          <w:highlight w:val="none"/>
        </w:rPr>
        <w:t>5</w:t>
      </w:r>
      <w:r>
        <w:rPr>
          <w:rFonts w:hint="eastAsia" w:ascii="宋体" w:hAnsi="宋体"/>
          <w:b/>
          <w:sz w:val="24"/>
          <w:highlight w:val="none"/>
        </w:rPr>
        <w:t>．踏勘现场</w:t>
      </w:r>
    </w:p>
    <w:p>
      <w:pPr>
        <w:spacing w:line="360" w:lineRule="auto"/>
        <w:ind w:firstLine="480" w:firstLineChars="200"/>
        <w:rPr>
          <w:rFonts w:ascii="宋体"/>
          <w:bCs/>
          <w:sz w:val="24"/>
          <w:highlight w:val="none"/>
          <w:u w:val="single"/>
        </w:rPr>
      </w:pPr>
      <w:r>
        <w:rPr>
          <w:rFonts w:ascii="宋体" w:hAnsi="宋体"/>
          <w:bCs/>
          <w:sz w:val="24"/>
          <w:highlight w:val="none"/>
        </w:rPr>
        <w:t xml:space="preserve">5.1 </w:t>
      </w:r>
      <w:r>
        <w:rPr>
          <w:rFonts w:hint="eastAsia" w:ascii="宋体" w:hAnsi="宋体"/>
          <w:bCs/>
          <w:sz w:val="24"/>
          <w:highlight w:val="none"/>
        </w:rPr>
        <w:t>投标人应按本投标须知前附表第</w:t>
      </w:r>
      <w:r>
        <w:rPr>
          <w:rFonts w:ascii="宋体" w:hAnsi="宋体"/>
          <w:bCs/>
          <w:sz w:val="24"/>
          <w:highlight w:val="none"/>
        </w:rPr>
        <w:t>15</w:t>
      </w:r>
      <w:r>
        <w:rPr>
          <w:rFonts w:hint="eastAsia" w:ascii="宋体" w:hAnsi="宋体"/>
          <w:bCs/>
          <w:sz w:val="24"/>
          <w:highlight w:val="none"/>
        </w:rPr>
        <w:t>项所述时间和要求对工程现场及周围环境进行踏勘，</w:t>
      </w:r>
      <w:r>
        <w:rPr>
          <w:rFonts w:hint="eastAsia" w:ascii="宋体" w:hAnsi="宋体"/>
          <w:sz w:val="24"/>
          <w:highlight w:val="none"/>
        </w:rPr>
        <w:t>投标人应充分重视和仔细地进行这种考察，</w:t>
      </w:r>
      <w:r>
        <w:rPr>
          <w:rFonts w:hint="eastAsia" w:ascii="宋体" w:hAnsi="宋体"/>
          <w:bCs/>
          <w:sz w:val="24"/>
          <w:highlight w:val="none"/>
        </w:rPr>
        <w:t>以便投标人获取</w:t>
      </w:r>
      <w:r>
        <w:rPr>
          <w:rFonts w:hint="eastAsia" w:ascii="宋体" w:hAnsi="宋体"/>
          <w:sz w:val="24"/>
          <w:highlight w:val="none"/>
        </w:rPr>
        <w:t>那些须投标人自己负责的</w:t>
      </w:r>
      <w:r>
        <w:rPr>
          <w:rFonts w:hint="eastAsia" w:ascii="宋体" w:hAnsi="宋体"/>
          <w:bCs/>
          <w:sz w:val="24"/>
          <w:highlight w:val="none"/>
        </w:rPr>
        <w:t>有关编制投标文件和签署合同所涉及现场所有的资料。</w:t>
      </w:r>
      <w:r>
        <w:rPr>
          <w:rFonts w:hint="eastAsia" w:ascii="宋体" w:hAnsi="宋体"/>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sz w:val="24"/>
          <w:highlight w:val="none"/>
        </w:rPr>
      </w:pPr>
      <w:r>
        <w:rPr>
          <w:rFonts w:ascii="宋体" w:hAnsi="宋体"/>
          <w:bCs/>
          <w:sz w:val="24"/>
          <w:highlight w:val="none"/>
        </w:rPr>
        <w:t xml:space="preserve">5.2 </w:t>
      </w:r>
      <w:r>
        <w:rPr>
          <w:rFonts w:hint="eastAsia" w:ascii="宋体" w:hAnsi="宋体"/>
          <w:bCs/>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sz w:val="24"/>
          <w:highlight w:val="none"/>
        </w:rPr>
      </w:pPr>
      <w:r>
        <w:rPr>
          <w:rFonts w:ascii="宋体" w:hAnsi="宋体"/>
          <w:bCs/>
          <w:sz w:val="24"/>
          <w:highlight w:val="none"/>
        </w:rPr>
        <w:t xml:space="preserve">5.3 </w:t>
      </w:r>
      <w:r>
        <w:rPr>
          <w:rFonts w:hint="eastAsia" w:ascii="宋体" w:hAnsi="宋体"/>
          <w:bCs/>
          <w:sz w:val="24"/>
          <w:highlight w:val="none"/>
        </w:rPr>
        <w:t>经招标人允许，投标人可为踏勘目的进入招标人的项目现场。</w:t>
      </w:r>
      <w:r>
        <w:rPr>
          <w:rFonts w:hint="eastAsia" w:ascii="宋体" w:hAnsi="宋体"/>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highlight w:val="none"/>
        </w:rPr>
        <w:t>投标人不得因此使招标人承担有关的责任和蒙受损失。</w:t>
      </w:r>
    </w:p>
    <w:p>
      <w:pPr>
        <w:tabs>
          <w:tab w:val="left" w:pos="105"/>
        </w:tabs>
        <w:spacing w:line="360" w:lineRule="auto"/>
        <w:ind w:firstLine="482" w:firstLineChars="200"/>
        <w:rPr>
          <w:rFonts w:ascii="宋体"/>
          <w:b/>
          <w:sz w:val="24"/>
          <w:highlight w:val="none"/>
        </w:rPr>
      </w:pPr>
      <w:r>
        <w:rPr>
          <w:rFonts w:ascii="宋体" w:hAnsi="宋体"/>
          <w:b/>
          <w:sz w:val="24"/>
          <w:highlight w:val="none"/>
        </w:rPr>
        <w:t>6</w:t>
      </w:r>
      <w:r>
        <w:rPr>
          <w:rFonts w:hint="eastAsia" w:ascii="宋体" w:hAnsi="宋体"/>
          <w:b/>
          <w:sz w:val="24"/>
          <w:highlight w:val="none"/>
        </w:rPr>
        <w:t>．投标费用</w:t>
      </w:r>
    </w:p>
    <w:p>
      <w:pPr>
        <w:tabs>
          <w:tab w:val="left" w:pos="105"/>
        </w:tabs>
        <w:spacing w:line="360" w:lineRule="auto"/>
        <w:ind w:firstLine="480" w:firstLineChars="200"/>
        <w:rPr>
          <w:rFonts w:ascii="宋体"/>
          <w:bCs/>
          <w:sz w:val="24"/>
          <w:highlight w:val="none"/>
        </w:rPr>
      </w:pPr>
      <w:r>
        <w:rPr>
          <w:rFonts w:ascii="宋体" w:hAnsi="宋体"/>
          <w:bCs/>
          <w:sz w:val="24"/>
          <w:highlight w:val="none"/>
        </w:rPr>
        <w:t>6.1</w:t>
      </w:r>
      <w:r>
        <w:rPr>
          <w:rFonts w:hint="eastAsia" w:ascii="宋体" w:hAnsi="宋体"/>
          <w:sz w:val="24"/>
          <w:highlight w:val="none"/>
        </w:rPr>
        <w:t>不论投标结果如何，投标人应承担</w:t>
      </w:r>
      <w:r>
        <w:rPr>
          <w:rFonts w:hint="eastAsia" w:ascii="宋体" w:hAnsi="宋体"/>
          <w:bCs/>
          <w:sz w:val="24"/>
          <w:highlight w:val="none"/>
        </w:rPr>
        <w:t>自身</w:t>
      </w:r>
      <w:r>
        <w:rPr>
          <w:rFonts w:hint="eastAsia" w:ascii="宋体" w:hAnsi="宋体"/>
          <w:sz w:val="24"/>
          <w:highlight w:val="none"/>
        </w:rPr>
        <w:t>因投标文件编制、递交及其他</w:t>
      </w:r>
      <w:r>
        <w:rPr>
          <w:rFonts w:hint="eastAsia" w:ascii="宋体" w:hAnsi="宋体"/>
          <w:bCs/>
          <w:sz w:val="24"/>
          <w:highlight w:val="none"/>
        </w:rPr>
        <w:t>参加本招标活动</w:t>
      </w:r>
      <w:r>
        <w:rPr>
          <w:rFonts w:hint="eastAsia" w:ascii="宋体" w:hAnsi="宋体"/>
          <w:sz w:val="24"/>
          <w:highlight w:val="none"/>
        </w:rPr>
        <w:t>所涉及的一切费用，招标人对上述费用不负任何责任。</w:t>
      </w:r>
    </w:p>
    <w:p>
      <w:pPr>
        <w:pStyle w:val="6"/>
        <w:spacing w:before="156" w:after="156"/>
        <w:rPr>
          <w:highlight w:val="none"/>
        </w:rPr>
      </w:pPr>
      <w:bookmarkStart w:id="11" w:name="_Toc21525494"/>
      <w:bookmarkStart w:id="12" w:name="_Toc2272550"/>
      <w:r>
        <w:rPr>
          <w:rFonts w:hint="eastAsia"/>
          <w:highlight w:val="none"/>
        </w:rPr>
        <w:t>（二）招标文件</w:t>
      </w:r>
      <w:bookmarkEnd w:id="11"/>
      <w:bookmarkEnd w:id="12"/>
    </w:p>
    <w:p>
      <w:pPr>
        <w:tabs>
          <w:tab w:val="left" w:pos="105"/>
        </w:tabs>
        <w:spacing w:line="360" w:lineRule="auto"/>
        <w:ind w:firstLine="482" w:firstLineChars="200"/>
        <w:rPr>
          <w:rFonts w:ascii="宋体"/>
          <w:b/>
          <w:sz w:val="24"/>
          <w:highlight w:val="none"/>
        </w:rPr>
      </w:pPr>
      <w:r>
        <w:rPr>
          <w:rFonts w:ascii="宋体" w:hAnsi="宋体"/>
          <w:b/>
          <w:sz w:val="24"/>
          <w:highlight w:val="none"/>
        </w:rPr>
        <w:t>7.</w:t>
      </w:r>
      <w:r>
        <w:rPr>
          <w:rFonts w:hint="eastAsia" w:ascii="宋体" w:hAnsi="宋体"/>
          <w:b/>
          <w:sz w:val="24"/>
          <w:highlight w:val="none"/>
        </w:rPr>
        <w:t>招标文件的组成</w:t>
      </w:r>
    </w:p>
    <w:p>
      <w:pPr>
        <w:spacing w:line="360" w:lineRule="auto"/>
        <w:ind w:firstLine="480" w:firstLineChars="200"/>
        <w:rPr>
          <w:rFonts w:ascii="宋体"/>
          <w:sz w:val="24"/>
          <w:highlight w:val="none"/>
        </w:rPr>
      </w:pPr>
      <w:r>
        <w:rPr>
          <w:rFonts w:ascii="宋体" w:hAnsi="宋体"/>
          <w:bCs/>
          <w:sz w:val="24"/>
          <w:highlight w:val="none"/>
        </w:rPr>
        <w:t>7.1</w:t>
      </w:r>
      <w:r>
        <w:rPr>
          <w:rFonts w:hint="eastAsia" w:ascii="宋体" w:hAnsi="宋体"/>
          <w:sz w:val="24"/>
          <w:highlight w:val="none"/>
        </w:rPr>
        <w:t>本招标文件包括下列文件，以及所有按本须知第</w:t>
      </w:r>
      <w:r>
        <w:rPr>
          <w:rFonts w:ascii="宋体" w:hAnsi="宋体"/>
          <w:sz w:val="24"/>
          <w:highlight w:val="none"/>
        </w:rPr>
        <w:t>8</w:t>
      </w:r>
      <w:r>
        <w:rPr>
          <w:rFonts w:hint="eastAsia" w:ascii="宋体" w:hAnsi="宋体"/>
          <w:sz w:val="24"/>
          <w:highlight w:val="none"/>
        </w:rPr>
        <w:t>条发出的招标答疑会会议纪要和按本须知第</w:t>
      </w:r>
      <w:r>
        <w:rPr>
          <w:rFonts w:ascii="宋体" w:hAnsi="宋体"/>
          <w:sz w:val="24"/>
          <w:highlight w:val="none"/>
        </w:rPr>
        <w:t>9</w:t>
      </w:r>
      <w:r>
        <w:rPr>
          <w:rFonts w:hint="eastAsia" w:ascii="宋体" w:hAnsi="宋体"/>
          <w:sz w:val="24"/>
          <w:highlight w:val="none"/>
        </w:rPr>
        <w:t>条发出的澄清或修改：</w:t>
      </w:r>
    </w:p>
    <w:p>
      <w:pPr>
        <w:pStyle w:val="35"/>
        <w:spacing w:after="0" w:line="360" w:lineRule="auto"/>
        <w:ind w:left="-2" w:firstLine="480" w:firstLineChars="200"/>
        <w:rPr>
          <w:rFonts w:ascii="宋体"/>
          <w:sz w:val="24"/>
          <w:highlight w:val="none"/>
        </w:rPr>
      </w:pPr>
      <w:r>
        <w:rPr>
          <w:rFonts w:hint="eastAsia" w:ascii="宋体" w:hAnsi="宋体"/>
          <w:bCs/>
          <w:sz w:val="24"/>
          <w:highlight w:val="none"/>
        </w:rPr>
        <w:t>第一章</w:t>
      </w:r>
      <w:r>
        <w:rPr>
          <w:rFonts w:ascii="宋体" w:hAnsi="宋体"/>
          <w:bCs/>
          <w:sz w:val="24"/>
          <w:highlight w:val="none"/>
        </w:rPr>
        <w:t xml:space="preserve">  </w:t>
      </w:r>
      <w:r>
        <w:rPr>
          <w:rFonts w:hint="eastAsia" w:ascii="宋体" w:hAnsi="宋体"/>
          <w:sz w:val="24"/>
          <w:highlight w:val="none"/>
        </w:rPr>
        <w:t>投标须知</w:t>
      </w:r>
    </w:p>
    <w:p>
      <w:pPr>
        <w:pStyle w:val="35"/>
        <w:spacing w:after="0" w:line="360" w:lineRule="auto"/>
        <w:ind w:left="-2" w:firstLine="480" w:firstLineChars="200"/>
        <w:rPr>
          <w:rFonts w:ascii="宋体"/>
          <w:sz w:val="24"/>
          <w:highlight w:val="none"/>
        </w:rPr>
      </w:pPr>
      <w:r>
        <w:rPr>
          <w:rFonts w:hint="eastAsia" w:ascii="宋体" w:hAnsi="宋体"/>
          <w:bCs/>
          <w:sz w:val="24"/>
          <w:highlight w:val="none"/>
        </w:rPr>
        <w:t>第二章</w:t>
      </w:r>
      <w:r>
        <w:rPr>
          <w:rFonts w:ascii="宋体" w:hAnsi="宋体"/>
          <w:bCs/>
          <w:sz w:val="24"/>
          <w:highlight w:val="none"/>
        </w:rPr>
        <w:t xml:space="preserve">  </w:t>
      </w:r>
      <w:r>
        <w:rPr>
          <w:rFonts w:hint="eastAsia" w:ascii="宋体" w:hAnsi="宋体"/>
          <w:sz w:val="24"/>
          <w:highlight w:val="none"/>
        </w:rPr>
        <w:t>开标、评标及定标办法</w:t>
      </w:r>
    </w:p>
    <w:p>
      <w:pPr>
        <w:pStyle w:val="35"/>
        <w:spacing w:after="0" w:line="360" w:lineRule="auto"/>
        <w:ind w:firstLine="480" w:firstLineChars="200"/>
        <w:rPr>
          <w:rFonts w:ascii="宋体"/>
          <w:sz w:val="24"/>
          <w:highlight w:val="none"/>
        </w:rPr>
      </w:pPr>
      <w:r>
        <w:rPr>
          <w:rFonts w:hint="eastAsia" w:ascii="宋体" w:hAnsi="宋体"/>
          <w:sz w:val="24"/>
          <w:highlight w:val="none"/>
        </w:rPr>
        <w:t>第三章</w:t>
      </w:r>
      <w:r>
        <w:rPr>
          <w:rFonts w:ascii="宋体" w:hAnsi="宋体"/>
          <w:sz w:val="24"/>
          <w:highlight w:val="none"/>
        </w:rPr>
        <w:t xml:space="preserve">  </w:t>
      </w:r>
      <w:r>
        <w:rPr>
          <w:rFonts w:hint="eastAsia" w:ascii="宋体" w:hAnsi="宋体"/>
          <w:sz w:val="24"/>
          <w:highlight w:val="none"/>
        </w:rPr>
        <w:t>合同条款</w:t>
      </w:r>
    </w:p>
    <w:p>
      <w:pPr>
        <w:pStyle w:val="35"/>
        <w:spacing w:after="0" w:line="360" w:lineRule="auto"/>
        <w:ind w:firstLine="480" w:firstLineChars="200"/>
        <w:rPr>
          <w:rFonts w:ascii="宋体"/>
          <w:sz w:val="24"/>
          <w:highlight w:val="none"/>
        </w:rPr>
      </w:pPr>
      <w:r>
        <w:rPr>
          <w:rFonts w:hint="eastAsia" w:ascii="宋体" w:hAnsi="宋体"/>
          <w:bCs/>
          <w:sz w:val="24"/>
          <w:highlight w:val="none"/>
        </w:rPr>
        <w:t>第四章</w:t>
      </w:r>
      <w:r>
        <w:rPr>
          <w:rFonts w:ascii="宋体" w:hAnsi="宋体"/>
          <w:bCs/>
          <w:sz w:val="24"/>
          <w:highlight w:val="none"/>
        </w:rPr>
        <w:t xml:space="preserve">  </w:t>
      </w:r>
      <w:r>
        <w:rPr>
          <w:rFonts w:hint="eastAsia" w:ascii="宋体" w:hAnsi="宋体"/>
          <w:sz w:val="24"/>
          <w:highlight w:val="none"/>
        </w:rPr>
        <w:t>投标文件格式</w:t>
      </w:r>
    </w:p>
    <w:p>
      <w:pPr>
        <w:pStyle w:val="35"/>
        <w:spacing w:after="0" w:line="360" w:lineRule="auto"/>
        <w:ind w:left="-2" w:firstLine="480" w:firstLineChars="200"/>
        <w:rPr>
          <w:rFonts w:ascii="宋体"/>
          <w:sz w:val="24"/>
          <w:highlight w:val="none"/>
        </w:rPr>
      </w:pPr>
      <w:r>
        <w:rPr>
          <w:rFonts w:hint="eastAsia" w:ascii="宋体" w:hAnsi="宋体"/>
          <w:bCs/>
          <w:sz w:val="24"/>
          <w:highlight w:val="none"/>
        </w:rPr>
        <w:t>第五章</w:t>
      </w:r>
      <w:r>
        <w:rPr>
          <w:rFonts w:ascii="宋体" w:hAnsi="宋体"/>
          <w:bCs/>
          <w:sz w:val="24"/>
          <w:highlight w:val="none"/>
        </w:rPr>
        <w:t xml:space="preserve">  </w:t>
      </w:r>
      <w:r>
        <w:rPr>
          <w:rFonts w:hint="eastAsia" w:ascii="宋体" w:hAnsi="宋体"/>
          <w:sz w:val="24"/>
          <w:highlight w:val="none"/>
        </w:rPr>
        <w:t>技术条件（工程建设标准）（另册）</w:t>
      </w:r>
    </w:p>
    <w:p>
      <w:pPr>
        <w:pStyle w:val="35"/>
        <w:spacing w:after="0" w:line="360" w:lineRule="auto"/>
        <w:ind w:left="-2" w:firstLine="480" w:firstLineChars="200"/>
        <w:rPr>
          <w:rFonts w:ascii="宋体"/>
          <w:sz w:val="24"/>
          <w:highlight w:val="none"/>
        </w:rPr>
      </w:pPr>
      <w:r>
        <w:rPr>
          <w:rFonts w:hint="eastAsia" w:ascii="宋体" w:hAnsi="宋体"/>
          <w:bCs/>
          <w:sz w:val="24"/>
          <w:highlight w:val="none"/>
        </w:rPr>
        <w:t>第六章</w:t>
      </w:r>
      <w:r>
        <w:rPr>
          <w:rFonts w:ascii="宋体" w:hAnsi="宋体"/>
          <w:bCs/>
          <w:sz w:val="24"/>
          <w:highlight w:val="none"/>
        </w:rPr>
        <w:t xml:space="preserve">  </w:t>
      </w:r>
      <w:r>
        <w:rPr>
          <w:rFonts w:hint="eastAsia" w:ascii="宋体" w:hAnsi="宋体"/>
          <w:sz w:val="24"/>
          <w:highlight w:val="none"/>
        </w:rPr>
        <w:t>图纸及勘察资料（另册）</w:t>
      </w:r>
    </w:p>
    <w:p>
      <w:pPr>
        <w:pStyle w:val="35"/>
        <w:spacing w:after="0" w:line="360" w:lineRule="auto"/>
        <w:ind w:left="-2" w:firstLine="480" w:firstLineChars="200"/>
        <w:rPr>
          <w:rFonts w:ascii="宋体"/>
          <w:sz w:val="24"/>
          <w:highlight w:val="none"/>
        </w:rPr>
      </w:pPr>
      <w:r>
        <w:rPr>
          <w:rFonts w:hint="eastAsia" w:ascii="宋体" w:hAnsi="宋体"/>
          <w:bCs/>
          <w:sz w:val="24"/>
          <w:highlight w:val="none"/>
        </w:rPr>
        <w:t>第七章</w:t>
      </w:r>
      <w:r>
        <w:rPr>
          <w:rFonts w:ascii="宋体" w:hAnsi="宋体"/>
          <w:bCs/>
          <w:sz w:val="24"/>
          <w:highlight w:val="none"/>
        </w:rPr>
        <w:t xml:space="preserve">  </w:t>
      </w:r>
      <w:r>
        <w:rPr>
          <w:rFonts w:hint="eastAsia" w:ascii="宋体" w:hAnsi="宋体"/>
          <w:bCs/>
          <w:sz w:val="24"/>
          <w:highlight w:val="none"/>
        </w:rPr>
        <w:t>招标</w:t>
      </w:r>
      <w:r>
        <w:rPr>
          <w:rFonts w:hint="eastAsia" w:ascii="宋体" w:hAnsi="宋体"/>
          <w:sz w:val="24"/>
          <w:highlight w:val="none"/>
        </w:rPr>
        <w:t>工程量清单（另册）</w:t>
      </w:r>
    </w:p>
    <w:p>
      <w:pPr>
        <w:pStyle w:val="35"/>
        <w:spacing w:after="0" w:line="360" w:lineRule="auto"/>
        <w:ind w:left="-2" w:firstLine="480" w:firstLineChars="200"/>
        <w:rPr>
          <w:rFonts w:ascii="宋体" w:hAnsi="宋体"/>
          <w:sz w:val="24"/>
          <w:highlight w:val="none"/>
        </w:rPr>
      </w:pPr>
      <w:r>
        <w:rPr>
          <w:rFonts w:hint="eastAsia" w:ascii="宋体" w:hAnsi="宋体"/>
          <w:sz w:val="24"/>
          <w:highlight w:val="none"/>
        </w:rPr>
        <w:t>第八章</w:t>
      </w:r>
      <w:r>
        <w:rPr>
          <w:rFonts w:ascii="宋体" w:hAnsi="宋体"/>
          <w:sz w:val="24"/>
          <w:highlight w:val="none"/>
        </w:rPr>
        <w:t xml:space="preserve">  </w:t>
      </w:r>
      <w:r>
        <w:rPr>
          <w:rFonts w:hint="eastAsia" w:ascii="宋体" w:hAnsi="宋体"/>
          <w:sz w:val="24"/>
          <w:highlight w:val="none"/>
        </w:rPr>
        <w:t>最高投标限价</w:t>
      </w:r>
    </w:p>
    <w:p>
      <w:pPr>
        <w:pStyle w:val="35"/>
        <w:spacing w:after="0" w:line="360" w:lineRule="auto"/>
        <w:ind w:left="-2" w:firstLine="442" w:firstLineChars="200"/>
        <w:rPr>
          <w:rFonts w:ascii="宋体" w:hAnsi="宋体"/>
          <w:sz w:val="24"/>
          <w:highlight w:val="none"/>
        </w:rPr>
      </w:pPr>
      <w:r>
        <w:rPr>
          <w:rFonts w:hint="eastAsia" w:ascii="仿宋" w:hAnsi="仿宋" w:eastAsia="仿宋" w:cs="宋体"/>
          <w:b/>
          <w:bCs/>
          <w:color w:val="000000"/>
          <w:kern w:val="0"/>
          <w:sz w:val="22"/>
          <w:highlight w:val="none"/>
        </w:rPr>
        <w:t>注</w:t>
      </w:r>
      <w:r>
        <w:rPr>
          <w:rFonts w:ascii="仿宋" w:hAnsi="仿宋" w:eastAsia="仿宋" w:cs="宋体"/>
          <w:b/>
          <w:bCs/>
          <w:color w:val="000000"/>
          <w:kern w:val="0"/>
          <w:sz w:val="22"/>
          <w:highlight w:val="none"/>
        </w:rPr>
        <w:t>：招标人应在</w:t>
      </w:r>
      <w:r>
        <w:rPr>
          <w:rFonts w:hint="eastAsia" w:ascii="仿宋" w:hAnsi="仿宋" w:eastAsia="仿宋" w:cs="宋体"/>
          <w:b/>
          <w:bCs/>
          <w:color w:val="000000"/>
          <w:kern w:val="0"/>
          <w:sz w:val="22"/>
          <w:highlight w:val="none"/>
        </w:rPr>
        <w:t>技术条件（工程建设标准）中</w:t>
      </w:r>
      <w:r>
        <w:rPr>
          <w:rFonts w:ascii="仿宋" w:hAnsi="仿宋" w:eastAsia="仿宋" w:cs="宋体"/>
          <w:b/>
          <w:bCs/>
          <w:color w:val="000000"/>
          <w:kern w:val="0"/>
          <w:sz w:val="22"/>
          <w:highlight w:val="none"/>
        </w:rPr>
        <w:t>明确</w:t>
      </w:r>
      <w:r>
        <w:rPr>
          <w:rFonts w:hint="eastAsia" w:ascii="仿宋" w:hAnsi="仿宋" w:eastAsia="仿宋" w:cs="宋体"/>
          <w:b/>
          <w:bCs/>
          <w:color w:val="000000"/>
          <w:kern w:val="0"/>
          <w:sz w:val="22"/>
          <w:highlight w:val="none"/>
        </w:rPr>
        <w:t>施工现场建筑垃圾源头减量的具体要求和建筑垃圾综合利用产品的使用要求。</w:t>
      </w:r>
    </w:p>
    <w:p>
      <w:pPr>
        <w:pStyle w:val="35"/>
        <w:spacing w:after="0" w:line="360" w:lineRule="auto"/>
        <w:ind w:firstLine="480" w:firstLineChars="200"/>
        <w:rPr>
          <w:rFonts w:ascii="宋体"/>
          <w:sz w:val="24"/>
          <w:highlight w:val="none"/>
        </w:rPr>
      </w:pPr>
      <w:r>
        <w:rPr>
          <w:rFonts w:ascii="宋体" w:hAnsi="宋体"/>
          <w:sz w:val="24"/>
          <w:highlight w:val="none"/>
        </w:rPr>
        <w:t xml:space="preserve">7.2 </w:t>
      </w:r>
      <w:r>
        <w:rPr>
          <w:rFonts w:hint="eastAsia" w:ascii="宋体" w:hAnsi="宋体"/>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35"/>
        <w:spacing w:after="0" w:line="360" w:lineRule="auto"/>
        <w:ind w:firstLine="480" w:firstLineChars="200"/>
        <w:rPr>
          <w:rFonts w:ascii="宋体"/>
          <w:sz w:val="24"/>
          <w:highlight w:val="none"/>
        </w:rPr>
      </w:pPr>
      <w:r>
        <w:rPr>
          <w:rFonts w:ascii="宋体" w:hAnsi="宋体"/>
          <w:sz w:val="24"/>
          <w:highlight w:val="none"/>
        </w:rPr>
        <w:t xml:space="preserve">7.3 </w:t>
      </w:r>
      <w:r>
        <w:rPr>
          <w:rFonts w:hint="eastAsia" w:ascii="宋体" w:hAnsi="宋体"/>
          <w:sz w:val="24"/>
          <w:highlight w:val="none"/>
        </w:rPr>
        <w:t>投标人一旦中标，招标文件的内容对招标人和中标人双方均有约束力。</w:t>
      </w:r>
    </w:p>
    <w:p>
      <w:pPr>
        <w:pStyle w:val="35"/>
        <w:spacing w:after="0" w:line="360" w:lineRule="auto"/>
        <w:ind w:firstLine="482" w:firstLineChars="200"/>
        <w:rPr>
          <w:rFonts w:ascii="宋体"/>
          <w:b/>
          <w:bCs/>
          <w:color w:val="000000"/>
          <w:sz w:val="24"/>
          <w:highlight w:val="none"/>
        </w:rPr>
      </w:pPr>
      <w:r>
        <w:rPr>
          <w:rFonts w:ascii="宋体" w:hAnsi="宋体"/>
          <w:b/>
          <w:bCs/>
          <w:color w:val="000000"/>
          <w:sz w:val="24"/>
          <w:highlight w:val="none"/>
        </w:rPr>
        <w:t>8</w:t>
      </w:r>
      <w:r>
        <w:rPr>
          <w:rFonts w:hint="eastAsia" w:ascii="宋体" w:hAnsi="宋体"/>
          <w:b/>
          <w:bCs/>
          <w:color w:val="000000"/>
          <w:sz w:val="24"/>
          <w:highlight w:val="none"/>
        </w:rPr>
        <w:t>．招标答疑</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 xml:space="preserve">8.1 </w:t>
      </w:r>
      <w:r>
        <w:rPr>
          <w:rFonts w:hint="eastAsia" w:ascii="宋体" w:hAnsi="宋体"/>
          <w:color w:val="000000"/>
          <w:sz w:val="24"/>
          <w:highlight w:val="none"/>
        </w:rPr>
        <w:t>投标人若对招标文件（包括招标图纸）中有疑问，可以书面形式</w:t>
      </w:r>
      <w:r>
        <w:rPr>
          <w:rFonts w:hint="eastAsia"/>
          <w:color w:val="000000"/>
          <w:sz w:val="24"/>
          <w:szCs w:val="24"/>
          <w:highlight w:val="none"/>
        </w:rPr>
        <w:t>通过</w:t>
      </w:r>
      <w:r>
        <w:rPr>
          <w:color w:val="000000"/>
          <w:sz w:val="24"/>
          <w:szCs w:val="24"/>
          <w:highlight w:val="none"/>
          <w:u w:val="single"/>
        </w:rPr>
        <w:t xml:space="preserve">        </w:t>
      </w:r>
      <w:r>
        <w:rPr>
          <w:rFonts w:hint="eastAsia" w:ascii="宋体" w:hAnsi="宋体"/>
          <w:color w:val="000000"/>
          <w:sz w:val="24"/>
          <w:szCs w:val="24"/>
          <w:highlight w:val="none"/>
        </w:rPr>
        <w:t>交易平台</w:t>
      </w:r>
      <w:r>
        <w:rPr>
          <w:rFonts w:hint="eastAsia"/>
          <w:color w:val="000000"/>
          <w:sz w:val="24"/>
          <w:szCs w:val="24"/>
          <w:highlight w:val="none"/>
        </w:rPr>
        <w:t>提交</w:t>
      </w:r>
      <w:r>
        <w:rPr>
          <w:rFonts w:hint="eastAsia" w:ascii="宋体" w:hAnsi="宋体"/>
          <w:color w:val="000000"/>
          <w:sz w:val="24"/>
          <w:highlight w:val="none"/>
        </w:rPr>
        <w:t>给招标人或招标代理人，提交形式见本须知前附表第</w:t>
      </w:r>
      <w:r>
        <w:rPr>
          <w:rFonts w:ascii="宋体" w:hAnsi="宋体"/>
          <w:color w:val="000000"/>
          <w:sz w:val="24"/>
          <w:highlight w:val="none"/>
        </w:rPr>
        <w:t>16</w:t>
      </w:r>
      <w:r>
        <w:rPr>
          <w:rFonts w:hint="eastAsia" w:ascii="宋体" w:hAnsi="宋体"/>
          <w:color w:val="000000"/>
          <w:sz w:val="24"/>
          <w:highlight w:val="none"/>
        </w:rPr>
        <w:t>项。</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8.2</w:t>
      </w:r>
      <w:r>
        <w:rPr>
          <w:rFonts w:hint="eastAsia" w:ascii="宋体"/>
          <w:color w:val="000000"/>
          <w:sz w:val="24"/>
          <w:highlight w:val="none"/>
        </w:rPr>
        <w:t>招标答疑会会议纪要将在提交投标文件截止时间15日前在</w:t>
      </w:r>
      <w:r>
        <w:rPr>
          <w:color w:val="000000"/>
          <w:sz w:val="24"/>
          <w:szCs w:val="24"/>
          <w:highlight w:val="none"/>
          <w:u w:val="single"/>
        </w:rPr>
        <w:t xml:space="preserve">        </w:t>
      </w:r>
      <w:r>
        <w:rPr>
          <w:rFonts w:hint="eastAsia" w:ascii="宋体" w:hAnsi="宋体"/>
          <w:color w:val="000000"/>
          <w:sz w:val="24"/>
          <w:szCs w:val="24"/>
          <w:highlight w:val="none"/>
        </w:rPr>
        <w:t>交易平台</w:t>
      </w:r>
      <w:r>
        <w:rPr>
          <w:rFonts w:hint="eastAsia" w:ascii="宋体"/>
          <w:color w:val="000000"/>
          <w:sz w:val="24"/>
          <w:highlight w:val="none"/>
        </w:rPr>
        <w:t xml:space="preserve"> “项目答疑纪要”专区公开发布。答疑纪要一经在</w:t>
      </w:r>
      <w:r>
        <w:rPr>
          <w:color w:val="000000"/>
          <w:sz w:val="24"/>
          <w:szCs w:val="24"/>
          <w:highlight w:val="none"/>
          <w:u w:val="single"/>
        </w:rPr>
        <w:t xml:space="preserve">        </w:t>
      </w:r>
      <w:r>
        <w:rPr>
          <w:rFonts w:hint="eastAsia" w:ascii="宋体" w:hAnsi="宋体"/>
          <w:color w:val="000000"/>
          <w:sz w:val="24"/>
          <w:szCs w:val="24"/>
          <w:highlight w:val="none"/>
        </w:rPr>
        <w:t>交易平台</w:t>
      </w:r>
      <w:r>
        <w:rPr>
          <w:rFonts w:hint="eastAsia" w:ascii="宋体"/>
          <w:color w:val="000000"/>
          <w:sz w:val="24"/>
          <w:highlight w:val="none"/>
        </w:rPr>
        <w:t>发布，视作已发放给所有投标人。</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8.3</w:t>
      </w:r>
      <w:r>
        <w:rPr>
          <w:rFonts w:hint="eastAsia" w:ascii="宋体" w:hAnsi="宋体"/>
          <w:color w:val="000000"/>
          <w:sz w:val="24"/>
          <w:highlight w:val="none"/>
        </w:rPr>
        <w:t>答疑会会议纪要为招标文件的一部分。</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8.4</w:t>
      </w:r>
      <w:r>
        <w:rPr>
          <w:rFonts w:hint="eastAsia" w:ascii="宋体" w:hAnsi="宋体"/>
          <w:color w:val="000000"/>
          <w:sz w:val="24"/>
          <w:highlight w:val="none"/>
        </w:rPr>
        <w:t>若招标答疑会会议纪要与招标文件有矛盾，以答疑会议纪要最后发出的书面形式的文件为准。</w:t>
      </w:r>
    </w:p>
    <w:p>
      <w:pPr>
        <w:pStyle w:val="35"/>
        <w:spacing w:after="0" w:line="360" w:lineRule="auto"/>
        <w:ind w:firstLine="482" w:firstLineChars="200"/>
        <w:rPr>
          <w:rFonts w:ascii="宋体"/>
          <w:b/>
          <w:bCs/>
          <w:color w:val="000000"/>
          <w:sz w:val="24"/>
          <w:highlight w:val="none"/>
        </w:rPr>
      </w:pPr>
      <w:r>
        <w:rPr>
          <w:rFonts w:ascii="宋体" w:hAnsi="宋体"/>
          <w:b/>
          <w:bCs/>
          <w:color w:val="000000"/>
          <w:sz w:val="24"/>
          <w:highlight w:val="none"/>
        </w:rPr>
        <w:t>9.</w:t>
      </w:r>
      <w:r>
        <w:rPr>
          <w:rFonts w:hint="eastAsia" w:ascii="宋体" w:hAnsi="宋体"/>
          <w:b/>
          <w:bCs/>
          <w:color w:val="000000"/>
          <w:sz w:val="24"/>
          <w:highlight w:val="none"/>
        </w:rPr>
        <w:t>招标文件的澄清与修改</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9.1</w:t>
      </w:r>
      <w:r>
        <w:rPr>
          <w:rFonts w:hint="eastAsia" w:ascii="宋体" w:hAnsi="宋体"/>
          <w:color w:val="000000"/>
          <w:sz w:val="24"/>
          <w:highlight w:val="none"/>
        </w:rPr>
        <w:t>招标文件发出后</w:t>
      </w:r>
      <w:r>
        <w:rPr>
          <w:rFonts w:ascii="宋体"/>
          <w:color w:val="000000"/>
          <w:sz w:val="24"/>
          <w:highlight w:val="none"/>
        </w:rPr>
        <w:t>,</w:t>
      </w:r>
      <w:r>
        <w:rPr>
          <w:rFonts w:hint="eastAsia" w:ascii="宋体" w:hAnsi="宋体"/>
          <w:color w:val="000000"/>
          <w:sz w:val="24"/>
          <w:highlight w:val="none"/>
        </w:rPr>
        <w:t>在提交投标文件截止时间15日前，招标人可对招标文件进行必要的澄清或修改。</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9.2</w:t>
      </w:r>
      <w:r>
        <w:rPr>
          <w:rFonts w:hint="eastAsia" w:ascii="宋体"/>
          <w:color w:val="000000"/>
          <w:sz w:val="24"/>
          <w:highlight w:val="none"/>
        </w:rPr>
        <w:t>招标文件的澄清或修改将在</w:t>
      </w:r>
      <w:r>
        <w:rPr>
          <w:color w:val="000000"/>
          <w:sz w:val="24"/>
          <w:szCs w:val="24"/>
          <w:highlight w:val="none"/>
          <w:u w:val="single"/>
        </w:rPr>
        <w:t xml:space="preserve">        </w:t>
      </w:r>
      <w:r>
        <w:rPr>
          <w:rFonts w:hint="eastAsia" w:ascii="宋体" w:hAnsi="宋体"/>
          <w:color w:val="000000"/>
          <w:sz w:val="24"/>
          <w:szCs w:val="24"/>
          <w:highlight w:val="none"/>
        </w:rPr>
        <w:t>交易平台</w:t>
      </w:r>
      <w:r>
        <w:rPr>
          <w:rFonts w:hint="eastAsia" w:ascii="宋体"/>
          <w:color w:val="000000"/>
          <w:sz w:val="24"/>
          <w:highlight w:val="none"/>
        </w:rPr>
        <w:t>“项目答疑纪要”专区公开发布。答疑纪要一经在</w:t>
      </w:r>
      <w:r>
        <w:rPr>
          <w:color w:val="000000"/>
          <w:sz w:val="24"/>
          <w:szCs w:val="24"/>
          <w:highlight w:val="none"/>
          <w:u w:val="single"/>
        </w:rPr>
        <w:t xml:space="preserve">        </w:t>
      </w:r>
      <w:r>
        <w:rPr>
          <w:rFonts w:hint="eastAsia" w:ascii="宋体" w:hAnsi="宋体"/>
          <w:color w:val="000000"/>
          <w:sz w:val="24"/>
          <w:szCs w:val="24"/>
          <w:highlight w:val="none"/>
        </w:rPr>
        <w:t>交易平台</w:t>
      </w:r>
      <w:r>
        <w:rPr>
          <w:rFonts w:hint="eastAsia" w:ascii="宋体"/>
          <w:color w:val="000000"/>
          <w:sz w:val="24"/>
          <w:highlight w:val="none"/>
        </w:rPr>
        <w:t>发布，视作已发放给所有投标人，以</w:t>
      </w:r>
      <w:r>
        <w:rPr>
          <w:color w:val="000000"/>
          <w:sz w:val="24"/>
          <w:szCs w:val="24"/>
          <w:highlight w:val="none"/>
          <w:u w:val="single"/>
        </w:rPr>
        <w:t xml:space="preserve">        </w:t>
      </w:r>
      <w:r>
        <w:rPr>
          <w:rFonts w:hint="eastAsia" w:ascii="宋体" w:hAnsi="宋体"/>
          <w:color w:val="000000"/>
          <w:sz w:val="24"/>
          <w:szCs w:val="24"/>
          <w:highlight w:val="none"/>
        </w:rPr>
        <w:t>交易平台</w:t>
      </w:r>
      <w:r>
        <w:rPr>
          <w:rFonts w:hint="eastAsia" w:ascii="宋体"/>
          <w:color w:val="000000"/>
          <w:sz w:val="24"/>
          <w:highlight w:val="none"/>
        </w:rPr>
        <w:t>上网发布时间作为送达时间。</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9.3</w:t>
      </w:r>
      <w:r>
        <w:rPr>
          <w:rFonts w:hint="eastAsia" w:ascii="宋体" w:hAnsi="宋体"/>
          <w:color w:val="000000"/>
          <w:sz w:val="24"/>
          <w:highlight w:val="none"/>
        </w:rPr>
        <w:t>招标文件的修改内容为招标文件的组成部分。</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9.4</w:t>
      </w:r>
      <w:r>
        <w:rPr>
          <w:rFonts w:hint="eastAsia" w:ascii="宋体" w:hAnsi="宋体"/>
          <w:color w:val="000000"/>
          <w:sz w:val="24"/>
          <w:highlight w:val="none"/>
        </w:rPr>
        <w:t>招标文件的澄清或修改均以书面形式明确的内容为准。当招标文件的澄清、修改、补充等在同一内容的表述不一致时，以最后发出的书面形式的文件为准。</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9.5</w:t>
      </w:r>
      <w:r>
        <w:rPr>
          <w:rFonts w:hint="eastAsia" w:ascii="宋体" w:hAnsi="宋体"/>
          <w:color w:val="000000"/>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6"/>
        <w:spacing w:before="156" w:after="156"/>
        <w:rPr>
          <w:color w:val="000000"/>
          <w:highlight w:val="none"/>
        </w:rPr>
      </w:pPr>
      <w:bookmarkStart w:id="13" w:name="_Toc2272551"/>
      <w:bookmarkStart w:id="14" w:name="_Toc21525495"/>
      <w:r>
        <w:rPr>
          <w:rFonts w:hint="eastAsia"/>
          <w:color w:val="000000"/>
          <w:highlight w:val="none"/>
        </w:rPr>
        <w:t>（三）投标文件的编制</w:t>
      </w:r>
      <w:bookmarkEnd w:id="13"/>
      <w:bookmarkEnd w:id="14"/>
    </w:p>
    <w:p>
      <w:pPr>
        <w:pStyle w:val="35"/>
        <w:spacing w:after="0" w:line="360" w:lineRule="auto"/>
        <w:ind w:firstLine="482" w:firstLineChars="200"/>
        <w:rPr>
          <w:rFonts w:ascii="宋体"/>
          <w:b/>
          <w:bCs/>
          <w:color w:val="000000"/>
          <w:sz w:val="24"/>
          <w:highlight w:val="none"/>
        </w:rPr>
      </w:pPr>
      <w:r>
        <w:rPr>
          <w:rFonts w:ascii="宋体" w:hAnsi="宋体"/>
          <w:b/>
          <w:bCs/>
          <w:color w:val="000000"/>
          <w:sz w:val="24"/>
          <w:highlight w:val="none"/>
        </w:rPr>
        <w:t>10</w:t>
      </w:r>
      <w:r>
        <w:rPr>
          <w:rFonts w:hint="eastAsia" w:ascii="宋体" w:hAnsi="宋体"/>
          <w:b/>
          <w:bCs/>
          <w:color w:val="000000"/>
          <w:sz w:val="24"/>
          <w:highlight w:val="none"/>
        </w:rPr>
        <w:t>．投标文件的语言及度量衡单位</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 xml:space="preserve">10.1 </w:t>
      </w:r>
      <w:r>
        <w:rPr>
          <w:rFonts w:hint="eastAsia" w:ascii="宋体" w:hAnsi="宋体"/>
          <w:color w:val="000000"/>
          <w:sz w:val="24"/>
          <w:highlight w:val="none"/>
        </w:rPr>
        <w:t>投标文件和与投标有关的所有文件均应使用中文。</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 xml:space="preserve">10.2 </w:t>
      </w:r>
      <w:r>
        <w:rPr>
          <w:rFonts w:hint="eastAsia" w:ascii="宋体" w:hAnsi="宋体"/>
          <w:color w:val="000000"/>
          <w:sz w:val="24"/>
          <w:highlight w:val="none"/>
        </w:rPr>
        <w:t>除工程规范另有规定外，投标文件使用的度量衡单位，均采用中华人民共和国法定计量单位。</w:t>
      </w:r>
    </w:p>
    <w:p>
      <w:pPr>
        <w:pStyle w:val="35"/>
        <w:spacing w:after="0" w:line="360" w:lineRule="auto"/>
        <w:ind w:firstLine="482" w:firstLineChars="200"/>
        <w:rPr>
          <w:rFonts w:ascii="宋体"/>
          <w:b/>
          <w:bCs/>
          <w:color w:val="000000"/>
          <w:sz w:val="24"/>
          <w:highlight w:val="none"/>
        </w:rPr>
      </w:pPr>
      <w:r>
        <w:rPr>
          <w:rFonts w:ascii="宋体" w:hAnsi="宋体"/>
          <w:b/>
          <w:bCs/>
          <w:color w:val="000000"/>
          <w:sz w:val="24"/>
          <w:highlight w:val="none"/>
        </w:rPr>
        <w:t>11</w:t>
      </w:r>
      <w:r>
        <w:rPr>
          <w:rFonts w:hint="eastAsia" w:ascii="宋体" w:hAnsi="宋体"/>
          <w:b/>
          <w:bCs/>
          <w:color w:val="000000"/>
          <w:sz w:val="24"/>
          <w:highlight w:val="none"/>
        </w:rPr>
        <w:t>．投标文件的组成</w:t>
      </w:r>
    </w:p>
    <w:p>
      <w:pPr>
        <w:pStyle w:val="35"/>
        <w:spacing w:after="0" w:line="360" w:lineRule="auto"/>
        <w:ind w:firstLine="480" w:firstLineChars="200"/>
        <w:rPr>
          <w:rFonts w:ascii="宋体"/>
          <w:b/>
          <w:color w:val="000000"/>
          <w:sz w:val="24"/>
          <w:highlight w:val="none"/>
        </w:rPr>
      </w:pPr>
      <w:r>
        <w:rPr>
          <w:rFonts w:ascii="宋体" w:hAnsi="宋体"/>
          <w:color w:val="000000"/>
          <w:sz w:val="24"/>
          <w:highlight w:val="none"/>
        </w:rPr>
        <w:t xml:space="preserve">11.1 </w:t>
      </w:r>
      <w:r>
        <w:rPr>
          <w:rFonts w:hint="eastAsia" w:ascii="宋体" w:hAnsi="宋体"/>
          <w:color w:val="000000"/>
          <w:sz w:val="24"/>
          <w:highlight w:val="none"/>
        </w:rPr>
        <w:t>投标文件由技术部分（含资格审查文件）和经济部分两部分投标文件组成</w:t>
      </w:r>
      <w:r>
        <w:rPr>
          <w:rFonts w:hint="eastAsia" w:ascii="宋体" w:hAnsi="宋体"/>
          <w:b/>
          <w:color w:val="000000"/>
          <w:sz w:val="24"/>
          <w:highlight w:val="none"/>
        </w:rPr>
        <w:t>。</w:t>
      </w:r>
    </w:p>
    <w:p>
      <w:pPr>
        <w:spacing w:line="360" w:lineRule="auto"/>
        <w:ind w:firstLine="480" w:firstLineChars="200"/>
        <w:rPr>
          <w:rFonts w:ascii="宋体" w:hAnsi="宋体"/>
          <w:bCs/>
          <w:color w:val="000000"/>
          <w:sz w:val="24"/>
          <w:highlight w:val="none"/>
        </w:rPr>
      </w:pPr>
      <w:r>
        <w:rPr>
          <w:rFonts w:ascii="宋体" w:hAnsi="宋体"/>
          <w:bCs/>
          <w:color w:val="000000"/>
          <w:sz w:val="24"/>
          <w:highlight w:val="none"/>
        </w:rPr>
        <w:t>11.2</w:t>
      </w:r>
      <w:r>
        <w:rPr>
          <w:rFonts w:hint="eastAsia" w:ascii="宋体" w:hAnsi="宋体"/>
          <w:bCs/>
          <w:color w:val="000000"/>
          <w:sz w:val="24"/>
          <w:highlight w:val="none"/>
        </w:rPr>
        <w:t>投标文件技术标部分主要包括下列内容</w:t>
      </w:r>
      <w:r>
        <w:rPr>
          <w:rFonts w:ascii="宋体" w:hAnsi="宋体"/>
          <w:bCs/>
          <w:color w:val="000000"/>
          <w:sz w:val="24"/>
          <w:highlight w:val="none"/>
        </w:rPr>
        <w:t>:</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11.2.1 技术投标文件</w:t>
      </w:r>
      <w:r>
        <w:rPr>
          <w:rFonts w:ascii="宋体" w:hAnsi="宋体"/>
          <w:color w:val="000000"/>
          <w:sz w:val="24"/>
          <w:highlight w:val="none"/>
        </w:rPr>
        <w:t>(</w:t>
      </w:r>
      <w:r>
        <w:rPr>
          <w:rFonts w:hint="eastAsia" w:ascii="宋体" w:hAnsi="宋体"/>
          <w:color w:val="000000"/>
          <w:sz w:val="24"/>
          <w:highlight w:val="none"/>
        </w:rPr>
        <w:t>按招标文件的要求填写</w:t>
      </w:r>
      <w:r>
        <w:rPr>
          <w:rFonts w:ascii="宋体" w:hAnsi="宋体"/>
          <w:color w:val="000000"/>
          <w:sz w:val="24"/>
          <w:highlight w:val="none"/>
        </w:rPr>
        <w:t>)</w:t>
      </w:r>
      <w:r>
        <w:rPr>
          <w:rFonts w:hint="eastAsia" w:ascii="宋体"/>
          <w:bCs/>
          <w:color w:val="000000"/>
          <w:sz w:val="24"/>
          <w:highlight w:val="none"/>
        </w:rPr>
        <w:t>；</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11.2.2 资格审查文件：</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 xml:space="preserve">（1）投标人声明； </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（2）法定代表人证明书、法定代表人签字或盖章的本投标文件授权委托证明书；</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（3）企业营业执照（取自平台内上传件）；</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（4）企业资质证书（取自平台内上传件）；</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（5）建筑施工企业安全生产许可证（取自平台内上传件）；</w:t>
      </w:r>
    </w:p>
    <w:p>
      <w:pPr>
        <w:spacing w:line="360" w:lineRule="auto"/>
        <w:ind w:firstLine="480" w:firstLineChars="200"/>
        <w:rPr>
          <w:rFonts w:ascii="宋体" w:hAnsi="宋体"/>
          <w:bCs/>
          <w:color w:val="000000"/>
          <w:sz w:val="24"/>
          <w:szCs w:val="24"/>
          <w:highlight w:val="none"/>
        </w:rPr>
      </w:pPr>
      <w:r>
        <w:rPr>
          <w:rFonts w:hint="eastAsia" w:ascii="宋体"/>
          <w:bCs/>
          <w:color w:val="000000"/>
          <w:sz w:val="24"/>
          <w:highlight w:val="none"/>
        </w:rPr>
        <w:t>（6）</w:t>
      </w:r>
      <w:r>
        <w:rPr>
          <w:rFonts w:hint="eastAsia" w:ascii="宋体" w:hAnsi="宋体"/>
          <w:bCs/>
          <w:color w:val="000000"/>
          <w:sz w:val="24"/>
          <w:szCs w:val="24"/>
          <w:highlight w:val="none"/>
        </w:rPr>
        <w:t>项目负责人（按网上投标登记时选择拟投标的项目负责人）</w:t>
      </w:r>
    </w:p>
    <w:p>
      <w:pPr>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（7）专职安全员（按网上投标登记时选择拟投标的专职安全员）</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（8）拟委托技术负责人的相关证书、资料（具体要求由招标人明确）</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（9）拟委派项目负责人的建造师注册证书（取自平台内上传件）；</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（10）项目负责人安全生产考核合格证明或在有效期内的安全考核合格证书（B类）或建筑施工企业项目负责人安全生产考核合格证书（取自平台内上传件）；</w:t>
      </w:r>
    </w:p>
    <w:p>
      <w:pPr>
        <w:spacing w:line="360" w:lineRule="auto"/>
        <w:ind w:firstLine="480" w:firstLineChars="200"/>
        <w:rPr>
          <w:rFonts w:ascii="宋体"/>
          <w:bCs/>
          <w:color w:val="000000"/>
          <w:sz w:val="24"/>
          <w:szCs w:val="24"/>
          <w:highlight w:val="none"/>
        </w:rPr>
      </w:pPr>
      <w:r>
        <w:rPr>
          <w:rFonts w:hint="eastAsia" w:ascii="宋体"/>
          <w:bCs/>
          <w:color w:val="000000"/>
          <w:sz w:val="24"/>
          <w:highlight w:val="none"/>
        </w:rPr>
        <w:t>（11）专职安全员须具有在有效期内的安全考核合格证书（C类）或建筑施工企业专职安全生产管理人员安全生产考核合格证书</w:t>
      </w:r>
      <w:r>
        <w:rPr>
          <w:rFonts w:hint="eastAsia" w:ascii="宋体"/>
          <w:bCs/>
          <w:color w:val="000000"/>
          <w:sz w:val="24"/>
          <w:szCs w:val="24"/>
          <w:highlight w:val="none"/>
        </w:rPr>
        <w:t>（取自平台内上传件）；</w:t>
      </w:r>
    </w:p>
    <w:p>
      <w:pPr>
        <w:spacing w:line="360" w:lineRule="auto"/>
        <w:ind w:firstLine="480" w:firstLineChars="200"/>
        <w:rPr>
          <w:rFonts w:ascii="宋体"/>
          <w:bCs/>
          <w:color w:val="000000"/>
          <w:sz w:val="24"/>
          <w:szCs w:val="24"/>
          <w:highlight w:val="none"/>
        </w:rPr>
      </w:pPr>
      <w:r>
        <w:rPr>
          <w:rFonts w:hint="eastAsia" w:ascii="宋体"/>
          <w:bCs/>
          <w:color w:val="000000"/>
          <w:sz w:val="24"/>
          <w:szCs w:val="24"/>
          <w:highlight w:val="none"/>
        </w:rPr>
        <w:t>（12）</w:t>
      </w:r>
      <w:r>
        <w:rPr>
          <w:rFonts w:hint="eastAsia" w:ascii="宋体" w:hAnsi="宋体"/>
          <w:bCs/>
          <w:color w:val="000000"/>
          <w:sz w:val="24"/>
          <w:szCs w:val="24"/>
          <w:highlight w:val="none"/>
        </w:rPr>
        <w:t>用于资格审查的业绩（设置业绩要求时选择此项，投标人</w:t>
      </w:r>
      <w:r>
        <w:rPr>
          <w:rFonts w:hint="eastAsia" w:ascii="宋体" w:hAnsi="宋体"/>
          <w:color w:val="000000"/>
          <w:sz w:val="24"/>
          <w:highlight w:val="none"/>
        </w:rPr>
        <w:t>须提供类似工程业绩的项目名称及项目编号，具体格式由招标人自定</w:t>
      </w:r>
      <w:r>
        <w:rPr>
          <w:rFonts w:hint="eastAsia" w:ascii="宋体" w:hAnsi="宋体"/>
          <w:bCs/>
          <w:color w:val="000000"/>
          <w:sz w:val="24"/>
          <w:szCs w:val="24"/>
          <w:highlight w:val="none"/>
        </w:rPr>
        <w:t>）；</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olor w:val="000000"/>
          <w:sz w:val="24"/>
          <w:szCs w:val="24"/>
          <w:highlight w:val="none"/>
        </w:rPr>
        <w:t>联合体工作协议应明确约定各方拟承担的工作和责任</w:t>
      </w:r>
      <w:r>
        <w:rPr>
          <w:rFonts w:hint="eastAsia" w:ascii="宋体" w:hAnsi="宋体"/>
          <w:bCs/>
          <w:color w:val="000000"/>
          <w:sz w:val="24"/>
          <w:szCs w:val="24"/>
          <w:highlight w:val="none"/>
        </w:rPr>
        <w:t xml:space="preserve">）； </w:t>
      </w:r>
    </w:p>
    <w:p>
      <w:pPr>
        <w:spacing w:line="360" w:lineRule="auto"/>
        <w:ind w:firstLine="480" w:firstLineChars="200"/>
        <w:rPr>
          <w:rFonts w:ascii="宋体"/>
          <w:bCs/>
          <w:color w:val="000000"/>
          <w:sz w:val="24"/>
          <w:highlight w:val="none"/>
        </w:rPr>
      </w:pPr>
      <w:r>
        <w:rPr>
          <w:rFonts w:hint="eastAsia" w:ascii="宋体" w:hAnsi="宋体"/>
          <w:bCs/>
          <w:color w:val="000000"/>
          <w:sz w:val="24"/>
          <w:szCs w:val="24"/>
          <w:highlight w:val="none"/>
        </w:rPr>
        <w:t>（15）</w:t>
      </w:r>
      <w:r>
        <w:rPr>
          <w:rFonts w:hint="eastAsia" w:ascii="宋体" w:hAnsi="宋体"/>
          <w:color w:val="000000"/>
          <w:sz w:val="24"/>
          <w:szCs w:val="24"/>
          <w:highlight w:val="none"/>
        </w:rPr>
        <w:t>投标人具有在广州地区可使用适合本工程的机械设备的证明文件（</w:t>
      </w:r>
      <w:r>
        <w:rPr>
          <w:rFonts w:hint="eastAsia" w:ascii="宋体" w:hAnsi="宋体"/>
          <w:color w:val="000000"/>
          <w:sz w:val="24"/>
          <w:highlight w:val="none"/>
        </w:rPr>
        <w:t>提供沥青摊铺机自有发票或权属证明及设备现场全貌彩照（彩照须能反映其规格型号）</w:t>
      </w:r>
      <w:r>
        <w:rPr>
          <w:rFonts w:hint="eastAsia" w:ascii="宋体" w:hAnsi="宋体"/>
          <w:color w:val="000000"/>
          <w:sz w:val="24"/>
          <w:szCs w:val="24"/>
          <w:highlight w:val="none"/>
        </w:rPr>
        <w:t>）。（含有市政道路面层沥青摊铺且沥青摊铺占预计发包价50%或以上的大、中修市政公用工程需提供该项内容的证明文件）。</w:t>
      </w:r>
    </w:p>
    <w:p>
      <w:pPr>
        <w:spacing w:line="360" w:lineRule="auto"/>
        <w:ind w:firstLine="480" w:firstLineChars="200"/>
        <w:rPr>
          <w:rFonts w:ascii="宋体"/>
          <w:color w:val="000000"/>
          <w:sz w:val="24"/>
          <w:highlight w:val="none"/>
        </w:rPr>
      </w:pPr>
      <w:r>
        <w:rPr>
          <w:rFonts w:ascii="宋体" w:hAnsi="宋体"/>
          <w:color w:val="000000"/>
          <w:sz w:val="24"/>
          <w:highlight w:val="none"/>
        </w:rPr>
        <w:t>11.2.3</w:t>
      </w:r>
      <w:r>
        <w:rPr>
          <w:rFonts w:hint="eastAsia" w:ascii="宋体" w:hAnsi="宋体"/>
          <w:color w:val="000000"/>
          <w:sz w:val="24"/>
          <w:highlight w:val="none"/>
        </w:rPr>
        <w:t>项目管理机构配备。</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）投标人应列出该项目工程的施工组织机构构成和画出机构框架图及其负责人；</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）其他辅助说明资料。</w:t>
      </w:r>
    </w:p>
    <w:p>
      <w:pPr>
        <w:spacing w:line="360" w:lineRule="auto"/>
        <w:ind w:firstLine="480" w:firstLineChars="200"/>
        <w:rPr>
          <w:rFonts w:ascii="宋体"/>
          <w:color w:val="000000"/>
          <w:sz w:val="24"/>
          <w:highlight w:val="none"/>
        </w:rPr>
      </w:pPr>
      <w:r>
        <w:rPr>
          <w:rFonts w:ascii="宋体" w:hAnsi="宋体"/>
          <w:color w:val="000000"/>
          <w:sz w:val="24"/>
          <w:highlight w:val="none"/>
        </w:rPr>
        <w:t>11.2.4</w:t>
      </w:r>
      <w:r>
        <w:rPr>
          <w:rFonts w:hint="eastAsia" w:ascii="宋体" w:hAnsi="宋体"/>
          <w:color w:val="000000"/>
          <w:sz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color w:val="000000"/>
          <w:sz w:val="24"/>
          <w:highlight w:val="none"/>
        </w:rPr>
      </w:pPr>
      <w:r>
        <w:rPr>
          <w:rFonts w:ascii="宋体" w:hAnsi="宋体"/>
          <w:color w:val="000000"/>
          <w:sz w:val="24"/>
          <w:highlight w:val="none"/>
        </w:rPr>
        <w:t>11.2.5</w:t>
      </w:r>
      <w:r>
        <w:rPr>
          <w:rFonts w:hint="eastAsia" w:ascii="宋体" w:hAnsi="宋体"/>
          <w:color w:val="000000"/>
          <w:sz w:val="24"/>
          <w:highlight w:val="none"/>
        </w:rPr>
        <w:t>施工组织设计或施工方案。</w:t>
      </w:r>
      <w:r>
        <w:rPr>
          <w:rFonts w:hint="eastAsia" w:ascii="仿宋" w:hAnsi="仿宋" w:eastAsia="仿宋" w:cs="宋体"/>
          <w:bCs/>
          <w:color w:val="000000"/>
          <w:kern w:val="0"/>
          <w:sz w:val="22"/>
          <w:highlight w:val="none"/>
        </w:rPr>
        <w:t>（</w:t>
      </w:r>
      <w:r>
        <w:rPr>
          <w:rFonts w:hint="eastAsia" w:ascii="仿宋" w:hAnsi="仿宋" w:eastAsia="仿宋" w:cs="宋体"/>
          <w:b/>
          <w:bCs/>
          <w:color w:val="000000"/>
          <w:kern w:val="0"/>
          <w:sz w:val="22"/>
          <w:highlight w:val="none"/>
        </w:rPr>
        <w:t>投标人在编制</w:t>
      </w:r>
      <w:r>
        <w:rPr>
          <w:rFonts w:ascii="仿宋" w:hAnsi="仿宋" w:eastAsia="仿宋" w:cs="宋体"/>
          <w:b/>
          <w:bCs/>
          <w:color w:val="000000"/>
          <w:kern w:val="0"/>
          <w:sz w:val="22"/>
          <w:highlight w:val="none"/>
        </w:rPr>
        <w:t>施工组织设计或施工方案</w:t>
      </w:r>
      <w:r>
        <w:rPr>
          <w:rFonts w:hint="eastAsia" w:ascii="仿宋" w:hAnsi="仿宋" w:eastAsia="仿宋" w:cs="宋体"/>
          <w:b/>
          <w:bCs/>
          <w:color w:val="000000"/>
          <w:kern w:val="0"/>
          <w:sz w:val="22"/>
          <w:highlight w:val="none"/>
        </w:rPr>
        <w:t>时应按照招标人提出的施工现场建筑垃圾源头减量的具体要求以及建筑垃圾综合利用产品的使用要求提供相应措施。</w:t>
      </w:r>
      <w:r>
        <w:rPr>
          <w:rFonts w:hint="eastAsia" w:ascii="仿宋" w:hAnsi="仿宋" w:eastAsia="仿宋" w:cs="宋体"/>
          <w:bCs/>
          <w:color w:val="000000"/>
          <w:kern w:val="0"/>
          <w:sz w:val="22"/>
          <w:highlight w:val="none"/>
        </w:rPr>
        <w:t>）</w:t>
      </w:r>
    </w:p>
    <w:p>
      <w:pPr>
        <w:tabs>
          <w:tab w:val="left" w:pos="1125"/>
        </w:tabs>
        <w:spacing w:line="360" w:lineRule="auto"/>
        <w:ind w:firstLine="480" w:firstLineChars="200"/>
        <w:rPr>
          <w:rFonts w:ascii="宋体"/>
          <w:color w:val="000000"/>
          <w:sz w:val="24"/>
          <w:highlight w:val="none"/>
        </w:rPr>
      </w:pPr>
      <w:r>
        <w:rPr>
          <w:rFonts w:ascii="宋体" w:hAnsi="宋体"/>
          <w:color w:val="000000"/>
          <w:sz w:val="24"/>
          <w:highlight w:val="none"/>
        </w:rPr>
        <w:t>11.2.</w:t>
      </w:r>
      <w:r>
        <w:rPr>
          <w:rFonts w:hint="eastAsia" w:ascii="宋体" w:hAnsi="宋体"/>
          <w:color w:val="000000"/>
          <w:sz w:val="24"/>
          <w:highlight w:val="none"/>
        </w:rPr>
        <w:t>6按照</w:t>
      </w:r>
      <w:r>
        <w:rPr>
          <w:rFonts w:hint="eastAsia" w:ascii="宋体" w:hAnsi="宋体"/>
          <w:bCs/>
          <w:color w:val="000000"/>
          <w:sz w:val="24"/>
          <w:highlight w:val="none"/>
        </w:rPr>
        <w:t>招标文件要求</w:t>
      </w:r>
      <w:r>
        <w:rPr>
          <w:rFonts w:hint="eastAsia" w:ascii="宋体" w:hAnsi="宋体"/>
          <w:color w:val="000000"/>
          <w:sz w:val="24"/>
          <w:highlight w:val="none"/>
        </w:rPr>
        <w:t>填写的《参与编制技术标投标文件人员名单》。</w:t>
      </w:r>
    </w:p>
    <w:p>
      <w:pPr>
        <w:spacing w:line="360" w:lineRule="auto"/>
        <w:ind w:firstLine="480" w:firstLineChars="200"/>
        <w:rPr>
          <w:rFonts w:ascii="宋体"/>
          <w:bCs/>
          <w:color w:val="000000"/>
          <w:sz w:val="24"/>
          <w:highlight w:val="none"/>
        </w:rPr>
      </w:pPr>
      <w:r>
        <w:rPr>
          <w:rFonts w:ascii="宋体" w:hAnsi="宋体"/>
          <w:bCs/>
          <w:color w:val="000000"/>
          <w:sz w:val="24"/>
          <w:highlight w:val="none"/>
        </w:rPr>
        <w:t xml:space="preserve">11.3 </w:t>
      </w:r>
      <w:r>
        <w:rPr>
          <w:rFonts w:hint="eastAsia" w:ascii="宋体" w:hAnsi="宋体"/>
          <w:bCs/>
          <w:color w:val="000000"/>
          <w:sz w:val="24"/>
          <w:highlight w:val="none"/>
        </w:rPr>
        <w:t>经济部分投标文件主要包括下列内容：</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11.3.1 </w:t>
      </w:r>
      <w:r>
        <w:rPr>
          <w:rFonts w:hint="eastAsia" w:ascii="宋体" w:hAnsi="宋体"/>
          <w:color w:val="000000"/>
          <w:sz w:val="24"/>
          <w:highlight w:val="none"/>
        </w:rPr>
        <w:t>经济投标文件</w:t>
      </w:r>
      <w:r>
        <w:rPr>
          <w:rFonts w:ascii="宋体" w:hAnsi="宋体"/>
          <w:color w:val="000000"/>
          <w:sz w:val="24"/>
          <w:highlight w:val="none"/>
        </w:rPr>
        <w:t>(</w:t>
      </w:r>
      <w:r>
        <w:rPr>
          <w:rFonts w:hint="eastAsia" w:ascii="宋体" w:hAnsi="宋体"/>
          <w:color w:val="000000"/>
          <w:sz w:val="24"/>
          <w:highlight w:val="none"/>
        </w:rPr>
        <w:t>按招标文件的要求填写</w:t>
      </w:r>
      <w:r>
        <w:rPr>
          <w:rFonts w:ascii="宋体" w:hAnsi="宋体"/>
          <w:color w:val="000000"/>
          <w:sz w:val="24"/>
          <w:highlight w:val="none"/>
        </w:rPr>
        <w:t>)</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ascii="宋体" w:hAnsi="宋体"/>
          <w:color w:val="000000"/>
          <w:sz w:val="24"/>
          <w:highlight w:val="none"/>
        </w:rPr>
        <w:t>11.3.2</w:t>
      </w:r>
      <w:r>
        <w:rPr>
          <w:rFonts w:hint="eastAsia" w:ascii="宋体" w:hAnsi="宋体"/>
          <w:color w:val="000000"/>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000000"/>
          <w:sz w:val="24"/>
          <w:szCs w:val="24"/>
          <w:highlight w:val="none"/>
        </w:rPr>
        <w:t>其中包括如下：</w:t>
      </w:r>
      <w:r>
        <w:rPr>
          <w:rFonts w:ascii="宋体"/>
          <w:color w:val="000000"/>
          <w:sz w:val="24"/>
          <w:highlight w:val="none"/>
        </w:rPr>
        <w:t xml:space="preserve"> </w:t>
      </w:r>
    </w:p>
    <w:p>
      <w:pPr>
        <w:spacing w:line="360" w:lineRule="auto"/>
        <w:ind w:firstLine="566" w:firstLineChars="236"/>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）投标总价封面、扉页；</w:t>
      </w:r>
    </w:p>
    <w:p>
      <w:pPr>
        <w:spacing w:line="360" w:lineRule="auto"/>
        <w:ind w:firstLine="566" w:firstLineChars="236"/>
        <w:rPr>
          <w:rFonts w:ascii="宋体" w:hAns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）总说明</w:t>
      </w:r>
    </w:p>
    <w:p>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（3）工程项目投标报价汇总表；</w:t>
      </w:r>
    </w:p>
    <w:p>
      <w:pPr>
        <w:spacing w:line="360" w:lineRule="auto"/>
        <w:ind w:firstLine="566" w:firstLineChars="236"/>
        <w:rPr>
          <w:rFonts w:ascii="宋体" w:hAnsi="宋体"/>
          <w:color w:val="000000"/>
          <w:sz w:val="24"/>
          <w:szCs w:val="24"/>
          <w:highlight w:val="none"/>
        </w:rPr>
      </w:pPr>
      <w:r>
        <w:rPr>
          <w:rFonts w:hint="eastAsia" w:ascii="宋体" w:hAnsi="宋体"/>
          <w:color w:val="000000"/>
          <w:sz w:val="24"/>
          <w:szCs w:val="24"/>
          <w:highlight w:val="none"/>
        </w:rPr>
        <w:t>（4）单项工程投标报价汇总表；</w:t>
      </w:r>
    </w:p>
    <w:p>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（5）单位工程投标报价汇总表；</w:t>
      </w:r>
    </w:p>
    <w:p>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（6）分部分项工程清单与计价表；</w:t>
      </w:r>
    </w:p>
    <w:p>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（7）单价措施项目清单与计价表；</w:t>
      </w:r>
    </w:p>
    <w:p>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（8）总价措施项目清单与计价表；</w:t>
      </w:r>
    </w:p>
    <w:p>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（9）综合单价分析表；</w:t>
      </w:r>
    </w:p>
    <w:p>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（10）其他项目清单与计价汇总表；</w:t>
      </w:r>
    </w:p>
    <w:p>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（11）暂列金额明细表；</w:t>
      </w:r>
    </w:p>
    <w:p>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（12）材料（工程设备）暂估价明细表；</w:t>
      </w:r>
    </w:p>
    <w:p>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（13）专业工程暂估价明细表；</w:t>
      </w:r>
    </w:p>
    <w:p>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（14）计日工表；</w:t>
      </w:r>
    </w:p>
    <w:p>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（15）总承包服务计价表；</w:t>
      </w:r>
    </w:p>
    <w:p>
      <w:pPr>
        <w:spacing w:line="360" w:lineRule="auto"/>
        <w:ind w:firstLine="566" w:firstLineChars="236"/>
        <w:rPr>
          <w:rFonts w:ascii="宋体"/>
          <w:color w:val="000000"/>
          <w:sz w:val="24"/>
          <w:szCs w:val="24"/>
          <w:highlight w:val="none"/>
        </w:rPr>
      </w:pPr>
      <w:r>
        <w:rPr>
          <w:rFonts w:hint="eastAsia" w:ascii="宋体" w:hAnsi="宋体"/>
          <w:color w:val="000000"/>
          <w:sz w:val="24"/>
          <w:szCs w:val="24"/>
          <w:highlight w:val="none"/>
        </w:rPr>
        <w:t>（16）规费和税金项目计价表；</w:t>
      </w:r>
    </w:p>
    <w:p>
      <w:pPr>
        <w:spacing w:line="360" w:lineRule="auto"/>
        <w:ind w:firstLine="480" w:firstLineChars="200"/>
        <w:rPr>
          <w:rFonts w:ascii="宋体"/>
          <w:color w:val="000000"/>
          <w:sz w:val="24"/>
          <w:highlight w:val="none"/>
        </w:rPr>
      </w:pPr>
      <w:r>
        <w:rPr>
          <w:rFonts w:hint="eastAsia" w:ascii="宋体" w:hAnsi="宋体"/>
          <w:color w:val="000000"/>
          <w:sz w:val="24"/>
          <w:szCs w:val="24"/>
          <w:highlight w:val="none"/>
        </w:rPr>
        <w:t xml:space="preserve"> （17）人工、主要材料和设备一览表</w:t>
      </w:r>
    </w:p>
    <w:p>
      <w:pPr>
        <w:tabs>
          <w:tab w:val="left" w:pos="1125"/>
        </w:tabs>
        <w:spacing w:line="360" w:lineRule="auto"/>
        <w:ind w:firstLine="480" w:firstLineChars="200"/>
        <w:rPr>
          <w:rFonts w:ascii="宋体" w:hAnsi="宋体"/>
          <w:color w:val="000000"/>
          <w:sz w:val="24"/>
          <w:highlight w:val="none"/>
        </w:rPr>
      </w:pPr>
      <w:r>
        <w:rPr>
          <w:rFonts w:ascii="宋体" w:hAnsi="宋体"/>
          <w:color w:val="000000"/>
          <w:sz w:val="24"/>
          <w:highlight w:val="none"/>
        </w:rPr>
        <w:t>11.3.</w:t>
      </w:r>
      <w:r>
        <w:rPr>
          <w:rFonts w:hint="eastAsia" w:ascii="宋体" w:hAnsi="宋体"/>
          <w:color w:val="000000"/>
          <w:sz w:val="24"/>
          <w:highlight w:val="none"/>
        </w:rPr>
        <w:t>3按照</w:t>
      </w:r>
      <w:r>
        <w:rPr>
          <w:rFonts w:hint="eastAsia" w:ascii="宋体" w:hAnsi="宋体"/>
          <w:bCs/>
          <w:color w:val="000000"/>
          <w:sz w:val="24"/>
          <w:highlight w:val="none"/>
        </w:rPr>
        <w:t>招标文件要求</w:t>
      </w:r>
      <w:r>
        <w:rPr>
          <w:rFonts w:hint="eastAsia" w:ascii="宋体" w:hAnsi="宋体"/>
          <w:color w:val="000000"/>
          <w:sz w:val="24"/>
          <w:highlight w:val="none"/>
        </w:rPr>
        <w:t>填写的《参与编制经济标投标文件人员名单》。</w:t>
      </w:r>
    </w:p>
    <w:p>
      <w:pPr>
        <w:tabs>
          <w:tab w:val="left" w:pos="1125"/>
        </w:tabs>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11.3.4若投标人的投标报价低于工程成本警戒价的，投标人还须提供详细的施工组织设计、单价、措施性费用、单价分析表、主要材料价格表、投标人成本分析供评标委员会评审。</w:t>
      </w:r>
    </w:p>
    <w:p>
      <w:pPr>
        <w:pStyle w:val="35"/>
        <w:spacing w:after="0" w:line="360" w:lineRule="auto"/>
        <w:ind w:firstLine="482" w:firstLineChars="200"/>
        <w:rPr>
          <w:rFonts w:ascii="宋体"/>
          <w:b/>
          <w:bCs/>
          <w:color w:val="000000"/>
          <w:sz w:val="24"/>
          <w:highlight w:val="none"/>
        </w:rPr>
      </w:pPr>
      <w:r>
        <w:rPr>
          <w:rFonts w:ascii="宋体" w:hAnsi="宋体"/>
          <w:b/>
          <w:bCs/>
          <w:color w:val="000000"/>
          <w:sz w:val="24"/>
          <w:highlight w:val="none"/>
        </w:rPr>
        <w:t>12</w:t>
      </w:r>
      <w:r>
        <w:rPr>
          <w:rFonts w:hint="eastAsia" w:ascii="宋体" w:hAnsi="宋体"/>
          <w:b/>
          <w:bCs/>
          <w:color w:val="000000"/>
          <w:sz w:val="24"/>
          <w:highlight w:val="none"/>
        </w:rPr>
        <w:t>．投标文件格式</w:t>
      </w:r>
    </w:p>
    <w:p>
      <w:pPr>
        <w:pStyle w:val="35"/>
        <w:spacing w:after="0" w:line="360" w:lineRule="auto"/>
        <w:ind w:firstLine="480" w:firstLineChars="200"/>
        <w:rPr>
          <w:rFonts w:ascii="宋体" w:hAnsi="宋体"/>
          <w:color w:val="000000"/>
          <w:sz w:val="24"/>
          <w:highlight w:val="none"/>
        </w:rPr>
      </w:pPr>
      <w:r>
        <w:rPr>
          <w:rFonts w:ascii="宋体" w:hAnsi="宋体"/>
          <w:color w:val="000000"/>
          <w:sz w:val="24"/>
          <w:highlight w:val="none"/>
        </w:rPr>
        <w:t xml:space="preserve">12.1 </w:t>
      </w:r>
      <w:r>
        <w:rPr>
          <w:rFonts w:hint="eastAsia" w:ascii="宋体" w:hAnsi="宋体"/>
          <w:color w:val="000000"/>
          <w:sz w:val="24"/>
          <w:highlight w:val="none"/>
        </w:rPr>
        <w:t>投标文件包括本须知第</w:t>
      </w:r>
      <w:r>
        <w:rPr>
          <w:rFonts w:ascii="宋体" w:hAnsi="宋体"/>
          <w:color w:val="000000"/>
          <w:sz w:val="24"/>
          <w:highlight w:val="none"/>
        </w:rPr>
        <w:t>11</w:t>
      </w:r>
      <w:r>
        <w:rPr>
          <w:rFonts w:hint="eastAsia" w:ascii="宋体" w:hAnsi="宋体"/>
          <w:color w:val="000000"/>
          <w:sz w:val="24"/>
          <w:highlight w:val="none"/>
        </w:rPr>
        <w:t>条中规定的内容，投标人提交的投标文件应当使用招标文件所提供的投标文件全部格式（表格可以按同样格式扩展）。</w:t>
      </w:r>
    </w:p>
    <w:p>
      <w:pPr>
        <w:pStyle w:val="35"/>
        <w:spacing w:after="0" w:line="360" w:lineRule="auto"/>
        <w:ind w:firstLine="480" w:firstLineChars="200"/>
        <w:rPr>
          <w:rFonts w:ascii="宋体" w:hAnsi="宋体"/>
          <w:color w:val="000000"/>
          <w:sz w:val="24"/>
          <w:highlight w:val="none"/>
        </w:rPr>
      </w:pPr>
      <w:r>
        <w:rPr>
          <w:rFonts w:hint="eastAsia" w:ascii="宋体" w:hAnsi="宋体"/>
          <w:color w:val="000000"/>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000000"/>
          <w:sz w:val="24"/>
          <w:szCs w:val="24"/>
          <w:highlight w:val="none"/>
        </w:rPr>
        <w:t>全流程电子化项目的相关指南进行操作。详见：</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w:t>
      </w:r>
      <w:r>
        <w:rPr>
          <w:rFonts w:hint="eastAsia"/>
          <w:color w:val="000000"/>
          <w:sz w:val="24"/>
          <w:szCs w:val="24"/>
          <w:highlight w:val="none"/>
        </w:rPr>
        <w:t xml:space="preserve"> 。</w:t>
      </w:r>
    </w:p>
    <w:p>
      <w:pPr>
        <w:pStyle w:val="35"/>
        <w:spacing w:after="0"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12.3 </w:t>
      </w:r>
      <w:r>
        <w:rPr>
          <w:rFonts w:hint="eastAsia" w:ascii="宋体" w:hAnsi="宋体"/>
          <w:bCs/>
          <w:color w:val="000000"/>
          <w:sz w:val="24"/>
          <w:szCs w:val="24"/>
          <w:highlight w:val="none"/>
        </w:rPr>
        <w:t>投标文件应按</w:t>
      </w:r>
      <w:r>
        <w:rPr>
          <w:rFonts w:hint="eastAsia" w:ascii="宋体" w:hAnsi="宋体"/>
          <w:color w:val="000000"/>
          <w:sz w:val="24"/>
          <w:highlight w:val="none"/>
        </w:rPr>
        <w:t>照交易平台关于全流程电子化项目的相关指南进行编制，详见：</w:t>
      </w:r>
      <w:r>
        <w:rPr>
          <w:color w:val="000000"/>
          <w:sz w:val="24"/>
          <w:szCs w:val="24"/>
          <w:highlight w:val="none"/>
          <w:u w:val="single"/>
        </w:rPr>
        <w:t xml:space="preserve">       </w:t>
      </w:r>
      <w:r>
        <w:rPr>
          <w:rFonts w:hint="eastAsia"/>
          <w:color w:val="000000"/>
          <w:sz w:val="24"/>
          <w:szCs w:val="24"/>
          <w:highlight w:val="none"/>
          <w:u w:val="single"/>
        </w:rPr>
        <w:t xml:space="preserve">     </w:t>
      </w:r>
      <w:r>
        <w:rPr>
          <w:rFonts w:hint="eastAsia" w:ascii="宋体" w:hAnsi="宋体"/>
          <w:color w:val="000000"/>
          <w:sz w:val="24"/>
          <w:highlight w:val="none"/>
        </w:rPr>
        <w:t xml:space="preserve">。               </w:t>
      </w:r>
    </w:p>
    <w:p>
      <w:pPr>
        <w:pStyle w:val="35"/>
        <w:spacing w:after="0" w:line="360" w:lineRule="auto"/>
        <w:ind w:firstLine="0"/>
        <w:rPr>
          <w:rFonts w:ascii="宋体" w:hAnsi="宋体"/>
          <w:color w:val="000000"/>
          <w:sz w:val="24"/>
          <w:highlight w:val="none"/>
        </w:rPr>
      </w:pPr>
      <w:r>
        <w:rPr>
          <w:rFonts w:hint="eastAsia" w:ascii="宋体" w:hAnsi="宋体"/>
          <w:bCs/>
          <w:color w:val="000000"/>
          <w:sz w:val="24"/>
          <w:szCs w:val="24"/>
          <w:highlight w:val="none"/>
        </w:rPr>
        <w:t>如不按上述要求编制引起系统无法检索、读取相关信息的，其后果由投标人承担。</w:t>
      </w:r>
    </w:p>
    <w:p>
      <w:pPr>
        <w:pStyle w:val="35"/>
        <w:spacing w:after="0" w:line="360" w:lineRule="auto"/>
        <w:ind w:firstLine="482" w:firstLineChars="200"/>
        <w:rPr>
          <w:rFonts w:ascii="宋体"/>
          <w:b/>
          <w:bCs/>
          <w:color w:val="000000"/>
          <w:sz w:val="24"/>
          <w:highlight w:val="none"/>
        </w:rPr>
      </w:pPr>
      <w:r>
        <w:rPr>
          <w:rFonts w:ascii="宋体" w:hAnsi="宋体"/>
          <w:b/>
          <w:bCs/>
          <w:color w:val="000000"/>
          <w:sz w:val="24"/>
          <w:highlight w:val="none"/>
        </w:rPr>
        <w:t>13</w:t>
      </w:r>
      <w:r>
        <w:rPr>
          <w:rFonts w:hint="eastAsia" w:ascii="宋体" w:hAnsi="宋体"/>
          <w:b/>
          <w:bCs/>
          <w:color w:val="000000"/>
          <w:sz w:val="24"/>
          <w:highlight w:val="none"/>
        </w:rPr>
        <w:t>．投标报价及造价承包和变更结算方式</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 xml:space="preserve">13.1 </w:t>
      </w:r>
      <w:r>
        <w:rPr>
          <w:rFonts w:hint="eastAsia" w:ascii="宋体" w:hAnsi="宋体"/>
          <w:color w:val="000000"/>
          <w:sz w:val="24"/>
          <w:highlight w:val="none"/>
        </w:rPr>
        <w:t>本工程的投标报价采用投标须知前附表第</w:t>
      </w:r>
      <w:r>
        <w:rPr>
          <w:rFonts w:ascii="宋体" w:hAnsi="宋体"/>
          <w:color w:val="000000"/>
          <w:sz w:val="24"/>
          <w:highlight w:val="none"/>
        </w:rPr>
        <w:t>12</w:t>
      </w:r>
      <w:r>
        <w:rPr>
          <w:rFonts w:hint="eastAsia" w:ascii="宋体" w:hAnsi="宋体"/>
          <w:color w:val="000000"/>
          <w:sz w:val="24"/>
          <w:highlight w:val="none"/>
        </w:rPr>
        <w:t>项所规定的方式。投标报价（含单价及总价）精确到“分”。</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13.2</w:t>
      </w:r>
      <w:r>
        <w:rPr>
          <w:rFonts w:hint="eastAsia" w:ascii="宋体" w:hAnsi="宋体"/>
          <w:color w:val="000000"/>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13.3</w:t>
      </w:r>
      <w:r>
        <w:rPr>
          <w:rFonts w:hint="eastAsia" w:ascii="宋体" w:hAnsi="宋体"/>
          <w:color w:val="000000"/>
          <w:sz w:val="24"/>
          <w:highlight w:val="none"/>
        </w:rPr>
        <w:t>投标人的投标报价，应是按照投标须知前附表第</w:t>
      </w:r>
      <w:r>
        <w:rPr>
          <w:rFonts w:ascii="宋体" w:hAnsi="宋体"/>
          <w:color w:val="000000"/>
          <w:sz w:val="24"/>
          <w:highlight w:val="none"/>
        </w:rPr>
        <w:t>8</w:t>
      </w:r>
      <w:r>
        <w:rPr>
          <w:rFonts w:hint="eastAsia" w:ascii="宋体" w:hAnsi="宋体"/>
          <w:color w:val="000000"/>
          <w:sz w:val="24"/>
          <w:highlight w:val="none"/>
        </w:rPr>
        <w:t>项的工期要求，在投标须知前附表第</w:t>
      </w:r>
      <w:r>
        <w:rPr>
          <w:rFonts w:ascii="宋体" w:hAnsi="宋体"/>
          <w:color w:val="000000"/>
          <w:sz w:val="24"/>
          <w:highlight w:val="none"/>
        </w:rPr>
        <w:t>3</w:t>
      </w:r>
      <w:r>
        <w:rPr>
          <w:rFonts w:hint="eastAsia" w:ascii="宋体" w:hAnsi="宋体"/>
          <w:color w:val="000000"/>
          <w:sz w:val="24"/>
          <w:highlight w:val="none"/>
        </w:rPr>
        <w:t>项的建设地点，完成投标须知前附表第</w:t>
      </w:r>
      <w:r>
        <w:rPr>
          <w:rFonts w:ascii="宋体" w:hAnsi="宋体"/>
          <w:color w:val="000000"/>
          <w:sz w:val="24"/>
          <w:highlight w:val="none"/>
        </w:rPr>
        <w:t>7</w:t>
      </w:r>
      <w:r>
        <w:rPr>
          <w:rFonts w:hint="eastAsia" w:ascii="宋体" w:hAnsi="宋体"/>
          <w:color w:val="000000"/>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000000"/>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35"/>
        <w:spacing w:after="0" w:line="360" w:lineRule="auto"/>
        <w:ind w:firstLine="480" w:firstLineChars="200"/>
        <w:rPr>
          <w:rFonts w:ascii="宋体"/>
          <w:sz w:val="24"/>
          <w:highlight w:val="none"/>
        </w:rPr>
      </w:pPr>
      <w:r>
        <w:rPr>
          <w:rFonts w:ascii="宋体" w:hAnsi="宋体"/>
          <w:color w:val="000000"/>
          <w:sz w:val="24"/>
          <w:highlight w:val="none"/>
        </w:rPr>
        <w:t>13.4</w:t>
      </w:r>
      <w:r>
        <w:rPr>
          <w:rFonts w:hint="eastAsia" w:ascii="宋体" w:hAnsi="宋体"/>
          <w:color w:val="000000"/>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w:t>
      </w:r>
      <w:r>
        <w:rPr>
          <w:rFonts w:hint="eastAsia" w:ascii="宋体" w:hAnsi="宋体"/>
          <w:sz w:val="24"/>
          <w:highlight w:val="none"/>
        </w:rPr>
        <w:t>关措施项目相应发生变化时，按系数或单一总价方式计价的措施项目费，工程量增加的措施项目费调增，工程量减少的措施项目费调减。</w:t>
      </w:r>
    </w:p>
    <w:p>
      <w:pPr>
        <w:pStyle w:val="35"/>
        <w:spacing w:after="0" w:line="360" w:lineRule="auto"/>
        <w:ind w:firstLine="480" w:firstLineChars="200"/>
        <w:rPr>
          <w:rFonts w:ascii="宋体"/>
          <w:sz w:val="24"/>
          <w:highlight w:val="none"/>
        </w:rPr>
      </w:pPr>
      <w:r>
        <w:rPr>
          <w:rFonts w:ascii="宋体" w:hAnsi="宋体"/>
          <w:sz w:val="24"/>
          <w:highlight w:val="none"/>
        </w:rPr>
        <w:t>13.5</w:t>
      </w:r>
      <w:r>
        <w:rPr>
          <w:rFonts w:hint="eastAsia" w:ascii="宋体" w:hAnsi="宋体"/>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35"/>
        <w:spacing w:after="0" w:line="360" w:lineRule="auto"/>
        <w:ind w:firstLine="480" w:firstLineChars="200"/>
        <w:rPr>
          <w:rFonts w:ascii="宋体"/>
          <w:sz w:val="24"/>
          <w:highlight w:val="none"/>
        </w:rPr>
      </w:pPr>
      <w:r>
        <w:rPr>
          <w:rFonts w:ascii="宋体" w:hAnsi="宋体"/>
          <w:sz w:val="24"/>
          <w:highlight w:val="none"/>
        </w:rPr>
        <w:t>13.5.1</w:t>
      </w:r>
      <w:r>
        <w:rPr>
          <w:rFonts w:hint="eastAsia" w:ascii="宋体" w:hAnsi="宋体"/>
          <w:sz w:val="24"/>
          <w:highlight w:val="none"/>
        </w:rPr>
        <w:t>中标的投标文件工程量清单中已有相同项目的适用综合单价，则沿用；</w:t>
      </w:r>
    </w:p>
    <w:p>
      <w:pPr>
        <w:pStyle w:val="35"/>
        <w:spacing w:after="0" w:line="360" w:lineRule="auto"/>
        <w:ind w:firstLine="480" w:firstLineChars="200"/>
        <w:rPr>
          <w:rFonts w:ascii="宋体"/>
          <w:sz w:val="24"/>
          <w:highlight w:val="none"/>
        </w:rPr>
      </w:pPr>
      <w:r>
        <w:rPr>
          <w:rFonts w:ascii="宋体" w:hAnsi="宋体"/>
          <w:sz w:val="24"/>
          <w:highlight w:val="none"/>
        </w:rPr>
        <w:t>13.5.2</w:t>
      </w:r>
      <w:r>
        <w:rPr>
          <w:rFonts w:hint="eastAsia" w:ascii="宋体" w:hAnsi="宋体"/>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35"/>
        <w:spacing w:after="0" w:line="360" w:lineRule="auto"/>
        <w:ind w:firstLine="480" w:firstLineChars="200"/>
        <w:rPr>
          <w:rFonts w:ascii="宋体"/>
          <w:sz w:val="24"/>
          <w:highlight w:val="none"/>
        </w:rPr>
      </w:pPr>
      <w:r>
        <w:rPr>
          <w:rFonts w:ascii="宋体" w:hAnsi="宋体"/>
          <w:sz w:val="24"/>
          <w:highlight w:val="none"/>
        </w:rPr>
        <w:t xml:space="preserve">13.5.3 </w:t>
      </w:r>
      <w:r>
        <w:rPr>
          <w:rFonts w:hint="eastAsia" w:ascii="宋体" w:hAnsi="宋体"/>
          <w:sz w:val="24"/>
          <w:highlight w:val="none"/>
        </w:rPr>
        <w:t>中标的投标文件工程量清单中没有相同项目或类似项目的，如可套取相关定额，则以相关定额为基数下浮计算单价</w:t>
      </w:r>
      <w:r>
        <w:rPr>
          <w:rFonts w:ascii="宋体"/>
          <w:sz w:val="24"/>
          <w:highlight w:val="none"/>
        </w:rPr>
        <w:t>,</w:t>
      </w:r>
      <w:r>
        <w:rPr>
          <w:rFonts w:hint="eastAsia" w:ascii="宋体" w:hAnsi="宋体"/>
          <w:sz w:val="24"/>
          <w:highlight w:val="none"/>
        </w:rPr>
        <w:t>下浮率为中标价</w:t>
      </w:r>
      <w:r>
        <w:rPr>
          <w:rFonts w:hint="eastAsia" w:ascii="宋体" w:hAnsi="宋体"/>
          <w:sz w:val="24"/>
          <w:szCs w:val="24"/>
          <w:highlight w:val="none"/>
        </w:rPr>
        <w:t>相对于最高投标限价的下</w:t>
      </w:r>
      <w:r>
        <w:rPr>
          <w:rFonts w:hint="eastAsia" w:ascii="宋体" w:hAnsi="宋体"/>
          <w:sz w:val="24"/>
          <w:highlight w:val="none"/>
        </w:rPr>
        <w:t>浮率（下浮率</w:t>
      </w:r>
      <w:r>
        <w:rPr>
          <w:rFonts w:ascii="宋体" w:hAnsi="宋体"/>
          <w:sz w:val="24"/>
          <w:highlight w:val="none"/>
        </w:rPr>
        <w:t>=(</w:t>
      </w:r>
      <w:r>
        <w:rPr>
          <w:rFonts w:hint="eastAsia" w:ascii="宋体" w:hAnsi="宋体"/>
          <w:sz w:val="24"/>
          <w:szCs w:val="24"/>
          <w:highlight w:val="none"/>
        </w:rPr>
        <w:t>最高投标限价</w:t>
      </w:r>
      <w:r>
        <w:rPr>
          <w:rFonts w:ascii="宋体"/>
          <w:sz w:val="24"/>
          <w:highlight w:val="none"/>
        </w:rPr>
        <w:t>-</w:t>
      </w:r>
      <w:r>
        <w:rPr>
          <w:rFonts w:hint="eastAsia" w:ascii="宋体" w:hAnsi="宋体"/>
          <w:sz w:val="24"/>
          <w:highlight w:val="none"/>
        </w:rPr>
        <w:t>中标价</w:t>
      </w:r>
      <w:r>
        <w:rPr>
          <w:rFonts w:ascii="宋体" w:hAnsi="宋体"/>
          <w:sz w:val="24"/>
          <w:highlight w:val="none"/>
        </w:rPr>
        <w:t>)/</w:t>
      </w:r>
      <w:r>
        <w:rPr>
          <w:rFonts w:ascii="宋体" w:hAnsi="宋体"/>
          <w:sz w:val="24"/>
          <w:szCs w:val="24"/>
          <w:highlight w:val="none"/>
        </w:rPr>
        <w:t xml:space="preserve"> </w:t>
      </w:r>
      <w:r>
        <w:rPr>
          <w:rFonts w:hint="eastAsia" w:ascii="宋体" w:hAnsi="宋体"/>
          <w:sz w:val="24"/>
          <w:szCs w:val="24"/>
          <w:highlight w:val="none"/>
        </w:rPr>
        <w:t>最高投标限价</w:t>
      </w:r>
      <w:r>
        <w:rPr>
          <w:rFonts w:hint="eastAsia" w:ascii="宋体" w:hAnsi="宋体"/>
          <w:sz w:val="24"/>
          <w:highlight w:val="none"/>
        </w:rPr>
        <w:t>）。</w:t>
      </w:r>
    </w:p>
    <w:p>
      <w:pPr>
        <w:pStyle w:val="35"/>
        <w:spacing w:after="0" w:line="360" w:lineRule="auto"/>
        <w:ind w:firstLine="480" w:firstLineChars="200"/>
        <w:rPr>
          <w:rFonts w:ascii="宋体"/>
          <w:sz w:val="24"/>
          <w:highlight w:val="none"/>
        </w:rPr>
      </w:pPr>
      <w:r>
        <w:rPr>
          <w:rFonts w:ascii="宋体" w:hAnsi="宋体"/>
          <w:sz w:val="24"/>
          <w:highlight w:val="none"/>
        </w:rPr>
        <w:t xml:space="preserve">13.5.4 </w:t>
      </w:r>
      <w:r>
        <w:rPr>
          <w:rFonts w:hint="eastAsia" w:ascii="宋体" w:hAnsi="宋体"/>
          <w:sz w:val="24"/>
          <w:highlight w:val="none"/>
        </w:rPr>
        <w:t>如相关定额没有相应子目的，其计价方式由招标人在本招标文件第三章中另行规定。未规定的，中标后双方协商约定。</w:t>
      </w:r>
    </w:p>
    <w:p>
      <w:pPr>
        <w:pStyle w:val="35"/>
        <w:spacing w:after="0" w:line="360" w:lineRule="auto"/>
        <w:ind w:firstLine="480" w:firstLineChars="200"/>
        <w:rPr>
          <w:rFonts w:ascii="宋体"/>
          <w:sz w:val="24"/>
          <w:highlight w:val="none"/>
        </w:rPr>
      </w:pPr>
      <w:r>
        <w:rPr>
          <w:rFonts w:ascii="宋体" w:hAnsi="宋体"/>
          <w:sz w:val="24"/>
          <w:highlight w:val="none"/>
        </w:rPr>
        <w:t>13.6</w:t>
      </w:r>
      <w:r>
        <w:rPr>
          <w:rFonts w:hint="eastAsia" w:ascii="宋体" w:hAnsi="宋体"/>
          <w:sz w:val="24"/>
          <w:highlight w:val="none"/>
        </w:rPr>
        <w:t>暂列金额、暂估价</w:t>
      </w:r>
    </w:p>
    <w:p>
      <w:pPr>
        <w:pStyle w:val="35"/>
        <w:spacing w:after="0" w:line="360" w:lineRule="auto"/>
        <w:ind w:firstLine="480" w:firstLineChars="200"/>
        <w:rPr>
          <w:rFonts w:ascii="宋体"/>
          <w:sz w:val="24"/>
          <w:highlight w:val="none"/>
        </w:rPr>
      </w:pPr>
      <w:r>
        <w:rPr>
          <w:rFonts w:ascii="宋体" w:hAnsi="宋体"/>
          <w:sz w:val="24"/>
          <w:highlight w:val="none"/>
        </w:rPr>
        <w:t>13.6.1</w:t>
      </w:r>
      <w:r>
        <w:rPr>
          <w:rFonts w:hint="eastAsia" w:ascii="宋体" w:hAnsi="宋体"/>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35"/>
        <w:spacing w:after="0" w:line="360" w:lineRule="auto"/>
        <w:ind w:firstLine="480" w:firstLineChars="200"/>
        <w:rPr>
          <w:rFonts w:ascii="宋体"/>
          <w:sz w:val="24"/>
          <w:highlight w:val="none"/>
        </w:rPr>
      </w:pPr>
      <w:r>
        <w:rPr>
          <w:rFonts w:hint="eastAsia" w:ascii="宋体" w:hAnsi="宋体"/>
          <w:sz w:val="24"/>
          <w:highlight w:val="none"/>
        </w:rPr>
        <w:t>暂估价是指招标人在工程量清单中提供的用于支付必然发生但暂时不能确定价格的材料的单价以及专业工程的金额。</w:t>
      </w:r>
    </w:p>
    <w:p>
      <w:pPr>
        <w:pStyle w:val="35"/>
        <w:spacing w:after="0" w:line="360" w:lineRule="auto"/>
        <w:ind w:firstLine="480" w:firstLineChars="200"/>
        <w:rPr>
          <w:rFonts w:ascii="宋体"/>
          <w:sz w:val="24"/>
          <w:highlight w:val="none"/>
        </w:rPr>
      </w:pPr>
      <w:r>
        <w:rPr>
          <w:rFonts w:ascii="宋体" w:hAnsi="宋体"/>
          <w:sz w:val="24"/>
          <w:highlight w:val="none"/>
        </w:rPr>
        <w:t>13.6.2</w:t>
      </w:r>
      <w:r>
        <w:rPr>
          <w:rFonts w:hint="eastAsia" w:ascii="宋体" w:hAnsi="宋体"/>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35"/>
        <w:spacing w:after="0" w:line="360" w:lineRule="auto"/>
        <w:ind w:firstLine="480" w:firstLineChars="200"/>
        <w:rPr>
          <w:rFonts w:ascii="宋体"/>
          <w:sz w:val="24"/>
          <w:highlight w:val="none"/>
        </w:rPr>
      </w:pPr>
      <w:r>
        <w:rPr>
          <w:rFonts w:ascii="宋体" w:hAnsi="宋体"/>
          <w:sz w:val="24"/>
          <w:highlight w:val="none"/>
        </w:rPr>
        <w:t>13.6.3</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35"/>
        <w:spacing w:after="0" w:line="360" w:lineRule="auto"/>
        <w:ind w:firstLine="480" w:firstLineChars="200"/>
        <w:rPr>
          <w:rFonts w:ascii="宋体"/>
          <w:sz w:val="24"/>
          <w:highlight w:val="none"/>
        </w:rPr>
      </w:pPr>
      <w:r>
        <w:rPr>
          <w:rFonts w:ascii="宋体" w:hAnsi="宋体"/>
          <w:sz w:val="24"/>
          <w:highlight w:val="none"/>
        </w:rPr>
        <w:t>13.6.4</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highlight w:val="none"/>
        </w:rPr>
        <w:t>13.5</w:t>
      </w:r>
      <w:r>
        <w:rPr>
          <w:rFonts w:hint="eastAsia" w:ascii="宋体" w:hAnsi="宋体"/>
          <w:sz w:val="24"/>
          <w:highlight w:val="none"/>
        </w:rPr>
        <w:t>款规定确定。</w:t>
      </w:r>
    </w:p>
    <w:p>
      <w:pPr>
        <w:pStyle w:val="35"/>
        <w:spacing w:after="0" w:line="360" w:lineRule="auto"/>
        <w:ind w:firstLine="480" w:firstLineChars="200"/>
        <w:rPr>
          <w:rFonts w:ascii="宋体"/>
          <w:sz w:val="24"/>
          <w:highlight w:val="none"/>
        </w:rPr>
      </w:pPr>
      <w:r>
        <w:rPr>
          <w:rFonts w:ascii="宋体" w:hAnsi="宋体"/>
          <w:sz w:val="24"/>
          <w:highlight w:val="none"/>
        </w:rPr>
        <w:t>13.6.5</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35"/>
        <w:spacing w:after="0" w:line="360" w:lineRule="auto"/>
        <w:ind w:firstLine="480" w:firstLineChars="200"/>
        <w:rPr>
          <w:rFonts w:ascii="宋体"/>
          <w:sz w:val="24"/>
          <w:highlight w:val="none"/>
        </w:rPr>
      </w:pPr>
      <w:r>
        <w:rPr>
          <w:rFonts w:ascii="宋体" w:hAnsi="宋体"/>
          <w:sz w:val="24"/>
          <w:highlight w:val="none"/>
        </w:rPr>
        <w:t xml:space="preserve">13.6.6 </w:t>
      </w:r>
      <w:r>
        <w:rPr>
          <w:rFonts w:hint="eastAsia" w:ascii="宋体" w:hAnsi="宋体"/>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35"/>
        <w:spacing w:after="0" w:line="360" w:lineRule="auto"/>
        <w:ind w:firstLine="480" w:firstLineChars="200"/>
        <w:rPr>
          <w:rFonts w:ascii="宋体"/>
          <w:sz w:val="24"/>
          <w:highlight w:val="none"/>
        </w:rPr>
      </w:pPr>
      <w:r>
        <w:rPr>
          <w:rFonts w:ascii="宋体" w:hAnsi="宋体"/>
          <w:sz w:val="24"/>
          <w:highlight w:val="none"/>
        </w:rPr>
        <w:t>13.7</w:t>
      </w:r>
      <w:r>
        <w:rPr>
          <w:rFonts w:hint="eastAsia" w:ascii="宋体" w:hAnsi="宋体"/>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35"/>
        <w:spacing w:after="0" w:line="360" w:lineRule="auto"/>
        <w:ind w:firstLine="480" w:firstLineChars="200"/>
        <w:rPr>
          <w:rFonts w:ascii="宋体"/>
          <w:sz w:val="24"/>
          <w:highlight w:val="none"/>
        </w:rPr>
      </w:pPr>
      <w:r>
        <w:rPr>
          <w:rFonts w:ascii="宋体" w:hAnsi="宋体"/>
          <w:sz w:val="24"/>
          <w:highlight w:val="none"/>
        </w:rPr>
        <w:t>13.8</w:t>
      </w:r>
      <w:r>
        <w:rPr>
          <w:rFonts w:hint="eastAsia" w:ascii="宋体" w:hAnsi="宋体"/>
          <w:sz w:val="24"/>
          <w:highlight w:val="none"/>
        </w:rPr>
        <w:t>属于承包人自行采购的主要材料、设备，招标人应当在招标文件中提出材料、设备的技术标准或者质量要求，或者提出不少于</w:t>
      </w:r>
      <w:r>
        <w:rPr>
          <w:rFonts w:ascii="宋体" w:hAnsi="宋体"/>
          <w:sz w:val="24"/>
          <w:highlight w:val="none"/>
        </w:rPr>
        <w:t>3</w:t>
      </w:r>
      <w:r>
        <w:rPr>
          <w:rFonts w:hint="eastAsia" w:ascii="宋体" w:hAnsi="宋体"/>
          <w:sz w:val="24"/>
          <w:highlight w:val="none"/>
        </w:rPr>
        <w:t>个同等档次品牌或分包商供投标人报价时选择</w:t>
      </w:r>
      <w:r>
        <w:rPr>
          <w:rFonts w:ascii="宋体"/>
          <w:sz w:val="24"/>
          <w:highlight w:val="none"/>
        </w:rPr>
        <w:t>,</w:t>
      </w:r>
      <w:r>
        <w:rPr>
          <w:rFonts w:hint="eastAsia" w:ascii="宋体" w:hAnsi="宋体"/>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35"/>
        <w:spacing w:after="0" w:line="360" w:lineRule="auto"/>
        <w:ind w:firstLine="480" w:firstLineChars="200"/>
        <w:rPr>
          <w:rFonts w:ascii="宋体"/>
          <w:color w:val="000000"/>
          <w:sz w:val="24"/>
          <w:szCs w:val="24"/>
          <w:highlight w:val="none"/>
        </w:rPr>
      </w:pPr>
      <w:r>
        <w:rPr>
          <w:rFonts w:ascii="宋体" w:hAnsi="宋体"/>
          <w:color w:val="000000"/>
          <w:sz w:val="24"/>
          <w:highlight w:val="none"/>
        </w:rPr>
        <w:t>13.9</w:t>
      </w:r>
      <w:r>
        <w:rPr>
          <w:rFonts w:hint="eastAsia" w:ascii="宋体"/>
          <w:color w:val="000000"/>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35"/>
        <w:spacing w:after="0" w:line="360" w:lineRule="auto"/>
        <w:ind w:firstLine="482" w:firstLineChars="200"/>
        <w:rPr>
          <w:rFonts w:ascii="宋体"/>
          <w:b/>
          <w:bCs/>
          <w:sz w:val="24"/>
          <w:highlight w:val="none"/>
        </w:rPr>
      </w:pPr>
      <w:r>
        <w:rPr>
          <w:rFonts w:ascii="宋体" w:hAnsi="宋体"/>
          <w:b/>
          <w:bCs/>
          <w:sz w:val="24"/>
          <w:highlight w:val="none"/>
        </w:rPr>
        <w:t>14</w:t>
      </w:r>
      <w:r>
        <w:rPr>
          <w:rFonts w:hint="eastAsia" w:ascii="宋体" w:hAnsi="宋体"/>
          <w:b/>
          <w:bCs/>
          <w:sz w:val="24"/>
          <w:highlight w:val="none"/>
        </w:rPr>
        <w:t>．投标货币</w:t>
      </w:r>
    </w:p>
    <w:p>
      <w:pPr>
        <w:pStyle w:val="35"/>
        <w:spacing w:after="0" w:line="360" w:lineRule="auto"/>
        <w:ind w:firstLine="480" w:firstLineChars="200"/>
        <w:rPr>
          <w:rFonts w:ascii="宋体"/>
          <w:sz w:val="24"/>
          <w:highlight w:val="none"/>
        </w:rPr>
      </w:pPr>
      <w:r>
        <w:rPr>
          <w:rFonts w:ascii="宋体" w:hAnsi="宋体"/>
          <w:sz w:val="24"/>
          <w:highlight w:val="none"/>
        </w:rPr>
        <w:t xml:space="preserve">14.1 </w:t>
      </w:r>
      <w:r>
        <w:rPr>
          <w:rFonts w:hint="eastAsia" w:ascii="宋体" w:hAnsi="宋体"/>
          <w:sz w:val="24"/>
          <w:highlight w:val="none"/>
        </w:rPr>
        <w:t>本工程投标报价采用的币种为人民币。</w:t>
      </w:r>
    </w:p>
    <w:p>
      <w:pPr>
        <w:pStyle w:val="35"/>
        <w:spacing w:after="0" w:line="360" w:lineRule="auto"/>
        <w:ind w:firstLine="482" w:firstLineChars="200"/>
        <w:rPr>
          <w:rFonts w:ascii="宋体"/>
          <w:sz w:val="24"/>
          <w:highlight w:val="none"/>
        </w:rPr>
      </w:pPr>
      <w:r>
        <w:rPr>
          <w:rFonts w:ascii="宋体" w:hAnsi="宋体"/>
          <w:b/>
          <w:bCs/>
          <w:sz w:val="24"/>
          <w:highlight w:val="none"/>
        </w:rPr>
        <w:t>15</w:t>
      </w:r>
      <w:r>
        <w:rPr>
          <w:rFonts w:hint="eastAsia" w:ascii="宋体" w:hAnsi="宋体"/>
          <w:b/>
          <w:bCs/>
          <w:sz w:val="24"/>
          <w:highlight w:val="none"/>
        </w:rPr>
        <w:t>．投标有效期</w:t>
      </w:r>
    </w:p>
    <w:p>
      <w:pPr>
        <w:pStyle w:val="35"/>
        <w:spacing w:after="0" w:line="360" w:lineRule="auto"/>
        <w:ind w:firstLine="480" w:firstLineChars="200"/>
        <w:rPr>
          <w:rFonts w:ascii="宋体"/>
          <w:sz w:val="24"/>
          <w:highlight w:val="none"/>
        </w:rPr>
      </w:pPr>
      <w:r>
        <w:rPr>
          <w:rFonts w:ascii="宋体" w:hAnsi="宋体"/>
          <w:sz w:val="24"/>
          <w:highlight w:val="none"/>
        </w:rPr>
        <w:t xml:space="preserve">15.1 </w:t>
      </w:r>
      <w:r>
        <w:rPr>
          <w:rFonts w:hint="eastAsia" w:ascii="宋体" w:hAnsi="宋体"/>
          <w:sz w:val="24"/>
          <w:highlight w:val="none"/>
        </w:rPr>
        <w:t>投标有效期见投标须知前附表第</w:t>
      </w:r>
      <w:r>
        <w:rPr>
          <w:rFonts w:ascii="宋体" w:hAnsi="宋体"/>
          <w:sz w:val="24"/>
          <w:highlight w:val="none"/>
        </w:rPr>
        <w:t>13</w:t>
      </w:r>
      <w:r>
        <w:rPr>
          <w:rFonts w:hint="eastAsia" w:ascii="宋体" w:hAnsi="宋体"/>
          <w:sz w:val="24"/>
          <w:highlight w:val="none"/>
        </w:rPr>
        <w:t>项所规定的期限，在此期限内，凡符合本招标文件要求的投标文件均保持有效。</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 xml:space="preserve">15.2 </w:t>
      </w:r>
      <w:r>
        <w:rPr>
          <w:rFonts w:hint="eastAsia" w:ascii="宋体" w:hAnsi="宋体"/>
          <w:color w:val="000000"/>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000000"/>
          <w:sz w:val="24"/>
          <w:highlight w:val="none"/>
        </w:rPr>
        <w:t>16</w:t>
      </w:r>
      <w:r>
        <w:rPr>
          <w:rFonts w:hint="eastAsia" w:ascii="宋体" w:hAnsi="宋体"/>
          <w:color w:val="000000"/>
          <w:sz w:val="24"/>
          <w:highlight w:val="none"/>
        </w:rPr>
        <w:t>条关于投标保证金的退还与不予退还的规定仍然适用。</w:t>
      </w:r>
    </w:p>
    <w:p>
      <w:pPr>
        <w:pStyle w:val="35"/>
        <w:spacing w:after="0" w:line="360" w:lineRule="auto"/>
        <w:ind w:firstLine="482" w:firstLineChars="200"/>
        <w:rPr>
          <w:rFonts w:ascii="宋体"/>
          <w:b/>
          <w:bCs/>
          <w:color w:val="000000"/>
          <w:sz w:val="24"/>
          <w:highlight w:val="none"/>
        </w:rPr>
      </w:pPr>
      <w:r>
        <w:rPr>
          <w:rFonts w:ascii="宋体" w:hAnsi="宋体"/>
          <w:b/>
          <w:bCs/>
          <w:color w:val="000000"/>
          <w:sz w:val="24"/>
          <w:highlight w:val="none"/>
        </w:rPr>
        <w:t>16</w:t>
      </w:r>
      <w:r>
        <w:rPr>
          <w:rFonts w:hint="eastAsia" w:ascii="宋体" w:hAnsi="宋体"/>
          <w:b/>
          <w:bCs/>
          <w:color w:val="000000"/>
          <w:sz w:val="24"/>
          <w:highlight w:val="none"/>
        </w:rPr>
        <w:t>．投标保证金</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16.1</w:t>
      </w:r>
      <w:r>
        <w:rPr>
          <w:rFonts w:hint="eastAsia" w:ascii="宋体" w:hAnsi="宋体"/>
          <w:color w:val="000000"/>
          <w:sz w:val="24"/>
          <w:highlight w:val="none"/>
        </w:rPr>
        <w:t>投标人应按投标须知前附表第</w:t>
      </w:r>
      <w:r>
        <w:rPr>
          <w:rFonts w:ascii="宋体" w:hAnsi="宋体"/>
          <w:color w:val="000000"/>
          <w:sz w:val="24"/>
          <w:highlight w:val="none"/>
        </w:rPr>
        <w:t>14</w:t>
      </w:r>
      <w:r>
        <w:rPr>
          <w:rFonts w:hint="eastAsia" w:ascii="宋体" w:hAnsi="宋体"/>
          <w:color w:val="000000"/>
          <w:sz w:val="24"/>
          <w:highlight w:val="none"/>
        </w:rPr>
        <w:t>项所述金额和时间递交</w:t>
      </w:r>
      <w:r>
        <w:rPr>
          <w:rFonts w:hint="eastAsia" w:ascii="宋体" w:hAnsi="宋体"/>
          <w:bCs/>
          <w:color w:val="000000"/>
          <w:sz w:val="24"/>
          <w:highlight w:val="none"/>
        </w:rPr>
        <w:t>投标保证金</w:t>
      </w:r>
      <w:r>
        <w:rPr>
          <w:rFonts w:hint="eastAsia" w:ascii="宋体" w:hAnsi="宋体"/>
          <w:color w:val="000000"/>
          <w:sz w:val="24"/>
          <w:highlight w:val="none"/>
        </w:rPr>
        <w:t>。招标人应当允许投标人自主选择现金、银行保函、保证保险、专业工程担保公司担保等方式缴纳投标保证金。</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16.1.1 采用现金或者支票形式提交的，投标保证金须从投标人的银行基本账户转出。</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16.1.3 采用电子形式的保函、担保或保证保险提交投标保证金的，应在招标文件中明确电子递交途径。</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16.3投标保证金应依据法律法规的相关规定退还。</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16.4如有下列情况之一的，招标人可以不予退还投标保证金（是否退还投标保证金由招标人在招标文件中规定）：</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16.4.1因投标人原因造成投标文件未解密的；</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16.4.2投标人在投标有效期内撤销投标文件；</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16.4.3中标人未能在规定期限内按要求提交履约担保；</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16.4.4中标人未能在规定期限内签署合同协议。</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16.5.1投标人存在16.4条款所列情形且投标人提交的保函、担保或保证保险无法兑付的；</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16.5.3按招标文件要求免于提供投标保证金的投标人存在16.4条款所列情形，且未按招标人要求补交投标保证金的；</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16.5.3按招标文件要求免于提供投标保证金的投标人存在16.4条款所列情形的。</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注：16.5.3款由招标人二选一，需在招标文件中明确。</w:t>
      </w:r>
    </w:p>
    <w:p>
      <w:pPr>
        <w:pStyle w:val="35"/>
        <w:spacing w:after="0" w:line="360" w:lineRule="auto"/>
        <w:ind w:firstLine="482" w:firstLineChars="200"/>
        <w:rPr>
          <w:rFonts w:ascii="宋体"/>
          <w:b/>
          <w:bCs/>
          <w:color w:val="000000"/>
          <w:sz w:val="24"/>
          <w:highlight w:val="none"/>
        </w:rPr>
      </w:pPr>
      <w:r>
        <w:rPr>
          <w:rFonts w:ascii="宋体" w:hAnsi="宋体"/>
          <w:b/>
          <w:bCs/>
          <w:color w:val="000000"/>
          <w:sz w:val="24"/>
          <w:highlight w:val="none"/>
        </w:rPr>
        <w:t>17</w:t>
      </w:r>
      <w:r>
        <w:rPr>
          <w:rFonts w:hint="eastAsia" w:ascii="宋体" w:hAnsi="宋体"/>
          <w:b/>
          <w:bCs/>
          <w:color w:val="000000"/>
          <w:sz w:val="24"/>
          <w:highlight w:val="none"/>
        </w:rPr>
        <w:t>．投标文件的签署</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17.1</w:t>
      </w:r>
      <w:r>
        <w:rPr>
          <w:rFonts w:hint="eastAsia" w:ascii="宋体" w:hAnsi="宋体"/>
          <w:color w:val="000000"/>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pPr>
        <w:pStyle w:val="6"/>
        <w:spacing w:before="156" w:after="156"/>
        <w:rPr>
          <w:color w:val="000000"/>
          <w:highlight w:val="none"/>
        </w:rPr>
      </w:pPr>
      <w:bookmarkStart w:id="15" w:name="_Toc2272552"/>
      <w:bookmarkStart w:id="16" w:name="_Toc21525496"/>
      <w:r>
        <w:rPr>
          <w:rFonts w:hint="eastAsia"/>
          <w:color w:val="000000"/>
          <w:highlight w:val="none"/>
        </w:rPr>
        <w:t>（四）投标文件的提交</w:t>
      </w:r>
      <w:bookmarkEnd w:id="15"/>
      <w:bookmarkEnd w:id="16"/>
    </w:p>
    <w:p>
      <w:pPr>
        <w:pStyle w:val="35"/>
        <w:spacing w:after="0" w:line="360" w:lineRule="auto"/>
        <w:ind w:firstLine="482" w:firstLineChars="200"/>
        <w:rPr>
          <w:rFonts w:ascii="宋体"/>
          <w:b/>
          <w:bCs/>
          <w:color w:val="000000"/>
          <w:sz w:val="24"/>
          <w:highlight w:val="none"/>
        </w:rPr>
      </w:pPr>
      <w:r>
        <w:rPr>
          <w:rFonts w:ascii="宋体" w:hAnsi="宋体"/>
          <w:b/>
          <w:bCs/>
          <w:color w:val="000000"/>
          <w:sz w:val="24"/>
          <w:highlight w:val="none"/>
        </w:rPr>
        <w:t>18</w:t>
      </w:r>
      <w:r>
        <w:rPr>
          <w:rFonts w:hint="eastAsia" w:ascii="宋体" w:hAnsi="宋体"/>
          <w:b/>
          <w:bCs/>
          <w:color w:val="000000"/>
          <w:sz w:val="24"/>
          <w:highlight w:val="none"/>
        </w:rPr>
        <w:t>．</w:t>
      </w:r>
      <w:r>
        <w:rPr>
          <w:rFonts w:hint="eastAsia"/>
          <w:b/>
          <w:color w:val="000000"/>
          <w:sz w:val="24"/>
          <w:szCs w:val="24"/>
          <w:highlight w:val="none"/>
        </w:rPr>
        <w:t>投标文件的密封和标记</w:t>
      </w:r>
    </w:p>
    <w:p>
      <w:pPr>
        <w:spacing w:line="360" w:lineRule="auto"/>
        <w:ind w:firstLine="480" w:firstLineChars="200"/>
        <w:rPr>
          <w:rFonts w:asci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8</w:t>
      </w:r>
      <w:r>
        <w:rPr>
          <w:rFonts w:ascii="宋体" w:hAnsi="宋体"/>
          <w:bCs/>
          <w:color w:val="000000"/>
          <w:sz w:val="24"/>
          <w:highlight w:val="none"/>
        </w:rPr>
        <w:t>.1</w:t>
      </w:r>
      <w:r>
        <w:rPr>
          <w:rFonts w:hint="eastAsia" w:ascii="宋体" w:hAnsi="宋体"/>
          <w:bCs/>
          <w:color w:val="000000"/>
          <w:sz w:val="24"/>
          <w:highlight w:val="none"/>
        </w:rPr>
        <w:t>递交的电子投标文件（不含备用光盘）必须进行加密。按照交易平台关于</w:t>
      </w:r>
      <w:r>
        <w:rPr>
          <w:rFonts w:hint="eastAsia"/>
          <w:color w:val="000000"/>
          <w:sz w:val="24"/>
          <w:szCs w:val="24"/>
          <w:highlight w:val="none"/>
        </w:rPr>
        <w:t>全流程电子化项目的相关指南进行操作。详见：</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w:t>
      </w:r>
      <w:r>
        <w:rPr>
          <w:rFonts w:hint="eastAsia"/>
          <w:color w:val="000000"/>
          <w:sz w:val="24"/>
          <w:szCs w:val="24"/>
          <w:highlight w:val="none"/>
        </w:rPr>
        <w:t xml:space="preserve"> 。</w:t>
      </w:r>
    </w:p>
    <w:p>
      <w:pPr>
        <w:spacing w:line="360" w:lineRule="auto"/>
        <w:ind w:firstLine="480" w:firstLineChars="200"/>
        <w:rPr>
          <w:rFonts w:asci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8</w:t>
      </w:r>
      <w:r>
        <w:rPr>
          <w:rFonts w:ascii="宋体" w:hAnsi="宋体"/>
          <w:bCs/>
          <w:color w:val="000000"/>
          <w:sz w:val="24"/>
          <w:highlight w:val="none"/>
        </w:rPr>
        <w:t>.2</w:t>
      </w:r>
      <w:r>
        <w:rPr>
          <w:rFonts w:ascii="宋体"/>
          <w:bCs/>
          <w:color w:val="000000"/>
          <w:sz w:val="24"/>
          <w:highlight w:val="none"/>
        </w:rPr>
        <w:t xml:space="preserve"> </w:t>
      </w:r>
      <w:r>
        <w:rPr>
          <w:rFonts w:hint="eastAsia" w:ascii="宋体"/>
          <w:bCs/>
          <w:color w:val="000000"/>
          <w:sz w:val="24"/>
          <w:highlight w:val="none"/>
        </w:rPr>
        <w:t>未按要求加密的投标文件，</w:t>
      </w:r>
      <w:r>
        <w:rPr>
          <w:color w:val="000000"/>
          <w:sz w:val="24"/>
          <w:szCs w:val="24"/>
          <w:highlight w:val="none"/>
          <w:u w:val="single"/>
        </w:rPr>
        <w:t xml:space="preserve">        </w:t>
      </w:r>
      <w:r>
        <w:rPr>
          <w:rFonts w:hint="eastAsia" w:ascii="宋体" w:hAnsi="宋体"/>
          <w:color w:val="000000"/>
          <w:sz w:val="24"/>
          <w:szCs w:val="24"/>
          <w:highlight w:val="none"/>
        </w:rPr>
        <w:t>交易平台</w:t>
      </w:r>
      <w:r>
        <w:rPr>
          <w:rFonts w:hint="eastAsia" w:ascii="宋体"/>
          <w:bCs/>
          <w:color w:val="000000"/>
          <w:sz w:val="24"/>
          <w:highlight w:val="none"/>
        </w:rPr>
        <w:t>将予以拒收。</w:t>
      </w:r>
    </w:p>
    <w:p>
      <w:pPr>
        <w:spacing w:line="360" w:lineRule="auto"/>
        <w:ind w:firstLine="482" w:firstLineChars="200"/>
        <w:rPr>
          <w:rFonts w:ascii="宋体"/>
          <w:b/>
          <w:bCs/>
          <w:color w:val="000000"/>
          <w:sz w:val="24"/>
          <w:highlight w:val="none"/>
        </w:rPr>
      </w:pPr>
      <w:r>
        <w:rPr>
          <w:rFonts w:ascii="宋体" w:hAnsi="宋体"/>
          <w:b/>
          <w:bCs/>
          <w:color w:val="000000"/>
          <w:sz w:val="24"/>
          <w:highlight w:val="none"/>
        </w:rPr>
        <w:t>19</w:t>
      </w:r>
      <w:r>
        <w:rPr>
          <w:rFonts w:hint="eastAsia" w:ascii="宋体" w:hAnsi="宋体"/>
          <w:b/>
          <w:bCs/>
          <w:color w:val="000000"/>
          <w:sz w:val="24"/>
          <w:highlight w:val="none"/>
        </w:rPr>
        <w:t>．投标文件的递交和接收</w:t>
      </w:r>
    </w:p>
    <w:p>
      <w:pPr>
        <w:spacing w:line="360" w:lineRule="auto"/>
        <w:ind w:firstLine="480" w:firstLineChars="200"/>
        <w:rPr>
          <w:rFonts w:asci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9</w:t>
      </w:r>
      <w:r>
        <w:rPr>
          <w:rFonts w:ascii="宋体" w:hAnsi="宋体"/>
          <w:bCs/>
          <w:color w:val="000000"/>
          <w:sz w:val="24"/>
          <w:highlight w:val="none"/>
        </w:rPr>
        <w:t>.</w:t>
      </w:r>
      <w:r>
        <w:rPr>
          <w:rFonts w:hint="eastAsia" w:ascii="宋体" w:hAnsi="宋体"/>
          <w:bCs/>
          <w:color w:val="000000"/>
          <w:sz w:val="24"/>
          <w:highlight w:val="none"/>
        </w:rPr>
        <w:t>1投标人通过</w:t>
      </w:r>
      <w:r>
        <w:rPr>
          <w:color w:val="000000"/>
          <w:sz w:val="24"/>
          <w:szCs w:val="24"/>
          <w:highlight w:val="none"/>
          <w:u w:val="single"/>
        </w:rPr>
        <w:t xml:space="preserve">        </w:t>
      </w:r>
      <w:r>
        <w:rPr>
          <w:rFonts w:hint="eastAsia" w:ascii="宋体" w:hAnsi="宋体"/>
          <w:color w:val="000000"/>
          <w:sz w:val="24"/>
          <w:szCs w:val="24"/>
          <w:highlight w:val="none"/>
        </w:rPr>
        <w:t>交易平台</w:t>
      </w:r>
      <w:r>
        <w:rPr>
          <w:rFonts w:hint="eastAsia" w:ascii="宋体" w:hAnsi="宋体"/>
          <w:color w:val="000000"/>
          <w:sz w:val="24"/>
          <w:highlight w:val="none"/>
        </w:rPr>
        <w:t>递交电子投标文件。</w:t>
      </w:r>
    </w:p>
    <w:p>
      <w:pPr>
        <w:spacing w:line="360" w:lineRule="auto"/>
        <w:ind w:firstLine="480" w:firstLineChars="200"/>
        <w:rPr>
          <w:rFonts w:asci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9</w:t>
      </w:r>
      <w:r>
        <w:rPr>
          <w:rFonts w:ascii="宋体" w:hAnsi="宋体"/>
          <w:bCs/>
          <w:color w:val="000000"/>
          <w:sz w:val="24"/>
          <w:highlight w:val="none"/>
        </w:rPr>
        <w:t>.</w:t>
      </w:r>
      <w:r>
        <w:rPr>
          <w:rFonts w:hint="eastAsia" w:ascii="宋体" w:hAnsi="宋体"/>
          <w:bCs/>
          <w:color w:val="000000"/>
          <w:sz w:val="24"/>
          <w:highlight w:val="none"/>
        </w:rPr>
        <w:t>2投标人完成电子</w:t>
      </w:r>
      <w:r>
        <w:rPr>
          <w:rFonts w:hint="eastAsia" w:ascii="宋体" w:hAnsi="宋体"/>
          <w:color w:val="000000"/>
          <w:sz w:val="24"/>
          <w:highlight w:val="none"/>
        </w:rPr>
        <w:t>投标文件</w:t>
      </w:r>
      <w:r>
        <w:rPr>
          <w:rFonts w:hint="eastAsia" w:ascii="宋体" w:hAnsi="宋体"/>
          <w:bCs/>
          <w:color w:val="000000"/>
          <w:sz w:val="24"/>
          <w:highlight w:val="none"/>
        </w:rPr>
        <w:t>上传后，</w:t>
      </w:r>
      <w:r>
        <w:rPr>
          <w:color w:val="000000"/>
          <w:sz w:val="24"/>
          <w:szCs w:val="24"/>
          <w:highlight w:val="none"/>
          <w:u w:val="single"/>
        </w:rPr>
        <w:t xml:space="preserve">        </w:t>
      </w:r>
      <w:r>
        <w:rPr>
          <w:rFonts w:hint="eastAsia" w:ascii="宋体" w:hAnsi="宋体"/>
          <w:color w:val="000000"/>
          <w:sz w:val="24"/>
          <w:szCs w:val="24"/>
          <w:highlight w:val="none"/>
        </w:rPr>
        <w:t>交易平台</w:t>
      </w:r>
      <w:r>
        <w:rPr>
          <w:rFonts w:hint="eastAsia" w:ascii="宋体" w:hAnsi="宋体"/>
          <w:color w:val="000000"/>
          <w:sz w:val="24"/>
          <w:highlight w:val="none"/>
        </w:rPr>
        <w:t>即时向投标人发出递交回执通知。递交时间以递交回执通知载明的传输完成时间为准。</w:t>
      </w:r>
    </w:p>
    <w:p>
      <w:pPr>
        <w:spacing w:line="360" w:lineRule="auto"/>
        <w:ind w:firstLine="480" w:firstLineChars="200"/>
        <w:rPr>
          <w:rFonts w:ascii="宋体" w:hAnsi="宋体"/>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9</w:t>
      </w:r>
      <w:r>
        <w:rPr>
          <w:rFonts w:ascii="宋体" w:hAnsi="宋体"/>
          <w:bCs/>
          <w:color w:val="000000"/>
          <w:sz w:val="24"/>
          <w:highlight w:val="none"/>
        </w:rPr>
        <w:t>.</w:t>
      </w:r>
      <w:r>
        <w:rPr>
          <w:rFonts w:hint="eastAsia" w:ascii="宋体" w:hAnsi="宋体"/>
          <w:bCs/>
          <w:color w:val="000000"/>
          <w:sz w:val="24"/>
          <w:highlight w:val="none"/>
        </w:rPr>
        <w:t>3</w:t>
      </w:r>
      <w:r>
        <w:rPr>
          <w:rFonts w:hint="eastAsia"/>
          <w:bCs/>
          <w:color w:val="000000"/>
          <w:sz w:val="24"/>
          <w:szCs w:val="24"/>
          <w:highlight w:val="none"/>
        </w:rPr>
        <w:t>逾期送达的</w:t>
      </w:r>
      <w:r>
        <w:rPr>
          <w:rFonts w:hint="eastAsia" w:ascii="宋体" w:hAnsi="宋体"/>
          <w:bCs/>
          <w:color w:val="000000"/>
          <w:sz w:val="24"/>
          <w:highlight w:val="none"/>
        </w:rPr>
        <w:t>电子投标文件，</w:t>
      </w:r>
      <w:r>
        <w:rPr>
          <w:color w:val="000000"/>
          <w:sz w:val="24"/>
          <w:szCs w:val="24"/>
          <w:highlight w:val="none"/>
          <w:u w:val="single"/>
        </w:rPr>
        <w:t xml:space="preserve">        </w:t>
      </w:r>
      <w:r>
        <w:rPr>
          <w:rFonts w:hint="eastAsia" w:ascii="宋体" w:hAnsi="宋体"/>
          <w:color w:val="000000"/>
          <w:sz w:val="24"/>
          <w:szCs w:val="24"/>
          <w:highlight w:val="none"/>
        </w:rPr>
        <w:t>交易平台</w:t>
      </w:r>
      <w:r>
        <w:rPr>
          <w:rFonts w:hint="eastAsia" w:ascii="宋体" w:hAnsi="宋体"/>
          <w:color w:val="000000"/>
          <w:sz w:val="24"/>
          <w:highlight w:val="none"/>
        </w:rPr>
        <w:t>将予以拒收。</w:t>
      </w:r>
    </w:p>
    <w:p>
      <w:pPr>
        <w:spacing w:line="360" w:lineRule="auto"/>
        <w:ind w:firstLine="480" w:firstLineChars="200"/>
        <w:rPr>
          <w:rFonts w:ascii="宋体"/>
          <w:color w:val="000000"/>
          <w:sz w:val="24"/>
          <w:highlight w:val="none"/>
        </w:rPr>
      </w:pPr>
      <w:r>
        <w:rPr>
          <w:rFonts w:ascii="宋体" w:hAnsi="宋体"/>
          <w:color w:val="000000"/>
          <w:sz w:val="24"/>
          <w:highlight w:val="none"/>
        </w:rPr>
        <w:t>19.</w:t>
      </w:r>
      <w:r>
        <w:rPr>
          <w:rFonts w:hint="eastAsia" w:ascii="宋体" w:hAnsi="宋体"/>
          <w:color w:val="000000"/>
          <w:sz w:val="24"/>
          <w:highlight w:val="none"/>
        </w:rPr>
        <w:t>4</w:t>
      </w:r>
      <w:r>
        <w:rPr>
          <w:rFonts w:ascii="宋体" w:hAnsi="宋体"/>
          <w:color w:val="000000"/>
          <w:sz w:val="24"/>
          <w:highlight w:val="none"/>
        </w:rPr>
        <w:t xml:space="preserve"> </w:t>
      </w:r>
      <w:r>
        <w:rPr>
          <w:rFonts w:hint="eastAsia" w:ascii="宋体" w:hAnsi="宋体"/>
          <w:color w:val="000000"/>
          <w:sz w:val="24"/>
          <w:szCs w:val="24"/>
          <w:highlight w:val="none"/>
        </w:rPr>
        <w:t>投标截止前，</w:t>
      </w:r>
      <w:r>
        <w:rPr>
          <w:rFonts w:hint="eastAsia"/>
          <w:color w:val="000000"/>
          <w:sz w:val="24"/>
          <w:szCs w:val="24"/>
          <w:highlight w:val="none"/>
        </w:rPr>
        <w:t>招标人拒绝接收符合条件的投标文件，投标人可向招标投标监督机构投诉。</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19.</w:t>
      </w:r>
      <w:r>
        <w:rPr>
          <w:rFonts w:hint="eastAsia" w:ascii="宋体" w:hAnsi="宋体"/>
          <w:color w:val="000000"/>
          <w:sz w:val="24"/>
          <w:highlight w:val="none"/>
        </w:rPr>
        <w:t>5如技术标和经济标先后分别开启，</w:t>
      </w:r>
      <w:r>
        <w:rPr>
          <w:color w:val="000000"/>
          <w:sz w:val="24"/>
          <w:szCs w:val="24"/>
          <w:highlight w:val="none"/>
          <w:u w:val="single"/>
        </w:rPr>
        <w:t xml:space="preserve">        </w:t>
      </w:r>
      <w:r>
        <w:rPr>
          <w:rFonts w:hint="eastAsia" w:ascii="宋体" w:hAnsi="宋体"/>
          <w:color w:val="000000"/>
          <w:sz w:val="24"/>
          <w:szCs w:val="24"/>
          <w:highlight w:val="none"/>
        </w:rPr>
        <w:t>交易平台</w:t>
      </w:r>
      <w:r>
        <w:rPr>
          <w:rFonts w:hint="eastAsia" w:ascii="宋体" w:hAnsi="宋体"/>
          <w:color w:val="000000"/>
          <w:sz w:val="24"/>
          <w:highlight w:val="none"/>
        </w:rPr>
        <w:t>将按招标文件规定的时间分别开启技术标和经济标。</w:t>
      </w:r>
    </w:p>
    <w:p>
      <w:pPr>
        <w:spacing w:line="360" w:lineRule="auto"/>
        <w:ind w:firstLine="482" w:firstLineChars="200"/>
        <w:rPr>
          <w:rFonts w:ascii="宋体"/>
          <w:b/>
          <w:bCs/>
          <w:color w:val="000000"/>
          <w:sz w:val="24"/>
          <w:highlight w:val="none"/>
        </w:rPr>
      </w:pPr>
      <w:r>
        <w:rPr>
          <w:rFonts w:ascii="宋体" w:hAnsi="宋体"/>
          <w:b/>
          <w:bCs/>
          <w:color w:val="000000"/>
          <w:sz w:val="24"/>
          <w:highlight w:val="none"/>
        </w:rPr>
        <w:t>20</w:t>
      </w:r>
      <w:r>
        <w:rPr>
          <w:rFonts w:hint="eastAsia" w:ascii="宋体" w:hAnsi="宋体"/>
          <w:b/>
          <w:bCs/>
          <w:color w:val="000000"/>
          <w:sz w:val="24"/>
          <w:highlight w:val="none"/>
        </w:rPr>
        <w:t>．投标文件提交的截止时间</w:t>
      </w:r>
    </w:p>
    <w:p>
      <w:pPr>
        <w:spacing w:line="360" w:lineRule="auto"/>
        <w:ind w:firstLine="480" w:firstLineChars="200"/>
        <w:rPr>
          <w:rFonts w:ascii="宋体"/>
          <w:b/>
          <w:bCs/>
          <w:color w:val="000000"/>
          <w:sz w:val="24"/>
          <w:highlight w:val="none"/>
        </w:rPr>
      </w:pPr>
      <w:r>
        <w:rPr>
          <w:rFonts w:ascii="宋体" w:hAnsi="宋体"/>
          <w:color w:val="000000"/>
          <w:sz w:val="24"/>
          <w:highlight w:val="none"/>
        </w:rPr>
        <w:t>20.1</w:t>
      </w:r>
      <w:r>
        <w:rPr>
          <w:rFonts w:hint="eastAsia" w:ascii="宋体" w:hAnsi="宋体"/>
          <w:color w:val="000000"/>
          <w:sz w:val="24"/>
          <w:highlight w:val="none"/>
        </w:rPr>
        <w:t>投标人应在投标须知前附表第17项所述的时间前提交投标文件。</w:t>
      </w:r>
    </w:p>
    <w:p>
      <w:pPr>
        <w:spacing w:line="360" w:lineRule="auto"/>
        <w:ind w:firstLine="480" w:firstLineChars="200"/>
        <w:rPr>
          <w:rFonts w:ascii="宋体"/>
          <w:color w:val="000000"/>
          <w:sz w:val="24"/>
          <w:highlight w:val="none"/>
        </w:rPr>
      </w:pPr>
      <w:r>
        <w:rPr>
          <w:rFonts w:ascii="宋体" w:hAnsi="宋体"/>
          <w:color w:val="000000"/>
          <w:sz w:val="24"/>
          <w:highlight w:val="none"/>
        </w:rPr>
        <w:t>20.2</w:t>
      </w:r>
      <w:r>
        <w:rPr>
          <w:rFonts w:hint="eastAsia" w:ascii="宋体" w:hAnsi="宋体"/>
          <w:color w:val="000000"/>
          <w:sz w:val="24"/>
          <w:highlight w:val="none"/>
        </w:rPr>
        <w:t>招标人可按本须知第</w:t>
      </w:r>
      <w:r>
        <w:rPr>
          <w:rFonts w:ascii="宋体" w:hAnsi="宋体"/>
          <w:color w:val="000000"/>
          <w:sz w:val="24"/>
          <w:highlight w:val="none"/>
        </w:rPr>
        <w:t>9</w:t>
      </w:r>
      <w:r>
        <w:rPr>
          <w:rFonts w:hint="eastAsia" w:ascii="宋体" w:hAnsi="宋体"/>
          <w:color w:val="000000"/>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20.3 </w:t>
      </w:r>
      <w:r>
        <w:rPr>
          <w:rFonts w:hint="eastAsia" w:ascii="宋体" w:hAnsi="宋体"/>
          <w:color w:val="000000"/>
          <w:sz w:val="24"/>
          <w:highlight w:val="none"/>
        </w:rPr>
        <w:t>到投标截止时间止，招标人收到的投标文件少于3家的，招标人将重新组织招标</w:t>
      </w:r>
      <w:r>
        <w:rPr>
          <w:rFonts w:hint="eastAsia" w:ascii="宋体" w:hAnsi="宋体"/>
          <w:color w:val="000000"/>
          <w:sz w:val="24"/>
          <w:szCs w:val="24"/>
          <w:highlight w:val="none"/>
        </w:rPr>
        <w:t>（当</w:t>
      </w:r>
      <w:r>
        <w:rPr>
          <w:rFonts w:ascii="宋体" w:hAnsi="宋体"/>
          <w:color w:val="000000"/>
          <w:sz w:val="24"/>
          <w:szCs w:val="24"/>
          <w:highlight w:val="none"/>
        </w:rPr>
        <w:t>N</w:t>
      </w:r>
      <w:r>
        <w:rPr>
          <w:rFonts w:hint="eastAsia" w:ascii="宋体" w:hAnsi="宋体"/>
          <w:color w:val="000000"/>
          <w:sz w:val="24"/>
          <w:szCs w:val="24"/>
          <w:highlight w:val="none"/>
        </w:rPr>
        <w:t>个标段同时招标且不允许兼中时，若有效投标人不足</w:t>
      </w:r>
      <w:r>
        <w:rPr>
          <w:rFonts w:ascii="宋体" w:hAnsi="宋体"/>
          <w:color w:val="000000"/>
          <w:sz w:val="24"/>
          <w:szCs w:val="24"/>
          <w:highlight w:val="none"/>
        </w:rPr>
        <w:t>N+</w:t>
      </w:r>
      <w:r>
        <w:rPr>
          <w:rFonts w:hint="eastAsia" w:ascii="宋体" w:hAnsi="宋体"/>
          <w:color w:val="000000"/>
          <w:sz w:val="24"/>
          <w:szCs w:val="24"/>
          <w:highlight w:val="none"/>
        </w:rPr>
        <w:t>2家，则重新组织招标）</w:t>
      </w:r>
      <w:r>
        <w:rPr>
          <w:rFonts w:hint="eastAsia" w:ascii="宋体" w:hAnsi="宋体"/>
          <w:color w:val="000000"/>
          <w:sz w:val="24"/>
          <w:highlight w:val="none"/>
        </w:rPr>
        <w:t>。</w:t>
      </w:r>
    </w:p>
    <w:p>
      <w:pPr>
        <w:spacing w:line="360" w:lineRule="auto"/>
        <w:ind w:firstLine="482" w:firstLineChars="200"/>
        <w:rPr>
          <w:rFonts w:ascii="宋体"/>
          <w:b/>
          <w:bCs/>
          <w:color w:val="000000"/>
          <w:sz w:val="24"/>
          <w:highlight w:val="none"/>
        </w:rPr>
      </w:pPr>
      <w:r>
        <w:rPr>
          <w:rFonts w:ascii="宋体" w:hAnsi="宋体"/>
          <w:b/>
          <w:bCs/>
          <w:color w:val="000000"/>
          <w:sz w:val="24"/>
          <w:highlight w:val="none"/>
        </w:rPr>
        <w:t>21</w:t>
      </w:r>
      <w:r>
        <w:rPr>
          <w:rFonts w:hint="eastAsia" w:ascii="宋体" w:hAnsi="宋体"/>
          <w:b/>
          <w:bCs/>
          <w:color w:val="000000"/>
          <w:sz w:val="24"/>
          <w:highlight w:val="none"/>
        </w:rPr>
        <w:t>．迟交的投标文件</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21.1 </w:t>
      </w:r>
      <w:r>
        <w:rPr>
          <w:rFonts w:hint="eastAsia" w:ascii="宋体" w:hAnsi="宋体"/>
          <w:color w:val="000000"/>
          <w:sz w:val="24"/>
          <w:highlight w:val="none"/>
        </w:rPr>
        <w:t>本须知前附表第</w:t>
      </w:r>
      <w:r>
        <w:rPr>
          <w:rFonts w:ascii="宋体" w:hAnsi="宋体"/>
          <w:color w:val="000000"/>
          <w:sz w:val="24"/>
          <w:highlight w:val="none"/>
        </w:rPr>
        <w:t>1</w:t>
      </w:r>
      <w:r>
        <w:rPr>
          <w:rFonts w:hint="eastAsia" w:ascii="宋体" w:hAnsi="宋体"/>
          <w:color w:val="000000"/>
          <w:sz w:val="24"/>
          <w:highlight w:val="none"/>
        </w:rPr>
        <w:t>7项规定的投标截止时间</w:t>
      </w:r>
      <w:r>
        <w:rPr>
          <w:rFonts w:hint="eastAsia"/>
          <w:bCs/>
          <w:color w:val="000000"/>
          <w:sz w:val="24"/>
          <w:szCs w:val="24"/>
          <w:highlight w:val="none"/>
        </w:rPr>
        <w:t>后送达的</w:t>
      </w:r>
      <w:r>
        <w:rPr>
          <w:rFonts w:hint="eastAsia" w:ascii="宋体" w:hAnsi="宋体"/>
          <w:bCs/>
          <w:color w:val="000000"/>
          <w:sz w:val="24"/>
          <w:highlight w:val="none"/>
        </w:rPr>
        <w:t>电子投标文件，</w:t>
      </w:r>
      <w:r>
        <w:rPr>
          <w:color w:val="000000"/>
          <w:sz w:val="24"/>
          <w:szCs w:val="24"/>
          <w:highlight w:val="none"/>
          <w:u w:val="single"/>
        </w:rPr>
        <w:t xml:space="preserve">       </w:t>
      </w:r>
      <w:r>
        <w:rPr>
          <w:rFonts w:hint="eastAsia" w:ascii="宋体" w:hAnsi="宋体"/>
          <w:color w:val="000000"/>
          <w:sz w:val="24"/>
          <w:szCs w:val="24"/>
          <w:highlight w:val="none"/>
        </w:rPr>
        <w:t>交易平台</w:t>
      </w:r>
      <w:r>
        <w:rPr>
          <w:rFonts w:hint="eastAsia" w:ascii="宋体" w:hAnsi="宋体"/>
          <w:color w:val="000000"/>
          <w:sz w:val="24"/>
          <w:highlight w:val="none"/>
        </w:rPr>
        <w:t>将予以拒收。</w:t>
      </w:r>
    </w:p>
    <w:p>
      <w:pPr>
        <w:spacing w:line="360" w:lineRule="auto"/>
        <w:ind w:firstLine="482" w:firstLineChars="200"/>
        <w:rPr>
          <w:rFonts w:ascii="宋体"/>
          <w:b/>
          <w:bCs/>
          <w:color w:val="000000"/>
          <w:sz w:val="24"/>
          <w:highlight w:val="none"/>
        </w:rPr>
      </w:pPr>
      <w:r>
        <w:rPr>
          <w:rFonts w:ascii="宋体" w:hAnsi="宋体"/>
          <w:b/>
          <w:bCs/>
          <w:color w:val="000000"/>
          <w:sz w:val="24"/>
          <w:highlight w:val="none"/>
        </w:rPr>
        <w:t>22</w:t>
      </w:r>
      <w:r>
        <w:rPr>
          <w:rFonts w:hint="eastAsia" w:ascii="宋体" w:hAnsi="宋体"/>
          <w:b/>
          <w:bCs/>
          <w:color w:val="000000"/>
          <w:sz w:val="24"/>
          <w:highlight w:val="none"/>
        </w:rPr>
        <w:t>．投标文件的修改与撤回</w:t>
      </w:r>
    </w:p>
    <w:p>
      <w:pPr>
        <w:spacing w:line="360" w:lineRule="auto"/>
        <w:ind w:firstLine="480" w:firstLineChars="200"/>
        <w:rPr>
          <w:rFonts w:ascii="宋体"/>
          <w:color w:val="000000"/>
          <w:sz w:val="24"/>
          <w:highlight w:val="none"/>
        </w:rPr>
      </w:pPr>
      <w:r>
        <w:rPr>
          <w:rFonts w:ascii="宋体" w:hAnsi="宋体"/>
          <w:color w:val="000000"/>
          <w:sz w:val="24"/>
          <w:highlight w:val="none"/>
        </w:rPr>
        <w:t>22.1</w:t>
      </w:r>
      <w:r>
        <w:rPr>
          <w:rFonts w:hint="eastAsia" w:ascii="宋体" w:hAnsi="宋体"/>
          <w:color w:val="000000"/>
          <w:sz w:val="24"/>
          <w:highlight w:val="none"/>
        </w:rPr>
        <w:t>在规定的投标截止时间前，投标人可以修改或撤回已递交的投标文件，但应以书面形式通知招标人。</w:t>
      </w:r>
    </w:p>
    <w:p>
      <w:pPr>
        <w:spacing w:line="360" w:lineRule="auto"/>
        <w:ind w:firstLine="480" w:firstLineChars="200"/>
        <w:rPr>
          <w:color w:val="000000"/>
          <w:sz w:val="24"/>
          <w:szCs w:val="24"/>
          <w:highlight w:val="none"/>
        </w:rPr>
      </w:pPr>
      <w:r>
        <w:rPr>
          <w:rFonts w:ascii="宋体" w:hAnsi="宋体"/>
          <w:color w:val="000000"/>
          <w:sz w:val="24"/>
          <w:szCs w:val="24"/>
          <w:highlight w:val="none"/>
        </w:rPr>
        <w:t>22.2</w:t>
      </w:r>
      <w:r>
        <w:rPr>
          <w:color w:val="000000"/>
          <w:sz w:val="24"/>
          <w:szCs w:val="24"/>
          <w:highlight w:val="none"/>
        </w:rPr>
        <w:t>投标人修改或撤回已递交</w:t>
      </w:r>
      <w:r>
        <w:rPr>
          <w:rFonts w:hint="eastAsia"/>
          <w:color w:val="000000"/>
          <w:sz w:val="24"/>
          <w:szCs w:val="24"/>
          <w:highlight w:val="none"/>
        </w:rPr>
        <w:t>的</w:t>
      </w:r>
      <w:r>
        <w:rPr>
          <w:color w:val="000000"/>
          <w:sz w:val="24"/>
          <w:szCs w:val="24"/>
          <w:highlight w:val="none"/>
        </w:rPr>
        <w:t>投标文件</w:t>
      </w:r>
      <w:r>
        <w:rPr>
          <w:rFonts w:hint="eastAsia"/>
          <w:color w:val="000000"/>
          <w:sz w:val="24"/>
          <w:szCs w:val="24"/>
          <w:highlight w:val="none"/>
        </w:rPr>
        <w:t>，需在</w:t>
      </w:r>
      <w:r>
        <w:rPr>
          <w:rFonts w:hint="eastAsia" w:ascii="宋体" w:hAnsi="宋体"/>
          <w:color w:val="000000"/>
          <w:sz w:val="24"/>
          <w:highlight w:val="none"/>
        </w:rPr>
        <w:t>交易平台发出修改或撤回</w:t>
      </w:r>
      <w:r>
        <w:rPr>
          <w:color w:val="000000"/>
          <w:sz w:val="24"/>
          <w:szCs w:val="24"/>
          <w:highlight w:val="none"/>
        </w:rPr>
        <w:t>通知，</w:t>
      </w:r>
      <w:r>
        <w:rPr>
          <w:rFonts w:hint="eastAsia"/>
          <w:color w:val="000000"/>
          <w:sz w:val="24"/>
          <w:szCs w:val="24"/>
          <w:highlight w:val="none"/>
        </w:rPr>
        <w:t>并按</w:t>
      </w:r>
      <w:r>
        <w:rPr>
          <w:color w:val="000000"/>
          <w:sz w:val="24"/>
          <w:szCs w:val="24"/>
          <w:highlight w:val="none"/>
        </w:rPr>
        <w:t>要求加盖电子印章。</w:t>
      </w:r>
      <w:r>
        <w:rPr>
          <w:bCs/>
          <w:iCs/>
          <w:color w:val="000000"/>
          <w:sz w:val="24"/>
          <w:szCs w:val="24"/>
          <w:highlight w:val="none"/>
        </w:rPr>
        <w:t>电子招标投标交易平台收到通知后，</w:t>
      </w:r>
      <w:r>
        <w:rPr>
          <w:color w:val="000000"/>
          <w:sz w:val="24"/>
          <w:szCs w:val="24"/>
          <w:highlight w:val="none"/>
        </w:rPr>
        <w:t>即时向投标人发出确认回执通知。</w:t>
      </w:r>
    </w:p>
    <w:p>
      <w:pPr>
        <w:spacing w:line="360" w:lineRule="auto"/>
        <w:ind w:firstLine="480" w:firstLineChars="200"/>
        <w:rPr>
          <w:color w:val="000000"/>
          <w:sz w:val="24"/>
          <w:szCs w:val="24"/>
          <w:highlight w:val="none"/>
        </w:rPr>
      </w:pPr>
      <w:r>
        <w:rPr>
          <w:rFonts w:hint="eastAsia" w:ascii="宋体" w:hAnsi="宋体"/>
          <w:color w:val="000000"/>
          <w:sz w:val="24"/>
          <w:szCs w:val="24"/>
          <w:highlight w:val="none"/>
        </w:rPr>
        <w:t>22.3</w:t>
      </w:r>
      <w:r>
        <w:rPr>
          <w:rFonts w:hint="eastAsia"/>
          <w:color w:val="000000"/>
          <w:sz w:val="24"/>
          <w:szCs w:val="24"/>
          <w:highlight w:val="none"/>
        </w:rPr>
        <w:t>修改后再次递交的，按19点的规定执行。</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22.</w:t>
      </w:r>
      <w:r>
        <w:rPr>
          <w:rFonts w:hint="eastAsia" w:ascii="宋体" w:hAnsi="宋体"/>
          <w:color w:val="000000"/>
          <w:sz w:val="24"/>
          <w:highlight w:val="none"/>
        </w:rPr>
        <w:t>4</w:t>
      </w:r>
      <w:r>
        <w:rPr>
          <w:rFonts w:ascii="宋体" w:hAnsi="宋体"/>
          <w:color w:val="000000"/>
          <w:sz w:val="24"/>
          <w:highlight w:val="none"/>
        </w:rPr>
        <w:t xml:space="preserve"> </w:t>
      </w:r>
      <w:r>
        <w:rPr>
          <w:rFonts w:hint="eastAsia" w:ascii="宋体" w:hAnsi="宋体"/>
          <w:color w:val="000000"/>
          <w:sz w:val="24"/>
          <w:highlight w:val="none"/>
        </w:rPr>
        <w:t>在投标截止时间之后，投标人不得补充、修改和更换投标文件。</w:t>
      </w:r>
    </w:p>
    <w:p>
      <w:pPr>
        <w:pStyle w:val="6"/>
        <w:spacing w:before="156" w:after="156"/>
        <w:rPr>
          <w:color w:val="000000"/>
          <w:highlight w:val="none"/>
        </w:rPr>
      </w:pPr>
      <w:bookmarkStart w:id="17" w:name="_Toc2272553"/>
      <w:bookmarkStart w:id="18" w:name="_Toc21525497"/>
      <w:r>
        <w:rPr>
          <w:rFonts w:hint="eastAsia"/>
          <w:color w:val="000000"/>
          <w:highlight w:val="none"/>
        </w:rPr>
        <w:t>（五）开标、评标、定标及合同签定</w:t>
      </w:r>
      <w:bookmarkEnd w:id="17"/>
      <w:bookmarkEnd w:id="18"/>
    </w:p>
    <w:p>
      <w:pPr>
        <w:spacing w:line="360" w:lineRule="auto"/>
        <w:ind w:firstLine="482" w:firstLineChars="200"/>
        <w:rPr>
          <w:rFonts w:ascii="宋体"/>
          <w:b/>
          <w:bCs/>
          <w:color w:val="000000"/>
          <w:sz w:val="24"/>
          <w:highlight w:val="none"/>
        </w:rPr>
      </w:pPr>
      <w:r>
        <w:rPr>
          <w:rFonts w:ascii="宋体" w:hAnsi="宋体"/>
          <w:b/>
          <w:bCs/>
          <w:color w:val="000000"/>
          <w:sz w:val="24"/>
          <w:highlight w:val="none"/>
        </w:rPr>
        <w:t>23</w:t>
      </w:r>
      <w:r>
        <w:rPr>
          <w:rFonts w:hint="eastAsia" w:ascii="宋体" w:hAnsi="宋体"/>
          <w:b/>
          <w:bCs/>
          <w:color w:val="000000"/>
          <w:sz w:val="24"/>
          <w:highlight w:val="none"/>
        </w:rPr>
        <w:t>、开标。</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详见第二章开标、评标及定标办法</w:t>
      </w:r>
    </w:p>
    <w:p>
      <w:pPr>
        <w:spacing w:line="360" w:lineRule="auto"/>
        <w:ind w:firstLine="482" w:firstLineChars="200"/>
        <w:rPr>
          <w:rFonts w:ascii="宋体"/>
          <w:b/>
          <w:bCs/>
          <w:color w:val="000000"/>
          <w:sz w:val="24"/>
          <w:highlight w:val="none"/>
        </w:rPr>
      </w:pPr>
      <w:r>
        <w:rPr>
          <w:rFonts w:ascii="宋体" w:hAnsi="宋体"/>
          <w:b/>
          <w:bCs/>
          <w:color w:val="000000"/>
          <w:sz w:val="24"/>
          <w:highlight w:val="none"/>
        </w:rPr>
        <w:t>24</w:t>
      </w:r>
      <w:r>
        <w:rPr>
          <w:rFonts w:hint="eastAsia" w:ascii="宋体" w:hAnsi="宋体"/>
          <w:b/>
          <w:bCs/>
          <w:color w:val="000000"/>
          <w:sz w:val="24"/>
          <w:highlight w:val="none"/>
        </w:rPr>
        <w:t>．评标过程的保密</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24.1 </w:t>
      </w:r>
      <w:r>
        <w:rPr>
          <w:rFonts w:hint="eastAsia" w:ascii="宋体" w:hAnsi="宋体"/>
          <w:color w:val="000000"/>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24.2 </w:t>
      </w:r>
      <w:r>
        <w:rPr>
          <w:rFonts w:hint="eastAsia" w:ascii="宋体" w:hAnsi="宋体"/>
          <w:color w:val="000000"/>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000000"/>
          <w:sz w:val="24"/>
          <w:highlight w:val="none"/>
        </w:rPr>
      </w:pPr>
      <w:r>
        <w:rPr>
          <w:rFonts w:ascii="宋体" w:hAnsi="宋体"/>
          <w:b/>
          <w:bCs/>
          <w:color w:val="000000"/>
          <w:sz w:val="24"/>
          <w:highlight w:val="none"/>
        </w:rPr>
        <w:t>25</w:t>
      </w:r>
      <w:r>
        <w:rPr>
          <w:rFonts w:hint="eastAsia" w:ascii="宋体" w:hAnsi="宋体"/>
          <w:b/>
          <w:bCs/>
          <w:color w:val="000000"/>
          <w:sz w:val="24"/>
          <w:highlight w:val="none"/>
        </w:rPr>
        <w:t>．投标文件的澄清，计算错误的修正</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详见招标文件第二章开标、评标及定标办法</w:t>
      </w:r>
    </w:p>
    <w:p>
      <w:pPr>
        <w:spacing w:line="360" w:lineRule="auto"/>
        <w:ind w:firstLine="482" w:firstLineChars="200"/>
        <w:rPr>
          <w:rFonts w:ascii="宋体"/>
          <w:b/>
          <w:bCs/>
          <w:color w:val="000000"/>
          <w:sz w:val="24"/>
          <w:highlight w:val="none"/>
        </w:rPr>
      </w:pPr>
      <w:r>
        <w:rPr>
          <w:rFonts w:ascii="宋体" w:hAnsi="宋体"/>
          <w:b/>
          <w:bCs/>
          <w:color w:val="000000"/>
          <w:sz w:val="24"/>
          <w:highlight w:val="none"/>
        </w:rPr>
        <w:t>26</w:t>
      </w:r>
      <w:r>
        <w:rPr>
          <w:rFonts w:hint="eastAsia" w:ascii="宋体" w:hAnsi="宋体"/>
          <w:b/>
          <w:bCs/>
          <w:color w:val="000000"/>
          <w:sz w:val="24"/>
          <w:highlight w:val="none"/>
        </w:rPr>
        <w:t>．投标文件的评审、比较和否决</w:t>
      </w:r>
    </w:p>
    <w:p>
      <w:pPr>
        <w:spacing w:line="360" w:lineRule="auto"/>
        <w:ind w:firstLine="480" w:firstLineChars="200"/>
        <w:rPr>
          <w:rFonts w:ascii="宋体"/>
          <w:bCs/>
          <w:color w:val="000000"/>
          <w:sz w:val="24"/>
          <w:szCs w:val="24"/>
          <w:highlight w:val="none"/>
        </w:rPr>
      </w:pPr>
      <w:r>
        <w:rPr>
          <w:rFonts w:hint="eastAsia" w:ascii="宋体" w:hAnsi="宋体"/>
          <w:color w:val="000000"/>
          <w:sz w:val="24"/>
          <w:highlight w:val="none"/>
        </w:rPr>
        <w:t>详见招标文件第二章开标、评标及定标办法。</w:t>
      </w:r>
    </w:p>
    <w:p>
      <w:pPr>
        <w:spacing w:line="360" w:lineRule="auto"/>
        <w:ind w:firstLine="482" w:firstLineChars="200"/>
        <w:rPr>
          <w:rFonts w:ascii="宋体"/>
          <w:b/>
          <w:bCs/>
          <w:color w:val="000000"/>
          <w:sz w:val="24"/>
          <w:highlight w:val="none"/>
        </w:rPr>
      </w:pPr>
      <w:r>
        <w:rPr>
          <w:rFonts w:ascii="宋体" w:hAnsi="宋体"/>
          <w:b/>
          <w:bCs/>
          <w:color w:val="000000"/>
          <w:sz w:val="24"/>
          <w:highlight w:val="none"/>
        </w:rPr>
        <w:t>27</w:t>
      </w:r>
      <w:r>
        <w:rPr>
          <w:rFonts w:hint="eastAsia" w:ascii="宋体" w:hAnsi="宋体"/>
          <w:b/>
          <w:bCs/>
          <w:color w:val="000000"/>
          <w:sz w:val="24"/>
          <w:highlight w:val="none"/>
        </w:rPr>
        <w:t>．中标通知书</w:t>
      </w:r>
    </w:p>
    <w:p>
      <w:pPr>
        <w:spacing w:line="360" w:lineRule="auto"/>
        <w:ind w:firstLine="480" w:firstLineChars="200"/>
        <w:rPr>
          <w:rFonts w:ascii="宋体"/>
          <w:color w:val="000000"/>
          <w:sz w:val="24"/>
          <w:highlight w:val="none"/>
        </w:rPr>
      </w:pPr>
      <w:r>
        <w:rPr>
          <w:rFonts w:ascii="宋体" w:hAnsi="宋体"/>
          <w:color w:val="000000"/>
          <w:sz w:val="24"/>
          <w:highlight w:val="none"/>
        </w:rPr>
        <w:t>27.1</w:t>
      </w:r>
      <w:r>
        <w:rPr>
          <w:rFonts w:hint="eastAsia" w:ascii="仿宋" w:hAnsi="仿宋" w:eastAsia="仿宋" w:cs="宋体"/>
          <w:bCs/>
          <w:color w:val="000000"/>
          <w:kern w:val="0"/>
          <w:sz w:val="22"/>
          <w:highlight w:val="none"/>
        </w:rPr>
        <w:t>招标人将在</w:t>
      </w:r>
      <w:r>
        <w:rPr>
          <w:rFonts w:hint="eastAsia" w:ascii="仿宋" w:hAnsi="仿宋" w:eastAsia="仿宋" w:cs="宋体"/>
          <w:bCs/>
          <w:color w:val="000000"/>
          <w:kern w:val="0"/>
          <w:sz w:val="22"/>
          <w:highlight w:val="none"/>
          <w:u w:val="single"/>
        </w:rPr>
        <w:t xml:space="preserve">        </w:t>
      </w:r>
      <w:r>
        <w:rPr>
          <w:rFonts w:hint="eastAsia" w:ascii="仿宋" w:hAnsi="仿宋" w:eastAsia="仿宋" w:cs="宋体"/>
          <w:bCs/>
          <w:color w:val="000000"/>
          <w:kern w:val="0"/>
          <w:sz w:val="22"/>
          <w:highlight w:val="none"/>
        </w:rPr>
        <w:t>交易平台、广东省招标投标监管网和中国招标投标公共服务平台公示中标候选人，公示期为三天。</w:t>
      </w:r>
      <w:r>
        <w:rPr>
          <w:rFonts w:hint="eastAsia" w:ascii="仿宋" w:hAnsi="仿宋" w:eastAsia="仿宋" w:cs="宋体"/>
          <w:b/>
          <w:bCs/>
          <w:color w:val="000000"/>
          <w:kern w:val="0"/>
          <w:sz w:val="22"/>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ascii="仿宋_GB2312" w:hAnsi="宋体" w:eastAsia="仿宋_GB2312"/>
          <w:color w:val="000000"/>
          <w:sz w:val="24"/>
          <w:highlight w:val="none"/>
        </w:rPr>
      </w:pPr>
      <w:r>
        <w:rPr>
          <w:rFonts w:ascii="宋体" w:hAnsi="宋体"/>
          <w:color w:val="000000"/>
          <w:sz w:val="24"/>
          <w:highlight w:val="none"/>
        </w:rPr>
        <w:t>27.2</w:t>
      </w:r>
      <w:r>
        <w:rPr>
          <w:rFonts w:hint="eastAsia" w:ascii="宋体" w:hAnsi="宋体"/>
          <w:color w:val="000000"/>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27.3</w:t>
      </w:r>
      <w:r>
        <w:rPr>
          <w:rFonts w:hint="eastAsia" w:ascii="宋体" w:hAnsi="宋体"/>
          <w:color w:val="000000"/>
          <w:sz w:val="24"/>
          <w:highlight w:val="none"/>
        </w:rPr>
        <w:t>中标人必须在收到中标通知书后</w:t>
      </w:r>
      <w:r>
        <w:rPr>
          <w:rFonts w:ascii="宋体" w:hAnsi="宋体"/>
          <w:color w:val="000000"/>
          <w:sz w:val="24"/>
          <w:highlight w:val="none"/>
        </w:rPr>
        <w:t>24</w:t>
      </w:r>
      <w:r>
        <w:rPr>
          <w:rFonts w:hint="eastAsia" w:ascii="宋体" w:hAnsi="宋体"/>
          <w:color w:val="000000"/>
          <w:sz w:val="24"/>
          <w:highlight w:val="none"/>
        </w:rPr>
        <w:t>小时之内以书面形式回复招标人，确认收到。</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27.4在产生中标候选人后，招标人将中标候选人的投标文件商务部分文件的所有内容（包括人员、业绩、奖项等资料）在        交易平台和广东省招标投标监管网公开。</w:t>
      </w:r>
    </w:p>
    <w:p>
      <w:pPr>
        <w:spacing w:line="360" w:lineRule="auto"/>
        <w:ind w:firstLine="482" w:firstLineChars="200"/>
        <w:rPr>
          <w:rFonts w:ascii="宋体"/>
          <w:b/>
          <w:bCs/>
          <w:color w:val="000000"/>
          <w:sz w:val="24"/>
          <w:highlight w:val="none"/>
        </w:rPr>
      </w:pPr>
      <w:r>
        <w:rPr>
          <w:rFonts w:ascii="宋体" w:hAnsi="宋体"/>
          <w:b/>
          <w:bCs/>
          <w:color w:val="000000"/>
          <w:sz w:val="24"/>
          <w:highlight w:val="none"/>
        </w:rPr>
        <w:t>28</w:t>
      </w:r>
      <w:r>
        <w:rPr>
          <w:rFonts w:hint="eastAsia" w:ascii="宋体" w:hAnsi="宋体"/>
          <w:b/>
          <w:bCs/>
          <w:color w:val="000000"/>
          <w:sz w:val="24"/>
          <w:highlight w:val="none"/>
        </w:rPr>
        <w:t>．合同协议书的签订</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28.1 </w:t>
      </w:r>
      <w:r>
        <w:rPr>
          <w:rFonts w:hint="eastAsia" w:ascii="宋体" w:hAnsi="宋体"/>
          <w:color w:val="000000"/>
          <w:sz w:val="24"/>
          <w:highlight w:val="none"/>
        </w:rPr>
        <w:t>招标人与中标人将于中标通知书发出之日起</w:t>
      </w:r>
      <w:r>
        <w:rPr>
          <w:rFonts w:ascii="宋体" w:hAnsi="宋体"/>
          <w:color w:val="000000"/>
          <w:sz w:val="24"/>
          <w:highlight w:val="none"/>
        </w:rPr>
        <w:t>30</w:t>
      </w:r>
      <w:r>
        <w:rPr>
          <w:rFonts w:hint="eastAsia" w:ascii="宋体" w:hAnsi="宋体"/>
          <w:color w:val="000000"/>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000000"/>
          <w:sz w:val="24"/>
          <w:highlight w:val="none"/>
        </w:rPr>
      </w:pPr>
      <w:r>
        <w:rPr>
          <w:rFonts w:ascii="宋体" w:hAnsi="宋体"/>
          <w:color w:val="000000"/>
          <w:sz w:val="24"/>
          <w:highlight w:val="none"/>
        </w:rPr>
        <w:t>28.2</w:t>
      </w:r>
      <w:r>
        <w:rPr>
          <w:rFonts w:hint="eastAsia" w:ascii="宋体" w:hAnsi="宋体"/>
          <w:color w:val="000000"/>
          <w:sz w:val="24"/>
          <w:highlight w:val="none"/>
        </w:rPr>
        <w:t>中标通知书发出之日起</w:t>
      </w:r>
      <w:r>
        <w:rPr>
          <w:rFonts w:ascii="宋体" w:hAnsi="宋体"/>
          <w:color w:val="000000"/>
          <w:sz w:val="24"/>
          <w:highlight w:val="none"/>
        </w:rPr>
        <w:t>30</w:t>
      </w:r>
      <w:r>
        <w:rPr>
          <w:rFonts w:hint="eastAsia" w:ascii="宋体" w:hAnsi="宋体"/>
          <w:color w:val="000000"/>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000000"/>
          <w:sz w:val="24"/>
          <w:highlight w:val="none"/>
        </w:rPr>
      </w:pPr>
      <w:r>
        <w:rPr>
          <w:rFonts w:ascii="宋体" w:hAnsi="宋体"/>
          <w:color w:val="000000"/>
          <w:sz w:val="24"/>
          <w:highlight w:val="none"/>
        </w:rPr>
        <w:t>28.3</w:t>
      </w:r>
      <w:r>
        <w:rPr>
          <w:rFonts w:hint="eastAsia" w:ascii="宋体" w:hAnsi="宋体"/>
          <w:color w:val="000000"/>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28.4</w:t>
      </w:r>
      <w:r>
        <w:rPr>
          <w:rFonts w:hint="eastAsia" w:ascii="宋体" w:hAnsi="宋体"/>
          <w:color w:val="000000"/>
          <w:sz w:val="24"/>
          <w:highlight w:val="none"/>
        </w:rPr>
        <w:t>招标人支付工程款时，中标人应按规定开具发票。</w:t>
      </w:r>
    </w:p>
    <w:p>
      <w:pPr>
        <w:spacing w:line="360" w:lineRule="auto"/>
        <w:ind w:firstLine="482" w:firstLineChars="200"/>
        <w:rPr>
          <w:rFonts w:ascii="宋体"/>
          <w:b/>
          <w:bCs/>
          <w:color w:val="000000"/>
          <w:sz w:val="24"/>
          <w:highlight w:val="none"/>
        </w:rPr>
      </w:pPr>
      <w:r>
        <w:rPr>
          <w:rFonts w:ascii="宋体" w:hAnsi="宋体"/>
          <w:b/>
          <w:bCs/>
          <w:color w:val="000000"/>
          <w:sz w:val="24"/>
          <w:highlight w:val="none"/>
        </w:rPr>
        <w:t>29</w:t>
      </w:r>
      <w:r>
        <w:rPr>
          <w:rFonts w:hint="eastAsia" w:ascii="宋体" w:hAnsi="宋体"/>
          <w:b/>
          <w:bCs/>
          <w:color w:val="000000"/>
          <w:sz w:val="24"/>
          <w:highlight w:val="none"/>
        </w:rPr>
        <w:t>．履约担保</w:t>
      </w:r>
    </w:p>
    <w:p>
      <w:pPr>
        <w:snapToGrid w:val="0"/>
        <w:spacing w:line="360" w:lineRule="auto"/>
        <w:ind w:firstLine="480" w:firstLineChars="200"/>
        <w:rPr>
          <w:rFonts w:ascii="宋体"/>
          <w:color w:val="000000"/>
          <w:sz w:val="24"/>
          <w:highlight w:val="none"/>
        </w:rPr>
      </w:pPr>
      <w:r>
        <w:rPr>
          <w:rFonts w:ascii="宋体" w:hAnsi="宋体"/>
          <w:color w:val="000000"/>
          <w:sz w:val="24"/>
          <w:highlight w:val="none"/>
        </w:rPr>
        <w:t xml:space="preserve">29.1 </w:t>
      </w:r>
      <w:r>
        <w:rPr>
          <w:rFonts w:hint="eastAsia" w:ascii="宋体" w:hAnsi="宋体"/>
          <w:color w:val="000000"/>
          <w:sz w:val="24"/>
          <w:highlight w:val="none"/>
        </w:rPr>
        <w:t>在收到中标通知书后的</w:t>
      </w:r>
      <w:r>
        <w:rPr>
          <w:rFonts w:ascii="宋体" w:hAnsi="宋体"/>
          <w:b/>
          <w:color w:val="000000"/>
          <w:sz w:val="24"/>
          <w:highlight w:val="none"/>
        </w:rPr>
        <w:t>15</w:t>
      </w:r>
      <w:r>
        <w:rPr>
          <w:rFonts w:hint="eastAsia" w:ascii="宋体" w:hAnsi="宋体"/>
          <w:b/>
          <w:color w:val="000000"/>
          <w:sz w:val="24"/>
          <w:highlight w:val="none"/>
        </w:rPr>
        <w:t>日</w:t>
      </w:r>
      <w:r>
        <w:rPr>
          <w:rFonts w:hint="eastAsia" w:ascii="宋体" w:hAnsi="宋体"/>
          <w:color w:val="000000"/>
          <w:sz w:val="24"/>
          <w:highlight w:val="none"/>
        </w:rPr>
        <w:t>内，中标人应按本须知前附表第</w:t>
      </w:r>
      <w:r>
        <w:rPr>
          <w:rFonts w:ascii="宋体" w:hAnsi="宋体"/>
          <w:color w:val="000000"/>
          <w:sz w:val="24"/>
          <w:highlight w:val="none"/>
        </w:rPr>
        <w:t>2</w:t>
      </w:r>
      <w:r>
        <w:rPr>
          <w:rFonts w:hint="eastAsia" w:ascii="宋体" w:hAnsi="宋体"/>
          <w:color w:val="000000"/>
          <w:sz w:val="24"/>
          <w:highlight w:val="none"/>
        </w:rPr>
        <w:t>0项的规定向招标人提交履约担保。</w:t>
      </w:r>
    </w:p>
    <w:p>
      <w:pPr>
        <w:snapToGrid w:val="0"/>
        <w:spacing w:line="360" w:lineRule="auto"/>
        <w:ind w:firstLine="480" w:firstLineChars="200"/>
        <w:rPr>
          <w:rFonts w:ascii="宋体"/>
          <w:color w:val="000000"/>
          <w:sz w:val="24"/>
          <w:highlight w:val="none"/>
        </w:rPr>
      </w:pPr>
      <w:r>
        <w:rPr>
          <w:rFonts w:ascii="宋体" w:hAnsi="宋体"/>
          <w:color w:val="000000"/>
          <w:sz w:val="24"/>
          <w:highlight w:val="none"/>
        </w:rPr>
        <w:t>29.2</w:t>
      </w:r>
      <w:r>
        <w:rPr>
          <w:rFonts w:hint="eastAsia" w:ascii="宋体" w:hAnsi="宋体"/>
          <w:color w:val="000000"/>
          <w:sz w:val="24"/>
          <w:highlight w:val="none"/>
        </w:rPr>
        <w:t>中标通知书发出之日起</w:t>
      </w:r>
      <w:r>
        <w:rPr>
          <w:rFonts w:ascii="宋体" w:hAnsi="宋体"/>
          <w:color w:val="000000"/>
          <w:sz w:val="24"/>
          <w:highlight w:val="none"/>
        </w:rPr>
        <w:t>15</w:t>
      </w:r>
      <w:r>
        <w:rPr>
          <w:rFonts w:hint="eastAsia" w:ascii="宋体" w:hAnsi="宋体"/>
          <w:color w:val="000000"/>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color w:val="000000"/>
          <w:sz w:val="24"/>
          <w:highlight w:val="none"/>
        </w:rPr>
      </w:pPr>
      <w:r>
        <w:rPr>
          <w:rFonts w:ascii="宋体" w:hAnsi="宋体"/>
          <w:b/>
          <w:bCs/>
          <w:color w:val="000000"/>
          <w:sz w:val="24"/>
          <w:highlight w:val="none"/>
        </w:rPr>
        <w:t>30</w:t>
      </w:r>
      <w:r>
        <w:rPr>
          <w:rFonts w:hint="eastAsia" w:ascii="宋体" w:hAnsi="宋体"/>
          <w:b/>
          <w:bCs/>
          <w:color w:val="000000"/>
          <w:sz w:val="24"/>
          <w:highlight w:val="none"/>
        </w:rPr>
        <w:t>．合同生效</w:t>
      </w:r>
    </w:p>
    <w:p>
      <w:pPr>
        <w:spacing w:line="360" w:lineRule="auto"/>
        <w:ind w:firstLine="480" w:firstLineChars="200"/>
        <w:rPr>
          <w:rFonts w:ascii="宋体"/>
          <w:color w:val="000000"/>
          <w:sz w:val="24"/>
          <w:highlight w:val="none"/>
        </w:rPr>
      </w:pPr>
      <w:r>
        <w:rPr>
          <w:rFonts w:ascii="宋体" w:hAnsi="宋体"/>
          <w:color w:val="000000"/>
          <w:sz w:val="24"/>
          <w:highlight w:val="none"/>
        </w:rPr>
        <w:t>30.1</w:t>
      </w:r>
      <w:r>
        <w:rPr>
          <w:rFonts w:hint="eastAsia" w:ascii="宋体" w:hAnsi="宋体"/>
          <w:color w:val="000000"/>
          <w:sz w:val="24"/>
          <w:highlight w:val="none"/>
        </w:rPr>
        <w:t>在合同双方全权代表在合同协议书上签字，并分别加盖双方单位的公章后，合同正式生效。</w:t>
      </w:r>
    </w:p>
    <w:p>
      <w:pPr>
        <w:spacing w:line="360" w:lineRule="auto"/>
        <w:ind w:firstLine="482" w:firstLineChars="200"/>
        <w:rPr>
          <w:rFonts w:ascii="宋体"/>
          <w:b/>
          <w:bCs/>
          <w:color w:val="000000"/>
          <w:sz w:val="24"/>
          <w:highlight w:val="none"/>
        </w:rPr>
      </w:pPr>
      <w:r>
        <w:rPr>
          <w:rFonts w:ascii="宋体" w:hAnsi="宋体"/>
          <w:b/>
          <w:bCs/>
          <w:color w:val="000000"/>
          <w:sz w:val="24"/>
          <w:highlight w:val="none"/>
        </w:rPr>
        <w:t>31</w:t>
      </w:r>
      <w:r>
        <w:rPr>
          <w:rFonts w:hint="eastAsia" w:ascii="宋体" w:hAnsi="宋体"/>
          <w:b/>
          <w:bCs/>
          <w:color w:val="000000"/>
          <w:sz w:val="24"/>
          <w:highlight w:val="none"/>
        </w:rPr>
        <w:t>．其它费用</w:t>
      </w:r>
    </w:p>
    <w:p>
      <w:pPr>
        <w:pStyle w:val="35"/>
        <w:spacing w:after="0" w:line="360" w:lineRule="auto"/>
        <w:ind w:firstLine="482" w:firstLineChars="200"/>
        <w:rPr>
          <w:rFonts w:ascii="宋体"/>
          <w:b/>
          <w:bCs/>
          <w:color w:val="000000"/>
          <w:sz w:val="24"/>
          <w:highlight w:val="none"/>
        </w:rPr>
      </w:pPr>
      <w:r>
        <w:rPr>
          <w:rFonts w:ascii="宋体" w:hAnsi="宋体"/>
          <w:b/>
          <w:bCs/>
          <w:color w:val="000000"/>
          <w:sz w:val="24"/>
          <w:highlight w:val="none"/>
        </w:rPr>
        <w:t>32</w:t>
      </w:r>
      <w:r>
        <w:rPr>
          <w:rFonts w:hint="eastAsia" w:ascii="宋体" w:hAnsi="宋体"/>
          <w:b/>
          <w:bCs/>
          <w:color w:val="000000"/>
          <w:sz w:val="24"/>
          <w:highlight w:val="none"/>
        </w:rPr>
        <w:t>．腐败与欺诈行为</w:t>
      </w:r>
    </w:p>
    <w:p>
      <w:pPr>
        <w:pStyle w:val="35"/>
        <w:spacing w:after="0" w:line="360" w:lineRule="auto"/>
        <w:ind w:firstLine="480" w:firstLineChars="200"/>
        <w:rPr>
          <w:rFonts w:ascii="宋体"/>
          <w:color w:val="000000"/>
          <w:sz w:val="24"/>
          <w:highlight w:val="none"/>
        </w:rPr>
      </w:pPr>
      <w:r>
        <w:rPr>
          <w:rFonts w:hint="eastAsia" w:ascii="宋体" w:hAnsi="宋体"/>
          <w:color w:val="000000"/>
          <w:sz w:val="24"/>
          <w:highlight w:val="none"/>
        </w:rPr>
        <w:t>在招标和合同实施期间，招标人要求投标人和承包人遵守最高的道德标准。</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32</w:t>
      </w: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对本条款的规定，特定义如下词汇：</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）、“腐败行为”是指在招标或合同执行期间，通过提供、给予、接受或索要任何有价值的东西，从而影响招标人有关人员工作的行为；</w:t>
      </w:r>
    </w:p>
    <w:p>
      <w:pPr>
        <w:pStyle w:val="35"/>
        <w:spacing w:after="0" w:line="360" w:lineRule="auto"/>
        <w:ind w:firstLine="480" w:firstLineChars="2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35"/>
        <w:spacing w:after="0" w:line="360" w:lineRule="auto"/>
        <w:ind w:firstLine="480" w:firstLineChars="200"/>
        <w:rPr>
          <w:rFonts w:ascii="宋体" w:hAnsi="宋体"/>
          <w:color w:val="000000"/>
          <w:sz w:val="24"/>
          <w:highlight w:val="none"/>
        </w:rPr>
      </w:pPr>
      <w:r>
        <w:rPr>
          <w:rFonts w:ascii="宋体" w:hAnsi="宋体"/>
          <w:color w:val="000000"/>
          <w:sz w:val="24"/>
          <w:highlight w:val="none"/>
        </w:rPr>
        <w:t>32</w:t>
      </w: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如果投标人被认定在本招标的竞争中有腐败或欺诈行为，则会被取消投标资格。</w:t>
      </w:r>
    </w:p>
    <w:p>
      <w:pPr>
        <w:pStyle w:val="35"/>
        <w:spacing w:after="0" w:line="360" w:lineRule="auto"/>
        <w:ind w:firstLine="480" w:firstLineChars="200"/>
        <w:rPr>
          <w:rFonts w:ascii="宋体"/>
          <w:color w:val="000000"/>
          <w:sz w:val="24"/>
          <w:highlight w:val="none"/>
        </w:rPr>
      </w:pPr>
      <w:r>
        <w:rPr>
          <w:rFonts w:hint="eastAsia" w:ascii="宋体"/>
          <w:color w:val="000000"/>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3"/>
        <w:rPr>
          <w:rFonts w:ascii="宋体" w:hAnsi="宋体" w:cs="宋体"/>
          <w:bCs/>
          <w:sz w:val="32"/>
          <w:szCs w:val="32"/>
          <w:highlight w:val="none"/>
        </w:rPr>
      </w:pPr>
      <w:r>
        <w:rPr>
          <w:rFonts w:ascii="宋体"/>
          <w:sz w:val="24"/>
          <w:highlight w:val="none"/>
        </w:rPr>
        <w:br w:type="page"/>
      </w:r>
      <w:bookmarkStart w:id="19" w:name="_Toc21525498"/>
      <w:bookmarkStart w:id="20" w:name="_Toc2272554"/>
      <w:r>
        <w:rPr>
          <w:rFonts w:hint="eastAsia" w:ascii="宋体" w:hAnsi="宋体" w:cs="宋体"/>
          <w:bCs/>
          <w:sz w:val="32"/>
          <w:szCs w:val="32"/>
          <w:highlight w:val="none"/>
        </w:rPr>
        <w:t>第二章  开标、评标及定标办法</w:t>
      </w:r>
      <w:bookmarkEnd w:id="19"/>
      <w:bookmarkEnd w:id="20"/>
    </w:p>
    <w:p>
      <w:pPr>
        <w:pStyle w:val="5"/>
        <w:rPr>
          <w:highlight w:val="none"/>
        </w:rPr>
      </w:pPr>
      <w:bookmarkStart w:id="21" w:name="_Toc21525499"/>
      <w:bookmarkStart w:id="22" w:name="_Toc2272555"/>
      <w:r>
        <w:rPr>
          <w:rFonts w:hint="eastAsia"/>
          <w:sz w:val="28"/>
          <w:szCs w:val="28"/>
          <w:highlight w:val="none"/>
        </w:rPr>
        <w:t>一、</w:t>
      </w:r>
      <w:r>
        <w:rPr>
          <w:rFonts w:hint="eastAsia"/>
          <w:highlight w:val="none"/>
        </w:rPr>
        <w:t>开标、评标及定标办法修改表</w:t>
      </w:r>
      <w:bookmarkEnd w:id="21"/>
      <w:bookmarkEnd w:id="22"/>
    </w:p>
    <w:p>
      <w:pPr>
        <w:pStyle w:val="35"/>
        <w:spacing w:after="0" w:line="360" w:lineRule="auto"/>
        <w:rPr>
          <w:b/>
          <w:color w:val="000000"/>
          <w:szCs w:val="21"/>
          <w:highlight w:val="none"/>
        </w:rPr>
      </w:pPr>
      <w:r>
        <w:rPr>
          <w:rFonts w:hint="eastAsia"/>
          <w:b/>
          <w:color w:val="000000"/>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条款号：36.1           修改类型：修改</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lang w:bidi="ar"/>
        </w:rPr>
        <w:t>36.1招标人按投标须知前附表第18项所规定的时间和地点公开开标，并邀请所有投标人参加。截标后，开标开始时间因故推迟的，相关评标信息仍以原定的开标开始时间的信息为准。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lang w:bidi="ar"/>
        </w:rPr>
        <w:t>36.1招标人按投标须知前附表第18项所规定的时间和地点公开开标，并邀请所有投标人参加。截标后，开标开始时间因故推迟的，相关评标信息仍以原定的开标开始时间的信息为准。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条款号：36.3           修改类型：删除</w:t>
      </w:r>
    </w:p>
    <w:p>
      <w:pPr>
        <w:pBdr>
          <w:bottom w:val="single" w:color="auto" w:sz="6" w:space="1"/>
        </w:pBdr>
        <w:adjustRightInd w:val="0"/>
        <w:snapToGrid w:val="0"/>
        <w:spacing w:line="360" w:lineRule="auto"/>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lang w:bidi="ar"/>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440" w:lineRule="exact"/>
        <w:ind w:firstLine="472" w:firstLineChars="224"/>
        <w:rPr>
          <w:rFonts w:ascii="宋体" w:hAnsi="宋体" w:cs="宋体"/>
          <w:b/>
          <w:szCs w:val="21"/>
          <w:highlight w:val="none"/>
        </w:rPr>
      </w:pPr>
      <w:r>
        <w:rPr>
          <w:rFonts w:hint="eastAsia" w:ascii="宋体" w:hAnsi="宋体" w:cs="宋体"/>
          <w:b/>
          <w:szCs w:val="21"/>
          <w:highlight w:val="none"/>
        </w:rPr>
        <w:t>条款号：36.4             修改类型：修改</w:t>
      </w:r>
    </w:p>
    <w:p>
      <w:pPr>
        <w:spacing w:line="440" w:lineRule="exact"/>
        <w:ind w:firstLine="422" w:firstLineChars="20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36.4若递交投标文件的投标人不足3家，则重新组织招标。（当N个标段同时招标且不允许兼中时，若有效投标人不足N+2家，则重新组织招标）。</w:t>
      </w:r>
    </w:p>
    <w:p>
      <w:pPr>
        <w:pBdr>
          <w:bottom w:val="single" w:color="auto" w:sz="6" w:space="1"/>
        </w:pBdr>
        <w:spacing w:line="440" w:lineRule="exact"/>
        <w:ind w:firstLine="472" w:firstLineChars="224"/>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u w:val="single"/>
        </w:rPr>
        <w:t>36.4若递交投标文件的投标人不足3家，则重新组织招标。</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条款号：36.5.1             修改类型：修改</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36.5.1在投标截止时间后半小时内，投标人通过</w:t>
      </w:r>
      <w:r>
        <w:rPr>
          <w:rFonts w:hint="eastAsia" w:ascii="宋体" w:hAnsi="宋体" w:cs="宋体"/>
          <w:szCs w:val="21"/>
          <w:highlight w:val="none"/>
          <w:u w:val="single"/>
        </w:rPr>
        <w:t xml:space="preserve">        </w:t>
      </w:r>
      <w:r>
        <w:rPr>
          <w:rFonts w:hint="eastAsia" w:ascii="宋体" w:hAnsi="宋体" w:cs="宋体"/>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460" w:lineRule="exact"/>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36.5.1在投标截止时间后半小时内，投标人通过</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交易平台对已递交的电子投标文件进行解密。投标人完成解密后，再由</w:t>
      </w:r>
      <w:r>
        <w:rPr>
          <w:rFonts w:hint="eastAsia" w:ascii="宋体" w:hAnsi="宋体" w:cs="宋体"/>
          <w:szCs w:val="21"/>
          <w:highlight w:val="none"/>
          <w:u w:val="single"/>
        </w:rPr>
        <w:t>招标人或招标代理机构</w:t>
      </w:r>
      <w:r>
        <w:rPr>
          <w:rFonts w:hint="eastAsia" w:ascii="宋体" w:hAnsi="宋体" w:cs="宋体"/>
          <w:szCs w:val="21"/>
          <w:highlight w:val="none"/>
        </w:rPr>
        <w:t>进行解密。解密完成后，公布招标项目名称、投标人名称、投标保证金的递交情况、投标报价、工期及其他内容；</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条款号：36.5.3            修改类型：修改</w:t>
      </w:r>
    </w:p>
    <w:p>
      <w:pPr>
        <w:spacing w:line="46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投标人代表、招标人代表、监标人、记录人等有关人员在开标记录上签字确认；若有关人员不签字的，不影响开标程序；</w:t>
      </w:r>
    </w:p>
    <w:p>
      <w:pPr>
        <w:pBdr>
          <w:bottom w:val="single" w:color="auto" w:sz="6" w:space="1"/>
        </w:pBdr>
        <w:spacing w:line="460" w:lineRule="exact"/>
        <w:ind w:firstLine="472" w:firstLineChars="224"/>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投标人代表、招标人代表、监标人、记录人等有关人员在开标记录上签字确认；若有关人员不签字的，不影响开标程序；</w:t>
      </w:r>
      <w:r>
        <w:rPr>
          <w:rFonts w:hint="eastAsia" w:ascii="宋体" w:hAnsi="宋体" w:cs="宋体"/>
          <w:szCs w:val="21"/>
          <w:highlight w:val="none"/>
          <w:u w:val="single"/>
        </w:rPr>
        <w:t>若投标人不参加开标会的，或不签字确认的，视同该投标人认可开标结果。</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条款号：38.1            修改类型：修改</w:t>
      </w:r>
    </w:p>
    <w:p>
      <w:pPr>
        <w:spacing w:line="460" w:lineRule="exact"/>
        <w:ind w:firstLine="472" w:firstLineChars="224"/>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12" w:space="1"/>
        </w:pBdr>
        <w:spacing w:line="460" w:lineRule="exact"/>
        <w:ind w:firstLine="42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cs="宋体"/>
          <w:szCs w:val="21"/>
          <w:highlight w:val="none"/>
          <w:u w:val="single"/>
        </w:rPr>
        <w:t>对投标文件含义不明确、对同类问题表述不一致、有明显文字和计算错误的内容以及细微偏差的</w:t>
      </w:r>
      <w:r>
        <w:rPr>
          <w:rFonts w:hint="eastAsia" w:ascii="宋体" w:hAnsi="宋体" w:cs="宋体"/>
          <w:szCs w:val="21"/>
          <w:highlight w:val="none"/>
        </w:rPr>
        <w:t>内容作出澄清。</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条款号：39.3            修改类型：修改</w:t>
      </w:r>
    </w:p>
    <w:p>
      <w:pPr>
        <w:spacing w:line="460" w:lineRule="exact"/>
        <w:ind w:firstLine="472" w:firstLineChars="224"/>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460" w:lineRule="exact"/>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39.3</w:t>
      </w:r>
      <w:r>
        <w:rPr>
          <w:rFonts w:hint="eastAsia" w:ascii="宋体" w:hAnsi="宋体" w:cs="宋体"/>
          <w:bCs/>
          <w:szCs w:val="21"/>
          <w:highlight w:val="none"/>
        </w:rPr>
        <w:t>排名第一的中标候选人放弃中标、或因不可抗力提出不能履行合同，或者招标文件规定应当提交履约担保而在规定的期限内未能提交的，</w:t>
      </w:r>
      <w:r>
        <w:rPr>
          <w:rFonts w:hint="eastAsia" w:ascii="宋体" w:hAnsi="宋体" w:cs="宋体"/>
          <w:bCs/>
          <w:szCs w:val="21"/>
          <w:highlight w:val="none"/>
          <w:u w:val="single"/>
        </w:rPr>
        <w:t>或经核查发现委派的项目负责人已在其他在建项目中任职</w:t>
      </w:r>
      <w:r>
        <w:rPr>
          <w:rFonts w:hint="eastAsia" w:ascii="宋体" w:hAnsi="宋体" w:cs="宋体"/>
          <w:szCs w:val="21"/>
          <w:highlight w:val="none"/>
          <w:u w:val="single"/>
        </w:rPr>
        <w:t>已被锁定的</w:t>
      </w:r>
      <w:r>
        <w:rPr>
          <w:rFonts w:hint="eastAsia" w:ascii="宋体" w:hAnsi="宋体" w:cs="宋体"/>
          <w:bCs/>
          <w:szCs w:val="21"/>
          <w:highlight w:val="none"/>
          <w:u w:val="single"/>
        </w:rPr>
        <w:t>，</w:t>
      </w:r>
      <w:bookmarkStart w:id="23" w:name="_Hlk117085403"/>
      <w:r>
        <w:rPr>
          <w:rFonts w:hint="eastAsia" w:ascii="宋体" w:hAnsi="宋体" w:cs="宋体"/>
          <w:bCs/>
          <w:szCs w:val="21"/>
          <w:highlight w:val="none"/>
          <w:u w:val="single"/>
        </w:rPr>
        <w:t>或因中标候选人原因在招标文件规定时间内未与招标人完成合同签署的，</w:t>
      </w:r>
      <w:r>
        <w:rPr>
          <w:rFonts w:hint="eastAsia" w:ascii="宋体" w:hAnsi="宋体" w:cs="宋体"/>
          <w:szCs w:val="21"/>
          <w:highlight w:val="none"/>
          <w:u w:val="single"/>
        </w:rPr>
        <w:t>其中标候选人资格将会被取消</w:t>
      </w:r>
      <w:bookmarkEnd w:id="23"/>
      <w:r>
        <w:rPr>
          <w:rFonts w:hint="eastAsia" w:ascii="宋体" w:hAnsi="宋体" w:cs="宋体"/>
          <w:szCs w:val="21"/>
          <w:highlight w:val="none"/>
        </w:rPr>
        <w:t>，</w:t>
      </w:r>
      <w:r>
        <w:rPr>
          <w:rFonts w:hint="eastAsia" w:ascii="宋体" w:hAnsi="宋体" w:cs="宋体"/>
          <w:bCs/>
          <w:szCs w:val="21"/>
          <w:highlight w:val="none"/>
        </w:rPr>
        <w:t>招标人可以确定排名第二的中标候选人为中标人。</w:t>
      </w:r>
    </w:p>
    <w:p>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b/>
          <w:bCs/>
          <w:szCs w:val="21"/>
          <w:highlight w:val="none"/>
        </w:rPr>
        <w:t>（二）开标评标办法程序和细则</w:t>
      </w:r>
      <w:r>
        <w:rPr>
          <w:rFonts w:hint="eastAsia" w:ascii="宋体" w:hAnsi="宋体" w:cs="宋体"/>
          <w:b/>
          <w:szCs w:val="21"/>
          <w:highlight w:val="none"/>
        </w:rPr>
        <w:t xml:space="preserve">           修改类型：删除</w:t>
      </w:r>
    </w:p>
    <w:p>
      <w:pPr>
        <w:pBdr>
          <w:bottom w:val="single" w:color="auto" w:sz="6" w:space="1"/>
        </w:pBdr>
        <w:spacing w:line="360" w:lineRule="auto"/>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lang w:bidi="ar"/>
        </w:rPr>
        <w:t>注：以下八种评标办法所述企业综合诚信评价分数即投标截止当日广州市工程招标代理行业协会网站上公布的企业综合诚信评价60日诚信分。</w:t>
      </w:r>
    </w:p>
    <w:p>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b/>
          <w:bCs/>
          <w:szCs w:val="21"/>
          <w:highlight w:val="none"/>
        </w:rPr>
        <w:t>（二）开标评标办法程序和细则</w:t>
      </w:r>
      <w:r>
        <w:rPr>
          <w:rFonts w:hint="eastAsia" w:ascii="宋体" w:hAnsi="宋体" w:cs="宋体"/>
          <w:b/>
          <w:szCs w:val="21"/>
          <w:highlight w:val="none"/>
        </w:rPr>
        <w:t xml:space="preserve">           修改类型：删除</w:t>
      </w:r>
    </w:p>
    <w:p>
      <w:pPr>
        <w:spacing w:line="480" w:lineRule="auto"/>
        <w:ind w:firstLine="472" w:firstLineChars="224"/>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可选办法一（适合综合评分法一，技术标与经济标先后分别开启）</w:t>
      </w:r>
    </w:p>
    <w:p>
      <w:pPr>
        <w:pStyle w:val="26"/>
        <w:rPr>
          <w:rFonts w:cs="宋体"/>
          <w:sz w:val="21"/>
          <w:szCs w:val="21"/>
          <w:highlight w:val="none"/>
        </w:rPr>
      </w:pPr>
      <w:r>
        <w:rPr>
          <w:rFonts w:hint="eastAsia" w:cs="宋体"/>
          <w:sz w:val="21"/>
          <w:szCs w:val="21"/>
          <w:highlight w:val="none"/>
        </w:rPr>
        <w:t xml:space="preserve">          可选办法二（适合综合评分法一，技术标与经济标同时开启）</w:t>
      </w:r>
    </w:p>
    <w:p>
      <w:pPr>
        <w:pBdr>
          <w:bottom w:val="none" w:color="auto" w:sz="0" w:space="1"/>
        </w:pBdr>
        <w:spacing w:line="360" w:lineRule="auto"/>
        <w:ind w:firstLine="1050" w:firstLineChars="500"/>
        <w:rPr>
          <w:rFonts w:ascii="宋体" w:hAnsi="宋体" w:cs="宋体"/>
          <w:szCs w:val="21"/>
          <w:highlight w:val="none"/>
        </w:rPr>
      </w:pPr>
      <w:r>
        <w:rPr>
          <w:rFonts w:hint="eastAsia" w:ascii="宋体" w:hAnsi="宋体" w:cs="宋体"/>
          <w:szCs w:val="21"/>
          <w:highlight w:val="none"/>
        </w:rPr>
        <w:t>可选办法三（适合综合评分法二，技术标与经济标先后分别开启）</w:t>
      </w:r>
    </w:p>
    <w:p>
      <w:pPr>
        <w:pBdr>
          <w:bottom w:val="none" w:color="auto" w:sz="0" w:space="1"/>
        </w:pBdr>
        <w:adjustRightInd w:val="0"/>
        <w:spacing w:line="360" w:lineRule="auto"/>
        <w:ind w:firstLine="1050" w:firstLineChars="500"/>
        <w:textAlignment w:val="baseline"/>
        <w:rPr>
          <w:rFonts w:ascii="宋体" w:hAnsi="宋体" w:cs="宋体"/>
          <w:b/>
          <w:szCs w:val="21"/>
          <w:highlight w:val="none"/>
        </w:rPr>
      </w:pPr>
      <w:r>
        <w:rPr>
          <w:rFonts w:hint="eastAsia" w:ascii="宋体" w:hAnsi="宋体" w:cs="宋体"/>
          <w:szCs w:val="21"/>
          <w:highlight w:val="none"/>
        </w:rPr>
        <w:t>可选办法四（适合综合评分法二，技术标与经济标同时开启）</w:t>
      </w:r>
    </w:p>
    <w:p>
      <w:pPr>
        <w:pBdr>
          <w:bottom w:val="none" w:color="auto" w:sz="0" w:space="1"/>
        </w:pBdr>
        <w:spacing w:line="360" w:lineRule="auto"/>
        <w:ind w:firstLine="1050" w:firstLineChars="500"/>
        <w:rPr>
          <w:rFonts w:ascii="宋体" w:hAnsi="宋体" w:cs="宋体"/>
          <w:szCs w:val="21"/>
          <w:highlight w:val="none"/>
        </w:rPr>
      </w:pPr>
      <w:r>
        <w:rPr>
          <w:rFonts w:hint="eastAsia" w:ascii="宋体" w:hAnsi="宋体" w:cs="宋体"/>
          <w:szCs w:val="21"/>
          <w:highlight w:val="none"/>
        </w:rPr>
        <w:t>可选办法五（适合综合评分法三，技术标与经济标先后分别开启）</w:t>
      </w:r>
    </w:p>
    <w:p>
      <w:pPr>
        <w:pBdr>
          <w:bottom w:val="none" w:color="auto" w:sz="0" w:space="1"/>
        </w:pBdr>
        <w:adjustRightInd w:val="0"/>
        <w:spacing w:line="360" w:lineRule="auto"/>
        <w:ind w:firstLine="1050" w:firstLineChars="500"/>
        <w:textAlignment w:val="baseline"/>
        <w:rPr>
          <w:rFonts w:ascii="宋体" w:hAnsi="宋体" w:cs="宋体"/>
          <w:b/>
          <w:szCs w:val="21"/>
          <w:highlight w:val="none"/>
        </w:rPr>
      </w:pPr>
      <w:r>
        <w:rPr>
          <w:rFonts w:hint="eastAsia" w:ascii="宋体" w:hAnsi="宋体" w:cs="宋体"/>
          <w:szCs w:val="21"/>
          <w:highlight w:val="none"/>
        </w:rPr>
        <w:t>可选办法六（适合综合评分法三，技术标与经济标同时开启）</w:t>
      </w:r>
    </w:p>
    <w:p>
      <w:pPr>
        <w:pBdr>
          <w:bottom w:val="none" w:color="auto" w:sz="0" w:space="1"/>
        </w:pBdr>
        <w:spacing w:line="360" w:lineRule="auto"/>
        <w:ind w:firstLine="1050" w:firstLineChars="500"/>
        <w:rPr>
          <w:rFonts w:ascii="宋体" w:hAnsi="宋体" w:cs="宋体"/>
          <w:highlight w:val="none"/>
        </w:rPr>
      </w:pPr>
      <w:r>
        <w:rPr>
          <w:rFonts w:hint="eastAsia" w:ascii="宋体" w:hAnsi="宋体" w:cs="宋体"/>
          <w:szCs w:val="21"/>
          <w:highlight w:val="none"/>
        </w:rPr>
        <w:t>可选办法八（适合经评审的最低投标价法，技术标与经济标同时开启）</w:t>
      </w:r>
    </w:p>
    <w:p>
      <w:pPr>
        <w:pBdr>
          <w:top w:val="single" w:color="auto" w:sz="4" w:space="0"/>
        </w:pBd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条款号：41.1           修改类型：修改</w:t>
      </w:r>
    </w:p>
    <w:p>
      <w:pPr>
        <w:snapToGrid w:val="0"/>
        <w:spacing w:line="360" w:lineRule="auto"/>
        <w:ind w:firstLine="632" w:firstLineChars="3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41.1开标由招标人主持；</w:t>
      </w:r>
    </w:p>
    <w:p>
      <w:pPr>
        <w:pBdr>
          <w:bottom w:val="single" w:color="auto" w:sz="6" w:space="1"/>
        </w:pBdr>
        <w:spacing w:line="360" w:lineRule="auto"/>
        <w:ind w:firstLine="632" w:firstLineChars="3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41.1开标由招标人</w:t>
      </w:r>
      <w:r>
        <w:rPr>
          <w:rFonts w:hint="eastAsia" w:ascii="宋体" w:hAnsi="宋体" w:cs="宋体"/>
          <w:szCs w:val="21"/>
          <w:highlight w:val="none"/>
          <w:u w:val="single"/>
        </w:rPr>
        <w:t>或招标代理</w:t>
      </w:r>
      <w:r>
        <w:rPr>
          <w:rFonts w:hint="eastAsia" w:ascii="宋体" w:hAnsi="宋体" w:cs="宋体"/>
          <w:szCs w:val="21"/>
          <w:highlight w:val="none"/>
        </w:rPr>
        <w:t>主持；</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条款号：41.2.1             修改类型：修改</w:t>
      </w:r>
    </w:p>
    <w:p>
      <w:pPr>
        <w:pBdr>
          <w:bottom w:val="single" w:color="auto" w:sz="6" w:space="1"/>
        </w:pBdr>
        <w:spacing w:line="460" w:lineRule="exact"/>
        <w:ind w:firstLine="472" w:firstLineChars="224"/>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41.2.1</w:t>
      </w:r>
      <w:r>
        <w:rPr>
          <w:rFonts w:hint="eastAsia" w:ascii="宋体" w:hAnsi="宋体" w:cs="宋体"/>
          <w:szCs w:val="21"/>
          <w:highlight w:val="none"/>
        </w:rPr>
        <w:t>投标截止期前，各投标人递交投标文件（包括技术标投标文件、经济标投标文件）至</w:t>
      </w:r>
      <w:r>
        <w:rPr>
          <w:rFonts w:hint="eastAsia" w:ascii="宋体" w:hAnsi="宋体" w:cs="宋体"/>
          <w:szCs w:val="21"/>
          <w:highlight w:val="none"/>
          <w:u w:val="single"/>
        </w:rPr>
        <w:t xml:space="preserve">        </w:t>
      </w:r>
      <w:r>
        <w:rPr>
          <w:rFonts w:hint="eastAsia" w:ascii="宋体" w:hAnsi="宋体" w:cs="宋体"/>
          <w:szCs w:val="21"/>
          <w:highlight w:val="none"/>
        </w:rPr>
        <w:t>交易平台。有关投标文件提交的事项详见第一章投标须知。</w:t>
      </w:r>
    </w:p>
    <w:p>
      <w:pPr>
        <w:pBdr>
          <w:bottom w:val="single" w:color="auto" w:sz="6" w:space="1"/>
        </w:pBdr>
        <w:spacing w:line="460" w:lineRule="exact"/>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41.2.1</w:t>
      </w:r>
      <w:r>
        <w:rPr>
          <w:rFonts w:hint="eastAsia" w:ascii="宋体" w:hAnsi="宋体" w:cs="宋体"/>
          <w:szCs w:val="21"/>
          <w:highlight w:val="none"/>
        </w:rPr>
        <w:t>投标截止期前，各投标人递交投标文件（包括技术标投标文件</w:t>
      </w:r>
      <w:r>
        <w:rPr>
          <w:rFonts w:hint="eastAsia" w:ascii="宋体" w:hAnsi="宋体" w:cs="宋体"/>
          <w:szCs w:val="21"/>
          <w:highlight w:val="none"/>
          <w:u w:val="single"/>
        </w:rPr>
        <w:t>（含资格审查文件）</w:t>
      </w:r>
      <w:r>
        <w:rPr>
          <w:rFonts w:hint="eastAsia" w:ascii="宋体" w:hAnsi="宋体" w:cs="宋体"/>
          <w:szCs w:val="21"/>
          <w:highlight w:val="none"/>
        </w:rPr>
        <w:t>、经济标投标文件）至</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交易平台。有关投标文件提交的事项详见第一章投标须知。</w:t>
      </w:r>
    </w:p>
    <w:p>
      <w:pPr>
        <w:spacing w:line="460" w:lineRule="exact"/>
        <w:ind w:firstLine="422" w:firstLineChars="200"/>
        <w:rPr>
          <w:rFonts w:ascii="宋体" w:hAnsi="宋体" w:cs="宋体"/>
          <w:bCs/>
          <w:szCs w:val="21"/>
          <w:highlight w:val="none"/>
        </w:rPr>
      </w:pPr>
      <w:r>
        <w:rPr>
          <w:rFonts w:hint="eastAsia" w:ascii="宋体" w:hAnsi="宋体" w:cs="宋体"/>
          <w:b/>
          <w:szCs w:val="21"/>
          <w:highlight w:val="none"/>
        </w:rPr>
        <w:t>条款号：41.2.2            修改类型：删除</w:t>
      </w:r>
    </w:p>
    <w:p>
      <w:pPr>
        <w:pBdr>
          <w:bottom w:val="single" w:color="auto" w:sz="6" w:space="1"/>
        </w:pBdr>
        <w:spacing w:line="460" w:lineRule="exact"/>
        <w:ind w:firstLine="470" w:firstLineChars="224"/>
        <w:rPr>
          <w:rFonts w:ascii="宋体" w:hAnsi="宋体" w:cs="宋体"/>
          <w:b/>
          <w:szCs w:val="21"/>
          <w:highlight w:val="none"/>
        </w:rPr>
      </w:pPr>
      <w:r>
        <w:rPr>
          <w:rFonts w:hint="eastAsia" w:ascii="宋体" w:hAnsi="宋体" w:cs="宋体"/>
          <w:bCs/>
          <w:szCs w:val="21"/>
          <w:highlight w:val="none"/>
        </w:rPr>
        <w:t>原文：41.2.2开标前，首先由招标人随机抽取确定该工程计算评标参考价的等分点值X。</w:t>
      </w:r>
    </w:p>
    <w:p>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条款号：41.3              修改类型：修改</w:t>
      </w:r>
    </w:p>
    <w:p>
      <w:pP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41.3招标人对开标过程进行记录，并存档备查，投标人在技术标开标记录上签字。</w:t>
      </w:r>
    </w:p>
    <w:p>
      <w:pPr>
        <w:pBdr>
          <w:bottom w:val="single" w:color="auto" w:sz="6" w:space="1"/>
        </w:pBdr>
        <w:spacing w:line="480" w:lineRule="auto"/>
        <w:ind w:firstLine="472" w:firstLineChars="224"/>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41.3招标人</w:t>
      </w:r>
      <w:r>
        <w:rPr>
          <w:rFonts w:hint="eastAsia" w:ascii="宋体" w:hAnsi="宋体" w:cs="宋体"/>
          <w:szCs w:val="21"/>
          <w:highlight w:val="none"/>
          <w:u w:val="single"/>
        </w:rPr>
        <w:t>或招标代理机构</w:t>
      </w:r>
      <w:r>
        <w:rPr>
          <w:rFonts w:hint="eastAsia" w:ascii="宋体" w:hAnsi="宋体" w:cs="宋体"/>
          <w:szCs w:val="21"/>
          <w:highlight w:val="none"/>
        </w:rPr>
        <w:t>对开标过程进行记录，并存档备查，投标人在</w:t>
      </w:r>
      <w:r>
        <w:rPr>
          <w:rFonts w:hint="eastAsia" w:ascii="宋体" w:hAnsi="宋体" w:cs="宋体"/>
          <w:szCs w:val="21"/>
          <w:highlight w:val="none"/>
          <w:u w:val="single"/>
        </w:rPr>
        <w:t>开标记录上</w:t>
      </w:r>
      <w:r>
        <w:rPr>
          <w:rFonts w:hint="eastAsia" w:ascii="宋体" w:hAnsi="宋体" w:cs="宋体"/>
          <w:szCs w:val="21"/>
          <w:highlight w:val="none"/>
        </w:rPr>
        <w:t>签字，</w:t>
      </w:r>
      <w:r>
        <w:rPr>
          <w:rFonts w:hint="eastAsia" w:ascii="宋体" w:hAnsi="宋体" w:cs="宋体"/>
          <w:szCs w:val="21"/>
          <w:highlight w:val="none"/>
          <w:u w:val="single"/>
        </w:rPr>
        <w:t>若投标人不参加开标会的，或不签字确认的，视同该投标人认可开标结果</w:t>
      </w:r>
      <w:r>
        <w:rPr>
          <w:rFonts w:hint="eastAsia" w:ascii="宋体" w:hAnsi="宋体" w:cs="宋体"/>
          <w:szCs w:val="21"/>
          <w:highlight w:val="none"/>
        </w:rPr>
        <w:t>。</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条款号：42.2             修改类型：修改</w:t>
      </w:r>
    </w:p>
    <w:p>
      <w:pPr>
        <w:spacing w:line="46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42.2</w:t>
      </w:r>
      <w:r>
        <w:rPr>
          <w:rFonts w:hint="eastAsia" w:ascii="宋体" w:hAnsi="宋体" w:cs="宋体"/>
          <w:szCs w:val="21"/>
          <w:highlight w:val="none"/>
        </w:rPr>
        <w:t>评标委员会的组成：方式</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460" w:lineRule="exact"/>
        <w:ind w:firstLine="420" w:firstLineChars="200"/>
        <w:rPr>
          <w:rFonts w:ascii="宋体" w:hAnsi="宋体" w:cs="宋体"/>
          <w:szCs w:val="21"/>
          <w:highlight w:val="none"/>
        </w:rPr>
      </w:pPr>
      <w:r>
        <w:rPr>
          <w:rFonts w:hint="eastAsia" w:ascii="宋体" w:hAnsi="宋体" w:cs="宋体"/>
          <w:szCs w:val="21"/>
          <w:highlight w:val="none"/>
        </w:rPr>
        <w:t>方式一：评标委员会为综合评标委员会，负责</w:t>
      </w:r>
      <w:r>
        <w:rPr>
          <w:rFonts w:hint="eastAsia" w:ascii="宋体" w:hAnsi="宋体" w:cs="宋体"/>
          <w:szCs w:val="21"/>
          <w:highlight w:val="none"/>
          <w:u w:val="single"/>
        </w:rPr>
        <w:t>资格审查及</w:t>
      </w:r>
      <w:r>
        <w:rPr>
          <w:rFonts w:hint="eastAsia" w:ascii="宋体" w:hAnsi="宋体" w:cs="宋体"/>
          <w:szCs w:val="21"/>
          <w:highlight w:val="none"/>
        </w:rPr>
        <w:t>评标工作。</w:t>
      </w:r>
    </w:p>
    <w:p>
      <w:pPr>
        <w:spacing w:line="460" w:lineRule="exact"/>
        <w:ind w:firstLine="470" w:firstLineChars="224"/>
        <w:rPr>
          <w:rFonts w:ascii="宋体" w:hAnsi="宋体" w:cs="宋体"/>
          <w:b/>
          <w:szCs w:val="21"/>
          <w:highlight w:val="none"/>
        </w:rPr>
      </w:pPr>
      <w:r>
        <w:rPr>
          <w:rFonts w:hint="eastAsia" w:ascii="宋体" w:hAnsi="宋体" w:cs="宋体"/>
          <w:szCs w:val="21"/>
          <w:highlight w:val="none"/>
        </w:rPr>
        <w:t>方式二：评标委员会由技术评审组和经济评审组组成。其中：资格审查、技术评审由技术评标组负责，经济评审由经济评审组负责。</w:t>
      </w:r>
    </w:p>
    <w:p>
      <w:pPr>
        <w:pBdr>
          <w:bottom w:val="single" w:color="auto" w:sz="6" w:space="1"/>
        </w:pBdr>
        <w:spacing w:line="460" w:lineRule="exact"/>
        <w:ind w:firstLine="472" w:firstLineChars="224"/>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42.2</w:t>
      </w:r>
      <w:r>
        <w:rPr>
          <w:rFonts w:hint="eastAsia" w:ascii="宋体" w:hAnsi="宋体" w:cs="宋体"/>
          <w:szCs w:val="21"/>
          <w:highlight w:val="none"/>
        </w:rPr>
        <w:t>评标委员会的组成：方式</w:t>
      </w:r>
      <w:r>
        <w:rPr>
          <w:rFonts w:hint="eastAsia" w:ascii="宋体" w:hAnsi="宋体" w:cs="宋体"/>
          <w:szCs w:val="21"/>
          <w:highlight w:val="none"/>
          <w:u w:val="single"/>
        </w:rPr>
        <w:t xml:space="preserve">   一   </w:t>
      </w:r>
      <w:r>
        <w:rPr>
          <w:rFonts w:hint="eastAsia" w:ascii="宋体" w:hAnsi="宋体" w:cs="宋体"/>
          <w:szCs w:val="21"/>
          <w:highlight w:val="none"/>
        </w:rPr>
        <w:t>。</w:t>
      </w:r>
    </w:p>
    <w:p>
      <w:pPr>
        <w:pBdr>
          <w:bottom w:val="single" w:color="auto" w:sz="6" w:space="1"/>
        </w:pBdr>
        <w:spacing w:line="460" w:lineRule="exact"/>
        <w:ind w:firstLine="470" w:firstLineChars="224"/>
        <w:rPr>
          <w:rFonts w:ascii="宋体" w:hAnsi="宋体" w:cs="宋体"/>
          <w:b/>
          <w:szCs w:val="21"/>
          <w:highlight w:val="none"/>
        </w:rPr>
      </w:pPr>
      <w:r>
        <w:rPr>
          <w:rFonts w:hint="eastAsia" w:ascii="宋体" w:hAnsi="宋体" w:cs="宋体"/>
          <w:szCs w:val="21"/>
          <w:highlight w:val="none"/>
        </w:rPr>
        <w:t>方式一：评标委员会为综合评标委员会，负责资格审查及评标工作。</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条款号：45             修改类型：修改</w:t>
      </w:r>
    </w:p>
    <w:p>
      <w:pPr>
        <w:pStyle w:val="35"/>
        <w:tabs>
          <w:tab w:val="left" w:pos="7380"/>
        </w:tabs>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原文：45．经济标评审和得分汇总</w:t>
      </w:r>
    </w:p>
    <w:p>
      <w:pPr>
        <w:pStyle w:val="35"/>
        <w:tabs>
          <w:tab w:val="left" w:pos="7380"/>
        </w:tabs>
        <w:snapToGrid w:val="0"/>
        <w:spacing w:line="360" w:lineRule="auto"/>
        <w:ind w:firstLineChars="200"/>
        <w:rPr>
          <w:rFonts w:ascii="宋体" w:hAnsi="宋体" w:cs="宋体"/>
          <w:szCs w:val="21"/>
          <w:highlight w:val="none"/>
        </w:rPr>
      </w:pPr>
      <w:r>
        <w:rPr>
          <w:rFonts w:hint="eastAsia" w:ascii="宋体" w:hAnsi="宋体" w:cs="宋体"/>
          <w:szCs w:val="21"/>
          <w:highlight w:val="none"/>
        </w:rPr>
        <w:t>45.1若通过技术标有效性审查的投标人中所有投标报价均大于等于最高投标限价，则本项目招标失败，由招标人依法重新招标。</w:t>
      </w:r>
    </w:p>
    <w:p>
      <w:pPr>
        <w:pStyle w:val="32"/>
        <w:tabs>
          <w:tab w:val="left" w:pos="7380"/>
        </w:tabs>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lang w:bidi="ar"/>
        </w:rPr>
        <w:t>45.2按方法</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计算评标参考价：</w:t>
      </w:r>
    </w:p>
    <w:p>
      <w:pPr>
        <w:widowControl/>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lang w:bidi="ar"/>
        </w:rPr>
        <w:t>方法一：加权平均法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技术标或技术标加诚信得分（具体由招标人自定）前N名（N≥5，具体由招标人自定）的经济报价加权平均，计算评标参考价。公式如下：</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评标参考价=Σ（投标人的投标报价*报价权重）。</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其中：报价权重的计算方法为：将N名投标人按技术分由高至低进行排序，第一名投标人的权重为（</w:t>
      </w:r>
      <w:r>
        <w:rPr>
          <w:rFonts w:hint="eastAsia" w:ascii="宋体" w:hAnsi="宋体" w:cs="宋体"/>
          <w:szCs w:val="21"/>
          <w:highlight w:val="none"/>
          <w:lang w:bidi="ar"/>
        </w:rPr>
        <w:fldChar w:fldCharType="begin"/>
      </w:r>
      <w:r>
        <w:rPr>
          <w:rFonts w:hint="eastAsia" w:ascii="宋体" w:hAnsi="宋体" w:cs="宋体"/>
          <w:szCs w:val="21"/>
          <w:highlight w:val="none"/>
          <w:lang w:bidi="ar"/>
        </w:rPr>
        <w:instrText xml:space="preserve"> QUOTE </w:instrText>
      </w:r>
      <w:r>
        <w:rPr>
          <w:rFonts w:hint="eastAsia" w:ascii="宋体" w:hAnsi="宋体" w:cs="宋体"/>
          <w:szCs w:val="21"/>
          <w:highlight w:val="none"/>
        </w:rPr>
        <w:drawing>
          <wp:inline distT="0" distB="0" distL="114300" distR="114300">
            <wp:extent cx="381000" cy="447675"/>
            <wp:effectExtent l="0" t="0" r="0" b="889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Cs w:val="21"/>
          <w:highlight w:val="none"/>
          <w:lang w:bidi="ar"/>
        </w:rPr>
        <w:fldChar w:fldCharType="separate"/>
      </w:r>
      <w:r>
        <w:rPr>
          <w:rFonts w:hint="eastAsia" w:ascii="宋体" w:hAnsi="宋体" w:cs="宋体"/>
          <w:szCs w:val="21"/>
          <w:highlight w:val="none"/>
        </w:rPr>
        <w:drawing>
          <wp:inline distT="0" distB="0" distL="114300" distR="114300">
            <wp:extent cx="381000" cy="447675"/>
            <wp:effectExtent l="0" t="0" r="0" b="889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Cs w:val="21"/>
          <w:highlight w:val="none"/>
          <w:lang w:bidi="ar"/>
        </w:rPr>
        <w:fldChar w:fldCharType="end"/>
      </w:r>
      <w:r>
        <w:rPr>
          <w:rFonts w:hint="eastAsia" w:ascii="宋体" w:hAnsi="宋体" w:cs="宋体"/>
          <w:szCs w:val="21"/>
          <w:highlight w:val="none"/>
          <w:lang w:bidi="ar"/>
        </w:rPr>
        <w:t>），第二名投标人的权重为（</w:t>
      </w:r>
      <w:r>
        <w:rPr>
          <w:rFonts w:hint="eastAsia" w:ascii="宋体" w:hAnsi="宋体" w:cs="宋体"/>
          <w:szCs w:val="21"/>
          <w:highlight w:val="none"/>
          <w:lang w:bidi="ar"/>
        </w:rPr>
        <w:fldChar w:fldCharType="begin"/>
      </w:r>
      <w:r>
        <w:rPr>
          <w:rFonts w:hint="eastAsia" w:ascii="宋体" w:hAnsi="宋体" w:cs="宋体"/>
          <w:szCs w:val="21"/>
          <w:highlight w:val="none"/>
          <w:lang w:bidi="ar"/>
        </w:rPr>
        <w:instrText xml:space="preserve"> QUOTE </w:instrText>
      </w:r>
      <w:r>
        <w:rPr>
          <w:rFonts w:hint="eastAsia" w:ascii="宋体" w:hAnsi="宋体" w:cs="宋体"/>
          <w:position w:val="-23"/>
          <w:szCs w:val="21"/>
          <w:highlight w:val="none"/>
        </w:rPr>
        <w:drawing>
          <wp:inline distT="0" distB="0" distL="114300" distR="114300">
            <wp:extent cx="323850" cy="400050"/>
            <wp:effectExtent l="0" t="0" r="0" b="0"/>
            <wp:docPr id="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lang w:bidi="ar"/>
        </w:rPr>
        <w:fldChar w:fldCharType="separate"/>
      </w:r>
      <w:r>
        <w:rPr>
          <w:rFonts w:hint="eastAsia" w:ascii="宋体" w:hAnsi="宋体" w:cs="宋体"/>
          <w:position w:val="-23"/>
          <w:szCs w:val="21"/>
          <w:highlight w:val="none"/>
        </w:rPr>
        <w:drawing>
          <wp:inline distT="0" distB="0" distL="114300" distR="114300">
            <wp:extent cx="323850" cy="400050"/>
            <wp:effectExtent l="0" t="0" r="0" b="0"/>
            <wp:docPr id="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lang w:bidi="ar"/>
        </w:rPr>
        <w:fldChar w:fldCharType="end"/>
      </w:r>
      <w:r>
        <w:rPr>
          <w:rFonts w:hint="eastAsia" w:ascii="宋体" w:hAnsi="宋体" w:cs="宋体"/>
          <w:szCs w:val="21"/>
          <w:highlight w:val="none"/>
          <w:lang w:bidi="ar"/>
        </w:rPr>
        <w:t>），以此类推，最后一名投标人的权重为（</w:t>
      </w:r>
      <w:r>
        <w:rPr>
          <w:rFonts w:hint="eastAsia" w:ascii="宋体" w:hAnsi="宋体" w:cs="宋体"/>
          <w:szCs w:val="21"/>
          <w:highlight w:val="none"/>
          <w:lang w:bidi="ar"/>
        </w:rPr>
        <w:fldChar w:fldCharType="begin"/>
      </w:r>
      <w:r>
        <w:rPr>
          <w:rFonts w:hint="eastAsia" w:ascii="宋体" w:hAnsi="宋体" w:cs="宋体"/>
          <w:szCs w:val="21"/>
          <w:highlight w:val="none"/>
          <w:lang w:bidi="ar"/>
        </w:rPr>
        <w:instrText xml:space="preserve"> QUOTE </w:instrText>
      </w:r>
      <w:r>
        <w:rPr>
          <w:rFonts w:hint="eastAsia" w:ascii="宋体" w:hAnsi="宋体" w:cs="宋体"/>
          <w:position w:val="-23"/>
          <w:szCs w:val="21"/>
          <w:highlight w:val="none"/>
        </w:rPr>
        <w:drawing>
          <wp:inline distT="0" distB="0" distL="114300" distR="114300">
            <wp:extent cx="323850" cy="400050"/>
            <wp:effectExtent l="0" t="0" r="0" b="0"/>
            <wp:docPr id="4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lang w:bidi="ar"/>
        </w:rPr>
        <w:fldChar w:fldCharType="separate"/>
      </w:r>
      <w:r>
        <w:rPr>
          <w:rFonts w:hint="eastAsia" w:ascii="宋体" w:hAnsi="宋体" w:cs="宋体"/>
          <w:position w:val="-23"/>
          <w:szCs w:val="21"/>
          <w:highlight w:val="none"/>
        </w:rPr>
        <w:drawing>
          <wp:inline distT="0" distB="0" distL="114300" distR="114300">
            <wp:extent cx="323850" cy="400050"/>
            <wp:effectExtent l="0" t="0" r="0" b="0"/>
            <wp:docPr id="3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lang w:bidi="ar"/>
        </w:rPr>
        <w:fldChar w:fldCharType="end"/>
      </w:r>
      <w:r>
        <w:rPr>
          <w:rFonts w:hint="eastAsia" w:ascii="宋体" w:hAnsi="宋体" w:cs="宋体"/>
          <w:szCs w:val="21"/>
          <w:highlight w:val="none"/>
          <w:lang w:bidi="ar"/>
        </w:rPr>
        <w:t>）。</w:t>
      </w:r>
    </w:p>
    <w:p>
      <w:pPr>
        <w:widowControl/>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lang w:bidi="ar"/>
        </w:rPr>
        <w:t>方法二：区间抽取法</w:t>
      </w:r>
    </w:p>
    <w:p>
      <w:pPr>
        <w:widowControl/>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szCs w:val="21"/>
          <w:highlight w:val="none"/>
          <w:lang w:bidi="ar"/>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adjustRightInd w:val="0"/>
        <w:snapToGrid w:val="0"/>
        <w:spacing w:line="360" w:lineRule="auto"/>
        <w:ind w:firstLine="420" w:firstLineChars="200"/>
        <w:rPr>
          <w:rFonts w:ascii="宋体" w:hAnsi="宋体" w:cs="宋体"/>
          <w:kern w:val="0"/>
          <w:szCs w:val="21"/>
          <w:highlight w:val="none"/>
          <w:vertAlign w:val="subscript"/>
        </w:rPr>
      </w:pPr>
      <w:r>
        <w:rPr>
          <w:rFonts w:hint="eastAsia" w:ascii="宋体" w:hAnsi="宋体" w:cs="宋体"/>
          <w:kern w:val="0"/>
          <w:szCs w:val="21"/>
          <w:highlight w:val="none"/>
          <w:lang w:bidi="ar"/>
        </w:rPr>
        <w:t>评标参考价=（Q</w:t>
      </w:r>
      <w:r>
        <w:rPr>
          <w:rFonts w:hint="eastAsia" w:ascii="宋体" w:hAnsi="宋体" w:cs="宋体"/>
          <w:kern w:val="0"/>
          <w:szCs w:val="21"/>
          <w:highlight w:val="none"/>
          <w:vertAlign w:val="subscript"/>
          <w:lang w:bidi="ar"/>
        </w:rPr>
        <w:t>高</w:t>
      </w:r>
      <w:r>
        <w:rPr>
          <w:rFonts w:hint="eastAsia" w:ascii="宋体" w:hAnsi="宋体" w:cs="宋体"/>
          <w:kern w:val="0"/>
          <w:szCs w:val="21"/>
          <w:highlight w:val="none"/>
          <w:lang w:bidi="ar"/>
        </w:rPr>
        <w:t>-Q</w:t>
      </w:r>
      <w:r>
        <w:rPr>
          <w:rFonts w:hint="eastAsia" w:ascii="宋体" w:hAnsi="宋体" w:cs="宋体"/>
          <w:kern w:val="0"/>
          <w:szCs w:val="21"/>
          <w:highlight w:val="none"/>
          <w:vertAlign w:val="subscript"/>
          <w:lang w:bidi="ar"/>
        </w:rPr>
        <w:t>低</w:t>
      </w:r>
      <w:r>
        <w:rPr>
          <w:rFonts w:hint="eastAsia" w:ascii="宋体" w:hAnsi="宋体" w:cs="宋体"/>
          <w:kern w:val="0"/>
          <w:szCs w:val="21"/>
          <w:highlight w:val="none"/>
          <w:lang w:bidi="ar"/>
        </w:rPr>
        <w:t>）/100*Ｘ+Q</w:t>
      </w:r>
      <w:r>
        <w:rPr>
          <w:rFonts w:hint="eastAsia" w:ascii="宋体" w:hAnsi="宋体" w:cs="宋体"/>
          <w:kern w:val="0"/>
          <w:szCs w:val="21"/>
          <w:highlight w:val="none"/>
          <w:vertAlign w:val="subscript"/>
          <w:lang w:bidi="ar"/>
        </w:rPr>
        <w:t>低</w:t>
      </w:r>
    </w:p>
    <w:p>
      <w:pPr>
        <w:widowControl/>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Q</w:t>
      </w:r>
      <w:r>
        <w:rPr>
          <w:rFonts w:hint="eastAsia" w:ascii="宋体" w:hAnsi="宋体" w:cs="宋体"/>
          <w:szCs w:val="21"/>
          <w:highlight w:val="none"/>
          <w:vertAlign w:val="subscript"/>
          <w:lang w:bidi="ar"/>
        </w:rPr>
        <w:t>低</w:t>
      </w:r>
      <w:r>
        <w:rPr>
          <w:rFonts w:hint="eastAsia" w:ascii="宋体" w:hAnsi="宋体" w:cs="宋体"/>
          <w:szCs w:val="21"/>
          <w:highlight w:val="none"/>
          <w:lang w:bidi="ar"/>
        </w:rPr>
        <w:t>：为达到或超过技术标及格分数线的投标人最低报价与工程成本警示价两者中的较高值；</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lang w:bidi="ar"/>
        </w:rPr>
        <w:t>Q</w:t>
      </w:r>
      <w:r>
        <w:rPr>
          <w:rFonts w:hint="eastAsia" w:ascii="宋体" w:hAnsi="宋体" w:cs="宋体"/>
          <w:kern w:val="0"/>
          <w:szCs w:val="21"/>
          <w:highlight w:val="none"/>
          <w:vertAlign w:val="subscript"/>
          <w:lang w:bidi="ar"/>
        </w:rPr>
        <w:t>高</w:t>
      </w:r>
      <w:r>
        <w:rPr>
          <w:rFonts w:hint="eastAsia" w:ascii="宋体" w:hAnsi="宋体" w:cs="宋体"/>
          <w:szCs w:val="21"/>
          <w:highlight w:val="none"/>
          <w:lang w:bidi="ar"/>
        </w:rPr>
        <w:t>：为最高投标限价</w:t>
      </w:r>
    </w:p>
    <w:p>
      <w:pPr>
        <w:adjustRightInd w:val="0"/>
        <w:snapToGrid w:val="0"/>
        <w:spacing w:line="360" w:lineRule="auto"/>
        <w:ind w:firstLine="420" w:firstLineChars="200"/>
        <w:rPr>
          <w:rFonts w:ascii="宋体" w:hAnsi="宋体" w:cs="宋体"/>
          <w:b/>
          <w:szCs w:val="21"/>
          <w:highlight w:val="none"/>
        </w:rPr>
      </w:pPr>
      <w:r>
        <w:rPr>
          <w:rFonts w:hint="eastAsia" w:ascii="宋体" w:hAnsi="宋体" w:cs="宋体"/>
          <w:szCs w:val="21"/>
          <w:highlight w:val="none"/>
          <w:lang w:bidi="ar"/>
        </w:rPr>
        <w:t>X：为等分值点，在开标前从[0,100]整数中随机抽取。</w:t>
      </w:r>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45.3</w:t>
      </w:r>
      <w:r>
        <w:rPr>
          <w:rFonts w:hint="eastAsia" w:ascii="宋体" w:hAnsi="宋体" w:cs="宋体"/>
          <w:szCs w:val="21"/>
          <w:highlight w:val="none"/>
        </w:rPr>
        <w:t>当标价等于评标参考价时得100分，标价每高于评标参考价1%，扣1.5分，每低于评标参考价1%，扣1分，扣至0分为止，得出经济分，精确到小数点后两位。</w:t>
      </w:r>
    </w:p>
    <w:p>
      <w:pPr>
        <w:spacing w:line="360" w:lineRule="auto"/>
        <w:ind w:firstLine="470" w:firstLineChars="224"/>
        <w:rPr>
          <w:rFonts w:ascii="宋体" w:hAnsi="宋体" w:cs="宋体"/>
          <w:b/>
          <w:szCs w:val="21"/>
          <w:highlight w:val="none"/>
        </w:rPr>
      </w:pPr>
      <w:r>
        <w:rPr>
          <w:rFonts w:hint="eastAsia" w:ascii="宋体" w:hAnsi="宋体" w:cs="宋体"/>
          <w:szCs w:val="21"/>
          <w:highlight w:val="none"/>
        </w:rPr>
        <w:t>45.4计算通过技术标有效性审查的投标人总得分。投标人总得分=（技术得分×技术得分权重＋经济得分×经济得分权重）。技术、经济得分权重按投标须知前附表的规定执行。总得分四舍五入保留两位小数。</w:t>
      </w:r>
    </w:p>
    <w:p>
      <w:pPr>
        <w:pStyle w:val="32"/>
        <w:tabs>
          <w:tab w:val="left" w:pos="7380"/>
        </w:tabs>
        <w:adjustRightInd w:val="0"/>
        <w:snapToGrid w:val="0"/>
        <w:spacing w:line="360" w:lineRule="auto"/>
        <w:ind w:firstLine="482" w:firstLineChars="200"/>
        <w:rPr>
          <w:rFonts w:ascii="宋体" w:hAnsi="宋体" w:cs="宋体"/>
          <w:b/>
          <w:szCs w:val="21"/>
          <w:highlight w:val="none"/>
        </w:rPr>
      </w:pPr>
    </w:p>
    <w:p>
      <w:pPr>
        <w:pStyle w:val="35"/>
        <w:tabs>
          <w:tab w:val="left" w:pos="7380"/>
        </w:tabs>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现文：45．经济标评审和得分汇总</w:t>
      </w:r>
    </w:p>
    <w:p>
      <w:pPr>
        <w:pStyle w:val="35"/>
        <w:tabs>
          <w:tab w:val="left" w:pos="7380"/>
        </w:tabs>
        <w:snapToGrid w:val="0"/>
        <w:spacing w:line="360" w:lineRule="auto"/>
        <w:ind w:firstLineChars="200"/>
        <w:rPr>
          <w:rFonts w:ascii="宋体" w:hAnsi="宋体"/>
          <w:szCs w:val="21"/>
          <w:highlight w:val="none"/>
        </w:rPr>
      </w:pPr>
      <w:r>
        <w:rPr>
          <w:rFonts w:hint="eastAsia" w:ascii="宋体" w:hAnsi="宋体"/>
          <w:szCs w:val="21"/>
          <w:highlight w:val="none"/>
        </w:rPr>
        <w:t>45.1若通过技术标有效性审查的投标人中所有投标报价均大于等于最高投标限价，则本项目招标失败，由招标人依法重新招标。</w:t>
      </w:r>
    </w:p>
    <w:p>
      <w:pPr>
        <w:pStyle w:val="32"/>
        <w:tabs>
          <w:tab w:val="left" w:pos="7380"/>
        </w:tabs>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lang w:bidi="ar"/>
        </w:rPr>
        <w:t>45.2按方法</w:t>
      </w:r>
      <w:r>
        <w:rPr>
          <w:rFonts w:hint="eastAsia" w:ascii="宋体" w:hAnsi="宋体" w:cs="宋体"/>
          <w:sz w:val="21"/>
          <w:szCs w:val="21"/>
          <w:highlight w:val="none"/>
          <w:u w:val="single"/>
          <w:lang w:bidi="ar"/>
        </w:rPr>
        <w:t xml:space="preserve"> 一 </w:t>
      </w:r>
      <w:r>
        <w:rPr>
          <w:rFonts w:hint="eastAsia" w:ascii="宋体" w:hAnsi="宋体" w:cs="宋体"/>
          <w:sz w:val="21"/>
          <w:szCs w:val="21"/>
          <w:highlight w:val="none"/>
          <w:lang w:bidi="ar"/>
        </w:rPr>
        <w:t>计算评标参考价：</w:t>
      </w:r>
    </w:p>
    <w:p>
      <w:pPr>
        <w:widowControl/>
        <w:ind w:firstLine="422" w:firstLineChars="200"/>
        <w:rPr>
          <w:rFonts w:ascii="宋体" w:hAnsi="宋体" w:cs="宋体"/>
          <w:b/>
          <w:bCs/>
          <w:kern w:val="0"/>
          <w:szCs w:val="21"/>
          <w:highlight w:val="none"/>
        </w:rPr>
      </w:pPr>
      <w:r>
        <w:rPr>
          <w:rFonts w:hint="eastAsia" w:ascii="宋体" w:hAnsi="宋体" w:cs="宋体"/>
          <w:b/>
          <w:bCs/>
          <w:kern w:val="0"/>
          <w:szCs w:val="21"/>
          <w:highlight w:val="none"/>
        </w:rPr>
        <w:t>方法一：加权平均法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通过技术标有效性审查且经济报价在[工程成本警戒价，招标控制价]区间中的投标人技术标得分前N名（若通过技术标有效性审查的投标人大于等于5家时，</w:t>
      </w:r>
      <w:r>
        <w:rPr>
          <w:rStyle w:val="114"/>
          <w:rFonts w:hint="eastAsia" w:ascii="宋体" w:hAnsi="宋体" w:cs="宋体"/>
          <w:szCs w:val="21"/>
          <w:highlight w:val="none"/>
          <w:u w:val="single"/>
        </w:rPr>
        <w:t>N</w:t>
      </w:r>
      <w:r>
        <w:rPr>
          <w:rStyle w:val="114"/>
          <w:rFonts w:ascii="宋体" w:hAnsi="宋体" w:cs="宋体"/>
          <w:szCs w:val="21"/>
          <w:highlight w:val="none"/>
          <w:u w:val="single"/>
        </w:rPr>
        <w:t>=5</w:t>
      </w:r>
      <w:r>
        <w:rPr>
          <w:rStyle w:val="114"/>
          <w:rFonts w:hint="eastAsia" w:ascii="宋体" w:hAnsi="宋体" w:cs="宋体"/>
          <w:szCs w:val="21"/>
          <w:highlight w:val="none"/>
          <w:u w:val="single"/>
        </w:rPr>
        <w:t>；若通过技术标有效性审查投标人小于5家时，N取通过技术标有效性审查的投标人家数；若技术分相同，则由评标委员会对具有相同情况的投标人采用投票方式，确定投标人的技术得分排序。</w:t>
      </w:r>
      <w:r>
        <w:rPr>
          <w:rFonts w:hint="eastAsia" w:ascii="宋体" w:hAnsi="宋体" w:cs="宋体"/>
          <w:szCs w:val="21"/>
          <w:highlight w:val="none"/>
          <w:u w:val="single"/>
        </w:rPr>
        <w:t>）的经济报价加权平均，计算评标参考价。</w:t>
      </w:r>
      <w:r>
        <w:rPr>
          <w:rFonts w:hint="eastAsia" w:ascii="宋体" w:hAnsi="宋体" w:cs="宋体"/>
          <w:szCs w:val="21"/>
          <w:highlight w:val="none"/>
        </w:rPr>
        <w:t>公式如下：</w:t>
      </w:r>
    </w:p>
    <w:p>
      <w:pPr>
        <w:ind w:firstLine="420" w:firstLineChars="200"/>
        <w:rPr>
          <w:rFonts w:ascii="宋体" w:hAnsi="宋体" w:cs="宋体"/>
          <w:szCs w:val="21"/>
          <w:highlight w:val="none"/>
        </w:rPr>
      </w:pPr>
      <w:r>
        <w:rPr>
          <w:rFonts w:hint="eastAsia" w:ascii="宋体" w:hAnsi="宋体" w:cs="宋体"/>
          <w:szCs w:val="21"/>
          <w:highlight w:val="none"/>
        </w:rPr>
        <w:t>评标参考价=Σ（投标人的投标报价*报价权重）。</w:t>
      </w:r>
    </w:p>
    <w:p>
      <w:pPr>
        <w:ind w:firstLine="420" w:firstLineChars="200"/>
        <w:rPr>
          <w:rFonts w:ascii="宋体" w:hAnsi="宋体" w:cs="宋体"/>
          <w:szCs w:val="21"/>
          <w:highlight w:val="none"/>
        </w:rPr>
      </w:pPr>
      <w:r>
        <w:rPr>
          <w:rFonts w:hint="eastAsia" w:ascii="宋体" w:hAnsi="宋体" w:cs="宋体"/>
          <w:szCs w:val="21"/>
          <w:highlight w:val="none"/>
        </w:rPr>
        <w:t>其中：报价权重的计算方法为：将前</w:t>
      </w:r>
      <w:r>
        <w:rPr>
          <w:rFonts w:hint="eastAsia" w:ascii="宋体" w:hAnsi="宋体" w:cs="宋体"/>
          <w:szCs w:val="21"/>
          <w:highlight w:val="none"/>
          <w:u w:val="single"/>
        </w:rPr>
        <w:t>5名</w:t>
      </w:r>
      <w:r>
        <w:rPr>
          <w:rFonts w:hint="eastAsia" w:ascii="宋体" w:hAnsi="宋体" w:cs="宋体"/>
          <w:szCs w:val="21"/>
          <w:highlight w:val="none"/>
        </w:rPr>
        <w:t>投标人按</w:t>
      </w:r>
      <w:r>
        <w:rPr>
          <w:rFonts w:hint="eastAsia" w:ascii="宋体" w:hAnsi="宋体" w:cs="宋体"/>
          <w:szCs w:val="21"/>
          <w:highlight w:val="none"/>
          <w:u w:val="single"/>
        </w:rPr>
        <w:t>技术得分</w:t>
      </w:r>
      <w:r>
        <w:rPr>
          <w:rFonts w:hint="eastAsia" w:ascii="宋体" w:hAnsi="宋体" w:cs="宋体"/>
          <w:szCs w:val="21"/>
          <w:highlight w:val="none"/>
        </w:rPr>
        <w:t>由高至低进行排序，第一名投标人的权重为（</w:t>
      </w:r>
      <w:r>
        <w:rPr>
          <w:rFonts w:hint="eastAsia" w:ascii="宋体" w:hAnsi="宋体" w:cs="宋体"/>
          <w:szCs w:val="21"/>
          <w:highlight w:val="none"/>
        </w:rPr>
        <w:fldChar w:fldCharType="begin"/>
      </w:r>
      <w:r>
        <w:rPr>
          <w:rFonts w:hint="eastAsia" w:ascii="宋体" w:hAnsi="宋体" w:cs="宋体"/>
          <w:szCs w:val="21"/>
          <w:highlight w:val="none"/>
        </w:rPr>
        <w:instrText xml:space="preserve"> QUOTE </w:instrText>
      </w:r>
      <w:r>
        <w:rPr>
          <w:rFonts w:hint="eastAsia" w:ascii="宋体" w:hAnsi="宋体" w:cs="宋体"/>
          <w:szCs w:val="21"/>
          <w:highlight w:val="none"/>
        </w:rPr>
        <w:drawing>
          <wp:inline distT="0" distB="0" distL="114300" distR="114300">
            <wp:extent cx="381000" cy="447675"/>
            <wp:effectExtent l="0" t="0" r="0" b="8890"/>
            <wp:docPr id="3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Cs w:val="21"/>
          <w:highlight w:val="none"/>
        </w:rPr>
        <w:fldChar w:fldCharType="separate"/>
      </w:r>
      <w:r>
        <w:rPr>
          <w:rFonts w:hint="eastAsia" w:ascii="宋体" w:hAnsi="宋体" w:cs="宋体"/>
          <w:szCs w:val="21"/>
          <w:highlight w:val="none"/>
        </w:rPr>
        <w:drawing>
          <wp:inline distT="0" distB="0" distL="114300" distR="114300">
            <wp:extent cx="381000" cy="447675"/>
            <wp:effectExtent l="0" t="0" r="0" b="8890"/>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Cs w:val="21"/>
          <w:highlight w:val="none"/>
        </w:rPr>
        <w:fldChar w:fldCharType="end"/>
      </w:r>
      <w:r>
        <w:rPr>
          <w:rFonts w:hint="eastAsia" w:ascii="宋体" w:hAnsi="宋体" w:cs="宋体"/>
          <w:szCs w:val="21"/>
          <w:highlight w:val="none"/>
        </w:rPr>
        <w:t>），第二名投标人的权重为（</w:t>
      </w:r>
      <w:r>
        <w:rPr>
          <w:rFonts w:hint="eastAsia" w:ascii="宋体" w:hAnsi="宋体" w:cs="宋体"/>
          <w:szCs w:val="21"/>
          <w:highlight w:val="none"/>
        </w:rPr>
        <w:fldChar w:fldCharType="begin"/>
      </w:r>
      <w:r>
        <w:rPr>
          <w:rFonts w:hint="eastAsia" w:ascii="宋体" w:hAnsi="宋体" w:cs="宋体"/>
          <w:szCs w:val="21"/>
          <w:highlight w:val="none"/>
        </w:rPr>
        <w:instrText xml:space="preserve"> QUOTE </w:instrText>
      </w:r>
      <w:r>
        <w:rPr>
          <w:rFonts w:hint="eastAsia" w:ascii="宋体" w:hAnsi="宋体" w:cs="宋体"/>
          <w:position w:val="-23"/>
          <w:szCs w:val="21"/>
          <w:highlight w:val="none"/>
        </w:rPr>
        <w:drawing>
          <wp:inline distT="0" distB="0" distL="114300" distR="114300">
            <wp:extent cx="323850" cy="400050"/>
            <wp:effectExtent l="0" t="0" r="0" b="0"/>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rPr>
        <w:fldChar w:fldCharType="separate"/>
      </w:r>
      <w:r>
        <w:rPr>
          <w:rFonts w:hint="eastAsia" w:ascii="宋体" w:hAnsi="宋体" w:cs="宋体"/>
          <w:position w:val="-23"/>
          <w:szCs w:val="21"/>
          <w:highlight w:val="none"/>
        </w:rPr>
        <w:drawing>
          <wp:inline distT="0" distB="0" distL="114300" distR="114300">
            <wp:extent cx="323850" cy="400050"/>
            <wp:effectExtent l="0" t="0" r="0" b="0"/>
            <wp:docPr id="4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rPr>
        <w:fldChar w:fldCharType="end"/>
      </w:r>
      <w:r>
        <w:rPr>
          <w:rFonts w:hint="eastAsia" w:ascii="宋体" w:hAnsi="宋体" w:cs="宋体"/>
          <w:szCs w:val="21"/>
          <w:highlight w:val="none"/>
        </w:rPr>
        <w:t>），以此类推，最后一名投标人的权重为（</w:t>
      </w:r>
      <w:r>
        <w:rPr>
          <w:rFonts w:hint="eastAsia" w:ascii="宋体" w:hAnsi="宋体" w:cs="宋体"/>
          <w:szCs w:val="21"/>
          <w:highlight w:val="none"/>
        </w:rPr>
        <w:fldChar w:fldCharType="begin"/>
      </w:r>
      <w:r>
        <w:rPr>
          <w:rFonts w:hint="eastAsia" w:ascii="宋体" w:hAnsi="宋体" w:cs="宋体"/>
          <w:szCs w:val="21"/>
          <w:highlight w:val="none"/>
        </w:rPr>
        <w:instrText xml:space="preserve"> QUOTE </w:instrText>
      </w:r>
      <w:r>
        <w:rPr>
          <w:rFonts w:hint="eastAsia" w:ascii="宋体" w:hAnsi="宋体" w:cs="宋体"/>
          <w:position w:val="-23"/>
          <w:szCs w:val="21"/>
          <w:highlight w:val="none"/>
        </w:rPr>
        <w:drawing>
          <wp:inline distT="0" distB="0" distL="114300" distR="114300">
            <wp:extent cx="323850" cy="400050"/>
            <wp:effectExtent l="0" t="0" r="0" b="0"/>
            <wp:docPr id="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rPr>
        <w:fldChar w:fldCharType="separate"/>
      </w:r>
      <w:r>
        <w:rPr>
          <w:rFonts w:hint="eastAsia" w:ascii="宋体" w:hAnsi="宋体" w:cs="宋体"/>
          <w:position w:val="-23"/>
          <w:szCs w:val="21"/>
          <w:highlight w:val="none"/>
        </w:rPr>
        <w:drawing>
          <wp:inline distT="0" distB="0" distL="114300" distR="114300">
            <wp:extent cx="323850" cy="400050"/>
            <wp:effectExtent l="0" t="0" r="0" b="0"/>
            <wp:docPr id="4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rPr>
        <w:fldChar w:fldCharType="end"/>
      </w:r>
      <w:r>
        <w:rPr>
          <w:rFonts w:hint="eastAsia" w:ascii="宋体" w:hAnsi="宋体" w:cs="宋体"/>
          <w:szCs w:val="21"/>
          <w:highlight w:val="none"/>
        </w:rPr>
        <w:t>）。</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若投标人技术标得分相同的，以报价较低的排前，报价均相同的投标文件，由评标委员会采用投票方式，确定投标人的排序。</w:t>
      </w:r>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45.3</w:t>
      </w:r>
      <w:r>
        <w:rPr>
          <w:rFonts w:hint="eastAsia" w:ascii="宋体" w:hAnsi="宋体" w:cs="宋体"/>
          <w:szCs w:val="21"/>
          <w:highlight w:val="none"/>
        </w:rPr>
        <w:t>当标价等于评标参考价时得100分，标价每高于评标参考价1%，扣</w:t>
      </w:r>
      <w:r>
        <w:rPr>
          <w:rFonts w:hint="eastAsia" w:ascii="宋体" w:hAnsi="宋体" w:cs="宋体"/>
          <w:szCs w:val="21"/>
          <w:highlight w:val="none"/>
          <w:u w:val="single"/>
        </w:rPr>
        <w:t>0.5</w:t>
      </w:r>
      <w:r>
        <w:rPr>
          <w:rFonts w:hint="eastAsia" w:ascii="宋体" w:hAnsi="宋体" w:cs="宋体"/>
          <w:szCs w:val="21"/>
          <w:highlight w:val="none"/>
        </w:rPr>
        <w:t>分，每低于评标参考价1%，扣</w:t>
      </w:r>
      <w:r>
        <w:rPr>
          <w:rFonts w:ascii="宋体" w:hAnsi="宋体" w:cs="宋体"/>
          <w:szCs w:val="21"/>
          <w:highlight w:val="none"/>
          <w:u w:val="single"/>
        </w:rPr>
        <w:t>0.</w:t>
      </w:r>
      <w:r>
        <w:rPr>
          <w:rFonts w:hint="eastAsia" w:ascii="宋体" w:hAnsi="宋体" w:cs="宋体"/>
          <w:szCs w:val="21"/>
          <w:highlight w:val="none"/>
          <w:u w:val="single"/>
        </w:rPr>
        <w:t>3</w:t>
      </w:r>
      <w:r>
        <w:rPr>
          <w:rFonts w:hint="eastAsia" w:ascii="宋体" w:hAnsi="宋体" w:cs="宋体"/>
          <w:szCs w:val="21"/>
          <w:highlight w:val="none"/>
        </w:rPr>
        <w:t>分，扣至0分为止，得出经济分，精确到小数点后两位。</w:t>
      </w:r>
    </w:p>
    <w:p>
      <w:pPr>
        <w:pStyle w:val="35"/>
        <w:tabs>
          <w:tab w:val="left" w:pos="7380"/>
        </w:tabs>
        <w:snapToGrid w:val="0"/>
        <w:spacing w:after="0" w:line="360" w:lineRule="auto"/>
        <w:ind w:firstLineChars="200"/>
        <w:rPr>
          <w:rFonts w:ascii="宋体" w:hAnsi="宋体" w:cs="宋体"/>
          <w:szCs w:val="21"/>
          <w:highlight w:val="none"/>
        </w:rPr>
      </w:pPr>
      <w:r>
        <w:rPr>
          <w:rFonts w:hint="eastAsia" w:ascii="宋体" w:hAnsi="宋体" w:cs="宋体"/>
          <w:szCs w:val="21"/>
          <w:highlight w:val="none"/>
        </w:rPr>
        <w:t>45.4计算通过技术标有效性审查的投标人总得分。</w:t>
      </w:r>
      <w:r>
        <w:rPr>
          <w:rFonts w:hint="eastAsia" w:ascii="宋体" w:hAnsi="宋体" w:cs="宋体"/>
          <w:szCs w:val="21"/>
          <w:highlight w:val="none"/>
          <w:u w:val="single"/>
        </w:rPr>
        <w:t>投标人总得分=技术得分(满分20分)＋经济得分（满分100分）×80%（经济权重）</w:t>
      </w:r>
      <w:r>
        <w:rPr>
          <w:rFonts w:hint="eastAsia" w:ascii="宋体" w:hAnsi="宋体" w:cs="宋体"/>
          <w:szCs w:val="21"/>
          <w:highlight w:val="none"/>
        </w:rPr>
        <w:t>。总得分四舍五入保留两位小数。</w:t>
      </w:r>
    </w:p>
    <w:p>
      <w:pPr>
        <w:pStyle w:val="35"/>
        <w:tabs>
          <w:tab w:val="left" w:pos="7380"/>
        </w:tabs>
        <w:snapToGrid w:val="0"/>
        <w:spacing w:line="360" w:lineRule="auto"/>
        <w:ind w:firstLineChars="200"/>
        <w:rPr>
          <w:rFonts w:ascii="宋体" w:hAnsi="宋体" w:cs="宋体"/>
          <w:szCs w:val="21"/>
          <w:highlight w:val="none"/>
          <w:u w:val="single"/>
        </w:rPr>
      </w:pPr>
      <w:r>
        <w:rPr>
          <w:rFonts w:hint="eastAsia" w:ascii="宋体" w:hAnsi="宋体" w:cs="宋体"/>
          <w:szCs w:val="21"/>
          <w:highlight w:val="none"/>
          <w:u w:val="single"/>
        </w:rPr>
        <w:t>45.5总得分相同情况下的排序方法：总得分相同的投标文件，以报价较低的排前；报价均相同的投标文件，以技术分较高的排前；如仍存在相同情况，则对具有相同情况的投标人，由评标委员会采用投票方式，确定投标人的排序。</w:t>
      </w:r>
    </w:p>
    <w:p>
      <w:pPr>
        <w:pStyle w:val="35"/>
        <w:pBdr>
          <w:bottom w:val="single" w:color="auto" w:sz="4" w:space="1"/>
        </w:pBdr>
        <w:tabs>
          <w:tab w:val="left" w:pos="7380"/>
        </w:tabs>
        <w:snapToGrid w:val="0"/>
        <w:spacing w:after="0" w:line="360" w:lineRule="auto"/>
        <w:ind w:firstLineChars="200"/>
        <w:rPr>
          <w:rFonts w:ascii="宋体" w:hAnsi="宋体" w:cs="宋体"/>
          <w:szCs w:val="21"/>
          <w:highlight w:val="none"/>
          <w:u w:val="single"/>
        </w:rPr>
      </w:pPr>
      <w:r>
        <w:rPr>
          <w:rFonts w:hint="eastAsia" w:ascii="宋体" w:hAnsi="宋体" w:cs="宋体"/>
          <w:szCs w:val="21"/>
          <w:highlight w:val="none"/>
          <w:u w:val="single"/>
        </w:rPr>
        <w:t>注：投票方式确定排序的具体操作步骤为：由评标会对出现该情况的投标人进行编号，然后通过投票方式依次确定投标人的排序。</w:t>
      </w:r>
    </w:p>
    <w:p>
      <w:pPr>
        <w:spacing w:line="480" w:lineRule="auto"/>
        <w:ind w:firstLine="472" w:firstLineChars="224"/>
        <w:rPr>
          <w:rFonts w:ascii="宋体" w:hAnsi="宋体" w:cs="宋体"/>
          <w:b/>
          <w:szCs w:val="21"/>
          <w:highlight w:val="none"/>
        </w:rPr>
      </w:pPr>
      <w:r>
        <w:rPr>
          <w:rFonts w:hint="eastAsia" w:ascii="宋体" w:hAnsi="宋体" w:cs="宋体"/>
          <w:b/>
          <w:szCs w:val="21"/>
          <w:highlight w:val="none"/>
        </w:rPr>
        <w:t>条款号：48</w:t>
      </w:r>
      <w:r>
        <w:rPr>
          <w:rFonts w:hint="eastAsia" w:ascii="宋体" w:hAnsi="宋体" w:cs="宋体"/>
          <w:szCs w:val="21"/>
          <w:highlight w:val="none"/>
        </w:rPr>
        <w:t xml:space="preserve"> </w:t>
      </w:r>
      <w:r>
        <w:rPr>
          <w:rFonts w:hint="eastAsia" w:ascii="宋体" w:hAnsi="宋体" w:cs="宋体"/>
          <w:b/>
          <w:szCs w:val="21"/>
          <w:highlight w:val="none"/>
        </w:rPr>
        <w:t xml:space="preserve">            修改类型：修改</w:t>
      </w:r>
    </w:p>
    <w:p>
      <w:pPr>
        <w:pBdr>
          <w:bottom w:val="single" w:color="auto" w:sz="6" w:space="1"/>
        </w:pBdr>
        <w:spacing w:line="360" w:lineRule="auto"/>
        <w:ind w:firstLine="527" w:firstLineChars="250"/>
        <w:rPr>
          <w:rFonts w:ascii="宋体" w:hAnsi="宋体" w:cs="宋体"/>
          <w:b/>
          <w:szCs w:val="21"/>
          <w:highlight w:val="none"/>
        </w:rPr>
      </w:pPr>
      <w:r>
        <w:rPr>
          <w:rFonts w:hint="eastAsia" w:ascii="宋体" w:hAnsi="宋体" w:cs="宋体"/>
          <w:b/>
          <w:szCs w:val="21"/>
          <w:highlight w:val="none"/>
        </w:rPr>
        <w:t>原文：</w:t>
      </w:r>
      <w:r>
        <w:rPr>
          <w:rFonts w:ascii="宋体" w:hAnsi="宋体" w:cs="宋体"/>
          <w:szCs w:val="21"/>
          <w:highlight w:val="none"/>
        </w:rPr>
        <w:t>4</w:t>
      </w:r>
      <w:r>
        <w:rPr>
          <w:rFonts w:hint="eastAsia" w:ascii="宋体" w:hAnsi="宋体" w:cs="宋体"/>
          <w:szCs w:val="21"/>
          <w:highlight w:val="none"/>
        </w:rPr>
        <w:t>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527" w:firstLineChars="250"/>
        <w:rPr>
          <w:rFonts w:ascii="宋体" w:hAnsi="宋体" w:cs="宋体"/>
          <w:b/>
          <w:szCs w:val="21"/>
          <w:highlight w:val="none"/>
        </w:rPr>
      </w:pPr>
      <w:r>
        <w:rPr>
          <w:rFonts w:hint="eastAsia" w:ascii="宋体" w:hAnsi="宋体" w:cs="宋体"/>
          <w:b/>
          <w:szCs w:val="21"/>
          <w:highlight w:val="none"/>
        </w:rPr>
        <w:t>现文：</w:t>
      </w:r>
      <w:r>
        <w:rPr>
          <w:rFonts w:ascii="宋体" w:hAnsi="宋体" w:cs="宋体"/>
          <w:szCs w:val="21"/>
          <w:highlight w:val="none"/>
        </w:rPr>
        <w:t>4</w:t>
      </w:r>
      <w:r>
        <w:rPr>
          <w:rFonts w:hint="eastAsia" w:ascii="宋体" w:hAnsi="宋体" w:cs="宋体"/>
          <w:szCs w:val="21"/>
          <w:highlight w:val="none"/>
        </w:rPr>
        <w:t>8.评标委员会应在通过投标文件经济标有效性审查的投标人中，</w:t>
      </w:r>
      <w:r>
        <w:rPr>
          <w:rFonts w:hint="eastAsia" w:ascii="宋体" w:hAnsi="宋体" w:cs="宋体"/>
          <w:szCs w:val="21"/>
          <w:highlight w:val="none"/>
          <w:u w:val="single"/>
        </w:rPr>
        <w:t>按步骤45.4确定的投标人排序</w:t>
      </w:r>
      <w:r>
        <w:rPr>
          <w:rFonts w:hint="eastAsia" w:ascii="宋体" w:hAnsi="宋体" w:cs="宋体"/>
          <w:szCs w:val="21"/>
          <w:highlight w:val="none"/>
        </w:rPr>
        <w:t>，推荐前3名依次为第一中标候选人至第三中标候选人,并编制评标报告。</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条款号：附表一 《资格审查表》         修改类型：修改</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szCs w:val="21"/>
          <w:highlight w:val="none"/>
        </w:rPr>
        <w:t>原范本</w:t>
      </w:r>
      <w:r>
        <w:rPr>
          <w:rFonts w:hint="eastAsia" w:ascii="宋体" w:hAnsi="宋体" w:cs="宋体"/>
          <w:szCs w:val="21"/>
          <w:highlight w:val="none"/>
        </w:rPr>
        <w:t>《资格审查表》。</w:t>
      </w:r>
    </w:p>
    <w:p>
      <w:pPr>
        <w:pBdr>
          <w:bottom w:val="single" w:color="auto" w:sz="6" w:space="1"/>
        </w:pBdr>
        <w:spacing w:line="460" w:lineRule="exact"/>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附表一《资格审查表》</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条款号：附表二 《技术标有效性审查表》  修改类型：修改</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szCs w:val="21"/>
          <w:highlight w:val="none"/>
        </w:rPr>
        <w:t>原范本</w:t>
      </w:r>
      <w:r>
        <w:rPr>
          <w:rFonts w:hint="eastAsia" w:ascii="宋体" w:hAnsi="宋体" w:cs="宋体"/>
          <w:szCs w:val="21"/>
          <w:highlight w:val="none"/>
        </w:rPr>
        <w:t>《技术标有效性审查表》。</w:t>
      </w:r>
    </w:p>
    <w:p>
      <w:pPr>
        <w:pBdr>
          <w:bottom w:val="single" w:color="auto" w:sz="6" w:space="1"/>
        </w:pBdr>
        <w:spacing w:line="460" w:lineRule="exact"/>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附表二《技术标有效性审查表》</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条款号：附表三 《经济标有效性审查表》  修改类型：修改</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szCs w:val="21"/>
          <w:highlight w:val="none"/>
        </w:rPr>
        <w:t>原范本</w:t>
      </w:r>
      <w:r>
        <w:rPr>
          <w:rFonts w:ascii="宋体" w:hAnsi="宋体" w:cs="宋体"/>
          <w:szCs w:val="21"/>
          <w:highlight w:val="none"/>
        </w:rPr>
        <w:t>《经济标有效性审查表》</w:t>
      </w:r>
    </w:p>
    <w:p>
      <w:pPr>
        <w:pBdr>
          <w:bottom w:val="single" w:color="auto" w:sz="6" w:space="1"/>
        </w:pBdr>
        <w:spacing w:line="460" w:lineRule="exact"/>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附表三《经济标有效性审查表》</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条款号：附表四 《技术标详细审查评分标准》 修改类型：修改</w:t>
      </w:r>
    </w:p>
    <w:p>
      <w:pPr>
        <w:spacing w:line="460" w:lineRule="exact"/>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szCs w:val="21"/>
          <w:highlight w:val="none"/>
        </w:rPr>
        <w:t>原范本《技术标详细审查评分标准》。</w:t>
      </w:r>
    </w:p>
    <w:p>
      <w:pPr>
        <w:pBdr>
          <w:bottom w:val="single" w:color="auto" w:sz="6" w:space="1"/>
        </w:pBdr>
        <w:spacing w:line="460" w:lineRule="exact"/>
        <w:ind w:firstLine="527" w:firstLineChars="25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附表四《技术标详细审查评分表》</w:t>
      </w:r>
    </w:p>
    <w:p>
      <w:pPr>
        <w:spacing w:line="460" w:lineRule="exact"/>
        <w:ind w:firstLine="472" w:firstLineChars="224"/>
        <w:rPr>
          <w:rFonts w:ascii="宋体" w:hAnsi="宋体"/>
          <w:b/>
          <w:szCs w:val="21"/>
          <w:highlight w:val="none"/>
        </w:rPr>
      </w:pPr>
      <w:r>
        <w:rPr>
          <w:rFonts w:hint="eastAsia" w:ascii="宋体" w:hAnsi="宋体"/>
          <w:b/>
          <w:szCs w:val="21"/>
          <w:highlight w:val="none"/>
        </w:rPr>
        <w:t>条款号：附表五（适用于区间抽取法）</w:t>
      </w:r>
      <w:r>
        <w:rPr>
          <w:rFonts w:hint="eastAsia" w:ascii="宋体" w:hAnsi="宋体" w:cs="宋体"/>
          <w:b/>
          <w:szCs w:val="21"/>
          <w:highlight w:val="none"/>
        </w:rPr>
        <w:t>经济标评分表</w:t>
      </w:r>
      <w:r>
        <w:rPr>
          <w:rFonts w:hint="eastAsia" w:ascii="宋体" w:hAnsi="宋体"/>
          <w:b/>
          <w:szCs w:val="21"/>
          <w:highlight w:val="none"/>
        </w:rPr>
        <w:t xml:space="preserve">  修改类型：删除</w:t>
      </w:r>
    </w:p>
    <w:p>
      <w:pPr>
        <w:pBdr>
          <w:bottom w:val="single" w:color="auto" w:sz="6" w:space="1"/>
        </w:pBdr>
        <w:spacing w:line="460" w:lineRule="exact"/>
        <w:ind w:firstLine="472" w:firstLineChars="224"/>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原范本《经济标评分表》。</w:t>
      </w:r>
    </w:p>
    <w:p>
      <w:pPr>
        <w:spacing w:line="360" w:lineRule="auto"/>
        <w:ind w:firstLine="211" w:firstLineChars="100"/>
        <w:rPr>
          <w:b/>
          <w:szCs w:val="21"/>
          <w:highlight w:val="none"/>
        </w:rPr>
      </w:pPr>
      <w:r>
        <w:rPr>
          <w:rFonts w:hint="eastAsia"/>
          <w:b/>
          <w:szCs w:val="21"/>
          <w:highlight w:val="none"/>
        </w:rPr>
        <w:t>注：以上修改，仅限于本范本中有可供选择条款的情形。</w:t>
      </w:r>
    </w:p>
    <w:p>
      <w:pPr>
        <w:spacing w:line="360" w:lineRule="auto"/>
        <w:rPr>
          <w:highlight w:val="none"/>
        </w:rPr>
      </w:pPr>
      <w:r>
        <w:rPr>
          <w:rFonts w:hint="eastAsia"/>
          <w:b/>
          <w:szCs w:val="21"/>
          <w:highlight w:val="none"/>
        </w:rPr>
        <w:t>（以下无正文）</w:t>
      </w:r>
    </w:p>
    <w:p>
      <w:pPr>
        <w:pStyle w:val="8"/>
        <w:spacing w:line="360" w:lineRule="auto"/>
        <w:rPr>
          <w:highlight w:val="none"/>
        </w:rPr>
      </w:pPr>
      <w:r>
        <w:rPr>
          <w:highlight w:val="none"/>
        </w:rPr>
        <w:br w:type="page"/>
      </w:r>
    </w:p>
    <w:p>
      <w:pPr>
        <w:pStyle w:val="5"/>
        <w:ind w:firstLine="525"/>
        <w:rPr>
          <w:highlight w:val="none"/>
        </w:rPr>
      </w:pPr>
      <w:bookmarkStart w:id="24" w:name="_Toc21525500"/>
      <w:bookmarkStart w:id="25" w:name="_Toc2272556"/>
      <w:r>
        <w:rPr>
          <w:rFonts w:hint="eastAsia"/>
          <w:highlight w:val="none"/>
        </w:rPr>
        <w:t>二、开标、评标及定标办法</w:t>
      </w:r>
      <w:r>
        <w:rPr>
          <w:rFonts w:hint="eastAsia"/>
          <w:szCs w:val="30"/>
          <w:highlight w:val="none"/>
        </w:rPr>
        <w:t>通用条款</w:t>
      </w:r>
      <w:bookmarkEnd w:id="24"/>
      <w:bookmarkEnd w:id="25"/>
    </w:p>
    <w:p>
      <w:pPr>
        <w:pStyle w:val="6"/>
        <w:spacing w:before="156" w:after="156"/>
        <w:ind w:firstLine="540" w:firstLineChars="200"/>
        <w:rPr>
          <w:color w:val="000000"/>
          <w:highlight w:val="none"/>
        </w:rPr>
      </w:pPr>
      <w:bookmarkStart w:id="26" w:name="_Toc2272557"/>
      <w:bookmarkStart w:id="27" w:name="_Toc21525501"/>
      <w:r>
        <w:rPr>
          <w:rFonts w:hint="eastAsia"/>
          <w:color w:val="000000"/>
          <w:highlight w:val="none"/>
        </w:rPr>
        <w:t>（一）总则</w:t>
      </w:r>
      <w:bookmarkEnd w:id="26"/>
      <w:bookmarkEnd w:id="27"/>
    </w:p>
    <w:p>
      <w:pPr>
        <w:spacing w:line="360" w:lineRule="auto"/>
        <w:ind w:firstLine="480" w:firstLineChars="200"/>
        <w:rPr>
          <w:rFonts w:ascii="宋体" w:hAnsi="宋体"/>
          <w:b/>
          <w:color w:val="000000"/>
          <w:sz w:val="24"/>
          <w:szCs w:val="24"/>
          <w:highlight w:val="none"/>
        </w:rPr>
      </w:pPr>
      <w:r>
        <w:rPr>
          <w:rFonts w:ascii="宋体" w:hAnsi="宋体"/>
          <w:color w:val="000000"/>
          <w:sz w:val="24"/>
          <w:szCs w:val="24"/>
          <w:highlight w:val="none"/>
        </w:rPr>
        <w:t xml:space="preserve">35 </w:t>
      </w:r>
      <w:r>
        <w:rPr>
          <w:rFonts w:hint="eastAsia" w:ascii="宋体" w:hAnsi="宋体"/>
          <w:color w:val="000000"/>
          <w:sz w:val="24"/>
          <w:szCs w:val="24"/>
          <w:highlight w:val="none"/>
        </w:rPr>
        <w:t>开标、评标及定标所依据的规则</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35.1</w:t>
      </w:r>
      <w:r>
        <w:rPr>
          <w:rFonts w:hint="eastAsia" w:ascii="宋体" w:hAnsi="宋体"/>
          <w:color w:val="000000"/>
          <w:sz w:val="24"/>
          <w:szCs w:val="24"/>
          <w:highlight w:val="none"/>
        </w:rPr>
        <w:t>《中华人民共和国招标投标法》；</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35.2</w:t>
      </w:r>
      <w:r>
        <w:rPr>
          <w:rFonts w:hint="eastAsia" w:ascii="宋体" w:hAnsi="宋体"/>
          <w:color w:val="000000"/>
          <w:sz w:val="24"/>
          <w:szCs w:val="24"/>
          <w:highlight w:val="none"/>
        </w:rPr>
        <w:t>《中华人民共和国招标投标法实施条例》；</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35.3</w:t>
      </w:r>
      <w:r>
        <w:rPr>
          <w:rFonts w:hint="eastAsia" w:ascii="宋体" w:hAnsi="宋体"/>
          <w:color w:val="000000"/>
          <w:sz w:val="24"/>
          <w:szCs w:val="24"/>
          <w:highlight w:val="none"/>
        </w:rPr>
        <w:t>《评标委员会和评标方法暂行规定》（七部委第</w:t>
      </w:r>
      <w:r>
        <w:rPr>
          <w:rFonts w:ascii="宋体" w:hAnsi="宋体"/>
          <w:color w:val="000000"/>
          <w:sz w:val="24"/>
          <w:szCs w:val="24"/>
          <w:highlight w:val="none"/>
        </w:rPr>
        <w:t>12</w:t>
      </w:r>
      <w:r>
        <w:rPr>
          <w:rFonts w:hint="eastAsia" w:ascii="宋体" w:hAnsi="宋体"/>
          <w:color w:val="000000"/>
          <w:sz w:val="24"/>
          <w:szCs w:val="24"/>
          <w:highlight w:val="none"/>
        </w:rPr>
        <w:t>号令）</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35.4</w:t>
      </w:r>
      <w:r>
        <w:rPr>
          <w:rFonts w:hint="eastAsia" w:ascii="宋体" w:hAnsi="宋体"/>
          <w:color w:val="000000"/>
          <w:sz w:val="24"/>
          <w:szCs w:val="24"/>
          <w:highlight w:val="none"/>
        </w:rPr>
        <w:t>《工程建设项目施工招标投标办法》（七部委</w:t>
      </w:r>
      <w:r>
        <w:rPr>
          <w:rFonts w:ascii="宋体" w:hAnsi="宋体"/>
          <w:color w:val="000000"/>
          <w:sz w:val="24"/>
          <w:szCs w:val="24"/>
          <w:highlight w:val="none"/>
        </w:rPr>
        <w:t>2003</w:t>
      </w:r>
      <w:r>
        <w:rPr>
          <w:rFonts w:hint="eastAsia" w:ascii="宋体" w:hAnsi="宋体"/>
          <w:color w:val="000000"/>
          <w:sz w:val="24"/>
          <w:szCs w:val="24"/>
          <w:highlight w:val="none"/>
        </w:rPr>
        <w:t>年第</w:t>
      </w:r>
      <w:r>
        <w:rPr>
          <w:rFonts w:ascii="宋体" w:hAnsi="宋体"/>
          <w:color w:val="000000"/>
          <w:sz w:val="24"/>
          <w:szCs w:val="24"/>
          <w:highlight w:val="none"/>
        </w:rPr>
        <w:t>30</w:t>
      </w:r>
      <w:r>
        <w:rPr>
          <w:rFonts w:hint="eastAsia" w:ascii="宋体" w:hAnsi="宋体"/>
          <w:color w:val="000000"/>
          <w:sz w:val="24"/>
          <w:szCs w:val="24"/>
          <w:highlight w:val="none"/>
        </w:rPr>
        <w:t>号令）</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35.5</w:t>
      </w:r>
      <w:r>
        <w:rPr>
          <w:rFonts w:hint="eastAsia" w:ascii="宋体" w:hAnsi="宋体"/>
          <w:color w:val="000000"/>
          <w:sz w:val="24"/>
          <w:szCs w:val="24"/>
          <w:highlight w:val="none"/>
        </w:rPr>
        <w:t>《广东省实施〈中华人民共和国招标投标法〉办法》；</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35.6</w:t>
      </w:r>
      <w:r>
        <w:rPr>
          <w:rFonts w:hint="eastAsia" w:ascii="宋体" w:hAnsi="宋体"/>
          <w:color w:val="000000"/>
          <w:sz w:val="24"/>
          <w:szCs w:val="24"/>
          <w:highlight w:val="none"/>
        </w:rPr>
        <w:t>《房屋建筑和市政基础设施工程施工招标投标管理办法》（建设部令第</w:t>
      </w:r>
      <w:r>
        <w:rPr>
          <w:rFonts w:ascii="宋体" w:hAnsi="宋体"/>
          <w:color w:val="000000"/>
          <w:sz w:val="24"/>
          <w:szCs w:val="24"/>
          <w:highlight w:val="none"/>
        </w:rPr>
        <w:t>89</w:t>
      </w:r>
      <w:r>
        <w:rPr>
          <w:rFonts w:hint="eastAsia" w:ascii="宋体" w:hAnsi="宋体"/>
          <w:color w:val="000000"/>
          <w:sz w:val="24"/>
          <w:szCs w:val="24"/>
          <w:highlight w:val="none"/>
        </w:rPr>
        <w:t>号）</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35.7</w:t>
      </w:r>
      <w:r>
        <w:rPr>
          <w:rFonts w:hint="eastAsia" w:ascii="宋体" w:hAnsi="宋体"/>
          <w:color w:val="000000"/>
          <w:sz w:val="24"/>
          <w:szCs w:val="24"/>
          <w:highlight w:val="none"/>
        </w:rPr>
        <w:t>《广东省加强建设工程招标投标监督管理的若干规定》（粤发[2004]4号）；</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35.8《广州市工程建设项目招标投标管理办法》（穗建规字〔2023〕12号）；</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35.9本项目招标文件。</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36</w:t>
      </w:r>
      <w:r>
        <w:rPr>
          <w:rFonts w:hint="eastAsia" w:ascii="宋体" w:hAnsi="宋体"/>
          <w:color w:val="000000"/>
          <w:sz w:val="24"/>
          <w:szCs w:val="24"/>
          <w:highlight w:val="none"/>
        </w:rPr>
        <w:t>．开标</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36.1 </w:t>
      </w:r>
      <w:r>
        <w:rPr>
          <w:rFonts w:hint="eastAsia" w:ascii="宋体" w:hAnsi="宋体"/>
          <w:color w:val="000000"/>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36.2</w:t>
      </w:r>
      <w:r>
        <w:rPr>
          <w:rFonts w:hint="eastAsia" w:ascii="宋体" w:hAnsi="宋体"/>
          <w:color w:val="000000"/>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36.4若递交投标文件的投标人不足3家，则重新组织招标。（当</w:t>
      </w:r>
      <w:r>
        <w:rPr>
          <w:rFonts w:ascii="宋体" w:hAnsi="宋体"/>
          <w:color w:val="000000"/>
          <w:sz w:val="24"/>
          <w:szCs w:val="24"/>
          <w:highlight w:val="none"/>
        </w:rPr>
        <w:t>N</w:t>
      </w:r>
      <w:r>
        <w:rPr>
          <w:rFonts w:hint="eastAsia" w:ascii="宋体" w:hAnsi="宋体"/>
          <w:color w:val="000000"/>
          <w:sz w:val="24"/>
          <w:szCs w:val="24"/>
          <w:highlight w:val="none"/>
        </w:rPr>
        <w:t>个标段同时招标且不允许兼中时，若有效投标人不足</w:t>
      </w:r>
      <w:r>
        <w:rPr>
          <w:rFonts w:ascii="宋体" w:hAnsi="宋体"/>
          <w:color w:val="000000"/>
          <w:sz w:val="24"/>
          <w:szCs w:val="24"/>
          <w:highlight w:val="none"/>
        </w:rPr>
        <w:t>N+</w:t>
      </w:r>
      <w:r>
        <w:rPr>
          <w:rFonts w:hint="eastAsia" w:ascii="宋体" w:hAnsi="宋体"/>
          <w:color w:val="000000"/>
          <w:sz w:val="24"/>
          <w:szCs w:val="24"/>
          <w:highlight w:val="none"/>
        </w:rPr>
        <w:t>2家，则重新组织招标）</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36.5按下列程序进行开标：</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36.5.2备用光盘的读取按投标须知前附表第36项的规定执行；</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36.5.4开标结束。</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37</w:t>
      </w:r>
      <w:r>
        <w:rPr>
          <w:rFonts w:hint="eastAsia" w:ascii="宋体" w:hAnsi="宋体"/>
          <w:color w:val="000000"/>
          <w:sz w:val="24"/>
          <w:szCs w:val="24"/>
          <w:highlight w:val="none"/>
        </w:rPr>
        <w:t>．评标</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37.1</w:t>
      </w:r>
      <w:r>
        <w:rPr>
          <w:rFonts w:hint="eastAsia" w:ascii="宋体" w:hAnsi="宋体"/>
          <w:color w:val="000000"/>
          <w:sz w:val="24"/>
          <w:szCs w:val="24"/>
          <w:highlight w:val="none"/>
        </w:rPr>
        <w:t>评标委员会由招标人依法组建。</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37.2</w:t>
      </w:r>
      <w:r>
        <w:rPr>
          <w:rFonts w:hint="eastAsia" w:ascii="宋体" w:hAnsi="宋体"/>
          <w:color w:val="000000"/>
          <w:sz w:val="24"/>
          <w:szCs w:val="24"/>
          <w:highlight w:val="none"/>
        </w:rPr>
        <w:t>评标委员会的职责及守则：</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37.2.1</w:t>
      </w:r>
      <w:r>
        <w:rPr>
          <w:rFonts w:hint="eastAsia" w:ascii="宋体" w:hAnsi="宋体"/>
          <w:color w:val="000000"/>
          <w:sz w:val="24"/>
          <w:szCs w:val="24"/>
          <w:highlight w:val="none"/>
        </w:rPr>
        <w:t>根据评标细则，对</w:t>
      </w:r>
      <w:r>
        <w:rPr>
          <w:rFonts w:hint="eastAsia" w:ascii="宋体" w:hAnsi="宋体"/>
          <w:color w:val="000000"/>
          <w:sz w:val="24"/>
          <w:highlight w:val="none"/>
        </w:rPr>
        <w:t>投标文件</w:t>
      </w:r>
      <w:r>
        <w:rPr>
          <w:rFonts w:hint="eastAsia" w:ascii="宋体" w:hAnsi="宋体"/>
          <w:color w:val="000000"/>
          <w:sz w:val="24"/>
          <w:szCs w:val="24"/>
          <w:highlight w:val="none"/>
        </w:rPr>
        <w:t>进行认真评审，完成评审报告；</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37.2.2</w:t>
      </w:r>
      <w:r>
        <w:rPr>
          <w:rFonts w:hint="eastAsia" w:ascii="宋体" w:hAnsi="宋体"/>
          <w:color w:val="000000"/>
          <w:sz w:val="24"/>
          <w:szCs w:val="24"/>
          <w:highlight w:val="none"/>
        </w:rPr>
        <w:t>向招标人报告评审意见，推荐合格的中标候选人。</w:t>
      </w:r>
    </w:p>
    <w:p>
      <w:pPr>
        <w:spacing w:line="360" w:lineRule="auto"/>
        <w:ind w:firstLine="480" w:firstLineChars="200"/>
        <w:rPr>
          <w:rFonts w:ascii="宋体" w:hAnsi="宋体"/>
          <w:color w:val="000000"/>
          <w:sz w:val="24"/>
          <w:szCs w:val="24"/>
          <w:highlight w:val="none"/>
        </w:rPr>
      </w:pPr>
      <w:r>
        <w:rPr>
          <w:rFonts w:ascii="宋体" w:hAnsi="宋体"/>
          <w:bCs/>
          <w:color w:val="000000"/>
          <w:sz w:val="24"/>
          <w:szCs w:val="24"/>
          <w:highlight w:val="none"/>
        </w:rPr>
        <w:t>37.2.3</w:t>
      </w:r>
      <w:r>
        <w:rPr>
          <w:rFonts w:ascii="宋体" w:hAnsi="宋体"/>
          <w:b/>
          <w:bCs/>
          <w:color w:val="000000"/>
          <w:sz w:val="24"/>
          <w:szCs w:val="24"/>
          <w:highlight w:val="none"/>
        </w:rPr>
        <w:t xml:space="preserve"> </w:t>
      </w:r>
      <w:r>
        <w:rPr>
          <w:rFonts w:hint="eastAsia" w:ascii="宋体" w:hAnsi="宋体"/>
          <w:color w:val="000000"/>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37.2.4</w:t>
      </w:r>
      <w:r>
        <w:rPr>
          <w:rFonts w:hint="eastAsia" w:ascii="宋体" w:hAnsi="宋体"/>
          <w:color w:val="000000"/>
          <w:sz w:val="24"/>
          <w:szCs w:val="24"/>
          <w:highlight w:val="none"/>
        </w:rPr>
        <w:t>全体参与评标人员：</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37.2.4.1 </w:t>
      </w:r>
      <w:r>
        <w:rPr>
          <w:rFonts w:hint="eastAsia" w:ascii="宋体" w:hAnsi="宋体"/>
          <w:color w:val="000000"/>
          <w:sz w:val="24"/>
          <w:szCs w:val="24"/>
          <w:highlight w:val="none"/>
        </w:rPr>
        <w:t>必须遵守评标纪律、不得泄密；</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37.2.4.2 </w:t>
      </w:r>
      <w:r>
        <w:rPr>
          <w:rFonts w:hint="eastAsia" w:ascii="宋体" w:hAnsi="宋体"/>
          <w:color w:val="000000"/>
          <w:sz w:val="24"/>
          <w:szCs w:val="24"/>
          <w:highlight w:val="none"/>
        </w:rPr>
        <w:t>必须公正、不得循私；</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37.2.4.3 </w:t>
      </w:r>
      <w:r>
        <w:rPr>
          <w:rFonts w:hint="eastAsia" w:ascii="宋体" w:hAnsi="宋体"/>
          <w:color w:val="000000"/>
          <w:sz w:val="24"/>
          <w:szCs w:val="24"/>
          <w:highlight w:val="none"/>
        </w:rPr>
        <w:t>必须科学、不得草率；</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37.2.4.4 </w:t>
      </w:r>
      <w:r>
        <w:rPr>
          <w:rFonts w:hint="eastAsia" w:ascii="宋体" w:hAnsi="宋体"/>
          <w:color w:val="000000"/>
          <w:sz w:val="24"/>
          <w:szCs w:val="24"/>
          <w:highlight w:val="none"/>
        </w:rPr>
        <w:t>必须客观、不得带有成见；</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37.2.4.5 </w:t>
      </w:r>
      <w:r>
        <w:rPr>
          <w:rFonts w:hint="eastAsia" w:ascii="宋体" w:hAnsi="宋体"/>
          <w:color w:val="000000"/>
          <w:sz w:val="24"/>
          <w:szCs w:val="24"/>
          <w:highlight w:val="none"/>
        </w:rPr>
        <w:t>必须平等、不得强加于人；</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37.2.4.6 </w:t>
      </w:r>
      <w:r>
        <w:rPr>
          <w:rFonts w:hint="eastAsia" w:ascii="宋体" w:hAnsi="宋体"/>
          <w:color w:val="000000"/>
          <w:sz w:val="24"/>
          <w:szCs w:val="24"/>
          <w:highlight w:val="none"/>
        </w:rPr>
        <w:t>必须严谨、不得随意马虎。</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37.3 </w:t>
      </w:r>
      <w:r>
        <w:rPr>
          <w:rFonts w:hint="eastAsia" w:ascii="宋体" w:hAnsi="宋体"/>
          <w:color w:val="000000"/>
          <w:sz w:val="24"/>
          <w:szCs w:val="24"/>
          <w:highlight w:val="non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37.4评标结束后，评标委员会递交评标报告并依法推荐中标候选人。</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38</w:t>
      </w:r>
      <w:r>
        <w:rPr>
          <w:rFonts w:hint="eastAsia" w:ascii="宋体" w:hAnsi="宋体"/>
          <w:color w:val="000000"/>
          <w:sz w:val="24"/>
          <w:szCs w:val="24"/>
          <w:highlight w:val="none"/>
        </w:rPr>
        <w:t>．投标文件的澄清</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38.1</w:t>
      </w:r>
      <w:r>
        <w:rPr>
          <w:rFonts w:hint="eastAsia" w:ascii="宋体" w:hAnsi="宋体"/>
          <w:color w:val="000000"/>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38.2 </w:t>
      </w:r>
      <w:r>
        <w:rPr>
          <w:rFonts w:hint="eastAsia" w:ascii="宋体" w:hAnsi="宋体"/>
          <w:color w:val="000000"/>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38.3 </w:t>
      </w:r>
      <w:r>
        <w:rPr>
          <w:rFonts w:hint="eastAsia" w:ascii="宋体" w:hAnsi="宋体"/>
          <w:color w:val="000000"/>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38.4</w:t>
      </w:r>
      <w:r>
        <w:rPr>
          <w:rFonts w:hint="eastAsia" w:ascii="宋体" w:hAnsi="宋体"/>
          <w:color w:val="000000"/>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39</w:t>
      </w:r>
      <w:r>
        <w:rPr>
          <w:rFonts w:hint="eastAsia" w:ascii="宋体" w:hAnsi="宋体"/>
          <w:color w:val="000000"/>
          <w:sz w:val="24"/>
          <w:szCs w:val="24"/>
          <w:highlight w:val="none"/>
        </w:rPr>
        <w:t>．定标</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39.1 </w:t>
      </w:r>
      <w:r>
        <w:rPr>
          <w:rFonts w:hint="eastAsia" w:ascii="宋体" w:hAnsi="宋体"/>
          <w:color w:val="000000"/>
          <w:sz w:val="24"/>
          <w:szCs w:val="24"/>
          <w:highlight w:val="none"/>
        </w:rPr>
        <w:t>招标人根据评标委员会递交的评标报告，最终审定中标人。</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39.2 </w:t>
      </w:r>
      <w:r>
        <w:rPr>
          <w:rFonts w:hint="eastAsia" w:ascii="宋体" w:hAnsi="宋体"/>
          <w:color w:val="000000"/>
          <w:sz w:val="24"/>
          <w:szCs w:val="24"/>
          <w:highlight w:val="none"/>
        </w:rPr>
        <w:t>依法必须进行公开招标的项目，招标人应当确定排名第一的中标候选人为中标人。</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39.3</w:t>
      </w:r>
      <w:r>
        <w:rPr>
          <w:rFonts w:hint="eastAsia" w:ascii="宋体" w:hAnsi="宋体"/>
          <w:color w:val="000000"/>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39.4</w:t>
      </w:r>
      <w:r>
        <w:rPr>
          <w:rFonts w:hint="eastAsia" w:ascii="宋体" w:hAnsi="宋体"/>
          <w:color w:val="000000"/>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6"/>
        <w:spacing w:before="156" w:after="156"/>
        <w:ind w:firstLine="540" w:firstLineChars="200"/>
        <w:rPr>
          <w:color w:val="000000"/>
          <w:highlight w:val="none"/>
        </w:rPr>
      </w:pPr>
      <w:bookmarkStart w:id="28" w:name="_Toc21525502"/>
      <w:bookmarkStart w:id="29" w:name="_Toc2272558"/>
      <w:r>
        <w:rPr>
          <w:rFonts w:hint="eastAsia"/>
          <w:color w:val="000000"/>
          <w:highlight w:val="none"/>
        </w:rPr>
        <w:t>（二）开标评标办法程序和细则</w:t>
      </w:r>
      <w:bookmarkEnd w:id="28"/>
      <w:bookmarkEnd w:id="29"/>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注：以下八种评标办法所述企业综合诚信评价分数即投标截止当日广州市工程招标代理行业协会网站上公布的企业综合诚信评价</w:t>
      </w:r>
      <w:r>
        <w:rPr>
          <w:rFonts w:ascii="宋体" w:hAnsi="宋体"/>
          <w:color w:val="000000"/>
          <w:sz w:val="24"/>
          <w:szCs w:val="24"/>
          <w:highlight w:val="none"/>
        </w:rPr>
        <w:t>60</w:t>
      </w:r>
      <w:r>
        <w:rPr>
          <w:rFonts w:hint="eastAsia" w:ascii="宋体" w:hAnsi="宋体"/>
          <w:color w:val="000000"/>
          <w:sz w:val="24"/>
          <w:szCs w:val="24"/>
          <w:highlight w:val="none"/>
        </w:rPr>
        <w:t>日诚信分。</w:t>
      </w:r>
    </w:p>
    <w:p>
      <w:pPr>
        <w:spacing w:line="360" w:lineRule="auto"/>
        <w:ind w:firstLine="480" w:firstLineChars="200"/>
        <w:rPr>
          <w:rFonts w:ascii="宋体" w:hAnsi="宋体"/>
          <w:color w:val="000000"/>
          <w:sz w:val="24"/>
          <w:szCs w:val="24"/>
          <w:highlight w:val="none"/>
        </w:rPr>
      </w:pPr>
    </w:p>
    <w:p>
      <w:pPr>
        <w:pStyle w:val="6"/>
        <w:spacing w:before="156" w:after="156"/>
        <w:ind w:firstLine="540" w:firstLineChars="200"/>
        <w:rPr>
          <w:color w:val="000000"/>
          <w:highlight w:val="none"/>
        </w:rPr>
      </w:pPr>
      <w:bookmarkStart w:id="30" w:name="_Toc2272559"/>
      <w:bookmarkStart w:id="31" w:name="_Toc21525503"/>
      <w:r>
        <w:rPr>
          <w:rFonts w:hint="eastAsia"/>
          <w:color w:val="000000"/>
          <w:highlight w:val="none"/>
        </w:rPr>
        <w:t>可选办法一（适合综合评分法一，技术标与经济标先后分别开启）</w:t>
      </w:r>
      <w:bookmarkEnd w:id="30"/>
      <w:bookmarkEnd w:id="31"/>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40</w:t>
      </w:r>
      <w:r>
        <w:rPr>
          <w:rFonts w:hint="eastAsia" w:ascii="宋体" w:hAnsi="宋体"/>
          <w:color w:val="000000"/>
          <w:sz w:val="24"/>
          <w:szCs w:val="24"/>
          <w:highlight w:val="none"/>
        </w:rPr>
        <w:t>．开标和评标程序：</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40.1</w:t>
      </w:r>
      <w:r>
        <w:rPr>
          <w:rFonts w:hint="eastAsia" w:ascii="宋体" w:hAnsi="宋体"/>
          <w:color w:val="000000"/>
          <w:sz w:val="24"/>
          <w:szCs w:val="24"/>
          <w:highlight w:val="none"/>
        </w:rPr>
        <w:t>投标人递交技术标、经济标投标文件；</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40.2</w:t>
      </w:r>
      <w:r>
        <w:rPr>
          <w:rFonts w:hint="eastAsia" w:ascii="宋体" w:hAnsi="宋体"/>
          <w:color w:val="000000"/>
          <w:sz w:val="24"/>
          <w:szCs w:val="24"/>
          <w:highlight w:val="none"/>
        </w:rPr>
        <w:t>技术标投标文件公开开标；</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40.3由评标委员会对所有已公开开标的投标人进行资格审查；</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40.4</w:t>
      </w:r>
      <w:r>
        <w:rPr>
          <w:rFonts w:hint="eastAsia" w:ascii="宋体" w:hAnsi="宋体"/>
          <w:color w:val="000000"/>
          <w:sz w:val="24"/>
          <w:szCs w:val="24"/>
          <w:highlight w:val="none"/>
        </w:rPr>
        <w:t>技术标投标文件有效性审查；</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40.5</w:t>
      </w:r>
      <w:r>
        <w:rPr>
          <w:rFonts w:hint="eastAsia" w:ascii="宋体" w:hAnsi="宋体"/>
          <w:color w:val="000000"/>
          <w:sz w:val="24"/>
          <w:szCs w:val="24"/>
          <w:highlight w:val="none"/>
        </w:rPr>
        <w:t>技术标详细审查评分；</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40.6</w:t>
      </w:r>
      <w:r>
        <w:rPr>
          <w:rFonts w:hint="eastAsia" w:ascii="宋体" w:hAnsi="宋体"/>
          <w:color w:val="000000"/>
          <w:sz w:val="24"/>
          <w:szCs w:val="24"/>
          <w:highlight w:val="none"/>
        </w:rPr>
        <w:t>计算第一阶段得分，并按照总分从高到低排列先后次序，编写第一阶段评审报告；</w:t>
      </w:r>
      <w:r>
        <w:rPr>
          <w:rFonts w:ascii="宋体" w:hAnsi="宋体"/>
          <w:color w:val="000000"/>
          <w:sz w:val="24"/>
          <w:szCs w:val="24"/>
          <w:highlight w:val="none"/>
        </w:rPr>
        <w:t xml:space="preserve"> </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40.</w:t>
      </w:r>
      <w:r>
        <w:rPr>
          <w:rFonts w:hint="eastAsia" w:ascii="宋体" w:hAnsi="宋体"/>
          <w:color w:val="000000"/>
          <w:sz w:val="24"/>
          <w:szCs w:val="24"/>
          <w:highlight w:val="none"/>
        </w:rPr>
        <w:t>7对通过技术标有效性审查的经济标投标文件公开开标；</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40.</w:t>
      </w:r>
      <w:r>
        <w:rPr>
          <w:rFonts w:hint="eastAsia" w:ascii="宋体" w:hAnsi="宋体"/>
          <w:color w:val="000000"/>
          <w:sz w:val="24"/>
          <w:szCs w:val="24"/>
          <w:highlight w:val="none"/>
        </w:rPr>
        <w:t>8按投标须知前附表第25项规定，确定进入第二阶段评审的投标人；</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40.</w:t>
      </w:r>
      <w:r>
        <w:rPr>
          <w:rFonts w:hint="eastAsia" w:ascii="宋体" w:hAnsi="宋体"/>
          <w:color w:val="000000"/>
          <w:sz w:val="24"/>
          <w:szCs w:val="24"/>
          <w:highlight w:val="none"/>
        </w:rPr>
        <w:t>9将进入第二阶段评审的投标人进行排序；</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40.</w:t>
      </w:r>
      <w:r>
        <w:rPr>
          <w:rFonts w:hint="eastAsia" w:ascii="宋体" w:hAnsi="宋体"/>
          <w:color w:val="000000"/>
          <w:sz w:val="24"/>
          <w:szCs w:val="24"/>
          <w:highlight w:val="none"/>
        </w:rPr>
        <w:t>10按排序对经济标投标文件进行有效性审查（含投标报价算术校核），直至评出所有中标候选人；</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40.</w:t>
      </w:r>
      <w:r>
        <w:rPr>
          <w:rFonts w:hint="eastAsia" w:ascii="宋体" w:hAnsi="宋体"/>
          <w:color w:val="000000"/>
          <w:sz w:val="24"/>
          <w:szCs w:val="24"/>
          <w:highlight w:val="none"/>
        </w:rPr>
        <w:t>11评标委员会编写评标报告，向招标人推荐中标候选人名单。</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41. </w:t>
      </w:r>
      <w:r>
        <w:rPr>
          <w:rFonts w:hint="eastAsia" w:ascii="宋体" w:hAnsi="宋体"/>
          <w:color w:val="000000"/>
          <w:sz w:val="24"/>
          <w:szCs w:val="24"/>
          <w:highlight w:val="none"/>
        </w:rPr>
        <w:t>开标细则</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41.1</w:t>
      </w:r>
      <w:r>
        <w:rPr>
          <w:rFonts w:hint="eastAsia" w:ascii="宋体" w:hAnsi="宋体"/>
          <w:color w:val="000000"/>
          <w:sz w:val="24"/>
          <w:szCs w:val="24"/>
          <w:highlight w:val="none"/>
        </w:rPr>
        <w:t>开标由招标人主持；</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41.</w:t>
      </w:r>
      <w:r>
        <w:rPr>
          <w:rFonts w:hint="eastAsia" w:ascii="宋体" w:hAnsi="宋体"/>
          <w:color w:val="000000"/>
          <w:sz w:val="24"/>
          <w:szCs w:val="24"/>
          <w:highlight w:val="none"/>
        </w:rPr>
        <w:t>2细则</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41.</w:t>
      </w:r>
      <w:r>
        <w:rPr>
          <w:rFonts w:hint="eastAsia" w:ascii="宋体" w:hAnsi="宋体"/>
          <w:color w:val="000000"/>
          <w:sz w:val="24"/>
          <w:szCs w:val="24"/>
          <w:highlight w:val="none"/>
        </w:rPr>
        <w:t>2</w:t>
      </w:r>
      <w:r>
        <w:rPr>
          <w:rFonts w:ascii="宋体" w:hAnsi="宋体"/>
          <w:color w:val="000000"/>
          <w:sz w:val="24"/>
          <w:szCs w:val="24"/>
          <w:highlight w:val="none"/>
        </w:rPr>
        <w:t>.1</w:t>
      </w:r>
      <w:r>
        <w:rPr>
          <w:rFonts w:hint="eastAsia" w:ascii="宋体" w:hAnsi="宋体"/>
          <w:color w:val="000000"/>
          <w:sz w:val="24"/>
          <w:szCs w:val="24"/>
          <w:highlight w:val="none"/>
        </w:rPr>
        <w:t>投标截止期前，各投标人递交投标文件（包括技术标投标文件、经济标投标文件）至</w:t>
      </w:r>
      <w:r>
        <w:rPr>
          <w:color w:val="000000"/>
          <w:sz w:val="24"/>
          <w:szCs w:val="24"/>
          <w:highlight w:val="none"/>
          <w:u w:val="single"/>
        </w:rPr>
        <w:t xml:space="preserve">        </w:t>
      </w:r>
      <w:r>
        <w:rPr>
          <w:rFonts w:hint="eastAsia" w:ascii="宋体" w:hAnsi="宋体"/>
          <w:color w:val="000000"/>
          <w:sz w:val="24"/>
          <w:szCs w:val="24"/>
          <w:highlight w:val="none"/>
        </w:rPr>
        <w:t>交易平台。有关投标文件提交的事项详见第一章投标须知。</w:t>
      </w:r>
      <w:r>
        <w:rPr>
          <w:rFonts w:ascii="宋体" w:hAnsi="宋体"/>
          <w:color w:val="000000"/>
          <w:sz w:val="24"/>
          <w:szCs w:val="24"/>
          <w:highlight w:val="none"/>
        </w:rPr>
        <w:t xml:space="preserve"> </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41.</w:t>
      </w:r>
      <w:r>
        <w:rPr>
          <w:rFonts w:hint="eastAsia" w:ascii="宋体" w:hAnsi="宋体"/>
          <w:color w:val="000000"/>
          <w:sz w:val="24"/>
          <w:szCs w:val="24"/>
          <w:highlight w:val="none"/>
        </w:rPr>
        <w:t>2</w:t>
      </w:r>
      <w:r>
        <w:rPr>
          <w:rFonts w:ascii="宋体" w:hAnsi="宋体"/>
          <w:color w:val="000000"/>
          <w:sz w:val="24"/>
          <w:szCs w:val="24"/>
          <w:highlight w:val="none"/>
        </w:rPr>
        <w:t>.2</w:t>
      </w:r>
      <w:r>
        <w:rPr>
          <w:rFonts w:hint="eastAsia" w:ascii="宋体" w:hAnsi="宋体"/>
          <w:color w:val="000000"/>
          <w:sz w:val="24"/>
          <w:szCs w:val="24"/>
          <w:highlight w:val="none"/>
        </w:rPr>
        <w:t>先开技术标；</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41.</w:t>
      </w:r>
      <w:r>
        <w:rPr>
          <w:rFonts w:hint="eastAsia" w:ascii="宋体" w:hAnsi="宋体"/>
          <w:color w:val="000000"/>
          <w:sz w:val="24"/>
          <w:szCs w:val="24"/>
          <w:highlight w:val="none"/>
        </w:rPr>
        <w:t>2</w:t>
      </w:r>
      <w:r>
        <w:rPr>
          <w:rFonts w:ascii="宋体" w:hAnsi="宋体"/>
          <w:color w:val="000000"/>
          <w:sz w:val="24"/>
          <w:szCs w:val="24"/>
          <w:highlight w:val="none"/>
        </w:rPr>
        <w:t>.3</w:t>
      </w:r>
      <w:r>
        <w:rPr>
          <w:rFonts w:hint="eastAsia" w:ascii="宋体" w:hAnsi="宋体"/>
          <w:color w:val="000000"/>
          <w:sz w:val="24"/>
          <w:szCs w:val="24"/>
          <w:highlight w:val="none"/>
        </w:rPr>
        <w:t>对通过技术标有效性审查的投标人开启其经济标投标文件；</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41.2.4 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41.3按36.5.1的规定完成解密后，公布下列内容，并予以记录，记录提交评标委员会评审：</w:t>
      </w:r>
      <w:r>
        <w:rPr>
          <w:rFonts w:ascii="宋体" w:hAnsi="宋体"/>
          <w:color w:val="000000"/>
          <w:sz w:val="24"/>
          <w:szCs w:val="24"/>
          <w:highlight w:val="none"/>
        </w:rPr>
        <w:t xml:space="preserve"> </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41.</w:t>
      </w:r>
      <w:r>
        <w:rPr>
          <w:rFonts w:hint="eastAsia" w:ascii="宋体" w:hAnsi="宋体"/>
          <w:color w:val="000000"/>
          <w:sz w:val="24"/>
          <w:szCs w:val="24"/>
          <w:highlight w:val="none"/>
        </w:rPr>
        <w:t>3</w:t>
      </w:r>
      <w:r>
        <w:rPr>
          <w:rFonts w:ascii="宋体" w:hAnsi="宋体"/>
          <w:color w:val="000000"/>
          <w:sz w:val="24"/>
          <w:szCs w:val="24"/>
          <w:highlight w:val="none"/>
        </w:rPr>
        <w:t xml:space="preserve">.1 </w:t>
      </w:r>
      <w:r>
        <w:rPr>
          <w:rFonts w:hint="eastAsia" w:ascii="宋体" w:hAnsi="宋体"/>
          <w:color w:val="000000"/>
          <w:sz w:val="24"/>
          <w:szCs w:val="24"/>
          <w:highlight w:val="none"/>
        </w:rPr>
        <w:t>技术标开标时，公布：</w:t>
      </w:r>
      <w:r>
        <w:rPr>
          <w:rFonts w:ascii="宋体" w:hAnsi="宋体"/>
          <w:color w:val="000000"/>
          <w:sz w:val="24"/>
          <w:szCs w:val="24"/>
          <w:highlight w:val="none"/>
        </w:rPr>
        <w:t>a</w:t>
      </w:r>
      <w:r>
        <w:rPr>
          <w:rFonts w:hint="eastAsia" w:ascii="宋体" w:hAnsi="宋体"/>
          <w:color w:val="000000"/>
          <w:sz w:val="24"/>
          <w:szCs w:val="24"/>
          <w:highlight w:val="none"/>
        </w:rPr>
        <w:t>、投标人名称；</w:t>
      </w:r>
      <w:r>
        <w:rPr>
          <w:rFonts w:ascii="宋体" w:hAnsi="宋体"/>
          <w:color w:val="000000"/>
          <w:sz w:val="24"/>
          <w:szCs w:val="24"/>
          <w:highlight w:val="none"/>
        </w:rPr>
        <w:t>b</w:t>
      </w:r>
      <w:r>
        <w:rPr>
          <w:rFonts w:hint="eastAsia" w:ascii="宋体" w:hAnsi="宋体"/>
          <w:color w:val="000000"/>
          <w:sz w:val="24"/>
          <w:szCs w:val="24"/>
          <w:highlight w:val="none"/>
        </w:rPr>
        <w:t>、</w:t>
      </w:r>
      <w:r>
        <w:rPr>
          <w:rFonts w:hint="eastAsia" w:ascii="宋体" w:hAnsi="宋体"/>
          <w:color w:val="000000"/>
          <w:sz w:val="24"/>
          <w:highlight w:val="none"/>
        </w:rPr>
        <w:t>投标文件</w:t>
      </w:r>
      <w:r>
        <w:rPr>
          <w:rFonts w:hint="eastAsia" w:ascii="宋体" w:hAnsi="宋体"/>
          <w:color w:val="000000"/>
          <w:sz w:val="24"/>
          <w:szCs w:val="24"/>
          <w:highlight w:val="none"/>
        </w:rPr>
        <w:t>密封情况；</w:t>
      </w:r>
      <w:r>
        <w:rPr>
          <w:rFonts w:ascii="宋体" w:hAnsi="宋体"/>
          <w:color w:val="000000"/>
          <w:sz w:val="24"/>
          <w:szCs w:val="24"/>
          <w:highlight w:val="none"/>
        </w:rPr>
        <w:t>c</w:t>
      </w:r>
      <w:r>
        <w:rPr>
          <w:rFonts w:hint="eastAsia" w:ascii="宋体" w:hAnsi="宋体"/>
          <w:color w:val="000000"/>
          <w:sz w:val="24"/>
          <w:szCs w:val="24"/>
          <w:highlight w:val="none"/>
        </w:rPr>
        <w:t>、法定代表人证明及授权委托；</w:t>
      </w:r>
      <w:r>
        <w:rPr>
          <w:rFonts w:ascii="宋体" w:hAnsi="宋体"/>
          <w:color w:val="000000"/>
          <w:sz w:val="24"/>
          <w:szCs w:val="24"/>
          <w:highlight w:val="none"/>
        </w:rPr>
        <w:t>d</w:t>
      </w:r>
      <w:r>
        <w:rPr>
          <w:rFonts w:hint="eastAsia" w:ascii="宋体" w:hAnsi="宋体"/>
          <w:color w:val="000000"/>
          <w:sz w:val="24"/>
          <w:szCs w:val="24"/>
          <w:highlight w:val="none"/>
        </w:rPr>
        <w:t>、投标保证金；</w:t>
      </w:r>
      <w:r>
        <w:rPr>
          <w:rFonts w:ascii="宋体" w:hAnsi="宋体"/>
          <w:color w:val="000000"/>
          <w:sz w:val="24"/>
          <w:szCs w:val="24"/>
          <w:highlight w:val="none"/>
        </w:rPr>
        <w:t>e</w:t>
      </w:r>
      <w:r>
        <w:rPr>
          <w:rFonts w:hint="eastAsia" w:ascii="宋体" w:hAnsi="宋体"/>
          <w:color w:val="000000"/>
          <w:sz w:val="24"/>
          <w:szCs w:val="24"/>
          <w:highlight w:val="none"/>
        </w:rPr>
        <w:t>、项目经理（负责人）名称等主要内容以及开标记录表中的其他必要内容；</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41.</w:t>
      </w:r>
      <w:r>
        <w:rPr>
          <w:rFonts w:hint="eastAsia" w:ascii="宋体" w:hAnsi="宋体"/>
          <w:color w:val="000000"/>
          <w:sz w:val="24"/>
          <w:szCs w:val="24"/>
          <w:highlight w:val="none"/>
        </w:rPr>
        <w:t>3</w:t>
      </w:r>
      <w:r>
        <w:rPr>
          <w:rFonts w:ascii="宋体" w:hAnsi="宋体"/>
          <w:color w:val="000000"/>
          <w:sz w:val="24"/>
          <w:szCs w:val="24"/>
          <w:highlight w:val="none"/>
        </w:rPr>
        <w:t xml:space="preserve">.2 </w:t>
      </w:r>
      <w:r>
        <w:rPr>
          <w:rFonts w:hint="eastAsia" w:ascii="宋体" w:hAnsi="宋体"/>
          <w:color w:val="000000"/>
          <w:sz w:val="24"/>
          <w:szCs w:val="24"/>
          <w:highlight w:val="none"/>
        </w:rPr>
        <w:t>经济标开标前，首先公布技术标通过有效性审查的投标人</w:t>
      </w:r>
      <w:r>
        <w:rPr>
          <w:rFonts w:ascii="宋体" w:hAnsi="宋体"/>
          <w:color w:val="000000"/>
          <w:sz w:val="24"/>
          <w:szCs w:val="24"/>
          <w:highlight w:val="none"/>
        </w:rPr>
        <w:t>,</w:t>
      </w:r>
      <w:r>
        <w:rPr>
          <w:rFonts w:hint="eastAsia" w:ascii="宋体" w:hAnsi="宋体"/>
          <w:color w:val="000000"/>
          <w:sz w:val="24"/>
          <w:szCs w:val="24"/>
          <w:highlight w:val="none"/>
        </w:rPr>
        <w:t>招标人依次开启通过技术标有效性审查的投标人的经济标。开标时，公布：</w:t>
      </w:r>
      <w:r>
        <w:rPr>
          <w:rFonts w:ascii="宋体" w:hAnsi="宋体"/>
          <w:color w:val="000000"/>
          <w:sz w:val="24"/>
          <w:szCs w:val="24"/>
          <w:highlight w:val="none"/>
        </w:rPr>
        <w:t>a</w:t>
      </w:r>
      <w:r>
        <w:rPr>
          <w:rFonts w:hint="eastAsia" w:ascii="宋体" w:hAnsi="宋体"/>
          <w:color w:val="000000"/>
          <w:sz w:val="24"/>
          <w:szCs w:val="24"/>
          <w:highlight w:val="none"/>
        </w:rPr>
        <w:t>、投标人名称；</w:t>
      </w:r>
      <w:r>
        <w:rPr>
          <w:rFonts w:ascii="宋体" w:hAnsi="宋体"/>
          <w:color w:val="000000"/>
          <w:sz w:val="24"/>
          <w:szCs w:val="24"/>
          <w:highlight w:val="none"/>
        </w:rPr>
        <w:t>b</w:t>
      </w:r>
      <w:r>
        <w:rPr>
          <w:rFonts w:hint="eastAsia" w:ascii="宋体" w:hAnsi="宋体"/>
          <w:color w:val="000000"/>
          <w:sz w:val="24"/>
          <w:szCs w:val="24"/>
          <w:highlight w:val="none"/>
        </w:rPr>
        <w:t>、</w:t>
      </w:r>
      <w:r>
        <w:rPr>
          <w:rFonts w:hint="eastAsia" w:ascii="宋体" w:hAnsi="宋体"/>
          <w:color w:val="000000"/>
          <w:sz w:val="24"/>
          <w:highlight w:val="none"/>
        </w:rPr>
        <w:t>投标文件</w:t>
      </w:r>
      <w:r>
        <w:rPr>
          <w:rFonts w:hint="eastAsia" w:ascii="宋体" w:hAnsi="宋体"/>
          <w:color w:val="000000"/>
          <w:sz w:val="24"/>
          <w:szCs w:val="24"/>
          <w:highlight w:val="none"/>
        </w:rPr>
        <w:t>密封情况；</w:t>
      </w:r>
      <w:r>
        <w:rPr>
          <w:rFonts w:ascii="宋体" w:hAnsi="宋体"/>
          <w:color w:val="000000"/>
          <w:sz w:val="24"/>
          <w:szCs w:val="24"/>
          <w:highlight w:val="none"/>
        </w:rPr>
        <w:t>c</w:t>
      </w:r>
      <w:r>
        <w:rPr>
          <w:rFonts w:hint="eastAsia" w:ascii="宋体" w:hAnsi="宋体"/>
          <w:color w:val="000000"/>
          <w:sz w:val="24"/>
          <w:szCs w:val="24"/>
          <w:highlight w:val="none"/>
        </w:rPr>
        <w:t>、投标报价等主要内容以及开标记录表中的其他必要内容。投标报价以数字和文字两种方式表述的，应公布文字表述的投标报价。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41.</w:t>
      </w:r>
      <w:r>
        <w:rPr>
          <w:rFonts w:hint="eastAsia" w:ascii="宋体" w:hAnsi="宋体"/>
          <w:color w:val="000000"/>
          <w:sz w:val="24"/>
          <w:szCs w:val="24"/>
          <w:highlight w:val="none"/>
        </w:rPr>
        <w:t>4招标人对开标过程进行记录，并存档备查，投标人在开标记录上签字。</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41.</w:t>
      </w:r>
      <w:r>
        <w:rPr>
          <w:rFonts w:hint="eastAsia" w:ascii="宋体" w:hAnsi="宋体"/>
          <w:color w:val="000000"/>
          <w:sz w:val="24"/>
          <w:szCs w:val="24"/>
          <w:highlight w:val="none"/>
        </w:rPr>
        <w:t>5</w:t>
      </w:r>
      <w:r>
        <w:rPr>
          <w:rFonts w:ascii="宋体" w:hAnsi="宋体"/>
          <w:color w:val="000000"/>
          <w:sz w:val="24"/>
          <w:szCs w:val="24"/>
          <w:highlight w:val="none"/>
        </w:rPr>
        <w:t xml:space="preserve"> </w:t>
      </w:r>
      <w:r>
        <w:rPr>
          <w:rFonts w:hint="eastAsia" w:ascii="宋体" w:hAnsi="宋体"/>
          <w:color w:val="000000"/>
          <w:sz w:val="24"/>
          <w:szCs w:val="24"/>
          <w:highlight w:val="none"/>
        </w:rPr>
        <w:t>招标人将上述符合要求的投标文件，送至评标委员会进行评审。</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42. </w:t>
      </w:r>
      <w:r>
        <w:rPr>
          <w:rFonts w:hint="eastAsia" w:ascii="宋体" w:hAnsi="宋体"/>
          <w:color w:val="000000"/>
          <w:sz w:val="24"/>
          <w:szCs w:val="24"/>
          <w:highlight w:val="none"/>
        </w:rPr>
        <w:t>评标细则</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42.1</w:t>
      </w:r>
      <w:r>
        <w:rPr>
          <w:rFonts w:hint="eastAsia" w:ascii="宋体" w:hAnsi="宋体"/>
          <w:color w:val="000000"/>
          <w:sz w:val="24"/>
          <w:szCs w:val="24"/>
          <w:highlight w:val="none"/>
        </w:rPr>
        <w:t>评标委员会的组成：方式</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方式一：评标委员会为综合评标委员会，负责评标工作。</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方式二：评标委员会由技术评审组和经济评审组组成。其中：资格审查、技术评审由技术评标组负责，经济评审由经济评审组负责。</w:t>
      </w:r>
    </w:p>
    <w:p>
      <w:pPr>
        <w:pStyle w:val="35"/>
        <w:tabs>
          <w:tab w:val="left" w:pos="7380"/>
        </w:tabs>
        <w:snapToGrid w:val="0"/>
        <w:spacing w:after="0" w:line="360" w:lineRule="auto"/>
        <w:ind w:firstLine="480" w:firstLineChars="200"/>
        <w:rPr>
          <w:rFonts w:ascii="宋体"/>
          <w:color w:val="000000"/>
          <w:sz w:val="24"/>
          <w:szCs w:val="24"/>
          <w:highlight w:val="none"/>
        </w:rPr>
      </w:pPr>
      <w:r>
        <w:rPr>
          <w:rFonts w:hint="eastAsia" w:ascii="宋体"/>
          <w:color w:val="000000"/>
          <w:sz w:val="24"/>
          <w:szCs w:val="24"/>
          <w:highlight w:val="none"/>
        </w:rPr>
        <w:t>42.2投标人资格审查</w:t>
      </w:r>
    </w:p>
    <w:p>
      <w:pPr>
        <w:pStyle w:val="35"/>
        <w:tabs>
          <w:tab w:val="left" w:pos="7380"/>
        </w:tabs>
        <w:snapToGrid w:val="0"/>
        <w:spacing w:after="0" w:line="360" w:lineRule="auto"/>
        <w:ind w:firstLine="480" w:firstLineChars="200"/>
        <w:rPr>
          <w:rFonts w:ascii="宋体"/>
          <w:color w:val="000000"/>
          <w:sz w:val="24"/>
          <w:szCs w:val="24"/>
          <w:highlight w:val="none"/>
        </w:rPr>
      </w:pPr>
      <w:r>
        <w:rPr>
          <w:rFonts w:hint="eastAsia" w:ascii="宋体"/>
          <w:color w:val="000000"/>
          <w:sz w:val="24"/>
          <w:szCs w:val="24"/>
          <w:highlight w:val="none"/>
        </w:rPr>
        <w:t>42.2.1</w:t>
      </w:r>
      <w:r>
        <w:rPr>
          <w:rFonts w:hint="eastAsia" w:ascii="仿宋" w:hAnsi="仿宋" w:eastAsia="仿宋" w:cs="宋体"/>
          <w:bCs/>
          <w:kern w:val="0"/>
          <w:sz w:val="22"/>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仿宋" w:hAnsi="仿宋" w:eastAsia="仿宋" w:cs="宋体"/>
          <w:b/>
          <w:bCs/>
          <w:kern w:val="0"/>
          <w:sz w:val="22"/>
          <w:highlight w:val="none"/>
        </w:rPr>
        <w:t>评委</w:t>
      </w:r>
      <w:r>
        <w:rPr>
          <w:rFonts w:ascii="仿宋" w:hAnsi="仿宋" w:eastAsia="仿宋" w:cs="宋体"/>
          <w:b/>
          <w:bCs/>
          <w:kern w:val="0"/>
          <w:sz w:val="22"/>
          <w:highlight w:val="none"/>
        </w:rPr>
        <w:t>发现</w:t>
      </w:r>
      <w:r>
        <w:rPr>
          <w:rFonts w:hint="eastAsia" w:ascii="仿宋" w:hAnsi="仿宋" w:eastAsia="仿宋" w:cs="宋体"/>
          <w:b/>
          <w:bCs/>
          <w:kern w:val="0"/>
          <w:sz w:val="22"/>
          <w:highlight w:val="none"/>
        </w:rPr>
        <w:t>资格审查文件</w:t>
      </w:r>
      <w:r>
        <w:rPr>
          <w:rFonts w:ascii="仿宋" w:hAnsi="仿宋" w:eastAsia="仿宋" w:cs="宋体"/>
          <w:b/>
          <w:bCs/>
          <w:kern w:val="0"/>
          <w:sz w:val="22"/>
          <w:highlight w:val="none"/>
        </w:rPr>
        <w:t>中</w:t>
      </w:r>
      <w:r>
        <w:rPr>
          <w:rFonts w:hint="eastAsia" w:ascii="仿宋" w:hAnsi="仿宋" w:eastAsia="仿宋" w:cs="宋体"/>
          <w:b/>
          <w:bCs/>
          <w:kern w:val="0"/>
          <w:sz w:val="22"/>
          <w:highlight w:val="none"/>
        </w:rPr>
        <w:t>含义不明确</w:t>
      </w:r>
      <w:r>
        <w:rPr>
          <w:rFonts w:ascii="仿宋" w:hAnsi="仿宋" w:eastAsia="仿宋" w:cs="宋体"/>
          <w:b/>
          <w:bCs/>
          <w:kern w:val="0"/>
          <w:sz w:val="22"/>
          <w:highlight w:val="none"/>
        </w:rPr>
        <w:t>、对同类问题表述不一致、有明显</w:t>
      </w:r>
      <w:r>
        <w:rPr>
          <w:rFonts w:hint="eastAsia" w:ascii="仿宋" w:hAnsi="仿宋" w:eastAsia="仿宋" w:cs="宋体"/>
          <w:b/>
          <w:bCs/>
          <w:kern w:val="0"/>
          <w:sz w:val="22"/>
          <w:highlight w:val="none"/>
        </w:rPr>
        <w:t>文字</w:t>
      </w:r>
      <w:r>
        <w:rPr>
          <w:rFonts w:ascii="仿宋" w:hAnsi="仿宋" w:eastAsia="仿宋" w:cs="宋体"/>
          <w:b/>
          <w:bCs/>
          <w:kern w:val="0"/>
          <w:sz w:val="22"/>
          <w:highlight w:val="none"/>
        </w:rPr>
        <w:t>和计算错误的，应当</w:t>
      </w:r>
      <w:r>
        <w:rPr>
          <w:rFonts w:hint="eastAsia" w:ascii="仿宋" w:hAnsi="仿宋" w:eastAsia="仿宋" w:cs="宋体"/>
          <w:b/>
          <w:bCs/>
          <w:kern w:val="0"/>
          <w:sz w:val="22"/>
          <w:highlight w:val="none"/>
        </w:rPr>
        <w:t>要求</w:t>
      </w:r>
      <w:r>
        <w:rPr>
          <w:rFonts w:ascii="仿宋" w:hAnsi="仿宋" w:eastAsia="仿宋" w:cs="宋体"/>
          <w:b/>
          <w:bCs/>
          <w:kern w:val="0"/>
          <w:sz w:val="22"/>
          <w:highlight w:val="none"/>
        </w:rPr>
        <w:t>投标人作必要的澄清、说明</w:t>
      </w:r>
      <w:r>
        <w:rPr>
          <w:rFonts w:hint="eastAsia" w:ascii="仿宋" w:hAnsi="仿宋" w:eastAsia="仿宋" w:cs="宋体"/>
          <w:b/>
          <w:bCs/>
          <w:kern w:val="0"/>
          <w:sz w:val="22"/>
          <w:highlight w:val="none"/>
        </w:rPr>
        <w:t>后再判定投标人是否通过资格审查</w:t>
      </w:r>
      <w:r>
        <w:rPr>
          <w:rFonts w:ascii="仿宋" w:hAnsi="仿宋" w:eastAsia="仿宋" w:cs="宋体"/>
          <w:b/>
          <w:bCs/>
          <w:kern w:val="0"/>
          <w:sz w:val="22"/>
          <w:highlight w:val="none"/>
        </w:rPr>
        <w:t>，不得直接</w:t>
      </w:r>
      <w:r>
        <w:rPr>
          <w:rFonts w:hint="eastAsia" w:ascii="仿宋" w:hAnsi="仿宋" w:eastAsia="仿宋" w:cs="宋体"/>
          <w:b/>
          <w:bCs/>
          <w:kern w:val="0"/>
          <w:sz w:val="22"/>
          <w:highlight w:val="none"/>
        </w:rPr>
        <w:t>认定其不通过资格审查。</w:t>
      </w:r>
    </w:p>
    <w:p>
      <w:pPr>
        <w:pStyle w:val="35"/>
        <w:tabs>
          <w:tab w:val="left" w:pos="7380"/>
        </w:tabs>
        <w:snapToGrid w:val="0"/>
        <w:spacing w:after="0" w:line="360" w:lineRule="auto"/>
        <w:ind w:firstLine="480" w:firstLineChars="200"/>
        <w:rPr>
          <w:rFonts w:ascii="宋体"/>
          <w:color w:val="000000"/>
          <w:sz w:val="24"/>
          <w:szCs w:val="24"/>
          <w:highlight w:val="none"/>
        </w:rPr>
      </w:pPr>
      <w:r>
        <w:rPr>
          <w:rFonts w:hint="eastAsia" w:ascii="宋体"/>
          <w:color w:val="000000"/>
          <w:sz w:val="24"/>
          <w:szCs w:val="24"/>
          <w:highlight w:val="none"/>
        </w:rPr>
        <w:t>42.2.2汇总资格审查情况，编写资格审查报告。</w:t>
      </w:r>
    </w:p>
    <w:p>
      <w:pPr>
        <w:pStyle w:val="35"/>
        <w:tabs>
          <w:tab w:val="left" w:pos="7380"/>
        </w:tabs>
        <w:snapToGrid w:val="0"/>
        <w:spacing w:after="0" w:line="360" w:lineRule="auto"/>
        <w:ind w:firstLine="480" w:firstLineChars="200"/>
        <w:rPr>
          <w:rFonts w:ascii="宋体"/>
          <w:color w:val="000000"/>
          <w:sz w:val="24"/>
          <w:szCs w:val="24"/>
          <w:highlight w:val="none"/>
        </w:rPr>
      </w:pPr>
      <w:r>
        <w:rPr>
          <w:rFonts w:hint="eastAsia" w:ascii="宋体"/>
          <w:color w:val="000000"/>
          <w:sz w:val="24"/>
          <w:szCs w:val="24"/>
          <w:highlight w:val="none"/>
        </w:rPr>
        <w:t>42.2.3资格审查不合格的投标文件不参加下一阶段的评标，不参与评标参考价的计算。</w:t>
      </w:r>
    </w:p>
    <w:p>
      <w:pPr>
        <w:pStyle w:val="35"/>
        <w:tabs>
          <w:tab w:val="left" w:pos="7380"/>
        </w:tabs>
        <w:snapToGrid w:val="0"/>
        <w:spacing w:after="0" w:line="360" w:lineRule="auto"/>
        <w:ind w:firstLine="480" w:firstLineChars="200"/>
        <w:rPr>
          <w:rFonts w:ascii="宋体"/>
          <w:color w:val="000000"/>
          <w:sz w:val="24"/>
          <w:szCs w:val="24"/>
          <w:highlight w:val="none"/>
        </w:rPr>
      </w:pPr>
      <w:r>
        <w:rPr>
          <w:rFonts w:hint="eastAsia" w:ascii="宋体"/>
          <w:color w:val="000000"/>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5"/>
        <w:tabs>
          <w:tab w:val="left" w:pos="7380"/>
        </w:tabs>
        <w:snapToGrid w:val="0"/>
        <w:spacing w:after="0" w:line="360" w:lineRule="auto"/>
        <w:ind w:firstLine="480" w:firstLineChars="200"/>
        <w:rPr>
          <w:rFonts w:ascii="宋体"/>
          <w:color w:val="000000"/>
          <w:sz w:val="24"/>
          <w:szCs w:val="24"/>
          <w:highlight w:val="none"/>
        </w:rPr>
      </w:pPr>
      <w:r>
        <w:rPr>
          <w:rFonts w:hint="eastAsia" w:ascii="宋体"/>
          <w:color w:val="000000"/>
          <w:sz w:val="24"/>
          <w:szCs w:val="24"/>
          <w:highlight w:val="none"/>
        </w:rPr>
        <w:t>42.2.5资审合格后，投标人的资格发生变化而不满足投标人合格条件，在发出中标通知书前，资格问题仍未解决的，招标人将取消其中标资格。</w:t>
      </w:r>
    </w:p>
    <w:p>
      <w:pPr>
        <w:spacing w:line="360" w:lineRule="auto"/>
        <w:ind w:firstLine="480" w:firstLineChars="200"/>
        <w:rPr>
          <w:rFonts w:ascii="宋体" w:hAnsi="宋体"/>
          <w:color w:val="000000"/>
          <w:sz w:val="24"/>
          <w:szCs w:val="24"/>
          <w:highlight w:val="none"/>
        </w:rPr>
      </w:pPr>
      <w:r>
        <w:rPr>
          <w:rFonts w:hint="eastAsia" w:ascii="宋体"/>
          <w:color w:val="000000"/>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42.3 第一阶段评审</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42.3.1</w:t>
      </w:r>
      <w:r>
        <w:rPr>
          <w:rFonts w:hint="eastAsia" w:ascii="宋体" w:hAnsi="宋体" w:cs="宋体"/>
          <w:bCs/>
          <w:kern w:val="0"/>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b/>
          <w:bCs/>
          <w:color w:val="000000"/>
          <w:kern w:val="0"/>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42.3</w:t>
      </w:r>
      <w:r>
        <w:rPr>
          <w:rFonts w:hint="eastAsia" w:ascii="宋体" w:hAnsi="宋体"/>
          <w:color w:val="000000"/>
          <w:sz w:val="24"/>
          <w:szCs w:val="24"/>
          <w:highlight w:val="none"/>
        </w:rPr>
        <w:t>.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42.3.5招标人应在《投标须知前附表》中明确选择使用施工企业总排名或相应的施工专业承包排名计分。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42.4</w:t>
      </w:r>
      <w:r>
        <w:rPr>
          <w:rFonts w:hint="eastAsia" w:ascii="宋体" w:hAnsi="宋体"/>
          <w:color w:val="000000"/>
          <w:sz w:val="24"/>
          <w:szCs w:val="24"/>
          <w:highlight w:val="none"/>
        </w:rPr>
        <w:t xml:space="preserve"> 第二阶段评审</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42.4.1</w:t>
      </w:r>
      <w:r>
        <w:rPr>
          <w:rFonts w:hint="eastAsia" w:ascii="宋体" w:hAnsi="宋体"/>
          <w:color w:val="000000"/>
          <w:sz w:val="24"/>
          <w:szCs w:val="24"/>
          <w:highlight w:val="none"/>
        </w:rPr>
        <w:t>开启经济标后，按照投标须知前附表第25项规定，确定进入第二阶段评审的投标人，若在进入第二阶段的最后名次发生并列的，则所有并列的投标人均进入第二阶段。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42.4.2</w:t>
      </w:r>
      <w:r>
        <w:rPr>
          <w:rFonts w:hint="eastAsia" w:ascii="宋体" w:hAnsi="宋体"/>
          <w:strike/>
          <w:color w:val="000000"/>
          <w:sz w:val="24"/>
          <w:szCs w:val="24"/>
          <w:highlight w:val="none"/>
        </w:rPr>
        <w:t>若进入第二阶段投标人中所有投标报价均大于等于最高投标限价*D%（D的取值范围为[94,100],由招标人自主确定）的（具体金额为：</w:t>
      </w:r>
      <w:r>
        <w:rPr>
          <w:rFonts w:hint="eastAsia" w:ascii="宋体" w:hAnsi="宋体"/>
          <w:strike/>
          <w:color w:val="000000"/>
          <w:sz w:val="24"/>
          <w:szCs w:val="24"/>
          <w:highlight w:val="none"/>
          <w:u w:val="single"/>
        </w:rPr>
        <w:t xml:space="preserve">  </w:t>
      </w:r>
      <w:r>
        <w:rPr>
          <w:rFonts w:hint="eastAsia" w:ascii="宋体" w:hAnsi="宋体"/>
          <w:strike/>
          <w:color w:val="000000"/>
          <w:sz w:val="24"/>
          <w:szCs w:val="24"/>
          <w:highlight w:val="none"/>
        </w:rPr>
        <w:t xml:space="preserve">    元），则本项目招标失败，由招标人依法重新招标。</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42.4.3将第二阶段投标人按投标须知前附表第30项规定的方法进行排序。</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42.4.4</w:t>
      </w:r>
      <w:r>
        <w:rPr>
          <w:rFonts w:hint="eastAsia" w:ascii="宋体" w:hAnsi="宋体" w:cs="宋体"/>
          <w:bCs/>
          <w:kern w:val="0"/>
          <w:sz w:val="24"/>
          <w:szCs w:val="24"/>
          <w:highlight w:val="none"/>
        </w:rPr>
        <w:t>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b/>
          <w:bCs/>
          <w:color w:val="000000"/>
          <w:kern w:val="0"/>
          <w:sz w:val="24"/>
          <w:szCs w:val="24"/>
          <w:highlight w:val="non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42.</w:t>
      </w:r>
      <w:r>
        <w:rPr>
          <w:rFonts w:hint="eastAsia" w:ascii="宋体" w:hAnsi="宋体"/>
          <w:color w:val="000000"/>
          <w:sz w:val="24"/>
          <w:szCs w:val="24"/>
          <w:highlight w:val="none"/>
        </w:rPr>
        <w:t>4.5经济标的算术校核。评标委员会对进行经济标有效性审查的投标文件投标报价按照就低不就高的原则进行算术校核，具体标准如下：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42.</w:t>
      </w:r>
      <w:r>
        <w:rPr>
          <w:rFonts w:hint="eastAsia" w:ascii="宋体" w:hAnsi="宋体"/>
          <w:color w:val="000000"/>
          <w:sz w:val="24"/>
          <w:szCs w:val="24"/>
          <w:highlight w:val="none"/>
        </w:rPr>
        <w:t>4.5.1如果数字表示的金额和用文字表示的金额不一致时，应以文字表示的金额为准；</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42.</w:t>
      </w:r>
      <w:r>
        <w:rPr>
          <w:rFonts w:hint="eastAsia" w:ascii="宋体" w:hAnsi="宋体"/>
          <w:color w:val="000000"/>
          <w:sz w:val="24"/>
          <w:szCs w:val="24"/>
          <w:highlight w:val="none"/>
        </w:rPr>
        <w:t>4.5.2经算术复核的投标人报价与其投标报价不一致时，按就低不就高原则确定其最终报价；</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42.</w:t>
      </w:r>
      <w:r>
        <w:rPr>
          <w:rFonts w:hint="eastAsia" w:ascii="宋体" w:hAnsi="宋体"/>
          <w:color w:val="000000"/>
          <w:sz w:val="24"/>
          <w:szCs w:val="24"/>
          <w:highlight w:val="none"/>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42.</w:t>
      </w:r>
      <w:r>
        <w:rPr>
          <w:rFonts w:hint="eastAsia" w:ascii="宋体" w:hAnsi="宋体"/>
          <w:color w:val="000000"/>
          <w:sz w:val="24"/>
          <w:szCs w:val="24"/>
          <w:highlight w:val="none"/>
        </w:rPr>
        <w:t>4.5.</w:t>
      </w:r>
      <w:r>
        <w:rPr>
          <w:rFonts w:ascii="宋体" w:hAnsi="宋体"/>
          <w:color w:val="000000"/>
          <w:sz w:val="24"/>
          <w:szCs w:val="24"/>
          <w:highlight w:val="none"/>
        </w:rPr>
        <w:t>4</w:t>
      </w:r>
      <w:r>
        <w:rPr>
          <w:rFonts w:hint="eastAsia" w:ascii="宋体" w:hAnsi="宋体"/>
          <w:color w:val="000000"/>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42.</w:t>
      </w:r>
      <w:r>
        <w:rPr>
          <w:rFonts w:hint="eastAsia" w:ascii="宋体" w:hAnsi="宋体"/>
          <w:color w:val="000000"/>
          <w:sz w:val="24"/>
          <w:szCs w:val="24"/>
          <w:highlight w:val="none"/>
        </w:rPr>
        <w:t>4.5.</w:t>
      </w:r>
      <w:r>
        <w:rPr>
          <w:rFonts w:ascii="宋体" w:hAnsi="宋体"/>
          <w:color w:val="000000"/>
          <w:sz w:val="24"/>
          <w:szCs w:val="24"/>
          <w:highlight w:val="none"/>
        </w:rPr>
        <w:t>5</w:t>
      </w:r>
      <w:r>
        <w:rPr>
          <w:rFonts w:hint="eastAsia" w:ascii="宋体" w:hAnsi="宋体"/>
          <w:color w:val="000000"/>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sz w:val="24"/>
          <w:szCs w:val="24"/>
          <w:highlight w:val="none"/>
        </w:rPr>
      </w:pPr>
      <w:r>
        <w:rPr>
          <w:rFonts w:ascii="宋体" w:hAnsi="宋体"/>
          <w:color w:val="000000"/>
          <w:sz w:val="24"/>
          <w:szCs w:val="24"/>
          <w:highlight w:val="none"/>
        </w:rPr>
        <w:t>42.</w:t>
      </w:r>
      <w:r>
        <w:rPr>
          <w:rFonts w:hint="eastAsia" w:ascii="宋体" w:hAnsi="宋体"/>
          <w:color w:val="000000"/>
          <w:sz w:val="24"/>
          <w:szCs w:val="24"/>
          <w:highlight w:val="none"/>
        </w:rPr>
        <w:t>4.5.</w:t>
      </w:r>
      <w:r>
        <w:rPr>
          <w:rFonts w:ascii="宋体" w:hAnsi="宋体"/>
          <w:color w:val="000000"/>
          <w:sz w:val="24"/>
          <w:szCs w:val="24"/>
          <w:highlight w:val="none"/>
        </w:rPr>
        <w:t>6</w:t>
      </w:r>
      <w:r>
        <w:rPr>
          <w:rFonts w:hint="eastAsia" w:ascii="宋体" w:hAnsi="宋体"/>
          <w:color w:val="000000"/>
          <w:sz w:val="24"/>
          <w:szCs w:val="24"/>
          <w:highlight w:val="none"/>
        </w:rPr>
        <w:t>①分部分项工程量比招标文件少、单位比招标文件小或错误时，以招标文件的</w:t>
      </w:r>
      <w:r>
        <w:rPr>
          <w:rFonts w:hint="eastAsia" w:ascii="宋体" w:hAnsi="宋体"/>
          <w:sz w:val="24"/>
          <w:szCs w:val="24"/>
          <w:highlight w:val="none"/>
        </w:rPr>
        <w:t>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4.5.</w:t>
      </w:r>
      <w:r>
        <w:rPr>
          <w:rFonts w:ascii="宋体" w:hAnsi="宋体"/>
          <w:sz w:val="24"/>
          <w:szCs w:val="24"/>
          <w:highlight w:val="none"/>
        </w:rPr>
        <w:t>7</w:t>
      </w:r>
      <w:r>
        <w:rPr>
          <w:rFonts w:hint="eastAsia" w:ascii="宋体" w:hAnsi="宋体"/>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4.5.</w:t>
      </w:r>
      <w:r>
        <w:rPr>
          <w:rFonts w:ascii="宋体" w:hAnsi="宋体"/>
          <w:sz w:val="24"/>
          <w:szCs w:val="24"/>
          <w:highlight w:val="none"/>
        </w:rPr>
        <w:t>8</w:t>
      </w:r>
      <w:r>
        <w:rPr>
          <w:rFonts w:hint="eastAsia" w:ascii="宋体" w:hAnsi="宋体"/>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以上修正不影响按步骤42.3.3确定的投标人第二阶段排序。</w:t>
      </w:r>
    </w:p>
    <w:p>
      <w:pPr>
        <w:spacing w:line="360" w:lineRule="auto"/>
        <w:ind w:firstLine="480" w:firstLineChars="200"/>
        <w:rPr>
          <w:rFonts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家投标人通过经济标有效性审查，经济标有效性审查结束。</w:t>
      </w:r>
    </w:p>
    <w:p>
      <w:pPr>
        <w:spacing w:line="360" w:lineRule="auto"/>
        <w:ind w:firstLine="480" w:firstLineChars="200"/>
        <w:rPr>
          <w:rFonts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6评标委员会应在通过投标文件经济标有效性审查的投标人中，按步骤42.4确定的投标人第二阶段排序，推荐前</w:t>
      </w:r>
      <w:r>
        <w:rPr>
          <w:rFonts w:ascii="宋体" w:hAnsi="宋体"/>
          <w:sz w:val="24"/>
          <w:szCs w:val="24"/>
          <w:highlight w:val="none"/>
        </w:rPr>
        <w:t>3</w:t>
      </w:r>
      <w:r>
        <w:rPr>
          <w:rFonts w:hint="eastAsia" w:ascii="宋体" w:hAnsi="宋体"/>
          <w:sz w:val="24"/>
          <w:szCs w:val="24"/>
          <w:highlight w:val="none"/>
        </w:rPr>
        <w:t>名依次为第一中标候选人至第三中标候选人</w:t>
      </w:r>
      <w:r>
        <w:rPr>
          <w:rFonts w:ascii="宋体" w:hAnsi="宋体"/>
          <w:sz w:val="24"/>
          <w:szCs w:val="24"/>
          <w:highlight w:val="none"/>
        </w:rPr>
        <w:t>,</w:t>
      </w:r>
      <w:r>
        <w:rPr>
          <w:rFonts w:hint="eastAsia" w:ascii="宋体" w:hAnsi="宋体"/>
          <w:sz w:val="24"/>
          <w:szCs w:val="24"/>
          <w:highlight w:val="none"/>
        </w:rPr>
        <w:t>并编制评标报告。</w:t>
      </w:r>
    </w:p>
    <w:p>
      <w:pPr>
        <w:spacing w:line="360" w:lineRule="auto"/>
        <w:ind w:firstLine="480" w:firstLineChars="200"/>
        <w:rPr>
          <w:rFonts w:ascii="宋体" w:hAnsi="宋体"/>
          <w:sz w:val="24"/>
          <w:szCs w:val="24"/>
          <w:highlight w:val="none"/>
        </w:rPr>
      </w:pPr>
      <w:r>
        <w:rPr>
          <w:rFonts w:ascii="宋体" w:hAnsi="宋体"/>
          <w:sz w:val="24"/>
          <w:szCs w:val="24"/>
          <w:highlight w:val="none"/>
        </w:rPr>
        <w:t>42.</w:t>
      </w:r>
      <w:r>
        <w:rPr>
          <w:rFonts w:hint="eastAsia" w:ascii="宋体" w:hAnsi="宋体"/>
          <w:sz w:val="24"/>
          <w:szCs w:val="24"/>
          <w:highlight w:val="none"/>
        </w:rPr>
        <w:t>7若通过经济标有效性审查的投标人不足三家，应当依法重新招标。（当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N+2</w:t>
      </w:r>
      <w:r>
        <w:rPr>
          <w:rFonts w:hint="eastAsia" w:ascii="宋体" w:hAnsi="宋体"/>
          <w:sz w:val="24"/>
          <w:szCs w:val="24"/>
          <w:highlight w:val="none"/>
        </w:rPr>
        <w:t>家，应当依法重新招标）。</w:t>
      </w:r>
    </w:p>
    <w:p>
      <w:pPr>
        <w:pStyle w:val="35"/>
        <w:spacing w:line="360" w:lineRule="auto"/>
        <w:ind w:firstLine="480" w:firstLineChars="200"/>
        <w:rPr>
          <w:rFonts w:ascii="宋体" w:hAnsi="宋体"/>
          <w:sz w:val="24"/>
          <w:szCs w:val="24"/>
          <w:highlight w:val="none"/>
        </w:rPr>
      </w:pPr>
    </w:p>
    <w:p>
      <w:pPr>
        <w:pStyle w:val="6"/>
        <w:spacing w:before="156" w:after="156"/>
        <w:ind w:firstLine="540" w:firstLineChars="200"/>
        <w:rPr>
          <w:highlight w:val="none"/>
        </w:rPr>
      </w:pPr>
      <w:bookmarkStart w:id="32" w:name="_Toc2272560"/>
      <w:bookmarkStart w:id="33" w:name="_Toc21525504"/>
      <w:r>
        <w:rPr>
          <w:rFonts w:hint="eastAsia"/>
          <w:highlight w:val="none"/>
        </w:rPr>
        <w:t>可选办法二（适合综合评分法一，技术标与经济标同时开启）</w:t>
      </w:r>
      <w:bookmarkEnd w:id="32"/>
      <w:bookmarkEnd w:id="33"/>
    </w:p>
    <w:p>
      <w:pPr>
        <w:pStyle w:val="35"/>
        <w:spacing w:line="360" w:lineRule="auto"/>
        <w:ind w:firstLine="480" w:firstLineChars="200"/>
        <w:rPr>
          <w:rFonts w:ascii="宋体" w:hAnsi="宋体"/>
          <w:sz w:val="24"/>
          <w:szCs w:val="24"/>
          <w:highlight w:val="none"/>
        </w:rPr>
      </w:pPr>
      <w:r>
        <w:rPr>
          <w:rFonts w:ascii="宋体" w:hAnsi="宋体"/>
          <w:sz w:val="24"/>
          <w:szCs w:val="24"/>
          <w:highlight w:val="none"/>
        </w:rPr>
        <w:t>40</w:t>
      </w:r>
      <w:r>
        <w:rPr>
          <w:rFonts w:hint="eastAsia" w:ascii="宋体" w:hAnsi="宋体"/>
          <w:sz w:val="24"/>
          <w:szCs w:val="24"/>
          <w:highlight w:val="none"/>
        </w:rPr>
        <w:t>．开标和评标程序：</w:t>
      </w:r>
    </w:p>
    <w:p>
      <w:pPr>
        <w:spacing w:line="360" w:lineRule="auto"/>
        <w:ind w:firstLine="480" w:firstLineChars="200"/>
        <w:rPr>
          <w:rFonts w:ascii="宋体" w:hAnsi="宋体"/>
          <w:sz w:val="24"/>
          <w:szCs w:val="24"/>
          <w:highlight w:val="none"/>
        </w:rPr>
      </w:pPr>
      <w:r>
        <w:rPr>
          <w:rFonts w:ascii="宋体" w:hAnsi="宋体"/>
          <w:sz w:val="24"/>
          <w:szCs w:val="24"/>
          <w:highlight w:val="none"/>
        </w:rPr>
        <w:t>40.1</w:t>
      </w:r>
      <w:r>
        <w:rPr>
          <w:rFonts w:hint="eastAsia" w:ascii="宋体" w:hAnsi="宋体"/>
          <w:sz w:val="24"/>
          <w:szCs w:val="24"/>
          <w:highlight w:val="none"/>
        </w:rPr>
        <w:t>投标人递交技术标、经济标投标文件；</w:t>
      </w:r>
    </w:p>
    <w:p>
      <w:pPr>
        <w:spacing w:line="360" w:lineRule="auto"/>
        <w:ind w:firstLine="480" w:firstLineChars="200"/>
        <w:rPr>
          <w:rFonts w:ascii="宋体" w:hAnsi="宋体"/>
          <w:sz w:val="24"/>
          <w:szCs w:val="24"/>
          <w:highlight w:val="none"/>
        </w:rPr>
      </w:pPr>
      <w:r>
        <w:rPr>
          <w:rFonts w:ascii="宋体" w:hAnsi="宋体"/>
          <w:sz w:val="24"/>
          <w:szCs w:val="24"/>
          <w:highlight w:val="none"/>
        </w:rPr>
        <w:t>40.2</w:t>
      </w:r>
      <w:r>
        <w:rPr>
          <w:rFonts w:hint="eastAsia" w:ascii="宋体" w:hAnsi="宋体"/>
          <w:sz w:val="24"/>
          <w:szCs w:val="24"/>
          <w:highlight w:val="none"/>
        </w:rPr>
        <w:t>技术标与经济标投标文件同时公开开标；</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40.3由评标委员会对所有已公开开标的投标人进行资格审查；</w:t>
      </w:r>
    </w:p>
    <w:p>
      <w:pPr>
        <w:spacing w:line="360" w:lineRule="auto"/>
        <w:ind w:firstLine="480" w:firstLineChars="200"/>
        <w:rPr>
          <w:rFonts w:ascii="宋体" w:hAnsi="宋体"/>
          <w:sz w:val="24"/>
          <w:szCs w:val="24"/>
          <w:highlight w:val="none"/>
        </w:rPr>
      </w:pPr>
      <w:r>
        <w:rPr>
          <w:rFonts w:ascii="宋体" w:hAnsi="宋体"/>
          <w:sz w:val="24"/>
          <w:szCs w:val="24"/>
          <w:highlight w:val="none"/>
        </w:rPr>
        <w:t>40.4</w:t>
      </w:r>
      <w:r>
        <w:rPr>
          <w:rFonts w:hint="eastAsia" w:ascii="宋体" w:hAnsi="宋体"/>
          <w:sz w:val="24"/>
          <w:szCs w:val="24"/>
          <w:highlight w:val="none"/>
        </w:rPr>
        <w:t>技术标投标文件有效性审查；</w:t>
      </w:r>
    </w:p>
    <w:p>
      <w:pPr>
        <w:spacing w:line="360" w:lineRule="auto"/>
        <w:ind w:firstLine="480" w:firstLineChars="200"/>
        <w:rPr>
          <w:rFonts w:ascii="宋体" w:hAnsi="宋体"/>
          <w:sz w:val="24"/>
          <w:szCs w:val="24"/>
          <w:highlight w:val="none"/>
        </w:rPr>
      </w:pPr>
      <w:r>
        <w:rPr>
          <w:rFonts w:ascii="宋体" w:hAnsi="宋体"/>
          <w:sz w:val="24"/>
          <w:szCs w:val="24"/>
          <w:highlight w:val="none"/>
        </w:rPr>
        <w:t>40.5</w:t>
      </w:r>
      <w:r>
        <w:rPr>
          <w:rFonts w:hint="eastAsia" w:ascii="宋体" w:hAnsi="宋体"/>
          <w:sz w:val="24"/>
          <w:szCs w:val="24"/>
          <w:highlight w:val="none"/>
        </w:rPr>
        <w:t>技术标详细审查评分；</w:t>
      </w:r>
    </w:p>
    <w:p>
      <w:pPr>
        <w:spacing w:line="360" w:lineRule="auto"/>
        <w:ind w:firstLine="480" w:firstLineChars="200"/>
        <w:rPr>
          <w:rFonts w:ascii="宋体" w:hAnsi="宋体"/>
          <w:sz w:val="24"/>
          <w:szCs w:val="24"/>
          <w:highlight w:val="none"/>
        </w:rPr>
      </w:pPr>
      <w:r>
        <w:rPr>
          <w:rFonts w:ascii="宋体" w:hAnsi="宋体"/>
          <w:sz w:val="24"/>
          <w:szCs w:val="24"/>
          <w:highlight w:val="none"/>
        </w:rPr>
        <w:t>40.6</w:t>
      </w:r>
      <w:r>
        <w:rPr>
          <w:rFonts w:hint="eastAsia" w:ascii="宋体" w:hAnsi="宋体"/>
          <w:sz w:val="24"/>
          <w:szCs w:val="24"/>
          <w:highlight w:val="none"/>
        </w:rPr>
        <w:t>计算第一阶段得分，并按照总分从高到低排列先后次序，编写第一阶段评审报告；</w:t>
      </w:r>
      <w:r>
        <w:rPr>
          <w:rFonts w:ascii="宋体" w:hAnsi="宋体"/>
          <w:sz w:val="24"/>
          <w:szCs w:val="24"/>
          <w:highlight w:val="none"/>
        </w:rPr>
        <w:t xml:space="preserve"> </w:t>
      </w:r>
    </w:p>
    <w:p>
      <w:pPr>
        <w:spacing w:line="360" w:lineRule="auto"/>
        <w:ind w:firstLine="480" w:firstLineChars="200"/>
        <w:rPr>
          <w:rFonts w:ascii="宋体" w:hAnsi="宋体"/>
          <w:sz w:val="24"/>
          <w:szCs w:val="24"/>
          <w:highlight w:val="none"/>
        </w:rPr>
      </w:pPr>
      <w:r>
        <w:rPr>
          <w:rFonts w:ascii="宋体" w:hAnsi="宋体"/>
          <w:sz w:val="24"/>
          <w:szCs w:val="24"/>
          <w:highlight w:val="none"/>
        </w:rPr>
        <w:t>40.</w:t>
      </w:r>
      <w:r>
        <w:rPr>
          <w:rFonts w:hint="eastAsia" w:ascii="宋体" w:hAnsi="宋体"/>
          <w:sz w:val="24"/>
          <w:szCs w:val="24"/>
          <w:highlight w:val="none"/>
        </w:rPr>
        <w:t>7按投标须知前附表第25项规定，确定进入第二阶段评审的投标人；</w:t>
      </w:r>
    </w:p>
    <w:p>
      <w:pPr>
        <w:spacing w:line="360" w:lineRule="auto"/>
        <w:ind w:firstLine="480" w:firstLineChars="200"/>
        <w:rPr>
          <w:rFonts w:ascii="宋体" w:hAnsi="宋体"/>
          <w:sz w:val="24"/>
          <w:szCs w:val="24"/>
          <w:highlight w:val="none"/>
        </w:rPr>
      </w:pPr>
      <w:r>
        <w:rPr>
          <w:rFonts w:ascii="宋体" w:hAnsi="宋体"/>
          <w:sz w:val="24"/>
          <w:szCs w:val="24"/>
          <w:highlight w:val="none"/>
        </w:rPr>
        <w:t>40.</w:t>
      </w:r>
      <w:r>
        <w:rPr>
          <w:rFonts w:hint="eastAsia" w:ascii="宋体" w:hAnsi="宋体"/>
          <w:sz w:val="24"/>
          <w:szCs w:val="24"/>
          <w:highlight w:val="none"/>
        </w:rPr>
        <w:t>8将进入第二阶段评审的投标人进行排序；</w:t>
      </w:r>
    </w:p>
    <w:p>
      <w:pPr>
        <w:spacing w:line="360" w:lineRule="auto"/>
        <w:ind w:firstLine="480" w:firstLineChars="200"/>
        <w:rPr>
          <w:rFonts w:ascii="宋体" w:hAnsi="宋体"/>
          <w:sz w:val="24"/>
          <w:szCs w:val="24"/>
          <w:highlight w:val="none"/>
        </w:rPr>
      </w:pPr>
      <w:r>
        <w:rPr>
          <w:rFonts w:ascii="宋体" w:hAnsi="宋体"/>
          <w:sz w:val="24"/>
          <w:szCs w:val="24"/>
          <w:highlight w:val="none"/>
        </w:rPr>
        <w:t>40.</w:t>
      </w:r>
      <w:r>
        <w:rPr>
          <w:rFonts w:hint="eastAsia" w:ascii="宋体" w:hAnsi="宋体"/>
          <w:sz w:val="24"/>
          <w:szCs w:val="24"/>
          <w:highlight w:val="none"/>
        </w:rPr>
        <w:t>9按排序对经济标投标文件进行有效性审查（含投标报价算术校核），直至评出所有中标候选人；</w:t>
      </w:r>
    </w:p>
    <w:p>
      <w:pPr>
        <w:spacing w:line="360" w:lineRule="auto"/>
        <w:ind w:firstLine="480" w:firstLineChars="200"/>
        <w:rPr>
          <w:rFonts w:ascii="宋体" w:hAnsi="宋体"/>
          <w:sz w:val="24"/>
          <w:szCs w:val="24"/>
          <w:highlight w:val="none"/>
        </w:rPr>
      </w:pPr>
      <w:r>
        <w:rPr>
          <w:rFonts w:ascii="宋体" w:hAnsi="宋体"/>
          <w:sz w:val="24"/>
          <w:szCs w:val="24"/>
          <w:highlight w:val="none"/>
        </w:rPr>
        <w:t>40.</w:t>
      </w:r>
      <w:r>
        <w:rPr>
          <w:rFonts w:hint="eastAsia" w:ascii="宋体" w:hAnsi="宋体"/>
          <w:sz w:val="24"/>
          <w:szCs w:val="24"/>
          <w:highlight w:val="none"/>
        </w:rPr>
        <w:t>10评标委员会编写评标报告，向招标人推荐中标候选人名单。</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41. </w:t>
      </w:r>
      <w:r>
        <w:rPr>
          <w:rFonts w:hint="eastAsia" w:ascii="宋体" w:hAnsi="宋体"/>
          <w:sz w:val="24"/>
          <w:szCs w:val="24"/>
          <w:highlight w:val="none"/>
        </w:rPr>
        <w:t>开标细则</w:t>
      </w:r>
    </w:p>
    <w:p>
      <w:pPr>
        <w:spacing w:line="360" w:lineRule="auto"/>
        <w:ind w:firstLine="480" w:firstLineChars="200"/>
        <w:rPr>
          <w:rFonts w:ascii="宋体" w:hAnsi="宋体"/>
          <w:sz w:val="24"/>
          <w:szCs w:val="24"/>
          <w:highlight w:val="none"/>
        </w:rPr>
      </w:pPr>
      <w:r>
        <w:rPr>
          <w:rFonts w:ascii="宋体" w:hAnsi="宋体"/>
          <w:sz w:val="24"/>
          <w:szCs w:val="24"/>
          <w:highlight w:val="none"/>
        </w:rPr>
        <w:t>41.1</w:t>
      </w:r>
      <w:r>
        <w:rPr>
          <w:rFonts w:hint="eastAsia" w:ascii="宋体" w:hAnsi="宋体"/>
          <w:sz w:val="24"/>
          <w:szCs w:val="24"/>
          <w:highlight w:val="none"/>
        </w:rPr>
        <w:t>开标由招标人主持；</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41.</w:t>
      </w:r>
      <w:r>
        <w:rPr>
          <w:rFonts w:hint="eastAsia" w:ascii="宋体" w:hAnsi="宋体"/>
          <w:color w:val="000000"/>
          <w:sz w:val="24"/>
          <w:szCs w:val="24"/>
          <w:highlight w:val="none"/>
        </w:rPr>
        <w:t>2细则</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41.</w:t>
      </w:r>
      <w:r>
        <w:rPr>
          <w:rFonts w:hint="eastAsia" w:ascii="宋体" w:hAnsi="宋体"/>
          <w:color w:val="000000"/>
          <w:sz w:val="24"/>
          <w:szCs w:val="24"/>
          <w:highlight w:val="none"/>
        </w:rPr>
        <w:t>2</w:t>
      </w:r>
      <w:r>
        <w:rPr>
          <w:rFonts w:ascii="宋体" w:hAnsi="宋体"/>
          <w:color w:val="000000"/>
          <w:sz w:val="24"/>
          <w:szCs w:val="24"/>
          <w:highlight w:val="none"/>
        </w:rPr>
        <w:t>.1</w:t>
      </w:r>
      <w:r>
        <w:rPr>
          <w:rFonts w:hint="eastAsia" w:ascii="宋体" w:hAnsi="宋体"/>
          <w:color w:val="000000"/>
          <w:sz w:val="24"/>
          <w:szCs w:val="24"/>
          <w:highlight w:val="none"/>
        </w:rPr>
        <w:t>投标截止期前，各投标人递交投标文件（包括技术标投标文件、经济标投标文件）至</w:t>
      </w:r>
      <w:r>
        <w:rPr>
          <w:color w:val="000000"/>
          <w:sz w:val="24"/>
          <w:szCs w:val="24"/>
          <w:highlight w:val="none"/>
          <w:u w:val="single"/>
        </w:rPr>
        <w:t xml:space="preserve">        </w:t>
      </w:r>
      <w:r>
        <w:rPr>
          <w:rFonts w:hint="eastAsia" w:ascii="宋体" w:hAnsi="宋体"/>
          <w:color w:val="000000"/>
          <w:sz w:val="24"/>
          <w:szCs w:val="24"/>
          <w:highlight w:val="none"/>
        </w:rPr>
        <w:t>交易平台。有关投标文件提交的事项详见第一章投标须知。</w:t>
      </w:r>
      <w:r>
        <w:rPr>
          <w:rFonts w:ascii="宋体" w:hAnsi="宋体"/>
          <w:color w:val="000000"/>
          <w:sz w:val="24"/>
          <w:szCs w:val="24"/>
          <w:highlight w:val="none"/>
        </w:rPr>
        <w:t xml:space="preserve"> </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41.</w:t>
      </w:r>
      <w:r>
        <w:rPr>
          <w:rFonts w:hint="eastAsia" w:ascii="宋体" w:hAnsi="宋体"/>
          <w:color w:val="000000"/>
          <w:sz w:val="24"/>
          <w:szCs w:val="24"/>
          <w:highlight w:val="none"/>
        </w:rPr>
        <w:t>2</w:t>
      </w:r>
      <w:r>
        <w:rPr>
          <w:rFonts w:ascii="宋体" w:hAnsi="宋体"/>
          <w:color w:val="000000"/>
          <w:sz w:val="24"/>
          <w:szCs w:val="24"/>
          <w:highlight w:val="none"/>
        </w:rPr>
        <w:t>.2</w:t>
      </w:r>
      <w:r>
        <w:rPr>
          <w:rFonts w:hint="eastAsia" w:ascii="宋体" w:hAnsi="宋体"/>
          <w:color w:val="000000"/>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41.3按36.5.1的规定完成解密后，公布下列内容，并予以记录，记录提交评标委员会评审：</w:t>
      </w:r>
      <w:r>
        <w:rPr>
          <w:rFonts w:ascii="宋体" w:hAnsi="宋体"/>
          <w:color w:val="000000"/>
          <w:sz w:val="24"/>
          <w:szCs w:val="24"/>
          <w:highlight w:val="none"/>
        </w:rPr>
        <w:t xml:space="preserve"> </w:t>
      </w:r>
    </w:p>
    <w:p>
      <w:pPr>
        <w:spacing w:line="360" w:lineRule="auto"/>
        <w:ind w:firstLine="480" w:firstLineChars="200"/>
        <w:rPr>
          <w:rFonts w:ascii="宋体" w:hAnsi="宋体"/>
          <w:sz w:val="24"/>
          <w:szCs w:val="24"/>
          <w:highlight w:val="none"/>
        </w:rPr>
      </w:pPr>
      <w:r>
        <w:rPr>
          <w:rFonts w:ascii="宋体" w:hAnsi="宋体"/>
          <w:sz w:val="24"/>
          <w:szCs w:val="24"/>
          <w:highlight w:val="none"/>
        </w:rPr>
        <w:t>41.</w:t>
      </w:r>
      <w:r>
        <w:rPr>
          <w:rFonts w:hint="eastAsia" w:ascii="宋体" w:hAnsi="宋体"/>
          <w:sz w:val="24"/>
          <w:szCs w:val="24"/>
          <w:highlight w:val="none"/>
        </w:rPr>
        <w:t>3</w:t>
      </w:r>
      <w:r>
        <w:rPr>
          <w:rFonts w:ascii="宋体" w:hAnsi="宋体"/>
          <w:sz w:val="24"/>
          <w:szCs w:val="24"/>
          <w:highlight w:val="none"/>
        </w:rPr>
        <w:t>.1</w:t>
      </w:r>
      <w:r>
        <w:rPr>
          <w:rFonts w:hint="eastAsia" w:ascii="宋体" w:hAnsi="宋体"/>
          <w:sz w:val="24"/>
          <w:szCs w:val="24"/>
          <w:highlight w:val="none"/>
        </w:rPr>
        <w:t>开标时，公布：</w:t>
      </w:r>
      <w:r>
        <w:rPr>
          <w:rFonts w:ascii="宋体" w:hAnsi="宋体"/>
          <w:sz w:val="24"/>
          <w:szCs w:val="24"/>
          <w:highlight w:val="none"/>
        </w:rPr>
        <w:t>a</w:t>
      </w:r>
      <w:r>
        <w:rPr>
          <w:rFonts w:hint="eastAsia" w:ascii="宋体" w:hAnsi="宋体"/>
          <w:sz w:val="24"/>
          <w:szCs w:val="24"/>
          <w:highlight w:val="none"/>
        </w:rPr>
        <w:t>、投标人名称；</w:t>
      </w:r>
      <w:r>
        <w:rPr>
          <w:rFonts w:ascii="宋体" w:hAnsi="宋体"/>
          <w:sz w:val="24"/>
          <w:szCs w:val="24"/>
          <w:highlight w:val="none"/>
        </w:rPr>
        <w:t>b</w:t>
      </w:r>
      <w:r>
        <w:rPr>
          <w:rFonts w:hint="eastAsia" w:ascii="宋体" w:hAnsi="宋体"/>
          <w:sz w:val="24"/>
          <w:szCs w:val="24"/>
          <w:highlight w:val="none"/>
        </w:rPr>
        <w:t>、</w:t>
      </w:r>
      <w:r>
        <w:rPr>
          <w:rFonts w:hint="eastAsia" w:ascii="宋体" w:hAnsi="宋体"/>
          <w:color w:val="000000"/>
          <w:sz w:val="24"/>
          <w:highlight w:val="none"/>
        </w:rPr>
        <w:t>投标文件</w:t>
      </w:r>
      <w:r>
        <w:rPr>
          <w:rFonts w:hint="eastAsia" w:ascii="宋体" w:hAnsi="宋体"/>
          <w:sz w:val="24"/>
          <w:szCs w:val="24"/>
          <w:highlight w:val="none"/>
        </w:rPr>
        <w:t>密封情况；</w:t>
      </w:r>
      <w:r>
        <w:rPr>
          <w:rFonts w:ascii="宋体" w:hAnsi="宋体"/>
          <w:sz w:val="24"/>
          <w:szCs w:val="24"/>
          <w:highlight w:val="none"/>
        </w:rPr>
        <w:t>c</w:t>
      </w:r>
      <w:r>
        <w:rPr>
          <w:rFonts w:hint="eastAsia" w:ascii="宋体" w:hAnsi="宋体"/>
          <w:sz w:val="24"/>
          <w:szCs w:val="24"/>
          <w:highlight w:val="none"/>
        </w:rPr>
        <w:t>、投标报价；</w:t>
      </w:r>
      <w:r>
        <w:rPr>
          <w:rFonts w:ascii="宋体" w:hAnsi="宋体"/>
          <w:sz w:val="24"/>
          <w:szCs w:val="24"/>
          <w:highlight w:val="none"/>
        </w:rPr>
        <w:t>d</w:t>
      </w:r>
      <w:r>
        <w:rPr>
          <w:rFonts w:hint="eastAsia" w:ascii="宋体" w:hAnsi="宋体"/>
          <w:sz w:val="24"/>
          <w:szCs w:val="24"/>
          <w:highlight w:val="none"/>
        </w:rPr>
        <w:t>、投标保证金；</w:t>
      </w:r>
      <w:r>
        <w:rPr>
          <w:rFonts w:ascii="宋体" w:hAnsi="宋体"/>
          <w:sz w:val="24"/>
          <w:szCs w:val="24"/>
          <w:highlight w:val="none"/>
        </w:rPr>
        <w:t>e</w:t>
      </w:r>
      <w:r>
        <w:rPr>
          <w:rFonts w:hint="eastAsia" w:ascii="宋体" w:hAnsi="宋体"/>
          <w:sz w:val="24"/>
          <w:szCs w:val="24"/>
          <w:highlight w:val="none"/>
        </w:rPr>
        <w:t>、项目经理（负责人）名称；</w:t>
      </w:r>
      <w:r>
        <w:rPr>
          <w:rFonts w:ascii="宋体" w:hAnsi="宋体"/>
          <w:sz w:val="24"/>
          <w:szCs w:val="24"/>
          <w:highlight w:val="none"/>
        </w:rPr>
        <w:t>f</w:t>
      </w:r>
      <w:r>
        <w:rPr>
          <w:rFonts w:hint="eastAsia" w:ascii="宋体" w:hAnsi="宋体"/>
          <w:sz w:val="24"/>
          <w:szCs w:val="24"/>
          <w:highlight w:val="none"/>
        </w:rPr>
        <w:t>、法定代表人证明及授权委托等主要内容及开标记录表中的其他必要内容。投标报价以数字和文字两种方式表述的，应公布文字表述的投标报价。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ascii="宋体" w:hAnsi="宋体"/>
          <w:sz w:val="24"/>
          <w:szCs w:val="24"/>
          <w:highlight w:val="none"/>
        </w:rPr>
      </w:pPr>
      <w:r>
        <w:rPr>
          <w:rFonts w:ascii="宋体" w:hAnsi="宋体"/>
          <w:sz w:val="24"/>
          <w:szCs w:val="24"/>
          <w:highlight w:val="none"/>
        </w:rPr>
        <w:t>41.</w:t>
      </w:r>
      <w:r>
        <w:rPr>
          <w:rFonts w:hint="eastAsia" w:ascii="宋体" w:hAnsi="宋体"/>
          <w:sz w:val="24"/>
          <w:szCs w:val="24"/>
          <w:highlight w:val="none"/>
        </w:rPr>
        <w:t>4招标人对开标过程进行记录，并存档备查，投标人在开标记录上签字。</w:t>
      </w:r>
    </w:p>
    <w:p>
      <w:pPr>
        <w:spacing w:line="360" w:lineRule="auto"/>
        <w:ind w:firstLine="480" w:firstLineChars="200"/>
        <w:rPr>
          <w:rFonts w:ascii="宋体" w:hAnsi="宋体"/>
          <w:sz w:val="24"/>
          <w:szCs w:val="24"/>
          <w:highlight w:val="none"/>
        </w:rPr>
      </w:pPr>
      <w:r>
        <w:rPr>
          <w:rFonts w:ascii="宋体" w:hAnsi="宋体"/>
          <w:sz w:val="24"/>
          <w:szCs w:val="24"/>
          <w:highlight w:val="none"/>
        </w:rPr>
        <w:t>41.</w:t>
      </w:r>
      <w:r>
        <w:rPr>
          <w:rFonts w:hint="eastAsia" w:ascii="宋体" w:hAnsi="宋体"/>
          <w:sz w:val="24"/>
          <w:szCs w:val="24"/>
          <w:highlight w:val="none"/>
        </w:rPr>
        <w:t>5</w:t>
      </w:r>
      <w:r>
        <w:rPr>
          <w:rFonts w:ascii="宋体" w:hAnsi="宋体"/>
          <w:sz w:val="24"/>
          <w:szCs w:val="24"/>
          <w:highlight w:val="none"/>
        </w:rPr>
        <w:t xml:space="preserve"> </w:t>
      </w:r>
      <w:r>
        <w:rPr>
          <w:rFonts w:hint="eastAsia" w:ascii="宋体" w:hAnsi="宋体"/>
          <w:sz w:val="24"/>
          <w:szCs w:val="24"/>
          <w:highlight w:val="none"/>
        </w:rPr>
        <w:t>招标人将上述符合要求的投标文件，送至评标委员会进行评审。</w:t>
      </w:r>
    </w:p>
    <w:p>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42. </w:t>
      </w:r>
      <w:r>
        <w:rPr>
          <w:rFonts w:hint="eastAsia" w:ascii="宋体" w:hAnsi="宋体"/>
          <w:color w:val="000000"/>
          <w:sz w:val="24"/>
          <w:szCs w:val="24"/>
          <w:highlight w:val="none"/>
        </w:rPr>
        <w:t>评标细则</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42.1评标委员会的组成：方式</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highlight w:val="none"/>
        </w:rPr>
      </w:pPr>
      <w:r>
        <w:rPr>
          <w:rFonts w:hint="eastAsia" w:ascii="宋体" w:hAnsi="宋体"/>
          <w:color w:val="000000"/>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000000"/>
          <w:kern w:val="0"/>
          <w:sz w:val="24"/>
          <w:szCs w:val="24"/>
          <w:highlight w:val="none"/>
        </w:rPr>
        <w:t xml:space="preserve"> </w:t>
      </w:r>
    </w:p>
    <w:p>
      <w:pPr>
        <w:pStyle w:val="35"/>
        <w:tabs>
          <w:tab w:val="left" w:pos="7380"/>
        </w:tabs>
        <w:snapToGrid w:val="0"/>
        <w:spacing w:after="0" w:line="360" w:lineRule="auto"/>
        <w:ind w:firstLine="480" w:firstLineChars="200"/>
        <w:rPr>
          <w:rFonts w:ascii="宋体"/>
          <w:color w:val="000000"/>
          <w:sz w:val="24"/>
          <w:szCs w:val="24"/>
          <w:highlight w:val="none"/>
        </w:rPr>
      </w:pPr>
      <w:r>
        <w:rPr>
          <w:rFonts w:hint="eastAsia" w:ascii="宋体"/>
          <w:color w:val="000000"/>
          <w:sz w:val="24"/>
          <w:szCs w:val="24"/>
          <w:highlight w:val="none"/>
        </w:rPr>
        <w:t>42.2投标人资格审查</w:t>
      </w:r>
    </w:p>
    <w:p>
      <w:pPr>
        <w:pStyle w:val="35"/>
        <w:tabs>
          <w:tab w:val="left" w:pos="7380"/>
        </w:tabs>
        <w:snapToGrid w:val="0"/>
        <w:spacing w:after="0" w:line="360" w:lineRule="auto"/>
        <w:ind w:firstLine="480" w:firstLineChars="200"/>
        <w:rPr>
          <w:rFonts w:ascii="宋体"/>
          <w:color w:val="000000"/>
          <w:sz w:val="24"/>
          <w:szCs w:val="24"/>
          <w:highlight w:val="none"/>
        </w:rPr>
      </w:pPr>
      <w:r>
        <w:rPr>
          <w:rFonts w:hint="eastAsia" w:ascii="宋体"/>
          <w:color w:val="000000"/>
          <w:sz w:val="24"/>
          <w:szCs w:val="24"/>
          <w:highlight w:val="none"/>
        </w:rPr>
        <w:t>42.2.1</w:t>
      </w:r>
      <w:r>
        <w:rPr>
          <w:rFonts w:hint="eastAsia" w:ascii="仿宋" w:hAnsi="仿宋" w:eastAsia="仿宋" w:cs="宋体"/>
          <w:bCs/>
          <w:kern w:val="0"/>
          <w:sz w:val="22"/>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仿宋" w:hAnsi="仿宋" w:eastAsia="仿宋" w:cs="宋体"/>
          <w:b/>
          <w:bCs/>
          <w:kern w:val="0"/>
          <w:sz w:val="22"/>
          <w:highlight w:val="none"/>
        </w:rPr>
        <w:t>评委</w:t>
      </w:r>
      <w:r>
        <w:rPr>
          <w:rFonts w:ascii="仿宋" w:hAnsi="仿宋" w:eastAsia="仿宋" w:cs="宋体"/>
          <w:b/>
          <w:bCs/>
          <w:kern w:val="0"/>
          <w:sz w:val="22"/>
          <w:highlight w:val="none"/>
        </w:rPr>
        <w:t>发现</w:t>
      </w:r>
      <w:r>
        <w:rPr>
          <w:rFonts w:hint="eastAsia" w:ascii="仿宋" w:hAnsi="仿宋" w:eastAsia="仿宋" w:cs="宋体"/>
          <w:b/>
          <w:bCs/>
          <w:kern w:val="0"/>
          <w:sz w:val="22"/>
          <w:highlight w:val="none"/>
        </w:rPr>
        <w:t>资格审查文件</w:t>
      </w:r>
      <w:r>
        <w:rPr>
          <w:rFonts w:ascii="仿宋" w:hAnsi="仿宋" w:eastAsia="仿宋" w:cs="宋体"/>
          <w:b/>
          <w:bCs/>
          <w:kern w:val="0"/>
          <w:sz w:val="22"/>
          <w:highlight w:val="none"/>
        </w:rPr>
        <w:t>中</w:t>
      </w:r>
      <w:r>
        <w:rPr>
          <w:rFonts w:hint="eastAsia" w:ascii="仿宋" w:hAnsi="仿宋" w:eastAsia="仿宋" w:cs="宋体"/>
          <w:b/>
          <w:bCs/>
          <w:kern w:val="0"/>
          <w:sz w:val="22"/>
          <w:highlight w:val="none"/>
        </w:rPr>
        <w:t>含义不明确</w:t>
      </w:r>
      <w:r>
        <w:rPr>
          <w:rFonts w:ascii="仿宋" w:hAnsi="仿宋" w:eastAsia="仿宋" w:cs="宋体"/>
          <w:b/>
          <w:bCs/>
          <w:kern w:val="0"/>
          <w:sz w:val="22"/>
          <w:highlight w:val="none"/>
        </w:rPr>
        <w:t>、对同类问题表述不一致、有明显</w:t>
      </w:r>
      <w:r>
        <w:rPr>
          <w:rFonts w:hint="eastAsia" w:ascii="仿宋" w:hAnsi="仿宋" w:eastAsia="仿宋" w:cs="宋体"/>
          <w:b/>
          <w:bCs/>
          <w:kern w:val="0"/>
          <w:sz w:val="22"/>
          <w:highlight w:val="none"/>
        </w:rPr>
        <w:t>文字</w:t>
      </w:r>
      <w:r>
        <w:rPr>
          <w:rFonts w:ascii="仿宋" w:hAnsi="仿宋" w:eastAsia="仿宋" w:cs="宋体"/>
          <w:b/>
          <w:bCs/>
          <w:kern w:val="0"/>
          <w:sz w:val="22"/>
          <w:highlight w:val="none"/>
        </w:rPr>
        <w:t>和计算错误的，应当</w:t>
      </w:r>
      <w:r>
        <w:rPr>
          <w:rFonts w:hint="eastAsia" w:ascii="仿宋" w:hAnsi="仿宋" w:eastAsia="仿宋" w:cs="宋体"/>
          <w:b/>
          <w:bCs/>
          <w:kern w:val="0"/>
          <w:sz w:val="22"/>
          <w:highlight w:val="none"/>
        </w:rPr>
        <w:t>要求</w:t>
      </w:r>
      <w:r>
        <w:rPr>
          <w:rFonts w:ascii="仿宋" w:hAnsi="仿宋" w:eastAsia="仿宋" w:cs="宋体"/>
          <w:b/>
          <w:bCs/>
          <w:kern w:val="0"/>
          <w:sz w:val="22"/>
          <w:highlight w:val="none"/>
        </w:rPr>
        <w:t>投标人作必要的澄清、说明</w:t>
      </w:r>
      <w:r>
        <w:rPr>
          <w:rFonts w:hint="eastAsia" w:ascii="仿宋" w:hAnsi="仿宋" w:eastAsia="仿宋" w:cs="宋体"/>
          <w:b/>
          <w:bCs/>
          <w:kern w:val="0"/>
          <w:sz w:val="22"/>
          <w:highlight w:val="none"/>
        </w:rPr>
        <w:t>后再判定投标人是否通过资格审查</w:t>
      </w:r>
      <w:r>
        <w:rPr>
          <w:rFonts w:ascii="仿宋" w:hAnsi="仿宋" w:eastAsia="仿宋" w:cs="宋体"/>
          <w:b/>
          <w:bCs/>
          <w:kern w:val="0"/>
          <w:sz w:val="22"/>
          <w:highlight w:val="none"/>
        </w:rPr>
        <w:t>，不得直接</w:t>
      </w:r>
      <w:r>
        <w:rPr>
          <w:rFonts w:hint="eastAsia" w:ascii="仿宋" w:hAnsi="仿宋" w:eastAsia="仿宋" w:cs="宋体"/>
          <w:b/>
          <w:bCs/>
          <w:kern w:val="0"/>
          <w:sz w:val="22"/>
          <w:highlight w:val="none"/>
        </w:rPr>
        <w:t>认定其不通过资格审查。</w:t>
      </w:r>
    </w:p>
    <w:p>
      <w:pPr>
        <w:pStyle w:val="35"/>
        <w:tabs>
          <w:tab w:val="left" w:pos="7380"/>
        </w:tabs>
        <w:snapToGrid w:val="0"/>
        <w:spacing w:after="0" w:line="360" w:lineRule="auto"/>
        <w:ind w:firstLine="480" w:firstLineChars="200"/>
        <w:rPr>
          <w:rFonts w:ascii="宋体"/>
          <w:color w:val="000000"/>
          <w:sz w:val="24"/>
          <w:szCs w:val="24"/>
          <w:highlight w:val="none"/>
        </w:rPr>
      </w:pPr>
      <w:r>
        <w:rPr>
          <w:rFonts w:hint="eastAsia" w:ascii="宋体"/>
          <w:color w:val="000000"/>
          <w:sz w:val="24"/>
          <w:szCs w:val="24"/>
          <w:highlight w:val="none"/>
        </w:rPr>
        <w:t>42.2.2汇总资格审查情况，编写资格审查报告。</w:t>
      </w:r>
    </w:p>
    <w:p>
      <w:pPr>
        <w:pStyle w:val="35"/>
        <w:tabs>
          <w:tab w:val="left" w:pos="7380"/>
        </w:tabs>
        <w:snapToGrid w:val="0"/>
        <w:spacing w:after="0" w:line="360" w:lineRule="auto"/>
        <w:ind w:firstLine="480" w:firstLineChars="200"/>
        <w:rPr>
          <w:rFonts w:ascii="宋体"/>
          <w:color w:val="000000"/>
          <w:sz w:val="24"/>
          <w:szCs w:val="24"/>
          <w:highlight w:val="none"/>
        </w:rPr>
      </w:pPr>
      <w:r>
        <w:rPr>
          <w:rFonts w:hint="eastAsia" w:ascii="宋体"/>
          <w:color w:val="000000"/>
          <w:sz w:val="24"/>
          <w:szCs w:val="24"/>
          <w:highlight w:val="none"/>
        </w:rPr>
        <w:t>42.2.3资格审查不合格的投标文件不参加下一阶段的评标，不参与评标参考价的计算。</w:t>
      </w:r>
    </w:p>
    <w:p>
      <w:pPr>
        <w:pStyle w:val="35"/>
        <w:tabs>
          <w:tab w:val="left" w:pos="7380"/>
        </w:tabs>
        <w:snapToGrid w:val="0"/>
        <w:spacing w:after="0" w:line="360" w:lineRule="auto"/>
        <w:ind w:firstLine="480" w:firstLineChars="200"/>
        <w:rPr>
          <w:rFonts w:ascii="宋体"/>
          <w:color w:val="000000"/>
          <w:sz w:val="24"/>
          <w:szCs w:val="24"/>
          <w:highlight w:val="none"/>
        </w:rPr>
      </w:pPr>
      <w:r>
        <w:rPr>
          <w:rFonts w:hint="eastAsia" w:ascii="宋体"/>
          <w:color w:val="000000"/>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5"/>
        <w:tabs>
          <w:tab w:val="left" w:pos="7380"/>
        </w:tabs>
        <w:snapToGrid w:val="0"/>
        <w:spacing w:after="0" w:line="360" w:lineRule="auto"/>
        <w:ind w:firstLine="480" w:firstLineChars="200"/>
        <w:rPr>
          <w:rFonts w:ascii="宋体"/>
          <w:color w:val="000000"/>
          <w:sz w:val="24"/>
          <w:szCs w:val="24"/>
          <w:highlight w:val="none"/>
        </w:rPr>
      </w:pPr>
      <w:r>
        <w:rPr>
          <w:rFonts w:hint="eastAsia" w:ascii="宋体"/>
          <w:color w:val="000000"/>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ascii="宋体" w:hAnsi="宋体" w:cs="宋体"/>
          <w:color w:val="000000"/>
          <w:kern w:val="0"/>
          <w:sz w:val="24"/>
          <w:szCs w:val="24"/>
          <w:highlight w:val="none"/>
        </w:rPr>
      </w:pPr>
      <w:r>
        <w:rPr>
          <w:rFonts w:hint="eastAsia" w:ascii="宋体"/>
          <w:color w:val="000000"/>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42.3 第一阶段评审</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42.3.1</w:t>
      </w:r>
      <w:r>
        <w:rPr>
          <w:rFonts w:hint="eastAsia" w:ascii="宋体" w:hAnsi="宋体" w:eastAsia="宋体" w:cs="宋体"/>
          <w:bCs/>
          <w:kern w:val="0"/>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w:t>
      </w:r>
      <w:r>
        <w:rPr>
          <w:rFonts w:ascii="宋体" w:hAnsi="宋体" w:eastAsia="宋体" w:cs="宋体"/>
          <w:bCs/>
          <w:kern w:val="0"/>
          <w:sz w:val="24"/>
          <w:szCs w:val="24"/>
          <w:highlight w:val="none"/>
        </w:rPr>
        <w:t>N个标段同时招标且不允许兼中时，若通过技术标有效性审查投标人不足N+2家，则重新招标）。</w:t>
      </w:r>
      <w:r>
        <w:rPr>
          <w:rFonts w:hint="eastAsia" w:ascii="宋体" w:hAnsi="宋体" w:eastAsia="宋体" w:cs="宋体"/>
          <w:b/>
          <w:bCs/>
          <w:color w:val="000000"/>
          <w:kern w:val="0"/>
          <w:sz w:val="24"/>
          <w:szCs w:val="24"/>
          <w:highlight w:val="none"/>
        </w:rPr>
        <w:t>评委</w:t>
      </w:r>
      <w:r>
        <w:rPr>
          <w:rFonts w:ascii="宋体" w:hAnsi="宋体" w:eastAsia="宋体" w:cs="宋体"/>
          <w:b/>
          <w:bCs/>
          <w:color w:val="000000"/>
          <w:kern w:val="0"/>
          <w:sz w:val="24"/>
          <w:szCs w:val="24"/>
          <w:highlight w:val="none"/>
        </w:rPr>
        <w:t>发现投标</w:t>
      </w:r>
      <w:r>
        <w:rPr>
          <w:rFonts w:hint="eastAsia" w:ascii="宋体" w:hAnsi="宋体" w:eastAsia="宋体" w:cs="宋体"/>
          <w:b/>
          <w:bCs/>
          <w:color w:val="000000"/>
          <w:kern w:val="0"/>
          <w:sz w:val="24"/>
          <w:szCs w:val="24"/>
          <w:highlight w:val="none"/>
        </w:rPr>
        <w:t>文件</w:t>
      </w:r>
      <w:r>
        <w:rPr>
          <w:rFonts w:ascii="宋体" w:hAnsi="宋体" w:eastAsia="宋体" w:cs="宋体"/>
          <w:b/>
          <w:bCs/>
          <w:color w:val="000000"/>
          <w:kern w:val="0"/>
          <w:sz w:val="24"/>
          <w:szCs w:val="24"/>
          <w:highlight w:val="none"/>
        </w:rPr>
        <w:t>中</w:t>
      </w:r>
      <w:r>
        <w:rPr>
          <w:rFonts w:hint="eastAsia" w:ascii="宋体" w:hAnsi="宋体" w:eastAsia="宋体" w:cs="宋体"/>
          <w:b/>
          <w:bCs/>
          <w:color w:val="000000"/>
          <w:kern w:val="0"/>
          <w:sz w:val="24"/>
          <w:szCs w:val="24"/>
          <w:highlight w:val="none"/>
        </w:rPr>
        <w:t>含义不明确</w:t>
      </w:r>
      <w:r>
        <w:rPr>
          <w:rFonts w:ascii="宋体" w:hAnsi="宋体" w:eastAsia="宋体" w:cs="宋体"/>
          <w:b/>
          <w:bCs/>
          <w:color w:val="000000"/>
          <w:kern w:val="0"/>
          <w:sz w:val="24"/>
          <w:szCs w:val="24"/>
          <w:highlight w:val="none"/>
        </w:rPr>
        <w:t>、对同类问题表述不一致、有明显</w:t>
      </w:r>
      <w:r>
        <w:rPr>
          <w:rFonts w:hint="eastAsia" w:ascii="宋体" w:hAnsi="宋体" w:eastAsia="宋体" w:cs="宋体"/>
          <w:b/>
          <w:bCs/>
          <w:color w:val="000000"/>
          <w:kern w:val="0"/>
          <w:sz w:val="24"/>
          <w:szCs w:val="24"/>
          <w:highlight w:val="none"/>
        </w:rPr>
        <w:t>文字</w:t>
      </w:r>
      <w:r>
        <w:rPr>
          <w:rFonts w:ascii="宋体" w:hAnsi="宋体" w:eastAsia="宋体" w:cs="宋体"/>
          <w:b/>
          <w:bCs/>
          <w:color w:val="000000"/>
          <w:kern w:val="0"/>
          <w:sz w:val="24"/>
          <w:szCs w:val="24"/>
          <w:highlight w:val="none"/>
        </w:rPr>
        <w:t>和计算错误</w:t>
      </w:r>
      <w:r>
        <w:rPr>
          <w:rFonts w:hint="eastAsia" w:ascii="宋体" w:hAnsi="宋体" w:eastAsia="宋体" w:cs="宋体"/>
          <w:b/>
          <w:bCs/>
          <w:color w:val="000000"/>
          <w:kern w:val="0"/>
          <w:sz w:val="24"/>
          <w:szCs w:val="24"/>
          <w:highlight w:val="none"/>
        </w:rPr>
        <w:t>的，</w:t>
      </w:r>
      <w:r>
        <w:rPr>
          <w:rFonts w:ascii="宋体" w:hAnsi="宋体" w:eastAsia="宋体" w:cs="宋体"/>
          <w:b/>
          <w:bCs/>
          <w:color w:val="000000"/>
          <w:kern w:val="0"/>
          <w:sz w:val="24"/>
          <w:szCs w:val="24"/>
          <w:highlight w:val="none"/>
        </w:rPr>
        <w:t>应当</w:t>
      </w:r>
      <w:r>
        <w:rPr>
          <w:rFonts w:hint="eastAsia" w:ascii="宋体" w:hAnsi="宋体" w:eastAsia="宋体" w:cs="宋体"/>
          <w:b/>
          <w:bCs/>
          <w:color w:val="000000"/>
          <w:kern w:val="0"/>
          <w:sz w:val="24"/>
          <w:szCs w:val="24"/>
          <w:highlight w:val="none"/>
        </w:rPr>
        <w:t>要求</w:t>
      </w:r>
      <w:r>
        <w:rPr>
          <w:rFonts w:ascii="宋体" w:hAnsi="宋体" w:eastAsia="宋体" w:cs="宋体"/>
          <w:b/>
          <w:bCs/>
          <w:color w:val="000000"/>
          <w:kern w:val="0"/>
          <w:sz w:val="24"/>
          <w:szCs w:val="24"/>
          <w:highlight w:val="none"/>
        </w:rPr>
        <w:t>投标人作必要的澄清、说明</w:t>
      </w:r>
      <w:r>
        <w:rPr>
          <w:rFonts w:hint="eastAsia" w:ascii="宋体" w:hAnsi="宋体" w:eastAsia="宋体" w:cs="宋体"/>
          <w:b/>
          <w:bCs/>
          <w:color w:val="000000"/>
          <w:kern w:val="0"/>
          <w:sz w:val="24"/>
          <w:szCs w:val="24"/>
          <w:highlight w:val="none"/>
        </w:rPr>
        <w:t>后再判定投标人是否通过有效性审查</w:t>
      </w:r>
      <w:r>
        <w:rPr>
          <w:rFonts w:ascii="宋体" w:hAnsi="宋体" w:eastAsia="宋体" w:cs="宋体"/>
          <w:b/>
          <w:bCs/>
          <w:color w:val="000000"/>
          <w:kern w:val="0"/>
          <w:sz w:val="24"/>
          <w:szCs w:val="24"/>
          <w:highlight w:val="none"/>
        </w:rPr>
        <w:t>，不得直接否决投标</w:t>
      </w:r>
      <w:r>
        <w:rPr>
          <w:rFonts w:hint="eastAsia" w:ascii="宋体" w:hAnsi="宋体" w:eastAsia="宋体" w:cs="宋体"/>
          <w:b/>
          <w:bCs/>
          <w:color w:val="000000"/>
          <w:kern w:val="0"/>
          <w:sz w:val="24"/>
          <w:szCs w:val="24"/>
          <w:highlight w:val="none"/>
        </w:rPr>
        <w:t>。</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ascii="宋体" w:hAnsi="宋体" w:cs="宋体"/>
          <w:color w:val="000000"/>
          <w:sz w:val="24"/>
          <w:szCs w:val="24"/>
          <w:highlight w:val="none"/>
        </w:rPr>
      </w:pPr>
      <w:r>
        <w:rPr>
          <w:rFonts w:ascii="宋体" w:hAnsi="宋体" w:cs="宋体"/>
          <w:color w:val="000000"/>
          <w:sz w:val="24"/>
          <w:szCs w:val="24"/>
          <w:highlight w:val="none"/>
        </w:rPr>
        <w:t>42.3.5招标人应在《投标须知前附表》中明确选择使用施工企业总排名或相应的施工专业承包排名计分。</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 第二阶段评审</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42.4.1</w:t>
      </w:r>
      <w:r>
        <w:rPr>
          <w:rFonts w:hint="eastAsia" w:ascii="宋体" w:hAnsi="宋体" w:cs="宋体"/>
          <w:color w:val="000000"/>
          <w:sz w:val="24"/>
          <w:szCs w:val="24"/>
          <w:highlight w:val="none"/>
        </w:rPr>
        <w:t>按照投标须知前附表第</w:t>
      </w:r>
      <w:r>
        <w:rPr>
          <w:rFonts w:ascii="宋体" w:hAnsi="宋体" w:cs="宋体"/>
          <w:color w:val="000000"/>
          <w:sz w:val="24"/>
          <w:szCs w:val="24"/>
          <w:highlight w:val="none"/>
        </w:rPr>
        <w:t>25项规定，确定进入第二阶段评审的投标人，若在进入第二阶段的最后名次发生并列的，则所有并列的投标人均进入第二阶段。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s="宋体"/>
          <w:strike/>
          <w:color w:val="000000"/>
          <w:sz w:val="24"/>
          <w:szCs w:val="24"/>
          <w:highlight w:val="none"/>
        </w:rPr>
      </w:pPr>
      <w:r>
        <w:rPr>
          <w:rFonts w:ascii="宋体" w:hAnsi="宋体" w:cs="宋体"/>
          <w:strike/>
          <w:color w:val="000000"/>
          <w:sz w:val="24"/>
          <w:szCs w:val="24"/>
          <w:highlight w:val="none"/>
        </w:rPr>
        <w:t xml:space="preserve">42.4.2若进入第二阶段投标人中所有投标报价均大于等于最高投标限价*D%（D的取值范围为[94,100],由招标人自主确定）的（具体金额为：      </w:t>
      </w:r>
      <w:r>
        <w:rPr>
          <w:rFonts w:hint="eastAsia" w:ascii="宋体" w:hAnsi="宋体" w:cs="宋体"/>
          <w:strike/>
          <w:color w:val="000000"/>
          <w:sz w:val="24"/>
          <w:szCs w:val="24"/>
          <w:highlight w:val="none"/>
        </w:rPr>
        <w:t>元），则本项目招标失败，由招标人依法重新招标。</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42.4.3并将第二阶段投标人按投标须知前附表第30项规定的方法进行排序。</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42.4.4</w:t>
      </w:r>
      <w:r>
        <w:rPr>
          <w:rFonts w:hint="eastAsia" w:ascii="宋体" w:hAnsi="宋体" w:eastAsia="宋体" w:cs="宋体"/>
          <w:bCs/>
          <w:kern w:val="0"/>
          <w:sz w:val="24"/>
          <w:szCs w:val="24"/>
          <w:highlight w:val="none"/>
        </w:rPr>
        <w:t>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eastAsia="宋体" w:cs="宋体"/>
          <w:b/>
          <w:bCs/>
          <w:color w:val="000000"/>
          <w:kern w:val="0"/>
          <w:sz w:val="24"/>
          <w:szCs w:val="24"/>
          <w:highlight w:val="none"/>
        </w:rPr>
        <w:t>评委</w:t>
      </w:r>
      <w:r>
        <w:rPr>
          <w:rFonts w:ascii="宋体" w:hAnsi="宋体" w:eastAsia="宋体" w:cs="宋体"/>
          <w:b/>
          <w:bCs/>
          <w:color w:val="000000"/>
          <w:kern w:val="0"/>
          <w:sz w:val="24"/>
          <w:szCs w:val="24"/>
          <w:highlight w:val="none"/>
        </w:rPr>
        <w:t>发现投标</w:t>
      </w:r>
      <w:r>
        <w:rPr>
          <w:rFonts w:hint="eastAsia" w:ascii="宋体" w:hAnsi="宋体" w:eastAsia="宋体" w:cs="宋体"/>
          <w:b/>
          <w:bCs/>
          <w:color w:val="000000"/>
          <w:kern w:val="0"/>
          <w:sz w:val="24"/>
          <w:szCs w:val="24"/>
          <w:highlight w:val="none"/>
        </w:rPr>
        <w:t>文件</w:t>
      </w:r>
      <w:r>
        <w:rPr>
          <w:rFonts w:ascii="宋体" w:hAnsi="宋体" w:eastAsia="宋体" w:cs="宋体"/>
          <w:b/>
          <w:bCs/>
          <w:color w:val="000000"/>
          <w:kern w:val="0"/>
          <w:sz w:val="24"/>
          <w:szCs w:val="24"/>
          <w:highlight w:val="none"/>
        </w:rPr>
        <w:t>中</w:t>
      </w:r>
      <w:r>
        <w:rPr>
          <w:rFonts w:hint="eastAsia" w:ascii="宋体" w:hAnsi="宋体" w:eastAsia="宋体" w:cs="宋体"/>
          <w:b/>
          <w:bCs/>
          <w:color w:val="000000"/>
          <w:kern w:val="0"/>
          <w:sz w:val="24"/>
          <w:szCs w:val="24"/>
          <w:highlight w:val="none"/>
        </w:rPr>
        <w:t>含义不明确</w:t>
      </w:r>
      <w:r>
        <w:rPr>
          <w:rFonts w:ascii="宋体" w:hAnsi="宋体" w:eastAsia="宋体" w:cs="宋体"/>
          <w:b/>
          <w:bCs/>
          <w:color w:val="000000"/>
          <w:kern w:val="0"/>
          <w:sz w:val="24"/>
          <w:szCs w:val="24"/>
          <w:highlight w:val="none"/>
        </w:rPr>
        <w:t>、对同类问题表述不一致、有明显</w:t>
      </w:r>
      <w:r>
        <w:rPr>
          <w:rFonts w:hint="eastAsia" w:ascii="宋体" w:hAnsi="宋体" w:eastAsia="宋体" w:cs="宋体"/>
          <w:b/>
          <w:bCs/>
          <w:color w:val="000000"/>
          <w:kern w:val="0"/>
          <w:sz w:val="24"/>
          <w:szCs w:val="24"/>
          <w:highlight w:val="none"/>
        </w:rPr>
        <w:t>文字</w:t>
      </w:r>
      <w:r>
        <w:rPr>
          <w:rFonts w:ascii="宋体" w:hAnsi="宋体" w:eastAsia="宋体" w:cs="宋体"/>
          <w:b/>
          <w:bCs/>
          <w:color w:val="000000"/>
          <w:kern w:val="0"/>
          <w:sz w:val="24"/>
          <w:szCs w:val="24"/>
          <w:highlight w:val="none"/>
        </w:rPr>
        <w:t>和计算错误</w:t>
      </w:r>
      <w:r>
        <w:rPr>
          <w:rFonts w:hint="eastAsia" w:ascii="宋体" w:hAnsi="宋体" w:eastAsia="宋体" w:cs="宋体"/>
          <w:b/>
          <w:bCs/>
          <w:color w:val="000000"/>
          <w:kern w:val="0"/>
          <w:sz w:val="24"/>
          <w:szCs w:val="24"/>
          <w:highlight w:val="none"/>
        </w:rPr>
        <w:t>、</w:t>
      </w:r>
      <w:r>
        <w:rPr>
          <w:rFonts w:ascii="宋体" w:hAnsi="宋体" w:eastAsia="宋体" w:cs="宋体"/>
          <w:b/>
          <w:bCs/>
          <w:color w:val="000000"/>
          <w:kern w:val="0"/>
          <w:sz w:val="24"/>
          <w:szCs w:val="24"/>
          <w:highlight w:val="none"/>
        </w:rPr>
        <w:t>投标报价可能低于成本影响履约的，应当</w:t>
      </w:r>
      <w:r>
        <w:rPr>
          <w:rFonts w:hint="eastAsia" w:ascii="宋体" w:hAnsi="宋体" w:eastAsia="宋体" w:cs="宋体"/>
          <w:b/>
          <w:bCs/>
          <w:color w:val="000000"/>
          <w:kern w:val="0"/>
          <w:sz w:val="24"/>
          <w:szCs w:val="24"/>
          <w:highlight w:val="none"/>
        </w:rPr>
        <w:t>要求</w:t>
      </w:r>
      <w:r>
        <w:rPr>
          <w:rFonts w:ascii="宋体" w:hAnsi="宋体" w:eastAsia="宋体" w:cs="宋体"/>
          <w:b/>
          <w:bCs/>
          <w:color w:val="000000"/>
          <w:kern w:val="0"/>
          <w:sz w:val="24"/>
          <w:szCs w:val="24"/>
          <w:highlight w:val="none"/>
        </w:rPr>
        <w:t>投标人作必要的澄清、说明</w:t>
      </w:r>
      <w:r>
        <w:rPr>
          <w:rFonts w:hint="eastAsia" w:ascii="宋体" w:hAnsi="宋体" w:eastAsia="宋体" w:cs="宋体"/>
          <w:b/>
          <w:bCs/>
          <w:color w:val="000000"/>
          <w:kern w:val="0"/>
          <w:sz w:val="24"/>
          <w:szCs w:val="24"/>
          <w:highlight w:val="none"/>
        </w:rPr>
        <w:t>后再判定投标人是否通过有效性审查</w:t>
      </w:r>
      <w:r>
        <w:rPr>
          <w:rFonts w:ascii="宋体" w:hAnsi="宋体" w:eastAsia="宋体" w:cs="宋体"/>
          <w:b/>
          <w:bCs/>
          <w:color w:val="000000"/>
          <w:kern w:val="0"/>
          <w:sz w:val="24"/>
          <w:szCs w:val="24"/>
          <w:highlight w:val="none"/>
        </w:rPr>
        <w:t>，不得直接否决投标</w:t>
      </w:r>
      <w:r>
        <w:rPr>
          <w:rFonts w:hint="eastAsia" w:ascii="宋体" w:hAnsi="宋体" w:eastAsia="宋体" w:cs="宋体"/>
          <w:b/>
          <w:bCs/>
          <w:color w:val="000000"/>
          <w:kern w:val="0"/>
          <w:sz w:val="24"/>
          <w:szCs w:val="24"/>
          <w:highlight w:val="none"/>
        </w:rPr>
        <w:t>。</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42.4.5.1如果数字表示的金额和用文字表示的金额不一致时，应以文字表示的金额为准；</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42.4.5.2经算术复核的投标人报价与其投标报价不一致时，按就低不就高原则确定其最终报价；</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42.4.5.4</w:t>
      </w:r>
      <w:r>
        <w:rPr>
          <w:rFonts w:hint="eastAsia" w:ascii="宋体" w:hAnsi="宋体" w:cs="宋体"/>
          <w:color w:val="000000"/>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42.4.5.5</w:t>
      </w:r>
      <w:r>
        <w:rPr>
          <w:rFonts w:hint="eastAsia" w:ascii="宋体" w:hAnsi="宋体" w:cs="宋体"/>
          <w:color w:val="000000"/>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42.4.5.6</w:t>
      </w:r>
      <w:r>
        <w:rPr>
          <w:rFonts w:hint="eastAsia" w:ascii="宋体" w:hAnsi="宋体" w:cs="宋体"/>
          <w:color w:val="000000"/>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42.4.5.7</w:t>
      </w:r>
      <w:r>
        <w:rPr>
          <w:rFonts w:hint="eastAsia" w:ascii="宋体" w:hAnsi="宋体" w:cs="宋体"/>
          <w:color w:val="000000"/>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42.4.5.8</w:t>
      </w:r>
      <w:r>
        <w:rPr>
          <w:rFonts w:hint="eastAsia" w:ascii="宋体" w:hAnsi="宋体" w:cs="宋体"/>
          <w:color w:val="000000"/>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以上修正不影响按步骤</w:t>
      </w:r>
      <w:r>
        <w:rPr>
          <w:rFonts w:ascii="宋体" w:hAnsi="宋体" w:cs="宋体"/>
          <w:color w:val="000000"/>
          <w:sz w:val="24"/>
          <w:szCs w:val="24"/>
          <w:highlight w:val="none"/>
        </w:rPr>
        <w:t>42.3.3确定的投标人第二阶段排序。</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42.6评标委员会应在通过投标文件经济标有效性审查的投标人中，按步骤42.4确定的投标人第二阶段排序，推荐前3</w:t>
      </w:r>
      <w:r>
        <w:rPr>
          <w:rFonts w:hint="eastAsia" w:ascii="宋体" w:hAnsi="宋体" w:cs="宋体"/>
          <w:color w:val="000000"/>
          <w:sz w:val="24"/>
          <w:szCs w:val="24"/>
          <w:highlight w:val="none"/>
        </w:rPr>
        <w:t>名依次为第一中标候选人至第三中标候选人</w:t>
      </w:r>
      <w:r>
        <w:rPr>
          <w:rFonts w:ascii="宋体" w:hAnsi="宋体" w:cs="宋体"/>
          <w:color w:val="000000"/>
          <w:sz w:val="24"/>
          <w:szCs w:val="24"/>
          <w:highlight w:val="none"/>
        </w:rPr>
        <w:t>,</w:t>
      </w:r>
      <w:r>
        <w:rPr>
          <w:rFonts w:hint="eastAsia" w:ascii="宋体" w:hAnsi="宋体" w:cs="宋体"/>
          <w:color w:val="000000"/>
          <w:sz w:val="24"/>
          <w:szCs w:val="24"/>
          <w:highlight w:val="none"/>
        </w:rPr>
        <w:t>并编制评标报告。</w:t>
      </w:r>
    </w:p>
    <w:p>
      <w:pPr>
        <w:pStyle w:val="35"/>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42.7若通过经济标有效性审查的投标人不足三家，应当依法重新招标。（当N</w:t>
      </w:r>
      <w:r>
        <w:rPr>
          <w:rFonts w:hint="eastAsia" w:ascii="宋体" w:hAnsi="宋体" w:cs="宋体"/>
          <w:color w:val="000000"/>
          <w:sz w:val="24"/>
          <w:szCs w:val="24"/>
          <w:highlight w:val="none"/>
        </w:rPr>
        <w:t>个标段同时招标且不允许兼中时，若有效投标人不足</w:t>
      </w:r>
      <w:r>
        <w:rPr>
          <w:rFonts w:ascii="宋体" w:hAnsi="宋体" w:cs="宋体"/>
          <w:color w:val="000000"/>
          <w:sz w:val="24"/>
          <w:szCs w:val="24"/>
          <w:highlight w:val="none"/>
        </w:rPr>
        <w:t>N+2</w:t>
      </w:r>
      <w:r>
        <w:rPr>
          <w:rFonts w:hint="eastAsia" w:ascii="宋体" w:hAnsi="宋体" w:cs="宋体"/>
          <w:color w:val="000000"/>
          <w:sz w:val="24"/>
          <w:szCs w:val="24"/>
          <w:highlight w:val="none"/>
        </w:rPr>
        <w:t>家，应当依法重新招标）</w:t>
      </w:r>
    </w:p>
    <w:p>
      <w:pPr>
        <w:pStyle w:val="6"/>
        <w:ind w:firstLine="480" w:firstLineChars="200"/>
        <w:rPr>
          <w:sz w:val="24"/>
          <w:szCs w:val="24"/>
          <w:highlight w:val="none"/>
        </w:rPr>
      </w:pPr>
      <w:bookmarkStart w:id="34" w:name="_Toc21525505"/>
      <w:r>
        <w:rPr>
          <w:rFonts w:hint="eastAsia"/>
          <w:sz w:val="24"/>
          <w:szCs w:val="24"/>
          <w:highlight w:val="none"/>
        </w:rPr>
        <w:t>可选办法三（适合综合评分法二，技术标与经济标先后分别开启）</w:t>
      </w:r>
      <w:bookmarkEnd w:id="34"/>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40</w:t>
      </w:r>
      <w:r>
        <w:rPr>
          <w:rFonts w:hint="eastAsia" w:ascii="宋体" w:hAnsi="宋体" w:cs="宋体"/>
          <w:color w:val="000000"/>
          <w:sz w:val="24"/>
          <w:szCs w:val="24"/>
          <w:highlight w:val="none"/>
        </w:rPr>
        <w:t>．开标和评标程序：</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40.1</w:t>
      </w:r>
      <w:r>
        <w:rPr>
          <w:rFonts w:hint="eastAsia" w:ascii="宋体" w:hAnsi="宋体" w:cs="宋体"/>
          <w:color w:val="000000"/>
          <w:sz w:val="24"/>
          <w:szCs w:val="24"/>
          <w:highlight w:val="none"/>
        </w:rPr>
        <w:t>投标人递交技术标、经济标投标文件；</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40.2</w:t>
      </w:r>
      <w:r>
        <w:rPr>
          <w:rFonts w:hint="eastAsia" w:ascii="宋体" w:hAnsi="宋体" w:cs="宋体"/>
          <w:color w:val="000000"/>
          <w:sz w:val="24"/>
          <w:szCs w:val="24"/>
          <w:highlight w:val="none"/>
        </w:rPr>
        <w:t>技术标投标文件公开开标；</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40.3由评标委员会对所有已公开开标的投标人进行资格审查；</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40.4</w:t>
      </w:r>
      <w:r>
        <w:rPr>
          <w:rFonts w:hint="eastAsia" w:ascii="宋体" w:hAnsi="宋体" w:cs="宋体"/>
          <w:color w:val="000000"/>
          <w:sz w:val="24"/>
          <w:szCs w:val="24"/>
          <w:highlight w:val="none"/>
        </w:rPr>
        <w:t>技术标投标文件有效性审查；</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40.5</w:t>
      </w:r>
      <w:r>
        <w:rPr>
          <w:rFonts w:hint="eastAsia" w:ascii="宋体" w:hAnsi="宋体" w:cs="宋体"/>
          <w:color w:val="000000"/>
          <w:sz w:val="24"/>
          <w:szCs w:val="24"/>
          <w:highlight w:val="none"/>
        </w:rPr>
        <w:t>技术标详细审查评分；</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40.6</w:t>
      </w:r>
      <w:r>
        <w:rPr>
          <w:rFonts w:hint="eastAsia" w:ascii="宋体" w:hAnsi="宋体" w:cs="宋体"/>
          <w:color w:val="000000"/>
          <w:sz w:val="24"/>
          <w:szCs w:val="24"/>
          <w:highlight w:val="none"/>
        </w:rPr>
        <w:t>计算第一阶段得分，并按照总分从高到低排列先后次序，编写第一阶段评审报告；</w:t>
      </w:r>
      <w:r>
        <w:rPr>
          <w:rFonts w:ascii="宋体" w:hAnsi="宋体" w:cs="宋体"/>
          <w:color w:val="000000"/>
          <w:sz w:val="24"/>
          <w:szCs w:val="24"/>
          <w:highlight w:val="none"/>
        </w:rPr>
        <w:t xml:space="preserve"> </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40.7对通过技术标有效性审查的经济标投标文件公开开标；</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40.8按投标须知前附表第25项规定，确定进入第二阶段评审的投标人；</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40.9将进入第二阶段评审的投标人进行排序；</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40.10按排序对经济标投标文件进行有效性审查（含投标报价算术校核），直至评出所有中标候选人；</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40.11评标委员会编写评标报告，向招标人推荐中标候选人名单。</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 xml:space="preserve">41. </w:t>
      </w:r>
      <w:r>
        <w:rPr>
          <w:rFonts w:hint="eastAsia" w:ascii="宋体" w:hAnsi="宋体" w:cs="宋体"/>
          <w:color w:val="000000"/>
          <w:sz w:val="24"/>
          <w:szCs w:val="24"/>
          <w:highlight w:val="none"/>
        </w:rPr>
        <w:t>开标细则</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41.1</w:t>
      </w:r>
      <w:r>
        <w:rPr>
          <w:rFonts w:hint="eastAsia" w:ascii="宋体" w:hAnsi="宋体" w:cs="宋体"/>
          <w:color w:val="000000"/>
          <w:sz w:val="24"/>
          <w:szCs w:val="24"/>
          <w:highlight w:val="none"/>
        </w:rPr>
        <w:t>开标由招标人主持；</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41.2细则</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41.2.1</w:t>
      </w:r>
      <w:r>
        <w:rPr>
          <w:rFonts w:hint="eastAsia" w:ascii="宋体" w:hAnsi="宋体" w:cs="宋体"/>
          <w:color w:val="000000"/>
          <w:sz w:val="24"/>
          <w:szCs w:val="24"/>
          <w:highlight w:val="none"/>
        </w:rPr>
        <w:t>投标截止期前，各投标人递交投标文件（包括技术标投标文件、经济标投标文件）至</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交易平台。有关投标文件提交的事项详见第一章投标须知。</w:t>
      </w:r>
      <w:r>
        <w:rPr>
          <w:rFonts w:ascii="宋体" w:hAnsi="宋体" w:cs="宋体"/>
          <w:color w:val="000000"/>
          <w:sz w:val="24"/>
          <w:szCs w:val="24"/>
          <w:highlight w:val="none"/>
        </w:rPr>
        <w:t xml:space="preserve"> </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41.2.2</w:t>
      </w:r>
      <w:r>
        <w:rPr>
          <w:rFonts w:hint="eastAsia" w:ascii="宋体" w:hAnsi="宋体" w:cs="宋体"/>
          <w:color w:val="000000"/>
          <w:sz w:val="24"/>
          <w:szCs w:val="24"/>
          <w:highlight w:val="none"/>
        </w:rPr>
        <w:t>先开技术标；</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41.2.3</w:t>
      </w:r>
      <w:r>
        <w:rPr>
          <w:rFonts w:hint="eastAsia" w:ascii="宋体" w:hAnsi="宋体" w:cs="宋体"/>
          <w:color w:val="000000"/>
          <w:sz w:val="24"/>
          <w:szCs w:val="24"/>
          <w:highlight w:val="none"/>
        </w:rPr>
        <w:t>对通过技术标有效性审查的投标人开启其经济标投标文件；</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 xml:space="preserve">41.2.4 </w:t>
      </w:r>
      <w:r>
        <w:rPr>
          <w:rFonts w:hint="eastAsia" w:ascii="宋体" w:hAnsi="宋体" w:cs="宋体"/>
          <w:color w:val="000000"/>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 xml:space="preserve">41.3按36.5.1的规定完成解密后，公布下列内容，并予以记录，记录提交评标委员会评审： </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 xml:space="preserve">41.3.1 </w:t>
      </w:r>
      <w:r>
        <w:rPr>
          <w:rFonts w:hint="eastAsia" w:ascii="宋体" w:hAnsi="宋体" w:cs="宋体"/>
          <w:color w:val="000000"/>
          <w:sz w:val="24"/>
          <w:szCs w:val="24"/>
          <w:highlight w:val="none"/>
        </w:rPr>
        <w:t>技术标开标时，公布：</w:t>
      </w:r>
      <w:r>
        <w:rPr>
          <w:rFonts w:ascii="宋体" w:hAnsi="宋体" w:cs="宋体"/>
          <w:color w:val="000000"/>
          <w:sz w:val="24"/>
          <w:szCs w:val="24"/>
          <w:highlight w:val="none"/>
        </w:rPr>
        <w:t>a</w:t>
      </w:r>
      <w:r>
        <w:rPr>
          <w:rFonts w:hint="eastAsia" w:ascii="宋体" w:hAnsi="宋体" w:cs="宋体"/>
          <w:color w:val="000000"/>
          <w:sz w:val="24"/>
          <w:szCs w:val="24"/>
          <w:highlight w:val="none"/>
        </w:rPr>
        <w:t>、投标人名称；</w:t>
      </w:r>
      <w:r>
        <w:rPr>
          <w:rFonts w:ascii="宋体" w:hAnsi="宋体" w:cs="宋体"/>
          <w:color w:val="000000"/>
          <w:sz w:val="24"/>
          <w:szCs w:val="24"/>
          <w:highlight w:val="none"/>
        </w:rPr>
        <w:t>b</w:t>
      </w:r>
      <w:r>
        <w:rPr>
          <w:rFonts w:hint="eastAsia" w:ascii="宋体" w:hAnsi="宋体" w:cs="宋体"/>
          <w:color w:val="000000"/>
          <w:sz w:val="24"/>
          <w:szCs w:val="24"/>
          <w:highlight w:val="none"/>
        </w:rPr>
        <w:t>、投标文件密封情况；</w:t>
      </w:r>
      <w:r>
        <w:rPr>
          <w:rFonts w:ascii="宋体" w:hAnsi="宋体" w:cs="宋体"/>
          <w:color w:val="000000"/>
          <w:sz w:val="24"/>
          <w:szCs w:val="24"/>
          <w:highlight w:val="none"/>
        </w:rPr>
        <w:t>c</w:t>
      </w:r>
      <w:r>
        <w:rPr>
          <w:rFonts w:hint="eastAsia" w:ascii="宋体" w:hAnsi="宋体" w:cs="宋体"/>
          <w:color w:val="000000"/>
          <w:sz w:val="24"/>
          <w:szCs w:val="24"/>
          <w:highlight w:val="none"/>
        </w:rPr>
        <w:t>、法定代表人证明及授权委托；</w:t>
      </w:r>
      <w:r>
        <w:rPr>
          <w:rFonts w:ascii="宋体" w:hAnsi="宋体" w:cs="宋体"/>
          <w:color w:val="000000"/>
          <w:sz w:val="24"/>
          <w:szCs w:val="24"/>
          <w:highlight w:val="none"/>
        </w:rPr>
        <w:t>d</w:t>
      </w:r>
      <w:r>
        <w:rPr>
          <w:rFonts w:hint="eastAsia" w:ascii="宋体" w:hAnsi="宋体" w:cs="宋体"/>
          <w:color w:val="000000"/>
          <w:sz w:val="24"/>
          <w:szCs w:val="24"/>
          <w:highlight w:val="none"/>
        </w:rPr>
        <w:t>、投标保证金；</w:t>
      </w:r>
      <w:r>
        <w:rPr>
          <w:rFonts w:ascii="宋体" w:hAnsi="宋体" w:cs="宋体"/>
          <w:color w:val="000000"/>
          <w:sz w:val="24"/>
          <w:szCs w:val="24"/>
          <w:highlight w:val="none"/>
        </w:rPr>
        <w:t>e</w:t>
      </w:r>
      <w:r>
        <w:rPr>
          <w:rFonts w:hint="eastAsia" w:ascii="宋体" w:hAnsi="宋体" w:cs="宋体"/>
          <w:color w:val="000000"/>
          <w:sz w:val="24"/>
          <w:szCs w:val="24"/>
          <w:highlight w:val="none"/>
        </w:rPr>
        <w:t>、项目经理（负责人）名称等主要内容以及开标记录表中的其他必要内容。</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 xml:space="preserve">41.3.2 </w:t>
      </w:r>
      <w:r>
        <w:rPr>
          <w:rFonts w:hint="eastAsia" w:ascii="宋体" w:hAnsi="宋体" w:cs="宋体"/>
          <w:color w:val="000000"/>
          <w:sz w:val="24"/>
          <w:szCs w:val="24"/>
          <w:highlight w:val="none"/>
        </w:rPr>
        <w:t>经济标开标前，首先公布技术标通过有效性审查的投标人</w:t>
      </w:r>
      <w:r>
        <w:rPr>
          <w:rFonts w:ascii="宋体" w:hAnsi="宋体" w:cs="宋体"/>
          <w:color w:val="000000"/>
          <w:sz w:val="24"/>
          <w:szCs w:val="24"/>
          <w:highlight w:val="none"/>
        </w:rPr>
        <w:t>,</w:t>
      </w:r>
      <w:r>
        <w:rPr>
          <w:rFonts w:hint="eastAsia" w:ascii="宋体" w:hAnsi="宋体" w:cs="宋体"/>
          <w:color w:val="000000"/>
          <w:sz w:val="24"/>
          <w:szCs w:val="24"/>
          <w:highlight w:val="none"/>
        </w:rPr>
        <w:t>招标人依次开启通过技术标有效性审查的投标人的经济标。开标时，公布：</w:t>
      </w:r>
      <w:r>
        <w:rPr>
          <w:rFonts w:ascii="宋体" w:hAnsi="宋体" w:cs="宋体"/>
          <w:color w:val="000000"/>
          <w:sz w:val="24"/>
          <w:szCs w:val="24"/>
          <w:highlight w:val="none"/>
        </w:rPr>
        <w:t>a</w:t>
      </w:r>
      <w:r>
        <w:rPr>
          <w:rFonts w:hint="eastAsia" w:ascii="宋体" w:hAnsi="宋体" w:cs="宋体"/>
          <w:color w:val="000000"/>
          <w:sz w:val="24"/>
          <w:szCs w:val="24"/>
          <w:highlight w:val="none"/>
        </w:rPr>
        <w:t>、投标人名称；</w:t>
      </w:r>
      <w:r>
        <w:rPr>
          <w:rFonts w:ascii="宋体" w:hAnsi="宋体" w:cs="宋体"/>
          <w:color w:val="000000"/>
          <w:sz w:val="24"/>
          <w:szCs w:val="24"/>
          <w:highlight w:val="none"/>
        </w:rPr>
        <w:t>b</w:t>
      </w:r>
      <w:r>
        <w:rPr>
          <w:rFonts w:hint="eastAsia" w:ascii="宋体" w:hAnsi="宋体" w:cs="宋体"/>
          <w:color w:val="000000"/>
          <w:sz w:val="24"/>
          <w:szCs w:val="24"/>
          <w:highlight w:val="none"/>
        </w:rPr>
        <w:t>、投标文件密封情况；</w:t>
      </w:r>
      <w:r>
        <w:rPr>
          <w:rFonts w:ascii="宋体" w:hAnsi="宋体" w:cs="宋体"/>
          <w:color w:val="000000"/>
          <w:sz w:val="24"/>
          <w:szCs w:val="24"/>
          <w:highlight w:val="none"/>
        </w:rPr>
        <w:t>c</w:t>
      </w:r>
      <w:r>
        <w:rPr>
          <w:rFonts w:hint="eastAsia" w:ascii="宋体" w:hAnsi="宋体" w:cs="宋体"/>
          <w:color w:val="000000"/>
          <w:sz w:val="24"/>
          <w:szCs w:val="24"/>
          <w:highlight w:val="none"/>
        </w:rPr>
        <w:t>、投标报价等主要内容以及开标记录表中的其他必要内容。投标报价以数字和文字两种方式表述的，应公布文字表述的投标报价。</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41.4招标人对开标过程进行记录，并存档备查，投标人在开标记录上签字。</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 xml:space="preserve">41.5 </w:t>
      </w:r>
      <w:r>
        <w:rPr>
          <w:rFonts w:hint="eastAsia" w:ascii="宋体" w:hAnsi="宋体" w:cs="宋体"/>
          <w:color w:val="000000"/>
          <w:sz w:val="24"/>
          <w:szCs w:val="24"/>
          <w:highlight w:val="none"/>
        </w:rPr>
        <w:t>招标人将上述符合要求的投标文件，送至评标委员会进行评审。</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 xml:space="preserve">42. </w:t>
      </w:r>
      <w:r>
        <w:rPr>
          <w:rFonts w:hint="eastAsia" w:ascii="宋体" w:hAnsi="宋体" w:cs="宋体"/>
          <w:color w:val="000000"/>
          <w:sz w:val="24"/>
          <w:szCs w:val="24"/>
          <w:highlight w:val="none"/>
        </w:rPr>
        <w:t>评标细则</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42.1评标委员会的组成：方式</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highlight w:val="none"/>
        </w:rPr>
      </w:pPr>
      <w:r>
        <w:rPr>
          <w:rFonts w:hint="eastAsia" w:ascii="宋体" w:hAnsi="宋体" w:cs="宋体"/>
          <w:color w:val="000000"/>
          <w:sz w:val="24"/>
          <w:szCs w:val="24"/>
          <w:highlight w:val="none"/>
        </w:rPr>
        <w:t>方式二：评标委员会由技术评审组和经济评审组组成。其中：资格审查、技术评审由技术评标组负责，经济评审由经济评审组负责。</w:t>
      </w:r>
      <w:r>
        <w:rPr>
          <w:rFonts w:ascii="宋体" w:hAnsi="宋体" w:cs="宋体"/>
          <w:color w:val="000000"/>
          <w:kern w:val="0"/>
          <w:sz w:val="24"/>
          <w:szCs w:val="24"/>
          <w:highlight w:val="none"/>
        </w:rPr>
        <w:t xml:space="preserve"> </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42.2投标人资格审查</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42.2.1</w:t>
      </w:r>
      <w:r>
        <w:rPr>
          <w:rFonts w:hint="eastAsia" w:ascii="宋体" w:hAnsi="宋体" w:eastAsia="宋体" w:cs="宋体"/>
          <w:bCs/>
          <w:kern w:val="0"/>
          <w:sz w:val="24"/>
          <w:szCs w:val="24"/>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eastAsia="宋体" w:cs="宋体"/>
          <w:b/>
          <w:bCs/>
          <w:kern w:val="0"/>
          <w:sz w:val="24"/>
          <w:szCs w:val="24"/>
          <w:highlight w:val="none"/>
        </w:rPr>
        <w:t>评委</w:t>
      </w:r>
      <w:r>
        <w:rPr>
          <w:rFonts w:ascii="宋体" w:hAnsi="宋体" w:eastAsia="宋体" w:cs="宋体"/>
          <w:b/>
          <w:bCs/>
          <w:kern w:val="0"/>
          <w:sz w:val="24"/>
          <w:szCs w:val="24"/>
          <w:highlight w:val="none"/>
        </w:rPr>
        <w:t>发现</w:t>
      </w:r>
      <w:r>
        <w:rPr>
          <w:rFonts w:hint="eastAsia" w:ascii="宋体" w:hAnsi="宋体" w:eastAsia="宋体" w:cs="宋体"/>
          <w:b/>
          <w:bCs/>
          <w:kern w:val="0"/>
          <w:sz w:val="24"/>
          <w:szCs w:val="24"/>
          <w:highlight w:val="none"/>
        </w:rPr>
        <w:t>资格审查文件</w:t>
      </w:r>
      <w:r>
        <w:rPr>
          <w:rFonts w:ascii="宋体" w:hAnsi="宋体" w:eastAsia="宋体" w:cs="宋体"/>
          <w:b/>
          <w:bCs/>
          <w:kern w:val="0"/>
          <w:sz w:val="24"/>
          <w:szCs w:val="24"/>
          <w:highlight w:val="none"/>
        </w:rPr>
        <w:t>中</w:t>
      </w:r>
      <w:r>
        <w:rPr>
          <w:rFonts w:hint="eastAsia" w:ascii="宋体" w:hAnsi="宋体" w:eastAsia="宋体" w:cs="宋体"/>
          <w:b/>
          <w:bCs/>
          <w:kern w:val="0"/>
          <w:sz w:val="24"/>
          <w:szCs w:val="24"/>
          <w:highlight w:val="none"/>
        </w:rPr>
        <w:t>含义不明确</w:t>
      </w:r>
      <w:r>
        <w:rPr>
          <w:rFonts w:ascii="宋体" w:hAnsi="宋体" w:eastAsia="宋体" w:cs="宋体"/>
          <w:b/>
          <w:bCs/>
          <w:kern w:val="0"/>
          <w:sz w:val="24"/>
          <w:szCs w:val="24"/>
          <w:highlight w:val="none"/>
        </w:rPr>
        <w:t>、对同类问题表述不一致、有明显</w:t>
      </w:r>
      <w:r>
        <w:rPr>
          <w:rFonts w:hint="eastAsia" w:ascii="宋体" w:hAnsi="宋体" w:eastAsia="宋体" w:cs="宋体"/>
          <w:b/>
          <w:bCs/>
          <w:kern w:val="0"/>
          <w:sz w:val="24"/>
          <w:szCs w:val="24"/>
          <w:highlight w:val="none"/>
        </w:rPr>
        <w:t>文字</w:t>
      </w:r>
      <w:r>
        <w:rPr>
          <w:rFonts w:ascii="宋体" w:hAnsi="宋体" w:eastAsia="宋体" w:cs="宋体"/>
          <w:b/>
          <w:bCs/>
          <w:kern w:val="0"/>
          <w:sz w:val="24"/>
          <w:szCs w:val="24"/>
          <w:highlight w:val="none"/>
        </w:rPr>
        <w:t>和计算错误的，应当</w:t>
      </w:r>
      <w:r>
        <w:rPr>
          <w:rFonts w:hint="eastAsia" w:ascii="宋体" w:hAnsi="宋体" w:eastAsia="宋体" w:cs="宋体"/>
          <w:b/>
          <w:bCs/>
          <w:kern w:val="0"/>
          <w:sz w:val="24"/>
          <w:szCs w:val="24"/>
          <w:highlight w:val="none"/>
        </w:rPr>
        <w:t>要求</w:t>
      </w:r>
      <w:r>
        <w:rPr>
          <w:rFonts w:ascii="宋体" w:hAnsi="宋体" w:eastAsia="宋体" w:cs="宋体"/>
          <w:b/>
          <w:bCs/>
          <w:kern w:val="0"/>
          <w:sz w:val="24"/>
          <w:szCs w:val="24"/>
          <w:highlight w:val="none"/>
        </w:rPr>
        <w:t>投标人作必要的澄清、说明</w:t>
      </w:r>
      <w:r>
        <w:rPr>
          <w:rFonts w:hint="eastAsia" w:ascii="宋体" w:hAnsi="宋体" w:eastAsia="宋体" w:cs="宋体"/>
          <w:b/>
          <w:bCs/>
          <w:kern w:val="0"/>
          <w:sz w:val="24"/>
          <w:szCs w:val="24"/>
          <w:highlight w:val="none"/>
        </w:rPr>
        <w:t>后再判定投标人是否通过资格审查</w:t>
      </w:r>
      <w:r>
        <w:rPr>
          <w:rFonts w:ascii="宋体" w:hAnsi="宋体" w:eastAsia="宋体" w:cs="宋体"/>
          <w:b/>
          <w:bCs/>
          <w:kern w:val="0"/>
          <w:sz w:val="24"/>
          <w:szCs w:val="24"/>
          <w:highlight w:val="none"/>
        </w:rPr>
        <w:t>，不得直接</w:t>
      </w:r>
      <w:r>
        <w:rPr>
          <w:rFonts w:hint="eastAsia" w:ascii="宋体" w:hAnsi="宋体" w:eastAsia="宋体" w:cs="宋体"/>
          <w:b/>
          <w:bCs/>
          <w:kern w:val="0"/>
          <w:sz w:val="24"/>
          <w:szCs w:val="24"/>
          <w:highlight w:val="none"/>
        </w:rPr>
        <w:t>认定其不通过资格审查。</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42.2.2汇总资格审查情况，编写资格审查报告。</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42.2.3资格审查不合格的投标文件不参加下一阶段的评标，不参与评标参考价的计算。</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ascii="宋体" w:hAnsi="宋体" w:cs="宋体"/>
          <w:color w:val="000000"/>
          <w:kern w:val="0"/>
          <w:sz w:val="24"/>
          <w:szCs w:val="24"/>
          <w:highlight w:val="none"/>
        </w:rPr>
      </w:pPr>
      <w:r>
        <w:rPr>
          <w:rFonts w:hint="eastAsia" w:ascii="宋体" w:hAnsi="宋体" w:cs="宋体"/>
          <w:color w:val="000000"/>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 xml:space="preserve">42.3 </w:t>
      </w:r>
      <w:r>
        <w:rPr>
          <w:rFonts w:hint="eastAsia" w:ascii="宋体" w:hAnsi="宋体" w:cs="宋体"/>
          <w:color w:val="000000"/>
          <w:sz w:val="24"/>
          <w:szCs w:val="24"/>
          <w:highlight w:val="none"/>
        </w:rPr>
        <w:t>第一阶段评审</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42.3.1</w:t>
      </w:r>
      <w:r>
        <w:rPr>
          <w:rFonts w:hint="eastAsia" w:ascii="宋体" w:hAnsi="宋体" w:eastAsia="宋体" w:cs="宋体"/>
          <w:bCs/>
          <w:kern w:val="0"/>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w:t>
      </w:r>
      <w:r>
        <w:rPr>
          <w:rFonts w:ascii="宋体" w:hAnsi="宋体" w:eastAsia="宋体" w:cs="宋体"/>
          <w:bCs/>
          <w:kern w:val="0"/>
          <w:sz w:val="24"/>
          <w:szCs w:val="24"/>
          <w:highlight w:val="none"/>
        </w:rPr>
        <w:t>N个标段同时招标且不允许兼中时，若通过技术标有效性审查投标人不足N+2家，则重新招标）。</w:t>
      </w:r>
      <w:r>
        <w:rPr>
          <w:rFonts w:hint="eastAsia" w:ascii="宋体" w:hAnsi="宋体" w:eastAsia="宋体" w:cs="宋体"/>
          <w:b/>
          <w:bCs/>
          <w:color w:val="000000"/>
          <w:kern w:val="0"/>
          <w:sz w:val="24"/>
          <w:szCs w:val="24"/>
          <w:highlight w:val="none"/>
        </w:rPr>
        <w:t>评委</w:t>
      </w:r>
      <w:r>
        <w:rPr>
          <w:rFonts w:ascii="宋体" w:hAnsi="宋体" w:eastAsia="宋体" w:cs="宋体"/>
          <w:b/>
          <w:bCs/>
          <w:color w:val="000000"/>
          <w:kern w:val="0"/>
          <w:sz w:val="24"/>
          <w:szCs w:val="24"/>
          <w:highlight w:val="none"/>
        </w:rPr>
        <w:t>发现投标</w:t>
      </w:r>
      <w:r>
        <w:rPr>
          <w:rFonts w:hint="eastAsia" w:ascii="宋体" w:hAnsi="宋体" w:eastAsia="宋体" w:cs="宋体"/>
          <w:b/>
          <w:bCs/>
          <w:color w:val="000000"/>
          <w:kern w:val="0"/>
          <w:sz w:val="24"/>
          <w:szCs w:val="24"/>
          <w:highlight w:val="none"/>
        </w:rPr>
        <w:t>文件</w:t>
      </w:r>
      <w:r>
        <w:rPr>
          <w:rFonts w:ascii="宋体" w:hAnsi="宋体" w:eastAsia="宋体" w:cs="宋体"/>
          <w:b/>
          <w:bCs/>
          <w:color w:val="000000"/>
          <w:kern w:val="0"/>
          <w:sz w:val="24"/>
          <w:szCs w:val="24"/>
          <w:highlight w:val="none"/>
        </w:rPr>
        <w:t>中</w:t>
      </w:r>
      <w:r>
        <w:rPr>
          <w:rFonts w:hint="eastAsia" w:ascii="宋体" w:hAnsi="宋体" w:eastAsia="宋体" w:cs="宋体"/>
          <w:b/>
          <w:bCs/>
          <w:color w:val="000000"/>
          <w:kern w:val="0"/>
          <w:sz w:val="24"/>
          <w:szCs w:val="24"/>
          <w:highlight w:val="none"/>
        </w:rPr>
        <w:t>含义不明确</w:t>
      </w:r>
      <w:r>
        <w:rPr>
          <w:rFonts w:ascii="宋体" w:hAnsi="宋体" w:eastAsia="宋体" w:cs="宋体"/>
          <w:b/>
          <w:bCs/>
          <w:color w:val="000000"/>
          <w:kern w:val="0"/>
          <w:sz w:val="24"/>
          <w:szCs w:val="24"/>
          <w:highlight w:val="none"/>
        </w:rPr>
        <w:t>、对同类问题表述不一致、有明显</w:t>
      </w:r>
      <w:r>
        <w:rPr>
          <w:rFonts w:hint="eastAsia" w:ascii="宋体" w:hAnsi="宋体" w:eastAsia="宋体" w:cs="宋体"/>
          <w:b/>
          <w:bCs/>
          <w:color w:val="000000"/>
          <w:kern w:val="0"/>
          <w:sz w:val="24"/>
          <w:szCs w:val="24"/>
          <w:highlight w:val="none"/>
        </w:rPr>
        <w:t>文字</w:t>
      </w:r>
      <w:r>
        <w:rPr>
          <w:rFonts w:ascii="宋体" w:hAnsi="宋体" w:eastAsia="宋体" w:cs="宋体"/>
          <w:b/>
          <w:bCs/>
          <w:color w:val="000000"/>
          <w:kern w:val="0"/>
          <w:sz w:val="24"/>
          <w:szCs w:val="24"/>
          <w:highlight w:val="none"/>
        </w:rPr>
        <w:t>和计算错误</w:t>
      </w:r>
      <w:r>
        <w:rPr>
          <w:rFonts w:hint="eastAsia" w:ascii="宋体" w:hAnsi="宋体" w:eastAsia="宋体" w:cs="宋体"/>
          <w:b/>
          <w:bCs/>
          <w:color w:val="000000"/>
          <w:kern w:val="0"/>
          <w:sz w:val="24"/>
          <w:szCs w:val="24"/>
          <w:highlight w:val="none"/>
        </w:rPr>
        <w:t>的，</w:t>
      </w:r>
      <w:r>
        <w:rPr>
          <w:rFonts w:ascii="宋体" w:hAnsi="宋体" w:eastAsia="宋体" w:cs="宋体"/>
          <w:b/>
          <w:bCs/>
          <w:color w:val="000000"/>
          <w:kern w:val="0"/>
          <w:sz w:val="24"/>
          <w:szCs w:val="24"/>
          <w:highlight w:val="none"/>
        </w:rPr>
        <w:t>应当</w:t>
      </w:r>
      <w:r>
        <w:rPr>
          <w:rFonts w:hint="eastAsia" w:ascii="宋体" w:hAnsi="宋体" w:eastAsia="宋体" w:cs="宋体"/>
          <w:b/>
          <w:bCs/>
          <w:color w:val="000000"/>
          <w:kern w:val="0"/>
          <w:sz w:val="24"/>
          <w:szCs w:val="24"/>
          <w:highlight w:val="none"/>
        </w:rPr>
        <w:t>要求</w:t>
      </w:r>
      <w:r>
        <w:rPr>
          <w:rFonts w:ascii="宋体" w:hAnsi="宋体" w:eastAsia="宋体" w:cs="宋体"/>
          <w:b/>
          <w:bCs/>
          <w:color w:val="000000"/>
          <w:kern w:val="0"/>
          <w:sz w:val="24"/>
          <w:szCs w:val="24"/>
          <w:highlight w:val="none"/>
        </w:rPr>
        <w:t>投标人作必要的澄清、说明</w:t>
      </w:r>
      <w:r>
        <w:rPr>
          <w:rFonts w:hint="eastAsia" w:ascii="宋体" w:hAnsi="宋体" w:eastAsia="宋体" w:cs="宋体"/>
          <w:b/>
          <w:bCs/>
          <w:color w:val="000000"/>
          <w:kern w:val="0"/>
          <w:sz w:val="24"/>
          <w:szCs w:val="24"/>
          <w:highlight w:val="none"/>
        </w:rPr>
        <w:t>后再判定投标人是否通过有效性审查</w:t>
      </w:r>
      <w:r>
        <w:rPr>
          <w:rFonts w:ascii="宋体" w:hAnsi="宋体" w:eastAsia="宋体" w:cs="宋体"/>
          <w:b/>
          <w:bCs/>
          <w:color w:val="000000"/>
          <w:kern w:val="0"/>
          <w:sz w:val="24"/>
          <w:szCs w:val="24"/>
          <w:highlight w:val="none"/>
        </w:rPr>
        <w:t>，不得直接否决投标</w:t>
      </w:r>
      <w:r>
        <w:rPr>
          <w:rFonts w:hint="eastAsia" w:ascii="宋体" w:hAnsi="宋体" w:eastAsia="宋体" w:cs="宋体"/>
          <w:b/>
          <w:bCs/>
          <w:color w:val="000000"/>
          <w:kern w:val="0"/>
          <w:sz w:val="24"/>
          <w:szCs w:val="24"/>
          <w:highlight w:val="none"/>
        </w:rPr>
        <w:t>。</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ascii="宋体" w:hAnsi="宋体" w:cs="宋体"/>
          <w:color w:val="000000"/>
          <w:sz w:val="24"/>
          <w:szCs w:val="24"/>
          <w:highlight w:val="none"/>
        </w:rPr>
      </w:pPr>
      <w:r>
        <w:rPr>
          <w:rFonts w:ascii="宋体" w:hAnsi="宋体" w:cs="宋体"/>
          <w:color w:val="000000"/>
          <w:sz w:val="24"/>
          <w:szCs w:val="24"/>
          <w:highlight w:val="none"/>
        </w:rPr>
        <w:t>42.3.5招标人应在《投标须知前附表》中明确选择使用施工企业总排名或相应的施工专业承包排名计分。</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 第二阶段评审</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42.4.1</w:t>
      </w:r>
      <w:r>
        <w:rPr>
          <w:rFonts w:hint="eastAsia" w:ascii="宋体" w:hAnsi="宋体" w:cs="宋体"/>
          <w:color w:val="000000"/>
          <w:sz w:val="24"/>
          <w:szCs w:val="24"/>
          <w:highlight w:val="none"/>
        </w:rPr>
        <w:t>开启经济标后，按照投标须知前附表第</w:t>
      </w:r>
      <w:r>
        <w:rPr>
          <w:rFonts w:ascii="宋体" w:hAnsi="宋体" w:cs="宋体"/>
          <w:color w:val="000000"/>
          <w:sz w:val="24"/>
          <w:szCs w:val="24"/>
          <w:highlight w:val="none"/>
        </w:rPr>
        <w:t>25项规定，确定进入第二阶段评审的投标人。若在进入第二阶段的最后名次发生并列的，则所有并列的投标人均进入第二阶段。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s="宋体"/>
          <w:strike/>
          <w:color w:val="000000"/>
          <w:sz w:val="24"/>
          <w:szCs w:val="24"/>
          <w:highlight w:val="none"/>
        </w:rPr>
      </w:pPr>
      <w:r>
        <w:rPr>
          <w:rFonts w:ascii="宋体" w:hAnsi="宋体" w:cs="宋体"/>
          <w:strike/>
          <w:color w:val="000000"/>
          <w:sz w:val="24"/>
          <w:szCs w:val="24"/>
          <w:highlight w:val="none"/>
        </w:rPr>
        <w:t>42.4.2若进入第二阶段投标人中所有投标报价均大于等于最高投标限价*D%（D的取值范围为[94,100],由招标人自主确定）的（具体金额为：</w:t>
      </w:r>
      <w:r>
        <w:rPr>
          <w:rFonts w:ascii="宋体" w:hAnsi="宋体" w:cs="宋体"/>
          <w:strike/>
          <w:color w:val="000000"/>
          <w:sz w:val="24"/>
          <w:szCs w:val="24"/>
          <w:highlight w:val="none"/>
          <w:u w:val="single"/>
        </w:rPr>
        <w:t xml:space="preserve">      </w:t>
      </w:r>
      <w:r>
        <w:rPr>
          <w:rFonts w:hint="eastAsia" w:ascii="宋体" w:hAnsi="宋体" w:cs="宋体"/>
          <w:strike/>
          <w:color w:val="000000"/>
          <w:sz w:val="24"/>
          <w:szCs w:val="24"/>
          <w:highlight w:val="none"/>
        </w:rPr>
        <w:t>元），则本项目招标失败，由招标人依法重新招标。</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42.4.3投标文件经济标的评分</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42.4.3.1按方法</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计算评标参考价：</w:t>
      </w:r>
    </w:p>
    <w:p>
      <w:pPr>
        <w:widowControl/>
        <w:spacing w:line="360" w:lineRule="auto"/>
        <w:ind w:firstLine="482" w:firstLineChars="200"/>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方法一：加权平均法</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技术标或技术标加诚信得分或第一阶段入围得分（具体由招标人自定）前</w:t>
      </w:r>
      <w:r>
        <w:rPr>
          <w:rFonts w:ascii="宋体" w:hAnsi="宋体" w:cs="宋体"/>
          <w:color w:val="000000"/>
          <w:sz w:val="24"/>
          <w:szCs w:val="24"/>
          <w:highlight w:val="none"/>
        </w:rPr>
        <w:t>N</w:t>
      </w:r>
      <w:r>
        <w:rPr>
          <w:rFonts w:hint="eastAsia" w:ascii="宋体" w:hAnsi="宋体" w:cs="宋体"/>
          <w:color w:val="000000"/>
          <w:sz w:val="24"/>
          <w:szCs w:val="24"/>
          <w:highlight w:val="none"/>
        </w:rPr>
        <w:t>名（</w:t>
      </w:r>
      <w:r>
        <w:rPr>
          <w:rFonts w:ascii="宋体" w:hAnsi="宋体" w:cs="宋体"/>
          <w:color w:val="000000"/>
          <w:sz w:val="24"/>
          <w:szCs w:val="24"/>
          <w:highlight w:val="none"/>
        </w:rPr>
        <w:t>N≥5，具体由招标人自定）的经济报价加权平均，计算评标参考价。公式如下：</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评标参考价</w:t>
      </w:r>
      <w:r>
        <w:rPr>
          <w:rFonts w:ascii="宋体" w:hAnsi="宋体" w:cs="宋体"/>
          <w:color w:val="000000"/>
          <w:sz w:val="24"/>
          <w:szCs w:val="24"/>
          <w:highlight w:val="none"/>
        </w:rPr>
        <w:t>=</w:t>
      </w:r>
      <w:r>
        <w:rPr>
          <w:rFonts w:hint="eastAsia" w:ascii="宋体" w:hAnsi="宋体" w:cs="宋体"/>
          <w:color w:val="000000"/>
          <w:sz w:val="24"/>
          <w:szCs w:val="24"/>
          <w:highlight w:val="none"/>
        </w:rPr>
        <w:t>Σ（投标人的投标报价</w:t>
      </w:r>
      <w:r>
        <w:rPr>
          <w:rFonts w:ascii="宋体" w:hAnsi="宋体" w:cs="宋体"/>
          <w:color w:val="000000"/>
          <w:sz w:val="24"/>
          <w:szCs w:val="24"/>
          <w:highlight w:val="none"/>
        </w:rPr>
        <w:t>*</w:t>
      </w:r>
      <w:r>
        <w:rPr>
          <w:rFonts w:hint="eastAsia" w:ascii="宋体" w:hAnsi="宋体" w:cs="宋体"/>
          <w:color w:val="000000"/>
          <w:sz w:val="24"/>
          <w:szCs w:val="24"/>
          <w:highlight w:val="none"/>
        </w:rPr>
        <w:t>报价权重）。</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其中：报价权重的计算方法为：将</w:t>
      </w:r>
      <w:r>
        <w:rPr>
          <w:rFonts w:ascii="宋体" w:hAnsi="宋体" w:cs="宋体"/>
          <w:color w:val="000000"/>
          <w:sz w:val="24"/>
          <w:szCs w:val="24"/>
          <w:highlight w:val="none"/>
        </w:rPr>
        <w:t>N</w:t>
      </w:r>
      <w:r>
        <w:rPr>
          <w:rFonts w:hint="eastAsia" w:ascii="宋体" w:hAnsi="宋体" w:cs="宋体"/>
          <w:color w:val="000000"/>
          <w:sz w:val="24"/>
          <w:szCs w:val="24"/>
          <w:highlight w:val="none"/>
        </w:rPr>
        <w:t>名投标人按技术分由高至低进行排序，第一名投标人的权重为（</w:t>
      </w:r>
      <w:r>
        <w:rPr>
          <w:rFonts w:ascii="宋体" w:hAnsi="宋体" w:cs="宋体"/>
          <w:color w:val="000000"/>
          <w:sz w:val="24"/>
          <w:szCs w:val="24"/>
          <w:highlight w:val="none"/>
        </w:rPr>
        <w:fldChar w:fldCharType="begin"/>
      </w:r>
      <w:r>
        <w:rPr>
          <w:rFonts w:ascii="宋体" w:hAnsi="宋体" w:cs="宋体"/>
          <w:color w:val="000000"/>
          <w:sz w:val="24"/>
          <w:szCs w:val="24"/>
          <w:highlight w:val="none"/>
        </w:rPr>
        <w:instrText xml:space="preserve"> QUOTE </w:instrText>
      </w:r>
      <w:r>
        <w:rPr>
          <w:rFonts w:ascii="宋体" w:hAnsi="宋体" w:cs="宋体"/>
          <w:color w:val="000000"/>
          <w:sz w:val="24"/>
          <w:szCs w:val="24"/>
          <w:highlight w:val="none"/>
        </w:rPr>
        <w:drawing>
          <wp:inline distT="0" distB="0" distL="0" distR="0">
            <wp:extent cx="381000" cy="447675"/>
            <wp:effectExtent l="0" t="0" r="0" b="0"/>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宋体"/>
          <w:color w:val="000000"/>
          <w:sz w:val="24"/>
          <w:szCs w:val="24"/>
          <w:highlight w:val="none"/>
        </w:rPr>
        <w:fldChar w:fldCharType="separate"/>
      </w:r>
      <w:r>
        <w:rPr>
          <w:rFonts w:ascii="宋体" w:hAnsi="宋体" w:cs="宋体"/>
          <w:color w:val="000000"/>
          <w:sz w:val="24"/>
          <w:szCs w:val="24"/>
          <w:highlight w:val="none"/>
        </w:rPr>
        <w:drawing>
          <wp:inline distT="0" distB="0" distL="0" distR="0">
            <wp:extent cx="381000" cy="447675"/>
            <wp:effectExtent l="0" t="0" r="0" b="0"/>
            <wp:docPr id="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宋体"/>
          <w:color w:val="000000"/>
          <w:sz w:val="24"/>
          <w:szCs w:val="24"/>
          <w:highlight w:val="none"/>
        </w:rPr>
        <w:fldChar w:fldCharType="end"/>
      </w:r>
      <w:r>
        <w:rPr>
          <w:rFonts w:hint="eastAsia" w:ascii="宋体" w:hAnsi="宋体" w:cs="宋体"/>
          <w:color w:val="000000"/>
          <w:sz w:val="24"/>
          <w:szCs w:val="24"/>
          <w:highlight w:val="none"/>
        </w:rPr>
        <w:t>），第二名投标人的权重为（</w:t>
      </w:r>
      <w:r>
        <w:rPr>
          <w:rFonts w:ascii="宋体" w:hAnsi="宋体" w:cs="宋体"/>
          <w:color w:val="000000"/>
          <w:sz w:val="24"/>
          <w:szCs w:val="24"/>
          <w:highlight w:val="none"/>
        </w:rPr>
        <w:fldChar w:fldCharType="begin"/>
      </w:r>
      <w:r>
        <w:rPr>
          <w:rFonts w:ascii="宋体" w:hAnsi="宋体" w:cs="宋体"/>
          <w:color w:val="000000"/>
          <w:sz w:val="24"/>
          <w:szCs w:val="24"/>
          <w:highlight w:val="none"/>
        </w:rPr>
        <w:instrText xml:space="preserve"> QUOTE </w:instrText>
      </w:r>
      <w:r>
        <w:rPr>
          <w:rFonts w:ascii="宋体" w:hAnsi="宋体" w:cs="宋体"/>
          <w:color w:val="000000"/>
          <w:position w:val="-23"/>
          <w:sz w:val="24"/>
          <w:szCs w:val="24"/>
          <w:highlight w:val="none"/>
        </w:rPr>
        <w:drawing>
          <wp:inline distT="0" distB="0" distL="0" distR="0">
            <wp:extent cx="323850" cy="400050"/>
            <wp:effectExtent l="0" t="0" r="0" b="0"/>
            <wp:docPr id="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宋体"/>
          <w:color w:val="000000"/>
          <w:sz w:val="24"/>
          <w:szCs w:val="24"/>
          <w:highlight w:val="none"/>
        </w:rPr>
        <w:fldChar w:fldCharType="separate"/>
      </w:r>
      <w:r>
        <w:rPr>
          <w:rFonts w:ascii="宋体" w:hAnsi="宋体" w:cs="宋体"/>
          <w:color w:val="000000"/>
          <w:position w:val="-23"/>
          <w:sz w:val="24"/>
          <w:szCs w:val="24"/>
          <w:highlight w:val="none"/>
        </w:rPr>
        <w:drawing>
          <wp:inline distT="0" distB="0" distL="0" distR="0">
            <wp:extent cx="323850" cy="400050"/>
            <wp:effectExtent l="0" t="0" r="0" b="0"/>
            <wp:docPr id="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宋体"/>
          <w:color w:val="000000"/>
          <w:sz w:val="24"/>
          <w:szCs w:val="24"/>
          <w:highlight w:val="none"/>
        </w:rPr>
        <w:fldChar w:fldCharType="end"/>
      </w:r>
      <w:r>
        <w:rPr>
          <w:rFonts w:hint="eastAsia" w:ascii="宋体" w:hAnsi="宋体" w:cs="宋体"/>
          <w:color w:val="000000"/>
          <w:sz w:val="24"/>
          <w:szCs w:val="24"/>
          <w:highlight w:val="none"/>
        </w:rPr>
        <w:t>），以此类推，最后一名投标人的权重为（</w:t>
      </w:r>
      <w:r>
        <w:rPr>
          <w:rFonts w:ascii="宋体" w:hAnsi="宋体" w:cs="宋体"/>
          <w:color w:val="000000"/>
          <w:sz w:val="24"/>
          <w:szCs w:val="24"/>
          <w:highlight w:val="none"/>
        </w:rPr>
        <w:fldChar w:fldCharType="begin"/>
      </w:r>
      <w:r>
        <w:rPr>
          <w:rFonts w:ascii="宋体" w:hAnsi="宋体" w:cs="宋体"/>
          <w:color w:val="000000"/>
          <w:sz w:val="24"/>
          <w:szCs w:val="24"/>
          <w:highlight w:val="none"/>
        </w:rPr>
        <w:instrText xml:space="preserve"> QUOTE </w:instrText>
      </w:r>
      <w:r>
        <w:rPr>
          <w:rFonts w:ascii="宋体" w:hAnsi="宋体" w:cs="宋体"/>
          <w:color w:val="000000"/>
          <w:position w:val="-23"/>
          <w:sz w:val="24"/>
          <w:szCs w:val="24"/>
          <w:highlight w:val="none"/>
        </w:rPr>
        <w:drawing>
          <wp:inline distT="0" distB="0" distL="0" distR="0">
            <wp:extent cx="323850" cy="400050"/>
            <wp:effectExtent l="0" t="0" r="0" b="0"/>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宋体"/>
          <w:color w:val="000000"/>
          <w:sz w:val="24"/>
          <w:szCs w:val="24"/>
          <w:highlight w:val="none"/>
        </w:rPr>
        <w:fldChar w:fldCharType="separate"/>
      </w:r>
      <w:r>
        <w:rPr>
          <w:rFonts w:ascii="宋体" w:hAnsi="宋体" w:cs="宋体"/>
          <w:color w:val="000000"/>
          <w:position w:val="-23"/>
          <w:sz w:val="24"/>
          <w:szCs w:val="24"/>
          <w:highlight w:val="none"/>
        </w:rPr>
        <w:drawing>
          <wp:inline distT="0" distB="0" distL="0" distR="0">
            <wp:extent cx="323850" cy="400050"/>
            <wp:effectExtent l="0" t="0" r="0" b="0"/>
            <wp:docPr id="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宋体"/>
          <w:color w:val="000000"/>
          <w:sz w:val="24"/>
          <w:szCs w:val="24"/>
          <w:highlight w:val="none"/>
        </w:rPr>
        <w:fldChar w:fldCharType="end"/>
      </w:r>
      <w:r>
        <w:rPr>
          <w:rFonts w:hint="eastAsia" w:ascii="宋体" w:hAnsi="宋体" w:cs="宋体"/>
          <w:color w:val="000000"/>
          <w:sz w:val="24"/>
          <w:szCs w:val="24"/>
          <w:highlight w:val="none"/>
        </w:rPr>
        <w:t>）。</w:t>
      </w:r>
    </w:p>
    <w:p>
      <w:pPr>
        <w:widowControl/>
        <w:spacing w:line="360" w:lineRule="auto"/>
        <w:ind w:firstLine="482" w:firstLineChars="200"/>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方法二：区间抽取法</w:t>
      </w:r>
    </w:p>
    <w:p>
      <w:pPr>
        <w:widowControl/>
        <w:snapToGrid w:val="0"/>
        <w:spacing w:line="360" w:lineRule="auto"/>
        <w:ind w:firstLine="480" w:firstLineChars="200"/>
        <w:rPr>
          <w:rFonts w:ascii="宋体" w:hAnsi="宋体" w:cs="宋体"/>
          <w:color w:val="000000"/>
          <w:kern w:val="0"/>
          <w:sz w:val="24"/>
          <w:szCs w:val="24"/>
          <w:highlight w:val="none"/>
        </w:rPr>
      </w:pPr>
      <w:r>
        <w:rPr>
          <w:rFonts w:hint="eastAsia" w:ascii="宋体" w:hAnsi="宋体" w:cs="宋体"/>
          <w:color w:val="000000"/>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s="宋体"/>
          <w:color w:val="000000"/>
          <w:kern w:val="0"/>
          <w:sz w:val="24"/>
          <w:szCs w:val="24"/>
          <w:highlight w:val="none"/>
          <w:vertAlign w:val="subscript"/>
        </w:rPr>
      </w:pPr>
      <w:r>
        <w:rPr>
          <w:rFonts w:hint="eastAsia" w:ascii="宋体" w:hAnsi="宋体" w:cs="宋体"/>
          <w:color w:val="000000"/>
          <w:kern w:val="0"/>
          <w:sz w:val="24"/>
          <w:szCs w:val="24"/>
          <w:highlight w:val="none"/>
        </w:rPr>
        <w:t>评标参考价</w:t>
      </w:r>
      <w:r>
        <w:rPr>
          <w:rFonts w:ascii="宋体" w:hAnsi="宋体" w:cs="宋体"/>
          <w:color w:val="000000"/>
          <w:kern w:val="0"/>
          <w:sz w:val="24"/>
          <w:szCs w:val="24"/>
          <w:highlight w:val="none"/>
        </w:rPr>
        <w:t>=</w:t>
      </w: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Q</w:t>
      </w:r>
      <w:r>
        <w:rPr>
          <w:rFonts w:hint="eastAsia" w:ascii="宋体" w:hAnsi="宋体" w:cs="宋体"/>
          <w:color w:val="000000"/>
          <w:kern w:val="0"/>
          <w:sz w:val="24"/>
          <w:szCs w:val="24"/>
          <w:highlight w:val="none"/>
          <w:vertAlign w:val="subscript"/>
        </w:rPr>
        <w:t>高</w:t>
      </w:r>
      <w:r>
        <w:rPr>
          <w:rFonts w:ascii="宋体" w:hAnsi="宋体" w:cs="宋体"/>
          <w:color w:val="000000"/>
          <w:kern w:val="0"/>
          <w:sz w:val="24"/>
          <w:szCs w:val="24"/>
          <w:highlight w:val="none"/>
        </w:rPr>
        <w:t>-Q</w:t>
      </w:r>
      <w:r>
        <w:rPr>
          <w:rFonts w:hint="eastAsia" w:ascii="宋体" w:hAnsi="宋体" w:cs="宋体"/>
          <w:color w:val="000000"/>
          <w:kern w:val="0"/>
          <w:sz w:val="24"/>
          <w:szCs w:val="24"/>
          <w:highlight w:val="none"/>
          <w:vertAlign w:val="subscript"/>
        </w:rPr>
        <w:t>低</w:t>
      </w: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/100*</w:t>
      </w:r>
      <w:r>
        <w:rPr>
          <w:rFonts w:hint="eastAsia" w:ascii="宋体" w:hAnsi="宋体" w:cs="宋体"/>
          <w:color w:val="000000"/>
          <w:kern w:val="0"/>
          <w:sz w:val="24"/>
          <w:szCs w:val="24"/>
          <w:highlight w:val="none"/>
        </w:rPr>
        <w:t>Ｘ</w:t>
      </w:r>
      <w:r>
        <w:rPr>
          <w:rFonts w:ascii="宋体" w:hAnsi="宋体" w:cs="宋体"/>
          <w:color w:val="000000"/>
          <w:kern w:val="0"/>
          <w:sz w:val="24"/>
          <w:szCs w:val="24"/>
          <w:highlight w:val="none"/>
        </w:rPr>
        <w:t>+Q</w:t>
      </w:r>
      <w:r>
        <w:rPr>
          <w:rFonts w:hint="eastAsia" w:ascii="宋体" w:hAnsi="宋体" w:cs="宋体"/>
          <w:color w:val="000000"/>
          <w:kern w:val="0"/>
          <w:sz w:val="24"/>
          <w:szCs w:val="24"/>
          <w:highlight w:val="none"/>
          <w:vertAlign w:val="subscript"/>
        </w:rPr>
        <w:t>低</w:t>
      </w:r>
    </w:p>
    <w:p>
      <w:pPr>
        <w:widowControl/>
        <w:snapToGrid w:val="0"/>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Q</w:t>
      </w:r>
      <w:r>
        <w:rPr>
          <w:rFonts w:hint="eastAsia" w:ascii="宋体" w:hAnsi="宋体" w:cs="宋体"/>
          <w:color w:val="000000"/>
          <w:sz w:val="24"/>
          <w:szCs w:val="24"/>
          <w:highlight w:val="none"/>
          <w:vertAlign w:val="subscript"/>
        </w:rPr>
        <w:t>低</w:t>
      </w:r>
      <w:r>
        <w:rPr>
          <w:rFonts w:hint="eastAsia" w:ascii="宋体" w:hAnsi="宋体" w:cs="宋体"/>
          <w:color w:val="000000"/>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宋体"/>
          <w:color w:val="000000"/>
          <w:sz w:val="24"/>
          <w:szCs w:val="24"/>
          <w:highlight w:val="none"/>
        </w:rPr>
      </w:pPr>
      <w:r>
        <w:rPr>
          <w:rFonts w:ascii="宋体" w:hAnsi="宋体" w:cs="宋体"/>
          <w:color w:val="000000"/>
          <w:kern w:val="0"/>
          <w:sz w:val="24"/>
          <w:szCs w:val="24"/>
          <w:highlight w:val="none"/>
        </w:rPr>
        <w:t>Q</w:t>
      </w:r>
      <w:r>
        <w:rPr>
          <w:rFonts w:hint="eastAsia" w:ascii="宋体" w:hAnsi="宋体" w:cs="宋体"/>
          <w:color w:val="000000"/>
          <w:kern w:val="0"/>
          <w:sz w:val="24"/>
          <w:szCs w:val="24"/>
          <w:highlight w:val="none"/>
          <w:vertAlign w:val="subscript"/>
        </w:rPr>
        <w:t>高</w:t>
      </w:r>
      <w:r>
        <w:rPr>
          <w:rFonts w:hint="eastAsia" w:ascii="宋体" w:hAnsi="宋体" w:cs="宋体"/>
          <w:color w:val="000000"/>
          <w:sz w:val="24"/>
          <w:szCs w:val="24"/>
          <w:highlight w:val="none"/>
        </w:rPr>
        <w:t>：为最高投标限价</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 xml:space="preserve">    X:</w:t>
      </w:r>
      <w:r>
        <w:rPr>
          <w:rFonts w:hint="eastAsia" w:ascii="宋体" w:hAnsi="宋体" w:cs="宋体"/>
          <w:color w:val="000000"/>
          <w:sz w:val="24"/>
          <w:szCs w:val="24"/>
          <w:highlight w:val="none"/>
        </w:rPr>
        <w:t>为等分点值，在开标前从</w:t>
      </w:r>
      <w:r>
        <w:rPr>
          <w:rFonts w:ascii="宋体" w:hAnsi="宋体" w:cs="宋体"/>
          <w:color w:val="000000"/>
          <w:sz w:val="24"/>
          <w:szCs w:val="24"/>
          <w:highlight w:val="none"/>
        </w:rPr>
        <w:t>[0,100]</w:t>
      </w:r>
      <w:r>
        <w:rPr>
          <w:rFonts w:hint="eastAsia" w:ascii="宋体" w:hAnsi="宋体" w:cs="宋体"/>
          <w:color w:val="000000"/>
          <w:sz w:val="24"/>
          <w:szCs w:val="24"/>
          <w:highlight w:val="none"/>
        </w:rPr>
        <w:t>整数中随机抽取</w:t>
      </w:r>
    </w:p>
    <w:p>
      <w:pPr>
        <w:spacing w:line="360" w:lineRule="auto"/>
        <w:ind w:firstLine="480" w:firstLineChars="200"/>
        <w:rPr>
          <w:rFonts w:ascii="宋体" w:hAnsi="宋体" w:cs="宋体"/>
          <w:color w:val="000000"/>
          <w:sz w:val="24"/>
          <w:szCs w:val="24"/>
          <w:highlight w:val="none"/>
        </w:rPr>
      </w:pPr>
      <w:r>
        <w:rPr>
          <w:rFonts w:ascii="宋体" w:hAnsi="宋体" w:cs="宋体"/>
          <w:color w:val="000000"/>
          <w:kern w:val="0"/>
          <w:sz w:val="24"/>
          <w:szCs w:val="24"/>
          <w:highlight w:val="none"/>
        </w:rPr>
        <w:t>42.4.3.2</w:t>
      </w:r>
      <w:r>
        <w:rPr>
          <w:rFonts w:hint="eastAsia" w:ascii="宋体" w:hAnsi="宋体" w:cs="宋体"/>
          <w:color w:val="000000"/>
          <w:sz w:val="24"/>
          <w:szCs w:val="24"/>
          <w:highlight w:val="none"/>
        </w:rPr>
        <w:t>当标价等于评标参考价时得</w:t>
      </w:r>
      <w:r>
        <w:rPr>
          <w:rFonts w:ascii="宋体" w:hAnsi="宋体" w:cs="宋体"/>
          <w:color w:val="000000"/>
          <w:sz w:val="24"/>
          <w:szCs w:val="24"/>
          <w:highlight w:val="none"/>
        </w:rPr>
        <w:t>100</w:t>
      </w:r>
      <w:r>
        <w:rPr>
          <w:rFonts w:hint="eastAsia" w:ascii="宋体" w:hAnsi="宋体" w:cs="宋体"/>
          <w:color w:val="000000"/>
          <w:sz w:val="24"/>
          <w:szCs w:val="24"/>
          <w:highlight w:val="none"/>
        </w:rPr>
        <w:t>分，标价每高于评标参考价</w:t>
      </w:r>
      <w:r>
        <w:rPr>
          <w:rFonts w:ascii="宋体" w:hAnsi="宋体" w:cs="宋体"/>
          <w:color w:val="000000"/>
          <w:sz w:val="24"/>
          <w:szCs w:val="24"/>
          <w:highlight w:val="none"/>
        </w:rPr>
        <w:t>1%</w:t>
      </w:r>
      <w:r>
        <w:rPr>
          <w:rFonts w:hint="eastAsia" w:ascii="宋体" w:hAnsi="宋体" w:cs="宋体"/>
          <w:color w:val="000000"/>
          <w:sz w:val="24"/>
          <w:szCs w:val="24"/>
          <w:highlight w:val="none"/>
        </w:rPr>
        <w:t>，扣</w:t>
      </w:r>
      <w:r>
        <w:rPr>
          <w:rFonts w:ascii="宋体" w:hAnsi="宋体" w:cs="宋体"/>
          <w:color w:val="000000"/>
          <w:sz w:val="24"/>
          <w:szCs w:val="24"/>
          <w:highlight w:val="none"/>
        </w:rPr>
        <w:t>1.5</w:t>
      </w:r>
      <w:r>
        <w:rPr>
          <w:rFonts w:hint="eastAsia" w:ascii="宋体" w:hAnsi="宋体" w:cs="宋体"/>
          <w:color w:val="000000"/>
          <w:sz w:val="24"/>
          <w:szCs w:val="24"/>
          <w:highlight w:val="none"/>
        </w:rPr>
        <w:t>分，每低于评标参考价</w:t>
      </w:r>
      <w:r>
        <w:rPr>
          <w:rFonts w:ascii="宋体" w:hAnsi="宋体" w:cs="宋体"/>
          <w:color w:val="000000"/>
          <w:sz w:val="24"/>
          <w:szCs w:val="24"/>
          <w:highlight w:val="none"/>
        </w:rPr>
        <w:t>1%</w:t>
      </w:r>
      <w:r>
        <w:rPr>
          <w:rFonts w:hint="eastAsia" w:ascii="宋体" w:hAnsi="宋体" w:cs="宋体"/>
          <w:color w:val="000000"/>
          <w:sz w:val="24"/>
          <w:szCs w:val="24"/>
          <w:highlight w:val="none"/>
        </w:rPr>
        <w:t>，扣</w:t>
      </w:r>
      <w:r>
        <w:rPr>
          <w:rFonts w:ascii="宋体" w:hAnsi="宋体" w:cs="宋体"/>
          <w:color w:val="000000"/>
          <w:sz w:val="24"/>
          <w:szCs w:val="24"/>
          <w:highlight w:val="none"/>
        </w:rPr>
        <w:t>1</w:t>
      </w:r>
      <w:r>
        <w:rPr>
          <w:rFonts w:hint="eastAsia" w:ascii="宋体" w:hAnsi="宋体" w:cs="宋体"/>
          <w:color w:val="000000"/>
          <w:sz w:val="24"/>
          <w:szCs w:val="24"/>
          <w:highlight w:val="none"/>
        </w:rPr>
        <w:t>分，扣至</w:t>
      </w:r>
      <w:r>
        <w:rPr>
          <w:rFonts w:ascii="宋体" w:hAnsi="宋体" w:cs="宋体"/>
          <w:color w:val="000000"/>
          <w:sz w:val="24"/>
          <w:szCs w:val="24"/>
          <w:highlight w:val="none"/>
        </w:rPr>
        <w:t>0</w:t>
      </w:r>
      <w:r>
        <w:rPr>
          <w:rFonts w:hint="eastAsia" w:ascii="宋体" w:hAnsi="宋体" w:cs="宋体"/>
          <w:color w:val="000000"/>
          <w:sz w:val="24"/>
          <w:szCs w:val="24"/>
          <w:highlight w:val="none"/>
        </w:rPr>
        <w:t>分为止，得出经济分，精确到小数点后两位。</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42.4.3.3评标委员会按照各投标人的经济分从高到低排列先后次序。经济分相同的投标文件，按投标须知前附表第31项的规定确定排序。</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42.4.4</w:t>
      </w:r>
      <w:r>
        <w:rPr>
          <w:rFonts w:hint="eastAsia" w:ascii="宋体" w:hAnsi="宋体" w:eastAsia="宋体" w:cs="宋体"/>
          <w:bCs/>
          <w:kern w:val="0"/>
          <w:sz w:val="24"/>
          <w:szCs w:val="24"/>
          <w:highlight w:val="none"/>
        </w:rPr>
        <w:t>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eastAsia="宋体" w:cs="宋体"/>
          <w:b/>
          <w:bCs/>
          <w:color w:val="000000"/>
          <w:kern w:val="0"/>
          <w:sz w:val="24"/>
          <w:szCs w:val="24"/>
          <w:highlight w:val="none"/>
        </w:rPr>
        <w:t>评委</w:t>
      </w:r>
      <w:r>
        <w:rPr>
          <w:rFonts w:ascii="宋体" w:hAnsi="宋体" w:eastAsia="宋体" w:cs="宋体"/>
          <w:b/>
          <w:bCs/>
          <w:color w:val="000000"/>
          <w:kern w:val="0"/>
          <w:sz w:val="24"/>
          <w:szCs w:val="24"/>
          <w:highlight w:val="none"/>
        </w:rPr>
        <w:t>发现投标</w:t>
      </w:r>
      <w:r>
        <w:rPr>
          <w:rFonts w:hint="eastAsia" w:ascii="宋体" w:hAnsi="宋体" w:eastAsia="宋体" w:cs="宋体"/>
          <w:b/>
          <w:bCs/>
          <w:color w:val="000000"/>
          <w:kern w:val="0"/>
          <w:sz w:val="24"/>
          <w:szCs w:val="24"/>
          <w:highlight w:val="none"/>
        </w:rPr>
        <w:t>文件</w:t>
      </w:r>
      <w:r>
        <w:rPr>
          <w:rFonts w:ascii="宋体" w:hAnsi="宋体" w:eastAsia="宋体" w:cs="宋体"/>
          <w:b/>
          <w:bCs/>
          <w:color w:val="000000"/>
          <w:kern w:val="0"/>
          <w:sz w:val="24"/>
          <w:szCs w:val="24"/>
          <w:highlight w:val="none"/>
        </w:rPr>
        <w:t>中</w:t>
      </w:r>
      <w:r>
        <w:rPr>
          <w:rFonts w:hint="eastAsia" w:ascii="宋体" w:hAnsi="宋体" w:eastAsia="宋体" w:cs="宋体"/>
          <w:b/>
          <w:bCs/>
          <w:color w:val="000000"/>
          <w:kern w:val="0"/>
          <w:sz w:val="24"/>
          <w:szCs w:val="24"/>
          <w:highlight w:val="none"/>
        </w:rPr>
        <w:t>含义不明确</w:t>
      </w:r>
      <w:r>
        <w:rPr>
          <w:rFonts w:ascii="宋体" w:hAnsi="宋体" w:eastAsia="宋体" w:cs="宋体"/>
          <w:b/>
          <w:bCs/>
          <w:color w:val="000000"/>
          <w:kern w:val="0"/>
          <w:sz w:val="24"/>
          <w:szCs w:val="24"/>
          <w:highlight w:val="none"/>
        </w:rPr>
        <w:t>、对同类问题表述不一致、有明显</w:t>
      </w:r>
      <w:r>
        <w:rPr>
          <w:rFonts w:hint="eastAsia" w:ascii="宋体" w:hAnsi="宋体" w:eastAsia="宋体" w:cs="宋体"/>
          <w:b/>
          <w:bCs/>
          <w:color w:val="000000"/>
          <w:kern w:val="0"/>
          <w:sz w:val="24"/>
          <w:szCs w:val="24"/>
          <w:highlight w:val="none"/>
        </w:rPr>
        <w:t>文字</w:t>
      </w:r>
      <w:r>
        <w:rPr>
          <w:rFonts w:ascii="宋体" w:hAnsi="宋体" w:eastAsia="宋体" w:cs="宋体"/>
          <w:b/>
          <w:bCs/>
          <w:color w:val="000000"/>
          <w:kern w:val="0"/>
          <w:sz w:val="24"/>
          <w:szCs w:val="24"/>
          <w:highlight w:val="none"/>
        </w:rPr>
        <w:t>和计算错误</w:t>
      </w:r>
      <w:r>
        <w:rPr>
          <w:rFonts w:hint="eastAsia" w:ascii="宋体" w:hAnsi="宋体" w:eastAsia="宋体" w:cs="宋体"/>
          <w:b/>
          <w:bCs/>
          <w:color w:val="000000"/>
          <w:kern w:val="0"/>
          <w:sz w:val="24"/>
          <w:szCs w:val="24"/>
          <w:highlight w:val="none"/>
        </w:rPr>
        <w:t>、</w:t>
      </w:r>
      <w:r>
        <w:rPr>
          <w:rFonts w:ascii="宋体" w:hAnsi="宋体" w:eastAsia="宋体" w:cs="宋体"/>
          <w:b/>
          <w:bCs/>
          <w:color w:val="000000"/>
          <w:kern w:val="0"/>
          <w:sz w:val="24"/>
          <w:szCs w:val="24"/>
          <w:highlight w:val="none"/>
        </w:rPr>
        <w:t>投标报价可能低于成本影响履约的，应当</w:t>
      </w:r>
      <w:r>
        <w:rPr>
          <w:rFonts w:hint="eastAsia" w:ascii="宋体" w:hAnsi="宋体" w:eastAsia="宋体" w:cs="宋体"/>
          <w:b/>
          <w:bCs/>
          <w:color w:val="000000"/>
          <w:kern w:val="0"/>
          <w:sz w:val="24"/>
          <w:szCs w:val="24"/>
          <w:highlight w:val="none"/>
        </w:rPr>
        <w:t>要求</w:t>
      </w:r>
      <w:r>
        <w:rPr>
          <w:rFonts w:ascii="宋体" w:hAnsi="宋体" w:eastAsia="宋体" w:cs="宋体"/>
          <w:b/>
          <w:bCs/>
          <w:color w:val="000000"/>
          <w:kern w:val="0"/>
          <w:sz w:val="24"/>
          <w:szCs w:val="24"/>
          <w:highlight w:val="none"/>
        </w:rPr>
        <w:t>投标人作必要的澄清、说明</w:t>
      </w:r>
      <w:r>
        <w:rPr>
          <w:rFonts w:hint="eastAsia" w:ascii="宋体" w:hAnsi="宋体" w:eastAsia="宋体" w:cs="宋体"/>
          <w:b/>
          <w:bCs/>
          <w:color w:val="000000"/>
          <w:kern w:val="0"/>
          <w:sz w:val="24"/>
          <w:szCs w:val="24"/>
          <w:highlight w:val="none"/>
        </w:rPr>
        <w:t>后再判定投标人是否通过有效性审查</w:t>
      </w:r>
      <w:r>
        <w:rPr>
          <w:rFonts w:ascii="宋体" w:hAnsi="宋体" w:eastAsia="宋体" w:cs="宋体"/>
          <w:b/>
          <w:bCs/>
          <w:color w:val="000000"/>
          <w:kern w:val="0"/>
          <w:sz w:val="24"/>
          <w:szCs w:val="24"/>
          <w:highlight w:val="none"/>
        </w:rPr>
        <w:t>，不得直接否决投标</w:t>
      </w:r>
      <w:r>
        <w:rPr>
          <w:rFonts w:hint="eastAsia" w:ascii="宋体" w:hAnsi="宋体" w:eastAsia="宋体" w:cs="宋体"/>
          <w:b/>
          <w:bCs/>
          <w:color w:val="000000"/>
          <w:kern w:val="0"/>
          <w:sz w:val="24"/>
          <w:szCs w:val="24"/>
          <w:highlight w:val="none"/>
        </w:rPr>
        <w:t>。</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42.4.5.1如果数字表示的金额和用文字表示的金额不一致时，应以文字表示的金额为准；</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42.4.5.2经算术复核的投标人报价与其投标报价不一致时，按就低不就高原则确定其最终报价；</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42.4.5.4</w:t>
      </w:r>
      <w:r>
        <w:rPr>
          <w:rFonts w:hint="eastAsia" w:ascii="宋体" w:hAnsi="宋体" w:cs="宋体"/>
          <w:color w:val="000000"/>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42.4.5.5</w:t>
      </w:r>
      <w:r>
        <w:rPr>
          <w:rFonts w:hint="eastAsia" w:ascii="宋体" w:hAnsi="宋体" w:cs="宋体"/>
          <w:color w:val="000000"/>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42.4.5.6</w:t>
      </w:r>
      <w:r>
        <w:rPr>
          <w:rFonts w:hint="eastAsia" w:ascii="宋体" w:hAnsi="宋体" w:cs="宋体"/>
          <w:color w:val="000000"/>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42.4.5.7</w:t>
      </w:r>
      <w:r>
        <w:rPr>
          <w:rFonts w:hint="eastAsia" w:ascii="宋体" w:hAnsi="宋体" w:cs="宋体"/>
          <w:color w:val="000000"/>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42.4.5.8</w:t>
      </w:r>
      <w:r>
        <w:rPr>
          <w:rFonts w:hint="eastAsia" w:ascii="宋体" w:hAnsi="宋体" w:cs="宋体"/>
          <w:color w:val="000000"/>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42.6评标委员会应在通过投标文件经济标有效性审查的投标人中，按步骤42.4确定的投标人第二阶段排序，推荐前3</w:t>
      </w:r>
      <w:r>
        <w:rPr>
          <w:rFonts w:hint="eastAsia" w:ascii="宋体" w:hAnsi="宋体" w:cs="宋体"/>
          <w:color w:val="000000"/>
          <w:sz w:val="24"/>
          <w:szCs w:val="24"/>
          <w:highlight w:val="none"/>
        </w:rPr>
        <w:t>名依次为第一中标候选人至第三中标候选人</w:t>
      </w:r>
      <w:r>
        <w:rPr>
          <w:rFonts w:ascii="宋体" w:hAnsi="宋体" w:cs="宋体"/>
          <w:color w:val="000000"/>
          <w:sz w:val="24"/>
          <w:szCs w:val="24"/>
          <w:highlight w:val="none"/>
        </w:rPr>
        <w:t>,</w:t>
      </w:r>
      <w:r>
        <w:rPr>
          <w:rFonts w:hint="eastAsia" w:ascii="宋体" w:hAnsi="宋体" w:cs="宋体"/>
          <w:color w:val="000000"/>
          <w:sz w:val="24"/>
          <w:szCs w:val="24"/>
          <w:highlight w:val="none"/>
        </w:rPr>
        <w:t>并编制评标报告。</w:t>
      </w:r>
    </w:p>
    <w:p>
      <w:pP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42.7若通过经济标有效性审查的投标人不足三家，应当依法重新招标。（当N</w:t>
      </w:r>
      <w:r>
        <w:rPr>
          <w:rFonts w:hint="eastAsia" w:ascii="宋体" w:hAnsi="宋体" w:cs="宋体"/>
          <w:color w:val="000000"/>
          <w:sz w:val="24"/>
          <w:szCs w:val="24"/>
          <w:highlight w:val="none"/>
        </w:rPr>
        <w:t>个标段同时招标且不允许兼中时，若有效投标人不足</w:t>
      </w:r>
      <w:r>
        <w:rPr>
          <w:rFonts w:ascii="宋体" w:hAnsi="宋体" w:cs="宋体"/>
          <w:color w:val="000000"/>
          <w:sz w:val="24"/>
          <w:szCs w:val="24"/>
          <w:highlight w:val="none"/>
        </w:rPr>
        <w:t>N+2</w:t>
      </w:r>
      <w:r>
        <w:rPr>
          <w:rFonts w:hint="eastAsia" w:ascii="宋体" w:hAnsi="宋体" w:cs="宋体"/>
          <w:color w:val="000000"/>
          <w:sz w:val="24"/>
          <w:szCs w:val="24"/>
          <w:highlight w:val="none"/>
        </w:rPr>
        <w:t>家，应当依法重新招标）</w:t>
      </w:r>
    </w:p>
    <w:p>
      <w:pPr>
        <w:pStyle w:val="8"/>
        <w:spacing w:line="360" w:lineRule="auto"/>
        <w:ind w:firstLine="480" w:firstLineChars="200"/>
        <w:rPr>
          <w:rFonts w:ascii="宋体" w:hAnsi="宋体" w:cs="宋体"/>
          <w:color w:val="000000"/>
          <w:sz w:val="24"/>
          <w:szCs w:val="24"/>
          <w:highlight w:val="none"/>
        </w:rPr>
      </w:pPr>
    </w:p>
    <w:p>
      <w:pPr>
        <w:pStyle w:val="6"/>
        <w:spacing w:before="156" w:after="156"/>
        <w:ind w:firstLine="480" w:firstLineChars="200"/>
        <w:rPr>
          <w:color w:val="000000"/>
          <w:sz w:val="24"/>
          <w:szCs w:val="24"/>
          <w:highlight w:val="none"/>
        </w:rPr>
      </w:pPr>
      <w:bookmarkStart w:id="35" w:name="_Toc21525506"/>
      <w:bookmarkStart w:id="36" w:name="_Toc2272561"/>
      <w:r>
        <w:rPr>
          <w:rFonts w:hint="eastAsia"/>
          <w:color w:val="000000"/>
          <w:sz w:val="24"/>
          <w:szCs w:val="24"/>
          <w:highlight w:val="none"/>
        </w:rPr>
        <w:t>可选办法四（适合综合评分法二，技术标与经济标同时开启）</w:t>
      </w:r>
      <w:bookmarkEnd w:id="35"/>
      <w:bookmarkEnd w:id="36"/>
    </w:p>
    <w:p>
      <w:pPr>
        <w:pStyle w:val="35"/>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40．开标和评标程序：</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40.1投标人递交技术标、经济标投标文件；</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40.2技术标与经济标投标文件同时公开开标；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40.3由评标委员会对所有已公开开标的投标人进行资格审查；</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40.4技术标投标文件有效性审查；</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40.5技术标详细审查评分；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40.6计算第一阶段得分，并按照总分从高到低排列先后次序，编写第一阶段评审报告；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40.7按投标须知前附表第25项规定，确定进入第二阶段评审的投标人；</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40.8将进入第二阶段评审的投标人进行排序；</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40.9按排序对经济标投标文件进行有效性审查（含投标报价算术校核），直至评出所有中标候选人；</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40.10评标委员会编写评标报告，向招标人推荐中标候选人名单。</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 开标细则</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41.1开标由招标人主持；</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41.2细则</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41.2.1投标截止期前，各投标人递交投标文件（包括技术标投标文件、经济标投标文件）至</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交易平台。有关投标文件提交的事项详见第一章投标须知。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41.2.2</w:t>
      </w:r>
      <w:r>
        <w:rPr>
          <w:rFonts w:hint="eastAsia" w:ascii="宋体" w:hAnsi="宋体" w:cs="宋体"/>
          <w:bCs/>
          <w:color w:val="000000"/>
          <w:kern w:val="0"/>
          <w:sz w:val="24"/>
          <w:szCs w:val="24"/>
          <w:highlight w:val="none"/>
        </w:rPr>
        <w:t>开标时，投标人代表有权参加现场开标或</w:t>
      </w:r>
      <w:r>
        <w:rPr>
          <w:rFonts w:hint="eastAsia" w:ascii="宋体" w:hAnsi="宋体" w:cs="宋体"/>
          <w:b/>
          <w:bCs/>
          <w:color w:val="000000"/>
          <w:kern w:val="0"/>
          <w:sz w:val="24"/>
          <w:szCs w:val="24"/>
          <w:highlight w:val="none"/>
        </w:rPr>
        <w:t>在线开标</w:t>
      </w:r>
      <w:r>
        <w:rPr>
          <w:rFonts w:hint="eastAsia" w:ascii="宋体" w:hAnsi="宋体" w:cs="宋体"/>
          <w:bCs/>
          <w:color w:val="000000"/>
          <w:kern w:val="0"/>
          <w:sz w:val="24"/>
          <w:szCs w:val="24"/>
          <w:highlight w:val="none"/>
        </w:rPr>
        <w:t>，也可以自主决定不参加开标，若投标人代表对开标过程有异议的，</w:t>
      </w:r>
      <w:r>
        <w:rPr>
          <w:rFonts w:hint="eastAsia" w:ascii="宋体" w:hAnsi="宋体" w:cs="宋体"/>
          <w:b/>
          <w:bCs/>
          <w:color w:val="000000"/>
          <w:kern w:val="0"/>
          <w:sz w:val="24"/>
          <w:szCs w:val="24"/>
          <w:highlight w:val="none"/>
        </w:rPr>
        <w:t>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41.3按36.5.1的规定完成解密后，公布下列内容，并予以记录，记录提交评标委员会评审：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41.4招标人对开标过程进行记录，并存档备查，投标人在开标记录上签字。</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41.5 招标人将上述符合要求的投标文件，送至评标委员会进行评审。</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 评标细则</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42.1评标委员会的组成：方式</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highlight w:val="none"/>
        </w:rPr>
      </w:pPr>
      <w:r>
        <w:rPr>
          <w:rFonts w:hint="eastAsia" w:ascii="宋体" w:hAnsi="宋体" w:cs="宋体"/>
          <w:color w:val="000000"/>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000000"/>
          <w:kern w:val="0"/>
          <w:sz w:val="24"/>
          <w:szCs w:val="24"/>
          <w:highlight w:val="none"/>
        </w:rPr>
        <w:t xml:space="preserve"> </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42.2投标人资格审查</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42.2.1</w:t>
      </w:r>
      <w:r>
        <w:rPr>
          <w:rFonts w:hint="eastAsia" w:ascii="宋体" w:hAnsi="宋体" w:cs="宋体"/>
          <w:bCs/>
          <w:kern w:val="0"/>
          <w:sz w:val="24"/>
          <w:szCs w:val="24"/>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b/>
          <w:bCs/>
          <w:kern w:val="0"/>
          <w:sz w:val="24"/>
          <w:szCs w:val="24"/>
          <w:highlight w:val="none"/>
        </w:rPr>
        <w:t>评委发现资格审查文件中含义不明确、对同类问题表述不一致、有明显文字和计算错误的，应当要求投标人作必要的澄清、说明后再判定投标人是否通过资格审查，不得直接认定其不通过资格审查。</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42.2.2汇总资格审查情况，编写资格审查报告。</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42.2.3资格审查不合格的投标文件不参加下一阶段的评标，不参与评标参考价的计算。</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ascii="宋体" w:hAnsi="宋体" w:cs="宋体"/>
          <w:color w:val="000000"/>
          <w:kern w:val="0"/>
          <w:sz w:val="24"/>
          <w:szCs w:val="24"/>
          <w:highlight w:val="none"/>
        </w:rPr>
      </w:pPr>
      <w:r>
        <w:rPr>
          <w:rFonts w:hint="eastAsia" w:ascii="宋体" w:hAnsi="宋体" w:cs="宋体"/>
          <w:color w:val="000000"/>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 第一阶段评审</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42.3.1</w:t>
      </w:r>
      <w:r>
        <w:rPr>
          <w:rFonts w:hint="eastAsia" w:ascii="宋体" w:hAnsi="宋体" w:cs="宋体"/>
          <w:bCs/>
          <w:kern w:val="0"/>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b/>
          <w:bCs/>
          <w:color w:val="000000"/>
          <w:kern w:val="0"/>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42.3.5招标人应在《投标须知前附表》中明确选择使用施工企业总排名或相应的施工专业承包排名计分。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 第二阶段评审</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42.4.1按照投标须知前附表第25项规定，确定进入第二阶段评审的投标人。若在进入第二阶段的最后名次发生并列的，则所有并列的投标人均进入第二阶段。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s="宋体"/>
          <w:strike/>
          <w:color w:val="000000"/>
          <w:sz w:val="24"/>
          <w:szCs w:val="24"/>
          <w:highlight w:val="none"/>
        </w:rPr>
      </w:pPr>
      <w:r>
        <w:rPr>
          <w:rFonts w:hint="eastAsia" w:ascii="宋体" w:hAnsi="宋体" w:cs="宋体"/>
          <w:strike/>
          <w:color w:val="000000"/>
          <w:sz w:val="24"/>
          <w:szCs w:val="24"/>
          <w:highlight w:val="none"/>
        </w:rPr>
        <w:t>42.4.2若进入第二阶段投标人中所有投标报价均大于等于最高投标限价*D%（D的取值范围为[94,100],由招标人自主确定）的（具体金额为：      元），则本项目招标失败，由招标人依法重新招标。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42.4.3投标文件经济标的评分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42.4.3.1按方法</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计算评标参考价：</w:t>
      </w:r>
    </w:p>
    <w:p>
      <w:pPr>
        <w:widowControl/>
        <w:spacing w:line="360" w:lineRule="auto"/>
        <w:ind w:firstLine="482" w:firstLineChars="200"/>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方法一：加权平均法</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技术标或技术标加诚信得分或第一阶段入围得分（具体由招标人自定）前N名（N≥5，具体由招标人自定）的经济报价加权平均，计算评标参考价。公式如下：</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评标参考价=Σ（投标人的投标报价*报价权重）。</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其中：报价权重的计算方法为：将N名投标人按技术分由高至低进行排序，第一名投标人的权重为（</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QUOTE </w:instrText>
      </w:r>
      <w:r>
        <w:rPr>
          <w:rFonts w:hint="eastAsia" w:ascii="宋体" w:hAnsi="宋体" w:cs="宋体"/>
          <w:color w:val="000000"/>
          <w:sz w:val="24"/>
          <w:szCs w:val="24"/>
          <w:highlight w:val="none"/>
        </w:rPr>
        <w:drawing>
          <wp:inline distT="0" distB="0" distL="0" distR="0">
            <wp:extent cx="381000" cy="447675"/>
            <wp:effectExtent l="0" t="0" r="0" b="0"/>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000000"/>
          <w:sz w:val="24"/>
          <w:szCs w:val="24"/>
          <w:highlight w:val="none"/>
        </w:rPr>
        <w:fldChar w:fldCharType="separate"/>
      </w:r>
      <w:r>
        <w:rPr>
          <w:rFonts w:hint="eastAsia" w:ascii="宋体" w:hAnsi="宋体" w:cs="宋体"/>
          <w:color w:val="000000"/>
          <w:sz w:val="24"/>
          <w:szCs w:val="24"/>
          <w:highlight w:val="none"/>
        </w:rPr>
        <w:drawing>
          <wp:inline distT="0" distB="0" distL="0" distR="0">
            <wp:extent cx="381000" cy="447675"/>
            <wp:effectExtent l="0" t="0" r="0" b="0"/>
            <wp:docPr id="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），第二名投标人的权重为（</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QUOTE </w:instrText>
      </w:r>
      <w:r>
        <w:rPr>
          <w:rFonts w:hint="eastAsia" w:ascii="宋体" w:hAnsi="宋体" w:cs="宋体"/>
          <w:color w:val="000000"/>
          <w:position w:val="-23"/>
          <w:sz w:val="24"/>
          <w:szCs w:val="24"/>
          <w:highlight w:val="none"/>
        </w:rPr>
        <w:drawing>
          <wp:inline distT="0" distB="0" distL="0" distR="0">
            <wp:extent cx="323850" cy="400050"/>
            <wp:effectExtent l="0" t="0" r="0" b="0"/>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separate"/>
      </w:r>
      <w:r>
        <w:rPr>
          <w:rFonts w:hint="eastAsia" w:ascii="宋体" w:hAnsi="宋体" w:cs="宋体"/>
          <w:color w:val="000000"/>
          <w:position w:val="-23"/>
          <w:sz w:val="24"/>
          <w:szCs w:val="24"/>
          <w:highlight w:val="none"/>
        </w:rPr>
        <w:drawing>
          <wp:inline distT="0" distB="0" distL="0" distR="0">
            <wp:extent cx="323850" cy="400050"/>
            <wp:effectExtent l="0" t="0" r="0" b="0"/>
            <wp:docPr id="1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），以此类推，最后一名投标人的权重为（</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QUOTE </w:instrText>
      </w:r>
      <w:r>
        <w:rPr>
          <w:rFonts w:hint="eastAsia" w:ascii="宋体" w:hAnsi="宋体" w:cs="宋体"/>
          <w:color w:val="000000"/>
          <w:position w:val="-23"/>
          <w:sz w:val="24"/>
          <w:szCs w:val="24"/>
          <w:highlight w:val="none"/>
        </w:rPr>
        <w:drawing>
          <wp:inline distT="0" distB="0" distL="0" distR="0">
            <wp:extent cx="323850" cy="400050"/>
            <wp:effectExtent l="0" t="0" r="0" b="0"/>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separate"/>
      </w:r>
      <w:r>
        <w:rPr>
          <w:rFonts w:hint="eastAsia" w:ascii="宋体" w:hAnsi="宋体" w:cs="宋体"/>
          <w:color w:val="000000"/>
          <w:position w:val="-23"/>
          <w:sz w:val="24"/>
          <w:szCs w:val="24"/>
          <w:highlight w:val="none"/>
        </w:rPr>
        <w:drawing>
          <wp:inline distT="0" distB="0" distL="0" distR="0">
            <wp:extent cx="323850" cy="400050"/>
            <wp:effectExtent l="0" t="0" r="0" b="0"/>
            <wp:docPr id="1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w:t>
      </w:r>
    </w:p>
    <w:p>
      <w:pPr>
        <w:widowControl/>
        <w:spacing w:line="360" w:lineRule="auto"/>
        <w:ind w:firstLine="482" w:firstLineChars="200"/>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方法二：区间抽取法</w:t>
      </w:r>
    </w:p>
    <w:p>
      <w:pPr>
        <w:widowControl/>
        <w:snapToGrid w:val="0"/>
        <w:spacing w:line="360" w:lineRule="auto"/>
        <w:ind w:firstLine="480" w:firstLineChars="200"/>
        <w:rPr>
          <w:rFonts w:ascii="宋体" w:hAnsi="宋体" w:cs="宋体"/>
          <w:color w:val="000000"/>
          <w:kern w:val="0"/>
          <w:sz w:val="24"/>
          <w:szCs w:val="24"/>
          <w:highlight w:val="none"/>
        </w:rPr>
      </w:pPr>
      <w:r>
        <w:rPr>
          <w:rFonts w:hint="eastAsia" w:ascii="宋体" w:hAnsi="宋体" w:cs="宋体"/>
          <w:color w:val="000000"/>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s="宋体"/>
          <w:color w:val="000000"/>
          <w:kern w:val="0"/>
          <w:sz w:val="24"/>
          <w:szCs w:val="24"/>
          <w:highlight w:val="none"/>
          <w:vertAlign w:val="subscript"/>
        </w:rPr>
      </w:pPr>
      <w:r>
        <w:rPr>
          <w:rFonts w:hint="eastAsia" w:ascii="宋体" w:hAnsi="宋体" w:cs="宋体"/>
          <w:color w:val="000000"/>
          <w:kern w:val="0"/>
          <w:sz w:val="24"/>
          <w:szCs w:val="24"/>
          <w:highlight w:val="none"/>
        </w:rPr>
        <w:t>评标参考价=（Q</w:t>
      </w:r>
      <w:r>
        <w:rPr>
          <w:rFonts w:hint="eastAsia" w:ascii="宋体" w:hAnsi="宋体" w:cs="宋体"/>
          <w:color w:val="000000"/>
          <w:kern w:val="0"/>
          <w:sz w:val="24"/>
          <w:szCs w:val="24"/>
          <w:highlight w:val="none"/>
          <w:vertAlign w:val="subscript"/>
        </w:rPr>
        <w:t>高</w:t>
      </w:r>
      <w:r>
        <w:rPr>
          <w:rFonts w:hint="eastAsia" w:ascii="宋体" w:hAnsi="宋体" w:cs="宋体"/>
          <w:color w:val="000000"/>
          <w:kern w:val="0"/>
          <w:sz w:val="24"/>
          <w:szCs w:val="24"/>
          <w:highlight w:val="none"/>
        </w:rPr>
        <w:t>-Q</w:t>
      </w:r>
      <w:r>
        <w:rPr>
          <w:rFonts w:hint="eastAsia" w:ascii="宋体" w:hAnsi="宋体" w:cs="宋体"/>
          <w:color w:val="000000"/>
          <w:kern w:val="0"/>
          <w:sz w:val="24"/>
          <w:szCs w:val="24"/>
          <w:highlight w:val="none"/>
          <w:vertAlign w:val="subscript"/>
        </w:rPr>
        <w:t>低</w:t>
      </w:r>
      <w:r>
        <w:rPr>
          <w:rFonts w:hint="eastAsia" w:ascii="宋体" w:hAnsi="宋体" w:cs="宋体"/>
          <w:color w:val="000000"/>
          <w:kern w:val="0"/>
          <w:sz w:val="24"/>
          <w:szCs w:val="24"/>
          <w:highlight w:val="none"/>
        </w:rPr>
        <w:t>）/100*Ｘ+Q</w:t>
      </w:r>
      <w:r>
        <w:rPr>
          <w:rFonts w:hint="eastAsia" w:ascii="宋体" w:hAnsi="宋体" w:cs="宋体"/>
          <w:color w:val="000000"/>
          <w:kern w:val="0"/>
          <w:sz w:val="24"/>
          <w:szCs w:val="24"/>
          <w:highlight w:val="none"/>
          <w:vertAlign w:val="subscript"/>
        </w:rPr>
        <w:t>低</w:t>
      </w:r>
    </w:p>
    <w:p>
      <w:pPr>
        <w:widowControl/>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Q</w:t>
      </w:r>
      <w:r>
        <w:rPr>
          <w:rFonts w:hint="eastAsia" w:ascii="宋体" w:hAnsi="宋体" w:cs="宋体"/>
          <w:color w:val="000000"/>
          <w:sz w:val="24"/>
          <w:szCs w:val="24"/>
          <w:highlight w:val="none"/>
          <w:vertAlign w:val="subscript"/>
        </w:rPr>
        <w:t>低</w:t>
      </w:r>
      <w:r>
        <w:rPr>
          <w:rFonts w:hint="eastAsia" w:ascii="宋体" w:hAnsi="宋体" w:cs="宋体"/>
          <w:color w:val="000000"/>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kern w:val="0"/>
          <w:sz w:val="24"/>
          <w:szCs w:val="24"/>
          <w:highlight w:val="none"/>
        </w:rPr>
        <w:t>Q</w:t>
      </w:r>
      <w:r>
        <w:rPr>
          <w:rFonts w:hint="eastAsia" w:ascii="宋体" w:hAnsi="宋体" w:cs="宋体"/>
          <w:color w:val="000000"/>
          <w:kern w:val="0"/>
          <w:sz w:val="24"/>
          <w:szCs w:val="24"/>
          <w:highlight w:val="none"/>
          <w:vertAlign w:val="subscript"/>
        </w:rPr>
        <w:t>高</w:t>
      </w:r>
      <w:r>
        <w:rPr>
          <w:rFonts w:hint="eastAsia" w:ascii="宋体" w:hAnsi="宋体" w:cs="宋体"/>
          <w:color w:val="000000"/>
          <w:sz w:val="24"/>
          <w:szCs w:val="24"/>
          <w:highlight w:val="none"/>
        </w:rPr>
        <w:t>：为最高投标限价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X:为等分点值，在开标前从[0,100]整数中随机抽取</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kern w:val="0"/>
          <w:sz w:val="24"/>
          <w:szCs w:val="24"/>
          <w:highlight w:val="none"/>
        </w:rPr>
        <w:t>42.4.3.2</w:t>
      </w:r>
      <w:r>
        <w:rPr>
          <w:rFonts w:hint="eastAsia" w:ascii="宋体" w:hAnsi="宋体" w:cs="宋体"/>
          <w:color w:val="000000"/>
          <w:sz w:val="24"/>
          <w:szCs w:val="24"/>
          <w:highlight w:val="none"/>
        </w:rPr>
        <w:t>当标价等于评标参考价时得100分，标价每高于评标参考价1%，扣1.5分，每低于评标参考价1%，扣1分，扣至0分为止，得出经济分，精确到小数点后两位。</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42.4.3.3评标委员会按照各投标人的经济分从高到低排列先后次序。经济分相同的投标文件，按投标须知前附表第31项的规定确定排序。</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42.4.4</w:t>
      </w:r>
      <w:r>
        <w:rPr>
          <w:rFonts w:hint="eastAsia" w:ascii="宋体" w:hAnsi="宋体" w:cs="宋体"/>
          <w:bCs/>
          <w:kern w:val="0"/>
          <w:sz w:val="24"/>
          <w:szCs w:val="24"/>
          <w:highlight w:val="none"/>
        </w:rPr>
        <w:t>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b/>
          <w:bCs/>
          <w:color w:val="000000"/>
          <w:kern w:val="0"/>
          <w:sz w:val="24"/>
          <w:szCs w:val="24"/>
          <w:highlight w:val="non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42.4.5.1如果数字表示的金额和用文字表示的金额不一致时，应以文字表示的金额为准；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42.4.5.2经算术复核的投标人报价与其投标报价不一致时，按就低不就高原则确定其最终报价；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42.4.5.4当合价、金额累加错误时，按就低不就高原则，如果累加修正值小于原累加值，则按累加修正值；如果累加修正值大于原累加值，则按原累加值；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42.6评标委员会应在通过投标文件经济标有效性审查的投标人中，按步骤42.4确定的投标人第二阶段排序，推荐前3名依次为第一中标候选人至第三中标候选人,并编制评标报告。</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42.7若通过经济标有效性审查的投标人不足三家，应当依法重新招标。（当N个标段同时招标且不允许兼中时，若有效投标人不足N+2家，应当依法重新招标）</w:t>
      </w:r>
    </w:p>
    <w:p>
      <w:pPr>
        <w:spacing w:line="360" w:lineRule="auto"/>
        <w:ind w:firstLine="480" w:firstLineChars="200"/>
        <w:rPr>
          <w:rFonts w:ascii="宋体" w:hAnsi="宋体" w:cs="宋体"/>
          <w:color w:val="000000"/>
          <w:sz w:val="24"/>
          <w:szCs w:val="24"/>
          <w:highlight w:val="none"/>
        </w:rPr>
      </w:pPr>
    </w:p>
    <w:p>
      <w:pPr>
        <w:pStyle w:val="6"/>
        <w:spacing w:before="156" w:after="156"/>
        <w:ind w:firstLine="480" w:firstLineChars="200"/>
        <w:rPr>
          <w:color w:val="000000"/>
          <w:sz w:val="24"/>
          <w:szCs w:val="24"/>
          <w:highlight w:val="none"/>
        </w:rPr>
      </w:pPr>
      <w:bookmarkStart w:id="37" w:name="_Toc2272562"/>
      <w:bookmarkStart w:id="38" w:name="_Toc21525507"/>
      <w:r>
        <w:rPr>
          <w:rFonts w:hint="eastAsia"/>
          <w:color w:val="000000"/>
          <w:sz w:val="24"/>
          <w:szCs w:val="24"/>
          <w:highlight w:val="none"/>
        </w:rPr>
        <w:t>可选办法五（适合综合评分法三，技术标与经济标先后分别开启）</w:t>
      </w:r>
      <w:bookmarkEnd w:id="37"/>
      <w:bookmarkEnd w:id="38"/>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40．开标和评标程序：</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40.1投标人递交技术标、经济标投标文件；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40.2技术标投标文件公开开标；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40.3由评标委员会对所有已公开开标的投标人进行资格审查；</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40.4技术标投标文件有效性审查；</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40.5技术标详细审查评分；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40.6计算第一阶段得分，并按照总分从高到低排列先后次序，编写第一阶段评审报告；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40.7对通过技术标有效性审查的经济标投标文件公开开标；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40.8按投标须知前附表第25项规定，确定进入第二阶段评审的投标人；</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40.9将进入第二阶段评审的投标人进行排序；</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40.10按排序对经济标投标文件进行有效性审查（含投标报价算术校核），直至评出所有中标候选人；</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40.11评标委员会编写评标报告，向招标人推荐中标候选人名单。</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 开标细则</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41.1开标由招标人主持；</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41.2细则</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41.2.1投标截止期前，各投标人递交投标文件（包括技术标投标文件、经济标投标文件）至</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交易平台。有关投标文件提交的事项详见第一章投标须知。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41.2.2先开技术标；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41.2.3对通过技术标有效性审查的投标人开启其经济标投标文件；</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41.2.4 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41.3按36.5.1的规定完成解密后，公布下列内容，并予以记录，记录提交评标委员会评审：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41.3.1 技术标开标时，公布：a、投标人名称；b、投标文件密封情况；c、法定代表人证明及授权委托；d、投标保证金；e、项目经理（负责人）名称等主要内容以及开标记录表中的其他必要内容。</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41.3.2 经济标开标前，首先公布技术标通过有效性审查的投标人,招标人依次开启通过技术标有效性审查的投标人的经济标。开标时，公布：a、投标人名称；b、投标文件密封情况；c、投标报价等主要内容以及开标记录表中的其他必要内容。投标报价以数字和文字两种方式表述的，应公布文字表述的投标报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41.4招标人对开标过程进行记录，并存档备查，投标人在开标记录上签字。</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41.5 招标人将上述符合要求的投标文件，送至评标委员会进行评审。</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 评标细则</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42.1评标委员会的组成：方式</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highlight w:val="none"/>
        </w:rPr>
      </w:pPr>
      <w:r>
        <w:rPr>
          <w:rFonts w:hint="eastAsia" w:ascii="宋体" w:hAnsi="宋体" w:cs="宋体"/>
          <w:color w:val="000000"/>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000000"/>
          <w:kern w:val="0"/>
          <w:sz w:val="24"/>
          <w:szCs w:val="24"/>
          <w:highlight w:val="none"/>
        </w:rPr>
        <w:t xml:space="preserve"> </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42.2投标人资格审查</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42.2.1</w:t>
      </w:r>
      <w:r>
        <w:rPr>
          <w:rFonts w:hint="eastAsia" w:ascii="宋体" w:hAnsi="宋体" w:cs="宋体"/>
          <w:bCs/>
          <w:kern w:val="0"/>
          <w:sz w:val="24"/>
          <w:szCs w:val="24"/>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b/>
          <w:bCs/>
          <w:kern w:val="0"/>
          <w:sz w:val="24"/>
          <w:szCs w:val="24"/>
          <w:highlight w:val="none"/>
        </w:rPr>
        <w:t>评委发现资格审查文件中含义不明确、对同类问题表述不一致、有明显文字和计算错误的，应当要求投标人作必要的澄清、说明后再判定投标人是否通过资格审查，不得直接认定其不通过资格审查。</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42.2.2汇总资格审查情况，编写资格审查报告。</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42.2.3资格审查不合格的投标文件不参加下一阶段的评标，不参与评标参考价的计算。</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ascii="宋体" w:hAnsi="宋体" w:cs="宋体"/>
          <w:color w:val="000000"/>
          <w:kern w:val="0"/>
          <w:sz w:val="24"/>
          <w:szCs w:val="24"/>
          <w:highlight w:val="none"/>
        </w:rPr>
      </w:pPr>
      <w:r>
        <w:rPr>
          <w:rFonts w:hint="eastAsia" w:ascii="宋体" w:hAnsi="宋体" w:cs="宋体"/>
          <w:color w:val="000000"/>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 第一阶段评审</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42.3.1</w:t>
      </w:r>
      <w:r>
        <w:rPr>
          <w:rFonts w:hint="eastAsia" w:ascii="宋体" w:hAnsi="宋体" w:cs="宋体"/>
          <w:bCs/>
          <w:kern w:val="0"/>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b/>
          <w:bCs/>
          <w:color w:val="000000"/>
          <w:kern w:val="0"/>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42.3.2</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详细审查评分：评标委员会按照本办法附表</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详细审查评分表》对通过技术标有效性审查的投标文件进行详细审查，评出       得分。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42.3.3评标委员会按照“第一阶段得分=</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w:t>
      </w:r>
    </w:p>
    <w:p>
      <w:pPr>
        <w:widowControl/>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42.3.4招标人应在《投标须知前附表》中明确选择使用施工企业总排名或相应的施工专业承包排名计分。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 第二阶段评审</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42.4.1开启经济标后，按照投标须知前附表第25项规定，确定进入第二阶段评审的投标人。若在进入第二阶段的最后名次发生并列的，则所有并列的投标人均进入第二阶段。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s="宋体"/>
          <w:strike/>
          <w:color w:val="000000"/>
          <w:sz w:val="24"/>
          <w:szCs w:val="24"/>
          <w:highlight w:val="none"/>
        </w:rPr>
      </w:pPr>
      <w:r>
        <w:rPr>
          <w:rFonts w:hint="eastAsia" w:ascii="宋体" w:hAnsi="宋体" w:cs="宋体"/>
          <w:strike/>
          <w:color w:val="000000"/>
          <w:sz w:val="24"/>
          <w:szCs w:val="24"/>
          <w:highlight w:val="none"/>
        </w:rPr>
        <w:t>42.4.2若进入第二阶段投标人中所有投标报价均大于等于最高投标限价*D%（D的取值范围为[94,100],由招标人自主确定）的（具体金额为：</w:t>
      </w:r>
      <w:r>
        <w:rPr>
          <w:rFonts w:hint="eastAsia" w:ascii="宋体" w:hAnsi="宋体" w:cs="宋体"/>
          <w:strike/>
          <w:color w:val="000000"/>
          <w:sz w:val="24"/>
          <w:szCs w:val="24"/>
          <w:highlight w:val="none"/>
          <w:u w:val="single"/>
        </w:rPr>
        <w:t xml:space="preserve">      </w:t>
      </w:r>
      <w:r>
        <w:rPr>
          <w:rFonts w:hint="eastAsia" w:ascii="宋体" w:hAnsi="宋体" w:cs="宋体"/>
          <w:strike/>
          <w:color w:val="000000"/>
          <w:sz w:val="24"/>
          <w:szCs w:val="24"/>
          <w:highlight w:val="none"/>
        </w:rPr>
        <w:t>元），则本项目招标失败，由招标人依法重新招标。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42.4.3投标文件经济标的评分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42.4.3.1按方法</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计算评标参考价：</w:t>
      </w:r>
    </w:p>
    <w:p>
      <w:pPr>
        <w:widowControl/>
        <w:spacing w:line="360" w:lineRule="auto"/>
        <w:ind w:firstLine="482" w:firstLineChars="200"/>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方法一：加权平均法</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技术标或技术标加诚信得分或第一阶段入围得分（具体由招标人自定）前N名（N≥5，具体由招标人自定）的经济报价加权平均，计算评标参考价。公式如下：</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评标参考价=Σ（投标人的投标报价*报价权重）。</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其中：报价权重的计算方法为：将N名投标人按技术分由高至低进行排序，第一名投标人的权重为（</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QUOTE </w:instrText>
      </w:r>
      <w:r>
        <w:rPr>
          <w:rFonts w:hint="eastAsia" w:ascii="宋体" w:hAnsi="宋体" w:cs="宋体"/>
          <w:color w:val="000000"/>
          <w:sz w:val="24"/>
          <w:szCs w:val="24"/>
          <w:highlight w:val="none"/>
        </w:rPr>
        <w:drawing>
          <wp:inline distT="0" distB="0" distL="0" distR="0">
            <wp:extent cx="381000" cy="447675"/>
            <wp:effectExtent l="0" t="0" r="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000000"/>
          <w:sz w:val="24"/>
          <w:szCs w:val="24"/>
          <w:highlight w:val="none"/>
        </w:rPr>
        <w:fldChar w:fldCharType="separate"/>
      </w:r>
      <w:r>
        <w:rPr>
          <w:rFonts w:hint="eastAsia" w:ascii="宋体" w:hAnsi="宋体" w:cs="宋体"/>
          <w:color w:val="000000"/>
          <w:sz w:val="24"/>
          <w:szCs w:val="24"/>
          <w:highlight w:val="none"/>
        </w:rPr>
        <w:drawing>
          <wp:inline distT="0" distB="0" distL="0" distR="0">
            <wp:extent cx="381000" cy="447675"/>
            <wp:effectExtent l="0" t="0" r="0" b="0"/>
            <wp:docPr id="1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），第二名投标人的权重为（</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QUOTE </w:instrText>
      </w:r>
      <w:r>
        <w:rPr>
          <w:rFonts w:hint="eastAsia" w:ascii="宋体" w:hAnsi="宋体" w:cs="宋体"/>
          <w:color w:val="000000"/>
          <w:position w:val="-23"/>
          <w:sz w:val="24"/>
          <w:szCs w:val="24"/>
          <w:highlight w:val="none"/>
        </w:rPr>
        <w:drawing>
          <wp:inline distT="0" distB="0" distL="0" distR="0">
            <wp:extent cx="323850" cy="400050"/>
            <wp:effectExtent l="0" t="0" r="0" b="0"/>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separate"/>
      </w:r>
      <w:r>
        <w:rPr>
          <w:rFonts w:hint="eastAsia" w:ascii="宋体" w:hAnsi="宋体" w:cs="宋体"/>
          <w:color w:val="000000"/>
          <w:position w:val="-23"/>
          <w:sz w:val="24"/>
          <w:szCs w:val="24"/>
          <w:highlight w:val="none"/>
        </w:rPr>
        <w:drawing>
          <wp:inline distT="0" distB="0" distL="0" distR="0">
            <wp:extent cx="323850" cy="400050"/>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），以此类推，最后一名投标人的权重为（</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QUOTE </w:instrText>
      </w:r>
      <w:r>
        <w:rPr>
          <w:rFonts w:hint="eastAsia" w:ascii="宋体" w:hAnsi="宋体" w:cs="宋体"/>
          <w:color w:val="000000"/>
          <w:position w:val="-23"/>
          <w:sz w:val="24"/>
          <w:szCs w:val="24"/>
          <w:highlight w:val="none"/>
        </w:rPr>
        <w:drawing>
          <wp:inline distT="0" distB="0" distL="0" distR="0">
            <wp:extent cx="323850" cy="400050"/>
            <wp:effectExtent l="0" t="0" r="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separate"/>
      </w:r>
      <w:r>
        <w:rPr>
          <w:rFonts w:hint="eastAsia" w:ascii="宋体" w:hAnsi="宋体" w:cs="宋体"/>
          <w:color w:val="000000"/>
          <w:position w:val="-23"/>
          <w:sz w:val="24"/>
          <w:szCs w:val="24"/>
          <w:highlight w:val="none"/>
        </w:rPr>
        <w:drawing>
          <wp:inline distT="0" distB="0" distL="0" distR="0">
            <wp:extent cx="323850" cy="400050"/>
            <wp:effectExtent l="0" t="0" r="0" b="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w:t>
      </w:r>
    </w:p>
    <w:p>
      <w:pPr>
        <w:widowControl/>
        <w:spacing w:line="360" w:lineRule="auto"/>
        <w:ind w:firstLine="482" w:firstLineChars="200"/>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方法二：区间抽取法</w:t>
      </w:r>
    </w:p>
    <w:p>
      <w:pPr>
        <w:widowControl/>
        <w:snapToGrid w:val="0"/>
        <w:spacing w:line="360" w:lineRule="auto"/>
        <w:ind w:firstLine="480" w:firstLineChars="200"/>
        <w:rPr>
          <w:rFonts w:ascii="宋体" w:hAnsi="宋体" w:cs="宋体"/>
          <w:color w:val="000000"/>
          <w:kern w:val="0"/>
          <w:sz w:val="24"/>
          <w:szCs w:val="24"/>
          <w:highlight w:val="none"/>
        </w:rPr>
      </w:pPr>
      <w:r>
        <w:rPr>
          <w:rFonts w:hint="eastAsia" w:ascii="宋体" w:hAnsi="宋体" w:cs="宋体"/>
          <w:color w:val="000000"/>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s="宋体"/>
          <w:color w:val="000000"/>
          <w:kern w:val="0"/>
          <w:sz w:val="24"/>
          <w:szCs w:val="24"/>
          <w:highlight w:val="none"/>
          <w:vertAlign w:val="subscript"/>
        </w:rPr>
      </w:pPr>
      <w:r>
        <w:rPr>
          <w:rFonts w:hint="eastAsia" w:ascii="宋体" w:hAnsi="宋体" w:cs="宋体"/>
          <w:color w:val="000000"/>
          <w:kern w:val="0"/>
          <w:sz w:val="24"/>
          <w:szCs w:val="24"/>
          <w:highlight w:val="none"/>
        </w:rPr>
        <w:t>评标参考价=（Q</w:t>
      </w:r>
      <w:r>
        <w:rPr>
          <w:rFonts w:hint="eastAsia" w:ascii="宋体" w:hAnsi="宋体" w:cs="宋体"/>
          <w:color w:val="000000"/>
          <w:kern w:val="0"/>
          <w:sz w:val="24"/>
          <w:szCs w:val="24"/>
          <w:highlight w:val="none"/>
          <w:vertAlign w:val="subscript"/>
        </w:rPr>
        <w:t>高</w:t>
      </w:r>
      <w:r>
        <w:rPr>
          <w:rFonts w:hint="eastAsia" w:ascii="宋体" w:hAnsi="宋体" w:cs="宋体"/>
          <w:color w:val="000000"/>
          <w:kern w:val="0"/>
          <w:sz w:val="24"/>
          <w:szCs w:val="24"/>
          <w:highlight w:val="none"/>
        </w:rPr>
        <w:t>-Q</w:t>
      </w:r>
      <w:r>
        <w:rPr>
          <w:rFonts w:hint="eastAsia" w:ascii="宋体" w:hAnsi="宋体" w:cs="宋体"/>
          <w:color w:val="000000"/>
          <w:kern w:val="0"/>
          <w:sz w:val="24"/>
          <w:szCs w:val="24"/>
          <w:highlight w:val="none"/>
          <w:vertAlign w:val="subscript"/>
        </w:rPr>
        <w:t>低</w:t>
      </w:r>
      <w:r>
        <w:rPr>
          <w:rFonts w:hint="eastAsia" w:ascii="宋体" w:hAnsi="宋体" w:cs="宋体"/>
          <w:color w:val="000000"/>
          <w:kern w:val="0"/>
          <w:sz w:val="24"/>
          <w:szCs w:val="24"/>
          <w:highlight w:val="none"/>
        </w:rPr>
        <w:t>）/100*Ｘ+Q</w:t>
      </w:r>
      <w:r>
        <w:rPr>
          <w:rFonts w:hint="eastAsia" w:ascii="宋体" w:hAnsi="宋体" w:cs="宋体"/>
          <w:color w:val="000000"/>
          <w:kern w:val="0"/>
          <w:sz w:val="24"/>
          <w:szCs w:val="24"/>
          <w:highlight w:val="none"/>
          <w:vertAlign w:val="subscript"/>
        </w:rPr>
        <w:t>低</w:t>
      </w:r>
    </w:p>
    <w:p>
      <w:pPr>
        <w:widowControl/>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Q</w:t>
      </w:r>
      <w:r>
        <w:rPr>
          <w:rFonts w:hint="eastAsia" w:ascii="宋体" w:hAnsi="宋体" w:cs="宋体"/>
          <w:color w:val="000000"/>
          <w:sz w:val="24"/>
          <w:szCs w:val="24"/>
          <w:highlight w:val="none"/>
          <w:vertAlign w:val="subscript"/>
        </w:rPr>
        <w:t>低</w:t>
      </w:r>
      <w:r>
        <w:rPr>
          <w:rFonts w:hint="eastAsia" w:ascii="宋体" w:hAnsi="宋体" w:cs="宋体"/>
          <w:color w:val="000000"/>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kern w:val="0"/>
          <w:sz w:val="24"/>
          <w:szCs w:val="24"/>
          <w:highlight w:val="none"/>
        </w:rPr>
        <w:t>Q</w:t>
      </w:r>
      <w:r>
        <w:rPr>
          <w:rFonts w:hint="eastAsia" w:ascii="宋体" w:hAnsi="宋体" w:cs="宋体"/>
          <w:color w:val="000000"/>
          <w:kern w:val="0"/>
          <w:sz w:val="24"/>
          <w:szCs w:val="24"/>
          <w:highlight w:val="none"/>
          <w:vertAlign w:val="subscript"/>
        </w:rPr>
        <w:t>高</w:t>
      </w:r>
      <w:r>
        <w:rPr>
          <w:rFonts w:hint="eastAsia" w:ascii="宋体" w:hAnsi="宋体" w:cs="宋体"/>
          <w:color w:val="000000"/>
          <w:sz w:val="24"/>
          <w:szCs w:val="24"/>
          <w:highlight w:val="none"/>
        </w:rPr>
        <w:t>：为最高投标限价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X:为等分点值，在开标前从[0,100]整数中随机抽取</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kern w:val="0"/>
          <w:sz w:val="24"/>
          <w:szCs w:val="24"/>
          <w:highlight w:val="none"/>
        </w:rPr>
        <w:t>42.4.3.2</w:t>
      </w:r>
      <w:r>
        <w:rPr>
          <w:rFonts w:hint="eastAsia" w:ascii="宋体" w:hAnsi="宋体" w:cs="宋体"/>
          <w:color w:val="000000"/>
          <w:sz w:val="24"/>
          <w:szCs w:val="24"/>
          <w:highlight w:val="none"/>
        </w:rPr>
        <w:t>当标价等于评标参考价时得100分，标价每高于评标参考价1%，扣1.5分，每低于评标参考价1%，扣1分，扣至0分为止，得出经济分，精确到小数点后两位。</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42.4.3.3评标委员会按投标须知前附表第32项的规定确定排序。</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42.4.4</w:t>
      </w:r>
      <w:r>
        <w:rPr>
          <w:rFonts w:hint="eastAsia" w:ascii="宋体" w:hAnsi="宋体" w:cs="宋体"/>
          <w:bCs/>
          <w:kern w:val="0"/>
          <w:sz w:val="24"/>
          <w:szCs w:val="24"/>
          <w:highlight w:val="none"/>
        </w:rPr>
        <w:t>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b/>
          <w:bCs/>
          <w:color w:val="000000"/>
          <w:kern w:val="0"/>
          <w:sz w:val="24"/>
          <w:szCs w:val="24"/>
          <w:highlight w:val="non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42.4.5.1如果数字表示的金额和用文字表示的金额不一致时，应以文字表示的金额为准；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42.4.5.2经算术复核的投标人报价与其投标报价不一致时，按就低不就高原则确定其最终报价；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42.4.5.4当合价、金额累加错误时，按就低不就高原则，如果累加修正值小于原累加值，则按累加修正值；如果累加修正值大于原累加值，则按原累加值；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42.4.5.8按上述修正错误的原则及方法调整或修正投标文件的投标报价，调整后的投标</w:t>
      </w:r>
      <w:r>
        <w:rPr>
          <w:rFonts w:hint="eastAsia" w:ascii="宋体" w:hAnsi="宋体" w:cs="宋体"/>
          <w:sz w:val="24"/>
          <w:szCs w:val="24"/>
          <w:highlight w:val="none"/>
        </w:rPr>
        <w:t>报价对投标人起约束作用。如果投标人不接受修正后的报价，则取消其投标资格，并且其投标保证金也将不予退还。</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42.6评标委员会应在通过投标文件经济标有效性审查的投标人中，按步骤42.4确定的投标人第二阶段排序，推荐前3名依次为第一中标候选人至第三中标候选人,并编制评标报告。</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42.7若通过经济标有效性审查的投标人不足三家，应当依法重新招标。（当N个标段同时招标且不允许兼中时，若有效投标人不足N+2家，应当依法重新招标）</w:t>
      </w:r>
    </w:p>
    <w:p>
      <w:pPr>
        <w:pStyle w:val="8"/>
        <w:spacing w:line="360" w:lineRule="auto"/>
        <w:ind w:firstLine="480" w:firstLineChars="200"/>
        <w:rPr>
          <w:rFonts w:ascii="宋体" w:hAnsi="宋体" w:cs="宋体"/>
          <w:sz w:val="24"/>
          <w:szCs w:val="24"/>
          <w:highlight w:val="none"/>
        </w:rPr>
      </w:pPr>
    </w:p>
    <w:p>
      <w:pPr>
        <w:pStyle w:val="6"/>
        <w:spacing w:before="156" w:after="156"/>
        <w:ind w:firstLine="480" w:firstLineChars="200"/>
        <w:rPr>
          <w:sz w:val="24"/>
          <w:szCs w:val="24"/>
          <w:highlight w:val="none"/>
        </w:rPr>
      </w:pPr>
      <w:bookmarkStart w:id="39" w:name="_Toc21525508"/>
      <w:bookmarkStart w:id="40" w:name="_Toc2272563"/>
      <w:r>
        <w:rPr>
          <w:rFonts w:hint="eastAsia"/>
          <w:sz w:val="24"/>
          <w:szCs w:val="24"/>
          <w:highlight w:val="none"/>
        </w:rPr>
        <w:t>可选办法六（适合综合评分法三，技术标与经济标同时开启）</w:t>
      </w:r>
      <w:bookmarkEnd w:id="39"/>
      <w:bookmarkEnd w:id="40"/>
    </w:p>
    <w:p>
      <w:pPr>
        <w:pStyle w:val="35"/>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40．开标和评标程序：</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40.1投标人递交技术标、经济标投标文件；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40.2技术标与经济标投标文件同时公开开标；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40.3由评标委员会对所有已公开开标的投标人进行资格审查；</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40.4技术标投标文件有效性审查；</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40.5技术标详细审查评分；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40.6计算第一阶段得分，并按照总分从高到低排列先后次序，编写第一阶段评审报告；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40.7按投标须知前附表第25项规定，确定进入第二阶段评审的投标人；</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40.8将进入第二阶段评审的投标人进行排序；</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40.9按排序对经济标投标文件进行有效性审查（含投标报价算术校核），直至评出所有中标候选人；</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40.10评标委员会编写评标报告，向招标人推荐中标候选人名单。</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 开标细则</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41.1开标由招标人主持；</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41.2细则</w:t>
      </w:r>
    </w:p>
    <w:p>
      <w:pPr>
        <w:spacing w:line="360" w:lineRule="auto"/>
        <w:ind w:firstLine="480" w:firstLineChars="200"/>
        <w:rPr>
          <w:rFonts w:ascii="宋体" w:hAnsi="宋体" w:cs="宋体"/>
          <w:color w:val="000000"/>
          <w:sz w:val="24"/>
          <w:szCs w:val="24"/>
          <w:highlight w:val="none"/>
        </w:rPr>
      </w:pPr>
      <w:r>
        <w:rPr>
          <w:rFonts w:hint="eastAsia" w:ascii="宋体" w:hAnsi="宋体" w:cs="宋体"/>
          <w:sz w:val="24"/>
          <w:szCs w:val="24"/>
          <w:highlight w:val="none"/>
        </w:rPr>
        <w:t>41.2.1投标截止期前，各投标人递交投标文件（包括技术标投标文件、经济标投标文件）</w:t>
      </w:r>
      <w:r>
        <w:rPr>
          <w:rFonts w:hint="eastAsia" w:ascii="宋体" w:hAnsi="宋体" w:cs="宋体"/>
          <w:color w:val="000000"/>
          <w:sz w:val="24"/>
          <w:szCs w:val="24"/>
          <w:highlight w:val="none"/>
        </w:rPr>
        <w:t>至</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交易平台。有关投标文件提交的事项详见第一章投标须知。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41.2.2</w:t>
      </w:r>
      <w:r>
        <w:rPr>
          <w:rFonts w:hint="eastAsia" w:ascii="宋体" w:hAnsi="宋体" w:cs="宋体"/>
          <w:bCs/>
          <w:color w:val="000000"/>
          <w:kern w:val="0"/>
          <w:sz w:val="24"/>
          <w:szCs w:val="24"/>
          <w:highlight w:val="none"/>
        </w:rPr>
        <w:t>开标时，投标人代表有权参加现场开标或</w:t>
      </w:r>
      <w:r>
        <w:rPr>
          <w:rFonts w:hint="eastAsia" w:ascii="宋体" w:hAnsi="宋体" w:cs="宋体"/>
          <w:b/>
          <w:bCs/>
          <w:color w:val="000000"/>
          <w:kern w:val="0"/>
          <w:sz w:val="24"/>
          <w:szCs w:val="24"/>
          <w:highlight w:val="none"/>
        </w:rPr>
        <w:t>在线开标</w:t>
      </w:r>
      <w:r>
        <w:rPr>
          <w:rFonts w:hint="eastAsia" w:ascii="宋体" w:hAnsi="宋体" w:cs="宋体"/>
          <w:bCs/>
          <w:color w:val="000000"/>
          <w:kern w:val="0"/>
          <w:sz w:val="24"/>
          <w:szCs w:val="24"/>
          <w:highlight w:val="none"/>
        </w:rPr>
        <w:t>，也可以自主决定不参加开标，若投标人代表对开标过程有异议的，</w:t>
      </w:r>
      <w:r>
        <w:rPr>
          <w:rFonts w:hint="eastAsia" w:ascii="宋体" w:hAnsi="宋体" w:cs="宋体"/>
          <w:b/>
          <w:bCs/>
          <w:color w:val="000000"/>
          <w:kern w:val="0"/>
          <w:sz w:val="24"/>
          <w:szCs w:val="24"/>
          <w:highlight w:val="none"/>
        </w:rPr>
        <w:t>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41.3按36.5.1的规定完成解密后，公布下列内容，并予以记录，记录提交评标委员会评审：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41.4招标人对开标过程进行记录，并存档备查，投标人在开标记录上签字。</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41.5 招标人将上述符合要求的投标文件，送至评标委员会进行评审。</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 评标细则</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42.1评标委员会的组成：方式</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highlight w:val="none"/>
        </w:rPr>
      </w:pPr>
      <w:r>
        <w:rPr>
          <w:rFonts w:hint="eastAsia" w:ascii="宋体" w:hAnsi="宋体" w:cs="宋体"/>
          <w:color w:val="000000"/>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000000"/>
          <w:kern w:val="0"/>
          <w:sz w:val="24"/>
          <w:szCs w:val="24"/>
          <w:highlight w:val="none"/>
        </w:rPr>
        <w:t xml:space="preserve"> </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42.2投标人资格审查</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42.2.1</w:t>
      </w:r>
      <w:r>
        <w:rPr>
          <w:rFonts w:hint="eastAsia" w:ascii="宋体" w:hAnsi="宋体" w:cs="宋体"/>
          <w:bCs/>
          <w:kern w:val="0"/>
          <w:sz w:val="24"/>
          <w:szCs w:val="24"/>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b/>
          <w:bCs/>
          <w:kern w:val="0"/>
          <w:sz w:val="24"/>
          <w:szCs w:val="24"/>
          <w:highlight w:val="none"/>
        </w:rPr>
        <w:t>评委发现资格审查文件中含义不明确、对同类问题表述不一致、有明显文字和计算错误的，应当要求投标人作必要的澄清、说明后再判定投标人是否通过资格审查，不得直接认定其不通过资格审查。</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42.2.2汇总资格审查情况，编写资格审查报告。</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42.2.3资格审查不合格的投标文件不参加下一阶段的评标，不参与评标参考价的计算。</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ascii="宋体" w:hAnsi="宋体" w:cs="宋体"/>
          <w:color w:val="000000"/>
          <w:kern w:val="0"/>
          <w:sz w:val="24"/>
          <w:szCs w:val="24"/>
          <w:highlight w:val="none"/>
        </w:rPr>
      </w:pPr>
      <w:r>
        <w:rPr>
          <w:rFonts w:hint="eastAsia" w:ascii="宋体" w:hAnsi="宋体" w:cs="宋体"/>
          <w:color w:val="000000"/>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42.3 第一阶段评审</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42.3.1</w:t>
      </w:r>
      <w:r>
        <w:rPr>
          <w:rFonts w:hint="eastAsia" w:ascii="宋体" w:hAnsi="宋体" w:cs="宋体"/>
          <w:bCs/>
          <w:kern w:val="0"/>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b/>
          <w:bCs/>
          <w:color w:val="000000"/>
          <w:kern w:val="0"/>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42.3.2</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详细审查评分：评标委员会按照本办法附表</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详细审查评分表》对通过技术标有效性审查的投标文件进行详细审查，评出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得分。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42.3.4评标委员会按照“第一阶段得分=</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42.3.5招标人应在《投标须知前附表》中明确选择使用施工企业总排名或相应的施工专业承包排名计分。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 第二阶段评审</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42.4.1按照投标须知前附表第25项规定，确定进入第二阶段评审的投标人。若在进入第二阶段的最后名次发生并列的，则所有并列的投标人均进入第二阶段。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s="宋体"/>
          <w:strike/>
          <w:color w:val="000000"/>
          <w:sz w:val="24"/>
          <w:szCs w:val="24"/>
          <w:highlight w:val="none"/>
        </w:rPr>
      </w:pPr>
      <w:r>
        <w:rPr>
          <w:rFonts w:hint="eastAsia" w:ascii="宋体" w:hAnsi="宋体" w:cs="宋体"/>
          <w:strike/>
          <w:color w:val="000000"/>
          <w:sz w:val="24"/>
          <w:szCs w:val="24"/>
          <w:highlight w:val="none"/>
        </w:rPr>
        <w:t>42.4.2若进入第二阶段投标人中所有投标报价均大于等于最高投标限价*D%（D的取值范围为[94,100],由招标人自主确定）的（具体金额为：</w:t>
      </w:r>
      <w:r>
        <w:rPr>
          <w:rFonts w:hint="eastAsia" w:ascii="宋体" w:hAnsi="宋体" w:cs="宋体"/>
          <w:strike/>
          <w:color w:val="000000"/>
          <w:sz w:val="24"/>
          <w:szCs w:val="24"/>
          <w:highlight w:val="none"/>
          <w:u w:val="single"/>
        </w:rPr>
        <w:t xml:space="preserve">      </w:t>
      </w:r>
      <w:r>
        <w:rPr>
          <w:rFonts w:hint="eastAsia" w:ascii="宋体" w:hAnsi="宋体" w:cs="宋体"/>
          <w:strike/>
          <w:color w:val="000000"/>
          <w:sz w:val="24"/>
          <w:szCs w:val="24"/>
          <w:highlight w:val="none"/>
        </w:rPr>
        <w:t>元），则本项目招标失败，由招标人依法重新招标。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42.4.3投标文件经济标的评分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42.4.3.1按方法</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计算评标参考价：</w:t>
      </w:r>
    </w:p>
    <w:p>
      <w:pPr>
        <w:widowControl/>
        <w:spacing w:line="360" w:lineRule="auto"/>
        <w:ind w:firstLine="482" w:firstLineChars="200"/>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方法一：加权平均法</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技术标或技术标加诚信得分或第一阶段入围得分（具体由招标人自定）前N名（N≥5，具体由招标人自定）的经济报价加权平均，计算评标参考价。公式如下：</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评标参考价=Σ（投标人的投标报价*报价权重）。</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其中：报价权重的计算方法为：将N名投标人按技术分由高至低进行排序，第一名投标人的权重为（</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QUOTE </w:instrText>
      </w:r>
      <w:r>
        <w:rPr>
          <w:rFonts w:hint="eastAsia" w:ascii="宋体" w:hAnsi="宋体" w:cs="宋体"/>
          <w:color w:val="000000"/>
          <w:sz w:val="24"/>
          <w:szCs w:val="24"/>
          <w:highlight w:val="none"/>
        </w:rPr>
        <w:drawing>
          <wp:inline distT="0" distB="0" distL="0" distR="0">
            <wp:extent cx="381000" cy="447675"/>
            <wp:effectExtent l="0" t="0" r="0" b="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000000"/>
          <w:sz w:val="24"/>
          <w:szCs w:val="24"/>
          <w:highlight w:val="none"/>
        </w:rPr>
        <w:fldChar w:fldCharType="separate"/>
      </w:r>
      <w:r>
        <w:rPr>
          <w:rFonts w:hint="eastAsia" w:ascii="宋体" w:hAnsi="宋体" w:cs="宋体"/>
          <w:color w:val="000000"/>
          <w:sz w:val="24"/>
          <w:szCs w:val="24"/>
          <w:highlight w:val="none"/>
        </w:rPr>
        <w:drawing>
          <wp:inline distT="0" distB="0" distL="0" distR="0">
            <wp:extent cx="381000" cy="447675"/>
            <wp:effectExtent l="0" t="0" r="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），第二名投标人的权重为（</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QUOTE </w:instrText>
      </w:r>
      <w:r>
        <w:rPr>
          <w:rFonts w:hint="eastAsia" w:ascii="宋体" w:hAnsi="宋体" w:cs="宋体"/>
          <w:color w:val="000000"/>
          <w:position w:val="-23"/>
          <w:sz w:val="24"/>
          <w:szCs w:val="24"/>
          <w:highlight w:val="none"/>
        </w:rPr>
        <w:drawing>
          <wp:inline distT="0" distB="0" distL="0" distR="0">
            <wp:extent cx="323850" cy="400050"/>
            <wp:effectExtent l="0" t="0" r="0" b="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separate"/>
      </w:r>
      <w:r>
        <w:rPr>
          <w:rFonts w:hint="eastAsia" w:ascii="宋体" w:hAnsi="宋体" w:cs="宋体"/>
          <w:color w:val="000000"/>
          <w:position w:val="-23"/>
          <w:sz w:val="24"/>
          <w:szCs w:val="24"/>
          <w:highlight w:val="none"/>
        </w:rPr>
        <w:drawing>
          <wp:inline distT="0" distB="0" distL="0" distR="0">
            <wp:extent cx="323850" cy="400050"/>
            <wp:effectExtent l="0" t="0" r="0" b="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），以此类推，最后一名投标人的权重为（</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QUOTE </w:instrText>
      </w:r>
      <w:r>
        <w:rPr>
          <w:rFonts w:hint="eastAsia" w:ascii="宋体" w:hAnsi="宋体" w:cs="宋体"/>
          <w:color w:val="000000"/>
          <w:position w:val="-23"/>
          <w:sz w:val="24"/>
          <w:szCs w:val="24"/>
          <w:highlight w:val="none"/>
        </w:rPr>
        <w:drawing>
          <wp:inline distT="0" distB="0" distL="0" distR="0">
            <wp:extent cx="323850" cy="400050"/>
            <wp:effectExtent l="0" t="0" r="0" b="0"/>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separate"/>
      </w:r>
      <w:r>
        <w:rPr>
          <w:rFonts w:hint="eastAsia" w:ascii="宋体" w:hAnsi="宋体" w:cs="宋体"/>
          <w:color w:val="000000"/>
          <w:position w:val="-23"/>
          <w:sz w:val="24"/>
          <w:szCs w:val="24"/>
          <w:highlight w:val="none"/>
        </w:rPr>
        <w:drawing>
          <wp:inline distT="0" distB="0" distL="0" distR="0">
            <wp:extent cx="323850" cy="400050"/>
            <wp:effectExtent l="0" t="0" r="0" b="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w:t>
      </w:r>
    </w:p>
    <w:p>
      <w:pPr>
        <w:widowControl/>
        <w:spacing w:line="360" w:lineRule="auto"/>
        <w:ind w:firstLine="482" w:firstLineChars="200"/>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方法二：区间抽取法</w:t>
      </w:r>
    </w:p>
    <w:p>
      <w:pPr>
        <w:widowControl/>
        <w:snapToGrid w:val="0"/>
        <w:spacing w:line="360" w:lineRule="auto"/>
        <w:ind w:firstLine="480" w:firstLineChars="200"/>
        <w:rPr>
          <w:rFonts w:ascii="宋体" w:hAnsi="宋体" w:cs="宋体"/>
          <w:color w:val="000000"/>
          <w:kern w:val="0"/>
          <w:sz w:val="24"/>
          <w:szCs w:val="24"/>
          <w:highlight w:val="none"/>
        </w:rPr>
      </w:pPr>
      <w:r>
        <w:rPr>
          <w:rFonts w:hint="eastAsia" w:ascii="宋体" w:hAnsi="宋体" w:cs="宋体"/>
          <w:color w:val="000000"/>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s="宋体"/>
          <w:color w:val="000000"/>
          <w:kern w:val="0"/>
          <w:sz w:val="24"/>
          <w:szCs w:val="24"/>
          <w:highlight w:val="none"/>
          <w:vertAlign w:val="subscript"/>
        </w:rPr>
      </w:pPr>
      <w:r>
        <w:rPr>
          <w:rFonts w:hint="eastAsia" w:ascii="宋体" w:hAnsi="宋体" w:cs="宋体"/>
          <w:color w:val="000000"/>
          <w:kern w:val="0"/>
          <w:sz w:val="24"/>
          <w:szCs w:val="24"/>
          <w:highlight w:val="none"/>
        </w:rPr>
        <w:t>评标参考价=（Q</w:t>
      </w:r>
      <w:r>
        <w:rPr>
          <w:rFonts w:hint="eastAsia" w:ascii="宋体" w:hAnsi="宋体" w:cs="宋体"/>
          <w:color w:val="000000"/>
          <w:kern w:val="0"/>
          <w:sz w:val="24"/>
          <w:szCs w:val="24"/>
          <w:highlight w:val="none"/>
          <w:vertAlign w:val="subscript"/>
        </w:rPr>
        <w:t>高</w:t>
      </w:r>
      <w:r>
        <w:rPr>
          <w:rFonts w:hint="eastAsia" w:ascii="宋体" w:hAnsi="宋体" w:cs="宋体"/>
          <w:color w:val="000000"/>
          <w:kern w:val="0"/>
          <w:sz w:val="24"/>
          <w:szCs w:val="24"/>
          <w:highlight w:val="none"/>
        </w:rPr>
        <w:t>-Q</w:t>
      </w:r>
      <w:r>
        <w:rPr>
          <w:rFonts w:hint="eastAsia" w:ascii="宋体" w:hAnsi="宋体" w:cs="宋体"/>
          <w:color w:val="000000"/>
          <w:kern w:val="0"/>
          <w:sz w:val="24"/>
          <w:szCs w:val="24"/>
          <w:highlight w:val="none"/>
          <w:vertAlign w:val="subscript"/>
        </w:rPr>
        <w:t>低</w:t>
      </w:r>
      <w:r>
        <w:rPr>
          <w:rFonts w:hint="eastAsia" w:ascii="宋体" w:hAnsi="宋体" w:cs="宋体"/>
          <w:color w:val="000000"/>
          <w:kern w:val="0"/>
          <w:sz w:val="24"/>
          <w:szCs w:val="24"/>
          <w:highlight w:val="none"/>
        </w:rPr>
        <w:t>）/100*Ｘ+Q</w:t>
      </w:r>
      <w:r>
        <w:rPr>
          <w:rFonts w:hint="eastAsia" w:ascii="宋体" w:hAnsi="宋体" w:cs="宋体"/>
          <w:color w:val="000000"/>
          <w:kern w:val="0"/>
          <w:sz w:val="24"/>
          <w:szCs w:val="24"/>
          <w:highlight w:val="none"/>
          <w:vertAlign w:val="subscript"/>
        </w:rPr>
        <w:t>低</w:t>
      </w:r>
    </w:p>
    <w:p>
      <w:pPr>
        <w:widowControl/>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Q</w:t>
      </w:r>
      <w:r>
        <w:rPr>
          <w:rFonts w:hint="eastAsia" w:ascii="宋体" w:hAnsi="宋体" w:cs="宋体"/>
          <w:color w:val="000000"/>
          <w:sz w:val="24"/>
          <w:szCs w:val="24"/>
          <w:highlight w:val="none"/>
          <w:vertAlign w:val="subscript"/>
        </w:rPr>
        <w:t>低</w:t>
      </w:r>
      <w:r>
        <w:rPr>
          <w:rFonts w:hint="eastAsia" w:ascii="宋体" w:hAnsi="宋体" w:cs="宋体"/>
          <w:color w:val="000000"/>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kern w:val="0"/>
          <w:sz w:val="24"/>
          <w:szCs w:val="24"/>
          <w:highlight w:val="none"/>
        </w:rPr>
        <w:t>Q</w:t>
      </w:r>
      <w:r>
        <w:rPr>
          <w:rFonts w:hint="eastAsia" w:ascii="宋体" w:hAnsi="宋体" w:cs="宋体"/>
          <w:color w:val="000000"/>
          <w:kern w:val="0"/>
          <w:sz w:val="24"/>
          <w:szCs w:val="24"/>
          <w:highlight w:val="none"/>
          <w:vertAlign w:val="subscript"/>
        </w:rPr>
        <w:t>高</w:t>
      </w:r>
      <w:r>
        <w:rPr>
          <w:rFonts w:hint="eastAsia" w:ascii="宋体" w:hAnsi="宋体" w:cs="宋体"/>
          <w:color w:val="000000"/>
          <w:sz w:val="24"/>
          <w:szCs w:val="24"/>
          <w:highlight w:val="none"/>
        </w:rPr>
        <w:t>：为最高投标限价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X:为等分点值，在开标前从[0,100]整数中随机抽取</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kern w:val="0"/>
          <w:sz w:val="24"/>
          <w:szCs w:val="24"/>
          <w:highlight w:val="none"/>
        </w:rPr>
        <w:t>42.4.3.2</w:t>
      </w:r>
      <w:r>
        <w:rPr>
          <w:rFonts w:hint="eastAsia" w:ascii="宋体" w:hAnsi="宋体" w:cs="宋体"/>
          <w:color w:val="000000"/>
          <w:sz w:val="24"/>
          <w:szCs w:val="24"/>
          <w:highlight w:val="none"/>
        </w:rPr>
        <w:t>当标价等于评标参考价时得100分，标价每高于评标参考价1%，扣1.5分，每低于评标参考价1%，扣1分，扣至0分为止，得出经济分，精确到小数点后两位。</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42.4.3.3评标委员会按投标须知前附表第32项的规定确定排序。</w:t>
      </w:r>
    </w:p>
    <w:p>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42.4.4</w:t>
      </w:r>
      <w:r>
        <w:rPr>
          <w:rFonts w:hint="eastAsia" w:ascii="宋体" w:hAnsi="宋体" w:cs="宋体"/>
          <w:bCs/>
          <w:kern w:val="0"/>
          <w:sz w:val="24"/>
          <w:szCs w:val="24"/>
          <w:highlight w:val="none"/>
        </w:rPr>
        <w:t>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b/>
          <w:bCs/>
          <w:color w:val="000000"/>
          <w:kern w:val="0"/>
          <w:sz w:val="24"/>
          <w:szCs w:val="24"/>
          <w:highlight w:val="non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42.4.5.1如果数字表示的金额和用文字表示的金额不一致时，应以文字表示的金额为准；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42.4.5.2经算术复核的投标人报价与其投标报价不一致时，按就低不就高原则确定其最终报价；</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42.4.5.4当合价、金额累加错误时，按就低不就高原则，如果累加修正值小于原累加值，则按累加修正值；如果累加修正值大于原累加值，则按原累加值；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42.6评标委员会应在通过投标文件经济标有效性审查的投标人中，按步骤42.4确定的投标人第二阶段排序，推荐前3名依次为第一中标候选人至第三中标候选人,并编制评标报告。</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42.7若通过经济标有效性审查的投标人不足三家，应当依法重新招标。（当N个标段同时招标且不允许兼中时，若有效投标人不足N+2家，应当依法重新招标）</w:t>
      </w:r>
    </w:p>
    <w:p>
      <w:pPr>
        <w:spacing w:line="360" w:lineRule="auto"/>
        <w:ind w:firstLine="480" w:firstLineChars="200"/>
        <w:rPr>
          <w:rFonts w:ascii="宋体" w:hAnsi="宋体" w:cs="宋体"/>
          <w:sz w:val="24"/>
          <w:szCs w:val="24"/>
          <w:highlight w:val="none"/>
        </w:rPr>
      </w:pPr>
    </w:p>
    <w:p>
      <w:pPr>
        <w:pStyle w:val="6"/>
        <w:spacing w:before="156" w:after="156"/>
        <w:ind w:firstLine="480" w:firstLineChars="200"/>
        <w:rPr>
          <w:sz w:val="24"/>
          <w:szCs w:val="24"/>
          <w:highlight w:val="none"/>
        </w:rPr>
      </w:pPr>
      <w:bookmarkStart w:id="41" w:name="_Toc21525509"/>
      <w:bookmarkStart w:id="42" w:name="_Toc2272564"/>
      <w:r>
        <w:rPr>
          <w:rFonts w:hint="eastAsia"/>
          <w:sz w:val="24"/>
          <w:szCs w:val="24"/>
          <w:highlight w:val="none"/>
        </w:rPr>
        <w:t>可选办法七（适合综合评分法四，技术标与经济标同时开启）</w:t>
      </w:r>
      <w:bookmarkEnd w:id="41"/>
      <w:bookmarkEnd w:id="42"/>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40．开标和评标程序</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40.1技术标（含资格审查文件）与经济标投标文件同时公开开标；</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40.2由评标委员会对所有已公开开标的投标人进行资格审查；</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40.3技术标投标文件有效性审查；</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40.4技术标详细审查评分；</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40.5经济标详细审查评分； </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40.6评标委员会按照投标人总得分由高至低排序；</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40.7经济标投标文件有效性审查；</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41．开标细则</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41.1开标由招标人主持；</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41.2 细则</w:t>
      </w:r>
    </w:p>
    <w:p>
      <w:pPr>
        <w:snapToGrid w:val="0"/>
        <w:spacing w:line="360" w:lineRule="auto"/>
        <w:ind w:firstLine="480" w:firstLineChars="200"/>
        <w:rPr>
          <w:rFonts w:ascii="宋体" w:hAnsi="宋体" w:cs="宋体"/>
          <w:color w:val="000000"/>
          <w:sz w:val="24"/>
          <w:szCs w:val="24"/>
          <w:highlight w:val="none"/>
        </w:rPr>
      </w:pPr>
      <w:r>
        <w:rPr>
          <w:rFonts w:hint="eastAsia" w:ascii="宋体" w:hAnsi="宋体" w:cs="宋体"/>
          <w:sz w:val="24"/>
          <w:szCs w:val="24"/>
          <w:highlight w:val="none"/>
        </w:rPr>
        <w:t>41.</w:t>
      </w:r>
      <w:r>
        <w:rPr>
          <w:rFonts w:hint="eastAsia" w:ascii="宋体" w:hAnsi="宋体" w:cs="宋体"/>
          <w:color w:val="000000"/>
          <w:sz w:val="24"/>
          <w:szCs w:val="24"/>
          <w:highlight w:val="none"/>
        </w:rPr>
        <w:t>2.1投标截止期前，各投标人递交投标文件（包括技术标投标文件、经济标投标文件）至</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交易平台。有关投标文件提交的事项详见第一章投标须知。 </w:t>
      </w:r>
    </w:p>
    <w:p>
      <w:pPr>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41.2.2开标前，首先由招标人随机抽取确定该工程计算评标参考价的等分点值X。</w:t>
      </w:r>
    </w:p>
    <w:p>
      <w:pPr>
        <w:snapToGrid w:val="0"/>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41.2.3</w:t>
      </w:r>
      <w:r>
        <w:rPr>
          <w:rFonts w:hint="eastAsia" w:ascii="宋体" w:hAnsi="宋体" w:cs="宋体"/>
          <w:bCs/>
          <w:color w:val="000000"/>
          <w:kern w:val="0"/>
          <w:sz w:val="24"/>
          <w:szCs w:val="24"/>
          <w:highlight w:val="none"/>
        </w:rPr>
        <w:t>开标时，投标人代表有权参加现场开标或</w:t>
      </w:r>
      <w:r>
        <w:rPr>
          <w:rFonts w:hint="eastAsia" w:ascii="宋体" w:hAnsi="宋体" w:cs="宋体"/>
          <w:b/>
          <w:bCs/>
          <w:color w:val="000000"/>
          <w:kern w:val="0"/>
          <w:sz w:val="24"/>
          <w:szCs w:val="24"/>
          <w:highlight w:val="none"/>
        </w:rPr>
        <w:t>在线开标</w:t>
      </w:r>
      <w:r>
        <w:rPr>
          <w:rFonts w:hint="eastAsia" w:ascii="宋体" w:hAnsi="宋体" w:cs="宋体"/>
          <w:bCs/>
          <w:color w:val="000000"/>
          <w:kern w:val="0"/>
          <w:sz w:val="24"/>
          <w:szCs w:val="24"/>
          <w:highlight w:val="none"/>
        </w:rPr>
        <w:t>，也可以自主决定不参加开标，若投标人代表对开标过程有异议的，</w:t>
      </w:r>
      <w:r>
        <w:rPr>
          <w:rFonts w:hint="eastAsia" w:ascii="宋体" w:hAnsi="宋体" w:cs="宋体"/>
          <w:b/>
          <w:bCs/>
          <w:color w:val="000000"/>
          <w:kern w:val="0"/>
          <w:sz w:val="24"/>
          <w:szCs w:val="24"/>
          <w:highlight w:val="none"/>
        </w:rPr>
        <w:t>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41.2.4.1开标时，公布：a、投标人名称；b、</w:t>
      </w:r>
      <w:r>
        <w:rPr>
          <w:rFonts w:hint="eastAsia" w:ascii="宋体" w:hAnsi="宋体" w:cs="宋体"/>
          <w:color w:val="000000"/>
          <w:sz w:val="24"/>
          <w:szCs w:val="24"/>
          <w:highlight w:val="none"/>
        </w:rPr>
        <w:t>投标文件</w:t>
      </w:r>
      <w:r>
        <w:rPr>
          <w:rFonts w:hint="eastAsia" w:ascii="宋体" w:hAnsi="宋体" w:cs="宋体"/>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41.4 招标人将上述符合要求的投标文件，送至评标委员会进行评审。</w:t>
      </w:r>
    </w:p>
    <w:p>
      <w:pPr>
        <w:pStyle w:val="35"/>
        <w:tabs>
          <w:tab w:val="left" w:pos="7380"/>
        </w:tabs>
        <w:snapToGrid w:val="0"/>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 资格审查及评标细则</w:t>
      </w:r>
    </w:p>
    <w:p>
      <w:pPr>
        <w:pStyle w:val="35"/>
        <w:tabs>
          <w:tab w:val="left" w:pos="7380"/>
        </w:tabs>
        <w:snapToGrid w:val="0"/>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42.1资格审查及评标均由招标人依法组建的评标委员会负责。</w:t>
      </w:r>
    </w:p>
    <w:p>
      <w:pPr>
        <w:pStyle w:val="35"/>
        <w:tabs>
          <w:tab w:val="left" w:pos="7380"/>
        </w:tabs>
        <w:snapToGrid w:val="0"/>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42.2评标委员会的组成：方式</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方式一：评标委员会为综合评标委员会，负责资格审查及评标工作。</w:t>
      </w:r>
    </w:p>
    <w:p>
      <w:pPr>
        <w:pStyle w:val="35"/>
        <w:tabs>
          <w:tab w:val="left" w:pos="7380"/>
        </w:tabs>
        <w:snapToGrid w:val="0"/>
        <w:spacing w:after="0" w:line="360" w:lineRule="auto"/>
        <w:rPr>
          <w:rFonts w:ascii="宋体" w:hAnsi="宋体" w:cs="宋体"/>
          <w:sz w:val="24"/>
          <w:szCs w:val="24"/>
          <w:highlight w:val="none"/>
        </w:rPr>
      </w:pPr>
      <w:r>
        <w:rPr>
          <w:rFonts w:hint="eastAsia" w:ascii="宋体" w:hAnsi="宋体" w:cs="宋体"/>
          <w:sz w:val="24"/>
          <w:szCs w:val="24"/>
          <w:highlight w:val="none"/>
        </w:rPr>
        <w:t>方式二：评标委员会由技术评审组和经济评审组组成。其中：资格审查及技术评审由技术评标组负责，经济评审由经济评审组负责。</w:t>
      </w:r>
    </w:p>
    <w:p>
      <w:pPr>
        <w:pStyle w:val="35"/>
        <w:tabs>
          <w:tab w:val="left" w:pos="7380"/>
        </w:tabs>
        <w:snapToGrid w:val="0"/>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43．投标人资格审查</w:t>
      </w:r>
    </w:p>
    <w:p>
      <w:pPr>
        <w:pStyle w:val="35"/>
        <w:tabs>
          <w:tab w:val="left" w:pos="7380"/>
        </w:tabs>
        <w:snapToGrid w:val="0"/>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43.1</w:t>
      </w:r>
      <w:r>
        <w:rPr>
          <w:rFonts w:hint="eastAsia" w:ascii="宋体" w:hAnsi="宋体" w:cs="宋体"/>
          <w:bCs/>
          <w:kern w:val="0"/>
          <w:sz w:val="24"/>
          <w:szCs w:val="24"/>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b/>
          <w:bCs/>
          <w:kern w:val="0"/>
          <w:sz w:val="24"/>
          <w:szCs w:val="24"/>
          <w:highlight w:val="none"/>
        </w:rPr>
        <w:t>评委发现资格审查文件中含义不明确、对同类问题表述不一致、有明显文字和计算错误的，应当要求投标人作必要的澄清、说明后再判定投标人是否通过资格审查，不得直接认定其不通过资格审查。</w:t>
      </w:r>
    </w:p>
    <w:p>
      <w:pPr>
        <w:pStyle w:val="35"/>
        <w:tabs>
          <w:tab w:val="left" w:pos="7380"/>
        </w:tabs>
        <w:snapToGrid w:val="0"/>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43.2汇总资格审查情况，编写资格审查报告。</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43.3资格审查不合格的投标文件不参加下一阶段的评标，不参与评标参考价的计算。</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43.5资审合格后，投标人的资格发生变化而不满足投标人合格条件，在发出中标通知书前，资格问题仍未解决的，招标人将取消其中标资格。</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43.6资格审查合格的投标人少于3名的（当N个标段同时招标且不允许兼中时，资格审查合格的投标人少于N+2名），则本项目招标失败。</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44．技术标评审</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44.1</w:t>
      </w:r>
      <w:r>
        <w:rPr>
          <w:rFonts w:hint="eastAsia" w:ascii="宋体" w:hAnsi="宋体" w:cs="宋体"/>
          <w:bCs/>
          <w:kern w:val="0"/>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b/>
          <w:bCs/>
          <w:color w:val="000000"/>
          <w:kern w:val="0"/>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45．经济标评审和得分汇总</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45.1若通过技术标有效性审查的投标人中所有投标报价均大于等于最高投标限价，则本项目招标失败，由招标人依法重新招标。</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45.2按方法</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计算评标参考价：</w:t>
      </w:r>
    </w:p>
    <w:p>
      <w:pPr>
        <w:widowControl/>
        <w:spacing w:line="360" w:lineRule="auto"/>
        <w:ind w:firstLine="482" w:firstLineChars="200"/>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方法一：加权平均法</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技术标或技术标加诚信得分（具体由招标人自定）前N名（N≥5，具体由招标人自定）的经济报价加权平均，计算评标参考价。公式如下：</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评标参考价=Σ（投标人的投标报价*报价权重）。</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其中：报价权重的计算方法为：将N名投标人按技术分由高至低进行排序，第一名投标人的权重为（</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QUOTE </w:instrText>
      </w:r>
      <w:r>
        <w:rPr>
          <w:rFonts w:hint="eastAsia" w:ascii="宋体" w:hAnsi="宋体" w:cs="宋体"/>
          <w:color w:val="000000"/>
          <w:sz w:val="24"/>
          <w:szCs w:val="24"/>
          <w:highlight w:val="none"/>
        </w:rPr>
        <w:drawing>
          <wp:inline distT="0" distB="0" distL="0" distR="0">
            <wp:extent cx="381000" cy="447675"/>
            <wp:effectExtent l="0" t="0" r="0"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000000"/>
          <w:sz w:val="24"/>
          <w:szCs w:val="24"/>
          <w:highlight w:val="none"/>
        </w:rPr>
        <w:fldChar w:fldCharType="separate"/>
      </w:r>
      <w:r>
        <w:rPr>
          <w:rFonts w:hint="eastAsia" w:ascii="宋体" w:hAnsi="宋体" w:cs="宋体"/>
          <w:color w:val="000000"/>
          <w:sz w:val="24"/>
          <w:szCs w:val="24"/>
          <w:highlight w:val="none"/>
        </w:rPr>
        <w:drawing>
          <wp:inline distT="0" distB="0" distL="0" distR="0">
            <wp:extent cx="381000" cy="447675"/>
            <wp:effectExtent l="0" t="0" r="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），第二名投标人的权重为（</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QUOTE </w:instrText>
      </w:r>
      <w:r>
        <w:rPr>
          <w:rFonts w:hint="eastAsia" w:ascii="宋体" w:hAnsi="宋体" w:cs="宋体"/>
          <w:color w:val="000000"/>
          <w:position w:val="-23"/>
          <w:sz w:val="24"/>
          <w:szCs w:val="24"/>
          <w:highlight w:val="none"/>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separate"/>
      </w:r>
      <w:r>
        <w:rPr>
          <w:rFonts w:hint="eastAsia" w:ascii="宋体" w:hAnsi="宋体" w:cs="宋体"/>
          <w:color w:val="000000"/>
          <w:position w:val="-23"/>
          <w:sz w:val="24"/>
          <w:szCs w:val="24"/>
          <w:highlight w:val="none"/>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），以此类推，最后一名投标人的权重为（</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QUOTE </w:instrText>
      </w:r>
      <w:r>
        <w:rPr>
          <w:rFonts w:hint="eastAsia" w:ascii="宋体" w:hAnsi="宋体" w:cs="宋体"/>
          <w:color w:val="000000"/>
          <w:position w:val="-23"/>
          <w:sz w:val="24"/>
          <w:szCs w:val="24"/>
          <w:highlight w:val="none"/>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separate"/>
      </w:r>
      <w:r>
        <w:rPr>
          <w:rFonts w:hint="eastAsia" w:ascii="宋体" w:hAnsi="宋体" w:cs="宋体"/>
          <w:color w:val="000000"/>
          <w:position w:val="-23"/>
          <w:sz w:val="24"/>
          <w:szCs w:val="24"/>
          <w:highlight w:val="none"/>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w:t>
      </w:r>
    </w:p>
    <w:p>
      <w:pPr>
        <w:widowControl/>
        <w:spacing w:line="360" w:lineRule="auto"/>
        <w:ind w:firstLine="482" w:firstLineChars="200"/>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方法二：区间抽取法</w:t>
      </w:r>
    </w:p>
    <w:p>
      <w:pPr>
        <w:widowControl/>
        <w:snapToGrid w:val="0"/>
        <w:spacing w:line="360" w:lineRule="auto"/>
        <w:ind w:firstLine="480" w:firstLineChars="200"/>
        <w:rPr>
          <w:rFonts w:ascii="宋体" w:hAnsi="宋体" w:cs="宋体"/>
          <w:color w:val="000000"/>
          <w:kern w:val="0"/>
          <w:sz w:val="24"/>
          <w:szCs w:val="24"/>
          <w:highlight w:val="none"/>
        </w:rPr>
      </w:pPr>
      <w:r>
        <w:rPr>
          <w:rFonts w:hint="eastAsia" w:ascii="宋体" w:hAnsi="宋体" w:cs="宋体"/>
          <w:color w:val="000000"/>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s="宋体"/>
          <w:color w:val="000000"/>
          <w:kern w:val="0"/>
          <w:sz w:val="24"/>
          <w:szCs w:val="24"/>
          <w:highlight w:val="none"/>
          <w:vertAlign w:val="subscript"/>
        </w:rPr>
      </w:pPr>
      <w:r>
        <w:rPr>
          <w:rFonts w:hint="eastAsia" w:ascii="宋体" w:hAnsi="宋体" w:cs="宋体"/>
          <w:color w:val="000000"/>
          <w:kern w:val="0"/>
          <w:sz w:val="24"/>
          <w:szCs w:val="24"/>
          <w:highlight w:val="none"/>
        </w:rPr>
        <w:t>评标参考价=（Q</w:t>
      </w:r>
      <w:r>
        <w:rPr>
          <w:rFonts w:hint="eastAsia" w:ascii="宋体" w:hAnsi="宋体" w:cs="宋体"/>
          <w:color w:val="000000"/>
          <w:kern w:val="0"/>
          <w:sz w:val="24"/>
          <w:szCs w:val="24"/>
          <w:highlight w:val="none"/>
          <w:vertAlign w:val="subscript"/>
        </w:rPr>
        <w:t>高</w:t>
      </w:r>
      <w:r>
        <w:rPr>
          <w:rFonts w:hint="eastAsia" w:ascii="宋体" w:hAnsi="宋体" w:cs="宋体"/>
          <w:color w:val="000000"/>
          <w:kern w:val="0"/>
          <w:sz w:val="24"/>
          <w:szCs w:val="24"/>
          <w:highlight w:val="none"/>
        </w:rPr>
        <w:t>-Q</w:t>
      </w:r>
      <w:r>
        <w:rPr>
          <w:rFonts w:hint="eastAsia" w:ascii="宋体" w:hAnsi="宋体" w:cs="宋体"/>
          <w:color w:val="000000"/>
          <w:kern w:val="0"/>
          <w:sz w:val="24"/>
          <w:szCs w:val="24"/>
          <w:highlight w:val="none"/>
          <w:vertAlign w:val="subscript"/>
        </w:rPr>
        <w:t>低</w:t>
      </w:r>
      <w:r>
        <w:rPr>
          <w:rFonts w:hint="eastAsia" w:ascii="宋体" w:hAnsi="宋体" w:cs="宋体"/>
          <w:color w:val="000000"/>
          <w:kern w:val="0"/>
          <w:sz w:val="24"/>
          <w:szCs w:val="24"/>
          <w:highlight w:val="none"/>
        </w:rPr>
        <w:t>）/100*Ｘ+Q</w:t>
      </w:r>
      <w:r>
        <w:rPr>
          <w:rFonts w:hint="eastAsia" w:ascii="宋体" w:hAnsi="宋体" w:cs="宋体"/>
          <w:color w:val="000000"/>
          <w:kern w:val="0"/>
          <w:sz w:val="24"/>
          <w:szCs w:val="24"/>
          <w:highlight w:val="none"/>
          <w:vertAlign w:val="subscript"/>
        </w:rPr>
        <w:t>低</w:t>
      </w:r>
    </w:p>
    <w:p>
      <w:pPr>
        <w:widowControl/>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Q</w:t>
      </w:r>
      <w:r>
        <w:rPr>
          <w:rFonts w:hint="eastAsia" w:ascii="宋体" w:hAnsi="宋体" w:cs="宋体"/>
          <w:color w:val="000000"/>
          <w:sz w:val="24"/>
          <w:szCs w:val="24"/>
          <w:highlight w:val="none"/>
          <w:vertAlign w:val="subscript"/>
        </w:rPr>
        <w:t>低</w:t>
      </w:r>
      <w:r>
        <w:rPr>
          <w:rFonts w:hint="eastAsia" w:ascii="宋体" w:hAnsi="宋体" w:cs="宋体"/>
          <w:color w:val="000000"/>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kern w:val="0"/>
          <w:sz w:val="24"/>
          <w:szCs w:val="24"/>
          <w:highlight w:val="none"/>
        </w:rPr>
        <w:t>Q</w:t>
      </w:r>
      <w:r>
        <w:rPr>
          <w:rFonts w:hint="eastAsia" w:ascii="宋体" w:hAnsi="宋体" w:cs="宋体"/>
          <w:color w:val="000000"/>
          <w:kern w:val="0"/>
          <w:sz w:val="24"/>
          <w:szCs w:val="24"/>
          <w:highlight w:val="none"/>
          <w:vertAlign w:val="subscript"/>
        </w:rPr>
        <w:t>高</w:t>
      </w:r>
      <w:r>
        <w:rPr>
          <w:rFonts w:hint="eastAsia" w:ascii="宋体" w:hAnsi="宋体" w:cs="宋体"/>
          <w:color w:val="000000"/>
          <w:sz w:val="24"/>
          <w:szCs w:val="24"/>
          <w:highlight w:val="none"/>
        </w:rPr>
        <w:t>：为最高投标限价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X:为等分点值，在开标前从[0,100]整数中随机抽取</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kern w:val="0"/>
          <w:sz w:val="24"/>
          <w:szCs w:val="24"/>
          <w:highlight w:val="none"/>
        </w:rPr>
        <w:t>45.3</w:t>
      </w:r>
      <w:r>
        <w:rPr>
          <w:rFonts w:hint="eastAsia" w:ascii="宋体" w:hAnsi="宋体" w:cs="宋体"/>
          <w:color w:val="000000"/>
          <w:sz w:val="24"/>
          <w:szCs w:val="24"/>
          <w:highlight w:val="none"/>
        </w:rPr>
        <w:t>当标价等于评标参考价时得100分，标价每高于评标参考价1%，扣1.5分，每低于评标参考价1%，扣1分，扣至0分为止，得出经济分，精确到小数点后两位。</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46.经济标的有效性审查</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46.1</w:t>
      </w:r>
      <w:r>
        <w:rPr>
          <w:rFonts w:hint="eastAsia" w:ascii="宋体" w:hAnsi="宋体" w:cs="宋体"/>
          <w:bCs/>
          <w:kern w:val="0"/>
          <w:sz w:val="24"/>
          <w:szCs w:val="24"/>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b/>
          <w:bCs/>
          <w:color w:val="000000"/>
          <w:kern w:val="0"/>
          <w:sz w:val="24"/>
          <w:szCs w:val="24"/>
          <w:highlight w:val="non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46.2经济标的算术校核。评标委员会对进行经济标有效性审查的投标文件投标报价按照就低不就高的原则进行算术校核，具体标准如下：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46.2.1如果数字表示的金额和用文字表示的金额不一致时，应以文字表示的金额为准；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46.2.2经算术复核的投标人报价与其投标报价不一致时，按就低不就高原则确定其最终报价；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46.2.4当合价、金额累加错误时，按就低不就高原则，如果累加修正值小于原累加值，则按累加修正值；如果累加修正值大于原累加值，则按原累加值；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46.2.5如果投标人的有关规费、暂列金额、暂估价、绿色施工安全防护措施费等未按招标文件规定的金额填写的，由评标委员会按照招标文件规定的金额进行修正；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49.若通过经济标有效性审查的投标人不足三家，应当依法重新招标。（当N个标段同时招标且不允许兼中时，若有效投标人不足N+2家，应当依法重新招标）</w:t>
      </w:r>
    </w:p>
    <w:p>
      <w:pPr>
        <w:pStyle w:val="6"/>
        <w:spacing w:before="156" w:after="156"/>
        <w:ind w:firstLine="480" w:firstLineChars="200"/>
        <w:rPr>
          <w:color w:val="000000"/>
          <w:sz w:val="24"/>
          <w:szCs w:val="24"/>
          <w:highlight w:val="none"/>
        </w:rPr>
      </w:pPr>
      <w:bookmarkStart w:id="43" w:name="_Toc2272565"/>
      <w:bookmarkStart w:id="44" w:name="_Toc21525510"/>
      <w:r>
        <w:rPr>
          <w:rFonts w:hint="eastAsia"/>
          <w:color w:val="000000"/>
          <w:sz w:val="24"/>
          <w:szCs w:val="24"/>
          <w:highlight w:val="none"/>
        </w:rPr>
        <w:t>可选办法八（适合经评审的最低投标价法，技术标与经济标同时开启）</w:t>
      </w:r>
      <w:bookmarkEnd w:id="43"/>
      <w:bookmarkEnd w:id="44"/>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 开标和评标程序</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40.1投标人递交技术标、经济标投标文件；</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40.2技术标与经济标投标文件同时公开开标；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40.3由评标委员会对所有已公开开标的投标人进行资格审查；</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40.4技术标投标文件有效性审查；</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40.5对经济标投标报价进行算术校核；</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40.6计算投标人总得分，并按总得分从高到低，确定经济标评审排序；</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40.7按排序对经济标投标文件进行有效性审查，直至评出所有中标候选人；</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40.8评标委员会编写经济标评审报告，向招标人推荐中标候选人。</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 开标细则</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41.1开标由招标人主持；</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41.2细则</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41.2.1投标截止期前，各投标人递交投标文件（包括技术标投标文件、经济标投标文件）至</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交易平台。有关投标文件提交的事项详见第一章投标须知。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41.2.2</w:t>
      </w:r>
      <w:r>
        <w:rPr>
          <w:rFonts w:hint="eastAsia" w:ascii="宋体" w:hAnsi="宋体" w:cs="宋体"/>
          <w:bCs/>
          <w:color w:val="000000"/>
          <w:kern w:val="0"/>
          <w:sz w:val="24"/>
          <w:szCs w:val="24"/>
          <w:highlight w:val="none"/>
        </w:rPr>
        <w:t>开标时，投标人代表有权参加现场开标或</w:t>
      </w:r>
      <w:r>
        <w:rPr>
          <w:rFonts w:hint="eastAsia" w:ascii="宋体" w:hAnsi="宋体" w:cs="宋体"/>
          <w:b/>
          <w:bCs/>
          <w:color w:val="000000"/>
          <w:kern w:val="0"/>
          <w:sz w:val="24"/>
          <w:szCs w:val="24"/>
          <w:highlight w:val="none"/>
        </w:rPr>
        <w:t>在线开标</w:t>
      </w:r>
      <w:r>
        <w:rPr>
          <w:rFonts w:hint="eastAsia" w:ascii="宋体" w:hAnsi="宋体" w:cs="宋体"/>
          <w:bCs/>
          <w:color w:val="000000"/>
          <w:kern w:val="0"/>
          <w:sz w:val="24"/>
          <w:szCs w:val="24"/>
          <w:highlight w:val="none"/>
        </w:rPr>
        <w:t>，也可以自主决定不参加开标，若投标人代表对开标过程有异议的，</w:t>
      </w:r>
      <w:r>
        <w:rPr>
          <w:rFonts w:hint="eastAsia" w:ascii="宋体" w:hAnsi="宋体" w:cs="宋体"/>
          <w:b/>
          <w:bCs/>
          <w:color w:val="000000"/>
          <w:kern w:val="0"/>
          <w:sz w:val="24"/>
          <w:szCs w:val="24"/>
          <w:highlight w:val="none"/>
        </w:rPr>
        <w:t>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41.3按36.5.1的规定完成解密后，公布下列内容，并予以记录，记录提交评标委员会评审：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41.4招标人对开标过程进行记录，并存档备查，投标人在开标记录上签字。</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41.5 招标人将上述符合要求的投标文件，送至评标委员会进行评审。</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42.评标细则</w:t>
      </w:r>
    </w:p>
    <w:p>
      <w:pPr>
        <w:widowControl/>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42.1评标委员会的组成：评标委员会为综合评标委员会，负责评标工作。</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42.2投标人资格审查</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42.2.1</w:t>
      </w:r>
      <w:r>
        <w:rPr>
          <w:rFonts w:hint="eastAsia" w:ascii="宋体" w:hAnsi="宋体" w:cs="宋体"/>
          <w:bCs/>
          <w:kern w:val="0"/>
          <w:sz w:val="24"/>
          <w:szCs w:val="24"/>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b/>
          <w:bCs/>
          <w:kern w:val="0"/>
          <w:sz w:val="24"/>
          <w:szCs w:val="24"/>
          <w:highlight w:val="none"/>
        </w:rPr>
        <w:t>评委发现资格审查文件中含义不明确、对同类问题表述不一致、有明显文字和计算错误的，应当要求投标人作必要的澄清、说明后再判定投标人是否通过资格审查，不得直接认定其不通过资格审查。</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42.2.2汇总资格审查情况，编写资格审查报告。</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42.2.3资格审查不合格的投标文件不参加下一阶段的评标，不参与评标参考价的计算。</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5"/>
        <w:tabs>
          <w:tab w:val="left" w:pos="7380"/>
        </w:tabs>
        <w:snapToGrid w:val="0"/>
        <w:spacing w:after="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ascii="宋体" w:hAnsi="宋体" w:cs="宋体"/>
          <w:color w:val="000000"/>
          <w:kern w:val="0"/>
          <w:sz w:val="24"/>
          <w:szCs w:val="24"/>
          <w:highlight w:val="none"/>
        </w:rPr>
      </w:pPr>
      <w:r>
        <w:rPr>
          <w:rFonts w:hint="eastAsia" w:ascii="宋体" w:hAnsi="宋体" w:cs="宋体"/>
          <w:color w:val="000000"/>
          <w:sz w:val="24"/>
          <w:szCs w:val="24"/>
          <w:highlight w:val="none"/>
        </w:rPr>
        <w:t>42.2.6资格审查合格的投标人少于3名的（当N个标段同时招标且不允许兼中时，资格审查合格的投标人少于N+2名），则本项目招标失败。</w:t>
      </w:r>
      <w:r>
        <w:rPr>
          <w:rFonts w:hint="eastAsia" w:ascii="宋体" w:hAnsi="宋体" w:cs="宋体"/>
          <w:color w:val="000000"/>
          <w:kern w:val="0"/>
          <w:sz w:val="24"/>
          <w:szCs w:val="24"/>
          <w:highlight w:val="none"/>
        </w:rPr>
        <w:t xml:space="preserve">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42.3</w:t>
      </w:r>
      <w:r>
        <w:rPr>
          <w:rFonts w:hint="eastAsia" w:ascii="宋体" w:hAnsi="宋体" w:cs="宋体"/>
          <w:bCs/>
          <w:kern w:val="0"/>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b/>
          <w:bCs/>
          <w:color w:val="000000"/>
          <w:kern w:val="0"/>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42.4投标文件算术校核：</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评标委员会将对通过技术标有效性审查的投标文件投标报价按照就低不就高的原则进行算术校核，具体标准如下：</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42.4.1如果数字表示的金额和用文字表示的金额不一致时，应以文字表示的金额为准；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42.4.2经算术复核的中标候选人报价与其投标报价不一致时，按就低不就高原则确定其最终报价；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42.4.4当合价、金额累加错误时，按就低不就高原则，如果累加修正值小于原累加值，则按累加修正值；如果累加修正值大于原累加值，则按原累加值；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42.4.6 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42.4.8按上述修正错误的原则及方法调整或修正投标文件的投标报价，调整后的投标报价对投标人起约束作用。如果投标人不接受修正后的报价，则取消其投标资格，并且其投标保证金也将不予退还。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42.5确定投标文件的评审次序</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42.5.1确定评标参考价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42.5.1.1企业综合诚信评价分数前</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名（不少于100名，由招标人在招标文件中明确）且经算术校核后的最低投标报价为评标参考价。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42.5.2计算投标人的总得分（满分为100分）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42.5.2.1当标价等于评标参考价时得100分，标价每高于评标参考价1%，扣1.5分；扣至0分为止，得分精确到小数点后两位。标价低于评标参考价的，得0分。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42.5.3按照投标人总得分从高至低进行排序，确定经济标评标的先后排序。总得分相同的投标文件，以综合诚信评价分数靠前的排前；总得分与综合诚信评价分数均相同的投标文件，以广州公共资源交易中心公布的上一年度施工项目总中标金额高的排前；如仍存在相同情况，则对具有相同情况的投标人，按中标候选人数量规定，由评标委员会采用随机方式，确定中标候选人的排序。</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42.5.4招标人应在《投标须知前附表》中明确选择使用施工企业总排名或相应的施工专业承包排名计分。</w:t>
      </w:r>
    </w:p>
    <w:p>
      <w:pPr>
        <w:widowControl/>
        <w:jc w:val="left"/>
        <w:rPr>
          <w:rFonts w:ascii="宋体" w:hAnsi="宋体" w:cs="宋体"/>
          <w:bCs/>
          <w:kern w:val="0"/>
          <w:sz w:val="24"/>
          <w:szCs w:val="24"/>
          <w:highlight w:val="none"/>
        </w:rPr>
      </w:pPr>
      <w:r>
        <w:rPr>
          <w:rFonts w:hint="eastAsia" w:ascii="宋体" w:hAnsi="宋体" w:cs="宋体"/>
          <w:color w:val="000000"/>
          <w:sz w:val="24"/>
          <w:szCs w:val="24"/>
          <w:highlight w:val="none"/>
        </w:rPr>
        <w:t xml:space="preserve">42.6 </w:t>
      </w:r>
      <w:r>
        <w:rPr>
          <w:rFonts w:hint="eastAsia" w:ascii="宋体" w:hAnsi="宋体" w:cs="宋体"/>
          <w:bCs/>
          <w:kern w:val="0"/>
          <w:sz w:val="24"/>
          <w:szCs w:val="24"/>
          <w:highlight w:val="none"/>
        </w:rPr>
        <w:t>投标文件的有效性审查</w:t>
      </w:r>
    </w:p>
    <w:p>
      <w:pPr>
        <w:spacing w:line="360" w:lineRule="auto"/>
        <w:ind w:firstLine="480" w:firstLineChars="200"/>
        <w:rPr>
          <w:rFonts w:ascii="宋体" w:hAnsi="宋体" w:cs="宋体"/>
          <w:sz w:val="24"/>
          <w:szCs w:val="24"/>
          <w:highlight w:val="none"/>
        </w:rPr>
      </w:pPr>
      <w:r>
        <w:rPr>
          <w:rFonts w:hint="eastAsia" w:ascii="宋体" w:hAnsi="宋体" w:cs="宋体"/>
          <w:bCs/>
          <w:kern w:val="0"/>
          <w:sz w:val="24"/>
          <w:szCs w:val="24"/>
          <w:highlight w:val="non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b/>
          <w:bCs/>
          <w:color w:val="000000"/>
          <w:kern w:val="0"/>
          <w:sz w:val="24"/>
          <w:szCs w:val="24"/>
          <w:highlight w:val="non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42.7评标结束后，评标委员会应当在通过投标文件有效性审查的投标人中，按照原投标文件的评审次序，推荐前3名依次为第一中标候选人至第三中标候选人，并编写评标报告。</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42.8若有效投标人不足三家，应当依法重新招标。（当N个标段同时招标且不允许兼中时，若有效投标人不足N+2家，应当依法重新招标）</w:t>
      </w:r>
    </w:p>
    <w:p>
      <w:pPr>
        <w:spacing w:line="360" w:lineRule="auto"/>
        <w:rPr>
          <w:rFonts w:ascii="宋体" w:hAnsi="宋体" w:cs="宋体"/>
          <w:sz w:val="24"/>
          <w:szCs w:val="24"/>
          <w:highlight w:val="none"/>
        </w:rPr>
      </w:pPr>
      <w:r>
        <w:rPr>
          <w:rFonts w:hint="eastAsia" w:ascii="宋体" w:hAnsi="宋体" w:cs="宋体"/>
          <w:sz w:val="24"/>
          <w:szCs w:val="24"/>
          <w:highlight w:val="none"/>
        </w:rPr>
        <w:br w:type="page"/>
      </w:r>
    </w:p>
    <w:p>
      <w:pPr>
        <w:widowControl/>
        <w:snapToGrid w:val="0"/>
        <w:spacing w:line="360" w:lineRule="auto"/>
        <w:ind w:right="102"/>
        <w:jc w:val="left"/>
        <w:rPr>
          <w:rFonts w:ascii="宋体"/>
          <w:szCs w:val="21"/>
          <w:highlight w:val="none"/>
        </w:rPr>
      </w:pPr>
      <w:r>
        <w:rPr>
          <w:rFonts w:hint="eastAsia" w:ascii="宋体" w:hAnsi="宋体"/>
          <w:szCs w:val="21"/>
          <w:highlight w:val="none"/>
        </w:rPr>
        <w:t>附表一：</w:t>
      </w:r>
    </w:p>
    <w:p>
      <w:pPr>
        <w:jc w:val="center"/>
        <w:rPr>
          <w:b/>
          <w:sz w:val="32"/>
          <w:szCs w:val="32"/>
          <w:highlight w:val="none"/>
        </w:rPr>
      </w:pPr>
      <w:r>
        <w:rPr>
          <w:rFonts w:hint="eastAsia"/>
          <w:b/>
          <w:sz w:val="32"/>
          <w:szCs w:val="32"/>
          <w:highlight w:val="none"/>
        </w:rPr>
        <w:t>资格审查表</w:t>
      </w:r>
    </w:p>
    <w:p>
      <w:pPr>
        <w:spacing w:line="480" w:lineRule="auto"/>
        <w:rPr>
          <w:sz w:val="24"/>
          <w:szCs w:val="24"/>
          <w:highlight w:val="none"/>
        </w:rPr>
      </w:pPr>
      <w:r>
        <w:rPr>
          <w:rFonts w:hint="eastAsia"/>
          <w:sz w:val="24"/>
          <w:szCs w:val="24"/>
          <w:highlight w:val="none"/>
        </w:rPr>
        <w:t>工程名称：</w:t>
      </w:r>
    </w:p>
    <w:p>
      <w:pPr>
        <w:spacing w:line="480" w:lineRule="auto"/>
        <w:rPr>
          <w:color w:val="000000"/>
          <w:sz w:val="24"/>
          <w:szCs w:val="24"/>
          <w:highlight w:val="none"/>
        </w:rPr>
      </w:pPr>
      <w:r>
        <w:rPr>
          <w:rFonts w:hint="eastAsia"/>
          <w:color w:val="000000"/>
          <w:sz w:val="24"/>
          <w:szCs w:val="24"/>
          <w:highlight w:val="none"/>
        </w:rPr>
        <w:t>投标人名称：</w:t>
      </w:r>
    </w:p>
    <w:tbl>
      <w:tblPr>
        <w:tblStyle w:val="38"/>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523"/>
        <w:gridCol w:w="403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000000"/>
                <w:szCs w:val="21"/>
                <w:highlight w:val="none"/>
              </w:rPr>
            </w:pPr>
            <w:r>
              <w:rPr>
                <w:rFonts w:hint="eastAsia" w:ascii="宋体" w:hAnsi="宋体"/>
                <w:b/>
                <w:color w:val="000000"/>
                <w:szCs w:val="21"/>
                <w:highlight w:val="none"/>
              </w:rPr>
              <w:t>序号</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000000"/>
                <w:szCs w:val="21"/>
                <w:highlight w:val="none"/>
              </w:rPr>
            </w:pPr>
            <w:r>
              <w:rPr>
                <w:rFonts w:hint="eastAsia" w:ascii="宋体" w:hAnsi="宋体"/>
                <w:b/>
                <w:color w:val="000000"/>
                <w:szCs w:val="21"/>
                <w:highlight w:val="none"/>
              </w:rPr>
              <w:t>审查项目</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000000"/>
                <w:szCs w:val="21"/>
                <w:highlight w:val="none"/>
              </w:rPr>
            </w:pPr>
            <w:r>
              <w:rPr>
                <w:rFonts w:hint="eastAsia" w:ascii="宋体" w:hAnsi="宋体"/>
                <w:b/>
                <w:color w:val="000000"/>
                <w:szCs w:val="21"/>
                <w:highlight w:val="none"/>
              </w:rPr>
              <w:t>须审查的资料</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000000"/>
                <w:szCs w:val="21"/>
                <w:highlight w:val="none"/>
              </w:rPr>
            </w:pPr>
            <w:r>
              <w:rPr>
                <w:rFonts w:hint="eastAsia" w:ascii="宋体" w:hAnsi="宋体"/>
                <w:b/>
                <w:color w:val="000000"/>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ascii="宋体" w:hAnsi="宋体"/>
                <w:color w:val="000000"/>
                <w:szCs w:val="21"/>
                <w:highlight w:val="none"/>
              </w:rPr>
              <w:t>1</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投标人参加投标的意思表达清楚，投标人代表被授权有效</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投标人声明、法定代表人证明书；委托投标的还应提供法人授权委托证明书</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ascii="宋体" w:hAnsi="宋体"/>
                <w:color w:val="000000"/>
                <w:szCs w:val="21"/>
                <w:highlight w:val="none"/>
              </w:rPr>
              <w:t>2</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投标人均具有独立法人资格，按国家法律经营</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营业执照扫描件</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ascii="宋体" w:hAnsi="宋体"/>
                <w:color w:val="000000"/>
                <w:szCs w:val="21"/>
                <w:highlight w:val="none"/>
              </w:rPr>
              <w:t>3</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投标人均持有建设行政主管部门颁发的企业资质证书及安全生产许可证；投标人资质符合公告要求</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资质证书及安全生产许可证扫描件；</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ascii="宋体" w:hAnsi="宋体"/>
                <w:color w:val="000000"/>
                <w:szCs w:val="21"/>
                <w:highlight w:val="none"/>
              </w:rPr>
              <w:t>4</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投标人拟担任本工程项目负责人符合公告要求</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使用有效期内的注册建造师注册证书扫描件</w:t>
            </w:r>
          </w:p>
          <w:p>
            <w:pPr>
              <w:spacing w:before="120" w:after="60"/>
              <w:jc w:val="center"/>
              <w:rPr>
                <w:rFonts w:ascii="宋体" w:hAnsi="宋体"/>
                <w:color w:val="000000"/>
                <w:szCs w:val="21"/>
                <w:highlight w:val="none"/>
              </w:rPr>
            </w:pPr>
            <w:r>
              <w:rPr>
                <w:rFonts w:hint="eastAsia" w:ascii="宋体" w:hAnsi="宋体"/>
                <w:color w:val="000000"/>
                <w:szCs w:val="21"/>
                <w:highlight w:val="none"/>
              </w:rPr>
              <w:t>（注：打印建造师电子证书后，应在个人签名处手写本人签名）</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ascii="宋体" w:hAnsi="宋体"/>
                <w:color w:val="000000"/>
                <w:szCs w:val="21"/>
                <w:highlight w:val="none"/>
              </w:rPr>
              <w:t>5</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持有项目负责人安全生产考核合格证（B类）或建筑施工企业项目负责人安全生产考核合格证</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项目负责人安全生产考核合格证（B类）或建筑施工企业项目负责人安全生产考核合格证清晰扫描件</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6</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投标人拟担任本工程技术负责人符合公告要求</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拟委托技术负责人的相关证书清晰扫描件</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7</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专职安全员须具有安全生产考核合格证（</w:t>
            </w:r>
            <w:r>
              <w:rPr>
                <w:rFonts w:ascii="宋体" w:hAnsi="宋体"/>
                <w:color w:val="000000"/>
                <w:szCs w:val="21"/>
                <w:highlight w:val="none"/>
              </w:rPr>
              <w:t>C</w:t>
            </w:r>
            <w:r>
              <w:rPr>
                <w:rFonts w:hint="eastAsia" w:ascii="宋体" w:hAnsi="宋体"/>
                <w:color w:val="000000"/>
                <w:szCs w:val="21"/>
                <w:highlight w:val="none"/>
              </w:rPr>
              <w:t>证）或建筑施工企业专职安全生产管理人员安全生产考核合格证</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专职安全员须具有在有效期内的安全考核合格证书（C类）或建筑施工企业专职安全生产管理人员安全生产考核合格证书</w:t>
            </w:r>
            <w:r>
              <w:rPr>
                <w:rFonts w:hint="eastAsia" w:ascii="宋体" w:hAnsi="宋体"/>
                <w:color w:val="000000"/>
                <w:szCs w:val="21"/>
                <w:highlight w:val="none"/>
                <w:u w:val="single"/>
              </w:rPr>
              <w:t>（C3）清晰扫描件</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8</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投标人提供的投标人声明符合公告要求</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投标人声明</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9</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投标人声明中签字的项目负责人和技术负责人与本项目拟派的项目负责人和技术负责人一致</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网上投标时选择拟投标的项目负责人、资格审查文件中拟委派的技术负责人及投标人声明</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10</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关于联合体投标：本项目不接受联合体投标。</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1</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s="宋体"/>
                <w:szCs w:val="21"/>
                <w:highlight w:val="none"/>
              </w:rPr>
              <w:t>投标登记前，投标人须在广州交易集团有限公司（广州公共资源交易中心）办理企业信息登记及拟担任本工程项目负责人、专职安全员须是本企业信息登记中的在册人员。</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szCs w:val="21"/>
                <w:highlight w:val="none"/>
              </w:rPr>
              <w:t>投标人在广州交易集团有限公司（广州公共资源交易中心）企业信息登记的企业和人员信息</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12</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投标人未出现以下情形：与其它投标人的单位负责人为同一人或者存在控股、管理关系的（按投标人提供的《投标人声明》第八条内容进行评审）。</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投标人声明</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13</w:t>
            </w:r>
          </w:p>
        </w:tc>
        <w:tc>
          <w:tcPr>
            <w:tcW w:w="352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未被列入拖欠农民工工资失信联合惩戒对象名单</w:t>
            </w:r>
          </w:p>
        </w:tc>
        <w:tc>
          <w:tcPr>
            <w:tcW w:w="403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r>
              <w:rPr>
                <w:rFonts w:hint="eastAsia" w:ascii="宋体" w:hAnsi="宋体"/>
                <w:color w:val="000000"/>
                <w:szCs w:val="21"/>
                <w:highlight w:val="none"/>
              </w:rPr>
              <w:t>投标人无需提供资料，按交易系统比对的结果进行评审</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highlight w:val="none"/>
              </w:rPr>
            </w:pPr>
          </w:p>
        </w:tc>
      </w:tr>
    </w:tbl>
    <w:p>
      <w:pPr>
        <w:widowControl/>
        <w:jc w:val="left"/>
        <w:rPr>
          <w:rFonts w:ascii="仿宋" w:hAnsi="仿宋" w:eastAsia="仿宋" w:cs="宋体"/>
          <w:bCs/>
          <w:kern w:val="0"/>
          <w:sz w:val="22"/>
          <w:highlight w:val="none"/>
        </w:rPr>
      </w:pPr>
      <w:r>
        <w:rPr>
          <w:rFonts w:hint="eastAsia" w:ascii="仿宋" w:hAnsi="仿宋" w:eastAsia="仿宋" w:cs="宋体"/>
          <w:bCs/>
          <w:kern w:val="0"/>
          <w:sz w:val="22"/>
          <w:highlight w:val="none"/>
        </w:rPr>
        <w:t>备注：</w:t>
      </w:r>
    </w:p>
    <w:p>
      <w:pPr>
        <w:widowControl/>
        <w:jc w:val="left"/>
        <w:rPr>
          <w:rFonts w:ascii="仿宋" w:hAnsi="仿宋" w:eastAsia="仿宋" w:cs="宋体"/>
          <w:bCs/>
          <w:kern w:val="0"/>
          <w:sz w:val="22"/>
          <w:highlight w:val="none"/>
        </w:rPr>
      </w:pPr>
      <w:r>
        <w:rPr>
          <w:rFonts w:hint="eastAsia" w:ascii="仿宋" w:hAnsi="仿宋" w:eastAsia="仿宋" w:cs="宋体"/>
          <w:bCs/>
          <w:kern w:val="0"/>
          <w:sz w:val="22"/>
          <w:highlight w:val="none"/>
        </w:rPr>
        <w:t xml:space="preserve">1、每一项目符合的打“○”，不符合的打“×”； </w:t>
      </w:r>
    </w:p>
    <w:p>
      <w:pPr>
        <w:widowControl/>
        <w:jc w:val="left"/>
        <w:rPr>
          <w:rFonts w:ascii="仿宋" w:hAnsi="仿宋" w:eastAsia="仿宋" w:cs="宋体"/>
          <w:bCs/>
          <w:kern w:val="0"/>
          <w:sz w:val="22"/>
          <w:highlight w:val="none"/>
        </w:rPr>
      </w:pPr>
      <w:r>
        <w:rPr>
          <w:rFonts w:hint="eastAsia" w:ascii="仿宋" w:hAnsi="仿宋" w:eastAsia="仿宋" w:cs="宋体"/>
          <w:bCs/>
          <w:kern w:val="0"/>
          <w:sz w:val="22"/>
          <w:highlight w:val="none"/>
        </w:rPr>
        <w:t>2、若评委意见不一致时，则按少数服从多数的原则，作出评审结论。汇总后，出现一个“×”的结论为“不通过”。</w:t>
      </w:r>
    </w:p>
    <w:p>
      <w:pPr>
        <w:rPr>
          <w:color w:val="000000"/>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cols w:space="425" w:num="1"/>
          <w:titlePg/>
          <w:docGrid w:type="lines" w:linePitch="312" w:charSpace="0"/>
        </w:sectPr>
      </w:pPr>
      <w:r>
        <w:rPr>
          <w:rFonts w:hint="eastAsia"/>
          <w:b/>
          <w:highlight w:val="none"/>
        </w:rPr>
        <w:t>3.</w:t>
      </w:r>
      <w:r>
        <w:rPr>
          <w:rFonts w:ascii="仿宋" w:hAnsi="仿宋" w:eastAsia="仿宋" w:cs="宋体"/>
          <w:b/>
          <w:bCs/>
          <w:kern w:val="0"/>
          <w:sz w:val="22"/>
          <w:highlight w:val="none"/>
        </w:rPr>
        <w:t>不得将</w:t>
      </w:r>
      <w:r>
        <w:rPr>
          <w:rFonts w:hint="eastAsia" w:ascii="仿宋" w:hAnsi="仿宋" w:eastAsia="仿宋" w:cs="宋体"/>
          <w:b/>
          <w:bCs/>
          <w:kern w:val="0"/>
          <w:sz w:val="22"/>
          <w:highlight w:val="none"/>
        </w:rPr>
        <w:t>文件顺序、</w:t>
      </w:r>
      <w:r>
        <w:rPr>
          <w:rFonts w:ascii="仿宋" w:hAnsi="仿宋" w:eastAsia="仿宋" w:cs="宋体"/>
          <w:b/>
          <w:bCs/>
          <w:kern w:val="0"/>
          <w:sz w:val="22"/>
          <w:highlight w:val="none"/>
        </w:rPr>
        <w:t>明显的文字错误等列为否</w:t>
      </w:r>
      <w:r>
        <w:rPr>
          <w:rFonts w:hint="eastAsia" w:ascii="仿宋" w:hAnsi="仿宋" w:eastAsia="仿宋" w:cs="宋体"/>
          <w:b/>
          <w:bCs/>
          <w:kern w:val="0"/>
          <w:sz w:val="22"/>
          <w:highlight w:val="none"/>
        </w:rPr>
        <w:t>决</w:t>
      </w:r>
      <w:r>
        <w:rPr>
          <w:rFonts w:ascii="仿宋" w:hAnsi="仿宋" w:eastAsia="仿宋" w:cs="宋体"/>
          <w:b/>
          <w:bCs/>
          <w:kern w:val="0"/>
          <w:sz w:val="22"/>
          <w:highlight w:val="none"/>
        </w:rPr>
        <w:t>投标的</w:t>
      </w:r>
      <w:r>
        <w:rPr>
          <w:rFonts w:hint="eastAsia" w:ascii="仿宋" w:hAnsi="仿宋" w:eastAsia="仿宋" w:cs="宋体"/>
          <w:b/>
          <w:bCs/>
          <w:kern w:val="0"/>
          <w:sz w:val="22"/>
          <w:highlight w:val="none"/>
        </w:rPr>
        <w:t>情形。评委</w:t>
      </w:r>
      <w:r>
        <w:rPr>
          <w:rFonts w:ascii="仿宋" w:hAnsi="仿宋" w:eastAsia="仿宋" w:cs="宋体"/>
          <w:b/>
          <w:bCs/>
          <w:kern w:val="0"/>
          <w:sz w:val="22"/>
          <w:highlight w:val="none"/>
        </w:rPr>
        <w:t>发现</w:t>
      </w:r>
      <w:r>
        <w:rPr>
          <w:rFonts w:hint="eastAsia" w:ascii="仿宋" w:hAnsi="仿宋" w:eastAsia="仿宋" w:cs="宋体"/>
          <w:b/>
          <w:bCs/>
          <w:kern w:val="0"/>
          <w:sz w:val="22"/>
          <w:highlight w:val="none"/>
        </w:rPr>
        <w:t>资格审查文件</w:t>
      </w:r>
      <w:r>
        <w:rPr>
          <w:rFonts w:ascii="仿宋" w:hAnsi="仿宋" w:eastAsia="仿宋" w:cs="宋体"/>
          <w:b/>
          <w:bCs/>
          <w:kern w:val="0"/>
          <w:sz w:val="22"/>
          <w:highlight w:val="none"/>
        </w:rPr>
        <w:t>中</w:t>
      </w:r>
      <w:r>
        <w:rPr>
          <w:rFonts w:hint="eastAsia" w:ascii="仿宋" w:hAnsi="仿宋" w:eastAsia="仿宋" w:cs="宋体"/>
          <w:b/>
          <w:bCs/>
          <w:kern w:val="0"/>
          <w:sz w:val="22"/>
          <w:highlight w:val="none"/>
        </w:rPr>
        <w:t>含义不明确</w:t>
      </w:r>
      <w:r>
        <w:rPr>
          <w:rFonts w:ascii="仿宋" w:hAnsi="仿宋" w:eastAsia="仿宋" w:cs="宋体"/>
          <w:b/>
          <w:bCs/>
          <w:kern w:val="0"/>
          <w:sz w:val="22"/>
          <w:highlight w:val="none"/>
        </w:rPr>
        <w:t>、对同类问题表述不一致、有明显</w:t>
      </w:r>
      <w:r>
        <w:rPr>
          <w:rFonts w:hint="eastAsia" w:ascii="仿宋" w:hAnsi="仿宋" w:eastAsia="仿宋" w:cs="宋体"/>
          <w:b/>
          <w:bCs/>
          <w:kern w:val="0"/>
          <w:sz w:val="22"/>
          <w:highlight w:val="none"/>
        </w:rPr>
        <w:t>文字</w:t>
      </w:r>
      <w:r>
        <w:rPr>
          <w:rFonts w:ascii="仿宋" w:hAnsi="仿宋" w:eastAsia="仿宋" w:cs="宋体"/>
          <w:b/>
          <w:bCs/>
          <w:kern w:val="0"/>
          <w:sz w:val="22"/>
          <w:highlight w:val="none"/>
        </w:rPr>
        <w:t>和计算错误的，应当</w:t>
      </w:r>
      <w:r>
        <w:rPr>
          <w:rFonts w:hint="eastAsia" w:ascii="仿宋" w:hAnsi="仿宋" w:eastAsia="仿宋" w:cs="宋体"/>
          <w:b/>
          <w:bCs/>
          <w:kern w:val="0"/>
          <w:sz w:val="22"/>
          <w:highlight w:val="none"/>
        </w:rPr>
        <w:t>要求</w:t>
      </w:r>
      <w:r>
        <w:rPr>
          <w:rFonts w:ascii="仿宋" w:hAnsi="仿宋" w:eastAsia="仿宋" w:cs="宋体"/>
          <w:b/>
          <w:bCs/>
          <w:kern w:val="0"/>
          <w:sz w:val="22"/>
          <w:highlight w:val="none"/>
        </w:rPr>
        <w:t>投标人作必要的澄清、说明</w:t>
      </w:r>
      <w:r>
        <w:rPr>
          <w:rFonts w:hint="eastAsia" w:ascii="仿宋" w:hAnsi="仿宋" w:eastAsia="仿宋" w:cs="宋体"/>
          <w:b/>
          <w:bCs/>
          <w:kern w:val="0"/>
          <w:sz w:val="22"/>
          <w:highlight w:val="none"/>
        </w:rPr>
        <w:t>后再判定投标人是否通过资格审查</w:t>
      </w:r>
      <w:r>
        <w:rPr>
          <w:rFonts w:ascii="仿宋" w:hAnsi="仿宋" w:eastAsia="仿宋" w:cs="宋体"/>
          <w:b/>
          <w:bCs/>
          <w:kern w:val="0"/>
          <w:sz w:val="22"/>
          <w:highlight w:val="none"/>
        </w:rPr>
        <w:t>，不得直接</w:t>
      </w:r>
      <w:r>
        <w:rPr>
          <w:rFonts w:hint="eastAsia" w:ascii="仿宋" w:hAnsi="仿宋" w:eastAsia="仿宋" w:cs="宋体"/>
          <w:b/>
          <w:bCs/>
          <w:kern w:val="0"/>
          <w:sz w:val="22"/>
          <w:highlight w:val="none"/>
        </w:rPr>
        <w:t>认定其不通过资格审查。</w:t>
      </w:r>
    </w:p>
    <w:p>
      <w:pPr>
        <w:rPr>
          <w:color w:val="000000"/>
          <w:szCs w:val="21"/>
          <w:highlight w:val="none"/>
        </w:rPr>
      </w:pPr>
      <w:r>
        <w:rPr>
          <w:rFonts w:hint="eastAsia"/>
          <w:color w:val="000000"/>
          <w:szCs w:val="21"/>
          <w:highlight w:val="none"/>
        </w:rPr>
        <w:t>附表二</w:t>
      </w:r>
    </w:p>
    <w:p>
      <w:pPr>
        <w:jc w:val="center"/>
        <w:rPr>
          <w:b/>
          <w:color w:val="000000"/>
          <w:sz w:val="36"/>
          <w:szCs w:val="36"/>
          <w:highlight w:val="none"/>
        </w:rPr>
      </w:pPr>
      <w:r>
        <w:rPr>
          <w:rFonts w:hint="eastAsia"/>
          <w:b/>
          <w:color w:val="000000"/>
          <w:sz w:val="36"/>
          <w:szCs w:val="36"/>
          <w:highlight w:val="none"/>
        </w:rPr>
        <w:t>技术标有效性审查表</w:t>
      </w:r>
    </w:p>
    <w:p>
      <w:pPr>
        <w:rPr>
          <w:color w:val="000000"/>
          <w:szCs w:val="21"/>
          <w:highlight w:val="none"/>
        </w:rPr>
      </w:pPr>
      <w:r>
        <w:rPr>
          <w:rFonts w:hint="eastAsia"/>
          <w:color w:val="000000"/>
          <w:szCs w:val="21"/>
          <w:highlight w:val="none"/>
        </w:rPr>
        <w:t>工程名称：</w:t>
      </w:r>
    </w:p>
    <w:tbl>
      <w:tblPr>
        <w:tblStyle w:val="38"/>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投标人</w:t>
            </w:r>
          </w:p>
          <w:p>
            <w:pPr>
              <w:adjustRightInd w:val="0"/>
              <w:rPr>
                <w:rFonts w:ascii="宋体" w:hAnsi="宋体"/>
                <w:color w:val="000000"/>
                <w:szCs w:val="21"/>
                <w:highlight w:val="none"/>
              </w:rPr>
            </w:pPr>
          </w:p>
          <w:p>
            <w:pPr>
              <w:adjustRightInd w:val="0"/>
              <w:rPr>
                <w:rFonts w:ascii="宋体" w:hAnsi="宋体"/>
                <w:color w:val="000000"/>
                <w:szCs w:val="21"/>
                <w:highlight w:val="none"/>
              </w:rPr>
            </w:pPr>
            <w:r>
              <w:rPr>
                <w:rFonts w:hint="eastAsia" w:ascii="宋体" w:hAnsi="宋体"/>
                <w:color w:val="000000"/>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s="宋体"/>
                <w:szCs w:val="21"/>
                <w:highlight w:val="none"/>
                <w:u w:val="single"/>
              </w:rPr>
              <w:t>《广州建设工程施工招标投标书》中工期不能满足招标文件要求的；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s="宋体"/>
                <w:szCs w:val="21"/>
                <w:highlight w:val="none"/>
                <w:u w:val="single"/>
              </w:rPr>
              <w:t>《广州建设工程施工招标投标书》中质量标准不符合招标文件要求的；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3</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投标文件中没有有效的法定代表人证明书，或由委托代理人</w:t>
            </w:r>
            <w:r>
              <w:rPr>
                <w:rFonts w:hint="eastAsia" w:ascii="宋体" w:hAnsi="宋体" w:cs="宋体"/>
                <w:szCs w:val="21"/>
                <w:highlight w:val="none"/>
                <w:u w:val="single"/>
              </w:rPr>
              <w:t>签字或盖章</w:t>
            </w:r>
            <w:r>
              <w:rPr>
                <w:rFonts w:hint="eastAsia" w:ascii="宋体" w:hAnsi="宋体"/>
                <w:color w:val="000000"/>
                <w:szCs w:val="21"/>
                <w:highlight w:val="none"/>
              </w:rPr>
              <w:t>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4</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投标文件未按规定的格式填写，或主要内容不全，或关键字迹模糊、无法辨认的；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5</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6</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7</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投标人未按要求提交投标保证金的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8</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highlight w:val="none"/>
              </w:rPr>
            </w:pPr>
            <w:r>
              <w:rPr>
                <w:rFonts w:hint="eastAsia" w:ascii="宋体" w:hAnsi="宋体"/>
                <w:color w:val="000000"/>
                <w:szCs w:val="21"/>
                <w:highlight w:val="none"/>
              </w:rPr>
              <w:t>投标人与本项目其他投标人加密打包投标文件电脑机器特征码一致的(以交易平台评标系统的检索信息为准)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highlight w:val="none"/>
              </w:rPr>
            </w:pPr>
          </w:p>
        </w:tc>
      </w:tr>
    </w:tbl>
    <w:p>
      <w:pPr>
        <w:rPr>
          <w:highlight w:val="none"/>
        </w:rPr>
      </w:pPr>
      <w:r>
        <w:rPr>
          <w:rFonts w:hint="eastAsia"/>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highlight w:val="none"/>
        </w:rPr>
      </w:pPr>
      <w:r>
        <w:rPr>
          <w:rFonts w:hint="eastAsia"/>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highlight w:val="none"/>
        </w:rPr>
      </w:pPr>
      <w:r>
        <w:rPr>
          <w:rFonts w:hint="eastAsia"/>
          <w:highlight w:val="none"/>
        </w:rPr>
        <w:t>3.凡出现以上任何一项情形，结论均为无效，否则就为有效。</w:t>
      </w:r>
    </w:p>
    <w:p>
      <w:pPr>
        <w:rPr>
          <w:szCs w:val="21"/>
          <w:highlight w:val="none"/>
        </w:rPr>
      </w:pPr>
      <w:r>
        <w:rPr>
          <w:rFonts w:hint="eastAsia"/>
          <w:highlight w:val="none"/>
        </w:rPr>
        <w:t>4.如对本表中某种情形的评审意见不一致时，以评标委员会过半数成员的意见作为评标委员会对该情形的认定结论。</w:t>
      </w:r>
      <w:r>
        <w:rPr>
          <w:highlight w:val="none"/>
        </w:rPr>
        <w:br w:type="page"/>
      </w:r>
      <w:r>
        <w:rPr>
          <w:rFonts w:hint="eastAsia"/>
          <w:szCs w:val="21"/>
          <w:highlight w:val="none"/>
        </w:rPr>
        <w:t>附表三</w:t>
      </w:r>
    </w:p>
    <w:p>
      <w:pPr>
        <w:jc w:val="center"/>
        <w:rPr>
          <w:b/>
          <w:color w:val="000000"/>
          <w:sz w:val="36"/>
          <w:szCs w:val="36"/>
          <w:highlight w:val="none"/>
        </w:rPr>
      </w:pPr>
      <w:r>
        <w:rPr>
          <w:rFonts w:hint="eastAsia"/>
          <w:b/>
          <w:color w:val="000000"/>
          <w:sz w:val="36"/>
          <w:szCs w:val="36"/>
          <w:highlight w:val="none"/>
        </w:rPr>
        <w:t>经济标有效性审查表</w:t>
      </w:r>
    </w:p>
    <w:p>
      <w:pPr>
        <w:rPr>
          <w:color w:val="000000"/>
          <w:szCs w:val="21"/>
          <w:highlight w:val="none"/>
        </w:rPr>
      </w:pPr>
      <w:r>
        <w:rPr>
          <w:rFonts w:hint="eastAsia"/>
          <w:color w:val="000000"/>
          <w:szCs w:val="21"/>
          <w:highlight w:val="none"/>
        </w:rPr>
        <w:t>工程名称：</w:t>
      </w:r>
    </w:p>
    <w:tbl>
      <w:tblPr>
        <w:tblStyle w:val="38"/>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投标人</w:t>
            </w:r>
          </w:p>
          <w:p>
            <w:pPr>
              <w:rPr>
                <w:rFonts w:ascii="宋体" w:hAnsi="宋体"/>
                <w:color w:val="000000"/>
                <w:szCs w:val="21"/>
                <w:highlight w:val="none"/>
              </w:rPr>
            </w:pPr>
          </w:p>
          <w:p>
            <w:pPr>
              <w:rPr>
                <w:rFonts w:ascii="宋体" w:hAnsi="宋体"/>
                <w:color w:val="000000"/>
                <w:szCs w:val="21"/>
                <w:highlight w:val="none"/>
              </w:rPr>
            </w:pPr>
            <w:r>
              <w:rPr>
                <w:rFonts w:hint="eastAsia" w:ascii="宋体" w:hAnsi="宋体"/>
                <w:color w:val="000000"/>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ascii="宋体" w:hAnsi="宋体"/>
                <w:color w:val="000000"/>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ascii="宋体" w:hAnsi="宋体"/>
                <w:color w:val="000000"/>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ascii="宋体" w:hAnsi="宋体"/>
                <w:color w:val="000000"/>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olor w:val="000000"/>
                <w:szCs w:val="21"/>
                <w:highlight w:val="none"/>
              </w:rPr>
            </w:pPr>
            <w:r>
              <w:rPr>
                <w:rFonts w:hint="eastAsia" w:ascii="宋体" w:hAnsi="宋体"/>
                <w:color w:val="000000"/>
                <w:szCs w:val="21"/>
                <w:highlight w:val="none"/>
              </w:rPr>
              <w:t>投标报价低于成本的；</w:t>
            </w:r>
            <w:r>
              <w:rPr>
                <w:rFonts w:hint="eastAsia" w:ascii="宋体" w:hAnsi="宋体" w:cs="宋体"/>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ascii="宋体" w:hAnsi="宋体"/>
                <w:color w:val="000000"/>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算术复核后的投标报价与原投标报价相比存在</w:t>
            </w:r>
            <w:r>
              <w:rPr>
                <w:rFonts w:ascii="宋体" w:hAnsi="宋体"/>
                <w:color w:val="000000"/>
                <w:szCs w:val="21"/>
                <w:highlight w:val="none"/>
              </w:rPr>
              <w:t>1%</w:t>
            </w:r>
            <w:r>
              <w:rPr>
                <w:rFonts w:hint="eastAsia" w:ascii="宋体" w:hAnsi="宋体"/>
                <w:color w:val="000000"/>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ascii="宋体" w:hAnsi="宋体"/>
                <w:color w:val="000000"/>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ascii="宋体" w:hAnsi="宋体"/>
                <w:color w:val="000000"/>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不同投标人的投标报价中分部分项工程量清单综合单价相似度达到80%及以上的(以</w:t>
            </w:r>
            <w:r>
              <w:rPr>
                <w:rFonts w:hint="eastAsia" w:ascii="宋体" w:hAnsi="宋体" w:cs="宋体"/>
                <w:spacing w:val="-4"/>
                <w:szCs w:val="21"/>
                <w:highlight w:val="none"/>
                <w:u w:val="single"/>
              </w:rPr>
              <w:t>广州公共资源交易中心</w:t>
            </w:r>
            <w:r>
              <w:rPr>
                <w:rFonts w:hint="eastAsia" w:ascii="宋体" w:hAnsi="宋体"/>
                <w:color w:val="000000"/>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ascii="宋体" w:hAnsi="宋体"/>
                <w:color w:val="000000"/>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ascii="宋体" w:hAnsi="宋体"/>
                <w:color w:val="000000"/>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ascii="宋体" w:hAnsi="宋体"/>
                <w:color w:val="000000"/>
                <w:szCs w:val="21"/>
                <w:highlight w:val="none"/>
              </w:rPr>
              <w:t>9</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10</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投标人与本项目其他投标人的投标文件工程量清单编制机器硬件信息一致的（以交易平台评标系统的检索信息为准）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highlight w:val="none"/>
              </w:rPr>
            </w:pPr>
          </w:p>
        </w:tc>
      </w:tr>
    </w:tbl>
    <w:p>
      <w:pPr>
        <w:pStyle w:val="35"/>
        <w:ind w:firstLine="458"/>
        <w:rPr>
          <w:rFonts w:ascii="宋体" w:hAnsi="宋体"/>
          <w:szCs w:val="21"/>
          <w:highlight w:val="none"/>
        </w:rPr>
      </w:pPr>
      <w:r>
        <w:rPr>
          <w:rFonts w:hint="eastAsia" w:ascii="宋体" w:hAnsi="宋体"/>
          <w:szCs w:val="21"/>
          <w:highlight w:val="none"/>
        </w:rPr>
        <w:t>注：1.本表使用GZZB2018-3招标文件范本，与范本内容不同之处均以下划线标明。</w:t>
      </w:r>
    </w:p>
    <w:p>
      <w:pPr>
        <w:pStyle w:val="35"/>
        <w:ind w:firstLine="458"/>
        <w:rPr>
          <w:rFonts w:ascii="宋体" w:hAnsi="宋体"/>
          <w:szCs w:val="21"/>
          <w:highlight w:val="none"/>
        </w:rPr>
      </w:pPr>
      <w:r>
        <w:rPr>
          <w:rFonts w:hint="eastAsia" w:ascii="宋体" w:hAnsi="宋体"/>
          <w:szCs w:val="21"/>
          <w:highlight w:val="none"/>
        </w:rPr>
        <w:t>2.凡出现以上任何一项情形，结论均为无效，否则就为有效。</w:t>
      </w:r>
    </w:p>
    <w:p>
      <w:pPr>
        <w:pStyle w:val="35"/>
        <w:ind w:firstLine="458"/>
        <w:rPr>
          <w:rFonts w:ascii="宋体" w:hAnsi="宋体"/>
          <w:szCs w:val="21"/>
          <w:highlight w:val="none"/>
        </w:rPr>
      </w:pPr>
      <w:r>
        <w:rPr>
          <w:rFonts w:hint="eastAsia" w:ascii="宋体" w:hAnsi="宋体"/>
          <w:szCs w:val="21"/>
          <w:highlight w:val="none"/>
        </w:rPr>
        <w:t>3.如对本表中某种情形的评审意见不一致时，以评标委员会过半数成员的意见作为评标委员会对该情形的认定结论。</w:t>
      </w:r>
    </w:p>
    <w:p>
      <w:pPr>
        <w:pStyle w:val="35"/>
        <w:ind w:firstLine="458"/>
        <w:rPr>
          <w:rFonts w:ascii="宋体" w:hAnsi="宋体"/>
          <w:szCs w:val="21"/>
          <w:highlight w:val="none"/>
        </w:rPr>
      </w:pPr>
      <w:r>
        <w:rPr>
          <w:rFonts w:hint="eastAsia" w:ascii="宋体" w:hAnsi="宋体"/>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35"/>
        <w:ind w:firstLine="458"/>
        <w:rPr>
          <w:rFonts w:ascii="宋体" w:hAnsi="宋体"/>
          <w:szCs w:val="21"/>
          <w:highlight w:val="none"/>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szCs w:val="21"/>
          <w:highlight w:val="none"/>
        </w:rPr>
        <w:t>评委签名：</w:t>
      </w:r>
    </w:p>
    <w:p>
      <w:pPr>
        <w:rPr>
          <w:szCs w:val="21"/>
          <w:highlight w:val="none"/>
        </w:rPr>
      </w:pPr>
      <w:r>
        <w:rPr>
          <w:rFonts w:hint="eastAsia"/>
          <w:szCs w:val="21"/>
          <w:highlight w:val="none"/>
        </w:rPr>
        <w:t>附表四</w:t>
      </w:r>
    </w:p>
    <w:p>
      <w:pPr>
        <w:jc w:val="center"/>
        <w:rPr>
          <w:b/>
          <w:sz w:val="36"/>
          <w:szCs w:val="36"/>
          <w:highlight w:val="none"/>
        </w:rPr>
      </w:pPr>
      <w:r>
        <w:rPr>
          <w:rFonts w:hint="eastAsia"/>
          <w:b/>
          <w:sz w:val="36"/>
          <w:szCs w:val="36"/>
          <w:highlight w:val="none"/>
        </w:rPr>
        <w:t>技术标详细审查评分表</w:t>
      </w:r>
    </w:p>
    <w:tbl>
      <w:tblPr>
        <w:tblStyle w:val="38"/>
        <w:tblW w:w="14773" w:type="dxa"/>
        <w:tblInd w:w="2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820"/>
        <w:gridCol w:w="1111"/>
        <w:gridCol w:w="103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473" w:type="dxa"/>
            <w:vAlign w:val="center"/>
          </w:tcPr>
          <w:p>
            <w:pPr>
              <w:widowControl/>
              <w:spacing w:line="300" w:lineRule="exact"/>
              <w:jc w:val="center"/>
              <w:rPr>
                <w:rFonts w:ascii="宋体" w:hAnsi="宋体" w:cs="宋体"/>
                <w:b/>
                <w:bCs/>
                <w:kern w:val="0"/>
                <w:szCs w:val="21"/>
                <w:highlight w:val="none"/>
              </w:rPr>
            </w:pPr>
            <w:r>
              <w:rPr>
                <w:rFonts w:hint="eastAsia" w:ascii="宋体" w:hAnsi="宋体" w:cs="宋体"/>
                <w:b/>
                <w:bCs/>
                <w:kern w:val="0"/>
                <w:szCs w:val="21"/>
                <w:highlight w:val="none"/>
              </w:rPr>
              <w:t>评分项目</w:t>
            </w:r>
          </w:p>
        </w:tc>
        <w:tc>
          <w:tcPr>
            <w:tcW w:w="1820" w:type="dxa"/>
            <w:vAlign w:val="center"/>
          </w:tcPr>
          <w:p>
            <w:pPr>
              <w:widowControl/>
              <w:spacing w:line="300" w:lineRule="exact"/>
              <w:jc w:val="center"/>
              <w:rPr>
                <w:rFonts w:ascii="宋体" w:hAnsi="宋体" w:cs="宋体"/>
                <w:b/>
                <w:bCs/>
                <w:kern w:val="0"/>
                <w:szCs w:val="21"/>
                <w:highlight w:val="none"/>
              </w:rPr>
            </w:pPr>
            <w:r>
              <w:rPr>
                <w:rFonts w:hint="eastAsia" w:ascii="宋体" w:hAnsi="宋体" w:cs="宋体"/>
                <w:b/>
                <w:bCs/>
                <w:kern w:val="0"/>
                <w:szCs w:val="21"/>
                <w:highlight w:val="none"/>
              </w:rPr>
              <w:t>评分内容</w:t>
            </w:r>
          </w:p>
        </w:tc>
        <w:tc>
          <w:tcPr>
            <w:tcW w:w="1111" w:type="dxa"/>
            <w:vAlign w:val="center"/>
          </w:tcPr>
          <w:p>
            <w:pPr>
              <w:widowControl/>
              <w:spacing w:line="300" w:lineRule="exact"/>
              <w:jc w:val="center"/>
              <w:rPr>
                <w:rFonts w:ascii="宋体" w:hAnsi="宋体" w:cs="宋体"/>
                <w:b/>
                <w:bCs/>
                <w:kern w:val="0"/>
                <w:szCs w:val="21"/>
                <w:highlight w:val="none"/>
              </w:rPr>
            </w:pPr>
            <w:r>
              <w:rPr>
                <w:rFonts w:hint="eastAsia" w:ascii="宋体" w:hAnsi="宋体" w:cs="宋体"/>
                <w:b/>
                <w:bCs/>
                <w:kern w:val="0"/>
                <w:szCs w:val="21"/>
                <w:highlight w:val="none"/>
              </w:rPr>
              <w:t>分值</w:t>
            </w:r>
          </w:p>
        </w:tc>
        <w:tc>
          <w:tcPr>
            <w:tcW w:w="10369" w:type="dxa"/>
            <w:vAlign w:val="center"/>
          </w:tcPr>
          <w:p>
            <w:pPr>
              <w:widowControl/>
              <w:spacing w:line="300" w:lineRule="exact"/>
              <w:jc w:val="center"/>
              <w:rPr>
                <w:rFonts w:ascii="宋体" w:hAnsi="宋体" w:cs="宋体"/>
                <w:b/>
                <w:bCs/>
                <w:kern w:val="0"/>
                <w:szCs w:val="21"/>
                <w:highlight w:val="none"/>
              </w:rPr>
            </w:pPr>
            <w:r>
              <w:rPr>
                <w:rFonts w:hint="eastAsia" w:ascii="宋体" w:hAnsi="宋体" w:cs="宋体"/>
                <w:b/>
                <w:bCs/>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1473" w:type="dxa"/>
            <w:vMerge w:val="restart"/>
            <w:vAlign w:val="center"/>
          </w:tcPr>
          <w:p>
            <w:pPr>
              <w:widowControl/>
              <w:numPr>
                <w:ilvl w:val="0"/>
                <w:numId w:val="5"/>
              </w:numPr>
              <w:spacing w:line="300" w:lineRule="exact"/>
              <w:jc w:val="center"/>
              <w:rPr>
                <w:rFonts w:ascii="宋体" w:hAnsi="宋体" w:cs="宋体"/>
                <w:kern w:val="0"/>
                <w:szCs w:val="21"/>
                <w:highlight w:val="none"/>
              </w:rPr>
            </w:pPr>
            <w:r>
              <w:rPr>
                <w:rFonts w:hint="eastAsia" w:ascii="宋体" w:hAnsi="宋体" w:cs="宋体"/>
                <w:kern w:val="0"/>
                <w:szCs w:val="21"/>
                <w:highlight w:val="none"/>
              </w:rPr>
              <w:t>项目管理机构能力</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（14分）</w:t>
            </w:r>
          </w:p>
        </w:tc>
        <w:tc>
          <w:tcPr>
            <w:tcW w:w="1820" w:type="dxa"/>
            <w:vAlign w:val="center"/>
          </w:tcPr>
          <w:p>
            <w:pPr>
              <w:autoSpaceDN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项目负责人</w:t>
            </w:r>
          </w:p>
        </w:tc>
        <w:tc>
          <w:tcPr>
            <w:tcW w:w="1111" w:type="dxa"/>
            <w:vAlign w:val="center"/>
          </w:tcPr>
          <w:p>
            <w:pPr>
              <w:autoSpaceDN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0369" w:type="dxa"/>
            <w:vAlign w:val="center"/>
          </w:tcPr>
          <w:p>
            <w:pPr>
              <w:numPr>
                <w:ilvl w:val="0"/>
                <w:numId w:val="6"/>
              </w:numPr>
              <w:jc w:val="left"/>
              <w:rPr>
                <w:rFonts w:ascii="宋体" w:hAnsi="宋体" w:cs="宋体"/>
                <w:szCs w:val="21"/>
                <w:highlight w:val="none"/>
              </w:rPr>
            </w:pPr>
            <w:r>
              <w:rPr>
                <w:rFonts w:hint="eastAsia" w:ascii="宋体" w:hAnsi="宋体" w:cs="宋体"/>
                <w:szCs w:val="21"/>
                <w:highlight w:val="none"/>
              </w:rPr>
              <w:t>具有15年（不含）以上施工管理工作经验，得1分；具有10年至15年施工管理工作经验，得0.5分；</w:t>
            </w:r>
          </w:p>
          <w:p>
            <w:pPr>
              <w:rPr>
                <w:rFonts w:ascii="宋体" w:hAnsi="宋体" w:cs="宋体"/>
                <w:kern w:val="0"/>
                <w:szCs w:val="21"/>
                <w:highlight w:val="none"/>
              </w:rPr>
            </w:pPr>
            <w:r>
              <w:rPr>
                <w:rFonts w:hint="eastAsia" w:ascii="宋体" w:hAnsi="宋体" w:cs="宋体"/>
                <w:kern w:val="0"/>
                <w:szCs w:val="21"/>
                <w:highlight w:val="none"/>
              </w:rPr>
              <w:t>2、项目负责人自</w:t>
            </w:r>
            <w:r>
              <w:rPr>
                <w:rFonts w:hint="eastAsia" w:ascii="宋体" w:hAnsi="宋体" w:cs="宋体"/>
                <w:kern w:val="0"/>
                <w:szCs w:val="21"/>
                <w:highlight w:val="none"/>
                <w:lang w:eastAsia="zh-TW"/>
              </w:rPr>
              <w:t>20</w:t>
            </w:r>
            <w:r>
              <w:rPr>
                <w:rFonts w:hint="eastAsia" w:ascii="宋体" w:hAnsi="宋体" w:cs="宋体"/>
                <w:kern w:val="0"/>
                <w:szCs w:val="21"/>
                <w:highlight w:val="none"/>
              </w:rPr>
              <w:t>21年</w:t>
            </w:r>
            <w:r>
              <w:rPr>
                <w:rFonts w:hint="eastAsia" w:ascii="宋体" w:hAnsi="宋体" w:cs="宋体"/>
                <w:kern w:val="0"/>
                <w:szCs w:val="21"/>
                <w:highlight w:val="none"/>
                <w:lang w:eastAsia="zh-TW"/>
              </w:rPr>
              <w:t>1</w:t>
            </w:r>
            <w:r>
              <w:rPr>
                <w:rFonts w:hint="eastAsia" w:ascii="宋体" w:hAnsi="宋体" w:cs="宋体"/>
                <w:kern w:val="0"/>
                <w:szCs w:val="21"/>
                <w:highlight w:val="none"/>
              </w:rPr>
              <w:t>月</w:t>
            </w:r>
            <w:r>
              <w:rPr>
                <w:rFonts w:hint="eastAsia" w:ascii="宋体" w:hAnsi="宋体" w:cs="宋体"/>
                <w:kern w:val="0"/>
                <w:szCs w:val="21"/>
                <w:highlight w:val="none"/>
                <w:lang w:eastAsia="zh-TW"/>
              </w:rPr>
              <w:t>1</w:t>
            </w:r>
            <w:r>
              <w:rPr>
                <w:rFonts w:hint="eastAsia" w:ascii="宋体" w:hAnsi="宋体" w:cs="宋体"/>
                <w:kern w:val="0"/>
                <w:szCs w:val="21"/>
                <w:highlight w:val="none"/>
              </w:rPr>
              <w:t>日至投标截止日止，以项目负责人身份完成工程造价金额大于或等于1000万元的市政公用工程施工总承包业绩，每项得1分，本项最多得1分。</w:t>
            </w:r>
          </w:p>
          <w:p>
            <w:pPr>
              <w:jc w:val="left"/>
              <w:rPr>
                <w:rFonts w:ascii="宋体" w:hAnsi="宋体" w:cs="宋体"/>
                <w:szCs w:val="21"/>
                <w:highlight w:val="none"/>
              </w:rPr>
            </w:pPr>
            <w:r>
              <w:rPr>
                <w:rFonts w:hAnsi="宋体"/>
                <w:szCs w:val="21"/>
                <w:highlight w:val="none"/>
              </w:rPr>
              <w:t>注：提供职称证书</w:t>
            </w:r>
            <w:r>
              <w:rPr>
                <w:rFonts w:hint="eastAsia" w:hAnsi="宋体"/>
                <w:szCs w:val="21"/>
                <w:highlight w:val="none"/>
              </w:rPr>
              <w:t>扫描件和毕业证书扫描件，</w:t>
            </w:r>
            <w:r>
              <w:rPr>
                <w:rFonts w:hint="eastAsia" w:ascii="宋体" w:hAnsi="宋体" w:cs="宋体"/>
                <w:szCs w:val="21"/>
                <w:highlight w:val="none"/>
              </w:rPr>
              <w:t>工作经验年限以专科或以上毕业证发证时间起算。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1473" w:type="dxa"/>
            <w:vMerge w:val="continue"/>
            <w:vAlign w:val="center"/>
          </w:tcPr>
          <w:p>
            <w:pPr>
              <w:widowControl/>
              <w:spacing w:line="300" w:lineRule="exact"/>
              <w:jc w:val="center"/>
              <w:rPr>
                <w:rFonts w:ascii="宋体" w:hAnsi="宋体" w:cs="宋体"/>
                <w:kern w:val="0"/>
                <w:szCs w:val="21"/>
                <w:highlight w:val="none"/>
              </w:rPr>
            </w:pPr>
          </w:p>
        </w:tc>
        <w:tc>
          <w:tcPr>
            <w:tcW w:w="1820" w:type="dxa"/>
            <w:vAlign w:val="center"/>
          </w:tcPr>
          <w:p>
            <w:pPr>
              <w:autoSpaceDN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技术负责人</w:t>
            </w:r>
          </w:p>
        </w:tc>
        <w:tc>
          <w:tcPr>
            <w:tcW w:w="1111" w:type="dxa"/>
            <w:vAlign w:val="center"/>
          </w:tcPr>
          <w:p>
            <w:pPr>
              <w:autoSpaceDN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0369" w:type="dxa"/>
            <w:vAlign w:val="center"/>
          </w:tcPr>
          <w:p>
            <w:pPr>
              <w:jc w:val="left"/>
              <w:rPr>
                <w:rFonts w:ascii="宋体" w:hAnsi="宋体" w:cs="宋体"/>
                <w:szCs w:val="21"/>
                <w:highlight w:val="none"/>
              </w:rPr>
            </w:pPr>
            <w:r>
              <w:rPr>
                <w:rFonts w:hint="eastAsia" w:ascii="宋体" w:hAnsi="宋体" w:cs="宋体"/>
                <w:szCs w:val="21"/>
                <w:highlight w:val="none"/>
              </w:rPr>
              <w:t>1、具有15年（不含）以上施工管理工作经验，得1分；具有10年至15年施工管理工作经验，得0.5分；</w:t>
            </w:r>
          </w:p>
          <w:p>
            <w:pPr>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kern w:val="0"/>
                <w:szCs w:val="21"/>
                <w:highlight w:val="none"/>
              </w:rPr>
              <w:t>技术负责人自</w:t>
            </w:r>
            <w:r>
              <w:rPr>
                <w:rFonts w:hint="eastAsia" w:ascii="宋体" w:hAnsi="宋体" w:cs="宋体"/>
                <w:kern w:val="0"/>
                <w:szCs w:val="21"/>
                <w:highlight w:val="none"/>
                <w:lang w:eastAsia="zh-TW"/>
              </w:rPr>
              <w:t>20</w:t>
            </w:r>
            <w:r>
              <w:rPr>
                <w:rFonts w:hint="eastAsia" w:ascii="宋体" w:hAnsi="宋体" w:cs="宋体"/>
                <w:kern w:val="0"/>
                <w:szCs w:val="21"/>
                <w:highlight w:val="none"/>
              </w:rPr>
              <w:t>21年</w:t>
            </w:r>
            <w:r>
              <w:rPr>
                <w:rFonts w:hint="eastAsia" w:ascii="宋体" w:hAnsi="宋体" w:cs="宋体"/>
                <w:kern w:val="0"/>
                <w:szCs w:val="21"/>
                <w:highlight w:val="none"/>
                <w:lang w:eastAsia="zh-TW"/>
              </w:rPr>
              <w:t>1</w:t>
            </w:r>
            <w:r>
              <w:rPr>
                <w:rFonts w:hint="eastAsia" w:ascii="宋体" w:hAnsi="宋体" w:cs="宋体"/>
                <w:kern w:val="0"/>
                <w:szCs w:val="21"/>
                <w:highlight w:val="none"/>
              </w:rPr>
              <w:t>月</w:t>
            </w:r>
            <w:r>
              <w:rPr>
                <w:rFonts w:hint="eastAsia" w:ascii="宋体" w:hAnsi="宋体" w:cs="宋体"/>
                <w:kern w:val="0"/>
                <w:szCs w:val="21"/>
                <w:highlight w:val="none"/>
                <w:lang w:eastAsia="zh-TW"/>
              </w:rPr>
              <w:t>1</w:t>
            </w:r>
            <w:r>
              <w:rPr>
                <w:rFonts w:hint="eastAsia" w:ascii="宋体" w:hAnsi="宋体" w:cs="宋体"/>
                <w:kern w:val="0"/>
                <w:szCs w:val="21"/>
                <w:highlight w:val="none"/>
              </w:rPr>
              <w:t>日至投标截止日止，以技术负责人或项目负责人身份完成工程造价金额大于或等于1000万元的市政公用工程施工总承包业绩，每项得1分，本项最多得1分。</w:t>
            </w:r>
          </w:p>
          <w:p>
            <w:pPr>
              <w:jc w:val="left"/>
              <w:rPr>
                <w:rFonts w:ascii="宋体" w:hAnsi="宋体" w:cs="宋体"/>
                <w:szCs w:val="21"/>
                <w:highlight w:val="none"/>
              </w:rPr>
            </w:pPr>
            <w:r>
              <w:rPr>
                <w:rFonts w:hAnsi="宋体"/>
                <w:szCs w:val="21"/>
                <w:highlight w:val="none"/>
              </w:rPr>
              <w:t>注：提供职称证书</w:t>
            </w:r>
            <w:r>
              <w:rPr>
                <w:rFonts w:hint="eastAsia" w:hAnsi="宋体"/>
                <w:szCs w:val="21"/>
                <w:highlight w:val="none"/>
              </w:rPr>
              <w:t>扫描件和毕业证书扫描件，</w:t>
            </w:r>
            <w:r>
              <w:rPr>
                <w:rFonts w:hint="eastAsia" w:ascii="宋体" w:hAnsi="宋体" w:cs="宋体"/>
                <w:szCs w:val="21"/>
                <w:highlight w:val="none"/>
              </w:rPr>
              <w:t>工作经验年限以专科或以上毕业证发证时间起算。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1473" w:type="dxa"/>
            <w:vMerge w:val="continue"/>
            <w:vAlign w:val="center"/>
          </w:tcPr>
          <w:p>
            <w:pPr>
              <w:widowControl/>
              <w:spacing w:line="300" w:lineRule="exact"/>
              <w:jc w:val="center"/>
              <w:rPr>
                <w:rFonts w:ascii="宋体" w:hAnsi="宋体" w:cs="宋体"/>
                <w:kern w:val="0"/>
                <w:szCs w:val="21"/>
                <w:highlight w:val="none"/>
              </w:rPr>
            </w:pPr>
          </w:p>
        </w:tc>
        <w:tc>
          <w:tcPr>
            <w:tcW w:w="1820" w:type="dxa"/>
            <w:vAlign w:val="center"/>
          </w:tcPr>
          <w:p>
            <w:pPr>
              <w:autoSpaceDN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质量负责人</w:t>
            </w:r>
          </w:p>
        </w:tc>
        <w:tc>
          <w:tcPr>
            <w:tcW w:w="1111" w:type="dxa"/>
            <w:vAlign w:val="center"/>
          </w:tcPr>
          <w:p>
            <w:pPr>
              <w:autoSpaceDN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0369" w:type="dxa"/>
            <w:vAlign w:val="center"/>
          </w:tcPr>
          <w:p>
            <w:pPr>
              <w:jc w:val="left"/>
              <w:rPr>
                <w:rFonts w:ascii="宋体" w:hAnsi="宋体" w:cs="宋体"/>
                <w:szCs w:val="21"/>
                <w:highlight w:val="none"/>
              </w:rPr>
            </w:pPr>
            <w:r>
              <w:rPr>
                <w:rFonts w:hint="eastAsia" w:ascii="宋体" w:hAnsi="宋体" w:cs="宋体"/>
                <w:szCs w:val="21"/>
                <w:highlight w:val="none"/>
              </w:rPr>
              <w:t>1、具有市政类相关专业高级工程师或以上技术职称，得1分；具有市政类相关专业工程师技术职称，得0.5分；</w:t>
            </w:r>
          </w:p>
          <w:p>
            <w:pPr>
              <w:jc w:val="left"/>
              <w:rPr>
                <w:rFonts w:ascii="宋体" w:hAnsi="宋体" w:cs="宋体"/>
                <w:szCs w:val="21"/>
                <w:highlight w:val="none"/>
              </w:rPr>
            </w:pPr>
            <w:r>
              <w:rPr>
                <w:rFonts w:hint="eastAsia" w:ascii="宋体" w:hAnsi="宋体" w:cs="宋体"/>
                <w:szCs w:val="21"/>
                <w:highlight w:val="none"/>
              </w:rPr>
              <w:t>2、具有10年（不含）以上施工管理工作经验，得1分；具有5年至10年施工管理工作经验，得0.5分；</w:t>
            </w:r>
          </w:p>
          <w:p>
            <w:pPr>
              <w:jc w:val="left"/>
              <w:rPr>
                <w:rFonts w:ascii="宋体" w:hAnsi="宋体" w:cs="宋体"/>
                <w:szCs w:val="21"/>
                <w:highlight w:val="none"/>
              </w:rPr>
            </w:pPr>
            <w:r>
              <w:rPr>
                <w:rFonts w:hAnsi="宋体"/>
                <w:szCs w:val="21"/>
                <w:highlight w:val="none"/>
              </w:rPr>
              <w:t>注：提供职称证书</w:t>
            </w:r>
            <w:r>
              <w:rPr>
                <w:rFonts w:hint="eastAsia" w:hAnsi="宋体"/>
                <w:szCs w:val="21"/>
                <w:highlight w:val="none"/>
              </w:rPr>
              <w:t>扫描件和毕业证书扫描件，</w:t>
            </w:r>
            <w:r>
              <w:rPr>
                <w:rFonts w:hint="eastAsia" w:ascii="宋体" w:hAnsi="宋体" w:cs="宋体"/>
                <w:szCs w:val="21"/>
                <w:highlight w:val="none"/>
              </w:rPr>
              <w:t>工作经验年限以专科或以上毕业证发证时间起算。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0" w:hRule="atLeast"/>
        </w:trPr>
        <w:tc>
          <w:tcPr>
            <w:tcW w:w="1473" w:type="dxa"/>
            <w:vMerge w:val="continue"/>
            <w:vAlign w:val="center"/>
          </w:tcPr>
          <w:p>
            <w:pPr>
              <w:widowControl/>
              <w:spacing w:line="300" w:lineRule="exact"/>
              <w:jc w:val="center"/>
              <w:rPr>
                <w:rFonts w:ascii="宋体" w:hAnsi="宋体" w:cs="宋体"/>
                <w:kern w:val="0"/>
                <w:szCs w:val="21"/>
                <w:highlight w:val="none"/>
              </w:rPr>
            </w:pPr>
          </w:p>
        </w:tc>
        <w:tc>
          <w:tcPr>
            <w:tcW w:w="1820" w:type="dxa"/>
            <w:vAlign w:val="center"/>
          </w:tcPr>
          <w:p>
            <w:pPr>
              <w:autoSpaceDN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安全负责人</w:t>
            </w:r>
          </w:p>
        </w:tc>
        <w:tc>
          <w:tcPr>
            <w:tcW w:w="1111" w:type="dxa"/>
            <w:vAlign w:val="center"/>
          </w:tcPr>
          <w:p>
            <w:pPr>
              <w:autoSpaceDN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0369" w:type="dxa"/>
            <w:vAlign w:val="center"/>
          </w:tcPr>
          <w:p>
            <w:pPr>
              <w:jc w:val="left"/>
              <w:rPr>
                <w:rFonts w:ascii="宋体" w:hAnsi="宋体" w:cs="宋体"/>
                <w:szCs w:val="21"/>
                <w:highlight w:val="none"/>
              </w:rPr>
            </w:pPr>
            <w:r>
              <w:rPr>
                <w:rFonts w:hint="eastAsia" w:ascii="宋体" w:hAnsi="宋体" w:cs="宋体"/>
                <w:szCs w:val="21"/>
                <w:highlight w:val="none"/>
              </w:rPr>
              <w:t>1、具有注册安全工程师资格，得1分；</w:t>
            </w:r>
          </w:p>
          <w:p>
            <w:pPr>
              <w:jc w:val="left"/>
              <w:rPr>
                <w:rFonts w:ascii="宋体" w:hAnsi="宋体" w:cs="宋体"/>
                <w:szCs w:val="21"/>
                <w:highlight w:val="none"/>
              </w:rPr>
            </w:pPr>
            <w:r>
              <w:rPr>
                <w:rFonts w:hint="eastAsia" w:ascii="宋体" w:hAnsi="宋体" w:cs="宋体"/>
                <w:szCs w:val="21"/>
                <w:highlight w:val="none"/>
              </w:rPr>
              <w:t>2、具有安全工程类相关专业高级工程师或以上技术职称，得1分；具有安全工程类相关专业工程师技术职称，得0.5分；</w:t>
            </w:r>
          </w:p>
          <w:p>
            <w:pPr>
              <w:pStyle w:val="36"/>
              <w:ind w:left="0" w:leftChars="0" w:firstLine="0" w:firstLineChars="0"/>
              <w:rPr>
                <w:rFonts w:ascii="宋体" w:hAnsi="宋体" w:cs="宋体"/>
                <w:szCs w:val="21"/>
                <w:highlight w:val="none"/>
              </w:rPr>
            </w:pPr>
            <w:r>
              <w:rPr>
                <w:rFonts w:hint="eastAsia" w:ascii="宋体" w:hAnsi="宋体" w:cs="宋体"/>
                <w:szCs w:val="21"/>
                <w:highlight w:val="none"/>
              </w:rPr>
              <w:t>3、具有10年（不含）以上施工管理工作经验，得1分；具有5年至10年施工管理工作经验，得0.5分；</w:t>
            </w:r>
          </w:p>
          <w:p>
            <w:pPr>
              <w:pStyle w:val="36"/>
              <w:ind w:left="0" w:leftChars="0" w:firstLine="0" w:firstLineChars="0"/>
              <w:rPr>
                <w:highlight w:val="none"/>
              </w:rPr>
            </w:pPr>
            <w:r>
              <w:rPr>
                <w:rFonts w:ascii="宋体" w:hAnsi="宋体" w:cs="宋体"/>
                <w:highlight w:val="none"/>
              </w:rPr>
              <w:t>注：</w:t>
            </w:r>
            <w:r>
              <w:rPr>
                <w:rFonts w:hint="eastAsia" w:ascii="宋体" w:hAnsi="宋体" w:cs="宋体"/>
                <w:highlight w:val="none"/>
              </w:rPr>
              <w:t>①</w:t>
            </w:r>
            <w:r>
              <w:rPr>
                <w:rFonts w:ascii="宋体" w:hAnsi="宋体" w:cs="宋体"/>
                <w:highlight w:val="none"/>
              </w:rPr>
              <w:t>提供注册安全工程师资格证书扫描件及“</w:t>
            </w:r>
            <w:r>
              <w:rPr>
                <w:highlight w:val="none"/>
              </w:rPr>
              <w:fldChar w:fldCharType="begin"/>
            </w:r>
            <w:r>
              <w:rPr>
                <w:highlight w:val="none"/>
              </w:rPr>
              <w:instrText xml:space="preserve"> HYPERLINK "http://rmocse.chinasafety.ac.cn/Psearchs.aspx" \h </w:instrText>
            </w:r>
            <w:r>
              <w:rPr>
                <w:highlight w:val="none"/>
              </w:rPr>
              <w:fldChar w:fldCharType="separate"/>
            </w:r>
            <w:r>
              <w:rPr>
                <w:rFonts w:ascii="Times New Roman" w:hAnsi="Times New Roman" w:eastAsia="Times New Roman"/>
                <w:highlight w:val="none"/>
                <w:u w:val="single"/>
              </w:rPr>
              <w:t>http://rmocse.chinasafety.ac.cn/Psearchs.aspx</w:t>
            </w:r>
            <w:r>
              <w:rPr>
                <w:rFonts w:ascii="Times New Roman" w:hAnsi="Times New Roman" w:eastAsia="Times New Roman"/>
                <w:highlight w:val="none"/>
                <w:u w:val="single"/>
              </w:rPr>
              <w:fldChar w:fldCharType="end"/>
            </w:r>
            <w:r>
              <w:rPr>
                <w:rFonts w:ascii="宋体" w:hAnsi="宋体" w:cs="宋体"/>
                <w:highlight w:val="none"/>
              </w:rPr>
              <w:t>注册安全工程师注册管理系统”网页截图并加盖投标单位电子印章。</w:t>
            </w:r>
            <w:r>
              <w:rPr>
                <w:rFonts w:hint="eastAsia" w:ascii="宋体" w:hAnsi="宋体" w:cs="宋体"/>
                <w:highlight w:val="none"/>
              </w:rPr>
              <w:t>②</w:t>
            </w:r>
            <w:r>
              <w:rPr>
                <w:rFonts w:ascii="宋体" w:hAnsi="宋体" w:cs="宋体"/>
                <w:highlight w:val="none"/>
              </w:rPr>
              <w:t>提供职称证书</w:t>
            </w:r>
            <w:r>
              <w:rPr>
                <w:rFonts w:hint="eastAsia" w:hAnsi="宋体"/>
                <w:szCs w:val="21"/>
                <w:highlight w:val="none"/>
              </w:rPr>
              <w:t>扫描件</w:t>
            </w:r>
            <w:r>
              <w:rPr>
                <w:rFonts w:hint="eastAsia" w:ascii="宋体" w:hAnsi="宋体" w:cs="宋体"/>
                <w:highlight w:val="none"/>
              </w:rPr>
              <w:t>和毕业证书</w:t>
            </w:r>
            <w:r>
              <w:rPr>
                <w:rFonts w:hint="eastAsia" w:hAnsi="宋体"/>
                <w:szCs w:val="21"/>
                <w:highlight w:val="none"/>
              </w:rPr>
              <w:t>扫描件</w:t>
            </w:r>
            <w:r>
              <w:rPr>
                <w:rFonts w:hint="eastAsia" w:ascii="宋体" w:hAnsi="宋体" w:cs="宋体"/>
                <w:highlight w:val="none"/>
              </w:rPr>
              <w:t>，</w:t>
            </w:r>
            <w:r>
              <w:rPr>
                <w:rFonts w:hint="eastAsia" w:ascii="宋体" w:hAnsi="宋体" w:cs="宋体"/>
                <w:szCs w:val="21"/>
                <w:highlight w:val="none"/>
              </w:rPr>
              <w:t>工作经验年限以专科或以上毕业证发证时间起算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1473" w:type="dxa"/>
            <w:vMerge w:val="continue"/>
            <w:vAlign w:val="center"/>
          </w:tcPr>
          <w:p>
            <w:pPr>
              <w:widowControl/>
              <w:spacing w:line="300" w:lineRule="exact"/>
              <w:jc w:val="center"/>
              <w:rPr>
                <w:rFonts w:ascii="宋体" w:hAnsi="宋体" w:cs="宋体"/>
                <w:kern w:val="0"/>
                <w:szCs w:val="21"/>
                <w:highlight w:val="none"/>
              </w:rPr>
            </w:pPr>
          </w:p>
        </w:tc>
        <w:tc>
          <w:tcPr>
            <w:tcW w:w="1820" w:type="dxa"/>
            <w:vAlign w:val="center"/>
          </w:tcPr>
          <w:p>
            <w:pPr>
              <w:autoSpaceDN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造价负责人</w:t>
            </w:r>
          </w:p>
        </w:tc>
        <w:tc>
          <w:tcPr>
            <w:tcW w:w="1111" w:type="dxa"/>
            <w:vAlign w:val="center"/>
          </w:tcPr>
          <w:p>
            <w:pPr>
              <w:autoSpaceDN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0369" w:type="dxa"/>
            <w:vAlign w:val="center"/>
          </w:tcPr>
          <w:p>
            <w:pPr>
              <w:jc w:val="left"/>
              <w:rPr>
                <w:rFonts w:ascii="宋体" w:hAnsi="宋体" w:cs="宋体"/>
                <w:szCs w:val="21"/>
                <w:highlight w:val="none"/>
              </w:rPr>
            </w:pPr>
            <w:r>
              <w:rPr>
                <w:rFonts w:hint="eastAsia" w:ascii="宋体" w:hAnsi="宋体" w:cs="宋体"/>
                <w:szCs w:val="21"/>
                <w:highlight w:val="none"/>
              </w:rPr>
              <w:t>1、具有有效的一级注册造价师证书，得0.5分；具有有效的二级注册造价师证书，得0.2分；</w:t>
            </w:r>
          </w:p>
          <w:p>
            <w:pPr>
              <w:jc w:val="left"/>
              <w:rPr>
                <w:rFonts w:ascii="宋体" w:hAnsi="宋体" w:cs="宋体"/>
                <w:szCs w:val="21"/>
                <w:highlight w:val="none"/>
              </w:rPr>
            </w:pPr>
            <w:r>
              <w:rPr>
                <w:rFonts w:hint="eastAsia" w:ascii="宋体" w:hAnsi="宋体" w:cs="宋体"/>
                <w:szCs w:val="21"/>
                <w:highlight w:val="none"/>
              </w:rPr>
              <w:t>2、具有工程造价类相关专业高级工程师或以上技术职称，得1分；具有工程造价类相关专业工程师技术职称，得0.5分；</w:t>
            </w:r>
          </w:p>
          <w:p>
            <w:pPr>
              <w:pStyle w:val="36"/>
              <w:ind w:left="0" w:leftChars="0" w:firstLine="0" w:firstLineChars="0"/>
              <w:rPr>
                <w:highlight w:val="none"/>
              </w:rPr>
            </w:pPr>
            <w:r>
              <w:rPr>
                <w:rFonts w:hint="eastAsia" w:ascii="宋体" w:hAnsi="宋体" w:cs="宋体"/>
                <w:szCs w:val="21"/>
                <w:highlight w:val="none"/>
              </w:rPr>
              <w:t>3、具有15年（不含）以上施工管理工作经验，得0.5分；具有10年至15年施工管理工作经验，得0.2分；</w:t>
            </w:r>
            <w:r>
              <w:rPr>
                <w:rFonts w:ascii="宋体" w:hAnsi="宋体" w:cs="宋体"/>
                <w:highlight w:val="none"/>
              </w:rPr>
              <w:t>注：</w:t>
            </w:r>
            <w:r>
              <w:rPr>
                <w:rFonts w:hint="eastAsia" w:ascii="宋体" w:hAnsi="宋体" w:cs="宋体"/>
                <w:highlight w:val="none"/>
              </w:rPr>
              <w:t>①</w:t>
            </w:r>
            <w:r>
              <w:rPr>
                <w:rFonts w:ascii="宋体" w:hAnsi="宋体" w:cs="宋体"/>
                <w:highlight w:val="none"/>
              </w:rPr>
              <w:t>提供注册造价工程师执业资格证书扫描件及“</w:t>
            </w:r>
            <w:r>
              <w:rPr>
                <w:highlight w:val="none"/>
              </w:rPr>
              <w:fldChar w:fldCharType="begin"/>
            </w:r>
            <w:r>
              <w:rPr>
                <w:highlight w:val="none"/>
              </w:rPr>
              <w:instrText xml:space="preserve"> HYPERLINK "http://zaojiasys.jianshe99.com/" \h </w:instrText>
            </w:r>
            <w:r>
              <w:rPr>
                <w:highlight w:val="none"/>
              </w:rPr>
              <w:fldChar w:fldCharType="separate"/>
            </w:r>
            <w:r>
              <w:rPr>
                <w:rFonts w:ascii="Times New Roman" w:hAnsi="Times New Roman" w:eastAsia="Times New Roman"/>
                <w:highlight w:val="none"/>
                <w:u w:val="single"/>
              </w:rPr>
              <w:t>http://zaojiasys.jianshe99.com</w:t>
            </w:r>
            <w:r>
              <w:rPr>
                <w:rFonts w:ascii="Times New Roman" w:hAnsi="Times New Roman" w:eastAsia="Times New Roman"/>
                <w:highlight w:val="none"/>
                <w:u w:val="single"/>
              </w:rPr>
              <w:fldChar w:fldCharType="end"/>
            </w:r>
            <w:r>
              <w:rPr>
                <w:rFonts w:ascii="宋体" w:hAnsi="宋体" w:cs="宋体"/>
                <w:highlight w:val="none"/>
              </w:rPr>
              <w:t>造价师注册信息查询”网页截图并加盖投标单位电子印章。注册造价工程师是指根据住房城乡建设部、交通运输部、水利部、人力资源和社会保障部发布的《造价工程师职业资格制度规定》、《造价工程师职业资格考试实施办法》（建人［</w:t>
            </w:r>
            <w:r>
              <w:rPr>
                <w:rFonts w:ascii="Times New Roman" w:hAnsi="Times New Roman" w:eastAsia="Times New Roman"/>
                <w:highlight w:val="none"/>
              </w:rPr>
              <w:t>2018</w:t>
            </w:r>
            <w:r>
              <w:rPr>
                <w:rFonts w:ascii="宋体" w:hAnsi="宋体" w:cs="宋体"/>
                <w:highlight w:val="none"/>
              </w:rPr>
              <w:t>］</w:t>
            </w:r>
            <w:r>
              <w:rPr>
                <w:rFonts w:ascii="Times New Roman" w:hAnsi="Times New Roman" w:eastAsia="Times New Roman"/>
                <w:highlight w:val="none"/>
              </w:rPr>
              <w:t>67</w:t>
            </w:r>
            <w:r>
              <w:rPr>
                <w:rFonts w:ascii="宋体" w:hAnsi="宋体" w:cs="宋体"/>
                <w:highlight w:val="none"/>
              </w:rPr>
              <w:t>号）取得的一级</w:t>
            </w:r>
            <w:r>
              <w:rPr>
                <w:rFonts w:hint="eastAsia" w:ascii="宋体" w:hAnsi="宋体" w:cs="宋体"/>
                <w:highlight w:val="none"/>
              </w:rPr>
              <w:t>、二级</w:t>
            </w:r>
            <w:r>
              <w:rPr>
                <w:rFonts w:ascii="宋体" w:hAnsi="宋体" w:cs="宋体"/>
                <w:highlight w:val="none"/>
              </w:rPr>
              <w:t>造价工程师职业资格，并经注册且在有效期内。按照《造价工程师职业资格制度规定》的规定，根据原人事部、原建设部发布的《造价工程师执业资格制度暂行规定》（人发</w:t>
            </w:r>
            <w:r>
              <w:rPr>
                <w:rFonts w:ascii="Times New Roman" w:hAnsi="Times New Roman" w:eastAsia="Times New Roman"/>
                <w:highlight w:val="none"/>
              </w:rPr>
              <w:t>[1996]77</w:t>
            </w:r>
            <w:r>
              <w:rPr>
                <w:rFonts w:ascii="宋体" w:hAnsi="宋体" w:cs="宋体"/>
                <w:highlight w:val="none"/>
              </w:rPr>
              <w:t>号</w:t>
            </w:r>
            <w:r>
              <w:rPr>
                <w:rFonts w:ascii="Times New Roman" w:hAnsi="Times New Roman" w:eastAsia="Times New Roman"/>
                <w:highlight w:val="none"/>
              </w:rPr>
              <w:t>)</w:t>
            </w:r>
            <w:r>
              <w:rPr>
                <w:rFonts w:ascii="宋体" w:hAnsi="宋体" w:cs="宋体"/>
                <w:highlight w:val="none"/>
              </w:rPr>
              <w:t>取得的造价工程师执业资格，并经注册且在有效期内的，等同于注册一级造价工程师。</w:t>
            </w:r>
            <w:r>
              <w:rPr>
                <w:rFonts w:hint="eastAsia" w:ascii="宋体" w:hAnsi="宋体" w:cs="宋体"/>
                <w:highlight w:val="none"/>
              </w:rPr>
              <w:t>②</w:t>
            </w:r>
            <w:r>
              <w:rPr>
                <w:rFonts w:ascii="宋体" w:hAnsi="宋体" w:cs="宋体"/>
                <w:highlight w:val="none"/>
              </w:rPr>
              <w:t>提供职称证书</w:t>
            </w:r>
            <w:r>
              <w:rPr>
                <w:rFonts w:hint="eastAsia" w:hAnsi="宋体"/>
                <w:szCs w:val="21"/>
                <w:highlight w:val="none"/>
              </w:rPr>
              <w:t>扫描件</w:t>
            </w:r>
            <w:r>
              <w:rPr>
                <w:rFonts w:hint="eastAsia" w:ascii="宋体" w:hAnsi="宋体" w:cs="宋体"/>
                <w:highlight w:val="none"/>
              </w:rPr>
              <w:t>和毕业证书</w:t>
            </w:r>
            <w:r>
              <w:rPr>
                <w:rFonts w:hint="eastAsia" w:hAnsi="宋体"/>
                <w:szCs w:val="21"/>
                <w:highlight w:val="none"/>
              </w:rPr>
              <w:t>扫描件</w:t>
            </w:r>
            <w:r>
              <w:rPr>
                <w:rFonts w:ascii="宋体" w:hAnsi="宋体" w:cs="宋体"/>
                <w:highlight w:val="none"/>
              </w:rPr>
              <w:t>，</w:t>
            </w:r>
            <w:r>
              <w:rPr>
                <w:rFonts w:hint="eastAsia" w:ascii="宋体" w:hAnsi="宋体" w:cs="宋体"/>
                <w:szCs w:val="21"/>
                <w:highlight w:val="none"/>
              </w:rPr>
              <w:t>工作经验年限以专科或以上毕业证发证时间起算。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63" w:hRule="atLeast"/>
        </w:trPr>
        <w:tc>
          <w:tcPr>
            <w:tcW w:w="1473" w:type="dxa"/>
            <w:vMerge w:val="continue"/>
            <w:vAlign w:val="center"/>
          </w:tcPr>
          <w:p>
            <w:pPr>
              <w:widowControl/>
              <w:spacing w:line="300" w:lineRule="exact"/>
              <w:jc w:val="center"/>
              <w:rPr>
                <w:rFonts w:ascii="宋体" w:hAnsi="宋体" w:cs="宋体"/>
                <w:kern w:val="0"/>
                <w:szCs w:val="21"/>
                <w:highlight w:val="none"/>
              </w:rPr>
            </w:pPr>
          </w:p>
        </w:tc>
        <w:tc>
          <w:tcPr>
            <w:tcW w:w="1820" w:type="dxa"/>
            <w:vAlign w:val="center"/>
          </w:tcPr>
          <w:p>
            <w:pPr>
              <w:autoSpaceDN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其他专业工程师</w:t>
            </w:r>
          </w:p>
        </w:tc>
        <w:tc>
          <w:tcPr>
            <w:tcW w:w="1111" w:type="dxa"/>
            <w:vAlign w:val="center"/>
          </w:tcPr>
          <w:p>
            <w:pPr>
              <w:autoSpaceDN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0369" w:type="dxa"/>
            <w:vAlign w:val="center"/>
          </w:tcPr>
          <w:p>
            <w:pPr>
              <w:jc w:val="left"/>
              <w:rPr>
                <w:rFonts w:ascii="Times New Roman" w:hAnsi="Times New Roman"/>
                <w:szCs w:val="21"/>
                <w:highlight w:val="none"/>
              </w:rPr>
            </w:pPr>
            <w:r>
              <w:rPr>
                <w:rFonts w:hint="eastAsia" w:ascii="Times New Roman" w:hAnsi="Times New Roman"/>
                <w:szCs w:val="21"/>
                <w:highlight w:val="none"/>
              </w:rPr>
              <w:t>除项目负责人、技术负责人、质量负责人、安全负责人、造价负责人外，其他专业</w:t>
            </w:r>
            <w:r>
              <w:rPr>
                <w:rFonts w:hint="eastAsia"/>
                <w:szCs w:val="21"/>
                <w:highlight w:val="none"/>
              </w:rPr>
              <w:t>工程师</w:t>
            </w:r>
            <w:r>
              <w:rPr>
                <w:rFonts w:hint="eastAsia" w:ascii="Times New Roman" w:hAnsi="Times New Roman"/>
                <w:szCs w:val="21"/>
                <w:highlight w:val="none"/>
              </w:rPr>
              <w:t>配备完善：</w:t>
            </w:r>
          </w:p>
          <w:p>
            <w:pPr>
              <w:jc w:val="left"/>
              <w:rPr>
                <w:szCs w:val="21"/>
                <w:highlight w:val="none"/>
              </w:rPr>
            </w:pPr>
            <w:r>
              <w:rPr>
                <w:rFonts w:hint="eastAsia"/>
                <w:szCs w:val="21"/>
                <w:highlight w:val="none"/>
              </w:rPr>
              <w:t>结构专业工程师2名、市政路桥专业工程师1名、</w:t>
            </w:r>
            <w:r>
              <w:rPr>
                <w:rFonts w:hint="eastAsia" w:ascii="Times New Roman" w:hAnsi="Times New Roman"/>
                <w:szCs w:val="21"/>
                <w:highlight w:val="none"/>
              </w:rPr>
              <w:t>给排水专业</w:t>
            </w:r>
            <w:r>
              <w:rPr>
                <w:rFonts w:hint="eastAsia"/>
                <w:szCs w:val="21"/>
                <w:highlight w:val="none"/>
              </w:rPr>
              <w:t>工程师1</w:t>
            </w:r>
            <w:r>
              <w:rPr>
                <w:rFonts w:hint="eastAsia" w:ascii="Times New Roman" w:hAnsi="Times New Roman"/>
                <w:szCs w:val="21"/>
                <w:highlight w:val="none"/>
              </w:rPr>
              <w:t>名、测量专业</w:t>
            </w:r>
            <w:r>
              <w:rPr>
                <w:rFonts w:hint="eastAsia"/>
                <w:szCs w:val="21"/>
                <w:highlight w:val="none"/>
              </w:rPr>
              <w:t>工程师</w:t>
            </w:r>
            <w:r>
              <w:rPr>
                <w:rFonts w:hint="eastAsia" w:ascii="Times New Roman" w:hAnsi="Times New Roman"/>
                <w:szCs w:val="21"/>
                <w:highlight w:val="none"/>
              </w:rPr>
              <w:t>1名、材料专业</w:t>
            </w:r>
            <w:r>
              <w:rPr>
                <w:rFonts w:hint="eastAsia"/>
                <w:szCs w:val="21"/>
                <w:highlight w:val="none"/>
              </w:rPr>
              <w:t>工程师</w:t>
            </w:r>
            <w:r>
              <w:rPr>
                <w:rFonts w:hint="eastAsia" w:ascii="Times New Roman" w:hAnsi="Times New Roman"/>
                <w:szCs w:val="21"/>
                <w:highlight w:val="none"/>
              </w:rPr>
              <w:t>1名（上述人员不得兼任），以上各专业负责人具备对应专业工程师职称资格的，每人</w:t>
            </w:r>
            <w:r>
              <w:rPr>
                <w:rFonts w:hint="eastAsia"/>
                <w:szCs w:val="21"/>
                <w:highlight w:val="none"/>
              </w:rPr>
              <w:t>得0.2</w:t>
            </w:r>
            <w:r>
              <w:rPr>
                <w:rFonts w:hint="eastAsia" w:ascii="Times New Roman" w:hAnsi="Times New Roman"/>
                <w:szCs w:val="21"/>
                <w:highlight w:val="none"/>
              </w:rPr>
              <w:t>分；具备对应专业高级工程师（或以上）职称资格的，每人</w:t>
            </w:r>
            <w:r>
              <w:rPr>
                <w:rFonts w:hint="eastAsia"/>
                <w:szCs w:val="21"/>
                <w:highlight w:val="none"/>
              </w:rPr>
              <w:t>得0.5</w:t>
            </w:r>
            <w:r>
              <w:rPr>
                <w:rFonts w:hint="eastAsia" w:ascii="Times New Roman" w:hAnsi="Times New Roman"/>
                <w:szCs w:val="21"/>
                <w:highlight w:val="none"/>
              </w:rPr>
              <w:t>分</w:t>
            </w:r>
            <w:r>
              <w:rPr>
                <w:rFonts w:hint="eastAsia"/>
                <w:szCs w:val="21"/>
                <w:highlight w:val="none"/>
              </w:rPr>
              <w:t>；本项最多得3分。</w:t>
            </w:r>
          </w:p>
          <w:p>
            <w:pPr>
              <w:pStyle w:val="36"/>
              <w:ind w:left="0" w:leftChars="0" w:firstLine="0" w:firstLineChars="0"/>
              <w:rPr>
                <w:highlight w:val="none"/>
              </w:rPr>
            </w:pPr>
            <w:r>
              <w:rPr>
                <w:rFonts w:hint="eastAsia"/>
                <w:szCs w:val="21"/>
                <w:highlight w:val="none"/>
              </w:rPr>
              <w:t>注：提供职称证书</w:t>
            </w:r>
            <w:r>
              <w:rPr>
                <w:rFonts w:hint="eastAsia" w:hAnsi="宋体"/>
                <w:szCs w:val="21"/>
                <w:highlight w:val="none"/>
              </w:rPr>
              <w:t>扫描件</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1473" w:type="dxa"/>
            <w:vMerge w:val="restart"/>
            <w:vAlign w:val="center"/>
          </w:tcPr>
          <w:p>
            <w:pPr>
              <w:widowControl/>
              <w:numPr>
                <w:ilvl w:val="0"/>
                <w:numId w:val="7"/>
              </w:numPr>
              <w:spacing w:line="300" w:lineRule="exact"/>
              <w:jc w:val="center"/>
              <w:rPr>
                <w:rFonts w:ascii="宋体" w:hAnsi="宋体"/>
                <w:szCs w:val="21"/>
                <w:highlight w:val="none"/>
              </w:rPr>
            </w:pPr>
            <w:r>
              <w:rPr>
                <w:rFonts w:hint="eastAsia" w:ascii="宋体" w:hAnsi="宋体"/>
                <w:szCs w:val="21"/>
                <w:highlight w:val="none"/>
              </w:rPr>
              <w:t>企业资信</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（6分）</w:t>
            </w:r>
          </w:p>
        </w:tc>
        <w:tc>
          <w:tcPr>
            <w:tcW w:w="1820" w:type="dxa"/>
            <w:vAlign w:val="center"/>
          </w:tcPr>
          <w:p>
            <w:pPr>
              <w:tabs>
                <w:tab w:val="left" w:pos="360"/>
              </w:tabs>
              <w:snapToGrid w:val="0"/>
              <w:jc w:val="center"/>
              <w:rPr>
                <w:rFonts w:ascii="宋体" w:hAnsi="宋体" w:cs="宋体"/>
                <w:kern w:val="0"/>
                <w:szCs w:val="21"/>
                <w:highlight w:val="none"/>
              </w:rPr>
            </w:pPr>
            <w:r>
              <w:rPr>
                <w:rFonts w:hint="eastAsia" w:ascii="宋体" w:hAnsi="宋体" w:cs="宋体"/>
                <w:kern w:val="0"/>
                <w:szCs w:val="21"/>
                <w:highlight w:val="none"/>
              </w:rPr>
              <w:t>类似工程业绩</w:t>
            </w:r>
          </w:p>
        </w:tc>
        <w:tc>
          <w:tcPr>
            <w:tcW w:w="1111" w:type="dxa"/>
            <w:vAlign w:val="center"/>
          </w:tcPr>
          <w:p>
            <w:pPr>
              <w:tabs>
                <w:tab w:val="left" w:pos="360"/>
              </w:tabs>
              <w:snapToGrid w:val="0"/>
              <w:jc w:val="center"/>
              <w:rPr>
                <w:rFonts w:ascii="宋体" w:hAnsi="宋体" w:cs="宋体"/>
                <w:bCs/>
                <w:kern w:val="0"/>
                <w:szCs w:val="21"/>
                <w:highlight w:val="none"/>
                <w:lang w:bidi="ar"/>
              </w:rPr>
            </w:pPr>
            <w:r>
              <w:rPr>
                <w:rFonts w:hint="eastAsia" w:ascii="宋体" w:hAnsi="宋体" w:cs="宋体"/>
                <w:bCs/>
                <w:kern w:val="0"/>
                <w:szCs w:val="21"/>
                <w:highlight w:val="none"/>
                <w:lang w:bidi="ar"/>
              </w:rPr>
              <w:t>1.6</w:t>
            </w:r>
          </w:p>
        </w:tc>
        <w:tc>
          <w:tcPr>
            <w:tcW w:w="10369" w:type="dxa"/>
            <w:vAlign w:val="center"/>
          </w:tcPr>
          <w:p>
            <w:pPr>
              <w:rPr>
                <w:rFonts w:ascii="宋体" w:hAnsi="宋体" w:cs="宋体"/>
                <w:kern w:val="0"/>
                <w:szCs w:val="21"/>
                <w:highlight w:val="none"/>
              </w:rPr>
            </w:pPr>
            <w:r>
              <w:rPr>
                <w:rFonts w:hint="eastAsia" w:ascii="宋体" w:hAnsi="宋体" w:cs="宋体"/>
                <w:kern w:val="0"/>
                <w:szCs w:val="21"/>
                <w:highlight w:val="none"/>
              </w:rPr>
              <w:t>1、投标人自</w:t>
            </w:r>
            <w:r>
              <w:rPr>
                <w:rFonts w:hint="eastAsia" w:ascii="宋体" w:hAnsi="宋体" w:cs="宋体"/>
                <w:kern w:val="0"/>
                <w:szCs w:val="21"/>
                <w:highlight w:val="none"/>
                <w:lang w:eastAsia="zh-TW"/>
              </w:rPr>
              <w:t>20</w:t>
            </w:r>
            <w:r>
              <w:rPr>
                <w:rFonts w:hint="eastAsia" w:ascii="宋体" w:hAnsi="宋体" w:cs="宋体"/>
                <w:kern w:val="0"/>
                <w:szCs w:val="21"/>
                <w:highlight w:val="none"/>
              </w:rPr>
              <w:t>21年</w:t>
            </w:r>
            <w:r>
              <w:rPr>
                <w:rFonts w:hint="eastAsia" w:ascii="宋体" w:hAnsi="宋体" w:cs="宋体"/>
                <w:kern w:val="0"/>
                <w:szCs w:val="21"/>
                <w:highlight w:val="none"/>
                <w:lang w:eastAsia="zh-TW"/>
              </w:rPr>
              <w:t>1</w:t>
            </w:r>
            <w:r>
              <w:rPr>
                <w:rFonts w:hint="eastAsia" w:ascii="宋体" w:hAnsi="宋体" w:cs="宋体"/>
                <w:kern w:val="0"/>
                <w:szCs w:val="21"/>
                <w:highlight w:val="none"/>
              </w:rPr>
              <w:t>月</w:t>
            </w:r>
            <w:r>
              <w:rPr>
                <w:rFonts w:hint="eastAsia" w:ascii="宋体" w:hAnsi="宋体" w:cs="宋体"/>
                <w:kern w:val="0"/>
                <w:szCs w:val="21"/>
                <w:highlight w:val="none"/>
                <w:lang w:eastAsia="zh-TW"/>
              </w:rPr>
              <w:t>1</w:t>
            </w:r>
            <w:r>
              <w:rPr>
                <w:rFonts w:hint="eastAsia" w:ascii="宋体" w:hAnsi="宋体" w:cs="宋体"/>
                <w:kern w:val="0"/>
                <w:szCs w:val="21"/>
                <w:highlight w:val="none"/>
              </w:rPr>
              <w:t>日至投标截止日止，完成工程造价金额大于或等于1000万元的市政公用工程施工总承包业绩，每项得0.1分，最高得1.2分；</w:t>
            </w:r>
          </w:p>
          <w:p>
            <w:pPr>
              <w:pStyle w:val="36"/>
              <w:ind w:left="0" w:leftChars="0" w:firstLine="0" w:firstLineChars="0"/>
              <w:rPr>
                <w:rFonts w:ascii="宋体" w:hAnsi="宋体" w:cs="宋体"/>
                <w:kern w:val="0"/>
                <w:szCs w:val="21"/>
                <w:highlight w:val="none"/>
              </w:rPr>
            </w:pPr>
            <w:r>
              <w:rPr>
                <w:rFonts w:hint="eastAsia"/>
                <w:highlight w:val="none"/>
              </w:rPr>
              <w:t>2、</w:t>
            </w:r>
            <w:r>
              <w:rPr>
                <w:rFonts w:hint="eastAsia" w:ascii="宋体" w:hAnsi="宋体" w:cs="宋体"/>
                <w:kern w:val="0"/>
                <w:szCs w:val="21"/>
                <w:highlight w:val="none"/>
              </w:rPr>
              <w:t>投标人自</w:t>
            </w:r>
            <w:r>
              <w:rPr>
                <w:rFonts w:hint="eastAsia" w:ascii="宋体" w:hAnsi="宋体" w:cs="宋体"/>
                <w:kern w:val="0"/>
                <w:szCs w:val="21"/>
                <w:highlight w:val="none"/>
                <w:lang w:eastAsia="zh-TW"/>
              </w:rPr>
              <w:t>20</w:t>
            </w:r>
            <w:r>
              <w:rPr>
                <w:rFonts w:hint="eastAsia" w:ascii="宋体" w:hAnsi="宋体" w:cs="宋体"/>
                <w:kern w:val="0"/>
                <w:szCs w:val="21"/>
                <w:highlight w:val="none"/>
              </w:rPr>
              <w:t>21年</w:t>
            </w:r>
            <w:r>
              <w:rPr>
                <w:rFonts w:hint="eastAsia" w:ascii="宋体" w:hAnsi="宋体" w:cs="宋体"/>
                <w:kern w:val="0"/>
                <w:szCs w:val="21"/>
                <w:highlight w:val="none"/>
                <w:lang w:eastAsia="zh-TW"/>
              </w:rPr>
              <w:t>1</w:t>
            </w:r>
            <w:r>
              <w:rPr>
                <w:rFonts w:hint="eastAsia" w:ascii="宋体" w:hAnsi="宋体" w:cs="宋体"/>
                <w:kern w:val="0"/>
                <w:szCs w:val="21"/>
                <w:highlight w:val="none"/>
              </w:rPr>
              <w:t>月</w:t>
            </w:r>
            <w:r>
              <w:rPr>
                <w:rFonts w:hint="eastAsia" w:ascii="宋体" w:hAnsi="宋体" w:cs="宋体"/>
                <w:kern w:val="0"/>
                <w:szCs w:val="21"/>
                <w:highlight w:val="none"/>
                <w:lang w:eastAsia="zh-TW"/>
              </w:rPr>
              <w:t>1</w:t>
            </w:r>
            <w:r>
              <w:rPr>
                <w:rFonts w:hint="eastAsia" w:ascii="宋体" w:hAnsi="宋体" w:cs="宋体"/>
                <w:kern w:val="0"/>
                <w:szCs w:val="21"/>
                <w:highlight w:val="none"/>
              </w:rPr>
              <w:t>日至投标截止日止，完成单跨跨度</w:t>
            </w:r>
            <w:r>
              <w:rPr>
                <w:rFonts w:ascii="Arial" w:hAnsi="Arial" w:cs="Arial"/>
                <w:kern w:val="0"/>
                <w:szCs w:val="21"/>
                <w:highlight w:val="none"/>
              </w:rPr>
              <w:t>≥</w:t>
            </w:r>
            <w:r>
              <w:rPr>
                <w:rFonts w:hint="eastAsia" w:ascii="宋体" w:hAnsi="宋体" w:cs="宋体"/>
                <w:kern w:val="0"/>
                <w:szCs w:val="21"/>
                <w:highlight w:val="none"/>
              </w:rPr>
              <w:t>25米的市政公用工程业绩的每项得0.2分，最高得0.4分；</w:t>
            </w:r>
          </w:p>
          <w:p>
            <w:pPr>
              <w:pStyle w:val="36"/>
              <w:ind w:left="0" w:leftChars="0" w:firstLine="0" w:firstLineChars="0"/>
              <w:rPr>
                <w:highlight w:val="none"/>
              </w:rPr>
            </w:pPr>
            <w:r>
              <w:rPr>
                <w:rFonts w:hint="eastAsia" w:ascii="宋体" w:hAnsi="宋体" w:cs="宋体"/>
                <w:kern w:val="0"/>
                <w:szCs w:val="21"/>
                <w:highlight w:val="none"/>
              </w:rPr>
              <w:t>本项最高得1.6分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05" w:hRule="atLeast"/>
        </w:trPr>
        <w:tc>
          <w:tcPr>
            <w:tcW w:w="1473" w:type="dxa"/>
            <w:vMerge w:val="continue"/>
            <w:vAlign w:val="center"/>
          </w:tcPr>
          <w:p>
            <w:pPr>
              <w:widowControl/>
              <w:spacing w:line="300" w:lineRule="exact"/>
              <w:jc w:val="center"/>
              <w:rPr>
                <w:rFonts w:ascii="宋体" w:hAnsi="宋体" w:cs="宋体"/>
                <w:kern w:val="0"/>
                <w:szCs w:val="21"/>
                <w:highlight w:val="none"/>
              </w:rPr>
            </w:pPr>
          </w:p>
        </w:tc>
        <w:tc>
          <w:tcPr>
            <w:tcW w:w="1820" w:type="dxa"/>
            <w:vAlign w:val="center"/>
          </w:tcPr>
          <w:p>
            <w:pPr>
              <w:tabs>
                <w:tab w:val="left" w:pos="360"/>
              </w:tabs>
              <w:snapToGrid w:val="0"/>
              <w:jc w:val="center"/>
              <w:rPr>
                <w:rFonts w:ascii="宋体" w:hAnsi="宋体" w:cs="宋体"/>
                <w:kern w:val="0"/>
                <w:szCs w:val="21"/>
                <w:highlight w:val="none"/>
              </w:rPr>
            </w:pPr>
            <w:r>
              <w:rPr>
                <w:rFonts w:hint="eastAsia" w:ascii="宋体" w:hAnsi="宋体" w:cs="宋体"/>
                <w:kern w:val="0"/>
                <w:szCs w:val="21"/>
                <w:highlight w:val="none"/>
              </w:rPr>
              <w:t>工程获奖</w:t>
            </w:r>
          </w:p>
        </w:tc>
        <w:tc>
          <w:tcPr>
            <w:tcW w:w="1111" w:type="dxa"/>
            <w:vAlign w:val="center"/>
          </w:tcPr>
          <w:p>
            <w:pPr>
              <w:tabs>
                <w:tab w:val="left" w:pos="360"/>
              </w:tabs>
              <w:snapToGrid w:val="0"/>
              <w:jc w:val="center"/>
              <w:rPr>
                <w:rFonts w:ascii="宋体" w:hAnsi="宋体" w:cs="宋体"/>
                <w:bCs/>
                <w:kern w:val="0"/>
                <w:szCs w:val="21"/>
                <w:highlight w:val="none"/>
                <w:lang w:bidi="ar"/>
              </w:rPr>
            </w:pPr>
            <w:r>
              <w:rPr>
                <w:rFonts w:hint="eastAsia" w:ascii="宋体" w:hAnsi="宋体" w:cs="宋体"/>
                <w:bCs/>
                <w:kern w:val="0"/>
                <w:szCs w:val="21"/>
                <w:highlight w:val="none"/>
                <w:lang w:bidi="ar"/>
              </w:rPr>
              <w:t>1.2</w:t>
            </w:r>
          </w:p>
        </w:tc>
        <w:tc>
          <w:tcPr>
            <w:tcW w:w="10369" w:type="dxa"/>
            <w:vAlign w:val="center"/>
          </w:tcPr>
          <w:p>
            <w:pPr>
              <w:widowControl/>
              <w:ind w:right="134" w:rightChars="64"/>
              <w:jc w:val="left"/>
              <w:rPr>
                <w:rFonts w:ascii="宋体" w:hAnsi="宋体"/>
                <w:bCs/>
                <w:szCs w:val="21"/>
                <w:highlight w:val="none"/>
              </w:rPr>
            </w:pPr>
            <w:r>
              <w:rPr>
                <w:rFonts w:hint="eastAsia" w:ascii="宋体" w:hAnsi="宋体"/>
                <w:bCs/>
                <w:szCs w:val="21"/>
                <w:highlight w:val="none"/>
              </w:rPr>
              <w:t>投标人自2021年1月1日</w:t>
            </w:r>
            <w:r>
              <w:rPr>
                <w:rFonts w:hint="eastAsia" w:ascii="宋体" w:hAnsi="宋体" w:cs="宋体"/>
                <w:kern w:val="0"/>
                <w:szCs w:val="21"/>
                <w:highlight w:val="none"/>
              </w:rPr>
              <w:t>至投标截止日止</w:t>
            </w:r>
            <w:r>
              <w:rPr>
                <w:rFonts w:hint="eastAsia" w:ascii="宋体" w:hAnsi="宋体"/>
                <w:bCs/>
                <w:szCs w:val="21"/>
                <w:highlight w:val="none"/>
              </w:rPr>
              <w:t>，承建的市政公用工程项目获得过的工程质量奖项情况：</w:t>
            </w:r>
          </w:p>
          <w:p>
            <w:pPr>
              <w:widowControl/>
              <w:ind w:right="134" w:rightChars="64"/>
              <w:jc w:val="left"/>
              <w:rPr>
                <w:rFonts w:ascii="宋体" w:hAnsi="宋体"/>
                <w:bCs/>
                <w:szCs w:val="21"/>
                <w:highlight w:val="none"/>
              </w:rPr>
            </w:pPr>
            <w:r>
              <w:rPr>
                <w:rFonts w:hint="eastAsia" w:ascii="宋体" w:hAnsi="宋体"/>
                <w:bCs/>
                <w:szCs w:val="21"/>
                <w:highlight w:val="none"/>
              </w:rPr>
              <w:t>1、获得国家级工程质量奖项的，每个得0.3分；</w:t>
            </w:r>
          </w:p>
          <w:p>
            <w:pPr>
              <w:widowControl/>
              <w:ind w:right="134" w:rightChars="64"/>
              <w:jc w:val="left"/>
              <w:rPr>
                <w:rFonts w:ascii="宋体" w:hAnsi="宋体"/>
                <w:bCs/>
                <w:szCs w:val="21"/>
                <w:highlight w:val="none"/>
              </w:rPr>
            </w:pPr>
            <w:r>
              <w:rPr>
                <w:rFonts w:hint="eastAsia" w:ascii="宋体" w:hAnsi="宋体"/>
                <w:bCs/>
                <w:szCs w:val="21"/>
                <w:highlight w:val="none"/>
              </w:rPr>
              <w:t>2、获得省级工程质量奖项的，每个得0.2分，</w:t>
            </w:r>
          </w:p>
          <w:p>
            <w:pPr>
              <w:widowControl/>
              <w:ind w:right="134" w:rightChars="64"/>
              <w:jc w:val="left"/>
              <w:rPr>
                <w:rFonts w:ascii="宋体" w:hAnsi="宋体"/>
                <w:bCs/>
                <w:szCs w:val="21"/>
                <w:highlight w:val="none"/>
              </w:rPr>
            </w:pPr>
            <w:r>
              <w:rPr>
                <w:rFonts w:hint="eastAsia" w:ascii="宋体" w:hAnsi="宋体"/>
                <w:bCs/>
                <w:szCs w:val="21"/>
                <w:highlight w:val="none"/>
              </w:rPr>
              <w:t>3、获得市级工程质量奖项的，每个得0.1分；</w:t>
            </w:r>
          </w:p>
          <w:p>
            <w:pPr>
              <w:rPr>
                <w:highlight w:val="none"/>
              </w:rPr>
            </w:pPr>
            <w:r>
              <w:rPr>
                <w:rFonts w:hint="eastAsia" w:ascii="宋体" w:hAnsi="宋体"/>
                <w:bCs/>
                <w:szCs w:val="21"/>
                <w:highlight w:val="none"/>
              </w:rPr>
              <w:t>本项累计最高得1.2分。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2" w:hRule="atLeast"/>
        </w:trPr>
        <w:tc>
          <w:tcPr>
            <w:tcW w:w="1473" w:type="dxa"/>
            <w:vMerge w:val="continue"/>
            <w:vAlign w:val="center"/>
          </w:tcPr>
          <w:p>
            <w:pPr>
              <w:widowControl/>
              <w:spacing w:line="300" w:lineRule="exact"/>
              <w:jc w:val="center"/>
              <w:rPr>
                <w:rFonts w:ascii="宋体" w:hAnsi="宋体" w:cs="宋体"/>
                <w:kern w:val="0"/>
                <w:szCs w:val="21"/>
                <w:highlight w:val="none"/>
              </w:rPr>
            </w:pPr>
          </w:p>
        </w:tc>
        <w:tc>
          <w:tcPr>
            <w:tcW w:w="1820" w:type="dxa"/>
            <w:vAlign w:val="center"/>
          </w:tcPr>
          <w:p>
            <w:pPr>
              <w:tabs>
                <w:tab w:val="left" w:pos="360"/>
              </w:tabs>
              <w:snapToGrid w:val="0"/>
              <w:jc w:val="center"/>
              <w:rPr>
                <w:rFonts w:ascii="宋体" w:hAnsi="宋体" w:cs="宋体"/>
                <w:kern w:val="0"/>
                <w:szCs w:val="21"/>
                <w:highlight w:val="none"/>
              </w:rPr>
            </w:pPr>
            <w:r>
              <w:rPr>
                <w:rFonts w:hint="eastAsia" w:ascii="宋体" w:hAnsi="宋体" w:cs="宋体"/>
                <w:szCs w:val="21"/>
                <w:highlight w:val="none"/>
              </w:rPr>
              <w:t>工程研发能力</w:t>
            </w:r>
          </w:p>
        </w:tc>
        <w:tc>
          <w:tcPr>
            <w:tcW w:w="1111" w:type="dxa"/>
            <w:vAlign w:val="center"/>
          </w:tcPr>
          <w:p>
            <w:pPr>
              <w:tabs>
                <w:tab w:val="left" w:pos="360"/>
              </w:tabs>
              <w:snapToGrid w:val="0"/>
              <w:jc w:val="center"/>
              <w:rPr>
                <w:rFonts w:ascii="宋体" w:hAnsi="宋体" w:cs="宋体"/>
                <w:bCs/>
                <w:kern w:val="0"/>
                <w:szCs w:val="21"/>
                <w:highlight w:val="none"/>
              </w:rPr>
            </w:pPr>
            <w:r>
              <w:rPr>
                <w:rFonts w:hint="eastAsia" w:ascii="宋体" w:hAnsi="宋体" w:cs="宋体"/>
                <w:bCs/>
                <w:kern w:val="0"/>
                <w:szCs w:val="21"/>
                <w:highlight w:val="none"/>
                <w:lang w:bidi="ar"/>
              </w:rPr>
              <w:t>0.8</w:t>
            </w:r>
          </w:p>
        </w:tc>
        <w:tc>
          <w:tcPr>
            <w:tcW w:w="10369" w:type="dxa"/>
            <w:vAlign w:val="center"/>
          </w:tcPr>
          <w:p>
            <w:pPr>
              <w:adjustRightInd w:val="0"/>
              <w:snapToGrid w:val="0"/>
              <w:rPr>
                <w:rFonts w:ascii="宋体" w:hAnsi="宋体" w:cs="宋体"/>
                <w:szCs w:val="21"/>
                <w:highlight w:val="none"/>
              </w:rPr>
            </w:pPr>
            <w:r>
              <w:rPr>
                <w:rFonts w:hint="eastAsia" w:ascii="宋体" w:hAnsi="宋体" w:cs="宋体"/>
                <w:szCs w:val="21"/>
                <w:highlight w:val="none"/>
              </w:rPr>
              <w:t>投标人自2021年1月1日</w:t>
            </w:r>
            <w:r>
              <w:rPr>
                <w:rFonts w:hint="eastAsia" w:ascii="宋体" w:hAnsi="宋体" w:cs="宋体"/>
                <w:kern w:val="0"/>
                <w:szCs w:val="21"/>
                <w:highlight w:val="none"/>
              </w:rPr>
              <w:t>至投标截止日止</w:t>
            </w:r>
            <w:r>
              <w:rPr>
                <w:rFonts w:hint="eastAsia" w:ascii="宋体" w:hAnsi="宋体" w:cs="宋体"/>
                <w:szCs w:val="21"/>
                <w:highlight w:val="none"/>
              </w:rPr>
              <w:t>作为主要完成单位获得过省级（或以上）市政类工法奖项情况，每项得0.1分，最高得0.8分；不满足上述情况的，不得分。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trPr>
        <w:tc>
          <w:tcPr>
            <w:tcW w:w="1473" w:type="dxa"/>
            <w:vMerge w:val="continue"/>
            <w:vAlign w:val="center"/>
          </w:tcPr>
          <w:p>
            <w:pPr>
              <w:widowControl/>
              <w:spacing w:line="300" w:lineRule="exact"/>
              <w:jc w:val="center"/>
              <w:rPr>
                <w:rFonts w:ascii="宋体" w:hAnsi="宋体" w:cs="宋体"/>
                <w:kern w:val="0"/>
                <w:szCs w:val="21"/>
                <w:highlight w:val="none"/>
              </w:rPr>
            </w:pPr>
          </w:p>
        </w:tc>
        <w:tc>
          <w:tcPr>
            <w:tcW w:w="1820" w:type="dxa"/>
            <w:vMerge w:val="restart"/>
            <w:vAlign w:val="center"/>
          </w:tcPr>
          <w:p>
            <w:pPr>
              <w:tabs>
                <w:tab w:val="left" w:pos="360"/>
              </w:tabs>
              <w:snapToGrid w:val="0"/>
              <w:jc w:val="center"/>
              <w:rPr>
                <w:rFonts w:ascii="宋体" w:hAnsi="宋体" w:cs="宋体"/>
                <w:szCs w:val="21"/>
                <w:highlight w:val="none"/>
              </w:rPr>
            </w:pPr>
            <w:r>
              <w:rPr>
                <w:rFonts w:hint="eastAsia" w:ascii="宋体" w:hAnsi="宋体" w:cs="宋体"/>
                <w:szCs w:val="21"/>
                <w:highlight w:val="none"/>
              </w:rPr>
              <w:t>第三方评价</w:t>
            </w:r>
          </w:p>
        </w:tc>
        <w:tc>
          <w:tcPr>
            <w:tcW w:w="1111" w:type="dxa"/>
            <w:vAlign w:val="center"/>
          </w:tcPr>
          <w:p>
            <w:pPr>
              <w:tabs>
                <w:tab w:val="left" w:pos="360"/>
              </w:tabs>
              <w:snapToGrid w:val="0"/>
              <w:jc w:val="center"/>
              <w:rPr>
                <w:rFonts w:ascii="宋体" w:hAnsi="宋体" w:cs="宋体"/>
                <w:bCs/>
                <w:kern w:val="0"/>
                <w:szCs w:val="21"/>
                <w:highlight w:val="none"/>
                <w:lang w:bidi="ar"/>
              </w:rPr>
            </w:pPr>
            <w:r>
              <w:rPr>
                <w:rFonts w:hint="eastAsia" w:ascii="宋体" w:hAnsi="宋体" w:cs="宋体"/>
                <w:bCs/>
                <w:kern w:val="0"/>
                <w:szCs w:val="21"/>
                <w:highlight w:val="none"/>
                <w:lang w:bidi="ar"/>
              </w:rPr>
              <w:t>0.6</w:t>
            </w:r>
          </w:p>
        </w:tc>
        <w:tc>
          <w:tcPr>
            <w:tcW w:w="10369" w:type="dxa"/>
            <w:vAlign w:val="center"/>
          </w:tcPr>
          <w:p>
            <w:pPr>
              <w:adjustRightInd w:val="0"/>
              <w:snapToGrid w:val="0"/>
              <w:rPr>
                <w:highlight w:val="none"/>
                <w:lang w:val="zh-TW"/>
              </w:rPr>
            </w:pPr>
            <w:r>
              <w:rPr>
                <w:rFonts w:hint="eastAsia" w:ascii="宋体" w:hAnsi="宋体" w:cs="宋体"/>
                <w:szCs w:val="21"/>
                <w:highlight w:val="none"/>
              </w:rPr>
              <w:t>投标人自2021年1月1日</w:t>
            </w:r>
            <w:r>
              <w:rPr>
                <w:rFonts w:hint="eastAsia" w:ascii="宋体" w:hAnsi="宋体" w:cs="宋体"/>
                <w:kern w:val="0"/>
                <w:szCs w:val="21"/>
                <w:highlight w:val="none"/>
              </w:rPr>
              <w:t>至投标截止日止</w:t>
            </w:r>
            <w:r>
              <w:rPr>
                <w:rFonts w:hint="eastAsia" w:ascii="宋体" w:hAnsi="宋体" w:cs="宋体"/>
                <w:szCs w:val="21"/>
                <w:highlight w:val="none"/>
              </w:rPr>
              <w:t>获得过中国建筑业协会或中国市政工程协会颁发的诚信评价AAA级或信用等级评价AAA级，获得过4次或以上的，得0.6分；获得过2-3次的，得0.3分；获得过1次的得0.1分；本项最多得0.6分。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trPr>
        <w:tc>
          <w:tcPr>
            <w:tcW w:w="1473" w:type="dxa"/>
            <w:vMerge w:val="continue"/>
            <w:vAlign w:val="center"/>
          </w:tcPr>
          <w:p>
            <w:pPr>
              <w:widowControl/>
              <w:spacing w:line="300" w:lineRule="exact"/>
              <w:jc w:val="center"/>
              <w:rPr>
                <w:rFonts w:ascii="宋体" w:hAnsi="宋体" w:cs="宋体"/>
                <w:kern w:val="0"/>
                <w:szCs w:val="21"/>
                <w:highlight w:val="none"/>
              </w:rPr>
            </w:pPr>
          </w:p>
        </w:tc>
        <w:tc>
          <w:tcPr>
            <w:tcW w:w="1820" w:type="dxa"/>
            <w:vMerge w:val="continue"/>
            <w:vAlign w:val="center"/>
          </w:tcPr>
          <w:p>
            <w:pPr>
              <w:tabs>
                <w:tab w:val="left" w:pos="360"/>
              </w:tabs>
              <w:snapToGrid w:val="0"/>
              <w:jc w:val="center"/>
              <w:rPr>
                <w:rFonts w:ascii="宋体" w:hAnsi="宋体" w:cs="宋体"/>
                <w:szCs w:val="21"/>
                <w:highlight w:val="none"/>
              </w:rPr>
            </w:pPr>
          </w:p>
        </w:tc>
        <w:tc>
          <w:tcPr>
            <w:tcW w:w="1111" w:type="dxa"/>
            <w:vAlign w:val="center"/>
          </w:tcPr>
          <w:p>
            <w:pPr>
              <w:tabs>
                <w:tab w:val="left" w:pos="360"/>
              </w:tabs>
              <w:snapToGrid w:val="0"/>
              <w:jc w:val="center"/>
              <w:rPr>
                <w:rFonts w:ascii="宋体" w:hAnsi="宋体" w:cs="宋体"/>
                <w:bCs/>
                <w:kern w:val="0"/>
                <w:szCs w:val="21"/>
                <w:highlight w:val="none"/>
                <w:lang w:bidi="ar"/>
              </w:rPr>
            </w:pPr>
            <w:r>
              <w:rPr>
                <w:rFonts w:hint="eastAsia" w:ascii="宋体" w:hAnsi="宋体" w:cs="宋体"/>
                <w:bCs/>
                <w:kern w:val="0"/>
                <w:szCs w:val="21"/>
                <w:highlight w:val="none"/>
                <w:lang w:bidi="ar"/>
              </w:rPr>
              <w:t>0.6</w:t>
            </w:r>
          </w:p>
        </w:tc>
        <w:tc>
          <w:tcPr>
            <w:tcW w:w="10369" w:type="dxa"/>
            <w:vAlign w:val="center"/>
          </w:tcPr>
          <w:p>
            <w:pPr>
              <w:adjustRightInd w:val="0"/>
              <w:snapToGrid w:val="0"/>
              <w:rPr>
                <w:rFonts w:ascii="宋体" w:hAnsi="宋体" w:cs="宋体"/>
                <w:szCs w:val="21"/>
                <w:highlight w:val="none"/>
              </w:rPr>
            </w:pPr>
            <w:r>
              <w:rPr>
                <w:rFonts w:hint="eastAsia" w:ascii="宋体" w:hAnsi="宋体" w:cs="宋体"/>
                <w:szCs w:val="21"/>
                <w:highlight w:val="none"/>
              </w:rPr>
              <w:t>投标人自本项目招标公告发布日往前算连续获得“工程建设诚信典型企业”称号进行评分：</w:t>
            </w:r>
          </w:p>
          <w:p>
            <w:pPr>
              <w:adjustRightInd w:val="0"/>
              <w:snapToGrid w:val="0"/>
              <w:rPr>
                <w:rFonts w:ascii="宋体" w:hAnsi="宋体" w:cs="宋体"/>
                <w:szCs w:val="21"/>
                <w:highlight w:val="none"/>
              </w:rPr>
            </w:pPr>
            <w:r>
              <w:rPr>
                <w:rFonts w:hint="eastAsia" w:ascii="宋体" w:hAnsi="宋体" w:cs="宋体"/>
                <w:szCs w:val="21"/>
                <w:highlight w:val="none"/>
              </w:rPr>
              <w:t>（1）连续四个年度（含最近一个评审年度）获得“工程建设诚信典型企业”称号，得0.6分；</w:t>
            </w:r>
          </w:p>
          <w:p>
            <w:pPr>
              <w:adjustRightInd w:val="0"/>
              <w:snapToGrid w:val="0"/>
              <w:rPr>
                <w:rFonts w:ascii="宋体" w:hAnsi="宋体" w:cs="宋体"/>
                <w:szCs w:val="21"/>
                <w:highlight w:val="none"/>
              </w:rPr>
            </w:pPr>
            <w:r>
              <w:rPr>
                <w:rFonts w:hint="eastAsia" w:ascii="宋体" w:hAnsi="宋体" w:cs="宋体"/>
                <w:szCs w:val="21"/>
                <w:highlight w:val="none"/>
              </w:rPr>
              <w:t>（2）连续三个年度（含最近一个评审年度）获得“工程建设诚信典型企业”称号，得0.3分；</w:t>
            </w:r>
          </w:p>
          <w:p>
            <w:pPr>
              <w:adjustRightInd w:val="0"/>
              <w:snapToGrid w:val="0"/>
              <w:rPr>
                <w:rFonts w:ascii="宋体" w:hAnsi="宋体" w:cs="宋体"/>
                <w:szCs w:val="21"/>
                <w:highlight w:val="none"/>
              </w:rPr>
            </w:pPr>
            <w:r>
              <w:rPr>
                <w:rFonts w:hint="eastAsia" w:ascii="宋体" w:hAnsi="宋体" w:cs="宋体"/>
                <w:szCs w:val="21"/>
                <w:highlight w:val="none"/>
              </w:rPr>
              <w:t>（3）连续两个年度（含最近一个评审年度）获得“工程建设诚信典型企业”称号，得0.2分；</w:t>
            </w:r>
          </w:p>
          <w:p>
            <w:pPr>
              <w:adjustRightInd w:val="0"/>
              <w:snapToGrid w:val="0"/>
              <w:rPr>
                <w:rFonts w:ascii="宋体" w:hAnsi="宋体" w:cs="宋体"/>
                <w:szCs w:val="21"/>
                <w:highlight w:val="none"/>
              </w:rPr>
            </w:pPr>
            <w:r>
              <w:rPr>
                <w:rFonts w:hint="eastAsia" w:ascii="宋体" w:hAnsi="宋体" w:cs="宋体"/>
                <w:szCs w:val="21"/>
                <w:highlight w:val="none"/>
              </w:rPr>
              <w:t>（4）一个年度（含最近一个评审年度）获得“工程建设诚信典型企业”称号，得0.1分；</w:t>
            </w:r>
          </w:p>
          <w:p>
            <w:pPr>
              <w:adjustRightInd w:val="0"/>
              <w:snapToGrid w:val="0"/>
              <w:rPr>
                <w:rFonts w:ascii="宋体" w:hAnsi="宋体" w:cs="宋体"/>
                <w:szCs w:val="21"/>
                <w:highlight w:val="none"/>
              </w:rPr>
            </w:pPr>
            <w:r>
              <w:rPr>
                <w:rFonts w:hint="eastAsia" w:ascii="宋体" w:hAnsi="宋体" w:cs="宋体"/>
                <w:szCs w:val="21"/>
                <w:highlight w:val="none"/>
              </w:rPr>
              <w:t>其他不得分。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5" w:hRule="atLeast"/>
        </w:trPr>
        <w:tc>
          <w:tcPr>
            <w:tcW w:w="1473" w:type="dxa"/>
            <w:vMerge w:val="continue"/>
            <w:vAlign w:val="center"/>
          </w:tcPr>
          <w:p>
            <w:pPr>
              <w:widowControl/>
              <w:spacing w:line="300" w:lineRule="exact"/>
              <w:jc w:val="center"/>
              <w:rPr>
                <w:rFonts w:ascii="宋体" w:hAnsi="宋体" w:cs="宋体"/>
                <w:kern w:val="0"/>
                <w:szCs w:val="21"/>
                <w:highlight w:val="none"/>
              </w:rPr>
            </w:pPr>
          </w:p>
        </w:tc>
        <w:tc>
          <w:tcPr>
            <w:tcW w:w="1820" w:type="dxa"/>
            <w:vAlign w:val="center"/>
          </w:tcPr>
          <w:p>
            <w:pPr>
              <w:tabs>
                <w:tab w:val="left" w:pos="360"/>
              </w:tabs>
              <w:snapToGrid w:val="0"/>
              <w:jc w:val="center"/>
              <w:rPr>
                <w:rFonts w:ascii="宋体" w:hAnsi="宋体" w:cs="宋体"/>
                <w:szCs w:val="21"/>
                <w:highlight w:val="none"/>
              </w:rPr>
            </w:pPr>
            <w:r>
              <w:rPr>
                <w:rFonts w:hint="eastAsia" w:ascii="宋体" w:hAnsi="宋体" w:cs="宋体"/>
                <w:szCs w:val="21"/>
                <w:highlight w:val="none"/>
              </w:rPr>
              <w:t>财务指标</w:t>
            </w:r>
          </w:p>
        </w:tc>
        <w:tc>
          <w:tcPr>
            <w:tcW w:w="1111" w:type="dxa"/>
            <w:vAlign w:val="center"/>
          </w:tcPr>
          <w:p>
            <w:pPr>
              <w:tabs>
                <w:tab w:val="left" w:pos="360"/>
              </w:tabs>
              <w:snapToGrid w:val="0"/>
              <w:jc w:val="center"/>
              <w:rPr>
                <w:rFonts w:ascii="宋体" w:hAnsi="宋体" w:cs="宋体"/>
                <w:bCs/>
                <w:kern w:val="0"/>
                <w:szCs w:val="21"/>
                <w:highlight w:val="none"/>
              </w:rPr>
            </w:pPr>
            <w:r>
              <w:rPr>
                <w:rFonts w:hint="eastAsia" w:ascii="宋体" w:hAnsi="宋体" w:cs="宋体"/>
                <w:bCs/>
                <w:kern w:val="0"/>
                <w:szCs w:val="21"/>
                <w:highlight w:val="none"/>
                <w:lang w:bidi="ar"/>
              </w:rPr>
              <w:t>1.2</w:t>
            </w:r>
          </w:p>
        </w:tc>
        <w:tc>
          <w:tcPr>
            <w:tcW w:w="10369" w:type="dxa"/>
            <w:vAlign w:val="center"/>
          </w:tcPr>
          <w:p>
            <w:pPr>
              <w:pStyle w:val="2"/>
              <w:rPr>
                <w:rFonts w:hAnsi="宋体" w:cs="宋体"/>
                <w:szCs w:val="21"/>
                <w:highlight w:val="none"/>
              </w:rPr>
            </w:pPr>
            <w:r>
              <w:rPr>
                <w:rFonts w:hint="eastAsia" w:hAnsi="宋体" w:cs="宋体"/>
                <w:szCs w:val="21"/>
                <w:highlight w:val="none"/>
              </w:rPr>
              <w:t>投标人近三年财务指标情况：</w:t>
            </w:r>
          </w:p>
          <w:p>
            <w:pPr>
              <w:pStyle w:val="2"/>
              <w:rPr>
                <w:rFonts w:hAnsi="宋体" w:cs="宋体"/>
                <w:szCs w:val="21"/>
                <w:highlight w:val="none"/>
              </w:rPr>
            </w:pPr>
            <w:r>
              <w:rPr>
                <w:rFonts w:hint="eastAsia" w:hAnsi="宋体" w:cs="宋体"/>
                <w:szCs w:val="21"/>
                <w:highlight w:val="none"/>
              </w:rPr>
              <w:t>1、近三年的资产负债率平均值在50%以下区间的，得1.2分；</w:t>
            </w:r>
          </w:p>
          <w:p>
            <w:pPr>
              <w:pStyle w:val="2"/>
              <w:rPr>
                <w:rFonts w:hAnsi="宋体" w:cs="宋体"/>
                <w:szCs w:val="21"/>
                <w:highlight w:val="none"/>
              </w:rPr>
            </w:pPr>
            <w:r>
              <w:rPr>
                <w:rFonts w:hint="eastAsia" w:hAnsi="宋体" w:cs="宋体"/>
                <w:szCs w:val="21"/>
                <w:highlight w:val="none"/>
              </w:rPr>
              <w:t>2、近三年的资产负债率平均值在50%—60%的，得0.6分；</w:t>
            </w:r>
          </w:p>
          <w:p>
            <w:pPr>
              <w:pStyle w:val="2"/>
              <w:rPr>
                <w:rFonts w:hAnsi="宋体" w:cs="宋体"/>
                <w:szCs w:val="21"/>
                <w:highlight w:val="none"/>
              </w:rPr>
            </w:pPr>
            <w:r>
              <w:rPr>
                <w:rFonts w:hint="eastAsia" w:hAnsi="宋体" w:cs="宋体"/>
                <w:szCs w:val="21"/>
                <w:highlight w:val="none"/>
              </w:rPr>
              <w:t>3、近三年的资产负债率平均值在60%及以上的，得0.3分；</w:t>
            </w:r>
          </w:p>
          <w:p>
            <w:pPr>
              <w:widowControl/>
              <w:spacing w:line="280" w:lineRule="exact"/>
              <w:rPr>
                <w:rFonts w:ascii="宋体" w:hAnsi="宋体" w:cs="宋体"/>
                <w:szCs w:val="21"/>
                <w:highlight w:val="none"/>
                <w:lang w:val="zh-TW"/>
              </w:rPr>
            </w:pPr>
            <w:r>
              <w:rPr>
                <w:rFonts w:hint="eastAsia" w:ascii="宋体" w:hAnsi="宋体" w:cs="宋体"/>
                <w:szCs w:val="21"/>
                <w:highlight w:val="none"/>
              </w:rPr>
              <w:t>不满足上述情况的，不得分。</w:t>
            </w:r>
          </w:p>
        </w:tc>
      </w:tr>
    </w:tbl>
    <w:p>
      <w:pPr>
        <w:rPr>
          <w:rFonts w:ascii="宋体" w:hAnsi="宋体"/>
          <w:szCs w:val="21"/>
          <w:highlight w:val="none"/>
        </w:rPr>
      </w:pPr>
      <w:r>
        <w:rPr>
          <w:rFonts w:hint="eastAsia" w:ascii="宋体" w:hAnsi="宋体"/>
          <w:szCs w:val="21"/>
          <w:highlight w:val="none"/>
        </w:rPr>
        <w:t>注：</w:t>
      </w:r>
    </w:p>
    <w:p>
      <w:pPr>
        <w:spacing w:line="360" w:lineRule="auto"/>
        <w:rPr>
          <w:rFonts w:ascii="宋体" w:hAnsi="宋体"/>
          <w:highlight w:val="none"/>
        </w:rPr>
      </w:pPr>
      <w:r>
        <w:rPr>
          <w:rFonts w:hint="eastAsia" w:ascii="宋体" w:hAnsi="宋体"/>
          <w:szCs w:val="21"/>
          <w:highlight w:val="none"/>
        </w:rPr>
        <w:t>1、</w:t>
      </w:r>
      <w:r>
        <w:rPr>
          <w:rFonts w:hint="eastAsia" w:ascii="宋体" w:hAnsi="宋体" w:cs="宋体"/>
          <w:b/>
          <w:bCs/>
          <w:szCs w:val="21"/>
          <w:highlight w:val="none"/>
        </w:rPr>
        <w:t>项目管理机构能力：</w:t>
      </w:r>
      <w:r>
        <w:rPr>
          <w:rFonts w:hint="eastAsia" w:ascii="宋体" w:hAnsi="宋体"/>
          <w:szCs w:val="21"/>
          <w:highlight w:val="none"/>
        </w:rPr>
        <w:t>上述人员需提供身份证、职称证书及相关证书（如有）扫描件。各岗位人员不得相互兼职。除须提供相关证明资料外，还须提供近一个月（即2024年3月）在投标人单位参保的社保缴纳记录证明扫描件（若当地政府部门允许企业在疫情期间缓缴社会保险费且投标人未缴纳的，投标人可提供当地政府部门允许缓缴社保的相关文件作为缴纳社保的证明，确定中标人后，招标人将核实中标人拟派人员的社保补缴情况），</w:t>
      </w:r>
      <w:r>
        <w:rPr>
          <w:rFonts w:hint="eastAsia" w:ascii="宋体" w:hAnsi="宋体"/>
          <w:highlight w:val="none"/>
        </w:rPr>
        <w:t>未提供或提供资料不全的不得分；</w:t>
      </w:r>
      <w:r>
        <w:rPr>
          <w:rFonts w:hint="eastAsia"/>
          <w:highlight w:val="none"/>
        </w:rPr>
        <w:t>投标人提供的相关人员职称证书应为人社部门或人社部门授权机构或人社部门认可机构或经人社部门备案机构颁发，其他机构颁发的职称证书将不予认可。</w:t>
      </w:r>
    </w:p>
    <w:p>
      <w:pPr>
        <w:widowControl/>
        <w:adjustRightInd w:val="0"/>
        <w:snapToGrid w:val="0"/>
        <w:spacing w:line="360" w:lineRule="auto"/>
        <w:jc w:val="left"/>
        <w:rPr>
          <w:rFonts w:ascii="宋体" w:hAnsi="宋体" w:cs="宋体"/>
          <w:szCs w:val="21"/>
          <w:highlight w:val="none"/>
        </w:rPr>
      </w:pPr>
      <w:r>
        <w:rPr>
          <w:rFonts w:hint="eastAsia" w:ascii="宋体" w:hAnsi="宋体" w:cs="宋体"/>
          <w:b/>
          <w:bCs/>
          <w:szCs w:val="21"/>
          <w:highlight w:val="none"/>
        </w:rPr>
        <w:t>2、企业、项目负责人及技术负责人类似工程业绩：</w:t>
      </w:r>
      <w:r>
        <w:rPr>
          <w:rFonts w:hint="eastAsia" w:ascii="宋体" w:hAnsi="宋体" w:cs="宋体"/>
          <w:szCs w:val="21"/>
          <w:highlight w:val="none"/>
        </w:rPr>
        <w:t>业绩需提供相关证明材料，跨度证明材料可提供招标公告截图或图纸资料。（1）须同时提供业绩的中标通知书或免招标的相关证明、施工合同（不含补充合同）、竣工验收证明文件（验收文件至少具有建设单位、设计、施工和监理单位盖章）。完成时间以竣工验收证明材料为准。业绩金额以中标通知书为准，若中标通知书没有显示中标金额或免招标的，以施工合同（不含补充合同）为准。（2）同时提供全国建筑市场监管公共服务平台（网址：</w:t>
      </w:r>
      <w:r>
        <w:rPr>
          <w:highlight w:val="none"/>
        </w:rPr>
        <w:fldChar w:fldCharType="begin"/>
      </w:r>
      <w:r>
        <w:rPr>
          <w:highlight w:val="none"/>
        </w:rPr>
        <w:instrText xml:space="preserve"> HYPERLINK "https://jzsc.mohurd.gov.cn/home）项目详情中包含“工程基本信息”的信息截图（或网页打印件），否则不得分。不符合上述条件或提供的资料不齐全的业绩不予评审。" </w:instrText>
      </w:r>
      <w:r>
        <w:rPr>
          <w:highlight w:val="none"/>
        </w:rPr>
        <w:fldChar w:fldCharType="separate"/>
      </w:r>
      <w:r>
        <w:rPr>
          <w:rStyle w:val="45"/>
          <w:rFonts w:hint="eastAsia" w:ascii="宋体" w:hAnsi="宋体" w:cs="宋体"/>
          <w:szCs w:val="21"/>
          <w:highlight w:val="none"/>
        </w:rPr>
        <w:t>https://jzsc.mohurd.gov.cn/home）项目详情中包含“工程基本信息”的信息截图（或网页打印件），否则不得分。不符合上述条件或提供的资料不齐全的业绩不予评审。</w:t>
      </w:r>
      <w:r>
        <w:rPr>
          <w:rStyle w:val="45"/>
          <w:rFonts w:hint="eastAsia" w:ascii="宋体" w:hAnsi="宋体" w:cs="宋体"/>
          <w:szCs w:val="21"/>
          <w:highlight w:val="none"/>
        </w:rPr>
        <w:fldChar w:fldCharType="end"/>
      </w:r>
      <w:r>
        <w:rPr>
          <w:rFonts w:hint="eastAsia" w:ascii="宋体" w:hAnsi="宋体" w:cs="宋体"/>
          <w:szCs w:val="21"/>
          <w:highlight w:val="none"/>
        </w:rPr>
        <w:t>(3)对同一项目业绩满足两个指标要求，只计算一次得分，优先按最高分值计算。</w:t>
      </w:r>
    </w:p>
    <w:p>
      <w:pPr>
        <w:widowControl/>
        <w:adjustRightInd w:val="0"/>
        <w:snapToGrid w:val="0"/>
        <w:spacing w:line="360" w:lineRule="auto"/>
        <w:jc w:val="left"/>
        <w:rPr>
          <w:rFonts w:ascii="宋体" w:hAnsi="宋体" w:cs="宋体"/>
          <w:szCs w:val="21"/>
          <w:highlight w:val="none"/>
        </w:rPr>
      </w:pPr>
      <w:r>
        <w:rPr>
          <w:rFonts w:hint="eastAsia" w:ascii="宋体" w:hAnsi="宋体" w:cs="宋体"/>
          <w:b/>
          <w:bCs/>
          <w:szCs w:val="21"/>
          <w:highlight w:val="none"/>
        </w:rPr>
        <w:t>3、工程获奖：</w:t>
      </w:r>
      <w:r>
        <w:rPr>
          <w:rFonts w:hint="eastAsia" w:ascii="宋体" w:hAnsi="宋体" w:cs="宋体"/>
          <w:szCs w:val="21"/>
          <w:highlight w:val="none"/>
        </w:rPr>
        <w:t>奖项须为市政公用工程获得的质量奖项，需提供奖项证书原件清晰扫描件，时间以奖项证书发证时间为准，奖项只计算承建单位，不含参建单位，境外工程项目不参与计算。其中国家级奖项包括：中国建设工程鲁班奖、国家优质工程（金质奖）、国家优质工程（银质奖）、国家优质工程奖、中国土木工程詹天佑奖、全国市政金杯示范工程奖，省或市级奖项：指由省、市级建设行政主管部门或其主管的行业协会颁发的工程质量奖项，</w:t>
      </w:r>
      <w:r>
        <w:rPr>
          <w:rFonts w:hint="eastAsia" w:ascii="宋体" w:cs="宋体"/>
          <w:szCs w:val="21"/>
          <w:highlight w:val="none"/>
        </w:rPr>
        <w:t>不包含安全文明示范工地、技术创新、QC成果、科技进步及技术应用类等奖项。</w:t>
      </w:r>
      <w:r>
        <w:rPr>
          <w:rFonts w:hint="eastAsia" w:ascii="宋体" w:hAnsi="宋体" w:cs="宋体"/>
          <w:szCs w:val="21"/>
          <w:highlight w:val="none"/>
        </w:rPr>
        <w:t>如提供相关行业协会颁发的获奖证书，则须同时提供该行业协会在“中国社会组织公共服务平台”（网址：</w:t>
      </w:r>
      <w:r>
        <w:rPr>
          <w:highlight w:val="none"/>
        </w:rPr>
        <w:fldChar w:fldCharType="begin"/>
      </w:r>
      <w:r>
        <w:rPr>
          <w:highlight w:val="none"/>
        </w:rPr>
        <w:instrText xml:space="preserve"> HYPERLINK "https://chinanpo.mca.gov.cn/）的登记的网页查询截图，证明其有登记备案，否则不得分。只计算投标人自身（不含投标人的子公司或分公司）。前述评审须包含最新评价（评定）年度即2021年度，不满足上述要求或无提交上述资料不得分。" </w:instrText>
      </w:r>
      <w:r>
        <w:rPr>
          <w:highlight w:val="none"/>
        </w:rPr>
        <w:fldChar w:fldCharType="separate"/>
      </w:r>
      <w:r>
        <w:rPr>
          <w:rFonts w:hint="eastAsia" w:ascii="宋体" w:hAnsi="宋体" w:cs="宋体"/>
          <w:szCs w:val="21"/>
          <w:highlight w:val="none"/>
        </w:rPr>
        <w:t>https://chinanpo.mca.gov.cn/）的登记的网页查询截图，证明其有登记备案，否则不得分</w:t>
      </w:r>
      <w:r>
        <w:rPr>
          <w:rFonts w:hint="eastAsia" w:ascii="宋体" w:hAnsi="宋体" w:cs="宋体"/>
          <w:szCs w:val="21"/>
          <w:highlight w:val="none"/>
        </w:rPr>
        <w:fldChar w:fldCharType="end"/>
      </w:r>
      <w:r>
        <w:rPr>
          <w:rFonts w:hint="eastAsia" w:ascii="宋体" w:hAnsi="宋体" w:cs="宋体"/>
          <w:szCs w:val="21"/>
          <w:highlight w:val="none"/>
        </w:rPr>
        <w:t>。只计算市政公用工程施工项目获奖得分（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同一项目按最高级别奖项只计一次得分。没有提供上述证明材料或不符合条件的奖项不计分。</w:t>
      </w:r>
      <w:r>
        <w:rPr>
          <w:rFonts w:hint="eastAsia" w:ascii="宋体" w:hAnsi="宋体" w:cs="宋体"/>
          <w:szCs w:val="21"/>
          <w:highlight w:val="none"/>
        </w:rPr>
        <w:br w:type="textWrapping"/>
      </w:r>
      <w:r>
        <w:rPr>
          <w:rFonts w:hint="eastAsia" w:ascii="宋体" w:hAnsi="宋体" w:cs="宋体"/>
          <w:szCs w:val="21"/>
          <w:highlight w:val="none"/>
        </w:rPr>
        <w:t xml:space="preserve">    </w:t>
      </w:r>
      <w:r>
        <w:rPr>
          <w:rFonts w:hint="eastAsia" w:ascii="宋体" w:hAnsi="宋体" w:cs="宋体"/>
          <w:b/>
          <w:bCs/>
          <w:szCs w:val="21"/>
          <w:highlight w:val="none"/>
        </w:rPr>
        <w:t>4、工程研发能力：</w:t>
      </w:r>
      <w:r>
        <w:rPr>
          <w:rFonts w:hint="eastAsia" w:ascii="宋体" w:hAnsi="宋体" w:cs="宋体"/>
          <w:szCs w:val="21"/>
          <w:highlight w:val="none"/>
        </w:rPr>
        <w:t>省级或以上工法奖，需提供经建设行政主管部门认定的获奖证书原件扫描件。证书上应可反映其为市政类工法，若无法反映，需提供建设职能部门（或其主管的行业协会）出具的科学技术成果鉴定证书扫描件，并且在科学技术成果鉴定证书中需能反映该工法的研究背景项目为市政类项目，无法证明该工法为市政类项目获得的工法不得分。相同工法按最高级别奖项只计一次得分。获奖时间以发证时间为准。如颁奖单位为协会的，还须提供该协会在“中国社会组织政务服务平台”有登记的网页查询截图（网址：https://chinanpo.mca.gov.cn/），证明其有登记备案，否则不得分。</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5、财务指标：</w:t>
      </w:r>
      <w:r>
        <w:rPr>
          <w:rFonts w:hint="eastAsia" w:ascii="宋体" w:hAnsi="宋体" w:cs="宋体"/>
          <w:szCs w:val="21"/>
          <w:highlight w:val="none"/>
        </w:rPr>
        <w:t>企业资产负债率以企业对应年度的财务报表的数据为准，资产负债率=负债总额/资产总额×100%，投标人须提供2020年度、2021年度、2022年度经会计师事务所审计的财务报表复印件并加盖投标单位公章，不符合上述条件或未提供上述资料的不得分。</w:t>
      </w:r>
    </w:p>
    <w:p>
      <w:pPr>
        <w:pStyle w:val="36"/>
        <w:spacing w:line="360" w:lineRule="auto"/>
        <w:ind w:left="0" w:leftChars="0" w:firstLine="422"/>
        <w:rPr>
          <w:highlight w:val="none"/>
        </w:rPr>
      </w:pPr>
      <w:r>
        <w:rPr>
          <w:rFonts w:hint="eastAsia" w:ascii="宋体" w:hAnsi="宋体" w:cs="宋体"/>
          <w:b/>
          <w:bCs/>
          <w:szCs w:val="21"/>
          <w:highlight w:val="none"/>
        </w:rPr>
        <w:t>6、第三方评价：</w:t>
      </w:r>
      <w:r>
        <w:rPr>
          <w:rFonts w:hint="eastAsia" w:ascii="宋体" w:hAnsi="宋体" w:cs="宋体"/>
          <w:szCs w:val="21"/>
          <w:highlight w:val="none"/>
        </w:rPr>
        <w:t>诚信评价或信用等级评价：时间以证书中载明的发证时间为准，证书须在有效期内。投标人须提供证书原件扫描件并加盖投标人电子印章。不同协会颁发的证书可互相累加。证书资料显示的企业全称须与投标人单位全称一致，不符合上述条件或未提供上述资料的不得分。“工程建设诚信典型企业”称号需提供政府部门或者相关行业协会颁发的“工程建设诚信典型企业”证书扫描件，时间以发证时间为准，如颁发单位为协会的，还须提供该协会在“中国社会组织政务服务平台”有登记的网页查询截图（网址：https://chinanpo.mca.gov.cn/），证明其有登记备案，否则不得分。没有提供上述资料或不符合条件的不得分。</w:t>
      </w:r>
    </w:p>
    <w:p>
      <w:pPr>
        <w:wordWrap w:val="0"/>
        <w:spacing w:line="300" w:lineRule="exact"/>
        <w:ind w:firstLine="420" w:firstLineChars="200"/>
        <w:rPr>
          <w:rFonts w:ascii="宋体" w:hAnsi="宋体" w:cs="宋体"/>
          <w:bCs/>
          <w:szCs w:val="21"/>
          <w:highlight w:val="none"/>
        </w:rPr>
      </w:pPr>
      <w:r>
        <w:rPr>
          <w:rFonts w:hint="eastAsia" w:ascii="宋体" w:hAnsi="宋体" w:cs="宋体"/>
          <w:bCs/>
          <w:szCs w:val="21"/>
          <w:highlight w:val="none"/>
        </w:rPr>
        <w:t>7、所有评委每个分项的分数汇总后的算术平均值为投标人的最终得分。分数出现小数点，保留小数点后二位小数，第三位小数四舍五入。</w:t>
      </w:r>
    </w:p>
    <w:p>
      <w:pPr>
        <w:pStyle w:val="8"/>
        <w:rPr>
          <w:szCs w:val="21"/>
          <w:highlight w:val="none"/>
        </w:rPr>
      </w:pPr>
    </w:p>
    <w:p>
      <w:pPr>
        <w:spacing w:line="360" w:lineRule="auto"/>
        <w:ind w:firstLine="420" w:firstLineChars="200"/>
        <w:rPr>
          <w:rFonts w:ascii="宋体" w:hAnsi="宋体" w:cs="宋体"/>
          <w:bCs/>
          <w:szCs w:val="21"/>
          <w:highlight w:val="none"/>
        </w:rPr>
      </w:pPr>
      <w:r>
        <w:rPr>
          <w:rFonts w:hint="eastAsia" w:cs="Calibri"/>
          <w:kern w:val="0"/>
          <w:szCs w:val="21"/>
          <w:highlight w:val="none"/>
        </w:rPr>
        <w:t>评委签名：                                                                        日期：</w:t>
      </w:r>
    </w:p>
    <w:p>
      <w:pPr>
        <w:jc w:val="center"/>
        <w:rPr>
          <w:highlight w:val="none"/>
        </w:rPr>
      </w:pPr>
      <w:r>
        <w:rPr>
          <w:rFonts w:hint="eastAsia"/>
          <w:kern w:val="0"/>
          <w:szCs w:val="21"/>
          <w:highlight w:val="none"/>
        </w:rPr>
        <w:br w:type="page"/>
      </w:r>
    </w:p>
    <w:p>
      <w:pPr>
        <w:rPr>
          <w:color w:val="000000"/>
          <w:szCs w:val="21"/>
          <w:highlight w:val="none"/>
        </w:rPr>
      </w:pPr>
    </w:p>
    <w:p>
      <w:pPr>
        <w:rPr>
          <w:color w:val="000000"/>
          <w:szCs w:val="21"/>
          <w:highlight w:val="none"/>
        </w:rPr>
      </w:pPr>
      <w:r>
        <w:rPr>
          <w:rFonts w:hint="eastAsia"/>
          <w:color w:val="000000"/>
          <w:szCs w:val="21"/>
          <w:highlight w:val="none"/>
        </w:rPr>
        <w:t>附表五（适用于加权平均法）</w:t>
      </w:r>
    </w:p>
    <w:p>
      <w:pPr>
        <w:jc w:val="center"/>
        <w:rPr>
          <w:b/>
          <w:sz w:val="36"/>
          <w:szCs w:val="36"/>
          <w:highlight w:val="none"/>
        </w:rPr>
      </w:pPr>
      <w:r>
        <w:rPr>
          <w:rFonts w:hint="eastAsia"/>
          <w:b/>
          <w:sz w:val="36"/>
          <w:szCs w:val="36"/>
          <w:highlight w:val="none"/>
        </w:rPr>
        <w:t>经济标评分表</w:t>
      </w:r>
    </w:p>
    <w:p>
      <w:pPr>
        <w:rPr>
          <w:szCs w:val="21"/>
          <w:highlight w:val="none"/>
        </w:rPr>
      </w:pPr>
      <w:r>
        <w:rPr>
          <w:rFonts w:hint="eastAsia"/>
          <w:szCs w:val="21"/>
          <w:highlight w:val="none"/>
        </w:rPr>
        <w:t>工程名称：</w:t>
      </w:r>
    </w:p>
    <w:tbl>
      <w:tblPr>
        <w:tblStyle w:val="38"/>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投标报价</w:t>
            </w:r>
            <w:r>
              <w:rPr>
                <w:rFonts w:ascii="宋体" w:hAnsi="宋体"/>
                <w:szCs w:val="21"/>
                <w:highlight w:val="none"/>
              </w:rPr>
              <w:t>PT</w:t>
            </w:r>
            <w:r>
              <w:rPr>
                <w:rFonts w:hint="eastAsia" w:ascii="宋体" w:hAnsi="宋体"/>
                <w:szCs w:val="21"/>
                <w:highlight w:val="none"/>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偏差（（</w:t>
            </w:r>
            <w:r>
              <w:rPr>
                <w:rFonts w:ascii="宋体" w:hAnsi="宋体"/>
                <w:szCs w:val="21"/>
                <w:highlight w:val="none"/>
              </w:rPr>
              <w:t>PT-PC</w:t>
            </w:r>
            <w:r>
              <w:rPr>
                <w:rFonts w:hint="eastAsia" w:ascii="宋体" w:hAnsi="宋体"/>
                <w:szCs w:val="21"/>
                <w:highlight w:val="none"/>
              </w:rPr>
              <w:t>）</w:t>
            </w:r>
            <w:r>
              <w:rPr>
                <w:rFonts w:ascii="宋体" w:hAnsi="宋体"/>
                <w:szCs w:val="21"/>
                <w:highlight w:val="none"/>
              </w:rPr>
              <w:t>/PC</w:t>
            </w:r>
            <w:r>
              <w:rPr>
                <w:rFonts w:hint="eastAsia" w:ascii="宋体" w:hAnsi="宋体"/>
                <w:szCs w:val="21"/>
                <w:highlight w:val="none"/>
              </w:rPr>
              <w:t>）（</w:t>
            </w:r>
            <w:r>
              <w:rPr>
                <w:rFonts w:ascii="宋体" w:hAnsi="宋体"/>
                <w:szCs w:val="21"/>
                <w:highlight w:val="none"/>
              </w:rPr>
              <w:t>%</w:t>
            </w:r>
            <w:r>
              <w:rPr>
                <w:rFonts w:hint="eastAsia" w:ascii="宋体" w:hAnsi="宋体"/>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减分（</w:t>
            </w:r>
            <w:r>
              <w:rPr>
                <w:rFonts w:ascii="宋体" w:hAnsi="宋体"/>
                <w:szCs w:val="21"/>
                <w:highlight w:val="none"/>
              </w:rPr>
              <w:t>A</w:t>
            </w:r>
            <w:r>
              <w:rPr>
                <w:rFonts w:hint="eastAsia" w:ascii="宋体" w:hAnsi="宋体"/>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得分</w:t>
            </w:r>
            <w:r>
              <w:rPr>
                <w:rFonts w:ascii="宋体" w:hAnsi="宋体"/>
                <w:szCs w:val="21"/>
                <w:highlight w:val="none"/>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bl>
    <w:p>
      <w:pPr>
        <w:rPr>
          <w:color w:val="000000"/>
          <w:sz w:val="24"/>
          <w:szCs w:val="24"/>
          <w:highlight w:val="none"/>
        </w:rPr>
      </w:pPr>
      <w:r>
        <w:rPr>
          <w:rFonts w:hint="eastAsia"/>
          <w:szCs w:val="21"/>
          <w:highlight w:val="none"/>
        </w:rPr>
        <w:t>评委签名：</w:t>
      </w:r>
      <w:r>
        <w:rPr>
          <w:b/>
          <w:sz w:val="36"/>
          <w:szCs w:val="36"/>
          <w:highlight w:val="none"/>
        </w:rPr>
        <w:br w:type="page"/>
      </w:r>
      <w:r>
        <w:rPr>
          <w:rFonts w:hint="eastAsia"/>
          <w:color w:val="000000"/>
          <w:szCs w:val="21"/>
          <w:highlight w:val="none"/>
        </w:rPr>
        <w:t>附表五（适用于区间抽取法）</w:t>
      </w:r>
    </w:p>
    <w:p>
      <w:pPr>
        <w:jc w:val="center"/>
        <w:rPr>
          <w:b/>
          <w:sz w:val="36"/>
          <w:szCs w:val="36"/>
          <w:highlight w:val="none"/>
        </w:rPr>
      </w:pPr>
      <w:r>
        <w:rPr>
          <w:rFonts w:hint="eastAsia"/>
          <w:b/>
          <w:sz w:val="36"/>
          <w:szCs w:val="36"/>
          <w:highlight w:val="none"/>
        </w:rPr>
        <w:t>经济标评分表</w:t>
      </w:r>
    </w:p>
    <w:p>
      <w:pPr>
        <w:rPr>
          <w:szCs w:val="21"/>
          <w:highlight w:val="none"/>
        </w:rPr>
      </w:pPr>
      <w:r>
        <w:rPr>
          <w:rFonts w:hint="eastAsia"/>
          <w:szCs w:val="21"/>
          <w:highlight w:val="none"/>
        </w:rPr>
        <w:t>工程名称：</w:t>
      </w:r>
    </w:p>
    <w:tbl>
      <w:tblPr>
        <w:tblStyle w:val="38"/>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投标报价</w:t>
            </w:r>
            <w:r>
              <w:rPr>
                <w:rFonts w:ascii="宋体" w:hAnsi="宋体"/>
                <w:szCs w:val="21"/>
                <w:highlight w:val="none"/>
              </w:rPr>
              <w:t>PT</w:t>
            </w:r>
            <w:r>
              <w:rPr>
                <w:rFonts w:hint="eastAsia" w:ascii="宋体" w:hAnsi="宋体"/>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偏差（（</w:t>
            </w:r>
            <w:r>
              <w:rPr>
                <w:rFonts w:ascii="宋体" w:hAnsi="宋体"/>
                <w:szCs w:val="21"/>
                <w:highlight w:val="none"/>
              </w:rPr>
              <w:t>PT-PC</w:t>
            </w:r>
            <w:r>
              <w:rPr>
                <w:rFonts w:hint="eastAsia" w:ascii="宋体" w:hAnsi="宋体"/>
                <w:szCs w:val="21"/>
                <w:highlight w:val="none"/>
              </w:rPr>
              <w:t>）</w:t>
            </w:r>
            <w:r>
              <w:rPr>
                <w:rFonts w:ascii="宋体" w:hAnsi="宋体"/>
                <w:szCs w:val="21"/>
                <w:highlight w:val="none"/>
              </w:rPr>
              <w:t>/PC</w:t>
            </w:r>
            <w:r>
              <w:rPr>
                <w:rFonts w:hint="eastAsia" w:ascii="宋体" w:hAnsi="宋体"/>
                <w:szCs w:val="21"/>
                <w:highlight w:val="none"/>
              </w:rPr>
              <w:t>）（</w:t>
            </w:r>
            <w:r>
              <w:rPr>
                <w:rFonts w:ascii="宋体" w:hAnsi="宋体"/>
                <w:szCs w:val="21"/>
                <w:highlight w:val="none"/>
              </w:rPr>
              <w:t>%</w:t>
            </w:r>
            <w:r>
              <w:rPr>
                <w:rFonts w:hint="eastAsia" w:ascii="宋体" w:hAnsi="宋体"/>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减分（</w:t>
            </w:r>
            <w:r>
              <w:rPr>
                <w:rFonts w:ascii="宋体" w:hAnsi="宋体"/>
                <w:szCs w:val="21"/>
                <w:highlight w:val="none"/>
              </w:rPr>
              <w:t>A</w:t>
            </w:r>
            <w:r>
              <w:rPr>
                <w:rFonts w:hint="eastAsia" w:ascii="宋体" w:hAnsi="宋体"/>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得分</w:t>
            </w:r>
            <w:r>
              <w:rPr>
                <w:rFonts w:ascii="宋体" w:hAnsi="宋体"/>
                <w:szCs w:val="21"/>
                <w:highlight w:val="none"/>
              </w:rPr>
              <w:t>(I=100-A)</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bl>
    <w:p>
      <w:pPr>
        <w:rPr>
          <w:szCs w:val="21"/>
          <w:highlight w:val="none"/>
        </w:rPr>
      </w:pPr>
      <w:r>
        <w:rPr>
          <w:rFonts w:hint="eastAsia"/>
          <w:szCs w:val="21"/>
          <w:highlight w:val="none"/>
        </w:rPr>
        <w:t>评委签名：</w:t>
      </w:r>
    </w:p>
    <w:p>
      <w:pPr>
        <w:rPr>
          <w:szCs w:val="21"/>
          <w:highlight w:val="none"/>
        </w:rPr>
      </w:pPr>
    </w:p>
    <w:p>
      <w:pPr>
        <w:rPr>
          <w:szCs w:val="21"/>
          <w:highlight w:val="none"/>
        </w:rPr>
      </w:pPr>
    </w:p>
    <w:p>
      <w:pPr>
        <w:rPr>
          <w:szCs w:val="21"/>
          <w:highlight w:val="none"/>
        </w:rPr>
      </w:pPr>
    </w:p>
    <w:p>
      <w:pPr>
        <w:rPr>
          <w:szCs w:val="21"/>
          <w:highlight w:val="none"/>
        </w:rPr>
      </w:pPr>
    </w:p>
    <w:p>
      <w:pPr>
        <w:rPr>
          <w:b/>
          <w:szCs w:val="21"/>
          <w:highlight w:val="none"/>
        </w:rPr>
      </w:pPr>
      <w:r>
        <w:rPr>
          <w:rFonts w:hint="eastAsia"/>
          <w:szCs w:val="21"/>
          <w:highlight w:val="none"/>
        </w:rPr>
        <w:t>附表六</w:t>
      </w:r>
    </w:p>
    <w:p>
      <w:pPr>
        <w:jc w:val="center"/>
        <w:rPr>
          <w:b/>
          <w:sz w:val="36"/>
          <w:szCs w:val="36"/>
          <w:highlight w:val="none"/>
        </w:rPr>
      </w:pPr>
      <w:r>
        <w:rPr>
          <w:rFonts w:hint="eastAsia"/>
          <w:b/>
          <w:sz w:val="36"/>
          <w:szCs w:val="36"/>
          <w:highlight w:val="none"/>
        </w:rPr>
        <w:t>算术复核表</w:t>
      </w:r>
    </w:p>
    <w:p>
      <w:pPr>
        <w:rPr>
          <w:rFonts w:ascii="宋体" w:hAnsi="宋体"/>
          <w:kern w:val="0"/>
          <w:szCs w:val="21"/>
          <w:highlight w:val="none"/>
        </w:rPr>
      </w:pPr>
      <w:r>
        <w:rPr>
          <w:rFonts w:hint="eastAsia"/>
          <w:kern w:val="0"/>
          <w:szCs w:val="21"/>
          <w:highlight w:val="none"/>
        </w:rPr>
        <w:t>工程名称：</w:t>
      </w:r>
      <w:r>
        <w:rPr>
          <w:kern w:val="0"/>
          <w:szCs w:val="21"/>
          <w:highlight w:val="none"/>
        </w:rPr>
        <w:t xml:space="preserve">                                          </w:t>
      </w:r>
      <w:r>
        <w:rPr>
          <w:rFonts w:ascii="宋体" w:hAnsi="宋体"/>
          <w:kern w:val="0"/>
          <w:szCs w:val="21"/>
          <w:highlight w:val="none"/>
        </w:rPr>
        <w:t xml:space="preserve"> </w:t>
      </w:r>
      <w:r>
        <w:rPr>
          <w:rFonts w:hint="eastAsia" w:ascii="宋体" w:hAnsi="宋体"/>
          <w:kern w:val="0"/>
          <w:szCs w:val="21"/>
          <w:highlight w:val="none"/>
        </w:rPr>
        <w:t>投标人</w:t>
      </w:r>
      <w:r>
        <w:rPr>
          <w:rFonts w:ascii="宋体" w:hAnsi="宋体"/>
          <w:kern w:val="0"/>
          <w:szCs w:val="21"/>
          <w:highlight w:val="none"/>
        </w:rPr>
        <w:t xml:space="preserve">:                                                  </w:t>
      </w:r>
      <w:r>
        <w:rPr>
          <w:rFonts w:hint="eastAsia" w:ascii="宋体" w:hAnsi="宋体"/>
          <w:kern w:val="0"/>
          <w:szCs w:val="21"/>
          <w:highlight w:val="none"/>
        </w:rPr>
        <w:t>单位：元</w:t>
      </w:r>
    </w:p>
    <w:tbl>
      <w:tblPr>
        <w:tblStyle w:val="38"/>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修正前投标</w:t>
            </w:r>
          </w:p>
          <w:p>
            <w:pPr>
              <w:rPr>
                <w:rFonts w:ascii="宋体" w:hAnsi="宋体"/>
                <w:kern w:val="0"/>
                <w:szCs w:val="21"/>
                <w:highlight w:val="none"/>
              </w:rPr>
            </w:pPr>
            <w:r>
              <w:rPr>
                <w:rFonts w:hint="eastAsia" w:ascii="宋体" w:hAnsi="宋体"/>
                <w:kern w:val="0"/>
                <w:szCs w:val="21"/>
                <w:highlight w:val="none"/>
              </w:rPr>
              <w:t>报价</w:t>
            </w:r>
            <w:r>
              <w:rPr>
                <w:rFonts w:ascii="宋体" w:hAnsi="宋体"/>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修正后投标</w:t>
            </w:r>
          </w:p>
          <w:p>
            <w:pPr>
              <w:rPr>
                <w:rFonts w:ascii="宋体" w:hAnsi="宋体"/>
                <w:kern w:val="0"/>
                <w:szCs w:val="21"/>
                <w:highlight w:val="none"/>
              </w:rPr>
            </w:pPr>
            <w:r>
              <w:rPr>
                <w:rFonts w:hint="eastAsia" w:ascii="宋体" w:hAnsi="宋体"/>
                <w:kern w:val="0"/>
                <w:szCs w:val="21"/>
                <w:highlight w:val="none"/>
              </w:rPr>
              <w:t>报价</w:t>
            </w:r>
            <w:r>
              <w:rPr>
                <w:rFonts w:ascii="宋体" w:hAnsi="宋体"/>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修正率</w:t>
            </w:r>
            <w:r>
              <w:rPr>
                <w:rFonts w:ascii="宋体" w:hAnsi="宋体"/>
                <w:kern w:val="0"/>
                <w:szCs w:val="21"/>
                <w:highlight w:val="none"/>
              </w:rPr>
              <w:br w:type="textWrapping"/>
            </w:r>
            <w:r>
              <w:rPr>
                <w:rFonts w:ascii="宋体" w:hAnsi="宋体"/>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当</w:t>
            </w:r>
            <w:r>
              <w:rPr>
                <w:rFonts w:ascii="宋体" w:hAnsi="宋体"/>
                <w:kern w:val="0"/>
                <w:szCs w:val="21"/>
                <w:highlight w:val="none"/>
              </w:rPr>
              <w:t>B&gt;A</w:t>
            </w:r>
            <w:r>
              <w:rPr>
                <w:rFonts w:hint="eastAsia" w:ascii="宋体" w:hAnsi="宋体"/>
                <w:kern w:val="0"/>
                <w:szCs w:val="21"/>
                <w:highlight w:val="none"/>
              </w:rPr>
              <w:t>时，修正后报价与原报价的差额；当</w:t>
            </w:r>
            <w:r>
              <w:rPr>
                <w:rFonts w:ascii="宋体" w:hAnsi="宋体"/>
                <w:kern w:val="0"/>
                <w:szCs w:val="21"/>
                <w:highlight w:val="none"/>
              </w:rPr>
              <w:t>B</w:t>
            </w:r>
            <w:r>
              <w:rPr>
                <w:rFonts w:hint="eastAsia" w:ascii="宋体" w:hAnsi="宋体"/>
                <w:kern w:val="0"/>
                <w:szCs w:val="21"/>
                <w:highlight w:val="none"/>
              </w:rPr>
              <w:t>≤</w:t>
            </w:r>
            <w:r>
              <w:rPr>
                <w:rFonts w:ascii="宋体" w:hAnsi="宋体"/>
                <w:kern w:val="0"/>
                <w:szCs w:val="21"/>
                <w:highlight w:val="none"/>
              </w:rPr>
              <w:t>A</w:t>
            </w:r>
            <w:r>
              <w:rPr>
                <w:rFonts w:hint="eastAsia" w:ascii="宋体" w:hAnsi="宋体"/>
                <w:kern w:val="0"/>
                <w:szCs w:val="21"/>
                <w:highlight w:val="none"/>
              </w:rPr>
              <w:t>时</w:t>
            </w:r>
            <w:r>
              <w:rPr>
                <w:rFonts w:ascii="宋体" w:hAnsi="宋体"/>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ascii="宋体" w:hAnsi="宋体"/>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单位工程</w:t>
            </w:r>
            <w:r>
              <w:rPr>
                <w:rFonts w:ascii="宋体" w:hAnsi="宋体"/>
                <w:kern w:val="0"/>
                <w:szCs w:val="21"/>
                <w:highlight w:val="none"/>
              </w:rPr>
              <w:t>1]</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ascii="宋体" w:hAnsi="宋体"/>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单位工程</w:t>
            </w:r>
            <w:r>
              <w:rPr>
                <w:rFonts w:ascii="宋体" w:hAnsi="宋体"/>
                <w:kern w:val="0"/>
                <w:szCs w:val="21"/>
                <w:highlight w:val="none"/>
              </w:rPr>
              <w:t>2]</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ascii="宋体" w:hAnsi="宋体"/>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单位工程</w:t>
            </w:r>
            <w:r>
              <w:rPr>
                <w:rFonts w:ascii="宋体" w:hAnsi="宋体"/>
                <w:kern w:val="0"/>
                <w:szCs w:val="21"/>
                <w:highlight w:val="none"/>
              </w:rPr>
              <w:t>n]</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A=A</w:t>
            </w:r>
            <w:r>
              <w:rPr>
                <w:rFonts w:ascii="宋体" w:hAnsi="宋体"/>
                <w:kern w:val="0"/>
                <w:szCs w:val="21"/>
                <w:highlight w:val="none"/>
                <w:vertAlign w:val="subscript"/>
              </w:rPr>
              <w:t>1</w:t>
            </w:r>
            <w:r>
              <w:rPr>
                <w:rFonts w:ascii="宋体" w:hAnsi="宋体"/>
                <w:kern w:val="0"/>
                <w:szCs w:val="21"/>
                <w:highlight w:val="none"/>
              </w:rPr>
              <w:t>+A</w:t>
            </w:r>
            <w:r>
              <w:rPr>
                <w:rFonts w:ascii="宋体" w:hAnsi="宋体"/>
                <w:kern w:val="0"/>
                <w:szCs w:val="21"/>
                <w:highlight w:val="none"/>
                <w:vertAlign w:val="subscript"/>
              </w:rPr>
              <w:t>2</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An</w:t>
            </w:r>
            <w:r>
              <w:rPr>
                <w:rFonts w:hint="eastAsia" w:ascii="宋体" w:hAnsi="宋体"/>
                <w:kern w:val="0"/>
                <w:szCs w:val="21"/>
                <w:highlight w:val="none"/>
              </w:rPr>
              <w:t>；∑</w:t>
            </w:r>
            <w:r>
              <w:rPr>
                <w:rFonts w:ascii="宋体" w:hAnsi="宋体"/>
                <w:kern w:val="0"/>
                <w:szCs w:val="21"/>
                <w:highlight w:val="none"/>
              </w:rPr>
              <w:t>B=B</w:t>
            </w:r>
            <w:r>
              <w:rPr>
                <w:rFonts w:ascii="宋体" w:hAnsi="宋体"/>
                <w:kern w:val="0"/>
                <w:szCs w:val="21"/>
                <w:highlight w:val="none"/>
                <w:vertAlign w:val="subscript"/>
              </w:rPr>
              <w:t>1</w:t>
            </w:r>
            <w:r>
              <w:rPr>
                <w:rFonts w:ascii="宋体" w:hAnsi="宋体"/>
                <w:kern w:val="0"/>
                <w:szCs w:val="21"/>
                <w:highlight w:val="none"/>
              </w:rPr>
              <w:t>+B</w:t>
            </w:r>
            <w:r>
              <w:rPr>
                <w:rFonts w:ascii="宋体" w:hAnsi="宋体"/>
                <w:kern w:val="0"/>
                <w:szCs w:val="21"/>
                <w:highlight w:val="none"/>
                <w:vertAlign w:val="subscript"/>
              </w:rPr>
              <w:t>2</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Bn</w:t>
            </w:r>
          </w:p>
        </w:tc>
      </w:tr>
    </w:tbl>
    <w:p>
      <w:pPr>
        <w:rPr>
          <w:rFonts w:cs="宋体"/>
          <w:kern w:val="0"/>
          <w:szCs w:val="21"/>
          <w:highlight w:val="none"/>
        </w:rPr>
      </w:pPr>
      <w:r>
        <w:rPr>
          <w:rFonts w:hint="eastAsia" w:cs="宋体"/>
          <w:kern w:val="0"/>
          <w:szCs w:val="21"/>
          <w:highlight w:val="none"/>
        </w:rPr>
        <w:t>修正原则：</w:t>
      </w:r>
      <w:r>
        <w:rPr>
          <w:rFonts w:hint="eastAsia"/>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kern w:val="0"/>
          <w:szCs w:val="21"/>
          <w:highlight w:val="none"/>
        </w:rPr>
        <w:tab/>
      </w:r>
    </w:p>
    <w:p>
      <w:pPr>
        <w:rPr>
          <w:kern w:val="0"/>
          <w:szCs w:val="21"/>
          <w:highlight w:val="none"/>
        </w:rPr>
      </w:pPr>
      <w:r>
        <w:rPr>
          <w:rFonts w:hint="eastAsia"/>
          <w:kern w:val="0"/>
          <w:szCs w:val="21"/>
          <w:highlight w:val="none"/>
        </w:rPr>
        <w:t>评委签名：</w:t>
      </w:r>
      <w:r>
        <w:rPr>
          <w:kern w:val="0"/>
          <w:szCs w:val="21"/>
          <w:highlight w:val="none"/>
        </w:rPr>
        <w:tab/>
      </w:r>
      <w:r>
        <w:rPr>
          <w:kern w:val="0"/>
          <w:szCs w:val="21"/>
          <w:highlight w:val="none"/>
        </w:rPr>
        <w:tab/>
      </w:r>
      <w:r>
        <w:rPr>
          <w:kern w:val="0"/>
          <w:szCs w:val="21"/>
          <w:highlight w:val="none"/>
        </w:rPr>
        <w:tab/>
      </w:r>
      <w:r>
        <w:rPr>
          <w:kern w:val="0"/>
          <w:szCs w:val="21"/>
          <w:highlight w:val="none"/>
        </w:rPr>
        <w:tab/>
      </w:r>
      <w:r>
        <w:rPr>
          <w:kern w:val="0"/>
          <w:szCs w:val="21"/>
          <w:highlight w:val="none"/>
        </w:rPr>
        <w:tab/>
      </w:r>
      <w:r>
        <w:rPr>
          <w:rFonts w:hint="eastAsia"/>
          <w:kern w:val="0"/>
          <w:szCs w:val="21"/>
          <w:highlight w:val="none"/>
        </w:rPr>
        <w:t>日期：</w:t>
      </w:r>
    </w:p>
    <w:p>
      <w:pPr>
        <w:rPr>
          <w:highlight w:val="none"/>
        </w:rPr>
      </w:pPr>
    </w:p>
    <w:p>
      <w:pPr>
        <w:rPr>
          <w:highlight w:val="none"/>
        </w:rPr>
      </w:pPr>
      <w:r>
        <w:rPr>
          <w:highlight w:val="none"/>
        </w:rPr>
        <w:br w:type="page"/>
      </w:r>
    </w:p>
    <w:p>
      <w:pPr>
        <w:jc w:val="center"/>
        <w:rPr>
          <w:b/>
          <w:sz w:val="36"/>
          <w:szCs w:val="36"/>
          <w:highlight w:val="none"/>
        </w:rPr>
      </w:pPr>
      <w:r>
        <w:rPr>
          <w:rFonts w:hint="eastAsia"/>
          <w:b/>
          <w:sz w:val="36"/>
          <w:szCs w:val="36"/>
          <w:highlight w:val="none"/>
        </w:rPr>
        <w:t>算术复核表</w:t>
      </w:r>
    </w:p>
    <w:p>
      <w:pPr>
        <w:rPr>
          <w:szCs w:val="21"/>
          <w:highlight w:val="none"/>
        </w:rPr>
      </w:pPr>
      <w:r>
        <w:rPr>
          <w:rFonts w:hint="eastAsia"/>
          <w:szCs w:val="21"/>
          <w:highlight w:val="none"/>
        </w:rPr>
        <w:t>工程名称：</w:t>
      </w:r>
    </w:p>
    <w:tbl>
      <w:tblPr>
        <w:tblStyle w:val="3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sz w:val="28"/>
                <w:szCs w:val="28"/>
                <w:highlight w:val="none"/>
              </w:rPr>
            </w:pPr>
            <w:r>
              <w:rPr>
                <w:rFonts w:hint="eastAsia"/>
                <w:b/>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b/>
                <w:sz w:val="28"/>
                <w:szCs w:val="28"/>
                <w:highlight w:val="none"/>
              </w:rPr>
            </w:pPr>
            <w:r>
              <w:rPr>
                <w:rFonts w:hint="eastAsia"/>
                <w:b/>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b/>
                <w:sz w:val="28"/>
                <w:szCs w:val="28"/>
                <w:highlight w:val="none"/>
              </w:rPr>
            </w:pPr>
            <w:r>
              <w:rPr>
                <w:rFonts w:hint="eastAsia"/>
                <w:b/>
                <w:sz w:val="28"/>
                <w:szCs w:val="28"/>
                <w:highlight w:val="none"/>
              </w:rPr>
              <w:t>原投标报价（</w:t>
            </w:r>
            <w:r>
              <w:rPr>
                <w:b/>
                <w:sz w:val="28"/>
                <w:szCs w:val="28"/>
                <w:highlight w:val="none"/>
              </w:rPr>
              <w:t>A</w:t>
            </w:r>
            <w:r>
              <w:rPr>
                <w:rFonts w:hint="eastAsia"/>
                <w:b/>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pPr>
              <w:rPr>
                <w:b/>
                <w:sz w:val="28"/>
                <w:szCs w:val="28"/>
                <w:highlight w:val="none"/>
              </w:rPr>
            </w:pPr>
            <w:r>
              <w:rPr>
                <w:rFonts w:hint="eastAsia"/>
                <w:b/>
                <w:sz w:val="28"/>
                <w:szCs w:val="28"/>
                <w:highlight w:val="none"/>
              </w:rPr>
              <w:t>算数复核后投标报价（</w:t>
            </w:r>
            <w:r>
              <w:rPr>
                <w:b/>
                <w:sz w:val="28"/>
                <w:szCs w:val="28"/>
                <w:highlight w:val="none"/>
              </w:rPr>
              <w:t>B</w:t>
            </w:r>
            <w:r>
              <w:rPr>
                <w:rFonts w:hint="eastAsia"/>
                <w:b/>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pPr>
              <w:rPr>
                <w:b/>
                <w:sz w:val="28"/>
                <w:szCs w:val="28"/>
                <w:highlight w:val="none"/>
              </w:rPr>
            </w:pPr>
            <w:r>
              <w:rPr>
                <w:rFonts w:hint="eastAsia"/>
                <w:b/>
                <w:sz w:val="28"/>
                <w:szCs w:val="28"/>
                <w:highlight w:val="none"/>
              </w:rPr>
              <w:t>误差率（</w:t>
            </w:r>
            <w:r>
              <w:rPr>
                <w:b/>
                <w:sz w:val="28"/>
                <w:szCs w:val="28"/>
                <w:highlight w:val="none"/>
              </w:rPr>
              <w:t>r=|A-B|/A*100%</w:t>
            </w:r>
            <w:r>
              <w:rPr>
                <w:rFonts w:hint="eastAsia"/>
                <w:b/>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bl>
    <w:p>
      <w:pPr>
        <w:rPr>
          <w:szCs w:val="21"/>
          <w:highlight w:val="none"/>
        </w:rPr>
      </w:pPr>
      <w:r>
        <w:rPr>
          <w:rFonts w:hint="eastAsia"/>
          <w:szCs w:val="21"/>
          <w:highlight w:val="none"/>
        </w:rPr>
        <w:t>评委签名：</w:t>
      </w:r>
    </w:p>
    <w:p>
      <w:pPr>
        <w:spacing w:line="360" w:lineRule="auto"/>
        <w:jc w:val="center"/>
        <w:rPr>
          <w:rFonts w:ascii="仿宋_GB2312" w:hAnsi="宋体" w:eastAsia="仿宋_GB2312"/>
          <w:szCs w:val="21"/>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418" w:right="1247" w:bottom="1418" w:left="1134" w:header="851" w:footer="907" w:gutter="0"/>
          <w:cols w:space="425" w:num="1"/>
          <w:titlePg/>
          <w:docGrid w:type="lines" w:linePitch="312" w:charSpace="0"/>
        </w:sectPr>
      </w:pPr>
    </w:p>
    <w:p>
      <w:pPr>
        <w:pStyle w:val="3"/>
        <w:rPr>
          <w:rFonts w:ascii="宋体" w:hAnsi="宋体" w:cs="宋体"/>
          <w:bCs/>
          <w:sz w:val="32"/>
          <w:szCs w:val="32"/>
          <w:highlight w:val="none"/>
        </w:rPr>
      </w:pPr>
      <w:bookmarkStart w:id="45" w:name="_Toc2272566"/>
      <w:bookmarkStart w:id="46" w:name="_Toc21525511"/>
      <w:r>
        <w:rPr>
          <w:rFonts w:hint="eastAsia" w:ascii="宋体" w:hAnsi="宋体" w:cs="宋体"/>
          <w:bCs/>
          <w:sz w:val="32"/>
          <w:szCs w:val="32"/>
          <w:highlight w:val="none"/>
        </w:rPr>
        <w:t>第三章  合同条款</w:t>
      </w:r>
      <w:bookmarkEnd w:id="45"/>
      <w:bookmarkEnd w:id="46"/>
    </w:p>
    <w:p>
      <w:pPr>
        <w:rPr>
          <w:rFonts w:ascii="宋体"/>
          <w:b/>
          <w:sz w:val="24"/>
          <w:szCs w:val="24"/>
          <w:highlight w:val="none"/>
        </w:rPr>
      </w:pPr>
      <w:r>
        <w:rPr>
          <w:rFonts w:hint="eastAsia" w:ascii="宋体" w:hAnsi="宋体"/>
          <w:sz w:val="24"/>
          <w:szCs w:val="24"/>
          <w:highlight w:val="none"/>
        </w:rPr>
        <w:t>另册。</w:t>
      </w:r>
    </w:p>
    <w:p>
      <w:pPr>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35"/>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r>
        <w:rPr>
          <w:sz w:val="24"/>
          <w:szCs w:val="24"/>
          <w:highlight w:val="none"/>
        </w:rPr>
        <w:br w:type="page"/>
      </w:r>
    </w:p>
    <w:p>
      <w:pPr>
        <w:pStyle w:val="3"/>
        <w:rPr>
          <w:rFonts w:ascii="宋体" w:hAnsi="宋体" w:cs="宋体"/>
          <w:bCs/>
          <w:sz w:val="32"/>
          <w:szCs w:val="32"/>
          <w:highlight w:val="none"/>
        </w:rPr>
      </w:pPr>
      <w:bookmarkStart w:id="47" w:name="_Toc21525512"/>
      <w:bookmarkStart w:id="48" w:name="_Toc2272567"/>
      <w:r>
        <w:rPr>
          <w:rFonts w:hint="eastAsia" w:ascii="宋体" w:hAnsi="宋体" w:cs="宋体"/>
          <w:bCs/>
          <w:sz w:val="32"/>
          <w:szCs w:val="32"/>
          <w:highlight w:val="none"/>
        </w:rPr>
        <w:t>第四章  投标文件格式</w:t>
      </w:r>
      <w:bookmarkEnd w:id="47"/>
      <w:bookmarkEnd w:id="48"/>
    </w:p>
    <w:p>
      <w:pPr>
        <w:autoSpaceDE w:val="0"/>
        <w:autoSpaceDN w:val="0"/>
        <w:adjustRightInd w:val="0"/>
        <w:rPr>
          <w:bCs/>
          <w:szCs w:val="21"/>
          <w:highlight w:val="none"/>
        </w:rPr>
      </w:pPr>
      <w:r>
        <w:rPr>
          <w:highlight w:val="none"/>
        </w:rPr>
        <w:br w:type="page"/>
      </w:r>
      <w:r>
        <w:rPr>
          <w:rFonts w:hint="eastAsia"/>
          <w:bCs/>
          <w:szCs w:val="21"/>
          <w:highlight w:val="none"/>
        </w:rPr>
        <w:t>附件一</w:t>
      </w:r>
    </w:p>
    <w:p>
      <w:pPr>
        <w:autoSpaceDE w:val="0"/>
        <w:autoSpaceDN w:val="0"/>
        <w:adjustRightInd w:val="0"/>
        <w:rPr>
          <w:rFonts w:ascii="宋体" w:cs="宋体"/>
          <w:b/>
          <w:bCs/>
          <w:color w:val="000000"/>
          <w:szCs w:val="21"/>
          <w:highlight w:val="none"/>
          <w:lang w:val="zh-CN"/>
        </w:rPr>
      </w:pPr>
      <w:r>
        <w:rPr>
          <w:rFonts w:hint="eastAsia"/>
          <w:bCs/>
          <w:color w:val="000000"/>
          <w:szCs w:val="21"/>
          <w:highlight w:val="none"/>
        </w:rPr>
        <w:t>（适用于技术标与经济标同时开启）</w:t>
      </w:r>
    </w:p>
    <w:p>
      <w:pPr>
        <w:autoSpaceDE w:val="0"/>
        <w:autoSpaceDN w:val="0"/>
        <w:adjustRightInd w:val="0"/>
        <w:ind w:left="-540" w:leftChars="-257" w:firstLine="1135" w:firstLineChars="257"/>
        <w:jc w:val="center"/>
        <w:rPr>
          <w:rFonts w:ascii="宋体" w:hAnsi="宋体" w:cs="宋体"/>
          <w:b/>
          <w:bCs/>
          <w:sz w:val="44"/>
          <w:szCs w:val="44"/>
          <w:highlight w:val="none"/>
          <w:lang w:val="zh-CN"/>
        </w:rPr>
      </w:pPr>
    </w:p>
    <w:p>
      <w:pPr>
        <w:autoSpaceDE w:val="0"/>
        <w:autoSpaceDN w:val="0"/>
        <w:adjustRightInd w:val="0"/>
        <w:ind w:left="-540" w:leftChars="-257" w:firstLine="1135" w:firstLineChars="257"/>
        <w:jc w:val="center"/>
        <w:rPr>
          <w:rFonts w:ascii="宋体"/>
          <w:b/>
          <w:bCs/>
          <w:sz w:val="52"/>
          <w:szCs w:val="52"/>
          <w:highlight w:val="none"/>
        </w:rPr>
      </w:pPr>
      <w:r>
        <w:rPr>
          <w:rFonts w:hint="eastAsia" w:ascii="宋体" w:hAnsi="宋体" w:cs="宋体"/>
          <w:b/>
          <w:bCs/>
          <w:sz w:val="44"/>
          <w:szCs w:val="44"/>
          <w:highlight w:val="none"/>
          <w:lang w:val="zh-CN"/>
        </w:rPr>
        <w:t>广州建设工程施工招标投标书</w:t>
      </w:r>
    </w:p>
    <w:tbl>
      <w:tblPr>
        <w:tblStyle w:val="38"/>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工</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程</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名</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其中：</w:t>
            </w:r>
            <w:r>
              <w:rPr>
                <w:rFonts w:hint="eastAsia" w:ascii="宋体" w:hAnsi="宋体" w:cs="宋体"/>
                <w:b/>
                <w:bCs/>
                <w:sz w:val="24"/>
                <w:szCs w:val="24"/>
                <w:highlight w:val="none"/>
                <w:lang w:val="zh-CN"/>
              </w:rPr>
              <w:t>人工费</w:t>
            </w:r>
            <w:r>
              <w:rPr>
                <w:rFonts w:hint="eastAsia" w:ascii="宋体" w:hAnsi="宋体" w:cs="宋体"/>
                <w:b/>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sz w:val="24"/>
                <w:szCs w:val="24"/>
                <w:highlight w:val="none"/>
                <w:lang w:val="zh-CN"/>
              </w:rPr>
            </w:pPr>
            <w:r>
              <w:rPr>
                <w:rFonts w:hint="eastAsia" w:ascii="宋体" w:hAnsi="宋体" w:cs="宋体"/>
                <w:b/>
                <w:bCs/>
                <w:sz w:val="24"/>
                <w:szCs w:val="24"/>
                <w:highlight w:val="none"/>
                <w:lang w:val="zh-CN"/>
              </w:rPr>
              <w:t>其中：</w:t>
            </w:r>
            <w:r>
              <w:rPr>
                <w:rFonts w:hint="eastAsia" w:ascii="宋体" w:hAnsi="宋体" w:cs="宋体"/>
                <w:b/>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4"/>
                <w:szCs w:val="24"/>
                <w:highlight w:val="none"/>
                <w:lang w:val="zh-CN"/>
              </w:rPr>
            </w:pPr>
            <w:r>
              <w:rPr>
                <w:rFonts w:hint="eastAsia" w:ascii="宋体" w:hAnsi="宋体" w:cs="宋体"/>
                <w:b/>
                <w:sz w:val="24"/>
                <w:szCs w:val="24"/>
                <w:highlight w:val="none"/>
                <w:lang w:val="zh-CN"/>
              </w:rPr>
              <w:t>投</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标</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总工</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b/>
                <w:sz w:val="24"/>
                <w:szCs w:val="24"/>
                <w:highlight w:val="none"/>
              </w:rPr>
            </w:pPr>
            <w:r>
              <w:rPr>
                <w:rFonts w:hint="eastAsia" w:ascii="宋体" w:hAnsi="宋体" w:cs="宋体"/>
                <w:b/>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72" w:firstLineChars="196"/>
              <w:jc w:val="center"/>
              <w:rPr>
                <w:rFonts w:ascii="宋体" w:cs="宋体"/>
                <w:b/>
                <w:bCs/>
                <w:sz w:val="24"/>
                <w:szCs w:val="24"/>
                <w:highlight w:val="none"/>
                <w:lang w:val="zh-CN"/>
              </w:rPr>
            </w:pPr>
            <w:r>
              <w:rPr>
                <w:rFonts w:hint="eastAsia" w:ascii="宋体" w:hAnsi="宋体" w:cs="宋体"/>
                <w:b/>
                <w:sz w:val="24"/>
                <w:szCs w:val="24"/>
                <w:highlight w:val="none"/>
                <w:lang w:val="zh-CN"/>
              </w:rPr>
              <w:t>保</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修</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期</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highlight w:val="none"/>
                <w:lang w:val="zh-CN"/>
              </w:rPr>
            </w:pPr>
          </w:p>
        </w:tc>
      </w:tr>
    </w:tbl>
    <w:p>
      <w:pPr>
        <w:tabs>
          <w:tab w:val="left" w:pos="720"/>
        </w:tabs>
        <w:snapToGrid w:val="0"/>
        <w:spacing w:line="360" w:lineRule="auto"/>
        <w:rPr>
          <w:sz w:val="24"/>
          <w:szCs w:val="24"/>
          <w:highlight w:val="none"/>
        </w:rPr>
      </w:pPr>
    </w:p>
    <w:tbl>
      <w:tblPr>
        <w:tblStyle w:val="38"/>
        <w:tblW w:w="9008" w:type="dxa"/>
        <w:tblInd w:w="0" w:type="dxa"/>
        <w:tblLayout w:type="fixed"/>
        <w:tblCellMar>
          <w:top w:w="0" w:type="dxa"/>
          <w:left w:w="108" w:type="dxa"/>
          <w:bottom w:w="0" w:type="dxa"/>
          <w:right w:w="108" w:type="dxa"/>
        </w:tblCellMar>
      </w:tblPr>
      <w:tblGrid>
        <w:gridCol w:w="9008"/>
      </w:tblGrid>
      <w:tr>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vAlign w:val="bottom"/>
          </w:tcPr>
          <w:p>
            <w:pPr>
              <w:widowControl/>
              <w:spacing w:line="360" w:lineRule="auto"/>
              <w:jc w:val="left"/>
              <w:rPr>
                <w:rFonts w:ascii="宋体" w:cs="宋体"/>
                <w:kern w:val="0"/>
                <w:sz w:val="28"/>
                <w:szCs w:val="28"/>
                <w:highlight w:val="none"/>
              </w:rPr>
            </w:pPr>
            <w:r>
              <w:rPr>
                <w:rFonts w:ascii="宋体" w:hAnsi="宋体" w:cs="宋体"/>
                <w:kern w:val="0"/>
                <w:sz w:val="28"/>
                <w:szCs w:val="28"/>
                <w:highlight w:val="none"/>
              </w:rPr>
              <w:t xml:space="preserve">                                                                                             </w:t>
            </w:r>
          </w:p>
        </w:tc>
      </w:tr>
    </w:tbl>
    <w:p>
      <w:pPr>
        <w:widowControl/>
        <w:topLinePunct/>
        <w:adjustRightInd w:val="0"/>
        <w:snapToGrid w:val="0"/>
        <w:spacing w:after="200" w:line="400" w:lineRule="exact"/>
        <w:jc w:val="left"/>
        <w:rPr>
          <w:rFonts w:ascii="宋体" w:hAnsi="宋体" w:cs="宋体"/>
          <w:b/>
          <w:bCs/>
          <w:sz w:val="44"/>
          <w:szCs w:val="44"/>
          <w:highlight w:val="none"/>
          <w:lang w:val="zh-CN"/>
        </w:rPr>
      </w:pPr>
      <w:r>
        <w:rPr>
          <w:sz w:val="24"/>
          <w:szCs w:val="24"/>
          <w:highlight w:val="none"/>
        </w:rPr>
        <w:br w:type="page"/>
      </w:r>
      <w:r>
        <w:rPr>
          <w:rFonts w:hint="eastAsia" w:ascii="Calibri" w:hAnsi="Calibri"/>
          <w:bCs/>
          <w:sz w:val="21"/>
          <w:szCs w:val="21"/>
          <w:highlight w:val="none"/>
        </w:rPr>
        <w:t>附件二：</w:t>
      </w:r>
    </w:p>
    <w:p>
      <w:pPr>
        <w:widowControl/>
        <w:topLinePunct/>
        <w:adjustRightInd w:val="0"/>
        <w:snapToGrid w:val="0"/>
        <w:spacing w:after="200" w:line="400" w:lineRule="exact"/>
        <w:jc w:val="center"/>
        <w:rPr>
          <w:rFonts w:ascii="宋体" w:hAnsi="宋体"/>
          <w:b/>
          <w:spacing w:val="4"/>
          <w:kern w:val="0"/>
          <w:sz w:val="36"/>
          <w:szCs w:val="36"/>
          <w:highlight w:val="none"/>
        </w:rPr>
      </w:pPr>
      <w:r>
        <w:rPr>
          <w:rFonts w:hint="eastAsia" w:ascii="宋体" w:hAnsi="宋体"/>
          <w:b/>
          <w:spacing w:val="4"/>
          <w:kern w:val="0"/>
          <w:sz w:val="36"/>
          <w:szCs w:val="36"/>
          <w:highlight w:val="none"/>
        </w:rPr>
        <w:t>投 标 函</w:t>
      </w:r>
    </w:p>
    <w:p>
      <w:pPr>
        <w:widowControl/>
        <w:topLinePunct/>
        <w:adjustRightInd w:val="0"/>
        <w:snapToGrid w:val="0"/>
        <w:spacing w:line="360" w:lineRule="exact"/>
        <w:ind w:firstLine="424" w:firstLineChars="171"/>
        <w:jc w:val="left"/>
        <w:rPr>
          <w:rFonts w:ascii="宋体" w:hAnsi="宋体"/>
          <w:spacing w:val="4"/>
          <w:kern w:val="0"/>
          <w:sz w:val="24"/>
          <w:szCs w:val="24"/>
          <w:highlight w:val="none"/>
        </w:rPr>
      </w:pPr>
      <w:r>
        <w:rPr>
          <w:rFonts w:hint="eastAsia" w:ascii="宋体" w:hAnsi="宋体"/>
          <w:spacing w:val="4"/>
          <w:kern w:val="0"/>
          <w:sz w:val="24"/>
          <w:szCs w:val="24"/>
          <w:highlight w:val="none"/>
        </w:rPr>
        <w:t>致：</w:t>
      </w:r>
      <w:r>
        <w:rPr>
          <w:rFonts w:hint="eastAsia" w:ascii="宋体" w:hAnsi="宋体"/>
          <w:spacing w:val="4"/>
          <w:kern w:val="0"/>
          <w:sz w:val="24"/>
          <w:szCs w:val="24"/>
          <w:highlight w:val="none"/>
          <w:u w:val="single"/>
        </w:rPr>
        <w:t xml:space="preserve"> （招标人名称） </w:t>
      </w:r>
    </w:p>
    <w:p>
      <w:pPr>
        <w:widowControl/>
        <w:topLinePunct/>
        <w:adjustRightInd w:val="0"/>
        <w:snapToGrid w:val="0"/>
        <w:spacing w:line="360" w:lineRule="exact"/>
        <w:ind w:firstLine="424" w:firstLineChars="171"/>
        <w:jc w:val="left"/>
        <w:rPr>
          <w:rFonts w:ascii="宋体" w:hAnsi="宋体"/>
          <w:spacing w:val="4"/>
          <w:kern w:val="0"/>
          <w:sz w:val="24"/>
          <w:szCs w:val="24"/>
          <w:highlight w:val="none"/>
        </w:rPr>
      </w:pPr>
      <w:r>
        <w:rPr>
          <w:rFonts w:hint="eastAsia" w:ascii="宋体" w:hAnsi="宋体"/>
          <w:spacing w:val="4"/>
          <w:kern w:val="0"/>
          <w:sz w:val="24"/>
          <w:szCs w:val="24"/>
          <w:highlight w:val="none"/>
        </w:rPr>
        <w:t>1.根据招标人</w:t>
      </w:r>
      <w:r>
        <w:rPr>
          <w:rFonts w:hint="eastAsia" w:ascii="宋体" w:hAnsi="宋体"/>
          <w:spacing w:val="4"/>
          <w:kern w:val="0"/>
          <w:sz w:val="24"/>
          <w:szCs w:val="24"/>
          <w:highlight w:val="none"/>
          <w:u w:val="single"/>
        </w:rPr>
        <w:t xml:space="preserve"> </w:t>
      </w:r>
      <w:r>
        <w:rPr>
          <w:rFonts w:hint="eastAsia" w:ascii="宋体" w:hAnsi="宋体"/>
          <w:b/>
          <w:spacing w:val="4"/>
          <w:kern w:val="0"/>
          <w:sz w:val="24"/>
          <w:szCs w:val="24"/>
          <w:highlight w:val="none"/>
          <w:u w:val="single"/>
        </w:rPr>
        <w:t>（工程项目名称）</w:t>
      </w:r>
      <w:r>
        <w:rPr>
          <w:rFonts w:hint="eastAsia" w:ascii="宋体" w:hAnsi="宋体"/>
          <w:spacing w:val="4"/>
          <w:kern w:val="0"/>
          <w:sz w:val="24"/>
          <w:szCs w:val="24"/>
          <w:highlight w:val="none"/>
          <w:u w:val="single"/>
        </w:rPr>
        <w:t xml:space="preserve"> </w:t>
      </w:r>
      <w:r>
        <w:rPr>
          <w:rFonts w:hint="eastAsia" w:ascii="宋体" w:hAnsi="宋体"/>
          <w:spacing w:val="4"/>
          <w:kern w:val="0"/>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运维，并承担任何质量缺陷保修责任。</w:t>
      </w:r>
    </w:p>
    <w:p>
      <w:pPr>
        <w:widowControl/>
        <w:topLinePunct/>
        <w:adjustRightInd w:val="0"/>
        <w:snapToGrid w:val="0"/>
        <w:spacing w:line="360" w:lineRule="exact"/>
        <w:ind w:firstLine="424" w:firstLineChars="171"/>
        <w:jc w:val="left"/>
        <w:rPr>
          <w:rFonts w:ascii="宋体" w:hAnsi="宋体"/>
          <w:spacing w:val="4"/>
          <w:kern w:val="0"/>
          <w:sz w:val="24"/>
          <w:szCs w:val="24"/>
          <w:highlight w:val="none"/>
        </w:rPr>
      </w:pPr>
      <w:r>
        <w:rPr>
          <w:rFonts w:hint="eastAsia" w:ascii="宋体" w:hAnsi="宋体"/>
          <w:spacing w:val="4"/>
          <w:kern w:val="0"/>
          <w:sz w:val="24"/>
          <w:szCs w:val="24"/>
          <w:highlight w:val="none"/>
        </w:rPr>
        <w:t>2.我方已详细审核全部招标文件，包括修改文件（如有时）及有关附件。</w:t>
      </w:r>
    </w:p>
    <w:p>
      <w:pPr>
        <w:widowControl/>
        <w:topLinePunct/>
        <w:adjustRightInd w:val="0"/>
        <w:snapToGrid w:val="0"/>
        <w:spacing w:line="360" w:lineRule="exact"/>
        <w:ind w:firstLine="424" w:firstLineChars="171"/>
        <w:jc w:val="left"/>
        <w:rPr>
          <w:rFonts w:ascii="宋体" w:hAnsi="宋体"/>
          <w:spacing w:val="4"/>
          <w:kern w:val="0"/>
          <w:sz w:val="24"/>
          <w:szCs w:val="24"/>
          <w:highlight w:val="none"/>
        </w:rPr>
      </w:pPr>
      <w:r>
        <w:rPr>
          <w:rFonts w:hint="eastAsia" w:ascii="宋体" w:hAnsi="宋体"/>
          <w:spacing w:val="4"/>
          <w:kern w:val="0"/>
          <w:sz w:val="24"/>
          <w:szCs w:val="24"/>
          <w:highlight w:val="none"/>
        </w:rPr>
        <w:t>3.如果我方中标，我方保证按照合同文件中规定的开工日期开始施工，并按规定的预计竣工日期完成和交付全部工程。</w:t>
      </w:r>
    </w:p>
    <w:p>
      <w:pPr>
        <w:widowControl/>
        <w:topLinePunct/>
        <w:adjustRightInd w:val="0"/>
        <w:snapToGrid w:val="0"/>
        <w:spacing w:line="360" w:lineRule="exact"/>
        <w:ind w:firstLine="424" w:firstLineChars="171"/>
        <w:jc w:val="left"/>
        <w:rPr>
          <w:rFonts w:ascii="宋体" w:hAnsi="宋体"/>
          <w:spacing w:val="4"/>
          <w:kern w:val="0"/>
          <w:sz w:val="24"/>
          <w:szCs w:val="24"/>
          <w:highlight w:val="none"/>
        </w:rPr>
      </w:pPr>
      <w:r>
        <w:rPr>
          <w:rFonts w:hint="eastAsia" w:ascii="宋体" w:hAnsi="宋体"/>
          <w:spacing w:val="4"/>
          <w:kern w:val="0"/>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widowControl/>
        <w:topLinePunct/>
        <w:adjustRightInd w:val="0"/>
        <w:snapToGrid w:val="0"/>
        <w:spacing w:line="360" w:lineRule="exact"/>
        <w:ind w:firstLine="424" w:firstLineChars="171"/>
        <w:jc w:val="left"/>
        <w:rPr>
          <w:rFonts w:ascii="宋体" w:hAnsi="宋体"/>
          <w:spacing w:val="4"/>
          <w:kern w:val="0"/>
          <w:sz w:val="24"/>
          <w:szCs w:val="24"/>
          <w:highlight w:val="none"/>
          <w:u w:val="single"/>
        </w:rPr>
      </w:pPr>
      <w:r>
        <w:rPr>
          <w:rFonts w:hint="eastAsia" w:ascii="宋体" w:hAnsi="宋体"/>
          <w:spacing w:val="4"/>
          <w:kern w:val="0"/>
          <w:sz w:val="24"/>
          <w:szCs w:val="24"/>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widowControl/>
        <w:topLinePunct/>
        <w:adjustRightInd w:val="0"/>
        <w:snapToGrid w:val="0"/>
        <w:spacing w:line="360" w:lineRule="exact"/>
        <w:ind w:firstLine="424" w:firstLineChars="171"/>
        <w:jc w:val="left"/>
        <w:rPr>
          <w:rFonts w:ascii="宋体" w:hAnsi="宋体"/>
          <w:spacing w:val="4"/>
          <w:kern w:val="0"/>
          <w:sz w:val="24"/>
          <w:szCs w:val="24"/>
          <w:highlight w:val="none"/>
        </w:rPr>
      </w:pPr>
      <w:r>
        <w:rPr>
          <w:rFonts w:hint="eastAsia" w:ascii="宋体" w:hAnsi="宋体"/>
          <w:spacing w:val="4"/>
          <w:kern w:val="0"/>
          <w:sz w:val="24"/>
          <w:szCs w:val="24"/>
          <w:highlight w:val="none"/>
        </w:rPr>
        <w:t>6.如果我方中标，我方将按照招标文件的规定，按时提交履约担保，以保障本项目优质、优价、按期、顺利完成。</w:t>
      </w:r>
    </w:p>
    <w:p>
      <w:pPr>
        <w:widowControl/>
        <w:topLinePunct/>
        <w:adjustRightInd w:val="0"/>
        <w:snapToGrid w:val="0"/>
        <w:spacing w:line="360" w:lineRule="exact"/>
        <w:ind w:firstLine="424" w:firstLineChars="171"/>
        <w:jc w:val="left"/>
        <w:rPr>
          <w:rFonts w:ascii="宋体" w:hAnsi="宋体"/>
          <w:spacing w:val="4"/>
          <w:kern w:val="0"/>
          <w:sz w:val="24"/>
          <w:szCs w:val="24"/>
          <w:highlight w:val="none"/>
        </w:rPr>
      </w:pPr>
      <w:r>
        <w:rPr>
          <w:rFonts w:hint="eastAsia" w:ascii="宋体" w:hAnsi="宋体"/>
          <w:spacing w:val="4"/>
          <w:kern w:val="0"/>
          <w:sz w:val="24"/>
          <w:szCs w:val="24"/>
          <w:highlight w:val="none"/>
        </w:rPr>
        <w:t>7.我方同意所提交的投标文件在招标文件投标须知中第13条规定的投标有效期内有效，在此期限届满之前，本投标书始终将对我方具有约束力，并随时接受中标。</w:t>
      </w:r>
    </w:p>
    <w:p>
      <w:pPr>
        <w:widowControl/>
        <w:topLinePunct/>
        <w:adjustRightInd w:val="0"/>
        <w:snapToGrid w:val="0"/>
        <w:spacing w:line="360" w:lineRule="exact"/>
        <w:ind w:firstLine="424" w:firstLineChars="171"/>
        <w:jc w:val="left"/>
        <w:rPr>
          <w:rFonts w:ascii="宋体" w:hAnsi="宋体"/>
          <w:spacing w:val="4"/>
          <w:kern w:val="0"/>
          <w:sz w:val="24"/>
          <w:szCs w:val="24"/>
          <w:highlight w:val="none"/>
        </w:rPr>
      </w:pPr>
      <w:r>
        <w:rPr>
          <w:rFonts w:hint="eastAsia" w:ascii="宋体" w:hAnsi="宋体"/>
          <w:spacing w:val="4"/>
          <w:kern w:val="0"/>
          <w:sz w:val="24"/>
          <w:szCs w:val="24"/>
          <w:highlight w:val="none"/>
        </w:rPr>
        <w:t>8.在合同协议书正式签署生效之前，本投标书连同你单位的中标通知书将构成我们双方之间共同遵守的文件，对双方具有约束力。</w:t>
      </w:r>
    </w:p>
    <w:p>
      <w:pPr>
        <w:widowControl/>
        <w:topLinePunct/>
        <w:adjustRightInd w:val="0"/>
        <w:snapToGrid w:val="0"/>
        <w:spacing w:line="360" w:lineRule="exact"/>
        <w:ind w:firstLine="424" w:firstLineChars="171"/>
        <w:jc w:val="left"/>
        <w:rPr>
          <w:rFonts w:ascii="宋体" w:hAnsi="宋体"/>
          <w:spacing w:val="4"/>
          <w:kern w:val="0"/>
          <w:sz w:val="24"/>
          <w:szCs w:val="24"/>
          <w:highlight w:val="none"/>
        </w:rPr>
      </w:pPr>
      <w:r>
        <w:rPr>
          <w:rFonts w:hint="eastAsia" w:ascii="宋体" w:hAnsi="宋体"/>
          <w:spacing w:val="4"/>
          <w:kern w:val="0"/>
          <w:sz w:val="24"/>
          <w:szCs w:val="24"/>
          <w:highlight w:val="none"/>
        </w:rPr>
        <w:t>9.随同本投标文件，我方已按招标文件要求提交投标担保。如果我方在投标文件有效期内撤回投标文件；或在接到中标通知书后30天内未能或拒绝签订合同协议书；或未能按招标文件要求提交履约担保，你单位有权没收投标保证金，另选中</w:t>
      </w:r>
      <w:bookmarkStart w:id="49" w:name="_Toc484958693"/>
      <w:r>
        <w:rPr>
          <w:rFonts w:hint="eastAsia" w:ascii="宋体" w:hAnsi="宋体"/>
          <w:spacing w:val="4"/>
          <w:kern w:val="0"/>
          <w:sz w:val="24"/>
          <w:szCs w:val="24"/>
          <w:highlight w:val="none"/>
        </w:rPr>
        <w:t>标单位。</w:t>
      </w:r>
    </w:p>
    <w:p>
      <w:pPr>
        <w:widowControl/>
        <w:topLinePunct/>
        <w:adjustRightInd w:val="0"/>
        <w:snapToGrid w:val="0"/>
        <w:spacing w:line="360" w:lineRule="exact"/>
        <w:ind w:firstLine="424" w:firstLineChars="171"/>
        <w:jc w:val="left"/>
        <w:rPr>
          <w:rFonts w:ascii="宋体" w:hAnsi="宋体"/>
          <w:spacing w:val="4"/>
          <w:kern w:val="0"/>
          <w:sz w:val="24"/>
          <w:szCs w:val="24"/>
          <w:highlight w:val="none"/>
        </w:rPr>
      </w:pPr>
      <w:r>
        <w:rPr>
          <w:rFonts w:hint="eastAsia" w:ascii="宋体" w:hAnsi="宋体"/>
          <w:spacing w:val="4"/>
          <w:kern w:val="0"/>
          <w:sz w:val="24"/>
          <w:szCs w:val="24"/>
          <w:highlight w:val="none"/>
        </w:rPr>
        <w:t>10.我方</w:t>
      </w:r>
      <w:bookmarkEnd w:id="49"/>
      <w:r>
        <w:rPr>
          <w:rFonts w:hint="eastAsia" w:ascii="宋体" w:hAnsi="宋体"/>
          <w:spacing w:val="4"/>
          <w:kern w:val="0"/>
          <w:sz w:val="24"/>
          <w:szCs w:val="24"/>
          <w:highlight w:val="none"/>
        </w:rPr>
        <w:t>理解</w:t>
      </w:r>
      <w:bookmarkStart w:id="50" w:name="_Toc484958694"/>
      <w:r>
        <w:rPr>
          <w:rFonts w:hint="eastAsia" w:ascii="宋体" w:hAnsi="宋体"/>
          <w:spacing w:val="4"/>
          <w:kern w:val="0"/>
          <w:sz w:val="24"/>
          <w:szCs w:val="24"/>
          <w:highlight w:val="none"/>
        </w:rPr>
        <w:t>，你单位不一</w:t>
      </w:r>
      <w:bookmarkEnd w:id="50"/>
      <w:r>
        <w:rPr>
          <w:rFonts w:hint="eastAsia" w:ascii="宋体" w:hAnsi="宋体"/>
          <w:spacing w:val="4"/>
          <w:kern w:val="0"/>
          <w:sz w:val="24"/>
          <w:szCs w:val="24"/>
          <w:highlight w:val="none"/>
        </w:rPr>
        <w:t>定</w:t>
      </w:r>
      <w:bookmarkStart w:id="51" w:name="_Toc484958695"/>
      <w:r>
        <w:rPr>
          <w:rFonts w:hint="eastAsia" w:ascii="宋体" w:hAnsi="宋体"/>
          <w:spacing w:val="4"/>
          <w:kern w:val="0"/>
          <w:sz w:val="24"/>
          <w:szCs w:val="24"/>
          <w:highlight w:val="none"/>
        </w:rPr>
        <w:t>接受最低</w:t>
      </w:r>
      <w:bookmarkEnd w:id="51"/>
      <w:r>
        <w:rPr>
          <w:rFonts w:hint="eastAsia" w:ascii="宋体" w:hAnsi="宋体"/>
          <w:spacing w:val="4"/>
          <w:kern w:val="0"/>
          <w:sz w:val="24"/>
          <w:szCs w:val="24"/>
          <w:highlight w:val="none"/>
        </w:rPr>
        <w:t>标</w:t>
      </w:r>
      <w:bookmarkStart w:id="52" w:name="_Toc484958696"/>
      <w:r>
        <w:rPr>
          <w:rFonts w:hint="eastAsia" w:ascii="宋体" w:hAnsi="宋体"/>
          <w:spacing w:val="4"/>
          <w:kern w:val="0"/>
          <w:sz w:val="24"/>
          <w:szCs w:val="24"/>
          <w:highlight w:val="none"/>
        </w:rPr>
        <w:t>价的</w:t>
      </w:r>
      <w:bookmarkEnd w:id="52"/>
      <w:r>
        <w:rPr>
          <w:rFonts w:hint="eastAsia" w:ascii="宋体" w:hAnsi="宋体"/>
          <w:spacing w:val="4"/>
          <w:kern w:val="0"/>
          <w:sz w:val="24"/>
          <w:szCs w:val="24"/>
          <w:highlight w:val="none"/>
        </w:rPr>
        <w:t>投</w:t>
      </w:r>
      <w:bookmarkStart w:id="53" w:name="_Toc484958697"/>
      <w:r>
        <w:rPr>
          <w:rFonts w:hint="eastAsia" w:ascii="宋体" w:hAnsi="宋体"/>
          <w:spacing w:val="4"/>
          <w:kern w:val="0"/>
          <w:sz w:val="24"/>
          <w:szCs w:val="24"/>
          <w:highlight w:val="none"/>
        </w:rPr>
        <w:t>标或你单位接到的其它任何投标。同</w:t>
      </w:r>
      <w:bookmarkEnd w:id="53"/>
      <w:r>
        <w:rPr>
          <w:rFonts w:hint="eastAsia" w:ascii="宋体" w:hAnsi="宋体"/>
          <w:spacing w:val="4"/>
          <w:kern w:val="0"/>
          <w:sz w:val="24"/>
          <w:szCs w:val="24"/>
          <w:highlight w:val="none"/>
        </w:rPr>
        <w:t>时</w:t>
      </w:r>
      <w:bookmarkStart w:id="54" w:name="_Toc484958698"/>
      <w:r>
        <w:rPr>
          <w:rFonts w:hint="eastAsia" w:ascii="宋体" w:hAnsi="宋体"/>
          <w:spacing w:val="4"/>
          <w:kern w:val="0"/>
          <w:sz w:val="24"/>
          <w:szCs w:val="24"/>
          <w:highlight w:val="none"/>
        </w:rPr>
        <w:t>也理解，你单位不负担我方的任何投</w:t>
      </w:r>
      <w:bookmarkEnd w:id="54"/>
      <w:r>
        <w:rPr>
          <w:rFonts w:hint="eastAsia" w:ascii="宋体" w:hAnsi="宋体"/>
          <w:spacing w:val="4"/>
          <w:kern w:val="0"/>
          <w:sz w:val="24"/>
          <w:szCs w:val="24"/>
          <w:highlight w:val="none"/>
        </w:rPr>
        <w:t>标</w:t>
      </w:r>
      <w:bookmarkStart w:id="55" w:name="_Toc484958699"/>
      <w:r>
        <w:rPr>
          <w:rFonts w:hint="eastAsia" w:ascii="宋体" w:hAnsi="宋体"/>
          <w:spacing w:val="4"/>
          <w:kern w:val="0"/>
          <w:sz w:val="24"/>
          <w:szCs w:val="24"/>
          <w:highlight w:val="none"/>
        </w:rPr>
        <w:t>费用</w:t>
      </w:r>
      <w:bookmarkEnd w:id="55"/>
      <w:bookmarkStart w:id="56" w:name="_Toc484958700"/>
      <w:r>
        <w:rPr>
          <w:rFonts w:hint="eastAsia" w:ascii="宋体" w:hAnsi="宋体"/>
          <w:spacing w:val="4"/>
          <w:kern w:val="0"/>
          <w:sz w:val="24"/>
          <w:szCs w:val="24"/>
          <w:highlight w:val="none"/>
        </w:rPr>
        <w:t>。</w:t>
      </w:r>
    </w:p>
    <w:p>
      <w:pPr>
        <w:widowControl/>
        <w:topLinePunct/>
        <w:adjustRightInd w:val="0"/>
        <w:snapToGrid w:val="0"/>
        <w:spacing w:line="360" w:lineRule="exact"/>
        <w:ind w:firstLine="424" w:firstLineChars="171"/>
        <w:jc w:val="left"/>
        <w:rPr>
          <w:rFonts w:ascii="宋体" w:hAnsi="宋体"/>
          <w:spacing w:val="4"/>
          <w:kern w:val="0"/>
          <w:sz w:val="24"/>
          <w:szCs w:val="24"/>
          <w:highlight w:val="none"/>
        </w:rPr>
      </w:pPr>
      <w:r>
        <w:rPr>
          <w:rFonts w:hint="eastAsia" w:ascii="宋体" w:hAnsi="宋体"/>
          <w:spacing w:val="4"/>
          <w:kern w:val="0"/>
          <w:sz w:val="24"/>
          <w:szCs w:val="24"/>
          <w:highlight w:val="none"/>
        </w:rPr>
        <w:t>11.我方投保报价中已经包含所有建设工程总承包管理配合费，如果我方中标，保证配合完成所有专业的总承包管理配合工作。</w:t>
      </w:r>
    </w:p>
    <w:p>
      <w:pPr>
        <w:widowControl/>
        <w:topLinePunct/>
        <w:adjustRightInd w:val="0"/>
        <w:snapToGrid w:val="0"/>
        <w:spacing w:after="200" w:line="360" w:lineRule="auto"/>
        <w:jc w:val="left"/>
        <w:rPr>
          <w:rFonts w:ascii="宋体" w:hAnsi="宋体"/>
          <w:spacing w:val="4"/>
          <w:kern w:val="0"/>
          <w:sz w:val="24"/>
          <w:szCs w:val="24"/>
          <w:highlight w:val="none"/>
        </w:rPr>
      </w:pPr>
    </w:p>
    <w:p>
      <w:pPr>
        <w:widowControl/>
        <w:topLinePunct/>
        <w:adjustRightInd w:val="0"/>
        <w:snapToGrid w:val="0"/>
        <w:spacing w:line="360" w:lineRule="exact"/>
        <w:jc w:val="left"/>
        <w:rPr>
          <w:rFonts w:ascii="宋体" w:hAnsi="宋体"/>
          <w:spacing w:val="4"/>
          <w:kern w:val="0"/>
          <w:sz w:val="24"/>
          <w:szCs w:val="24"/>
          <w:highlight w:val="none"/>
        </w:rPr>
      </w:pPr>
      <w:r>
        <w:rPr>
          <w:rFonts w:hint="eastAsia" w:ascii="宋体" w:hAnsi="宋体"/>
          <w:spacing w:val="4"/>
          <w:kern w:val="0"/>
          <w:sz w:val="24"/>
          <w:szCs w:val="24"/>
          <w:highlight w:val="none"/>
        </w:rPr>
        <w:t>投 标 人：（盖章</w:t>
      </w:r>
      <w:bookmarkEnd w:id="56"/>
      <w:r>
        <w:rPr>
          <w:rFonts w:hint="eastAsia" w:ascii="宋体" w:hAnsi="宋体"/>
          <w:spacing w:val="4"/>
          <w:kern w:val="0"/>
          <w:sz w:val="24"/>
          <w:szCs w:val="24"/>
          <w:highlight w:val="none"/>
        </w:rPr>
        <w:t>）</w:t>
      </w:r>
    </w:p>
    <w:p>
      <w:pPr>
        <w:widowControl/>
        <w:topLinePunct/>
        <w:adjustRightInd w:val="0"/>
        <w:snapToGrid w:val="0"/>
        <w:spacing w:line="360" w:lineRule="exact"/>
        <w:jc w:val="left"/>
        <w:rPr>
          <w:rFonts w:ascii="宋体" w:hAnsi="宋体"/>
          <w:spacing w:val="4"/>
          <w:kern w:val="0"/>
          <w:sz w:val="24"/>
          <w:szCs w:val="24"/>
          <w:highlight w:val="none"/>
        </w:rPr>
      </w:pPr>
      <w:bookmarkStart w:id="57" w:name="_Toc484958701"/>
      <w:r>
        <w:rPr>
          <w:rFonts w:hint="eastAsia" w:ascii="宋体" w:hAnsi="宋体"/>
          <w:spacing w:val="4"/>
          <w:kern w:val="0"/>
          <w:sz w:val="24"/>
          <w:szCs w:val="24"/>
          <w:highlight w:val="none"/>
        </w:rPr>
        <w:t>法定代表人或授权代理人（签字或盖章）</w:t>
      </w:r>
      <w:bookmarkEnd w:id="57"/>
      <w:r>
        <w:rPr>
          <w:rFonts w:hint="eastAsia" w:ascii="宋体" w:hAnsi="宋体"/>
          <w:spacing w:val="4"/>
          <w:kern w:val="0"/>
          <w:sz w:val="24"/>
          <w:szCs w:val="24"/>
          <w:highlight w:val="none"/>
        </w:rPr>
        <w:t>：</w:t>
      </w:r>
    </w:p>
    <w:p>
      <w:pPr>
        <w:autoSpaceDE w:val="0"/>
        <w:autoSpaceDN w:val="0"/>
        <w:adjustRightInd w:val="0"/>
        <w:rPr>
          <w:rFonts w:ascii="宋体" w:hAnsi="宋体"/>
          <w:spacing w:val="4"/>
          <w:kern w:val="0"/>
          <w:sz w:val="24"/>
          <w:szCs w:val="24"/>
          <w:highlight w:val="none"/>
        </w:rPr>
        <w:sectPr>
          <w:pgSz w:w="11906" w:h="16838"/>
          <w:pgMar w:top="1440" w:right="1800" w:bottom="1440" w:left="1800" w:header="851" w:footer="992" w:gutter="0"/>
          <w:cols w:space="720" w:num="1"/>
          <w:docGrid w:type="lines" w:linePitch="312" w:charSpace="0"/>
        </w:sectPr>
      </w:pPr>
      <w:r>
        <w:rPr>
          <w:rFonts w:hint="eastAsia" w:ascii="宋体" w:hAnsi="宋体"/>
          <w:spacing w:val="4"/>
          <w:kern w:val="0"/>
          <w:sz w:val="24"/>
          <w:szCs w:val="24"/>
          <w:highlight w:val="none"/>
        </w:rPr>
        <w:t>日    期：   年    月    日</w:t>
      </w:r>
    </w:p>
    <w:p>
      <w:pPr>
        <w:widowControl/>
        <w:topLinePunct/>
        <w:adjustRightInd w:val="0"/>
        <w:snapToGrid w:val="0"/>
        <w:spacing w:after="200" w:line="400" w:lineRule="exact"/>
        <w:jc w:val="left"/>
        <w:rPr>
          <w:rFonts w:ascii="宋体" w:hAnsi="宋体"/>
          <w:bCs/>
          <w:sz w:val="32"/>
          <w:szCs w:val="32"/>
          <w:highlight w:val="none"/>
        </w:rPr>
      </w:pPr>
      <w:r>
        <w:rPr>
          <w:rFonts w:hint="eastAsia" w:ascii="Calibri" w:hAnsi="Calibri"/>
          <w:bCs/>
          <w:sz w:val="21"/>
          <w:szCs w:val="21"/>
          <w:highlight w:val="none"/>
        </w:rPr>
        <w:t>附件三：</w:t>
      </w:r>
    </w:p>
    <w:p>
      <w:pPr>
        <w:spacing w:line="360" w:lineRule="auto"/>
        <w:jc w:val="center"/>
        <w:rPr>
          <w:rFonts w:ascii="宋体" w:hAnsi="宋体" w:cs="宋体"/>
          <w:sz w:val="24"/>
          <w:highlight w:val="none"/>
        </w:rPr>
      </w:pPr>
      <w:r>
        <w:rPr>
          <w:rFonts w:hint="eastAsia" w:ascii="宋体" w:hAnsi="宋体" w:cs="宋体"/>
          <w:b/>
          <w:sz w:val="32"/>
          <w:szCs w:val="32"/>
          <w:highlight w:val="none"/>
        </w:rPr>
        <w:t>投标人廉洁承诺书</w:t>
      </w:r>
    </w:p>
    <w:p>
      <w:pPr>
        <w:widowControl/>
        <w:shd w:val="clear" w:color="auto" w:fill="FFFFFF"/>
        <w:spacing w:after="135" w:line="500" w:lineRule="exact"/>
        <w:jc w:val="left"/>
        <w:rPr>
          <w:rFonts w:ascii="宋体" w:hAnsi="宋体" w:cs="宋体"/>
          <w:sz w:val="24"/>
          <w:szCs w:val="24"/>
          <w:highlight w:val="none"/>
        </w:rPr>
      </w:pPr>
      <w:r>
        <w:rPr>
          <w:rFonts w:hint="eastAsia" w:ascii="宋体" w:hAnsi="宋体" w:cs="宋体"/>
          <w:sz w:val="24"/>
          <w:szCs w:val="24"/>
          <w:highlight w:val="none"/>
        </w:rPr>
        <w:t>广州市住房和城乡建设局、本招标项目招标人及招标监管机构：</w:t>
      </w:r>
    </w:p>
    <w:p>
      <w:pPr>
        <w:widowControl/>
        <w:spacing w:line="500" w:lineRule="exact"/>
        <w:ind w:right="90" w:firstLine="645"/>
        <w:jc w:val="left"/>
        <w:rPr>
          <w:rFonts w:ascii="宋体" w:hAnsi="宋体" w:cs="宋体"/>
          <w:sz w:val="24"/>
          <w:szCs w:val="24"/>
          <w:highlight w:val="none"/>
        </w:rPr>
      </w:pPr>
      <w:r>
        <w:rPr>
          <w:rFonts w:hint="eastAsia" w:ascii="宋体" w:hAnsi="宋体" w:cs="宋体"/>
          <w:sz w:val="24"/>
          <w:szCs w:val="24"/>
          <w:highlight w:val="none"/>
        </w:rPr>
        <w:t>本公司参加了</w:t>
      </w:r>
      <w:r>
        <w:rPr>
          <w:rFonts w:hint="eastAsia" w:ascii="宋体" w:hAnsi="宋体" w:cs="宋体"/>
          <w:sz w:val="24"/>
          <w:szCs w:val="24"/>
          <w:highlight w:val="none"/>
          <w:u w:val="single"/>
        </w:rPr>
        <w:t xml:space="preserve"> （项目名称/标段名称） </w:t>
      </w:r>
      <w:r>
        <w:rPr>
          <w:rFonts w:hint="eastAsia" w:ascii="宋体" w:hAnsi="宋体" w:cs="宋体"/>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pPr>
        <w:widowControl/>
        <w:spacing w:line="500" w:lineRule="exact"/>
        <w:ind w:right="420" w:firstLine="645"/>
        <w:jc w:val="left"/>
        <w:rPr>
          <w:rFonts w:ascii="宋体" w:hAnsi="宋体" w:cs="宋体"/>
          <w:sz w:val="24"/>
          <w:szCs w:val="24"/>
          <w:highlight w:val="none"/>
        </w:rPr>
      </w:pPr>
      <w:r>
        <w:rPr>
          <w:rFonts w:hint="eastAsia" w:ascii="宋体" w:hAnsi="宋体" w:cs="宋体"/>
          <w:sz w:val="24"/>
          <w:szCs w:val="24"/>
          <w:highlight w:val="none"/>
        </w:rPr>
        <w:t>一、自觉遵守国家有关法律法规及廉洁规定。</w:t>
      </w:r>
    </w:p>
    <w:p>
      <w:pPr>
        <w:widowControl/>
        <w:spacing w:line="500" w:lineRule="exact"/>
        <w:ind w:right="90" w:firstLine="645"/>
        <w:jc w:val="left"/>
        <w:rPr>
          <w:rFonts w:ascii="宋体" w:hAnsi="宋体" w:cs="宋体"/>
          <w:sz w:val="24"/>
          <w:szCs w:val="24"/>
          <w:highlight w:val="none"/>
        </w:rPr>
      </w:pPr>
      <w:r>
        <w:rPr>
          <w:rFonts w:hint="eastAsia" w:ascii="宋体" w:hAnsi="宋体" w:cs="宋体"/>
          <w:sz w:val="24"/>
          <w:szCs w:val="24"/>
          <w:highlight w:val="none"/>
        </w:rPr>
        <w:t>二、不与招标单位工作人员串通投标，损害国家利益、企业利益以及他人的合法利益；</w:t>
      </w:r>
    </w:p>
    <w:p>
      <w:pPr>
        <w:widowControl/>
        <w:spacing w:line="500" w:lineRule="exact"/>
        <w:ind w:right="90" w:firstLine="645"/>
        <w:jc w:val="left"/>
        <w:rPr>
          <w:rFonts w:ascii="宋体" w:hAnsi="宋体" w:cs="宋体"/>
          <w:sz w:val="24"/>
          <w:szCs w:val="24"/>
          <w:highlight w:val="none"/>
        </w:rPr>
      </w:pPr>
      <w:r>
        <w:rPr>
          <w:rFonts w:hint="eastAsia" w:ascii="宋体" w:hAnsi="宋体" w:cs="宋体"/>
          <w:sz w:val="24"/>
          <w:szCs w:val="24"/>
          <w:highlight w:val="none"/>
        </w:rPr>
        <w:t>三、不与其他单位围标、串标，不出让投标资格，不向招标人或评标委员会成员行贿。</w:t>
      </w:r>
    </w:p>
    <w:p>
      <w:pPr>
        <w:widowControl/>
        <w:spacing w:line="500" w:lineRule="exact"/>
        <w:ind w:right="90" w:firstLine="645"/>
        <w:jc w:val="left"/>
        <w:rPr>
          <w:rFonts w:ascii="宋体" w:hAnsi="宋体" w:cs="宋体"/>
          <w:sz w:val="24"/>
          <w:szCs w:val="24"/>
          <w:highlight w:val="none"/>
        </w:rPr>
      </w:pPr>
      <w:r>
        <w:rPr>
          <w:rFonts w:hint="eastAsia" w:ascii="宋体" w:hAnsi="宋体" w:cs="宋体"/>
          <w:sz w:val="24"/>
          <w:szCs w:val="24"/>
          <w:highlight w:val="none"/>
        </w:rPr>
        <w:t xml:space="preserve">四、不以任何名义向参与招标、评标工作的有关人员提供高消费宴请及娱乐活动和赠送回扣、红包、礼金、购物卡、有价证券、贵重物品和好处费、感谢费等； </w:t>
      </w:r>
    </w:p>
    <w:p>
      <w:pPr>
        <w:widowControl/>
        <w:spacing w:line="500" w:lineRule="exact"/>
        <w:ind w:right="90" w:firstLine="645"/>
        <w:jc w:val="left"/>
        <w:rPr>
          <w:rFonts w:ascii="宋体" w:hAnsi="宋体" w:cs="宋体"/>
          <w:sz w:val="24"/>
          <w:szCs w:val="24"/>
          <w:highlight w:val="none"/>
        </w:rPr>
      </w:pPr>
      <w:r>
        <w:rPr>
          <w:rFonts w:hint="eastAsia" w:ascii="宋体" w:hAnsi="宋体" w:cs="宋体"/>
          <w:sz w:val="24"/>
          <w:szCs w:val="24"/>
          <w:highlight w:val="none"/>
        </w:rPr>
        <w:t>五、不以任何名义为参与招标、评标工作的有关人员装修住房、婚丧嫁取、配偶子女的工作安排以及境内外旅游等提供方便；</w:t>
      </w:r>
    </w:p>
    <w:p>
      <w:pPr>
        <w:widowControl/>
        <w:spacing w:line="500" w:lineRule="exact"/>
        <w:ind w:right="-52" w:firstLine="645"/>
        <w:jc w:val="left"/>
        <w:rPr>
          <w:rFonts w:ascii="宋体" w:hAnsi="宋体" w:cs="宋体"/>
          <w:sz w:val="24"/>
          <w:szCs w:val="24"/>
          <w:highlight w:val="none"/>
        </w:rPr>
      </w:pPr>
      <w:r>
        <w:rPr>
          <w:rFonts w:hint="eastAsia" w:ascii="宋体" w:hAnsi="宋体" w:cs="宋体"/>
          <w:sz w:val="24"/>
          <w:szCs w:val="24"/>
          <w:highlight w:val="none"/>
        </w:rPr>
        <w:t>六、不以谋取非正当利益为目的，擅自与参与招标、评标工作的有关人员就业务问题进行私下商谈或者达成利益默契；</w:t>
      </w:r>
    </w:p>
    <w:p>
      <w:pPr>
        <w:widowControl/>
        <w:spacing w:line="500" w:lineRule="exact"/>
        <w:ind w:right="-52" w:firstLine="645"/>
        <w:jc w:val="left"/>
        <w:rPr>
          <w:rFonts w:ascii="宋体" w:hAnsi="宋体" w:cs="宋体"/>
          <w:sz w:val="24"/>
          <w:szCs w:val="24"/>
          <w:highlight w:val="none"/>
        </w:rPr>
      </w:pPr>
      <w:r>
        <w:rPr>
          <w:rFonts w:hint="eastAsia" w:ascii="宋体" w:hAnsi="宋体" w:cs="宋体"/>
          <w:sz w:val="24"/>
          <w:szCs w:val="24"/>
          <w:highlight w:val="none"/>
        </w:rPr>
        <w:t>七、按法律规定及合同约定保修合同工程，履行本合同所约定的全部义务。</w:t>
      </w:r>
    </w:p>
    <w:p>
      <w:pPr>
        <w:widowControl/>
        <w:spacing w:line="500" w:lineRule="exact"/>
        <w:ind w:right="-52" w:firstLine="645"/>
        <w:jc w:val="left"/>
        <w:rPr>
          <w:rFonts w:ascii="宋体" w:hAnsi="宋体" w:cs="宋体"/>
          <w:sz w:val="24"/>
          <w:szCs w:val="24"/>
          <w:highlight w:val="none"/>
        </w:rPr>
      </w:pPr>
      <w:r>
        <w:rPr>
          <w:rFonts w:hint="eastAsia" w:ascii="宋体" w:hAnsi="宋体" w:cs="宋体"/>
          <w:sz w:val="24"/>
          <w:szCs w:val="24"/>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pPr>
        <w:widowControl/>
        <w:spacing w:line="500" w:lineRule="exact"/>
        <w:ind w:right="-52" w:firstLine="645"/>
        <w:jc w:val="left"/>
        <w:rPr>
          <w:rFonts w:ascii="宋体" w:hAnsi="宋体" w:cs="宋体"/>
          <w:sz w:val="24"/>
          <w:szCs w:val="24"/>
          <w:highlight w:val="none"/>
        </w:rPr>
      </w:pPr>
      <w:r>
        <w:rPr>
          <w:rFonts w:hint="eastAsia" w:ascii="宋体" w:hAnsi="宋体" w:cs="宋体"/>
          <w:sz w:val="24"/>
          <w:szCs w:val="24"/>
          <w:highlight w:val="none"/>
        </w:rPr>
        <w:t>九、自觉接受政府有关部门、发包人或其上级主管部门和监理单位等对本工程的监督，并无条件配合政府有关部门、发包人或其上级主管部门指定审计机构开展审计工作。</w:t>
      </w:r>
    </w:p>
    <w:p>
      <w:pPr>
        <w:widowControl/>
        <w:spacing w:line="500" w:lineRule="exact"/>
        <w:ind w:right="-52" w:firstLine="645"/>
        <w:jc w:val="left"/>
        <w:rPr>
          <w:rFonts w:ascii="宋体" w:hAnsi="宋体" w:cs="宋体"/>
          <w:sz w:val="24"/>
          <w:szCs w:val="24"/>
          <w:highlight w:val="none"/>
        </w:rPr>
      </w:pPr>
      <w:r>
        <w:rPr>
          <w:rFonts w:hint="eastAsia" w:ascii="宋体" w:hAnsi="宋体" w:cs="宋体"/>
          <w:sz w:val="24"/>
          <w:szCs w:val="24"/>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pPr>
        <w:widowControl/>
        <w:spacing w:line="500" w:lineRule="exact"/>
        <w:ind w:right="-52" w:firstLine="645"/>
        <w:jc w:val="left"/>
        <w:rPr>
          <w:rFonts w:ascii="宋体" w:hAnsi="宋体" w:cs="宋体"/>
          <w:sz w:val="24"/>
          <w:szCs w:val="24"/>
          <w:highlight w:val="none"/>
        </w:rPr>
      </w:pPr>
      <w:r>
        <w:rPr>
          <w:rFonts w:hint="eastAsia" w:ascii="宋体" w:hAnsi="宋体" w:cs="宋体"/>
          <w:sz w:val="24"/>
          <w:szCs w:val="24"/>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pPr>
        <w:widowControl/>
        <w:shd w:val="clear" w:color="auto" w:fill="FFFFFF"/>
        <w:spacing w:after="135" w:line="500" w:lineRule="exact"/>
        <w:ind w:firstLine="645"/>
        <w:jc w:val="left"/>
        <w:rPr>
          <w:rFonts w:ascii="宋体" w:hAnsi="宋体" w:cs="宋体"/>
          <w:sz w:val="24"/>
          <w:szCs w:val="24"/>
          <w:highlight w:val="none"/>
        </w:rPr>
      </w:pPr>
      <w:r>
        <w:rPr>
          <w:rFonts w:hint="eastAsia" w:ascii="宋体" w:hAnsi="宋体" w:cs="宋体"/>
          <w:sz w:val="24"/>
          <w:szCs w:val="24"/>
          <w:highlight w:val="none"/>
        </w:rPr>
        <w:t>本公司违反上述承诺，或本承诺陈述与事实不符，经查实，本公司愿意接受公开通报，承担由此带来的法律后果，并自愿停止参加广州市行政辖区内的招标投标活动三个月。</w:t>
      </w:r>
    </w:p>
    <w:p>
      <w:pPr>
        <w:widowControl/>
        <w:shd w:val="clear" w:color="auto" w:fill="FFFFFF"/>
        <w:spacing w:after="135" w:line="500" w:lineRule="exact"/>
        <w:ind w:firstLine="645"/>
        <w:jc w:val="left"/>
        <w:rPr>
          <w:rFonts w:ascii="宋体" w:hAnsi="宋体" w:cs="宋体"/>
          <w:sz w:val="24"/>
          <w:szCs w:val="24"/>
          <w:highlight w:val="none"/>
        </w:rPr>
      </w:pPr>
      <w:r>
        <w:rPr>
          <w:rFonts w:hint="eastAsia" w:ascii="宋体" w:hAnsi="宋体" w:cs="宋体"/>
          <w:sz w:val="24"/>
          <w:szCs w:val="24"/>
          <w:highlight w:val="none"/>
        </w:rPr>
        <w:t>特此承诺</w:t>
      </w:r>
    </w:p>
    <w:p>
      <w:pPr>
        <w:widowControl/>
        <w:shd w:val="clear" w:color="auto" w:fill="FFFFFF"/>
        <w:spacing w:line="500" w:lineRule="exact"/>
        <w:ind w:right="-58" w:firstLine="2880"/>
        <w:jc w:val="right"/>
        <w:rPr>
          <w:rFonts w:ascii="宋体" w:hAnsi="宋体" w:cs="宋体"/>
          <w:sz w:val="24"/>
          <w:szCs w:val="24"/>
          <w:highlight w:val="none"/>
        </w:rPr>
      </w:pPr>
      <w:r>
        <w:rPr>
          <w:rFonts w:hint="eastAsia" w:ascii="宋体" w:hAnsi="宋体" w:cs="宋体"/>
          <w:sz w:val="24"/>
          <w:szCs w:val="24"/>
          <w:highlight w:val="none"/>
        </w:rPr>
        <w:t>承诺企业：              (企业公章)</w:t>
      </w:r>
    </w:p>
    <w:p>
      <w:pPr>
        <w:widowControl/>
        <w:shd w:val="clear" w:color="auto" w:fill="FFFFFF"/>
        <w:spacing w:line="500" w:lineRule="exact"/>
        <w:ind w:right="165" w:firstLine="2880"/>
        <w:jc w:val="right"/>
        <w:rPr>
          <w:rFonts w:ascii="宋体" w:hAnsi="宋体" w:cs="宋体"/>
          <w:sz w:val="24"/>
          <w:szCs w:val="24"/>
          <w:highlight w:val="none"/>
        </w:rPr>
      </w:pPr>
      <w:r>
        <w:rPr>
          <w:rFonts w:hint="eastAsia" w:ascii="宋体" w:hAnsi="宋体" w:cs="宋体"/>
          <w:sz w:val="24"/>
          <w:szCs w:val="24"/>
          <w:highlight w:val="none"/>
        </w:rPr>
        <w:t>年    月  日</w:t>
      </w:r>
    </w:p>
    <w:p>
      <w:pPr>
        <w:autoSpaceDE w:val="0"/>
        <w:autoSpaceDN w:val="0"/>
        <w:adjustRightInd w:val="0"/>
        <w:rPr>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sz w:val="24"/>
          <w:szCs w:val="24"/>
          <w:highlight w:val="none"/>
        </w:rPr>
        <w:t xml:space="preserve">                               法定代表人（签字或盖章）：</w:t>
      </w:r>
    </w:p>
    <w:p>
      <w:pPr>
        <w:widowControl/>
        <w:topLinePunct/>
        <w:adjustRightInd w:val="0"/>
        <w:snapToGrid w:val="0"/>
        <w:spacing w:after="200" w:line="400" w:lineRule="exact"/>
        <w:jc w:val="left"/>
        <w:rPr>
          <w:rFonts w:ascii="宋体" w:hAnsi="宋体"/>
          <w:bCs/>
          <w:sz w:val="32"/>
          <w:szCs w:val="32"/>
          <w:highlight w:val="none"/>
        </w:rPr>
      </w:pPr>
      <w:r>
        <w:rPr>
          <w:rFonts w:hint="eastAsia" w:ascii="Calibri" w:hAnsi="Calibri"/>
          <w:bCs/>
          <w:sz w:val="21"/>
          <w:szCs w:val="21"/>
          <w:highlight w:val="none"/>
        </w:rPr>
        <w:t>附件四</w:t>
      </w:r>
      <w:r>
        <w:rPr>
          <w:rFonts w:hint="eastAsia" w:ascii="宋体" w:hAnsi="宋体"/>
          <w:bCs/>
          <w:sz w:val="32"/>
          <w:szCs w:val="32"/>
          <w:highlight w:val="none"/>
        </w:rPr>
        <w:t>：</w:t>
      </w:r>
    </w:p>
    <w:p>
      <w:pPr>
        <w:spacing w:line="400" w:lineRule="exact"/>
        <w:jc w:val="center"/>
        <w:rPr>
          <w:rFonts w:ascii="宋体" w:hAnsi="宋体" w:cs="宋体"/>
          <w:b/>
          <w:bCs/>
          <w:sz w:val="32"/>
          <w:szCs w:val="32"/>
          <w:highlight w:val="none"/>
        </w:rPr>
      </w:pPr>
      <w:r>
        <w:rPr>
          <w:rFonts w:hint="eastAsia" w:ascii="宋体" w:hAnsi="宋体" w:cs="宋体"/>
          <w:b/>
          <w:bCs/>
          <w:sz w:val="32"/>
          <w:szCs w:val="32"/>
          <w:highlight w:val="none"/>
        </w:rPr>
        <w:t>施工技术承诺书</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r>
        <w:rPr>
          <w:rFonts w:hint="eastAsia" w:ascii="宋体" w:hAnsi="宋体" w:cs="宋体"/>
          <w:sz w:val="24"/>
          <w:szCs w:val="24"/>
          <w:highlight w:val="none"/>
        </w:rPr>
        <w:t>致   ：</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我公司已充分阅读了招标文件、图纸等资料并通过现场考察充分了解本工程的全面情况。如若中标，我们承诺将按技术规范、相关技术要求、施工图纸进行施工。本工程所有的施工方案、施工方法、施工工艺等都将满足本工程施工图纸和现行的有关规范、标准要求，且上述施工方案、施工方法和施工工艺等均在取得监理工程师和业主的批准后予以实施，同时声明采用经监理工程师和业主批准的上述施工方案、施工方法、施工工艺等所发生的一切费用均已包含在我方的投标总报价之中，并保证在本项目实施过程中不论何种原因均不会向你方提出任何增加费用或延长工期的要求，否则，视为我方违约，你方有权解除合同并按合同支付违约金，我方应承担由此给你方造成的所有经济损失，并承担其他相应的责任。</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如未履行上述承诺，视为我方违约，你方有权解除合同并按合同支付违约金，我方应承担由此给你方造成的所有经济损失，并承担其他相应的责任。</w:t>
      </w:r>
    </w:p>
    <w:p>
      <w:pPr>
        <w:spacing w:line="400" w:lineRule="exact"/>
        <w:rPr>
          <w:rFonts w:ascii="宋体" w:hAnsi="宋体" w:cs="宋体"/>
          <w:sz w:val="24"/>
          <w:szCs w:val="24"/>
          <w:highlight w:val="none"/>
        </w:rPr>
      </w:pPr>
    </w:p>
    <w:p>
      <w:pPr>
        <w:spacing w:line="400" w:lineRule="exact"/>
        <w:rPr>
          <w:rFonts w:ascii="宋体" w:hAnsi="宋体" w:cs="宋体"/>
          <w:sz w:val="24"/>
          <w:szCs w:val="24"/>
          <w:highlight w:val="none"/>
        </w:rPr>
      </w:pPr>
    </w:p>
    <w:p>
      <w:pPr>
        <w:spacing w:line="40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法定代表人或其委托代理人：（签字或盖章）</w:t>
      </w:r>
      <w:r>
        <w:rPr>
          <w:rFonts w:hint="eastAsia" w:ascii="宋体" w:hAnsi="宋体" w:cs="宋体"/>
          <w:sz w:val="24"/>
          <w:szCs w:val="24"/>
          <w:highlight w:val="none"/>
          <w:u w:val="single"/>
        </w:rPr>
        <w:t xml:space="preserve">                   </w:t>
      </w:r>
    </w:p>
    <w:p>
      <w:pPr>
        <w:spacing w:line="40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单位名称：（盖公章）</w:t>
      </w:r>
      <w:r>
        <w:rPr>
          <w:rFonts w:hint="eastAsia" w:ascii="宋体" w:hAnsi="宋体" w:cs="宋体"/>
          <w:sz w:val="24"/>
          <w:szCs w:val="24"/>
          <w:highlight w:val="none"/>
          <w:u w:val="single"/>
        </w:rPr>
        <w:t xml:space="preserve">                       </w:t>
      </w:r>
    </w:p>
    <w:p>
      <w:pPr>
        <w:autoSpaceDE w:val="0"/>
        <w:autoSpaceDN w:val="0"/>
        <w:adjustRightInd w:val="0"/>
        <w:rPr>
          <w:rFonts w:ascii="宋体" w:hAnsi="宋体" w:cs="宋体"/>
          <w:sz w:val="24"/>
          <w:szCs w:val="24"/>
          <w:highlight w:val="none"/>
        </w:rPr>
      </w:pPr>
      <w:r>
        <w:rPr>
          <w:rFonts w:hint="eastAsia" w:ascii="宋体" w:hAnsi="宋体" w:cs="宋体"/>
          <w:sz w:val="24"/>
          <w:szCs w:val="24"/>
          <w:highlight w:val="none"/>
        </w:rPr>
        <w:t xml:space="preserve">    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autoSpaceDE w:val="0"/>
        <w:autoSpaceDN w:val="0"/>
        <w:adjustRightInd w:val="0"/>
        <w:rPr>
          <w:rFonts w:ascii="宋体" w:hAnsi="宋体" w:cs="宋体"/>
          <w:sz w:val="24"/>
          <w:szCs w:val="24"/>
          <w:highlight w:val="none"/>
        </w:rPr>
      </w:pPr>
      <w:r>
        <w:rPr>
          <w:rFonts w:hint="eastAsia" w:ascii="宋体" w:hAnsi="宋体" w:cs="宋体"/>
          <w:sz w:val="24"/>
          <w:szCs w:val="24"/>
          <w:highlight w:val="none"/>
        </w:rPr>
        <w:br w:type="page"/>
      </w:r>
    </w:p>
    <w:p>
      <w:pPr>
        <w:widowControl/>
        <w:topLinePunct/>
        <w:autoSpaceDE/>
        <w:autoSpaceDN/>
        <w:adjustRightInd w:val="0"/>
        <w:snapToGrid w:val="0"/>
        <w:spacing w:after="200" w:line="400" w:lineRule="exact"/>
        <w:jc w:val="left"/>
        <w:rPr>
          <w:rFonts w:ascii="Calibri" w:hAnsi="Calibri"/>
          <w:bCs/>
          <w:spacing w:val="0"/>
          <w:kern w:val="2"/>
          <w:sz w:val="21"/>
          <w:szCs w:val="21"/>
          <w:highlight w:val="none"/>
        </w:rPr>
      </w:pPr>
      <w:r>
        <w:rPr>
          <w:rFonts w:hint="eastAsia" w:ascii="Calibri" w:hAnsi="Calibri"/>
          <w:bCs/>
          <w:sz w:val="21"/>
          <w:szCs w:val="21"/>
          <w:highlight w:val="none"/>
        </w:rPr>
        <w:t>附件五：</w:t>
      </w:r>
    </w:p>
    <w:p>
      <w:pPr>
        <w:widowControl/>
        <w:topLinePunct/>
        <w:adjustRightInd w:val="0"/>
        <w:snapToGrid w:val="0"/>
        <w:spacing w:after="200" w:line="360" w:lineRule="auto"/>
        <w:jc w:val="center"/>
        <w:rPr>
          <w:rFonts w:ascii="宋体" w:hAnsi="宋体"/>
          <w:spacing w:val="4"/>
          <w:kern w:val="0"/>
          <w:sz w:val="36"/>
          <w:szCs w:val="36"/>
          <w:highlight w:val="none"/>
        </w:rPr>
      </w:pPr>
      <w:r>
        <w:rPr>
          <w:rFonts w:hint="eastAsia" w:ascii="宋体" w:hAnsi="宋体"/>
          <w:spacing w:val="4"/>
          <w:kern w:val="0"/>
          <w:sz w:val="36"/>
          <w:szCs w:val="36"/>
          <w:highlight w:val="none"/>
        </w:rPr>
        <w:t>主要人员简历表</w:t>
      </w:r>
    </w:p>
    <w:tbl>
      <w:tblPr>
        <w:tblStyle w:val="38"/>
        <w:tblpPr w:leftFromText="180" w:rightFromText="180" w:vertAnchor="text" w:tblpXSpec="center" w:tblpY="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26" w:type="dxa"/>
            <w:vAlign w:val="center"/>
          </w:tcPr>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姓名</w:t>
            </w:r>
          </w:p>
        </w:tc>
        <w:tc>
          <w:tcPr>
            <w:tcW w:w="2126" w:type="dxa"/>
            <w:gridSpan w:val="3"/>
            <w:vAlign w:val="center"/>
          </w:tcPr>
          <w:p>
            <w:pPr>
              <w:keepNext/>
              <w:keepLines/>
              <w:widowControl/>
              <w:topLinePunct/>
              <w:adjustRightInd w:val="0"/>
              <w:snapToGrid w:val="0"/>
              <w:spacing w:before="120" w:after="120" w:line="360" w:lineRule="auto"/>
              <w:jc w:val="center"/>
              <w:rPr>
                <w:rFonts w:ascii="宋体" w:hAnsi="宋体"/>
                <w:b/>
                <w:snapToGrid w:val="0"/>
                <w:spacing w:val="4"/>
                <w:sz w:val="24"/>
                <w:szCs w:val="24"/>
                <w:highlight w:val="none"/>
                <w:lang w:bidi="en-US"/>
              </w:rPr>
            </w:pPr>
          </w:p>
        </w:tc>
        <w:tc>
          <w:tcPr>
            <w:tcW w:w="1370" w:type="dxa"/>
            <w:gridSpan w:val="2"/>
            <w:vAlign w:val="center"/>
          </w:tcPr>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性别</w:t>
            </w:r>
          </w:p>
        </w:tc>
        <w:tc>
          <w:tcPr>
            <w:tcW w:w="1701" w:type="dxa"/>
            <w:gridSpan w:val="2"/>
            <w:vAlign w:val="center"/>
          </w:tcPr>
          <w:p>
            <w:pPr>
              <w:keepNext/>
              <w:keepLines/>
              <w:widowControl/>
              <w:topLinePunct/>
              <w:adjustRightInd w:val="0"/>
              <w:snapToGrid w:val="0"/>
              <w:spacing w:before="120" w:after="120" w:line="360" w:lineRule="auto"/>
              <w:jc w:val="center"/>
              <w:rPr>
                <w:rFonts w:ascii="宋体" w:hAnsi="宋体"/>
                <w:b/>
                <w:snapToGrid w:val="0"/>
                <w:spacing w:val="4"/>
                <w:sz w:val="24"/>
                <w:szCs w:val="24"/>
                <w:highlight w:val="none"/>
                <w:lang w:bidi="en-US"/>
              </w:rPr>
            </w:pPr>
          </w:p>
        </w:tc>
        <w:tc>
          <w:tcPr>
            <w:tcW w:w="1182" w:type="dxa"/>
            <w:vAlign w:val="center"/>
          </w:tcPr>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年龄</w:t>
            </w:r>
          </w:p>
        </w:tc>
        <w:tc>
          <w:tcPr>
            <w:tcW w:w="1620" w:type="dxa"/>
            <w:gridSpan w:val="2"/>
            <w:vAlign w:val="center"/>
          </w:tcPr>
          <w:p>
            <w:pPr>
              <w:keepNext/>
              <w:keepLines/>
              <w:widowControl/>
              <w:topLinePunct/>
              <w:adjustRightInd w:val="0"/>
              <w:snapToGrid w:val="0"/>
              <w:spacing w:before="120" w:after="120" w:line="360" w:lineRule="auto"/>
              <w:jc w:val="center"/>
              <w:rPr>
                <w:rFonts w:ascii="宋体" w:hAnsi="宋体"/>
                <w:b/>
                <w:snapToGrid w:val="0"/>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26" w:type="dxa"/>
            <w:vAlign w:val="center"/>
          </w:tcPr>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职务</w:t>
            </w:r>
          </w:p>
        </w:tc>
        <w:tc>
          <w:tcPr>
            <w:tcW w:w="2126" w:type="dxa"/>
            <w:gridSpan w:val="3"/>
            <w:vAlign w:val="center"/>
          </w:tcPr>
          <w:p>
            <w:pPr>
              <w:keepNext/>
              <w:keepLines/>
              <w:widowControl/>
              <w:topLinePunct/>
              <w:adjustRightInd w:val="0"/>
              <w:snapToGrid w:val="0"/>
              <w:spacing w:before="120" w:after="120" w:line="360" w:lineRule="auto"/>
              <w:jc w:val="center"/>
              <w:rPr>
                <w:rFonts w:ascii="宋体" w:hAnsi="宋体"/>
                <w:b/>
                <w:snapToGrid w:val="0"/>
                <w:spacing w:val="4"/>
                <w:sz w:val="24"/>
                <w:szCs w:val="24"/>
                <w:highlight w:val="none"/>
                <w:lang w:bidi="en-US"/>
              </w:rPr>
            </w:pPr>
          </w:p>
        </w:tc>
        <w:tc>
          <w:tcPr>
            <w:tcW w:w="1370" w:type="dxa"/>
            <w:gridSpan w:val="2"/>
            <w:vAlign w:val="center"/>
          </w:tcPr>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职称</w:t>
            </w:r>
          </w:p>
        </w:tc>
        <w:tc>
          <w:tcPr>
            <w:tcW w:w="1701" w:type="dxa"/>
            <w:gridSpan w:val="2"/>
            <w:vAlign w:val="center"/>
          </w:tcPr>
          <w:p>
            <w:pPr>
              <w:keepNext/>
              <w:keepLines/>
              <w:widowControl/>
              <w:topLinePunct/>
              <w:adjustRightInd w:val="0"/>
              <w:snapToGrid w:val="0"/>
              <w:spacing w:before="120" w:after="120" w:line="360" w:lineRule="auto"/>
              <w:jc w:val="center"/>
              <w:rPr>
                <w:rFonts w:ascii="宋体" w:hAnsi="宋体"/>
                <w:b/>
                <w:snapToGrid w:val="0"/>
                <w:spacing w:val="4"/>
                <w:sz w:val="24"/>
                <w:szCs w:val="24"/>
                <w:highlight w:val="none"/>
                <w:lang w:bidi="en-US"/>
              </w:rPr>
            </w:pPr>
          </w:p>
        </w:tc>
        <w:tc>
          <w:tcPr>
            <w:tcW w:w="1182" w:type="dxa"/>
            <w:vAlign w:val="center"/>
          </w:tcPr>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学历</w:t>
            </w:r>
          </w:p>
        </w:tc>
        <w:tc>
          <w:tcPr>
            <w:tcW w:w="1620" w:type="dxa"/>
            <w:gridSpan w:val="2"/>
            <w:vAlign w:val="center"/>
          </w:tcPr>
          <w:p>
            <w:pPr>
              <w:keepNext/>
              <w:keepLines/>
              <w:widowControl/>
              <w:topLinePunct/>
              <w:adjustRightInd w:val="0"/>
              <w:snapToGrid w:val="0"/>
              <w:spacing w:before="120" w:after="120" w:line="360" w:lineRule="auto"/>
              <w:jc w:val="center"/>
              <w:rPr>
                <w:rFonts w:ascii="宋体" w:hAnsi="宋体"/>
                <w:b/>
                <w:snapToGrid w:val="0"/>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526" w:type="dxa"/>
            <w:vAlign w:val="center"/>
          </w:tcPr>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参加工作</w:t>
            </w:r>
          </w:p>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时间</w:t>
            </w:r>
          </w:p>
        </w:tc>
        <w:tc>
          <w:tcPr>
            <w:tcW w:w="2126" w:type="dxa"/>
            <w:gridSpan w:val="3"/>
            <w:vAlign w:val="center"/>
          </w:tcPr>
          <w:p>
            <w:pPr>
              <w:keepNext/>
              <w:keepLines/>
              <w:widowControl/>
              <w:topLinePunct/>
              <w:adjustRightInd w:val="0"/>
              <w:snapToGrid w:val="0"/>
              <w:spacing w:before="120" w:after="120" w:line="360" w:lineRule="auto"/>
              <w:jc w:val="center"/>
              <w:rPr>
                <w:rFonts w:ascii="宋体" w:hAnsi="宋体"/>
                <w:b/>
                <w:snapToGrid w:val="0"/>
                <w:spacing w:val="4"/>
                <w:sz w:val="24"/>
                <w:szCs w:val="24"/>
                <w:highlight w:val="none"/>
                <w:lang w:bidi="en-US"/>
              </w:rPr>
            </w:pPr>
          </w:p>
        </w:tc>
        <w:tc>
          <w:tcPr>
            <w:tcW w:w="1370" w:type="dxa"/>
            <w:gridSpan w:val="2"/>
            <w:vAlign w:val="center"/>
          </w:tcPr>
          <w:p>
            <w:pPr>
              <w:widowControl/>
              <w:topLinePunct/>
              <w:adjustRightInd w:val="0"/>
              <w:snapToGrid w:val="0"/>
              <w:spacing w:after="200" w:line="360" w:lineRule="auto"/>
              <w:jc w:val="center"/>
              <w:rPr>
                <w:rFonts w:ascii="宋体" w:hAnsi="宋体"/>
                <w:b/>
                <w:snapToGrid w:val="0"/>
                <w:spacing w:val="4"/>
                <w:sz w:val="24"/>
                <w:szCs w:val="24"/>
                <w:highlight w:val="none"/>
                <w:lang w:bidi="en-US"/>
              </w:rPr>
            </w:pPr>
            <w:r>
              <w:rPr>
                <w:rFonts w:hint="eastAsia" w:ascii="宋体" w:hAnsi="宋体"/>
                <w:b/>
                <w:kern w:val="0"/>
                <w:sz w:val="24"/>
                <w:szCs w:val="24"/>
                <w:highlight w:val="none"/>
                <w:lang w:eastAsia="en-US" w:bidi="en-US"/>
              </w:rPr>
              <w:t>担任相应职务年限</w:t>
            </w:r>
          </w:p>
        </w:tc>
        <w:tc>
          <w:tcPr>
            <w:tcW w:w="4503" w:type="dxa"/>
            <w:gridSpan w:val="5"/>
            <w:vAlign w:val="center"/>
          </w:tcPr>
          <w:p>
            <w:pPr>
              <w:keepNext/>
              <w:keepLines/>
              <w:widowControl/>
              <w:topLinePunct/>
              <w:adjustRightInd w:val="0"/>
              <w:snapToGrid w:val="0"/>
              <w:spacing w:before="120" w:after="120" w:line="360" w:lineRule="auto"/>
              <w:jc w:val="center"/>
              <w:rPr>
                <w:rFonts w:ascii="宋体" w:hAnsi="宋体"/>
                <w:b/>
                <w:snapToGrid w:val="0"/>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25" w:type="dxa"/>
            <w:gridSpan w:val="11"/>
            <w:vAlign w:val="center"/>
          </w:tcPr>
          <w:p>
            <w:pPr>
              <w:widowControl/>
              <w:topLinePunct/>
              <w:adjustRightInd w:val="0"/>
              <w:snapToGrid w:val="0"/>
              <w:spacing w:after="200" w:line="360" w:lineRule="auto"/>
              <w:jc w:val="center"/>
              <w:rPr>
                <w:rFonts w:ascii="宋体" w:hAnsi="宋体"/>
                <w:b/>
                <w:snapToGrid w:val="0"/>
                <w:spacing w:val="4"/>
                <w:sz w:val="24"/>
                <w:szCs w:val="24"/>
                <w:highlight w:val="none"/>
                <w:lang w:bidi="en-US"/>
              </w:rPr>
            </w:pPr>
            <w:bookmarkStart w:id="58" w:name="_Toc395261106"/>
            <w:bookmarkStart w:id="59" w:name="_Toc449308427"/>
            <w:bookmarkStart w:id="60" w:name="_Toc358370585"/>
            <w:bookmarkStart w:id="61" w:name="_Toc239311753"/>
            <w:bookmarkStart w:id="62" w:name="_Toc352623428"/>
            <w:bookmarkStart w:id="63" w:name="_Toc163337627"/>
            <w:bookmarkStart w:id="64" w:name="_Toc318924502"/>
            <w:bookmarkStart w:id="65" w:name="_Toc226209010"/>
            <w:bookmarkStart w:id="66" w:name="_Toc369536777"/>
            <w:bookmarkStart w:id="67" w:name="_Toc352240530"/>
            <w:bookmarkStart w:id="68" w:name="_Toc337720098"/>
            <w:bookmarkStart w:id="69" w:name="_Toc239216038"/>
            <w:r>
              <w:rPr>
                <w:rFonts w:hint="eastAsia" w:ascii="宋体" w:hAnsi="宋体"/>
                <w:b/>
                <w:kern w:val="0"/>
                <w:sz w:val="24"/>
                <w:szCs w:val="24"/>
                <w:highlight w:val="none"/>
                <w:lang w:eastAsia="en-US" w:bidi="en-US"/>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48" w:type="dxa"/>
            <w:gridSpan w:val="2"/>
            <w:vAlign w:val="center"/>
          </w:tcPr>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建设单位</w:t>
            </w:r>
            <w:bookmarkEnd w:id="58"/>
            <w:bookmarkEnd w:id="59"/>
            <w:bookmarkEnd w:id="60"/>
            <w:bookmarkEnd w:id="61"/>
            <w:bookmarkEnd w:id="62"/>
            <w:bookmarkEnd w:id="63"/>
            <w:bookmarkEnd w:id="64"/>
            <w:bookmarkEnd w:id="65"/>
            <w:bookmarkEnd w:id="66"/>
            <w:bookmarkEnd w:id="67"/>
            <w:bookmarkEnd w:id="68"/>
            <w:bookmarkEnd w:id="69"/>
          </w:p>
        </w:tc>
        <w:tc>
          <w:tcPr>
            <w:tcW w:w="1547" w:type="dxa"/>
            <w:vAlign w:val="center"/>
          </w:tcPr>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项目名称</w:t>
            </w:r>
          </w:p>
        </w:tc>
        <w:tc>
          <w:tcPr>
            <w:tcW w:w="1549" w:type="dxa"/>
            <w:gridSpan w:val="2"/>
            <w:vAlign w:val="center"/>
          </w:tcPr>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建设规模</w:t>
            </w:r>
          </w:p>
        </w:tc>
        <w:tc>
          <w:tcPr>
            <w:tcW w:w="1783" w:type="dxa"/>
            <w:gridSpan w:val="2"/>
            <w:vAlign w:val="center"/>
          </w:tcPr>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开、竣工日期</w:t>
            </w:r>
          </w:p>
        </w:tc>
        <w:tc>
          <w:tcPr>
            <w:tcW w:w="1547" w:type="dxa"/>
            <w:gridSpan w:val="3"/>
            <w:vAlign w:val="center"/>
          </w:tcPr>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在建或已完</w:t>
            </w:r>
          </w:p>
        </w:tc>
        <w:tc>
          <w:tcPr>
            <w:tcW w:w="1551" w:type="dxa"/>
            <w:vAlign w:val="center"/>
          </w:tcPr>
          <w:p>
            <w:pPr>
              <w:widowControl/>
              <w:spacing w:after="200" w:line="276" w:lineRule="auto"/>
              <w:jc w:val="center"/>
              <w:rPr>
                <w:rFonts w:ascii="宋体" w:hAnsi="宋体"/>
                <w:b/>
                <w:kern w:val="0"/>
                <w:sz w:val="24"/>
                <w:szCs w:val="24"/>
                <w:highlight w:val="none"/>
                <w:lang w:eastAsia="en-US" w:bidi="en-US"/>
              </w:rPr>
            </w:pPr>
            <w:r>
              <w:rPr>
                <w:rFonts w:hint="eastAsia" w:ascii="宋体" w:hAnsi="宋体"/>
                <w:b/>
                <w:kern w:val="0"/>
                <w:sz w:val="24"/>
                <w:szCs w:val="24"/>
                <w:highlight w:val="none"/>
                <w:lang w:eastAsia="en-US" w:bidi="en-US"/>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48" w:type="dxa"/>
            <w:gridSpan w:val="2"/>
            <w:vAlign w:val="center"/>
          </w:tcPr>
          <w:p>
            <w:pPr>
              <w:widowControl/>
              <w:topLinePunct/>
              <w:adjustRightInd w:val="0"/>
              <w:snapToGrid w:val="0"/>
              <w:spacing w:after="200" w:line="360" w:lineRule="auto"/>
              <w:jc w:val="center"/>
              <w:rPr>
                <w:rFonts w:ascii="宋体" w:hAnsi="宋体"/>
                <w:b/>
                <w:snapToGrid w:val="0"/>
                <w:spacing w:val="4"/>
                <w:sz w:val="24"/>
                <w:szCs w:val="24"/>
                <w:highlight w:val="none"/>
                <w:lang w:bidi="en-US"/>
              </w:rPr>
            </w:pPr>
          </w:p>
        </w:tc>
        <w:tc>
          <w:tcPr>
            <w:tcW w:w="1547" w:type="dxa"/>
            <w:vAlign w:val="center"/>
          </w:tcPr>
          <w:p>
            <w:pPr>
              <w:widowControl/>
              <w:topLinePunct/>
              <w:adjustRightInd w:val="0"/>
              <w:snapToGrid w:val="0"/>
              <w:spacing w:after="200" w:line="360" w:lineRule="auto"/>
              <w:jc w:val="center"/>
              <w:rPr>
                <w:rFonts w:ascii="宋体" w:hAnsi="宋体"/>
                <w:b/>
                <w:snapToGrid w:val="0"/>
                <w:spacing w:val="4"/>
                <w:sz w:val="24"/>
                <w:szCs w:val="24"/>
                <w:highlight w:val="none"/>
                <w:lang w:bidi="en-US"/>
              </w:rPr>
            </w:pPr>
          </w:p>
        </w:tc>
        <w:tc>
          <w:tcPr>
            <w:tcW w:w="1549" w:type="dxa"/>
            <w:gridSpan w:val="2"/>
            <w:vAlign w:val="center"/>
          </w:tcPr>
          <w:p>
            <w:pPr>
              <w:widowControl/>
              <w:topLinePunct/>
              <w:adjustRightInd w:val="0"/>
              <w:snapToGrid w:val="0"/>
              <w:spacing w:after="200" w:line="360" w:lineRule="auto"/>
              <w:jc w:val="center"/>
              <w:rPr>
                <w:rFonts w:ascii="宋体" w:hAnsi="宋体"/>
                <w:b/>
                <w:snapToGrid w:val="0"/>
                <w:spacing w:val="4"/>
                <w:sz w:val="24"/>
                <w:szCs w:val="24"/>
                <w:highlight w:val="none"/>
                <w:lang w:bidi="en-US"/>
              </w:rPr>
            </w:pPr>
          </w:p>
        </w:tc>
        <w:tc>
          <w:tcPr>
            <w:tcW w:w="1783" w:type="dxa"/>
            <w:gridSpan w:val="2"/>
            <w:vAlign w:val="center"/>
          </w:tcPr>
          <w:p>
            <w:pPr>
              <w:widowControl/>
              <w:topLinePunct/>
              <w:adjustRightInd w:val="0"/>
              <w:snapToGrid w:val="0"/>
              <w:spacing w:after="200" w:line="360" w:lineRule="auto"/>
              <w:jc w:val="center"/>
              <w:rPr>
                <w:rFonts w:ascii="宋体" w:hAnsi="宋体"/>
                <w:b/>
                <w:snapToGrid w:val="0"/>
                <w:spacing w:val="4"/>
                <w:sz w:val="24"/>
                <w:szCs w:val="24"/>
                <w:highlight w:val="none"/>
                <w:lang w:bidi="en-US"/>
              </w:rPr>
            </w:pPr>
          </w:p>
        </w:tc>
        <w:tc>
          <w:tcPr>
            <w:tcW w:w="1547" w:type="dxa"/>
            <w:gridSpan w:val="3"/>
            <w:vAlign w:val="center"/>
          </w:tcPr>
          <w:p>
            <w:pPr>
              <w:widowControl/>
              <w:topLinePunct/>
              <w:adjustRightInd w:val="0"/>
              <w:snapToGrid w:val="0"/>
              <w:spacing w:after="200" w:line="360" w:lineRule="auto"/>
              <w:jc w:val="center"/>
              <w:rPr>
                <w:rFonts w:ascii="宋体" w:hAnsi="宋体"/>
                <w:b/>
                <w:snapToGrid w:val="0"/>
                <w:spacing w:val="4"/>
                <w:sz w:val="24"/>
                <w:szCs w:val="24"/>
                <w:highlight w:val="none"/>
                <w:lang w:bidi="en-US"/>
              </w:rPr>
            </w:pPr>
          </w:p>
        </w:tc>
        <w:tc>
          <w:tcPr>
            <w:tcW w:w="1551" w:type="dxa"/>
            <w:vAlign w:val="center"/>
          </w:tcPr>
          <w:p>
            <w:pPr>
              <w:widowControl/>
              <w:topLinePunct/>
              <w:adjustRightInd w:val="0"/>
              <w:snapToGrid w:val="0"/>
              <w:spacing w:after="200" w:line="360" w:lineRule="auto"/>
              <w:jc w:val="center"/>
              <w:rPr>
                <w:rFonts w:ascii="宋体" w:hAnsi="宋体"/>
                <w:b/>
                <w:snapToGrid w:val="0"/>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48" w:type="dxa"/>
            <w:gridSpan w:val="2"/>
            <w:vAlign w:val="center"/>
          </w:tcPr>
          <w:p>
            <w:pPr>
              <w:widowControl/>
              <w:topLinePunct/>
              <w:adjustRightInd w:val="0"/>
              <w:snapToGrid w:val="0"/>
              <w:spacing w:after="200" w:line="360" w:lineRule="auto"/>
              <w:jc w:val="center"/>
              <w:rPr>
                <w:rFonts w:ascii="宋体" w:hAnsi="宋体"/>
                <w:snapToGrid w:val="0"/>
                <w:spacing w:val="4"/>
                <w:sz w:val="24"/>
                <w:szCs w:val="24"/>
                <w:highlight w:val="none"/>
                <w:lang w:bidi="en-US"/>
              </w:rPr>
            </w:pPr>
          </w:p>
        </w:tc>
        <w:tc>
          <w:tcPr>
            <w:tcW w:w="1547" w:type="dxa"/>
            <w:vAlign w:val="center"/>
          </w:tcPr>
          <w:p>
            <w:pPr>
              <w:widowControl/>
              <w:topLinePunct/>
              <w:adjustRightInd w:val="0"/>
              <w:snapToGrid w:val="0"/>
              <w:spacing w:after="200" w:line="360" w:lineRule="auto"/>
              <w:jc w:val="center"/>
              <w:rPr>
                <w:rFonts w:ascii="宋体" w:hAnsi="宋体"/>
                <w:snapToGrid w:val="0"/>
                <w:spacing w:val="4"/>
                <w:sz w:val="24"/>
                <w:szCs w:val="24"/>
                <w:highlight w:val="none"/>
                <w:lang w:bidi="en-US"/>
              </w:rPr>
            </w:pPr>
          </w:p>
        </w:tc>
        <w:tc>
          <w:tcPr>
            <w:tcW w:w="1549" w:type="dxa"/>
            <w:gridSpan w:val="2"/>
            <w:vAlign w:val="center"/>
          </w:tcPr>
          <w:p>
            <w:pPr>
              <w:widowControl/>
              <w:topLinePunct/>
              <w:adjustRightInd w:val="0"/>
              <w:snapToGrid w:val="0"/>
              <w:spacing w:after="200" w:line="360" w:lineRule="auto"/>
              <w:jc w:val="center"/>
              <w:rPr>
                <w:rFonts w:ascii="宋体" w:hAnsi="宋体"/>
                <w:snapToGrid w:val="0"/>
                <w:spacing w:val="4"/>
                <w:sz w:val="24"/>
                <w:szCs w:val="24"/>
                <w:highlight w:val="none"/>
                <w:lang w:bidi="en-US"/>
              </w:rPr>
            </w:pPr>
          </w:p>
        </w:tc>
        <w:tc>
          <w:tcPr>
            <w:tcW w:w="1783" w:type="dxa"/>
            <w:gridSpan w:val="2"/>
            <w:vAlign w:val="center"/>
          </w:tcPr>
          <w:p>
            <w:pPr>
              <w:widowControl/>
              <w:topLinePunct/>
              <w:adjustRightInd w:val="0"/>
              <w:snapToGrid w:val="0"/>
              <w:spacing w:after="200" w:line="360" w:lineRule="auto"/>
              <w:jc w:val="center"/>
              <w:rPr>
                <w:rFonts w:ascii="宋体" w:hAnsi="宋体"/>
                <w:snapToGrid w:val="0"/>
                <w:spacing w:val="4"/>
                <w:sz w:val="24"/>
                <w:szCs w:val="24"/>
                <w:highlight w:val="none"/>
                <w:lang w:bidi="en-US"/>
              </w:rPr>
            </w:pPr>
          </w:p>
        </w:tc>
        <w:tc>
          <w:tcPr>
            <w:tcW w:w="1547" w:type="dxa"/>
            <w:gridSpan w:val="3"/>
            <w:vAlign w:val="center"/>
          </w:tcPr>
          <w:p>
            <w:pPr>
              <w:widowControl/>
              <w:topLinePunct/>
              <w:adjustRightInd w:val="0"/>
              <w:snapToGrid w:val="0"/>
              <w:spacing w:after="200" w:line="360" w:lineRule="auto"/>
              <w:jc w:val="center"/>
              <w:rPr>
                <w:rFonts w:ascii="宋体" w:hAnsi="宋体"/>
                <w:snapToGrid w:val="0"/>
                <w:spacing w:val="4"/>
                <w:sz w:val="24"/>
                <w:szCs w:val="24"/>
                <w:highlight w:val="none"/>
                <w:lang w:bidi="en-US"/>
              </w:rPr>
            </w:pPr>
          </w:p>
        </w:tc>
        <w:tc>
          <w:tcPr>
            <w:tcW w:w="1551" w:type="dxa"/>
            <w:vAlign w:val="center"/>
          </w:tcPr>
          <w:p>
            <w:pPr>
              <w:widowControl/>
              <w:topLinePunct/>
              <w:adjustRightInd w:val="0"/>
              <w:snapToGrid w:val="0"/>
              <w:spacing w:after="200" w:line="360" w:lineRule="auto"/>
              <w:jc w:val="center"/>
              <w:rPr>
                <w:rFonts w:ascii="宋体" w:hAnsi="宋体"/>
                <w:snapToGrid w:val="0"/>
                <w:spacing w:val="4"/>
                <w:sz w:val="24"/>
                <w:szCs w:val="24"/>
                <w:highlight w:val="none"/>
                <w:lang w:bidi="en-US"/>
              </w:rPr>
            </w:pPr>
          </w:p>
        </w:tc>
      </w:tr>
    </w:tbl>
    <w:p>
      <w:pPr>
        <w:rPr>
          <w:rFonts w:ascii="宋体" w:hAnsi="宋体"/>
          <w:b/>
          <w:bCs/>
          <w:sz w:val="28"/>
          <w:szCs w:val="28"/>
          <w:highlight w:val="none"/>
        </w:rPr>
      </w:pPr>
    </w:p>
    <w:p>
      <w:pPr>
        <w:widowControl/>
        <w:topLinePunct/>
        <w:adjustRightInd w:val="0"/>
        <w:snapToGrid w:val="0"/>
        <w:spacing w:after="200" w:line="360" w:lineRule="auto"/>
        <w:jc w:val="left"/>
        <w:rPr>
          <w:rFonts w:ascii="宋体" w:hAnsi="宋体"/>
          <w:spacing w:val="4"/>
          <w:kern w:val="0"/>
          <w:sz w:val="24"/>
          <w:szCs w:val="24"/>
          <w:highlight w:val="none"/>
        </w:rPr>
      </w:pPr>
    </w:p>
    <w:p>
      <w:pPr>
        <w:widowControl/>
        <w:topLinePunct/>
        <w:adjustRightInd w:val="0"/>
        <w:snapToGrid w:val="0"/>
        <w:spacing w:after="200" w:line="360" w:lineRule="auto"/>
        <w:ind w:firstLine="3826" w:firstLineChars="1543"/>
        <w:jc w:val="left"/>
        <w:rPr>
          <w:rFonts w:ascii="宋体" w:hAnsi="宋体"/>
          <w:spacing w:val="4"/>
          <w:kern w:val="0"/>
          <w:sz w:val="24"/>
          <w:szCs w:val="24"/>
          <w:highlight w:val="none"/>
        </w:rPr>
      </w:pPr>
      <w:r>
        <w:rPr>
          <w:rFonts w:hint="eastAsia" w:ascii="宋体" w:hAnsi="宋体"/>
          <w:spacing w:val="4"/>
          <w:kern w:val="0"/>
          <w:sz w:val="24"/>
          <w:szCs w:val="24"/>
          <w:highlight w:val="none"/>
        </w:rPr>
        <w:t>投标人：　　（盖章）</w:t>
      </w:r>
    </w:p>
    <w:p>
      <w:pPr>
        <w:widowControl/>
        <w:topLinePunct/>
        <w:adjustRightInd w:val="0"/>
        <w:snapToGrid w:val="0"/>
        <w:spacing w:after="200" w:line="360" w:lineRule="auto"/>
        <w:ind w:firstLine="3826" w:firstLineChars="1543"/>
        <w:jc w:val="left"/>
        <w:rPr>
          <w:rFonts w:ascii="宋体" w:hAnsi="宋体"/>
          <w:spacing w:val="4"/>
          <w:kern w:val="0"/>
          <w:sz w:val="24"/>
          <w:szCs w:val="24"/>
          <w:highlight w:val="none"/>
        </w:rPr>
      </w:pPr>
      <w:r>
        <w:rPr>
          <w:rFonts w:hint="eastAsia" w:ascii="宋体" w:hAnsi="宋体"/>
          <w:spacing w:val="4"/>
          <w:kern w:val="0"/>
          <w:sz w:val="24"/>
          <w:szCs w:val="24"/>
          <w:highlight w:val="none"/>
        </w:rPr>
        <w:t>法定代表人或授权代理人(签字或盖章)：</w:t>
      </w:r>
    </w:p>
    <w:p>
      <w:pPr>
        <w:pStyle w:val="16"/>
        <w:spacing w:line="360" w:lineRule="exact"/>
        <w:jc w:val="right"/>
        <w:rPr>
          <w:highlight w:val="none"/>
        </w:rPr>
        <w:sectPr>
          <w:pgSz w:w="11906" w:h="16838"/>
          <w:pgMar w:top="1440" w:right="1800" w:bottom="1440" w:left="1800" w:header="851" w:footer="992" w:gutter="0"/>
          <w:cols w:space="720" w:num="1"/>
          <w:docGrid w:type="lines" w:linePitch="312" w:charSpace="0"/>
        </w:sectPr>
      </w:pPr>
      <w:r>
        <w:rPr>
          <w:rFonts w:hint="eastAsia" w:ascii="宋体" w:hAnsi="宋体"/>
          <w:spacing w:val="4"/>
          <w:sz w:val="24"/>
          <w:szCs w:val="24"/>
          <w:highlight w:val="none"/>
        </w:rPr>
        <w:t>日   期：    年    月    日</w:t>
      </w:r>
    </w:p>
    <w:p>
      <w:pPr>
        <w:autoSpaceDE w:val="0"/>
        <w:autoSpaceDN w:val="0"/>
        <w:adjustRightInd w:val="0"/>
        <w:rPr>
          <w:szCs w:val="21"/>
          <w:highlight w:val="none"/>
        </w:rPr>
      </w:pPr>
      <w:r>
        <w:rPr>
          <w:rFonts w:hint="eastAsia"/>
          <w:szCs w:val="21"/>
          <w:highlight w:val="none"/>
        </w:rPr>
        <w:t>附件六：</w:t>
      </w:r>
    </w:p>
    <w:p>
      <w:pPr>
        <w:tabs>
          <w:tab w:val="left" w:pos="720"/>
        </w:tabs>
        <w:snapToGrid w:val="0"/>
        <w:spacing w:line="360" w:lineRule="auto"/>
        <w:jc w:val="center"/>
        <w:rPr>
          <w:b/>
          <w:sz w:val="32"/>
          <w:szCs w:val="32"/>
          <w:highlight w:val="none"/>
        </w:rPr>
      </w:pPr>
      <w:r>
        <w:rPr>
          <w:rFonts w:hint="eastAsia"/>
          <w:b/>
          <w:sz w:val="32"/>
          <w:szCs w:val="32"/>
          <w:highlight w:val="none"/>
        </w:rPr>
        <w:t>投标文件编制人员名单</w:t>
      </w:r>
    </w:p>
    <w:p>
      <w:pPr>
        <w:tabs>
          <w:tab w:val="left" w:pos="720"/>
        </w:tabs>
        <w:snapToGrid w:val="0"/>
        <w:spacing w:line="360" w:lineRule="auto"/>
        <w:rPr>
          <w:sz w:val="24"/>
          <w:szCs w:val="24"/>
          <w:highlight w:val="none"/>
        </w:rPr>
      </w:pPr>
    </w:p>
    <w:p>
      <w:pPr>
        <w:tabs>
          <w:tab w:val="left" w:pos="720"/>
        </w:tabs>
        <w:snapToGrid w:val="0"/>
        <w:spacing w:line="360" w:lineRule="auto"/>
        <w:jc w:val="center"/>
        <w:rPr>
          <w:szCs w:val="21"/>
          <w:highlight w:val="none"/>
        </w:rPr>
      </w:pPr>
      <w:r>
        <w:rPr>
          <w:rFonts w:hint="eastAsia"/>
          <w:szCs w:val="21"/>
          <w:highlight w:val="none"/>
        </w:rPr>
        <w:t>一、参与编制技术标投标文件人员名单</w:t>
      </w:r>
    </w:p>
    <w:tbl>
      <w:tblPr>
        <w:tblStyle w:val="3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bl>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jc w:val="center"/>
        <w:rPr>
          <w:szCs w:val="21"/>
          <w:highlight w:val="none"/>
        </w:rPr>
      </w:pPr>
      <w:r>
        <w:rPr>
          <w:rFonts w:hint="eastAsia"/>
          <w:szCs w:val="21"/>
          <w:highlight w:val="none"/>
        </w:rPr>
        <w:t>二、参与编制经济标投标文件人员名单</w:t>
      </w:r>
    </w:p>
    <w:tbl>
      <w:tblPr>
        <w:tblStyle w:val="3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bl>
    <w:p>
      <w:pPr>
        <w:tabs>
          <w:tab w:val="left" w:pos="720"/>
        </w:tabs>
        <w:snapToGrid w:val="0"/>
        <w:spacing w:line="360" w:lineRule="auto"/>
        <w:rPr>
          <w:sz w:val="24"/>
          <w:szCs w:val="24"/>
          <w:highlight w:val="none"/>
        </w:rPr>
      </w:pPr>
    </w:p>
    <w:p>
      <w:pPr>
        <w:pStyle w:val="35"/>
        <w:spacing w:after="0" w:line="360" w:lineRule="auto"/>
        <w:ind w:left="-2" w:leftChars="-1" w:firstLine="367" w:firstLineChars="175"/>
        <w:jc w:val="left"/>
        <w:rPr>
          <w:szCs w:val="21"/>
          <w:highlight w:val="none"/>
        </w:rPr>
      </w:pPr>
      <w:r>
        <w:rPr>
          <w:rFonts w:hint="eastAsia"/>
          <w:szCs w:val="21"/>
          <w:highlight w:val="none"/>
        </w:rPr>
        <w:t>注：参与编制投标文件所有人员名单应包括如编制技术投标方案、编制各种专业工程量清单投标报价、负责清样校对、负责打印及复印等所有人员在内的人员名单。</w:t>
      </w:r>
    </w:p>
    <w:p>
      <w:pPr>
        <w:rPr>
          <w:sz w:val="24"/>
          <w:szCs w:val="24"/>
          <w:highlight w:val="none"/>
        </w:rPr>
      </w:pPr>
      <w:r>
        <w:rPr>
          <w:sz w:val="24"/>
          <w:szCs w:val="24"/>
          <w:highlight w:val="none"/>
        </w:rPr>
        <w:br w:type="page"/>
      </w:r>
    </w:p>
    <w:p>
      <w:pPr>
        <w:autoSpaceDE w:val="0"/>
        <w:autoSpaceDN w:val="0"/>
        <w:adjustRightInd w:val="0"/>
        <w:rPr>
          <w:sz w:val="24"/>
          <w:szCs w:val="24"/>
          <w:highlight w:val="none"/>
        </w:rPr>
      </w:pPr>
      <w:r>
        <w:rPr>
          <w:sz w:val="24"/>
          <w:szCs w:val="24"/>
          <w:highlight w:val="none"/>
        </w:rPr>
        <w:t>附件七</w:t>
      </w:r>
    </w:p>
    <w:p>
      <w:pPr>
        <w:pStyle w:val="35"/>
        <w:spacing w:after="0" w:line="360" w:lineRule="auto"/>
        <w:ind w:firstLine="0"/>
        <w:jc w:val="center"/>
        <w:rPr>
          <w:sz w:val="32"/>
          <w:szCs w:val="32"/>
          <w:highlight w:val="none"/>
        </w:rPr>
      </w:pPr>
      <w:r>
        <w:rPr>
          <w:rFonts w:hint="eastAsia"/>
          <w:b/>
          <w:sz w:val="32"/>
          <w:szCs w:val="32"/>
          <w:highlight w:val="none"/>
        </w:rPr>
        <w:t>对投标文件编制的承诺</w:t>
      </w:r>
    </w:p>
    <w:p>
      <w:pPr>
        <w:pStyle w:val="3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本公司授权</w:t>
      </w:r>
      <w:r>
        <w:rPr>
          <w:rFonts w:hint="eastAsia" w:ascii="宋体" w:hAnsi="宋体"/>
          <w:sz w:val="24"/>
          <w:szCs w:val="24"/>
          <w:highlight w:val="none"/>
          <w:u w:val="single"/>
        </w:rPr>
        <w:t xml:space="preserve">         （身份证号：               ）</w:t>
      </w:r>
      <w:r>
        <w:rPr>
          <w:rFonts w:hint="eastAsia" w:ascii="宋体" w:hAnsi="宋体"/>
          <w:sz w:val="24"/>
          <w:szCs w:val="24"/>
          <w:highlight w:val="none"/>
        </w:rPr>
        <w:t>负责对投标文件的编制及内容进行解释、说明，并承诺以下事项：</w:t>
      </w:r>
    </w:p>
    <w:p>
      <w:pPr>
        <w:pStyle w:val="3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1.被授权人清楚投标文件编制的具体情况，包括技术方案文件、工程量清单、以及投标文件的加密打包的理解；</w:t>
      </w:r>
    </w:p>
    <w:p>
      <w:pPr>
        <w:pStyle w:val="3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2.在本项目开标至评标结束前，努力确保被授权人在项目评标所在地附近；</w:t>
      </w:r>
    </w:p>
    <w:p>
      <w:pPr>
        <w:pStyle w:val="3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3.从评标委员会要求澄清起二小时内，被授权人应如实地书面澄清。</w:t>
      </w:r>
    </w:p>
    <w:p>
      <w:pPr>
        <w:pStyle w:val="3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 xml:space="preserve">如由于未遵守上述承诺内容之一导致无法进行澄清的，我公司认可和接受评标委员会作出的评审结论。                                 </w:t>
      </w:r>
    </w:p>
    <w:p>
      <w:pPr>
        <w:pStyle w:val="35"/>
        <w:spacing w:after="0" w:line="360" w:lineRule="auto"/>
        <w:ind w:firstLine="360" w:firstLineChars="150"/>
        <w:rPr>
          <w:rFonts w:ascii="宋体" w:hAnsi="宋体"/>
          <w:sz w:val="24"/>
          <w:szCs w:val="24"/>
          <w:highlight w:val="none"/>
        </w:rPr>
      </w:pPr>
      <w:r>
        <w:rPr>
          <w:rFonts w:hint="eastAsia" w:ascii="宋体" w:hAnsi="宋体"/>
          <w:sz w:val="24"/>
          <w:szCs w:val="24"/>
          <w:highlight w:val="none"/>
        </w:rPr>
        <w:t xml:space="preserve"> </w:t>
      </w:r>
    </w:p>
    <w:p>
      <w:pPr>
        <w:pStyle w:val="35"/>
        <w:spacing w:after="0" w:line="360" w:lineRule="auto"/>
        <w:ind w:firstLine="480" w:firstLineChars="200"/>
        <w:rPr>
          <w:rFonts w:ascii="宋体" w:hAnsi="宋体"/>
          <w:sz w:val="24"/>
          <w:szCs w:val="24"/>
          <w:highlight w:val="none"/>
        </w:rPr>
      </w:pPr>
      <w:r>
        <w:rPr>
          <w:rFonts w:hint="eastAsia" w:ascii="宋体" w:hAnsi="宋体"/>
          <w:sz w:val="24"/>
          <w:szCs w:val="24"/>
          <w:highlight w:val="none"/>
        </w:rPr>
        <w:t>附件：《投标文件编制情况》</w:t>
      </w:r>
    </w:p>
    <w:p>
      <w:pPr>
        <w:spacing w:line="360" w:lineRule="auto"/>
        <w:ind w:right="90" w:firstLine="3240" w:firstLineChars="1350"/>
        <w:rPr>
          <w:rFonts w:ascii="宋体" w:hAnsi="宋体"/>
          <w:sz w:val="24"/>
          <w:szCs w:val="24"/>
          <w:highlight w:val="none"/>
          <w:u w:val="single"/>
        </w:rPr>
      </w:pPr>
      <w:r>
        <w:rPr>
          <w:rFonts w:hint="eastAsia" w:ascii="宋体" w:hAnsi="宋体"/>
          <w:sz w:val="24"/>
          <w:szCs w:val="24"/>
          <w:highlight w:val="none"/>
        </w:rPr>
        <w:t xml:space="preserve"> 投标人名称（盖法人公章）：</w:t>
      </w:r>
      <w:r>
        <w:rPr>
          <w:rFonts w:hint="eastAsia" w:ascii="宋体" w:hAnsi="宋体"/>
          <w:sz w:val="24"/>
          <w:szCs w:val="24"/>
          <w:highlight w:val="none"/>
          <w:u w:val="single"/>
        </w:rPr>
        <w:t xml:space="preserve">                  </w:t>
      </w:r>
    </w:p>
    <w:p>
      <w:pPr>
        <w:spacing w:line="360" w:lineRule="auto"/>
        <w:ind w:firstLine="2160" w:firstLineChars="900"/>
        <w:rPr>
          <w:rFonts w:ascii="宋体" w:hAnsi="宋体"/>
          <w:sz w:val="24"/>
          <w:szCs w:val="24"/>
          <w:highlight w:val="none"/>
          <w:u w:val="single"/>
        </w:rPr>
      </w:pPr>
      <w:r>
        <w:rPr>
          <w:rFonts w:hint="eastAsia" w:ascii="宋体" w:hAnsi="宋体"/>
          <w:sz w:val="24"/>
          <w:szCs w:val="24"/>
          <w:highlight w:val="none"/>
        </w:rPr>
        <w:t>法定代表人或被授权人（签字或盖章）：</w:t>
      </w:r>
      <w:r>
        <w:rPr>
          <w:rFonts w:hint="eastAsia" w:ascii="宋体" w:hAnsi="宋体"/>
          <w:sz w:val="24"/>
          <w:szCs w:val="24"/>
          <w:highlight w:val="none"/>
          <w:u w:val="single"/>
        </w:rPr>
        <w:t xml:space="preserve">                  </w:t>
      </w:r>
    </w:p>
    <w:p>
      <w:pPr>
        <w:spacing w:line="360" w:lineRule="auto"/>
        <w:ind w:firstLine="4440" w:firstLineChars="1850"/>
        <w:jc w:val="center"/>
        <w:rPr>
          <w:sz w:val="24"/>
          <w:szCs w:val="24"/>
          <w:highlight w:val="none"/>
        </w:rPr>
      </w:pPr>
      <w:r>
        <w:rPr>
          <w:rFonts w:hint="eastAsia"/>
          <w:sz w:val="24"/>
          <w:szCs w:val="24"/>
          <w:highlight w:val="none"/>
        </w:rPr>
        <w:t xml:space="preserve"> 日期：      年   月   日 </w:t>
      </w:r>
      <w:r>
        <w:rPr>
          <w:rFonts w:hint="eastAsia"/>
          <w:sz w:val="18"/>
          <w:szCs w:val="18"/>
          <w:highlight w:val="none"/>
        </w:rPr>
        <w:t xml:space="preserve"> </w:t>
      </w:r>
      <w:r>
        <w:rPr>
          <w:rFonts w:hint="eastAsia"/>
          <w:sz w:val="24"/>
          <w:szCs w:val="24"/>
          <w:highlight w:val="none"/>
        </w:rPr>
        <w:t xml:space="preserve">    </w:t>
      </w:r>
    </w:p>
    <w:p>
      <w:pPr>
        <w:pStyle w:val="35"/>
        <w:spacing w:after="0" w:line="360" w:lineRule="auto"/>
        <w:ind w:firstLine="0"/>
        <w:rPr>
          <w:b/>
          <w:sz w:val="32"/>
          <w:szCs w:val="32"/>
          <w:highlight w:val="none"/>
        </w:rPr>
      </w:pPr>
    </w:p>
    <w:p>
      <w:pPr>
        <w:pStyle w:val="35"/>
        <w:spacing w:after="0" w:line="360" w:lineRule="auto"/>
        <w:ind w:firstLine="643" w:firstLineChars="200"/>
        <w:jc w:val="center"/>
        <w:rPr>
          <w:sz w:val="18"/>
          <w:szCs w:val="18"/>
          <w:highlight w:val="none"/>
        </w:rPr>
      </w:pPr>
      <w:r>
        <w:rPr>
          <w:rFonts w:hint="eastAsia"/>
          <w:b/>
          <w:sz w:val="32"/>
          <w:szCs w:val="32"/>
          <w:highlight w:val="none"/>
        </w:rPr>
        <w:t>投标文件编制情况</w:t>
      </w:r>
    </w:p>
    <w:p>
      <w:pPr>
        <w:pStyle w:val="35"/>
        <w:spacing w:after="0"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rPr>
        <w:t>1.投标文件报价编制方式: □自行编制的，编制的负责人：</w:t>
      </w:r>
      <w:r>
        <w:rPr>
          <w:rFonts w:hint="eastAsia" w:ascii="宋体" w:hAnsi="宋体"/>
          <w:color w:val="000000"/>
          <w:sz w:val="24"/>
          <w:szCs w:val="24"/>
          <w:highlight w:val="none"/>
          <w:u w:val="single"/>
        </w:rPr>
        <w:t xml:space="preserve"> （盖造价工程师执业专用章或全国建设工程造价员章，执业单位应与投标人一致） </w:t>
      </w:r>
      <w:r>
        <w:rPr>
          <w:rFonts w:hint="eastAsia" w:ascii="宋体" w:hAnsi="宋体"/>
          <w:color w:val="000000"/>
          <w:sz w:val="24"/>
          <w:szCs w:val="24"/>
          <w:highlight w:val="none"/>
        </w:rPr>
        <w:t>。□委托编制的，受委托单位</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，编制的负责人：</w:t>
      </w:r>
      <w:r>
        <w:rPr>
          <w:rFonts w:hint="eastAsia" w:ascii="宋体" w:hAnsi="宋体"/>
          <w:color w:val="000000"/>
          <w:sz w:val="24"/>
          <w:szCs w:val="24"/>
          <w:highlight w:val="none"/>
          <w:u w:val="single"/>
        </w:rPr>
        <w:t xml:space="preserve"> （盖造价工程师执业专用章或全国建设工程造价员章，执业单位应与受委托单位一致） </w:t>
      </w:r>
      <w:r>
        <w:rPr>
          <w:rFonts w:hint="eastAsia" w:ascii="宋体" w:hAnsi="宋体"/>
          <w:color w:val="000000"/>
          <w:sz w:val="24"/>
          <w:szCs w:val="24"/>
          <w:highlight w:val="none"/>
        </w:rPr>
        <w:t>。</w:t>
      </w:r>
    </w:p>
    <w:p>
      <w:pPr>
        <w:pStyle w:val="35"/>
        <w:spacing w:after="0" w:line="360" w:lineRule="auto"/>
        <w:ind w:firstLine="480" w:firstLineChars="200"/>
        <w:rPr>
          <w:rFonts w:ascii="宋体" w:hAnsi="宋体"/>
          <w:sz w:val="24"/>
          <w:szCs w:val="24"/>
          <w:highlight w:val="none"/>
        </w:rPr>
      </w:pPr>
      <w:r>
        <w:rPr>
          <w:rFonts w:hint="eastAsia" w:ascii="宋体" w:hAnsi="宋体"/>
          <w:sz w:val="24"/>
          <w:szCs w:val="24"/>
          <w:highlight w:val="none"/>
        </w:rPr>
        <w:t>2.投标文件加密打包的电脑情况</w:t>
      </w:r>
    </w:p>
    <w:tbl>
      <w:tblPr>
        <w:tblStyle w:val="38"/>
        <w:tblW w:w="8306" w:type="dxa"/>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819" w:hRule="atLeast"/>
        </w:trPr>
        <w:tc>
          <w:tcPr>
            <w:tcW w:w="8306" w:type="dxa"/>
            <w:shd w:val="clear" w:color="auto" w:fill="auto"/>
          </w:tcPr>
          <w:p>
            <w:pPr>
              <w:pStyle w:val="35"/>
              <w:spacing w:after="0" w:line="360" w:lineRule="auto"/>
              <w:ind w:firstLine="0"/>
              <w:rPr>
                <w:rFonts w:ascii="宋体" w:hAnsi="宋体"/>
                <w:sz w:val="24"/>
                <w:szCs w:val="24"/>
                <w:highlight w:val="none"/>
              </w:rPr>
            </w:pPr>
            <w:r>
              <w:rPr>
                <w:rFonts w:hint="eastAsia" w:ascii="宋体" w:hAnsi="宋体"/>
                <w:sz w:val="24"/>
                <w:szCs w:val="24"/>
                <w:highlight w:val="none"/>
              </w:rPr>
              <w:t>投标文件加密打包的电脑     自有    □      外包    □     其他    □</w:t>
            </w:r>
          </w:p>
          <w:p>
            <w:pPr>
              <w:pStyle w:val="35"/>
              <w:spacing w:after="0" w:line="360" w:lineRule="auto"/>
              <w:ind w:firstLine="0"/>
              <w:rPr>
                <w:rFonts w:ascii="宋体" w:hAnsi="宋体"/>
                <w:sz w:val="24"/>
                <w:szCs w:val="24"/>
                <w:highlight w:val="none"/>
              </w:rPr>
            </w:pPr>
            <w:r>
              <w:rPr>
                <w:rFonts w:hint="eastAsia" w:ascii="宋体" w:hAnsi="宋体"/>
                <w:sz w:val="24"/>
                <w:szCs w:val="24"/>
                <w:highlight w:val="none"/>
              </w:rPr>
              <w:t>电脑类型</w:t>
            </w:r>
          </w:p>
          <w:p>
            <w:pPr>
              <w:pStyle w:val="35"/>
              <w:spacing w:after="0" w:line="360" w:lineRule="auto"/>
              <w:ind w:firstLine="0"/>
              <w:rPr>
                <w:rFonts w:ascii="宋体" w:hAnsi="宋体"/>
                <w:sz w:val="24"/>
                <w:szCs w:val="24"/>
                <w:highlight w:val="none"/>
              </w:rPr>
            </w:pPr>
            <w:r>
              <w:rPr>
                <w:rFonts w:hint="eastAsia" w:ascii="宋体" w:hAnsi="宋体"/>
                <w:sz w:val="24"/>
                <w:szCs w:val="24"/>
                <w:highlight w:val="none"/>
              </w:rPr>
              <w:t>电脑所属单位</w:t>
            </w:r>
          </w:p>
          <w:p>
            <w:pPr>
              <w:pStyle w:val="35"/>
              <w:spacing w:after="0" w:line="360" w:lineRule="auto"/>
              <w:ind w:firstLine="0"/>
              <w:rPr>
                <w:rFonts w:ascii="宋体" w:hAnsi="宋体"/>
                <w:sz w:val="24"/>
                <w:szCs w:val="24"/>
                <w:highlight w:val="none"/>
              </w:rPr>
            </w:pPr>
            <w:r>
              <w:rPr>
                <w:rFonts w:hint="eastAsia" w:ascii="宋体" w:hAnsi="宋体"/>
                <w:sz w:val="24"/>
                <w:szCs w:val="24"/>
                <w:highlight w:val="none"/>
              </w:rPr>
              <w:t>电脑所在地址        （如××市××区(县) ××街（路）××号××大厦××房）</w:t>
            </w:r>
          </w:p>
        </w:tc>
      </w:tr>
    </w:tbl>
    <w:p>
      <w:pPr>
        <w:rPr>
          <w:sz w:val="24"/>
          <w:szCs w:val="24"/>
          <w:highlight w:val="none"/>
        </w:rPr>
      </w:pPr>
      <w:r>
        <w:rPr>
          <w:sz w:val="24"/>
          <w:szCs w:val="24"/>
          <w:highlight w:val="none"/>
        </w:rPr>
        <w:br w:type="page"/>
      </w:r>
    </w:p>
    <w:p>
      <w:pPr>
        <w:autoSpaceDE w:val="0"/>
        <w:autoSpaceDN w:val="0"/>
        <w:adjustRightInd w:val="0"/>
        <w:rPr>
          <w:sz w:val="24"/>
          <w:szCs w:val="24"/>
          <w:highlight w:val="none"/>
        </w:rPr>
      </w:pPr>
      <w:r>
        <w:rPr>
          <w:sz w:val="24"/>
          <w:szCs w:val="24"/>
          <w:highlight w:val="none"/>
        </w:rPr>
        <w:t>附件八：</w:t>
      </w:r>
    </w:p>
    <w:p>
      <w:pPr>
        <w:pStyle w:val="35"/>
        <w:spacing w:after="0" w:line="336" w:lineRule="auto"/>
        <w:ind w:left="-2" w:leftChars="-1" w:firstLine="422" w:firstLineChars="175"/>
        <w:jc w:val="center"/>
        <w:rPr>
          <w:rFonts w:ascii="宋体" w:hAnsi="宋体" w:cs="宋体"/>
          <w:b/>
          <w:sz w:val="24"/>
          <w:szCs w:val="24"/>
          <w:highlight w:val="none"/>
        </w:rPr>
      </w:pPr>
      <w:r>
        <w:rPr>
          <w:rFonts w:hint="eastAsia" w:ascii="宋体" w:hAnsi="宋体" w:cs="宋体"/>
          <w:b/>
          <w:sz w:val="24"/>
          <w:szCs w:val="24"/>
          <w:highlight w:val="none"/>
        </w:rPr>
        <w:t>项目负责人驻场承诺书</w:t>
      </w:r>
    </w:p>
    <w:p>
      <w:pPr>
        <w:pStyle w:val="35"/>
        <w:spacing w:after="0" w:line="336" w:lineRule="auto"/>
        <w:ind w:left="-2" w:leftChars="-1" w:firstLineChars="175"/>
        <w:jc w:val="center"/>
        <w:rPr>
          <w:rFonts w:ascii="宋体" w:hAnsi="宋体" w:cs="宋体"/>
          <w:sz w:val="24"/>
          <w:szCs w:val="24"/>
          <w:highlight w:val="none"/>
          <w:u w:val="single"/>
        </w:rPr>
      </w:pPr>
    </w:p>
    <w:p>
      <w:pPr>
        <w:spacing w:line="336" w:lineRule="auto"/>
        <w:rPr>
          <w:rFonts w:ascii="宋体" w:hAnsi="宋体" w:cs="宋体"/>
          <w:sz w:val="24"/>
          <w:szCs w:val="24"/>
          <w:highlight w:val="none"/>
          <w:u w:val="single"/>
        </w:rPr>
      </w:pPr>
      <w:r>
        <w:rPr>
          <w:rFonts w:hint="eastAsia" w:ascii="宋体" w:hAnsi="宋体" w:cs="宋体"/>
          <w:sz w:val="24"/>
          <w:szCs w:val="24"/>
          <w:highlight w:val="none"/>
          <w:u w:val="single"/>
        </w:rPr>
        <w:t>致（业主/监理）                                           ：</w:t>
      </w:r>
    </w:p>
    <w:p>
      <w:pPr>
        <w:spacing w:line="336" w:lineRule="auto"/>
        <w:rPr>
          <w:rFonts w:ascii="宋体" w:hAnsi="宋体" w:cs="宋体"/>
          <w:sz w:val="24"/>
          <w:szCs w:val="24"/>
          <w:highlight w:val="none"/>
          <w:u w:val="single"/>
        </w:rPr>
      </w:pPr>
    </w:p>
    <w:p>
      <w:pPr>
        <w:spacing w:line="336" w:lineRule="auto"/>
        <w:ind w:firstLine="523" w:firstLineChars="218"/>
        <w:jc w:val="left"/>
        <w:rPr>
          <w:rFonts w:ascii="宋体" w:hAnsi="宋体" w:cs="宋体"/>
          <w:sz w:val="24"/>
          <w:szCs w:val="24"/>
          <w:highlight w:val="none"/>
          <w:u w:val="single"/>
        </w:rPr>
      </w:pPr>
      <w:r>
        <w:rPr>
          <w:rFonts w:hint="eastAsia" w:ascii="宋体" w:hAnsi="宋体" w:cs="宋体"/>
          <w:sz w:val="24"/>
          <w:szCs w:val="24"/>
          <w:highlight w:val="none"/>
          <w:u w:val="single"/>
        </w:rPr>
        <w:t xml:space="preserve">本人（姓名）              ，项目负责人证书注册编号：                       </w:t>
      </w:r>
    </w:p>
    <w:p>
      <w:pPr>
        <w:spacing w:line="336" w:lineRule="auto"/>
        <w:ind w:left="1"/>
        <w:jc w:val="left"/>
        <w:rPr>
          <w:rFonts w:ascii="宋体" w:hAnsi="宋体" w:cs="宋体"/>
          <w:sz w:val="24"/>
          <w:szCs w:val="24"/>
          <w:highlight w:val="none"/>
          <w:u w:val="single"/>
        </w:rPr>
      </w:pPr>
      <w:r>
        <w:rPr>
          <w:rFonts w:hint="eastAsia" w:ascii="宋体" w:hAnsi="宋体" w:cs="宋体"/>
          <w:sz w:val="24"/>
          <w:szCs w:val="24"/>
          <w:highlight w:val="none"/>
          <w:u w:val="single"/>
        </w:rPr>
        <w:t>受（投标人）                                                              委派，拟在（项目名称）                                                   担任项目负责人一职。为加强本工程项目管理，保证我公司在中标后严格履行与业主签定的工程建设承包合同，圆满的完成本项工程，我愿就此做出以下承诺；</w:t>
      </w:r>
    </w:p>
    <w:p>
      <w:pPr>
        <w:spacing w:line="336"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spacing w:line="336"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2．如果本招标工程我公司中标，我本人保证在工程签订合同之日起至工程竣工验收完成期间只担任此工程的项目经理，不参加其他任何工程的报名和任何工作，不在其他任何工程担任职务。</w:t>
      </w:r>
    </w:p>
    <w:p>
      <w:pPr>
        <w:spacing w:line="336"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pPr>
        <w:spacing w:line="336"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4．项目负责人本人身份证复印件和两寸相片：</w:t>
      </w:r>
    </w:p>
    <w:p>
      <w:pPr>
        <w:spacing w:line="336" w:lineRule="auto"/>
        <w:rPr>
          <w:rFonts w:ascii="宋体" w:hAnsi="宋体" w:cs="宋体"/>
          <w:sz w:val="24"/>
          <w:szCs w:val="24"/>
          <w:highlight w:val="none"/>
          <w:u w:val="singl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043"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szCs w:val="21"/>
                <w:highlight w:val="none"/>
                <w:u w:val="single"/>
              </w:rPr>
            </w:pPr>
          </w:p>
          <w:p>
            <w:pPr>
              <w:spacing w:line="336" w:lineRule="auto"/>
              <w:jc w:val="center"/>
              <w:rPr>
                <w:rFonts w:ascii="宋体" w:hAnsi="宋体" w:cs="宋体"/>
                <w:szCs w:val="21"/>
                <w:highlight w:val="none"/>
                <w:u w:val="single"/>
              </w:rPr>
            </w:pPr>
          </w:p>
          <w:p>
            <w:pPr>
              <w:spacing w:line="336" w:lineRule="auto"/>
              <w:jc w:val="center"/>
              <w:rPr>
                <w:rFonts w:ascii="宋体" w:hAnsi="宋体" w:cs="宋体"/>
                <w:szCs w:val="21"/>
                <w:highlight w:val="none"/>
                <w:u w:val="single"/>
              </w:rPr>
            </w:pPr>
          </w:p>
          <w:p>
            <w:pPr>
              <w:spacing w:line="336" w:lineRule="auto"/>
              <w:jc w:val="center"/>
              <w:rPr>
                <w:rFonts w:ascii="宋体" w:hAnsi="宋体" w:cs="宋体"/>
                <w:szCs w:val="21"/>
                <w:highlight w:val="none"/>
                <w:u w:val="single"/>
              </w:rPr>
            </w:pPr>
            <w:r>
              <w:rPr>
                <w:rFonts w:hint="eastAsia" w:ascii="宋体" w:hAnsi="宋体" w:cs="宋体"/>
                <w:szCs w:val="21"/>
                <w:highlight w:val="none"/>
                <w:u w:val="single"/>
              </w:rPr>
              <w:t>身份证复印件</w:t>
            </w:r>
          </w:p>
        </w:tc>
        <w:tc>
          <w:tcPr>
            <w:tcW w:w="2492"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szCs w:val="21"/>
                <w:highlight w:val="none"/>
                <w:u w:val="single"/>
              </w:rPr>
            </w:pPr>
          </w:p>
          <w:p>
            <w:pPr>
              <w:spacing w:line="336" w:lineRule="auto"/>
              <w:jc w:val="center"/>
              <w:rPr>
                <w:rFonts w:ascii="宋体" w:hAnsi="宋体" w:cs="宋体"/>
                <w:szCs w:val="21"/>
                <w:highlight w:val="none"/>
                <w:u w:val="single"/>
              </w:rPr>
            </w:pPr>
          </w:p>
          <w:p>
            <w:pPr>
              <w:spacing w:line="336" w:lineRule="auto"/>
              <w:jc w:val="center"/>
              <w:rPr>
                <w:rFonts w:ascii="宋体" w:hAnsi="宋体" w:cs="宋体"/>
                <w:szCs w:val="21"/>
                <w:highlight w:val="none"/>
                <w:u w:val="single"/>
              </w:rPr>
            </w:pPr>
          </w:p>
          <w:p>
            <w:pPr>
              <w:spacing w:line="336" w:lineRule="auto"/>
              <w:jc w:val="center"/>
              <w:rPr>
                <w:rFonts w:ascii="宋体" w:hAnsi="宋体" w:cs="宋体"/>
                <w:szCs w:val="21"/>
                <w:highlight w:val="none"/>
                <w:u w:val="single"/>
              </w:rPr>
            </w:pPr>
            <w:r>
              <w:rPr>
                <w:rFonts w:hint="eastAsia" w:ascii="宋体" w:hAnsi="宋体" w:cs="宋体"/>
                <w:szCs w:val="21"/>
                <w:highlight w:val="none"/>
                <w:u w:val="single"/>
              </w:rPr>
              <w:t>相片</w:t>
            </w:r>
          </w:p>
        </w:tc>
      </w:tr>
    </w:tbl>
    <w:p>
      <w:pPr>
        <w:spacing w:line="336" w:lineRule="auto"/>
        <w:rPr>
          <w:rFonts w:ascii="宋体" w:hAnsi="宋体" w:cs="宋体"/>
          <w:sz w:val="24"/>
          <w:szCs w:val="24"/>
          <w:highlight w:val="none"/>
          <w:u w:val="single"/>
        </w:rPr>
      </w:pPr>
    </w:p>
    <w:p>
      <w:pPr>
        <w:spacing w:line="336" w:lineRule="auto"/>
        <w:ind w:firstLine="3840" w:firstLineChars="1600"/>
        <w:rPr>
          <w:rFonts w:ascii="宋体" w:hAnsi="宋体" w:cs="宋体"/>
          <w:sz w:val="24"/>
          <w:szCs w:val="24"/>
          <w:highlight w:val="none"/>
          <w:u w:val="single"/>
        </w:rPr>
      </w:pPr>
      <w:r>
        <w:rPr>
          <w:rFonts w:hint="eastAsia" w:ascii="宋体" w:hAnsi="宋体" w:cs="宋体"/>
          <w:sz w:val="24"/>
          <w:szCs w:val="24"/>
          <w:highlight w:val="none"/>
          <w:u w:val="single"/>
        </w:rPr>
        <w:t>投标人：（盖章）</w:t>
      </w:r>
    </w:p>
    <w:p>
      <w:pPr>
        <w:spacing w:line="336" w:lineRule="auto"/>
        <w:ind w:firstLine="3840" w:firstLineChars="1600"/>
        <w:rPr>
          <w:rFonts w:ascii="宋体" w:hAnsi="宋体" w:cs="宋体"/>
          <w:sz w:val="24"/>
          <w:szCs w:val="24"/>
          <w:highlight w:val="none"/>
          <w:u w:val="single"/>
        </w:rPr>
      </w:pPr>
      <w:r>
        <w:rPr>
          <w:rFonts w:hint="eastAsia" w:ascii="宋体" w:hAnsi="宋体" w:cs="宋体"/>
          <w:sz w:val="24"/>
          <w:szCs w:val="24"/>
          <w:highlight w:val="none"/>
          <w:u w:val="single"/>
        </w:rPr>
        <w:t xml:space="preserve">项目负责人签名：                 </w:t>
      </w:r>
    </w:p>
    <w:p>
      <w:pPr>
        <w:tabs>
          <w:tab w:val="left" w:pos="720"/>
        </w:tabs>
        <w:snapToGrid w:val="0"/>
        <w:spacing w:line="336" w:lineRule="auto"/>
        <w:jc w:val="center"/>
        <w:rPr>
          <w:rFonts w:ascii="宋体" w:hAnsi="宋体" w:cs="宋体"/>
          <w:bCs/>
          <w:sz w:val="32"/>
          <w:szCs w:val="32"/>
          <w:highlight w:val="none"/>
        </w:rPr>
      </w:pPr>
      <w:r>
        <w:rPr>
          <w:rFonts w:hint="eastAsia" w:ascii="宋体" w:hAnsi="宋体" w:cs="宋体"/>
          <w:sz w:val="24"/>
          <w:szCs w:val="24"/>
          <w:highlight w:val="none"/>
          <w:u w:val="single"/>
        </w:rPr>
        <w:t>年   月    日</w:t>
      </w:r>
      <w:r>
        <w:rPr>
          <w:sz w:val="24"/>
          <w:szCs w:val="24"/>
          <w:highlight w:val="none"/>
        </w:rPr>
        <w:br w:type="page"/>
      </w:r>
      <w:bookmarkStart w:id="70" w:name="_Toc2272568"/>
      <w:bookmarkStart w:id="71" w:name="_Toc21525513"/>
      <w:r>
        <w:rPr>
          <w:rFonts w:hint="eastAsia" w:ascii="宋体" w:hAnsi="宋体" w:cs="宋体"/>
          <w:bCs/>
          <w:sz w:val="32"/>
          <w:szCs w:val="32"/>
          <w:highlight w:val="none"/>
        </w:rPr>
        <w:t>第五章 技术条件（工程建设标准）</w:t>
      </w:r>
      <w:bookmarkEnd w:id="70"/>
      <w:bookmarkEnd w:id="71"/>
    </w:p>
    <w:p>
      <w:pPr>
        <w:pStyle w:val="3"/>
        <w:rPr>
          <w:rFonts w:ascii="宋体" w:hAnsi="宋体" w:cs="宋体"/>
          <w:bCs/>
          <w:sz w:val="32"/>
          <w:szCs w:val="32"/>
          <w:highlight w:val="none"/>
        </w:rPr>
      </w:pPr>
      <w:r>
        <w:rPr>
          <w:rFonts w:hint="eastAsia" w:ascii="宋体" w:hAnsi="宋体"/>
          <w:sz w:val="24"/>
          <w:szCs w:val="24"/>
          <w:highlight w:val="none"/>
        </w:rPr>
        <w:t>以现行的中华人民共和国及有关部委颁布的标准、规范、和规程。若施工时期建设主管部门颁布新的规范、标准，则按照新的规范、标准执行。</w:t>
      </w:r>
      <w:r>
        <w:rPr>
          <w:sz w:val="24"/>
          <w:szCs w:val="24"/>
          <w:highlight w:val="none"/>
        </w:rPr>
        <w:br w:type="page"/>
      </w:r>
      <w:bookmarkStart w:id="72" w:name="_Toc21525514"/>
      <w:bookmarkStart w:id="73" w:name="_Toc2272569"/>
      <w:r>
        <w:rPr>
          <w:rFonts w:hint="eastAsia" w:ascii="宋体" w:hAnsi="宋体" w:cs="宋体"/>
          <w:bCs/>
          <w:sz w:val="32"/>
          <w:szCs w:val="32"/>
          <w:highlight w:val="none"/>
        </w:rPr>
        <w:t>第六章  图纸及勘察资料</w:t>
      </w:r>
      <w:bookmarkEnd w:id="72"/>
      <w:bookmarkEnd w:id="73"/>
    </w:p>
    <w:p>
      <w:pPr>
        <w:rPr>
          <w:rFonts w:ascii="宋体"/>
          <w:b/>
          <w:sz w:val="24"/>
          <w:szCs w:val="24"/>
          <w:highlight w:val="none"/>
        </w:rPr>
      </w:pPr>
      <w:r>
        <w:rPr>
          <w:rFonts w:hint="eastAsia" w:ascii="宋体" w:hAnsi="宋体"/>
          <w:sz w:val="24"/>
          <w:szCs w:val="24"/>
          <w:highlight w:val="none"/>
        </w:rPr>
        <w:t>注：本章由招标人自行制定，另册。</w:t>
      </w:r>
    </w:p>
    <w:p>
      <w:pPr>
        <w:pStyle w:val="3"/>
        <w:rPr>
          <w:rFonts w:ascii="宋体" w:hAnsi="宋体" w:cs="宋体"/>
          <w:bCs/>
          <w:sz w:val="32"/>
          <w:szCs w:val="32"/>
          <w:highlight w:val="none"/>
        </w:rPr>
      </w:pPr>
      <w:r>
        <w:rPr>
          <w:sz w:val="24"/>
          <w:szCs w:val="24"/>
          <w:highlight w:val="none"/>
        </w:rPr>
        <w:br w:type="page"/>
      </w:r>
      <w:bookmarkStart w:id="74" w:name="_Toc21525515"/>
      <w:bookmarkStart w:id="75" w:name="_Toc2272570"/>
      <w:r>
        <w:rPr>
          <w:rFonts w:hint="eastAsia" w:ascii="宋体" w:hAnsi="宋体" w:cs="宋体"/>
          <w:bCs/>
          <w:sz w:val="32"/>
          <w:szCs w:val="32"/>
          <w:highlight w:val="none"/>
        </w:rPr>
        <w:t>第七章  工程量清单</w:t>
      </w:r>
      <w:bookmarkEnd w:id="74"/>
      <w:bookmarkEnd w:id="75"/>
    </w:p>
    <w:p>
      <w:pPr>
        <w:rPr>
          <w:rFonts w:ascii="宋体"/>
          <w:b/>
          <w:sz w:val="24"/>
          <w:szCs w:val="24"/>
          <w:highlight w:val="none"/>
        </w:rPr>
      </w:pPr>
      <w:r>
        <w:rPr>
          <w:rFonts w:hint="eastAsia" w:ascii="宋体" w:hAnsi="宋体"/>
          <w:sz w:val="24"/>
          <w:szCs w:val="24"/>
          <w:highlight w:val="none"/>
        </w:rPr>
        <w:t>注：本章由招标人自行制定。</w:t>
      </w:r>
    </w:p>
    <w:p>
      <w:pPr>
        <w:pStyle w:val="35"/>
        <w:spacing w:after="0" w:line="360" w:lineRule="auto"/>
        <w:ind w:left="-2" w:leftChars="-1" w:firstLine="960" w:firstLineChars="400"/>
        <w:rPr>
          <w:rFonts w:ascii="宋体"/>
          <w:sz w:val="24"/>
          <w:highlight w:val="none"/>
        </w:rPr>
      </w:pPr>
    </w:p>
    <w:p>
      <w:pPr>
        <w:pStyle w:val="3"/>
        <w:rPr>
          <w:highlight w:val="none"/>
        </w:rPr>
      </w:pPr>
    </w:p>
    <w:p>
      <w:pPr>
        <w:pStyle w:val="3"/>
        <w:rPr>
          <w:rFonts w:ascii="宋体"/>
          <w:highlight w:val="none"/>
        </w:rPr>
      </w:pPr>
      <w:r>
        <w:rPr>
          <w:sz w:val="24"/>
          <w:szCs w:val="24"/>
          <w:highlight w:val="none"/>
        </w:rPr>
        <w:br w:type="page"/>
      </w:r>
      <w:bookmarkStart w:id="76" w:name="_Toc2272571"/>
      <w:bookmarkStart w:id="77" w:name="_Toc21525516"/>
      <w:r>
        <w:rPr>
          <w:rFonts w:hint="eastAsia"/>
          <w:highlight w:val="none"/>
        </w:rPr>
        <w:t>第八章</w:t>
      </w:r>
      <w:r>
        <w:rPr>
          <w:highlight w:val="none"/>
        </w:rPr>
        <w:t xml:space="preserve">  </w:t>
      </w:r>
      <w:r>
        <w:rPr>
          <w:rFonts w:hint="eastAsia"/>
          <w:highlight w:val="none"/>
        </w:rPr>
        <w:t>最高投标限价</w:t>
      </w:r>
      <w:bookmarkEnd w:id="76"/>
      <w:bookmarkEnd w:id="77"/>
    </w:p>
    <w:p>
      <w:pPr>
        <w:jc w:val="center"/>
        <w:rPr>
          <w:highlight w:val="none"/>
        </w:rPr>
      </w:pPr>
      <w:r>
        <w:rPr>
          <w:rFonts w:hint="eastAsia" w:ascii="宋体" w:hAnsi="宋体"/>
          <w:color w:val="000000"/>
          <w:sz w:val="24"/>
          <w:szCs w:val="24"/>
          <w:highlight w:val="none"/>
        </w:rPr>
        <w:t>详见最高限价公布函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92"/>
      <w:jc w:val="right"/>
      <w:rPr>
        <w:rStyle w:val="43"/>
      </w:rPr>
    </w:pPr>
    <w:r>
      <w:rPr>
        <w:rStyle w:val="43"/>
      </w:rPr>
      <w:fldChar w:fldCharType="begin"/>
    </w:r>
    <w:r>
      <w:rPr>
        <w:rStyle w:val="43"/>
      </w:rPr>
      <w:instrText xml:space="preserve">PAGE  </w:instrText>
    </w:r>
    <w:r>
      <w:rPr>
        <w:rStyle w:val="43"/>
      </w:rPr>
      <w:fldChar w:fldCharType="separate"/>
    </w:r>
    <w:r>
      <w:rPr>
        <w:rStyle w:val="43"/>
      </w:rPr>
      <w:t>5</w:t>
    </w:r>
    <w:r>
      <w:rPr>
        <w:rStyle w:val="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92"/>
      <w:rPr>
        <w:rStyle w:val="43"/>
      </w:rPr>
    </w:pPr>
    <w:r>
      <w:rPr>
        <w:rStyle w:val="43"/>
      </w:rPr>
      <w:fldChar w:fldCharType="begin"/>
    </w:r>
    <w:r>
      <w:rPr>
        <w:rStyle w:val="43"/>
      </w:rPr>
      <w:instrText xml:space="preserve">PAGE  </w:instrText>
    </w:r>
    <w:r>
      <w:rPr>
        <w:rStyle w:val="43"/>
      </w:rPr>
      <w:fldChar w:fldCharType="separate"/>
    </w:r>
    <w:r>
      <w:rPr>
        <w:rStyle w:val="43"/>
        <w:rFonts w:hint="eastAsia"/>
      </w:rPr>
      <w:t>一</w:t>
    </w:r>
    <w:r>
      <w:rPr>
        <w:rStyle w:val="43"/>
      </w:rPr>
      <w:t>–2</w:t>
    </w:r>
    <w:r>
      <w:rPr>
        <w:rStyle w:val="43"/>
      </w:rPr>
      <w:fldChar w:fldCharType="end"/>
    </w:r>
  </w:p>
  <w:p>
    <w:pPr>
      <w:pStyle w:val="23"/>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92"/>
    </w:pPr>
    <w:r>
      <w:rPr>
        <w:rStyle w:val="43"/>
      </w:rPr>
      <w:fldChar w:fldCharType="begin"/>
    </w:r>
    <w:r>
      <w:rPr>
        <w:rStyle w:val="43"/>
      </w:rPr>
      <w:instrText xml:space="preserve"> PAGE </w:instrText>
    </w:r>
    <w:r>
      <w:rPr>
        <w:rStyle w:val="43"/>
      </w:rPr>
      <w:fldChar w:fldCharType="separate"/>
    </w:r>
    <w:r>
      <w:rPr>
        <w:rStyle w:val="43"/>
      </w:rPr>
      <w:t>1</w:t>
    </w:r>
    <w:r>
      <w:rPr>
        <w:rStyle w:val="4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jc w:val="center"/>
      <w:rPr>
        <w:rStyle w:val="43"/>
      </w:rPr>
    </w:pPr>
    <w:r>
      <w:rPr>
        <w:rStyle w:val="43"/>
      </w:rPr>
      <w:fldChar w:fldCharType="begin"/>
    </w:r>
    <w:r>
      <w:rPr>
        <w:rStyle w:val="43"/>
      </w:rPr>
      <w:instrText xml:space="preserve">PAGE  </w:instrText>
    </w:r>
    <w:r>
      <w:rPr>
        <w:rStyle w:val="43"/>
      </w:rPr>
      <w:fldChar w:fldCharType="separate"/>
    </w:r>
    <w:r>
      <w:rPr>
        <w:rStyle w:val="43"/>
      </w:rPr>
      <w:t>95</w:t>
    </w:r>
    <w:r>
      <w:rPr>
        <w:rStyle w:val="43"/>
      </w:rPr>
      <w:fldChar w:fldCharType="end"/>
    </w:r>
  </w:p>
  <w:p>
    <w:pPr>
      <w:pStyle w:val="23"/>
      <w:framePr w:wrap="around" w:vAnchor="text" w:hAnchor="margin" w:xAlign="outside" w:y="1"/>
      <w:ind w:left="-4410" w:leftChars="-2100" w:right="-4439" w:rightChars="-2114"/>
      <w:rPr>
        <w:rStyle w:val="43"/>
      </w:rPr>
    </w:pPr>
  </w:p>
  <w:p>
    <w:pPr>
      <w:pStyle w:val="23"/>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43"/>
      </w:rPr>
    </w:pPr>
    <w:r>
      <w:rPr>
        <w:rStyle w:val="43"/>
      </w:rPr>
      <w:fldChar w:fldCharType="begin"/>
    </w:r>
    <w:r>
      <w:rPr>
        <w:rStyle w:val="43"/>
      </w:rPr>
      <w:instrText xml:space="preserve">PAGE  </w:instrText>
    </w:r>
    <w:r>
      <w:rPr>
        <w:rStyle w:val="43"/>
      </w:rPr>
      <w:fldChar w:fldCharType="separate"/>
    </w:r>
    <w:r>
      <w:rPr>
        <w:rStyle w:val="43"/>
        <w:rFonts w:hint="eastAsia"/>
      </w:rPr>
      <w:t>一</w:t>
    </w:r>
    <w:r>
      <w:rPr>
        <w:rStyle w:val="43"/>
      </w:rPr>
      <w:t>–2</w:t>
    </w:r>
    <w:r>
      <w:rPr>
        <w:rStyle w:val="43"/>
      </w:rPr>
      <w:fldChar w:fldCharType="end"/>
    </w:r>
  </w:p>
  <w:p>
    <w:pPr>
      <w:pStyle w:val="23"/>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Style w:val="43"/>
      </w:rPr>
      <w:fldChar w:fldCharType="begin"/>
    </w:r>
    <w:r>
      <w:rPr>
        <w:rStyle w:val="43"/>
      </w:rPr>
      <w:instrText xml:space="preserve"> PAGE </w:instrText>
    </w:r>
    <w:r>
      <w:rPr>
        <w:rStyle w:val="43"/>
      </w:rPr>
      <w:fldChar w:fldCharType="separate"/>
    </w:r>
    <w:r>
      <w:rPr>
        <w:rStyle w:val="43"/>
      </w:rPr>
      <w:t>84</w:t>
    </w:r>
    <w:r>
      <w:rPr>
        <w:rStyle w:val="4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E8156"/>
    <w:multiLevelType w:val="singleLevel"/>
    <w:tmpl w:val="001E8156"/>
    <w:lvl w:ilvl="0" w:tentative="0">
      <w:start w:val="2"/>
      <w:numFmt w:val="chineseCounting"/>
      <w:suff w:val="nothing"/>
      <w:lvlText w:val="%1、"/>
      <w:lvlJc w:val="left"/>
      <w:rPr>
        <w:rFonts w:hint="eastAsia"/>
      </w:rPr>
    </w:lvl>
  </w:abstractNum>
  <w:abstractNum w:abstractNumId="1">
    <w:nsid w:val="1C161A87"/>
    <w:multiLevelType w:val="singleLevel"/>
    <w:tmpl w:val="1C161A87"/>
    <w:lvl w:ilvl="0" w:tentative="0">
      <w:start w:val="1"/>
      <w:numFmt w:val="chineseCounting"/>
      <w:suff w:val="nothing"/>
      <w:lvlText w:val="%1、"/>
      <w:lvlJc w:val="left"/>
      <w:rPr>
        <w:rFonts w:hint="eastAsia"/>
      </w:rPr>
    </w:lvl>
  </w:abstractNum>
  <w:abstractNum w:abstractNumId="2">
    <w:nsid w:val="259905B5"/>
    <w:multiLevelType w:val="multilevel"/>
    <w:tmpl w:val="259905B5"/>
    <w:lvl w:ilvl="0" w:tentative="0">
      <w:start w:val="1"/>
      <w:numFmt w:val="chineseCountingThousand"/>
      <w:pStyle w:val="96"/>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7"/>
      <w:suff w:val="space"/>
      <w:lvlText w:val="%2.%3.%4"/>
      <w:lvlJc w:val="left"/>
      <w:pPr>
        <w:ind w:left="284" w:hanging="284"/>
      </w:pPr>
      <w:rPr>
        <w:rFonts w:hint="eastAsia" w:ascii="宋体" w:eastAsia="宋体" w:cs="Times New Roman"/>
        <w:b/>
        <w:i w:val="0"/>
        <w:sz w:val="28"/>
      </w:rPr>
    </w:lvl>
    <w:lvl w:ilvl="4" w:tentative="0">
      <w:start w:val="1"/>
      <w:numFmt w:val="decimal"/>
      <w:pStyle w:val="9"/>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1"/>
      <w:suff w:val="nothing"/>
      <w:lvlText w:val=""/>
      <w:lvlJc w:val="left"/>
      <w:rPr>
        <w:rFonts w:hint="eastAsia" w:cs="Times New Roman"/>
      </w:rPr>
    </w:lvl>
    <w:lvl w:ilvl="7" w:tentative="0">
      <w:start w:val="1"/>
      <w:numFmt w:val="none"/>
      <w:pStyle w:val="12"/>
      <w:suff w:val="nothing"/>
      <w:lvlText w:val=""/>
      <w:lvlJc w:val="left"/>
      <w:rPr>
        <w:rFonts w:hint="eastAsia" w:cs="Times New Roman"/>
      </w:rPr>
    </w:lvl>
    <w:lvl w:ilvl="8" w:tentative="0">
      <w:start w:val="1"/>
      <w:numFmt w:val="none"/>
      <w:pStyle w:val="13"/>
      <w:suff w:val="nothing"/>
      <w:lvlText w:val=""/>
      <w:lvlJc w:val="left"/>
      <w:rPr>
        <w:rFonts w:hint="eastAsia" w:cs="Times New Roman"/>
      </w:rPr>
    </w:lvl>
  </w:abstractNum>
  <w:abstractNum w:abstractNumId="3">
    <w:nsid w:val="2AAF913C"/>
    <w:multiLevelType w:val="singleLevel"/>
    <w:tmpl w:val="2AAF913C"/>
    <w:lvl w:ilvl="0" w:tentative="0">
      <w:start w:val="1"/>
      <w:numFmt w:val="decimal"/>
      <w:suff w:val="nothing"/>
      <w:lvlText w:val="%1、"/>
      <w:lvlJc w:val="left"/>
    </w:lvl>
  </w:abstractNum>
  <w:abstractNum w:abstractNumId="4">
    <w:nsid w:val="4463FF90"/>
    <w:multiLevelType w:val="singleLevel"/>
    <w:tmpl w:val="4463FF90"/>
    <w:lvl w:ilvl="0" w:tentative="0">
      <w:start w:val="1"/>
      <w:numFmt w:val="decimal"/>
      <w:lvlText w:val="%1."/>
      <w:lvlJc w:val="left"/>
      <w:pPr>
        <w:ind w:left="425" w:hanging="425"/>
      </w:pPr>
      <w:rPr>
        <w:rFonts w:hint="default"/>
      </w:rPr>
    </w:lvl>
  </w:abstractNum>
  <w:abstractNum w:abstractNumId="5">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0"/>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6">
    <w:nsid w:val="77D7AE02"/>
    <w:multiLevelType w:val="singleLevel"/>
    <w:tmpl w:val="77D7AE02"/>
    <w:lvl w:ilvl="0" w:tentative="0">
      <w:start w:val="13"/>
      <w:numFmt w:val="decimal"/>
      <w:suff w:val="nothing"/>
      <w:lvlText w:val="（%1）"/>
      <w:lvlJc w:val="left"/>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hideSpellingErrors/>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866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62"/>
    <w:autoRedefine/>
    <w:qFormat/>
    <w:uiPriority w:val="0"/>
    <w:pPr>
      <w:keepNext/>
      <w:keepLines/>
      <w:spacing w:after="120" w:line="360" w:lineRule="auto"/>
      <w:outlineLvl w:val="0"/>
    </w:pPr>
    <w:rPr>
      <w:kern w:val="44"/>
      <w:sz w:val="28"/>
      <w:szCs w:val="28"/>
    </w:rPr>
  </w:style>
  <w:style w:type="paragraph" w:styleId="5">
    <w:name w:val="heading 2"/>
    <w:basedOn w:val="1"/>
    <w:next w:val="1"/>
    <w:link w:val="63"/>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6">
    <w:name w:val="heading 3"/>
    <w:basedOn w:val="1"/>
    <w:next w:val="1"/>
    <w:link w:val="57"/>
    <w:autoRedefine/>
    <w:qFormat/>
    <w:uiPriority w:val="0"/>
    <w:pPr>
      <w:widowControl/>
      <w:spacing w:before="100" w:beforeAutospacing="1" w:after="100" w:afterAutospacing="1"/>
      <w:jc w:val="left"/>
      <w:outlineLvl w:val="2"/>
    </w:pPr>
    <w:rPr>
      <w:rFonts w:ascii="宋体" w:hAnsi="宋体" w:cs="宋体"/>
      <w:kern w:val="0"/>
      <w:sz w:val="27"/>
      <w:szCs w:val="27"/>
    </w:rPr>
  </w:style>
  <w:style w:type="paragraph" w:styleId="7">
    <w:name w:val="heading 4"/>
    <w:basedOn w:val="6"/>
    <w:next w:val="8"/>
    <w:link w:val="64"/>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9">
    <w:name w:val="heading 5"/>
    <w:basedOn w:val="7"/>
    <w:next w:val="8"/>
    <w:link w:val="65"/>
    <w:autoRedefine/>
    <w:qFormat/>
    <w:uiPriority w:val="0"/>
    <w:pPr>
      <w:numPr>
        <w:ilvl w:val="4"/>
      </w:numPr>
      <w:spacing w:line="240" w:lineRule="exact"/>
      <w:outlineLvl w:val="4"/>
    </w:pPr>
  </w:style>
  <w:style w:type="paragraph" w:styleId="10">
    <w:name w:val="heading 6"/>
    <w:basedOn w:val="1"/>
    <w:next w:val="1"/>
    <w:link w:val="66"/>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1">
    <w:name w:val="heading 7"/>
    <w:basedOn w:val="1"/>
    <w:next w:val="8"/>
    <w:link w:val="67"/>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2">
    <w:name w:val="heading 8"/>
    <w:basedOn w:val="1"/>
    <w:next w:val="8"/>
    <w:link w:val="68"/>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3">
    <w:name w:val="heading 9"/>
    <w:basedOn w:val="1"/>
    <w:next w:val="8"/>
    <w:link w:val="69"/>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0">
    <w:name w:val="Default Paragraph Font"/>
    <w:autoRedefine/>
    <w:unhideWhenUsed/>
    <w:qFormat/>
    <w:uiPriority w:val="1"/>
  </w:style>
  <w:style w:type="table" w:default="1" w:styleId="38">
    <w:name w:val="Normal Table"/>
    <w:autoRedefine/>
    <w:unhideWhenUsed/>
    <w:qFormat/>
    <w:uiPriority w:val="99"/>
    <w:tblPr>
      <w:tblCellMar>
        <w:top w:w="0" w:type="dxa"/>
        <w:left w:w="108" w:type="dxa"/>
        <w:bottom w:w="0" w:type="dxa"/>
        <w:right w:w="108" w:type="dxa"/>
      </w:tblCellMar>
    </w:tblPr>
  </w:style>
  <w:style w:type="paragraph" w:styleId="2">
    <w:name w:val="Plain Text"/>
    <w:basedOn w:val="1"/>
    <w:next w:val="1"/>
    <w:link w:val="83"/>
    <w:autoRedefine/>
    <w:qFormat/>
    <w:uiPriority w:val="0"/>
    <w:rPr>
      <w:rFonts w:ascii="宋体" w:hAnsi="Courier New"/>
      <w:szCs w:val="20"/>
    </w:rPr>
  </w:style>
  <w:style w:type="paragraph" w:styleId="4">
    <w:name w:val="Title"/>
    <w:basedOn w:val="1"/>
    <w:link w:val="71"/>
    <w:autoRedefine/>
    <w:qFormat/>
    <w:uiPriority w:val="0"/>
    <w:pPr>
      <w:spacing w:before="120" w:after="60"/>
      <w:jc w:val="center"/>
    </w:pPr>
    <w:rPr>
      <w:rFonts w:ascii="Arial" w:hAnsi="Arial"/>
      <w:b/>
      <w:sz w:val="44"/>
      <w:szCs w:val="20"/>
    </w:rPr>
  </w:style>
  <w:style w:type="paragraph" w:styleId="8">
    <w:name w:val="Normal Indent"/>
    <w:basedOn w:val="1"/>
    <w:next w:val="1"/>
    <w:autoRedefine/>
    <w:qFormat/>
    <w:uiPriority w:val="0"/>
    <w:pPr>
      <w:ind w:firstLine="420"/>
    </w:pPr>
    <w:rPr>
      <w:rFonts w:ascii="Times New Roman" w:hAnsi="Times New Roman"/>
      <w:szCs w:val="20"/>
    </w:rPr>
  </w:style>
  <w:style w:type="paragraph" w:styleId="14">
    <w:name w:val="Document Map"/>
    <w:basedOn w:val="1"/>
    <w:link w:val="81"/>
    <w:autoRedefine/>
    <w:qFormat/>
    <w:uiPriority w:val="0"/>
    <w:pPr>
      <w:shd w:val="clear" w:color="auto" w:fill="000080"/>
    </w:pPr>
    <w:rPr>
      <w:rFonts w:ascii="Times New Roman" w:hAnsi="Times New Roman"/>
      <w:szCs w:val="20"/>
    </w:rPr>
  </w:style>
  <w:style w:type="paragraph" w:styleId="15">
    <w:name w:val="annotation text"/>
    <w:basedOn w:val="1"/>
    <w:link w:val="107"/>
    <w:autoRedefine/>
    <w:qFormat/>
    <w:uiPriority w:val="0"/>
    <w:pPr>
      <w:spacing w:line="360" w:lineRule="auto"/>
      <w:ind w:firstLine="523" w:firstLineChars="218"/>
      <w:jc w:val="left"/>
    </w:pPr>
    <w:rPr>
      <w:rFonts w:ascii="宋体" w:hAnsi="宋体"/>
      <w:sz w:val="24"/>
      <w:szCs w:val="24"/>
    </w:rPr>
  </w:style>
  <w:style w:type="paragraph" w:styleId="16">
    <w:name w:val="Body Text"/>
    <w:basedOn w:val="1"/>
    <w:link w:val="73"/>
    <w:autoRedefine/>
    <w:qFormat/>
    <w:uiPriority w:val="0"/>
    <w:pPr>
      <w:spacing w:after="120"/>
    </w:pPr>
    <w:rPr>
      <w:rFonts w:ascii="Times New Roman" w:hAnsi="Times New Roman"/>
      <w:szCs w:val="20"/>
    </w:rPr>
  </w:style>
  <w:style w:type="paragraph" w:styleId="17">
    <w:name w:val="Body Text Indent"/>
    <w:basedOn w:val="1"/>
    <w:link w:val="79"/>
    <w:autoRedefine/>
    <w:qFormat/>
    <w:uiPriority w:val="0"/>
    <w:pPr>
      <w:ind w:firstLine="570"/>
    </w:pPr>
    <w:rPr>
      <w:rFonts w:ascii="Times New Roman" w:hAnsi="Times New Roman"/>
      <w:sz w:val="28"/>
      <w:szCs w:val="20"/>
    </w:rPr>
  </w:style>
  <w:style w:type="paragraph" w:styleId="18">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19">
    <w:name w:val="Date"/>
    <w:basedOn w:val="1"/>
    <w:next w:val="1"/>
    <w:link w:val="77"/>
    <w:autoRedefine/>
    <w:qFormat/>
    <w:uiPriority w:val="0"/>
    <w:rPr>
      <w:rFonts w:ascii="Times New Roman" w:hAnsi="Times New Roman"/>
      <w:szCs w:val="20"/>
    </w:rPr>
  </w:style>
  <w:style w:type="paragraph" w:styleId="20">
    <w:name w:val="Body Text Indent 2"/>
    <w:basedOn w:val="1"/>
    <w:link w:val="85"/>
    <w:autoRedefine/>
    <w:qFormat/>
    <w:uiPriority w:val="0"/>
    <w:pPr>
      <w:spacing w:line="400" w:lineRule="exact"/>
      <w:ind w:left="425"/>
    </w:pPr>
    <w:rPr>
      <w:rFonts w:ascii="Times New Roman" w:hAnsi="Times New Roman"/>
      <w:color w:val="000000"/>
      <w:sz w:val="24"/>
      <w:szCs w:val="20"/>
    </w:rPr>
  </w:style>
  <w:style w:type="paragraph" w:styleId="21">
    <w:name w:val="endnote text"/>
    <w:basedOn w:val="1"/>
    <w:link w:val="94"/>
    <w:autoRedefine/>
    <w:qFormat/>
    <w:uiPriority w:val="0"/>
    <w:pPr>
      <w:snapToGrid w:val="0"/>
      <w:jc w:val="left"/>
    </w:pPr>
    <w:rPr>
      <w:rFonts w:ascii="Times New Roman" w:hAnsi="Times New Roman"/>
      <w:szCs w:val="20"/>
    </w:rPr>
  </w:style>
  <w:style w:type="paragraph" w:styleId="22">
    <w:name w:val="Balloon Text"/>
    <w:basedOn w:val="1"/>
    <w:link w:val="104"/>
    <w:qFormat/>
    <w:uiPriority w:val="0"/>
    <w:rPr>
      <w:rFonts w:ascii="Times New Roman" w:hAnsi="Times New Roman"/>
      <w:sz w:val="18"/>
      <w:szCs w:val="18"/>
    </w:rPr>
  </w:style>
  <w:style w:type="paragraph" w:styleId="23">
    <w:name w:val="footer"/>
    <w:basedOn w:val="1"/>
    <w:link w:val="61"/>
    <w:unhideWhenUsed/>
    <w:qFormat/>
    <w:uiPriority w:val="0"/>
    <w:pPr>
      <w:tabs>
        <w:tab w:val="center" w:pos="4153"/>
        <w:tab w:val="right" w:pos="8306"/>
      </w:tabs>
      <w:snapToGrid w:val="0"/>
      <w:jc w:val="left"/>
    </w:pPr>
    <w:rPr>
      <w:sz w:val="18"/>
      <w:szCs w:val="18"/>
    </w:rPr>
  </w:style>
  <w:style w:type="paragraph" w:styleId="24">
    <w:name w:val="envelope return"/>
    <w:basedOn w:val="1"/>
    <w:autoRedefine/>
    <w:qFormat/>
    <w:uiPriority w:val="0"/>
    <w:pPr>
      <w:snapToGrid w:val="0"/>
    </w:pPr>
    <w:rPr>
      <w:rFonts w:ascii="Arial" w:hAnsi="Arial"/>
      <w:szCs w:val="24"/>
    </w:rPr>
  </w:style>
  <w:style w:type="paragraph" w:styleId="25">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109"/>
    <w:autoRedefine/>
    <w:qFormat/>
    <w:uiPriority w:val="0"/>
    <w:pPr>
      <w:snapToGrid w:val="0"/>
      <w:spacing w:line="360" w:lineRule="auto"/>
      <w:ind w:firstLine="523" w:firstLineChars="218"/>
      <w:jc w:val="left"/>
    </w:pPr>
    <w:rPr>
      <w:rFonts w:ascii="宋体" w:hAnsi="宋体"/>
      <w:sz w:val="18"/>
      <w:szCs w:val="18"/>
    </w:rPr>
  </w:style>
  <w:style w:type="paragraph" w:styleId="28">
    <w:name w:val="toc 6"/>
    <w:basedOn w:val="1"/>
    <w:next w:val="1"/>
    <w:autoRedefine/>
    <w:unhideWhenUsed/>
    <w:qFormat/>
    <w:uiPriority w:val="39"/>
    <w:pPr>
      <w:ind w:left="1050"/>
      <w:jc w:val="left"/>
    </w:pPr>
    <w:rPr>
      <w:sz w:val="18"/>
      <w:szCs w:val="18"/>
    </w:rPr>
  </w:style>
  <w:style w:type="paragraph" w:styleId="29">
    <w:name w:val="Body Text Indent 3"/>
    <w:basedOn w:val="1"/>
    <w:link w:val="87"/>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91"/>
    <w:autoRedefine/>
    <w:qFormat/>
    <w:uiPriority w:val="0"/>
    <w:rPr>
      <w:rFonts w:ascii="宋体" w:hAnsi="宋体"/>
      <w:szCs w:val="24"/>
      <w:u w:val="single"/>
    </w:rPr>
  </w:style>
  <w:style w:type="paragraph" w:styleId="32">
    <w:name w:val="Normal (Web)"/>
    <w:basedOn w:val="1"/>
    <w:autoRedefine/>
    <w:unhideWhenUsed/>
    <w:qFormat/>
    <w:uiPriority w:val="99"/>
    <w:rPr>
      <w:sz w:val="24"/>
    </w:rPr>
  </w:style>
  <w:style w:type="paragraph" w:styleId="33">
    <w:name w:val="index 1"/>
    <w:basedOn w:val="1"/>
    <w:next w:val="1"/>
    <w:autoRedefine/>
    <w:qFormat/>
    <w:uiPriority w:val="0"/>
    <w:rPr>
      <w:rFonts w:ascii="Times New Roman" w:hAnsi="Times New Roman" w:eastAsia="仿宋_GB2312"/>
      <w:sz w:val="28"/>
      <w:szCs w:val="20"/>
    </w:rPr>
  </w:style>
  <w:style w:type="paragraph" w:styleId="34">
    <w:name w:val="annotation subject"/>
    <w:basedOn w:val="15"/>
    <w:next w:val="15"/>
    <w:link w:val="111"/>
    <w:autoRedefine/>
    <w:qFormat/>
    <w:uiPriority w:val="0"/>
    <w:rPr>
      <w:b/>
      <w:bCs/>
    </w:rPr>
  </w:style>
  <w:style w:type="paragraph" w:styleId="35">
    <w:name w:val="Body Text First Indent"/>
    <w:basedOn w:val="16"/>
    <w:link w:val="75"/>
    <w:autoRedefine/>
    <w:qFormat/>
    <w:uiPriority w:val="0"/>
    <w:pPr>
      <w:ind w:firstLine="420"/>
    </w:pPr>
  </w:style>
  <w:style w:type="paragraph" w:styleId="36">
    <w:name w:val="Body Text First Indent 2"/>
    <w:basedOn w:val="17"/>
    <w:next w:val="37"/>
    <w:qFormat/>
    <w:uiPriority w:val="0"/>
    <w:pPr>
      <w:spacing w:after="120"/>
      <w:ind w:left="200" w:leftChars="200" w:firstLine="200" w:firstLineChars="200"/>
    </w:pPr>
    <w:rPr>
      <w:rFonts w:ascii="Calibri" w:hAnsi="Calibri"/>
      <w:sz w:val="21"/>
      <w:szCs w:val="24"/>
    </w:rPr>
  </w:style>
  <w:style w:type="paragraph" w:customStyle="1" w:styleId="37">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rPr>
  </w:style>
  <w:style w:type="character" w:styleId="42">
    <w:name w:val="endnote reference"/>
    <w:qFormat/>
    <w:uiPriority w:val="0"/>
    <w:rPr>
      <w:vertAlign w:val="superscript"/>
    </w:rPr>
  </w:style>
  <w:style w:type="character" w:styleId="43">
    <w:name w:val="page number"/>
    <w:autoRedefine/>
    <w:qFormat/>
    <w:uiPriority w:val="0"/>
    <w:rPr>
      <w:rFonts w:cs="Times New Roman"/>
    </w:rPr>
  </w:style>
  <w:style w:type="character" w:styleId="44">
    <w:name w:val="FollowedHyperlink"/>
    <w:autoRedefine/>
    <w:unhideWhenUsed/>
    <w:qFormat/>
    <w:uiPriority w:val="99"/>
    <w:rPr>
      <w:color w:val="954F72"/>
      <w:u w:val="single"/>
    </w:rPr>
  </w:style>
  <w:style w:type="character" w:styleId="45">
    <w:name w:val="Hyperlink"/>
    <w:basedOn w:val="40"/>
    <w:autoRedefine/>
    <w:qFormat/>
    <w:uiPriority w:val="99"/>
    <w:rPr>
      <w:color w:val="0000FF"/>
      <w:u w:val="single"/>
    </w:rPr>
  </w:style>
  <w:style w:type="character" w:styleId="46">
    <w:name w:val="annotation reference"/>
    <w:autoRedefine/>
    <w:qFormat/>
    <w:uiPriority w:val="0"/>
    <w:rPr>
      <w:sz w:val="21"/>
      <w:szCs w:val="21"/>
    </w:rPr>
  </w:style>
  <w:style w:type="character" w:styleId="47">
    <w:name w:val="footnote reference"/>
    <w:autoRedefine/>
    <w:qFormat/>
    <w:uiPriority w:val="0"/>
    <w:rPr>
      <w:vertAlign w:val="superscript"/>
    </w:rPr>
  </w:style>
  <w:style w:type="character" w:customStyle="1" w:styleId="48">
    <w:name w:val="标题 1 字符"/>
    <w:autoRedefine/>
    <w:qFormat/>
    <w:uiPriority w:val="9"/>
    <w:rPr>
      <w:rFonts w:ascii="Calibri" w:hAnsi="Calibri" w:eastAsia="宋体" w:cs="Times New Roman"/>
      <w:b/>
      <w:bCs/>
      <w:kern w:val="44"/>
      <w:sz w:val="44"/>
      <w:szCs w:val="44"/>
    </w:rPr>
  </w:style>
  <w:style w:type="character" w:customStyle="1" w:styleId="49">
    <w:name w:val="标题 2 字符"/>
    <w:autoRedefine/>
    <w:semiHidden/>
    <w:qFormat/>
    <w:uiPriority w:val="9"/>
    <w:rPr>
      <w:rFonts w:ascii="等线 Light" w:hAnsi="等线 Light" w:eastAsia="等线 Light" w:cs="Times New Roman"/>
      <w:b/>
      <w:bCs/>
      <w:sz w:val="32"/>
      <w:szCs w:val="32"/>
    </w:rPr>
  </w:style>
  <w:style w:type="character" w:customStyle="1" w:styleId="50">
    <w:name w:val="标题 3 字符"/>
    <w:autoRedefine/>
    <w:semiHidden/>
    <w:qFormat/>
    <w:uiPriority w:val="9"/>
    <w:rPr>
      <w:rFonts w:ascii="Calibri" w:hAnsi="Calibri" w:eastAsia="宋体" w:cs="Times New Roman"/>
      <w:b/>
      <w:bCs/>
      <w:sz w:val="32"/>
      <w:szCs w:val="32"/>
    </w:rPr>
  </w:style>
  <w:style w:type="character" w:customStyle="1" w:styleId="51">
    <w:name w:val="标题 4 字符"/>
    <w:semiHidden/>
    <w:qFormat/>
    <w:uiPriority w:val="9"/>
    <w:rPr>
      <w:rFonts w:ascii="等线 Light" w:hAnsi="等线 Light" w:eastAsia="等线 Light" w:cs="Times New Roman"/>
      <w:b/>
      <w:bCs/>
      <w:sz w:val="28"/>
      <w:szCs w:val="28"/>
    </w:rPr>
  </w:style>
  <w:style w:type="character" w:customStyle="1" w:styleId="52">
    <w:name w:val="标题 5 字符"/>
    <w:autoRedefine/>
    <w:semiHidden/>
    <w:qFormat/>
    <w:uiPriority w:val="9"/>
    <w:rPr>
      <w:rFonts w:ascii="Calibri" w:hAnsi="Calibri" w:eastAsia="宋体" w:cs="Times New Roman"/>
      <w:b/>
      <w:bCs/>
      <w:sz w:val="28"/>
      <w:szCs w:val="28"/>
    </w:rPr>
  </w:style>
  <w:style w:type="character" w:customStyle="1" w:styleId="53">
    <w:name w:val="标题 6 字符"/>
    <w:autoRedefine/>
    <w:semiHidden/>
    <w:qFormat/>
    <w:uiPriority w:val="9"/>
    <w:rPr>
      <w:rFonts w:ascii="等线 Light" w:hAnsi="等线 Light" w:eastAsia="等线 Light" w:cs="Times New Roman"/>
      <w:b/>
      <w:bCs/>
      <w:sz w:val="24"/>
      <w:szCs w:val="24"/>
    </w:rPr>
  </w:style>
  <w:style w:type="character" w:customStyle="1" w:styleId="54">
    <w:name w:val="标题 7 字符"/>
    <w:semiHidden/>
    <w:qFormat/>
    <w:uiPriority w:val="9"/>
    <w:rPr>
      <w:rFonts w:ascii="Calibri" w:hAnsi="Calibri" w:eastAsia="宋体" w:cs="Times New Roman"/>
      <w:b/>
      <w:bCs/>
      <w:sz w:val="24"/>
      <w:szCs w:val="24"/>
    </w:rPr>
  </w:style>
  <w:style w:type="character" w:customStyle="1" w:styleId="55">
    <w:name w:val="标题 8 字符"/>
    <w:autoRedefine/>
    <w:semiHidden/>
    <w:qFormat/>
    <w:uiPriority w:val="9"/>
    <w:rPr>
      <w:rFonts w:ascii="等线 Light" w:hAnsi="等线 Light" w:eastAsia="等线 Light" w:cs="Times New Roman"/>
      <w:sz w:val="24"/>
      <w:szCs w:val="24"/>
    </w:rPr>
  </w:style>
  <w:style w:type="character" w:customStyle="1" w:styleId="56">
    <w:name w:val="标题 9 字符"/>
    <w:autoRedefine/>
    <w:semiHidden/>
    <w:qFormat/>
    <w:uiPriority w:val="9"/>
    <w:rPr>
      <w:rFonts w:ascii="等线 Light" w:hAnsi="等线 Light" w:eastAsia="等线 Light" w:cs="Times New Roman"/>
      <w:szCs w:val="21"/>
    </w:rPr>
  </w:style>
  <w:style w:type="character" w:customStyle="1" w:styleId="57">
    <w:name w:val="标题 3 Char"/>
    <w:link w:val="6"/>
    <w:autoRedefine/>
    <w:qFormat/>
    <w:uiPriority w:val="0"/>
    <w:rPr>
      <w:rFonts w:ascii="宋体" w:hAnsi="宋体" w:eastAsia="宋体" w:cs="宋体"/>
      <w:kern w:val="0"/>
      <w:sz w:val="27"/>
      <w:szCs w:val="27"/>
    </w:rPr>
  </w:style>
  <w:style w:type="character" w:customStyle="1" w:styleId="58">
    <w:name w:val="页眉 字符"/>
    <w:semiHidden/>
    <w:qFormat/>
    <w:uiPriority w:val="99"/>
    <w:rPr>
      <w:rFonts w:ascii="Calibri" w:hAnsi="Calibri" w:eastAsia="宋体" w:cs="Times New Roman"/>
      <w:sz w:val="18"/>
      <w:szCs w:val="18"/>
    </w:rPr>
  </w:style>
  <w:style w:type="character" w:customStyle="1" w:styleId="59">
    <w:name w:val="页眉 Char"/>
    <w:link w:val="25"/>
    <w:qFormat/>
    <w:uiPriority w:val="0"/>
    <w:rPr>
      <w:rFonts w:ascii="Calibri" w:hAnsi="Calibri" w:eastAsia="宋体" w:cs="Times New Roman"/>
      <w:sz w:val="18"/>
      <w:szCs w:val="18"/>
    </w:rPr>
  </w:style>
  <w:style w:type="character" w:customStyle="1" w:styleId="60">
    <w:name w:val="页脚 字符"/>
    <w:autoRedefine/>
    <w:semiHidden/>
    <w:qFormat/>
    <w:uiPriority w:val="99"/>
    <w:rPr>
      <w:rFonts w:ascii="Calibri" w:hAnsi="Calibri" w:eastAsia="宋体" w:cs="Times New Roman"/>
      <w:sz w:val="18"/>
      <w:szCs w:val="18"/>
    </w:rPr>
  </w:style>
  <w:style w:type="character" w:customStyle="1" w:styleId="61">
    <w:name w:val="页脚 Char"/>
    <w:link w:val="23"/>
    <w:autoRedefine/>
    <w:qFormat/>
    <w:uiPriority w:val="0"/>
    <w:rPr>
      <w:rFonts w:ascii="Calibri" w:hAnsi="Calibri" w:eastAsia="宋体" w:cs="Times New Roman"/>
      <w:sz w:val="18"/>
      <w:szCs w:val="18"/>
    </w:rPr>
  </w:style>
  <w:style w:type="character" w:customStyle="1" w:styleId="62">
    <w:name w:val="标题 1 Char"/>
    <w:link w:val="3"/>
    <w:autoRedefine/>
    <w:qFormat/>
    <w:uiPriority w:val="0"/>
    <w:rPr>
      <w:rFonts w:ascii="Arial" w:hAnsi="Arial" w:eastAsia="宋体"/>
      <w:b/>
      <w:kern w:val="44"/>
      <w:sz w:val="28"/>
      <w:szCs w:val="28"/>
    </w:rPr>
  </w:style>
  <w:style w:type="character" w:customStyle="1" w:styleId="63">
    <w:name w:val="标题 2 Char"/>
    <w:link w:val="5"/>
    <w:autoRedefine/>
    <w:qFormat/>
    <w:uiPriority w:val="0"/>
    <w:rPr>
      <w:rFonts w:ascii="Arial" w:hAnsi="Arial" w:eastAsia="宋体" w:cs="Times New Roman"/>
      <w:b/>
      <w:color w:val="000000"/>
      <w:sz w:val="24"/>
      <w:szCs w:val="24"/>
    </w:rPr>
  </w:style>
  <w:style w:type="character" w:customStyle="1" w:styleId="64">
    <w:name w:val="标题 4 Char"/>
    <w:link w:val="7"/>
    <w:autoRedefine/>
    <w:qFormat/>
    <w:uiPriority w:val="0"/>
    <w:rPr>
      <w:rFonts w:ascii="Arial" w:hAnsi="Arial" w:eastAsia="宋体" w:cs="Times New Roman"/>
      <w:color w:val="000000"/>
      <w:szCs w:val="21"/>
    </w:rPr>
  </w:style>
  <w:style w:type="character" w:customStyle="1" w:styleId="65">
    <w:name w:val="标题 5 Char"/>
    <w:link w:val="9"/>
    <w:autoRedefine/>
    <w:qFormat/>
    <w:uiPriority w:val="0"/>
    <w:rPr>
      <w:rFonts w:ascii="Arial" w:hAnsi="Arial" w:eastAsia="宋体" w:cs="Times New Roman"/>
      <w:color w:val="000000"/>
      <w:szCs w:val="21"/>
    </w:rPr>
  </w:style>
  <w:style w:type="character" w:customStyle="1" w:styleId="66">
    <w:name w:val="标题 6 Char"/>
    <w:link w:val="10"/>
    <w:autoRedefine/>
    <w:qFormat/>
    <w:uiPriority w:val="0"/>
    <w:rPr>
      <w:rFonts w:ascii="Arial" w:hAnsi="Arial" w:eastAsia="黑体" w:cs="Times New Roman"/>
      <w:b/>
      <w:bCs/>
      <w:sz w:val="24"/>
      <w:szCs w:val="24"/>
    </w:rPr>
  </w:style>
  <w:style w:type="character" w:customStyle="1" w:styleId="67">
    <w:name w:val="标题 7 Char"/>
    <w:link w:val="11"/>
    <w:qFormat/>
    <w:uiPriority w:val="0"/>
    <w:rPr>
      <w:rFonts w:ascii="Times New Roman" w:hAnsi="Times New Roman" w:eastAsia="宋体" w:cs="Times New Roman"/>
      <w:b/>
      <w:sz w:val="24"/>
      <w:szCs w:val="20"/>
    </w:rPr>
  </w:style>
  <w:style w:type="character" w:customStyle="1" w:styleId="68">
    <w:name w:val="标题 8 Char"/>
    <w:link w:val="12"/>
    <w:autoRedefine/>
    <w:qFormat/>
    <w:uiPriority w:val="0"/>
    <w:rPr>
      <w:rFonts w:ascii="Arial" w:hAnsi="Arial" w:eastAsia="黑体" w:cs="Times New Roman"/>
      <w:sz w:val="24"/>
      <w:szCs w:val="20"/>
    </w:rPr>
  </w:style>
  <w:style w:type="character" w:customStyle="1" w:styleId="69">
    <w:name w:val="标题 9 Char"/>
    <w:link w:val="13"/>
    <w:qFormat/>
    <w:uiPriority w:val="0"/>
    <w:rPr>
      <w:rFonts w:ascii="Arial" w:hAnsi="Arial" w:eastAsia="黑体" w:cs="Times New Roman"/>
      <w:szCs w:val="20"/>
    </w:rPr>
  </w:style>
  <w:style w:type="character" w:customStyle="1" w:styleId="70">
    <w:name w:val="标题 字符"/>
    <w:qFormat/>
    <w:uiPriority w:val="10"/>
    <w:rPr>
      <w:rFonts w:ascii="等线 Light" w:hAnsi="等线 Light" w:eastAsia="等线 Light" w:cs="Times New Roman"/>
      <w:b/>
      <w:bCs/>
      <w:sz w:val="32"/>
      <w:szCs w:val="32"/>
    </w:rPr>
  </w:style>
  <w:style w:type="character" w:customStyle="1" w:styleId="71">
    <w:name w:val="标题 Char"/>
    <w:link w:val="4"/>
    <w:autoRedefine/>
    <w:qFormat/>
    <w:uiPriority w:val="0"/>
    <w:rPr>
      <w:rFonts w:ascii="Arial" w:hAnsi="Arial" w:eastAsia="宋体" w:cs="Times New Roman"/>
      <w:b/>
      <w:sz w:val="44"/>
      <w:szCs w:val="20"/>
    </w:rPr>
  </w:style>
  <w:style w:type="character" w:customStyle="1" w:styleId="72">
    <w:name w:val="正文文本 字符"/>
    <w:autoRedefine/>
    <w:semiHidden/>
    <w:qFormat/>
    <w:uiPriority w:val="99"/>
    <w:rPr>
      <w:rFonts w:ascii="Calibri" w:hAnsi="Calibri" w:eastAsia="宋体" w:cs="Times New Roman"/>
    </w:rPr>
  </w:style>
  <w:style w:type="character" w:customStyle="1" w:styleId="73">
    <w:name w:val="正文文本 Char"/>
    <w:link w:val="16"/>
    <w:autoRedefine/>
    <w:qFormat/>
    <w:uiPriority w:val="0"/>
    <w:rPr>
      <w:rFonts w:ascii="Times New Roman" w:hAnsi="Times New Roman" w:eastAsia="宋体" w:cs="Times New Roman"/>
      <w:szCs w:val="20"/>
    </w:rPr>
  </w:style>
  <w:style w:type="character" w:customStyle="1" w:styleId="74">
    <w:name w:val="正文首行缩进 字符"/>
    <w:basedOn w:val="72"/>
    <w:semiHidden/>
    <w:qFormat/>
    <w:uiPriority w:val="99"/>
    <w:rPr>
      <w:rFonts w:ascii="Calibri" w:hAnsi="Calibri" w:eastAsia="宋体" w:cs="Times New Roman"/>
    </w:rPr>
  </w:style>
  <w:style w:type="character" w:customStyle="1" w:styleId="75">
    <w:name w:val="正文首行缩进 Char"/>
    <w:link w:val="35"/>
    <w:qFormat/>
    <w:uiPriority w:val="0"/>
  </w:style>
  <w:style w:type="character" w:customStyle="1" w:styleId="76">
    <w:name w:val="日期 字符"/>
    <w:autoRedefine/>
    <w:semiHidden/>
    <w:qFormat/>
    <w:uiPriority w:val="99"/>
    <w:rPr>
      <w:rFonts w:ascii="Calibri" w:hAnsi="Calibri" w:eastAsia="宋体" w:cs="Times New Roman"/>
    </w:rPr>
  </w:style>
  <w:style w:type="character" w:customStyle="1" w:styleId="77">
    <w:name w:val="日期 Char"/>
    <w:link w:val="19"/>
    <w:autoRedefine/>
    <w:qFormat/>
    <w:uiPriority w:val="0"/>
    <w:rPr>
      <w:rFonts w:ascii="Times New Roman" w:hAnsi="Times New Roman" w:eastAsia="宋体" w:cs="Times New Roman"/>
      <w:szCs w:val="20"/>
    </w:rPr>
  </w:style>
  <w:style w:type="character" w:customStyle="1" w:styleId="78">
    <w:name w:val="正文文本缩进 字符"/>
    <w:semiHidden/>
    <w:qFormat/>
    <w:uiPriority w:val="99"/>
    <w:rPr>
      <w:rFonts w:ascii="Calibri" w:hAnsi="Calibri" w:eastAsia="宋体" w:cs="Times New Roman"/>
    </w:rPr>
  </w:style>
  <w:style w:type="character" w:customStyle="1" w:styleId="79">
    <w:name w:val="正文文本缩进 Char"/>
    <w:link w:val="17"/>
    <w:autoRedefine/>
    <w:qFormat/>
    <w:uiPriority w:val="0"/>
    <w:rPr>
      <w:rFonts w:ascii="Times New Roman" w:hAnsi="Times New Roman" w:eastAsia="宋体" w:cs="Times New Roman"/>
      <w:sz w:val="28"/>
      <w:szCs w:val="20"/>
    </w:rPr>
  </w:style>
  <w:style w:type="character" w:customStyle="1" w:styleId="80">
    <w:name w:val="文档结构图 字符"/>
    <w:autoRedefine/>
    <w:semiHidden/>
    <w:qFormat/>
    <w:uiPriority w:val="99"/>
    <w:rPr>
      <w:rFonts w:ascii="Microsoft YaHei UI" w:hAnsi="Calibri" w:eastAsia="Microsoft YaHei UI" w:cs="Times New Roman"/>
      <w:sz w:val="18"/>
      <w:szCs w:val="18"/>
    </w:rPr>
  </w:style>
  <w:style w:type="character" w:customStyle="1" w:styleId="81">
    <w:name w:val="文档结构图 Char"/>
    <w:link w:val="14"/>
    <w:autoRedefine/>
    <w:qFormat/>
    <w:uiPriority w:val="0"/>
    <w:rPr>
      <w:rFonts w:ascii="Times New Roman" w:hAnsi="Times New Roman" w:eastAsia="宋体" w:cs="Times New Roman"/>
      <w:szCs w:val="20"/>
      <w:shd w:val="clear" w:color="auto" w:fill="000080"/>
    </w:rPr>
  </w:style>
  <w:style w:type="character" w:customStyle="1" w:styleId="82">
    <w:name w:val="纯文本 字符"/>
    <w:autoRedefine/>
    <w:semiHidden/>
    <w:qFormat/>
    <w:uiPriority w:val="99"/>
    <w:rPr>
      <w:rFonts w:ascii="等线" w:hAnsi="Courier New" w:cs="Courier New"/>
    </w:rPr>
  </w:style>
  <w:style w:type="character" w:customStyle="1" w:styleId="83">
    <w:name w:val="纯文本 Char"/>
    <w:link w:val="2"/>
    <w:qFormat/>
    <w:uiPriority w:val="0"/>
    <w:rPr>
      <w:rFonts w:ascii="宋体" w:hAnsi="Courier New" w:eastAsia="宋体" w:cs="Times New Roman"/>
      <w:szCs w:val="20"/>
    </w:rPr>
  </w:style>
  <w:style w:type="character" w:customStyle="1" w:styleId="84">
    <w:name w:val="正文文本缩进 2 字符"/>
    <w:semiHidden/>
    <w:qFormat/>
    <w:uiPriority w:val="99"/>
    <w:rPr>
      <w:rFonts w:ascii="Calibri" w:hAnsi="Calibri" w:eastAsia="宋体" w:cs="Times New Roman"/>
    </w:rPr>
  </w:style>
  <w:style w:type="character" w:customStyle="1" w:styleId="85">
    <w:name w:val="正文文本缩进 2 Char"/>
    <w:link w:val="20"/>
    <w:autoRedefine/>
    <w:qFormat/>
    <w:uiPriority w:val="0"/>
    <w:rPr>
      <w:rFonts w:ascii="Times New Roman" w:hAnsi="Times New Roman" w:eastAsia="宋体" w:cs="Times New Roman"/>
      <w:color w:val="000000"/>
      <w:sz w:val="24"/>
      <w:szCs w:val="20"/>
    </w:rPr>
  </w:style>
  <w:style w:type="character" w:customStyle="1" w:styleId="86">
    <w:name w:val="正文文本缩进 3 字符"/>
    <w:autoRedefine/>
    <w:semiHidden/>
    <w:qFormat/>
    <w:uiPriority w:val="99"/>
    <w:rPr>
      <w:rFonts w:ascii="Calibri" w:hAnsi="Calibri" w:eastAsia="宋体" w:cs="Times New Roman"/>
      <w:sz w:val="16"/>
      <w:szCs w:val="16"/>
    </w:rPr>
  </w:style>
  <w:style w:type="character" w:customStyle="1" w:styleId="87">
    <w:name w:val="正文文本缩进 3 Char"/>
    <w:link w:val="29"/>
    <w:autoRedefine/>
    <w:qFormat/>
    <w:uiPriority w:val="0"/>
    <w:rPr>
      <w:rFonts w:ascii="Times New Roman" w:hAnsi="Times New Roman" w:eastAsia="宋体" w:cs="Times New Roman"/>
      <w:color w:val="000000"/>
      <w:sz w:val="24"/>
      <w:szCs w:val="20"/>
    </w:rPr>
  </w:style>
  <w:style w:type="paragraph" w:customStyle="1" w:styleId="88">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9">
    <w:name w:val="_Style 69"/>
    <w:autoRedefine/>
    <w:qFormat/>
    <w:uiPriority w:val="0"/>
    <w:rPr>
      <w:rFonts w:ascii="等线" w:hAnsi="等线" w:eastAsia="等线" w:cs="Times New Roman"/>
      <w:lang w:val="en-US" w:eastAsia="zh-CN" w:bidi="ar-SA"/>
    </w:rPr>
  </w:style>
  <w:style w:type="character" w:customStyle="1" w:styleId="90">
    <w:name w:val="正文文本 2 字符"/>
    <w:autoRedefine/>
    <w:semiHidden/>
    <w:qFormat/>
    <w:uiPriority w:val="99"/>
    <w:rPr>
      <w:rFonts w:ascii="Calibri" w:hAnsi="Calibri" w:eastAsia="宋体" w:cs="Times New Roman"/>
    </w:rPr>
  </w:style>
  <w:style w:type="character" w:customStyle="1" w:styleId="91">
    <w:name w:val="正文文本 2 Char"/>
    <w:link w:val="31"/>
    <w:qFormat/>
    <w:uiPriority w:val="0"/>
    <w:rPr>
      <w:rFonts w:ascii="宋体" w:hAnsi="宋体" w:eastAsia="宋体" w:cs="Times New Roman"/>
      <w:szCs w:val="24"/>
      <w:u w:val="single"/>
    </w:rPr>
  </w:style>
  <w:style w:type="paragraph" w:customStyle="1" w:styleId="92">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93">
    <w:name w:val="尾注文本 字符"/>
    <w:autoRedefine/>
    <w:semiHidden/>
    <w:qFormat/>
    <w:uiPriority w:val="99"/>
    <w:rPr>
      <w:rFonts w:ascii="Calibri" w:hAnsi="Calibri" w:eastAsia="宋体" w:cs="Times New Roman"/>
    </w:rPr>
  </w:style>
  <w:style w:type="character" w:customStyle="1" w:styleId="94">
    <w:name w:val="尾注文本 Char"/>
    <w:link w:val="21"/>
    <w:autoRedefine/>
    <w:qFormat/>
    <w:uiPriority w:val="0"/>
    <w:rPr>
      <w:rFonts w:ascii="Times New Roman" w:hAnsi="Times New Roman" w:eastAsia="宋体" w:cs="Times New Roman"/>
      <w:szCs w:val="20"/>
    </w:rPr>
  </w:style>
  <w:style w:type="paragraph" w:customStyle="1" w:styleId="95">
    <w:name w:val="Char"/>
    <w:basedOn w:val="1"/>
    <w:autoRedefine/>
    <w:qFormat/>
    <w:uiPriority w:val="0"/>
    <w:rPr>
      <w:rFonts w:ascii="Tahoma" w:hAnsi="Tahoma"/>
      <w:sz w:val="24"/>
      <w:szCs w:val="20"/>
    </w:rPr>
  </w:style>
  <w:style w:type="paragraph" w:customStyle="1" w:styleId="96">
    <w:name w:val="Char1"/>
    <w:basedOn w:val="1"/>
    <w:autoRedefine/>
    <w:qFormat/>
    <w:uiPriority w:val="0"/>
    <w:pPr>
      <w:numPr>
        <w:ilvl w:val="0"/>
        <w:numId w:val="1"/>
      </w:numPr>
    </w:pPr>
    <w:rPr>
      <w:rFonts w:ascii="Times New Roman" w:hAnsi="Times New Roman"/>
      <w:sz w:val="24"/>
      <w:szCs w:val="24"/>
    </w:rPr>
  </w:style>
  <w:style w:type="paragraph" w:customStyle="1" w:styleId="97">
    <w:name w:val="公文抬头"/>
    <w:basedOn w:val="8"/>
    <w:autoRedefine/>
    <w:qFormat/>
    <w:uiPriority w:val="0"/>
    <w:pPr>
      <w:ind w:firstLine="0"/>
    </w:pPr>
    <w:rPr>
      <w:rFonts w:ascii="仿宋_GB2312" w:eastAsia="仿宋_GB2312"/>
      <w:sz w:val="30"/>
      <w:szCs w:val="24"/>
    </w:rPr>
  </w:style>
  <w:style w:type="paragraph" w:customStyle="1" w:styleId="98">
    <w:name w:val="Char Char Char1 Char"/>
    <w:basedOn w:val="14"/>
    <w:autoRedefine/>
    <w:qFormat/>
    <w:uiPriority w:val="0"/>
    <w:rPr>
      <w:rFonts w:ascii="Tahoma" w:hAnsi="Tahoma"/>
      <w:sz w:val="24"/>
      <w:szCs w:val="24"/>
    </w:rPr>
  </w:style>
  <w:style w:type="paragraph" w:customStyle="1" w:styleId="9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0">
    <w:name w:val="公文标题"/>
    <w:basedOn w:val="6"/>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1">
    <w:name w:val="发文落款"/>
    <w:basedOn w:val="99"/>
    <w:autoRedefine/>
    <w:qFormat/>
    <w:uiPriority w:val="0"/>
    <w:pPr>
      <w:ind w:left="4094" w:right="607" w:firstLine="0"/>
      <w:jc w:val="center"/>
    </w:pPr>
  </w:style>
  <w:style w:type="paragraph" w:customStyle="1" w:styleId="102">
    <w:name w:val="Char Char Char Char"/>
    <w:basedOn w:val="1"/>
    <w:autoRedefine/>
    <w:qFormat/>
    <w:uiPriority w:val="0"/>
    <w:rPr>
      <w:rFonts w:ascii="Times New Roman" w:hAnsi="Times New Roman"/>
      <w:sz w:val="30"/>
      <w:szCs w:val="24"/>
    </w:rPr>
  </w:style>
  <w:style w:type="character" w:customStyle="1" w:styleId="103">
    <w:name w:val="批注框文本 字符"/>
    <w:semiHidden/>
    <w:qFormat/>
    <w:uiPriority w:val="99"/>
    <w:rPr>
      <w:rFonts w:ascii="Calibri" w:hAnsi="Calibri" w:eastAsia="宋体" w:cs="Times New Roman"/>
      <w:sz w:val="18"/>
      <w:szCs w:val="18"/>
    </w:rPr>
  </w:style>
  <w:style w:type="character" w:customStyle="1" w:styleId="104">
    <w:name w:val="批注框文本 Char"/>
    <w:link w:val="22"/>
    <w:autoRedefine/>
    <w:qFormat/>
    <w:uiPriority w:val="0"/>
    <w:rPr>
      <w:rFonts w:ascii="Times New Roman" w:hAnsi="Times New Roman" w:eastAsia="宋体" w:cs="Times New Roman"/>
      <w:sz w:val="18"/>
      <w:szCs w:val="18"/>
    </w:rPr>
  </w:style>
  <w:style w:type="paragraph" w:customStyle="1" w:styleId="105">
    <w:name w:val="TOC 标题1"/>
    <w:basedOn w:val="3"/>
    <w:next w:val="1"/>
    <w:autoRedefine/>
    <w:unhideWhenUsed/>
    <w:qFormat/>
    <w:uiPriority w:val="39"/>
    <w:pPr>
      <w:widowControl/>
      <w:spacing w:before="480" w:after="0" w:line="276" w:lineRule="auto"/>
      <w:outlineLvl w:val="9"/>
    </w:pPr>
    <w:rPr>
      <w:rFonts w:ascii="Cambria" w:hAnsi="Cambria"/>
      <w:color w:val="365F91"/>
      <w:kern w:val="0"/>
    </w:rPr>
  </w:style>
  <w:style w:type="character" w:customStyle="1" w:styleId="106">
    <w:name w:val="批注文字 字符"/>
    <w:autoRedefine/>
    <w:semiHidden/>
    <w:qFormat/>
    <w:uiPriority w:val="99"/>
    <w:rPr>
      <w:rFonts w:ascii="Calibri" w:hAnsi="Calibri" w:eastAsia="宋体" w:cs="Times New Roman"/>
    </w:rPr>
  </w:style>
  <w:style w:type="character" w:customStyle="1" w:styleId="107">
    <w:name w:val="批注文字 Char"/>
    <w:link w:val="15"/>
    <w:autoRedefine/>
    <w:qFormat/>
    <w:uiPriority w:val="0"/>
    <w:rPr>
      <w:rFonts w:ascii="宋体" w:hAnsi="宋体" w:eastAsia="宋体" w:cs="Times New Roman"/>
      <w:sz w:val="24"/>
      <w:szCs w:val="24"/>
    </w:rPr>
  </w:style>
  <w:style w:type="character" w:customStyle="1" w:styleId="108">
    <w:name w:val="脚注文本 字符"/>
    <w:autoRedefine/>
    <w:semiHidden/>
    <w:qFormat/>
    <w:uiPriority w:val="99"/>
    <w:rPr>
      <w:rFonts w:ascii="Calibri" w:hAnsi="Calibri" w:eastAsia="宋体" w:cs="Times New Roman"/>
      <w:sz w:val="18"/>
      <w:szCs w:val="18"/>
    </w:rPr>
  </w:style>
  <w:style w:type="character" w:customStyle="1" w:styleId="109">
    <w:name w:val="脚注文本 Char"/>
    <w:link w:val="27"/>
    <w:qFormat/>
    <w:uiPriority w:val="0"/>
    <w:rPr>
      <w:rFonts w:ascii="宋体" w:hAnsi="宋体" w:eastAsia="宋体" w:cs="Times New Roman"/>
      <w:sz w:val="18"/>
      <w:szCs w:val="18"/>
    </w:rPr>
  </w:style>
  <w:style w:type="character" w:customStyle="1" w:styleId="110">
    <w:name w:val="批注主题 字符"/>
    <w:semiHidden/>
    <w:qFormat/>
    <w:uiPriority w:val="99"/>
    <w:rPr>
      <w:rFonts w:ascii="Calibri" w:hAnsi="Calibri" w:eastAsia="宋体" w:cs="Times New Roman"/>
      <w:b/>
      <w:bCs/>
    </w:rPr>
  </w:style>
  <w:style w:type="character" w:customStyle="1" w:styleId="111">
    <w:name w:val="批注主题 Char"/>
    <w:link w:val="34"/>
    <w:autoRedefine/>
    <w:qFormat/>
    <w:uiPriority w:val="0"/>
    <w:rPr>
      <w:rFonts w:ascii="宋体" w:hAnsi="宋体" w:eastAsia="宋体" w:cs="Times New Roman"/>
      <w:b/>
      <w:bCs/>
      <w:sz w:val="24"/>
      <w:szCs w:val="24"/>
    </w:rPr>
  </w:style>
  <w:style w:type="paragraph" w:customStyle="1" w:styleId="112">
    <w:name w:val="List Paragraph"/>
    <w:basedOn w:val="1"/>
    <w:autoRedefine/>
    <w:qFormat/>
    <w:uiPriority w:val="34"/>
    <w:pPr>
      <w:ind w:firstLine="420" w:firstLineChars="200"/>
    </w:pPr>
    <w:rPr>
      <w:rFonts w:ascii="Times New Roman" w:hAnsi="Times New Roman"/>
      <w:szCs w:val="20"/>
    </w:rPr>
  </w:style>
  <w:style w:type="paragraph" w:customStyle="1" w:styleId="113">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14">
    <w:name w:val="NormalCharacter"/>
    <w:qFormat/>
    <w:uiPriority w:val="0"/>
  </w:style>
  <w:style w:type="paragraph" w:customStyle="1" w:styleId="115">
    <w:name w:val="正文 New New New New New New New New New New New New New"/>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6">
    <w:name w:val="正文 New New"/>
    <w:autoRedefine/>
    <w:qFormat/>
    <w:uiPriority w:val="0"/>
    <w:pPr>
      <w:widowControl w:val="0"/>
      <w:jc w:val="both"/>
    </w:pPr>
    <w:rPr>
      <w:rFonts w:ascii="Times New Roman" w:hAnsi="Times New Roman" w:eastAsia="楷体_GB2312" w:cs="Times New Roman"/>
      <w:lang w:val="en-US" w:eastAsia="zh-CN" w:bidi="ar-SA"/>
    </w:rPr>
  </w:style>
  <w:style w:type="paragraph" w:customStyle="1" w:styleId="117">
    <w:name w:val="正题"/>
    <w:basedOn w:val="118"/>
    <w:next w:val="118"/>
    <w:autoRedefine/>
    <w:qFormat/>
    <w:uiPriority w:val="0"/>
    <w:pPr>
      <w:ind w:firstLine="0" w:firstLineChars="0"/>
      <w:jc w:val="center"/>
    </w:pPr>
    <w:rPr>
      <w:rFonts w:eastAsia="黑体"/>
      <w:b/>
      <w:sz w:val="36"/>
      <w:szCs w:val="36"/>
    </w:rPr>
  </w:style>
  <w:style w:type="paragraph" w:customStyle="1" w:styleId="118">
    <w:name w:val="文一"/>
    <w:basedOn w:val="1"/>
    <w:qFormat/>
    <w:uiPriority w:val="0"/>
    <w:pPr>
      <w:widowControl/>
      <w:topLinePunct/>
      <w:adjustRightInd w:val="0"/>
      <w:snapToGrid w:val="0"/>
      <w:spacing w:after="200" w:line="360" w:lineRule="auto"/>
      <w:ind w:firstLine="200" w:firstLineChars="200"/>
      <w:jc w:val="left"/>
    </w:pPr>
    <w:rPr>
      <w:spacing w:val="4"/>
      <w:kern w:val="0"/>
      <w:sz w:val="24"/>
      <w:szCs w:val="24"/>
    </w:rPr>
  </w:style>
  <w:style w:type="character" w:customStyle="1" w:styleId="119">
    <w:name w:val="font51"/>
    <w:qFormat/>
    <w:uiPriority w:val="0"/>
    <w:rPr>
      <w:rFonts w:hint="eastAsia" w:ascii="宋体" w:hAnsi="宋体" w:eastAsia="宋体"/>
      <w:color w:val="000000"/>
      <w:sz w:val="24"/>
      <w:szCs w:val="24"/>
      <w:u w:val="none"/>
    </w:rPr>
  </w:style>
  <w:style w:type="character" w:customStyle="1" w:styleId="120">
    <w:name w:val="font11"/>
    <w:autoRedefine/>
    <w:qFormat/>
    <w:uiPriority w:val="0"/>
    <w:rPr>
      <w:rFonts w:hint="eastAsia" w:ascii="宋体" w:hAnsi="宋体" w:eastAsia="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110</Pages>
  <Words>12483</Words>
  <Characters>71155</Characters>
  <Lines>592</Lines>
  <Paragraphs>166</Paragraphs>
  <TotalTime>0</TotalTime>
  <ScaleCrop>false</ScaleCrop>
  <LinksUpToDate>false</LinksUpToDate>
  <CharactersWithSpaces>83472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tpa-sec</cp:lastModifiedBy>
  <dcterms:modified xsi:type="dcterms:W3CDTF">2024-04-11T04:24:51Z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B22289199A3C4F77A869CC44F07D929F_13</vt:lpwstr>
  </property>
</Properties>
</file>