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0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32"/>
          <w:szCs w:val="32"/>
          <w:highlight w:val="none"/>
          <w:u w:val="none"/>
          <w:lang w:val="en-US" w:eastAsia="zh-CN"/>
        </w:rPr>
      </w:pPr>
      <w:bookmarkStart w:id="5" w:name="_GoBack"/>
      <w:bookmarkStart w:id="0" w:name="_Toc8445"/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32"/>
          <w:szCs w:val="32"/>
          <w:highlight w:val="none"/>
          <w:u w:val="none"/>
          <w:lang w:val="en-US" w:eastAsia="zh-CN"/>
        </w:rPr>
        <w:t>附件A-项目信息清单（标的1）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0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  <w:t>一、标段名称：茂名高州110千伏谢鸡输变电工程等2项工程施工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0"/>
        <w:rPr>
          <w:rFonts w:hint="default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  <w:t>二、项目基本情况</w:t>
      </w:r>
    </w:p>
    <w:tbl>
      <w:tblPr>
        <w:tblStyle w:val="13"/>
        <w:tblW w:w="125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"/>
        <w:gridCol w:w="3165"/>
        <w:gridCol w:w="4259"/>
        <w:gridCol w:w="42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3165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文件名称</w:t>
            </w:r>
          </w:p>
        </w:tc>
        <w:tc>
          <w:tcPr>
            <w:tcW w:w="425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茂名高州110千伏谢鸡输变电工程施工</w:t>
            </w:r>
          </w:p>
        </w:tc>
        <w:tc>
          <w:tcPr>
            <w:tcW w:w="425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茂名电白110千伏岭门站扩建第二台主变工程施工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3165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可研批复文号</w:t>
            </w:r>
          </w:p>
        </w:tc>
        <w:tc>
          <w:tcPr>
            <w:tcW w:w="425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茂供电计〔2021〕105号</w:t>
            </w:r>
          </w:p>
        </w:tc>
        <w:tc>
          <w:tcPr>
            <w:tcW w:w="425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茂供电计〔2021〕22号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3165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项目核准备案文号</w:t>
            </w:r>
          </w:p>
        </w:tc>
        <w:tc>
          <w:tcPr>
            <w:tcW w:w="425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茂发改核准[2022]1号</w:t>
            </w:r>
          </w:p>
        </w:tc>
        <w:tc>
          <w:tcPr>
            <w:tcW w:w="425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茂发改核准[2024]7号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3165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初设批复文号</w:t>
            </w:r>
          </w:p>
        </w:tc>
        <w:tc>
          <w:tcPr>
            <w:tcW w:w="425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茂供电建部〔2022〕36号</w:t>
            </w:r>
          </w:p>
        </w:tc>
        <w:tc>
          <w:tcPr>
            <w:tcW w:w="425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茂供电建部〔2023〕8号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3165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初设批复总投资（万元）</w:t>
            </w:r>
          </w:p>
        </w:tc>
        <w:tc>
          <w:tcPr>
            <w:tcW w:w="425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9737.85</w:t>
            </w:r>
          </w:p>
        </w:tc>
        <w:tc>
          <w:tcPr>
            <w:tcW w:w="425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1066.41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3165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施工图设计批复文号</w:t>
            </w:r>
          </w:p>
        </w:tc>
        <w:tc>
          <w:tcPr>
            <w:tcW w:w="425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茂供电办建〔2023〕20号</w:t>
            </w:r>
          </w:p>
        </w:tc>
        <w:tc>
          <w:tcPr>
            <w:tcW w:w="425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茂供电办建〔2024〕1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3165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项目建设单位</w:t>
            </w:r>
          </w:p>
        </w:tc>
        <w:tc>
          <w:tcPr>
            <w:tcW w:w="425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茂名供电局</w:t>
            </w:r>
          </w:p>
        </w:tc>
        <w:tc>
          <w:tcPr>
            <w:tcW w:w="425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茂名供电局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3165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项目建设地点</w:t>
            </w:r>
          </w:p>
        </w:tc>
        <w:tc>
          <w:tcPr>
            <w:tcW w:w="425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茂名高州</w:t>
            </w:r>
          </w:p>
        </w:tc>
        <w:tc>
          <w:tcPr>
            <w:tcW w:w="425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茂名市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3165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工        期</w:t>
            </w:r>
          </w:p>
        </w:tc>
        <w:tc>
          <w:tcPr>
            <w:tcW w:w="425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计划工期：330日历天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计划开工日期：</w:t>
            </w: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2024年6月10日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计划竣工日期：</w:t>
            </w: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2025年5月6日</w:t>
            </w:r>
          </w:p>
        </w:tc>
        <w:tc>
          <w:tcPr>
            <w:tcW w:w="425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atLeas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计划工期：180日历天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atLeas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计划开工日期：</w:t>
            </w: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2024年6月10日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atLeas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计划竣工日期：</w:t>
            </w: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2024年12月7日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3165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项目可研单位</w:t>
            </w:r>
          </w:p>
        </w:tc>
        <w:tc>
          <w:tcPr>
            <w:tcW w:w="42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广东广能电力设计院有限公司</w:t>
            </w:r>
          </w:p>
        </w:tc>
        <w:tc>
          <w:tcPr>
            <w:tcW w:w="42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广东广能电力设计院有限公司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3165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项目勘察设计单位</w:t>
            </w:r>
          </w:p>
        </w:tc>
        <w:tc>
          <w:tcPr>
            <w:tcW w:w="42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广东广能电力设计院有限公司</w:t>
            </w:r>
          </w:p>
        </w:tc>
        <w:tc>
          <w:tcPr>
            <w:tcW w:w="42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广东广能电力设计院有限公司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11</w:t>
            </w:r>
          </w:p>
        </w:tc>
        <w:tc>
          <w:tcPr>
            <w:tcW w:w="3165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项目监理单位</w:t>
            </w:r>
          </w:p>
        </w:tc>
        <w:tc>
          <w:tcPr>
            <w:tcW w:w="42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茂名市电力工程监理有限公司</w:t>
            </w:r>
          </w:p>
        </w:tc>
        <w:tc>
          <w:tcPr>
            <w:tcW w:w="42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茂名市电力工程监理有限公司</w:t>
            </w:r>
          </w:p>
        </w:tc>
      </w:tr>
    </w:tbl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0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  <w:sectPr>
          <w:pgSz w:w="16838" w:h="11906" w:orient="landscape"/>
          <w:pgMar w:top="118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0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  <w:t>三、项目概况：</w:t>
      </w:r>
      <w:bookmarkEnd w:id="0"/>
      <w:bookmarkStart w:id="1" w:name="_Toc28718"/>
      <w:bookmarkStart w:id="2" w:name="_Toc13498"/>
      <w:bookmarkStart w:id="3" w:name="_Toc4755"/>
    </w:p>
    <w:bookmarkEnd w:id="1"/>
    <w:bookmarkEnd w:id="2"/>
    <w:bookmarkEnd w:id="3"/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(1)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茂名高州110千伏谢鸡输变电工程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施工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 xml:space="preserve">※变电部分： </w:t>
      </w:r>
    </w:p>
    <w:p>
      <w:pPr>
        <w:keepNext w:val="0"/>
        <w:keepLines w:val="0"/>
        <w:widowControl w:val="0"/>
        <w:suppressLineNumbers w:val="0"/>
        <w:shd w:val="clear" w:color="auto" w:fill="auto"/>
        <w:adjustRightInd w:val="0"/>
        <w:snapToGrid w:val="0"/>
        <w:spacing w:before="0" w:beforeAutospacing="0" w:after="0" w:afterAutospacing="0" w:line="560" w:lineRule="exact"/>
        <w:ind w:left="0" w:right="0" w:firstLine="560" w:firstLineChars="200"/>
        <w:jc w:val="both"/>
        <w:rPr>
          <w:rFonts w:hint="eastAsia" w:ascii="仿宋" w:hAnsi="仿宋" w:eastAsia="仿宋" w:cs="仿宋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1、110千伏谢鸡变电站工程：新建110千伏谢鸡变电站建筑部分，站区拟建建筑物共3座，其中配电装置楼建筑面积1645.54㎡；警传室建筑面积66.56㎡；泵房建筑面积23.92㎡；站内建筑物采用钢筋混凝土框架结构，消防水池及事故油池采用现浇钢筋混凝土结构。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本期新建主变压器2×20MVA，110kV出线2回，户外AIS布置，10kV出线本期10回；10kV电容器组本期2×2.4×2.4Mvar，配套二次设备以及线缆敷设。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1146"/>
        </w:tabs>
        <w:kinsoku/>
        <w:wordWrap/>
        <w:overflowPunct/>
        <w:topLinePunct w:val="0"/>
        <w:bidi w:val="0"/>
        <w:spacing w:line="360" w:lineRule="auto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2、220kV利铁站扩建110kV间隔工程：本期扩建1个110kV出线间隔。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1146"/>
        </w:tabs>
        <w:kinsoku/>
        <w:wordWrap/>
        <w:overflowPunct/>
        <w:topLinePunct w:val="0"/>
        <w:bidi w:val="0"/>
        <w:spacing w:line="360" w:lineRule="auto"/>
        <w:ind w:firstLine="560" w:firstLineChars="200"/>
        <w:jc w:val="left"/>
        <w:textAlignment w:val="auto"/>
        <w:outlineLvl w:val="9"/>
        <w:rPr>
          <w:rFonts w:hint="default" w:ascii="仿宋" w:hAnsi="仿宋" w:eastAsia="仿宋" w:cs="仿宋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3、110kV泗水站扩建110kV间隔工程：本期扩建1个110kV出线间隔。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t>※架空线路部分：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1、110kV谢鸡至110kV泗水线路工程：自110kV谢鸡站构架至110kV泗水站构架建设110kV单回线路，长度为14.099km，其中新建单回架空线路长约14.015km；利用原110kV金泗甲线#53-#54段备用回路增挂导线长约0.084km。导线采用JL/LB20A-300/40铝包钢芯铝绞线，地线采用1条JLB20A-80铝包钢铰线和1条48芯OPGW光缆。共新立铁塔45基，其中转角塔15基，单回直线塔30基。使用2基旧转角塔。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outlineLvl w:val="9"/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2、110kV长坡至曹江线路改接入利铁站、谢鸡站线路工程：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instrText xml:space="preserve"> = 1 \* GB3 \* MERGEFORMAT </w:instrTex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①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自110kV谢鸡站构架至110kV长曹线解口点线路点，新建110kV单回线路，长度1×12.55km。共新立铁塔35基，其中转角塔9基，直线塔26基。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instrText xml:space="preserve"> = 2 \* GB3 \* MERGEFORMAT </w:instrTex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②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自110kV长曹线解口点至现有利长线#24塔新建110kV单回线路，长度为6.514km，共新立铁塔18基，其中转角塔8基，直线塔10基。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instrText xml:space="preserve"> = 3 \* GB3 \* MERGEFORMAT </w:instrTex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③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利用现有110kV利长线#24至利铁站为现有双回塔加挂一回线，长度为8.012km，共使用现有铁塔24基，其中转角塔10基，直线塔14基。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instrText xml:space="preserve"> = 4 \* GB3 \* MERGEFORMAT </w:instrTex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④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新建线路导线采用JL/LB20A-300/40铝包钢芯铝绞线，地线采用1条JLB20A-80铝包钢铰线和1条48芯OPGW光缆。利用旧塔挂线段导线采用JL/LB20A-300/40铝包钢芯铝绞线，地线更换1条GJ-50钢铰线为48芯OPGW光缆。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instrText xml:space="preserve"> = 5 \* GB3 \* MERGEFORMAT </w:instrTex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⑤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拆除现有110kV长潘一线#17、#19、#20、#21门杆4基，拆除#19-#21杆之间的导地线0.73km，调整#19小号侧(#16-#19耐张段)导地线弧垂1.1km。调整#21大号侧(#21-#26耐张段)导地线弧垂2.6km。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※通信部分：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1、110kV谢鸡变电站配套通信设备工程：配置2套STM-16传输设备，配置2套IAD综合接入设备，配置2套接入层设备接入调度数据，配置1套茂名地区综合数据网接入层设备，配置1套简易汇聚层交换机，配置1套语音视频专网接入层设备以及配套配线设备和线缆。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2、110kV谢鸡至110kV泗水线路工程配套OPGW光缆工程：沿谢鸡站至泗水站新建110kV线路建设1条48芯OPGW光缆，形成谢鸡站至泗水站1 条48芯光缆路由，新建光缆路径长度约14.099千米。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3、110kV长坡至曹江线路改接入利铁站、谢鸡站线路工程配套OPGW光缆工程：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instrText xml:space="preserve"> = 1 \* GB3 \* MERGEFORMAT </w:instrTex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①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沿110kV谢鸡站至110kV长曹线解口点（长坡侧）建设1条48芯的OPGW光缆，新建光缆与原光缆接续，形成谢鸡站至长坡站1条光缆路由，新建光缆路径长度约12.55千米；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instrText xml:space="preserve"> = 2 \* GB3 \* MERGEFORMAT </w:instrTex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②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沿220kV利铁站至110kV曹江站新建及利旧线路建设1条48芯OPGW光缆，形成曹江站至利铁站1条48芯光缆路由，新建光缆路径总长度约14.526千米，其中随新建线路建设光缆6.514千米，更换地线为OPGW光缆8.012千米。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)茂名电白110千伏岭门站扩建第二台主变工程施工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 xml:space="preserve"> ※变电部分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1、茂名电白110千伏岭门站扩建第二台主变工程：本期扩建40MVA主变1台，110kV扩建主变进线1回，10kV出线9回，无功补偿（2.4+5）Mvar并联电容器组，配套二次设备及土建内容。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</w:rPr>
        <w:t>注：具体建设规模以施工图纸为准。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</w:rPr>
      </w:pP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0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  <w:t>四、采购范围：</w:t>
      </w:r>
      <w:bookmarkStart w:id="4" w:name="施工招标范围综合"/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single"/>
        </w:rPr>
        <w:t>包括施工图范围内的建筑、安装及调试工程。施工图范围内的下列工作内容，无□及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single"/>
        </w:rPr>
        <w:fldChar w:fldCharType="begin"/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single"/>
        </w:rPr>
        <w:instrText xml:space="preserve"> EQ \o\ac(</w:instrTex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position w:val="-5"/>
          <w:sz w:val="42"/>
          <w:szCs w:val="28"/>
          <w:highlight w:val="none"/>
          <w:u w:val="single"/>
        </w:rPr>
        <w:instrText xml:space="preserve">□</w:instrTex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position w:val="0"/>
          <w:sz w:val="28"/>
          <w:szCs w:val="28"/>
          <w:highlight w:val="none"/>
          <w:u w:val="single"/>
        </w:rPr>
        <w:instrText xml:space="preserve">,√)</w:instrTex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single"/>
        </w:rPr>
        <w:fldChar w:fldCharType="end"/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single"/>
        </w:rPr>
        <w:t>的为本次报价范围；□未打√的，不在本次报价范围内</w:t>
      </w:r>
      <w:bookmarkEnd w:id="4"/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single"/>
        </w:rPr>
        <w:t>，特殊情况在“其他”中说明。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(1)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茂名高州110千伏谢鸡输变电工程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施工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※变电部分：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变电建筑部工程：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（一）主要生产工程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：主要生产建筑，配电装置建筑，供水系统，消防系统；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（二）辅助生产工程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：辅助生产建筑，站区性建筑，特殊构筑物，全站沉降观测点，站区绿化；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（三）与站址有关的单项工程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：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☑地基处理，☑站外道路（其中□桥涵），☑站外水源，☑站外排水，□站外蒸发池，□施工降水，☑临时施工电源，□临时施工水源，□临时施工道路，□临时施工通信线路，□临时施工防护工程；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（四）其他费用工程：☑白蚁防治，☑拆除工程；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 xml:space="preserve">（五）其他：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u w:val="single"/>
          <w:lang w:val="en-US" w:eastAsia="zh-CN"/>
        </w:rPr>
        <w:t xml:space="preserve"> ☑市政水源接驳费按暂估价2万元计列，结算时（经发包人确认）按实结算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变电安装工程：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（一）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主要生产工程：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主变压器系统，配电装置，无功补偿，控制及直流系统，站用电系统（不含站区照明），电缆及接地（不含站区照明电缆、电线和全站接地），远动系统（含总调、中调、地调调度端的扩容），计费系统，全站调试（其中特殊调试以合同附件特殊调试项目为准）；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（二）辅助生产工程：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检修及修配设备；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（三）与站址有关的单项工程：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□站外电源，□站外通信；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（四）其他费用工程：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☑标志牌安装，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sym w:font="Wingdings 2" w:char="00A3"/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拆除工程；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（五）其他：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u w:val="single"/>
          <w:lang w:val="en-US" w:eastAsia="zh-CN"/>
        </w:rPr>
        <w:t>（1）本次招标范围不含二次清册中开列的电力监控系统并网前测评（等保测评）。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※架空线路部分：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t>一</w:t>
      </w: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eastAsia="zh-CN"/>
        </w:rPr>
        <w:t>）基础工程：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基础工程材料工地运输，土石方工程，基础砌筑，基础防腐，基础防护，地基处理；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eastAsia="zh-CN"/>
        </w:rPr>
        <w:t>）杆塔工程：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杆塔工程材料工地运输，杆塔组立；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eastAsia="zh-CN"/>
        </w:rPr>
        <w:t>）接地工程：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接地工程材料工地运输，接地土石方，接地安装；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t>四</w:t>
      </w: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eastAsia="zh-CN"/>
        </w:rPr>
        <w:t>）架线工程：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架线工程材料工地运输，导地线架设（不含OPGW接续与测量），导地线跨越架设（其中☑带电跨越10千伏及以下电力线路、□带电跨越35千伏及以上电力线路、□跨越铁路、□高速公路、☑一、二级公路、☑河流），其他架线工程；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t>五</w:t>
      </w: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eastAsia="zh-CN"/>
        </w:rPr>
        <w:t>）附件安装工程：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附件安装工程材料工地运输，绝缘子串及金具安装；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eastAsia="zh-CN"/>
        </w:rPr>
        <w:t>（六）辅助工程：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永久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施工道路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修筑，尖峰、施工基面土石方工程，护坡、挡土墙及排洪沟，基础永久性围堰，索道站安装，杆塔上装的各类辅助生产装置（其中：☑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标志牌安装，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□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防坠地装置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□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防鸟刺装置），☑输、送电线路试运；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eastAsia="zh-CN"/>
        </w:rPr>
        <w:t>（七）</w:t>
      </w: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其他</w:t>
      </w: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eastAsia="zh-CN"/>
        </w:rPr>
        <w:t>费用工程</w:t>
      </w: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☑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拆除工程，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☑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施工临时占用地补偿（含牵引场地租用费），□施工临时占用地（含牵引场地）青苗赔偿，□临时施工道路的青苗赔偿，□塔基占地及其青苗赔偿，□架线青苗赔偿，□接地线铺设的青苗赔偿，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☑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塔基绿化恢复，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□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临时施工道路修筑费（单价/总价均报），输电线路跨越补偿费（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□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跨越铁路补偿费、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□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跨越高速公路补偿费、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☑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跨越一、二级公路补偿费、□跨越通航河流补偿费）；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eastAsia="zh-CN"/>
        </w:rPr>
        <w:t>（八）</w:t>
      </w: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其他：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110kV谢鸡至110kV泗水线路工程：跨越省道措施费3.2万元/处，共1处，共3.2万元，为单价包干价，结算时不予调整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eastAsia="zh-CN"/>
        </w:rPr>
        <w:t>。110kV长坡至曹江线路改接入利铁站、谢鸡站线路工程：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en-US" w:eastAsia="zh-CN"/>
        </w:rPr>
        <w:t>跨越省道措施费3.2万元/处，共1处，共3.2万元，为单价包干价，结算时不予调整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※</w:t>
      </w: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t>通信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部分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变电站工程：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施工图纸范围内的通信设备安装及测试、光缆单盘测试、中继测试、接续、光缆及联络光缆敷设、通信子管敷设、通道开通及业务接入、割接等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设备、光缆及金具卸车清点、验收及保管，与施工相关的所有其他费用项目。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eastAsia="zh-CN"/>
        </w:rPr>
        <w:t>架空线路部分</w:t>
      </w: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 xml:space="preserve"> 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施工图纸范围内的光缆单盘测量、接续、全程测量；与施工相关的所有其他费用项目；不包含光缆架设、拆除、跨越及青苗赔偿。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茂名电白110千伏岭门站扩建第二台主变工程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施工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※变电部分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变电建筑工程：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（一）主要生产工程：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主要生产建筑，配电装置建筑，供水系统，消防系统；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（二）辅助生产工程：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辅助生产建筑，站区性建筑，特殊构筑物，全站沉降观测点，站区绿化；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（三）与站址有关的单项工程：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□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地基处理，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□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站外道路（其中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□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桥涵），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□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站外水源，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□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站外排水，□站外蒸发池，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□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施工降水，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□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临时施工电源，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□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临时施工水源，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□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临时施工道路，□临时施工通信线路，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□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临时施工防护工程；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（四）其他费用工程：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☑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白蚁防治，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☑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拆除工程；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（五）其他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</w:rPr>
        <w:t xml:space="preserve">     /    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变电安装工程：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t>(一)</w:t>
      </w: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主要生产工程：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主变压器系统，配电装置，无功补偿，控制及直流系统，站用电系统，电缆及接地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远动系统（含总调、中调、地调调度端的扩容），计费系统，全站调试（其中特殊调试以合同附件特殊调试项目为准）；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（二）辅助生产工程：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检修及修配设备；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（三）与站址有关的单项工程：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□站外电源，□站外通信；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（四）其他费用工程：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☑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标志牌安装，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☑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拆除工程；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（五）其他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en-US" w:eastAsia="zh-CN"/>
        </w:rPr>
        <w:t>/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</w:rPr>
        <w:t>。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注：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特殊调试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以合同附件特殊调试项目为准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；</w:t>
      </w:r>
    </w:p>
    <w:p>
      <w:pPr>
        <w:pStyle w:val="9"/>
        <w:rPr>
          <w:rFonts w:hint="eastAsia"/>
          <w:color w:val="auto"/>
          <w:highlight w:val="none"/>
        </w:rPr>
      </w:pP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lang w:eastAsia="zh-CN"/>
        </w:rPr>
        <w:t>五、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</w:rPr>
        <w:t>承包方式：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single"/>
        </w:rPr>
        <w:t>包工、部分包料，施工图纸范围内如有下列设备、材料，无□及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single"/>
        </w:rPr>
        <w:fldChar w:fldCharType="begin"/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single"/>
        </w:rPr>
        <w:instrText xml:space="preserve"> EQ \o\ac(</w:instrTex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position w:val="-5"/>
          <w:sz w:val="42"/>
          <w:szCs w:val="28"/>
          <w:highlight w:val="none"/>
          <w:u w:val="single"/>
        </w:rPr>
        <w:instrText xml:space="preserve">□</w:instrTex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position w:val="0"/>
          <w:sz w:val="28"/>
          <w:szCs w:val="28"/>
          <w:highlight w:val="none"/>
          <w:u w:val="single"/>
        </w:rPr>
        <w:instrText xml:space="preserve">,√)</w:instrTex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single"/>
        </w:rPr>
        <w:fldChar w:fldCharType="end"/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single"/>
        </w:rPr>
        <w:t>的为甲供，□未打√的及不在下列的为乙供。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(1)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茂名高州110千伏谢鸡输变电工程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施工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※变电部分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：</w:t>
      </w:r>
    </w:p>
    <w:p>
      <w:pPr>
        <w:keepNext w:val="0"/>
        <w:keepLines w:val="0"/>
        <w:pageBreakBefore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eastAsia="zh-CN"/>
        </w:rPr>
        <w:t>甲供物资：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变电建筑工程：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  <w:t>1、不锈钢材质检修电源箱，不锈钢材质配电箱（含照明和动力配电箱），电力电缆，控制电缆，低压电线，铜铝端子，铜端子，铜排，构支架钢结构（含构支架、横梁，爬梯、避雷针）、标准成品预制电缆沟盖板（包括混凝土盖板和复合盖板）、装配式变电站围墙和主变防火墙（含混凝土和复合材质，厂家包安装及基础灌浆）、电缆支架（铝合金、角钢、复合材质），电杆（含混凝土和复合材料），电缆保护管材（HDPE管、涂塑钢管、PVC管、MPP管）、电缆管塞封堵器，防爆空调（蓄电池室）、智能围栏。</w:t>
      </w:r>
    </w:p>
    <w:p>
      <w:pPr>
        <w:pStyle w:val="9"/>
        <w:numPr>
          <w:ilvl w:val="0"/>
          <w:numId w:val="0"/>
        </w:numPr>
        <w:rPr>
          <w:rFonts w:hint="eastAsia"/>
          <w:color w:val="auto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  <w:t>2、□装配式电缆沟、□消防电缆、□吊车、□电梯（不含货物电梯）、□嵌入式空调（天井式）、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□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  <w:t>专用空调（生产场所、带自动启动功能）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变电安装工程：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电气一、二次设备，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铝镁合金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管形母线及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其配套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金具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，金具及附件（含线夹），钢绞线，铝绞线，红外热像仪，变电站智能巡检机器人，独立五防系统，检修隔离装置，视频及环境监控系统，监测装置，变压器配电箱（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en-US" w:eastAsia="zh-CN"/>
        </w:rPr>
        <w:t>SMC材质、不锈钢材质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），不锈钢材质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端子箱，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不锈钢材质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检修电源箱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，不锈钢材质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发电车开关箱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，不锈钢材质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配电箱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（含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照明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和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动力配电箱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），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电力电缆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控制电缆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，低压电线，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10kV及以上电缆头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，各种类型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绝缘子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封闭母线桥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10kV绝缘铜管母线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穿墙套管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电缆支架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（铝合金、角钢、复合材质）、铝合金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电缆桥架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、计量接引装置、电抗器接地装置、小电流接地选线装置。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□标志牌、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□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吊车。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（二）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其他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甲供物资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 / 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※架空线路部分：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（一）甲供物资：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杆塔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（水泥杆），铁塔加固器装置，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高空防坠落装置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，钢绞线，铝绞线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，导地线，绝缘子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、绝缘横担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，金具，光缆，光缆金具，线路避雷器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，故障指示器，故障精确定位装置，监测装置，视频监控系统，石墨基接地体，标志牌（线路标志牌、警示牌、标示桩、安装支架）。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☑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地脚螺栓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□直升机巡视作业标志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牌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（二）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其他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甲供物资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/  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※</w:t>
      </w: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t>通信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部分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变电部分：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甲供物资：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信相关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设备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（含电话、电池、监控等），数据网设备，机架，通信电源，各类光缆，综合配线设备及材料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，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电缆保护管材（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en-US" w:eastAsia="zh-CN"/>
        </w:rPr>
        <w:t>HDPE管、涂塑钢管、PVC管、MPP管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其他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甲供物资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/ 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架空线路部分：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（一）甲供物资：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光缆。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（二）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其他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甲供物资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/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 w:cs="仿宋"/>
          <w:b/>
          <w:bCs/>
          <w:snapToGrid w:val="0"/>
          <w:color w:val="auto"/>
          <w:sz w:val="28"/>
          <w:szCs w:val="28"/>
          <w:highlight w:val="none"/>
        </w:rPr>
        <w:t>茂名电白110千伏岭门站扩建第二台主变工程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施工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bidi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※变电部分：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bidi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（一）甲供物资：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bidi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变电建筑工程：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不锈钢材质检修电源箱，不锈钢材质配电箱（含照明和动力配电箱），电力电缆，控制电缆，低压电线，铜铝端子，铜端子，构支架钢结构（含构支架、横梁，爬梯、避雷针）、标准成品预制电缆沟盖板（包括混凝土盖板和复合盖板）、装配式变电站围墙和主变防火墙（含混凝土和复合材质，厂家包安装及基础灌浆）、电缆支架（铝合金、角钢、复合材质），电杆（含混凝土和复合材料），电缆保护管材（HDPE管、涂塑钢管、PVC管、MPP管）、电缆管塞封堵器，防爆空调（蓄电池室）、智能围栏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□装配式电缆沟、□消防电缆、□吊车、□电梯（不含货物电梯）、□嵌入式空调（天井式）、□专用空调（生产场所、带自动启动功能）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t>变电安装工程：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电气一、二次设备，铝镁合金管形母线及其配套金具，金具及附件（含线夹），钢绞线，铝绞线，红外热像仪，变电站智能巡检机器人，独立五防系统，检修隔离装置，视频及环境监控系统，监测装置，变压器配电箱（SMC材质、不锈钢材质），不锈钢材质端子箱，不锈钢材质检修电源箱，不锈钢材质发电车开关箱，不锈钢材质配电箱（含照明和动力配电箱），电力电缆，控制电缆，低压电线，10kV及以上电缆头，各种类型绝缘子，封闭母线桥，10kV绝缘铜管母线，穿墙套管，电缆支架（铝合金、角钢、复合材质）、铝合金电缆桥架、计量接引装置、电抗器接地装置、小电流接地选线装置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□标志牌、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□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吊车。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eastAsia="zh-CN"/>
        </w:rPr>
        <w:t>（二）</w:t>
      </w: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其他</w:t>
      </w: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eastAsia="zh-CN"/>
        </w:rPr>
        <w:t>甲供物资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 / 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注：建设单位提供的设备、材料以合同附件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甲供设备材料明细表为准。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bookmarkEnd w:id="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FF398D"/>
    <w:multiLevelType w:val="singleLevel"/>
    <w:tmpl w:val="4EFF398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B0B691A"/>
    <w:multiLevelType w:val="singleLevel"/>
    <w:tmpl w:val="5B0B691A"/>
    <w:lvl w:ilvl="0" w:tentative="0">
      <w:start w:val="1"/>
      <w:numFmt w:val="chineseCounting"/>
      <w:suff w:val="nothing"/>
      <w:lvlText w:val="（%1）"/>
      <w:lvlJc w:val="left"/>
      <w:rPr>
        <w:rFonts w:hint="eastAsia" w:ascii="仿宋" w:hAnsi="仿宋" w:eastAsia="仿宋" w:cs="仿宋"/>
        <w:b/>
        <w:bCs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4F737D8"/>
    <w:rsid w:val="00675492"/>
    <w:rsid w:val="00712522"/>
    <w:rsid w:val="00C073B0"/>
    <w:rsid w:val="01000F1F"/>
    <w:rsid w:val="0270337E"/>
    <w:rsid w:val="050E07AE"/>
    <w:rsid w:val="05B87515"/>
    <w:rsid w:val="068D71D9"/>
    <w:rsid w:val="0BC07002"/>
    <w:rsid w:val="0CB91C03"/>
    <w:rsid w:val="0D0758F3"/>
    <w:rsid w:val="10A919C2"/>
    <w:rsid w:val="116419AD"/>
    <w:rsid w:val="11DF6CFE"/>
    <w:rsid w:val="11FC1228"/>
    <w:rsid w:val="1221206F"/>
    <w:rsid w:val="12617BA5"/>
    <w:rsid w:val="13C71878"/>
    <w:rsid w:val="14440D4B"/>
    <w:rsid w:val="15056A61"/>
    <w:rsid w:val="15701FEA"/>
    <w:rsid w:val="17241016"/>
    <w:rsid w:val="17311749"/>
    <w:rsid w:val="18E57496"/>
    <w:rsid w:val="193066EB"/>
    <w:rsid w:val="196B23E3"/>
    <w:rsid w:val="1A2F2F81"/>
    <w:rsid w:val="1B1435D1"/>
    <w:rsid w:val="1B663F82"/>
    <w:rsid w:val="1BA9108A"/>
    <w:rsid w:val="1EA379B5"/>
    <w:rsid w:val="1F4E7410"/>
    <w:rsid w:val="20957CD4"/>
    <w:rsid w:val="20CE4755"/>
    <w:rsid w:val="216F4D5B"/>
    <w:rsid w:val="22D01CE9"/>
    <w:rsid w:val="24114BF9"/>
    <w:rsid w:val="2492634E"/>
    <w:rsid w:val="24E46BF4"/>
    <w:rsid w:val="24F737D8"/>
    <w:rsid w:val="26E90816"/>
    <w:rsid w:val="26F863F9"/>
    <w:rsid w:val="274170EE"/>
    <w:rsid w:val="2785030E"/>
    <w:rsid w:val="278F57AD"/>
    <w:rsid w:val="27E47C4B"/>
    <w:rsid w:val="28F46A2A"/>
    <w:rsid w:val="296555D1"/>
    <w:rsid w:val="2BEB4011"/>
    <w:rsid w:val="2BED7EC0"/>
    <w:rsid w:val="2D8E3667"/>
    <w:rsid w:val="2E9A5E18"/>
    <w:rsid w:val="2F362DFB"/>
    <w:rsid w:val="2FF65FF8"/>
    <w:rsid w:val="300D195C"/>
    <w:rsid w:val="3044134F"/>
    <w:rsid w:val="306C7E8C"/>
    <w:rsid w:val="30BF37B5"/>
    <w:rsid w:val="30F77FD8"/>
    <w:rsid w:val="31D54B06"/>
    <w:rsid w:val="33431B08"/>
    <w:rsid w:val="34AD3A3F"/>
    <w:rsid w:val="361736AD"/>
    <w:rsid w:val="36905D28"/>
    <w:rsid w:val="36D200CF"/>
    <w:rsid w:val="38382DC3"/>
    <w:rsid w:val="38C313B2"/>
    <w:rsid w:val="3B2A0F67"/>
    <w:rsid w:val="3BCA27B8"/>
    <w:rsid w:val="3C1E17EA"/>
    <w:rsid w:val="3C4A35F1"/>
    <w:rsid w:val="3D6C6E26"/>
    <w:rsid w:val="3F9B7EF1"/>
    <w:rsid w:val="415A7E63"/>
    <w:rsid w:val="416A563D"/>
    <w:rsid w:val="42267EAA"/>
    <w:rsid w:val="42E701E3"/>
    <w:rsid w:val="42F754CD"/>
    <w:rsid w:val="44D414C9"/>
    <w:rsid w:val="460D1423"/>
    <w:rsid w:val="46472D5E"/>
    <w:rsid w:val="469B4709"/>
    <w:rsid w:val="46A85B41"/>
    <w:rsid w:val="47CB2C71"/>
    <w:rsid w:val="49332FB5"/>
    <w:rsid w:val="4B3A1BDA"/>
    <w:rsid w:val="4D392B7F"/>
    <w:rsid w:val="4DC759F3"/>
    <w:rsid w:val="4E040B17"/>
    <w:rsid w:val="4EA560D6"/>
    <w:rsid w:val="50667F11"/>
    <w:rsid w:val="546F308A"/>
    <w:rsid w:val="55734D49"/>
    <w:rsid w:val="55C3156A"/>
    <w:rsid w:val="56677483"/>
    <w:rsid w:val="57092F8E"/>
    <w:rsid w:val="582A26FC"/>
    <w:rsid w:val="599017B7"/>
    <w:rsid w:val="5F8E0C51"/>
    <w:rsid w:val="5FE724D4"/>
    <w:rsid w:val="608606DE"/>
    <w:rsid w:val="63F84EC8"/>
    <w:rsid w:val="66C35559"/>
    <w:rsid w:val="66D91A76"/>
    <w:rsid w:val="68B337CC"/>
    <w:rsid w:val="69311D38"/>
    <w:rsid w:val="6A287B5E"/>
    <w:rsid w:val="6A6B37FA"/>
    <w:rsid w:val="6B303A1A"/>
    <w:rsid w:val="6D897695"/>
    <w:rsid w:val="6DAA2FDF"/>
    <w:rsid w:val="6E121228"/>
    <w:rsid w:val="70873960"/>
    <w:rsid w:val="70B81233"/>
    <w:rsid w:val="70D1495F"/>
    <w:rsid w:val="73641402"/>
    <w:rsid w:val="74E73186"/>
    <w:rsid w:val="76015DEA"/>
    <w:rsid w:val="763B2CF0"/>
    <w:rsid w:val="764E470D"/>
    <w:rsid w:val="76850D49"/>
    <w:rsid w:val="7842124A"/>
    <w:rsid w:val="79435213"/>
    <w:rsid w:val="7C766170"/>
    <w:rsid w:val="7D26550D"/>
    <w:rsid w:val="7D2D6A7C"/>
    <w:rsid w:val="7E3420E0"/>
    <w:rsid w:val="7E40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9" w:semiHidden="0" w:name="heading 1"/>
    <w:lsdException w:qFormat="1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color w:val="000000"/>
      <w:sz w:val="32"/>
    </w:rPr>
  </w:style>
  <w:style w:type="paragraph" w:styleId="3">
    <w:name w:val="heading 2"/>
    <w:basedOn w:val="1"/>
    <w:next w:val="1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i/>
      <w:color w:val="000000"/>
      <w:sz w:val="28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rFonts w:ascii="Times New Roman" w:hAnsi="Times New Roman" w:cs="Times New Roman"/>
      <w:kern w:val="0"/>
      <w:sz w:val="20"/>
      <w:szCs w:val="20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7"/>
    <w:next w:val="7"/>
    <w:unhideWhenUsed/>
    <w:qFormat/>
    <w:uiPriority w:val="99"/>
    <w:pPr>
      <w:spacing w:after="120"/>
    </w:pPr>
  </w:style>
  <w:style w:type="paragraph" w:styleId="7">
    <w:name w:val="Title"/>
    <w:basedOn w:val="1"/>
    <w:next w:val="1"/>
    <w:qFormat/>
    <w:uiPriority w:val="0"/>
    <w:pPr>
      <w:widowControl/>
      <w:spacing w:before="240" w:after="60" w:line="560" w:lineRule="exact"/>
      <w:jc w:val="center"/>
      <w:outlineLvl w:val="0"/>
    </w:pPr>
    <w:rPr>
      <w:rFonts w:ascii="Arial" w:hAnsi="Arial" w:eastAsia="华文中宋" w:cs="Arial"/>
      <w:b/>
      <w:bCs/>
      <w:color w:val="FF0000"/>
      <w:kern w:val="0"/>
      <w:sz w:val="84"/>
      <w:szCs w:val="32"/>
    </w:rPr>
  </w:style>
  <w:style w:type="paragraph" w:styleId="8">
    <w:name w:val="Body Text Indent"/>
    <w:basedOn w:val="1"/>
    <w:qFormat/>
    <w:uiPriority w:val="0"/>
    <w:pPr>
      <w:spacing w:after="120"/>
      <w:ind w:left="420" w:leftChars="200"/>
    </w:pPr>
  </w:style>
  <w:style w:type="paragraph" w:styleId="9">
    <w:name w:val="Plain Text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jc w:val="both"/>
    </w:pPr>
    <w:rPr>
      <w:rFonts w:ascii="宋体" w:hAnsi="Courier New"/>
      <w:kern w:val="0"/>
      <w:sz w:val="20"/>
      <w:szCs w:val="20"/>
      <w:lang w:val="en-US" w:eastAsia="zh-CN"/>
    </w:rPr>
  </w:style>
  <w:style w:type="paragraph" w:styleId="10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1">
    <w:name w:val="Body Text First Indent"/>
    <w:basedOn w:val="6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pacing w:line="360" w:lineRule="auto"/>
      <w:ind w:firstLine="200" w:firstLineChars="200"/>
      <w:jc w:val="both"/>
    </w:pPr>
    <w:rPr>
      <w:kern w:val="0"/>
      <w:sz w:val="24"/>
      <w:lang w:val="en-US" w:eastAsia="zh-CN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目录 21"/>
    <w:basedOn w:val="1"/>
    <w:next w:val="1"/>
    <w:qFormat/>
    <w:uiPriority w:val="0"/>
    <w:pPr>
      <w:spacing w:before="100" w:beforeAutospacing="1" w:after="100" w:afterAutospacing="1"/>
      <w:ind w:left="420" w:leftChars="200"/>
    </w:pPr>
  </w:style>
  <w:style w:type="paragraph" w:customStyle="1" w:styleId="16">
    <w:name w:val="_Style 5"/>
    <w:basedOn w:val="1"/>
    <w:qFormat/>
    <w:uiPriority w:val="0"/>
    <w:pPr>
      <w:adjustRightInd/>
      <w:spacing w:line="240" w:lineRule="auto"/>
      <w:ind w:firstLine="420" w:firstLineChars="200"/>
      <w:textAlignment w:val="auto"/>
    </w:pPr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2021-02-24T07:45:00Z</dcterms:created>
  <dc:creator>maja</dc:creator>
  <cp:lastModifiedBy>吴旻</cp:lastModifiedBy>
  <cp:lastPrinted>2022-02-11T02:00:00Z</cp:lastPrinted>
  <dcterms:modified xsi:type="dcterms:W3CDTF">2024-04-08T01:03:27Z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CB44A8A26F5B4F1196EC1BA4C3DEA782</vt:lpwstr>
  </property>
</Properties>
</file>