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2"/>
          <w:szCs w:val="32"/>
          <w:highlight w:val="none"/>
          <w:u w:val="none"/>
          <w:lang w:val="en-US" w:eastAsia="zh-CN"/>
        </w:rPr>
      </w:pPr>
      <w:bookmarkStart w:id="0" w:name="_Toc8445"/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2"/>
          <w:szCs w:val="32"/>
          <w:highlight w:val="none"/>
          <w:u w:val="none"/>
          <w:lang w:val="en-US" w:eastAsia="zh-CN"/>
        </w:rPr>
        <w:t>附件A-项目信息清单（标的3）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一、标段名称：韶关城区110千伏浈数3输变电工程施工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0"/>
        <w:rPr>
          <w:rFonts w:hint="default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二、项目基本情况</w:t>
      </w:r>
    </w:p>
    <w:tbl>
      <w:tblPr>
        <w:tblStyle w:val="12"/>
        <w:tblW w:w="83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3165"/>
        <w:gridCol w:w="4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文件名称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韶关城区110千伏浈数3输变电工程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可研批复文号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韶供电计〔2023〕85号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项目核准备案文号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韶发改电力〔2023〕39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初设批复文号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韶供电建〔2024〕4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初设批复总投资（万元）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 xml:space="preserve"> 8488.47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施工图设计批复文号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项目建设单位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韶关供电局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项目建设地点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韶关市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工        期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计划工期：350日历天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计划开工日期：2024年6月15日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计划竣工日期：2025年5月31日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项目可研单位</w:t>
            </w:r>
          </w:p>
        </w:tc>
        <w:tc>
          <w:tcPr>
            <w:tcW w:w="4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韶关市擎能设计有限公司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项目勘察设计单位</w:t>
            </w:r>
          </w:p>
        </w:tc>
        <w:tc>
          <w:tcPr>
            <w:tcW w:w="4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韶关市擎能设计有限公司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项目监理单位</w:t>
            </w:r>
          </w:p>
        </w:tc>
        <w:tc>
          <w:tcPr>
            <w:tcW w:w="4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/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sectPr>
          <w:pgSz w:w="16838" w:h="11906" w:orient="landscape"/>
          <w:pgMar w:top="118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三、项目概况：</w:t>
      </w:r>
      <w:bookmarkEnd w:id="0"/>
      <w:bookmarkStart w:id="1" w:name="_Toc28718"/>
      <w:bookmarkStart w:id="2" w:name="_Toc4755"/>
      <w:bookmarkStart w:id="3" w:name="_Toc13498"/>
    </w:p>
    <w:bookmarkEnd w:id="1"/>
    <w:bookmarkEnd w:id="2"/>
    <w:bookmarkEnd w:id="3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(1)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韶关城区110千伏浈数3输变电工程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施工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 xml:space="preserve"> ※变电部分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110千伏浈数3变电站工程：新建63兆伏安主变压器2台，110千伏出线4回。其中，至220千伏智良站（数据1站）2 回，至110千伏浈数4站出线2回（本期仅建设出线间隔），每台主变10千伏侧安装2组6兆乏并联电容器组。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主变采用三相双卷自然油循环自冷有载调压变压器，户外布置。110千伏均采用户内GIS组合电器，110千伏及10千伏本期采用单母线分段接线，10千伏配电装置采用金属铠装移开式开关柜户内双列布置，电容器组户内布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全站总用地面积0.45075公顷，其中围墙内用电面积0.2887公顷。全站总建筑面积3090.30平方米，其中配电装置楼建筑面积3090.30平方米。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220伏智良站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数据1站）110千伏保护改造工程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本期至浈数3站110千伏线路新增保护装置，配置光纤电流差动保护，每套保护均采用一路复用光纤通道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※电缆线路部分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110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千伏数据1至浈数3电缆线路工程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自220千伏智良站（数据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站）至浈数3站，新建110千伏电缆线路长约2×2.3千米，全线按双回电缆设计。其中220千伏智良站（数据1站）外需新建110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千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伏电缆通道2×0.013千米，剩余2×2.217千米电缆线路均为利用浈数产业园内市政电缆廊道敷设。电缆采用ZRA-YJLW02-Z-64/110 1×1600阻燃型交联聚乙烯绝缘电力电缆。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※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通信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部分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配套通信设备工程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新建站光设备配置传输A网ASON设备1套和保底通信网ASON设备1套。网络设备配置2套调度数据网络路由器、1套综合数据网络路由器及交换机、1套语音视频交换机、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1套配电数据网接入设备、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1套2M复用接入设备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以及配套配线设备和线缆敷设。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default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default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110kV数据1至浈数3电缆线路工程管道光缆工程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：沿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220千伏智良站（数据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站）至浈数3站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110千伏电缆线路建设2条48芯管道光缆约2×2.23千米，光缆采用GYFTZY63防鼠型光缆。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>注：具体建设规模以施工图纸为准。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</w:pP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四、采购范围：</w:t>
      </w:r>
      <w:bookmarkStart w:id="4" w:name="施工招标范围综合"/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t>包括施工图范围内的建筑、安装及调试工程。施工图范围内的下列工作内容，无□及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fldChar w:fldCharType="begin"/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instrText xml:space="preserve"> EQ \o\ac(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position w:val="-5"/>
          <w:sz w:val="42"/>
          <w:szCs w:val="28"/>
          <w:highlight w:val="none"/>
          <w:u w:val="single"/>
        </w:rPr>
        <w:instrText xml:space="preserve">□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position w:val="0"/>
          <w:sz w:val="28"/>
          <w:szCs w:val="28"/>
          <w:highlight w:val="none"/>
          <w:u w:val="single"/>
        </w:rPr>
        <w:instrText xml:space="preserve">,√)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fldChar w:fldCharType="end"/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t>的为本次报价范围；□未打√的，不在本次报价范围内</w:t>
      </w:r>
      <w:bookmarkEnd w:id="4"/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t>，特殊情况在“其他”中说明。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(1)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韶关城区110千伏浈数3输变电工程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施工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 xml:space="preserve"> 变电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建筑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工程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（一）主要生产工程：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主要生产建筑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配电装置建筑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供水系统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消防系统；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（二）辅助生产工程：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辅助生产建筑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站区性建筑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特殊构筑物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全站沉降观测点，站区绿化；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（三）与站址有关的单项工程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840" w:firstLineChars="3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地基处理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站外道路（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其中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□桥涵），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站外水源，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站外排水，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站外蒸发池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施工降水，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  <w:lang w:eastAsia="zh-CN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临时施工电源，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临时施工水源，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临时施工道路，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□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临时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施工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通信线路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  <w:lang w:eastAsia="zh-CN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临时施工防护工程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42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（四）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其他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费用工程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none"/>
        </w:rPr>
        <w:t>白蚁防治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  <w:lang w:eastAsia="zh-CN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none"/>
          <w:lang w:eastAsia="zh-CN"/>
        </w:rPr>
        <w:t>拆除工程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42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  <w:lang w:val="en-US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（五）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其他：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/  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420"/>
        <w:jc w:val="left"/>
        <w:textAlignment w:val="auto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变电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安装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工程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：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line="336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主要生产工程：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主变压器系统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配电装置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无功补偿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，控制及直流系统，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站用电系统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，电缆及接地，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远动系统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含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总调、中调、地调调度端的扩容）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，计费系统，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eastAsia="zh-CN"/>
        </w:rPr>
        <w:t>全站调试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其中特殊调试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以合同附件十二特殊调试项目为准）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42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）辅助生产工程：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检修及修配设备；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420"/>
        <w:jc w:val="left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（三）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与站址有关的单项工程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站外电源，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站外通信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42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（四）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其他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费用工程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none"/>
          <w:lang w:eastAsia="zh-CN"/>
        </w:rPr>
        <w:t>标志牌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none"/>
        </w:rPr>
        <w:t>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none"/>
          <w:lang w:eastAsia="zh-CN"/>
        </w:rPr>
        <w:t>装，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  <w:lang w:eastAsia="zh-CN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none"/>
          <w:lang w:eastAsia="zh-CN"/>
        </w:rPr>
        <w:t>拆除工程；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42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（五）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其他：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☑站外水源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en-US" w:eastAsia="zh-CN"/>
        </w:rPr>
        <w:t>不计入投标报价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</w:rPr>
        <w:t>结算按实际发生（经建设单位确认）结算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。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336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※电缆线路部分：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施工图纸范围内的电缆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建筑：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（一）土石方：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材料运输，土石方挖填，开挖路面，修复路面，隧道挖填；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（二）构筑物：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材料运输，直埋电缆垫层及盖板，电缆沟、浅槽，工作井，电缆埋管，隧道，隧道工作井，栈桥，基础；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（三）辅助工程：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材料运输，通风，照明，排水，消防，围护，地基处理；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336" w:lineRule="auto"/>
        <w:ind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（四）其他费用工程：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白蚁防治，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拆除工程 ，</w:t>
      </w:r>
      <w:bookmarkStart w:id="5" w:name="_GoBack"/>
      <w:bookmarkEnd w:id="5"/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  <w:lang w:eastAsia="zh-CN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电缆走廊绿化赔偿，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沿线建（构）筑物的拆除，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与城市规划、市政、园林、交警、城监、公路等部门联系办理施工许可手续，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施工临时占用地补偿费；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42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（五）其他：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en-US" w:eastAsia="zh-CN"/>
        </w:rPr>
        <w:t>/。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420"/>
        <w:jc w:val="left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施工图纸范围内的电缆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安装：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36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（一）电缆桥、支架制作安装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：材料运输，电缆桥架，电缆支架；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（二）电缆敷设：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材料运输，直埋敷设，电缆沟、浅槽敷设，埋管内敷设，电缆隧道敷设，桥架敷设，栈桥敷设；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（三）电缆附件：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材料运输，终端头制作安装，中间接头制作安装，接地安装，设备安装，电缆保护管；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（四）电缆防火：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材料运输，构筑物防火，电缆本体防火；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（五）调试与试验：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电缆试验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（其中：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电缆局部放电试验，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电缆参数测定）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，设备试验；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（六）电缆监测（控）系统：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材料运输，在线监测，安保监控；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（七）其他费用工程：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标志牌安装，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  <w:lang w:eastAsia="zh-CN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拆除工程，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☑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线路牌挂牌；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（八）其他：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</w:rPr>
        <w:t xml:space="preserve">     /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336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※通信部分：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36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变电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部分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：施工图纸范围内的通信设备安装及测试、光缆单盘测试、中继测试、接续、光缆及联络光缆敷设、通信子管敷设、通道开通及业务接入、割接等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设备、光缆及金具卸车清点、验收及保管，与施工相关的所有其他费用项目。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36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架空线路部分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施工图纸范围内的光缆单盘测量、接续、全程测量；与施工相关的所有其他费用项目；不包含光缆架设、拆除、跨越及青苗赔偿。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电缆线路部分：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施工图纸范围内的光缆单盘测试、中继测试、接续、光缆及联络光缆敷设、通信子管敷设、通道开通及业务接入、割接等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光缆及金具卸车清点、验收及保管，与施工相关的所有其他费用项目。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注：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特殊调试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以合同附件特殊调试项目为准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  <w:t>五、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</w:rPr>
        <w:t>承包方式：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t>包工、部分包料，施工图纸范围内如有下列设备、材料，无□及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fldChar w:fldCharType="begin"/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instrText xml:space="preserve"> EQ \o\ac(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position w:val="-5"/>
          <w:sz w:val="42"/>
          <w:szCs w:val="28"/>
          <w:highlight w:val="none"/>
          <w:u w:val="single"/>
        </w:rPr>
        <w:instrText xml:space="preserve">□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position w:val="0"/>
          <w:sz w:val="28"/>
          <w:szCs w:val="28"/>
          <w:highlight w:val="none"/>
          <w:u w:val="single"/>
        </w:rPr>
        <w:instrText xml:space="preserve">,√)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fldChar w:fldCharType="end"/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t>的为甲供，□未打√的及不在下列的为乙供。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(1)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韶关城区110千伏浈数3输变电工程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施工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36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※变电部分：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36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（一）甲供物资：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36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变电建筑工程：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36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eastAsia="zh-CN"/>
        </w:rPr>
        <w:t>不锈钢材质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</w:rPr>
        <w:t>检修电源箱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eastAsia="zh-CN"/>
        </w:rPr>
        <w:t>，不锈钢材质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</w:rPr>
        <w:t>配电箱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eastAsia="zh-CN"/>
        </w:rPr>
        <w:t>（含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</w:rPr>
        <w:t>照明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eastAsia="zh-CN"/>
        </w:rPr>
        <w:t>和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</w:rPr>
        <w:t>动力配电箱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eastAsia="zh-CN"/>
        </w:rPr>
        <w:t>），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</w:rPr>
        <w:t>电力电缆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</w:rPr>
        <w:t>控制电缆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eastAsia="zh-CN"/>
        </w:rPr>
        <w:t>，低压电线，铜铝端子，铜端子，构支架钢结构（含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</w:rPr>
        <w:t>构支架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</w:rPr>
        <w:t>横梁，爬梯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</w:rPr>
        <w:t>避雷针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val="en-US" w:eastAsia="zh-CN"/>
        </w:rPr>
        <w:t>标准成品预制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</w:rPr>
        <w:t>电缆沟盖板（包括混凝土盖板和复合盖板）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eastAsia="zh-CN"/>
        </w:rPr>
        <w:t>、装配式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</w:rPr>
        <w:t>变电站围墙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eastAsia="zh-CN"/>
        </w:rPr>
        <w:t>和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</w:rPr>
        <w:t>主变防火墙（含混凝土和复合材质，厂家包安装及基础灌浆）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</w:rPr>
        <w:t>电缆支架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eastAsia="zh-CN"/>
        </w:rPr>
        <w:t>（铝合金、角钢、复合材质），电杆（含混凝土和复合材料）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电缆保护管材（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en-US" w:eastAsia="zh-CN"/>
        </w:rPr>
        <w:t>HDPE管、涂塑钢管、PVC管、MPP管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）、电缆管塞封堵器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，防爆空调（蓄电池室）、智能围栏。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36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装配式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电缆沟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消防电缆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□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吊车、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□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电梯（不含货物电梯）、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□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嵌入式空调（天井式）、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☑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专用空调（生产场所、带自动启动功能）。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36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变电安装工程：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36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电气一、二次设备，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铝镁合金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管形母线及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其配套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金具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，金具及附件（含线夹），钢绞线，铝绞线，红外热像仪，变电站智能巡检机器人，独立五防系统，检修隔离装置，视频及环境监控系统，监测装置，变压器配电箱（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SMC材质、不锈钢材质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），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eastAsia="zh-CN"/>
        </w:rPr>
        <w:t>不锈钢材质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端子箱，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eastAsia="zh-CN"/>
        </w:rPr>
        <w:t>不锈钢材质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检修电源箱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eastAsia="zh-CN"/>
        </w:rPr>
        <w:t>不锈钢材质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发电车开关箱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eastAsia="zh-CN"/>
        </w:rPr>
        <w:t>不锈钢材质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</w:rPr>
        <w:t>配电箱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eastAsia="zh-CN"/>
        </w:rPr>
        <w:t>（含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</w:rPr>
        <w:t>照明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eastAsia="zh-CN"/>
        </w:rPr>
        <w:t>和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</w:rPr>
        <w:t>动力配电箱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电力电缆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控制电缆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eastAsia="zh-CN"/>
        </w:rPr>
        <w:t>，低压电线，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10kV及以上电缆头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trike w:val="0"/>
          <w:dstrike w:val="0"/>
          <w:color w:val="auto"/>
          <w:sz w:val="28"/>
          <w:szCs w:val="28"/>
          <w:highlight w:val="none"/>
          <w:lang w:eastAsia="zh-CN"/>
        </w:rPr>
        <w:t>各种类型</w:t>
      </w:r>
      <w:r>
        <w:rPr>
          <w:rFonts w:hint="eastAsia" w:ascii="仿宋" w:hAnsi="仿宋" w:eastAsia="仿宋" w:cs="仿宋"/>
          <w:strike w:val="0"/>
          <w:color w:val="auto"/>
          <w:sz w:val="28"/>
          <w:szCs w:val="28"/>
          <w:highlight w:val="none"/>
        </w:rPr>
        <w:t>绝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缘子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封闭母线桥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10kV绝缘铜管母线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穿墙套管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</w:rPr>
        <w:t>电缆支架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eastAsia="zh-CN"/>
        </w:rPr>
        <w:t>（铝合金、角钢、复合材质）、铝合金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</w:rPr>
        <w:t>电缆桥架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  <w:lang w:eastAsia="zh-CN"/>
        </w:rPr>
        <w:t>、计量接引装置、电抗器接地装置、小电流接地选线装置。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36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☑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标志牌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□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吊车。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36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（二）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其他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甲供物资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  <w:lang w:val="en-US" w:eastAsia="zh-CN"/>
        </w:rPr>
        <w:t xml:space="preserve"> /  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36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※电缆线路部分：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36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（一）甲供物资：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36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1、电力电缆，电缆终端头，电缆直通接头，电缆绝缘接头，电缆T接头，电缆固定夹，带保护器接地箱，直接接地箱，同轴电缆，接地线，回流线，接地箱，避雷器，故障指示器，故障精确定位装置，监测装置，光缆及光缆附件</w:t>
      </w:r>
      <w:r>
        <w:rPr>
          <w:rFonts w:hint="eastAsia" w:ascii="仿宋" w:hAnsi="仿宋" w:eastAsia="仿宋" w:cs="仿宋"/>
          <w:bCs/>
          <w:iCs/>
          <w:color w:val="auto"/>
          <w:sz w:val="28"/>
          <w:szCs w:val="28"/>
          <w:highlight w:val="none"/>
        </w:rPr>
        <w:t>，电缆隧道装置（含隧道专用LED灯具、电缆隧道巡检机器人轨道、电缆隧道智能巡检机器人、电缆防火防爆装置、电缆隧道立柱支架、成套稳压供水设备、电缆隧道户外动力箱（IP66）、全不锈钢潜污泵）、接头区灭火装置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</w:rPr>
        <w:t>电缆支架（铝合金、角钢、复合材质）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，电缆保护管材（包括HDPE管、涂塑钢管、PVC-C管、PVC管、MPP管）、电缆管塞封堵器，</w:t>
      </w:r>
      <w:r>
        <w:rPr>
          <w:rFonts w:hint="eastAsia" w:ascii="仿宋" w:hAnsi="仿宋" w:eastAsia="仿宋" w:cs="仿宋"/>
          <w:iCs/>
          <w:color w:val="auto"/>
          <w:sz w:val="28"/>
          <w:szCs w:val="28"/>
          <w:highlight w:val="none"/>
        </w:rPr>
        <w:t>标准成品预制电缆沟盖板（包括混凝土盖板和复合盖板）、智能围栏，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标志牌（电缆标志牌、警示牌、标示桩、走向标志、安装支架）。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36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2、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□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装配式电缆沟，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□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玻璃钢管。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（二）其他甲供物资：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</w:rPr>
        <w:t xml:space="preserve">   /   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36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※通信部分: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36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※变电部分：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甲供物资：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信相关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设备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（含电话、电池、监控等），数据网设备，机架，通信电源，各类光缆，综合配线设备及材料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电缆保护管材（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en-US" w:eastAsia="zh-CN"/>
        </w:rPr>
        <w:t>HDPE管、涂塑钢管、PVC管、MPP管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其他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甲供物资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/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36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※架空线路部分：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（一）甲供物资：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光缆。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（二）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其他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甲供物资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/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※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电缆线路管道光缆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部分：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甲供物资：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en-US" w:eastAsia="zh-CN"/>
        </w:rPr>
        <w:t>1、光缆及光缆附件，电缆保护管材（HDPE管、涂塑钢管、PVC管、MPP管）。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□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en-US" w:eastAsia="zh-CN"/>
        </w:rPr>
        <w:t>装配式电缆沟，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</w:rPr>
        <w:t>□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en-US" w:eastAsia="zh-CN"/>
        </w:rPr>
        <w:t>玻璃钢管。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36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（二）其他甲供物资：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  <w:lang w:val="en-US" w:eastAsia="zh-CN"/>
        </w:rPr>
        <w:t xml:space="preserve">  /    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注：建设单位提供的设备、材料以合同附件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甲供设备材料明细表为准。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F46EB0"/>
    <w:multiLevelType w:val="singleLevel"/>
    <w:tmpl w:val="FEF46EB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862E749"/>
    <w:multiLevelType w:val="singleLevel"/>
    <w:tmpl w:val="5862E74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B0B691A"/>
    <w:multiLevelType w:val="singleLevel"/>
    <w:tmpl w:val="5B0B691A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F737D8"/>
    <w:rsid w:val="00675492"/>
    <w:rsid w:val="00C073B0"/>
    <w:rsid w:val="01000F1F"/>
    <w:rsid w:val="0270337E"/>
    <w:rsid w:val="050E07AE"/>
    <w:rsid w:val="05983EBC"/>
    <w:rsid w:val="05B87515"/>
    <w:rsid w:val="068D71D9"/>
    <w:rsid w:val="0BC07002"/>
    <w:rsid w:val="0CB91C03"/>
    <w:rsid w:val="0D0758F3"/>
    <w:rsid w:val="0E7E7F9C"/>
    <w:rsid w:val="0ED90EEF"/>
    <w:rsid w:val="0FEF02B3"/>
    <w:rsid w:val="10A919C2"/>
    <w:rsid w:val="116419AD"/>
    <w:rsid w:val="11DF6CFE"/>
    <w:rsid w:val="11FC1228"/>
    <w:rsid w:val="1221206F"/>
    <w:rsid w:val="12617BA5"/>
    <w:rsid w:val="13C71878"/>
    <w:rsid w:val="14440D4B"/>
    <w:rsid w:val="14A85312"/>
    <w:rsid w:val="15056A61"/>
    <w:rsid w:val="15701FEA"/>
    <w:rsid w:val="17241016"/>
    <w:rsid w:val="17311749"/>
    <w:rsid w:val="18E57496"/>
    <w:rsid w:val="193066EB"/>
    <w:rsid w:val="196B23E3"/>
    <w:rsid w:val="1A2F2F81"/>
    <w:rsid w:val="1B1435D1"/>
    <w:rsid w:val="1B663F82"/>
    <w:rsid w:val="1BA9108A"/>
    <w:rsid w:val="1EA379B5"/>
    <w:rsid w:val="20957CD4"/>
    <w:rsid w:val="216F4D5B"/>
    <w:rsid w:val="22D01CE9"/>
    <w:rsid w:val="245A13D6"/>
    <w:rsid w:val="24E46BF4"/>
    <w:rsid w:val="24F737D8"/>
    <w:rsid w:val="26F863F9"/>
    <w:rsid w:val="274170EE"/>
    <w:rsid w:val="2785030E"/>
    <w:rsid w:val="278F57AD"/>
    <w:rsid w:val="27E47C4B"/>
    <w:rsid w:val="28591F9D"/>
    <w:rsid w:val="28F46A2A"/>
    <w:rsid w:val="296555D1"/>
    <w:rsid w:val="2BED7EC0"/>
    <w:rsid w:val="2D8E3667"/>
    <w:rsid w:val="2DB02FC9"/>
    <w:rsid w:val="2E9A5E18"/>
    <w:rsid w:val="2F362DFB"/>
    <w:rsid w:val="2FF65FF8"/>
    <w:rsid w:val="300D195C"/>
    <w:rsid w:val="3044134F"/>
    <w:rsid w:val="306C7E8C"/>
    <w:rsid w:val="30BF37B5"/>
    <w:rsid w:val="31B60496"/>
    <w:rsid w:val="33431B08"/>
    <w:rsid w:val="35207334"/>
    <w:rsid w:val="361736AD"/>
    <w:rsid w:val="36905D28"/>
    <w:rsid w:val="36D200CF"/>
    <w:rsid w:val="38382DC3"/>
    <w:rsid w:val="3B2A0F67"/>
    <w:rsid w:val="3BCA27B8"/>
    <w:rsid w:val="3C1E17EA"/>
    <w:rsid w:val="3C4A35F1"/>
    <w:rsid w:val="3D6C6E26"/>
    <w:rsid w:val="3F9B7EF1"/>
    <w:rsid w:val="415A7E63"/>
    <w:rsid w:val="42E701E3"/>
    <w:rsid w:val="43362A8E"/>
    <w:rsid w:val="441E1765"/>
    <w:rsid w:val="44854C66"/>
    <w:rsid w:val="44D414C9"/>
    <w:rsid w:val="460D1423"/>
    <w:rsid w:val="46472D5E"/>
    <w:rsid w:val="469B4709"/>
    <w:rsid w:val="46A85B41"/>
    <w:rsid w:val="47CB2C71"/>
    <w:rsid w:val="49332FB5"/>
    <w:rsid w:val="4B3A1BDA"/>
    <w:rsid w:val="4B6776B0"/>
    <w:rsid w:val="4D392B7F"/>
    <w:rsid w:val="4DC759F3"/>
    <w:rsid w:val="4E040B17"/>
    <w:rsid w:val="4EA560D6"/>
    <w:rsid w:val="4F077D27"/>
    <w:rsid w:val="50667F11"/>
    <w:rsid w:val="546F308A"/>
    <w:rsid w:val="55734D49"/>
    <w:rsid w:val="55C3156A"/>
    <w:rsid w:val="56677483"/>
    <w:rsid w:val="57092F8E"/>
    <w:rsid w:val="599017B7"/>
    <w:rsid w:val="5CA639C2"/>
    <w:rsid w:val="5F8E0C51"/>
    <w:rsid w:val="5FE724D4"/>
    <w:rsid w:val="608606DE"/>
    <w:rsid w:val="63C1520A"/>
    <w:rsid w:val="66C35559"/>
    <w:rsid w:val="66D91A76"/>
    <w:rsid w:val="68B337CC"/>
    <w:rsid w:val="69311D38"/>
    <w:rsid w:val="6A287B5E"/>
    <w:rsid w:val="6A6B37FA"/>
    <w:rsid w:val="6B303A1A"/>
    <w:rsid w:val="6D897695"/>
    <w:rsid w:val="6DAA2FDF"/>
    <w:rsid w:val="6E121228"/>
    <w:rsid w:val="6F360637"/>
    <w:rsid w:val="70873960"/>
    <w:rsid w:val="70B81233"/>
    <w:rsid w:val="70D1495F"/>
    <w:rsid w:val="73641402"/>
    <w:rsid w:val="74E73186"/>
    <w:rsid w:val="76015DEA"/>
    <w:rsid w:val="763B2CF0"/>
    <w:rsid w:val="764E470D"/>
    <w:rsid w:val="76850D49"/>
    <w:rsid w:val="7842124A"/>
    <w:rsid w:val="79435213"/>
    <w:rsid w:val="7C766170"/>
    <w:rsid w:val="7D26550D"/>
    <w:rsid w:val="7D2D6A7C"/>
    <w:rsid w:val="7E3420E0"/>
    <w:rsid w:val="7E40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9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color w:val="000000"/>
      <w:sz w:val="32"/>
    </w:rPr>
  </w:style>
  <w:style w:type="paragraph" w:styleId="4">
    <w:name w:val="heading 2"/>
    <w:basedOn w:val="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i/>
      <w:color w:val="000000"/>
      <w:sz w:val="28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jc w:val="both"/>
    </w:pPr>
    <w:rPr>
      <w:rFonts w:ascii="宋体" w:hAnsi="Courier New"/>
      <w:kern w:val="0"/>
      <w:sz w:val="20"/>
      <w:szCs w:val="20"/>
      <w:lang w:val="en-US" w:eastAsia="zh-CN"/>
    </w:rPr>
  </w:style>
  <w:style w:type="paragraph" w:styleId="5">
    <w:name w:val="Normal Indent"/>
    <w:basedOn w:val="1"/>
    <w:qFormat/>
    <w:uiPriority w:val="0"/>
    <w:pPr>
      <w:ind w:firstLine="420"/>
    </w:pPr>
    <w:rPr>
      <w:rFonts w:ascii="Times New Roman" w:hAnsi="Times New Roman" w:cs="Times New Roman"/>
      <w:kern w:val="0"/>
      <w:sz w:val="20"/>
      <w:szCs w:val="20"/>
    </w:rPr>
  </w:style>
  <w:style w:type="paragraph" w:styleId="6">
    <w:name w:val="Body Text"/>
    <w:basedOn w:val="1"/>
    <w:next w:val="7"/>
    <w:unhideWhenUsed/>
    <w:qFormat/>
    <w:uiPriority w:val="99"/>
    <w:pPr>
      <w:spacing w:after="120"/>
    </w:pPr>
  </w:style>
  <w:style w:type="paragraph" w:styleId="7">
    <w:name w:val="Title"/>
    <w:basedOn w:val="1"/>
    <w:next w:val="1"/>
    <w:qFormat/>
    <w:uiPriority w:val="0"/>
    <w:pPr>
      <w:widowControl/>
      <w:spacing w:before="240" w:after="60" w:line="560" w:lineRule="exact"/>
      <w:jc w:val="center"/>
      <w:outlineLvl w:val="0"/>
    </w:pPr>
    <w:rPr>
      <w:rFonts w:ascii="Arial" w:hAnsi="Arial" w:eastAsia="华文中宋" w:cs="Arial"/>
      <w:b/>
      <w:bCs/>
      <w:color w:val="FF0000"/>
      <w:kern w:val="0"/>
      <w:sz w:val="84"/>
      <w:szCs w:val="32"/>
    </w:rPr>
  </w:style>
  <w:style w:type="paragraph" w:styleId="8">
    <w:name w:val="Body Text Indent"/>
    <w:basedOn w:val="1"/>
    <w:qFormat/>
    <w:uiPriority w:val="0"/>
    <w:pPr>
      <w:spacing w:after="120"/>
      <w:ind w:left="420" w:leftChars="200"/>
    </w:p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"/>
    <w:basedOn w:val="6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pacing w:line="360" w:lineRule="auto"/>
      <w:ind w:firstLine="200" w:firstLineChars="200"/>
      <w:jc w:val="both"/>
    </w:pPr>
    <w:rPr>
      <w:kern w:val="0"/>
      <w:sz w:val="24"/>
      <w:lang w:val="en-US" w:eastAsia="zh-CN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目录 21"/>
    <w:basedOn w:val="1"/>
    <w:next w:val="1"/>
    <w:qFormat/>
    <w:uiPriority w:val="0"/>
    <w:pPr>
      <w:spacing w:before="100" w:beforeAutospacing="1" w:after="100" w:afterAutospacing="1"/>
      <w:ind w:left="420" w:leftChars="200"/>
    </w:pPr>
  </w:style>
  <w:style w:type="paragraph" w:customStyle="1" w:styleId="15">
    <w:name w:val="_Style 5"/>
    <w:basedOn w:val="1"/>
    <w:qFormat/>
    <w:uiPriority w:val="0"/>
    <w:pPr>
      <w:adjustRightInd/>
      <w:spacing w:line="240" w:lineRule="auto"/>
      <w:ind w:firstLine="420" w:firstLineChars="200"/>
      <w:textAlignment w:val="auto"/>
    </w:pPr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2021-02-24T07:45:00Z</dcterms:created>
  <dc:creator>maja</dc:creator>
  <cp:lastModifiedBy>李素芳</cp:lastModifiedBy>
  <cp:lastPrinted>2022-02-11T02:00:00Z</cp:lastPrinted>
  <dcterms:modified xsi:type="dcterms:W3CDTF">2024-04-07T09:49:37Z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BFDF5B9C1E524EB3AFF28FB8716C24A9</vt:lpwstr>
  </property>
</Properties>
</file>